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77" w:type="dxa"/>
        <w:jc w:val="center"/>
        <w:tblLayout w:type="fixed"/>
        <w:tblLook w:val="04A0" w:firstRow="1" w:lastRow="0" w:firstColumn="1" w:lastColumn="0" w:noHBand="0" w:noVBand="1"/>
      </w:tblPr>
      <w:tblGrid>
        <w:gridCol w:w="8177"/>
      </w:tblGrid>
      <w:tr w:rsidR="00DE6A73">
        <w:trPr>
          <w:trHeight w:val="1697"/>
          <w:jc w:val="center"/>
        </w:trPr>
        <w:tc>
          <w:tcPr>
            <w:tcW w:w="8177" w:type="dxa"/>
          </w:tcPr>
          <w:p w:rsidR="00DE6A73" w:rsidRDefault="00DE6A73">
            <w:pPr>
              <w:jc w:val="center"/>
              <w:rPr>
                <w:rFonts w:eastAsia="黑体"/>
                <w:spacing w:val="20"/>
                <w:sz w:val="32"/>
              </w:rPr>
            </w:pPr>
          </w:p>
        </w:tc>
      </w:tr>
      <w:tr w:rsidR="00DE6A73">
        <w:trPr>
          <w:trHeight w:val="1573"/>
          <w:jc w:val="center"/>
        </w:trPr>
        <w:tc>
          <w:tcPr>
            <w:tcW w:w="8177" w:type="dxa"/>
          </w:tcPr>
          <w:p w:rsidR="00DE6A73" w:rsidRDefault="003D7C9F">
            <w:pPr>
              <w:pStyle w:val="aff2"/>
              <w:rPr>
                <w:rFonts w:ascii="Times New Roman" w:eastAsia="宋体"/>
                <w:sz w:val="44"/>
                <w:szCs w:val="44"/>
              </w:rPr>
            </w:pPr>
            <w:r>
              <w:rPr>
                <w:rFonts w:ascii="Times New Roman" w:eastAsia="宋体" w:hint="eastAsia"/>
                <w:sz w:val="44"/>
                <w:szCs w:val="44"/>
              </w:rPr>
              <w:t>《钛及钛合金加工产品超声波探伤方法》</w:t>
            </w:r>
          </w:p>
          <w:p w:rsidR="00DE6A73" w:rsidRDefault="00DE6A73">
            <w:pPr>
              <w:jc w:val="center"/>
              <w:rPr>
                <w:rFonts w:eastAsia="黑体"/>
                <w:spacing w:val="20"/>
                <w:sz w:val="32"/>
              </w:rPr>
            </w:pPr>
          </w:p>
        </w:tc>
      </w:tr>
      <w:tr w:rsidR="00DE6A73">
        <w:trPr>
          <w:trHeight w:val="1862"/>
          <w:jc w:val="center"/>
        </w:trPr>
        <w:tc>
          <w:tcPr>
            <w:tcW w:w="8177" w:type="dxa"/>
          </w:tcPr>
          <w:p w:rsidR="00DE6A73" w:rsidRDefault="003D7C9F">
            <w:pPr>
              <w:jc w:val="center"/>
              <w:rPr>
                <w:rFonts w:eastAsia="黑体"/>
                <w:spacing w:val="20"/>
                <w:sz w:val="44"/>
              </w:rPr>
            </w:pPr>
            <w:r>
              <w:rPr>
                <w:rFonts w:eastAsia="黑体" w:hint="eastAsia"/>
                <w:spacing w:val="20"/>
                <w:sz w:val="44"/>
              </w:rPr>
              <w:t>编制说明</w:t>
            </w:r>
          </w:p>
        </w:tc>
      </w:tr>
      <w:tr w:rsidR="00DE6A73">
        <w:trPr>
          <w:trHeight w:val="7167"/>
          <w:jc w:val="center"/>
        </w:trPr>
        <w:tc>
          <w:tcPr>
            <w:tcW w:w="8177" w:type="dxa"/>
          </w:tcPr>
          <w:p w:rsidR="00DE6A73" w:rsidRDefault="003D7C9F">
            <w:pPr>
              <w:jc w:val="center"/>
              <w:rPr>
                <w:rFonts w:eastAsia="黑体"/>
                <w:spacing w:val="20"/>
                <w:sz w:val="28"/>
              </w:rPr>
            </w:pPr>
            <w:r>
              <w:rPr>
                <w:rFonts w:hint="eastAsia"/>
                <w:kern w:val="0"/>
                <w:sz w:val="32"/>
                <w:szCs w:val="20"/>
              </w:rPr>
              <w:t>（</w:t>
            </w:r>
            <w:r w:rsidR="008518D3">
              <w:rPr>
                <w:rFonts w:hint="eastAsia"/>
                <w:kern w:val="0"/>
                <w:sz w:val="32"/>
                <w:szCs w:val="20"/>
              </w:rPr>
              <w:t>预审</w:t>
            </w:r>
            <w:r>
              <w:rPr>
                <w:rFonts w:hint="eastAsia"/>
                <w:kern w:val="0"/>
                <w:sz w:val="32"/>
                <w:szCs w:val="20"/>
              </w:rPr>
              <w:t>稿）</w:t>
            </w:r>
          </w:p>
        </w:tc>
      </w:tr>
      <w:tr w:rsidR="00DE6A73">
        <w:trPr>
          <w:trHeight w:val="632"/>
          <w:jc w:val="center"/>
        </w:trPr>
        <w:tc>
          <w:tcPr>
            <w:tcW w:w="8177" w:type="dxa"/>
          </w:tcPr>
          <w:p w:rsidR="00DE6A73" w:rsidRDefault="003D7C9F">
            <w:pPr>
              <w:jc w:val="center"/>
              <w:rPr>
                <w:rFonts w:eastAsia="黑体"/>
                <w:sz w:val="28"/>
              </w:rPr>
            </w:pPr>
            <w:r>
              <w:rPr>
                <w:rFonts w:eastAsia="黑体"/>
                <w:sz w:val="28"/>
              </w:rPr>
              <w:t>201</w:t>
            </w:r>
            <w:r w:rsidR="002B4288">
              <w:rPr>
                <w:rFonts w:eastAsia="黑体" w:hint="eastAsia"/>
                <w:sz w:val="28"/>
              </w:rPr>
              <w:t>8</w:t>
            </w:r>
            <w:r>
              <w:rPr>
                <w:rFonts w:eastAsia="黑体"/>
                <w:sz w:val="28"/>
              </w:rPr>
              <w:t>-</w:t>
            </w:r>
            <w:r w:rsidR="008518D3">
              <w:rPr>
                <w:rFonts w:eastAsia="黑体"/>
                <w:sz w:val="28"/>
              </w:rPr>
              <w:t>8</w:t>
            </w:r>
          </w:p>
        </w:tc>
      </w:tr>
    </w:tbl>
    <w:p w:rsidR="00DE6A73" w:rsidRDefault="00DE6A73">
      <w:pPr>
        <w:pStyle w:val="ab"/>
        <w:adjustRightInd w:val="0"/>
        <w:snapToGrid w:val="0"/>
        <w:spacing w:beforeLines="0" w:afterLines="0" w:line="288" w:lineRule="auto"/>
        <w:rPr>
          <w:sz w:val="32"/>
          <w:szCs w:val="32"/>
        </w:rPr>
      </w:pPr>
    </w:p>
    <w:p w:rsidR="00DE6A73" w:rsidRDefault="003D7C9F">
      <w:r>
        <w:br w:type="page"/>
      </w:r>
    </w:p>
    <w:p w:rsidR="00DE6A73" w:rsidRDefault="003D7C9F">
      <w:pPr>
        <w:pStyle w:val="ab"/>
        <w:adjustRightInd w:val="0"/>
        <w:snapToGrid w:val="0"/>
        <w:spacing w:beforeLines="0" w:afterLines="0" w:line="288" w:lineRule="auto"/>
        <w:jc w:val="center"/>
        <w:rPr>
          <w:b/>
          <w:sz w:val="32"/>
          <w:szCs w:val="32"/>
        </w:rPr>
      </w:pPr>
      <w:r>
        <w:rPr>
          <w:rFonts w:hint="eastAsia"/>
          <w:sz w:val="32"/>
          <w:szCs w:val="32"/>
        </w:rPr>
        <w:lastRenderedPageBreak/>
        <w:t>《钛及钛合金加工产品超声波探伤方法》</w:t>
      </w:r>
    </w:p>
    <w:p w:rsidR="00DE6A73" w:rsidRDefault="003D7C9F">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DE6A73" w:rsidRDefault="003D7C9F">
      <w:pPr>
        <w:pStyle w:val="aa"/>
        <w:numPr>
          <w:ilvl w:val="0"/>
          <w:numId w:val="1"/>
        </w:numPr>
        <w:spacing w:beforeLines="50" w:before="156" w:afterLines="50" w:after="156" w:line="300" w:lineRule="auto"/>
        <w:rPr>
          <w:sz w:val="24"/>
          <w:szCs w:val="24"/>
        </w:rPr>
      </w:pPr>
      <w:r>
        <w:rPr>
          <w:rFonts w:hint="eastAsia"/>
          <w:sz w:val="24"/>
          <w:szCs w:val="24"/>
        </w:rPr>
        <w:t>任务来源</w:t>
      </w:r>
    </w:p>
    <w:p w:rsidR="00DE6A73" w:rsidRDefault="003D7C9F">
      <w:pPr>
        <w:pStyle w:val="aa"/>
        <w:adjustRightInd w:val="0"/>
        <w:snapToGrid w:val="0"/>
        <w:spacing w:line="360" w:lineRule="auto"/>
        <w:ind w:left="0" w:firstLineChars="200" w:firstLine="480"/>
        <w:rPr>
          <w:rFonts w:ascii="宋体" w:eastAsia="宋体" w:hAnsi="宋体"/>
          <w:sz w:val="24"/>
          <w:szCs w:val="24"/>
        </w:rPr>
      </w:pPr>
      <w:r>
        <w:rPr>
          <w:rFonts w:ascii="宋体" w:eastAsia="宋体" w:hAnsi="宋体" w:hint="eastAsia"/>
          <w:sz w:val="24"/>
          <w:szCs w:val="24"/>
        </w:rPr>
        <w:t>根据《国家标准委关于下达2017年第</w:t>
      </w:r>
      <w:r w:rsidR="002B4288">
        <w:rPr>
          <w:rFonts w:ascii="宋体" w:eastAsia="宋体" w:hAnsi="宋体" w:hint="eastAsia"/>
          <w:sz w:val="24"/>
          <w:szCs w:val="24"/>
        </w:rPr>
        <w:t>一</w:t>
      </w:r>
      <w:r>
        <w:rPr>
          <w:rFonts w:ascii="宋体" w:eastAsia="宋体" w:hAnsi="宋体" w:hint="eastAsia"/>
          <w:sz w:val="24"/>
          <w:szCs w:val="24"/>
        </w:rPr>
        <w:t>批国家标准制修订计划的通知》（</w:t>
      </w:r>
      <w:proofErr w:type="gramStart"/>
      <w:r>
        <w:rPr>
          <w:rFonts w:ascii="宋体" w:eastAsia="宋体" w:hAnsi="宋体" w:hint="eastAsia"/>
          <w:sz w:val="24"/>
          <w:szCs w:val="24"/>
        </w:rPr>
        <w:t>国标委综合</w:t>
      </w:r>
      <w:proofErr w:type="gramEnd"/>
      <w:r>
        <w:rPr>
          <w:rFonts w:ascii="宋体" w:eastAsia="宋体" w:hAnsi="宋体" w:hint="eastAsia"/>
          <w:sz w:val="24"/>
          <w:szCs w:val="24"/>
        </w:rPr>
        <w:t>[</w:t>
      </w:r>
      <w:r w:rsidR="002B4288">
        <w:rPr>
          <w:rFonts w:ascii="宋体" w:eastAsia="宋体" w:hAnsi="宋体" w:hint="eastAsia"/>
          <w:sz w:val="24"/>
          <w:szCs w:val="24"/>
        </w:rPr>
        <w:t>2016</w:t>
      </w:r>
      <w:r>
        <w:rPr>
          <w:rFonts w:ascii="宋体" w:eastAsia="宋体" w:hAnsi="宋体" w:hint="eastAsia"/>
          <w:sz w:val="24"/>
          <w:szCs w:val="24"/>
        </w:rPr>
        <w:t>]</w:t>
      </w:r>
      <w:r w:rsidR="002B4288">
        <w:rPr>
          <w:rFonts w:ascii="宋体" w:eastAsia="宋体" w:hAnsi="宋体" w:hint="eastAsia"/>
          <w:sz w:val="24"/>
          <w:szCs w:val="24"/>
        </w:rPr>
        <w:t>76</w:t>
      </w:r>
      <w:r>
        <w:rPr>
          <w:rFonts w:ascii="宋体" w:eastAsia="宋体" w:hAnsi="宋体" w:hint="eastAsia"/>
          <w:sz w:val="24"/>
          <w:szCs w:val="24"/>
        </w:rPr>
        <w:t>号）的要求，由</w:t>
      </w:r>
      <w:proofErr w:type="gramStart"/>
      <w:r>
        <w:rPr>
          <w:rFonts w:ascii="宋体" w:eastAsia="宋体" w:hAnsi="宋体" w:hint="eastAsia"/>
          <w:sz w:val="24"/>
          <w:szCs w:val="24"/>
        </w:rPr>
        <w:t>宝钛集</w:t>
      </w:r>
      <w:proofErr w:type="gramEnd"/>
      <w:r>
        <w:rPr>
          <w:rFonts w:ascii="宋体" w:eastAsia="宋体" w:hAnsi="宋体" w:hint="eastAsia"/>
          <w:sz w:val="24"/>
          <w:szCs w:val="24"/>
        </w:rPr>
        <w:t>团有限公司和宝鸡钛业股份有限公司等单位负责修订《钛及钛合金加工产品超声波探伤方法》国家标准。项目计划编号：20161659-T-610 ，计划完成年限为201</w:t>
      </w:r>
      <w:r w:rsidR="002B4288">
        <w:rPr>
          <w:rFonts w:ascii="宋体" w:eastAsia="宋体" w:hAnsi="宋体" w:hint="eastAsia"/>
          <w:sz w:val="24"/>
          <w:szCs w:val="24"/>
        </w:rPr>
        <w:t>9</w:t>
      </w:r>
      <w:r>
        <w:rPr>
          <w:rFonts w:ascii="宋体" w:eastAsia="宋体" w:hAnsi="宋体" w:hint="eastAsia"/>
          <w:sz w:val="24"/>
          <w:szCs w:val="24"/>
        </w:rPr>
        <w:t>年。</w:t>
      </w:r>
    </w:p>
    <w:p w:rsidR="00DE6A73" w:rsidRDefault="003D7C9F">
      <w:pPr>
        <w:pStyle w:val="aa"/>
        <w:numPr>
          <w:ilvl w:val="0"/>
          <w:numId w:val="1"/>
        </w:numPr>
        <w:spacing w:beforeLines="50" w:before="156" w:afterLines="50" w:after="156" w:line="300" w:lineRule="auto"/>
        <w:rPr>
          <w:sz w:val="24"/>
          <w:szCs w:val="24"/>
        </w:rPr>
      </w:pPr>
      <w:r>
        <w:rPr>
          <w:rFonts w:hint="eastAsia"/>
          <w:sz w:val="24"/>
          <w:szCs w:val="24"/>
        </w:rPr>
        <w:t>起草单位简况</w:t>
      </w:r>
    </w:p>
    <w:p w:rsidR="00DE6A73" w:rsidRDefault="003D7C9F">
      <w:pPr>
        <w:pStyle w:val="aa"/>
        <w:adjustRightInd w:val="0"/>
        <w:snapToGrid w:val="0"/>
        <w:spacing w:line="360" w:lineRule="auto"/>
        <w:ind w:left="0"/>
        <w:rPr>
          <w:rFonts w:ascii="宋体" w:eastAsia="宋体" w:hAnsi="宋体"/>
          <w:sz w:val="24"/>
          <w:szCs w:val="24"/>
        </w:rPr>
      </w:pPr>
      <w:r>
        <w:rPr>
          <w:rFonts w:ascii="宋体" w:eastAsia="宋体" w:hAnsi="宋体" w:hint="eastAsia"/>
          <w:sz w:val="24"/>
          <w:szCs w:val="24"/>
        </w:rPr>
        <w:t xml:space="preserve">    </w:t>
      </w:r>
      <w:proofErr w:type="gramStart"/>
      <w:r>
        <w:rPr>
          <w:rFonts w:ascii="宋体" w:eastAsia="宋体" w:hAnsi="宋体" w:hint="eastAsia"/>
          <w:sz w:val="24"/>
          <w:szCs w:val="24"/>
        </w:rPr>
        <w:t>宝钛集团</w:t>
      </w:r>
      <w:proofErr w:type="gramEnd"/>
      <w:r>
        <w:rPr>
          <w:rFonts w:ascii="宋体" w:eastAsia="宋体" w:hAnsi="宋体" w:hint="eastAsia"/>
          <w:sz w:val="24"/>
          <w:szCs w:val="24"/>
        </w:rPr>
        <w:t>有限公司是我国“三五”期间为满足国防军工和尖端科技发展需要，以“902”为工程代号投资兴建的国家重点企业。现</w:t>
      </w:r>
      <w:r>
        <w:rPr>
          <w:rFonts w:ascii="宋体" w:eastAsia="宋体" w:hAnsi="宋体"/>
          <w:sz w:val="24"/>
          <w:szCs w:val="24"/>
        </w:rPr>
        <w:t>拥有“宝鸡钛业股份有限公司”、“南京钛业股份有限公司”</w:t>
      </w:r>
      <w:r>
        <w:rPr>
          <w:rFonts w:ascii="宋体" w:eastAsia="宋体" w:hAnsi="宋体" w:hint="eastAsia"/>
          <w:sz w:val="24"/>
          <w:szCs w:val="24"/>
        </w:rPr>
        <w:t>和</w:t>
      </w:r>
      <w:r>
        <w:rPr>
          <w:rFonts w:ascii="宋体" w:eastAsia="宋体" w:hAnsi="宋体"/>
          <w:sz w:val="24"/>
          <w:szCs w:val="24"/>
        </w:rPr>
        <w:t>“上海远东公司”等</w:t>
      </w:r>
      <w:r>
        <w:rPr>
          <w:rFonts w:ascii="宋体" w:eastAsia="宋体" w:hAnsi="宋体" w:hint="eastAsia"/>
          <w:sz w:val="24"/>
          <w:szCs w:val="24"/>
        </w:rPr>
        <w:t>10多</w:t>
      </w:r>
      <w:r>
        <w:rPr>
          <w:rFonts w:ascii="宋体" w:eastAsia="宋体" w:hAnsi="宋体"/>
          <w:sz w:val="24"/>
          <w:szCs w:val="24"/>
        </w:rPr>
        <w:t>个控股公司、5个全资子公司和宽</w:t>
      </w:r>
      <w:r>
        <w:rPr>
          <w:rFonts w:ascii="宋体" w:eastAsia="宋体" w:hAnsi="宋体" w:hint="eastAsia"/>
          <w:sz w:val="24"/>
          <w:szCs w:val="24"/>
        </w:rPr>
        <w:t>厚</w:t>
      </w:r>
      <w:r>
        <w:rPr>
          <w:rFonts w:ascii="宋体" w:eastAsia="宋体" w:hAnsi="宋体"/>
          <w:sz w:val="24"/>
          <w:szCs w:val="24"/>
        </w:rPr>
        <w:t>板、复合板、装备设计制造等10多个二级单位。可生产钛、锆、</w:t>
      </w:r>
      <w:proofErr w:type="gramStart"/>
      <w:r>
        <w:rPr>
          <w:rFonts w:ascii="宋体" w:eastAsia="宋体" w:hAnsi="宋体"/>
          <w:sz w:val="24"/>
          <w:szCs w:val="24"/>
        </w:rPr>
        <w:t>铪</w:t>
      </w:r>
      <w:proofErr w:type="gramEnd"/>
      <w:r>
        <w:rPr>
          <w:rFonts w:ascii="宋体" w:eastAsia="宋体" w:hAnsi="宋体"/>
          <w:sz w:val="24"/>
          <w:szCs w:val="24"/>
        </w:rPr>
        <w:t>、钨、钼、钽、铌、镍等有色金属及其合金达110个牌号，产品类型包括：板、管、棒、丝、箔、铸件、锻件及复合材料共6000多种产品。</w:t>
      </w:r>
      <w:r>
        <w:rPr>
          <w:rFonts w:ascii="宋体" w:eastAsia="宋体" w:hAnsi="宋体" w:hint="eastAsia"/>
          <w:sz w:val="24"/>
          <w:szCs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DE6A73" w:rsidRDefault="003D7C9F">
      <w:pPr>
        <w:pStyle w:val="aa"/>
        <w:adjustRightInd w:val="0"/>
        <w:snapToGrid w:val="0"/>
        <w:spacing w:line="360" w:lineRule="auto"/>
        <w:ind w:left="0" w:firstLineChars="200" w:firstLine="480"/>
        <w:rPr>
          <w:sz w:val="24"/>
        </w:rPr>
      </w:pPr>
      <w:r>
        <w:rPr>
          <w:rFonts w:ascii="宋体" w:eastAsia="宋体" w:hAnsi="宋体"/>
          <w:sz w:val="24"/>
          <w:szCs w:val="24"/>
        </w:rPr>
        <w:t>宝鸡钛业股份有限公司位于陕西省宝鸡市</w:t>
      </w:r>
      <w:r>
        <w:rPr>
          <w:rFonts w:ascii="宋体" w:eastAsia="宋体" w:hAnsi="宋体" w:hint="eastAsia"/>
          <w:sz w:val="24"/>
          <w:szCs w:val="24"/>
        </w:rPr>
        <w:t>高新大道88</w:t>
      </w:r>
      <w:r>
        <w:rPr>
          <w:rFonts w:ascii="宋体" w:eastAsia="宋体" w:hAnsi="宋体"/>
          <w:sz w:val="24"/>
          <w:szCs w:val="24"/>
        </w:rPr>
        <w:t>号，成立于1999年7月21日</w:t>
      </w:r>
      <w:r>
        <w:rPr>
          <w:rFonts w:ascii="宋体" w:eastAsia="宋体" w:hAnsi="宋体" w:hint="eastAsia"/>
          <w:sz w:val="24"/>
          <w:szCs w:val="24"/>
        </w:rPr>
        <w:t>，</w:t>
      </w:r>
      <w:r>
        <w:rPr>
          <w:rFonts w:ascii="宋体" w:eastAsia="宋体" w:hAnsi="宋体"/>
          <w:sz w:val="24"/>
          <w:szCs w:val="24"/>
        </w:rPr>
        <w:t>是由</w:t>
      </w:r>
      <w:proofErr w:type="gramStart"/>
      <w:r>
        <w:rPr>
          <w:rFonts w:ascii="宋体" w:eastAsia="宋体" w:hAnsi="宋体"/>
          <w:sz w:val="24"/>
          <w:szCs w:val="24"/>
        </w:rPr>
        <w:t>宝钛集团</w:t>
      </w:r>
      <w:proofErr w:type="gramEnd"/>
      <w:r>
        <w:rPr>
          <w:rFonts w:ascii="宋体" w:eastAsia="宋体" w:hAnsi="宋体"/>
          <w:sz w:val="24"/>
          <w:szCs w:val="24"/>
        </w:rPr>
        <w:t>有限公司作为主发起人</w:t>
      </w:r>
      <w:r>
        <w:rPr>
          <w:rFonts w:ascii="宋体" w:eastAsia="宋体" w:hAnsi="宋体" w:hint="eastAsia"/>
          <w:sz w:val="24"/>
          <w:szCs w:val="24"/>
        </w:rPr>
        <w:t>和</w:t>
      </w:r>
      <w:r>
        <w:rPr>
          <w:rFonts w:ascii="宋体" w:eastAsia="宋体" w:hAnsi="宋体"/>
          <w:sz w:val="24"/>
          <w:szCs w:val="24"/>
        </w:rPr>
        <w:t>控股股东设立的股份有限公司。是中国钛及钛合金生产</w:t>
      </w:r>
      <w:r>
        <w:rPr>
          <w:rFonts w:ascii="宋体" w:eastAsia="宋体" w:hAnsi="宋体" w:hint="eastAsia"/>
          <w:sz w:val="24"/>
          <w:szCs w:val="24"/>
        </w:rPr>
        <w:t>和</w:t>
      </w:r>
      <w:r>
        <w:rPr>
          <w:rFonts w:ascii="宋体" w:eastAsia="宋体" w:hAnsi="宋体"/>
          <w:sz w:val="24"/>
          <w:szCs w:val="24"/>
        </w:rPr>
        <w:t>科研基地，是</w:t>
      </w:r>
      <w:r>
        <w:rPr>
          <w:rFonts w:ascii="宋体" w:eastAsia="宋体" w:hAnsi="宋体" w:hint="eastAsia"/>
          <w:sz w:val="24"/>
          <w:szCs w:val="24"/>
        </w:rPr>
        <w:t>目前世界第三大钛加工企业和中国钛工业的龙头企业。</w:t>
      </w:r>
      <w:r>
        <w:rPr>
          <w:rFonts w:ascii="宋体" w:eastAsia="宋体" w:hAnsi="宋体"/>
          <w:sz w:val="24"/>
          <w:szCs w:val="24"/>
        </w:rPr>
        <w:t>公司拥有先进、完善的钛材生产体系和一批高素质专家队伍</w:t>
      </w:r>
      <w:r>
        <w:rPr>
          <w:rFonts w:ascii="宋体" w:eastAsia="宋体" w:hAnsi="宋体" w:hint="eastAsia"/>
          <w:sz w:val="24"/>
          <w:szCs w:val="24"/>
        </w:rPr>
        <w:t>，从</w:t>
      </w:r>
      <w:r>
        <w:rPr>
          <w:rFonts w:ascii="宋体" w:eastAsia="宋体" w:hAnsi="宋体"/>
          <w:sz w:val="24"/>
          <w:szCs w:val="24"/>
        </w:rPr>
        <w:t>德、日、美、奥等国家引进</w:t>
      </w:r>
      <w:r>
        <w:rPr>
          <w:rFonts w:ascii="宋体" w:eastAsia="宋体" w:hAnsi="宋体" w:hint="eastAsia"/>
          <w:sz w:val="24"/>
          <w:szCs w:val="24"/>
        </w:rPr>
        <w:t>的先进的</w:t>
      </w:r>
      <w:r>
        <w:rPr>
          <w:rFonts w:ascii="宋体" w:eastAsia="宋体" w:hAnsi="宋体"/>
          <w:sz w:val="24"/>
          <w:szCs w:val="24"/>
        </w:rPr>
        <w:t>主体装备，</w:t>
      </w:r>
      <w:r>
        <w:rPr>
          <w:rFonts w:ascii="宋体" w:eastAsia="宋体" w:hAnsi="宋体" w:hint="eastAsia"/>
          <w:sz w:val="24"/>
          <w:szCs w:val="24"/>
        </w:rPr>
        <w:t>完善的</w:t>
      </w:r>
      <w:r>
        <w:rPr>
          <w:rFonts w:ascii="宋体" w:eastAsia="宋体" w:hAnsi="宋体"/>
          <w:sz w:val="24"/>
          <w:szCs w:val="24"/>
        </w:rPr>
        <w:t>产品</w:t>
      </w:r>
      <w:r>
        <w:rPr>
          <w:rFonts w:ascii="宋体" w:eastAsia="宋体" w:hAnsi="宋体" w:hint="eastAsia"/>
          <w:sz w:val="24"/>
          <w:szCs w:val="24"/>
        </w:rPr>
        <w:t>质量保证体系</w:t>
      </w:r>
      <w:r>
        <w:rPr>
          <w:rFonts w:ascii="宋体" w:eastAsia="宋体" w:hAnsi="宋体"/>
          <w:sz w:val="24"/>
          <w:szCs w:val="24"/>
        </w:rPr>
        <w:t>，完备的生产体系、</w:t>
      </w:r>
      <w:r>
        <w:rPr>
          <w:rFonts w:ascii="宋体" w:eastAsia="宋体" w:hAnsi="宋体" w:hint="eastAsia"/>
          <w:sz w:val="24"/>
          <w:szCs w:val="24"/>
        </w:rPr>
        <w:t>国际</w:t>
      </w:r>
      <w:r>
        <w:rPr>
          <w:rFonts w:ascii="宋体" w:eastAsia="宋体" w:hAnsi="宋体"/>
          <w:sz w:val="24"/>
          <w:szCs w:val="24"/>
        </w:rPr>
        <w:t>领先的工艺技术、稳定的产品质量、高效的管理以及超前的营销理念。</w:t>
      </w:r>
      <w:r>
        <w:rPr>
          <w:rFonts w:ascii="宋体" w:eastAsia="宋体" w:hAnsi="宋体" w:hint="eastAsia"/>
          <w:sz w:val="24"/>
          <w:szCs w:val="24"/>
        </w:rPr>
        <w:t>公司的主导产品</w:t>
      </w:r>
      <w:proofErr w:type="gramStart"/>
      <w:r>
        <w:rPr>
          <w:rFonts w:ascii="宋体" w:eastAsia="宋体" w:hAnsi="宋体" w:hint="eastAsia"/>
          <w:sz w:val="24"/>
          <w:szCs w:val="24"/>
        </w:rPr>
        <w:t>类型有钛及</w:t>
      </w:r>
      <w:proofErr w:type="gramEnd"/>
      <w:r>
        <w:rPr>
          <w:rFonts w:ascii="宋体" w:eastAsia="宋体" w:hAnsi="宋体" w:hint="eastAsia"/>
          <w:sz w:val="24"/>
          <w:szCs w:val="24"/>
        </w:rPr>
        <w:t>钛合金铸锭、铸件、管材、棒材、</w:t>
      </w:r>
      <w:proofErr w:type="gramStart"/>
      <w:r>
        <w:rPr>
          <w:rFonts w:ascii="宋体" w:eastAsia="宋体" w:hAnsi="宋体" w:hint="eastAsia"/>
          <w:sz w:val="24"/>
          <w:szCs w:val="24"/>
        </w:rPr>
        <w:t>饼环</w:t>
      </w:r>
      <w:proofErr w:type="gramEnd"/>
      <w:r>
        <w:rPr>
          <w:rFonts w:ascii="宋体" w:eastAsia="宋体" w:hAnsi="宋体" w:hint="eastAsia"/>
          <w:sz w:val="24"/>
          <w:szCs w:val="24"/>
        </w:rPr>
        <w:t>材等锻件、板材、带材、箔材</w:t>
      </w:r>
      <w:proofErr w:type="gramStart"/>
      <w:r>
        <w:rPr>
          <w:rFonts w:ascii="宋体" w:eastAsia="宋体" w:hAnsi="宋体" w:hint="eastAsia"/>
          <w:sz w:val="24"/>
          <w:szCs w:val="24"/>
        </w:rPr>
        <w:t>和丝材</w:t>
      </w:r>
      <w:proofErr w:type="gramEnd"/>
      <w:r>
        <w:rPr>
          <w:rFonts w:ascii="宋体" w:eastAsia="宋体" w:hAnsi="宋体" w:hint="eastAsia"/>
          <w:sz w:val="24"/>
          <w:szCs w:val="24"/>
        </w:rPr>
        <w:t>等。公司自成立以来一致注重产品的技术研发，承担了国内大部分钛加工材的科研和生产任务，</w:t>
      </w:r>
      <w:proofErr w:type="gramStart"/>
      <w:r>
        <w:rPr>
          <w:rFonts w:ascii="宋体" w:eastAsia="宋体" w:hAnsi="宋体" w:hint="eastAsia"/>
          <w:sz w:val="24"/>
          <w:szCs w:val="24"/>
        </w:rPr>
        <w:t>引领着</w:t>
      </w:r>
      <w:proofErr w:type="gramEnd"/>
      <w:r>
        <w:rPr>
          <w:rFonts w:ascii="宋体" w:eastAsia="宋体" w:hAnsi="宋体" w:hint="eastAsia"/>
          <w:sz w:val="24"/>
          <w:szCs w:val="24"/>
        </w:rPr>
        <w:t>中国钛工业的发展和进步。</w:t>
      </w:r>
    </w:p>
    <w:p w:rsidR="00DE6A73" w:rsidRDefault="003D7C9F">
      <w:pPr>
        <w:pStyle w:val="aa"/>
        <w:numPr>
          <w:ilvl w:val="0"/>
          <w:numId w:val="1"/>
        </w:numPr>
        <w:spacing w:beforeLines="50" w:before="156" w:afterLines="50" w:after="156" w:line="300" w:lineRule="auto"/>
        <w:rPr>
          <w:sz w:val="24"/>
          <w:szCs w:val="24"/>
        </w:rPr>
      </w:pPr>
      <w:r>
        <w:rPr>
          <w:rFonts w:hint="eastAsia"/>
          <w:sz w:val="24"/>
          <w:szCs w:val="24"/>
        </w:rPr>
        <w:t>主要工作过程</w:t>
      </w:r>
    </w:p>
    <w:p w:rsidR="00146F7B" w:rsidRPr="00146F7B" w:rsidRDefault="00146F7B" w:rsidP="00146F7B">
      <w:pPr>
        <w:adjustRightInd w:val="0"/>
        <w:snapToGrid w:val="0"/>
        <w:spacing w:line="336" w:lineRule="auto"/>
        <w:ind w:firstLineChars="200" w:firstLine="480"/>
        <w:rPr>
          <w:rFonts w:ascii="宋体" w:hAnsi="宋体"/>
          <w:sz w:val="24"/>
        </w:rPr>
      </w:pPr>
      <w:proofErr w:type="gramStart"/>
      <w:r w:rsidRPr="00146F7B">
        <w:rPr>
          <w:rFonts w:ascii="宋体" w:hAnsi="宋体" w:hint="eastAsia"/>
          <w:sz w:val="24"/>
        </w:rPr>
        <w:t>宝钛集团</w:t>
      </w:r>
      <w:proofErr w:type="gramEnd"/>
      <w:r w:rsidRPr="00146F7B">
        <w:rPr>
          <w:rFonts w:ascii="宋体" w:hAnsi="宋体" w:hint="eastAsia"/>
          <w:sz w:val="24"/>
        </w:rPr>
        <w:t>有限公司接到有色标委下达的制订任务后，成立了标准编写组，召开了标</w:t>
      </w:r>
      <w:r w:rsidRPr="00146F7B">
        <w:rPr>
          <w:rFonts w:ascii="宋体" w:hAnsi="宋体" w:hint="eastAsia"/>
          <w:sz w:val="24"/>
        </w:rPr>
        <w:lastRenderedPageBreak/>
        <w:t>准项目编写启动会议，对标准编写工作进行了部署和分工。本项目主要工作过程经过了以下几个阶段：</w:t>
      </w:r>
    </w:p>
    <w:p w:rsidR="00146F7B" w:rsidRPr="00146F7B" w:rsidRDefault="00146F7B" w:rsidP="00146F7B">
      <w:pPr>
        <w:adjustRightInd w:val="0"/>
        <w:snapToGrid w:val="0"/>
        <w:spacing w:line="336" w:lineRule="auto"/>
        <w:ind w:firstLineChars="200" w:firstLine="480"/>
        <w:rPr>
          <w:rFonts w:ascii="宋体" w:hAnsi="宋体"/>
          <w:sz w:val="24"/>
        </w:rPr>
      </w:pPr>
      <w:r w:rsidRPr="00146F7B">
        <w:rPr>
          <w:rFonts w:ascii="宋体" w:hAnsi="宋体" w:hint="eastAsia"/>
          <w:sz w:val="24"/>
        </w:rPr>
        <w:t>1)</w:t>
      </w:r>
      <w:r w:rsidRPr="00146F7B">
        <w:rPr>
          <w:rFonts w:ascii="宋体" w:hAnsi="宋体" w:hint="eastAsia"/>
          <w:sz w:val="24"/>
        </w:rPr>
        <w:tab/>
        <w:t>201</w:t>
      </w:r>
      <w:r>
        <w:rPr>
          <w:rFonts w:ascii="宋体" w:hAnsi="宋体" w:hint="eastAsia"/>
          <w:sz w:val="24"/>
        </w:rPr>
        <w:t>7</w:t>
      </w:r>
      <w:r w:rsidRPr="00146F7B">
        <w:rPr>
          <w:rFonts w:ascii="宋体" w:hAnsi="宋体" w:hint="eastAsia"/>
          <w:sz w:val="24"/>
        </w:rPr>
        <w:t>年</w:t>
      </w:r>
      <w:r>
        <w:rPr>
          <w:rFonts w:ascii="宋体" w:hAnsi="宋体" w:hint="eastAsia"/>
          <w:sz w:val="24"/>
        </w:rPr>
        <w:t>5</w:t>
      </w:r>
      <w:r w:rsidRPr="00146F7B">
        <w:rPr>
          <w:rFonts w:ascii="宋体" w:hAnsi="宋体" w:hint="eastAsia"/>
          <w:sz w:val="24"/>
        </w:rPr>
        <w:t>月成立标准编制组，并明确了工作的职能和任务。</w:t>
      </w:r>
    </w:p>
    <w:p w:rsidR="00146F7B" w:rsidRPr="00146F7B" w:rsidRDefault="00146F7B" w:rsidP="00146F7B">
      <w:pPr>
        <w:adjustRightInd w:val="0"/>
        <w:snapToGrid w:val="0"/>
        <w:spacing w:line="336" w:lineRule="auto"/>
        <w:ind w:firstLineChars="200" w:firstLine="480"/>
        <w:rPr>
          <w:rFonts w:ascii="宋体" w:hAnsi="宋体"/>
          <w:sz w:val="24"/>
        </w:rPr>
      </w:pPr>
      <w:r w:rsidRPr="00146F7B">
        <w:rPr>
          <w:rFonts w:ascii="宋体" w:hAnsi="宋体" w:hint="eastAsia"/>
          <w:sz w:val="24"/>
        </w:rPr>
        <w:t>2)</w:t>
      </w:r>
      <w:r w:rsidRPr="00146F7B">
        <w:rPr>
          <w:rFonts w:ascii="宋体" w:hAnsi="宋体" w:hint="eastAsia"/>
          <w:sz w:val="24"/>
        </w:rPr>
        <w:tab/>
        <w:t>2017年</w:t>
      </w:r>
      <w:r>
        <w:rPr>
          <w:rFonts w:ascii="宋体" w:hAnsi="宋体" w:hint="eastAsia"/>
          <w:sz w:val="24"/>
        </w:rPr>
        <w:t>6</w:t>
      </w:r>
      <w:r w:rsidRPr="00146F7B">
        <w:rPr>
          <w:rFonts w:ascii="宋体" w:hAnsi="宋体" w:hint="eastAsia"/>
          <w:sz w:val="24"/>
        </w:rPr>
        <w:t>月～</w:t>
      </w:r>
      <w:proofErr w:type="gramStart"/>
      <w:r w:rsidRPr="00146F7B">
        <w:rPr>
          <w:rFonts w:ascii="宋体" w:hAnsi="宋体" w:hint="eastAsia"/>
          <w:sz w:val="24"/>
        </w:rPr>
        <w:t>2017年</w:t>
      </w:r>
      <w:r>
        <w:rPr>
          <w:rFonts w:ascii="宋体" w:hAnsi="宋体" w:hint="eastAsia"/>
          <w:sz w:val="24"/>
        </w:rPr>
        <w:t>12</w:t>
      </w:r>
      <w:r w:rsidRPr="00146F7B">
        <w:rPr>
          <w:rFonts w:ascii="宋体" w:hAnsi="宋体" w:hint="eastAsia"/>
          <w:sz w:val="24"/>
        </w:rPr>
        <w:t>月对钛及</w:t>
      </w:r>
      <w:proofErr w:type="gramEnd"/>
      <w:r w:rsidRPr="00146F7B">
        <w:rPr>
          <w:rFonts w:ascii="宋体" w:hAnsi="宋体" w:hint="eastAsia"/>
          <w:sz w:val="24"/>
        </w:rPr>
        <w:t>钛合金加工产品超声波探伤相关资料的收集和总结，并对技术资料进行了对比分析。</w:t>
      </w:r>
    </w:p>
    <w:p w:rsidR="00DE6A73" w:rsidRDefault="00146F7B" w:rsidP="00146F7B">
      <w:pPr>
        <w:adjustRightInd w:val="0"/>
        <w:snapToGrid w:val="0"/>
        <w:spacing w:line="336" w:lineRule="auto"/>
        <w:ind w:firstLineChars="200" w:firstLine="480"/>
        <w:rPr>
          <w:rFonts w:ascii="宋体" w:hAnsi="宋体"/>
          <w:sz w:val="24"/>
        </w:rPr>
      </w:pPr>
      <w:r w:rsidRPr="00146F7B">
        <w:rPr>
          <w:rFonts w:ascii="宋体" w:hAnsi="宋体" w:hint="eastAsia"/>
          <w:sz w:val="24"/>
        </w:rPr>
        <w:t>3)</w:t>
      </w:r>
      <w:r w:rsidRPr="00146F7B">
        <w:rPr>
          <w:rFonts w:ascii="宋体" w:hAnsi="宋体" w:hint="eastAsia"/>
          <w:sz w:val="24"/>
        </w:rPr>
        <w:tab/>
        <w:t>201</w:t>
      </w:r>
      <w:r>
        <w:rPr>
          <w:rFonts w:ascii="宋体" w:hAnsi="宋体" w:hint="eastAsia"/>
          <w:sz w:val="24"/>
        </w:rPr>
        <w:t>8</w:t>
      </w:r>
      <w:r w:rsidRPr="00146F7B">
        <w:rPr>
          <w:rFonts w:ascii="宋体" w:hAnsi="宋体" w:hint="eastAsia"/>
          <w:sz w:val="24"/>
        </w:rPr>
        <w:t>年</w:t>
      </w:r>
      <w:r>
        <w:rPr>
          <w:rFonts w:ascii="宋体" w:hAnsi="宋体" w:hint="eastAsia"/>
          <w:sz w:val="24"/>
        </w:rPr>
        <w:t>1</w:t>
      </w:r>
      <w:r w:rsidRPr="00146F7B">
        <w:rPr>
          <w:rFonts w:ascii="宋体" w:hAnsi="宋体" w:hint="eastAsia"/>
          <w:sz w:val="24"/>
        </w:rPr>
        <w:t>月～201</w:t>
      </w:r>
      <w:r>
        <w:rPr>
          <w:rFonts w:ascii="宋体" w:hAnsi="宋体" w:hint="eastAsia"/>
          <w:sz w:val="24"/>
        </w:rPr>
        <w:t>8</w:t>
      </w:r>
      <w:r w:rsidRPr="00146F7B">
        <w:rPr>
          <w:rFonts w:ascii="宋体" w:hAnsi="宋体" w:hint="eastAsia"/>
          <w:sz w:val="24"/>
        </w:rPr>
        <w:t>年</w:t>
      </w:r>
      <w:r>
        <w:rPr>
          <w:rFonts w:ascii="宋体" w:hAnsi="宋体" w:hint="eastAsia"/>
          <w:sz w:val="24"/>
        </w:rPr>
        <w:t>4</w:t>
      </w:r>
      <w:r w:rsidRPr="00146F7B">
        <w:rPr>
          <w:rFonts w:ascii="宋体" w:hAnsi="宋体" w:hint="eastAsia"/>
          <w:sz w:val="24"/>
        </w:rPr>
        <w:t>月</w:t>
      </w:r>
      <w:proofErr w:type="gramStart"/>
      <w:r w:rsidRPr="00146F7B">
        <w:rPr>
          <w:rFonts w:ascii="宋体" w:hAnsi="宋体" w:hint="eastAsia"/>
          <w:sz w:val="24"/>
        </w:rPr>
        <w:t>通过对钛及</w:t>
      </w:r>
      <w:proofErr w:type="gramEnd"/>
      <w:r w:rsidRPr="00146F7B">
        <w:rPr>
          <w:rFonts w:ascii="宋体" w:hAnsi="宋体" w:hint="eastAsia"/>
          <w:sz w:val="24"/>
        </w:rPr>
        <w:t>钛合金加工产品超声波探伤技术资料的分析和总结，形成了《钛及钛合金加工产品超声波探伤方法》的征求意见稿。</w:t>
      </w:r>
    </w:p>
    <w:p w:rsidR="008518D3" w:rsidRPr="00421BD0" w:rsidRDefault="000863E9" w:rsidP="00C7494D">
      <w:pPr>
        <w:numPr>
          <w:ilvl w:val="0"/>
          <w:numId w:val="10"/>
        </w:numPr>
        <w:adjustRightInd w:val="0"/>
        <w:snapToGrid w:val="0"/>
        <w:spacing w:line="360" w:lineRule="auto"/>
        <w:rPr>
          <w:rFonts w:ascii="宋体" w:hAnsi="宋体"/>
          <w:sz w:val="24"/>
        </w:rPr>
      </w:pPr>
      <w:r>
        <w:rPr>
          <w:rFonts w:ascii="宋体" w:hAnsi="宋体"/>
          <w:sz w:val="24"/>
        </w:rPr>
        <w:t xml:space="preserve">    </w:t>
      </w:r>
      <w:r w:rsidR="008518D3" w:rsidRPr="00421BD0">
        <w:rPr>
          <w:rFonts w:ascii="宋体" w:hAnsi="宋体" w:hint="eastAsia"/>
          <w:sz w:val="24"/>
        </w:rPr>
        <w:t>2018年4月2</w:t>
      </w:r>
      <w:r w:rsidR="008518D3">
        <w:rPr>
          <w:rFonts w:ascii="宋体" w:hAnsi="宋体"/>
          <w:sz w:val="24"/>
        </w:rPr>
        <w:t>4</w:t>
      </w:r>
      <w:r w:rsidR="008518D3" w:rsidRPr="00421BD0">
        <w:rPr>
          <w:rFonts w:ascii="宋体" w:hAnsi="宋体" w:hint="eastAsia"/>
          <w:sz w:val="24"/>
        </w:rPr>
        <w:t>日</w:t>
      </w:r>
      <w:r w:rsidR="008518D3">
        <w:rPr>
          <w:rFonts w:ascii="宋体" w:hAnsi="宋体" w:hint="eastAsia"/>
          <w:sz w:val="24"/>
        </w:rPr>
        <w:t>，</w:t>
      </w:r>
      <w:r w:rsidR="008518D3" w:rsidRPr="00421BD0">
        <w:rPr>
          <w:rFonts w:ascii="宋体" w:hAnsi="宋体" w:hint="eastAsia"/>
          <w:sz w:val="24"/>
        </w:rPr>
        <w:t>全国有色金属标准化技术委员会稀有金属分标委会在汉中市召开了《</w:t>
      </w:r>
      <w:r w:rsidR="00C7494D" w:rsidRPr="00C7494D">
        <w:rPr>
          <w:rFonts w:ascii="宋体" w:hAnsi="宋体" w:hint="eastAsia"/>
          <w:sz w:val="24"/>
        </w:rPr>
        <w:t>钛及钛合金加工产品超声波探伤方法</w:t>
      </w:r>
      <w:r w:rsidR="008518D3" w:rsidRPr="00421BD0">
        <w:rPr>
          <w:rFonts w:ascii="宋体" w:hAnsi="宋体" w:hint="eastAsia"/>
          <w:sz w:val="24"/>
        </w:rPr>
        <w:t>》等国家标准的讨论会。来自</w:t>
      </w:r>
      <w:r w:rsidRPr="000863E9">
        <w:rPr>
          <w:rFonts w:ascii="宋体" w:hAnsi="宋体" w:hint="eastAsia"/>
          <w:sz w:val="24"/>
        </w:rPr>
        <w:t>中国有色金属工业标准计量质量研究所、湖南金天钛业科技有限公司、宝钢特钢有限公司、国核宝</w:t>
      </w:r>
      <w:proofErr w:type="gramStart"/>
      <w:r w:rsidRPr="000863E9">
        <w:rPr>
          <w:rFonts w:ascii="宋体" w:hAnsi="宋体" w:hint="eastAsia"/>
          <w:sz w:val="24"/>
        </w:rPr>
        <w:t>钛锆业股份公司</w:t>
      </w:r>
      <w:proofErr w:type="gramEnd"/>
      <w:r w:rsidRPr="000863E9">
        <w:rPr>
          <w:rFonts w:ascii="宋体" w:hAnsi="宋体" w:hint="eastAsia"/>
          <w:sz w:val="24"/>
        </w:rPr>
        <w:t>、金堆城</w:t>
      </w:r>
      <w:proofErr w:type="gramStart"/>
      <w:r w:rsidRPr="000863E9">
        <w:rPr>
          <w:rFonts w:ascii="宋体" w:hAnsi="宋体" w:hint="eastAsia"/>
          <w:sz w:val="24"/>
        </w:rPr>
        <w:t>钼</w:t>
      </w:r>
      <w:proofErr w:type="gramEnd"/>
      <w:r w:rsidRPr="000863E9">
        <w:rPr>
          <w:rFonts w:ascii="宋体" w:hAnsi="宋体" w:hint="eastAsia"/>
          <w:sz w:val="24"/>
        </w:rPr>
        <w:t>业股份有限公司、西部超导材料科技股份有限公司、中国核动力研究设计院、中铝沈阳有色金属加工有限公司、遵义播宇钛材有限责任公司、西部金属材料股份有限公司</w:t>
      </w:r>
      <w:r w:rsidR="008518D3" w:rsidRPr="00421BD0">
        <w:rPr>
          <w:rFonts w:ascii="宋体" w:hAnsi="宋体" w:hint="eastAsia"/>
          <w:sz w:val="24"/>
        </w:rPr>
        <w:t>、</w:t>
      </w:r>
      <w:proofErr w:type="gramStart"/>
      <w:r w:rsidR="008518D3" w:rsidRPr="00421BD0">
        <w:rPr>
          <w:rFonts w:ascii="宋体" w:hAnsi="宋体" w:hint="eastAsia"/>
          <w:sz w:val="24"/>
        </w:rPr>
        <w:t>宝钛集团</w:t>
      </w:r>
      <w:proofErr w:type="gramEnd"/>
      <w:r w:rsidR="008518D3" w:rsidRPr="00421BD0">
        <w:rPr>
          <w:rFonts w:ascii="宋体" w:hAnsi="宋体" w:hint="eastAsia"/>
          <w:sz w:val="24"/>
        </w:rPr>
        <w:t>有限公司、宝鸡钛业股份有限公司等</w:t>
      </w:r>
      <w:r w:rsidR="008518D3" w:rsidRPr="000863E9">
        <w:rPr>
          <w:rFonts w:ascii="宋体" w:hAnsi="宋体"/>
          <w:sz w:val="24"/>
        </w:rPr>
        <w:t>20</w:t>
      </w:r>
      <w:r w:rsidR="008518D3" w:rsidRPr="000863E9">
        <w:rPr>
          <w:rFonts w:ascii="宋体" w:hAnsi="宋体" w:hint="eastAsia"/>
          <w:sz w:val="24"/>
        </w:rPr>
        <w:t>家单位</w:t>
      </w:r>
      <w:r w:rsidR="008518D3" w:rsidRPr="000863E9">
        <w:rPr>
          <w:rFonts w:ascii="宋体" w:hAnsi="宋体"/>
          <w:sz w:val="24"/>
        </w:rPr>
        <w:t>37</w:t>
      </w:r>
      <w:r w:rsidR="008518D3" w:rsidRPr="00421BD0">
        <w:rPr>
          <w:rFonts w:ascii="宋体" w:hAnsi="宋体" w:hint="eastAsia"/>
          <w:sz w:val="24"/>
        </w:rPr>
        <w:t>位专家代表参加了会议。与会代表认真对《</w:t>
      </w:r>
      <w:r w:rsidR="00C7494D" w:rsidRPr="00C7494D">
        <w:rPr>
          <w:rFonts w:ascii="宋体" w:hAnsi="宋体" w:hint="eastAsia"/>
          <w:sz w:val="24"/>
        </w:rPr>
        <w:t>钛及钛合金加工产品超声波探</w:t>
      </w:r>
      <w:bookmarkStart w:id="0" w:name="_GoBack"/>
      <w:bookmarkEnd w:id="0"/>
      <w:r w:rsidR="00C7494D" w:rsidRPr="00C7494D">
        <w:rPr>
          <w:rFonts w:ascii="宋体" w:hAnsi="宋体" w:hint="eastAsia"/>
          <w:sz w:val="24"/>
        </w:rPr>
        <w:t>伤方法</w:t>
      </w:r>
      <w:r w:rsidR="008518D3" w:rsidRPr="00421BD0">
        <w:rPr>
          <w:rFonts w:ascii="宋体" w:hAnsi="宋体" w:hint="eastAsia"/>
          <w:sz w:val="24"/>
        </w:rPr>
        <w:t>》进行了讨论，并形成了</w:t>
      </w:r>
      <w:r w:rsidR="008518D3">
        <w:rPr>
          <w:rFonts w:ascii="宋体" w:hAnsi="宋体" w:hint="eastAsia"/>
          <w:sz w:val="24"/>
        </w:rPr>
        <w:t>以</w:t>
      </w:r>
      <w:r w:rsidR="008518D3" w:rsidRPr="00421BD0">
        <w:rPr>
          <w:rFonts w:ascii="宋体" w:hAnsi="宋体" w:hint="eastAsia"/>
          <w:sz w:val="24"/>
        </w:rPr>
        <w:t>下会议纪要：</w:t>
      </w:r>
    </w:p>
    <w:p w:rsidR="008518D3" w:rsidRPr="00716ED6" w:rsidRDefault="008518D3" w:rsidP="008518D3">
      <w:pPr>
        <w:adjustRightInd w:val="0"/>
        <w:snapToGrid w:val="0"/>
        <w:spacing w:line="360" w:lineRule="auto"/>
        <w:ind w:firstLineChars="200" w:firstLine="480"/>
        <w:rPr>
          <w:rFonts w:ascii="宋体" w:hAnsi="宋体"/>
          <w:sz w:val="24"/>
        </w:rPr>
      </w:pPr>
      <w:r w:rsidRPr="00716ED6">
        <w:rPr>
          <w:rFonts w:ascii="宋体" w:hAnsi="宋体" w:hint="eastAsia"/>
          <w:sz w:val="24"/>
        </w:rPr>
        <w:t xml:space="preserve"> 1）</w:t>
      </w:r>
      <w:r w:rsidR="000863E9" w:rsidRPr="00716ED6">
        <w:rPr>
          <w:rFonts w:ascii="宋体" w:hAnsi="宋体" w:hint="eastAsia"/>
          <w:sz w:val="24"/>
        </w:rPr>
        <w:t>增加要素“原理”；</w:t>
      </w:r>
    </w:p>
    <w:p w:rsidR="008518D3" w:rsidRPr="00716ED6" w:rsidRDefault="008518D3" w:rsidP="008518D3">
      <w:pPr>
        <w:adjustRightInd w:val="0"/>
        <w:snapToGrid w:val="0"/>
        <w:spacing w:line="360" w:lineRule="auto"/>
        <w:ind w:firstLineChars="250" w:firstLine="600"/>
        <w:rPr>
          <w:rFonts w:ascii="宋体" w:hAnsi="宋体"/>
          <w:sz w:val="24"/>
        </w:rPr>
      </w:pPr>
      <w:r w:rsidRPr="00716ED6">
        <w:rPr>
          <w:rFonts w:ascii="宋体" w:hAnsi="宋体" w:hint="eastAsia"/>
          <w:sz w:val="24"/>
        </w:rPr>
        <w:t>2）</w:t>
      </w:r>
      <w:r w:rsidR="000863E9" w:rsidRPr="00716ED6">
        <w:rPr>
          <w:rFonts w:ascii="宋体" w:hAnsi="宋体" w:hint="eastAsia"/>
          <w:sz w:val="24"/>
        </w:rPr>
        <w:t>将3</w:t>
      </w:r>
      <w:r w:rsidR="000863E9" w:rsidRPr="00716ED6">
        <w:rPr>
          <w:rFonts w:ascii="宋体" w:hAnsi="宋体"/>
          <w:sz w:val="24"/>
        </w:rPr>
        <w:t>.4.1</w:t>
      </w:r>
      <w:r w:rsidR="000863E9" w:rsidRPr="00716ED6">
        <w:rPr>
          <w:rFonts w:ascii="宋体" w:hAnsi="宋体" w:hint="eastAsia"/>
          <w:sz w:val="24"/>
        </w:rPr>
        <w:t>中“被检产品的表面粗糙度Ra值</w:t>
      </w:r>
      <w:r w:rsidR="00EE20C5" w:rsidRPr="00716ED6">
        <w:rPr>
          <w:rFonts w:ascii="宋体" w:hAnsi="宋体" w:hint="eastAsia"/>
          <w:sz w:val="24"/>
        </w:rPr>
        <w:t>＜</w:t>
      </w:r>
      <w:r w:rsidR="000863E9" w:rsidRPr="00716ED6">
        <w:rPr>
          <w:rFonts w:ascii="宋体" w:hAnsi="宋体" w:hint="eastAsia"/>
          <w:sz w:val="24"/>
        </w:rPr>
        <w:t>3.2μm”修改为“</w:t>
      </w:r>
      <w:r w:rsidR="00EE20C5" w:rsidRPr="00716ED6">
        <w:rPr>
          <w:rFonts w:ascii="宋体" w:hAnsi="宋体" w:hint="eastAsia"/>
          <w:sz w:val="24"/>
        </w:rPr>
        <w:t>被检产品的表面粗糙度Ra值≤3.2μm</w:t>
      </w:r>
      <w:r w:rsidR="000863E9" w:rsidRPr="00716ED6">
        <w:rPr>
          <w:rFonts w:ascii="宋体" w:hAnsi="宋体" w:hint="eastAsia"/>
          <w:sz w:val="24"/>
        </w:rPr>
        <w:t>”</w:t>
      </w:r>
      <w:r w:rsidR="00EE20C5" w:rsidRPr="00716ED6">
        <w:rPr>
          <w:rFonts w:ascii="宋体" w:hAnsi="宋体" w:hint="eastAsia"/>
          <w:sz w:val="24"/>
        </w:rPr>
        <w:t>；</w:t>
      </w:r>
    </w:p>
    <w:p w:rsidR="008518D3" w:rsidRPr="00716ED6" w:rsidRDefault="008518D3" w:rsidP="008518D3">
      <w:pPr>
        <w:numPr>
          <w:ilvl w:val="0"/>
          <w:numId w:val="10"/>
        </w:numPr>
        <w:adjustRightInd w:val="0"/>
        <w:snapToGrid w:val="0"/>
        <w:spacing w:line="360" w:lineRule="auto"/>
        <w:ind w:firstLineChars="200" w:firstLine="480"/>
        <w:rPr>
          <w:rFonts w:ascii="宋体" w:hAnsi="宋体"/>
          <w:sz w:val="24"/>
        </w:rPr>
      </w:pPr>
      <w:r w:rsidRPr="00716ED6">
        <w:rPr>
          <w:rFonts w:ascii="宋体" w:hAnsi="宋体" w:hint="eastAsia"/>
          <w:sz w:val="24"/>
        </w:rPr>
        <w:t xml:space="preserve"> 3）</w:t>
      </w:r>
      <w:r w:rsidR="00EE20C5" w:rsidRPr="00716ED6">
        <w:rPr>
          <w:rFonts w:ascii="宋体" w:hAnsi="宋体" w:hint="eastAsia"/>
          <w:sz w:val="24"/>
        </w:rPr>
        <w:t>对标准文本和编制说明进行编辑性修改</w:t>
      </w:r>
      <w:r w:rsidRPr="00716ED6">
        <w:rPr>
          <w:rFonts w:ascii="宋体" w:hAnsi="宋体" w:hint="eastAsia"/>
          <w:sz w:val="24"/>
        </w:rPr>
        <w:t>。</w:t>
      </w:r>
    </w:p>
    <w:p w:rsidR="008518D3" w:rsidRPr="00716ED6" w:rsidRDefault="008518D3" w:rsidP="008518D3">
      <w:pPr>
        <w:adjustRightInd w:val="0"/>
        <w:snapToGrid w:val="0"/>
        <w:spacing w:line="336" w:lineRule="auto"/>
        <w:ind w:firstLineChars="200" w:firstLine="480"/>
        <w:rPr>
          <w:rFonts w:ascii="宋体" w:hAnsi="宋体"/>
          <w:sz w:val="24"/>
        </w:rPr>
      </w:pPr>
      <w:r w:rsidRPr="00716ED6">
        <w:rPr>
          <w:rFonts w:ascii="宋体" w:hAnsi="宋体" w:hint="eastAsia"/>
          <w:sz w:val="24"/>
        </w:rPr>
        <w:t>与会代表一致同意，标准编制组按以上修改要求，对标准文稿和编制说明进行修改后形成预审稿。</w:t>
      </w:r>
    </w:p>
    <w:p w:rsidR="008518D3" w:rsidRPr="00146F7B" w:rsidRDefault="008518D3" w:rsidP="00146F7B">
      <w:pPr>
        <w:adjustRightInd w:val="0"/>
        <w:snapToGrid w:val="0"/>
        <w:spacing w:line="336" w:lineRule="auto"/>
        <w:ind w:firstLineChars="200" w:firstLine="480"/>
        <w:rPr>
          <w:rFonts w:ascii="宋体" w:hAnsi="宋体"/>
          <w:sz w:val="24"/>
        </w:rPr>
      </w:pPr>
    </w:p>
    <w:p w:rsidR="00DE6A73" w:rsidRDefault="003D7C9F">
      <w:pPr>
        <w:adjustRightInd w:val="0"/>
        <w:snapToGrid w:val="0"/>
        <w:spacing w:line="336"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DE6A73" w:rsidRDefault="003D7C9F">
      <w:pPr>
        <w:pStyle w:val="aa"/>
        <w:numPr>
          <w:ilvl w:val="0"/>
          <w:numId w:val="3"/>
        </w:numPr>
        <w:spacing w:beforeLines="50" w:before="156" w:afterLines="50" w:after="156" w:line="300" w:lineRule="auto"/>
        <w:rPr>
          <w:sz w:val="24"/>
          <w:szCs w:val="24"/>
        </w:rPr>
      </w:pPr>
      <w:r>
        <w:rPr>
          <w:rFonts w:hint="eastAsia"/>
          <w:sz w:val="24"/>
          <w:szCs w:val="24"/>
        </w:rPr>
        <w:t>标准编制原则</w:t>
      </w:r>
    </w:p>
    <w:p w:rsidR="00DE6A73" w:rsidRDefault="003D7C9F">
      <w:pPr>
        <w:pStyle w:val="aa"/>
        <w:numPr>
          <w:ilvl w:val="0"/>
          <w:numId w:val="4"/>
        </w:numPr>
        <w:adjustRightInd w:val="0"/>
        <w:snapToGrid w:val="0"/>
        <w:spacing w:line="360" w:lineRule="auto"/>
        <w:ind w:left="0" w:firstLineChars="200" w:firstLine="480"/>
        <w:rPr>
          <w:rFonts w:ascii="宋体" w:eastAsia="宋体" w:hAnsi="宋体"/>
          <w:sz w:val="24"/>
          <w:szCs w:val="24"/>
        </w:rPr>
      </w:pPr>
      <w:r>
        <w:rPr>
          <w:rFonts w:ascii="宋体" w:eastAsia="宋体" w:hAnsi="宋体" w:hint="eastAsia"/>
          <w:sz w:val="24"/>
          <w:szCs w:val="24"/>
        </w:rPr>
        <w:t>本标准严格</w:t>
      </w:r>
      <w:r>
        <w:rPr>
          <w:rFonts w:ascii="宋体" w:eastAsia="宋体" w:hAnsi="宋体"/>
          <w:sz w:val="24"/>
          <w:szCs w:val="24"/>
        </w:rPr>
        <w:t>按照GB/T 1.1—200</w:t>
      </w:r>
      <w:r>
        <w:rPr>
          <w:rFonts w:ascii="宋体" w:eastAsia="宋体" w:hAnsi="宋体" w:hint="eastAsia"/>
          <w:sz w:val="24"/>
          <w:szCs w:val="24"/>
        </w:rPr>
        <w:t>9</w:t>
      </w:r>
      <w:r>
        <w:rPr>
          <w:rFonts w:ascii="宋体" w:eastAsia="宋体" w:hAnsi="宋体"/>
          <w:sz w:val="24"/>
          <w:szCs w:val="24"/>
        </w:rPr>
        <w:t>《标准化工作导则</w:t>
      </w:r>
      <w:r>
        <w:rPr>
          <w:rFonts w:ascii="宋体" w:eastAsia="宋体" w:hAnsi="宋体" w:hint="eastAsia"/>
          <w:sz w:val="24"/>
          <w:szCs w:val="24"/>
        </w:rPr>
        <w:t xml:space="preserve"> </w:t>
      </w:r>
      <w:r>
        <w:rPr>
          <w:rFonts w:ascii="宋体" w:eastAsia="宋体" w:hAnsi="宋体"/>
          <w:sz w:val="24"/>
          <w:szCs w:val="24"/>
        </w:rPr>
        <w:t>第1部分</w:t>
      </w:r>
      <w:r>
        <w:rPr>
          <w:rFonts w:ascii="宋体" w:eastAsia="宋体" w:hAnsi="宋体" w:hint="eastAsia"/>
          <w:sz w:val="24"/>
          <w:szCs w:val="24"/>
        </w:rPr>
        <w:t>：</w:t>
      </w:r>
      <w:r>
        <w:rPr>
          <w:rFonts w:ascii="宋体" w:eastAsia="宋体" w:hAnsi="宋体"/>
          <w:sz w:val="24"/>
          <w:szCs w:val="24"/>
        </w:rPr>
        <w:t>标准的结构和编写</w:t>
      </w:r>
      <w:r>
        <w:rPr>
          <w:rFonts w:ascii="宋体" w:eastAsia="宋体" w:hAnsi="宋体" w:hint="eastAsia"/>
          <w:sz w:val="24"/>
          <w:szCs w:val="24"/>
        </w:rPr>
        <w:t>》</w:t>
      </w:r>
      <w:r>
        <w:rPr>
          <w:rFonts w:ascii="宋体" w:eastAsia="宋体" w:hAnsi="宋体"/>
          <w:sz w:val="24"/>
          <w:szCs w:val="24"/>
        </w:rPr>
        <w:t>的规定</w:t>
      </w:r>
      <w:r>
        <w:rPr>
          <w:rFonts w:ascii="宋体" w:eastAsia="宋体" w:hAnsi="宋体" w:hint="eastAsia"/>
          <w:sz w:val="24"/>
          <w:szCs w:val="24"/>
        </w:rPr>
        <w:t>格式</w:t>
      </w:r>
      <w:r>
        <w:rPr>
          <w:rFonts w:ascii="宋体" w:eastAsia="宋体" w:hAnsi="宋体"/>
          <w:sz w:val="24"/>
          <w:szCs w:val="24"/>
        </w:rPr>
        <w:t>进行编写</w:t>
      </w:r>
      <w:r>
        <w:rPr>
          <w:rFonts w:ascii="宋体" w:eastAsia="宋体" w:hAnsi="宋体" w:hint="eastAsia"/>
          <w:sz w:val="24"/>
          <w:szCs w:val="24"/>
        </w:rPr>
        <w:t>的。</w:t>
      </w:r>
    </w:p>
    <w:p w:rsidR="00DE6A73" w:rsidRDefault="003D7C9F">
      <w:pPr>
        <w:pStyle w:val="aa"/>
        <w:numPr>
          <w:ilvl w:val="0"/>
          <w:numId w:val="4"/>
        </w:numPr>
        <w:adjustRightInd w:val="0"/>
        <w:snapToGrid w:val="0"/>
        <w:spacing w:line="360" w:lineRule="auto"/>
        <w:ind w:left="0" w:firstLineChars="200" w:firstLine="480"/>
        <w:rPr>
          <w:rFonts w:ascii="宋体" w:eastAsia="宋体" w:hAnsi="宋体"/>
          <w:sz w:val="24"/>
          <w:szCs w:val="24"/>
        </w:rPr>
      </w:pPr>
      <w:r>
        <w:rPr>
          <w:rFonts w:ascii="宋体" w:eastAsia="宋体" w:hAnsi="宋体" w:hint="eastAsia"/>
          <w:sz w:val="24"/>
          <w:szCs w:val="24"/>
        </w:rPr>
        <w:t>本标准按照GB/T 20001《标准编写规则》中第4部分：试验方法标准编写规则。</w:t>
      </w:r>
    </w:p>
    <w:p w:rsidR="00DE6A73" w:rsidRDefault="003D7C9F">
      <w:pPr>
        <w:pStyle w:val="aa"/>
        <w:numPr>
          <w:ilvl w:val="0"/>
          <w:numId w:val="4"/>
        </w:numPr>
        <w:adjustRightInd w:val="0"/>
        <w:snapToGrid w:val="0"/>
        <w:spacing w:line="360" w:lineRule="auto"/>
        <w:ind w:left="0" w:firstLineChars="200" w:firstLine="480"/>
        <w:rPr>
          <w:rFonts w:ascii="宋体" w:eastAsia="宋体" w:hAnsi="宋体"/>
          <w:sz w:val="24"/>
          <w:szCs w:val="24"/>
        </w:rPr>
      </w:pPr>
      <w:r>
        <w:rPr>
          <w:rFonts w:ascii="宋体" w:eastAsia="宋体" w:hAnsi="宋体" w:hint="eastAsia"/>
          <w:sz w:val="24"/>
          <w:szCs w:val="24"/>
        </w:rPr>
        <w:t>以本标准修订是在GB/T 5193－2007《钛及钛合金加工产品超声波探伤方法》的基础上，根据近年来使用该标准过程中出现的问题，结合国内市场发展的需求状况，进</w:t>
      </w:r>
      <w:r>
        <w:rPr>
          <w:rFonts w:ascii="宋体" w:eastAsia="宋体" w:hAnsi="宋体" w:hint="eastAsia"/>
          <w:sz w:val="24"/>
          <w:szCs w:val="24"/>
        </w:rPr>
        <w:lastRenderedPageBreak/>
        <w:t>行方法的试验、分析和研究后，并参考国外同类标准AMS 2631D的相关内容编制成本标准的标准草案。</w:t>
      </w:r>
    </w:p>
    <w:p w:rsidR="00DE6A73" w:rsidRDefault="003D7C9F">
      <w:pPr>
        <w:pStyle w:val="aa"/>
        <w:numPr>
          <w:ilvl w:val="0"/>
          <w:numId w:val="4"/>
        </w:numPr>
        <w:adjustRightInd w:val="0"/>
        <w:snapToGrid w:val="0"/>
        <w:spacing w:line="360" w:lineRule="auto"/>
        <w:ind w:left="0" w:firstLineChars="200" w:firstLine="480"/>
        <w:rPr>
          <w:rFonts w:ascii="宋体" w:eastAsia="宋体" w:hAnsi="宋体"/>
          <w:sz w:val="24"/>
          <w:szCs w:val="24"/>
        </w:rPr>
      </w:pPr>
      <w:r>
        <w:rPr>
          <w:rFonts w:ascii="宋体" w:eastAsia="宋体" w:hAnsi="宋体" w:hint="eastAsia"/>
          <w:sz w:val="24"/>
          <w:szCs w:val="24"/>
        </w:rPr>
        <w:t>适当考虑与国际标准和国外重要国家及企业对钛材的超声波检测方法。</w:t>
      </w:r>
    </w:p>
    <w:p w:rsidR="00DE6A73" w:rsidRDefault="003D7C9F">
      <w:pPr>
        <w:pStyle w:val="aa"/>
        <w:numPr>
          <w:ilvl w:val="0"/>
          <w:numId w:val="3"/>
        </w:numPr>
        <w:spacing w:beforeLines="50" w:before="156" w:afterLines="50" w:after="156" w:line="300" w:lineRule="auto"/>
        <w:rPr>
          <w:sz w:val="24"/>
        </w:rPr>
      </w:pPr>
      <w:r>
        <w:rPr>
          <w:rFonts w:hint="eastAsia"/>
          <w:sz w:val="24"/>
        </w:rPr>
        <w:t>确定标准主要内容的论据</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适用范围</w:t>
      </w:r>
    </w:p>
    <w:p w:rsidR="00DE6A73" w:rsidRDefault="003D7C9F">
      <w:pPr>
        <w:spacing w:line="440" w:lineRule="exact"/>
        <w:ind w:firstLineChars="200" w:firstLine="480"/>
        <w:rPr>
          <w:sz w:val="24"/>
        </w:rPr>
      </w:pPr>
      <w:r>
        <w:rPr>
          <w:rFonts w:hint="eastAsia"/>
          <w:sz w:val="24"/>
        </w:rPr>
        <w:t>将原标准“本标准适用于横截面厚度大于</w:t>
      </w:r>
      <w:r>
        <w:rPr>
          <w:rFonts w:hint="eastAsia"/>
          <w:sz w:val="24"/>
        </w:rPr>
        <w:t>6mm</w:t>
      </w:r>
      <w:r>
        <w:rPr>
          <w:rFonts w:hint="eastAsia"/>
          <w:sz w:val="24"/>
        </w:rPr>
        <w:t>～</w:t>
      </w:r>
      <w:r>
        <w:rPr>
          <w:rFonts w:hint="eastAsia"/>
          <w:sz w:val="24"/>
        </w:rPr>
        <w:t>230mm</w:t>
      </w:r>
      <w:r>
        <w:rPr>
          <w:rFonts w:hint="eastAsia"/>
          <w:sz w:val="24"/>
        </w:rPr>
        <w:t>的钛及钛合金加工产品的超声波探伤”</w:t>
      </w:r>
      <w:r>
        <w:rPr>
          <w:rFonts w:hint="eastAsia"/>
          <w:sz w:val="24"/>
        </w:rPr>
        <w:t xml:space="preserve"> </w:t>
      </w:r>
      <w:r>
        <w:rPr>
          <w:rFonts w:hint="eastAsia"/>
          <w:sz w:val="24"/>
        </w:rPr>
        <w:t>改为“本标准适用于横截面厚度不小于</w:t>
      </w:r>
      <w:r>
        <w:rPr>
          <w:rFonts w:hint="eastAsia"/>
          <w:sz w:val="24"/>
        </w:rPr>
        <w:t>6mm</w:t>
      </w:r>
      <w:r>
        <w:rPr>
          <w:rFonts w:hint="eastAsia"/>
          <w:sz w:val="24"/>
        </w:rPr>
        <w:t>～</w:t>
      </w:r>
      <w:r>
        <w:rPr>
          <w:rFonts w:hint="eastAsia"/>
          <w:sz w:val="24"/>
        </w:rPr>
        <w:t>500mm</w:t>
      </w:r>
      <w:r>
        <w:rPr>
          <w:rFonts w:hint="eastAsia"/>
          <w:sz w:val="24"/>
        </w:rPr>
        <w:t>的钛及钛合金加工产品的超声波检测。”此修改主要是考虑了钛及钛合金材料的特性及现阶段大规格钛合金棒材的需求情况，并结合了探伤方法在实际操作过程中的实践应用。</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方法类别</w:t>
      </w:r>
    </w:p>
    <w:p w:rsidR="00DE6A73" w:rsidRDefault="003D7C9F">
      <w:pPr>
        <w:spacing w:line="440" w:lineRule="exact"/>
        <w:ind w:firstLineChars="200" w:firstLine="480"/>
        <w:rPr>
          <w:sz w:val="24"/>
        </w:rPr>
      </w:pPr>
      <w:r>
        <w:rPr>
          <w:rFonts w:hint="eastAsia"/>
          <w:sz w:val="24"/>
        </w:rPr>
        <w:t>将原标准“φ</w:t>
      </w:r>
      <w:r>
        <w:rPr>
          <w:rFonts w:hint="eastAsia"/>
          <w:sz w:val="24"/>
        </w:rPr>
        <w:t>6</w:t>
      </w:r>
      <w:r>
        <w:rPr>
          <w:rFonts w:hint="eastAsia"/>
          <w:sz w:val="24"/>
        </w:rPr>
        <w:t>～φ</w:t>
      </w:r>
      <w:r>
        <w:rPr>
          <w:rFonts w:hint="eastAsia"/>
          <w:sz w:val="24"/>
        </w:rPr>
        <w:t>45mm</w:t>
      </w:r>
      <w:r>
        <w:rPr>
          <w:rFonts w:hint="eastAsia"/>
          <w:sz w:val="24"/>
        </w:rPr>
        <w:t>棒材应优先选用水浸聚焦法。”改为“φ</w:t>
      </w:r>
      <w:r>
        <w:rPr>
          <w:rFonts w:hint="eastAsia"/>
          <w:sz w:val="24"/>
        </w:rPr>
        <w:t>6</w:t>
      </w:r>
      <w:r>
        <w:rPr>
          <w:rFonts w:hint="eastAsia"/>
          <w:sz w:val="24"/>
        </w:rPr>
        <w:t>～φ</w:t>
      </w:r>
      <w:r>
        <w:rPr>
          <w:rFonts w:hint="eastAsia"/>
          <w:sz w:val="24"/>
        </w:rPr>
        <w:t>80mm</w:t>
      </w:r>
      <w:r>
        <w:rPr>
          <w:rFonts w:hint="eastAsia"/>
          <w:sz w:val="24"/>
        </w:rPr>
        <w:t>棒材应优先选用水浸聚焦法。”考虑到小直径棒材超声检测时水浸法优于接触法，通过调研主要钛材加工企业小直径棒材超声检测的现行情况，进行了修改。</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人员</w:t>
      </w:r>
    </w:p>
    <w:p w:rsidR="00DE6A73" w:rsidRDefault="003D7C9F">
      <w:pPr>
        <w:spacing w:line="440" w:lineRule="exact"/>
        <w:ind w:firstLineChars="200" w:firstLine="480"/>
        <w:rPr>
          <w:sz w:val="24"/>
        </w:rPr>
      </w:pPr>
      <w:r>
        <w:rPr>
          <w:rFonts w:hint="eastAsia"/>
          <w:sz w:val="24"/>
        </w:rPr>
        <w:t>将原标准“操作人员应达到部级或与此相当的学会级Ⅰ级及以上无损检测人员水平，签发及解释检验报告人员应达到部级或与此相当的学会级Ⅱ级及以上人员水平。”改为“检测人员应按</w:t>
      </w:r>
      <w:r>
        <w:rPr>
          <w:rFonts w:hint="eastAsia"/>
          <w:sz w:val="24"/>
        </w:rPr>
        <w:t>GB/T9445</w:t>
      </w:r>
      <w:r>
        <w:rPr>
          <w:rFonts w:hint="eastAsia"/>
          <w:sz w:val="24"/>
        </w:rPr>
        <w:t>的相关要求或相应标准进行技术资格的培训和鉴定并获取Ⅰ级及以上无损检测人员资格，签发及解释检验报告人员应达到Ⅱ级及以上人员资格。”人员资质的要求遵循相应人员资格鉴定规范比较合理，规范一般对人员培训资质等均有详细要求。此修改给出了从事无损检测的人员持证的基本要求及持证的依据。</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探伤仪</w:t>
      </w:r>
    </w:p>
    <w:p w:rsidR="00DE6A73" w:rsidRDefault="003D7C9F">
      <w:pPr>
        <w:spacing w:line="440" w:lineRule="exact"/>
        <w:ind w:firstLineChars="200" w:firstLine="480"/>
        <w:rPr>
          <w:sz w:val="24"/>
        </w:rPr>
      </w:pPr>
      <w:r>
        <w:rPr>
          <w:rFonts w:ascii="宋体" w:hAnsi="宋体" w:hint="eastAsia"/>
          <w:sz w:val="24"/>
        </w:rPr>
        <w:t>将原标准“对于A型脉冲反射式超声波探伤仪，应满足JB/T 10061的要求。”修改为“仪器至少能产生范围为2.25-10MHz的检验频率。对于A型脉冲反射式超声波探伤仪，应满足JB/T 10061的要求。”目前国内外检测仪器繁多，频率设置范围较广，根据钛合金产品检测的特点，给出了检测频率范围</w:t>
      </w:r>
      <w:r>
        <w:rPr>
          <w:rFonts w:hint="eastAsia"/>
          <w:sz w:val="24"/>
        </w:rPr>
        <w:t>。</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探头</w:t>
      </w:r>
    </w:p>
    <w:p w:rsidR="00DE6A73" w:rsidRDefault="003D7C9F">
      <w:pPr>
        <w:spacing w:line="440" w:lineRule="exact"/>
        <w:rPr>
          <w:rFonts w:ascii="宋体" w:hAnsi="宋体"/>
          <w:sz w:val="24"/>
        </w:rPr>
      </w:pPr>
      <w:r>
        <w:rPr>
          <w:rFonts w:ascii="宋体" w:hAnsi="宋体" w:hint="eastAsia"/>
          <w:sz w:val="24"/>
        </w:rPr>
        <w:t xml:space="preserve">    目将原标准“直径为12～32mm、工作频率为2.5～5MHz的直探头，推荐用于20mm～230mm厚的平面产品的接触法探伤。”修改为“直径为12mm～32mm、工作频率为2.0mm～5MHz的直探头，推荐用于20mm～500mm厚的平面产品。”；原标准“直径为6mm～16mm、工作频率为5MHz～10MHz的聚焦探头，推荐用于直径为&gt;6mm～70mm的圆形产品的纵波发散声束水浸法探伤。”改为“直径为6mm～20mm、工作频率为5MHz～15MHz的聚焦探头，</w:t>
      </w:r>
      <w:r>
        <w:rPr>
          <w:rFonts w:ascii="宋体" w:hAnsi="宋体" w:hint="eastAsia"/>
          <w:sz w:val="24"/>
        </w:rPr>
        <w:lastRenderedPageBreak/>
        <w:t>推荐用于直径为6mm～80mm的平面产品或圆形产品的纵波发散声束水浸法探伤。”增加了“直径为12mm～60mm、工作频率为5mm～15MHz的聚焦探头推荐用于80mm～500mm厚的平面产品或圆形产品的水浸法探伤。”</w:t>
      </w:r>
    </w:p>
    <w:p w:rsidR="00DE6A73" w:rsidRDefault="003D7C9F">
      <w:pPr>
        <w:spacing w:line="440" w:lineRule="exact"/>
        <w:rPr>
          <w:sz w:val="24"/>
        </w:rPr>
      </w:pPr>
      <w:r>
        <w:rPr>
          <w:rFonts w:ascii="宋体" w:hAnsi="宋体" w:hint="eastAsia"/>
          <w:sz w:val="24"/>
        </w:rPr>
        <w:t xml:space="preserve">    因为超声检测中，超声波的发射和接收都是通过探头来实现的。探头的种类很多，结构形式也不一样。本标准根据被检产品的形状对小直径圆形产品推荐</w:t>
      </w:r>
      <w:proofErr w:type="gramStart"/>
      <w:r>
        <w:rPr>
          <w:rFonts w:ascii="宋体" w:hAnsi="宋体" w:hint="eastAsia"/>
          <w:sz w:val="24"/>
        </w:rPr>
        <w:t>选择水</w:t>
      </w:r>
      <w:proofErr w:type="gramEnd"/>
      <w:r>
        <w:rPr>
          <w:rFonts w:ascii="宋体" w:hAnsi="宋体" w:hint="eastAsia"/>
          <w:sz w:val="24"/>
        </w:rPr>
        <w:t>浸聚焦探头主要是因为聚焦探头几乎不受曲面曲率的影响，声能集中，有利于发现较小的缺陷。而对平面产品，采用平探头是因为其声束较宽，每次</w:t>
      </w:r>
      <w:proofErr w:type="gramStart"/>
      <w:r>
        <w:rPr>
          <w:rFonts w:ascii="宋体" w:hAnsi="宋体" w:hint="eastAsia"/>
          <w:sz w:val="24"/>
        </w:rPr>
        <w:t>扫查范围</w:t>
      </w:r>
      <w:proofErr w:type="gramEnd"/>
      <w:r>
        <w:rPr>
          <w:rFonts w:ascii="宋体" w:hAnsi="宋体" w:hint="eastAsia"/>
          <w:sz w:val="24"/>
        </w:rPr>
        <w:t>大，有利于提高探伤效率。频率的选择考虑了检测灵敏度、衰减因素、指向性、分辨率、近场长度等的要求。由于标准修订中检测范围扩大，因此，探头晶片尺寸及频率也做了相应调整</w:t>
      </w:r>
      <w:r>
        <w:rPr>
          <w:rFonts w:ascii="宋体" w:hAnsi="宋体"/>
          <w:sz w:val="24"/>
        </w:rPr>
        <w:t>。</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对比试块</w:t>
      </w:r>
    </w:p>
    <w:p w:rsidR="00DE6A73" w:rsidRDefault="003D7C9F">
      <w:pPr>
        <w:spacing w:line="440" w:lineRule="exact"/>
        <w:rPr>
          <w:rFonts w:ascii="宋体" w:hAnsi="宋体"/>
          <w:sz w:val="24"/>
        </w:rPr>
      </w:pPr>
      <w:r>
        <w:rPr>
          <w:rFonts w:hint="eastAsia"/>
          <w:sz w:val="24"/>
        </w:rPr>
        <w:t xml:space="preserve">    </w:t>
      </w:r>
      <w:r>
        <w:rPr>
          <w:rFonts w:hint="eastAsia"/>
          <w:sz w:val="24"/>
        </w:rPr>
        <w:t>增加了对比试块对声学特性发生差异的具体要求。将原标准“对比试块应采用与被检验产品的声学性能和表面状态相同或类似的钛及钛合金材料制备。其声学特性的变化要求在±</w:t>
      </w:r>
      <w:r>
        <w:rPr>
          <w:rFonts w:hint="eastAsia"/>
          <w:sz w:val="24"/>
        </w:rPr>
        <w:t>25</w:t>
      </w:r>
      <w:r>
        <w:rPr>
          <w:rFonts w:hint="eastAsia"/>
          <w:sz w:val="24"/>
        </w:rPr>
        <w:t>％以内。如果超出±</w:t>
      </w:r>
      <w:r>
        <w:rPr>
          <w:rFonts w:hint="eastAsia"/>
          <w:sz w:val="24"/>
        </w:rPr>
        <w:t>25</w:t>
      </w:r>
      <w:r>
        <w:rPr>
          <w:rFonts w:hint="eastAsia"/>
          <w:sz w:val="24"/>
        </w:rPr>
        <w:t>％，则应进行必要的补偿校正，校正方法应征得用户的同意。”修改为“对比试块应采用与被检产品声学性能和表面状态相同或相近的钛及钛合金材料制作，两者之间的声传输特性差应在</w:t>
      </w:r>
      <w:r>
        <w:rPr>
          <w:rFonts w:hint="eastAsia"/>
          <w:sz w:val="24"/>
        </w:rPr>
        <w:t>12dB</w:t>
      </w:r>
      <w:r>
        <w:rPr>
          <w:rFonts w:hint="eastAsia"/>
          <w:sz w:val="24"/>
        </w:rPr>
        <w:t>以内。若声传输特性差在</w:t>
      </w:r>
      <w:r>
        <w:rPr>
          <w:rFonts w:hint="eastAsia"/>
          <w:sz w:val="24"/>
        </w:rPr>
        <w:t>2dB</w:t>
      </w:r>
      <w:r>
        <w:rPr>
          <w:rFonts w:hint="eastAsia"/>
          <w:sz w:val="24"/>
        </w:rPr>
        <w:t>以内不需做增益补偿；若声传输特性差超过</w:t>
      </w:r>
      <w:r>
        <w:rPr>
          <w:rFonts w:hint="eastAsia"/>
          <w:sz w:val="24"/>
        </w:rPr>
        <w:t>2dB</w:t>
      </w:r>
      <w:r>
        <w:rPr>
          <w:rFonts w:hint="eastAsia"/>
          <w:sz w:val="24"/>
        </w:rPr>
        <w:t>但不大于</w:t>
      </w:r>
      <w:r>
        <w:rPr>
          <w:rFonts w:hint="eastAsia"/>
          <w:sz w:val="24"/>
        </w:rPr>
        <w:t>12dB</w:t>
      </w:r>
      <w:r>
        <w:rPr>
          <w:rFonts w:hint="eastAsia"/>
          <w:sz w:val="24"/>
        </w:rPr>
        <w:t>，应通过增加仪器灵敏度来补偿差别；若声传输特性差超过</w:t>
      </w:r>
      <w:r>
        <w:rPr>
          <w:rFonts w:hint="eastAsia"/>
          <w:sz w:val="24"/>
        </w:rPr>
        <w:t>12dB</w:t>
      </w:r>
      <w:r>
        <w:rPr>
          <w:rFonts w:hint="eastAsia"/>
          <w:sz w:val="24"/>
        </w:rPr>
        <w:t>则必须采用不同的对比试块。”</w:t>
      </w:r>
      <w:r>
        <w:rPr>
          <w:rFonts w:hint="eastAsia"/>
          <w:sz w:val="24"/>
        </w:rPr>
        <w:t xml:space="preserve"> </w:t>
      </w:r>
      <w:r>
        <w:rPr>
          <w:rFonts w:hint="eastAsia"/>
          <w:sz w:val="24"/>
        </w:rPr>
        <w:t>此修改使操作者在实际检测中更容易操作。原标准中“检验曲面产品时，应使用与探伤面几何形状大致相同的对比试块，其差别不应超过被检验产品曲率半径的±</w:t>
      </w:r>
      <w:r>
        <w:rPr>
          <w:rFonts w:hint="eastAsia"/>
          <w:sz w:val="24"/>
        </w:rPr>
        <w:t>25</w:t>
      </w:r>
      <w:r>
        <w:rPr>
          <w:rFonts w:hint="eastAsia"/>
          <w:sz w:val="24"/>
        </w:rPr>
        <w:t>％。”修改为“检验曲面产品时，应使用与探伤面几何形状大致相同的对比试块，其差别不应超过被检验产品曲率半径的±</w:t>
      </w:r>
      <w:r>
        <w:rPr>
          <w:rFonts w:hint="eastAsia"/>
          <w:sz w:val="24"/>
        </w:rPr>
        <w:t>20</w:t>
      </w:r>
      <w:r>
        <w:rPr>
          <w:rFonts w:hint="eastAsia"/>
          <w:sz w:val="24"/>
        </w:rPr>
        <w:t>％。小直径棒材应采用相同或相近曲率半径的棒材制作。”曲面产品检测时，曲率半径误差对检测结果有影响，因此，对曲率半径的误差提出了比以前更严的要求</w:t>
      </w:r>
      <w:r>
        <w:rPr>
          <w:rFonts w:ascii="宋体" w:hAnsi="宋体"/>
          <w:sz w:val="24"/>
        </w:rPr>
        <w:t>。</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平底孔埋深要求</w:t>
      </w:r>
    </w:p>
    <w:p w:rsidR="00DE6A73" w:rsidRDefault="003D7C9F">
      <w:pPr>
        <w:spacing w:line="440" w:lineRule="exact"/>
        <w:rPr>
          <w:sz w:val="24"/>
        </w:rPr>
      </w:pPr>
      <w:r>
        <w:rPr>
          <w:rFonts w:ascii="宋体" w:hAnsi="宋体" w:hint="eastAsia"/>
          <w:sz w:val="24"/>
        </w:rPr>
        <w:t xml:space="preserve">    </w:t>
      </w:r>
      <w:proofErr w:type="gramStart"/>
      <w:r>
        <w:rPr>
          <w:rFonts w:hint="eastAsia"/>
          <w:sz w:val="24"/>
        </w:rPr>
        <w:t>将原表</w:t>
      </w:r>
      <w:proofErr w:type="gramEnd"/>
      <w:r>
        <w:rPr>
          <w:rFonts w:hint="eastAsia"/>
          <w:sz w:val="24"/>
        </w:rPr>
        <w:t>1</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700"/>
        <w:gridCol w:w="3914"/>
      </w:tblGrid>
      <w:tr w:rsidR="00DE6A73">
        <w:trPr>
          <w:cantSplit/>
          <w:jc w:val="center"/>
        </w:trPr>
        <w:tc>
          <w:tcPr>
            <w:tcW w:w="4608" w:type="dxa"/>
            <w:gridSpan w:val="2"/>
          </w:tcPr>
          <w:p w:rsidR="00DE6A73" w:rsidRDefault="003D7C9F">
            <w:pPr>
              <w:jc w:val="center"/>
              <w:rPr>
                <w:szCs w:val="21"/>
              </w:rPr>
            </w:pPr>
            <w:r>
              <w:rPr>
                <w:szCs w:val="21"/>
              </w:rPr>
              <w:t>被检验产品</w:t>
            </w:r>
          </w:p>
        </w:tc>
        <w:tc>
          <w:tcPr>
            <w:tcW w:w="3914" w:type="dxa"/>
          </w:tcPr>
          <w:p w:rsidR="00DE6A73" w:rsidRDefault="003D7C9F">
            <w:pPr>
              <w:jc w:val="center"/>
              <w:rPr>
                <w:szCs w:val="21"/>
              </w:rPr>
            </w:pPr>
            <w:r>
              <w:rPr>
                <w:szCs w:val="21"/>
              </w:rPr>
              <w:t>平底孔埋藏深度</w:t>
            </w:r>
          </w:p>
        </w:tc>
      </w:tr>
      <w:tr w:rsidR="00DE6A73">
        <w:trPr>
          <w:cantSplit/>
          <w:jc w:val="center"/>
        </w:trPr>
        <w:tc>
          <w:tcPr>
            <w:tcW w:w="1908" w:type="dxa"/>
            <w:vMerge w:val="restart"/>
            <w:vAlign w:val="center"/>
          </w:tcPr>
          <w:p w:rsidR="00DE6A73" w:rsidRDefault="003D7C9F">
            <w:pPr>
              <w:jc w:val="center"/>
              <w:rPr>
                <w:szCs w:val="21"/>
              </w:rPr>
            </w:pPr>
            <w:r>
              <w:rPr>
                <w:szCs w:val="21"/>
              </w:rPr>
              <w:t>圆形产品直径</w:t>
            </w:r>
          </w:p>
        </w:tc>
        <w:tc>
          <w:tcPr>
            <w:tcW w:w="2700" w:type="dxa"/>
          </w:tcPr>
          <w:p w:rsidR="00DE6A73" w:rsidRDefault="003D7C9F">
            <w:pPr>
              <w:jc w:val="left"/>
              <w:rPr>
                <w:szCs w:val="21"/>
              </w:rPr>
            </w:pPr>
            <w:r>
              <w:rPr>
                <w:szCs w:val="21"/>
              </w:rPr>
              <w:t>&gt;6</w:t>
            </w:r>
            <w:r>
              <w:rPr>
                <w:szCs w:val="21"/>
              </w:rPr>
              <w:t>～</w:t>
            </w:r>
            <w:r>
              <w:rPr>
                <w:szCs w:val="21"/>
              </w:rPr>
              <w:t>50</w:t>
            </w:r>
          </w:p>
        </w:tc>
        <w:tc>
          <w:tcPr>
            <w:tcW w:w="3914" w:type="dxa"/>
          </w:tcPr>
          <w:p w:rsidR="00DE6A73" w:rsidRDefault="003D7C9F">
            <w:pPr>
              <w:jc w:val="left"/>
              <w:rPr>
                <w:szCs w:val="21"/>
              </w:rPr>
            </w:pPr>
            <w:r>
              <w:rPr>
                <w:szCs w:val="21"/>
              </w:rPr>
              <w:t>1/2</w:t>
            </w:r>
            <w:proofErr w:type="gramStart"/>
            <w:r>
              <w:rPr>
                <w:szCs w:val="21"/>
              </w:rPr>
              <w:t>T ,</w:t>
            </w:r>
            <w:proofErr w:type="gramEnd"/>
            <w:r>
              <w:rPr>
                <w:szCs w:val="21"/>
              </w:rPr>
              <w:t xml:space="preserve"> 6</w:t>
            </w:r>
          </w:p>
        </w:tc>
      </w:tr>
      <w:tr w:rsidR="00DE6A73">
        <w:trPr>
          <w:cantSplit/>
          <w:trHeight w:val="272"/>
          <w:jc w:val="center"/>
        </w:trPr>
        <w:tc>
          <w:tcPr>
            <w:tcW w:w="1908" w:type="dxa"/>
            <w:vMerge/>
            <w:vAlign w:val="center"/>
          </w:tcPr>
          <w:p w:rsidR="00DE6A73" w:rsidRDefault="00DE6A73">
            <w:pPr>
              <w:jc w:val="center"/>
              <w:rPr>
                <w:szCs w:val="21"/>
              </w:rPr>
            </w:pPr>
          </w:p>
        </w:tc>
        <w:tc>
          <w:tcPr>
            <w:tcW w:w="2700" w:type="dxa"/>
          </w:tcPr>
          <w:p w:rsidR="00DE6A73" w:rsidRDefault="003D7C9F">
            <w:pPr>
              <w:jc w:val="left"/>
              <w:rPr>
                <w:szCs w:val="21"/>
              </w:rPr>
            </w:pPr>
            <w:r>
              <w:rPr>
                <w:szCs w:val="21"/>
              </w:rPr>
              <w:t>&gt;50</w:t>
            </w:r>
            <w:r>
              <w:rPr>
                <w:szCs w:val="21"/>
              </w:rPr>
              <w:t>～</w:t>
            </w:r>
            <w:r>
              <w:rPr>
                <w:szCs w:val="21"/>
              </w:rPr>
              <w:t>130</w:t>
            </w:r>
          </w:p>
        </w:tc>
        <w:tc>
          <w:tcPr>
            <w:tcW w:w="3914" w:type="dxa"/>
          </w:tcPr>
          <w:p w:rsidR="00DE6A73" w:rsidRDefault="003D7C9F">
            <w:pPr>
              <w:jc w:val="left"/>
              <w:rPr>
                <w:szCs w:val="21"/>
              </w:rPr>
            </w:pPr>
            <w:r>
              <w:rPr>
                <w:szCs w:val="21"/>
              </w:rPr>
              <w:t>1/2T , 1/4T</w:t>
            </w:r>
            <w:r>
              <w:rPr>
                <w:szCs w:val="21"/>
              </w:rPr>
              <w:t>，</w:t>
            </w:r>
            <w:r>
              <w:rPr>
                <w:szCs w:val="21"/>
              </w:rPr>
              <w:t>6</w:t>
            </w:r>
          </w:p>
        </w:tc>
      </w:tr>
      <w:tr w:rsidR="00DE6A73">
        <w:trPr>
          <w:cantSplit/>
          <w:jc w:val="center"/>
        </w:trPr>
        <w:tc>
          <w:tcPr>
            <w:tcW w:w="1908" w:type="dxa"/>
            <w:vMerge/>
            <w:vAlign w:val="center"/>
          </w:tcPr>
          <w:p w:rsidR="00DE6A73" w:rsidRDefault="00DE6A73">
            <w:pPr>
              <w:jc w:val="center"/>
              <w:rPr>
                <w:szCs w:val="21"/>
              </w:rPr>
            </w:pPr>
          </w:p>
        </w:tc>
        <w:tc>
          <w:tcPr>
            <w:tcW w:w="2700" w:type="dxa"/>
          </w:tcPr>
          <w:p w:rsidR="00DE6A73" w:rsidRDefault="003D7C9F">
            <w:pPr>
              <w:jc w:val="left"/>
              <w:rPr>
                <w:szCs w:val="21"/>
              </w:rPr>
            </w:pPr>
            <w:r>
              <w:rPr>
                <w:szCs w:val="21"/>
              </w:rPr>
              <w:t>&gt;130</w:t>
            </w:r>
          </w:p>
        </w:tc>
        <w:tc>
          <w:tcPr>
            <w:tcW w:w="3914" w:type="dxa"/>
          </w:tcPr>
          <w:p w:rsidR="00DE6A73" w:rsidRDefault="003D7C9F">
            <w:pPr>
              <w:jc w:val="left"/>
              <w:rPr>
                <w:szCs w:val="21"/>
              </w:rPr>
            </w:pPr>
            <w:r>
              <w:rPr>
                <w:szCs w:val="21"/>
              </w:rPr>
              <w:t>1/2T , 1/4T , 1/8T</w:t>
            </w:r>
            <w:r>
              <w:rPr>
                <w:szCs w:val="21"/>
              </w:rPr>
              <w:t>，</w:t>
            </w:r>
            <w:r>
              <w:rPr>
                <w:szCs w:val="21"/>
              </w:rPr>
              <w:t>10</w:t>
            </w:r>
          </w:p>
        </w:tc>
      </w:tr>
      <w:tr w:rsidR="00DE6A73">
        <w:trPr>
          <w:cantSplit/>
          <w:jc w:val="center"/>
        </w:trPr>
        <w:tc>
          <w:tcPr>
            <w:tcW w:w="1908" w:type="dxa"/>
            <w:vMerge w:val="restart"/>
            <w:vAlign w:val="center"/>
          </w:tcPr>
          <w:p w:rsidR="00DE6A73" w:rsidRDefault="003D7C9F">
            <w:pPr>
              <w:jc w:val="center"/>
              <w:rPr>
                <w:szCs w:val="21"/>
              </w:rPr>
            </w:pPr>
            <w:r>
              <w:rPr>
                <w:szCs w:val="21"/>
              </w:rPr>
              <w:t>平面产品厚度</w:t>
            </w:r>
          </w:p>
        </w:tc>
        <w:tc>
          <w:tcPr>
            <w:tcW w:w="2700" w:type="dxa"/>
          </w:tcPr>
          <w:p w:rsidR="00DE6A73" w:rsidRDefault="003D7C9F">
            <w:pPr>
              <w:jc w:val="left"/>
              <w:rPr>
                <w:szCs w:val="21"/>
              </w:rPr>
            </w:pPr>
            <w:r>
              <w:rPr>
                <w:szCs w:val="21"/>
              </w:rPr>
              <w:t>&gt;6</w:t>
            </w:r>
            <w:r>
              <w:rPr>
                <w:szCs w:val="21"/>
              </w:rPr>
              <w:t>～</w:t>
            </w:r>
            <w:r>
              <w:rPr>
                <w:szCs w:val="21"/>
              </w:rPr>
              <w:t>50</w:t>
            </w:r>
          </w:p>
        </w:tc>
        <w:tc>
          <w:tcPr>
            <w:tcW w:w="3914" w:type="dxa"/>
          </w:tcPr>
          <w:p w:rsidR="00DE6A73" w:rsidRDefault="003D7C9F">
            <w:pPr>
              <w:jc w:val="left"/>
              <w:rPr>
                <w:szCs w:val="21"/>
              </w:rPr>
            </w:pPr>
            <w:r>
              <w:rPr>
                <w:szCs w:val="21"/>
              </w:rPr>
              <w:t>T</w:t>
            </w:r>
            <w:r>
              <w:rPr>
                <w:szCs w:val="21"/>
              </w:rPr>
              <w:t>－</w:t>
            </w:r>
            <w:r>
              <w:rPr>
                <w:szCs w:val="21"/>
              </w:rPr>
              <w:t>3 , 1/2T ,3</w:t>
            </w:r>
          </w:p>
        </w:tc>
      </w:tr>
      <w:tr w:rsidR="00DE6A73">
        <w:trPr>
          <w:cantSplit/>
          <w:jc w:val="center"/>
        </w:trPr>
        <w:tc>
          <w:tcPr>
            <w:tcW w:w="1908" w:type="dxa"/>
            <w:vMerge/>
          </w:tcPr>
          <w:p w:rsidR="00DE6A73" w:rsidRDefault="00DE6A73">
            <w:pPr>
              <w:jc w:val="center"/>
              <w:rPr>
                <w:szCs w:val="21"/>
              </w:rPr>
            </w:pPr>
          </w:p>
        </w:tc>
        <w:tc>
          <w:tcPr>
            <w:tcW w:w="2700" w:type="dxa"/>
          </w:tcPr>
          <w:p w:rsidR="00DE6A73" w:rsidRDefault="003D7C9F">
            <w:pPr>
              <w:jc w:val="left"/>
              <w:rPr>
                <w:szCs w:val="21"/>
              </w:rPr>
            </w:pPr>
            <w:r>
              <w:rPr>
                <w:szCs w:val="21"/>
              </w:rPr>
              <w:t>&gt;50</w:t>
            </w:r>
            <w:r>
              <w:rPr>
                <w:szCs w:val="21"/>
              </w:rPr>
              <w:t>～</w:t>
            </w:r>
            <w:r>
              <w:rPr>
                <w:szCs w:val="21"/>
              </w:rPr>
              <w:t>130</w:t>
            </w:r>
          </w:p>
        </w:tc>
        <w:tc>
          <w:tcPr>
            <w:tcW w:w="3914" w:type="dxa"/>
          </w:tcPr>
          <w:p w:rsidR="00DE6A73" w:rsidRDefault="003D7C9F">
            <w:pPr>
              <w:jc w:val="left"/>
              <w:rPr>
                <w:szCs w:val="21"/>
              </w:rPr>
            </w:pPr>
            <w:r>
              <w:rPr>
                <w:szCs w:val="21"/>
              </w:rPr>
              <w:t>T</w:t>
            </w:r>
            <w:r>
              <w:rPr>
                <w:szCs w:val="21"/>
              </w:rPr>
              <w:t>－</w:t>
            </w:r>
            <w:r>
              <w:rPr>
                <w:szCs w:val="21"/>
              </w:rPr>
              <w:t>10 , 1/2T , 1/4T</w:t>
            </w:r>
            <w:r>
              <w:rPr>
                <w:szCs w:val="21"/>
              </w:rPr>
              <w:t>，</w:t>
            </w:r>
            <w:r>
              <w:rPr>
                <w:szCs w:val="21"/>
              </w:rPr>
              <w:t>6</w:t>
            </w:r>
          </w:p>
        </w:tc>
      </w:tr>
      <w:tr w:rsidR="00DE6A73">
        <w:trPr>
          <w:cantSplit/>
          <w:jc w:val="center"/>
        </w:trPr>
        <w:tc>
          <w:tcPr>
            <w:tcW w:w="1908" w:type="dxa"/>
            <w:vMerge/>
          </w:tcPr>
          <w:p w:rsidR="00DE6A73" w:rsidRDefault="00DE6A73">
            <w:pPr>
              <w:jc w:val="center"/>
              <w:rPr>
                <w:szCs w:val="21"/>
              </w:rPr>
            </w:pPr>
          </w:p>
        </w:tc>
        <w:tc>
          <w:tcPr>
            <w:tcW w:w="2700" w:type="dxa"/>
          </w:tcPr>
          <w:p w:rsidR="00DE6A73" w:rsidRDefault="003D7C9F">
            <w:pPr>
              <w:jc w:val="left"/>
              <w:rPr>
                <w:szCs w:val="21"/>
              </w:rPr>
            </w:pPr>
            <w:r>
              <w:rPr>
                <w:szCs w:val="21"/>
              </w:rPr>
              <w:t>&gt;130</w:t>
            </w:r>
            <w:r>
              <w:rPr>
                <w:szCs w:val="21"/>
              </w:rPr>
              <w:t>～</w:t>
            </w:r>
            <w:r>
              <w:rPr>
                <w:szCs w:val="21"/>
              </w:rPr>
              <w:t>200</w:t>
            </w:r>
          </w:p>
        </w:tc>
        <w:tc>
          <w:tcPr>
            <w:tcW w:w="3914" w:type="dxa"/>
          </w:tcPr>
          <w:p w:rsidR="00DE6A73" w:rsidRDefault="003D7C9F">
            <w:pPr>
              <w:jc w:val="left"/>
              <w:rPr>
                <w:szCs w:val="21"/>
              </w:rPr>
            </w:pPr>
            <w:r>
              <w:rPr>
                <w:szCs w:val="21"/>
              </w:rPr>
              <w:t>1/2T , 1/4T , 1/8T</w:t>
            </w:r>
            <w:r>
              <w:rPr>
                <w:szCs w:val="21"/>
              </w:rPr>
              <w:t>，</w:t>
            </w:r>
            <w:r>
              <w:rPr>
                <w:szCs w:val="21"/>
              </w:rPr>
              <w:t>10</w:t>
            </w:r>
          </w:p>
        </w:tc>
      </w:tr>
      <w:tr w:rsidR="00DE6A73">
        <w:trPr>
          <w:cantSplit/>
          <w:jc w:val="center"/>
        </w:trPr>
        <w:tc>
          <w:tcPr>
            <w:tcW w:w="1908" w:type="dxa"/>
            <w:vMerge/>
          </w:tcPr>
          <w:p w:rsidR="00DE6A73" w:rsidRDefault="00DE6A73">
            <w:pPr>
              <w:jc w:val="center"/>
              <w:rPr>
                <w:szCs w:val="21"/>
              </w:rPr>
            </w:pPr>
          </w:p>
        </w:tc>
        <w:tc>
          <w:tcPr>
            <w:tcW w:w="2700" w:type="dxa"/>
          </w:tcPr>
          <w:p w:rsidR="00DE6A73" w:rsidRDefault="003D7C9F">
            <w:pPr>
              <w:jc w:val="left"/>
              <w:rPr>
                <w:szCs w:val="21"/>
              </w:rPr>
            </w:pPr>
            <w:r>
              <w:rPr>
                <w:szCs w:val="21"/>
              </w:rPr>
              <w:t>&gt;200</w:t>
            </w:r>
          </w:p>
        </w:tc>
        <w:tc>
          <w:tcPr>
            <w:tcW w:w="3914" w:type="dxa"/>
          </w:tcPr>
          <w:p w:rsidR="00DE6A73" w:rsidRDefault="003D7C9F">
            <w:pPr>
              <w:jc w:val="left"/>
              <w:rPr>
                <w:szCs w:val="21"/>
              </w:rPr>
            </w:pPr>
            <w:r>
              <w:rPr>
                <w:szCs w:val="21"/>
              </w:rPr>
              <w:t>1/2T , 1/4T , 1/8T</w:t>
            </w:r>
            <w:r>
              <w:rPr>
                <w:szCs w:val="21"/>
              </w:rPr>
              <w:t>，</w:t>
            </w:r>
            <w:r>
              <w:rPr>
                <w:szCs w:val="21"/>
              </w:rPr>
              <w:t>10</w:t>
            </w:r>
          </w:p>
        </w:tc>
      </w:tr>
    </w:tbl>
    <w:p w:rsidR="00DE6A73" w:rsidRDefault="003D7C9F">
      <w:pPr>
        <w:spacing w:line="440" w:lineRule="exact"/>
        <w:ind w:firstLineChars="200" w:firstLine="480"/>
        <w:rPr>
          <w:sz w:val="24"/>
        </w:rPr>
      </w:pPr>
      <w:r>
        <w:rPr>
          <w:rFonts w:hint="eastAsia"/>
          <w:sz w:val="24"/>
        </w:rPr>
        <w:t>修订为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700"/>
        <w:gridCol w:w="3914"/>
      </w:tblGrid>
      <w:tr w:rsidR="00DE6A73">
        <w:trPr>
          <w:cantSplit/>
          <w:jc w:val="center"/>
        </w:trPr>
        <w:tc>
          <w:tcPr>
            <w:tcW w:w="4608" w:type="dxa"/>
            <w:gridSpan w:val="2"/>
            <w:tcBorders>
              <w:top w:val="single" w:sz="12" w:space="0" w:color="auto"/>
              <w:left w:val="single" w:sz="12" w:space="0" w:color="auto"/>
              <w:bottom w:val="single" w:sz="12" w:space="0" w:color="auto"/>
            </w:tcBorders>
          </w:tcPr>
          <w:p w:rsidR="00DE6A73" w:rsidRDefault="003D7C9F">
            <w:pPr>
              <w:jc w:val="center"/>
              <w:rPr>
                <w:rFonts w:ascii="宋体" w:hAnsi="宋体" w:cs="宋体"/>
                <w:szCs w:val="21"/>
              </w:rPr>
            </w:pPr>
            <w:r>
              <w:rPr>
                <w:rFonts w:ascii="宋体" w:hAnsi="宋体" w:cs="宋体" w:hint="eastAsia"/>
                <w:szCs w:val="21"/>
              </w:rPr>
              <w:lastRenderedPageBreak/>
              <w:t>被检验产品</w:t>
            </w:r>
          </w:p>
        </w:tc>
        <w:tc>
          <w:tcPr>
            <w:tcW w:w="3914" w:type="dxa"/>
            <w:tcBorders>
              <w:top w:val="single" w:sz="12" w:space="0" w:color="auto"/>
              <w:bottom w:val="single" w:sz="12" w:space="0" w:color="auto"/>
              <w:right w:val="single" w:sz="12" w:space="0" w:color="auto"/>
            </w:tcBorders>
          </w:tcPr>
          <w:p w:rsidR="00DE6A73" w:rsidRDefault="003D7C9F">
            <w:pPr>
              <w:rPr>
                <w:rFonts w:ascii="宋体" w:hAnsi="宋体" w:cs="宋体"/>
                <w:szCs w:val="21"/>
              </w:rPr>
            </w:pPr>
            <w:r>
              <w:rPr>
                <w:rFonts w:ascii="宋体" w:hAnsi="宋体" w:cs="宋体" w:hint="eastAsia"/>
                <w:szCs w:val="21"/>
              </w:rPr>
              <w:t>平底孔埋藏深度</w:t>
            </w:r>
          </w:p>
        </w:tc>
      </w:tr>
      <w:tr w:rsidR="00DE6A73">
        <w:trPr>
          <w:cantSplit/>
          <w:jc w:val="center"/>
        </w:trPr>
        <w:tc>
          <w:tcPr>
            <w:tcW w:w="1908" w:type="dxa"/>
            <w:vMerge w:val="restart"/>
            <w:tcBorders>
              <w:top w:val="single" w:sz="12" w:space="0" w:color="auto"/>
              <w:left w:val="single" w:sz="12" w:space="0" w:color="auto"/>
            </w:tcBorders>
            <w:vAlign w:val="center"/>
          </w:tcPr>
          <w:p w:rsidR="00DE6A73" w:rsidRDefault="003D7C9F">
            <w:pPr>
              <w:jc w:val="center"/>
              <w:rPr>
                <w:rFonts w:ascii="宋体" w:hAnsi="宋体" w:cs="宋体"/>
                <w:szCs w:val="21"/>
              </w:rPr>
            </w:pPr>
            <w:r>
              <w:rPr>
                <w:rFonts w:ascii="宋体" w:hAnsi="宋体" w:cs="宋体" w:hint="eastAsia"/>
                <w:szCs w:val="21"/>
              </w:rPr>
              <w:t>圆形产品直径</w:t>
            </w:r>
          </w:p>
        </w:tc>
        <w:tc>
          <w:tcPr>
            <w:tcW w:w="2700" w:type="dxa"/>
            <w:tcBorders>
              <w:top w:val="single" w:sz="12" w:space="0" w:color="auto"/>
            </w:tcBorders>
          </w:tcPr>
          <w:p w:rsidR="00DE6A73" w:rsidRDefault="003D7C9F">
            <w:pPr>
              <w:rPr>
                <w:rFonts w:ascii="宋体" w:hAnsi="宋体" w:cs="宋体"/>
                <w:szCs w:val="21"/>
              </w:rPr>
            </w:pPr>
            <w:r>
              <w:rPr>
                <w:rFonts w:ascii="宋体" w:hAnsi="宋体" w:cs="宋体" w:hint="eastAsia"/>
                <w:color w:val="0000FF"/>
                <w:szCs w:val="21"/>
              </w:rPr>
              <w:t>6～13</w:t>
            </w:r>
          </w:p>
        </w:tc>
        <w:tc>
          <w:tcPr>
            <w:tcW w:w="3914" w:type="dxa"/>
            <w:tcBorders>
              <w:top w:val="single" w:sz="12" w:space="0" w:color="auto"/>
              <w:right w:val="single" w:sz="12" w:space="0" w:color="auto"/>
            </w:tcBorders>
          </w:tcPr>
          <w:p w:rsidR="00DE6A73" w:rsidRDefault="003D7C9F">
            <w:pPr>
              <w:rPr>
                <w:rFonts w:ascii="宋体" w:hAnsi="宋体" w:cs="宋体"/>
                <w:szCs w:val="21"/>
              </w:rPr>
            </w:pPr>
            <w:r>
              <w:rPr>
                <w:rFonts w:ascii="宋体" w:hAnsi="宋体" w:cs="宋体" w:hint="eastAsia"/>
                <w:szCs w:val="21"/>
              </w:rPr>
              <w:t>1/2T, T</w:t>
            </w:r>
            <w:r>
              <w:rPr>
                <w:rFonts w:ascii="宋体" w:hAnsi="宋体" w:cs="宋体" w:hint="eastAsia"/>
                <w:color w:val="0000FF"/>
                <w:szCs w:val="21"/>
              </w:rPr>
              <w:t>-3</w:t>
            </w:r>
          </w:p>
        </w:tc>
      </w:tr>
      <w:tr w:rsidR="00DE6A73">
        <w:trPr>
          <w:cantSplit/>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Borders>
              <w:top w:val="single" w:sz="12" w:space="0" w:color="auto"/>
            </w:tcBorders>
          </w:tcPr>
          <w:p w:rsidR="00DE6A73" w:rsidRDefault="003D7C9F">
            <w:pPr>
              <w:rPr>
                <w:rFonts w:ascii="宋体" w:hAnsi="宋体" w:cs="宋体"/>
                <w:szCs w:val="21"/>
              </w:rPr>
            </w:pPr>
            <w:r>
              <w:rPr>
                <w:rFonts w:ascii="宋体" w:hAnsi="宋体" w:cs="宋体" w:hint="eastAsia"/>
                <w:szCs w:val="21"/>
              </w:rPr>
              <w:t>&gt;13</w:t>
            </w:r>
            <w:r>
              <w:rPr>
                <w:rFonts w:ascii="宋体" w:hAnsi="宋体" w:cs="宋体" w:hint="eastAsia"/>
                <w:color w:val="0000FF"/>
                <w:szCs w:val="21"/>
              </w:rPr>
              <w:t>～50</w:t>
            </w:r>
          </w:p>
        </w:tc>
        <w:tc>
          <w:tcPr>
            <w:tcW w:w="3914" w:type="dxa"/>
            <w:tcBorders>
              <w:top w:val="single" w:sz="12" w:space="0" w:color="auto"/>
              <w:right w:val="single" w:sz="12" w:space="0" w:color="auto"/>
            </w:tcBorders>
          </w:tcPr>
          <w:p w:rsidR="00DE6A73" w:rsidRDefault="003D7C9F">
            <w:pPr>
              <w:rPr>
                <w:rFonts w:ascii="宋体" w:hAnsi="宋体" w:cs="宋体"/>
                <w:szCs w:val="21"/>
              </w:rPr>
            </w:pPr>
            <w:r>
              <w:rPr>
                <w:rFonts w:ascii="宋体" w:hAnsi="宋体" w:cs="宋体" w:hint="eastAsia"/>
                <w:szCs w:val="21"/>
              </w:rPr>
              <w:t>1/2</w:t>
            </w:r>
            <w:proofErr w:type="gramStart"/>
            <w:r>
              <w:rPr>
                <w:rFonts w:ascii="宋体" w:hAnsi="宋体" w:cs="宋体" w:hint="eastAsia"/>
                <w:szCs w:val="21"/>
              </w:rPr>
              <w:t>T ,</w:t>
            </w:r>
            <w:proofErr w:type="gramEnd"/>
            <w:r>
              <w:rPr>
                <w:rFonts w:ascii="宋体" w:hAnsi="宋体" w:cs="宋体" w:hint="eastAsia"/>
                <w:color w:val="0000FF"/>
                <w:szCs w:val="21"/>
              </w:rPr>
              <w:t xml:space="preserve"> 6</w:t>
            </w:r>
          </w:p>
        </w:tc>
      </w:tr>
      <w:tr w:rsidR="00DE6A73">
        <w:trPr>
          <w:cantSplit/>
          <w:trHeight w:val="272"/>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Pr>
          <w:p w:rsidR="00DE6A73" w:rsidRDefault="003D7C9F">
            <w:pPr>
              <w:rPr>
                <w:rFonts w:ascii="宋体" w:hAnsi="宋体" w:cs="宋体"/>
                <w:szCs w:val="21"/>
              </w:rPr>
            </w:pPr>
            <w:r>
              <w:rPr>
                <w:rFonts w:ascii="宋体" w:hAnsi="宋体" w:cs="宋体" w:hint="eastAsia"/>
                <w:szCs w:val="21"/>
              </w:rPr>
              <w:t>&gt;50～130</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szCs w:val="21"/>
              </w:rPr>
              <w:t>1/2T , 1/4T，6</w:t>
            </w:r>
          </w:p>
        </w:tc>
      </w:tr>
      <w:tr w:rsidR="00DE6A73">
        <w:trPr>
          <w:cantSplit/>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Pr>
          <w:p w:rsidR="00DE6A73" w:rsidRDefault="003D7C9F">
            <w:pPr>
              <w:rPr>
                <w:rFonts w:ascii="宋体" w:hAnsi="宋体" w:cs="宋体"/>
                <w:szCs w:val="21"/>
              </w:rPr>
            </w:pPr>
            <w:r>
              <w:rPr>
                <w:rFonts w:ascii="宋体" w:hAnsi="宋体" w:cs="宋体" w:hint="eastAsia"/>
                <w:szCs w:val="21"/>
              </w:rPr>
              <w:t>&gt;130</w:t>
            </w:r>
            <w:r>
              <w:rPr>
                <w:rFonts w:ascii="宋体" w:hAnsi="宋体" w:cs="宋体" w:hint="eastAsia"/>
                <w:color w:val="0000FF"/>
                <w:szCs w:val="21"/>
              </w:rPr>
              <w:t>～500</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szCs w:val="21"/>
              </w:rPr>
              <w:t>1/2T , 1/4T , 1/8T，10</w:t>
            </w:r>
          </w:p>
        </w:tc>
      </w:tr>
      <w:tr w:rsidR="00DE6A73">
        <w:trPr>
          <w:cantSplit/>
          <w:jc w:val="center"/>
        </w:trPr>
        <w:tc>
          <w:tcPr>
            <w:tcW w:w="1908" w:type="dxa"/>
            <w:vMerge w:val="restart"/>
            <w:tcBorders>
              <w:left w:val="single" w:sz="12" w:space="0" w:color="auto"/>
            </w:tcBorders>
            <w:vAlign w:val="center"/>
          </w:tcPr>
          <w:p w:rsidR="00DE6A73" w:rsidRDefault="003D7C9F">
            <w:pPr>
              <w:jc w:val="center"/>
              <w:rPr>
                <w:rFonts w:ascii="宋体" w:hAnsi="宋体" w:cs="宋体"/>
                <w:szCs w:val="21"/>
              </w:rPr>
            </w:pPr>
            <w:r>
              <w:rPr>
                <w:rFonts w:ascii="宋体" w:hAnsi="宋体" w:cs="宋体" w:hint="eastAsia"/>
                <w:color w:val="0000FF"/>
                <w:szCs w:val="21"/>
              </w:rPr>
              <w:t>平面产品厚度</w:t>
            </w:r>
          </w:p>
        </w:tc>
        <w:tc>
          <w:tcPr>
            <w:tcW w:w="2700" w:type="dxa"/>
          </w:tcPr>
          <w:p w:rsidR="00DE6A73" w:rsidRDefault="003D7C9F">
            <w:pPr>
              <w:rPr>
                <w:rFonts w:ascii="宋体" w:hAnsi="宋体" w:cs="宋体"/>
                <w:szCs w:val="21"/>
              </w:rPr>
            </w:pPr>
            <w:r>
              <w:rPr>
                <w:rFonts w:ascii="宋体" w:hAnsi="宋体" w:cs="宋体" w:hint="eastAsia"/>
                <w:szCs w:val="21"/>
              </w:rPr>
              <w:t>6～13</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szCs w:val="21"/>
              </w:rPr>
              <w:t xml:space="preserve">1/2T </w:t>
            </w:r>
          </w:p>
        </w:tc>
      </w:tr>
      <w:tr w:rsidR="00DE6A73">
        <w:trPr>
          <w:cantSplit/>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Pr>
          <w:p w:rsidR="00DE6A73" w:rsidRDefault="003D7C9F">
            <w:pPr>
              <w:rPr>
                <w:rFonts w:ascii="宋体" w:hAnsi="宋体" w:cs="宋体"/>
                <w:szCs w:val="21"/>
              </w:rPr>
            </w:pPr>
            <w:r>
              <w:rPr>
                <w:rFonts w:ascii="宋体" w:hAnsi="宋体" w:cs="宋体" w:hint="eastAsia"/>
                <w:szCs w:val="21"/>
              </w:rPr>
              <w:t>&gt;13～50</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color w:val="0000FF"/>
                <w:szCs w:val="21"/>
              </w:rPr>
              <w:t xml:space="preserve">T－5 </w:t>
            </w:r>
            <w:r>
              <w:rPr>
                <w:rFonts w:ascii="宋体" w:hAnsi="宋体" w:cs="宋体" w:hint="eastAsia"/>
                <w:szCs w:val="21"/>
              </w:rPr>
              <w:t>, 1/2T ,6</w:t>
            </w:r>
          </w:p>
        </w:tc>
      </w:tr>
      <w:tr w:rsidR="00DE6A73">
        <w:trPr>
          <w:cantSplit/>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Pr>
          <w:p w:rsidR="00DE6A73" w:rsidRDefault="003D7C9F">
            <w:pPr>
              <w:rPr>
                <w:rFonts w:ascii="宋体" w:hAnsi="宋体" w:cs="宋体"/>
                <w:szCs w:val="21"/>
              </w:rPr>
            </w:pPr>
            <w:r>
              <w:rPr>
                <w:rFonts w:ascii="宋体" w:hAnsi="宋体" w:cs="宋体" w:hint="eastAsia"/>
                <w:szCs w:val="21"/>
              </w:rPr>
              <w:t>&gt;50～130</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szCs w:val="21"/>
              </w:rPr>
              <w:t>T－10 , 1/2T , 6</w:t>
            </w:r>
          </w:p>
        </w:tc>
      </w:tr>
      <w:tr w:rsidR="00DE6A73">
        <w:trPr>
          <w:cantSplit/>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Pr>
          <w:p w:rsidR="00DE6A73" w:rsidRDefault="003D7C9F">
            <w:pPr>
              <w:rPr>
                <w:rFonts w:ascii="宋体" w:hAnsi="宋体" w:cs="宋体"/>
                <w:szCs w:val="21"/>
              </w:rPr>
            </w:pPr>
            <w:r>
              <w:rPr>
                <w:rFonts w:ascii="宋体" w:hAnsi="宋体" w:cs="宋体" w:hint="eastAsia"/>
                <w:szCs w:val="21"/>
              </w:rPr>
              <w:t>&gt;130～250</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szCs w:val="21"/>
              </w:rPr>
              <w:t>1/2T , 1/4T , 1/8T，10</w:t>
            </w:r>
          </w:p>
        </w:tc>
      </w:tr>
      <w:tr w:rsidR="00DE6A73">
        <w:trPr>
          <w:cantSplit/>
          <w:jc w:val="center"/>
        </w:trPr>
        <w:tc>
          <w:tcPr>
            <w:tcW w:w="1908" w:type="dxa"/>
            <w:vMerge/>
            <w:tcBorders>
              <w:left w:val="single" w:sz="12" w:space="0" w:color="auto"/>
            </w:tcBorders>
          </w:tcPr>
          <w:p w:rsidR="00DE6A73" w:rsidRDefault="00DE6A73">
            <w:pPr>
              <w:rPr>
                <w:rFonts w:ascii="宋体" w:hAnsi="宋体" w:cs="宋体"/>
                <w:szCs w:val="21"/>
              </w:rPr>
            </w:pPr>
          </w:p>
        </w:tc>
        <w:tc>
          <w:tcPr>
            <w:tcW w:w="2700" w:type="dxa"/>
          </w:tcPr>
          <w:p w:rsidR="00DE6A73" w:rsidRDefault="003D7C9F">
            <w:pPr>
              <w:rPr>
                <w:rFonts w:ascii="宋体" w:hAnsi="宋体" w:cs="宋体"/>
                <w:szCs w:val="21"/>
              </w:rPr>
            </w:pPr>
            <w:r>
              <w:rPr>
                <w:rFonts w:ascii="宋体" w:hAnsi="宋体" w:cs="宋体" w:hint="eastAsia"/>
                <w:szCs w:val="21"/>
              </w:rPr>
              <w:t>&gt;250</w:t>
            </w:r>
            <w:r>
              <w:rPr>
                <w:rFonts w:ascii="宋体" w:hAnsi="宋体" w:cs="宋体" w:hint="eastAsia"/>
                <w:color w:val="0000FF"/>
                <w:szCs w:val="21"/>
              </w:rPr>
              <w:t>～500</w:t>
            </w:r>
          </w:p>
        </w:tc>
        <w:tc>
          <w:tcPr>
            <w:tcW w:w="3914" w:type="dxa"/>
            <w:tcBorders>
              <w:right w:val="single" w:sz="12" w:space="0" w:color="auto"/>
            </w:tcBorders>
          </w:tcPr>
          <w:p w:rsidR="00DE6A73" w:rsidRDefault="003D7C9F">
            <w:pPr>
              <w:rPr>
                <w:rFonts w:ascii="宋体" w:hAnsi="宋体" w:cs="宋体"/>
                <w:szCs w:val="21"/>
              </w:rPr>
            </w:pPr>
            <w:r>
              <w:rPr>
                <w:rFonts w:ascii="宋体" w:hAnsi="宋体" w:cs="宋体" w:hint="eastAsia"/>
                <w:szCs w:val="21"/>
              </w:rPr>
              <w:t>1/2T , 1/4T , 1/8T，</w:t>
            </w:r>
            <w:r>
              <w:rPr>
                <w:rFonts w:ascii="宋体" w:hAnsi="宋体" w:cs="宋体" w:hint="eastAsia"/>
                <w:color w:val="0000FF"/>
                <w:szCs w:val="21"/>
              </w:rPr>
              <w:t>T－10</w:t>
            </w:r>
          </w:p>
        </w:tc>
      </w:tr>
      <w:tr w:rsidR="00DE6A73">
        <w:trPr>
          <w:cantSplit/>
          <w:jc w:val="center"/>
        </w:trPr>
        <w:tc>
          <w:tcPr>
            <w:tcW w:w="8522" w:type="dxa"/>
            <w:gridSpan w:val="3"/>
            <w:tcBorders>
              <w:left w:val="single" w:sz="12" w:space="0" w:color="auto"/>
              <w:bottom w:val="single" w:sz="12" w:space="0" w:color="auto"/>
              <w:right w:val="single" w:sz="12" w:space="0" w:color="auto"/>
            </w:tcBorders>
          </w:tcPr>
          <w:p w:rsidR="00DE6A73" w:rsidRDefault="003D7C9F">
            <w:pPr>
              <w:rPr>
                <w:rFonts w:ascii="宋体" w:hAnsi="宋体" w:cs="宋体"/>
                <w:szCs w:val="21"/>
              </w:rPr>
            </w:pPr>
            <w:r>
              <w:rPr>
                <w:rFonts w:ascii="宋体" w:hAnsi="宋体" w:cs="宋体" w:hint="eastAsia"/>
                <w:color w:val="0000FF"/>
                <w:szCs w:val="21"/>
              </w:rPr>
              <w:t>备注：对于大于250mm的产品进行</w:t>
            </w:r>
            <w:proofErr w:type="gramStart"/>
            <w:r>
              <w:rPr>
                <w:rFonts w:ascii="宋体" w:hAnsi="宋体" w:cs="宋体" w:hint="eastAsia"/>
                <w:color w:val="0000FF"/>
                <w:szCs w:val="21"/>
              </w:rPr>
              <w:t>分区水</w:t>
            </w:r>
            <w:proofErr w:type="gramEnd"/>
            <w:r>
              <w:rPr>
                <w:rFonts w:ascii="宋体" w:hAnsi="宋体" w:cs="宋体" w:hint="eastAsia"/>
                <w:color w:val="0000FF"/>
                <w:szCs w:val="21"/>
              </w:rPr>
              <w:t>浸探伤时，纵波校准反射体可依据分区数进行确定。</w:t>
            </w:r>
          </w:p>
        </w:tc>
      </w:tr>
    </w:tbl>
    <w:p w:rsidR="00DE6A73" w:rsidRDefault="003D7C9F">
      <w:pPr>
        <w:spacing w:line="440" w:lineRule="exact"/>
        <w:rPr>
          <w:rFonts w:ascii="宋体" w:hAnsi="宋体"/>
          <w:sz w:val="24"/>
        </w:rPr>
      </w:pPr>
      <w:r>
        <w:rPr>
          <w:rFonts w:hint="eastAsia"/>
          <w:sz w:val="24"/>
        </w:rPr>
        <w:t xml:space="preserve">    </w:t>
      </w:r>
      <w:r>
        <w:rPr>
          <w:rFonts w:hint="eastAsia"/>
          <w:sz w:val="24"/>
        </w:rPr>
        <w:t>考虑检测时产品覆盖范围及盲区要求，对平底孔埋藏深度作了适当的修改</w:t>
      </w:r>
      <w:r>
        <w:rPr>
          <w:rFonts w:ascii="宋体" w:hAnsi="宋体" w:hint="eastAsia"/>
          <w:sz w:val="24"/>
        </w:rPr>
        <w:t>。</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 xml:space="preserve">探伤 </w:t>
      </w:r>
    </w:p>
    <w:p w:rsidR="00DE6A73" w:rsidRDefault="003D7C9F">
      <w:pPr>
        <w:spacing w:line="440" w:lineRule="exact"/>
        <w:ind w:firstLineChars="200" w:firstLine="480"/>
        <w:rPr>
          <w:rFonts w:ascii="宋体" w:hAnsi="宋体"/>
          <w:sz w:val="24"/>
        </w:rPr>
      </w:pPr>
      <w:r>
        <w:rPr>
          <w:rFonts w:hint="eastAsia"/>
          <w:sz w:val="24"/>
        </w:rPr>
        <w:t>将</w:t>
      </w:r>
      <w:r>
        <w:rPr>
          <w:rFonts w:ascii="宋体" w:hAnsi="宋体" w:hint="eastAsia"/>
          <w:sz w:val="24"/>
        </w:rPr>
        <w:t>原标准“使试块中人工缺陷的反射信号幅度在满屏高度的20％～90％范围内” 修改为“使试块中人工缺陷的反射信号幅度在满屏高度的40％～90％范围内”。考虑到实际检测时，平底孔回波灵敏度调节幅度过低会影响缺陷的识别和判断，故将幅度范围作了调整。</w:t>
      </w:r>
    </w:p>
    <w:p w:rsidR="00DE6A73" w:rsidRDefault="003D7C9F">
      <w:pPr>
        <w:spacing w:line="440" w:lineRule="exact"/>
        <w:ind w:firstLineChars="200" w:firstLine="480"/>
        <w:rPr>
          <w:rFonts w:ascii="宋体" w:hAnsi="宋体"/>
          <w:sz w:val="24"/>
        </w:rPr>
      </w:pPr>
      <w:r>
        <w:rPr>
          <w:rFonts w:ascii="宋体" w:hAnsi="宋体" w:hint="eastAsia"/>
          <w:sz w:val="24"/>
        </w:rPr>
        <w:t xml:space="preserve">增加了“当金属声程大于等于三倍近场区距离时，可以采用大平底计算法调试检测灵敏度。大平底计算法调试灵敏度时，根据公式（1）计算增益△dB数，然后将工件完好部位的底波调试到选定的基准波高，在此基础上增益△dB。 </w:t>
      </w:r>
    </w:p>
    <w:p w:rsidR="00DE6A73" w:rsidRDefault="003D7C9F">
      <w:pPr>
        <w:wordWrap w:val="0"/>
        <w:jc w:val="right"/>
        <w:rPr>
          <w:sz w:val="24"/>
        </w:rPr>
      </w:pPr>
      <w:r>
        <w:rPr>
          <w:rFonts w:ascii="宋体" w:hAnsi="宋体" w:hint="eastAsia"/>
          <w:sz w:val="24"/>
        </w:rPr>
        <w:t xml:space="preserve">            </w:t>
      </w:r>
      <w:r>
        <w:rPr>
          <w:sz w:val="24"/>
        </w:rPr>
        <w:t>△dB =</w:t>
      </w:r>
      <w:r w:rsidR="001E3686">
        <w:rPr>
          <w:position w:val="-24"/>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1.5pt;height:27.75pt">
            <v:imagedata r:id="rId8" o:title=""/>
          </v:shape>
        </w:pict>
      </w:r>
      <w:r>
        <w:rPr>
          <w:sz w:val="24"/>
        </w:rPr>
        <w:t xml:space="preserve"> ………………………………………………</w:t>
      </w:r>
      <w:r>
        <w:rPr>
          <w:sz w:val="24"/>
        </w:rPr>
        <w:t>（</w:t>
      </w:r>
      <w:r>
        <w:rPr>
          <w:sz w:val="24"/>
        </w:rPr>
        <w:t>1</w:t>
      </w:r>
      <w:r>
        <w:rPr>
          <w:sz w:val="24"/>
        </w:rPr>
        <w:t>）</w:t>
      </w:r>
    </w:p>
    <w:p w:rsidR="00DE6A73" w:rsidRDefault="003D7C9F">
      <w:pPr>
        <w:rPr>
          <w:sz w:val="24"/>
        </w:rPr>
      </w:pPr>
      <w:r>
        <w:rPr>
          <w:sz w:val="24"/>
        </w:rPr>
        <w:t xml:space="preserve">    </w:t>
      </w:r>
      <w:r>
        <w:rPr>
          <w:rFonts w:hint="eastAsia"/>
          <w:sz w:val="24"/>
        </w:rPr>
        <w:t xml:space="preserve">      </w:t>
      </w:r>
      <w:r>
        <w:rPr>
          <w:sz w:val="24"/>
        </w:rPr>
        <w:t>式中：</w:t>
      </w:r>
      <w:r>
        <w:rPr>
          <w:sz w:val="24"/>
        </w:rPr>
        <w:t xml:space="preserve"> △dB——</w:t>
      </w:r>
      <w:r>
        <w:rPr>
          <w:sz w:val="24"/>
        </w:rPr>
        <w:t>需提高增益分贝数</w:t>
      </w:r>
    </w:p>
    <w:p w:rsidR="00DE6A73" w:rsidRDefault="003D7C9F">
      <w:pPr>
        <w:spacing w:line="440" w:lineRule="exact"/>
        <w:ind w:firstLineChars="200" w:firstLine="480"/>
        <w:rPr>
          <w:rFonts w:ascii="宋体" w:hAnsi="宋体"/>
          <w:sz w:val="24"/>
        </w:rPr>
      </w:pPr>
      <w:r>
        <w:rPr>
          <w:rFonts w:ascii="宋体" w:hAnsi="宋体" w:hint="eastAsia"/>
          <w:sz w:val="24"/>
        </w:rPr>
        <w:t xml:space="preserve">             Φ ——验收当量平底孔直径；</w:t>
      </w:r>
    </w:p>
    <w:p w:rsidR="00DE6A73" w:rsidRDefault="003D7C9F">
      <w:pPr>
        <w:spacing w:line="440" w:lineRule="exact"/>
        <w:ind w:firstLineChars="200" w:firstLine="480"/>
        <w:rPr>
          <w:rFonts w:ascii="宋体" w:hAnsi="宋体"/>
          <w:sz w:val="24"/>
        </w:rPr>
      </w:pPr>
      <w:r>
        <w:rPr>
          <w:rFonts w:ascii="宋体" w:hAnsi="宋体" w:hint="eastAsia"/>
          <w:sz w:val="24"/>
        </w:rPr>
        <w:t xml:space="preserve">             λ ——被检工件中超声波波长；</w:t>
      </w:r>
    </w:p>
    <w:p w:rsidR="00DE6A73" w:rsidRDefault="003D7C9F">
      <w:pPr>
        <w:spacing w:line="440" w:lineRule="exact"/>
        <w:ind w:firstLineChars="200" w:firstLine="480"/>
        <w:rPr>
          <w:rFonts w:ascii="宋体" w:hAnsi="宋体"/>
          <w:sz w:val="24"/>
        </w:rPr>
      </w:pPr>
      <w:r>
        <w:rPr>
          <w:rFonts w:ascii="宋体" w:hAnsi="宋体" w:hint="eastAsia"/>
          <w:sz w:val="24"/>
        </w:rPr>
        <w:t xml:space="preserve">             X——被检工件厚度。</w:t>
      </w:r>
    </w:p>
    <w:p w:rsidR="00DE6A73" w:rsidRDefault="003D7C9F">
      <w:pPr>
        <w:spacing w:line="440" w:lineRule="exact"/>
        <w:ind w:firstLineChars="200" w:firstLine="480"/>
        <w:rPr>
          <w:rFonts w:ascii="宋体" w:hAnsi="宋体"/>
          <w:sz w:val="24"/>
        </w:rPr>
      </w:pPr>
      <w:r>
        <w:rPr>
          <w:rFonts w:ascii="宋体" w:hAnsi="宋体" w:hint="eastAsia"/>
          <w:sz w:val="24"/>
        </w:rPr>
        <w:t xml:space="preserve">             单位为毫米（mm)”</w:t>
      </w:r>
    </w:p>
    <w:p w:rsidR="00DE6A73" w:rsidRDefault="003D7C9F">
      <w:pPr>
        <w:spacing w:line="440" w:lineRule="exact"/>
        <w:ind w:firstLineChars="200" w:firstLine="480"/>
        <w:rPr>
          <w:rFonts w:ascii="宋体" w:hAnsi="宋体"/>
          <w:sz w:val="24"/>
        </w:rPr>
      </w:pPr>
      <w:r>
        <w:rPr>
          <w:rFonts w:ascii="宋体" w:hAnsi="宋体" w:hint="eastAsia"/>
          <w:sz w:val="24"/>
        </w:rPr>
        <w:t>灵敏度调试一般采用试块法。考虑</w:t>
      </w:r>
      <w:proofErr w:type="gramStart"/>
      <w:r>
        <w:rPr>
          <w:rFonts w:ascii="宋体" w:hAnsi="宋体" w:hint="eastAsia"/>
          <w:sz w:val="24"/>
        </w:rPr>
        <w:t>到钛材料</w:t>
      </w:r>
      <w:proofErr w:type="gramEnd"/>
      <w:r>
        <w:rPr>
          <w:rFonts w:ascii="宋体" w:hAnsi="宋体" w:hint="eastAsia"/>
          <w:sz w:val="24"/>
        </w:rPr>
        <w:t>在制作大规格对比试样</w:t>
      </w:r>
      <w:proofErr w:type="gramStart"/>
      <w:r>
        <w:rPr>
          <w:rFonts w:ascii="宋体" w:hAnsi="宋体" w:hint="eastAsia"/>
          <w:sz w:val="24"/>
        </w:rPr>
        <w:t>时成</w:t>
      </w:r>
      <w:proofErr w:type="gramEnd"/>
      <w:r>
        <w:rPr>
          <w:rFonts w:ascii="宋体" w:hAnsi="宋体" w:hint="eastAsia"/>
          <w:sz w:val="24"/>
        </w:rPr>
        <w:t>本较高，标准中规定了当被检材料的截面厚度大于等于三倍近场区距离时允许采用大平底计算法进行灵敏度调节。在三倍近场区外，同声</w:t>
      </w:r>
      <w:proofErr w:type="gramStart"/>
      <w:r>
        <w:rPr>
          <w:rFonts w:ascii="宋体" w:hAnsi="宋体" w:hint="eastAsia"/>
          <w:sz w:val="24"/>
        </w:rPr>
        <w:t>程试块法</w:t>
      </w:r>
      <w:proofErr w:type="gramEnd"/>
      <w:r>
        <w:rPr>
          <w:rFonts w:ascii="宋体" w:hAnsi="宋体" w:hint="eastAsia"/>
          <w:sz w:val="24"/>
        </w:rPr>
        <w:t>和大平底计算法调试结果基本相同。</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t>分区</w:t>
      </w:r>
    </w:p>
    <w:p w:rsidR="00DE6A73" w:rsidRDefault="003D7C9F">
      <w:pPr>
        <w:spacing w:line="440" w:lineRule="exact"/>
        <w:ind w:firstLineChars="200" w:firstLine="480"/>
        <w:rPr>
          <w:rFonts w:ascii="宋体" w:hAnsi="宋体"/>
          <w:sz w:val="24"/>
        </w:rPr>
      </w:pPr>
      <w:r>
        <w:rPr>
          <w:rFonts w:ascii="宋体" w:hAnsi="宋体" w:hint="eastAsia"/>
          <w:sz w:val="24"/>
        </w:rPr>
        <w:t>增加了水浸法分区检测时，部分规格棒材推荐的检测区域、探头和</w:t>
      </w:r>
      <w:proofErr w:type="gramStart"/>
      <w:r>
        <w:rPr>
          <w:rFonts w:ascii="宋体" w:hAnsi="宋体" w:hint="eastAsia"/>
          <w:sz w:val="24"/>
        </w:rPr>
        <w:t>水距见</w:t>
      </w:r>
      <w:proofErr w:type="gramEnd"/>
      <w:r>
        <w:rPr>
          <w:rFonts w:ascii="宋体" w:hAnsi="宋体" w:hint="eastAsia"/>
          <w:sz w:val="24"/>
        </w:rPr>
        <w:t>附录B。分区域检测可以减少杂波对探伤的影响，同时采用分区域检测可以提高发现小缺陷的能力。本标准规定了无论采用哪种方法都可采用</w:t>
      </w:r>
      <w:proofErr w:type="gramStart"/>
      <w:r>
        <w:rPr>
          <w:rFonts w:ascii="宋体" w:hAnsi="宋体" w:hint="eastAsia"/>
          <w:sz w:val="24"/>
        </w:rPr>
        <w:t>分区扫查技术</w:t>
      </w:r>
      <w:proofErr w:type="gramEnd"/>
      <w:r>
        <w:rPr>
          <w:rFonts w:ascii="宋体" w:hAnsi="宋体" w:hint="eastAsia"/>
          <w:sz w:val="24"/>
        </w:rPr>
        <w:t>，是将目前先进的检测技术应用到了本标准中。</w:t>
      </w:r>
    </w:p>
    <w:p w:rsidR="00DE6A73" w:rsidRDefault="003D7C9F">
      <w:pPr>
        <w:numPr>
          <w:ilvl w:val="0"/>
          <w:numId w:val="5"/>
        </w:numPr>
        <w:spacing w:beforeLines="25" w:before="78" w:afterLines="25" w:after="78"/>
        <w:rPr>
          <w:rFonts w:ascii="黑体" w:eastAsia="黑体" w:hAnsi="黑体"/>
          <w:sz w:val="24"/>
        </w:rPr>
      </w:pPr>
      <w:r>
        <w:rPr>
          <w:rFonts w:ascii="黑体" w:eastAsia="黑体" w:hAnsi="黑体" w:hint="eastAsia"/>
          <w:sz w:val="24"/>
        </w:rPr>
        <w:lastRenderedPageBreak/>
        <w:t>验收</w:t>
      </w:r>
    </w:p>
    <w:p w:rsidR="00DE6A73" w:rsidRDefault="003D7C9F">
      <w:pPr>
        <w:spacing w:line="440" w:lineRule="exact"/>
        <w:rPr>
          <w:rFonts w:ascii="宋体" w:hAnsi="宋体"/>
          <w:sz w:val="24"/>
        </w:rPr>
      </w:pPr>
      <w:r>
        <w:rPr>
          <w:rFonts w:hint="eastAsia"/>
          <w:sz w:val="24"/>
        </w:rPr>
        <w:t xml:space="preserve">    </w:t>
      </w:r>
      <w:r>
        <w:rPr>
          <w:rFonts w:hint="eastAsia"/>
          <w:sz w:val="24"/>
        </w:rPr>
        <w:t>去掉了表</w:t>
      </w:r>
      <w:r>
        <w:rPr>
          <w:rFonts w:hint="eastAsia"/>
          <w:sz w:val="24"/>
        </w:rPr>
        <w:t>3</w:t>
      </w:r>
      <w:r>
        <w:rPr>
          <w:rFonts w:hint="eastAsia"/>
          <w:sz w:val="24"/>
        </w:rPr>
        <w:t>验收级别中的附注。经过多年的科研和生产实践，</w:t>
      </w:r>
      <w:proofErr w:type="gramStart"/>
      <w:r>
        <w:rPr>
          <w:rFonts w:hint="eastAsia"/>
          <w:sz w:val="24"/>
        </w:rPr>
        <w:t>钛及钛和</w:t>
      </w:r>
      <w:proofErr w:type="gramEnd"/>
      <w:r>
        <w:rPr>
          <w:rFonts w:hint="eastAsia"/>
          <w:sz w:val="24"/>
        </w:rPr>
        <w:t>合金的质量有了很大提高，较大规格钛及钛合金材料也可达到较高级别。</w:t>
      </w:r>
    </w:p>
    <w:p w:rsidR="00DE6A73" w:rsidRDefault="003D7C9F">
      <w:pPr>
        <w:numPr>
          <w:ilvl w:val="0"/>
          <w:numId w:val="6"/>
        </w:numPr>
        <w:adjustRightInd w:val="0"/>
        <w:snapToGrid w:val="0"/>
        <w:spacing w:beforeLines="50" w:before="156" w:afterLines="50" w:after="156"/>
        <w:rPr>
          <w:rFonts w:ascii="黑体" w:eastAsia="黑体"/>
          <w:sz w:val="24"/>
        </w:rPr>
      </w:pPr>
      <w:r>
        <w:rPr>
          <w:rFonts w:ascii="黑体" w:eastAsia="黑体" w:hAnsi="宋体" w:hint="eastAsia"/>
          <w:sz w:val="24"/>
        </w:rPr>
        <w:t>验证试验的情况和结果</w:t>
      </w:r>
    </w:p>
    <w:p w:rsidR="00DE6A73" w:rsidRDefault="003D7C9F">
      <w:pPr>
        <w:spacing w:line="360" w:lineRule="auto"/>
        <w:ind w:firstLineChars="200" w:firstLine="480"/>
        <w:rPr>
          <w:rFonts w:ascii="宋体" w:hAnsi="宋体"/>
          <w:sz w:val="24"/>
        </w:rPr>
      </w:pPr>
      <w:r>
        <w:rPr>
          <w:rFonts w:ascii="宋体" w:hAnsi="宋体" w:hint="eastAsia"/>
          <w:sz w:val="24"/>
        </w:rPr>
        <w:t>根据</w:t>
      </w:r>
      <w:proofErr w:type="gramStart"/>
      <w:r>
        <w:rPr>
          <w:rFonts w:ascii="宋体" w:hAnsi="宋体" w:hint="eastAsia"/>
          <w:sz w:val="24"/>
        </w:rPr>
        <w:t>宝钛集团近十年来对钛</w:t>
      </w:r>
      <w:proofErr w:type="gramEnd"/>
      <w:r>
        <w:rPr>
          <w:rFonts w:ascii="宋体" w:hAnsi="宋体" w:hint="eastAsia"/>
          <w:sz w:val="24"/>
        </w:rPr>
        <w:t>及钛合金产品现场检验情况的跟踪和用户使用要求，我们对检测指标进行了调整，相关典型检测如下图所示。其中图1-图4为直径230mm棒材水浸分区检测效果示意图；图5-图7为直径340mm棒材水浸分区检测效果C扫图；图8-图9为直径500mm棒材分区直接接触检测效果波形图。表明上述各项修订合理有效。</w:t>
      </w:r>
    </w:p>
    <w:p w:rsidR="00DE6A73" w:rsidRDefault="00716ED6">
      <w:pPr>
        <w:spacing w:line="360" w:lineRule="auto"/>
        <w:ind w:firstLineChars="200" w:firstLine="480"/>
        <w:rPr>
          <w:rFonts w:ascii="宋体" w:hAnsi="宋体"/>
          <w:sz w:val="24"/>
        </w:rPr>
      </w:pPr>
      <w:r>
        <w:rPr>
          <w:rFonts w:ascii="宋体" w:hAnsi="宋体"/>
          <w:sz w:val="24"/>
        </w:rPr>
        <w:pict>
          <v:shape id="图片 2" o:spid="_x0000_i1026" type="#_x0000_t75" style="width:204pt;height:163.5pt">
            <v:imagedata r:id="rId9" o:title="Zone1depth5"/>
          </v:shape>
        </w:pict>
      </w:r>
      <w:r w:rsidR="003D7C9F">
        <w:rPr>
          <w:rFonts w:ascii="宋体" w:hAnsi="宋体" w:hint="eastAsia"/>
          <w:sz w:val="24"/>
        </w:rPr>
        <w:t xml:space="preserve">  </w:t>
      </w:r>
      <w:r>
        <w:rPr>
          <w:rFonts w:ascii="宋体" w:hAnsi="宋体"/>
          <w:sz w:val="24"/>
        </w:rPr>
        <w:pict>
          <v:shape id="图片 3" o:spid="_x0000_i1027" type="#_x0000_t75" style="width:208.5pt;height:162.75pt">
            <v:imagedata r:id="rId10" o:title="Zone4depth81"/>
          </v:shape>
        </w:pict>
      </w:r>
    </w:p>
    <w:p w:rsidR="00DE6A73" w:rsidRDefault="003D7C9F">
      <w:pPr>
        <w:spacing w:line="360" w:lineRule="auto"/>
        <w:ind w:firstLineChars="200" w:firstLine="360"/>
        <w:rPr>
          <w:rFonts w:ascii="宋体" w:hAnsi="宋体"/>
          <w:sz w:val="18"/>
          <w:szCs w:val="18"/>
        </w:rPr>
      </w:pPr>
      <w:r>
        <w:rPr>
          <w:rFonts w:ascii="宋体" w:hAnsi="宋体" w:hint="eastAsia"/>
          <w:sz w:val="18"/>
          <w:szCs w:val="18"/>
        </w:rPr>
        <w:t>（1）直径230mm棒材埋深5mmΦ0.8mm平底孔波形图    （2）直径230mm棒材埋深81mmΦ0.8mm平底孔波形图</w:t>
      </w:r>
    </w:p>
    <w:p w:rsidR="00DE6A73" w:rsidRDefault="00716ED6">
      <w:pPr>
        <w:spacing w:line="360" w:lineRule="auto"/>
        <w:ind w:firstLineChars="200" w:firstLine="420"/>
        <w:rPr>
          <w:rFonts w:ascii="宋体" w:hAnsi="宋体"/>
          <w:szCs w:val="21"/>
        </w:rPr>
      </w:pPr>
      <w:r>
        <w:rPr>
          <w:rFonts w:ascii="宋体" w:hAnsi="宋体"/>
          <w:szCs w:val="21"/>
        </w:rPr>
        <w:pict>
          <v:shape id="图片 6" o:spid="_x0000_i1028" type="#_x0000_t75" style="width:206.25pt;height:160.5pt">
            <v:imagedata r:id="rId11" o:title="Zone6depth104"/>
          </v:shape>
        </w:pict>
      </w:r>
      <w:r w:rsidR="003D7C9F">
        <w:rPr>
          <w:rFonts w:ascii="宋体" w:hAnsi="宋体" w:hint="eastAsia"/>
          <w:szCs w:val="21"/>
        </w:rPr>
        <w:t xml:space="preserve">  </w:t>
      </w:r>
      <w:r>
        <w:rPr>
          <w:rFonts w:ascii="宋体" w:hAnsi="宋体"/>
          <w:szCs w:val="21"/>
        </w:rPr>
        <w:pict>
          <v:shape id="图片 7" o:spid="_x0000_i1029" type="#_x0000_t75" style="width:213.75pt;height:167.25pt">
            <v:imagedata r:id="rId12" o:title="Zone6depth127"/>
          </v:shape>
        </w:pict>
      </w:r>
    </w:p>
    <w:p w:rsidR="00DE6A73" w:rsidRDefault="003D7C9F">
      <w:pPr>
        <w:spacing w:line="360" w:lineRule="auto"/>
        <w:ind w:firstLineChars="200" w:firstLine="360"/>
        <w:rPr>
          <w:rFonts w:ascii="宋体" w:hAnsi="宋体"/>
          <w:szCs w:val="21"/>
        </w:rPr>
      </w:pPr>
      <w:r>
        <w:rPr>
          <w:rFonts w:ascii="宋体" w:hAnsi="宋体" w:hint="eastAsia"/>
          <w:sz w:val="18"/>
          <w:szCs w:val="18"/>
        </w:rPr>
        <w:t>（3）直径230mm棒材埋深104mmΦ0.8mm平底孔波形图 （4）直径230mm棒材埋深127mmΦ0.8mm平底孔波形图</w:t>
      </w:r>
    </w:p>
    <w:p w:rsidR="00DE6A73" w:rsidRDefault="00716ED6">
      <w:pPr>
        <w:spacing w:line="360" w:lineRule="auto"/>
        <w:ind w:firstLineChars="200" w:firstLine="480"/>
        <w:rPr>
          <w:rFonts w:ascii="宋体" w:hAnsi="宋体"/>
          <w:sz w:val="24"/>
        </w:rPr>
      </w:pPr>
      <w:r>
        <w:rPr>
          <w:rFonts w:ascii="宋体" w:hAnsi="宋体"/>
          <w:sz w:val="24"/>
        </w:rPr>
        <w:lastRenderedPageBreak/>
        <w:pict>
          <v:shape id="图片 8" o:spid="_x0000_i1030" type="#_x0000_t75" style="width:205.5pt;height:160.5pt">
            <v:imagedata r:id="rId13" o:title="5-51 780531 1"/>
          </v:shape>
        </w:pict>
      </w:r>
      <w:r w:rsidR="003D7C9F">
        <w:rPr>
          <w:rFonts w:ascii="宋体" w:hAnsi="宋体" w:hint="eastAsia"/>
          <w:sz w:val="24"/>
        </w:rPr>
        <w:t xml:space="preserve">  </w:t>
      </w:r>
      <w:r>
        <w:rPr>
          <w:rFonts w:ascii="宋体" w:hAnsi="宋体"/>
          <w:sz w:val="24"/>
        </w:rPr>
        <w:pict>
          <v:shape id="图片 9" o:spid="_x0000_i1031" type="#_x0000_t75" style="width:203.25pt;height:159pt">
            <v:imagedata r:id="rId14" o:title="51-102 780531 1"/>
          </v:shape>
        </w:pict>
      </w:r>
    </w:p>
    <w:p w:rsidR="00DE6A73" w:rsidRDefault="003D7C9F">
      <w:pPr>
        <w:numPr>
          <w:ilvl w:val="0"/>
          <w:numId w:val="7"/>
        </w:numPr>
        <w:spacing w:line="360" w:lineRule="auto"/>
        <w:ind w:firstLineChars="200" w:firstLine="360"/>
        <w:rPr>
          <w:rFonts w:ascii="宋体" w:hAnsi="宋体"/>
          <w:sz w:val="18"/>
          <w:szCs w:val="18"/>
        </w:rPr>
      </w:pPr>
      <w:r>
        <w:rPr>
          <w:rFonts w:ascii="宋体" w:hAnsi="宋体" w:hint="eastAsia"/>
          <w:sz w:val="18"/>
          <w:szCs w:val="18"/>
        </w:rPr>
        <w:t>直径340mm棒材埋深5mmΦ1.2mm平底孔C</w:t>
      </w:r>
      <w:proofErr w:type="gramStart"/>
      <w:r>
        <w:rPr>
          <w:rFonts w:ascii="宋体" w:hAnsi="宋体" w:hint="eastAsia"/>
          <w:sz w:val="18"/>
          <w:szCs w:val="18"/>
        </w:rPr>
        <w:t>扫图</w:t>
      </w:r>
      <w:proofErr w:type="gramEnd"/>
      <w:r>
        <w:rPr>
          <w:rFonts w:ascii="宋体" w:hAnsi="宋体" w:hint="eastAsia"/>
          <w:sz w:val="18"/>
          <w:szCs w:val="18"/>
        </w:rPr>
        <w:t xml:space="preserve">  （6）直径340mm棒材埋深51mmΦ1.2mm平底孔C扫图</w:t>
      </w:r>
    </w:p>
    <w:p w:rsidR="00DE6A73" w:rsidRDefault="00716ED6">
      <w:pPr>
        <w:spacing w:line="360" w:lineRule="auto"/>
        <w:rPr>
          <w:rFonts w:ascii="宋体" w:hAnsi="宋体"/>
          <w:sz w:val="18"/>
          <w:szCs w:val="18"/>
        </w:rPr>
      </w:pPr>
      <w:r>
        <w:rPr>
          <w:rFonts w:ascii="宋体" w:hAnsi="宋体"/>
          <w:sz w:val="18"/>
          <w:szCs w:val="18"/>
        </w:rPr>
        <w:pict>
          <v:shape id="图片 10" o:spid="_x0000_i1032" type="#_x0000_t75" style="width:215.25pt;height:168.75pt">
            <v:imagedata r:id="rId15" o:title="102-178 780538 5"/>
          </v:shape>
        </w:pict>
      </w:r>
      <w:r w:rsidR="003D7C9F">
        <w:rPr>
          <w:rFonts w:ascii="宋体" w:hAnsi="宋体" w:hint="eastAsia"/>
          <w:sz w:val="18"/>
          <w:szCs w:val="18"/>
        </w:rPr>
        <w:t xml:space="preserve">   </w:t>
      </w:r>
      <w:r>
        <w:rPr>
          <w:rFonts w:ascii="宋体" w:hAnsi="宋体"/>
          <w:sz w:val="18"/>
          <w:szCs w:val="18"/>
        </w:rPr>
        <w:pict>
          <v:shape id="_x0000_i1033" type="#_x0000_t75" style="width:219pt;height:165pt">
            <v:imagedata r:id="rId16" o:title="500试块 125mm 孔"/>
          </v:shape>
        </w:pict>
      </w:r>
    </w:p>
    <w:p w:rsidR="00DE6A73" w:rsidRDefault="003D7C9F">
      <w:pPr>
        <w:numPr>
          <w:ilvl w:val="0"/>
          <w:numId w:val="8"/>
        </w:numPr>
        <w:spacing w:line="360" w:lineRule="auto"/>
        <w:rPr>
          <w:rFonts w:ascii="宋体" w:hAnsi="宋体"/>
          <w:sz w:val="18"/>
          <w:szCs w:val="18"/>
        </w:rPr>
      </w:pPr>
      <w:r>
        <w:rPr>
          <w:rFonts w:ascii="宋体" w:hAnsi="宋体" w:hint="eastAsia"/>
          <w:sz w:val="18"/>
          <w:szCs w:val="18"/>
        </w:rPr>
        <w:t>直径340mm棒材埋深102mmΦ1.2mm平底孔C</w:t>
      </w:r>
      <w:proofErr w:type="gramStart"/>
      <w:r>
        <w:rPr>
          <w:rFonts w:ascii="宋体" w:hAnsi="宋体" w:hint="eastAsia"/>
          <w:sz w:val="18"/>
          <w:szCs w:val="18"/>
        </w:rPr>
        <w:t>扫图</w:t>
      </w:r>
      <w:proofErr w:type="gramEnd"/>
      <w:r>
        <w:rPr>
          <w:rFonts w:ascii="宋体" w:hAnsi="宋体" w:hint="eastAsia"/>
          <w:sz w:val="18"/>
          <w:szCs w:val="18"/>
        </w:rPr>
        <w:t xml:space="preserve">   （8）直径500mm棒材埋深125mmΦ2.0mm平底孔波形图</w:t>
      </w:r>
    </w:p>
    <w:p w:rsidR="00DE6A73" w:rsidRDefault="00716ED6">
      <w:pPr>
        <w:spacing w:line="360" w:lineRule="auto"/>
        <w:rPr>
          <w:rFonts w:ascii="宋体" w:hAnsi="宋体"/>
          <w:sz w:val="18"/>
          <w:szCs w:val="18"/>
        </w:rPr>
      </w:pPr>
      <w:r>
        <w:rPr>
          <w:rFonts w:ascii="宋体" w:hAnsi="宋体"/>
          <w:sz w:val="18"/>
          <w:szCs w:val="18"/>
        </w:rPr>
        <w:pict>
          <v:shape id="_x0000_i1034" type="#_x0000_t75" style="width:219pt;height:165pt">
            <v:imagedata r:id="rId17" o:title="500试块 250mm孔"/>
          </v:shape>
        </w:pict>
      </w:r>
    </w:p>
    <w:p w:rsidR="00DE6A73" w:rsidRDefault="003D7C9F">
      <w:pPr>
        <w:spacing w:line="360" w:lineRule="auto"/>
        <w:rPr>
          <w:rFonts w:ascii="宋体" w:hAnsi="宋体"/>
          <w:sz w:val="18"/>
          <w:szCs w:val="18"/>
        </w:rPr>
      </w:pPr>
      <w:r>
        <w:rPr>
          <w:rFonts w:ascii="宋体" w:hAnsi="宋体" w:hint="eastAsia"/>
          <w:sz w:val="18"/>
          <w:szCs w:val="18"/>
        </w:rPr>
        <w:t>（9）直径500mm棒材埋深250mmΦ2.0mm平底孔波形图</w:t>
      </w:r>
    </w:p>
    <w:p w:rsidR="00DE6A73" w:rsidRDefault="003D7C9F">
      <w:pPr>
        <w:numPr>
          <w:ilvl w:val="0"/>
          <w:numId w:val="6"/>
        </w:numPr>
        <w:adjustRightInd w:val="0"/>
        <w:snapToGrid w:val="0"/>
        <w:spacing w:beforeLines="50" w:before="156" w:afterLines="50" w:after="156"/>
        <w:rPr>
          <w:rFonts w:ascii="黑体" w:eastAsia="黑体"/>
          <w:sz w:val="24"/>
        </w:rPr>
      </w:pPr>
      <w:r>
        <w:rPr>
          <w:rFonts w:ascii="黑体" w:eastAsia="黑体" w:hint="eastAsia"/>
          <w:sz w:val="24"/>
        </w:rPr>
        <w:t>标准水平分析</w:t>
      </w:r>
    </w:p>
    <w:p w:rsidR="00DE6A73" w:rsidRDefault="003D7C9F">
      <w:pPr>
        <w:spacing w:line="360" w:lineRule="auto"/>
        <w:ind w:firstLineChars="200" w:firstLine="480"/>
        <w:rPr>
          <w:rFonts w:ascii="宋体" w:hAnsi="宋体"/>
          <w:sz w:val="24"/>
        </w:rPr>
      </w:pPr>
      <w:r>
        <w:rPr>
          <w:rFonts w:ascii="宋体" w:hAnsi="宋体" w:hint="eastAsia"/>
          <w:sz w:val="24"/>
        </w:rPr>
        <w:t>本标准主要参照美国宇航标准AMS2631D，部分内容有细化，主要参数对比见下表，可见整体水平优于AMS2631D，</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255"/>
        <w:gridCol w:w="2985"/>
        <w:gridCol w:w="1875"/>
      </w:tblGrid>
      <w:tr w:rsidR="00DE6A73">
        <w:tc>
          <w:tcPr>
            <w:tcW w:w="1223" w:type="dxa"/>
            <w:vAlign w:val="center"/>
          </w:tcPr>
          <w:p w:rsidR="00DE6A73" w:rsidRDefault="003D7C9F">
            <w:pPr>
              <w:spacing w:line="360" w:lineRule="auto"/>
              <w:jc w:val="center"/>
              <w:rPr>
                <w:rFonts w:ascii="宋体" w:hAnsi="宋体"/>
                <w:sz w:val="24"/>
              </w:rPr>
            </w:pPr>
            <w:r>
              <w:rPr>
                <w:rFonts w:ascii="宋体" w:hAnsi="宋体" w:hint="eastAsia"/>
                <w:sz w:val="24"/>
              </w:rPr>
              <w:t>项目</w:t>
            </w:r>
          </w:p>
        </w:tc>
        <w:tc>
          <w:tcPr>
            <w:tcW w:w="3255" w:type="dxa"/>
            <w:vAlign w:val="center"/>
          </w:tcPr>
          <w:p w:rsidR="00DE6A73" w:rsidRDefault="003D7C9F">
            <w:pPr>
              <w:spacing w:line="360" w:lineRule="auto"/>
              <w:jc w:val="center"/>
              <w:rPr>
                <w:rFonts w:ascii="宋体" w:hAnsi="宋体"/>
                <w:sz w:val="24"/>
              </w:rPr>
            </w:pPr>
            <w:r>
              <w:rPr>
                <w:rFonts w:ascii="宋体" w:hAnsi="宋体" w:hint="eastAsia"/>
                <w:sz w:val="24"/>
              </w:rPr>
              <w:t>GB5193</w:t>
            </w:r>
          </w:p>
        </w:tc>
        <w:tc>
          <w:tcPr>
            <w:tcW w:w="2985" w:type="dxa"/>
            <w:vAlign w:val="center"/>
          </w:tcPr>
          <w:p w:rsidR="00DE6A73" w:rsidRDefault="003D7C9F">
            <w:pPr>
              <w:spacing w:line="360" w:lineRule="auto"/>
              <w:jc w:val="center"/>
              <w:rPr>
                <w:rFonts w:ascii="宋体" w:hAnsi="宋体"/>
                <w:sz w:val="24"/>
              </w:rPr>
            </w:pPr>
            <w:r>
              <w:rPr>
                <w:rFonts w:ascii="宋体" w:hAnsi="宋体" w:hint="eastAsia"/>
                <w:sz w:val="24"/>
              </w:rPr>
              <w:t>AMS2631D</w:t>
            </w:r>
          </w:p>
        </w:tc>
        <w:tc>
          <w:tcPr>
            <w:tcW w:w="1875" w:type="dxa"/>
            <w:vAlign w:val="center"/>
          </w:tcPr>
          <w:p w:rsidR="00DE6A73" w:rsidRDefault="003D7C9F">
            <w:pPr>
              <w:spacing w:line="360" w:lineRule="auto"/>
              <w:jc w:val="center"/>
              <w:rPr>
                <w:rFonts w:ascii="宋体" w:hAnsi="宋体"/>
                <w:sz w:val="24"/>
              </w:rPr>
            </w:pPr>
            <w:r>
              <w:rPr>
                <w:rFonts w:ascii="宋体" w:hAnsi="宋体" w:hint="eastAsia"/>
                <w:sz w:val="24"/>
              </w:rPr>
              <w:t>NB/T 47013</w:t>
            </w:r>
          </w:p>
        </w:tc>
      </w:tr>
      <w:tr w:rsidR="00DE6A73">
        <w:tc>
          <w:tcPr>
            <w:tcW w:w="1223" w:type="dxa"/>
            <w:vAlign w:val="center"/>
          </w:tcPr>
          <w:p w:rsidR="00DE6A73" w:rsidRDefault="003D7C9F">
            <w:pPr>
              <w:spacing w:line="360" w:lineRule="auto"/>
              <w:jc w:val="center"/>
              <w:rPr>
                <w:rFonts w:ascii="宋体" w:hAnsi="宋体"/>
                <w:sz w:val="24"/>
              </w:rPr>
            </w:pPr>
            <w:r>
              <w:rPr>
                <w:rFonts w:ascii="宋体" w:hAnsi="宋体" w:hint="eastAsia"/>
                <w:sz w:val="24"/>
              </w:rPr>
              <w:lastRenderedPageBreak/>
              <w:t>范围</w:t>
            </w:r>
          </w:p>
        </w:tc>
        <w:tc>
          <w:tcPr>
            <w:tcW w:w="3255" w:type="dxa"/>
            <w:vAlign w:val="center"/>
          </w:tcPr>
          <w:p w:rsidR="00DE6A73" w:rsidRDefault="003D7C9F">
            <w:pPr>
              <w:spacing w:line="360" w:lineRule="auto"/>
              <w:jc w:val="center"/>
              <w:rPr>
                <w:rFonts w:ascii="宋体" w:hAnsi="宋体"/>
                <w:sz w:val="24"/>
              </w:rPr>
            </w:pPr>
            <w:r>
              <w:rPr>
                <w:rFonts w:ascii="宋体" w:hAnsi="宋体" w:hint="eastAsia"/>
                <w:sz w:val="24"/>
              </w:rPr>
              <w:t>横截面厚度不小于6mm-500mm的钛及钛合金加工产品的超声波探伤</w:t>
            </w:r>
          </w:p>
        </w:tc>
        <w:tc>
          <w:tcPr>
            <w:tcW w:w="2985" w:type="dxa"/>
            <w:vAlign w:val="center"/>
          </w:tcPr>
          <w:p w:rsidR="00DE6A73" w:rsidRDefault="003D7C9F">
            <w:pPr>
              <w:spacing w:line="360" w:lineRule="auto"/>
              <w:jc w:val="center"/>
              <w:rPr>
                <w:rFonts w:ascii="宋体" w:hAnsi="宋体"/>
                <w:sz w:val="24"/>
              </w:rPr>
            </w:pPr>
            <w:r>
              <w:rPr>
                <w:rFonts w:ascii="宋体" w:hAnsi="宋体" w:hint="eastAsia"/>
                <w:sz w:val="24"/>
              </w:rPr>
              <w:t>超过和等于0.25 英寸（6.4mm）的锻造钛及钛合金产品的超声波检查</w:t>
            </w:r>
          </w:p>
        </w:tc>
        <w:tc>
          <w:tcPr>
            <w:tcW w:w="1875" w:type="dxa"/>
            <w:vAlign w:val="center"/>
          </w:tcPr>
          <w:p w:rsidR="00DE6A73" w:rsidRDefault="003D7C9F">
            <w:pPr>
              <w:spacing w:line="360" w:lineRule="auto"/>
              <w:jc w:val="center"/>
              <w:rPr>
                <w:rFonts w:ascii="宋体" w:hAnsi="宋体"/>
                <w:sz w:val="24"/>
              </w:rPr>
            </w:pPr>
            <w:r>
              <w:rPr>
                <w:rFonts w:ascii="宋体" w:hAnsi="宋体" w:hint="eastAsia"/>
                <w:sz w:val="24"/>
              </w:rPr>
              <w:t>钢锻件</w:t>
            </w:r>
          </w:p>
        </w:tc>
      </w:tr>
      <w:tr w:rsidR="00DE6A73">
        <w:tc>
          <w:tcPr>
            <w:tcW w:w="1223" w:type="dxa"/>
            <w:vAlign w:val="center"/>
          </w:tcPr>
          <w:p w:rsidR="00DE6A73" w:rsidRDefault="003D7C9F">
            <w:pPr>
              <w:spacing w:line="360" w:lineRule="auto"/>
              <w:jc w:val="center"/>
              <w:rPr>
                <w:rFonts w:ascii="宋体" w:hAnsi="宋体"/>
                <w:sz w:val="24"/>
              </w:rPr>
            </w:pPr>
            <w:r>
              <w:rPr>
                <w:rFonts w:ascii="宋体" w:hAnsi="宋体" w:hint="eastAsia"/>
                <w:sz w:val="24"/>
              </w:rPr>
              <w:t>对比试块</w:t>
            </w:r>
          </w:p>
        </w:tc>
        <w:tc>
          <w:tcPr>
            <w:tcW w:w="3255" w:type="dxa"/>
            <w:vAlign w:val="center"/>
          </w:tcPr>
          <w:p w:rsidR="00DE6A73" w:rsidRDefault="003D7C9F">
            <w:pPr>
              <w:spacing w:line="360" w:lineRule="auto"/>
              <w:jc w:val="center"/>
              <w:rPr>
                <w:rFonts w:ascii="宋体" w:hAnsi="宋体"/>
                <w:sz w:val="24"/>
              </w:rPr>
            </w:pPr>
            <w:r>
              <w:rPr>
                <w:rFonts w:ascii="宋体" w:hAnsi="宋体" w:hint="eastAsia"/>
                <w:sz w:val="24"/>
              </w:rPr>
              <w:t>检验曲面产品时，应使用与探伤面几何形状大致相同的对比试块，其差别不应超过被检验产品曲率半径的±20％。</w:t>
            </w:r>
          </w:p>
        </w:tc>
        <w:tc>
          <w:tcPr>
            <w:tcW w:w="2985" w:type="dxa"/>
            <w:vAlign w:val="center"/>
          </w:tcPr>
          <w:p w:rsidR="00DE6A73" w:rsidRDefault="003D7C9F">
            <w:pPr>
              <w:spacing w:line="360" w:lineRule="auto"/>
              <w:jc w:val="center"/>
              <w:rPr>
                <w:rFonts w:ascii="宋体" w:hAnsi="宋体"/>
                <w:sz w:val="24"/>
              </w:rPr>
            </w:pPr>
            <w:r>
              <w:rPr>
                <w:rFonts w:ascii="宋体" w:hAnsi="宋体" w:hint="eastAsia"/>
                <w:sz w:val="24"/>
              </w:rPr>
              <w:t>检测表面为曲面时，参考试</w:t>
            </w:r>
            <w:proofErr w:type="gramStart"/>
            <w:r>
              <w:rPr>
                <w:rFonts w:ascii="宋体" w:hAnsi="宋体" w:hint="eastAsia"/>
                <w:sz w:val="24"/>
              </w:rPr>
              <w:t>块应该</w:t>
            </w:r>
            <w:proofErr w:type="gramEnd"/>
            <w:r>
              <w:rPr>
                <w:rFonts w:ascii="宋体" w:hAnsi="宋体" w:hint="eastAsia"/>
                <w:sz w:val="24"/>
              </w:rPr>
              <w:t>具有相似的轮廓，且曲率半径误差不超过±</w:t>
            </w:r>
            <w:r>
              <w:rPr>
                <w:rFonts w:hint="eastAsia"/>
              </w:rPr>
              <w:t>2</w:t>
            </w:r>
            <w:r>
              <w:rPr>
                <w:rFonts w:ascii="宋体" w:hAnsi="宋体" w:hint="eastAsia"/>
                <w:sz w:val="24"/>
              </w:rPr>
              <w:t>5%。</w:t>
            </w:r>
          </w:p>
        </w:tc>
        <w:tc>
          <w:tcPr>
            <w:tcW w:w="1875" w:type="dxa"/>
            <w:vAlign w:val="center"/>
          </w:tcPr>
          <w:p w:rsidR="00DE6A73" w:rsidRDefault="003D7C9F">
            <w:pPr>
              <w:spacing w:line="360" w:lineRule="auto"/>
              <w:jc w:val="center"/>
              <w:rPr>
                <w:rFonts w:ascii="宋体" w:hAnsi="宋体"/>
                <w:sz w:val="24"/>
              </w:rPr>
            </w:pPr>
            <w:r>
              <w:rPr>
                <w:rFonts w:ascii="宋体" w:hAnsi="宋体" w:hint="eastAsia"/>
                <w:sz w:val="24"/>
              </w:rPr>
              <w:t>未提及</w:t>
            </w:r>
          </w:p>
        </w:tc>
      </w:tr>
      <w:tr w:rsidR="00DE6A73">
        <w:tc>
          <w:tcPr>
            <w:tcW w:w="1223" w:type="dxa"/>
            <w:vAlign w:val="center"/>
          </w:tcPr>
          <w:p w:rsidR="00DE6A73" w:rsidRDefault="003D7C9F">
            <w:pPr>
              <w:spacing w:line="360" w:lineRule="auto"/>
              <w:jc w:val="center"/>
              <w:rPr>
                <w:rFonts w:ascii="宋体" w:hAnsi="宋体"/>
                <w:sz w:val="24"/>
              </w:rPr>
            </w:pPr>
            <w:r>
              <w:rPr>
                <w:rFonts w:ascii="宋体" w:hAnsi="宋体" w:hint="eastAsia"/>
                <w:sz w:val="24"/>
              </w:rPr>
              <w:t>验收要求</w:t>
            </w:r>
          </w:p>
        </w:tc>
        <w:tc>
          <w:tcPr>
            <w:tcW w:w="3255" w:type="dxa"/>
            <w:vAlign w:val="center"/>
          </w:tcPr>
          <w:p w:rsidR="00DE6A73" w:rsidRDefault="003D7C9F">
            <w:pPr>
              <w:spacing w:line="360" w:lineRule="auto"/>
              <w:jc w:val="center"/>
              <w:rPr>
                <w:rFonts w:ascii="宋体" w:hAnsi="宋体"/>
                <w:sz w:val="24"/>
              </w:rPr>
            </w:pPr>
            <w:r>
              <w:rPr>
                <w:rFonts w:ascii="宋体" w:hAnsi="宋体" w:hint="eastAsia"/>
                <w:sz w:val="24"/>
              </w:rPr>
              <w:t>最高级别Φ0.8mm平底孔</w:t>
            </w:r>
          </w:p>
        </w:tc>
        <w:tc>
          <w:tcPr>
            <w:tcW w:w="2985" w:type="dxa"/>
            <w:vAlign w:val="center"/>
          </w:tcPr>
          <w:p w:rsidR="00DE6A73" w:rsidRDefault="003D7C9F">
            <w:pPr>
              <w:spacing w:line="360" w:lineRule="auto"/>
              <w:jc w:val="center"/>
              <w:rPr>
                <w:rFonts w:ascii="宋体" w:hAnsi="宋体"/>
                <w:sz w:val="24"/>
              </w:rPr>
            </w:pPr>
            <w:r>
              <w:rPr>
                <w:rFonts w:ascii="宋体" w:hAnsi="宋体" w:hint="eastAsia"/>
                <w:sz w:val="24"/>
              </w:rPr>
              <w:t>最高级别Φ0.8mm平底孔</w:t>
            </w:r>
          </w:p>
        </w:tc>
        <w:tc>
          <w:tcPr>
            <w:tcW w:w="1875" w:type="dxa"/>
            <w:vAlign w:val="center"/>
          </w:tcPr>
          <w:p w:rsidR="00DE6A73" w:rsidRDefault="003D7C9F">
            <w:pPr>
              <w:spacing w:line="360" w:lineRule="auto"/>
              <w:jc w:val="center"/>
              <w:rPr>
                <w:rFonts w:ascii="宋体" w:hAnsi="宋体"/>
                <w:sz w:val="24"/>
              </w:rPr>
            </w:pPr>
            <w:r>
              <w:rPr>
                <w:rFonts w:ascii="宋体" w:hAnsi="宋体" w:hint="eastAsia"/>
                <w:sz w:val="24"/>
              </w:rPr>
              <w:t>最高级别Φ2mm平底孔</w:t>
            </w:r>
          </w:p>
        </w:tc>
      </w:tr>
      <w:tr w:rsidR="00DE6A73">
        <w:tc>
          <w:tcPr>
            <w:tcW w:w="1223" w:type="dxa"/>
            <w:vAlign w:val="center"/>
          </w:tcPr>
          <w:p w:rsidR="00DE6A73" w:rsidRDefault="003D7C9F">
            <w:pPr>
              <w:spacing w:line="360" w:lineRule="auto"/>
              <w:jc w:val="center"/>
              <w:rPr>
                <w:rFonts w:ascii="宋体" w:hAnsi="宋体"/>
                <w:sz w:val="24"/>
              </w:rPr>
            </w:pPr>
            <w:r>
              <w:rPr>
                <w:rFonts w:ascii="宋体" w:hAnsi="宋体" w:hint="eastAsia"/>
                <w:sz w:val="24"/>
              </w:rPr>
              <w:t>分区要求</w:t>
            </w:r>
          </w:p>
        </w:tc>
        <w:tc>
          <w:tcPr>
            <w:tcW w:w="3255" w:type="dxa"/>
            <w:vAlign w:val="center"/>
          </w:tcPr>
          <w:p w:rsidR="00DE6A73" w:rsidRDefault="003D7C9F">
            <w:pPr>
              <w:spacing w:line="360" w:lineRule="auto"/>
              <w:jc w:val="center"/>
              <w:rPr>
                <w:rFonts w:ascii="宋体" w:hAnsi="宋体"/>
                <w:sz w:val="24"/>
              </w:rPr>
            </w:pPr>
            <w:r>
              <w:rPr>
                <w:rFonts w:ascii="宋体" w:hAnsi="宋体" w:hint="eastAsia"/>
                <w:sz w:val="24"/>
              </w:rPr>
              <w:t>给出分区推荐要求</w:t>
            </w:r>
          </w:p>
        </w:tc>
        <w:tc>
          <w:tcPr>
            <w:tcW w:w="2985" w:type="dxa"/>
            <w:vAlign w:val="center"/>
          </w:tcPr>
          <w:p w:rsidR="00DE6A73" w:rsidRDefault="003D7C9F">
            <w:pPr>
              <w:spacing w:line="360" w:lineRule="auto"/>
              <w:jc w:val="center"/>
              <w:rPr>
                <w:rFonts w:ascii="宋体" w:hAnsi="宋体"/>
                <w:sz w:val="24"/>
              </w:rPr>
            </w:pPr>
            <w:r>
              <w:rPr>
                <w:rFonts w:ascii="宋体" w:hAnsi="宋体" w:hint="eastAsia"/>
                <w:sz w:val="24"/>
              </w:rPr>
              <w:t>未涉及</w:t>
            </w:r>
          </w:p>
        </w:tc>
        <w:tc>
          <w:tcPr>
            <w:tcW w:w="1875" w:type="dxa"/>
            <w:vAlign w:val="center"/>
          </w:tcPr>
          <w:p w:rsidR="00DE6A73" w:rsidRDefault="003D7C9F">
            <w:pPr>
              <w:spacing w:line="360" w:lineRule="auto"/>
              <w:jc w:val="center"/>
              <w:rPr>
                <w:rFonts w:ascii="宋体" w:hAnsi="宋体"/>
                <w:sz w:val="24"/>
              </w:rPr>
            </w:pPr>
            <w:r>
              <w:rPr>
                <w:rFonts w:ascii="宋体" w:hAnsi="宋体" w:hint="eastAsia"/>
                <w:sz w:val="24"/>
              </w:rPr>
              <w:t>未涉及</w:t>
            </w:r>
          </w:p>
        </w:tc>
      </w:tr>
      <w:tr w:rsidR="00DE6A73">
        <w:tc>
          <w:tcPr>
            <w:tcW w:w="1223" w:type="dxa"/>
            <w:vAlign w:val="center"/>
          </w:tcPr>
          <w:p w:rsidR="00DE6A73" w:rsidRDefault="003D7C9F">
            <w:pPr>
              <w:spacing w:line="360" w:lineRule="auto"/>
              <w:jc w:val="center"/>
              <w:rPr>
                <w:rFonts w:ascii="宋体" w:hAnsi="宋体"/>
                <w:sz w:val="24"/>
              </w:rPr>
            </w:pPr>
            <w:r>
              <w:rPr>
                <w:rFonts w:ascii="宋体" w:hAnsi="宋体" w:hint="eastAsia"/>
                <w:sz w:val="24"/>
              </w:rPr>
              <w:t>计算法</w:t>
            </w:r>
          </w:p>
        </w:tc>
        <w:tc>
          <w:tcPr>
            <w:tcW w:w="3255" w:type="dxa"/>
            <w:vAlign w:val="center"/>
          </w:tcPr>
          <w:p w:rsidR="00DE6A73" w:rsidRDefault="003D7C9F">
            <w:pPr>
              <w:spacing w:line="360" w:lineRule="auto"/>
              <w:jc w:val="center"/>
              <w:rPr>
                <w:rFonts w:ascii="宋体" w:hAnsi="宋体"/>
                <w:sz w:val="24"/>
              </w:rPr>
            </w:pPr>
            <w:r>
              <w:rPr>
                <w:rFonts w:ascii="宋体" w:hAnsi="宋体" w:hint="eastAsia"/>
                <w:sz w:val="24"/>
              </w:rPr>
              <w:t>当</w:t>
            </w:r>
            <w:proofErr w:type="gramStart"/>
            <w:r>
              <w:rPr>
                <w:rFonts w:ascii="宋体" w:hAnsi="宋体" w:hint="eastAsia"/>
                <w:sz w:val="24"/>
              </w:rPr>
              <w:t>金属声程大于</w:t>
            </w:r>
            <w:proofErr w:type="gramEnd"/>
            <w:r>
              <w:rPr>
                <w:rFonts w:ascii="宋体" w:hAnsi="宋体" w:hint="eastAsia"/>
                <w:sz w:val="24"/>
              </w:rPr>
              <w:t>等于三倍近场区距离时，给出大平底计算法调试检测灵敏度计算公式和调节方法</w:t>
            </w:r>
          </w:p>
        </w:tc>
        <w:tc>
          <w:tcPr>
            <w:tcW w:w="2985" w:type="dxa"/>
            <w:vAlign w:val="center"/>
          </w:tcPr>
          <w:p w:rsidR="00DE6A73" w:rsidRDefault="003D7C9F">
            <w:pPr>
              <w:spacing w:line="360" w:lineRule="auto"/>
              <w:jc w:val="center"/>
              <w:rPr>
                <w:rFonts w:ascii="宋体" w:hAnsi="宋体"/>
                <w:sz w:val="24"/>
              </w:rPr>
            </w:pPr>
            <w:r>
              <w:rPr>
                <w:rFonts w:ascii="宋体" w:hAnsi="宋体" w:hint="eastAsia"/>
                <w:sz w:val="24"/>
              </w:rPr>
              <w:t>未涉及</w:t>
            </w:r>
          </w:p>
        </w:tc>
        <w:tc>
          <w:tcPr>
            <w:tcW w:w="1875" w:type="dxa"/>
            <w:vAlign w:val="center"/>
          </w:tcPr>
          <w:p w:rsidR="00DE6A73" w:rsidRDefault="003D7C9F">
            <w:pPr>
              <w:spacing w:line="360" w:lineRule="auto"/>
              <w:jc w:val="center"/>
              <w:rPr>
                <w:rFonts w:ascii="宋体" w:hAnsi="宋体"/>
                <w:sz w:val="24"/>
              </w:rPr>
            </w:pPr>
            <w:r>
              <w:rPr>
                <w:rFonts w:ascii="宋体" w:hAnsi="宋体" w:hint="eastAsia"/>
                <w:sz w:val="24"/>
              </w:rPr>
              <w:t>未涉及</w:t>
            </w:r>
          </w:p>
        </w:tc>
      </w:tr>
    </w:tbl>
    <w:p w:rsidR="00DE6A73" w:rsidRDefault="00DE6A73">
      <w:pPr>
        <w:adjustRightInd w:val="0"/>
        <w:snapToGrid w:val="0"/>
        <w:spacing w:line="336" w:lineRule="auto"/>
        <w:rPr>
          <w:rFonts w:ascii="宋体" w:hAnsi="宋体"/>
          <w:sz w:val="24"/>
        </w:rPr>
      </w:pPr>
    </w:p>
    <w:p w:rsidR="00DE6A73" w:rsidRDefault="003D7C9F">
      <w:pPr>
        <w:adjustRightInd w:val="0"/>
        <w:snapToGrid w:val="0"/>
        <w:spacing w:beforeLines="50" w:before="156" w:afterLines="50" w:after="156"/>
        <w:rPr>
          <w:rFonts w:ascii="黑体" w:eastAsia="黑体"/>
          <w:sz w:val="24"/>
        </w:rPr>
      </w:pPr>
      <w:r>
        <w:rPr>
          <w:rFonts w:ascii="黑体" w:eastAsia="黑体" w:hint="eastAsia"/>
          <w:sz w:val="24"/>
        </w:rPr>
        <w:t>五、与有关的现行法律、法规和强制性国家标准的关系</w:t>
      </w:r>
    </w:p>
    <w:p w:rsidR="00DE6A73" w:rsidRDefault="003D7C9F">
      <w:pPr>
        <w:numPr>
          <w:ilvl w:val="0"/>
          <w:numId w:val="9"/>
        </w:numPr>
        <w:adjustRightInd w:val="0"/>
        <w:snapToGrid w:val="0"/>
        <w:spacing w:line="360" w:lineRule="auto"/>
        <w:ind w:firstLineChars="200" w:firstLine="480"/>
        <w:rPr>
          <w:rFonts w:ascii="宋体" w:hAnsi="宋体"/>
          <w:sz w:val="24"/>
        </w:rPr>
      </w:pPr>
      <w:r>
        <w:rPr>
          <w:rFonts w:ascii="宋体" w:hAnsi="宋体" w:hint="eastAsia"/>
          <w:sz w:val="24"/>
        </w:rPr>
        <w:t>本修订标准符合现行法规，标准审定后可替代现行GB5193－2007《钛及钛合金加工产品超声波探伤方法》。除该标准外，国内目前尚无钛合金加工材专用探伤标准。</w:t>
      </w:r>
    </w:p>
    <w:p w:rsidR="00DE6A73" w:rsidRDefault="003D7C9F">
      <w:pPr>
        <w:adjustRightInd w:val="0"/>
        <w:snapToGrid w:val="0"/>
        <w:spacing w:beforeLines="50" w:before="156" w:afterLines="50" w:after="156"/>
        <w:rPr>
          <w:rFonts w:ascii="黑体" w:eastAsia="黑体"/>
          <w:sz w:val="24"/>
        </w:rPr>
      </w:pPr>
      <w:r>
        <w:rPr>
          <w:rFonts w:ascii="黑体" w:eastAsia="黑体" w:hint="eastAsia"/>
          <w:sz w:val="24"/>
        </w:rPr>
        <w:t>六、重大分歧意见的处理经过和依据</w:t>
      </w:r>
    </w:p>
    <w:p w:rsidR="00DE6A73" w:rsidRDefault="003D7C9F">
      <w:pPr>
        <w:numPr>
          <w:ilvl w:val="0"/>
          <w:numId w:val="9"/>
        </w:numPr>
        <w:adjustRightInd w:val="0"/>
        <w:snapToGrid w:val="0"/>
        <w:spacing w:line="360" w:lineRule="auto"/>
        <w:ind w:firstLineChars="200" w:firstLine="480"/>
        <w:rPr>
          <w:rFonts w:ascii="宋体" w:hAnsi="宋体"/>
          <w:sz w:val="24"/>
        </w:rPr>
      </w:pPr>
      <w:r>
        <w:rPr>
          <w:rFonts w:ascii="宋体" w:hAnsi="宋体" w:hint="eastAsia"/>
          <w:sz w:val="24"/>
        </w:rPr>
        <w:t>无。</w:t>
      </w:r>
    </w:p>
    <w:p w:rsidR="00DE6A73" w:rsidRDefault="003D7C9F">
      <w:pPr>
        <w:adjustRightInd w:val="0"/>
        <w:snapToGrid w:val="0"/>
        <w:spacing w:beforeLines="50" w:before="156" w:afterLines="50" w:after="156"/>
        <w:rPr>
          <w:rFonts w:ascii="黑体" w:eastAsia="黑体"/>
          <w:sz w:val="24"/>
        </w:rPr>
      </w:pPr>
      <w:r>
        <w:rPr>
          <w:rFonts w:ascii="黑体" w:eastAsia="黑体" w:hint="eastAsia"/>
          <w:sz w:val="24"/>
        </w:rPr>
        <w:t>七、标准作为强制性或推荐性标准的建议</w:t>
      </w:r>
    </w:p>
    <w:p w:rsidR="00DE6A73" w:rsidRDefault="003D7C9F">
      <w:pPr>
        <w:numPr>
          <w:ilvl w:val="0"/>
          <w:numId w:val="9"/>
        </w:numPr>
        <w:adjustRightInd w:val="0"/>
        <w:snapToGrid w:val="0"/>
        <w:spacing w:line="360" w:lineRule="auto"/>
        <w:rPr>
          <w:rFonts w:ascii="黑体" w:eastAsia="黑体"/>
          <w:sz w:val="24"/>
        </w:rPr>
      </w:pPr>
      <w:r>
        <w:rPr>
          <w:rFonts w:ascii="宋体" w:hAnsi="宋体" w:hint="eastAsia"/>
          <w:sz w:val="24"/>
        </w:rPr>
        <w:t xml:space="preserve">    建议该标准为推荐标准。</w:t>
      </w:r>
    </w:p>
    <w:p w:rsidR="00DE6A73" w:rsidRDefault="003D7C9F">
      <w:pPr>
        <w:numPr>
          <w:ilvl w:val="0"/>
          <w:numId w:val="9"/>
        </w:numPr>
        <w:adjustRightInd w:val="0"/>
        <w:snapToGrid w:val="0"/>
        <w:spacing w:line="360" w:lineRule="auto"/>
        <w:rPr>
          <w:rFonts w:ascii="黑体" w:eastAsia="黑体"/>
          <w:sz w:val="24"/>
        </w:rPr>
      </w:pPr>
      <w:r>
        <w:rPr>
          <w:rFonts w:ascii="黑体" w:eastAsia="黑体" w:hint="eastAsia"/>
          <w:sz w:val="24"/>
        </w:rPr>
        <w:t>八、贯彻标准的要求和措施建议，包括：组织措施、技术措施、过渡办法</w:t>
      </w:r>
    </w:p>
    <w:p w:rsidR="00DE6A73" w:rsidRDefault="003D7C9F">
      <w:pPr>
        <w:numPr>
          <w:ilvl w:val="0"/>
          <w:numId w:val="9"/>
        </w:numPr>
        <w:adjustRightInd w:val="0"/>
        <w:snapToGrid w:val="0"/>
        <w:spacing w:line="360" w:lineRule="auto"/>
        <w:rPr>
          <w:rFonts w:ascii="宋体" w:hAnsi="宋体"/>
          <w:sz w:val="24"/>
        </w:rPr>
      </w:pPr>
      <w:r>
        <w:rPr>
          <w:rFonts w:ascii="宋体" w:hAnsi="宋体" w:hint="eastAsia"/>
          <w:sz w:val="24"/>
        </w:rPr>
        <w:t xml:space="preserve">    无。</w:t>
      </w:r>
    </w:p>
    <w:p w:rsidR="00DE6A73" w:rsidRDefault="003D7C9F">
      <w:pPr>
        <w:adjustRightInd w:val="0"/>
        <w:snapToGrid w:val="0"/>
        <w:spacing w:beforeLines="50" w:before="156" w:afterLines="50" w:after="156"/>
        <w:rPr>
          <w:rFonts w:ascii="黑体" w:eastAsia="黑体"/>
          <w:sz w:val="24"/>
        </w:rPr>
      </w:pPr>
      <w:r>
        <w:rPr>
          <w:rFonts w:ascii="黑体" w:eastAsia="黑体" w:hint="eastAsia"/>
          <w:sz w:val="24"/>
        </w:rPr>
        <w:t>九、废止现行有关标准的建议</w:t>
      </w:r>
    </w:p>
    <w:p w:rsidR="00DE6A73" w:rsidRDefault="003D7C9F">
      <w:pPr>
        <w:numPr>
          <w:ilvl w:val="0"/>
          <w:numId w:val="9"/>
        </w:numPr>
        <w:adjustRightInd w:val="0"/>
        <w:snapToGrid w:val="0"/>
        <w:spacing w:line="360" w:lineRule="auto"/>
        <w:rPr>
          <w:rFonts w:ascii="宋体" w:hAnsi="宋体"/>
          <w:sz w:val="24"/>
        </w:rPr>
      </w:pPr>
      <w:r>
        <w:rPr>
          <w:rFonts w:ascii="宋体" w:hAnsi="宋体" w:hint="eastAsia"/>
          <w:sz w:val="24"/>
        </w:rPr>
        <w:t xml:space="preserve">    无。</w:t>
      </w:r>
    </w:p>
    <w:p w:rsidR="00DE6A73" w:rsidRDefault="003D7C9F">
      <w:pPr>
        <w:adjustRightInd w:val="0"/>
        <w:snapToGrid w:val="0"/>
        <w:spacing w:beforeLines="50" w:before="156" w:afterLines="50" w:after="156"/>
        <w:rPr>
          <w:rFonts w:ascii="黑体" w:eastAsia="黑体"/>
          <w:sz w:val="24"/>
        </w:rPr>
      </w:pPr>
      <w:r>
        <w:rPr>
          <w:rFonts w:ascii="黑体" w:eastAsia="黑体" w:hint="eastAsia"/>
          <w:sz w:val="24"/>
        </w:rPr>
        <w:t>十、其他应予说明的事项</w:t>
      </w:r>
    </w:p>
    <w:p w:rsidR="00DE6A73" w:rsidRDefault="003D7C9F">
      <w:pPr>
        <w:numPr>
          <w:ilvl w:val="0"/>
          <w:numId w:val="9"/>
        </w:numPr>
        <w:adjustRightInd w:val="0"/>
        <w:snapToGrid w:val="0"/>
        <w:spacing w:line="360" w:lineRule="auto"/>
        <w:ind w:firstLineChars="200" w:firstLine="480"/>
        <w:rPr>
          <w:rFonts w:ascii="宋体" w:hAnsi="宋体"/>
          <w:sz w:val="24"/>
        </w:rPr>
      </w:pPr>
      <w:r>
        <w:rPr>
          <w:rFonts w:ascii="宋体" w:hAnsi="宋体" w:hint="eastAsia"/>
          <w:sz w:val="24"/>
        </w:rPr>
        <w:t>无</w:t>
      </w:r>
    </w:p>
    <w:p w:rsidR="00DE6A73" w:rsidRDefault="003D7C9F">
      <w:pPr>
        <w:adjustRightInd w:val="0"/>
        <w:snapToGrid w:val="0"/>
        <w:spacing w:beforeLines="50" w:before="156" w:afterLines="50" w:after="156"/>
        <w:rPr>
          <w:rFonts w:ascii="黑体" w:eastAsia="黑体"/>
          <w:sz w:val="24"/>
        </w:rPr>
      </w:pPr>
      <w:r>
        <w:rPr>
          <w:rFonts w:ascii="黑体" w:eastAsia="黑体" w:hint="eastAsia"/>
          <w:sz w:val="24"/>
        </w:rPr>
        <w:lastRenderedPageBreak/>
        <w:t>十一、预期效果</w:t>
      </w:r>
    </w:p>
    <w:p w:rsidR="00DE6A73" w:rsidRDefault="003D7C9F">
      <w:pPr>
        <w:numPr>
          <w:ilvl w:val="0"/>
          <w:numId w:val="9"/>
        </w:numPr>
        <w:adjustRightInd w:val="0"/>
        <w:snapToGrid w:val="0"/>
        <w:spacing w:line="360" w:lineRule="auto"/>
        <w:ind w:firstLineChars="200" w:firstLine="480"/>
        <w:rPr>
          <w:rFonts w:ascii="宋体" w:hAnsi="宋体"/>
          <w:sz w:val="24"/>
        </w:rPr>
      </w:pPr>
      <w:r>
        <w:rPr>
          <w:rFonts w:ascii="宋体" w:hAnsi="宋体" w:hint="eastAsia"/>
          <w:sz w:val="24"/>
        </w:rPr>
        <w:t>本标准的发布实施将对核电行业、军工行业、民用化工行业等领域用钛及钛合金加工产品的内部质量判定有非常大的提升，同时标准的制定可以进一步完善钛国家标准体系的完善。</w:t>
      </w:r>
    </w:p>
    <w:p w:rsidR="00DE6A73" w:rsidRDefault="00DE6A73">
      <w:pPr>
        <w:numPr>
          <w:ilvl w:val="0"/>
          <w:numId w:val="9"/>
        </w:numPr>
        <w:adjustRightInd w:val="0"/>
        <w:snapToGrid w:val="0"/>
        <w:spacing w:line="360" w:lineRule="auto"/>
        <w:rPr>
          <w:rFonts w:ascii="宋体" w:hAnsi="宋体"/>
          <w:sz w:val="24"/>
        </w:rPr>
      </w:pPr>
    </w:p>
    <w:p w:rsidR="00DE6A73" w:rsidRDefault="003D7C9F">
      <w:pPr>
        <w:wordWrap w:val="0"/>
        <w:adjustRightInd w:val="0"/>
        <w:snapToGrid w:val="0"/>
        <w:spacing w:beforeLines="100" w:before="312" w:afterLines="50" w:after="156" w:line="360" w:lineRule="auto"/>
        <w:ind w:right="360"/>
        <w:jc w:val="right"/>
        <w:rPr>
          <w:rFonts w:ascii="黑体" w:eastAsia="黑体"/>
          <w:sz w:val="24"/>
        </w:rPr>
      </w:pPr>
      <w:r>
        <w:rPr>
          <w:rFonts w:ascii="黑体" w:eastAsia="黑体" w:hint="eastAsia"/>
          <w:sz w:val="24"/>
        </w:rPr>
        <w:t>钛及钛合金加工产品超声波检测方法项目组</w:t>
      </w:r>
    </w:p>
    <w:p w:rsidR="00DE6A73" w:rsidRDefault="003D7C9F">
      <w:pPr>
        <w:wordWrap w:val="0"/>
        <w:spacing w:line="360" w:lineRule="auto"/>
        <w:ind w:right="-58"/>
        <w:jc w:val="right"/>
        <w:rPr>
          <w:rFonts w:ascii="宋体" w:hAnsi="宋体"/>
          <w:sz w:val="24"/>
        </w:rPr>
      </w:pPr>
      <w:r>
        <w:rPr>
          <w:rFonts w:ascii="黑体" w:eastAsia="黑体"/>
          <w:sz w:val="30"/>
          <w:szCs w:val="30"/>
        </w:rPr>
        <w:t>201</w:t>
      </w:r>
      <w:r w:rsidR="00146F7B">
        <w:rPr>
          <w:rFonts w:ascii="黑体" w:eastAsia="黑体" w:hint="eastAsia"/>
          <w:sz w:val="30"/>
          <w:szCs w:val="30"/>
        </w:rPr>
        <w:t>8年</w:t>
      </w:r>
      <w:r w:rsidR="00EE20C5">
        <w:rPr>
          <w:rFonts w:ascii="黑体" w:eastAsia="黑体"/>
          <w:sz w:val="30"/>
          <w:szCs w:val="30"/>
        </w:rPr>
        <w:t>8</w:t>
      </w:r>
      <w:r w:rsidR="00146F7B">
        <w:rPr>
          <w:rFonts w:ascii="黑体" w:eastAsia="黑体" w:hint="eastAsia"/>
          <w:sz w:val="30"/>
          <w:szCs w:val="30"/>
        </w:rPr>
        <w:t>月</w:t>
      </w:r>
      <w:r>
        <w:rPr>
          <w:rFonts w:ascii="黑体" w:eastAsia="黑体" w:hint="eastAsia"/>
          <w:sz w:val="30"/>
          <w:szCs w:val="30"/>
        </w:rPr>
        <w:t xml:space="preserve">             </w:t>
      </w:r>
    </w:p>
    <w:sectPr w:rsidR="00DE6A73">
      <w:footerReference w:type="default" r:id="rId18"/>
      <w:pgSz w:w="11906" w:h="16838"/>
      <w:pgMar w:top="1440" w:right="1418" w:bottom="1276" w:left="1418" w:header="851" w:footer="375"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86" w:rsidRDefault="001E3686">
      <w:r>
        <w:separator/>
      </w:r>
    </w:p>
  </w:endnote>
  <w:endnote w:type="continuationSeparator" w:id="0">
    <w:p w:rsidR="001E3686" w:rsidRDefault="001E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73" w:rsidRDefault="003D7C9F">
    <w:pPr>
      <w:pStyle w:val="a4"/>
      <w:jc w:val="center"/>
      <w:rPr>
        <w:rFonts w:ascii="宋体" w:hAnsi="宋体"/>
      </w:rPr>
    </w:pPr>
    <w:r>
      <w:rPr>
        <w:rFonts w:ascii="宋体" w:hAnsi="宋体"/>
        <w:lang w:val="zh-CN"/>
      </w:rPr>
      <w:t xml:space="preserve"> </w:t>
    </w:r>
    <w:r>
      <w:rPr>
        <w:rFonts w:ascii="宋体" w:hAnsi="宋体"/>
        <w:b/>
      </w:rPr>
      <w:fldChar w:fldCharType="begin"/>
    </w:r>
    <w:r>
      <w:rPr>
        <w:rFonts w:ascii="宋体" w:hAnsi="宋体"/>
        <w:b/>
      </w:rPr>
      <w:instrText>PAGE</w:instrText>
    </w:r>
    <w:r>
      <w:rPr>
        <w:rFonts w:ascii="宋体" w:hAnsi="宋体"/>
        <w:b/>
      </w:rPr>
      <w:fldChar w:fldCharType="separate"/>
    </w:r>
    <w:r>
      <w:rPr>
        <w:rFonts w:ascii="宋体" w:hAnsi="宋体"/>
        <w:b/>
      </w:rPr>
      <w:t>1</w:t>
    </w:r>
    <w:r>
      <w:rPr>
        <w:rFonts w:ascii="宋体" w:hAnsi="宋体"/>
        <w:b/>
      </w:rPr>
      <w:fldChar w:fldCharType="end"/>
    </w:r>
    <w:r>
      <w:rPr>
        <w:rFonts w:ascii="宋体" w:hAnsi="宋体"/>
        <w:lang w:val="zh-CN"/>
      </w:rPr>
      <w:t xml:space="preserve"> / </w:t>
    </w:r>
    <w:r>
      <w:rPr>
        <w:rFonts w:ascii="宋体" w:hAnsi="宋体" w:hint="eastAsia"/>
      </w:rPr>
      <w:t>8</w:t>
    </w:r>
  </w:p>
  <w:p w:rsidR="00DE6A73" w:rsidRDefault="00DE6A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86" w:rsidRDefault="001E3686">
      <w:r>
        <w:separator/>
      </w:r>
    </w:p>
  </w:footnote>
  <w:footnote w:type="continuationSeparator" w:id="0">
    <w:p w:rsidR="001E3686" w:rsidRDefault="001E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0C"/>
    <w:multiLevelType w:val="multilevel"/>
    <w:tmpl w:val="0000000C"/>
    <w:lvl w:ilvl="0">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90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 w15:restartNumberingAfterBreak="0">
    <w:nsid w:val="0094515C"/>
    <w:multiLevelType w:val="multilevel"/>
    <w:tmpl w:val="0094515C"/>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118853CC"/>
    <w:multiLevelType w:val="multilevel"/>
    <w:tmpl w:val="118853CC"/>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250D124A"/>
    <w:multiLevelType w:val="multilevel"/>
    <w:tmpl w:val="250D124A"/>
    <w:lvl w:ilvl="0">
      <w:start w:val="1"/>
      <w:numFmt w:val="decimal"/>
      <w:lvlText w:val="2.%1."/>
      <w:lvlJc w:val="left"/>
      <w:pPr>
        <w:ind w:left="420" w:hanging="420"/>
      </w:pPr>
      <w:rPr>
        <w:rFonts w:hint="eastAsia"/>
      </w:rPr>
    </w:lvl>
    <w:lvl w:ilvl="1" w:tentative="1">
      <w:start w:val="1"/>
      <w:numFmt w:val="lowerLetter"/>
      <w:lvlText w:val="%2)"/>
      <w:lvlJc w:val="left"/>
      <w:pPr>
        <w:ind w:left="840" w:hanging="420"/>
      </w:pPr>
      <w:rPr>
        <w:rFonts w:ascii="黑体" w:eastAsia="黑体" w:hAnsi="黑体"/>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58C0CDE7"/>
    <w:multiLevelType w:val="singleLevel"/>
    <w:tmpl w:val="58C0CDE7"/>
    <w:lvl w:ilvl="0">
      <w:start w:val="3"/>
      <w:numFmt w:val="chineseCounting"/>
      <w:suff w:val="nothing"/>
      <w:lvlText w:val="%1、"/>
      <w:lvlJc w:val="left"/>
    </w:lvl>
  </w:abstractNum>
  <w:abstractNum w:abstractNumId="6" w15:restartNumberingAfterBreak="0">
    <w:nsid w:val="58C1137D"/>
    <w:multiLevelType w:val="singleLevel"/>
    <w:tmpl w:val="58C1137D"/>
    <w:lvl w:ilvl="0">
      <w:start w:val="5"/>
      <w:numFmt w:val="decimal"/>
      <w:suff w:val="nothing"/>
      <w:lvlText w:val="（%1）"/>
      <w:lvlJc w:val="left"/>
    </w:lvl>
  </w:abstractNum>
  <w:abstractNum w:abstractNumId="7" w15:restartNumberingAfterBreak="0">
    <w:nsid w:val="58C22CED"/>
    <w:multiLevelType w:val="singleLevel"/>
    <w:tmpl w:val="58C22CED"/>
    <w:lvl w:ilvl="0">
      <w:start w:val="7"/>
      <w:numFmt w:val="decimal"/>
      <w:suff w:val="nothing"/>
      <w:lvlText w:val="（%1）"/>
      <w:lvlJc w:val="left"/>
    </w:lvl>
  </w:abstractNum>
  <w:abstractNum w:abstractNumId="8" w15:restartNumberingAfterBreak="0">
    <w:nsid w:val="75603AF8"/>
    <w:multiLevelType w:val="multilevel"/>
    <w:tmpl w:val="75603AF8"/>
    <w:lvl w:ilvl="0">
      <w:start w:val="1"/>
      <w:numFmt w:val="lowerLetter"/>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7D84105B"/>
    <w:multiLevelType w:val="multilevel"/>
    <w:tmpl w:val="7D84105B"/>
    <w:lvl w:ilvl="0">
      <w:start w:val="1"/>
      <w:numFmt w:val="decimal"/>
      <w:lvlText w:val="3.%1."/>
      <w:lvlJc w:val="left"/>
      <w:pPr>
        <w:ind w:left="420" w:hanging="420"/>
      </w:pPr>
      <w:rPr>
        <w:rFonts w:ascii="黑体" w:eastAsia="黑体" w:hAnsi="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9"/>
  </w:num>
  <w:num w:numId="3">
    <w:abstractNumId w:val="3"/>
  </w:num>
  <w:num w:numId="4">
    <w:abstractNumId w:val="8"/>
  </w:num>
  <w:num w:numId="5">
    <w:abstractNumId w:val="4"/>
  </w:num>
  <w:num w:numId="6">
    <w:abstractNumId w:val="5"/>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7BAD"/>
    <w:rsid w:val="00012C50"/>
    <w:rsid w:val="00020BEB"/>
    <w:rsid w:val="00043580"/>
    <w:rsid w:val="000863E9"/>
    <w:rsid w:val="000923D0"/>
    <w:rsid w:val="00095B2C"/>
    <w:rsid w:val="000A7982"/>
    <w:rsid w:val="000A7B3A"/>
    <w:rsid w:val="000B24C5"/>
    <w:rsid w:val="000B6584"/>
    <w:rsid w:val="000C3452"/>
    <w:rsid w:val="000E1102"/>
    <w:rsid w:val="000E7220"/>
    <w:rsid w:val="000F018D"/>
    <w:rsid w:val="000F0A9A"/>
    <w:rsid w:val="00112EC7"/>
    <w:rsid w:val="00121F07"/>
    <w:rsid w:val="0012705B"/>
    <w:rsid w:val="00130D55"/>
    <w:rsid w:val="00146F7B"/>
    <w:rsid w:val="001539A2"/>
    <w:rsid w:val="0016052E"/>
    <w:rsid w:val="001624A5"/>
    <w:rsid w:val="001713C0"/>
    <w:rsid w:val="00172A27"/>
    <w:rsid w:val="00173AEC"/>
    <w:rsid w:val="00191820"/>
    <w:rsid w:val="001B1EC0"/>
    <w:rsid w:val="001E3686"/>
    <w:rsid w:val="0021193D"/>
    <w:rsid w:val="00244EE7"/>
    <w:rsid w:val="00253A4D"/>
    <w:rsid w:val="00264B0A"/>
    <w:rsid w:val="00275C2B"/>
    <w:rsid w:val="00292E54"/>
    <w:rsid w:val="002942AE"/>
    <w:rsid w:val="002A3B5B"/>
    <w:rsid w:val="002A4F91"/>
    <w:rsid w:val="002B4288"/>
    <w:rsid w:val="002C3FF6"/>
    <w:rsid w:val="002C634B"/>
    <w:rsid w:val="002C7957"/>
    <w:rsid w:val="002F0157"/>
    <w:rsid w:val="00312770"/>
    <w:rsid w:val="003165ED"/>
    <w:rsid w:val="003171E7"/>
    <w:rsid w:val="00330A40"/>
    <w:rsid w:val="00346225"/>
    <w:rsid w:val="00377B1B"/>
    <w:rsid w:val="003A1FFD"/>
    <w:rsid w:val="003A63D7"/>
    <w:rsid w:val="003B2E16"/>
    <w:rsid w:val="003D499D"/>
    <w:rsid w:val="003D7C9F"/>
    <w:rsid w:val="003E43C8"/>
    <w:rsid w:val="003F26B7"/>
    <w:rsid w:val="0040362F"/>
    <w:rsid w:val="0041535B"/>
    <w:rsid w:val="00443507"/>
    <w:rsid w:val="004724B7"/>
    <w:rsid w:val="00493DFF"/>
    <w:rsid w:val="004C3102"/>
    <w:rsid w:val="004F0B8A"/>
    <w:rsid w:val="00536D4A"/>
    <w:rsid w:val="00542C8E"/>
    <w:rsid w:val="00552A9C"/>
    <w:rsid w:val="00555C02"/>
    <w:rsid w:val="00585D9F"/>
    <w:rsid w:val="00586956"/>
    <w:rsid w:val="005A6CF8"/>
    <w:rsid w:val="005B486E"/>
    <w:rsid w:val="005C3D3D"/>
    <w:rsid w:val="005C7D82"/>
    <w:rsid w:val="005D5AB5"/>
    <w:rsid w:val="005D6B83"/>
    <w:rsid w:val="005D7EA9"/>
    <w:rsid w:val="005E63C0"/>
    <w:rsid w:val="005E7D86"/>
    <w:rsid w:val="005F030D"/>
    <w:rsid w:val="00640912"/>
    <w:rsid w:val="00650BBF"/>
    <w:rsid w:val="006642BC"/>
    <w:rsid w:val="00667D1A"/>
    <w:rsid w:val="006912FD"/>
    <w:rsid w:val="0069222F"/>
    <w:rsid w:val="00693F71"/>
    <w:rsid w:val="00695793"/>
    <w:rsid w:val="00696086"/>
    <w:rsid w:val="006A2FB1"/>
    <w:rsid w:val="006B663B"/>
    <w:rsid w:val="006D5695"/>
    <w:rsid w:val="006E09D0"/>
    <w:rsid w:val="006E1E75"/>
    <w:rsid w:val="006E30F8"/>
    <w:rsid w:val="006F66BB"/>
    <w:rsid w:val="006F7571"/>
    <w:rsid w:val="00704F56"/>
    <w:rsid w:val="00716ED6"/>
    <w:rsid w:val="007346AC"/>
    <w:rsid w:val="007629A9"/>
    <w:rsid w:val="00783FAF"/>
    <w:rsid w:val="007946E4"/>
    <w:rsid w:val="007956EE"/>
    <w:rsid w:val="007B1338"/>
    <w:rsid w:val="007B35DC"/>
    <w:rsid w:val="007D0442"/>
    <w:rsid w:val="007F06BF"/>
    <w:rsid w:val="008219AE"/>
    <w:rsid w:val="0082349A"/>
    <w:rsid w:val="00840112"/>
    <w:rsid w:val="008518D3"/>
    <w:rsid w:val="00851BF0"/>
    <w:rsid w:val="00875017"/>
    <w:rsid w:val="008848C5"/>
    <w:rsid w:val="008A110B"/>
    <w:rsid w:val="008A330F"/>
    <w:rsid w:val="008C2FDF"/>
    <w:rsid w:val="008F7306"/>
    <w:rsid w:val="009403DD"/>
    <w:rsid w:val="00952DFE"/>
    <w:rsid w:val="00954ADF"/>
    <w:rsid w:val="00976714"/>
    <w:rsid w:val="00993DEC"/>
    <w:rsid w:val="00995FFA"/>
    <w:rsid w:val="009D2947"/>
    <w:rsid w:val="009D497A"/>
    <w:rsid w:val="009F1112"/>
    <w:rsid w:val="00A05543"/>
    <w:rsid w:val="00A0683F"/>
    <w:rsid w:val="00A1540B"/>
    <w:rsid w:val="00A2071A"/>
    <w:rsid w:val="00A5720B"/>
    <w:rsid w:val="00A9373E"/>
    <w:rsid w:val="00AB3660"/>
    <w:rsid w:val="00AC18CA"/>
    <w:rsid w:val="00AD5040"/>
    <w:rsid w:val="00B05E12"/>
    <w:rsid w:val="00B076E8"/>
    <w:rsid w:val="00B105FE"/>
    <w:rsid w:val="00B127F6"/>
    <w:rsid w:val="00B32D4A"/>
    <w:rsid w:val="00B572D2"/>
    <w:rsid w:val="00B70FB5"/>
    <w:rsid w:val="00B841E5"/>
    <w:rsid w:val="00B870F9"/>
    <w:rsid w:val="00BB224E"/>
    <w:rsid w:val="00BB5834"/>
    <w:rsid w:val="00BC1DBB"/>
    <w:rsid w:val="00BC3485"/>
    <w:rsid w:val="00BC432A"/>
    <w:rsid w:val="00BF3736"/>
    <w:rsid w:val="00BF39CA"/>
    <w:rsid w:val="00BF463D"/>
    <w:rsid w:val="00BF4D8C"/>
    <w:rsid w:val="00C125EC"/>
    <w:rsid w:val="00C26347"/>
    <w:rsid w:val="00C344AC"/>
    <w:rsid w:val="00C37966"/>
    <w:rsid w:val="00C65411"/>
    <w:rsid w:val="00C7057A"/>
    <w:rsid w:val="00C7494D"/>
    <w:rsid w:val="00C869DE"/>
    <w:rsid w:val="00CA09FD"/>
    <w:rsid w:val="00CB36E2"/>
    <w:rsid w:val="00CC218F"/>
    <w:rsid w:val="00CE3B86"/>
    <w:rsid w:val="00CF22FF"/>
    <w:rsid w:val="00CF29DC"/>
    <w:rsid w:val="00D269D0"/>
    <w:rsid w:val="00D45469"/>
    <w:rsid w:val="00D5351F"/>
    <w:rsid w:val="00D561BB"/>
    <w:rsid w:val="00D76039"/>
    <w:rsid w:val="00D92A21"/>
    <w:rsid w:val="00D97BDE"/>
    <w:rsid w:val="00DA42A8"/>
    <w:rsid w:val="00DA5230"/>
    <w:rsid w:val="00DB2F47"/>
    <w:rsid w:val="00DC2FA3"/>
    <w:rsid w:val="00DC71AC"/>
    <w:rsid w:val="00DC749B"/>
    <w:rsid w:val="00DE6A73"/>
    <w:rsid w:val="00E07708"/>
    <w:rsid w:val="00E1276E"/>
    <w:rsid w:val="00E144BF"/>
    <w:rsid w:val="00E20E11"/>
    <w:rsid w:val="00E264A9"/>
    <w:rsid w:val="00E3332B"/>
    <w:rsid w:val="00E73E6B"/>
    <w:rsid w:val="00E76471"/>
    <w:rsid w:val="00E93B40"/>
    <w:rsid w:val="00EA4490"/>
    <w:rsid w:val="00EB40F1"/>
    <w:rsid w:val="00ED170D"/>
    <w:rsid w:val="00EE20C5"/>
    <w:rsid w:val="00F15678"/>
    <w:rsid w:val="00F20EAA"/>
    <w:rsid w:val="00F212C9"/>
    <w:rsid w:val="00F3118C"/>
    <w:rsid w:val="00F41647"/>
    <w:rsid w:val="00F5528C"/>
    <w:rsid w:val="00F637D1"/>
    <w:rsid w:val="00F65FB8"/>
    <w:rsid w:val="00F73F60"/>
    <w:rsid w:val="00FC7EF3"/>
    <w:rsid w:val="00FD6D58"/>
    <w:rsid w:val="00FD6D74"/>
    <w:rsid w:val="0B0C5860"/>
    <w:rsid w:val="0CD775F9"/>
    <w:rsid w:val="13D62213"/>
    <w:rsid w:val="32A24E4F"/>
    <w:rsid w:val="3A5D33FD"/>
    <w:rsid w:val="55531FAC"/>
    <w:rsid w:val="583A7E8F"/>
    <w:rsid w:val="58DA5230"/>
    <w:rsid w:val="5DEE1545"/>
    <w:rsid w:val="5EFF2B0B"/>
    <w:rsid w:val="61EE4DA7"/>
    <w:rsid w:val="71ED367E"/>
    <w:rsid w:val="7B3510D9"/>
    <w:rsid w:val="7B94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9A5989C-E47D-4ABF-BCBE-FFC0C9B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ind w:left="432" w:hanging="432"/>
      <w:outlineLvl w:val="0"/>
    </w:pPr>
    <w:rPr>
      <w:b/>
      <w:bCs/>
      <w:kern w:val="44"/>
      <w:sz w:val="44"/>
      <w:szCs w:val="44"/>
    </w:rPr>
  </w:style>
  <w:style w:type="paragraph" w:styleId="2">
    <w:name w:val="heading 2"/>
    <w:basedOn w:val="a"/>
    <w:next w:val="a"/>
    <w:link w:val="20"/>
    <w:qFormat/>
    <w:pPr>
      <w:keepNext/>
      <w:keepLines/>
      <w:spacing w:before="260" w:after="260" w:line="416" w:lineRule="auto"/>
      <w:ind w:left="576" w:hanging="576"/>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ind w:left="720" w:hanging="720"/>
      <w:outlineLvl w:val="2"/>
    </w:pPr>
    <w:rPr>
      <w:b/>
      <w:bCs/>
      <w:sz w:val="32"/>
      <w:szCs w:val="32"/>
    </w:rPr>
  </w:style>
  <w:style w:type="paragraph" w:styleId="4">
    <w:name w:val="heading 4"/>
    <w:basedOn w:val="a"/>
    <w:next w:val="a"/>
    <w:link w:val="40"/>
    <w:qFormat/>
    <w:pPr>
      <w:keepNext/>
      <w:keepLine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ind w:left="1296" w:hanging="1296"/>
      <w:outlineLvl w:val="6"/>
    </w:pPr>
    <w:rPr>
      <w:b/>
      <w:bCs/>
      <w:sz w:val="24"/>
    </w:rPr>
  </w:style>
  <w:style w:type="paragraph" w:styleId="8">
    <w:name w:val="heading 8"/>
    <w:basedOn w:val="a"/>
    <w:next w:val="a"/>
    <w:link w:val="80"/>
    <w:qFormat/>
    <w:pPr>
      <w:keepNext/>
      <w:keepLine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Chars="200" w:firstLine="480"/>
    </w:pPr>
    <w:rPr>
      <w:rFonts w:ascii="宋体" w:hAnsi="宋体"/>
      <w:sz w:val="24"/>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paragraph" w:styleId="TOC1">
    <w:name w:val="toc 1"/>
    <w:semiHidden/>
    <w:pPr>
      <w:jc w:val="both"/>
    </w:pPr>
    <w:rPr>
      <w:rFonts w:ascii="宋体"/>
      <w:sz w:val="21"/>
    </w:r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级条标题"/>
    <w:basedOn w:val="ab"/>
    <w:next w:val="ac"/>
    <w:link w:val="CharChar"/>
    <w:pPr>
      <w:spacing w:beforeLines="0" w:afterLines="0"/>
      <w:ind w:left="900"/>
      <w:outlineLvl w:val="2"/>
    </w:pPr>
  </w:style>
  <w:style w:type="paragraph" w:customStyle="1" w:styleId="ab">
    <w:name w:val="章标题"/>
    <w:next w:val="a"/>
    <w:link w:val="CharChar0"/>
    <w:pPr>
      <w:spacing w:beforeLines="50" w:afterLines="50"/>
      <w:jc w:val="both"/>
      <w:outlineLvl w:val="1"/>
    </w:pPr>
    <w:rPr>
      <w:rFonts w:ascii="黑体" w:eastAsia="黑体"/>
      <w:sz w:val="21"/>
    </w:rPr>
  </w:style>
  <w:style w:type="paragraph" w:customStyle="1" w:styleId="ac">
    <w:name w:val="段"/>
    <w:link w:val="CharChar1"/>
    <w:pPr>
      <w:autoSpaceDE w:val="0"/>
      <w:autoSpaceDN w:val="0"/>
      <w:ind w:firstLineChars="200" w:firstLine="200"/>
      <w:jc w:val="both"/>
    </w:pPr>
    <w:rPr>
      <w:rFonts w:ascii="宋体"/>
      <w:sz w:val="21"/>
    </w:rPr>
  </w:style>
  <w:style w:type="paragraph" w:customStyle="1" w:styleId="Char">
    <w:name w:val="Char"/>
    <w:basedOn w:val="a"/>
    <w:pPr>
      <w:widowControl/>
      <w:spacing w:after="160" w:line="240" w:lineRule="exact"/>
      <w:jc w:val="left"/>
    </w:pPr>
  </w:style>
  <w:style w:type="paragraph" w:customStyle="1" w:styleId="ad">
    <w:name w:val="附录三级条标题"/>
    <w:basedOn w:val="ae"/>
    <w:next w:val="ac"/>
    <w:pPr>
      <w:outlineLvl w:val="4"/>
    </w:pPr>
  </w:style>
  <w:style w:type="paragraph" w:customStyle="1" w:styleId="ae">
    <w:name w:val="附录二级条标题"/>
    <w:basedOn w:val="af"/>
    <w:next w:val="ac"/>
    <w:pPr>
      <w:outlineLvl w:val="3"/>
    </w:pPr>
  </w:style>
  <w:style w:type="paragraph" w:customStyle="1" w:styleId="af">
    <w:name w:val="附录一级条标题"/>
    <w:basedOn w:val="a"/>
    <w:next w:val="ac"/>
    <w:pPr>
      <w:widowControl/>
      <w:wordWrap w:val="0"/>
      <w:overflowPunct w:val="0"/>
      <w:autoSpaceDE w:val="0"/>
      <w:autoSpaceDN w:val="0"/>
      <w:textAlignment w:val="baseline"/>
      <w:outlineLvl w:val="2"/>
    </w:pPr>
    <w:rPr>
      <w:rFonts w:ascii="黑体" w:eastAsia="黑体"/>
      <w:kern w:val="21"/>
      <w:szCs w:val="20"/>
    </w:rPr>
  </w:style>
  <w:style w:type="paragraph" w:customStyle="1" w:styleId="af0">
    <w:name w:val="正文表标题"/>
    <w:next w:val="a"/>
    <w:pPr>
      <w:jc w:val="center"/>
    </w:pPr>
    <w:rPr>
      <w:rFonts w:ascii="黑体" w:eastAsia="黑体"/>
      <w:sz w:val="21"/>
    </w:rPr>
  </w:style>
  <w:style w:type="paragraph" w:customStyle="1" w:styleId="af1">
    <w:name w:val="前言、引言标题"/>
    <w:next w:val="a"/>
    <w:pPr>
      <w:shd w:val="clear" w:color="FFFFFF" w:fill="FFFFFF"/>
      <w:tabs>
        <w:tab w:val="left" w:pos="360"/>
      </w:tabs>
      <w:spacing w:before="640" w:after="560"/>
      <w:jc w:val="center"/>
      <w:outlineLvl w:val="0"/>
    </w:pPr>
    <w:rPr>
      <w:rFonts w:ascii="黑体" w:eastAsia="黑体"/>
      <w:sz w:val="32"/>
    </w:rPr>
  </w:style>
  <w:style w:type="paragraph" w:customStyle="1" w:styleId="af2">
    <w:name w:val="三级无标题条"/>
    <w:basedOn w:val="a"/>
    <w:rPr>
      <w:sz w:val="24"/>
    </w:rPr>
  </w:style>
  <w:style w:type="paragraph" w:customStyle="1" w:styleId="af3">
    <w:name w:val="五级条标题"/>
    <w:basedOn w:val="af4"/>
    <w:next w:val="ac"/>
    <w:pPr>
      <w:ind w:left="0"/>
      <w:outlineLvl w:val="6"/>
    </w:pPr>
  </w:style>
  <w:style w:type="paragraph" w:customStyle="1" w:styleId="af4">
    <w:name w:val="四级条标题"/>
    <w:basedOn w:val="af5"/>
    <w:next w:val="a"/>
    <w:pPr>
      <w:outlineLvl w:val="5"/>
    </w:pPr>
  </w:style>
  <w:style w:type="paragraph" w:customStyle="1" w:styleId="af5">
    <w:name w:val="三级条标题"/>
    <w:basedOn w:val="af6"/>
    <w:next w:val="a"/>
    <w:pPr>
      <w:outlineLvl w:val="4"/>
    </w:pPr>
  </w:style>
  <w:style w:type="paragraph" w:customStyle="1" w:styleId="af6">
    <w:name w:val="二级条标题"/>
    <w:basedOn w:val="aa"/>
    <w:next w:val="a"/>
    <w:link w:val="CharChar2"/>
    <w:pPr>
      <w:tabs>
        <w:tab w:val="left" w:pos="360"/>
      </w:tabs>
      <w:outlineLvl w:val="3"/>
    </w:pPr>
  </w:style>
  <w:style w:type="paragraph" w:customStyle="1" w:styleId="af7">
    <w:name w:val="附录表标题"/>
    <w:next w:val="ac"/>
    <w:pPr>
      <w:tabs>
        <w:tab w:val="left" w:pos="360"/>
      </w:tabs>
      <w:jc w:val="center"/>
      <w:textAlignment w:val="baseline"/>
    </w:pPr>
    <w:rPr>
      <w:rFonts w:ascii="黑体" w:eastAsia="黑体"/>
      <w:kern w:val="21"/>
      <w:sz w:val="21"/>
    </w:rPr>
  </w:style>
  <w:style w:type="paragraph" w:customStyle="1" w:styleId="af8">
    <w:name w:val="一级无标题条"/>
    <w:basedOn w:val="a"/>
    <w:rPr>
      <w:sz w:val="24"/>
    </w:rPr>
  </w:style>
  <w:style w:type="paragraph" w:customStyle="1" w:styleId="af9">
    <w:name w:val="标准书眉_偶数页"/>
    <w:basedOn w:val="a"/>
    <w:next w:val="a"/>
    <w:pPr>
      <w:widowControl/>
      <w:tabs>
        <w:tab w:val="center" w:pos="4154"/>
        <w:tab w:val="right" w:pos="8306"/>
      </w:tabs>
      <w:spacing w:after="120"/>
      <w:jc w:val="left"/>
    </w:pPr>
    <w:rPr>
      <w:kern w:val="0"/>
      <w:szCs w:val="20"/>
    </w:rPr>
  </w:style>
  <w:style w:type="paragraph" w:customStyle="1" w:styleId="afa">
    <w:name w:val="二级无标题条"/>
    <w:basedOn w:val="a"/>
    <w:rPr>
      <w:sz w:val="24"/>
    </w:rPr>
  </w:style>
  <w:style w:type="paragraph" w:customStyle="1" w:styleId="afb">
    <w:name w:val="章节标题"/>
    <w:basedOn w:val="a"/>
    <w:pPr>
      <w:widowControl/>
      <w:tabs>
        <w:tab w:val="left" w:pos="525"/>
      </w:tabs>
      <w:spacing w:after="160" w:line="240" w:lineRule="exact"/>
      <w:ind w:left="525" w:hanging="525"/>
      <w:jc w:val="left"/>
    </w:pPr>
    <w:rPr>
      <w:rFonts w:ascii="Verdana" w:hAnsi="Verdana"/>
      <w:kern w:val="0"/>
      <w:sz w:val="20"/>
      <w:szCs w:val="20"/>
      <w:lang w:eastAsia="en-US"/>
    </w:rPr>
  </w:style>
  <w:style w:type="paragraph" w:customStyle="1" w:styleId="afc">
    <w:name w:val="四级无标题条"/>
    <w:basedOn w:val="a"/>
    <w:rPr>
      <w:sz w:val="24"/>
    </w:rPr>
  </w:style>
  <w:style w:type="paragraph" w:customStyle="1" w:styleId="afd">
    <w:name w:val="附录图标题"/>
    <w:next w:val="ac"/>
    <w:pPr>
      <w:tabs>
        <w:tab w:val="left" w:pos="360"/>
      </w:tabs>
      <w:jc w:val="center"/>
    </w:pPr>
    <w:rPr>
      <w:rFonts w:ascii="黑体" w:eastAsia="黑体"/>
      <w:sz w:val="21"/>
    </w:rPr>
  </w:style>
  <w:style w:type="paragraph" w:customStyle="1" w:styleId="afe">
    <w:name w:val="附录四级条标题"/>
    <w:basedOn w:val="ad"/>
    <w:next w:val="ac"/>
    <w:pPr>
      <w:outlineLvl w:val="5"/>
    </w:pPr>
  </w:style>
  <w:style w:type="paragraph" w:customStyle="1" w:styleId="CharCharCharCharCharCharCharCharCharChar">
    <w:name w:val="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aff">
    <w:name w:val="图表脚注"/>
    <w:next w:val="ac"/>
    <w:pPr>
      <w:ind w:leftChars="200" w:left="300" w:hangingChars="100" w:hanging="100"/>
      <w:jc w:val="both"/>
    </w:pPr>
    <w:rPr>
      <w:rFonts w:ascii="宋体"/>
      <w:sz w:val="18"/>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aff0">
    <w:name w:val="五级无标题条"/>
    <w:basedOn w:val="a"/>
    <w:rPr>
      <w:sz w:val="24"/>
    </w:rPr>
  </w:style>
  <w:style w:type="paragraph" w:customStyle="1" w:styleId="aff1">
    <w:name w:val="实施日期"/>
    <w:basedOn w:val="a"/>
    <w:pPr>
      <w:framePr w:w="4000" w:h="473" w:hRule="exact" w:vSpace="180" w:wrap="around" w:hAnchor="margin" w:xAlign="right" w:y="13511" w:anchorLock="1"/>
      <w:widowControl/>
      <w:ind w:left="525"/>
      <w:jc w:val="right"/>
    </w:pPr>
    <w:rPr>
      <w:rFonts w:eastAsia="黑体"/>
      <w:kern w:val="0"/>
      <w:sz w:val="28"/>
      <w:szCs w:val="20"/>
    </w:rPr>
  </w:style>
  <w:style w:type="paragraph" w:customStyle="1" w:styleId="aff2">
    <w:name w:val="封面标准名称"/>
    <w:pPr>
      <w:widowControl w:val="0"/>
      <w:spacing w:line="680" w:lineRule="exact"/>
      <w:jc w:val="center"/>
      <w:textAlignment w:val="center"/>
    </w:pPr>
    <w:rPr>
      <w:rFonts w:ascii="黑体" w:eastAsia="黑体"/>
      <w:sz w:val="52"/>
    </w:rPr>
  </w:style>
  <w:style w:type="paragraph" w:customStyle="1" w:styleId="aff3">
    <w:name w:val="标准书脚_奇数页"/>
    <w:pPr>
      <w:spacing w:before="120"/>
      <w:jc w:val="right"/>
    </w:pPr>
    <w:rPr>
      <w:sz w:val="18"/>
    </w:rPr>
  </w:style>
  <w:style w:type="character" w:customStyle="1" w:styleId="CharChar">
    <w:name w:val="一级条标题 Char Char"/>
    <w:basedOn w:val="a0"/>
    <w:link w:val="aa"/>
    <w:rPr>
      <w:rFonts w:ascii="黑体" w:eastAsia="黑体"/>
      <w:sz w:val="21"/>
    </w:rPr>
  </w:style>
  <w:style w:type="character" w:customStyle="1" w:styleId="20">
    <w:name w:val="标题 2 字符"/>
    <w:basedOn w:val="a0"/>
    <w:link w:val="2"/>
    <w:rPr>
      <w:rFonts w:ascii="Arial" w:eastAsia="黑体" w:hAnsi="Arial"/>
      <w:b/>
      <w:bCs/>
      <w:kern w:val="2"/>
      <w:sz w:val="32"/>
      <w:szCs w:val="32"/>
    </w:rPr>
  </w:style>
  <w:style w:type="character" w:customStyle="1" w:styleId="80">
    <w:name w:val="标题 8 字符"/>
    <w:basedOn w:val="a0"/>
    <w:link w:val="8"/>
    <w:rPr>
      <w:rFonts w:ascii="Arial" w:eastAsia="黑体" w:hAnsi="Arial"/>
      <w:kern w:val="2"/>
      <w:sz w:val="24"/>
      <w:szCs w:val="24"/>
    </w:rPr>
  </w:style>
  <w:style w:type="character" w:customStyle="1" w:styleId="60">
    <w:name w:val="标题 6 字符"/>
    <w:basedOn w:val="a0"/>
    <w:link w:val="6"/>
    <w:rPr>
      <w:rFonts w:ascii="Arial" w:eastAsia="黑体" w:hAnsi="Arial"/>
      <w:b/>
      <w:bCs/>
      <w:kern w:val="2"/>
      <w:sz w:val="24"/>
      <w:szCs w:val="24"/>
    </w:rPr>
  </w:style>
  <w:style w:type="character" w:customStyle="1" w:styleId="a5">
    <w:name w:val="页脚 字符"/>
    <w:basedOn w:val="a0"/>
    <w:link w:val="a4"/>
    <w:uiPriority w:val="99"/>
    <w:rPr>
      <w:kern w:val="2"/>
      <w:sz w:val="18"/>
      <w:szCs w:val="18"/>
    </w:rPr>
  </w:style>
  <w:style w:type="character" w:customStyle="1" w:styleId="40">
    <w:name w:val="标题 4 字符"/>
    <w:basedOn w:val="a0"/>
    <w:link w:val="4"/>
    <w:rPr>
      <w:rFonts w:ascii="Arial" w:eastAsia="黑体" w:hAnsi="Arial"/>
      <w:b/>
      <w:bCs/>
      <w:kern w:val="2"/>
      <w:sz w:val="28"/>
      <w:szCs w:val="28"/>
    </w:rPr>
  </w:style>
  <w:style w:type="character" w:customStyle="1" w:styleId="70">
    <w:name w:val="标题 7 字符"/>
    <w:basedOn w:val="a0"/>
    <w:link w:val="7"/>
    <w:rPr>
      <w:b/>
      <w:bCs/>
      <w:kern w:val="2"/>
      <w:sz w:val="24"/>
      <w:szCs w:val="24"/>
    </w:rPr>
  </w:style>
  <w:style w:type="character" w:customStyle="1" w:styleId="30">
    <w:name w:val="标题 3 字符"/>
    <w:basedOn w:val="a0"/>
    <w:link w:val="3"/>
    <w:rPr>
      <w:b/>
      <w:bCs/>
      <w:kern w:val="2"/>
      <w:sz w:val="32"/>
      <w:szCs w:val="32"/>
    </w:rPr>
  </w:style>
  <w:style w:type="character" w:customStyle="1" w:styleId="10">
    <w:name w:val="标题 1 字符"/>
    <w:basedOn w:val="a0"/>
    <w:link w:val="1"/>
    <w:rPr>
      <w:b/>
      <w:bCs/>
      <w:kern w:val="44"/>
      <w:sz w:val="44"/>
      <w:szCs w:val="44"/>
    </w:rPr>
  </w:style>
  <w:style w:type="character" w:customStyle="1" w:styleId="CharChar0">
    <w:name w:val="章标题 Char Char"/>
    <w:basedOn w:val="a0"/>
    <w:link w:val="ab"/>
    <w:rPr>
      <w:rFonts w:ascii="黑体" w:eastAsia="黑体"/>
      <w:sz w:val="21"/>
    </w:rPr>
  </w:style>
  <w:style w:type="character" w:customStyle="1" w:styleId="Char0">
    <w:name w:val="段 Char"/>
    <w:basedOn w:val="a0"/>
    <w:rPr>
      <w:rFonts w:ascii="宋体"/>
      <w:sz w:val="21"/>
      <w:lang w:val="en-US" w:eastAsia="zh-CN" w:bidi="ar-SA"/>
    </w:rPr>
  </w:style>
  <w:style w:type="character" w:customStyle="1" w:styleId="a7">
    <w:name w:val="页眉 字符"/>
    <w:basedOn w:val="a0"/>
    <w:link w:val="a6"/>
    <w:uiPriority w:val="99"/>
    <w:rPr>
      <w:kern w:val="2"/>
      <w:sz w:val="18"/>
      <w:szCs w:val="18"/>
    </w:rPr>
  </w:style>
  <w:style w:type="character" w:customStyle="1" w:styleId="50">
    <w:name w:val="标题 5 字符"/>
    <w:basedOn w:val="a0"/>
    <w:link w:val="5"/>
    <w:rPr>
      <w:b/>
      <w:bCs/>
      <w:kern w:val="2"/>
      <w:sz w:val="28"/>
      <w:szCs w:val="28"/>
    </w:rPr>
  </w:style>
  <w:style w:type="character" w:customStyle="1" w:styleId="CharChar1">
    <w:name w:val="段 Char Char"/>
    <w:basedOn w:val="a0"/>
    <w:link w:val="ac"/>
    <w:rPr>
      <w:rFonts w:ascii="宋体"/>
      <w:sz w:val="21"/>
      <w:lang w:val="en-US" w:eastAsia="zh-CN" w:bidi="ar-SA"/>
    </w:rPr>
  </w:style>
  <w:style w:type="character" w:customStyle="1" w:styleId="CharChar2">
    <w:name w:val="二级条标题 Char Char"/>
    <w:basedOn w:val="a0"/>
    <w:link w:val="af6"/>
    <w:rPr>
      <w:rFonts w:ascii="黑体" w:eastAsia="黑体"/>
      <w:sz w:val="21"/>
    </w:rPr>
  </w:style>
  <w:style w:type="character" w:customStyle="1" w:styleId="90">
    <w:name w:val="标题 9 字符"/>
    <w:basedOn w:val="a0"/>
    <w:link w:val="9"/>
    <w:rPr>
      <w:rFonts w:ascii="Arial" w:eastAsia="黑体" w:hAnsi="Arial"/>
      <w:kern w:val="2"/>
      <w:sz w:val="21"/>
      <w:szCs w:val="21"/>
    </w:rPr>
  </w:style>
  <w:style w:type="paragraph" w:customStyle="1" w:styleId="aff4">
    <w:name w:val="标准书眉_奇数页"/>
    <w:next w:val="a"/>
    <w:pPr>
      <w:tabs>
        <w:tab w:val="center" w:pos="4154"/>
        <w:tab w:val="right" w:pos="8306"/>
      </w:tabs>
      <w:spacing w:after="120"/>
      <w:jc w:val="righ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907</Words>
  <Characters>5173</Characters>
  <Application>Microsoft Office Word</Application>
  <DocSecurity>0</DocSecurity>
  <Lines>43</Lines>
  <Paragraphs>12</Paragraphs>
  <ScaleCrop>false</ScaleCrop>
  <Company>信念技术论坛</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creator>think</dc:creator>
  <cp:lastModifiedBy>m zhx</cp:lastModifiedBy>
  <cp:revision>5</cp:revision>
  <cp:lastPrinted>2016-05-22T09:38:00Z</cp:lastPrinted>
  <dcterms:created xsi:type="dcterms:W3CDTF">2016-12-04T08:09:00Z</dcterms:created>
  <dcterms:modified xsi:type="dcterms:W3CDTF">2018-08-16T08:58:00Z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