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png" Extension="png"/>
  <Default ContentType="image/x-wmf" Extension="w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
        <w:rPr>
          <w:rFonts w:ascii="Times New Roman" w:cs="Times New Roman"/>
        </w:rPr>
      </w:pPr>
      <w:bookmarkStart w:id="0" w:name="_Toc48717817"/>
      <w:bookmarkStart w:id="1" w:name="_Toc49776953"/>
      <w:bookmarkStart w:id="2" w:name="SectionMark0"/>
    </w:p>
    <w:p>
      <w:pPr>
        <w:pStyle w:val="11"/>
        <w:rPr>
          <w:rFonts w:ascii="Times New Roman" w:cs="Times New Roman"/>
        </w:rPr>
      </w:pPr>
    </w:p>
    <w:p>
      <w:pPr>
        <w:pStyle w:val="11"/>
        <w:rPr>
          <w:rFonts w:ascii="Times New Roman" w:cs="Times New Roman"/>
        </w:rPr>
        <w:sectPr>
          <w:headerReference r:id="rId6" w:type="first"/>
          <w:footerReference r:id="rId9" w:type="first"/>
          <w:headerReference r:id="rId4" w:type="default"/>
          <w:footerReference r:id="rId7" w:type="default"/>
          <w:headerReference r:id="rId5" w:type="even"/>
          <w:footerReference r:id="rId8" w:type="even"/>
          <w:pgSz w:w="11906" w:h="16838"/>
          <w:pgMar w:top="567" w:right="1134" w:bottom="1361" w:left="1418" w:header="0" w:footer="0" w:gutter="0"/>
          <w:pgNumType w:fmt="upperRoman" w:start="1"/>
          <w:cols w:space="720" w:num="1"/>
          <w:titlePg/>
          <w:docGrid w:type="linesAndChars" w:linePitch="312" w:charSpace="0"/>
        </w:sectPr>
      </w:pPr>
      <w:r>
        <w:rPr>
          <w:rFonts w:ascii="宋体" w:hAnsi="Times New Roman" w:eastAsia="宋体" w:cs="宋体"/>
          <w:kern w:val="2"/>
          <w:sz w:val="21"/>
          <w:szCs w:val="21"/>
          <w:lang w:val="en-US" w:eastAsia="zh-CN" w:bidi="ar-SA"/>
        </w:rPr>
        <w:pict>
          <v:line id="Line 16" o:spid="_x0000_s1026" style="position:absolute;left:0;margin-left:-7.75pt;margin-top:157.85pt;height:0.05pt;width:476.85pt;rotation:0f;z-index:2516654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Times New Roman" w:eastAsia="宋体" w:cs="宋体"/>
          <w:kern w:val="2"/>
          <w:sz w:val="21"/>
          <w:szCs w:val="21"/>
          <w:lang w:val="en-US" w:eastAsia="zh-CN" w:bidi="ar-SA"/>
        </w:rPr>
        <w:pict>
          <v:line id="Line 68" o:spid="_x0000_s1027" style="position:absolute;left:0;margin-left:-7.75pt;margin-top:669.7pt;height:0.05pt;width:476.85pt;rotation:0f;z-index:25166438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Times New Roman" w:eastAsia="宋体" w:cs="宋体"/>
          <w:kern w:val="2"/>
          <w:sz w:val="21"/>
          <w:szCs w:val="21"/>
          <w:lang w:val="en-US" w:eastAsia="zh-CN" w:bidi="ar-SA"/>
        </w:rPr>
        <w:pict>
          <v:shape id="fmFrame3" o:spid="_x0000_s1028" type="#_x0000_t202" style="position:absolute;left:0;margin-left:3.2pt;margin-top:146.4pt;height:61.9pt;width:456.9pt;mso-position-horizontal-relative:margin;mso-position-vertical-relative:margin;rotation:0f;z-index:251663360;" o:ole="f" fillcolor="#FFFFFF" filled="t" o:preferrelative="t" stroked="f" coordorigin="0,0" coordsize="21600,21600">
            <v:imagedata gain="65536f" blacklevel="0f" gamma="0"/>
            <o:lock v:ext="edit" position="f" selection="f" grouping="f" rotation="f" cropping="f" text="f" aspectratio="f"/>
            <v:textbox inset="0.00pt,0.00pt,0.00pt,0.00pt">
              <w:txbxContent>
                <w:p>
                  <w:pPr>
                    <w:kinsoku w:val="0"/>
                    <w:overflowPunct w:val="0"/>
                    <w:autoSpaceDE w:val="0"/>
                    <w:autoSpaceDN w:val="0"/>
                    <w:spacing w:line="0" w:lineRule="atLeast"/>
                    <w:jc w:val="center"/>
                    <w:rPr>
                      <w:rFonts w:ascii="黑体" w:hAnsi="黑体" w:eastAsia="黑体" w:cs="黑体"/>
                      <w:sz w:val="28"/>
                      <w:szCs w:val="28"/>
                    </w:rPr>
                  </w:pPr>
                  <w:r>
                    <w:rPr>
                      <w:rFonts w:hint="eastAsia" w:eastAsia="黑体"/>
                      <w:sz w:val="28"/>
                      <w:szCs w:val="28"/>
                    </w:rPr>
                    <w:t xml:space="preserve">                                               </w:t>
                  </w:r>
                  <w:r>
                    <w:rPr>
                      <w:rFonts w:hint="eastAsia" w:ascii="黑体" w:hAnsi="黑体" w:eastAsia="黑体" w:cs="黑体"/>
                      <w:sz w:val="28"/>
                      <w:szCs w:val="28"/>
                    </w:rPr>
                    <w:t>YS/T XX-20xx</w:t>
                  </w:r>
                </w:p>
                <w:p>
                  <w:pPr>
                    <w:pStyle w:val="58"/>
                    <w:wordWrap w:val="0"/>
                    <w:ind w:right="700"/>
                  </w:pPr>
                </w:p>
              </w:txbxContent>
            </v:textbox>
            <w10:anchorlock/>
          </v:shape>
        </w:pict>
      </w:r>
      <w:r>
        <w:rPr>
          <w:rFonts w:ascii="宋体" w:hAnsi="Times New Roman" w:eastAsia="宋体" w:cs="Times New Roman"/>
          <w:kern w:val="2"/>
          <w:sz w:val="21"/>
          <w:szCs w:val="21"/>
          <w:lang w:val="en-US" w:eastAsia="zh-CN" w:bidi="ar-SA"/>
        </w:rPr>
        <w:pict>
          <v:shape id="Picture 1" o:spid="_x0000_s1029" type="#_x0000_t75" style="height:108.85pt;width:467.1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ascii="宋体" w:hAnsi="Times New Roman" w:eastAsia="宋体" w:cs="宋体"/>
          <w:kern w:val="2"/>
          <w:sz w:val="21"/>
          <w:szCs w:val="21"/>
          <w:lang w:val="en-US" w:eastAsia="zh-CN" w:bidi="ar-SA"/>
        </w:rPr>
        <w:pict>
          <v:shape id="fmFrame1" o:spid="_x0000_s1030" type="#_x0000_t202" style="position:absolute;left:0;margin-left:-7.8pt;margin-top:2.85pt;height:40.5pt;width:189.5pt;mso-position-horizontal-relative:margin;mso-position-vertical-relative:margin;rotation:0f;z-index:251662336;"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29"/>
                    <w:rPr>
                      <w:rFonts w:ascii="黑体"/>
                    </w:rPr>
                  </w:pPr>
                  <w:r>
                    <w:rPr>
                      <w:rFonts w:ascii="黑体" w:hAnsi="黑体" w:cs="黑体"/>
                    </w:rPr>
                    <w:t>ICS 77.120.</w:t>
                  </w:r>
                  <w:r>
                    <w:rPr>
                      <w:rFonts w:hint="eastAsia" w:ascii="黑体" w:hAnsi="黑体" w:cs="黑体"/>
                    </w:rPr>
                    <w:t>99</w:t>
                  </w:r>
                </w:p>
                <w:p>
                  <w:pPr>
                    <w:pStyle w:val="29"/>
                    <w:rPr>
                      <w:rFonts w:ascii="黑体"/>
                    </w:rPr>
                  </w:pPr>
                  <w:r>
                    <w:rPr>
                      <w:rFonts w:ascii="黑体" w:hAnsi="黑体" w:cs="黑体"/>
                    </w:rPr>
                    <w:t xml:space="preserve">H </w:t>
                  </w:r>
                  <w:r>
                    <w:rPr>
                      <w:rFonts w:hint="eastAsia" w:ascii="黑体" w:hAnsi="黑体" w:cs="黑体"/>
                    </w:rPr>
                    <w:t>15</w:t>
                  </w:r>
                </w:p>
                <w:p>
                  <w:pPr>
                    <w:pStyle w:val="29"/>
                  </w:pPr>
                </w:p>
              </w:txbxContent>
            </v:textbox>
            <w10:anchorlock/>
          </v:shape>
        </w:pict>
      </w:r>
      <w:r>
        <w:rPr>
          <w:rFonts w:ascii="宋体" w:hAnsi="Times New Roman" w:eastAsia="宋体" w:cs="宋体"/>
          <w:kern w:val="2"/>
          <w:sz w:val="21"/>
          <w:szCs w:val="21"/>
          <w:lang w:val="en-US" w:eastAsia="zh-CN" w:bidi="ar-SA"/>
        </w:rPr>
        <w:pict>
          <v:shape id="fmFrame7" o:spid="_x0000_s1031" type="#_x0000_t202" style="position:absolute;left:0;margin-left:-12.8pt;margin-top:695pt;height:62.5pt;width:481.9pt;mso-position-horizontal-relative:margin;mso-position-vertical-relative:margin;rotation:0f;z-index:251661312;"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39"/>
                    <w:spacing w:line="340" w:lineRule="exact"/>
                    <w:jc w:val="both"/>
                    <w:rPr>
                      <w:rFonts w:ascii="黑体" w:eastAsia="黑体" w:cs="Times New Roman"/>
                      <w:b w:val="0"/>
                      <w:bCs w:val="0"/>
                      <w:sz w:val="28"/>
                      <w:szCs w:val="28"/>
                    </w:rPr>
                  </w:pPr>
                </w:p>
                <w:p>
                  <w:pPr>
                    <w:pStyle w:val="62"/>
                  </w:pPr>
                  <w:r>
                    <w:rPr>
                      <w:rFonts w:hint="eastAsia"/>
                    </w:rPr>
                    <w:t>中华人民共和国工业和信息化部</w:t>
                  </w:r>
                  <w:r>
                    <w:rPr>
                      <w:rStyle w:val="77"/>
                      <w:rFonts w:hint="eastAsia"/>
                    </w:rPr>
                    <w:t xml:space="preserve"> 发布</w:t>
                  </w:r>
                </w:p>
                <w:p>
                  <w:pPr>
                    <w:pStyle w:val="30"/>
                    <w:ind w:firstLine="440"/>
                  </w:pPr>
                </w:p>
                <w:p>
                  <w:pPr>
                    <w:pStyle w:val="30"/>
                    <w:ind w:firstLine="440"/>
                  </w:pPr>
                </w:p>
                <w:p>
                  <w:pPr>
                    <w:pStyle w:val="30"/>
                    <w:ind w:firstLine="440"/>
                  </w:pPr>
                </w:p>
              </w:txbxContent>
            </v:textbox>
            <w10:anchorlock/>
          </v:shape>
        </w:pict>
      </w:r>
      <w:r>
        <w:rPr>
          <w:rFonts w:ascii="宋体" w:hAnsi="Times New Roman" w:eastAsia="宋体" w:cs="宋体"/>
          <w:kern w:val="2"/>
          <w:sz w:val="21"/>
          <w:szCs w:val="21"/>
          <w:lang w:val="en-US" w:eastAsia="zh-CN" w:bidi="ar-SA"/>
        </w:rPr>
        <w:pict>
          <v:shape id="fmFrame6" o:spid="_x0000_s1032" type="#_x0000_t202" style="position:absolute;left:0;margin-left:301.1pt;margin-top:670.4pt;height:24.6pt;width:159pt;mso-position-horizontal-relative:margin;mso-position-vertical-relative:margin;rotation:0f;z-index:251660288;"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right"/>
                    <w:rPr>
                      <w:rFonts w:ascii="黑体" w:hAnsi="黑体" w:eastAsia="黑体" w:cs="黑体"/>
                      <w:sz w:val="28"/>
                      <w:szCs w:val="28"/>
                    </w:rPr>
                  </w:pPr>
                  <w:r>
                    <w:rPr>
                      <w:rFonts w:ascii="黑体" w:hAnsi="黑体" w:eastAsia="黑体" w:cs="黑体"/>
                      <w:sz w:val="28"/>
                      <w:szCs w:val="28"/>
                    </w:rPr>
                    <w:t>XXXX-XX-XX</w:t>
                  </w:r>
                  <w:r>
                    <w:rPr>
                      <w:rFonts w:hint="eastAsia" w:ascii="黑体" w:hAnsi="黑体" w:eastAsia="黑体" w:cs="黑体"/>
                      <w:sz w:val="28"/>
                      <w:szCs w:val="28"/>
                    </w:rPr>
                    <w:t>实施</w:t>
                  </w:r>
                  <w:r>
                    <w:rPr>
                      <w:rFonts w:ascii="黑体" w:hAnsi="黑体" w:eastAsia="黑体" w:cs="黑体"/>
                      <w:sz w:val="28"/>
                      <w:szCs w:val="28"/>
                    </w:rPr>
                    <w:t xml:space="preserve">   </w:t>
                  </w:r>
                </w:p>
              </w:txbxContent>
            </v:textbox>
            <w10:anchorlock/>
          </v:shape>
        </w:pict>
      </w:r>
      <w:r>
        <w:rPr>
          <w:rFonts w:ascii="宋体" w:hAnsi="Times New Roman" w:eastAsia="宋体" w:cs="宋体"/>
          <w:kern w:val="2"/>
          <w:sz w:val="21"/>
          <w:szCs w:val="21"/>
          <w:lang w:val="en-US" w:eastAsia="zh-CN" w:bidi="ar-SA"/>
        </w:rPr>
        <w:pict>
          <v:shape id="fmFrame5" o:spid="_x0000_s1033" type="#_x0000_t202" style="position:absolute;left:0;margin-left:0pt;margin-top:670.6pt;height:24.6pt;width:159pt;mso-position-horizontal-relative:margin;mso-position-vertical-relative:margin;rotation:0f;z-index:251659264;"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51"/>
                    <w:rPr>
                      <w:rFonts w:ascii="黑体"/>
                    </w:rPr>
                  </w:pPr>
                  <w:r>
                    <w:rPr>
                      <w:rFonts w:ascii="黑体" w:cs="黑体"/>
                    </w:rPr>
                    <w:t>XXXX-XX-XX</w:t>
                  </w:r>
                  <w:r>
                    <w:rPr>
                      <w:rFonts w:hint="eastAsia" w:ascii="黑体" w:cs="黑体"/>
                    </w:rPr>
                    <w:t>发布</w:t>
                  </w:r>
                </w:p>
                <w:p/>
              </w:txbxContent>
            </v:textbox>
            <w10:anchorlock/>
          </v:shape>
        </w:pict>
      </w:r>
      <w:r>
        <w:rPr>
          <w:rFonts w:ascii="宋体" w:hAnsi="Times New Roman" w:eastAsia="宋体" w:cs="宋体"/>
          <w:kern w:val="2"/>
          <w:sz w:val="21"/>
          <w:szCs w:val="21"/>
          <w:lang w:val="en-US" w:eastAsia="zh-CN" w:bidi="ar-SA"/>
        </w:rPr>
        <w:pict>
          <v:shape id="fmFrame4" o:spid="_x0000_s1034" type="#_x0000_t202" style="position:absolute;left:0;margin-left:-0.9pt;margin-top:218.8pt;height:436.3pt;width:470pt;mso-position-horizontal-relative:margin;mso-position-vertical-relative:margin;rotation:0f;z-index:251658240;"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center"/>
                    <w:rPr>
                      <w:rFonts w:ascii="黑体" w:eastAsia="黑体"/>
                      <w:sz w:val="52"/>
                      <w:szCs w:val="52"/>
                    </w:rPr>
                  </w:pPr>
                </w:p>
                <w:p>
                  <w:pPr>
                    <w:jc w:val="center"/>
                    <w:rPr>
                      <w:rFonts w:ascii="黑体" w:hAnsi="黑体" w:eastAsia="黑体" w:cs="黑体"/>
                      <w:sz w:val="52"/>
                      <w:szCs w:val="52"/>
                    </w:rPr>
                  </w:pPr>
                  <w:r>
                    <w:rPr>
                      <w:rFonts w:hint="eastAsia" w:ascii="黑体" w:hAnsi="黑体" w:eastAsia="黑体" w:cs="黑体"/>
                      <w:sz w:val="52"/>
                      <w:szCs w:val="52"/>
                    </w:rPr>
                    <w:t xml:space="preserve">二氯二氨钯化学分析方法 </w:t>
                  </w:r>
                </w:p>
                <w:p>
                  <w:pPr>
                    <w:jc w:val="center"/>
                    <w:rPr>
                      <w:rFonts w:ascii="黑体" w:hAnsi="黑体" w:eastAsia="黑体" w:cs="黑体"/>
                      <w:sz w:val="52"/>
                      <w:szCs w:val="52"/>
                    </w:rPr>
                  </w:pPr>
                  <w:r>
                    <w:rPr>
                      <w:rFonts w:hint="eastAsia" w:ascii="黑体" w:hAnsi="黑体" w:eastAsia="黑体" w:cs="黑体"/>
                      <w:sz w:val="52"/>
                      <w:szCs w:val="52"/>
                    </w:rPr>
                    <w:t xml:space="preserve">第1部分：钯量的测定 </w:t>
                  </w:r>
                </w:p>
                <w:p>
                  <w:pPr>
                    <w:jc w:val="center"/>
                    <w:rPr>
                      <w:rFonts w:eastAsia="黑体"/>
                      <w:bCs/>
                      <w:sz w:val="52"/>
                      <w:szCs w:val="52"/>
                    </w:rPr>
                  </w:pPr>
                  <w:r>
                    <w:rPr>
                      <w:rFonts w:hint="eastAsia" w:ascii="黑体" w:hAnsi="黑体" w:eastAsia="黑体" w:cs="黑体"/>
                      <w:sz w:val="52"/>
                      <w:szCs w:val="52"/>
                    </w:rPr>
                    <w:t>水合肼还原重量法</w:t>
                  </w:r>
                </w:p>
                <w:p>
                  <w:pPr>
                    <w:pStyle w:val="60"/>
                    <w:spacing w:before="0" w:line="160" w:lineRule="atLeast"/>
                    <w:ind w:firstLine="0" w:firstLineChars="0"/>
                  </w:pPr>
                  <w:r>
                    <w:t>Methods for chemical analysis of</w:t>
                  </w:r>
                  <w:r>
                    <w:rPr>
                      <w:rFonts w:hint="eastAsia"/>
                    </w:rPr>
                    <w:t xml:space="preserve"> Dichlorodiammine palladium(Ⅱ)</w:t>
                  </w:r>
                  <w:r>
                    <w:t xml:space="preserve"> —</w:t>
                  </w:r>
                </w:p>
                <w:p>
                  <w:pPr>
                    <w:pStyle w:val="60"/>
                    <w:spacing w:before="0" w:line="160" w:lineRule="atLeast"/>
                    <w:ind w:firstLine="0" w:firstLineChars="0"/>
                    <w:rPr>
                      <w:shd w:val="clear" w:color="auto" w:fill="FFFFFF"/>
                    </w:rPr>
                  </w:pPr>
                  <w:r>
                    <w:rPr>
                      <w:rFonts w:hint="eastAsia"/>
                    </w:rPr>
                    <w:t>Part 1:Determination of palladium content</w:t>
                  </w:r>
                  <w:r>
                    <w:t>—</w:t>
                  </w:r>
                </w:p>
                <w:p>
                  <w:pPr>
                    <w:pStyle w:val="60"/>
                    <w:spacing w:before="0" w:line="160" w:lineRule="atLeast"/>
                    <w:ind w:firstLine="0" w:firstLineChars="0"/>
                  </w:pPr>
                  <w:r>
                    <w:rPr>
                      <w:rFonts w:hint="eastAsia"/>
                    </w:rPr>
                    <w:t>Hydrazine hydrate reduction gravimetry</w:t>
                  </w:r>
                </w:p>
                <w:p>
                  <w:pPr>
                    <w:pStyle w:val="60"/>
                    <w:spacing w:before="0" w:line="160" w:lineRule="atLeast"/>
                    <w:ind w:firstLine="0" w:firstLineChars="0"/>
                  </w:pPr>
                </w:p>
                <w:p>
                  <w:pPr>
                    <w:tabs>
                      <w:tab w:val="left" w:pos="3822"/>
                      <w:tab w:val="left" w:pos="5400"/>
                    </w:tabs>
                    <w:spacing w:before="50" w:after="50"/>
                    <w:jc w:val="center"/>
                    <w:rPr>
                      <w:rFonts w:ascii="黑体" w:hAnsi="宋体" w:eastAsia="黑体" w:cs="黑体"/>
                      <w:spacing w:val="6"/>
                      <w:sz w:val="28"/>
                      <w:szCs w:val="28"/>
                    </w:rPr>
                  </w:pPr>
                  <w:r>
                    <w:rPr>
                      <w:rFonts w:ascii="黑体" w:hAnsi="宋体" w:eastAsia="黑体" w:cs="黑体"/>
                      <w:spacing w:val="6"/>
                      <w:sz w:val="28"/>
                      <w:szCs w:val="28"/>
                    </w:rPr>
                    <w:t xml:space="preserve"> (</w:t>
                  </w:r>
                  <w:r>
                    <w:rPr>
                      <w:rFonts w:hint="eastAsia" w:ascii="黑体" w:hAnsi="宋体" w:eastAsia="黑体" w:cs="黑体"/>
                      <w:spacing w:val="6"/>
                      <w:sz w:val="28"/>
                      <w:szCs w:val="28"/>
                    </w:rPr>
                    <w:t>讨论稿</w:t>
                  </w:r>
                  <w:r>
                    <w:rPr>
                      <w:rFonts w:ascii="黑体" w:hAnsi="宋体" w:eastAsia="黑体" w:cs="黑体"/>
                      <w:spacing w:val="6"/>
                      <w:sz w:val="28"/>
                      <w:szCs w:val="28"/>
                    </w:rPr>
                    <w:t>)</w:t>
                  </w:r>
                </w:p>
                <w:p>
                  <w:pPr>
                    <w:pStyle w:val="47"/>
                    <w:rPr>
                      <w:rFonts w:cs="Times New Roman"/>
                      <w:b/>
                      <w:bCs/>
                      <w:sz w:val="30"/>
                      <w:szCs w:val="30"/>
                    </w:rPr>
                  </w:pPr>
                </w:p>
                <w:p>
                  <w:pPr>
                    <w:pStyle w:val="38"/>
                    <w:rPr>
                      <w:rFonts w:cs="Times New Roman"/>
                    </w:rPr>
                  </w:pPr>
                </w:p>
              </w:txbxContent>
            </v:textbox>
            <w10:anchorlock/>
          </v:shape>
        </w:pict>
      </w:r>
      <w:bookmarkEnd w:id="0"/>
      <w:bookmarkEnd w:id="1"/>
    </w:p>
    <w:bookmarkEnd w:id="2"/>
    <w:p>
      <w:pPr>
        <w:pStyle w:val="26"/>
        <w:spacing w:line="340" w:lineRule="exact"/>
        <w:rPr>
          <w:rFonts w:cs="Times New Roman"/>
        </w:rPr>
      </w:pPr>
      <w:r>
        <w:rPr>
          <w:rFonts w:hint="eastAsia"/>
        </w:rPr>
        <w:t>前</w:t>
      </w:r>
      <w:r>
        <w:t xml:space="preserve">    </w:t>
      </w:r>
      <w:r>
        <w:rPr>
          <w:rFonts w:hint="eastAsia"/>
        </w:rPr>
        <w:t>言</w:t>
      </w:r>
    </w:p>
    <w:p>
      <w:pPr>
        <w:snapToGrid w:val="0"/>
        <w:spacing w:line="340" w:lineRule="exact"/>
      </w:pPr>
      <w:r>
        <w:rPr>
          <w:rFonts w:hint="eastAsia"/>
        </w:rPr>
        <w:t>YS/T XXXX 《二氯二氨钯化学分析方法》分为2个部分：</w:t>
      </w:r>
    </w:p>
    <w:p>
      <w:pPr>
        <w:snapToGrid w:val="0"/>
        <w:spacing w:line="340" w:lineRule="exact"/>
      </w:pPr>
      <w:r>
        <w:t>——</w:t>
      </w:r>
      <w:r>
        <w:rPr>
          <w:rFonts w:hint="eastAsia"/>
        </w:rPr>
        <w:t>第1部分：钯量的测定 水合肼还原重量法</w:t>
      </w:r>
    </w:p>
    <w:p>
      <w:pPr>
        <w:snapToGrid w:val="0"/>
        <w:spacing w:line="340" w:lineRule="exact"/>
        <w:ind w:left="420" w:hanging="420" w:hangingChars="200"/>
      </w:pPr>
      <w:r>
        <w:t>——</w:t>
      </w:r>
      <w:r>
        <w:rPr>
          <w:rFonts w:hint="eastAsia"/>
        </w:rPr>
        <w:t>第2部分：银、金、铂、铑、铱、铅、镍、铜、铁、锡、铬量的测定 电感耦合等离子体原子发射光谱法</w:t>
      </w:r>
    </w:p>
    <w:p>
      <w:pPr>
        <w:snapToGrid w:val="0"/>
        <w:spacing w:line="340" w:lineRule="exact"/>
      </w:pPr>
      <w:r>
        <w:rPr>
          <w:rFonts w:hint="eastAsia"/>
        </w:rPr>
        <w:t>本部分为YS/T XXXX 的第1部分。</w:t>
      </w:r>
    </w:p>
    <w:p>
      <w:pPr>
        <w:snapToGrid w:val="0"/>
        <w:spacing w:line="340" w:lineRule="exact"/>
      </w:pPr>
      <w:r>
        <w:t>本标准按照GB/T 1.1—2009给出的规则起草。</w:t>
      </w:r>
    </w:p>
    <w:p>
      <w:pPr>
        <w:snapToGrid w:val="0"/>
        <w:spacing w:line="340" w:lineRule="exact"/>
      </w:pPr>
      <w:r>
        <w:t>本</w:t>
      </w:r>
      <w:r>
        <w:rPr>
          <w:rFonts w:hint="eastAsia"/>
        </w:rPr>
        <w:t>部分</w:t>
      </w:r>
      <w:r>
        <w:t>由全国有色金属标准化技术委员会（SAC/TC 243）提出并归口。</w:t>
      </w:r>
    </w:p>
    <w:p>
      <w:pPr>
        <w:snapToGrid w:val="0"/>
        <w:spacing w:line="340" w:lineRule="exact"/>
      </w:pPr>
      <w:r>
        <w:t>本</w:t>
      </w:r>
      <w:r>
        <w:rPr>
          <w:rFonts w:hint="eastAsia"/>
        </w:rPr>
        <w:t>部分</w:t>
      </w:r>
      <w:r>
        <w:t>起草单位：</w:t>
      </w:r>
    </w:p>
    <w:p>
      <w:pPr>
        <w:snapToGrid w:val="0"/>
        <w:spacing w:line="340" w:lineRule="exact"/>
      </w:pPr>
      <w:r>
        <w:t>本</w:t>
      </w:r>
      <w:r>
        <w:rPr>
          <w:rFonts w:hint="eastAsia"/>
        </w:rPr>
        <w:t>部分</w:t>
      </w:r>
      <w:r>
        <w:t>主要起草人：</w:t>
      </w:r>
    </w:p>
    <w:p>
      <w:pPr>
        <w:snapToGrid w:val="0"/>
        <w:spacing w:line="340" w:lineRule="exact"/>
        <w:ind w:firstLine="420" w:firstLineChars="200"/>
      </w:pPr>
    </w:p>
    <w:p>
      <w:pPr>
        <w:spacing w:line="340" w:lineRule="exact"/>
        <w:ind w:firstLine="420" w:firstLineChars="200"/>
        <w:rPr>
          <w:rFonts w:ascii="宋体" w:hAnsi="宋体" w:cs="宋体"/>
        </w:rPr>
      </w:pPr>
    </w:p>
    <w:p>
      <w:pPr>
        <w:spacing w:line="340" w:lineRule="exact"/>
        <w:ind w:firstLine="420" w:firstLineChars="200"/>
        <w:rPr>
          <w:rFonts w:ascii="宋体" w:hAnsi="宋体" w:cs="宋体"/>
        </w:rPr>
      </w:pPr>
    </w:p>
    <w:p>
      <w:pPr>
        <w:ind w:firstLine="321" w:firstLineChars="100"/>
        <w:jc w:val="center"/>
        <w:rPr>
          <w:rFonts w:ascii="黑体" w:eastAsia="黑体"/>
          <w:b/>
          <w:bCs/>
          <w:sz w:val="32"/>
          <w:szCs w:val="32"/>
        </w:rPr>
      </w:pPr>
    </w:p>
    <w:p>
      <w:pPr>
        <w:ind w:firstLine="435"/>
        <w:rPr>
          <w:rFonts w:ascii="宋体"/>
        </w:rPr>
      </w:pPr>
    </w:p>
    <w:p>
      <w:pPr>
        <w:spacing w:line="340" w:lineRule="exact"/>
        <w:ind w:left="420" w:leftChars="200"/>
        <w:rPr>
          <w:rFonts w:ascii="宋体"/>
        </w:rPr>
      </w:pPr>
    </w:p>
    <w:p>
      <w:pPr>
        <w:spacing w:line="340" w:lineRule="exact"/>
        <w:ind w:left="420" w:leftChars="200"/>
        <w:rPr>
          <w:rFonts w:ascii="宋体"/>
        </w:rPr>
        <w:sectPr>
          <w:footerReference r:id="rId10" w:type="default"/>
          <w:pgSz w:w="11906" w:h="16838"/>
          <w:pgMar w:top="1418" w:right="1134" w:bottom="1440" w:left="1418" w:header="851" w:footer="992" w:gutter="0"/>
          <w:pgNumType w:fmt="upperRoman" w:start="1"/>
          <w:cols w:space="720" w:num="1"/>
          <w:docGrid w:type="linesAndChars" w:linePitch="312" w:charSpace="0"/>
        </w:sectPr>
      </w:pPr>
    </w:p>
    <w:p>
      <w:pPr>
        <w:jc w:val="center"/>
        <w:rPr>
          <w:rFonts w:ascii="黑体" w:hAnsi="黑体" w:eastAsia="黑体" w:cs="黑体"/>
          <w:sz w:val="32"/>
          <w:szCs w:val="32"/>
        </w:rPr>
      </w:pPr>
      <w:r>
        <w:rPr>
          <w:rFonts w:hint="eastAsia" w:ascii="黑体" w:hAnsi="黑体" w:eastAsia="黑体" w:cs="黑体"/>
          <w:sz w:val="32"/>
          <w:szCs w:val="32"/>
        </w:rPr>
        <w:t xml:space="preserve">二氯二氨钯化学分析方法 </w:t>
      </w:r>
    </w:p>
    <w:p>
      <w:pPr>
        <w:jc w:val="center"/>
        <w:rPr>
          <w:rFonts w:ascii="黑体" w:hAnsi="黑体" w:eastAsia="黑体" w:cs="黑体"/>
          <w:sz w:val="32"/>
          <w:szCs w:val="32"/>
        </w:rPr>
      </w:pPr>
      <w:r>
        <w:rPr>
          <w:rFonts w:hint="eastAsia" w:ascii="黑体" w:hAnsi="黑体" w:eastAsia="黑体" w:cs="黑体"/>
          <w:sz w:val="32"/>
          <w:szCs w:val="32"/>
        </w:rPr>
        <w:t xml:space="preserve">第1部分：钯量的测定 </w:t>
      </w:r>
    </w:p>
    <w:p>
      <w:pPr>
        <w:jc w:val="center"/>
        <w:rPr>
          <w:rFonts w:eastAsia="黑体"/>
          <w:bCs/>
          <w:sz w:val="32"/>
          <w:szCs w:val="32"/>
        </w:rPr>
      </w:pPr>
      <w:r>
        <w:rPr>
          <w:rFonts w:hint="eastAsia" w:ascii="黑体" w:hAnsi="黑体" w:eastAsia="黑体" w:cs="黑体"/>
          <w:sz w:val="32"/>
          <w:szCs w:val="32"/>
        </w:rPr>
        <w:t>水合肼还原重量法</w:t>
      </w:r>
    </w:p>
    <w:p>
      <w:pPr>
        <w:pStyle w:val="37"/>
        <w:spacing w:beforeLines="100" w:afterLines="100"/>
        <w:rPr>
          <w:rFonts w:hAnsi="黑体"/>
          <w:bCs/>
        </w:rPr>
      </w:pPr>
      <w:r>
        <w:rPr>
          <w:rFonts w:hint="eastAsia" w:hAnsi="黑体"/>
          <w:bCs/>
        </w:rPr>
        <w:t>1 范围</w:t>
      </w:r>
    </w:p>
    <w:p>
      <w:pPr>
        <w:pStyle w:val="30"/>
        <w:ind w:firstLine="420"/>
        <w:rPr>
          <w:rFonts w:ascii="Times New Roman"/>
          <w:sz w:val="21"/>
          <w:szCs w:val="21"/>
        </w:rPr>
      </w:pPr>
      <w:r>
        <w:rPr>
          <w:rFonts w:ascii="Times New Roman"/>
          <w:sz w:val="21"/>
          <w:szCs w:val="21"/>
        </w:rPr>
        <w:t>YS/T XXXX</w:t>
      </w:r>
      <w:r>
        <w:rPr>
          <w:rFonts w:hint="eastAsia" w:ascii="Times New Roman"/>
          <w:sz w:val="21"/>
          <w:szCs w:val="21"/>
        </w:rPr>
        <w:t>的</w:t>
      </w:r>
      <w:r>
        <w:rPr>
          <w:rFonts w:ascii="Times New Roman"/>
          <w:sz w:val="21"/>
          <w:szCs w:val="21"/>
        </w:rPr>
        <w:t>本</w:t>
      </w:r>
      <w:r>
        <w:rPr>
          <w:rFonts w:hint="eastAsia" w:ascii="Times New Roman"/>
          <w:sz w:val="21"/>
          <w:szCs w:val="21"/>
        </w:rPr>
        <w:t>部分</w:t>
      </w:r>
      <w:r>
        <w:rPr>
          <w:rFonts w:ascii="Times New Roman"/>
          <w:sz w:val="21"/>
          <w:szCs w:val="21"/>
        </w:rPr>
        <w:t>规定了</w:t>
      </w:r>
      <w:r>
        <w:rPr>
          <w:rFonts w:hint="eastAsia" w:ascii="Times New Roman"/>
          <w:sz w:val="21"/>
          <w:szCs w:val="21"/>
        </w:rPr>
        <w:t>二氯二氨钯中钯含量</w:t>
      </w:r>
      <w:r>
        <w:rPr>
          <w:rFonts w:ascii="Times New Roman"/>
          <w:sz w:val="21"/>
          <w:szCs w:val="21"/>
        </w:rPr>
        <w:t>的测定方法。</w:t>
      </w:r>
    </w:p>
    <w:p>
      <w:pPr>
        <w:pStyle w:val="30"/>
        <w:ind w:firstLine="420"/>
        <w:rPr>
          <w:rFonts w:ascii="Times New Roman"/>
          <w:szCs w:val="21"/>
        </w:rPr>
      </w:pPr>
      <w:r>
        <w:rPr>
          <w:rFonts w:ascii="Times New Roman"/>
          <w:sz w:val="21"/>
          <w:szCs w:val="21"/>
        </w:rPr>
        <w:t>本</w:t>
      </w:r>
      <w:r>
        <w:rPr>
          <w:rFonts w:hint="eastAsia" w:ascii="Times New Roman"/>
          <w:sz w:val="21"/>
          <w:szCs w:val="21"/>
        </w:rPr>
        <w:t>部分</w:t>
      </w:r>
      <w:r>
        <w:rPr>
          <w:rFonts w:ascii="Times New Roman"/>
          <w:sz w:val="21"/>
          <w:szCs w:val="21"/>
        </w:rPr>
        <w:t>适用于</w:t>
      </w:r>
      <w:r>
        <w:rPr>
          <w:rFonts w:hint="eastAsia" w:ascii="Times New Roman"/>
          <w:sz w:val="21"/>
          <w:szCs w:val="21"/>
        </w:rPr>
        <w:t>二氯二氨钯中钯量的测定</w:t>
      </w:r>
      <w:r>
        <w:rPr>
          <w:rFonts w:ascii="Times New Roman"/>
          <w:sz w:val="21"/>
          <w:szCs w:val="21"/>
        </w:rPr>
        <w:t>。</w:t>
      </w:r>
      <w:r>
        <w:rPr>
          <w:rFonts w:hint="eastAsia" w:ascii="Times New Roman"/>
          <w:sz w:val="21"/>
          <w:szCs w:val="21"/>
        </w:rPr>
        <w:t>测定范围：49</w:t>
      </w:r>
      <w:r>
        <w:rPr>
          <w:rFonts w:ascii="Times New Roman"/>
          <w:sz w:val="21"/>
          <w:szCs w:val="21"/>
        </w:rPr>
        <w:t>.00%</w:t>
      </w:r>
      <w:r>
        <w:rPr>
          <w:rFonts w:hint="eastAsia" w:ascii="Times New Roman"/>
          <w:sz w:val="21"/>
          <w:szCs w:val="21"/>
        </w:rPr>
        <w:t xml:space="preserve"> </w:t>
      </w:r>
      <w:r>
        <w:rPr>
          <w:rFonts w:ascii="Times New Roman"/>
          <w:sz w:val="21"/>
          <w:szCs w:val="21"/>
        </w:rPr>
        <w:t>~</w:t>
      </w:r>
      <w:r>
        <w:rPr>
          <w:rFonts w:hint="eastAsia" w:ascii="Times New Roman"/>
          <w:sz w:val="21"/>
          <w:szCs w:val="21"/>
        </w:rPr>
        <w:t xml:space="preserve"> </w:t>
      </w:r>
      <w:r>
        <w:rPr>
          <w:rFonts w:ascii="Times New Roman"/>
          <w:sz w:val="21"/>
          <w:szCs w:val="21"/>
        </w:rPr>
        <w:t>5</w:t>
      </w:r>
      <w:r>
        <w:rPr>
          <w:rFonts w:hint="eastAsia" w:ascii="Times New Roman"/>
          <w:sz w:val="21"/>
          <w:szCs w:val="21"/>
        </w:rPr>
        <w:t>1.00</w:t>
      </w:r>
      <w:r>
        <w:rPr>
          <w:rFonts w:ascii="Times New Roman"/>
          <w:sz w:val="21"/>
          <w:szCs w:val="21"/>
        </w:rPr>
        <w:t>%。</w:t>
      </w:r>
    </w:p>
    <w:p>
      <w:pPr>
        <w:pStyle w:val="37"/>
        <w:spacing w:beforeLines="100" w:afterLines="100"/>
        <w:rPr>
          <w:rFonts w:hAnsi="黑体"/>
          <w:bCs/>
        </w:rPr>
      </w:pPr>
      <w:r>
        <w:rPr>
          <w:rFonts w:hint="eastAsia" w:hAnsi="黑体"/>
          <w:bCs/>
        </w:rPr>
        <w:t>2 方法提要</w:t>
      </w:r>
    </w:p>
    <w:p>
      <w:pPr>
        <w:pStyle w:val="30"/>
        <w:ind w:firstLine="420"/>
        <w:rPr>
          <w:sz w:val="21"/>
          <w:szCs w:val="21"/>
        </w:rPr>
      </w:pPr>
      <w:r>
        <w:rPr>
          <w:rFonts w:hint="eastAsia" w:hAnsi="宋体" w:cs="宋体"/>
          <w:bCs/>
          <w:kern w:val="0"/>
          <w:sz w:val="21"/>
          <w:szCs w:val="21"/>
        </w:rPr>
        <w:t>用</w:t>
      </w:r>
      <w:r>
        <w:rPr>
          <w:rFonts w:hint="eastAsia"/>
          <w:bCs/>
          <w:sz w:val="21"/>
          <w:szCs w:val="21"/>
        </w:rPr>
        <w:t>氨水溶解二氯二氨钯，在加热条件下，用水合肼还原得钯粉，烘干至恒重，根据所得钯粉的重量计算二氯二氨钯中的钯量。</w:t>
      </w:r>
    </w:p>
    <w:p>
      <w:pPr>
        <w:pStyle w:val="30"/>
        <w:spacing w:beforeLines="100" w:afterLines="100"/>
        <w:ind w:firstLine="0" w:firstLineChars="0"/>
        <w:rPr>
          <w:rFonts w:ascii="黑体" w:hAnsi="黑体" w:eastAsia="黑体" w:cs="黑体"/>
          <w:bCs/>
          <w:sz w:val="21"/>
          <w:szCs w:val="21"/>
        </w:rPr>
      </w:pPr>
      <w:r>
        <w:rPr>
          <w:rFonts w:hint="eastAsia" w:ascii="黑体" w:hAnsi="黑体" w:eastAsia="黑体" w:cs="黑体"/>
          <w:bCs/>
          <w:sz w:val="21"/>
          <w:szCs w:val="21"/>
        </w:rPr>
        <w:t>3 试剂和材料</w:t>
      </w:r>
    </w:p>
    <w:p>
      <w:r>
        <w:rPr>
          <w:rFonts w:hint="eastAsia" w:ascii="黑体" w:hAnsi="黑体" w:eastAsia="黑体" w:cs="黑体"/>
        </w:rPr>
        <w:t xml:space="preserve">3.1 </w:t>
      </w:r>
      <w:r>
        <w:rPr>
          <w:rFonts w:hint="eastAsia"/>
        </w:rPr>
        <w:t>除非另有说明，在分析中使用确认为分析纯试剂或更高纯度的试剂和分析实验室用二级水。</w:t>
      </w:r>
    </w:p>
    <w:p>
      <w:pPr>
        <w:rPr>
          <w:bCs/>
        </w:rPr>
      </w:pPr>
      <w:r>
        <w:rPr>
          <w:rFonts w:hint="eastAsia" w:ascii="黑体" w:hAnsi="黑体" w:eastAsia="黑体" w:cs="黑体"/>
        </w:rPr>
        <w:t xml:space="preserve">3.2 </w:t>
      </w:r>
      <w:r>
        <w:rPr>
          <w:rFonts w:hint="eastAsia"/>
          <w:bCs/>
        </w:rPr>
        <w:t>氨水（</w:t>
      </w:r>
      <w:r>
        <w:rPr>
          <w:kern w:val="0"/>
        </w:rPr>
        <w:t>ρ</w:t>
      </w:r>
      <w:r>
        <w:rPr>
          <w:rFonts w:hint="eastAsia"/>
          <w:kern w:val="0"/>
        </w:rPr>
        <w:t xml:space="preserve"> 0.9 g/mL</w:t>
      </w:r>
      <w:r>
        <w:rPr>
          <w:rFonts w:hint="eastAsia"/>
          <w:bCs/>
        </w:rPr>
        <w:t>）</w:t>
      </w:r>
      <w:r>
        <w:rPr>
          <w:bCs/>
        </w:rPr>
        <w:t>。</w:t>
      </w:r>
    </w:p>
    <w:p>
      <w:pPr>
        <w:rPr>
          <w:bCs/>
          <w:sz w:val="24"/>
        </w:rPr>
      </w:pPr>
      <w:r>
        <w:rPr>
          <w:rFonts w:hint="eastAsia" w:ascii="黑体" w:hAnsi="黑体" w:eastAsia="黑体" w:cs="黑体"/>
          <w:bCs/>
        </w:rPr>
        <w:t>3.3</w:t>
      </w:r>
      <w:r>
        <w:rPr>
          <w:rFonts w:hint="eastAsia"/>
          <w:bCs/>
        </w:rPr>
        <w:t xml:space="preserve"> 水合肼（</w:t>
      </w:r>
      <w:r>
        <w:rPr>
          <w:kern w:val="0"/>
        </w:rPr>
        <w:t>ρ</w:t>
      </w:r>
      <w:r>
        <w:rPr>
          <w:rFonts w:hint="eastAsia"/>
          <w:kern w:val="0"/>
        </w:rPr>
        <w:t xml:space="preserve"> 1.03 g/mL</w:t>
      </w:r>
      <w:r>
        <w:rPr>
          <w:rFonts w:hint="eastAsia"/>
          <w:bCs/>
        </w:rPr>
        <w:t>）</w:t>
      </w:r>
      <w:r>
        <w:rPr>
          <w:bCs/>
        </w:rPr>
        <w:t>。</w:t>
      </w:r>
    </w:p>
    <w:p>
      <w:pPr>
        <w:pStyle w:val="37"/>
        <w:spacing w:beforeLines="100" w:afterLines="100"/>
        <w:rPr>
          <w:rFonts w:eastAsia="宋体"/>
        </w:rPr>
      </w:pPr>
      <w:r>
        <w:rPr>
          <w:rFonts w:hint="eastAsia" w:hAnsi="黑体"/>
          <w:bCs/>
        </w:rPr>
        <w:t>4 仪器</w:t>
      </w:r>
    </w:p>
    <w:p>
      <w:pPr>
        <w:rPr>
          <w:kern w:val="0"/>
        </w:rPr>
      </w:pPr>
      <w:r>
        <w:rPr>
          <w:rFonts w:hint="eastAsia" w:ascii="黑体" w:hAnsi="黑体" w:eastAsia="黑体" w:cs="黑体"/>
        </w:rPr>
        <w:t xml:space="preserve">4.1 </w:t>
      </w:r>
      <w:r>
        <w:rPr>
          <w:rFonts w:hint="eastAsia"/>
          <w:kern w:val="0"/>
        </w:rPr>
        <w:t>电热干燥箱：室温～300℃可调，±5℃。</w:t>
      </w:r>
    </w:p>
    <w:p>
      <w:pPr>
        <w:rPr>
          <w:kern w:val="0"/>
        </w:rPr>
      </w:pPr>
      <w:r>
        <w:rPr>
          <w:rFonts w:hint="eastAsia" w:ascii="黑体" w:hAnsi="黑体" w:eastAsia="黑体" w:cs="黑体"/>
          <w:kern w:val="0"/>
        </w:rPr>
        <w:t>4.2</w:t>
      </w:r>
      <w:r>
        <w:rPr>
          <w:rFonts w:hint="eastAsia"/>
          <w:kern w:val="0"/>
        </w:rPr>
        <w:t xml:space="preserve"> 电子天平：感量0.0001g。</w:t>
      </w:r>
    </w:p>
    <w:p>
      <w:pPr>
        <w:autoSpaceDE w:val="0"/>
        <w:autoSpaceDN w:val="0"/>
        <w:spacing w:beforeLines="100" w:afterLines="100"/>
        <w:jc w:val="left"/>
        <w:rPr>
          <w:rFonts w:ascii="黑体" w:hAnsi="黑体" w:eastAsia="黑体" w:cs="黑体"/>
          <w:bCs/>
          <w:kern w:val="0"/>
        </w:rPr>
      </w:pPr>
      <w:r>
        <w:rPr>
          <w:rFonts w:hint="eastAsia" w:ascii="黑体" w:hAnsi="黑体" w:eastAsia="黑体" w:cs="黑体"/>
          <w:bCs/>
          <w:kern w:val="0"/>
        </w:rPr>
        <w:t>5  试样</w:t>
      </w:r>
    </w:p>
    <w:p>
      <w:pPr>
        <w:pStyle w:val="37"/>
        <w:spacing w:beforeLines="0" w:afterLines="0"/>
        <w:ind w:firstLine="420"/>
        <w:rPr>
          <w:rFonts w:ascii="宋体" w:hAnsi="宋体" w:eastAsia="宋体" w:cs="宋体"/>
          <w:kern w:val="0"/>
        </w:rPr>
      </w:pPr>
      <w:r>
        <w:rPr>
          <w:rFonts w:hint="eastAsia" w:ascii="宋体" w:hAnsi="宋体" w:eastAsia="宋体" w:cs="宋体"/>
          <w:kern w:val="0"/>
        </w:rPr>
        <w:t>试样储存于塑料袋或塑料瓶中备用。</w:t>
      </w:r>
    </w:p>
    <w:p>
      <w:pPr>
        <w:pStyle w:val="37"/>
        <w:spacing w:beforeLines="100" w:afterLines="100"/>
        <w:rPr>
          <w:rFonts w:hAnsi="黑体"/>
          <w:bCs/>
        </w:rPr>
      </w:pPr>
      <w:r>
        <w:rPr>
          <w:rFonts w:hint="eastAsia" w:hAnsi="黑体"/>
          <w:bCs/>
        </w:rPr>
        <w:t>6 分析步骤</w:t>
      </w:r>
    </w:p>
    <w:p>
      <w:pPr>
        <w:pStyle w:val="36"/>
        <w:rPr>
          <w:rFonts w:eastAsia="宋体"/>
        </w:rPr>
      </w:pPr>
      <w:r>
        <w:rPr>
          <w:rFonts w:hint="eastAsia" w:eastAsia="宋体"/>
        </w:rPr>
        <w:t>6</w:t>
      </w:r>
      <w:r>
        <w:rPr>
          <w:rFonts w:eastAsia="宋体"/>
        </w:rPr>
        <w:t xml:space="preserve">.1 </w:t>
      </w:r>
      <w:r>
        <w:rPr>
          <w:rFonts w:hint="eastAsia" w:hAnsi="黑体"/>
        </w:rPr>
        <w:t>试料</w:t>
      </w:r>
    </w:p>
    <w:p>
      <w:pPr>
        <w:autoSpaceDE w:val="0"/>
        <w:autoSpaceDN w:val="0"/>
        <w:ind w:firstLine="420" w:firstLineChars="200"/>
        <w:rPr>
          <w:kern w:val="0"/>
          <w:lang w:val="zh-CN"/>
        </w:rPr>
      </w:pPr>
      <w:r>
        <w:rPr>
          <w:kern w:val="0"/>
          <w:lang w:val="zh-CN"/>
        </w:rPr>
        <w:t>称取</w:t>
      </w:r>
      <w:r>
        <w:rPr>
          <w:rFonts w:hint="eastAsia"/>
          <w:kern w:val="0"/>
        </w:rPr>
        <w:t>3</w:t>
      </w:r>
      <w:r>
        <w:rPr>
          <w:kern w:val="0"/>
          <w:lang w:val="zh-CN"/>
        </w:rPr>
        <w:t>.0g试样，精确至0.0001g。</w:t>
      </w:r>
    </w:p>
    <w:p>
      <w:pPr>
        <w:pStyle w:val="36"/>
        <w:rPr>
          <w:rFonts w:eastAsia="宋体"/>
        </w:rPr>
      </w:pPr>
      <w:r>
        <w:rPr>
          <w:rFonts w:hint="eastAsia" w:hAnsi="黑体"/>
        </w:rPr>
        <w:t>6.2 平行试验</w:t>
      </w:r>
    </w:p>
    <w:p>
      <w:pPr>
        <w:autoSpaceDE w:val="0"/>
        <w:autoSpaceDN w:val="0"/>
        <w:ind w:firstLine="435"/>
        <w:rPr>
          <w:kern w:val="0"/>
          <w:lang w:val="zh-CN"/>
        </w:rPr>
      </w:pPr>
      <w:r>
        <w:rPr>
          <w:rFonts w:hint="eastAsia"/>
          <w:kern w:val="0"/>
          <w:lang w:val="zh-CN"/>
        </w:rPr>
        <w:t>平行做两次试验</w:t>
      </w:r>
      <w:r>
        <w:rPr>
          <w:kern w:val="0"/>
          <w:lang w:val="zh-CN"/>
        </w:rPr>
        <w:t>，取其平均值。</w:t>
      </w:r>
    </w:p>
    <w:p>
      <w:pPr>
        <w:pStyle w:val="36"/>
        <w:rPr>
          <w:rFonts w:eastAsia="宋体"/>
        </w:rPr>
      </w:pPr>
      <w:r>
        <w:rPr>
          <w:rFonts w:hint="eastAsia" w:hAnsi="黑体"/>
        </w:rPr>
        <w:t>6.3 测定</w:t>
      </w:r>
    </w:p>
    <w:p>
      <w:pPr>
        <w:rPr>
          <w:rFonts w:eastAsia="宋体"/>
          <w:bCs/>
          <w:lang w:val="zh-CN"/>
        </w:rPr>
      </w:pPr>
      <w:r>
        <w:rPr>
          <w:rFonts w:hint="eastAsia" w:ascii="黑体" w:hAnsi="黑体" w:eastAsia="黑体" w:cs="黑体"/>
          <w:bCs/>
        </w:rPr>
        <w:t xml:space="preserve">6.3.1 </w:t>
      </w:r>
      <w:r>
        <w:rPr>
          <w:rFonts w:hint="eastAsia" w:ascii="宋体" w:hAnsi="宋体" w:eastAsia="宋体" w:cs="宋体"/>
          <w:bCs/>
        </w:rPr>
        <w:t>将</w:t>
      </w:r>
      <w:r>
        <w:rPr>
          <w:rFonts w:hint="eastAsia" w:eastAsia="宋体"/>
          <w:bCs/>
        </w:rPr>
        <w:t>10</w:t>
      </w:r>
      <w:r>
        <w:rPr>
          <w:rFonts w:eastAsia="宋体"/>
          <w:bCs/>
          <w:lang w:val="zh-CN"/>
        </w:rPr>
        <w:t>0mL烧杯、表面皿、玻璃棒</w:t>
      </w:r>
      <w:r>
        <w:rPr>
          <w:rFonts w:hint="eastAsia" w:eastAsia="宋体"/>
          <w:bCs/>
          <w:lang w:val="zh-CN"/>
        </w:rPr>
        <w:t>置</w:t>
      </w:r>
      <w:r>
        <w:rPr>
          <w:rFonts w:eastAsia="宋体"/>
          <w:bCs/>
        </w:rPr>
        <w:t>于</w:t>
      </w:r>
      <w:r>
        <w:rPr>
          <w:rFonts w:hint="eastAsia" w:eastAsia="宋体"/>
          <w:bCs/>
        </w:rPr>
        <w:t>电热</w:t>
      </w:r>
      <w:r>
        <w:rPr>
          <w:rFonts w:eastAsia="宋体"/>
          <w:bCs/>
        </w:rPr>
        <w:t>干燥箱</w:t>
      </w:r>
      <w:r>
        <w:rPr>
          <w:rFonts w:hint="eastAsia" w:eastAsia="宋体"/>
          <w:bCs/>
        </w:rPr>
        <w:t>（4.1）</w:t>
      </w:r>
      <w:r>
        <w:rPr>
          <w:rFonts w:eastAsia="宋体"/>
          <w:bCs/>
        </w:rPr>
        <w:t>中</w:t>
      </w:r>
      <w:r>
        <w:rPr>
          <w:rFonts w:hint="eastAsia" w:eastAsia="宋体"/>
          <w:bCs/>
        </w:rPr>
        <w:t>，控制温度于</w:t>
      </w:r>
      <w:r>
        <w:rPr>
          <w:rFonts w:eastAsia="宋体"/>
          <w:bCs/>
        </w:rPr>
        <w:t>105℃烘干</w:t>
      </w:r>
      <w:r>
        <w:rPr>
          <w:rFonts w:hint="eastAsia" w:eastAsia="宋体"/>
          <w:bCs/>
        </w:rPr>
        <w:t>2h，取出置于干燥器中，冷却至室温，称重，重复以上步骤直</w:t>
      </w:r>
      <w:r>
        <w:rPr>
          <w:rFonts w:eastAsia="宋体"/>
          <w:bCs/>
        </w:rPr>
        <w:t>至恒重</w:t>
      </w:r>
      <w:r>
        <w:rPr>
          <w:rFonts w:hint="eastAsia" w:eastAsia="宋体"/>
          <w:bCs/>
        </w:rPr>
        <w:t>。</w:t>
      </w:r>
    </w:p>
    <w:p>
      <w:pPr>
        <w:rPr>
          <w:rFonts w:eastAsia="宋体"/>
          <w:bCs/>
          <w:lang w:val="zh-CN"/>
        </w:rPr>
      </w:pPr>
      <w:r>
        <w:rPr>
          <w:rFonts w:hint="eastAsia" w:ascii="黑体" w:hAnsi="黑体" w:eastAsia="黑体" w:cs="黑体"/>
          <w:bCs/>
        </w:rPr>
        <w:t xml:space="preserve">6.3.2 </w:t>
      </w:r>
      <w:r>
        <w:rPr>
          <w:rFonts w:hint="eastAsia" w:eastAsia="宋体"/>
          <w:bCs/>
          <w:lang w:val="zh-CN"/>
        </w:rPr>
        <w:t>将试料（</w:t>
      </w:r>
      <w:r>
        <w:rPr>
          <w:rFonts w:hint="eastAsia" w:eastAsia="宋体"/>
          <w:bCs/>
        </w:rPr>
        <w:t>6.1</w:t>
      </w:r>
      <w:r>
        <w:rPr>
          <w:rFonts w:hint="eastAsia" w:eastAsia="宋体"/>
          <w:bCs/>
          <w:lang w:val="zh-CN"/>
        </w:rPr>
        <w:t>）置入已恒重的烧杯中</w:t>
      </w:r>
      <w:r>
        <w:rPr>
          <w:rFonts w:eastAsia="宋体"/>
          <w:bCs/>
          <w:lang w:val="zh-CN"/>
        </w:rPr>
        <w:t>，加入</w:t>
      </w:r>
      <w:r>
        <w:rPr>
          <w:rFonts w:eastAsia="宋体"/>
          <w:bCs/>
        </w:rPr>
        <w:t>50</w:t>
      </w:r>
      <w:r>
        <w:rPr>
          <w:rFonts w:eastAsia="宋体"/>
          <w:bCs/>
          <w:lang w:val="zh-CN"/>
        </w:rPr>
        <w:t>mL水与</w:t>
      </w:r>
      <w:r>
        <w:rPr>
          <w:rFonts w:eastAsia="宋体"/>
          <w:bCs/>
        </w:rPr>
        <w:t>5mL</w:t>
      </w:r>
      <w:r>
        <w:rPr>
          <w:rFonts w:eastAsia="宋体"/>
          <w:bCs/>
          <w:lang w:val="zh-CN"/>
        </w:rPr>
        <w:t>氨水（</w:t>
      </w:r>
      <w:r>
        <w:rPr>
          <w:rFonts w:hint="eastAsia" w:eastAsia="宋体"/>
          <w:bCs/>
        </w:rPr>
        <w:t>3.2</w:t>
      </w:r>
      <w:r>
        <w:rPr>
          <w:rFonts w:eastAsia="宋体"/>
          <w:bCs/>
          <w:lang w:val="zh-CN"/>
        </w:rPr>
        <w:t>），</w:t>
      </w:r>
      <w:r>
        <w:rPr>
          <w:rFonts w:hint="eastAsia" w:eastAsia="宋体"/>
          <w:bCs/>
          <w:lang w:val="zh-CN"/>
        </w:rPr>
        <w:t>盖上表面皿，</w:t>
      </w:r>
      <w:r>
        <w:rPr>
          <w:rFonts w:eastAsia="宋体"/>
          <w:bCs/>
          <w:lang w:val="zh-CN"/>
        </w:rPr>
        <w:t>于</w:t>
      </w:r>
      <w:r>
        <w:rPr>
          <w:rFonts w:hint="eastAsia" w:eastAsia="宋体"/>
          <w:bCs/>
          <w:lang w:val="zh-CN"/>
        </w:rPr>
        <w:t>电炉或电热板上低温</w:t>
      </w:r>
      <w:r>
        <w:rPr>
          <w:rFonts w:eastAsia="宋体"/>
          <w:bCs/>
          <w:lang w:val="zh-CN"/>
        </w:rPr>
        <w:t>加热</w:t>
      </w:r>
      <w:r>
        <w:rPr>
          <w:rFonts w:hint="eastAsia" w:eastAsia="宋体"/>
          <w:bCs/>
          <w:lang w:val="zh-CN"/>
        </w:rPr>
        <w:t>，</w:t>
      </w:r>
      <w:r>
        <w:rPr>
          <w:rFonts w:eastAsia="宋体"/>
          <w:bCs/>
          <w:lang w:val="zh-CN"/>
        </w:rPr>
        <w:t>使</w:t>
      </w:r>
      <w:r>
        <w:rPr>
          <w:rFonts w:hint="eastAsia" w:eastAsia="宋体"/>
          <w:bCs/>
          <w:lang w:val="zh-CN"/>
        </w:rPr>
        <w:t>其</w:t>
      </w:r>
      <w:r>
        <w:rPr>
          <w:rFonts w:eastAsia="宋体"/>
          <w:bCs/>
          <w:lang w:val="zh-CN"/>
        </w:rPr>
        <w:t>全部溶解</w:t>
      </w:r>
      <w:r>
        <w:rPr>
          <w:rFonts w:hint="eastAsia" w:eastAsia="宋体"/>
          <w:bCs/>
          <w:lang w:val="zh-CN"/>
        </w:rPr>
        <w:t>。</w:t>
      </w:r>
    </w:p>
    <w:p>
      <w:pPr>
        <w:rPr>
          <w:rFonts w:ascii="宋体" w:hAnsi="宋体" w:eastAsia="宋体" w:cs="宋体"/>
          <w:bCs/>
          <w:lang w:val="zh-CN"/>
        </w:rPr>
      </w:pPr>
      <w:r>
        <w:rPr>
          <w:rFonts w:hint="eastAsia" w:ascii="黑体" w:hAnsi="黑体" w:eastAsia="黑体" w:cs="黑体"/>
          <w:bCs/>
        </w:rPr>
        <w:t xml:space="preserve">6.3.3 </w:t>
      </w:r>
      <w:r>
        <w:rPr>
          <w:rFonts w:hint="eastAsia" w:eastAsia="宋体"/>
          <w:bCs/>
          <w:lang w:val="zh-CN"/>
        </w:rPr>
        <w:t>在</w:t>
      </w:r>
      <w:r>
        <w:rPr>
          <w:rFonts w:hint="eastAsia" w:ascii="宋体" w:hAnsi="宋体" w:eastAsia="宋体" w:cs="宋体"/>
          <w:bCs/>
        </w:rPr>
        <w:t>溶液（</w:t>
      </w:r>
      <w:r>
        <w:rPr>
          <w:rFonts w:eastAsia="宋体"/>
          <w:bCs/>
        </w:rPr>
        <w:t>6.</w:t>
      </w:r>
      <w:r>
        <w:rPr>
          <w:rFonts w:hint="eastAsia" w:eastAsia="宋体"/>
          <w:bCs/>
        </w:rPr>
        <w:t>3</w:t>
      </w:r>
      <w:r>
        <w:rPr>
          <w:rFonts w:eastAsia="宋体"/>
          <w:bCs/>
        </w:rPr>
        <w:t>.2</w:t>
      </w:r>
      <w:r>
        <w:rPr>
          <w:rFonts w:hint="eastAsia" w:ascii="宋体" w:hAnsi="宋体" w:eastAsia="宋体" w:cs="宋体"/>
          <w:bCs/>
        </w:rPr>
        <w:t>）中</w:t>
      </w:r>
      <w:r>
        <w:rPr>
          <w:rFonts w:eastAsia="宋体"/>
          <w:bCs/>
          <w:lang w:val="zh-CN"/>
        </w:rPr>
        <w:t>滴</w:t>
      </w:r>
      <w:r>
        <w:rPr>
          <w:rFonts w:hint="eastAsia" w:eastAsia="宋体"/>
          <w:bCs/>
          <w:lang w:val="zh-CN"/>
        </w:rPr>
        <w:t>两滴</w:t>
      </w:r>
      <w:r>
        <w:rPr>
          <w:rFonts w:eastAsia="宋体"/>
          <w:bCs/>
          <w:lang w:val="zh-CN"/>
        </w:rPr>
        <w:t>水合肼（</w:t>
      </w:r>
      <w:r>
        <w:rPr>
          <w:rFonts w:hint="eastAsia" w:eastAsia="宋体"/>
          <w:bCs/>
        </w:rPr>
        <w:t>3.3</w:t>
      </w:r>
      <w:r>
        <w:rPr>
          <w:rFonts w:eastAsia="宋体"/>
          <w:bCs/>
          <w:lang w:val="zh-CN"/>
        </w:rPr>
        <w:t>），缓慢搅拌后盖上表面皿，低温加热</w:t>
      </w:r>
      <w:r>
        <w:rPr>
          <w:rFonts w:hint="eastAsia" w:eastAsia="宋体"/>
          <w:bCs/>
          <w:lang w:val="zh-CN"/>
        </w:rPr>
        <w:t>。</w:t>
      </w:r>
    </w:p>
    <w:p>
      <w:pPr>
        <w:rPr>
          <w:rFonts w:eastAsia="宋体"/>
          <w:bCs/>
          <w:lang w:val="zh-CN"/>
        </w:rPr>
      </w:pPr>
      <w:r>
        <w:rPr>
          <w:rFonts w:hint="eastAsia" w:ascii="黑体" w:hAnsi="黑体" w:eastAsia="黑体" w:cs="黑体"/>
          <w:bCs/>
        </w:rPr>
        <w:t xml:space="preserve">6.3.4 </w:t>
      </w:r>
      <w:r>
        <w:rPr>
          <w:rFonts w:eastAsia="宋体"/>
          <w:bCs/>
        </w:rPr>
        <w:t>重复上述</w:t>
      </w:r>
      <w:r>
        <w:rPr>
          <w:rFonts w:hint="eastAsia" w:eastAsia="宋体"/>
          <w:bCs/>
        </w:rPr>
        <w:t>（6.3.3）</w:t>
      </w:r>
      <w:r>
        <w:rPr>
          <w:rFonts w:eastAsia="宋体"/>
          <w:bCs/>
        </w:rPr>
        <w:t>操作</w:t>
      </w:r>
      <w:r>
        <w:rPr>
          <w:rFonts w:hint="eastAsia" w:eastAsia="宋体"/>
          <w:bCs/>
        </w:rPr>
        <w:t>，</w:t>
      </w:r>
      <w:r>
        <w:rPr>
          <w:rFonts w:eastAsia="宋体"/>
          <w:bCs/>
        </w:rPr>
        <w:t>直</w:t>
      </w:r>
      <w:r>
        <w:rPr>
          <w:rFonts w:eastAsia="宋体"/>
          <w:bCs/>
          <w:lang w:val="zh-CN"/>
        </w:rPr>
        <w:t>至滴加水合肼</w:t>
      </w:r>
      <w:r>
        <w:rPr>
          <w:rFonts w:hint="eastAsia" w:eastAsia="宋体"/>
          <w:bCs/>
          <w:lang w:val="zh-CN"/>
        </w:rPr>
        <w:t>后溶液</w:t>
      </w:r>
      <w:r>
        <w:rPr>
          <w:rFonts w:eastAsia="宋体"/>
          <w:bCs/>
          <w:lang w:val="zh-CN"/>
        </w:rPr>
        <w:t>无气泡产生</w:t>
      </w:r>
      <w:r>
        <w:rPr>
          <w:rFonts w:hint="eastAsia" w:eastAsia="宋体"/>
          <w:bCs/>
          <w:lang w:val="zh-CN"/>
        </w:rPr>
        <w:t>，且上层</w:t>
      </w:r>
      <w:r>
        <w:rPr>
          <w:rFonts w:eastAsia="宋体"/>
          <w:bCs/>
          <w:lang w:val="zh-CN"/>
        </w:rPr>
        <w:t>溶液澄清透亮</w:t>
      </w:r>
      <w:r>
        <w:rPr>
          <w:rFonts w:hint="eastAsia" w:eastAsia="宋体"/>
          <w:bCs/>
          <w:lang w:val="zh-CN"/>
        </w:rPr>
        <w:t>。</w:t>
      </w:r>
    </w:p>
    <w:p>
      <w:pPr>
        <w:rPr>
          <w:rFonts w:ascii="宋体" w:hAnsi="宋体" w:eastAsia="宋体" w:cs="宋体"/>
          <w:bCs/>
          <w:lang w:val="zh-CN"/>
        </w:rPr>
      </w:pPr>
      <w:r>
        <w:rPr>
          <w:rFonts w:hint="eastAsia" w:ascii="黑体" w:hAnsi="黑体" w:eastAsia="黑体" w:cs="黑体"/>
          <w:bCs/>
        </w:rPr>
        <w:t xml:space="preserve">6.3.5 </w:t>
      </w:r>
      <w:r>
        <w:rPr>
          <w:rFonts w:hint="eastAsia" w:eastAsia="宋体"/>
          <w:bCs/>
          <w:lang w:val="zh-CN"/>
        </w:rPr>
        <w:t>补加</w:t>
      </w:r>
      <w:r>
        <w:rPr>
          <w:rFonts w:eastAsia="宋体"/>
          <w:bCs/>
        </w:rPr>
        <w:t>2</w:t>
      </w:r>
      <w:r>
        <w:rPr>
          <w:rFonts w:eastAsia="宋体"/>
          <w:bCs/>
          <w:lang w:val="zh-CN"/>
        </w:rPr>
        <w:t>mL水合肼</w:t>
      </w:r>
      <w:r>
        <w:rPr>
          <w:rFonts w:hint="eastAsia" w:eastAsia="宋体"/>
          <w:bCs/>
          <w:lang w:val="zh-CN"/>
        </w:rPr>
        <w:t>（</w:t>
      </w:r>
      <w:r>
        <w:rPr>
          <w:rFonts w:hint="eastAsia" w:eastAsia="宋体"/>
          <w:bCs/>
        </w:rPr>
        <w:t>3.3</w:t>
      </w:r>
      <w:r>
        <w:rPr>
          <w:rFonts w:hint="eastAsia" w:eastAsia="宋体"/>
          <w:bCs/>
          <w:lang w:val="zh-CN"/>
        </w:rPr>
        <w:t>），盖上表面皿，将</w:t>
      </w:r>
      <w:r>
        <w:rPr>
          <w:rFonts w:eastAsia="宋体"/>
          <w:bCs/>
          <w:lang w:val="zh-CN"/>
        </w:rPr>
        <w:t>溶液</w:t>
      </w:r>
      <w:r>
        <w:rPr>
          <w:rFonts w:hint="eastAsia" w:eastAsia="宋体"/>
          <w:bCs/>
          <w:lang w:val="zh-CN"/>
        </w:rPr>
        <w:t>加热至微</w:t>
      </w:r>
      <w:r>
        <w:rPr>
          <w:rFonts w:eastAsia="宋体"/>
          <w:bCs/>
          <w:lang w:val="zh-CN"/>
        </w:rPr>
        <w:t>沸，</w:t>
      </w:r>
      <w:r>
        <w:rPr>
          <w:rFonts w:hint="eastAsia" w:eastAsia="宋体"/>
          <w:bCs/>
          <w:lang w:val="zh-CN"/>
        </w:rPr>
        <w:t>保持</w:t>
      </w:r>
      <w:r>
        <w:rPr>
          <w:rFonts w:hint="eastAsia" w:eastAsia="宋体"/>
          <w:bCs/>
        </w:rPr>
        <w:t>30min，</w:t>
      </w:r>
      <w:r>
        <w:rPr>
          <w:rFonts w:eastAsia="宋体"/>
          <w:bCs/>
          <w:lang w:val="zh-CN"/>
        </w:rPr>
        <w:t>使</w:t>
      </w:r>
      <w:r>
        <w:rPr>
          <w:rFonts w:hint="eastAsia" w:eastAsia="宋体"/>
          <w:bCs/>
          <w:lang w:val="zh-CN"/>
        </w:rPr>
        <w:t>悬浮的钯粉</w:t>
      </w:r>
      <w:r>
        <w:rPr>
          <w:rFonts w:eastAsia="宋体"/>
          <w:bCs/>
          <w:lang w:val="zh-CN"/>
        </w:rPr>
        <w:t>凝聚</w:t>
      </w:r>
      <w:r>
        <w:rPr>
          <w:rFonts w:hint="eastAsia" w:eastAsia="宋体"/>
          <w:bCs/>
          <w:lang w:val="zh-CN"/>
        </w:rPr>
        <w:t>于烧杯</w:t>
      </w:r>
      <w:r>
        <w:rPr>
          <w:rFonts w:eastAsia="宋体"/>
          <w:bCs/>
          <w:lang w:val="zh-CN"/>
        </w:rPr>
        <w:t>底</w:t>
      </w:r>
      <w:r>
        <w:rPr>
          <w:rFonts w:hint="eastAsia" w:eastAsia="宋体"/>
          <w:bCs/>
          <w:lang w:val="zh-CN"/>
        </w:rPr>
        <w:t>部</w:t>
      </w:r>
      <w:r>
        <w:rPr>
          <w:rFonts w:eastAsia="宋体"/>
          <w:bCs/>
          <w:lang w:val="zh-CN"/>
        </w:rPr>
        <w:t>，取下稍冷，</w:t>
      </w:r>
      <w:r>
        <w:rPr>
          <w:rFonts w:hint="eastAsia" w:eastAsia="宋体"/>
          <w:bCs/>
          <w:lang w:val="zh-CN"/>
        </w:rPr>
        <w:t>将</w:t>
      </w:r>
      <w:r>
        <w:rPr>
          <w:rFonts w:eastAsia="宋体"/>
          <w:bCs/>
          <w:lang w:val="zh-CN"/>
        </w:rPr>
        <w:t>上层溶液</w:t>
      </w:r>
      <w:r>
        <w:rPr>
          <w:rFonts w:hint="eastAsia" w:eastAsia="宋体"/>
          <w:bCs/>
          <w:lang w:val="zh-CN"/>
        </w:rPr>
        <w:t>过滤</w:t>
      </w:r>
      <w:r>
        <w:rPr>
          <w:rFonts w:eastAsia="宋体"/>
          <w:bCs/>
          <w:lang w:val="zh-CN"/>
        </w:rPr>
        <w:t>，钯粉保留于烧杯中</w:t>
      </w:r>
      <w:r>
        <w:rPr>
          <w:rFonts w:hint="eastAsia" w:eastAsia="宋体"/>
          <w:bCs/>
          <w:lang w:val="zh-CN"/>
        </w:rPr>
        <w:t>。</w:t>
      </w:r>
    </w:p>
    <w:p>
      <w:pPr>
        <w:rPr>
          <w:rFonts w:eastAsia="宋体"/>
          <w:bCs/>
          <w:lang w:val="zh-CN"/>
        </w:rPr>
      </w:pPr>
      <w:r>
        <w:rPr>
          <w:rFonts w:hint="eastAsia" w:ascii="黑体" w:hAnsi="黑体" w:eastAsia="黑体" w:cs="黑体"/>
          <w:bCs/>
        </w:rPr>
        <w:t>6.3.6 向</w:t>
      </w:r>
      <w:r>
        <w:rPr>
          <w:rFonts w:eastAsia="宋体"/>
          <w:bCs/>
        </w:rPr>
        <w:t>烧杯内加入</w:t>
      </w:r>
      <w:r>
        <w:rPr>
          <w:rFonts w:hint="eastAsia" w:eastAsia="宋体"/>
          <w:bCs/>
        </w:rPr>
        <w:t>80</w:t>
      </w:r>
      <w:r>
        <w:rPr>
          <w:rFonts w:eastAsia="宋体"/>
          <w:bCs/>
        </w:rPr>
        <w:t>ml水</w:t>
      </w:r>
      <w:r>
        <w:rPr>
          <w:rFonts w:hint="eastAsia" w:eastAsia="宋体"/>
          <w:bCs/>
        </w:rPr>
        <w:t>，</w:t>
      </w:r>
      <w:r>
        <w:rPr>
          <w:rFonts w:eastAsia="宋体"/>
          <w:bCs/>
          <w:lang w:val="zh-CN"/>
        </w:rPr>
        <w:t>加热至近沸</w:t>
      </w:r>
      <w:r>
        <w:rPr>
          <w:rFonts w:hint="eastAsia" w:eastAsia="宋体"/>
          <w:bCs/>
          <w:lang w:val="zh-CN"/>
        </w:rPr>
        <w:t>，</w:t>
      </w:r>
      <w:r>
        <w:rPr>
          <w:rFonts w:eastAsia="宋体"/>
          <w:bCs/>
          <w:lang w:val="zh-CN"/>
        </w:rPr>
        <w:t>清洗</w:t>
      </w:r>
      <w:r>
        <w:rPr>
          <w:rFonts w:hint="eastAsia" w:eastAsia="宋体"/>
          <w:bCs/>
          <w:lang w:val="zh-CN"/>
        </w:rPr>
        <w:t>钯粉，</w:t>
      </w:r>
      <w:r>
        <w:rPr>
          <w:rFonts w:eastAsia="宋体"/>
          <w:bCs/>
          <w:lang w:val="zh-CN"/>
        </w:rPr>
        <w:t>洗液过滤，</w:t>
      </w:r>
      <w:r>
        <w:rPr>
          <w:rFonts w:hint="eastAsia" w:eastAsia="宋体"/>
          <w:bCs/>
          <w:lang w:val="zh-CN"/>
        </w:rPr>
        <w:t>反复</w:t>
      </w:r>
      <w:r>
        <w:rPr>
          <w:rFonts w:eastAsia="宋体"/>
          <w:bCs/>
          <w:lang w:val="zh-CN"/>
        </w:rPr>
        <w:t>清洗</w:t>
      </w:r>
      <w:r>
        <w:rPr>
          <w:rFonts w:hint="eastAsia" w:eastAsia="宋体"/>
          <w:bCs/>
          <w:lang w:val="zh-CN"/>
        </w:rPr>
        <w:t>钯粉</w:t>
      </w:r>
      <w:r>
        <w:rPr>
          <w:rFonts w:eastAsia="宋体"/>
          <w:bCs/>
          <w:lang w:val="zh-CN"/>
        </w:rPr>
        <w:t>直至洗液呈中性</w:t>
      </w:r>
      <w:r>
        <w:rPr>
          <w:rFonts w:hint="eastAsia" w:eastAsia="宋体"/>
          <w:bCs/>
          <w:lang w:val="zh-CN"/>
        </w:rPr>
        <w:t>。</w:t>
      </w:r>
    </w:p>
    <w:p>
      <w:pPr>
        <w:rPr>
          <w:rFonts w:ascii="宋体" w:hAnsi="宋体" w:eastAsia="宋体" w:cs="宋体"/>
          <w:bCs/>
          <w:lang w:val="zh-CN"/>
        </w:rPr>
      </w:pPr>
      <w:r>
        <w:rPr>
          <w:rFonts w:hint="eastAsia" w:ascii="黑体" w:hAnsi="黑体" w:eastAsia="黑体" w:cs="黑体"/>
          <w:bCs/>
        </w:rPr>
        <w:t xml:space="preserve">6.3.7 </w:t>
      </w:r>
      <w:r>
        <w:rPr>
          <w:rFonts w:eastAsia="宋体"/>
          <w:bCs/>
          <w:lang w:val="zh-CN"/>
        </w:rPr>
        <w:t>用少量</w:t>
      </w:r>
      <w:r>
        <w:rPr>
          <w:rFonts w:hint="eastAsia" w:eastAsia="宋体"/>
          <w:bCs/>
          <w:lang w:val="zh-CN"/>
        </w:rPr>
        <w:t>热</w:t>
      </w:r>
      <w:r>
        <w:rPr>
          <w:rFonts w:eastAsia="宋体"/>
          <w:bCs/>
          <w:lang w:val="zh-CN"/>
        </w:rPr>
        <w:t>水将滤纸上的钯粉反洗至烧杯</w:t>
      </w:r>
      <w:r>
        <w:rPr>
          <w:rFonts w:hint="eastAsia" w:eastAsia="宋体"/>
          <w:bCs/>
          <w:lang w:val="zh-CN"/>
        </w:rPr>
        <w:t>中</w:t>
      </w:r>
      <w:r>
        <w:rPr>
          <w:rFonts w:eastAsia="宋体"/>
          <w:bCs/>
          <w:lang w:val="zh-CN"/>
        </w:rPr>
        <w:t>，将烧杯、表面皿、玻璃棒及</w:t>
      </w:r>
      <w:r>
        <w:rPr>
          <w:rFonts w:hint="eastAsia" w:eastAsia="宋体"/>
          <w:bCs/>
          <w:lang w:val="zh-CN"/>
        </w:rPr>
        <w:t>钯粉</w:t>
      </w:r>
      <w:r>
        <w:rPr>
          <w:rFonts w:eastAsia="宋体"/>
          <w:bCs/>
          <w:lang w:val="zh-CN"/>
        </w:rPr>
        <w:t>置于</w:t>
      </w:r>
      <w:r>
        <w:rPr>
          <w:rFonts w:hint="eastAsia" w:eastAsia="宋体"/>
          <w:bCs/>
        </w:rPr>
        <w:t>电热</w:t>
      </w:r>
      <w:r>
        <w:rPr>
          <w:rFonts w:eastAsia="宋体"/>
          <w:bCs/>
        </w:rPr>
        <w:t>干燥箱</w:t>
      </w:r>
      <w:r>
        <w:rPr>
          <w:rFonts w:hint="eastAsia" w:eastAsia="宋体"/>
          <w:bCs/>
        </w:rPr>
        <w:t>（4.1）</w:t>
      </w:r>
      <w:r>
        <w:rPr>
          <w:rFonts w:eastAsia="宋体"/>
          <w:bCs/>
        </w:rPr>
        <w:t>中</w:t>
      </w:r>
      <w:r>
        <w:rPr>
          <w:rFonts w:hint="eastAsia" w:eastAsia="宋体"/>
          <w:bCs/>
        </w:rPr>
        <w:t>，控制温度于</w:t>
      </w:r>
      <w:r>
        <w:rPr>
          <w:rFonts w:eastAsia="宋体"/>
          <w:bCs/>
        </w:rPr>
        <w:t>105</w:t>
      </w:r>
      <w:r>
        <w:rPr>
          <w:rFonts w:hint="eastAsia" w:ascii="宋体" w:hAnsi="宋体" w:cs="宋体"/>
          <w:bCs/>
        </w:rPr>
        <w:t>℃</w:t>
      </w:r>
      <w:r>
        <w:rPr>
          <w:rFonts w:eastAsia="宋体"/>
          <w:bCs/>
        </w:rPr>
        <w:t>烘干</w:t>
      </w:r>
      <w:r>
        <w:rPr>
          <w:rFonts w:hint="eastAsia" w:eastAsia="宋体"/>
          <w:bCs/>
        </w:rPr>
        <w:t>3h。</w:t>
      </w:r>
    </w:p>
    <w:p>
      <w:pPr>
        <w:rPr>
          <w:rFonts w:eastAsia="宋体"/>
          <w:bCs/>
          <w:lang w:val="zh-CN"/>
        </w:rPr>
      </w:pPr>
      <w:r>
        <w:rPr>
          <w:rFonts w:hint="eastAsia" w:ascii="黑体" w:hAnsi="黑体" w:eastAsia="黑体" w:cs="黑体"/>
          <w:bCs/>
        </w:rPr>
        <w:t>6.3.8</w:t>
      </w:r>
      <w:r>
        <w:rPr>
          <w:rFonts w:hint="eastAsia" w:eastAsia="宋体"/>
          <w:bCs/>
        </w:rPr>
        <w:t>取出，置于干燥器中，冷却至室温，</w:t>
      </w:r>
      <w:r>
        <w:rPr>
          <w:rFonts w:eastAsia="宋体"/>
          <w:bCs/>
          <w:lang w:val="zh-CN"/>
        </w:rPr>
        <w:t>称量烧杯、表面皿、玻璃棒及</w:t>
      </w:r>
      <w:r>
        <w:rPr>
          <w:rFonts w:hint="eastAsia" w:eastAsia="宋体"/>
          <w:bCs/>
          <w:lang w:val="zh-CN"/>
        </w:rPr>
        <w:t>钯粉</w:t>
      </w:r>
      <w:r>
        <w:rPr>
          <w:rFonts w:eastAsia="宋体"/>
          <w:bCs/>
          <w:lang w:val="zh-CN"/>
        </w:rPr>
        <w:t>的总重量，</w:t>
      </w:r>
      <w:r>
        <w:rPr>
          <w:rFonts w:hint="eastAsia" w:eastAsia="宋体"/>
          <w:bCs/>
        </w:rPr>
        <w:t>重复以上步骤直</w:t>
      </w:r>
      <w:r>
        <w:rPr>
          <w:rFonts w:eastAsia="宋体"/>
          <w:bCs/>
        </w:rPr>
        <w:t>至恒重</w:t>
      </w:r>
      <w:r>
        <w:rPr>
          <w:rFonts w:eastAsia="宋体"/>
          <w:bCs/>
          <w:lang w:val="zh-CN"/>
        </w:rPr>
        <w:t>。</w:t>
      </w:r>
    </w:p>
    <w:p>
      <w:pPr>
        <w:pStyle w:val="37"/>
        <w:spacing w:beforeLines="100" w:afterLines="100"/>
        <w:rPr>
          <w:rFonts w:hAnsi="黑体"/>
          <w:bCs/>
        </w:rPr>
      </w:pPr>
      <w:r>
        <w:rPr>
          <w:rFonts w:hint="eastAsia" w:hAnsi="黑体"/>
          <w:bCs/>
        </w:rPr>
        <w:t>7 分析结果的计算</w:t>
      </w:r>
    </w:p>
    <w:p>
      <w:pPr>
        <w:spacing w:line="360" w:lineRule="auto"/>
        <w:ind w:firstLine="420" w:firstLineChars="200"/>
        <w:rPr>
          <w:bCs/>
          <w:lang w:val="zh-CN"/>
        </w:rPr>
      </w:pPr>
      <w:r>
        <w:rPr>
          <w:rFonts w:hint="eastAsia"/>
          <w:bCs/>
          <w:lang w:val="zh-CN"/>
        </w:rPr>
        <w:t>钯量以钯的质量分数</w:t>
      </w:r>
      <w:r>
        <w:rPr>
          <w:rFonts w:hint="eastAsia"/>
          <w:i/>
          <w:lang w:val="zh-CN"/>
        </w:rPr>
        <w:t>w</w:t>
      </w:r>
      <w:r>
        <w:rPr>
          <w:rFonts w:hint="eastAsia"/>
          <w:vertAlign w:val="subscript"/>
        </w:rPr>
        <w:t>Pd</w:t>
      </w:r>
      <w:r>
        <w:rPr>
          <w:rFonts w:hint="eastAsia"/>
        </w:rPr>
        <w:t>计</w:t>
      </w:r>
      <w:r>
        <w:rPr>
          <w:rFonts w:eastAsia="宋体"/>
          <w:bCs/>
          <w:lang w:val="zh-CN"/>
        </w:rPr>
        <w:t>，</w:t>
      </w:r>
      <w:r>
        <w:rPr>
          <w:rFonts w:hint="eastAsia"/>
          <w:bCs/>
          <w:lang w:val="zh-CN"/>
        </w:rPr>
        <w:t>按公式（</w:t>
      </w:r>
      <w:r>
        <w:rPr>
          <w:rFonts w:hint="eastAsia"/>
          <w:bCs/>
        </w:rPr>
        <w:t>1</w:t>
      </w:r>
      <w:r>
        <w:rPr>
          <w:rFonts w:hint="eastAsia"/>
          <w:bCs/>
          <w:lang w:val="zh-CN"/>
        </w:rPr>
        <w:t>）计算：</w:t>
      </w:r>
    </w:p>
    <w:p>
      <w:pPr>
        <w:spacing w:line="360" w:lineRule="auto"/>
        <w:ind w:firstLine="2730" w:firstLineChars="1300"/>
        <w:rPr>
          <w:bCs/>
          <w:lang/>
        </w:rPr>
      </w:pPr>
      <w:r>
        <w:rPr>
          <w:rFonts w:hint="eastAsia" w:ascii="Times New Roman" w:hAnsi="Times New Roman" w:eastAsia="宋体" w:cs="Times New Roman"/>
          <w:bCs/>
          <w:kern w:val="2"/>
          <w:position w:val="-24"/>
          <w:sz w:val="21"/>
          <w:szCs w:val="21"/>
          <w:lang w:eastAsia="zh-CN" w:bidi="ar-SA"/>
        </w:rPr>
        <w:object>
          <v:shape id="Picture 2" type="#_x0000_t75" style="height:31pt;width:107.15pt;rotation:0f;" o:ole="t"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o:OLEObject Type="Embed" ProgID="Equation.3" ShapeID="Picture 2" DrawAspect="Content" ObjectID="_10" r:id="rId14"/>
        </w:object>
      </w:r>
      <w:r>
        <w:rPr>
          <w:rFonts w:hint="eastAsia"/>
          <w:bCs/>
        </w:rPr>
        <w:t xml:space="preserve">   </w:t>
      </w:r>
      <w:r>
        <w:rPr>
          <w:rFonts w:hint="eastAsia"/>
          <w:bCs/>
          <w:lang/>
        </w:rPr>
        <w:t>……………………………………………(</w:t>
      </w:r>
      <w:r>
        <w:rPr>
          <w:rFonts w:hint="eastAsia"/>
          <w:bCs/>
        </w:rPr>
        <w:t>1</w:t>
      </w:r>
      <w:r>
        <w:rPr>
          <w:rFonts w:hint="eastAsia"/>
          <w:bCs/>
          <w:lang/>
        </w:rPr>
        <w:t>)</w:t>
      </w:r>
    </w:p>
    <w:p>
      <w:pPr>
        <w:tabs>
          <w:tab w:val="center" w:pos="4677"/>
        </w:tabs>
        <w:ind w:firstLine="420" w:firstLineChars="200"/>
        <w:rPr>
          <w:bCs/>
          <w:lang w:val="zh-CN"/>
        </w:rPr>
      </w:pPr>
      <w:r>
        <w:rPr>
          <w:rFonts w:hint="eastAsia"/>
          <w:bCs/>
          <w:lang w:val="zh-CN"/>
        </w:rPr>
        <w:t>式中：</w:t>
      </w:r>
      <w:r>
        <w:rPr>
          <w:rFonts w:hint="eastAsia"/>
          <w:bCs/>
          <w:lang w:val="zh-CN"/>
        </w:rPr>
        <w:tab/>
      </w:r>
    </w:p>
    <w:p>
      <w:pPr>
        <w:ind w:firstLine="420" w:firstLineChars="200"/>
        <w:rPr>
          <w:bCs/>
          <w:lang w:val="zh-CN"/>
        </w:rPr>
      </w:pPr>
      <w:r>
        <w:rPr>
          <w:rFonts w:hint="eastAsia"/>
          <w:bCs/>
          <w:i/>
          <w:iCs/>
          <w:lang w:val="zh-CN"/>
        </w:rPr>
        <w:t>m</w:t>
      </w:r>
      <w:r>
        <w:t>——</w:t>
      </w:r>
      <w:r>
        <w:rPr>
          <w:rFonts w:hint="eastAsia"/>
        </w:rPr>
        <w:t>试料</w:t>
      </w:r>
      <w:r>
        <w:rPr>
          <w:rFonts w:hint="eastAsia"/>
          <w:bCs/>
          <w:lang w:val="zh-CN"/>
        </w:rPr>
        <w:t>的质量，单位为克（g）；</w:t>
      </w:r>
    </w:p>
    <w:p>
      <w:pPr>
        <w:ind w:firstLine="420" w:firstLineChars="200"/>
        <w:rPr>
          <w:bCs/>
          <w:lang w:val="zh-CN"/>
        </w:rPr>
      </w:pPr>
      <w:r>
        <w:rPr>
          <w:rFonts w:hint="eastAsia"/>
          <w:bCs/>
          <w:i/>
          <w:iCs/>
        </w:rPr>
        <w:t>m</w:t>
      </w:r>
      <w:r>
        <w:rPr>
          <w:rFonts w:hint="eastAsia"/>
          <w:bCs/>
          <w:i/>
          <w:iCs/>
          <w:vertAlign w:val="subscript"/>
        </w:rPr>
        <w:t>1</w:t>
      </w:r>
      <w:r>
        <w:t>——</w:t>
      </w:r>
      <w:r>
        <w:rPr>
          <w:rFonts w:hint="eastAsia"/>
          <w:bCs/>
          <w:lang w:val="zh-CN"/>
        </w:rPr>
        <w:t>恒重烧杯、表面皿、玻璃棒的质量，单位为克（g）；</w:t>
      </w:r>
    </w:p>
    <w:p>
      <w:pPr>
        <w:ind w:firstLine="420" w:firstLineChars="200"/>
        <w:rPr>
          <w:bCs/>
          <w:lang w:val="zh-CN"/>
        </w:rPr>
      </w:pPr>
      <w:r>
        <w:rPr>
          <w:rFonts w:hint="eastAsia"/>
          <w:bCs/>
          <w:i/>
          <w:iCs/>
        </w:rPr>
        <w:t>m</w:t>
      </w:r>
      <w:r>
        <w:rPr>
          <w:rFonts w:hint="eastAsia"/>
          <w:bCs/>
          <w:i/>
          <w:iCs/>
          <w:vertAlign w:val="subscript"/>
        </w:rPr>
        <w:t>2</w:t>
      </w:r>
      <w:r>
        <w:t>——</w:t>
      </w:r>
      <w:r>
        <w:rPr>
          <w:rFonts w:hint="eastAsia"/>
        </w:rPr>
        <w:t>还原后</w:t>
      </w:r>
      <w:r>
        <w:rPr>
          <w:rFonts w:hint="eastAsia"/>
          <w:bCs/>
          <w:lang w:val="zh-CN"/>
        </w:rPr>
        <w:t>恒重烧杯、表面皿、玻璃棒与钯粉的质量，单位为克（g）。</w:t>
      </w:r>
    </w:p>
    <w:p>
      <w:pPr>
        <w:tabs>
          <w:tab w:val="left" w:pos="360"/>
        </w:tabs>
        <w:autoSpaceDE w:val="0"/>
        <w:autoSpaceDN w:val="0"/>
        <w:ind w:firstLine="420" w:firstLineChars="200"/>
        <w:rPr>
          <w:kern w:val="0"/>
        </w:rPr>
      </w:pPr>
      <w:r>
        <w:rPr>
          <w:rFonts w:hint="eastAsia"/>
          <w:kern w:val="0"/>
        </w:rPr>
        <w:t>计算</w:t>
      </w:r>
      <w:r>
        <w:rPr>
          <w:kern w:val="0"/>
        </w:rPr>
        <w:t>结果表示到小数点后</w:t>
      </w:r>
      <w:r>
        <w:rPr>
          <w:rFonts w:hint="eastAsia"/>
          <w:kern w:val="0"/>
        </w:rPr>
        <w:t>二</w:t>
      </w:r>
      <w:r>
        <w:rPr>
          <w:kern w:val="0"/>
        </w:rPr>
        <w:t>位。</w:t>
      </w:r>
    </w:p>
    <w:p>
      <w:pPr>
        <w:pStyle w:val="37"/>
        <w:spacing w:beforeLines="100" w:afterLines="100"/>
        <w:rPr>
          <w:rFonts w:hAnsi="黑体"/>
          <w:bCs/>
        </w:rPr>
      </w:pPr>
      <w:r>
        <w:rPr>
          <w:rFonts w:hint="eastAsia" w:hAnsi="黑体"/>
          <w:bCs/>
        </w:rPr>
        <w:t>8 精密度</w:t>
      </w:r>
    </w:p>
    <w:p>
      <w:pPr>
        <w:autoSpaceDE w:val="0"/>
        <w:autoSpaceDN w:val="0"/>
        <w:spacing w:beforeLines="50" w:afterLines="50"/>
        <w:rPr>
          <w:rFonts w:ascii="黑体" w:hAnsi="黑体" w:eastAsia="黑体" w:cs="黑体"/>
          <w:kern w:val="0"/>
        </w:rPr>
      </w:pPr>
      <w:r>
        <w:rPr>
          <w:rFonts w:hint="eastAsia" w:ascii="黑体" w:hAnsi="黑体" w:eastAsia="黑体" w:cs="黑体"/>
          <w:kern w:val="0"/>
        </w:rPr>
        <w:t>8.1 重复性</w:t>
      </w:r>
    </w:p>
    <w:p>
      <w:pPr>
        <w:autoSpaceDE w:val="0"/>
        <w:autoSpaceDN w:val="0"/>
        <w:ind w:firstLine="420" w:firstLineChars="200"/>
        <w:rPr>
          <w:kern w:val="0"/>
          <w:highlight w:val="none"/>
        </w:rPr>
      </w:pPr>
      <w:r>
        <w:rPr>
          <w:rFonts w:hint="eastAsia"/>
          <w:kern w:val="0"/>
        </w:rPr>
        <w:t>在重复性条件下获得的两次独立测试结果的测定值，在以下给出的平均值范围内，这两个测试结果的绝对差值不超过重复性限（</w:t>
      </w:r>
      <w:r>
        <w:rPr>
          <w:rFonts w:hint="eastAsia"/>
          <w:i/>
          <w:iCs/>
          <w:kern w:val="0"/>
        </w:rPr>
        <w:t>r</w:t>
      </w:r>
      <w:r>
        <w:rPr>
          <w:rFonts w:hint="eastAsia"/>
          <w:kern w:val="0"/>
        </w:rPr>
        <w:t>），超过重复性限（</w:t>
      </w:r>
      <w:r>
        <w:rPr>
          <w:rFonts w:hint="eastAsia"/>
          <w:i/>
          <w:iCs/>
          <w:kern w:val="0"/>
        </w:rPr>
        <w:t>r</w:t>
      </w:r>
      <w:r>
        <w:rPr>
          <w:rFonts w:hint="eastAsia"/>
          <w:kern w:val="0"/>
        </w:rPr>
        <w:t>）的情况下应不超过5%。重复性限（</w:t>
      </w:r>
      <w:r>
        <w:rPr>
          <w:rFonts w:hint="eastAsia"/>
          <w:i/>
          <w:iCs/>
          <w:kern w:val="0"/>
        </w:rPr>
        <w:t>r</w:t>
      </w:r>
      <w:r>
        <w:rPr>
          <w:rFonts w:hint="eastAsia"/>
          <w:kern w:val="0"/>
        </w:rPr>
        <w:t>）按表1数据</w:t>
      </w:r>
      <w:r>
        <w:rPr>
          <w:rFonts w:hint="eastAsia"/>
          <w:kern w:val="0"/>
          <w:highlight w:val="none"/>
        </w:rPr>
        <w:t>采用线性内插法或外延法求得。</w:t>
      </w:r>
    </w:p>
    <w:p>
      <w:pPr>
        <w:autoSpaceDE w:val="0"/>
        <w:autoSpaceDN w:val="0"/>
        <w:jc w:val="center"/>
        <w:rPr>
          <w:rFonts w:ascii="黑体" w:hAnsi="黑体" w:eastAsia="黑体" w:cs="黑体"/>
          <w:kern w:val="0"/>
          <w:highlight w:val="none"/>
        </w:rPr>
      </w:pPr>
      <w:r>
        <w:rPr>
          <w:rFonts w:hint="eastAsia" w:ascii="黑体" w:hAnsi="黑体" w:eastAsia="黑体" w:cs="黑体"/>
          <w:kern w:val="0"/>
          <w:highlight w:val="none"/>
        </w:rPr>
        <w:t>表1 重复性限</w:t>
      </w:r>
    </w:p>
    <w:tbl>
      <w:tblPr>
        <w:tblStyle w:val="22"/>
        <w:tblW w:w="9306" w:type="dxa"/>
        <w:jc w:val="center"/>
        <w:tblInd w:w="-17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
      <w:tblGrid>
        <w:gridCol w:w="2326"/>
        <w:gridCol w:w="2327"/>
        <w:gridCol w:w="2326"/>
        <w:gridCol w:w="23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jc w:val="center"/>
        </w:trPr>
        <w:tc>
          <w:tcPr>
            <w:tcW w:w="2326" w:type="dxa"/>
            <w:vAlign w:val="top"/>
          </w:tcPr>
          <w:p>
            <w:pPr>
              <w:jc w:val="center"/>
              <w:rPr>
                <w:highlight w:val="none"/>
              </w:rPr>
            </w:pPr>
            <w:r>
              <w:rPr>
                <w:rFonts w:hint="eastAsia"/>
                <w:i/>
                <w:highlight w:val="none"/>
                <w:lang w:val="zh-CN"/>
              </w:rPr>
              <w:t>w</w:t>
            </w:r>
            <w:r>
              <w:rPr>
                <w:rFonts w:hint="eastAsia"/>
                <w:highlight w:val="none"/>
                <w:vertAlign w:val="subscript"/>
              </w:rPr>
              <w:t>Pd</w:t>
            </w:r>
            <w:r>
              <w:rPr>
                <w:rFonts w:hint="eastAsia"/>
                <w:highlight w:val="none"/>
              </w:rPr>
              <w:t>%</w:t>
            </w:r>
          </w:p>
        </w:tc>
        <w:tc>
          <w:tcPr>
            <w:tcW w:w="2327" w:type="dxa"/>
            <w:vAlign w:val="bottom"/>
          </w:tcPr>
          <w:p>
            <w:pPr>
              <w:widowControl/>
              <w:jc w:val="center"/>
              <w:rPr>
                <w:sz w:val="18"/>
                <w:szCs w:val="18"/>
                <w:highlight w:val="none"/>
              </w:rPr>
            </w:pPr>
            <w:r>
              <w:rPr>
                <w:rFonts w:hint="eastAsia"/>
                <w:sz w:val="18"/>
                <w:szCs w:val="18"/>
                <w:highlight w:val="none"/>
              </w:rPr>
              <w:t>49.5</w:t>
            </w:r>
            <w:r>
              <w:rPr>
                <w:rFonts w:hint="eastAsia"/>
                <w:sz w:val="18"/>
                <w:szCs w:val="18"/>
                <w:highlight w:val="none"/>
                <w:lang w:val="en-US" w:eastAsia="zh-CN"/>
              </w:rPr>
              <w:t>0</w:t>
            </w:r>
          </w:p>
        </w:tc>
        <w:tc>
          <w:tcPr>
            <w:tcW w:w="2326" w:type="dxa"/>
            <w:vAlign w:val="bottom"/>
          </w:tcPr>
          <w:p>
            <w:pPr>
              <w:widowControl/>
              <w:jc w:val="center"/>
              <w:rPr>
                <w:sz w:val="18"/>
                <w:szCs w:val="18"/>
                <w:highlight w:val="none"/>
              </w:rPr>
            </w:pPr>
            <w:r>
              <w:rPr>
                <w:rFonts w:hint="eastAsia"/>
                <w:sz w:val="18"/>
                <w:szCs w:val="18"/>
                <w:highlight w:val="none"/>
              </w:rPr>
              <w:t>50.</w:t>
            </w:r>
            <w:r>
              <w:rPr>
                <w:rFonts w:hint="eastAsia"/>
                <w:sz w:val="18"/>
                <w:szCs w:val="18"/>
                <w:highlight w:val="none"/>
                <w:lang w:val="en-US" w:eastAsia="zh-CN"/>
              </w:rPr>
              <w:t>29</w:t>
            </w:r>
          </w:p>
        </w:tc>
        <w:tc>
          <w:tcPr>
            <w:tcW w:w="2327" w:type="dxa"/>
            <w:vAlign w:val="top"/>
          </w:tcPr>
          <w:p>
            <w:pPr>
              <w:widowControl/>
              <w:jc w:val="center"/>
              <w:rPr>
                <w:sz w:val="18"/>
                <w:szCs w:val="18"/>
                <w:highlight w:val="none"/>
              </w:rPr>
            </w:pPr>
            <w:r>
              <w:rPr>
                <w:rFonts w:hint="eastAsia"/>
                <w:sz w:val="18"/>
                <w:szCs w:val="18"/>
                <w:highlight w:val="none"/>
              </w:rPr>
              <w:t>51.0</w:t>
            </w:r>
            <w:r>
              <w:rPr>
                <w:rFonts w:hint="eastAsia"/>
                <w:sz w:val="18"/>
                <w:szCs w:val="18"/>
                <w:highlight w:val="none"/>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jc w:val="center"/>
        </w:trPr>
        <w:tc>
          <w:tcPr>
            <w:tcW w:w="2326" w:type="dxa"/>
            <w:vAlign w:val="top"/>
          </w:tcPr>
          <w:p>
            <w:pPr>
              <w:jc w:val="center"/>
              <w:rPr>
                <w:highlight w:val="none"/>
              </w:rPr>
            </w:pPr>
            <w:r>
              <w:rPr>
                <w:rFonts w:hint="eastAsia"/>
                <w:i/>
                <w:iCs/>
                <w:highlight w:val="none"/>
              </w:rPr>
              <w:t>r</w:t>
            </w:r>
            <w:r>
              <w:rPr>
                <w:highlight w:val="none"/>
              </w:rPr>
              <w:t>/%</w:t>
            </w:r>
          </w:p>
        </w:tc>
        <w:tc>
          <w:tcPr>
            <w:tcW w:w="2327" w:type="dxa"/>
            <w:vAlign w:val="center"/>
          </w:tcPr>
          <w:p>
            <w:pPr>
              <w:jc w:val="center"/>
              <w:rPr>
                <w:sz w:val="18"/>
                <w:szCs w:val="18"/>
                <w:highlight w:val="none"/>
              </w:rPr>
            </w:pPr>
            <w:r>
              <w:rPr>
                <w:rFonts w:hint="eastAsia"/>
                <w:sz w:val="18"/>
                <w:szCs w:val="18"/>
                <w:highlight w:val="none"/>
              </w:rPr>
              <w:t>0.08</w:t>
            </w:r>
          </w:p>
        </w:tc>
        <w:tc>
          <w:tcPr>
            <w:tcW w:w="2326" w:type="dxa"/>
            <w:vAlign w:val="center"/>
          </w:tcPr>
          <w:p>
            <w:pPr>
              <w:jc w:val="center"/>
              <w:rPr>
                <w:sz w:val="18"/>
                <w:szCs w:val="18"/>
                <w:highlight w:val="none"/>
              </w:rPr>
            </w:pPr>
            <w:r>
              <w:rPr>
                <w:rFonts w:hint="eastAsia"/>
                <w:sz w:val="18"/>
                <w:szCs w:val="18"/>
                <w:highlight w:val="none"/>
              </w:rPr>
              <w:t>0.10</w:t>
            </w:r>
          </w:p>
        </w:tc>
        <w:tc>
          <w:tcPr>
            <w:tcW w:w="2327" w:type="dxa"/>
            <w:vAlign w:val="center"/>
          </w:tcPr>
          <w:p>
            <w:pPr>
              <w:jc w:val="center"/>
              <w:rPr>
                <w:sz w:val="18"/>
                <w:szCs w:val="18"/>
                <w:highlight w:val="none"/>
              </w:rPr>
            </w:pPr>
            <w:r>
              <w:rPr>
                <w:rFonts w:hint="eastAsia"/>
                <w:sz w:val="18"/>
                <w:szCs w:val="18"/>
                <w:highlight w:val="none"/>
              </w:rPr>
              <w:t>0.15</w:t>
            </w:r>
          </w:p>
        </w:tc>
      </w:tr>
    </w:tbl>
    <w:p>
      <w:pPr>
        <w:autoSpaceDE w:val="0"/>
        <w:autoSpaceDN w:val="0"/>
        <w:jc w:val="center"/>
        <w:rPr>
          <w:rFonts w:ascii="黑体" w:hAnsi="黑体" w:eastAsia="黑体" w:cs="黑体"/>
          <w:kern w:val="0"/>
          <w:highlight w:val="none"/>
        </w:rPr>
      </w:pPr>
    </w:p>
    <w:p>
      <w:pPr>
        <w:autoSpaceDE w:val="0"/>
        <w:autoSpaceDN w:val="0"/>
        <w:spacing w:beforeLines="50" w:afterLines="50"/>
        <w:rPr>
          <w:rFonts w:ascii="黑体" w:hAnsi="黑体" w:eastAsia="黑体" w:cs="黑体"/>
          <w:kern w:val="0"/>
          <w:highlight w:val="none"/>
        </w:rPr>
      </w:pPr>
      <w:r>
        <w:rPr>
          <w:rFonts w:hint="eastAsia" w:ascii="黑体" w:hAnsi="黑体" w:eastAsia="黑体" w:cs="黑体"/>
          <w:kern w:val="0"/>
          <w:highlight w:val="none"/>
        </w:rPr>
        <w:t>8.2 再现性</w:t>
      </w:r>
    </w:p>
    <w:p>
      <w:pPr>
        <w:autoSpaceDE w:val="0"/>
        <w:autoSpaceDN w:val="0"/>
        <w:ind w:firstLine="420" w:firstLineChars="200"/>
        <w:rPr>
          <w:kern w:val="0"/>
          <w:highlight w:val="none"/>
        </w:rPr>
      </w:pPr>
      <w:r>
        <w:rPr>
          <w:rFonts w:hint="eastAsia"/>
          <w:kern w:val="0"/>
          <w:highlight w:val="none"/>
        </w:rPr>
        <w:t>在再现性条件下获得的两次独立测试结果的绝对差值不超过再现性限（</w:t>
      </w:r>
      <w:r>
        <w:rPr>
          <w:rFonts w:hint="eastAsia"/>
          <w:i/>
          <w:iCs/>
          <w:kern w:val="0"/>
          <w:highlight w:val="none"/>
        </w:rPr>
        <w:t>R</w:t>
      </w:r>
      <w:r>
        <w:rPr>
          <w:rFonts w:hint="eastAsia"/>
          <w:kern w:val="0"/>
          <w:highlight w:val="none"/>
        </w:rPr>
        <w:t>），超过再现性限（</w:t>
      </w:r>
      <w:r>
        <w:rPr>
          <w:rFonts w:hint="eastAsia"/>
          <w:i/>
          <w:iCs/>
          <w:kern w:val="0"/>
          <w:highlight w:val="none"/>
        </w:rPr>
        <w:t>R</w:t>
      </w:r>
      <w:r>
        <w:rPr>
          <w:rFonts w:hint="eastAsia"/>
          <w:kern w:val="0"/>
          <w:highlight w:val="none"/>
        </w:rPr>
        <w:t>）的情况下不超过5%。再现性限（</w:t>
      </w:r>
      <w:r>
        <w:rPr>
          <w:rFonts w:hint="eastAsia"/>
          <w:i/>
          <w:iCs/>
          <w:kern w:val="0"/>
          <w:highlight w:val="none"/>
        </w:rPr>
        <w:t>R</w:t>
      </w:r>
      <w:r>
        <w:rPr>
          <w:rFonts w:hint="eastAsia"/>
          <w:kern w:val="0"/>
          <w:highlight w:val="none"/>
        </w:rPr>
        <w:t>）按表2数据采用线性内插法或外延法求得。</w:t>
      </w:r>
    </w:p>
    <w:p>
      <w:pPr>
        <w:autoSpaceDE w:val="0"/>
        <w:autoSpaceDN w:val="0"/>
        <w:ind w:firstLine="420"/>
        <w:jc w:val="center"/>
        <w:rPr>
          <w:rFonts w:ascii="黑体" w:hAnsi="黑体" w:eastAsia="黑体" w:cs="黑体"/>
          <w:kern w:val="0"/>
          <w:highlight w:val="none"/>
        </w:rPr>
      </w:pPr>
      <w:r>
        <w:rPr>
          <w:rFonts w:hint="eastAsia" w:ascii="黑体" w:hAnsi="黑体" w:eastAsia="黑体" w:cs="黑体"/>
          <w:kern w:val="0"/>
          <w:highlight w:val="none"/>
        </w:rPr>
        <w:t>表2 再现性限</w:t>
      </w:r>
    </w:p>
    <w:tbl>
      <w:tblPr>
        <w:tblStyle w:val="22"/>
        <w:tblW w:w="9294" w:type="dxa"/>
        <w:jc w:val="center"/>
        <w:tblInd w:w="-185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
      <w:tblGrid>
        <w:gridCol w:w="2323"/>
        <w:gridCol w:w="2324"/>
        <w:gridCol w:w="2323"/>
        <w:gridCol w:w="23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jc w:val="center"/>
        </w:trPr>
        <w:tc>
          <w:tcPr>
            <w:tcW w:w="2323" w:type="dxa"/>
            <w:vAlign w:val="top"/>
          </w:tcPr>
          <w:p>
            <w:pPr>
              <w:jc w:val="center"/>
              <w:rPr>
                <w:highlight w:val="none"/>
              </w:rPr>
            </w:pPr>
            <w:r>
              <w:rPr>
                <w:rFonts w:hint="eastAsia"/>
                <w:i/>
                <w:highlight w:val="none"/>
                <w:lang w:val="zh-CN"/>
              </w:rPr>
              <w:t>w</w:t>
            </w:r>
            <w:r>
              <w:rPr>
                <w:rFonts w:hint="eastAsia"/>
                <w:highlight w:val="none"/>
                <w:vertAlign w:val="subscript"/>
              </w:rPr>
              <w:t>Pd</w:t>
            </w:r>
            <w:r>
              <w:rPr>
                <w:rFonts w:hint="eastAsia"/>
                <w:highlight w:val="none"/>
              </w:rPr>
              <w:t>%</w:t>
            </w:r>
          </w:p>
        </w:tc>
        <w:tc>
          <w:tcPr>
            <w:tcW w:w="2324" w:type="dxa"/>
            <w:vAlign w:val="bottom"/>
          </w:tcPr>
          <w:p>
            <w:pPr>
              <w:widowControl/>
              <w:jc w:val="center"/>
              <w:rPr>
                <w:sz w:val="18"/>
                <w:szCs w:val="18"/>
                <w:highlight w:val="none"/>
              </w:rPr>
            </w:pPr>
            <w:r>
              <w:rPr>
                <w:rFonts w:hint="eastAsia"/>
                <w:sz w:val="18"/>
                <w:szCs w:val="18"/>
                <w:highlight w:val="none"/>
              </w:rPr>
              <w:t>49.5</w:t>
            </w:r>
            <w:r>
              <w:rPr>
                <w:rFonts w:hint="eastAsia"/>
                <w:sz w:val="18"/>
                <w:szCs w:val="18"/>
                <w:highlight w:val="none"/>
                <w:lang w:val="en-US" w:eastAsia="zh-CN"/>
              </w:rPr>
              <w:t>0</w:t>
            </w:r>
          </w:p>
        </w:tc>
        <w:tc>
          <w:tcPr>
            <w:tcW w:w="2323" w:type="dxa"/>
            <w:vAlign w:val="bottom"/>
          </w:tcPr>
          <w:p>
            <w:pPr>
              <w:widowControl/>
              <w:jc w:val="center"/>
              <w:rPr>
                <w:sz w:val="18"/>
                <w:szCs w:val="18"/>
                <w:highlight w:val="none"/>
              </w:rPr>
            </w:pPr>
            <w:r>
              <w:rPr>
                <w:rFonts w:hint="eastAsia"/>
                <w:sz w:val="18"/>
                <w:szCs w:val="18"/>
                <w:highlight w:val="none"/>
              </w:rPr>
              <w:t>50.</w:t>
            </w:r>
            <w:r>
              <w:rPr>
                <w:rFonts w:hint="eastAsia"/>
                <w:sz w:val="18"/>
                <w:szCs w:val="18"/>
                <w:highlight w:val="none"/>
                <w:lang w:val="en-US" w:eastAsia="zh-CN"/>
              </w:rPr>
              <w:t>29</w:t>
            </w:r>
          </w:p>
        </w:tc>
        <w:tc>
          <w:tcPr>
            <w:tcW w:w="2324" w:type="dxa"/>
            <w:vAlign w:val="top"/>
          </w:tcPr>
          <w:p>
            <w:pPr>
              <w:widowControl/>
              <w:jc w:val="center"/>
              <w:rPr>
                <w:sz w:val="18"/>
                <w:szCs w:val="18"/>
                <w:highlight w:val="none"/>
              </w:rPr>
            </w:pPr>
            <w:r>
              <w:rPr>
                <w:rFonts w:hint="eastAsia"/>
                <w:sz w:val="18"/>
                <w:szCs w:val="18"/>
                <w:highlight w:val="none"/>
              </w:rPr>
              <w:t>51.0</w:t>
            </w:r>
            <w:r>
              <w:rPr>
                <w:rFonts w:hint="eastAsia"/>
                <w:sz w:val="18"/>
                <w:szCs w:val="18"/>
                <w:highlight w:val="none"/>
                <w:lang w:val="en-US" w:eastAsia="zh-CN"/>
              </w:rPr>
              <w:t>0</w:t>
            </w:r>
            <w:bookmarkStart w:id="3" w:name="_GoBack"/>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jc w:val="center"/>
        </w:trPr>
        <w:tc>
          <w:tcPr>
            <w:tcW w:w="2323" w:type="dxa"/>
            <w:vAlign w:val="top"/>
          </w:tcPr>
          <w:p>
            <w:pPr>
              <w:jc w:val="center"/>
              <w:rPr>
                <w:highlight w:val="none"/>
              </w:rPr>
            </w:pPr>
            <w:r>
              <w:rPr>
                <w:rFonts w:hint="eastAsia"/>
                <w:i/>
                <w:iCs/>
                <w:highlight w:val="none"/>
              </w:rPr>
              <w:t>R</w:t>
            </w:r>
            <w:r>
              <w:rPr>
                <w:highlight w:val="none"/>
              </w:rPr>
              <w:t>/%</w:t>
            </w:r>
          </w:p>
        </w:tc>
        <w:tc>
          <w:tcPr>
            <w:tcW w:w="2324" w:type="dxa"/>
            <w:vAlign w:val="center"/>
          </w:tcPr>
          <w:p>
            <w:pPr>
              <w:jc w:val="center"/>
              <w:rPr>
                <w:sz w:val="18"/>
                <w:szCs w:val="18"/>
                <w:highlight w:val="none"/>
              </w:rPr>
            </w:pPr>
            <w:r>
              <w:rPr>
                <w:rFonts w:hint="eastAsia"/>
                <w:sz w:val="18"/>
                <w:szCs w:val="18"/>
                <w:highlight w:val="none"/>
              </w:rPr>
              <w:t>0.10</w:t>
            </w:r>
          </w:p>
        </w:tc>
        <w:tc>
          <w:tcPr>
            <w:tcW w:w="2323" w:type="dxa"/>
            <w:vAlign w:val="center"/>
          </w:tcPr>
          <w:p>
            <w:pPr>
              <w:jc w:val="center"/>
              <w:rPr>
                <w:sz w:val="18"/>
                <w:szCs w:val="18"/>
                <w:highlight w:val="none"/>
              </w:rPr>
            </w:pPr>
            <w:r>
              <w:rPr>
                <w:rFonts w:hint="eastAsia"/>
                <w:sz w:val="18"/>
                <w:szCs w:val="18"/>
                <w:highlight w:val="none"/>
              </w:rPr>
              <w:t>0.13</w:t>
            </w:r>
          </w:p>
        </w:tc>
        <w:tc>
          <w:tcPr>
            <w:tcW w:w="2324" w:type="dxa"/>
            <w:vAlign w:val="center"/>
          </w:tcPr>
          <w:p>
            <w:pPr>
              <w:jc w:val="center"/>
              <w:rPr>
                <w:sz w:val="18"/>
                <w:szCs w:val="18"/>
                <w:highlight w:val="none"/>
              </w:rPr>
            </w:pPr>
            <w:r>
              <w:rPr>
                <w:rFonts w:hint="eastAsia"/>
                <w:sz w:val="18"/>
                <w:szCs w:val="18"/>
                <w:highlight w:val="none"/>
              </w:rPr>
              <w:t>0.18</w:t>
            </w:r>
          </w:p>
        </w:tc>
      </w:tr>
    </w:tbl>
    <w:p>
      <w:pPr>
        <w:pStyle w:val="37"/>
        <w:spacing w:beforeLines="100" w:afterLines="100"/>
        <w:rPr>
          <w:rFonts w:hAnsi="黑体"/>
          <w:bCs/>
        </w:rPr>
      </w:pPr>
      <w:r>
        <w:rPr>
          <w:rFonts w:hint="eastAsia" w:hAnsi="黑体"/>
          <w:bCs/>
        </w:rPr>
        <w:t>9 试验报告</w:t>
      </w:r>
    </w:p>
    <w:p>
      <w:pPr>
        <w:autoSpaceDE w:val="0"/>
        <w:autoSpaceDN w:val="0"/>
        <w:ind w:firstLine="420" w:firstLineChars="200"/>
        <w:rPr>
          <w:kern w:val="0"/>
        </w:rPr>
      </w:pPr>
      <w:r>
        <w:rPr>
          <w:rFonts w:hint="eastAsia"/>
        </w:rPr>
        <w:t>试验报告至少应给出以下几个方面的内容</w:t>
      </w:r>
      <w:r>
        <w:rPr>
          <w:rFonts w:hint="eastAsia"/>
          <w:kern w:val="0"/>
        </w:rPr>
        <w:t>：</w:t>
      </w:r>
    </w:p>
    <w:p>
      <w:pPr>
        <w:autoSpaceDE w:val="0"/>
        <w:autoSpaceDN w:val="0"/>
        <w:ind w:firstLine="420" w:firstLineChars="200"/>
        <w:rPr>
          <w:kern w:val="0"/>
        </w:rPr>
      </w:pPr>
      <w:r>
        <w:t>——</w:t>
      </w:r>
      <w:r>
        <w:rPr>
          <w:rFonts w:hint="eastAsia"/>
          <w:kern w:val="0"/>
        </w:rPr>
        <w:t>试样；</w:t>
      </w:r>
    </w:p>
    <w:p>
      <w:pPr>
        <w:tabs>
          <w:tab w:val="left" w:pos="501"/>
        </w:tabs>
        <w:autoSpaceDE w:val="0"/>
        <w:autoSpaceDN w:val="0"/>
        <w:ind w:firstLine="420" w:firstLineChars="200"/>
        <w:rPr>
          <w:kern w:val="0"/>
        </w:rPr>
      </w:pPr>
      <w:r>
        <w:t>——</w:t>
      </w:r>
      <w:r>
        <w:rPr>
          <w:rFonts w:hint="eastAsia"/>
          <w:kern w:val="0"/>
        </w:rPr>
        <w:t>使用的标准；</w:t>
      </w:r>
    </w:p>
    <w:p>
      <w:pPr>
        <w:tabs>
          <w:tab w:val="left" w:pos="501"/>
        </w:tabs>
        <w:autoSpaceDE w:val="0"/>
        <w:autoSpaceDN w:val="0"/>
        <w:ind w:firstLine="420" w:firstLineChars="200"/>
        <w:rPr>
          <w:kern w:val="0"/>
        </w:rPr>
      </w:pPr>
      <w:r>
        <w:t>——</w:t>
      </w:r>
      <w:r>
        <w:rPr>
          <w:rFonts w:hint="eastAsia"/>
          <w:kern w:val="0"/>
        </w:rPr>
        <w:t>分析结果及其表示；</w:t>
      </w:r>
    </w:p>
    <w:p>
      <w:pPr>
        <w:autoSpaceDE w:val="0"/>
        <w:autoSpaceDN w:val="0"/>
        <w:ind w:firstLine="420" w:firstLineChars="200"/>
        <w:rPr>
          <w:kern w:val="0"/>
        </w:rPr>
      </w:pPr>
      <w:r>
        <w:t>——</w:t>
      </w:r>
      <w:r>
        <w:rPr>
          <w:rFonts w:hint="eastAsia"/>
          <w:kern w:val="0"/>
        </w:rPr>
        <w:t>与基本分析步骤的差异；</w:t>
      </w:r>
    </w:p>
    <w:p>
      <w:pPr>
        <w:autoSpaceDE w:val="0"/>
        <w:autoSpaceDN w:val="0"/>
        <w:ind w:firstLine="420" w:firstLineChars="200"/>
        <w:rPr>
          <w:kern w:val="0"/>
        </w:rPr>
      </w:pPr>
      <w:r>
        <w:t>——</w:t>
      </w:r>
      <w:r>
        <w:rPr>
          <w:rFonts w:hint="eastAsia"/>
          <w:kern w:val="0"/>
        </w:rPr>
        <w:t>测定中观察到的异常现象；</w:t>
      </w:r>
    </w:p>
    <w:p>
      <w:pPr>
        <w:autoSpaceDE w:val="0"/>
        <w:autoSpaceDN w:val="0"/>
        <w:ind w:firstLine="420" w:firstLineChars="200"/>
        <w:rPr>
          <w:kern w:val="0"/>
        </w:rPr>
      </w:pPr>
      <w:r>
        <w:t>——</w:t>
      </w:r>
      <w:r>
        <w:rPr>
          <w:rFonts w:hint="eastAsia"/>
          <w:kern w:val="0"/>
        </w:rPr>
        <w:t>试验日期。</w:t>
      </w:r>
    </w:p>
    <w:p>
      <w:pPr>
        <w:autoSpaceDE w:val="0"/>
        <w:autoSpaceDN w:val="0"/>
        <w:ind w:firstLine="420"/>
        <w:rPr>
          <w:kern w:val="0"/>
        </w:rPr>
      </w:pPr>
    </w:p>
    <w:p>
      <w:pPr>
        <w:spacing w:line="360" w:lineRule="auto"/>
        <w:outlineLvl w:val="0"/>
        <w:rPr>
          <w:spacing w:val="6"/>
        </w:rPr>
      </w:pPr>
    </w:p>
    <w:p>
      <w:pPr>
        <w:spacing w:line="360" w:lineRule="auto"/>
        <w:outlineLvl w:val="0"/>
        <w:rPr>
          <w:spacing w:val="6"/>
          <w:u w:val="single"/>
        </w:rPr>
      </w:pPr>
      <w:r>
        <w:rPr>
          <w:rFonts w:hint="eastAsia"/>
          <w:spacing w:val="6"/>
        </w:rPr>
        <w:t xml:space="preserve">                           </w:t>
      </w:r>
      <w:r>
        <w:rPr>
          <w:rFonts w:hint="eastAsia"/>
          <w:spacing w:val="6"/>
          <w:u w:val="single"/>
        </w:rPr>
        <w:t xml:space="preserve">                         </w:t>
      </w:r>
    </w:p>
    <w:sectPr>
      <w:headerReference r:id="rId11"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0"/>
      <w:rPr>
        <w:rStyle w:val="18"/>
      </w:rPr>
    </w:pPr>
    <w:r>
      <w:fldChar w:fldCharType="begin"/>
    </w:r>
    <w:r>
      <w:instrText xml:space="preserve">PAGE  </w:instrText>
    </w:r>
    <w:r>
      <w:fldChar w:fldCharType="separate"/>
    </w:r>
    <w:r>
      <w:t>I</w:t>
    </w:r>
    <w:r>
      <w:rPr>
        <w:rStyle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ind w:left="5760" w:right="360" w:hanging="5760" w:hangingChars="3200"/>
      <w:jc w:val="right"/>
      <w:rPr>
        <w:rFonts w:ascii="宋体" w:hAnsi="宋体" w:cs="宋体"/>
      </w:rPr>
    </w:pPr>
    <w:r>
      <w:rPr>
        <w:rFonts w:hint="eastAsia" w:ascii="宋体" w:hAnsi="宋体" w:cs="宋体"/>
      </w:rPr>
      <w:fldChar w:fldCharType="begin"/>
    </w:r>
    <w:r>
      <w:rPr>
        <w:rFonts w:hint="eastAsia" w:ascii="宋体" w:hAnsi="宋体" w:cs="宋体"/>
      </w:rPr>
      <w:instrText xml:space="preserve"> PAGE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hAnsi="黑体" w:eastAsia="黑体" w:cs="黑体"/>
      </w:rPr>
    </w:pPr>
    <w:r>
      <w:rPr>
        <w:rFonts w:hint="eastAsia" w:ascii="黑体" w:hAnsi="黑体" w:eastAsia="黑体" w:cs="黑体"/>
      </w:rPr>
      <w:t>YS/T 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eastAsia="黑体"/>
      </w:rPr>
    </w:pPr>
  </w:p>
  <w:p>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hAnsi="黑体" w:eastAsia="黑体" w:cs="黑体"/>
      </w:rPr>
    </w:pPr>
    <w:r>
      <w:rPr>
        <w:rFonts w:hint="eastAsia" w:ascii="黑体" w:hAnsi="黑体" w:eastAsia="黑体" w:cs="黑体"/>
      </w:rPr>
      <w:t>YS/T XX—20 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F1E08"/>
    <w:rsid w:val="00001B4C"/>
    <w:rsid w:val="00020C6F"/>
    <w:rsid w:val="000226CE"/>
    <w:rsid w:val="00025CAC"/>
    <w:rsid w:val="00027EC5"/>
    <w:rsid w:val="00036E47"/>
    <w:rsid w:val="00044B6C"/>
    <w:rsid w:val="00047117"/>
    <w:rsid w:val="00054627"/>
    <w:rsid w:val="0006521B"/>
    <w:rsid w:val="00072465"/>
    <w:rsid w:val="000771BB"/>
    <w:rsid w:val="00085BFE"/>
    <w:rsid w:val="0009196D"/>
    <w:rsid w:val="0009235A"/>
    <w:rsid w:val="00094712"/>
    <w:rsid w:val="000A0871"/>
    <w:rsid w:val="000A2233"/>
    <w:rsid w:val="000B0AEB"/>
    <w:rsid w:val="000B400C"/>
    <w:rsid w:val="000C45D9"/>
    <w:rsid w:val="000D6DC6"/>
    <w:rsid w:val="000E2073"/>
    <w:rsid w:val="000E4C95"/>
    <w:rsid w:val="000F0DA1"/>
    <w:rsid w:val="000F1E08"/>
    <w:rsid w:val="00101F7A"/>
    <w:rsid w:val="00106436"/>
    <w:rsid w:val="00112888"/>
    <w:rsid w:val="00121280"/>
    <w:rsid w:val="00122BAB"/>
    <w:rsid w:val="001303EE"/>
    <w:rsid w:val="00132043"/>
    <w:rsid w:val="001344B9"/>
    <w:rsid w:val="00137C48"/>
    <w:rsid w:val="00141170"/>
    <w:rsid w:val="0014609B"/>
    <w:rsid w:val="00155319"/>
    <w:rsid w:val="00162F84"/>
    <w:rsid w:val="00170A6D"/>
    <w:rsid w:val="00174FEA"/>
    <w:rsid w:val="00175740"/>
    <w:rsid w:val="001845C0"/>
    <w:rsid w:val="00192C4F"/>
    <w:rsid w:val="00194684"/>
    <w:rsid w:val="001A05FF"/>
    <w:rsid w:val="001A1F39"/>
    <w:rsid w:val="001B32FE"/>
    <w:rsid w:val="001B46B1"/>
    <w:rsid w:val="001B4CFC"/>
    <w:rsid w:val="001C1340"/>
    <w:rsid w:val="001F42C8"/>
    <w:rsid w:val="0020334F"/>
    <w:rsid w:val="00204D90"/>
    <w:rsid w:val="0020611F"/>
    <w:rsid w:val="00211F4A"/>
    <w:rsid w:val="00217F9C"/>
    <w:rsid w:val="00232148"/>
    <w:rsid w:val="00241DCE"/>
    <w:rsid w:val="00242B78"/>
    <w:rsid w:val="0025163F"/>
    <w:rsid w:val="00270618"/>
    <w:rsid w:val="00274D57"/>
    <w:rsid w:val="0028203A"/>
    <w:rsid w:val="00286E21"/>
    <w:rsid w:val="0029112A"/>
    <w:rsid w:val="00292F26"/>
    <w:rsid w:val="00297BCF"/>
    <w:rsid w:val="002B7603"/>
    <w:rsid w:val="002C1F9F"/>
    <w:rsid w:val="002C3880"/>
    <w:rsid w:val="002D0A39"/>
    <w:rsid w:val="002F4A39"/>
    <w:rsid w:val="002F777D"/>
    <w:rsid w:val="00301C3A"/>
    <w:rsid w:val="003379F6"/>
    <w:rsid w:val="0034161A"/>
    <w:rsid w:val="00343E52"/>
    <w:rsid w:val="003452D4"/>
    <w:rsid w:val="003527A9"/>
    <w:rsid w:val="00356573"/>
    <w:rsid w:val="003662A5"/>
    <w:rsid w:val="00370378"/>
    <w:rsid w:val="00373167"/>
    <w:rsid w:val="0037491E"/>
    <w:rsid w:val="00377EA3"/>
    <w:rsid w:val="00387DBF"/>
    <w:rsid w:val="00394450"/>
    <w:rsid w:val="003A2EC5"/>
    <w:rsid w:val="003A7B82"/>
    <w:rsid w:val="003C6A22"/>
    <w:rsid w:val="003D69EA"/>
    <w:rsid w:val="003E021D"/>
    <w:rsid w:val="003E12E8"/>
    <w:rsid w:val="003F0B44"/>
    <w:rsid w:val="00402FA2"/>
    <w:rsid w:val="0040344B"/>
    <w:rsid w:val="0040444D"/>
    <w:rsid w:val="00430770"/>
    <w:rsid w:val="004329C1"/>
    <w:rsid w:val="00432BB6"/>
    <w:rsid w:val="00443ED9"/>
    <w:rsid w:val="004470A4"/>
    <w:rsid w:val="00472462"/>
    <w:rsid w:val="00474C86"/>
    <w:rsid w:val="00476C9F"/>
    <w:rsid w:val="004905C2"/>
    <w:rsid w:val="00493869"/>
    <w:rsid w:val="00495FF2"/>
    <w:rsid w:val="004A7247"/>
    <w:rsid w:val="004C6DC4"/>
    <w:rsid w:val="004D3976"/>
    <w:rsid w:val="004D7AD4"/>
    <w:rsid w:val="004E4C8E"/>
    <w:rsid w:val="004E4D12"/>
    <w:rsid w:val="00507C47"/>
    <w:rsid w:val="005123F2"/>
    <w:rsid w:val="0051494D"/>
    <w:rsid w:val="00535951"/>
    <w:rsid w:val="005364F3"/>
    <w:rsid w:val="0053758F"/>
    <w:rsid w:val="00541772"/>
    <w:rsid w:val="00550239"/>
    <w:rsid w:val="00551AE0"/>
    <w:rsid w:val="005608A9"/>
    <w:rsid w:val="005764C5"/>
    <w:rsid w:val="00580C1D"/>
    <w:rsid w:val="00581635"/>
    <w:rsid w:val="005A5663"/>
    <w:rsid w:val="005A6101"/>
    <w:rsid w:val="005C0D53"/>
    <w:rsid w:val="005C5ADC"/>
    <w:rsid w:val="005D30F1"/>
    <w:rsid w:val="005E6494"/>
    <w:rsid w:val="005F0004"/>
    <w:rsid w:val="005F1C92"/>
    <w:rsid w:val="00604796"/>
    <w:rsid w:val="00610C50"/>
    <w:rsid w:val="006135FE"/>
    <w:rsid w:val="00613731"/>
    <w:rsid w:val="00626962"/>
    <w:rsid w:val="0063121D"/>
    <w:rsid w:val="00637A0D"/>
    <w:rsid w:val="00646BC7"/>
    <w:rsid w:val="00646FFF"/>
    <w:rsid w:val="0067402B"/>
    <w:rsid w:val="0067728B"/>
    <w:rsid w:val="00677D84"/>
    <w:rsid w:val="0069170D"/>
    <w:rsid w:val="006927D0"/>
    <w:rsid w:val="0069308A"/>
    <w:rsid w:val="006B3E88"/>
    <w:rsid w:val="006B5013"/>
    <w:rsid w:val="006C2B13"/>
    <w:rsid w:val="006D1869"/>
    <w:rsid w:val="006D1F04"/>
    <w:rsid w:val="006D7C9B"/>
    <w:rsid w:val="006F0AD6"/>
    <w:rsid w:val="006F0DB3"/>
    <w:rsid w:val="006F747A"/>
    <w:rsid w:val="00704B3B"/>
    <w:rsid w:val="00706BDC"/>
    <w:rsid w:val="00714031"/>
    <w:rsid w:val="007148AA"/>
    <w:rsid w:val="0071491B"/>
    <w:rsid w:val="00717B5F"/>
    <w:rsid w:val="00723401"/>
    <w:rsid w:val="00734B93"/>
    <w:rsid w:val="00741BAF"/>
    <w:rsid w:val="00741EDD"/>
    <w:rsid w:val="0074229E"/>
    <w:rsid w:val="00743941"/>
    <w:rsid w:val="007465B4"/>
    <w:rsid w:val="00747EB9"/>
    <w:rsid w:val="00752B56"/>
    <w:rsid w:val="007567C2"/>
    <w:rsid w:val="00773A3D"/>
    <w:rsid w:val="0078373D"/>
    <w:rsid w:val="00791FC6"/>
    <w:rsid w:val="007A4B5A"/>
    <w:rsid w:val="007B36C5"/>
    <w:rsid w:val="007D1D83"/>
    <w:rsid w:val="007E3D2E"/>
    <w:rsid w:val="007E5517"/>
    <w:rsid w:val="007F0881"/>
    <w:rsid w:val="007F1D56"/>
    <w:rsid w:val="007F28D5"/>
    <w:rsid w:val="00804BF8"/>
    <w:rsid w:val="00804F83"/>
    <w:rsid w:val="0081461C"/>
    <w:rsid w:val="0081736E"/>
    <w:rsid w:val="00821FC4"/>
    <w:rsid w:val="00823515"/>
    <w:rsid w:val="00826403"/>
    <w:rsid w:val="00837021"/>
    <w:rsid w:val="00840C37"/>
    <w:rsid w:val="00841D4A"/>
    <w:rsid w:val="00841DFE"/>
    <w:rsid w:val="00846CB8"/>
    <w:rsid w:val="0085417F"/>
    <w:rsid w:val="00874B46"/>
    <w:rsid w:val="00896067"/>
    <w:rsid w:val="008A2005"/>
    <w:rsid w:val="008B3609"/>
    <w:rsid w:val="008B450B"/>
    <w:rsid w:val="008C6C3D"/>
    <w:rsid w:val="008C7C6B"/>
    <w:rsid w:val="008D4C01"/>
    <w:rsid w:val="008F3389"/>
    <w:rsid w:val="0092792F"/>
    <w:rsid w:val="009519A7"/>
    <w:rsid w:val="00970ABA"/>
    <w:rsid w:val="00973567"/>
    <w:rsid w:val="0097371E"/>
    <w:rsid w:val="00982AD2"/>
    <w:rsid w:val="00986C64"/>
    <w:rsid w:val="00992464"/>
    <w:rsid w:val="009953DC"/>
    <w:rsid w:val="009A40D1"/>
    <w:rsid w:val="009A6CD0"/>
    <w:rsid w:val="009B3A8D"/>
    <w:rsid w:val="009B5E5C"/>
    <w:rsid w:val="009C6558"/>
    <w:rsid w:val="009D262B"/>
    <w:rsid w:val="009D3C98"/>
    <w:rsid w:val="009D63F7"/>
    <w:rsid w:val="009F517E"/>
    <w:rsid w:val="00A35C3E"/>
    <w:rsid w:val="00A47CF2"/>
    <w:rsid w:val="00A530B6"/>
    <w:rsid w:val="00A56B1D"/>
    <w:rsid w:val="00A60610"/>
    <w:rsid w:val="00A72F4D"/>
    <w:rsid w:val="00A7601E"/>
    <w:rsid w:val="00A77884"/>
    <w:rsid w:val="00A862DD"/>
    <w:rsid w:val="00AA0F1A"/>
    <w:rsid w:val="00AA55C8"/>
    <w:rsid w:val="00AA655A"/>
    <w:rsid w:val="00AA7B6E"/>
    <w:rsid w:val="00AB195F"/>
    <w:rsid w:val="00AB25EE"/>
    <w:rsid w:val="00AE13C2"/>
    <w:rsid w:val="00AE62D6"/>
    <w:rsid w:val="00AF2E87"/>
    <w:rsid w:val="00B06E4D"/>
    <w:rsid w:val="00B101B0"/>
    <w:rsid w:val="00B22D38"/>
    <w:rsid w:val="00B26FC5"/>
    <w:rsid w:val="00B36977"/>
    <w:rsid w:val="00B40FDC"/>
    <w:rsid w:val="00B53CA4"/>
    <w:rsid w:val="00B63168"/>
    <w:rsid w:val="00B671B4"/>
    <w:rsid w:val="00B67211"/>
    <w:rsid w:val="00B7224B"/>
    <w:rsid w:val="00B722B1"/>
    <w:rsid w:val="00B7731F"/>
    <w:rsid w:val="00B8029B"/>
    <w:rsid w:val="00B8337C"/>
    <w:rsid w:val="00B840F0"/>
    <w:rsid w:val="00B90406"/>
    <w:rsid w:val="00BA5DA6"/>
    <w:rsid w:val="00BB1665"/>
    <w:rsid w:val="00BB33FA"/>
    <w:rsid w:val="00BC3E2B"/>
    <w:rsid w:val="00BC4F7A"/>
    <w:rsid w:val="00BD39B4"/>
    <w:rsid w:val="00BD4BBB"/>
    <w:rsid w:val="00BD6A47"/>
    <w:rsid w:val="00BF2C98"/>
    <w:rsid w:val="00BF75A3"/>
    <w:rsid w:val="00C06317"/>
    <w:rsid w:val="00C06E7D"/>
    <w:rsid w:val="00C30480"/>
    <w:rsid w:val="00C3188F"/>
    <w:rsid w:val="00C3242A"/>
    <w:rsid w:val="00C46B3D"/>
    <w:rsid w:val="00C531AD"/>
    <w:rsid w:val="00C65AE6"/>
    <w:rsid w:val="00C67205"/>
    <w:rsid w:val="00C70602"/>
    <w:rsid w:val="00C72C7A"/>
    <w:rsid w:val="00C91227"/>
    <w:rsid w:val="00C92CD0"/>
    <w:rsid w:val="00CA4C1A"/>
    <w:rsid w:val="00CD2AE4"/>
    <w:rsid w:val="00CE6A3E"/>
    <w:rsid w:val="00CE71AE"/>
    <w:rsid w:val="00D02AEE"/>
    <w:rsid w:val="00D1231B"/>
    <w:rsid w:val="00D27588"/>
    <w:rsid w:val="00D36077"/>
    <w:rsid w:val="00D45D59"/>
    <w:rsid w:val="00D75BA3"/>
    <w:rsid w:val="00D824C6"/>
    <w:rsid w:val="00D82938"/>
    <w:rsid w:val="00D85FE4"/>
    <w:rsid w:val="00D95856"/>
    <w:rsid w:val="00DA4273"/>
    <w:rsid w:val="00DA726A"/>
    <w:rsid w:val="00DB7109"/>
    <w:rsid w:val="00DB7F1C"/>
    <w:rsid w:val="00DC3B39"/>
    <w:rsid w:val="00DC7B26"/>
    <w:rsid w:val="00DD0857"/>
    <w:rsid w:val="00DF5E1B"/>
    <w:rsid w:val="00E00902"/>
    <w:rsid w:val="00E105BE"/>
    <w:rsid w:val="00E24F74"/>
    <w:rsid w:val="00E24F83"/>
    <w:rsid w:val="00E378F8"/>
    <w:rsid w:val="00E448BD"/>
    <w:rsid w:val="00E51AAE"/>
    <w:rsid w:val="00E51E78"/>
    <w:rsid w:val="00E75416"/>
    <w:rsid w:val="00E8609A"/>
    <w:rsid w:val="00E9760C"/>
    <w:rsid w:val="00EA2BB0"/>
    <w:rsid w:val="00EB23C2"/>
    <w:rsid w:val="00EB61F1"/>
    <w:rsid w:val="00EC647A"/>
    <w:rsid w:val="00ED7A5C"/>
    <w:rsid w:val="00EE3E5E"/>
    <w:rsid w:val="00EF1180"/>
    <w:rsid w:val="00EF2822"/>
    <w:rsid w:val="00EF6509"/>
    <w:rsid w:val="00F01445"/>
    <w:rsid w:val="00F02997"/>
    <w:rsid w:val="00F0304F"/>
    <w:rsid w:val="00F12C24"/>
    <w:rsid w:val="00F278FF"/>
    <w:rsid w:val="00F27C6B"/>
    <w:rsid w:val="00F40E1A"/>
    <w:rsid w:val="00F462A0"/>
    <w:rsid w:val="00F6230C"/>
    <w:rsid w:val="00F624E7"/>
    <w:rsid w:val="00F736F5"/>
    <w:rsid w:val="00F82EA4"/>
    <w:rsid w:val="00F8510C"/>
    <w:rsid w:val="00F86D35"/>
    <w:rsid w:val="00F9282A"/>
    <w:rsid w:val="00FA359B"/>
    <w:rsid w:val="00FA4EC0"/>
    <w:rsid w:val="00FA59E6"/>
    <w:rsid w:val="00FB1F8B"/>
    <w:rsid w:val="00FB3D93"/>
    <w:rsid w:val="00FB4104"/>
    <w:rsid w:val="00FC5417"/>
    <w:rsid w:val="00FE2ECA"/>
    <w:rsid w:val="00FE2FD8"/>
    <w:rsid w:val="00FF20B1"/>
    <w:rsid w:val="0102732C"/>
    <w:rsid w:val="016E1030"/>
    <w:rsid w:val="02211133"/>
    <w:rsid w:val="02AD6E1B"/>
    <w:rsid w:val="02E4322D"/>
    <w:rsid w:val="02EB2B3C"/>
    <w:rsid w:val="0306591B"/>
    <w:rsid w:val="04B847E1"/>
    <w:rsid w:val="058C52DE"/>
    <w:rsid w:val="06A850A9"/>
    <w:rsid w:val="06B46FF9"/>
    <w:rsid w:val="06B663AB"/>
    <w:rsid w:val="08353B79"/>
    <w:rsid w:val="08E61B30"/>
    <w:rsid w:val="09186479"/>
    <w:rsid w:val="099E79E8"/>
    <w:rsid w:val="09D4019B"/>
    <w:rsid w:val="0A5274BC"/>
    <w:rsid w:val="0A5D616A"/>
    <w:rsid w:val="0BEB6DD8"/>
    <w:rsid w:val="0DA5781F"/>
    <w:rsid w:val="0DCA58EB"/>
    <w:rsid w:val="0F75527B"/>
    <w:rsid w:val="107668EC"/>
    <w:rsid w:val="110B3F8B"/>
    <w:rsid w:val="120370C0"/>
    <w:rsid w:val="12A6070D"/>
    <w:rsid w:val="13C90C52"/>
    <w:rsid w:val="140D420D"/>
    <w:rsid w:val="15684174"/>
    <w:rsid w:val="164853A6"/>
    <w:rsid w:val="16A55615"/>
    <w:rsid w:val="17D932AC"/>
    <w:rsid w:val="18511C71"/>
    <w:rsid w:val="19DE4A1C"/>
    <w:rsid w:val="1C391C9E"/>
    <w:rsid w:val="1CD74D5A"/>
    <w:rsid w:val="1D4E3E71"/>
    <w:rsid w:val="1DA543CC"/>
    <w:rsid w:val="1E9C0ACE"/>
    <w:rsid w:val="1FAD5F14"/>
    <w:rsid w:val="207E013C"/>
    <w:rsid w:val="21633438"/>
    <w:rsid w:val="21764BB4"/>
    <w:rsid w:val="21992E8E"/>
    <w:rsid w:val="235F610B"/>
    <w:rsid w:val="243F4048"/>
    <w:rsid w:val="261D00C3"/>
    <w:rsid w:val="26FC6E6A"/>
    <w:rsid w:val="27624D47"/>
    <w:rsid w:val="2AD576A6"/>
    <w:rsid w:val="2BD7661E"/>
    <w:rsid w:val="2BE11EA1"/>
    <w:rsid w:val="2CDE1B0B"/>
    <w:rsid w:val="2D862153"/>
    <w:rsid w:val="3095573E"/>
    <w:rsid w:val="30CB1D43"/>
    <w:rsid w:val="328A223A"/>
    <w:rsid w:val="33414E5D"/>
    <w:rsid w:val="33553CA6"/>
    <w:rsid w:val="35ED7CE7"/>
    <w:rsid w:val="35FB56C9"/>
    <w:rsid w:val="368C5E7A"/>
    <w:rsid w:val="370D5ECC"/>
    <w:rsid w:val="37AA5F07"/>
    <w:rsid w:val="37C27F6D"/>
    <w:rsid w:val="386B0B8F"/>
    <w:rsid w:val="38BD33CD"/>
    <w:rsid w:val="38E21624"/>
    <w:rsid w:val="394919D0"/>
    <w:rsid w:val="396B765C"/>
    <w:rsid w:val="399D4401"/>
    <w:rsid w:val="3A374711"/>
    <w:rsid w:val="3B7D740A"/>
    <w:rsid w:val="3C07613E"/>
    <w:rsid w:val="3C3957E1"/>
    <w:rsid w:val="3E886B03"/>
    <w:rsid w:val="3FD234FE"/>
    <w:rsid w:val="40AD3238"/>
    <w:rsid w:val="416567B0"/>
    <w:rsid w:val="416E7C67"/>
    <w:rsid w:val="4186196B"/>
    <w:rsid w:val="44546955"/>
    <w:rsid w:val="4635159D"/>
    <w:rsid w:val="466B6D95"/>
    <w:rsid w:val="47E94B53"/>
    <w:rsid w:val="480F5868"/>
    <w:rsid w:val="48416280"/>
    <w:rsid w:val="485522CA"/>
    <w:rsid w:val="4AA96F28"/>
    <w:rsid w:val="4AEE709A"/>
    <w:rsid w:val="4AF266A7"/>
    <w:rsid w:val="4B405D3D"/>
    <w:rsid w:val="4C4C16A7"/>
    <w:rsid w:val="4C522C8E"/>
    <w:rsid w:val="4D8570E2"/>
    <w:rsid w:val="4D9F5EA6"/>
    <w:rsid w:val="4F3C608F"/>
    <w:rsid w:val="4FF36326"/>
    <w:rsid w:val="5204289F"/>
    <w:rsid w:val="52175B3C"/>
    <w:rsid w:val="531114CE"/>
    <w:rsid w:val="53691F9B"/>
    <w:rsid w:val="53F014CE"/>
    <w:rsid w:val="542B0B31"/>
    <w:rsid w:val="54E426CC"/>
    <w:rsid w:val="55086302"/>
    <w:rsid w:val="555E0C72"/>
    <w:rsid w:val="57C71D36"/>
    <w:rsid w:val="584B15C9"/>
    <w:rsid w:val="59BD50C9"/>
    <w:rsid w:val="5B271CAD"/>
    <w:rsid w:val="5CB03044"/>
    <w:rsid w:val="5DA62B63"/>
    <w:rsid w:val="5DAA6A4F"/>
    <w:rsid w:val="5DD32D75"/>
    <w:rsid w:val="5E2B5A01"/>
    <w:rsid w:val="5E73581B"/>
    <w:rsid w:val="5EF72C57"/>
    <w:rsid w:val="5F2A7D2E"/>
    <w:rsid w:val="5FAC6111"/>
    <w:rsid w:val="604E2B32"/>
    <w:rsid w:val="60ED2D8C"/>
    <w:rsid w:val="62D35631"/>
    <w:rsid w:val="62FA5C22"/>
    <w:rsid w:val="63FB2B15"/>
    <w:rsid w:val="64211850"/>
    <w:rsid w:val="66DF36A0"/>
    <w:rsid w:val="68442558"/>
    <w:rsid w:val="69094E4E"/>
    <w:rsid w:val="6A70149E"/>
    <w:rsid w:val="6A9A721C"/>
    <w:rsid w:val="6C0245CA"/>
    <w:rsid w:val="6C65116A"/>
    <w:rsid w:val="6CFE584D"/>
    <w:rsid w:val="6D4633D4"/>
    <w:rsid w:val="6EB624BC"/>
    <w:rsid w:val="6EE9485F"/>
    <w:rsid w:val="6F22597A"/>
    <w:rsid w:val="72486910"/>
    <w:rsid w:val="72DB5C6F"/>
    <w:rsid w:val="73370F84"/>
    <w:rsid w:val="743C4BB0"/>
    <w:rsid w:val="74CF0070"/>
    <w:rsid w:val="74D015E5"/>
    <w:rsid w:val="77DC4488"/>
    <w:rsid w:val="784F0C52"/>
    <w:rsid w:val="79224C5E"/>
    <w:rsid w:val="79F849F1"/>
    <w:rsid w:val="7A1B37C0"/>
    <w:rsid w:val="7C372F4A"/>
    <w:rsid w:val="7D1A2DF1"/>
    <w:rsid w:val="7DD94785"/>
    <w:rsid w:val="7DE45615"/>
    <w:rsid w:val="7E1D3082"/>
    <w:rsid w:val="7F6B1C2F"/>
    <w:rsid w:val="7FF6614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name="toc 7"/>
    <w:lsdException w:qFormat="1" w:unhideWhenUsed="0" w:uiPriority="99" w:name="toc 8"/>
    <w:lsdException w:unhideWhenUsed="0" w:uiPriority="0" w:semiHidden="0"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99" w:name="footnote reference"/>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qFormat="1" w:uiPriority="0"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63"/>
    <w:qFormat/>
    <w:uiPriority w:val="99"/>
    <w:pPr>
      <w:keepNext/>
      <w:keepLines/>
      <w:spacing w:before="260" w:after="260" w:line="413" w:lineRule="auto"/>
      <w:outlineLvl w:val="1"/>
    </w:pPr>
    <w:rPr>
      <w:rFonts w:ascii="Arial" w:hAnsi="Arial" w:eastAsia="黑体"/>
      <w:b/>
      <w:bCs/>
      <w:kern w:val="0"/>
      <w:sz w:val="20"/>
      <w:szCs w:val="20"/>
    </w:rPr>
  </w:style>
  <w:style w:type="character" w:default="1" w:styleId="17">
    <w:name w:val="Default Paragraph Font"/>
    <w:unhideWhenUsed/>
    <w:uiPriority w:val="1"/>
  </w:style>
  <w:style w:type="table" w:default="1" w:styleId="22">
    <w:name w:val="Normal Table"/>
    <w:unhideWhenUsed/>
    <w:qFormat/>
    <w:uiPriority w:val="99"/>
    <w:tblPr>
      <w:tblStyle w:val="22"/>
      <w:tblLayout w:type="fixed"/>
      <w:tblCellMar>
        <w:top w:w="0" w:type="dxa"/>
        <w:left w:w="108" w:type="dxa"/>
        <w:bottom w:w="0" w:type="dxa"/>
        <w:right w:w="108" w:type="dxa"/>
      </w:tblCellMar>
    </w:tblPr>
    <w:tcPr>
      <w:textDirection w:val="lrTb"/>
    </w:tcPr>
  </w:style>
  <w:style w:type="paragraph" w:styleId="3">
    <w:name w:val="annotation subject"/>
    <w:basedOn w:val="4"/>
    <w:next w:val="4"/>
    <w:link w:val="65"/>
    <w:semiHidden/>
    <w:qFormat/>
    <w:uiPriority w:val="99"/>
    <w:rPr>
      <w:b/>
      <w:bCs/>
    </w:rPr>
  </w:style>
  <w:style w:type="paragraph" w:styleId="4">
    <w:name w:val="annotation text"/>
    <w:basedOn w:val="1"/>
    <w:link w:val="64"/>
    <w:semiHidden/>
    <w:qFormat/>
    <w:uiPriority w:val="99"/>
    <w:pPr>
      <w:jc w:val="left"/>
    </w:pPr>
    <w:rPr>
      <w:kern w:val="0"/>
      <w:sz w:val="20"/>
      <w:szCs w:val="20"/>
    </w:rPr>
  </w:style>
  <w:style w:type="paragraph" w:styleId="5">
    <w:name w:val="toc 7"/>
    <w:basedOn w:val="1"/>
    <w:next w:val="1"/>
    <w:semiHidden/>
    <w:qFormat/>
    <w:uiPriority w:val="99"/>
    <w:pPr>
      <w:ind w:left="2520" w:leftChars="1200"/>
    </w:pPr>
  </w:style>
  <w:style w:type="paragraph" w:styleId="6">
    <w:name w:val="Normal Indent"/>
    <w:basedOn w:val="1"/>
    <w:qFormat/>
    <w:uiPriority w:val="99"/>
    <w:pPr>
      <w:ind w:firstLine="420" w:firstLineChars="200"/>
    </w:pPr>
  </w:style>
  <w:style w:type="paragraph" w:styleId="7">
    <w:name w:val="Document Map"/>
    <w:basedOn w:val="1"/>
    <w:link w:val="66"/>
    <w:semiHidden/>
    <w:qFormat/>
    <w:uiPriority w:val="99"/>
    <w:pPr>
      <w:shd w:val="clear" w:color="auto" w:fill="000080"/>
    </w:pPr>
    <w:rPr>
      <w:kern w:val="0"/>
      <w:sz w:val="20"/>
      <w:szCs w:val="20"/>
    </w:rPr>
  </w:style>
  <w:style w:type="paragraph" w:styleId="8">
    <w:name w:val="Body Text"/>
    <w:basedOn w:val="1"/>
    <w:unhideWhenUsed/>
    <w:qFormat/>
    <w:locked/>
    <w:uiPriority w:val="0"/>
  </w:style>
  <w:style w:type="paragraph" w:styleId="9">
    <w:name w:val="Body Text Indent"/>
    <w:basedOn w:val="1"/>
    <w:link w:val="67"/>
    <w:qFormat/>
    <w:uiPriority w:val="99"/>
    <w:pPr>
      <w:ind w:firstLine="480" w:firstLineChars="200"/>
    </w:pPr>
    <w:rPr>
      <w:kern w:val="0"/>
      <w:sz w:val="20"/>
      <w:szCs w:val="20"/>
    </w:rPr>
  </w:style>
  <w:style w:type="paragraph" w:styleId="10">
    <w:name w:val="Plain Text"/>
    <w:basedOn w:val="1"/>
    <w:link w:val="68"/>
    <w:qFormat/>
    <w:uiPriority w:val="99"/>
    <w:rPr>
      <w:rFonts w:ascii="宋体" w:hAnsi="Courier New"/>
      <w:kern w:val="0"/>
    </w:rPr>
  </w:style>
  <w:style w:type="paragraph" w:styleId="11">
    <w:name w:val="toc 8"/>
    <w:basedOn w:val="5"/>
    <w:next w:val="1"/>
    <w:semiHidden/>
    <w:qFormat/>
    <w:uiPriority w:val="99"/>
    <w:pPr>
      <w:widowControl/>
      <w:tabs>
        <w:tab w:val="left" w:pos="9000"/>
      </w:tabs>
      <w:ind w:left="0" w:leftChars="0"/>
    </w:pPr>
    <w:rPr>
      <w:rFonts w:ascii="宋体" w:cs="宋体"/>
    </w:rPr>
  </w:style>
  <w:style w:type="paragraph" w:styleId="12">
    <w:name w:val="Date"/>
    <w:basedOn w:val="1"/>
    <w:next w:val="1"/>
    <w:link w:val="69"/>
    <w:qFormat/>
    <w:uiPriority w:val="99"/>
    <w:pPr>
      <w:ind w:left="100" w:leftChars="2500"/>
    </w:pPr>
    <w:rPr>
      <w:kern w:val="0"/>
      <w:sz w:val="20"/>
      <w:szCs w:val="20"/>
    </w:rPr>
  </w:style>
  <w:style w:type="paragraph" w:styleId="13">
    <w:name w:val="Balloon Text"/>
    <w:basedOn w:val="1"/>
    <w:link w:val="70"/>
    <w:semiHidden/>
    <w:qFormat/>
    <w:uiPriority w:val="99"/>
    <w:rPr>
      <w:kern w:val="0"/>
      <w:sz w:val="20"/>
      <w:szCs w:val="20"/>
    </w:rPr>
  </w:style>
  <w:style w:type="paragraph" w:styleId="14">
    <w:name w:val="footer"/>
    <w:basedOn w:val="1"/>
    <w:link w:val="71"/>
    <w:qFormat/>
    <w:uiPriority w:val="99"/>
    <w:pPr>
      <w:tabs>
        <w:tab w:val="center" w:pos="4153"/>
        <w:tab w:val="right" w:pos="8306"/>
      </w:tabs>
      <w:snapToGrid w:val="0"/>
      <w:jc w:val="left"/>
    </w:pPr>
    <w:rPr>
      <w:kern w:val="0"/>
      <w:sz w:val="18"/>
      <w:szCs w:val="18"/>
    </w:rPr>
  </w:style>
  <w:style w:type="paragraph" w:styleId="15">
    <w:name w:val="header"/>
    <w:basedOn w:val="1"/>
    <w:link w:val="72"/>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footnote text"/>
    <w:basedOn w:val="1"/>
    <w:link w:val="73"/>
    <w:semiHidden/>
    <w:qFormat/>
    <w:uiPriority w:val="99"/>
    <w:pPr>
      <w:snapToGrid w:val="0"/>
      <w:jc w:val="left"/>
    </w:pPr>
    <w:rPr>
      <w:kern w:val="0"/>
      <w:sz w:val="20"/>
      <w:szCs w:val="20"/>
    </w:rPr>
  </w:style>
  <w:style w:type="character" w:styleId="18">
    <w:name w:val="page number"/>
    <w:basedOn w:val="17"/>
    <w:qFormat/>
    <w:uiPriority w:val="99"/>
    <w:rPr/>
  </w:style>
  <w:style w:type="character" w:styleId="19">
    <w:name w:val="Hyperlink"/>
    <w:qFormat/>
    <w:uiPriority w:val="99"/>
    <w:rPr>
      <w:color w:val="auto"/>
      <w:u w:val="single"/>
    </w:rPr>
  </w:style>
  <w:style w:type="character" w:styleId="20">
    <w:name w:val="annotation reference"/>
    <w:semiHidden/>
    <w:qFormat/>
    <w:uiPriority w:val="99"/>
    <w:rPr>
      <w:sz w:val="21"/>
      <w:szCs w:val="21"/>
    </w:rPr>
  </w:style>
  <w:style w:type="character" w:styleId="21">
    <w:name w:val="footnote reference"/>
    <w:semiHidden/>
    <w:qFormat/>
    <w:uiPriority w:val="99"/>
    <w:rPr>
      <w:vertAlign w:val="superscript"/>
    </w:rPr>
  </w:style>
  <w:style w:type="table" w:styleId="23">
    <w:name w:val="Table Grid"/>
    <w:basedOn w:val="22"/>
    <w:qFormat/>
    <w:uiPriority w:val="99"/>
    <w:pPr/>
    <w:tblPr>
      <w:tblStyle w:val="2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4">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kern w:val="2"/>
      <w:sz w:val="96"/>
      <w:szCs w:val="96"/>
      <w:lang w:val="en-US" w:eastAsia="zh-CN" w:bidi="ar-SA"/>
    </w:rPr>
  </w:style>
  <w:style w:type="paragraph" w:customStyle="1" w:styleId="2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2"/>
      <w:sz w:val="28"/>
      <w:szCs w:val="28"/>
      <w:lang w:val="en-US" w:eastAsia="zh-CN" w:bidi="ar-SA"/>
    </w:rPr>
  </w:style>
  <w:style w:type="paragraph" w:customStyle="1" w:styleId="26">
    <w:name w:val="前言、引言标题"/>
    <w:next w:val="1"/>
    <w:qFormat/>
    <w:uiPriority w:val="99"/>
    <w:pPr>
      <w:shd w:val="clear" w:color="FFFFFF" w:fill="FFFFFF"/>
      <w:tabs>
        <w:tab w:val="left" w:pos="720"/>
      </w:tabs>
      <w:spacing w:before="640" w:after="560"/>
      <w:ind w:left="720" w:hanging="720"/>
      <w:jc w:val="center"/>
      <w:outlineLvl w:val="0"/>
    </w:pPr>
    <w:rPr>
      <w:rFonts w:ascii="黑体" w:hAnsi="Times New Roman" w:eastAsia="黑体" w:cs="黑体"/>
      <w:kern w:val="2"/>
      <w:sz w:val="32"/>
      <w:szCs w:val="32"/>
      <w:lang w:val="en-US" w:eastAsia="zh-CN" w:bidi="ar-SA"/>
    </w:rPr>
  </w:style>
  <w:style w:type="paragraph" w:customStyle="1" w:styleId="2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2"/>
      <w:sz w:val="21"/>
      <w:szCs w:val="21"/>
      <w:lang w:val="en-US" w:eastAsia="zh-CN" w:bidi="ar-SA"/>
    </w:rPr>
  </w:style>
  <w:style w:type="paragraph" w:customStyle="1" w:styleId="28">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kern w:val="2"/>
      <w:sz w:val="52"/>
      <w:szCs w:val="52"/>
      <w:lang w:val="en-US" w:eastAsia="zh-CN" w:bidi="ar-SA"/>
    </w:rPr>
  </w:style>
  <w:style w:type="paragraph" w:customStyle="1" w:styleId="29">
    <w:name w:val="文献分类号"/>
    <w:qFormat/>
    <w:uiPriority w:val="99"/>
    <w:pPr>
      <w:widowControl w:val="0"/>
      <w:textAlignment w:val="center"/>
    </w:pPr>
    <w:rPr>
      <w:rFonts w:ascii="Times New Roman" w:hAnsi="Times New Roman" w:eastAsia="黑体" w:cs="Times New Roman"/>
      <w:kern w:val="2"/>
      <w:sz w:val="21"/>
      <w:szCs w:val="21"/>
      <w:lang w:val="en-US" w:eastAsia="zh-CN" w:bidi="ar-SA"/>
    </w:rPr>
  </w:style>
  <w:style w:type="paragraph" w:customStyle="1" w:styleId="30">
    <w:name w:val="段"/>
    <w:link w:val="74"/>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31">
    <w:name w:val="附录三级条标题"/>
    <w:basedOn w:val="32"/>
    <w:next w:val="30"/>
    <w:qFormat/>
    <w:uiPriority w:val="99"/>
    <w:pPr>
      <w:outlineLvl w:val="4"/>
    </w:pPr>
  </w:style>
  <w:style w:type="paragraph" w:customStyle="1" w:styleId="32">
    <w:name w:val="附录二级条标题"/>
    <w:basedOn w:val="33"/>
    <w:next w:val="30"/>
    <w:qFormat/>
    <w:uiPriority w:val="99"/>
    <w:pPr>
      <w:outlineLvl w:val="3"/>
    </w:pPr>
  </w:style>
  <w:style w:type="paragraph" w:customStyle="1" w:styleId="33">
    <w:name w:val="附录一级条标题"/>
    <w:basedOn w:val="1"/>
    <w:next w:val="30"/>
    <w:qFormat/>
    <w:uiPriority w:val="99"/>
    <w:pPr>
      <w:widowControl/>
      <w:wordWrap w:val="0"/>
      <w:overflowPunct w:val="0"/>
      <w:autoSpaceDE w:val="0"/>
      <w:autoSpaceDN w:val="0"/>
      <w:textAlignment w:val="baseline"/>
      <w:outlineLvl w:val="2"/>
    </w:pPr>
    <w:rPr>
      <w:rFonts w:ascii="黑体" w:eastAsia="黑体" w:cs="黑体"/>
      <w:kern w:val="21"/>
    </w:rPr>
  </w:style>
  <w:style w:type="paragraph" w:customStyle="1" w:styleId="34">
    <w:name w:val="附录标识"/>
    <w:basedOn w:val="26"/>
    <w:qFormat/>
    <w:uiPriority w:val="99"/>
    <w:pPr>
      <w:tabs>
        <w:tab w:val="left" w:pos="6405"/>
        <w:tab w:val="clear" w:pos="720"/>
      </w:tabs>
      <w:spacing w:after="200"/>
    </w:pPr>
    <w:rPr>
      <w:sz w:val="21"/>
      <w:szCs w:val="21"/>
    </w:rPr>
  </w:style>
  <w:style w:type="paragraph" w:customStyle="1" w:styleId="35">
    <w:name w:val="二级条标题"/>
    <w:basedOn w:val="36"/>
    <w:next w:val="30"/>
    <w:qFormat/>
    <w:uiPriority w:val="99"/>
  </w:style>
  <w:style w:type="paragraph" w:customStyle="1" w:styleId="36">
    <w:name w:val="一级条标题"/>
    <w:basedOn w:val="37"/>
    <w:next w:val="30"/>
    <w:qFormat/>
    <w:uiPriority w:val="99"/>
    <w:pPr>
      <w:spacing w:beforeLines="0" w:afterLines="0"/>
      <w:outlineLvl w:val="2"/>
    </w:pPr>
  </w:style>
  <w:style w:type="paragraph" w:customStyle="1" w:styleId="37">
    <w:name w:val="章标题"/>
    <w:next w:val="30"/>
    <w:qFormat/>
    <w:uiPriority w:val="99"/>
    <w:pPr>
      <w:spacing w:beforeLines="50" w:afterLines="50"/>
      <w:jc w:val="both"/>
      <w:outlineLvl w:val="1"/>
    </w:pPr>
    <w:rPr>
      <w:rFonts w:ascii="黑体" w:hAnsi="Times New Roman" w:eastAsia="黑体" w:cs="黑体"/>
      <w:kern w:val="2"/>
      <w:sz w:val="21"/>
      <w:szCs w:val="21"/>
      <w:lang w:val="en-US" w:eastAsia="zh-CN" w:bidi="ar-SA"/>
    </w:rPr>
  </w:style>
  <w:style w:type="paragraph" w:customStyle="1" w:styleId="38">
    <w:name w:val="封面标准文稿编辑信息"/>
    <w:qFormat/>
    <w:uiPriority w:val="99"/>
    <w:pPr>
      <w:spacing w:before="180" w:line="180" w:lineRule="exact"/>
      <w:jc w:val="center"/>
    </w:pPr>
    <w:rPr>
      <w:rFonts w:ascii="宋体" w:hAnsi="Times New Roman" w:eastAsia="宋体" w:cs="宋体"/>
      <w:kern w:val="2"/>
      <w:sz w:val="21"/>
      <w:szCs w:val="21"/>
      <w:lang w:val="en-US" w:eastAsia="zh-CN" w:bidi="ar-SA"/>
    </w:rPr>
  </w:style>
  <w:style w:type="paragraph" w:customStyle="1" w:styleId="39">
    <w:name w:val="发布部门"/>
    <w:next w:val="30"/>
    <w:qFormat/>
    <w:uiPriority w:val="99"/>
    <w:pPr>
      <w:jc w:val="center"/>
    </w:pPr>
    <w:rPr>
      <w:rFonts w:ascii="宋体" w:hAnsi="Times New Roman" w:eastAsia="宋体" w:cs="宋体"/>
      <w:b/>
      <w:bCs/>
      <w:spacing w:val="20"/>
      <w:w w:val="135"/>
      <w:kern w:val="2"/>
      <w:sz w:val="36"/>
      <w:szCs w:val="36"/>
      <w:lang w:val="en-US" w:eastAsia="zh-CN" w:bidi="ar-SA"/>
    </w:rPr>
  </w:style>
  <w:style w:type="paragraph" w:customStyle="1" w:styleId="40">
    <w:name w:val="标准书脚_奇数页"/>
    <w:qFormat/>
    <w:uiPriority w:val="99"/>
    <w:pPr>
      <w:spacing w:before="120"/>
      <w:jc w:val="right"/>
    </w:pPr>
    <w:rPr>
      <w:rFonts w:ascii="Times New Roman" w:hAnsi="Times New Roman" w:eastAsia="宋体" w:cs="Times New Roman"/>
      <w:kern w:val="2"/>
      <w:sz w:val="18"/>
      <w:szCs w:val="18"/>
      <w:lang w:val="en-US" w:eastAsia="zh-CN" w:bidi="ar-SA"/>
    </w:rPr>
  </w:style>
  <w:style w:type="paragraph" w:customStyle="1" w:styleId="41">
    <w:name w:val="标准书眉_偶数页"/>
    <w:basedOn w:val="27"/>
    <w:next w:val="1"/>
    <w:qFormat/>
    <w:uiPriority w:val="99"/>
    <w:pPr>
      <w:jc w:val="left"/>
    </w:pPr>
  </w:style>
  <w:style w:type="paragraph" w:customStyle="1" w:styleId="42">
    <w:name w:val="三级条标题"/>
    <w:basedOn w:val="1"/>
    <w:next w:val="30"/>
    <w:qFormat/>
    <w:uiPriority w:val="99"/>
    <w:pPr>
      <w:widowControl/>
      <w:outlineLvl w:val="4"/>
    </w:pPr>
    <w:rPr>
      <w:rFonts w:ascii="黑体" w:hAnsi="宋体" w:eastAsia="黑体" w:cs="黑体"/>
    </w:rPr>
  </w:style>
  <w:style w:type="paragraph" w:customStyle="1" w:styleId="43">
    <w:name w:val="四级条标题"/>
    <w:basedOn w:val="42"/>
    <w:next w:val="30"/>
    <w:qFormat/>
    <w:uiPriority w:val="99"/>
    <w:pPr>
      <w:outlineLvl w:val="5"/>
    </w:pPr>
  </w:style>
  <w:style w:type="paragraph" w:customStyle="1" w:styleId="44">
    <w:name w:val="Char Char Char1 Char Char Char Char Char Char Char Char Char Char"/>
    <w:basedOn w:val="1"/>
    <w:qFormat/>
    <w:uiPriority w:val="99"/>
    <w:pPr>
      <w:widowControl/>
      <w:spacing w:after="160" w:line="240" w:lineRule="exact"/>
      <w:jc w:val="left"/>
    </w:pPr>
    <w:rPr>
      <w:rFonts w:ascii="Verdana" w:hAnsi="Verdana" w:cs="Verdana"/>
      <w:sz w:val="18"/>
      <w:szCs w:val="18"/>
      <w:lang w:eastAsia="en-US"/>
    </w:rPr>
  </w:style>
  <w:style w:type="paragraph" w:customStyle="1" w:styleId="45">
    <w:name w:val="附录图标题"/>
    <w:next w:val="30"/>
    <w:qFormat/>
    <w:uiPriority w:val="99"/>
    <w:pPr>
      <w:tabs>
        <w:tab w:val="left" w:pos="360"/>
      </w:tabs>
      <w:jc w:val="center"/>
    </w:pPr>
    <w:rPr>
      <w:rFonts w:ascii="黑体" w:hAnsi="Times New Roman" w:eastAsia="黑体" w:cs="黑体"/>
      <w:kern w:val="2"/>
      <w:sz w:val="21"/>
      <w:szCs w:val="21"/>
      <w:lang w:val="en-US" w:eastAsia="zh-CN" w:bidi="ar-SA"/>
    </w:rPr>
  </w:style>
  <w:style w:type="paragraph" w:customStyle="1" w:styleId="46">
    <w:name w:val="图表脚注"/>
    <w:next w:val="30"/>
    <w:qFormat/>
    <w:uiPriority w:val="99"/>
    <w:pPr>
      <w:ind w:left="200" w:leftChars="200" w:hanging="100" w:hangingChars="100"/>
      <w:jc w:val="both"/>
    </w:pPr>
    <w:rPr>
      <w:rFonts w:ascii="宋体" w:hAnsi="Times New Roman" w:eastAsia="宋体" w:cs="宋体"/>
      <w:kern w:val="2"/>
      <w:sz w:val="18"/>
      <w:szCs w:val="18"/>
      <w:lang w:val="en-US" w:eastAsia="zh-CN" w:bidi="ar-SA"/>
    </w:rPr>
  </w:style>
  <w:style w:type="paragraph" w:customStyle="1" w:styleId="47">
    <w:name w:val="封面标准文稿类别"/>
    <w:qFormat/>
    <w:uiPriority w:val="99"/>
    <w:pPr>
      <w:spacing w:before="440" w:line="400" w:lineRule="exact"/>
      <w:jc w:val="center"/>
    </w:pPr>
    <w:rPr>
      <w:rFonts w:ascii="宋体" w:hAnsi="Times New Roman" w:eastAsia="宋体" w:cs="宋体"/>
      <w:kern w:val="2"/>
      <w:sz w:val="24"/>
      <w:szCs w:val="24"/>
      <w:lang w:val="en-US" w:eastAsia="zh-CN" w:bidi="ar-SA"/>
    </w:rPr>
  </w:style>
  <w:style w:type="paragraph" w:customStyle="1" w:styleId="48">
    <w:name w:val="标准书眉一"/>
    <w:qFormat/>
    <w:uiPriority w:val="99"/>
    <w:pPr>
      <w:jc w:val="both"/>
    </w:pPr>
    <w:rPr>
      <w:rFonts w:ascii="Times New Roman" w:hAnsi="Times New Roman" w:eastAsia="宋体" w:cs="Times New Roman"/>
      <w:kern w:val="2"/>
      <w:lang w:val="en-US" w:eastAsia="zh-CN" w:bidi="ar-SA"/>
    </w:rPr>
  </w:style>
  <w:style w:type="paragraph" w:customStyle="1" w:styleId="49">
    <w:name w:val="Char Char Char Char"/>
    <w:basedOn w:val="1"/>
    <w:qFormat/>
    <w:uiPriority w:val="99"/>
    <w:pPr>
      <w:widowControl/>
      <w:spacing w:after="160" w:line="240" w:lineRule="exact"/>
      <w:jc w:val="left"/>
    </w:pPr>
    <w:rPr>
      <w:rFonts w:ascii="Verdana" w:hAnsi="Verdana" w:cs="Verdana"/>
      <w:sz w:val="20"/>
      <w:szCs w:val="20"/>
      <w:lang w:eastAsia="en-US"/>
    </w:rPr>
  </w:style>
  <w:style w:type="paragraph" w:customStyle="1" w:styleId="50">
    <w:name w:val="标准书脚_偶数页"/>
    <w:qFormat/>
    <w:uiPriority w:val="99"/>
    <w:pPr>
      <w:spacing w:before="120"/>
    </w:pPr>
    <w:rPr>
      <w:rFonts w:ascii="Times New Roman" w:hAnsi="Times New Roman" w:eastAsia="宋体" w:cs="Times New Roman"/>
      <w:kern w:val="2"/>
      <w:sz w:val="18"/>
      <w:szCs w:val="18"/>
      <w:lang w:val="en-US" w:eastAsia="zh-CN" w:bidi="ar-SA"/>
    </w:rPr>
  </w:style>
  <w:style w:type="paragraph" w:customStyle="1" w:styleId="51">
    <w:name w:val="发布日期"/>
    <w:qFormat/>
    <w:uiPriority w:val="99"/>
    <w:rPr>
      <w:rFonts w:ascii="Times New Roman" w:hAnsi="Times New Roman" w:eastAsia="黑体" w:cs="Times New Roman"/>
      <w:kern w:val="2"/>
      <w:sz w:val="28"/>
      <w:szCs w:val="28"/>
      <w:lang w:val="en-US" w:eastAsia="zh-CN" w:bidi="ar-SA"/>
    </w:rPr>
  </w:style>
  <w:style w:type="paragraph" w:customStyle="1" w:styleId="52">
    <w:name w:val="五级条标题"/>
    <w:basedOn w:val="43"/>
    <w:next w:val="30"/>
    <w:qFormat/>
    <w:uiPriority w:val="99"/>
    <w:pPr>
      <w:outlineLvl w:val="6"/>
    </w:pPr>
  </w:style>
  <w:style w:type="paragraph" w:customStyle="1" w:styleId="53">
    <w:name w:val="附录四级条标题"/>
    <w:basedOn w:val="31"/>
    <w:next w:val="30"/>
    <w:qFormat/>
    <w:uiPriority w:val="99"/>
    <w:pPr>
      <w:outlineLvl w:val="5"/>
    </w:pPr>
  </w:style>
  <w:style w:type="paragraph" w:customStyle="1" w:styleId="54">
    <w:name w:val="附录表标题"/>
    <w:next w:val="30"/>
    <w:qFormat/>
    <w:uiPriority w:val="99"/>
    <w:pPr>
      <w:tabs>
        <w:tab w:val="left" w:pos="360"/>
      </w:tabs>
      <w:jc w:val="center"/>
      <w:textAlignment w:val="baseline"/>
    </w:pPr>
    <w:rPr>
      <w:rFonts w:ascii="黑体" w:hAnsi="Times New Roman" w:eastAsia="黑体" w:cs="黑体"/>
      <w:kern w:val="21"/>
      <w:sz w:val="21"/>
      <w:szCs w:val="21"/>
      <w:lang w:val="en-US" w:eastAsia="zh-CN" w:bidi="ar-SA"/>
    </w:rPr>
  </w:style>
  <w:style w:type="paragraph" w:customStyle="1" w:styleId="55">
    <w:name w:val="封面一致性程度标识"/>
    <w:qFormat/>
    <w:uiPriority w:val="99"/>
    <w:pPr>
      <w:spacing w:before="440" w:line="400" w:lineRule="exact"/>
      <w:jc w:val="center"/>
    </w:pPr>
    <w:rPr>
      <w:rFonts w:ascii="宋体" w:hAnsi="Times New Roman" w:eastAsia="宋体" w:cs="宋体"/>
      <w:kern w:val="2"/>
      <w:sz w:val="28"/>
      <w:szCs w:val="28"/>
      <w:lang w:val="en-US" w:eastAsia="zh-CN" w:bidi="ar-SA"/>
    </w:rPr>
  </w:style>
  <w:style w:type="paragraph" w:customStyle="1" w:styleId="56">
    <w:name w:val="实施日期"/>
    <w:basedOn w:val="51"/>
    <w:qFormat/>
    <w:uiPriority w:val="99"/>
    <w:pPr>
      <w:jc w:val="right"/>
    </w:pPr>
  </w:style>
  <w:style w:type="paragraph" w:customStyle="1" w:styleId="57">
    <w:name w:val="列出段落1"/>
    <w:basedOn w:val="1"/>
    <w:qFormat/>
    <w:uiPriority w:val="99"/>
    <w:pPr>
      <w:ind w:firstLine="420" w:firstLineChars="200"/>
    </w:pPr>
  </w:style>
  <w:style w:type="paragraph" w:customStyle="1" w:styleId="58">
    <w:name w:val="封面标准号2"/>
    <w:basedOn w:val="25"/>
    <w:qFormat/>
    <w:uiPriority w:val="99"/>
    <w:pPr>
      <w:framePr w:w="9138" w:h="1244" w:hRule="exact" w:wrap="around" w:vAnchor="page" w:hAnchor="margin" w:y="2908" w:anchorLock="1"/>
      <w:adjustRightInd w:val="0"/>
      <w:spacing w:before="357" w:line="280" w:lineRule="exact"/>
    </w:pPr>
  </w:style>
  <w:style w:type="paragraph" w:customStyle="1" w:styleId="59">
    <w:name w:val="封面标准代替信息"/>
    <w:basedOn w:val="58"/>
    <w:qFormat/>
    <w:uiPriority w:val="99"/>
    <w:pPr>
      <w:framePr/>
      <w:spacing w:before="57"/>
    </w:pPr>
    <w:rPr>
      <w:rFonts w:ascii="宋体" w:cs="宋体"/>
      <w:sz w:val="21"/>
      <w:szCs w:val="21"/>
    </w:rPr>
  </w:style>
  <w:style w:type="paragraph" w:customStyle="1" w:styleId="60">
    <w:name w:val="封面标准英文名称"/>
    <w:qFormat/>
    <w:uiPriority w:val="99"/>
    <w:pPr>
      <w:widowControl w:val="0"/>
      <w:spacing w:before="370" w:line="400" w:lineRule="exact"/>
      <w:ind w:firstLine="200" w:firstLineChars="200"/>
      <w:jc w:val="center"/>
    </w:pPr>
    <w:rPr>
      <w:rFonts w:ascii="Times New Roman" w:hAnsi="Times New Roman" w:eastAsia="宋体" w:cs="Times New Roman"/>
      <w:kern w:val="2"/>
      <w:sz w:val="28"/>
      <w:szCs w:val="28"/>
      <w:lang w:val="en-US" w:eastAsia="zh-CN" w:bidi="ar-SA"/>
    </w:rPr>
  </w:style>
  <w:style w:type="paragraph" w:customStyle="1" w:styleId="61">
    <w:name w:val="列出段落2"/>
    <w:basedOn w:val="1"/>
    <w:qFormat/>
    <w:uiPriority w:val="0"/>
    <w:pPr>
      <w:ind w:firstLine="420" w:firstLineChars="200"/>
    </w:pPr>
    <w:rPr>
      <w:b/>
      <w:bCs/>
      <w:kern w:val="44"/>
      <w:sz w:val="32"/>
      <w:szCs w:val="32"/>
    </w:rPr>
  </w:style>
  <w:style w:type="paragraph" w:customStyle="1" w:styleId="62">
    <w:name w:val="其他发布部门"/>
    <w:basedOn w:val="1"/>
    <w:qFormat/>
    <w:uiPriority w:val="0"/>
    <w:pPr>
      <w:widowControl/>
      <w:spacing w:line="0" w:lineRule="atLeast"/>
      <w:jc w:val="center"/>
    </w:pPr>
    <w:rPr>
      <w:rFonts w:ascii="黑体" w:eastAsia="黑体"/>
      <w:spacing w:val="20"/>
      <w:w w:val="135"/>
      <w:kern w:val="0"/>
      <w:sz w:val="36"/>
    </w:rPr>
  </w:style>
  <w:style w:type="character" w:customStyle="1" w:styleId="63">
    <w:name w:val="标题 2 Char"/>
    <w:link w:val="2"/>
    <w:qFormat/>
    <w:locked/>
    <w:uiPriority w:val="99"/>
    <w:rPr>
      <w:rFonts w:ascii="Arial" w:hAnsi="Arial" w:eastAsia="黑体" w:cs="Arial"/>
      <w:b/>
      <w:bCs/>
      <w:sz w:val="20"/>
      <w:szCs w:val="20"/>
    </w:rPr>
  </w:style>
  <w:style w:type="character" w:customStyle="1" w:styleId="64">
    <w:name w:val="批注文字 Char"/>
    <w:link w:val="4"/>
    <w:qFormat/>
    <w:locked/>
    <w:uiPriority w:val="99"/>
    <w:rPr>
      <w:rFonts w:ascii="Times New Roman" w:hAnsi="Times New Roman" w:eastAsia="宋体" w:cs="Times New Roman"/>
      <w:sz w:val="20"/>
      <w:szCs w:val="20"/>
    </w:rPr>
  </w:style>
  <w:style w:type="character" w:customStyle="1" w:styleId="65">
    <w:name w:val="批注主题 Char"/>
    <w:link w:val="3"/>
    <w:qFormat/>
    <w:locked/>
    <w:uiPriority w:val="99"/>
    <w:rPr>
      <w:rFonts w:ascii="Times New Roman" w:hAnsi="Times New Roman" w:eastAsia="宋体" w:cs="Times New Roman"/>
      <w:b/>
      <w:bCs/>
      <w:sz w:val="20"/>
      <w:szCs w:val="20"/>
    </w:rPr>
  </w:style>
  <w:style w:type="character" w:customStyle="1" w:styleId="66">
    <w:name w:val="文档结构图 Char"/>
    <w:link w:val="7"/>
    <w:qFormat/>
    <w:locked/>
    <w:uiPriority w:val="99"/>
    <w:rPr>
      <w:rFonts w:ascii="Times New Roman" w:hAnsi="Times New Roman" w:eastAsia="宋体" w:cs="Times New Roman"/>
      <w:sz w:val="20"/>
      <w:szCs w:val="20"/>
      <w:shd w:val="clear" w:color="auto" w:fill="000080"/>
    </w:rPr>
  </w:style>
  <w:style w:type="character" w:customStyle="1" w:styleId="67">
    <w:name w:val="正文文本缩进 Char"/>
    <w:link w:val="9"/>
    <w:qFormat/>
    <w:locked/>
    <w:uiPriority w:val="99"/>
    <w:rPr>
      <w:rFonts w:ascii="Times New Roman" w:hAnsi="Times New Roman" w:eastAsia="宋体" w:cs="Times New Roman"/>
      <w:sz w:val="20"/>
      <w:szCs w:val="20"/>
    </w:rPr>
  </w:style>
  <w:style w:type="character" w:customStyle="1" w:styleId="68">
    <w:name w:val="纯文本 Char"/>
    <w:link w:val="10"/>
    <w:qFormat/>
    <w:locked/>
    <w:uiPriority w:val="99"/>
    <w:rPr>
      <w:rFonts w:ascii="宋体" w:hAnsi="Courier New" w:eastAsia="宋体" w:cs="宋体"/>
      <w:sz w:val="21"/>
      <w:szCs w:val="21"/>
    </w:rPr>
  </w:style>
  <w:style w:type="character" w:customStyle="1" w:styleId="69">
    <w:name w:val="日期 Char"/>
    <w:link w:val="12"/>
    <w:qFormat/>
    <w:locked/>
    <w:uiPriority w:val="99"/>
    <w:rPr>
      <w:rFonts w:ascii="Times New Roman" w:hAnsi="Times New Roman" w:eastAsia="宋体" w:cs="Times New Roman"/>
      <w:sz w:val="20"/>
      <w:szCs w:val="20"/>
    </w:rPr>
  </w:style>
  <w:style w:type="character" w:customStyle="1" w:styleId="70">
    <w:name w:val="批注框文本 Char"/>
    <w:link w:val="13"/>
    <w:qFormat/>
    <w:locked/>
    <w:uiPriority w:val="99"/>
    <w:rPr>
      <w:rFonts w:ascii="Times New Roman" w:hAnsi="Times New Roman" w:eastAsia="宋体" w:cs="Times New Roman"/>
      <w:sz w:val="20"/>
      <w:szCs w:val="20"/>
    </w:rPr>
  </w:style>
  <w:style w:type="character" w:customStyle="1" w:styleId="71">
    <w:name w:val="页脚 Char"/>
    <w:link w:val="14"/>
    <w:qFormat/>
    <w:locked/>
    <w:uiPriority w:val="99"/>
    <w:rPr>
      <w:sz w:val="18"/>
      <w:szCs w:val="18"/>
    </w:rPr>
  </w:style>
  <w:style w:type="character" w:customStyle="1" w:styleId="72">
    <w:name w:val="页眉 Char"/>
    <w:link w:val="15"/>
    <w:qFormat/>
    <w:locked/>
    <w:uiPriority w:val="99"/>
    <w:rPr>
      <w:sz w:val="18"/>
      <w:szCs w:val="18"/>
    </w:rPr>
  </w:style>
  <w:style w:type="character" w:customStyle="1" w:styleId="73">
    <w:name w:val="脚注文本 Char"/>
    <w:link w:val="16"/>
    <w:qFormat/>
    <w:locked/>
    <w:uiPriority w:val="99"/>
    <w:rPr>
      <w:rFonts w:ascii="Times New Roman" w:hAnsi="Times New Roman" w:eastAsia="宋体" w:cs="Times New Roman"/>
      <w:sz w:val="20"/>
      <w:szCs w:val="20"/>
    </w:rPr>
  </w:style>
  <w:style w:type="character" w:customStyle="1" w:styleId="74">
    <w:name w:val="段 Char"/>
    <w:link w:val="30"/>
    <w:qFormat/>
    <w:locked/>
    <w:uiPriority w:val="99"/>
    <w:rPr>
      <w:rFonts w:ascii="宋体"/>
      <w:kern w:val="2"/>
      <w:sz w:val="22"/>
      <w:szCs w:val="22"/>
      <w:lang w:val="en-US" w:eastAsia="zh-CN" w:bidi="ar-SA"/>
    </w:rPr>
  </w:style>
  <w:style w:type="character" w:customStyle="1" w:styleId="75">
    <w:name w:val="sh141"/>
    <w:qFormat/>
    <w:uiPriority w:val="99"/>
    <w:rPr>
      <w:color w:val="auto"/>
      <w:sz w:val="18"/>
      <w:szCs w:val="18"/>
    </w:rPr>
  </w:style>
  <w:style w:type="character" w:customStyle="1" w:styleId="76">
    <w:name w:val="占位符文本1"/>
    <w:semiHidden/>
    <w:qFormat/>
    <w:uiPriority w:val="99"/>
    <w:rPr>
      <w:color w:val="808080"/>
    </w:rPr>
  </w:style>
  <w:style w:type="character" w:customStyle="1" w:styleId="77">
    <w:name w:val="发布"/>
    <w:basedOn w:val="17"/>
    <w:qFormat/>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264</Words>
  <Characters>1508</Characters>
  <Lines>12</Lines>
  <Paragraphs>3</Paragraphs>
  <TotalTime>0</TotalTime>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2017-05-04T14:16:00Z</dcterms:created>
  <dc:creator>俞金生</dc:creator>
  <cp:lastModifiedBy>02.0195 奚红杰</cp:lastModifiedBy>
  <cp:lastPrinted>2018-03-09T05:46:00Z</cp:lastPrinted>
  <dcterms:modified xsi:type="dcterms:W3CDTF">2019-03-22T08:22:40Z</dcterms:modified>
  <dc:title>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