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869"/>
        <w:gridCol w:w="2214"/>
        <w:gridCol w:w="1467"/>
        <w:gridCol w:w="1117"/>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502"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序号</w:t>
            </w:r>
          </w:p>
        </w:tc>
        <w:tc>
          <w:tcPr>
            <w:tcW w:w="869"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标准章条编号</w:t>
            </w:r>
          </w:p>
        </w:tc>
        <w:tc>
          <w:tcPr>
            <w:tcW w:w="2214"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意见内容</w:t>
            </w:r>
          </w:p>
        </w:tc>
        <w:tc>
          <w:tcPr>
            <w:tcW w:w="1467"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提出单位</w:t>
            </w:r>
          </w:p>
        </w:tc>
        <w:tc>
          <w:tcPr>
            <w:tcW w:w="1117"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处理意见</w:t>
            </w:r>
          </w:p>
        </w:tc>
        <w:tc>
          <w:tcPr>
            <w:tcW w:w="4066"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1</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前言</w:t>
            </w:r>
          </w:p>
        </w:tc>
        <w:tc>
          <w:tcPr>
            <w:tcW w:w="2214"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“本文件由全国有色金属标准化技术委员会（SAC/T 243）提出并归口。”修改为“本文件由工业和信息化部节能与综合利用司和中国有色金属工业协会提出，由全国有色金属标准化技术委员会（SAC/T 243）归口。”</w:t>
            </w:r>
          </w:p>
        </w:tc>
        <w:tc>
          <w:tcPr>
            <w:tcW w:w="1467" w:type="dxa"/>
            <w:noWrap w:val="0"/>
            <w:vAlign w:val="center"/>
          </w:tcPr>
          <w:p>
            <w:pPr>
              <w:adjustRightInd w:val="0"/>
              <w:snapToGrid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有色金属技术经济研究院</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2</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1</w:t>
            </w:r>
          </w:p>
        </w:tc>
        <w:tc>
          <w:tcPr>
            <w:tcW w:w="2214"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建议范围按照标准框架结构修改。</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中国恩菲工程技术有限公司</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3</w:t>
            </w:r>
          </w:p>
        </w:tc>
        <w:tc>
          <w:tcPr>
            <w:tcW w:w="869" w:type="dxa"/>
            <w:noWrap w:val="0"/>
            <w:vAlign w:val="center"/>
          </w:tcPr>
          <w:p>
            <w:pPr>
              <w:jc w:val="center"/>
              <w:rPr>
                <w:rFonts w:hint="default" w:ascii="Times New Roman" w:hAnsi="Times New Roman" w:cs="Times New Roman"/>
                <w:szCs w:val="28"/>
                <w:lang w:val="en-US" w:eastAsia="zh-CN"/>
              </w:rPr>
            </w:pPr>
            <w:r>
              <w:rPr>
                <w:rFonts w:hint="default" w:ascii="Times New Roman" w:hAnsi="Times New Roman" w:eastAsia="宋体" w:cs="Times New Roman"/>
                <w:szCs w:val="21"/>
                <w:highlight w:val="none"/>
              </w:rPr>
              <w:t>2</w:t>
            </w:r>
          </w:p>
        </w:tc>
        <w:tc>
          <w:tcPr>
            <w:tcW w:w="2214" w:type="dxa"/>
            <w:noWrap w:val="0"/>
            <w:vAlign w:val="center"/>
          </w:tcPr>
          <w:p>
            <w:pPr>
              <w:rPr>
                <w:rFonts w:hint="default" w:ascii="Times New Roman" w:hAnsi="Times New Roman" w:cs="Times New Roman"/>
                <w:sz w:val="21"/>
                <w:szCs w:val="28"/>
                <w:lang w:val="en-US" w:eastAsia="zh-CN"/>
              </w:rPr>
            </w:pPr>
            <w:r>
              <w:rPr>
                <w:rFonts w:hint="default" w:ascii="Times New Roman" w:hAnsi="Times New Roman" w:eastAsia="宋体" w:cs="Times New Roman"/>
                <w:szCs w:val="21"/>
                <w:highlight w:val="none"/>
              </w:rPr>
              <w:t>“《镍钴行业清洁生产评价指标体系》（国家发展改革委、环境保护部、工业和信息化部 2015年第36号公告）”建议放到参考文献或附录中。</w:t>
            </w:r>
          </w:p>
        </w:tc>
        <w:tc>
          <w:tcPr>
            <w:tcW w:w="1467"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Cs w:val="21"/>
                <w:highlight w:val="none"/>
                <w14:textFill>
                  <w14:solidFill>
                    <w14:schemeClr w14:val="tx1"/>
                  </w14:solidFill>
                </w14:textFill>
              </w:rPr>
              <w:t>北京当升材料科技有限公司</w:t>
            </w:r>
          </w:p>
        </w:tc>
        <w:tc>
          <w:tcPr>
            <w:tcW w:w="1117" w:type="dxa"/>
            <w:noWrap w:val="0"/>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4</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8"/>
                <w:lang w:val="en-US" w:eastAsia="zh-CN"/>
              </w:rPr>
              <w:t>2</w:t>
            </w:r>
          </w:p>
        </w:tc>
        <w:tc>
          <w:tcPr>
            <w:tcW w:w="2214"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与绿色设计相关的标准有GB/T 24040环境管理 生命周期评价 原则与框架、GB/T 24044环境管理 生命周期评价 要求与指南、GB/T 33761 绿色产品评价通则，确认是否引用？</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中国恩菲工程技术有限公司</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5</w:t>
            </w:r>
          </w:p>
        </w:tc>
        <w:tc>
          <w:tcPr>
            <w:tcW w:w="869" w:type="dxa"/>
            <w:noWrap w:val="0"/>
            <w:vAlign w:val="center"/>
          </w:tcPr>
          <w:p>
            <w:pPr>
              <w:jc w:val="center"/>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2</w:t>
            </w:r>
          </w:p>
        </w:tc>
        <w:tc>
          <w:tcPr>
            <w:tcW w:w="2214" w:type="dxa"/>
            <w:noWrap w:val="0"/>
            <w:vAlign w:val="center"/>
          </w:tcPr>
          <w:p>
            <w:pPr>
              <w:rPr>
                <w:rFonts w:hint="default" w:ascii="Times New Roman" w:hAnsi="Times New Roman" w:cs="Times New Roman"/>
                <w:sz w:val="21"/>
                <w:szCs w:val="28"/>
                <w:lang w:eastAsia="zh-CN"/>
              </w:rPr>
            </w:pPr>
            <w:r>
              <w:rPr>
                <w:rFonts w:hint="default" w:ascii="Times New Roman" w:hAnsi="Times New Roman" w:eastAsia="宋体" w:cs="Times New Roman"/>
                <w:szCs w:val="21"/>
                <w:highlight w:val="none"/>
              </w:rPr>
              <w:t>“GB/T 17167 用能单位能耗计量器具配备和管理通则”改为“GB 17167 用能单位能耗计量器具配备和管理通则”，此标准为强制性标准。</w:t>
            </w:r>
          </w:p>
        </w:tc>
        <w:tc>
          <w:tcPr>
            <w:tcW w:w="1467"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Cs w:val="21"/>
                <w:highlight w:val="none"/>
              </w:rPr>
              <w:t>株洲冶炼集团股份有限公司</w:t>
            </w:r>
          </w:p>
        </w:tc>
        <w:tc>
          <w:tcPr>
            <w:tcW w:w="1117" w:type="dxa"/>
            <w:noWrap w:val="0"/>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6</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8"/>
                <w:lang w:val="en-US" w:eastAsia="zh-CN"/>
              </w:rPr>
              <w:t>2</w:t>
            </w:r>
          </w:p>
        </w:tc>
        <w:tc>
          <w:tcPr>
            <w:tcW w:w="2214"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GB/T 28001职业健康安全管理体系要求 标准已作废，被GB/T 45001职业健康安全管理体系 要求及使用指南 标准替代，规范性引用文件同步替换。</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szCs w:val="21"/>
                <w:highlight w:val="none"/>
                <w:lang w:eastAsia="zh-CN"/>
              </w:rPr>
              <w:t>湖南杉杉能源科技股份有限公司</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02" w:type="dxa"/>
            <w:noWrap w:val="0"/>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7</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4.1.3</w:t>
            </w:r>
          </w:p>
        </w:tc>
        <w:tc>
          <w:tcPr>
            <w:tcW w:w="2214"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“清洁生产应达到国内先进水平”建议引用`相关国行标或地方标准。</w:t>
            </w:r>
          </w:p>
        </w:tc>
        <w:tc>
          <w:tcPr>
            <w:tcW w:w="1467" w:type="dxa"/>
            <w:noWrap w:val="0"/>
            <w:vAlign w:val="center"/>
          </w:tcPr>
          <w:p>
            <w:pPr>
              <w:adjustRightInd w:val="0"/>
              <w:snapToGrid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Cs w:val="21"/>
                <w:highlight w:val="none"/>
                <w:lang w:eastAsia="zh-CN"/>
              </w:rPr>
              <w:t>北京当升材料科技有限公司</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8</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4.1.7</w:t>
            </w:r>
          </w:p>
        </w:tc>
        <w:tc>
          <w:tcPr>
            <w:tcW w:w="2214"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“危险固体废物按照GB 18597的要求进行处置”建议修改为“危险固体废物按照GB 18597的要求进行收集、贮存、运输与处置”。</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szCs w:val="21"/>
                <w:highlight w:val="none"/>
                <w:lang w:eastAsia="zh-CN"/>
              </w:rPr>
              <w:t>矿冶科技集团有限公司</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不采纳</w:t>
            </w:r>
          </w:p>
        </w:tc>
        <w:tc>
          <w:tcPr>
            <w:tcW w:w="4066" w:type="dxa"/>
            <w:noWrap w:val="0"/>
            <w:vAlign w:val="center"/>
          </w:tcPr>
          <w:p>
            <w:pPr>
              <w:adjustRightInd w:val="0"/>
              <w:snapToGrid w:val="0"/>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GB 18597中规定了对危险废物贮存的一般要求，对危险废物的包装、贮存设施的选址、设计、运行、安全防护、监测和关闭等要求。但未对危险废物收集、处置、运输内容进行要求，参照相关绿色设计产品标准，暂不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9</w:t>
            </w:r>
          </w:p>
        </w:tc>
        <w:tc>
          <w:tcPr>
            <w:tcW w:w="869" w:type="dxa"/>
            <w:noWrap w:val="0"/>
            <w:vAlign w:val="center"/>
          </w:tcPr>
          <w:p>
            <w:pPr>
              <w:adjustRightInd w:val="0"/>
              <w:snapToGrid w:val="0"/>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4.1.9</w:t>
            </w:r>
          </w:p>
        </w:tc>
        <w:tc>
          <w:tcPr>
            <w:tcW w:w="2214"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将“企业应采用国家鼓励的先进技术和工艺”中的“应”改为“宜”。</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14:textFill>
                  <w14:solidFill>
                    <w14:schemeClr w14:val="tx1"/>
                  </w14:solidFill>
                </w14:textFill>
              </w:rPr>
              <w:t>有色金属技术经济研究院</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10</w:t>
            </w:r>
          </w:p>
        </w:tc>
        <w:tc>
          <w:tcPr>
            <w:tcW w:w="869" w:type="dxa"/>
            <w:noWrap w:val="0"/>
            <w:vAlign w:val="center"/>
          </w:tcPr>
          <w:p>
            <w:pPr>
              <w:adjustRightInd w:val="0"/>
              <w:snapToGrid w:val="0"/>
              <w:jc w:val="center"/>
              <w:rPr>
                <w:rFonts w:hint="default" w:ascii="Times New Roman" w:hAnsi="Times New Roman" w:cs="Times New Roman"/>
                <w:szCs w:val="28"/>
              </w:rPr>
            </w:pPr>
            <w:r>
              <w:rPr>
                <w:rFonts w:hint="default" w:ascii="Times New Roman" w:hAnsi="Times New Roman" w:eastAsia="宋体" w:cs="Times New Roman"/>
                <w:szCs w:val="21"/>
                <w:highlight w:val="none"/>
              </w:rPr>
              <w:t>4.2</w:t>
            </w:r>
          </w:p>
        </w:tc>
        <w:tc>
          <w:tcPr>
            <w:tcW w:w="2214"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能源属性二级指标是否要将辅料配置能耗计算在内？</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中国恩菲工程技术有限公司</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部分采纳</w:t>
            </w:r>
          </w:p>
        </w:tc>
        <w:tc>
          <w:tcPr>
            <w:tcW w:w="4066" w:type="dxa"/>
            <w:noWrap w:val="0"/>
            <w:vAlign w:val="center"/>
          </w:tcPr>
          <w:p>
            <w:pPr>
              <w:adjustRightInd w:val="0"/>
              <w:snapToGrid w:val="0"/>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各家企业生产工艺不同，辅料配置能耗区别应较大，且涉及到产品设定边界问题，后续与其他企业私下协商，确认是否有必要添加辅料配置能耗。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11</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cs="Times New Roman"/>
                <w:szCs w:val="28"/>
                <w:lang w:val="en-US" w:eastAsia="zh-CN"/>
              </w:rPr>
              <w:t>4.2</w:t>
            </w:r>
          </w:p>
        </w:tc>
        <w:tc>
          <w:tcPr>
            <w:tcW w:w="2214"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是否可以将其他钴系列产品如氢氧化钴放入钴？</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长沙矿冶研究院有限公司</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部分采纳</w:t>
            </w:r>
          </w:p>
        </w:tc>
        <w:tc>
          <w:tcPr>
            <w:tcW w:w="4066" w:type="dxa"/>
            <w:noWrap w:val="0"/>
            <w:vAlign w:val="center"/>
          </w:tcPr>
          <w:p>
            <w:pPr>
              <w:adjustRightInd w:val="0"/>
              <w:snapToGrid w:val="0"/>
              <w:rPr>
                <w:rFonts w:hint="default" w:ascii="Times New Roman" w:hAnsi="Times New Roman" w:eastAsia="Calibri"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国外主要以生产粗制氢氧化钴中间品为主，用于进一步冶炼钴的产品如四氧化三钴等，国内生产高纯度氢氧化钴产品的企业较少，后续与其他企业进行私下协商交流，看是否需要把氢氧化钴等钴系列产品加进去。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12</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8"/>
                <w:lang w:val="en-US" w:eastAsia="zh-CN"/>
              </w:rPr>
              <w:t>4.2</w:t>
            </w:r>
          </w:p>
        </w:tc>
        <w:tc>
          <w:tcPr>
            <w:tcW w:w="2214"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基于绿色设计产品标准目的及要求，确认二级指标基准值设置是否过松？</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14:textFill>
                  <w14:solidFill>
                    <w14:schemeClr w14:val="tx1"/>
                  </w14:solidFill>
                </w14:textFill>
              </w:rPr>
              <w:t>清远佳致新材料研究院有限公司</w:t>
            </w:r>
          </w:p>
        </w:tc>
        <w:tc>
          <w:tcPr>
            <w:tcW w:w="1117"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rPr>
                <w:rFonts w:hint="default"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13</w:t>
            </w:r>
          </w:p>
        </w:tc>
        <w:tc>
          <w:tcPr>
            <w:tcW w:w="869" w:type="dxa"/>
            <w:noWrap w:val="0"/>
            <w:vAlign w:val="center"/>
          </w:tcPr>
          <w:p>
            <w:pPr>
              <w:adjustRightInd w:val="0"/>
              <w:snapToGrid w:val="0"/>
              <w:jc w:val="center"/>
              <w:rPr>
                <w:rFonts w:hint="default" w:ascii="Times New Roman" w:hAnsi="Times New Roman" w:eastAsia="宋体" w:cs="Times New Roman"/>
                <w:szCs w:val="28"/>
                <w:lang w:val="en-US" w:eastAsia="zh-CN"/>
              </w:rPr>
            </w:pPr>
            <w:r>
              <w:rPr>
                <w:rFonts w:hint="default" w:ascii="Times New Roman" w:hAnsi="Times New Roman" w:cs="Times New Roman"/>
                <w:szCs w:val="28"/>
                <w:lang w:val="en-US" w:eastAsia="zh-CN"/>
              </w:rPr>
              <w:t>4.2</w:t>
            </w:r>
          </w:p>
        </w:tc>
        <w:tc>
          <w:tcPr>
            <w:tcW w:w="2214"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产品生产过程中会外排废气，建议在环境属性指标中设置“大气污染物排放浓度”限值指标。</w:t>
            </w:r>
          </w:p>
        </w:tc>
        <w:tc>
          <w:tcPr>
            <w:tcW w:w="1467" w:type="dxa"/>
            <w:noWrap w:val="0"/>
            <w:vAlign w:val="center"/>
          </w:tcPr>
          <w:p>
            <w:pPr>
              <w:rPr>
                <w:rFonts w:hint="default" w:ascii="Times New Roman" w:hAnsi="Times New Roman" w:cs="Times New Roman"/>
                <w:sz w:val="21"/>
                <w:szCs w:val="21"/>
              </w:rPr>
            </w:pPr>
            <w:r>
              <w:rPr>
                <w:rFonts w:hint="default" w:ascii="Times New Roman" w:hAnsi="Times New Roman" w:eastAsia="宋体" w:cs="Times New Roman"/>
                <w:szCs w:val="21"/>
                <w:highlight w:val="none"/>
                <w:lang w:eastAsia="zh-CN"/>
              </w:rPr>
              <w:t>矿冶科技集团有限公司</w:t>
            </w:r>
          </w:p>
        </w:tc>
        <w:tc>
          <w:tcPr>
            <w:tcW w:w="1117"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14</w:t>
            </w:r>
          </w:p>
        </w:tc>
        <w:tc>
          <w:tcPr>
            <w:tcW w:w="869"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cs="Times New Roman"/>
                <w:szCs w:val="28"/>
                <w:lang w:val="en-US" w:eastAsia="zh-CN"/>
              </w:rPr>
              <w:t>4.2</w:t>
            </w:r>
          </w:p>
        </w:tc>
        <w:tc>
          <w:tcPr>
            <w:tcW w:w="2214"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固体废物综合利用率≥85%是否过低？建议将“固体废物综合利用率”是否修改为“工业固体废物处置利用率”？</w:t>
            </w:r>
          </w:p>
        </w:tc>
        <w:tc>
          <w:tcPr>
            <w:tcW w:w="1467" w:type="dxa"/>
            <w:noWrap w:val="0"/>
            <w:vAlign w:val="center"/>
          </w:tcPr>
          <w:p>
            <w:pPr>
              <w:rPr>
                <w:rFonts w:hint="default" w:ascii="Times New Roman" w:hAnsi="Times New Roman" w:cs="Times New Roman"/>
                <w:sz w:val="21"/>
                <w:szCs w:val="21"/>
              </w:rPr>
            </w:pPr>
            <w:r>
              <w:rPr>
                <w:rFonts w:hint="default" w:ascii="Times New Roman" w:hAnsi="Times New Roman" w:eastAsia="宋体" w:cs="Times New Roman"/>
                <w:szCs w:val="21"/>
                <w:highlight w:val="none"/>
              </w:rPr>
              <w:t>广东先导稀材股份有限公司</w:t>
            </w:r>
          </w:p>
        </w:tc>
        <w:tc>
          <w:tcPr>
            <w:tcW w:w="1117"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15</w:t>
            </w:r>
          </w:p>
        </w:tc>
        <w:tc>
          <w:tcPr>
            <w:tcW w:w="869"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4.4</w:t>
            </w:r>
          </w:p>
        </w:tc>
        <w:tc>
          <w:tcPr>
            <w:tcW w:w="2214"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将“应优先采用已有的国家标准”的相关标准号一一列出。</w:t>
            </w:r>
          </w:p>
        </w:tc>
        <w:tc>
          <w:tcPr>
            <w:tcW w:w="1467" w:type="dxa"/>
            <w:noWrap w:val="0"/>
            <w:vAlign w:val="center"/>
          </w:tcPr>
          <w:p>
            <w:pPr>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14:textFill>
                  <w14:solidFill>
                    <w14:schemeClr w14:val="tx1"/>
                  </w14:solidFill>
                </w14:textFill>
              </w:rPr>
              <w:t>有色金属技术经济研究院</w:t>
            </w:r>
          </w:p>
        </w:tc>
        <w:tc>
          <w:tcPr>
            <w:tcW w:w="1117"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16</w:t>
            </w:r>
          </w:p>
        </w:tc>
        <w:tc>
          <w:tcPr>
            <w:tcW w:w="869"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附录B</w:t>
            </w:r>
          </w:p>
        </w:tc>
        <w:tc>
          <w:tcPr>
            <w:tcW w:w="2214"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将“依据GB/T 24040和GB/T 24044”中的GB/T 24040和GB/T 24044在规范性引用文件中列出。</w:t>
            </w:r>
          </w:p>
        </w:tc>
        <w:tc>
          <w:tcPr>
            <w:tcW w:w="1467" w:type="dxa"/>
            <w:noWrap w:val="0"/>
            <w:vAlign w:val="center"/>
          </w:tcPr>
          <w:p>
            <w:pPr>
              <w:rPr>
                <w:rFonts w:hint="default" w:ascii="Times New Roman" w:hAnsi="Times New Roman" w:cs="Times New Roman"/>
                <w:sz w:val="21"/>
                <w:szCs w:val="21"/>
              </w:rPr>
            </w:pPr>
            <w:r>
              <w:rPr>
                <w:rFonts w:hint="default" w:ascii="Times New Roman" w:hAnsi="Times New Roman" w:eastAsia="宋体" w:cs="Times New Roman"/>
                <w:szCs w:val="21"/>
                <w:highlight w:val="none"/>
              </w:rPr>
              <w:t>金川集团股份有限公司</w:t>
            </w:r>
          </w:p>
        </w:tc>
        <w:tc>
          <w:tcPr>
            <w:tcW w:w="1117"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02" w:type="dxa"/>
            <w:noWrap w:val="0"/>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1</w:t>
            </w: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7</w:t>
            </w:r>
          </w:p>
        </w:tc>
        <w:tc>
          <w:tcPr>
            <w:tcW w:w="869"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B2.3</w:t>
            </w:r>
          </w:p>
        </w:tc>
        <w:tc>
          <w:tcPr>
            <w:tcW w:w="2214" w:type="dxa"/>
            <w:noWrap w:val="0"/>
            <w:vAlign w:val="center"/>
          </w:tcPr>
          <w:p>
            <w:pPr>
              <w:widowControl/>
              <w:rPr>
                <w:rFonts w:hint="default" w:ascii="Times New Roman" w:hAnsi="Times New Roman" w:cs="Times New Roman"/>
                <w:sz w:val="21"/>
                <w:szCs w:val="28"/>
              </w:rPr>
            </w:pPr>
            <w:r>
              <w:rPr>
                <w:rFonts w:hint="default" w:ascii="Times New Roman" w:hAnsi="Times New Roman" w:eastAsia="宋体" w:cs="Times New Roman"/>
                <w:szCs w:val="21"/>
                <w:highlight w:val="none"/>
              </w:rPr>
              <w:t>将图B.1中“资源投入”修改为“能源、资源投入”。</w:t>
            </w:r>
          </w:p>
        </w:tc>
        <w:tc>
          <w:tcPr>
            <w:tcW w:w="1467" w:type="dxa"/>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14:textFill>
                  <w14:solidFill>
                    <w14:schemeClr w14:val="tx1"/>
                  </w14:solidFill>
                </w14:textFill>
              </w:rPr>
              <w:t>荆门市格林美新材料有限公司</w:t>
            </w:r>
          </w:p>
        </w:tc>
        <w:tc>
          <w:tcPr>
            <w:tcW w:w="1117"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18</w:t>
            </w:r>
          </w:p>
        </w:tc>
        <w:tc>
          <w:tcPr>
            <w:tcW w:w="869"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B.2.6＆B.4.3</w:t>
            </w:r>
          </w:p>
        </w:tc>
        <w:tc>
          <w:tcPr>
            <w:tcW w:w="2214" w:type="dxa"/>
            <w:noWrap w:val="0"/>
            <w:vAlign w:val="center"/>
          </w:tcPr>
          <w:p>
            <w:pPr>
              <w:widowControl/>
              <w:rPr>
                <w:rFonts w:hint="default" w:ascii="Times New Roman" w:hAnsi="Times New Roman" w:cs="Times New Roman"/>
                <w:sz w:val="21"/>
                <w:szCs w:val="28"/>
              </w:rPr>
            </w:pPr>
            <w:r>
              <w:rPr>
                <w:rFonts w:hint="default" w:ascii="Times New Roman" w:hAnsi="Times New Roman" w:eastAsia="宋体" w:cs="Times New Roman"/>
                <w:szCs w:val="21"/>
                <w:highlight w:val="none"/>
              </w:rPr>
              <w:t>将表B.1＆B.3中的参考文献放到标准文本的最后单列一章“参考文献”中。</w:t>
            </w:r>
          </w:p>
        </w:tc>
        <w:tc>
          <w:tcPr>
            <w:tcW w:w="1467" w:type="dxa"/>
            <w:noWrap w:val="0"/>
            <w:vAlign w:val="center"/>
          </w:tcPr>
          <w:p>
            <w:pPr>
              <w:adjustRightInd w:val="0"/>
              <w:snapToGrid w:val="0"/>
              <w:rPr>
                <w:rFonts w:hint="default" w:ascii="Times New Roman" w:hAnsi="Times New Roman" w:cs="Times New Roman"/>
                <w:szCs w:val="28"/>
              </w:rPr>
            </w:pPr>
            <w:r>
              <w:rPr>
                <w:rFonts w:hint="default" w:ascii="Times New Roman" w:hAnsi="Times New Roman" w:eastAsia="宋体" w:cs="Times New Roman"/>
                <w:color w:val="000000" w:themeColor="text1"/>
                <w:szCs w:val="21"/>
                <w:highlight w:val="none"/>
                <w14:textFill>
                  <w14:solidFill>
                    <w14:schemeClr w14:val="tx1"/>
                  </w14:solidFill>
                </w14:textFill>
              </w:rPr>
              <w:t>清远佳致新材料研究院有限公司</w:t>
            </w:r>
          </w:p>
        </w:tc>
        <w:tc>
          <w:tcPr>
            <w:tcW w:w="1117"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19</w:t>
            </w:r>
          </w:p>
        </w:tc>
        <w:tc>
          <w:tcPr>
            <w:tcW w:w="869"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C.1</w:t>
            </w:r>
          </w:p>
        </w:tc>
        <w:tc>
          <w:tcPr>
            <w:tcW w:w="2214"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color w:val="000000" w:themeColor="text1"/>
                <w:szCs w:val="21"/>
                <w:highlight w:val="none"/>
                <w14:textFill>
                  <w14:solidFill>
                    <w14:schemeClr w14:val="tx1"/>
                  </w14:solidFill>
                </w14:textFill>
              </w:rPr>
              <w:t>图C.1 四氧化三钴生产工序图存在歧义，建议调整。</w:t>
            </w:r>
          </w:p>
        </w:tc>
        <w:tc>
          <w:tcPr>
            <w:tcW w:w="1467" w:type="dxa"/>
            <w:noWrap w:val="0"/>
            <w:vAlign w:val="center"/>
          </w:tcPr>
          <w:p>
            <w:pPr>
              <w:rPr>
                <w:rFonts w:hint="default" w:ascii="Times New Roman" w:hAnsi="Times New Roman" w:cs="Times New Roman"/>
                <w:szCs w:val="28"/>
              </w:rPr>
            </w:pPr>
            <w:r>
              <w:rPr>
                <w:rFonts w:hint="default" w:ascii="Times New Roman" w:hAnsi="Times New Roman" w:eastAsia="宋体" w:cs="Times New Roman"/>
                <w:color w:val="000000" w:themeColor="text1"/>
                <w:szCs w:val="21"/>
                <w:highlight w:val="none"/>
                <w14:textFill>
                  <w14:solidFill>
                    <w14:schemeClr w14:val="tx1"/>
                  </w14:solidFill>
                </w14:textFill>
              </w:rPr>
              <w:t>荆门市格林美新材料有限公司</w:t>
            </w:r>
          </w:p>
        </w:tc>
        <w:tc>
          <w:tcPr>
            <w:tcW w:w="1117"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20</w:t>
            </w:r>
          </w:p>
        </w:tc>
        <w:tc>
          <w:tcPr>
            <w:tcW w:w="869"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编制说明</w:t>
            </w:r>
          </w:p>
        </w:tc>
        <w:tc>
          <w:tcPr>
            <w:tcW w:w="2214"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color w:val="000000" w:themeColor="text1"/>
                <w:szCs w:val="21"/>
                <w:highlight w:val="none"/>
                <w14:textFill>
                  <w14:solidFill>
                    <w14:schemeClr w14:val="tx1"/>
                  </w14:solidFill>
                </w14:textFill>
              </w:rPr>
              <w:t>编制说明中收集数据较少，建议补充数据。</w:t>
            </w:r>
          </w:p>
        </w:tc>
        <w:tc>
          <w:tcPr>
            <w:tcW w:w="1467" w:type="dxa"/>
            <w:noWrap w:val="0"/>
            <w:vAlign w:val="center"/>
          </w:tcPr>
          <w:p>
            <w:pPr>
              <w:rPr>
                <w:rFonts w:hint="default" w:ascii="Times New Roman" w:hAnsi="Times New Roman" w:cs="Times New Roman"/>
                <w:szCs w:val="28"/>
              </w:rPr>
            </w:pPr>
            <w:r>
              <w:rPr>
                <w:rFonts w:hint="default" w:ascii="Times New Roman" w:hAnsi="Times New Roman" w:eastAsia="宋体" w:cs="Times New Roman"/>
                <w:color w:val="000000" w:themeColor="text1"/>
                <w:szCs w:val="21"/>
                <w:highlight w:val="none"/>
                <w14:textFill>
                  <w14:solidFill>
                    <w14:schemeClr w14:val="tx1"/>
                  </w14:solidFill>
                </w14:textFill>
              </w:rPr>
              <w:t>有色金属技术经济研究院</w:t>
            </w:r>
          </w:p>
        </w:tc>
        <w:tc>
          <w:tcPr>
            <w:tcW w:w="1117"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c>
          <w:tcPr>
            <w:tcW w:w="4066" w:type="dxa"/>
            <w:noWrap w:val="0"/>
            <w:vAlign w:val="center"/>
          </w:tcPr>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21</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cs="Times New Roman"/>
                <w:sz w:val="21"/>
                <w:szCs w:val="28"/>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cs="Times New Roman"/>
                <w:szCs w:val="28"/>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湖南有色金属研究院</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22</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cs="Times New Roman"/>
                <w:sz w:val="21"/>
                <w:szCs w:val="28"/>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cs="Times New Roman"/>
                <w:szCs w:val="28"/>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铜陵有色金属集团控股有限公司</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23</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eastAsia="宋体" w:cs="Times New Roman"/>
                <w:sz w:val="21"/>
                <w:szCs w:val="28"/>
                <w:lang w:val="en-US" w:eastAsia="zh-CN"/>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白银有色集团股份有限公司</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cs="Times New Roman"/>
                <w:lang w:val="en-US"/>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24</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eastAsia="宋体" w:cs="Times New Roman"/>
                <w:sz w:val="21"/>
                <w:szCs w:val="28"/>
                <w:lang w:val="en-US" w:eastAsia="zh-CN"/>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cs="Times New Roman"/>
                <w:sz w:val="21"/>
                <w:szCs w:val="21"/>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云南锡业股份有限公司化工材料分公司</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25</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cs="Times New Roman"/>
                <w:sz w:val="21"/>
                <w:szCs w:val="28"/>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cs="Times New Roman"/>
                <w:szCs w:val="28"/>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昆明冶金研究院</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26</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cs="Times New Roman"/>
                <w:sz w:val="21"/>
                <w:szCs w:val="28"/>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cs="Times New Roman"/>
                <w:szCs w:val="28"/>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大冶有色设计研究院有限公司</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27</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北矿检测技术有限公司</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28</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连云港海关综合技术中心</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29</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华南理工大学</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02"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30</w:t>
            </w:r>
          </w:p>
        </w:tc>
        <w:tc>
          <w:tcPr>
            <w:tcW w:w="869" w:type="dxa"/>
            <w:noWrap w:val="0"/>
            <w:vAlign w:val="center"/>
          </w:tcPr>
          <w:p>
            <w:pPr>
              <w:jc w:val="center"/>
              <w:rPr>
                <w:rFonts w:hint="default" w:ascii="Times New Roman" w:hAnsi="Times New Roman" w:cs="Times New Roman"/>
                <w:szCs w:val="28"/>
              </w:rPr>
            </w:pPr>
          </w:p>
        </w:tc>
        <w:tc>
          <w:tcPr>
            <w:tcW w:w="2214" w:type="dxa"/>
            <w:noWrap w:val="0"/>
            <w:vAlign w:val="center"/>
          </w:tcPr>
          <w:p>
            <w:pPr>
              <w:jc w:val="center"/>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无意见</w:t>
            </w:r>
          </w:p>
        </w:tc>
        <w:tc>
          <w:tcPr>
            <w:tcW w:w="1467" w:type="dxa"/>
            <w:noWrap w:val="0"/>
            <w:vAlign w:val="center"/>
          </w:tcPr>
          <w:p>
            <w:pPr>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云锡文山锌铟冶炼有限公司</w:t>
            </w:r>
          </w:p>
        </w:tc>
        <w:tc>
          <w:tcPr>
            <w:tcW w:w="1117" w:type="dxa"/>
            <w:noWrap w:val="0"/>
            <w:vAlign w:val="center"/>
          </w:tcPr>
          <w:p>
            <w:pPr>
              <w:adjustRightInd w:val="0"/>
              <w:snapToGrid w:val="0"/>
              <w:jc w:val="center"/>
              <w:rPr>
                <w:rFonts w:hint="default" w:ascii="Times New Roman" w:hAnsi="Times New Roman" w:cs="Times New Roman"/>
              </w:rPr>
            </w:pPr>
          </w:p>
        </w:tc>
        <w:tc>
          <w:tcPr>
            <w:tcW w:w="4066" w:type="dxa"/>
            <w:noWrap w:val="0"/>
            <w:vAlign w:val="center"/>
          </w:tcPr>
          <w:p>
            <w:pPr>
              <w:adjustRightInd w:val="0"/>
              <w:snapToGrid w:val="0"/>
              <w:jc w:val="center"/>
              <w:rPr>
                <w:rFonts w:hint="default" w:ascii="Times New Roman" w:hAnsi="Times New Roman" w:cs="Times New Roman"/>
              </w:rPr>
            </w:pPr>
          </w:p>
        </w:tc>
      </w:tr>
    </w:tbl>
    <w:p>
      <w:pPr>
        <w:tabs>
          <w:tab w:val="left" w:pos="3780"/>
        </w:tabs>
        <w:ind w:left="945" w:leftChars="150" w:hanging="630" w:hangingChars="300"/>
        <w:rPr>
          <w:rFonts w:hint="eastAsia"/>
        </w:rPr>
      </w:pPr>
    </w:p>
    <w:p>
      <w:pPr>
        <w:tabs>
          <w:tab w:val="left" w:pos="3780"/>
        </w:tabs>
        <w:ind w:left="945" w:leftChars="150" w:hanging="630" w:hangingChars="300"/>
      </w:pPr>
      <w:r>
        <w:rPr>
          <w:rFonts w:hint="eastAsia"/>
        </w:rPr>
        <w:t>说明：</w:t>
      </w:r>
    </w:p>
    <w:p>
      <w:pPr>
        <w:tabs>
          <w:tab w:val="left" w:pos="3780"/>
        </w:tabs>
        <w:ind w:firstLine="210" w:firstLineChars="100"/>
        <w:rPr>
          <w:rFonts w:hint="default" w:ascii="Times New Roman" w:hAnsi="Times New Roman" w:cs="Times New Roman"/>
        </w:rPr>
      </w:pPr>
      <w:r>
        <w:rPr>
          <w:rFonts w:hint="eastAsia"/>
        </w:rPr>
        <w:t>（</w:t>
      </w:r>
      <w:r>
        <w:rPr>
          <w:rFonts w:hint="default" w:ascii="Times New Roman" w:hAnsi="Times New Roman" w:cs="Times New Roman"/>
        </w:rPr>
        <w:t>1）发送《征求意见稿》的单位数：</w:t>
      </w:r>
      <w:r>
        <w:rPr>
          <w:rFonts w:hint="default" w:ascii="Times New Roman" w:hAnsi="Times New Roman" w:cs="Times New Roman"/>
          <w:lang w:val="en-US" w:eastAsia="zh-CN"/>
        </w:rPr>
        <w:t>2</w:t>
      </w:r>
      <w:r>
        <w:rPr>
          <w:rFonts w:hint="eastAsia" w:cs="Times New Roman"/>
          <w:lang w:val="en-US" w:eastAsia="zh-CN"/>
        </w:rPr>
        <w:t>1</w:t>
      </w:r>
      <w:r>
        <w:rPr>
          <w:rFonts w:hint="default" w:ascii="Times New Roman" w:hAnsi="Times New Roman" w:cs="Times New Roman"/>
        </w:rPr>
        <w:t>个；</w:t>
      </w:r>
    </w:p>
    <w:p>
      <w:pPr>
        <w:tabs>
          <w:tab w:val="left" w:pos="3780"/>
        </w:tabs>
        <w:ind w:firstLine="210" w:firstLineChars="100"/>
        <w:rPr>
          <w:rFonts w:hint="default" w:ascii="Times New Roman" w:hAnsi="Times New Roman" w:cs="Times New Roman"/>
        </w:rPr>
      </w:pPr>
      <w:r>
        <w:rPr>
          <w:rFonts w:hint="default" w:ascii="Times New Roman" w:hAnsi="Times New Roman" w:cs="Times New Roman"/>
        </w:rPr>
        <w:t>（2）收到《征求意见稿》后，回函的单位数：</w:t>
      </w:r>
      <w:r>
        <w:rPr>
          <w:rFonts w:hint="default" w:ascii="Times New Roman" w:hAnsi="Times New Roman" w:cs="Times New Roman"/>
          <w:lang w:val="en-US" w:eastAsia="zh-CN"/>
        </w:rPr>
        <w:t>2</w:t>
      </w:r>
      <w:r>
        <w:rPr>
          <w:rFonts w:hint="eastAsia" w:cs="Times New Roman"/>
          <w:lang w:val="en-US" w:eastAsia="zh-CN"/>
        </w:rPr>
        <w:t>1</w:t>
      </w:r>
      <w:r>
        <w:rPr>
          <w:rFonts w:hint="default" w:ascii="Times New Roman" w:hAnsi="Times New Roman" w:cs="Times New Roman"/>
        </w:rPr>
        <w:t>个；</w:t>
      </w:r>
    </w:p>
    <w:p>
      <w:pPr>
        <w:tabs>
          <w:tab w:val="left" w:pos="3780"/>
        </w:tabs>
        <w:ind w:firstLine="210" w:firstLineChars="100"/>
        <w:rPr>
          <w:rFonts w:hint="default" w:ascii="Times New Roman" w:hAnsi="Times New Roman" w:cs="Times New Roman"/>
        </w:rPr>
      </w:pPr>
      <w:r>
        <w:rPr>
          <w:rFonts w:hint="default" w:ascii="Times New Roman" w:hAnsi="Times New Roman" w:cs="Times New Roman"/>
        </w:rPr>
        <w:t>（3）收到《征求意见稿》后，回函并有建议或意见的单位数：</w:t>
      </w:r>
      <w:r>
        <w:rPr>
          <w:rFonts w:hint="default" w:ascii="Times New Roman" w:hAnsi="Times New Roman" w:cs="Times New Roman"/>
          <w:lang w:val="en-US" w:eastAsia="zh-CN"/>
        </w:rPr>
        <w:t>1</w:t>
      </w:r>
      <w:r>
        <w:rPr>
          <w:rFonts w:hint="eastAsia" w:cs="Times New Roman"/>
          <w:lang w:val="en-US" w:eastAsia="zh-CN"/>
        </w:rPr>
        <w:t>1</w:t>
      </w:r>
      <w:r>
        <w:rPr>
          <w:rFonts w:hint="default" w:ascii="Times New Roman" w:hAnsi="Times New Roman" w:cs="Times New Roman"/>
        </w:rPr>
        <w:t>个；</w:t>
      </w:r>
    </w:p>
    <w:p>
      <w:pPr>
        <w:tabs>
          <w:tab w:val="left" w:pos="3780"/>
        </w:tabs>
        <w:ind w:firstLine="210" w:firstLineChars="100"/>
        <w:rPr>
          <w:rFonts w:hint="default" w:ascii="Times New Roman" w:hAnsi="Times New Roman" w:cs="Times New Roman"/>
        </w:rPr>
      </w:pPr>
      <w:r>
        <w:rPr>
          <w:rFonts w:hint="default" w:ascii="Times New Roman" w:hAnsi="Times New Roman" w:cs="Times New Roman"/>
        </w:rPr>
        <w:t>（4）没有回函的单位数：</w:t>
      </w:r>
      <w:r>
        <w:rPr>
          <w:rFonts w:hint="default" w:ascii="Times New Roman" w:hAnsi="Times New Roman" w:cs="Times New Roman"/>
          <w:lang w:val="en-US" w:eastAsia="zh-CN"/>
        </w:rPr>
        <w:t>0</w:t>
      </w:r>
      <w:r>
        <w:rPr>
          <w:rFonts w:hint="default" w:ascii="Times New Roman" w:hAnsi="Times New Roman" w:cs="Times New Roman"/>
        </w:rPr>
        <w:t>个。</w:t>
      </w:r>
    </w:p>
    <w:p>
      <w:pPr>
        <w:tabs>
          <w:tab w:val="left" w:pos="3780"/>
        </w:tabs>
        <w:rPr>
          <w:rFonts w:hint="eastAsia" w:ascii="宋体" w:hAnsi="宋体"/>
        </w:rPr>
      </w:pPr>
    </w:p>
    <w:sectPr>
      <w:headerReference r:id="rId3" w:type="default"/>
      <w:footerReference r:id="rId4" w:type="default"/>
      <w:pgSz w:w="11906" w:h="16838"/>
      <w:pgMar w:top="1134" w:right="851" w:bottom="1134" w:left="851" w:header="964"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margin" w:hAnchor="text" w:yAlign="inline"/>
      <w:jc w:val="both"/>
    </w:pPr>
  </w:p>
  <w:tbl>
    <w:tblPr>
      <w:tblStyle w:val="5"/>
      <w:tblW w:w="10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4112"/>
      <w:gridCol w:w="1966"/>
      <w:gridCol w:w="1223"/>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10189" w:type="dxa"/>
          <w:gridSpan w:val="5"/>
          <w:tcBorders>
            <w:top w:val="single" w:color="FFFFFF" w:sz="4" w:space="0"/>
            <w:left w:val="single" w:color="FFFFFF" w:sz="4" w:space="0"/>
            <w:bottom w:val="nil"/>
            <w:right w:val="single" w:color="FFFFFF" w:sz="4" w:space="0"/>
          </w:tcBorders>
          <w:noWrap w:val="0"/>
          <w:vAlign w:val="center"/>
        </w:tcPr>
        <w:p>
          <w:pPr>
            <w:spacing w:line="360" w:lineRule="exact"/>
            <w:jc w:val="center"/>
            <w:rPr>
              <w:rFonts w:hint="eastAsia"/>
              <w:color w:val="000000"/>
            </w:rPr>
          </w:pPr>
          <w:r>
            <w:rPr>
              <w:rFonts w:hint="eastAsia" w:eastAsia="黑体"/>
              <w:sz w:val="28"/>
            </w:rPr>
            <w:t>标准征求意见稿意见汇总处理表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1667" w:type="dxa"/>
          <w:tcBorders>
            <w:top w:val="nil"/>
            <w:left w:val="nil"/>
            <w:bottom w:val="nil"/>
            <w:right w:val="single" w:color="FFFFFF" w:sz="4" w:space="0"/>
          </w:tcBorders>
          <w:noWrap w:val="0"/>
          <w:vAlign w:val="center"/>
        </w:tcPr>
        <w:p>
          <w:pPr>
            <w:spacing w:line="360" w:lineRule="exact"/>
            <w:jc w:val="center"/>
            <w:rPr>
              <w:rFonts w:hint="eastAsia"/>
              <w:color w:val="000000"/>
            </w:rPr>
          </w:pPr>
          <w:r>
            <w:rPr>
              <w:rFonts w:hint="eastAsia"/>
              <w:color w:val="000000"/>
            </w:rPr>
            <w:t>标准项目名称：</w:t>
          </w:r>
        </w:p>
      </w:tc>
      <w:tc>
        <w:tcPr>
          <w:tcW w:w="4112" w:type="dxa"/>
          <w:tcBorders>
            <w:top w:val="nil"/>
            <w:left w:val="single" w:color="FFFFFF" w:sz="4" w:space="0"/>
            <w:bottom w:val="nil"/>
            <w:right w:val="nil"/>
          </w:tcBorders>
          <w:noWrap w:val="0"/>
          <w:vAlign w:val="center"/>
        </w:tcPr>
        <w:p>
          <w:pPr>
            <w:spacing w:line="360" w:lineRule="exact"/>
            <w:jc w:val="left"/>
            <w:rPr>
              <w:rFonts w:hint="eastAsia"/>
            </w:rPr>
          </w:pPr>
          <w:bookmarkStart w:id="0" w:name="_GoBack"/>
          <w:r>
            <w:rPr>
              <w:rFonts w:ascii="Times New Roman" w:hAnsi="Times New Roman" w:eastAsia="宋体" w:cs="Times New Roman"/>
              <w:bCs/>
              <w:color w:val="000000" w:themeColor="text1"/>
              <w:szCs w:val="21"/>
              <w14:textFill>
                <w14:solidFill>
                  <w14:schemeClr w14:val="tx1"/>
                </w14:solidFill>
              </w14:textFill>
            </w:rPr>
            <w:t>绿色设计产品评价技术规范 四氧化三钴</w:t>
          </w:r>
          <w:bookmarkEnd w:id="0"/>
        </w:p>
      </w:tc>
      <w:tc>
        <w:tcPr>
          <w:tcW w:w="1966" w:type="dxa"/>
          <w:tcBorders>
            <w:top w:val="nil"/>
            <w:left w:val="nil"/>
            <w:bottom w:val="nil"/>
            <w:right w:val="nil"/>
          </w:tcBorders>
          <w:noWrap w:val="0"/>
          <w:vAlign w:val="center"/>
        </w:tcPr>
        <w:p>
          <w:pPr>
            <w:spacing w:line="360" w:lineRule="exact"/>
            <w:rPr>
              <w:rFonts w:hint="eastAsia" w:eastAsia="宋体"/>
              <w:color w:val="000000"/>
              <w:lang w:eastAsia="zh-CN"/>
            </w:rPr>
          </w:pPr>
          <w:r>
            <w:rPr>
              <w:rFonts w:hint="eastAsia"/>
              <w:color w:val="000000"/>
            </w:rPr>
            <w:t>承办人：</w:t>
          </w:r>
          <w:r>
            <w:rPr>
              <w:rFonts w:hint="eastAsia"/>
              <w:color w:val="000000"/>
              <w:lang w:val="en-US" w:eastAsia="zh-CN"/>
            </w:rPr>
            <w:t>陈婷</w:t>
          </w:r>
        </w:p>
      </w:tc>
      <w:tc>
        <w:tcPr>
          <w:tcW w:w="1223" w:type="dxa"/>
          <w:tcBorders>
            <w:top w:val="nil"/>
            <w:left w:val="nil"/>
            <w:bottom w:val="nil"/>
            <w:right w:val="nil"/>
          </w:tcBorders>
          <w:noWrap w:val="0"/>
          <w:vAlign w:val="center"/>
        </w:tcPr>
        <w:p>
          <w:pPr>
            <w:spacing w:line="360" w:lineRule="exact"/>
            <w:jc w:val="center"/>
            <w:rPr>
              <w:rFonts w:hint="eastAsia"/>
              <w:color w:val="000000"/>
            </w:rPr>
          </w:pPr>
          <w:r>
            <w:rPr>
              <w:rFonts w:hint="eastAsia"/>
              <w:color w:val="000000"/>
            </w:rPr>
            <w:t xml:space="preserve">共 </w:t>
          </w:r>
          <w:r>
            <w:rPr>
              <w:rFonts w:hint="eastAsia"/>
              <w:color w:val="000000"/>
              <w:lang w:val="en-US" w:eastAsia="zh-CN"/>
            </w:rPr>
            <w:t>4</w:t>
          </w:r>
          <w:r>
            <w:rPr>
              <w:rFonts w:hint="eastAsia"/>
              <w:color w:val="000000"/>
            </w:rPr>
            <w:t>页</w:t>
          </w:r>
        </w:p>
      </w:tc>
      <w:tc>
        <w:tcPr>
          <w:tcW w:w="1221" w:type="dxa"/>
          <w:tcBorders>
            <w:top w:val="nil"/>
            <w:left w:val="nil"/>
            <w:bottom w:val="nil"/>
            <w:right w:val="single" w:color="FFFFFF" w:sz="4" w:space="0"/>
          </w:tcBorders>
          <w:noWrap w:val="0"/>
          <w:vAlign w:val="center"/>
        </w:tcPr>
        <w:p>
          <w:pPr>
            <w:spacing w:line="360" w:lineRule="exact"/>
            <w:rPr>
              <w:rFonts w:hint="eastAsia"/>
              <w:color w:val="000000"/>
            </w:rPr>
          </w:pPr>
          <w:r>
            <w:rPr>
              <w:rFonts w:hint="eastAsia"/>
              <w:color w:val="000000"/>
            </w:rPr>
            <w:t>第</w:t>
          </w:r>
          <w:r>
            <w:rPr>
              <w:rFonts w:hint="eastAsia"/>
              <w:color w:val="000000"/>
              <w:lang w:val="en-US" w:eastAsia="zh-CN"/>
            </w:rPr>
            <w:t>1</w:t>
          </w:r>
          <w:r>
            <w:rPr>
              <w:rFonts w:hint="eastAsia"/>
              <w:color w:val="00000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5779" w:type="dxa"/>
          <w:gridSpan w:val="2"/>
          <w:tcBorders>
            <w:top w:val="nil"/>
            <w:left w:val="single" w:color="FFFFFF" w:sz="4" w:space="0"/>
            <w:bottom w:val="single" w:color="FFFFFF" w:sz="4" w:space="0"/>
            <w:right w:val="nil"/>
          </w:tcBorders>
          <w:noWrap w:val="0"/>
          <w:vAlign w:val="center"/>
        </w:tcPr>
        <w:p>
          <w:pPr>
            <w:adjustRightInd w:val="0"/>
            <w:snapToGrid w:val="0"/>
            <w:jc w:val="left"/>
            <w:rPr>
              <w:rFonts w:hint="default" w:eastAsia="宋体"/>
              <w:color w:val="000000"/>
              <w:lang w:val="en-US" w:eastAsia="zh-CN"/>
            </w:rPr>
          </w:pPr>
          <w:r>
            <w:rPr>
              <w:rFonts w:hint="eastAsia"/>
              <w:color w:val="000000"/>
            </w:rPr>
            <w:t>标准项目负责起草单位：</w:t>
          </w:r>
          <w:r>
            <w:rPr>
              <w:rFonts w:ascii="Times New Roman" w:hAnsi="Times New Roman" w:eastAsia="宋体" w:cs="Times New Roman"/>
              <w:bCs/>
              <w:color w:val="000000" w:themeColor="text1"/>
              <w:szCs w:val="21"/>
              <w14:textFill>
                <w14:solidFill>
                  <w14:schemeClr w14:val="tx1"/>
                </w14:solidFill>
              </w14:textFill>
            </w:rPr>
            <w:t>衢州华友钴新材料有限公司</w:t>
          </w:r>
        </w:p>
      </w:tc>
      <w:tc>
        <w:tcPr>
          <w:tcW w:w="1966" w:type="dxa"/>
          <w:tcBorders>
            <w:top w:val="nil"/>
            <w:left w:val="nil"/>
            <w:bottom w:val="single" w:color="FFFFFF" w:sz="4" w:space="0"/>
            <w:right w:val="nil"/>
          </w:tcBorders>
          <w:noWrap w:val="0"/>
          <w:vAlign w:val="center"/>
        </w:tcPr>
        <w:p>
          <w:pPr>
            <w:spacing w:line="360" w:lineRule="exact"/>
            <w:rPr>
              <w:rFonts w:hint="default" w:eastAsia="宋体"/>
              <w:color w:val="000000"/>
              <w:lang w:val="en-US" w:eastAsia="zh-CN"/>
            </w:rPr>
          </w:pPr>
          <w:r>
            <w:rPr>
              <w:rFonts w:hint="eastAsia"/>
              <w:color w:val="000000"/>
            </w:rPr>
            <w:t>电话：</w:t>
          </w:r>
          <w:r>
            <w:rPr>
              <w:rFonts w:ascii="Times New Roman" w:hAnsi="Times New Roman" w:eastAsia="宋体" w:cs="Times New Roman"/>
              <w:bCs/>
              <w:color w:val="000000" w:themeColor="text1"/>
              <w:szCs w:val="21"/>
              <w14:textFill>
                <w14:solidFill>
                  <w14:schemeClr w14:val="tx1"/>
                </w14:solidFill>
              </w14:textFill>
            </w:rPr>
            <w:t>15695700902</w:t>
          </w:r>
        </w:p>
      </w:tc>
      <w:tc>
        <w:tcPr>
          <w:tcW w:w="2444" w:type="dxa"/>
          <w:gridSpan w:val="2"/>
          <w:tcBorders>
            <w:top w:val="nil"/>
            <w:left w:val="nil"/>
            <w:bottom w:val="single" w:color="FFFFFF" w:sz="4" w:space="0"/>
            <w:right w:val="single" w:color="FFFFFF" w:sz="4" w:space="0"/>
          </w:tcBorders>
          <w:noWrap w:val="0"/>
          <w:vAlign w:val="center"/>
        </w:tcPr>
        <w:p>
          <w:pPr>
            <w:spacing w:line="360" w:lineRule="exact"/>
            <w:jc w:val="center"/>
            <w:rPr>
              <w:rFonts w:hint="eastAsia"/>
              <w:color w:val="000000"/>
            </w:rPr>
          </w:pPr>
          <w:r>
            <w:rPr>
              <w:rFonts w:hint="eastAsia"/>
              <w:color w:val="000000"/>
            </w:rPr>
            <w:t>20</w:t>
          </w:r>
          <w:r>
            <w:rPr>
              <w:color w:val="000000"/>
            </w:rPr>
            <w:t>2</w:t>
          </w:r>
          <w:r>
            <w:rPr>
              <w:rFonts w:hint="eastAsia"/>
              <w:color w:val="000000"/>
              <w:lang w:val="en-US" w:eastAsia="zh-CN"/>
            </w:rPr>
            <w:t>1</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31</w:t>
          </w:r>
          <w:r>
            <w:rPr>
              <w:rFonts w:hint="eastAsia"/>
              <w:color w:val="000000"/>
            </w:rPr>
            <w:t>日填写</w:t>
          </w: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13"/>
      <w:suff w:val="nothing"/>
      <w:lvlText w:val="%1"/>
      <w:lvlJc w:val="left"/>
      <w:pPr>
        <w:ind w:left="0" w:firstLine="0"/>
      </w:pPr>
      <w:rPr>
        <w:rFonts w:hint="default" w:ascii="Times New Roman" w:hAnsi="Times New Roman"/>
        <w:b/>
        <w:i w:val="0"/>
        <w:sz w:val="21"/>
      </w:rPr>
    </w:lvl>
    <w:lvl w:ilvl="1" w:tentative="0">
      <w:start w:val="1"/>
      <w:numFmt w:val="decimal"/>
      <w:pStyle w:val="12"/>
      <w:suff w:val="nothing"/>
      <w:lvlText w:val="%1%2　"/>
      <w:lvlJc w:val="left"/>
      <w:pPr>
        <w:ind w:left="0" w:firstLine="0"/>
      </w:pPr>
      <w:rPr>
        <w:rFonts w:hint="eastAsia" w:ascii="黑体" w:hAnsi="Times New Roman" w:eastAsia="黑体"/>
        <w:b w:val="0"/>
        <w:i w:val="0"/>
        <w:sz w:val="21"/>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pStyle w:val="10"/>
      <w:suff w:val="nothing"/>
      <w:lvlText w:val="%1%2.%3.%4　"/>
      <w:lvlJc w:val="left"/>
      <w:pPr>
        <w:ind w:left="0" w:firstLine="0"/>
      </w:pPr>
      <w:rPr>
        <w:rFonts w:hint="eastAsia" w:ascii="黑体" w:hAnsi="Times New Roman" w:eastAsia="黑体"/>
        <w:b w:val="0"/>
        <w:i w:val="0"/>
        <w:sz w:val="21"/>
      </w:rPr>
    </w:lvl>
    <w:lvl w:ilvl="4" w:tentative="0">
      <w:start w:val="1"/>
      <w:numFmt w:val="decimal"/>
      <w:pStyle w:val="9"/>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pStyle w:val="14"/>
      <w:suff w:val="nothing"/>
      <w:lvlText w:val="%1%2.%3.%4.%5.%6　"/>
      <w:lvlJc w:val="left"/>
      <w:pPr>
        <w:ind w:left="0" w:firstLine="0"/>
      </w:pPr>
      <w:rPr>
        <w:rFonts w:hint="eastAsia" w:ascii="黑体" w:hAnsi="Times New Roman" w:eastAsia="黑体"/>
        <w:b w:val="0"/>
        <w:i w:val="0"/>
        <w:sz w:val="21"/>
      </w:rPr>
    </w:lvl>
    <w:lvl w:ilvl="6" w:tentative="0">
      <w:start w:val="1"/>
      <w:numFmt w:val="decimal"/>
      <w:pStyle w:val="1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65"/>
    <w:rsid w:val="00037ED7"/>
    <w:rsid w:val="00047D8E"/>
    <w:rsid w:val="000601F0"/>
    <w:rsid w:val="000603B3"/>
    <w:rsid w:val="00070B23"/>
    <w:rsid w:val="000729F6"/>
    <w:rsid w:val="000742F5"/>
    <w:rsid w:val="00075519"/>
    <w:rsid w:val="00081807"/>
    <w:rsid w:val="00082FFF"/>
    <w:rsid w:val="000A34BB"/>
    <w:rsid w:val="000A6DFB"/>
    <w:rsid w:val="000B6319"/>
    <w:rsid w:val="000C27DD"/>
    <w:rsid w:val="000C3B9D"/>
    <w:rsid w:val="000D4110"/>
    <w:rsid w:val="000E3C10"/>
    <w:rsid w:val="000E4F8D"/>
    <w:rsid w:val="000F2266"/>
    <w:rsid w:val="00106D9F"/>
    <w:rsid w:val="00106E5C"/>
    <w:rsid w:val="001073E3"/>
    <w:rsid w:val="00116F8C"/>
    <w:rsid w:val="001204D8"/>
    <w:rsid w:val="0014240D"/>
    <w:rsid w:val="00161B97"/>
    <w:rsid w:val="001802BB"/>
    <w:rsid w:val="00181B29"/>
    <w:rsid w:val="001821AD"/>
    <w:rsid w:val="001B478B"/>
    <w:rsid w:val="001E2DC8"/>
    <w:rsid w:val="00201F42"/>
    <w:rsid w:val="00206D36"/>
    <w:rsid w:val="00233A6D"/>
    <w:rsid w:val="00250477"/>
    <w:rsid w:val="00256E35"/>
    <w:rsid w:val="00263CAA"/>
    <w:rsid w:val="002641BC"/>
    <w:rsid w:val="00272226"/>
    <w:rsid w:val="002723A7"/>
    <w:rsid w:val="002821CA"/>
    <w:rsid w:val="002B5E47"/>
    <w:rsid w:val="002B640E"/>
    <w:rsid w:val="002C65EF"/>
    <w:rsid w:val="002D16E7"/>
    <w:rsid w:val="002E54AF"/>
    <w:rsid w:val="00302BF4"/>
    <w:rsid w:val="00311FF6"/>
    <w:rsid w:val="00316741"/>
    <w:rsid w:val="003259BE"/>
    <w:rsid w:val="00331F66"/>
    <w:rsid w:val="003345CE"/>
    <w:rsid w:val="00347459"/>
    <w:rsid w:val="00356CE8"/>
    <w:rsid w:val="00375BB7"/>
    <w:rsid w:val="00380A3D"/>
    <w:rsid w:val="00391D47"/>
    <w:rsid w:val="003A2626"/>
    <w:rsid w:val="003B0DA7"/>
    <w:rsid w:val="003C38CA"/>
    <w:rsid w:val="003C40C8"/>
    <w:rsid w:val="003E0E33"/>
    <w:rsid w:val="003E5840"/>
    <w:rsid w:val="00410EC4"/>
    <w:rsid w:val="00422885"/>
    <w:rsid w:val="00422E49"/>
    <w:rsid w:val="0043138C"/>
    <w:rsid w:val="004348DF"/>
    <w:rsid w:val="00445D13"/>
    <w:rsid w:val="0045108D"/>
    <w:rsid w:val="00462276"/>
    <w:rsid w:val="00483087"/>
    <w:rsid w:val="004925E4"/>
    <w:rsid w:val="004A318A"/>
    <w:rsid w:val="004B07A7"/>
    <w:rsid w:val="004B2570"/>
    <w:rsid w:val="004B3FDD"/>
    <w:rsid w:val="004C3206"/>
    <w:rsid w:val="004C3461"/>
    <w:rsid w:val="004E135B"/>
    <w:rsid w:val="004E1AF4"/>
    <w:rsid w:val="004F3FB9"/>
    <w:rsid w:val="00502F5D"/>
    <w:rsid w:val="00534346"/>
    <w:rsid w:val="00543C90"/>
    <w:rsid w:val="00565C66"/>
    <w:rsid w:val="005E7855"/>
    <w:rsid w:val="005F0165"/>
    <w:rsid w:val="005F6887"/>
    <w:rsid w:val="00621F6C"/>
    <w:rsid w:val="00626695"/>
    <w:rsid w:val="006278AD"/>
    <w:rsid w:val="00627B24"/>
    <w:rsid w:val="006345D6"/>
    <w:rsid w:val="00640B36"/>
    <w:rsid w:val="00643DA9"/>
    <w:rsid w:val="00647A04"/>
    <w:rsid w:val="00652898"/>
    <w:rsid w:val="006536F2"/>
    <w:rsid w:val="00662F67"/>
    <w:rsid w:val="006650F7"/>
    <w:rsid w:val="00672127"/>
    <w:rsid w:val="00674BC7"/>
    <w:rsid w:val="00674F7F"/>
    <w:rsid w:val="0069626E"/>
    <w:rsid w:val="00697074"/>
    <w:rsid w:val="006A106F"/>
    <w:rsid w:val="006A47D9"/>
    <w:rsid w:val="006B119D"/>
    <w:rsid w:val="006D33EB"/>
    <w:rsid w:val="006E16DA"/>
    <w:rsid w:val="006E6438"/>
    <w:rsid w:val="006F77AB"/>
    <w:rsid w:val="006F7907"/>
    <w:rsid w:val="00703549"/>
    <w:rsid w:val="00705543"/>
    <w:rsid w:val="00714EC6"/>
    <w:rsid w:val="00741DCB"/>
    <w:rsid w:val="007564C6"/>
    <w:rsid w:val="00756F32"/>
    <w:rsid w:val="007643AC"/>
    <w:rsid w:val="007830DE"/>
    <w:rsid w:val="00783219"/>
    <w:rsid w:val="007938AE"/>
    <w:rsid w:val="007A7043"/>
    <w:rsid w:val="007A7130"/>
    <w:rsid w:val="007B6A33"/>
    <w:rsid w:val="007C7669"/>
    <w:rsid w:val="007C7FB9"/>
    <w:rsid w:val="007D3293"/>
    <w:rsid w:val="007D4624"/>
    <w:rsid w:val="007E6772"/>
    <w:rsid w:val="00802976"/>
    <w:rsid w:val="00810585"/>
    <w:rsid w:val="00810E4C"/>
    <w:rsid w:val="00811AB8"/>
    <w:rsid w:val="00812860"/>
    <w:rsid w:val="00815181"/>
    <w:rsid w:val="00823340"/>
    <w:rsid w:val="0082495C"/>
    <w:rsid w:val="008279B5"/>
    <w:rsid w:val="008361D9"/>
    <w:rsid w:val="00850EF0"/>
    <w:rsid w:val="00854313"/>
    <w:rsid w:val="00862167"/>
    <w:rsid w:val="00873EEB"/>
    <w:rsid w:val="008A3746"/>
    <w:rsid w:val="008B13E2"/>
    <w:rsid w:val="008B1FE6"/>
    <w:rsid w:val="008B3AE5"/>
    <w:rsid w:val="008B5818"/>
    <w:rsid w:val="008C2B4B"/>
    <w:rsid w:val="008C449A"/>
    <w:rsid w:val="008D3554"/>
    <w:rsid w:val="0090218E"/>
    <w:rsid w:val="00902770"/>
    <w:rsid w:val="0091630A"/>
    <w:rsid w:val="009204C5"/>
    <w:rsid w:val="00920EB7"/>
    <w:rsid w:val="00941939"/>
    <w:rsid w:val="0096791F"/>
    <w:rsid w:val="0099025A"/>
    <w:rsid w:val="009C4A7C"/>
    <w:rsid w:val="009C5E43"/>
    <w:rsid w:val="009C76CB"/>
    <w:rsid w:val="009D1EEF"/>
    <w:rsid w:val="00A022A9"/>
    <w:rsid w:val="00A035CB"/>
    <w:rsid w:val="00A15F88"/>
    <w:rsid w:val="00A16B3F"/>
    <w:rsid w:val="00A33235"/>
    <w:rsid w:val="00A33F2D"/>
    <w:rsid w:val="00A36F0D"/>
    <w:rsid w:val="00A91CEE"/>
    <w:rsid w:val="00AA0372"/>
    <w:rsid w:val="00AA3A4F"/>
    <w:rsid w:val="00AE0AE3"/>
    <w:rsid w:val="00AE6CCE"/>
    <w:rsid w:val="00AF2E62"/>
    <w:rsid w:val="00AF68F8"/>
    <w:rsid w:val="00B335E3"/>
    <w:rsid w:val="00B80B07"/>
    <w:rsid w:val="00BA116E"/>
    <w:rsid w:val="00BA4832"/>
    <w:rsid w:val="00BB2535"/>
    <w:rsid w:val="00BC124D"/>
    <w:rsid w:val="00BE5182"/>
    <w:rsid w:val="00BF688F"/>
    <w:rsid w:val="00C00C32"/>
    <w:rsid w:val="00C10259"/>
    <w:rsid w:val="00C16727"/>
    <w:rsid w:val="00C204E0"/>
    <w:rsid w:val="00C26F79"/>
    <w:rsid w:val="00C30EBC"/>
    <w:rsid w:val="00C5219F"/>
    <w:rsid w:val="00C762C1"/>
    <w:rsid w:val="00C855BE"/>
    <w:rsid w:val="00C92A00"/>
    <w:rsid w:val="00CB57D0"/>
    <w:rsid w:val="00CC2E21"/>
    <w:rsid w:val="00CD4E2F"/>
    <w:rsid w:val="00CE727A"/>
    <w:rsid w:val="00D051F7"/>
    <w:rsid w:val="00D114FF"/>
    <w:rsid w:val="00D15C93"/>
    <w:rsid w:val="00D21256"/>
    <w:rsid w:val="00D243E6"/>
    <w:rsid w:val="00D30C0B"/>
    <w:rsid w:val="00D3193D"/>
    <w:rsid w:val="00D40215"/>
    <w:rsid w:val="00D53597"/>
    <w:rsid w:val="00D66061"/>
    <w:rsid w:val="00D704D0"/>
    <w:rsid w:val="00D753C5"/>
    <w:rsid w:val="00D82757"/>
    <w:rsid w:val="00D83B92"/>
    <w:rsid w:val="00D95D11"/>
    <w:rsid w:val="00DA34E0"/>
    <w:rsid w:val="00DB2AF6"/>
    <w:rsid w:val="00DB4611"/>
    <w:rsid w:val="00DB6CFC"/>
    <w:rsid w:val="00DC319E"/>
    <w:rsid w:val="00DD7712"/>
    <w:rsid w:val="00DD78D4"/>
    <w:rsid w:val="00DF1550"/>
    <w:rsid w:val="00DF5F12"/>
    <w:rsid w:val="00E06008"/>
    <w:rsid w:val="00E079CD"/>
    <w:rsid w:val="00E143D6"/>
    <w:rsid w:val="00E24D46"/>
    <w:rsid w:val="00E25594"/>
    <w:rsid w:val="00E32DED"/>
    <w:rsid w:val="00E44F3A"/>
    <w:rsid w:val="00E50FE9"/>
    <w:rsid w:val="00E526BF"/>
    <w:rsid w:val="00E639F4"/>
    <w:rsid w:val="00E643F7"/>
    <w:rsid w:val="00E6741F"/>
    <w:rsid w:val="00E81486"/>
    <w:rsid w:val="00E848EC"/>
    <w:rsid w:val="00E84C09"/>
    <w:rsid w:val="00EB3DF5"/>
    <w:rsid w:val="00EF2DD5"/>
    <w:rsid w:val="00EF4EA8"/>
    <w:rsid w:val="00EF69E9"/>
    <w:rsid w:val="00F01D2F"/>
    <w:rsid w:val="00F518AF"/>
    <w:rsid w:val="00F744F4"/>
    <w:rsid w:val="00F9182C"/>
    <w:rsid w:val="00FF3DAB"/>
    <w:rsid w:val="01AD1EC5"/>
    <w:rsid w:val="04D34577"/>
    <w:rsid w:val="05D2168B"/>
    <w:rsid w:val="08681ED5"/>
    <w:rsid w:val="08F04B6A"/>
    <w:rsid w:val="0D8153B2"/>
    <w:rsid w:val="0E9279BA"/>
    <w:rsid w:val="0EB76039"/>
    <w:rsid w:val="0F9620AE"/>
    <w:rsid w:val="0FB50410"/>
    <w:rsid w:val="120D1182"/>
    <w:rsid w:val="12AD6B0E"/>
    <w:rsid w:val="14F3648C"/>
    <w:rsid w:val="17EA5BFE"/>
    <w:rsid w:val="18D910A2"/>
    <w:rsid w:val="1B0A3F7C"/>
    <w:rsid w:val="1B501AFA"/>
    <w:rsid w:val="1BD74364"/>
    <w:rsid w:val="1D38246D"/>
    <w:rsid w:val="1DB72D5A"/>
    <w:rsid w:val="22891279"/>
    <w:rsid w:val="26DD6338"/>
    <w:rsid w:val="288F2857"/>
    <w:rsid w:val="292279D5"/>
    <w:rsid w:val="2BBB4686"/>
    <w:rsid w:val="2C681CDC"/>
    <w:rsid w:val="2FA525E8"/>
    <w:rsid w:val="3DC16C90"/>
    <w:rsid w:val="3E2D504C"/>
    <w:rsid w:val="3E753B94"/>
    <w:rsid w:val="40B455C1"/>
    <w:rsid w:val="44B67977"/>
    <w:rsid w:val="45494306"/>
    <w:rsid w:val="508B5F79"/>
    <w:rsid w:val="50D73755"/>
    <w:rsid w:val="51E019A4"/>
    <w:rsid w:val="52EC0787"/>
    <w:rsid w:val="549679ED"/>
    <w:rsid w:val="568B7469"/>
    <w:rsid w:val="57135C9F"/>
    <w:rsid w:val="5CAE6776"/>
    <w:rsid w:val="5D595EB6"/>
    <w:rsid w:val="5E8528A9"/>
    <w:rsid w:val="5F1A63E5"/>
    <w:rsid w:val="5F246E77"/>
    <w:rsid w:val="63393EC6"/>
    <w:rsid w:val="642A2CC9"/>
    <w:rsid w:val="64367D72"/>
    <w:rsid w:val="685F796D"/>
    <w:rsid w:val="6A485E04"/>
    <w:rsid w:val="6B201871"/>
    <w:rsid w:val="6B91118D"/>
    <w:rsid w:val="6BAE68FA"/>
    <w:rsid w:val="6BC03D38"/>
    <w:rsid w:val="6EA05719"/>
    <w:rsid w:val="6EFB1853"/>
    <w:rsid w:val="74DA64A8"/>
    <w:rsid w:val="76CF453F"/>
    <w:rsid w:val="79482BBA"/>
    <w:rsid w:val="7C8A0A5A"/>
    <w:rsid w:val="7F070D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Balloon Text"/>
    <w:basedOn w:val="1"/>
    <w:link w:val="17"/>
    <w:unhideWhenUsed/>
    <w:uiPriority w:val="99"/>
    <w:rPr>
      <w:sz w:val="18"/>
      <w:szCs w:val="18"/>
    </w:rPr>
  </w:style>
  <w:style w:type="paragraph" w:styleId="3">
    <w:name w:val="footer"/>
    <w:basedOn w:val="1"/>
    <w:link w:val="19"/>
    <w:uiPriority w:val="0"/>
    <w:pPr>
      <w:tabs>
        <w:tab w:val="center" w:pos="4153"/>
        <w:tab w:val="right" w:pos="8306"/>
      </w:tabs>
      <w:snapToGrid w:val="0"/>
      <w:jc w:val="left"/>
    </w:pPr>
    <w:rPr>
      <w:kern w:val="0"/>
      <w:sz w:val="18"/>
      <w:szCs w:val="18"/>
    </w:rPr>
  </w:style>
  <w:style w:type="paragraph" w:styleId="4">
    <w:name w:val="header"/>
    <w:basedOn w:val="1"/>
    <w:link w:val="18"/>
    <w:unhideWhenUsed/>
    <w:uiPriority w:val="99"/>
    <w:pPr>
      <w:framePr w:wrap="notBeside" w:vAnchor="text" w:hAnchor="text" w:y="1"/>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 Char"/>
    <w:basedOn w:val="1"/>
    <w:uiPriority w:val="0"/>
    <w:pPr>
      <w:widowControl/>
      <w:spacing w:after="160" w:line="240" w:lineRule="exact"/>
      <w:jc w:val="left"/>
    </w:pPr>
  </w:style>
  <w:style w:type="paragraph" w:customStyle="1" w:styleId="9">
    <w:name w:val="三级条标题"/>
    <w:basedOn w:val="10"/>
    <w:next w:val="1"/>
    <w:uiPriority w:val="0"/>
    <w:pPr>
      <w:numPr>
        <w:ilvl w:val="4"/>
        <w:numId w:val="1"/>
      </w:numPr>
      <w:tabs>
        <w:tab w:val="left" w:pos="360"/>
      </w:tabs>
      <w:outlineLvl w:val="4"/>
    </w:pPr>
  </w:style>
  <w:style w:type="paragraph" w:customStyle="1" w:styleId="10">
    <w:name w:val="二级条标题"/>
    <w:basedOn w:val="11"/>
    <w:next w:val="1"/>
    <w:link w:val="21"/>
    <w:uiPriority w:val="0"/>
    <w:pPr>
      <w:numPr>
        <w:ilvl w:val="3"/>
        <w:numId w:val="1"/>
      </w:numPr>
      <w:outlineLvl w:val="3"/>
    </w:pPr>
  </w:style>
  <w:style w:type="paragraph" w:customStyle="1" w:styleId="11">
    <w:name w:val="一级条标题"/>
    <w:basedOn w:val="12"/>
    <w:next w:val="1"/>
    <w:uiPriority w:val="0"/>
    <w:pPr>
      <w:numPr>
        <w:ilvl w:val="2"/>
        <w:numId w:val="1"/>
      </w:numPr>
      <w:spacing w:before="0" w:beforeLines="0" w:after="0" w:afterLines="0"/>
      <w:outlineLvl w:val="2"/>
    </w:pPr>
  </w:style>
  <w:style w:type="paragraph" w:customStyle="1" w:styleId="12">
    <w:name w:val="章标题"/>
    <w:next w:val="1"/>
    <w:uiPriority w:val="0"/>
    <w:pPr>
      <w:numPr>
        <w:ilvl w:val="1"/>
        <w:numId w:val="1"/>
      </w:numPr>
      <w:spacing w:before="50" w:beforeLines="50" w:after="50" w:afterLines="50"/>
      <w:jc w:val="both"/>
      <w:outlineLvl w:val="1"/>
    </w:pPr>
    <w:rPr>
      <w:rFonts w:ascii="黑体" w:hAnsi="Times New Roman" w:eastAsia="黑体"/>
      <w:sz w:val="21"/>
      <w:lang w:val="en-US" w:eastAsia="zh-CN" w:bidi="ar-SA"/>
    </w:rPr>
  </w:style>
  <w:style w:type="paragraph" w:customStyle="1" w:styleId="13">
    <w:name w:val="前言、引言标题"/>
    <w:next w:val="1"/>
    <w:uiPriority w:val="0"/>
    <w:pPr>
      <w:numPr>
        <w:ilvl w:val="0"/>
        <w:numId w:val="1"/>
      </w:numPr>
      <w:shd w:val="clear" w:color="FFFFFF" w:fill="FFFFFF"/>
      <w:spacing w:before="640" w:after="560"/>
      <w:jc w:val="center"/>
      <w:outlineLvl w:val="0"/>
    </w:pPr>
    <w:rPr>
      <w:rFonts w:ascii="黑体" w:hAnsi="Times New Roman" w:eastAsia="黑体"/>
      <w:sz w:val="32"/>
      <w:lang w:val="en-US" w:eastAsia="zh-CN" w:bidi="ar-SA"/>
    </w:rPr>
  </w:style>
  <w:style w:type="paragraph" w:customStyle="1" w:styleId="14">
    <w:name w:val="四级条标题"/>
    <w:basedOn w:val="9"/>
    <w:next w:val="1"/>
    <w:uiPriority w:val="0"/>
    <w:pPr>
      <w:numPr>
        <w:ilvl w:val="5"/>
        <w:numId w:val="1"/>
      </w:numPr>
      <w:outlineLvl w:val="5"/>
    </w:pPr>
  </w:style>
  <w:style w:type="paragraph" w:customStyle="1" w:styleId="15">
    <w:name w:val="五级条标题"/>
    <w:basedOn w:val="14"/>
    <w:next w:val="1"/>
    <w:uiPriority w:val="0"/>
    <w:pPr>
      <w:numPr>
        <w:ilvl w:val="6"/>
        <w:numId w:val="1"/>
      </w:numPr>
      <w:outlineLvl w:val="6"/>
    </w:pPr>
  </w:style>
  <w:style w:type="paragraph" w:customStyle="1" w:styleId="16">
    <w:name w:val="段"/>
    <w:link w:val="20"/>
    <w:uiPriority w:val="0"/>
    <w:pPr>
      <w:autoSpaceDE w:val="0"/>
      <w:autoSpaceDN w:val="0"/>
      <w:ind w:firstLine="200" w:firstLineChars="200"/>
      <w:jc w:val="both"/>
    </w:pPr>
    <w:rPr>
      <w:rFonts w:ascii="宋体" w:hAnsi="Times New Roman"/>
      <w:sz w:val="21"/>
      <w:lang w:val="en-US" w:eastAsia="zh-CN" w:bidi="ar-SA"/>
    </w:rPr>
  </w:style>
  <w:style w:type="character" w:customStyle="1" w:styleId="17">
    <w:name w:val="批注框文本 Char"/>
    <w:link w:val="2"/>
    <w:semiHidden/>
    <w:uiPriority w:val="99"/>
    <w:rPr>
      <w:rFonts w:ascii="Times New Roman" w:hAnsi="Times New Roman"/>
      <w:kern w:val="2"/>
      <w:sz w:val="18"/>
      <w:szCs w:val="18"/>
    </w:rPr>
  </w:style>
  <w:style w:type="character" w:customStyle="1" w:styleId="18">
    <w:name w:val="页眉 Char"/>
    <w:link w:val="4"/>
    <w:uiPriority w:val="99"/>
    <w:rPr>
      <w:rFonts w:ascii="Times New Roman" w:hAnsi="Times New Roman"/>
      <w:kern w:val="2"/>
      <w:sz w:val="18"/>
      <w:szCs w:val="18"/>
    </w:rPr>
  </w:style>
  <w:style w:type="character" w:customStyle="1" w:styleId="19">
    <w:name w:val="页脚 Char"/>
    <w:link w:val="3"/>
    <w:uiPriority w:val="0"/>
    <w:rPr>
      <w:rFonts w:ascii="Times New Roman" w:hAnsi="Times New Roman" w:eastAsia="宋体" w:cs="Times New Roman"/>
      <w:sz w:val="18"/>
      <w:szCs w:val="18"/>
    </w:rPr>
  </w:style>
  <w:style w:type="character" w:customStyle="1" w:styleId="20">
    <w:name w:val="段 Char"/>
    <w:link w:val="16"/>
    <w:uiPriority w:val="0"/>
    <w:rPr>
      <w:rFonts w:ascii="宋体" w:hAnsi="Times New Roman"/>
      <w:sz w:val="21"/>
      <w:lang w:bidi="ar-SA"/>
    </w:rPr>
  </w:style>
  <w:style w:type="character" w:customStyle="1" w:styleId="21">
    <w:name w:val="二级条标题 Char"/>
    <w:link w:val="10"/>
    <w:uiPriority w:val="0"/>
    <w:rPr>
      <w:rFonts w:ascii="黑体" w:hAnsi="Times New Roman" w:eastAsia="黑体"/>
      <w:sz w:val="21"/>
    </w:rPr>
  </w:style>
  <w:style w:type="character" w:customStyle="1" w:styleId="22">
    <w:name w:val="页眉 字符"/>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233</Characters>
  <Lines>1</Lines>
  <Paragraphs>1</Paragraphs>
  <TotalTime>14</TotalTime>
  <ScaleCrop>false</ScaleCrop>
  <LinksUpToDate>false</LinksUpToDate>
  <CharactersWithSpaces>272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2019-09-22T03:27:00Z</dcterms:created>
  <dc:creator>LENOVO</dc:creator>
  <cp:lastModifiedBy>陈婷</cp:lastModifiedBy>
  <cp:lastPrinted>2019-12-23T08:18:00Z</cp:lastPrinted>
  <dcterms:modified xsi:type="dcterms:W3CDTF">2021-09-22T06:19:26Z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