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869"/>
        <w:gridCol w:w="2214"/>
        <w:gridCol w:w="1467"/>
        <w:gridCol w:w="1117"/>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502" w:type="dxa"/>
            <w:noWrap w:val="0"/>
            <w:vAlign w:val="center"/>
          </w:tcPr>
          <w:p>
            <w:pPr>
              <w:tabs>
                <w:tab w:val="left" w:pos="3780"/>
              </w:tabs>
              <w:spacing w:line="360" w:lineRule="exact"/>
              <w:jc w:val="center"/>
              <w:rPr>
                <w:rFonts w:hint="default" w:ascii="Times New Roman" w:hAnsi="Times New Roman" w:cs="Times New Roman"/>
              </w:rPr>
            </w:pPr>
            <w:r>
              <w:rPr>
                <w:rFonts w:hint="default" w:ascii="Times New Roman" w:hAnsi="Times New Roman" w:cs="Times New Roman"/>
              </w:rPr>
              <w:t>序号</w:t>
            </w:r>
          </w:p>
        </w:tc>
        <w:tc>
          <w:tcPr>
            <w:tcW w:w="869" w:type="dxa"/>
            <w:noWrap w:val="0"/>
            <w:vAlign w:val="center"/>
          </w:tcPr>
          <w:p>
            <w:pPr>
              <w:tabs>
                <w:tab w:val="left" w:pos="3780"/>
              </w:tabs>
              <w:spacing w:line="360" w:lineRule="exact"/>
              <w:jc w:val="center"/>
              <w:rPr>
                <w:rFonts w:hint="default" w:ascii="Times New Roman" w:hAnsi="Times New Roman" w:cs="Times New Roman"/>
              </w:rPr>
            </w:pPr>
            <w:r>
              <w:rPr>
                <w:rFonts w:hint="default" w:ascii="Times New Roman" w:hAnsi="Times New Roman" w:cs="Times New Roman"/>
              </w:rPr>
              <w:t>标准章条编号</w:t>
            </w:r>
          </w:p>
        </w:tc>
        <w:tc>
          <w:tcPr>
            <w:tcW w:w="2214" w:type="dxa"/>
            <w:noWrap w:val="0"/>
            <w:vAlign w:val="center"/>
          </w:tcPr>
          <w:p>
            <w:pPr>
              <w:tabs>
                <w:tab w:val="left" w:pos="3780"/>
              </w:tabs>
              <w:spacing w:line="360" w:lineRule="exact"/>
              <w:jc w:val="center"/>
              <w:rPr>
                <w:rFonts w:hint="default" w:ascii="Times New Roman" w:hAnsi="Times New Roman" w:cs="Times New Roman"/>
              </w:rPr>
            </w:pPr>
            <w:r>
              <w:rPr>
                <w:rFonts w:hint="default" w:ascii="Times New Roman" w:hAnsi="Times New Roman" w:cs="Times New Roman"/>
              </w:rPr>
              <w:t>意见内容</w:t>
            </w:r>
          </w:p>
        </w:tc>
        <w:tc>
          <w:tcPr>
            <w:tcW w:w="1467" w:type="dxa"/>
            <w:noWrap w:val="0"/>
            <w:vAlign w:val="center"/>
          </w:tcPr>
          <w:p>
            <w:pPr>
              <w:tabs>
                <w:tab w:val="left" w:pos="3780"/>
              </w:tabs>
              <w:spacing w:line="360" w:lineRule="exact"/>
              <w:jc w:val="center"/>
              <w:rPr>
                <w:rFonts w:hint="default" w:ascii="Times New Roman" w:hAnsi="Times New Roman" w:cs="Times New Roman"/>
              </w:rPr>
            </w:pPr>
            <w:r>
              <w:rPr>
                <w:rFonts w:hint="default" w:ascii="Times New Roman" w:hAnsi="Times New Roman" w:cs="Times New Roman"/>
              </w:rPr>
              <w:t>提出单位</w:t>
            </w:r>
          </w:p>
        </w:tc>
        <w:tc>
          <w:tcPr>
            <w:tcW w:w="1117" w:type="dxa"/>
            <w:noWrap w:val="0"/>
            <w:vAlign w:val="center"/>
          </w:tcPr>
          <w:p>
            <w:pPr>
              <w:tabs>
                <w:tab w:val="left" w:pos="3780"/>
              </w:tabs>
              <w:spacing w:line="360" w:lineRule="exact"/>
              <w:jc w:val="center"/>
              <w:rPr>
                <w:rFonts w:hint="default" w:ascii="Times New Roman" w:hAnsi="Times New Roman" w:cs="Times New Roman"/>
              </w:rPr>
            </w:pPr>
            <w:r>
              <w:rPr>
                <w:rFonts w:hint="default" w:ascii="Times New Roman" w:hAnsi="Times New Roman" w:cs="Times New Roman"/>
              </w:rPr>
              <w:t>处理意见</w:t>
            </w:r>
          </w:p>
        </w:tc>
        <w:tc>
          <w:tcPr>
            <w:tcW w:w="4066" w:type="dxa"/>
            <w:noWrap w:val="0"/>
            <w:vAlign w:val="center"/>
          </w:tcPr>
          <w:p>
            <w:pPr>
              <w:tabs>
                <w:tab w:val="left" w:pos="3780"/>
              </w:tabs>
              <w:spacing w:line="360" w:lineRule="exact"/>
              <w:jc w:val="center"/>
              <w:rPr>
                <w:rFonts w:hint="default" w:ascii="Times New Roman" w:hAnsi="Times New Roman" w:cs="Times New Roman"/>
              </w:rPr>
            </w:pPr>
            <w:r>
              <w:rPr>
                <w:rFonts w:hint="default"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1</w:t>
            </w:r>
          </w:p>
        </w:tc>
        <w:tc>
          <w:tcPr>
            <w:tcW w:w="869"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eastAsia="宋体" w:cs="Times New Roman"/>
                <w:szCs w:val="21"/>
                <w:highlight w:val="none"/>
              </w:rPr>
              <w:t>前言</w:t>
            </w:r>
          </w:p>
        </w:tc>
        <w:tc>
          <w:tcPr>
            <w:tcW w:w="2214" w:type="dxa"/>
            <w:noWrap w:val="0"/>
            <w:vAlign w:val="center"/>
          </w:tcPr>
          <w:p>
            <w:pPr>
              <w:rPr>
                <w:rFonts w:hint="default" w:ascii="Times New Roman" w:hAnsi="Times New Roman" w:eastAsia="宋体" w:cs="Times New Roman"/>
                <w:sz w:val="21"/>
                <w:szCs w:val="28"/>
                <w:lang w:val="en-US" w:eastAsia="zh-CN"/>
              </w:rPr>
            </w:pPr>
            <w:r>
              <w:rPr>
                <w:rFonts w:hint="default" w:ascii="Times New Roman" w:hAnsi="Times New Roman" w:eastAsia="宋体" w:cs="Times New Roman"/>
                <w:szCs w:val="21"/>
                <w:highlight w:val="none"/>
              </w:rPr>
              <w:t>“本文件由全国有色金属标准化技术委员会（SAC/T 243）提出并归口。”修改为“本文件由工业和信息化部节能与综合利用司和中国有色金属工业协会提出，由全国有色金属标准化技术委员会（SAC/T 243）归口。”</w:t>
            </w:r>
          </w:p>
        </w:tc>
        <w:tc>
          <w:tcPr>
            <w:tcW w:w="1467" w:type="dxa"/>
            <w:noWrap w:val="0"/>
            <w:vAlign w:val="center"/>
          </w:tcPr>
          <w:p>
            <w:pPr>
              <w:adjustRightInd w:val="0"/>
              <w:snapToGrid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有色金属技术经济研究院</w:t>
            </w:r>
          </w:p>
        </w:tc>
        <w:tc>
          <w:tcPr>
            <w:tcW w:w="1117"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2</w:t>
            </w:r>
          </w:p>
        </w:tc>
        <w:tc>
          <w:tcPr>
            <w:tcW w:w="869"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eastAsia="宋体" w:cs="Times New Roman"/>
                <w:szCs w:val="21"/>
                <w:highlight w:val="none"/>
              </w:rPr>
              <w:t>1</w:t>
            </w:r>
          </w:p>
        </w:tc>
        <w:tc>
          <w:tcPr>
            <w:tcW w:w="2214" w:type="dxa"/>
            <w:noWrap w:val="0"/>
            <w:vAlign w:val="center"/>
          </w:tcPr>
          <w:p>
            <w:pPr>
              <w:rPr>
                <w:rFonts w:hint="default" w:ascii="Times New Roman" w:hAnsi="Times New Roman" w:eastAsia="宋体" w:cs="Times New Roman"/>
                <w:sz w:val="21"/>
                <w:szCs w:val="28"/>
                <w:lang w:val="en-US" w:eastAsia="zh-CN"/>
              </w:rPr>
            </w:pPr>
            <w:r>
              <w:rPr>
                <w:rFonts w:hint="default" w:ascii="Times New Roman" w:hAnsi="Times New Roman" w:eastAsia="宋体" w:cs="Times New Roman"/>
                <w:szCs w:val="21"/>
                <w:highlight w:val="none"/>
              </w:rPr>
              <w:t>建议范围按照标准框架结构修改。</w:t>
            </w:r>
          </w:p>
        </w:tc>
        <w:tc>
          <w:tcPr>
            <w:tcW w:w="1467" w:type="dxa"/>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中国恩菲工程技术有限公司</w:t>
            </w:r>
          </w:p>
        </w:tc>
        <w:tc>
          <w:tcPr>
            <w:tcW w:w="1117"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3</w:t>
            </w:r>
          </w:p>
        </w:tc>
        <w:tc>
          <w:tcPr>
            <w:tcW w:w="869" w:type="dxa"/>
            <w:noWrap w:val="0"/>
            <w:vAlign w:val="center"/>
          </w:tcPr>
          <w:p>
            <w:pPr>
              <w:jc w:val="center"/>
              <w:rPr>
                <w:rFonts w:hint="default" w:ascii="Times New Roman" w:hAnsi="Times New Roman" w:cs="Times New Roman"/>
                <w:szCs w:val="28"/>
                <w:lang w:val="en-US" w:eastAsia="zh-CN"/>
              </w:rPr>
            </w:pPr>
            <w:r>
              <w:rPr>
                <w:rFonts w:hint="default" w:ascii="Times New Roman" w:hAnsi="Times New Roman" w:eastAsia="宋体" w:cs="Times New Roman"/>
                <w:szCs w:val="21"/>
                <w:highlight w:val="none"/>
              </w:rPr>
              <w:t>2</w:t>
            </w:r>
          </w:p>
        </w:tc>
        <w:tc>
          <w:tcPr>
            <w:tcW w:w="2214" w:type="dxa"/>
            <w:noWrap w:val="0"/>
            <w:vAlign w:val="center"/>
          </w:tcPr>
          <w:p>
            <w:pPr>
              <w:rPr>
                <w:rFonts w:hint="default" w:ascii="Times New Roman" w:hAnsi="Times New Roman" w:cs="Times New Roman"/>
                <w:sz w:val="21"/>
                <w:szCs w:val="28"/>
                <w:lang w:val="en-US" w:eastAsia="zh-CN"/>
              </w:rPr>
            </w:pPr>
            <w:r>
              <w:rPr>
                <w:rFonts w:hint="default" w:ascii="Times New Roman" w:hAnsi="Times New Roman" w:eastAsia="宋体" w:cs="Times New Roman"/>
                <w:szCs w:val="21"/>
                <w:highlight w:val="none"/>
              </w:rPr>
              <w:t>“《镍钴行业清洁生产评价指标体系》（国家发展改革委、环境保护部、工业和信息化部 2015年第36号公告）”建议放到参考文献或附录中。</w:t>
            </w:r>
          </w:p>
        </w:tc>
        <w:tc>
          <w:tcPr>
            <w:tcW w:w="1467" w:type="dxa"/>
            <w:noWrap w:val="0"/>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Cs w:val="21"/>
                <w:highlight w:val="none"/>
                <w14:textFill>
                  <w14:solidFill>
                    <w14:schemeClr w14:val="tx1"/>
                  </w14:solidFill>
                </w14:textFill>
              </w:rPr>
              <w:t>北京当升材料科技有限公司</w:t>
            </w:r>
          </w:p>
        </w:tc>
        <w:tc>
          <w:tcPr>
            <w:tcW w:w="1117" w:type="dxa"/>
            <w:noWrap w:val="0"/>
            <w:vAlign w:val="center"/>
          </w:tcPr>
          <w:p>
            <w:pPr>
              <w:adjustRightInd w:val="0"/>
              <w:snapToGrid w:val="0"/>
              <w:jc w:val="center"/>
              <w:rPr>
                <w:rFonts w:hint="default" w:ascii="Times New Roman" w:hAnsi="Times New Roman"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p>
        </w:tc>
        <w:tc>
          <w:tcPr>
            <w:tcW w:w="869"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2</w:t>
            </w:r>
          </w:p>
        </w:tc>
        <w:tc>
          <w:tcPr>
            <w:tcW w:w="2214" w:type="dxa"/>
            <w:noWrap w:val="0"/>
            <w:vAlign w:val="center"/>
          </w:tcPr>
          <w:p>
            <w:pPr>
              <w:rPr>
                <w:rFonts w:hint="default" w:ascii="Times New Roman" w:hAnsi="Times New Roman" w:eastAsia="宋体" w:cs="Times New Roman"/>
                <w:sz w:val="21"/>
                <w:szCs w:val="28"/>
                <w:lang w:val="en-US" w:eastAsia="zh-CN"/>
              </w:rPr>
            </w:pPr>
            <w:r>
              <w:rPr>
                <w:rFonts w:hint="default" w:ascii="Times New Roman" w:hAnsi="Times New Roman" w:eastAsia="宋体" w:cs="Times New Roman"/>
                <w:szCs w:val="21"/>
                <w:highlight w:val="none"/>
              </w:rPr>
              <w:t>与绿色设计相关的标准有GB/T 24040环境管理 生命周期评价 原则与框架、GB/T 24044环境管理 生命周期评价 要求与指南、GB/T 33761 绿色产品评价通则，确认是否引用？</w:t>
            </w:r>
          </w:p>
        </w:tc>
        <w:tc>
          <w:tcPr>
            <w:tcW w:w="1467" w:type="dxa"/>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中国恩菲工程技术有限公司</w:t>
            </w:r>
          </w:p>
        </w:tc>
        <w:tc>
          <w:tcPr>
            <w:tcW w:w="1117"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869" w:type="dxa"/>
            <w:noWrap w:val="0"/>
            <w:vAlign w:val="center"/>
          </w:tcPr>
          <w:p>
            <w:pPr>
              <w:jc w:val="center"/>
              <w:rPr>
                <w:rFonts w:hint="default" w:ascii="Times New Roman" w:hAnsi="Times New Roman" w:cs="Times New Roman"/>
                <w:szCs w:val="28"/>
                <w:lang w:val="en-US" w:eastAsia="zh-CN"/>
              </w:rPr>
            </w:pPr>
            <w:r>
              <w:rPr>
                <w:rFonts w:hint="default" w:ascii="Times New Roman" w:hAnsi="Times New Roman" w:cs="Times New Roman"/>
                <w:szCs w:val="28"/>
                <w:lang w:val="en-US" w:eastAsia="zh-CN"/>
              </w:rPr>
              <w:t>2</w:t>
            </w:r>
          </w:p>
        </w:tc>
        <w:tc>
          <w:tcPr>
            <w:tcW w:w="2214" w:type="dxa"/>
            <w:noWrap w:val="0"/>
            <w:vAlign w:val="center"/>
          </w:tcPr>
          <w:p>
            <w:pPr>
              <w:rPr>
                <w:rFonts w:hint="default" w:ascii="Times New Roman" w:hAnsi="Times New Roman" w:cs="Times New Roman"/>
                <w:sz w:val="21"/>
                <w:szCs w:val="28"/>
                <w:lang w:eastAsia="zh-CN"/>
              </w:rPr>
            </w:pPr>
            <w:r>
              <w:rPr>
                <w:rFonts w:hint="default" w:ascii="Times New Roman" w:hAnsi="Times New Roman" w:eastAsia="宋体" w:cs="Times New Roman"/>
                <w:szCs w:val="21"/>
                <w:highlight w:val="none"/>
              </w:rPr>
              <w:t>“GB/T 17167 用能单位能耗计量器具配备和管理通则”改为“GB 17167 用能单位能耗计量器具配备和管理通则”，此标准为强制性标准。</w:t>
            </w:r>
          </w:p>
        </w:tc>
        <w:tc>
          <w:tcPr>
            <w:tcW w:w="1467" w:type="dxa"/>
            <w:noWrap w:val="0"/>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Cs w:val="21"/>
                <w:highlight w:val="none"/>
              </w:rPr>
              <w:t>株洲冶炼集团股份有限公司</w:t>
            </w:r>
          </w:p>
        </w:tc>
        <w:tc>
          <w:tcPr>
            <w:tcW w:w="1117" w:type="dxa"/>
            <w:noWrap w:val="0"/>
            <w:vAlign w:val="center"/>
          </w:tcPr>
          <w:p>
            <w:pPr>
              <w:adjustRightInd w:val="0"/>
              <w:snapToGrid w:val="0"/>
              <w:jc w:val="center"/>
              <w:rPr>
                <w:rFonts w:hint="default" w:ascii="Times New Roman" w:hAnsi="Times New Roman"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6</w:t>
            </w:r>
          </w:p>
        </w:tc>
        <w:tc>
          <w:tcPr>
            <w:tcW w:w="869"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2</w:t>
            </w:r>
          </w:p>
        </w:tc>
        <w:tc>
          <w:tcPr>
            <w:tcW w:w="2214" w:type="dxa"/>
            <w:noWrap w:val="0"/>
            <w:vAlign w:val="center"/>
          </w:tcPr>
          <w:p>
            <w:pPr>
              <w:rPr>
                <w:rFonts w:hint="default" w:ascii="Times New Roman" w:hAnsi="Times New Roman" w:eastAsia="宋体" w:cs="Times New Roman"/>
                <w:sz w:val="21"/>
                <w:szCs w:val="28"/>
                <w:lang w:val="en-US" w:eastAsia="zh-CN"/>
              </w:rPr>
            </w:pPr>
            <w:r>
              <w:rPr>
                <w:rFonts w:hint="default" w:ascii="Times New Roman" w:hAnsi="Times New Roman" w:eastAsia="宋体" w:cs="Times New Roman"/>
                <w:szCs w:val="21"/>
                <w:highlight w:val="none"/>
              </w:rPr>
              <w:t>GB/T 28001职业健康安全管理体系要求 标准已作废，被GB/T 45001职业健康安全管理体系 要求及使用指南 标准替代，规范性引用文件同步替换。</w:t>
            </w:r>
          </w:p>
        </w:tc>
        <w:tc>
          <w:tcPr>
            <w:tcW w:w="1467" w:type="dxa"/>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eastAsia="宋体" w:cs="Times New Roman"/>
                <w:szCs w:val="21"/>
                <w:highlight w:val="none"/>
                <w:lang w:eastAsia="zh-CN"/>
              </w:rPr>
              <w:t>湖南杉杉能源科技股份有限公司</w:t>
            </w:r>
          </w:p>
        </w:tc>
        <w:tc>
          <w:tcPr>
            <w:tcW w:w="1117"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502" w:type="dxa"/>
            <w:noWrap w:val="0"/>
            <w:vAlign w:val="center"/>
          </w:tcPr>
          <w:p>
            <w:pPr>
              <w:adjustRightInd w:val="0"/>
              <w:snapToGrid w:val="0"/>
              <w:jc w:val="center"/>
              <w:rPr>
                <w:rFonts w:hint="default" w:ascii="Times New Roman" w:hAnsi="Times New Roman" w:eastAsia="宋体" w:cs="Times New Roman"/>
                <w:lang w:eastAsia="zh-C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7</w:t>
            </w:r>
          </w:p>
        </w:tc>
        <w:tc>
          <w:tcPr>
            <w:tcW w:w="869"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eastAsia="宋体" w:cs="Times New Roman"/>
                <w:szCs w:val="21"/>
                <w:highlight w:val="none"/>
              </w:rPr>
              <w:t>4.1.3</w:t>
            </w:r>
          </w:p>
        </w:tc>
        <w:tc>
          <w:tcPr>
            <w:tcW w:w="2214" w:type="dxa"/>
            <w:noWrap w:val="0"/>
            <w:vAlign w:val="center"/>
          </w:tcPr>
          <w:p>
            <w:pPr>
              <w:rPr>
                <w:rFonts w:hint="default" w:ascii="Times New Roman" w:hAnsi="Times New Roman" w:eastAsia="宋体" w:cs="Times New Roman"/>
                <w:sz w:val="21"/>
                <w:szCs w:val="28"/>
                <w:lang w:val="en-US" w:eastAsia="zh-CN"/>
              </w:rPr>
            </w:pPr>
            <w:r>
              <w:rPr>
                <w:rFonts w:hint="default" w:ascii="Times New Roman" w:hAnsi="Times New Roman" w:eastAsia="宋体" w:cs="Times New Roman"/>
                <w:szCs w:val="21"/>
                <w:highlight w:val="none"/>
              </w:rPr>
              <w:t>“清洁生产应达到国内先进水平”建议引用`相关国行标或地方标准。</w:t>
            </w:r>
          </w:p>
        </w:tc>
        <w:tc>
          <w:tcPr>
            <w:tcW w:w="1467" w:type="dxa"/>
            <w:noWrap w:val="0"/>
            <w:vAlign w:val="center"/>
          </w:tcPr>
          <w:p>
            <w:pPr>
              <w:adjustRightInd w:val="0"/>
              <w:snapToGrid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Cs w:val="21"/>
                <w:highlight w:val="none"/>
                <w:lang w:eastAsia="zh-CN"/>
              </w:rPr>
              <w:t>北京当升材料科技有限公司</w:t>
            </w:r>
          </w:p>
        </w:tc>
        <w:tc>
          <w:tcPr>
            <w:tcW w:w="1117"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c>
          <w:tcPr>
            <w:tcW w:w="4066" w:type="dxa"/>
            <w:noWrap w:val="0"/>
            <w:vAlign w:val="center"/>
          </w:tcPr>
          <w:p>
            <w:pPr>
              <w:adjustRightInd w:val="0"/>
              <w:snapToGrid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lang w:eastAsia="zh-C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8</w:t>
            </w:r>
          </w:p>
        </w:tc>
        <w:tc>
          <w:tcPr>
            <w:tcW w:w="869"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eastAsia="宋体" w:cs="Times New Roman"/>
                <w:szCs w:val="21"/>
                <w:highlight w:val="none"/>
              </w:rPr>
              <w:t>4.1.7</w:t>
            </w:r>
          </w:p>
        </w:tc>
        <w:tc>
          <w:tcPr>
            <w:tcW w:w="2214" w:type="dxa"/>
            <w:noWrap w:val="0"/>
            <w:vAlign w:val="center"/>
          </w:tcPr>
          <w:p>
            <w:pPr>
              <w:rPr>
                <w:rFonts w:hint="default" w:ascii="Times New Roman" w:hAnsi="Times New Roman" w:eastAsia="宋体" w:cs="Times New Roman"/>
                <w:sz w:val="21"/>
                <w:szCs w:val="28"/>
                <w:lang w:val="en-US" w:eastAsia="zh-CN"/>
              </w:rPr>
            </w:pPr>
            <w:r>
              <w:rPr>
                <w:rFonts w:hint="default" w:ascii="Times New Roman" w:hAnsi="Times New Roman" w:eastAsia="宋体" w:cs="Times New Roman"/>
                <w:szCs w:val="21"/>
                <w:highlight w:val="none"/>
              </w:rPr>
              <w:t>“危险固体废物按照GB 18597的要求进行处置”建议修改为“危险固体废物按照GB 18597的要求进行收集、贮存、运输与处置”。</w:t>
            </w:r>
          </w:p>
        </w:tc>
        <w:tc>
          <w:tcPr>
            <w:tcW w:w="1467" w:type="dxa"/>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eastAsia="宋体" w:cs="Times New Roman"/>
                <w:szCs w:val="21"/>
                <w:highlight w:val="none"/>
                <w:lang w:eastAsia="zh-CN"/>
              </w:rPr>
              <w:t>矿冶科技集团有限公司</w:t>
            </w:r>
          </w:p>
        </w:tc>
        <w:tc>
          <w:tcPr>
            <w:tcW w:w="1117"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不采纳</w:t>
            </w:r>
          </w:p>
        </w:tc>
        <w:tc>
          <w:tcPr>
            <w:tcW w:w="4066" w:type="dxa"/>
            <w:noWrap w:val="0"/>
            <w:vAlign w:val="center"/>
          </w:tcPr>
          <w:p>
            <w:pPr>
              <w:adjustRightInd w:val="0"/>
              <w:snapToGrid w:val="0"/>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GB 18597中规定了对危险废物贮存的一般要求，对危险废物的包装、贮存设施的选址、设计、运行、安全防护、监测和关闭等要求。但未对危险废物收集、处置、运输内容进行要求，参照相关绿色设计产品标准，暂不改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lang w:eastAsia="zh-C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9</w:t>
            </w:r>
          </w:p>
        </w:tc>
        <w:tc>
          <w:tcPr>
            <w:tcW w:w="869" w:type="dxa"/>
            <w:noWrap w:val="0"/>
            <w:vAlign w:val="center"/>
          </w:tcPr>
          <w:p>
            <w:pPr>
              <w:adjustRightInd w:val="0"/>
              <w:snapToGrid w:val="0"/>
              <w:jc w:val="center"/>
              <w:rPr>
                <w:rFonts w:hint="default" w:ascii="Times New Roman" w:hAnsi="Times New Roman" w:eastAsia="宋体" w:cs="Times New Roman"/>
                <w:szCs w:val="28"/>
                <w:lang w:val="en-US" w:eastAsia="zh-CN"/>
              </w:rPr>
            </w:pPr>
            <w:r>
              <w:rPr>
                <w:rFonts w:hint="default" w:ascii="Times New Roman" w:hAnsi="Times New Roman" w:eastAsia="宋体" w:cs="Times New Roman"/>
                <w:szCs w:val="21"/>
                <w:highlight w:val="none"/>
              </w:rPr>
              <w:t>4.1.9</w:t>
            </w:r>
          </w:p>
        </w:tc>
        <w:tc>
          <w:tcPr>
            <w:tcW w:w="2214" w:type="dxa"/>
            <w:noWrap w:val="0"/>
            <w:vAlign w:val="center"/>
          </w:tcPr>
          <w:p>
            <w:pPr>
              <w:rPr>
                <w:rFonts w:hint="default" w:ascii="Times New Roman" w:hAnsi="Times New Roman" w:eastAsia="宋体" w:cs="Times New Roman"/>
                <w:sz w:val="21"/>
                <w:szCs w:val="28"/>
                <w:lang w:val="en-US" w:eastAsia="zh-CN"/>
              </w:rPr>
            </w:pPr>
            <w:r>
              <w:rPr>
                <w:rFonts w:hint="default" w:ascii="Times New Roman" w:hAnsi="Times New Roman" w:eastAsia="宋体" w:cs="Times New Roman"/>
                <w:szCs w:val="21"/>
                <w:highlight w:val="none"/>
              </w:rPr>
              <w:t>将“企业应采用国家鼓励的先进技术和工艺”中的“应”改为“宜”。</w:t>
            </w:r>
          </w:p>
        </w:tc>
        <w:tc>
          <w:tcPr>
            <w:tcW w:w="1467" w:type="dxa"/>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eastAsia="宋体" w:cs="Times New Roman"/>
                <w:color w:val="000000" w:themeColor="text1"/>
                <w:szCs w:val="21"/>
                <w:highlight w:val="none"/>
                <w14:textFill>
                  <w14:solidFill>
                    <w14:schemeClr w14:val="tx1"/>
                  </w14:solidFill>
                </w14:textFill>
              </w:rPr>
              <w:t>有色金属技术经济研究院</w:t>
            </w:r>
          </w:p>
        </w:tc>
        <w:tc>
          <w:tcPr>
            <w:tcW w:w="1117"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10</w:t>
            </w:r>
          </w:p>
        </w:tc>
        <w:tc>
          <w:tcPr>
            <w:tcW w:w="869" w:type="dxa"/>
            <w:noWrap w:val="0"/>
            <w:vAlign w:val="center"/>
          </w:tcPr>
          <w:p>
            <w:pPr>
              <w:adjustRightInd w:val="0"/>
              <w:snapToGrid w:val="0"/>
              <w:jc w:val="center"/>
              <w:rPr>
                <w:rFonts w:hint="default" w:ascii="Times New Roman" w:hAnsi="Times New Roman" w:cs="Times New Roman"/>
                <w:szCs w:val="28"/>
              </w:rPr>
            </w:pPr>
            <w:r>
              <w:rPr>
                <w:rFonts w:hint="default" w:ascii="Times New Roman" w:hAnsi="Times New Roman" w:eastAsia="宋体" w:cs="Times New Roman"/>
                <w:szCs w:val="21"/>
                <w:highlight w:val="none"/>
              </w:rPr>
              <w:t>4.2</w:t>
            </w:r>
          </w:p>
        </w:tc>
        <w:tc>
          <w:tcPr>
            <w:tcW w:w="2214" w:type="dxa"/>
            <w:noWrap w:val="0"/>
            <w:vAlign w:val="center"/>
          </w:tcPr>
          <w:p>
            <w:pPr>
              <w:rPr>
                <w:rFonts w:hint="default" w:ascii="Times New Roman" w:hAnsi="Times New Roman" w:cs="Times New Roman"/>
                <w:sz w:val="21"/>
                <w:szCs w:val="28"/>
              </w:rPr>
            </w:pPr>
            <w:r>
              <w:rPr>
                <w:rFonts w:hint="default" w:ascii="Times New Roman" w:hAnsi="Times New Roman" w:eastAsia="宋体" w:cs="Times New Roman"/>
                <w:szCs w:val="21"/>
                <w:highlight w:val="none"/>
              </w:rPr>
              <w:t>能源属性二级指标是否要将辅料配置能耗计算在内？</w:t>
            </w:r>
          </w:p>
        </w:tc>
        <w:tc>
          <w:tcPr>
            <w:tcW w:w="1467" w:type="dxa"/>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中国恩菲工程技术有限公司</w:t>
            </w:r>
          </w:p>
        </w:tc>
        <w:tc>
          <w:tcPr>
            <w:tcW w:w="1117"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部分采纳</w:t>
            </w:r>
          </w:p>
        </w:tc>
        <w:tc>
          <w:tcPr>
            <w:tcW w:w="4066" w:type="dxa"/>
            <w:noWrap w:val="0"/>
            <w:vAlign w:val="center"/>
          </w:tcPr>
          <w:p>
            <w:pPr>
              <w:adjustRightInd w:val="0"/>
              <w:snapToGrid w:val="0"/>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各家企业生产工艺不同，辅料配置能耗区别应较大，且涉及到产品设定边界问题，后续与其他企业私下协商，确认是否有必要添加辅料配置能耗。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11</w:t>
            </w:r>
          </w:p>
        </w:tc>
        <w:tc>
          <w:tcPr>
            <w:tcW w:w="869"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cs="Times New Roman"/>
                <w:szCs w:val="28"/>
                <w:lang w:val="en-US" w:eastAsia="zh-CN"/>
              </w:rPr>
              <w:t>4.2</w:t>
            </w:r>
          </w:p>
        </w:tc>
        <w:tc>
          <w:tcPr>
            <w:tcW w:w="2214" w:type="dxa"/>
            <w:noWrap w:val="0"/>
            <w:vAlign w:val="center"/>
          </w:tcPr>
          <w:p>
            <w:pPr>
              <w:rPr>
                <w:rFonts w:hint="default" w:ascii="Times New Roman" w:hAnsi="Times New Roman" w:eastAsia="宋体" w:cs="Times New Roman"/>
                <w:sz w:val="21"/>
                <w:szCs w:val="28"/>
                <w:lang w:val="en-US" w:eastAsia="zh-CN"/>
              </w:rPr>
            </w:pPr>
            <w:r>
              <w:rPr>
                <w:rFonts w:hint="default" w:ascii="Times New Roman" w:hAnsi="Times New Roman" w:eastAsia="宋体" w:cs="Times New Roman"/>
                <w:szCs w:val="21"/>
                <w:highlight w:val="none"/>
              </w:rPr>
              <w:t>是否可以将其他钴系列产品如氢氧化钴放入钴？</w:t>
            </w:r>
          </w:p>
        </w:tc>
        <w:tc>
          <w:tcPr>
            <w:tcW w:w="1467" w:type="dxa"/>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长沙矿冶研究院有限公司</w:t>
            </w:r>
          </w:p>
        </w:tc>
        <w:tc>
          <w:tcPr>
            <w:tcW w:w="1117"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部分采纳</w:t>
            </w:r>
          </w:p>
        </w:tc>
        <w:tc>
          <w:tcPr>
            <w:tcW w:w="4066" w:type="dxa"/>
            <w:noWrap w:val="0"/>
            <w:vAlign w:val="center"/>
          </w:tcPr>
          <w:p>
            <w:pPr>
              <w:adjustRightInd w:val="0"/>
              <w:snapToGrid w:val="0"/>
              <w:rPr>
                <w:rFonts w:hint="default" w:ascii="Times New Roman" w:hAnsi="Times New Roman" w:eastAsia="Calibri"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国外主要以生产粗制氢氧化钴中间品为主，用于进一步冶炼钴的产品如四氧化三钴等，国内生产高纯度氢氧化钴产品的企业较少，后续与其他企业进行私下协商交流，看是否需要把氢氧化钴等钴系列产品加进去。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12</w:t>
            </w:r>
          </w:p>
        </w:tc>
        <w:tc>
          <w:tcPr>
            <w:tcW w:w="869"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4.2</w:t>
            </w:r>
          </w:p>
        </w:tc>
        <w:tc>
          <w:tcPr>
            <w:tcW w:w="2214" w:type="dxa"/>
            <w:noWrap w:val="0"/>
            <w:vAlign w:val="center"/>
          </w:tcPr>
          <w:p>
            <w:pPr>
              <w:rPr>
                <w:rFonts w:hint="default" w:ascii="Times New Roman" w:hAnsi="Times New Roman" w:cs="Times New Roman"/>
                <w:sz w:val="21"/>
                <w:szCs w:val="28"/>
              </w:rPr>
            </w:pPr>
            <w:r>
              <w:rPr>
                <w:rFonts w:hint="default" w:ascii="Times New Roman" w:hAnsi="Times New Roman" w:eastAsia="宋体" w:cs="Times New Roman"/>
                <w:szCs w:val="21"/>
                <w:highlight w:val="none"/>
              </w:rPr>
              <w:t>基于绿色设计产品标准目的及要求，确认二级指标基准值设置是否过松？</w:t>
            </w:r>
          </w:p>
        </w:tc>
        <w:tc>
          <w:tcPr>
            <w:tcW w:w="1467" w:type="dxa"/>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eastAsia="宋体" w:cs="Times New Roman"/>
                <w:color w:val="000000" w:themeColor="text1"/>
                <w:szCs w:val="21"/>
                <w:highlight w:val="none"/>
                <w14:textFill>
                  <w14:solidFill>
                    <w14:schemeClr w14:val="tx1"/>
                  </w14:solidFill>
                </w14:textFill>
              </w:rPr>
              <w:t>清远佳致新材料研究院有限公司</w:t>
            </w:r>
          </w:p>
        </w:tc>
        <w:tc>
          <w:tcPr>
            <w:tcW w:w="1117"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c>
          <w:tcPr>
            <w:tcW w:w="4066" w:type="dxa"/>
            <w:noWrap w:val="0"/>
            <w:vAlign w:val="center"/>
          </w:tcPr>
          <w:p>
            <w:pPr>
              <w:adjustRightInd w:val="0"/>
              <w:snapToGrid w:val="0"/>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13</w:t>
            </w:r>
          </w:p>
        </w:tc>
        <w:tc>
          <w:tcPr>
            <w:tcW w:w="869" w:type="dxa"/>
            <w:noWrap w:val="0"/>
            <w:vAlign w:val="center"/>
          </w:tcPr>
          <w:p>
            <w:pPr>
              <w:adjustRightInd w:val="0"/>
              <w:snapToGrid w:val="0"/>
              <w:jc w:val="center"/>
              <w:rPr>
                <w:rFonts w:hint="default" w:ascii="Times New Roman" w:hAnsi="Times New Roman" w:eastAsia="宋体" w:cs="Times New Roman"/>
                <w:szCs w:val="28"/>
                <w:lang w:val="en-US" w:eastAsia="zh-CN"/>
              </w:rPr>
            </w:pPr>
            <w:r>
              <w:rPr>
                <w:rFonts w:hint="default" w:ascii="Times New Roman" w:hAnsi="Times New Roman" w:cs="Times New Roman"/>
                <w:szCs w:val="28"/>
                <w:lang w:val="en-US" w:eastAsia="zh-CN"/>
              </w:rPr>
              <w:t>4.2</w:t>
            </w:r>
          </w:p>
        </w:tc>
        <w:tc>
          <w:tcPr>
            <w:tcW w:w="2214" w:type="dxa"/>
            <w:noWrap w:val="0"/>
            <w:vAlign w:val="center"/>
          </w:tcPr>
          <w:p>
            <w:pPr>
              <w:rPr>
                <w:rFonts w:hint="default" w:ascii="Times New Roman" w:hAnsi="Times New Roman" w:cs="Times New Roman"/>
                <w:sz w:val="21"/>
                <w:szCs w:val="28"/>
              </w:rPr>
            </w:pPr>
            <w:r>
              <w:rPr>
                <w:rFonts w:hint="default" w:ascii="Times New Roman" w:hAnsi="Times New Roman" w:eastAsia="宋体" w:cs="Times New Roman"/>
                <w:szCs w:val="21"/>
                <w:highlight w:val="none"/>
              </w:rPr>
              <w:t>产品生产过程中会外排废气，建议在环境属性指标中设置“大气污染物排放浓度”限值指标。</w:t>
            </w:r>
          </w:p>
        </w:tc>
        <w:tc>
          <w:tcPr>
            <w:tcW w:w="1467" w:type="dxa"/>
            <w:noWrap w:val="0"/>
            <w:vAlign w:val="center"/>
          </w:tcPr>
          <w:p>
            <w:pPr>
              <w:rPr>
                <w:rFonts w:hint="default" w:ascii="Times New Roman" w:hAnsi="Times New Roman" w:cs="Times New Roman"/>
                <w:sz w:val="21"/>
                <w:szCs w:val="21"/>
              </w:rPr>
            </w:pPr>
            <w:r>
              <w:rPr>
                <w:rFonts w:hint="default" w:ascii="Times New Roman" w:hAnsi="Times New Roman" w:eastAsia="宋体" w:cs="Times New Roman"/>
                <w:szCs w:val="21"/>
                <w:highlight w:val="none"/>
                <w:lang w:eastAsia="zh-CN"/>
              </w:rPr>
              <w:t>矿冶科技集团有限公司</w:t>
            </w:r>
          </w:p>
        </w:tc>
        <w:tc>
          <w:tcPr>
            <w:tcW w:w="1117"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c>
          <w:tcPr>
            <w:tcW w:w="4066" w:type="dxa"/>
            <w:noWrap w:val="0"/>
            <w:vAlign w:val="center"/>
          </w:tcPr>
          <w:p>
            <w:pPr>
              <w:adjustRightInd w:val="0"/>
              <w:snapToGrid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14</w:t>
            </w:r>
          </w:p>
        </w:tc>
        <w:tc>
          <w:tcPr>
            <w:tcW w:w="869"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cs="Times New Roman"/>
                <w:szCs w:val="28"/>
                <w:lang w:val="en-US" w:eastAsia="zh-CN"/>
              </w:rPr>
              <w:t>4.2</w:t>
            </w:r>
          </w:p>
        </w:tc>
        <w:tc>
          <w:tcPr>
            <w:tcW w:w="2214" w:type="dxa"/>
            <w:noWrap w:val="0"/>
            <w:vAlign w:val="center"/>
          </w:tcPr>
          <w:p>
            <w:pPr>
              <w:rPr>
                <w:rFonts w:hint="default" w:ascii="Times New Roman" w:hAnsi="Times New Roman" w:cs="Times New Roman"/>
                <w:sz w:val="21"/>
                <w:szCs w:val="28"/>
              </w:rPr>
            </w:pPr>
            <w:r>
              <w:rPr>
                <w:rFonts w:hint="default" w:ascii="Times New Roman" w:hAnsi="Times New Roman" w:eastAsia="宋体" w:cs="Times New Roman"/>
                <w:szCs w:val="21"/>
                <w:highlight w:val="none"/>
              </w:rPr>
              <w:t>固体废物综合利用率≥85%是否过低？建议将“固体废物综合利用率”是否修改为“工业固体废物处置利用率”？</w:t>
            </w:r>
          </w:p>
        </w:tc>
        <w:tc>
          <w:tcPr>
            <w:tcW w:w="1467" w:type="dxa"/>
            <w:noWrap w:val="0"/>
            <w:vAlign w:val="center"/>
          </w:tcPr>
          <w:p>
            <w:pPr>
              <w:rPr>
                <w:rFonts w:hint="default" w:ascii="Times New Roman" w:hAnsi="Times New Roman" w:cs="Times New Roman"/>
                <w:sz w:val="21"/>
                <w:szCs w:val="21"/>
              </w:rPr>
            </w:pPr>
            <w:r>
              <w:rPr>
                <w:rFonts w:hint="default" w:ascii="Times New Roman" w:hAnsi="Times New Roman" w:eastAsia="宋体" w:cs="Times New Roman"/>
                <w:szCs w:val="21"/>
                <w:highlight w:val="none"/>
              </w:rPr>
              <w:t>广东先导稀材股份有限公司</w:t>
            </w:r>
          </w:p>
        </w:tc>
        <w:tc>
          <w:tcPr>
            <w:tcW w:w="1117"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c>
          <w:tcPr>
            <w:tcW w:w="4066" w:type="dxa"/>
            <w:noWrap w:val="0"/>
            <w:vAlign w:val="center"/>
          </w:tcPr>
          <w:p>
            <w:pPr>
              <w:adjustRightInd w:val="0"/>
              <w:snapToGrid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15</w:t>
            </w:r>
          </w:p>
        </w:tc>
        <w:tc>
          <w:tcPr>
            <w:tcW w:w="869" w:type="dxa"/>
            <w:noWrap w:val="0"/>
            <w:vAlign w:val="center"/>
          </w:tcPr>
          <w:p>
            <w:pPr>
              <w:jc w:val="center"/>
              <w:rPr>
                <w:rFonts w:hint="default" w:ascii="Times New Roman" w:hAnsi="Times New Roman" w:cs="Times New Roman"/>
                <w:szCs w:val="28"/>
              </w:rPr>
            </w:pPr>
            <w:r>
              <w:rPr>
                <w:rFonts w:hint="default" w:ascii="Times New Roman" w:hAnsi="Times New Roman" w:eastAsia="宋体" w:cs="Times New Roman"/>
                <w:szCs w:val="21"/>
                <w:highlight w:val="none"/>
              </w:rPr>
              <w:t>4.4</w:t>
            </w:r>
          </w:p>
        </w:tc>
        <w:tc>
          <w:tcPr>
            <w:tcW w:w="2214" w:type="dxa"/>
            <w:noWrap w:val="0"/>
            <w:vAlign w:val="center"/>
          </w:tcPr>
          <w:p>
            <w:pPr>
              <w:rPr>
                <w:rFonts w:hint="default" w:ascii="Times New Roman" w:hAnsi="Times New Roman" w:cs="Times New Roman"/>
                <w:sz w:val="21"/>
                <w:szCs w:val="28"/>
              </w:rPr>
            </w:pPr>
            <w:r>
              <w:rPr>
                <w:rFonts w:hint="default" w:ascii="Times New Roman" w:hAnsi="Times New Roman" w:eastAsia="宋体" w:cs="Times New Roman"/>
                <w:szCs w:val="21"/>
                <w:highlight w:val="none"/>
              </w:rPr>
              <w:t>将“应优先采用已有的国家标准”的相关标准号一一列出。</w:t>
            </w:r>
          </w:p>
        </w:tc>
        <w:tc>
          <w:tcPr>
            <w:tcW w:w="1467" w:type="dxa"/>
            <w:noWrap w:val="0"/>
            <w:vAlign w:val="center"/>
          </w:tcPr>
          <w:p>
            <w:pPr>
              <w:rPr>
                <w:rFonts w:hint="default" w:ascii="Times New Roman" w:hAnsi="Times New Roman" w:cs="Times New Roman"/>
                <w:sz w:val="21"/>
                <w:szCs w:val="21"/>
              </w:rPr>
            </w:pPr>
            <w:r>
              <w:rPr>
                <w:rFonts w:hint="default" w:ascii="Times New Roman" w:hAnsi="Times New Roman" w:eastAsia="宋体" w:cs="Times New Roman"/>
                <w:color w:val="000000" w:themeColor="text1"/>
                <w:szCs w:val="21"/>
                <w:highlight w:val="none"/>
                <w14:textFill>
                  <w14:solidFill>
                    <w14:schemeClr w14:val="tx1"/>
                  </w14:solidFill>
                </w14:textFill>
              </w:rPr>
              <w:t>有色金属技术经济研究院</w:t>
            </w:r>
          </w:p>
        </w:tc>
        <w:tc>
          <w:tcPr>
            <w:tcW w:w="1117"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16</w:t>
            </w:r>
          </w:p>
        </w:tc>
        <w:tc>
          <w:tcPr>
            <w:tcW w:w="869" w:type="dxa"/>
            <w:noWrap w:val="0"/>
            <w:vAlign w:val="center"/>
          </w:tcPr>
          <w:p>
            <w:pPr>
              <w:jc w:val="center"/>
              <w:rPr>
                <w:rFonts w:hint="default" w:ascii="Times New Roman" w:hAnsi="Times New Roman" w:cs="Times New Roman"/>
                <w:szCs w:val="28"/>
              </w:rPr>
            </w:pPr>
            <w:r>
              <w:rPr>
                <w:rFonts w:hint="default" w:ascii="Times New Roman" w:hAnsi="Times New Roman" w:eastAsia="宋体" w:cs="Times New Roman"/>
                <w:szCs w:val="21"/>
                <w:highlight w:val="none"/>
              </w:rPr>
              <w:t>附录B</w:t>
            </w:r>
          </w:p>
        </w:tc>
        <w:tc>
          <w:tcPr>
            <w:tcW w:w="2214" w:type="dxa"/>
            <w:noWrap w:val="0"/>
            <w:vAlign w:val="center"/>
          </w:tcPr>
          <w:p>
            <w:pPr>
              <w:rPr>
                <w:rFonts w:hint="default" w:ascii="Times New Roman" w:hAnsi="Times New Roman" w:cs="Times New Roman"/>
                <w:sz w:val="21"/>
                <w:szCs w:val="28"/>
              </w:rPr>
            </w:pPr>
            <w:r>
              <w:rPr>
                <w:rFonts w:hint="default" w:ascii="Times New Roman" w:hAnsi="Times New Roman" w:eastAsia="宋体" w:cs="Times New Roman"/>
                <w:szCs w:val="21"/>
                <w:highlight w:val="none"/>
              </w:rPr>
              <w:t>将“依据GB/T 24040和GB/T 24044”中的GB/T 24040和GB/T 24044在规范性引用文件中列出。</w:t>
            </w:r>
          </w:p>
        </w:tc>
        <w:tc>
          <w:tcPr>
            <w:tcW w:w="1467" w:type="dxa"/>
            <w:noWrap w:val="0"/>
            <w:vAlign w:val="center"/>
          </w:tcPr>
          <w:p>
            <w:pPr>
              <w:rPr>
                <w:rFonts w:hint="default" w:ascii="Times New Roman" w:hAnsi="Times New Roman" w:cs="Times New Roman"/>
                <w:sz w:val="21"/>
                <w:szCs w:val="21"/>
              </w:rPr>
            </w:pPr>
            <w:r>
              <w:rPr>
                <w:rFonts w:hint="default" w:ascii="Times New Roman" w:hAnsi="Times New Roman" w:eastAsia="宋体" w:cs="Times New Roman"/>
                <w:szCs w:val="21"/>
                <w:highlight w:val="none"/>
              </w:rPr>
              <w:t>金川集团股份有限公司</w:t>
            </w:r>
          </w:p>
        </w:tc>
        <w:tc>
          <w:tcPr>
            <w:tcW w:w="1117"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502" w:type="dxa"/>
            <w:noWrap w:val="0"/>
            <w:vAlign w:val="center"/>
          </w:tcPr>
          <w:p>
            <w:pPr>
              <w:adjustRightInd w:val="0"/>
              <w:snapToGrid w:val="0"/>
              <w:jc w:val="center"/>
              <w:rPr>
                <w:rFonts w:hint="default" w:ascii="Times New Roman" w:hAnsi="Times New Roman" w:eastAsia="宋体" w:cs="Times New Roman"/>
                <w:lang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1</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7</w:t>
            </w:r>
          </w:p>
        </w:tc>
        <w:tc>
          <w:tcPr>
            <w:tcW w:w="869" w:type="dxa"/>
            <w:noWrap w:val="0"/>
            <w:vAlign w:val="center"/>
          </w:tcPr>
          <w:p>
            <w:pPr>
              <w:jc w:val="center"/>
              <w:rPr>
                <w:rFonts w:hint="default" w:ascii="Times New Roman" w:hAnsi="Times New Roman" w:cs="Times New Roman"/>
                <w:szCs w:val="28"/>
              </w:rPr>
            </w:pPr>
            <w:r>
              <w:rPr>
                <w:rFonts w:hint="default" w:ascii="Times New Roman" w:hAnsi="Times New Roman" w:eastAsia="宋体" w:cs="Times New Roman"/>
                <w:szCs w:val="21"/>
                <w:highlight w:val="none"/>
              </w:rPr>
              <w:t>B2.3</w:t>
            </w:r>
          </w:p>
        </w:tc>
        <w:tc>
          <w:tcPr>
            <w:tcW w:w="2214" w:type="dxa"/>
            <w:noWrap w:val="0"/>
            <w:vAlign w:val="center"/>
          </w:tcPr>
          <w:p>
            <w:pPr>
              <w:widowControl/>
              <w:rPr>
                <w:rFonts w:hint="default" w:ascii="Times New Roman" w:hAnsi="Times New Roman" w:cs="Times New Roman"/>
                <w:sz w:val="21"/>
                <w:szCs w:val="28"/>
              </w:rPr>
            </w:pPr>
            <w:r>
              <w:rPr>
                <w:rFonts w:hint="default" w:ascii="Times New Roman" w:hAnsi="Times New Roman" w:eastAsia="宋体" w:cs="Times New Roman"/>
                <w:szCs w:val="21"/>
                <w:highlight w:val="none"/>
              </w:rPr>
              <w:t>将图B.1中“资源投入”修改为“能源、资源投入”。</w:t>
            </w:r>
          </w:p>
        </w:tc>
        <w:tc>
          <w:tcPr>
            <w:tcW w:w="1467" w:type="dxa"/>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eastAsia="宋体" w:cs="Times New Roman"/>
                <w:color w:val="000000" w:themeColor="text1"/>
                <w:szCs w:val="21"/>
                <w:highlight w:val="none"/>
                <w14:textFill>
                  <w14:solidFill>
                    <w14:schemeClr w14:val="tx1"/>
                  </w14:solidFill>
                </w14:textFill>
              </w:rPr>
              <w:t>荆门市格林美新材料有限公司</w:t>
            </w:r>
          </w:p>
        </w:tc>
        <w:tc>
          <w:tcPr>
            <w:tcW w:w="1117"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18</w:t>
            </w:r>
          </w:p>
        </w:tc>
        <w:tc>
          <w:tcPr>
            <w:tcW w:w="869" w:type="dxa"/>
            <w:noWrap w:val="0"/>
            <w:vAlign w:val="center"/>
          </w:tcPr>
          <w:p>
            <w:pPr>
              <w:jc w:val="center"/>
              <w:rPr>
                <w:rFonts w:hint="default" w:ascii="Times New Roman" w:hAnsi="Times New Roman" w:cs="Times New Roman"/>
                <w:szCs w:val="28"/>
              </w:rPr>
            </w:pPr>
            <w:r>
              <w:rPr>
                <w:rFonts w:hint="default" w:ascii="Times New Roman" w:hAnsi="Times New Roman" w:eastAsia="宋体" w:cs="Times New Roman"/>
                <w:szCs w:val="21"/>
                <w:highlight w:val="none"/>
              </w:rPr>
              <w:t>B.2.6＆B.4.3</w:t>
            </w:r>
          </w:p>
        </w:tc>
        <w:tc>
          <w:tcPr>
            <w:tcW w:w="2214" w:type="dxa"/>
            <w:noWrap w:val="0"/>
            <w:vAlign w:val="center"/>
          </w:tcPr>
          <w:p>
            <w:pPr>
              <w:widowControl/>
              <w:rPr>
                <w:rFonts w:hint="default" w:ascii="Times New Roman" w:hAnsi="Times New Roman" w:cs="Times New Roman"/>
                <w:sz w:val="21"/>
                <w:szCs w:val="28"/>
              </w:rPr>
            </w:pPr>
            <w:r>
              <w:rPr>
                <w:rFonts w:hint="default" w:ascii="Times New Roman" w:hAnsi="Times New Roman" w:eastAsia="宋体" w:cs="Times New Roman"/>
                <w:szCs w:val="21"/>
                <w:highlight w:val="none"/>
              </w:rPr>
              <w:t>将表B.1＆B.3中的参考文献放到标准文本的最后单列一章“参考文献”中。</w:t>
            </w:r>
          </w:p>
        </w:tc>
        <w:tc>
          <w:tcPr>
            <w:tcW w:w="1467" w:type="dxa"/>
            <w:noWrap w:val="0"/>
            <w:vAlign w:val="center"/>
          </w:tcPr>
          <w:p>
            <w:pPr>
              <w:adjustRightInd w:val="0"/>
              <w:snapToGrid w:val="0"/>
              <w:rPr>
                <w:rFonts w:hint="default" w:ascii="Times New Roman" w:hAnsi="Times New Roman" w:cs="Times New Roman"/>
                <w:szCs w:val="28"/>
              </w:rPr>
            </w:pPr>
            <w:r>
              <w:rPr>
                <w:rFonts w:hint="default" w:ascii="Times New Roman" w:hAnsi="Times New Roman" w:eastAsia="宋体" w:cs="Times New Roman"/>
                <w:color w:val="000000" w:themeColor="text1"/>
                <w:szCs w:val="21"/>
                <w:highlight w:val="none"/>
                <w14:textFill>
                  <w14:solidFill>
                    <w14:schemeClr w14:val="tx1"/>
                  </w14:solidFill>
                </w14:textFill>
              </w:rPr>
              <w:t>清远佳致新材料研究院有限公司</w:t>
            </w:r>
          </w:p>
        </w:tc>
        <w:tc>
          <w:tcPr>
            <w:tcW w:w="1117"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c>
          <w:tcPr>
            <w:tcW w:w="4066" w:type="dxa"/>
            <w:noWrap w:val="0"/>
            <w:vAlign w:val="center"/>
          </w:tcPr>
          <w:p>
            <w:pPr>
              <w:adjustRightInd w:val="0"/>
              <w:snapToGrid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19</w:t>
            </w:r>
          </w:p>
        </w:tc>
        <w:tc>
          <w:tcPr>
            <w:tcW w:w="869" w:type="dxa"/>
            <w:noWrap w:val="0"/>
            <w:vAlign w:val="center"/>
          </w:tcPr>
          <w:p>
            <w:pPr>
              <w:jc w:val="center"/>
              <w:rPr>
                <w:rFonts w:hint="default" w:ascii="Times New Roman" w:hAnsi="Times New Roman" w:cs="Times New Roman"/>
                <w:szCs w:val="28"/>
              </w:rPr>
            </w:pPr>
            <w:r>
              <w:rPr>
                <w:rFonts w:hint="default" w:ascii="Times New Roman" w:hAnsi="Times New Roman" w:eastAsia="宋体" w:cs="Times New Roman"/>
                <w:szCs w:val="21"/>
                <w:highlight w:val="none"/>
              </w:rPr>
              <w:t>C.1</w:t>
            </w:r>
          </w:p>
        </w:tc>
        <w:tc>
          <w:tcPr>
            <w:tcW w:w="2214" w:type="dxa"/>
            <w:noWrap w:val="0"/>
            <w:vAlign w:val="center"/>
          </w:tcPr>
          <w:p>
            <w:pPr>
              <w:rPr>
                <w:rFonts w:hint="default" w:ascii="Times New Roman" w:hAnsi="Times New Roman" w:cs="Times New Roman"/>
                <w:sz w:val="21"/>
                <w:szCs w:val="28"/>
              </w:rPr>
            </w:pPr>
            <w:r>
              <w:rPr>
                <w:rFonts w:hint="default" w:ascii="Times New Roman" w:hAnsi="Times New Roman" w:eastAsia="宋体" w:cs="Times New Roman"/>
                <w:color w:val="000000" w:themeColor="text1"/>
                <w:szCs w:val="21"/>
                <w:highlight w:val="none"/>
                <w14:textFill>
                  <w14:solidFill>
                    <w14:schemeClr w14:val="tx1"/>
                  </w14:solidFill>
                </w14:textFill>
              </w:rPr>
              <w:t>图C.1 四氧化三钴生产工序图存在歧义，建议调整。</w:t>
            </w:r>
          </w:p>
        </w:tc>
        <w:tc>
          <w:tcPr>
            <w:tcW w:w="1467" w:type="dxa"/>
            <w:noWrap w:val="0"/>
            <w:vAlign w:val="center"/>
          </w:tcPr>
          <w:p>
            <w:pPr>
              <w:rPr>
                <w:rFonts w:hint="default" w:ascii="Times New Roman" w:hAnsi="Times New Roman" w:cs="Times New Roman"/>
                <w:szCs w:val="28"/>
              </w:rPr>
            </w:pPr>
            <w:r>
              <w:rPr>
                <w:rFonts w:hint="default" w:ascii="Times New Roman" w:hAnsi="Times New Roman" w:eastAsia="宋体" w:cs="Times New Roman"/>
                <w:color w:val="000000" w:themeColor="text1"/>
                <w:szCs w:val="21"/>
                <w:highlight w:val="none"/>
                <w14:textFill>
                  <w14:solidFill>
                    <w14:schemeClr w14:val="tx1"/>
                  </w14:solidFill>
                </w14:textFill>
              </w:rPr>
              <w:t>荆门市格林美新材料有限公司</w:t>
            </w:r>
          </w:p>
        </w:tc>
        <w:tc>
          <w:tcPr>
            <w:tcW w:w="1117"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20</w:t>
            </w:r>
          </w:p>
        </w:tc>
        <w:tc>
          <w:tcPr>
            <w:tcW w:w="869" w:type="dxa"/>
            <w:noWrap w:val="0"/>
            <w:vAlign w:val="center"/>
          </w:tcPr>
          <w:p>
            <w:pPr>
              <w:jc w:val="center"/>
              <w:rPr>
                <w:rFonts w:hint="default" w:ascii="Times New Roman" w:hAnsi="Times New Roman" w:cs="Times New Roman"/>
                <w:szCs w:val="28"/>
              </w:rPr>
            </w:pPr>
            <w:r>
              <w:rPr>
                <w:rFonts w:hint="default" w:ascii="Times New Roman" w:hAnsi="Times New Roman" w:eastAsia="宋体" w:cs="Times New Roman"/>
                <w:szCs w:val="21"/>
                <w:highlight w:val="none"/>
              </w:rPr>
              <w:t>编制说明</w:t>
            </w:r>
          </w:p>
        </w:tc>
        <w:tc>
          <w:tcPr>
            <w:tcW w:w="2214" w:type="dxa"/>
            <w:noWrap w:val="0"/>
            <w:vAlign w:val="center"/>
          </w:tcPr>
          <w:p>
            <w:pPr>
              <w:rPr>
                <w:rFonts w:hint="default" w:ascii="Times New Roman" w:hAnsi="Times New Roman" w:cs="Times New Roman"/>
                <w:sz w:val="21"/>
                <w:szCs w:val="28"/>
              </w:rPr>
            </w:pPr>
            <w:r>
              <w:rPr>
                <w:rFonts w:hint="default" w:ascii="Times New Roman" w:hAnsi="Times New Roman" w:eastAsia="宋体" w:cs="Times New Roman"/>
                <w:color w:val="000000" w:themeColor="text1"/>
                <w:szCs w:val="21"/>
                <w:highlight w:val="none"/>
                <w14:textFill>
                  <w14:solidFill>
                    <w14:schemeClr w14:val="tx1"/>
                  </w14:solidFill>
                </w14:textFill>
              </w:rPr>
              <w:t>编制说明中收集数据较少，建议补充数据。</w:t>
            </w:r>
          </w:p>
        </w:tc>
        <w:tc>
          <w:tcPr>
            <w:tcW w:w="1467" w:type="dxa"/>
            <w:noWrap w:val="0"/>
            <w:vAlign w:val="center"/>
          </w:tcPr>
          <w:p>
            <w:pPr>
              <w:rPr>
                <w:rFonts w:hint="default" w:ascii="Times New Roman" w:hAnsi="Times New Roman" w:cs="Times New Roman"/>
                <w:szCs w:val="28"/>
              </w:rPr>
            </w:pPr>
            <w:r>
              <w:rPr>
                <w:rFonts w:hint="default" w:ascii="Times New Roman" w:hAnsi="Times New Roman" w:eastAsia="宋体" w:cs="Times New Roman"/>
                <w:color w:val="000000" w:themeColor="text1"/>
                <w:szCs w:val="21"/>
                <w:highlight w:val="none"/>
                <w14:textFill>
                  <w14:solidFill>
                    <w14:schemeClr w14:val="tx1"/>
                  </w14:solidFill>
                </w14:textFill>
              </w:rPr>
              <w:t>有色金属技术经济研究院</w:t>
            </w:r>
          </w:p>
        </w:tc>
        <w:tc>
          <w:tcPr>
            <w:tcW w:w="1117"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c>
          <w:tcPr>
            <w:tcW w:w="4066" w:type="dxa"/>
            <w:noWrap w:val="0"/>
            <w:vAlign w:val="center"/>
          </w:tcPr>
          <w:p>
            <w:pPr>
              <w:adjustRightInd w:val="0"/>
              <w:snapToGrid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21</w:t>
            </w:r>
          </w:p>
        </w:tc>
        <w:tc>
          <w:tcPr>
            <w:tcW w:w="869" w:type="dxa"/>
            <w:noWrap w:val="0"/>
            <w:vAlign w:val="center"/>
          </w:tcPr>
          <w:p>
            <w:pPr>
              <w:jc w:val="center"/>
              <w:rPr>
                <w:rFonts w:hint="default" w:ascii="Times New Roman" w:hAnsi="Times New Roman" w:cs="Times New Roman"/>
                <w:szCs w:val="28"/>
              </w:rPr>
            </w:pPr>
          </w:p>
        </w:tc>
        <w:tc>
          <w:tcPr>
            <w:tcW w:w="2214" w:type="dxa"/>
            <w:noWrap w:val="0"/>
            <w:vAlign w:val="center"/>
          </w:tcPr>
          <w:p>
            <w:pPr>
              <w:jc w:val="center"/>
              <w:rPr>
                <w:rFonts w:hint="default" w:ascii="Times New Roman" w:hAnsi="Times New Roman" w:cs="Times New Roman"/>
                <w:sz w:val="21"/>
                <w:szCs w:val="28"/>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无意见</w:t>
            </w:r>
          </w:p>
        </w:tc>
        <w:tc>
          <w:tcPr>
            <w:tcW w:w="1467" w:type="dxa"/>
            <w:noWrap w:val="0"/>
            <w:vAlign w:val="center"/>
          </w:tcPr>
          <w:p>
            <w:pPr>
              <w:rPr>
                <w:rFonts w:hint="default" w:ascii="Times New Roman" w:hAnsi="Times New Roman" w:cs="Times New Roman"/>
                <w:szCs w:val="28"/>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湖南有色金属研究院</w:t>
            </w:r>
          </w:p>
        </w:tc>
        <w:tc>
          <w:tcPr>
            <w:tcW w:w="1117" w:type="dxa"/>
            <w:noWrap w:val="0"/>
            <w:vAlign w:val="center"/>
          </w:tcPr>
          <w:p>
            <w:pPr>
              <w:adjustRightInd w:val="0"/>
              <w:snapToGrid w:val="0"/>
              <w:jc w:val="center"/>
              <w:rPr>
                <w:rFonts w:hint="default" w:ascii="Times New Roman" w:hAnsi="Times New Roman" w:cs="Times New Roman"/>
              </w:rPr>
            </w:pP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22</w:t>
            </w:r>
          </w:p>
        </w:tc>
        <w:tc>
          <w:tcPr>
            <w:tcW w:w="869" w:type="dxa"/>
            <w:noWrap w:val="0"/>
            <w:vAlign w:val="center"/>
          </w:tcPr>
          <w:p>
            <w:pPr>
              <w:jc w:val="center"/>
              <w:rPr>
                <w:rFonts w:hint="default" w:ascii="Times New Roman" w:hAnsi="Times New Roman" w:cs="Times New Roman"/>
                <w:szCs w:val="28"/>
              </w:rPr>
            </w:pPr>
          </w:p>
        </w:tc>
        <w:tc>
          <w:tcPr>
            <w:tcW w:w="2214" w:type="dxa"/>
            <w:noWrap w:val="0"/>
            <w:vAlign w:val="center"/>
          </w:tcPr>
          <w:p>
            <w:pPr>
              <w:jc w:val="center"/>
              <w:rPr>
                <w:rFonts w:hint="default" w:ascii="Times New Roman" w:hAnsi="Times New Roman" w:cs="Times New Roman"/>
                <w:sz w:val="21"/>
                <w:szCs w:val="28"/>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无意见</w:t>
            </w:r>
          </w:p>
        </w:tc>
        <w:tc>
          <w:tcPr>
            <w:tcW w:w="1467" w:type="dxa"/>
            <w:noWrap w:val="0"/>
            <w:vAlign w:val="center"/>
          </w:tcPr>
          <w:p>
            <w:pPr>
              <w:rPr>
                <w:rFonts w:hint="default" w:ascii="Times New Roman" w:hAnsi="Times New Roman" w:cs="Times New Roman"/>
                <w:szCs w:val="28"/>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铜陵有色金属集团控股有限公司</w:t>
            </w:r>
          </w:p>
        </w:tc>
        <w:tc>
          <w:tcPr>
            <w:tcW w:w="1117" w:type="dxa"/>
            <w:noWrap w:val="0"/>
            <w:vAlign w:val="center"/>
          </w:tcPr>
          <w:p>
            <w:pPr>
              <w:adjustRightInd w:val="0"/>
              <w:snapToGrid w:val="0"/>
              <w:jc w:val="center"/>
              <w:rPr>
                <w:rFonts w:hint="default" w:ascii="Times New Roman" w:hAnsi="Times New Roman" w:cs="Times New Roman"/>
              </w:rPr>
            </w:pP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23</w:t>
            </w:r>
          </w:p>
        </w:tc>
        <w:tc>
          <w:tcPr>
            <w:tcW w:w="869" w:type="dxa"/>
            <w:noWrap w:val="0"/>
            <w:vAlign w:val="center"/>
          </w:tcPr>
          <w:p>
            <w:pPr>
              <w:jc w:val="center"/>
              <w:rPr>
                <w:rFonts w:hint="default" w:ascii="Times New Roman" w:hAnsi="Times New Roman" w:cs="Times New Roman"/>
                <w:szCs w:val="28"/>
              </w:rPr>
            </w:pPr>
          </w:p>
        </w:tc>
        <w:tc>
          <w:tcPr>
            <w:tcW w:w="2214" w:type="dxa"/>
            <w:noWrap w:val="0"/>
            <w:vAlign w:val="center"/>
          </w:tcPr>
          <w:p>
            <w:pPr>
              <w:jc w:val="center"/>
              <w:rPr>
                <w:rFonts w:hint="default" w:ascii="Times New Roman" w:hAnsi="Times New Roman" w:eastAsia="宋体" w:cs="Times New Roman"/>
                <w:sz w:val="21"/>
                <w:szCs w:val="28"/>
                <w:lang w:val="en-US" w:eastAsia="zh-CN"/>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无意见</w:t>
            </w:r>
          </w:p>
        </w:tc>
        <w:tc>
          <w:tcPr>
            <w:tcW w:w="1467" w:type="dxa"/>
            <w:noWrap w:val="0"/>
            <w:vAlign w:val="center"/>
          </w:tcPr>
          <w:p>
            <w:pPr>
              <w:rPr>
                <w:rFonts w:hint="default" w:ascii="Times New Roman" w:hAnsi="Times New Roman" w:cs="Times New Roman"/>
                <w:sz w:val="21"/>
                <w:szCs w:val="21"/>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白银有色集团股份有限公司</w:t>
            </w:r>
          </w:p>
        </w:tc>
        <w:tc>
          <w:tcPr>
            <w:tcW w:w="1117" w:type="dxa"/>
            <w:noWrap w:val="0"/>
            <w:vAlign w:val="center"/>
          </w:tcPr>
          <w:p>
            <w:pPr>
              <w:adjustRightInd w:val="0"/>
              <w:snapToGrid w:val="0"/>
              <w:jc w:val="center"/>
              <w:rPr>
                <w:rFonts w:hint="default" w:ascii="Times New Roman" w:hAnsi="Times New Roman" w:cs="Times New Roman"/>
              </w:rPr>
            </w:pP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cs="Times New Roman"/>
                <w:lang w:val="en-US"/>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24</w:t>
            </w:r>
          </w:p>
        </w:tc>
        <w:tc>
          <w:tcPr>
            <w:tcW w:w="869" w:type="dxa"/>
            <w:noWrap w:val="0"/>
            <w:vAlign w:val="center"/>
          </w:tcPr>
          <w:p>
            <w:pPr>
              <w:jc w:val="center"/>
              <w:rPr>
                <w:rFonts w:hint="default" w:ascii="Times New Roman" w:hAnsi="Times New Roman" w:cs="Times New Roman"/>
                <w:szCs w:val="28"/>
              </w:rPr>
            </w:pPr>
          </w:p>
        </w:tc>
        <w:tc>
          <w:tcPr>
            <w:tcW w:w="2214" w:type="dxa"/>
            <w:noWrap w:val="0"/>
            <w:vAlign w:val="center"/>
          </w:tcPr>
          <w:p>
            <w:pPr>
              <w:jc w:val="center"/>
              <w:rPr>
                <w:rFonts w:hint="default" w:ascii="Times New Roman" w:hAnsi="Times New Roman" w:eastAsia="宋体" w:cs="Times New Roman"/>
                <w:sz w:val="21"/>
                <w:szCs w:val="28"/>
                <w:lang w:val="en-US" w:eastAsia="zh-CN"/>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无意见</w:t>
            </w:r>
          </w:p>
        </w:tc>
        <w:tc>
          <w:tcPr>
            <w:tcW w:w="1467" w:type="dxa"/>
            <w:noWrap w:val="0"/>
            <w:vAlign w:val="center"/>
          </w:tcPr>
          <w:p>
            <w:pPr>
              <w:rPr>
                <w:rFonts w:hint="default" w:ascii="Times New Roman" w:hAnsi="Times New Roman" w:cs="Times New Roman"/>
                <w:sz w:val="21"/>
                <w:szCs w:val="21"/>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云南锡业股份有限公司化工材料分公司</w:t>
            </w:r>
          </w:p>
        </w:tc>
        <w:tc>
          <w:tcPr>
            <w:tcW w:w="1117" w:type="dxa"/>
            <w:noWrap w:val="0"/>
            <w:vAlign w:val="center"/>
          </w:tcPr>
          <w:p>
            <w:pPr>
              <w:adjustRightInd w:val="0"/>
              <w:snapToGrid w:val="0"/>
              <w:jc w:val="center"/>
              <w:rPr>
                <w:rFonts w:hint="default" w:ascii="Times New Roman" w:hAnsi="Times New Roman" w:cs="Times New Roman"/>
              </w:rPr>
            </w:pP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25</w:t>
            </w:r>
          </w:p>
        </w:tc>
        <w:tc>
          <w:tcPr>
            <w:tcW w:w="869" w:type="dxa"/>
            <w:noWrap w:val="0"/>
            <w:vAlign w:val="center"/>
          </w:tcPr>
          <w:p>
            <w:pPr>
              <w:jc w:val="center"/>
              <w:rPr>
                <w:rFonts w:hint="default" w:ascii="Times New Roman" w:hAnsi="Times New Roman" w:cs="Times New Roman"/>
                <w:szCs w:val="28"/>
              </w:rPr>
            </w:pPr>
          </w:p>
        </w:tc>
        <w:tc>
          <w:tcPr>
            <w:tcW w:w="2214" w:type="dxa"/>
            <w:noWrap w:val="0"/>
            <w:vAlign w:val="center"/>
          </w:tcPr>
          <w:p>
            <w:pPr>
              <w:jc w:val="center"/>
              <w:rPr>
                <w:rFonts w:hint="default" w:ascii="Times New Roman" w:hAnsi="Times New Roman" w:cs="Times New Roman"/>
                <w:sz w:val="21"/>
                <w:szCs w:val="28"/>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无意见</w:t>
            </w:r>
          </w:p>
        </w:tc>
        <w:tc>
          <w:tcPr>
            <w:tcW w:w="1467" w:type="dxa"/>
            <w:noWrap w:val="0"/>
            <w:vAlign w:val="center"/>
          </w:tcPr>
          <w:p>
            <w:pPr>
              <w:rPr>
                <w:rFonts w:hint="default" w:ascii="Times New Roman" w:hAnsi="Times New Roman" w:cs="Times New Roman"/>
                <w:szCs w:val="28"/>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昆明冶金研究院</w:t>
            </w:r>
          </w:p>
        </w:tc>
        <w:tc>
          <w:tcPr>
            <w:tcW w:w="1117" w:type="dxa"/>
            <w:noWrap w:val="0"/>
            <w:vAlign w:val="center"/>
          </w:tcPr>
          <w:p>
            <w:pPr>
              <w:adjustRightInd w:val="0"/>
              <w:snapToGrid w:val="0"/>
              <w:jc w:val="center"/>
              <w:rPr>
                <w:rFonts w:hint="default" w:ascii="Times New Roman" w:hAnsi="Times New Roman" w:cs="Times New Roman"/>
              </w:rPr>
            </w:pP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26</w:t>
            </w:r>
          </w:p>
        </w:tc>
        <w:tc>
          <w:tcPr>
            <w:tcW w:w="869" w:type="dxa"/>
            <w:noWrap w:val="0"/>
            <w:vAlign w:val="center"/>
          </w:tcPr>
          <w:p>
            <w:pPr>
              <w:jc w:val="center"/>
              <w:rPr>
                <w:rFonts w:hint="default" w:ascii="Times New Roman" w:hAnsi="Times New Roman" w:cs="Times New Roman"/>
                <w:szCs w:val="28"/>
              </w:rPr>
            </w:pPr>
          </w:p>
        </w:tc>
        <w:tc>
          <w:tcPr>
            <w:tcW w:w="2214" w:type="dxa"/>
            <w:noWrap w:val="0"/>
            <w:vAlign w:val="center"/>
          </w:tcPr>
          <w:p>
            <w:pPr>
              <w:jc w:val="center"/>
              <w:rPr>
                <w:rFonts w:hint="default" w:ascii="Times New Roman" w:hAnsi="Times New Roman" w:cs="Times New Roman"/>
                <w:sz w:val="21"/>
                <w:szCs w:val="28"/>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无意见</w:t>
            </w:r>
          </w:p>
        </w:tc>
        <w:tc>
          <w:tcPr>
            <w:tcW w:w="1467" w:type="dxa"/>
            <w:noWrap w:val="0"/>
            <w:vAlign w:val="center"/>
          </w:tcPr>
          <w:p>
            <w:pPr>
              <w:rPr>
                <w:rFonts w:hint="default" w:ascii="Times New Roman" w:hAnsi="Times New Roman" w:cs="Times New Roman"/>
                <w:szCs w:val="28"/>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大冶有色设计研究院有限公司</w:t>
            </w:r>
          </w:p>
        </w:tc>
        <w:tc>
          <w:tcPr>
            <w:tcW w:w="1117" w:type="dxa"/>
            <w:noWrap w:val="0"/>
            <w:vAlign w:val="center"/>
          </w:tcPr>
          <w:p>
            <w:pPr>
              <w:adjustRightInd w:val="0"/>
              <w:snapToGrid w:val="0"/>
              <w:jc w:val="center"/>
              <w:rPr>
                <w:rFonts w:hint="default" w:ascii="Times New Roman" w:hAnsi="Times New Roman" w:cs="Times New Roman"/>
              </w:rPr>
            </w:pP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27</w:t>
            </w:r>
          </w:p>
        </w:tc>
        <w:tc>
          <w:tcPr>
            <w:tcW w:w="869" w:type="dxa"/>
            <w:noWrap w:val="0"/>
            <w:vAlign w:val="center"/>
          </w:tcPr>
          <w:p>
            <w:pPr>
              <w:jc w:val="center"/>
              <w:rPr>
                <w:rFonts w:hint="default" w:ascii="Times New Roman" w:hAnsi="Times New Roman" w:cs="Times New Roman"/>
                <w:szCs w:val="28"/>
              </w:rPr>
            </w:pPr>
          </w:p>
        </w:tc>
        <w:tc>
          <w:tcPr>
            <w:tcW w:w="2214" w:type="dxa"/>
            <w:noWrap w:val="0"/>
            <w:vAlign w:val="center"/>
          </w:tcPr>
          <w:p>
            <w:pPr>
              <w:jc w:val="center"/>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无意见</w:t>
            </w:r>
          </w:p>
        </w:tc>
        <w:tc>
          <w:tcPr>
            <w:tcW w:w="1467" w:type="dxa"/>
            <w:noWrap w:val="0"/>
            <w:vAlign w:val="center"/>
          </w:tcPr>
          <w:p>
            <w:pPr>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北矿检测技术有限公司</w:t>
            </w:r>
          </w:p>
        </w:tc>
        <w:tc>
          <w:tcPr>
            <w:tcW w:w="1117" w:type="dxa"/>
            <w:noWrap w:val="0"/>
            <w:vAlign w:val="center"/>
          </w:tcPr>
          <w:p>
            <w:pPr>
              <w:adjustRightInd w:val="0"/>
              <w:snapToGrid w:val="0"/>
              <w:jc w:val="center"/>
              <w:rPr>
                <w:rFonts w:hint="default" w:ascii="Times New Roman" w:hAnsi="Times New Roman" w:cs="Times New Roman"/>
              </w:rPr>
            </w:pP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28</w:t>
            </w:r>
          </w:p>
        </w:tc>
        <w:tc>
          <w:tcPr>
            <w:tcW w:w="869" w:type="dxa"/>
            <w:noWrap w:val="0"/>
            <w:vAlign w:val="center"/>
          </w:tcPr>
          <w:p>
            <w:pPr>
              <w:jc w:val="center"/>
              <w:rPr>
                <w:rFonts w:hint="default" w:ascii="Times New Roman" w:hAnsi="Times New Roman" w:cs="Times New Roman"/>
                <w:szCs w:val="28"/>
              </w:rPr>
            </w:pPr>
          </w:p>
        </w:tc>
        <w:tc>
          <w:tcPr>
            <w:tcW w:w="2214" w:type="dxa"/>
            <w:noWrap w:val="0"/>
            <w:vAlign w:val="center"/>
          </w:tcPr>
          <w:p>
            <w:pPr>
              <w:jc w:val="center"/>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无意见</w:t>
            </w:r>
          </w:p>
        </w:tc>
        <w:tc>
          <w:tcPr>
            <w:tcW w:w="1467" w:type="dxa"/>
            <w:noWrap w:val="0"/>
            <w:vAlign w:val="center"/>
          </w:tcPr>
          <w:p>
            <w:pPr>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连云港海关综合技术中心</w:t>
            </w:r>
          </w:p>
        </w:tc>
        <w:tc>
          <w:tcPr>
            <w:tcW w:w="1117" w:type="dxa"/>
            <w:noWrap w:val="0"/>
            <w:vAlign w:val="center"/>
          </w:tcPr>
          <w:p>
            <w:pPr>
              <w:adjustRightInd w:val="0"/>
              <w:snapToGrid w:val="0"/>
              <w:jc w:val="center"/>
              <w:rPr>
                <w:rFonts w:hint="default" w:ascii="Times New Roman" w:hAnsi="Times New Roman" w:cs="Times New Roman"/>
              </w:rPr>
            </w:pP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29</w:t>
            </w:r>
          </w:p>
        </w:tc>
        <w:tc>
          <w:tcPr>
            <w:tcW w:w="869" w:type="dxa"/>
            <w:noWrap w:val="0"/>
            <w:vAlign w:val="center"/>
          </w:tcPr>
          <w:p>
            <w:pPr>
              <w:jc w:val="center"/>
              <w:rPr>
                <w:rFonts w:hint="default" w:ascii="Times New Roman" w:hAnsi="Times New Roman" w:cs="Times New Roman"/>
                <w:szCs w:val="28"/>
              </w:rPr>
            </w:pPr>
          </w:p>
        </w:tc>
        <w:tc>
          <w:tcPr>
            <w:tcW w:w="2214" w:type="dxa"/>
            <w:noWrap w:val="0"/>
            <w:vAlign w:val="center"/>
          </w:tcPr>
          <w:p>
            <w:pPr>
              <w:jc w:val="center"/>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无意见</w:t>
            </w:r>
          </w:p>
        </w:tc>
        <w:tc>
          <w:tcPr>
            <w:tcW w:w="1467" w:type="dxa"/>
            <w:noWrap w:val="0"/>
            <w:vAlign w:val="center"/>
          </w:tcPr>
          <w:p>
            <w:pPr>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华南理工大学</w:t>
            </w:r>
          </w:p>
        </w:tc>
        <w:tc>
          <w:tcPr>
            <w:tcW w:w="1117" w:type="dxa"/>
            <w:noWrap w:val="0"/>
            <w:vAlign w:val="center"/>
          </w:tcPr>
          <w:p>
            <w:pPr>
              <w:adjustRightInd w:val="0"/>
              <w:snapToGrid w:val="0"/>
              <w:jc w:val="center"/>
              <w:rPr>
                <w:rFonts w:hint="default" w:ascii="Times New Roman" w:hAnsi="Times New Roman" w:cs="Times New Roman"/>
              </w:rPr>
            </w:pPr>
          </w:p>
        </w:tc>
        <w:tc>
          <w:tcPr>
            <w:tcW w:w="4066" w:type="dxa"/>
            <w:noWrap w:val="0"/>
            <w:vAlign w:val="center"/>
          </w:tcPr>
          <w:p>
            <w:pPr>
              <w:adjustRightInd w:val="0"/>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02" w:type="dxa"/>
            <w:noWrap w:val="0"/>
            <w:vAlign w:val="center"/>
          </w:tcPr>
          <w:p>
            <w:pPr>
              <w:adjustRightInd w:val="0"/>
              <w:snapToGrid w:val="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30</w:t>
            </w:r>
          </w:p>
        </w:tc>
        <w:tc>
          <w:tcPr>
            <w:tcW w:w="869" w:type="dxa"/>
            <w:noWrap w:val="0"/>
            <w:vAlign w:val="center"/>
          </w:tcPr>
          <w:p>
            <w:pPr>
              <w:jc w:val="center"/>
              <w:rPr>
                <w:rFonts w:hint="default" w:ascii="Times New Roman" w:hAnsi="Times New Roman" w:cs="Times New Roman"/>
                <w:szCs w:val="28"/>
              </w:rPr>
            </w:pPr>
          </w:p>
        </w:tc>
        <w:tc>
          <w:tcPr>
            <w:tcW w:w="2214" w:type="dxa"/>
            <w:noWrap w:val="0"/>
            <w:vAlign w:val="center"/>
          </w:tcPr>
          <w:p>
            <w:pPr>
              <w:jc w:val="center"/>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无意见</w:t>
            </w:r>
          </w:p>
        </w:tc>
        <w:tc>
          <w:tcPr>
            <w:tcW w:w="1467" w:type="dxa"/>
            <w:noWrap w:val="0"/>
            <w:vAlign w:val="center"/>
          </w:tcPr>
          <w:p>
            <w:pPr>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云锡文山锌铟冶炼有限公司</w:t>
            </w:r>
          </w:p>
        </w:tc>
        <w:tc>
          <w:tcPr>
            <w:tcW w:w="1117" w:type="dxa"/>
            <w:noWrap w:val="0"/>
            <w:vAlign w:val="center"/>
          </w:tcPr>
          <w:p>
            <w:pPr>
              <w:adjustRightInd w:val="0"/>
              <w:snapToGrid w:val="0"/>
              <w:jc w:val="center"/>
              <w:rPr>
                <w:rFonts w:hint="default" w:ascii="Times New Roman" w:hAnsi="Times New Roman" w:cs="Times New Roman"/>
              </w:rPr>
            </w:pPr>
          </w:p>
        </w:tc>
        <w:tc>
          <w:tcPr>
            <w:tcW w:w="4066" w:type="dxa"/>
            <w:noWrap w:val="0"/>
            <w:vAlign w:val="center"/>
          </w:tcPr>
          <w:p>
            <w:pPr>
              <w:adjustRightInd w:val="0"/>
              <w:snapToGrid w:val="0"/>
              <w:jc w:val="center"/>
              <w:rPr>
                <w:rFonts w:hint="default" w:ascii="Times New Roman" w:hAnsi="Times New Roman" w:cs="Times New Roman"/>
              </w:rPr>
            </w:pPr>
          </w:p>
        </w:tc>
      </w:tr>
    </w:tbl>
    <w:p>
      <w:pPr>
        <w:tabs>
          <w:tab w:val="left" w:pos="3780"/>
        </w:tabs>
        <w:ind w:left="945" w:leftChars="150" w:hanging="630" w:hangingChars="300"/>
        <w:rPr>
          <w:rFonts w:hint="eastAsia"/>
        </w:rPr>
      </w:pPr>
    </w:p>
    <w:p>
      <w:pPr>
        <w:tabs>
          <w:tab w:val="left" w:pos="3780"/>
        </w:tabs>
        <w:ind w:left="945" w:leftChars="150" w:hanging="630" w:hangingChars="300"/>
      </w:pPr>
      <w:r>
        <w:rPr>
          <w:rFonts w:hint="eastAsia"/>
        </w:rPr>
        <w:t>说明：</w:t>
      </w:r>
    </w:p>
    <w:p>
      <w:pPr>
        <w:tabs>
          <w:tab w:val="left" w:pos="3780"/>
        </w:tabs>
        <w:ind w:firstLine="210" w:firstLineChars="100"/>
        <w:rPr>
          <w:rFonts w:hint="default" w:ascii="Times New Roman" w:hAnsi="Times New Roman" w:cs="Times New Roman"/>
        </w:rPr>
      </w:pPr>
      <w:r>
        <w:rPr>
          <w:rFonts w:hint="eastAsia"/>
        </w:rPr>
        <w:t>（</w:t>
      </w:r>
      <w:r>
        <w:rPr>
          <w:rFonts w:hint="default" w:ascii="Times New Roman" w:hAnsi="Times New Roman" w:cs="Times New Roman"/>
        </w:rPr>
        <w:t>1）发送《征求意见稿》的单位数：</w:t>
      </w:r>
      <w:r>
        <w:rPr>
          <w:rFonts w:hint="default" w:ascii="Times New Roman" w:hAnsi="Times New Roman" w:cs="Times New Roman"/>
          <w:lang w:val="en-US" w:eastAsia="zh-CN"/>
        </w:rPr>
        <w:t>2</w:t>
      </w:r>
      <w:r>
        <w:rPr>
          <w:rFonts w:hint="eastAsia" w:cs="Times New Roman"/>
          <w:lang w:val="en-US" w:eastAsia="zh-CN"/>
        </w:rPr>
        <w:t>1</w:t>
      </w:r>
      <w:r>
        <w:rPr>
          <w:rFonts w:hint="default" w:ascii="Times New Roman" w:hAnsi="Times New Roman" w:cs="Times New Roman"/>
        </w:rPr>
        <w:t>个；</w:t>
      </w:r>
    </w:p>
    <w:p>
      <w:pPr>
        <w:tabs>
          <w:tab w:val="left" w:pos="3780"/>
        </w:tabs>
        <w:ind w:firstLine="210" w:firstLineChars="100"/>
        <w:rPr>
          <w:rFonts w:hint="default" w:ascii="Times New Roman" w:hAnsi="Times New Roman" w:cs="Times New Roman"/>
        </w:rPr>
      </w:pPr>
      <w:r>
        <w:rPr>
          <w:rFonts w:hint="default" w:ascii="Times New Roman" w:hAnsi="Times New Roman" w:cs="Times New Roman"/>
        </w:rPr>
        <w:t>（2）收到《征求意见稿》后，回函的单位数：</w:t>
      </w:r>
      <w:r>
        <w:rPr>
          <w:rFonts w:hint="default" w:ascii="Times New Roman" w:hAnsi="Times New Roman" w:cs="Times New Roman"/>
          <w:lang w:val="en-US" w:eastAsia="zh-CN"/>
        </w:rPr>
        <w:t>2</w:t>
      </w:r>
      <w:r>
        <w:rPr>
          <w:rFonts w:hint="eastAsia" w:cs="Times New Roman"/>
          <w:lang w:val="en-US" w:eastAsia="zh-CN"/>
        </w:rPr>
        <w:t>1</w:t>
      </w:r>
      <w:r>
        <w:rPr>
          <w:rFonts w:hint="default" w:ascii="Times New Roman" w:hAnsi="Times New Roman" w:cs="Times New Roman"/>
        </w:rPr>
        <w:t>个；</w:t>
      </w:r>
    </w:p>
    <w:p>
      <w:pPr>
        <w:tabs>
          <w:tab w:val="left" w:pos="3780"/>
        </w:tabs>
        <w:ind w:firstLine="210" w:firstLineChars="100"/>
        <w:rPr>
          <w:rFonts w:hint="default" w:ascii="Times New Roman" w:hAnsi="Times New Roman" w:cs="Times New Roman"/>
        </w:rPr>
      </w:pPr>
      <w:r>
        <w:rPr>
          <w:rFonts w:hint="default" w:ascii="Times New Roman" w:hAnsi="Times New Roman" w:cs="Times New Roman"/>
        </w:rPr>
        <w:t>（3）收到《征求意见稿》后，回函并有建议或意见的单位数：</w:t>
      </w:r>
      <w:r>
        <w:rPr>
          <w:rFonts w:hint="default" w:ascii="Times New Roman" w:hAnsi="Times New Roman" w:cs="Times New Roman"/>
          <w:lang w:val="en-US" w:eastAsia="zh-CN"/>
        </w:rPr>
        <w:t>1</w:t>
      </w:r>
      <w:r>
        <w:rPr>
          <w:rFonts w:hint="eastAsia" w:cs="Times New Roman"/>
          <w:lang w:val="en-US" w:eastAsia="zh-CN"/>
        </w:rPr>
        <w:t>1</w:t>
      </w:r>
      <w:r>
        <w:rPr>
          <w:rFonts w:hint="default" w:ascii="Times New Roman" w:hAnsi="Times New Roman" w:cs="Times New Roman"/>
        </w:rPr>
        <w:t>个；</w:t>
      </w:r>
    </w:p>
    <w:p>
      <w:pPr>
        <w:tabs>
          <w:tab w:val="left" w:pos="3780"/>
        </w:tabs>
        <w:ind w:firstLine="210" w:firstLineChars="100"/>
        <w:rPr>
          <w:rFonts w:hint="default" w:ascii="Times New Roman" w:hAnsi="Times New Roman" w:cs="Times New Roman"/>
        </w:rPr>
      </w:pPr>
      <w:r>
        <w:rPr>
          <w:rFonts w:hint="default" w:ascii="Times New Roman" w:hAnsi="Times New Roman" w:cs="Times New Roman"/>
        </w:rPr>
        <w:t>（4）没有回函的单位数：</w:t>
      </w:r>
      <w:r>
        <w:rPr>
          <w:rFonts w:hint="default" w:ascii="Times New Roman" w:hAnsi="Times New Roman" w:cs="Times New Roman"/>
          <w:lang w:val="en-US" w:eastAsia="zh-CN"/>
        </w:rPr>
        <w:t>0</w:t>
      </w:r>
      <w:r>
        <w:rPr>
          <w:rFonts w:hint="default" w:ascii="Times New Roman" w:hAnsi="Times New Roman" w:cs="Times New Roman"/>
        </w:rPr>
        <w:t>个。</w:t>
      </w:r>
    </w:p>
    <w:p>
      <w:pPr>
        <w:tabs>
          <w:tab w:val="left" w:pos="3780"/>
        </w:tabs>
        <w:rPr>
          <w:rFonts w:hint="eastAsia" w:ascii="宋体" w:hAnsi="宋体"/>
        </w:rPr>
      </w:pPr>
    </w:p>
    <w:sectPr>
      <w:headerReference r:id="rId3" w:type="default"/>
      <w:footerReference r:id="rId4" w:type="default"/>
      <w:pgSz w:w="11906" w:h="16838"/>
      <w:pgMar w:top="1134" w:right="851" w:bottom="1134" w:left="851" w:header="964"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yAlign="inline"/>
      <w:jc w:val="both"/>
    </w:pPr>
  </w:p>
  <w:tbl>
    <w:tblPr>
      <w:tblStyle w:val="5"/>
      <w:tblW w:w="10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112"/>
      <w:gridCol w:w="1966"/>
      <w:gridCol w:w="1223"/>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0189" w:type="dxa"/>
          <w:gridSpan w:val="5"/>
          <w:tcBorders>
            <w:top w:val="single" w:color="FFFFFF" w:sz="4" w:space="0"/>
            <w:left w:val="single" w:color="FFFFFF" w:sz="4" w:space="0"/>
            <w:bottom w:val="nil"/>
            <w:right w:val="single" w:color="FFFFFF" w:sz="4" w:space="0"/>
          </w:tcBorders>
          <w:noWrap w:val="0"/>
          <w:vAlign w:val="center"/>
        </w:tcPr>
        <w:p>
          <w:pPr>
            <w:spacing w:line="360" w:lineRule="exact"/>
            <w:jc w:val="center"/>
            <w:rPr>
              <w:rFonts w:hint="eastAsia"/>
              <w:color w:val="000000"/>
            </w:rPr>
          </w:pPr>
          <w:r>
            <w:rPr>
              <w:rFonts w:hint="eastAsia" w:eastAsia="黑体"/>
              <w:sz w:val="28"/>
            </w:rPr>
            <w:t>标准征求意见稿意见汇总处理表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667" w:type="dxa"/>
          <w:tcBorders>
            <w:top w:val="nil"/>
            <w:left w:val="nil"/>
            <w:bottom w:val="nil"/>
            <w:right w:val="single" w:color="FFFFFF" w:sz="4" w:space="0"/>
          </w:tcBorders>
          <w:noWrap w:val="0"/>
          <w:vAlign w:val="center"/>
        </w:tcPr>
        <w:p>
          <w:pPr>
            <w:spacing w:line="360" w:lineRule="exact"/>
            <w:jc w:val="center"/>
            <w:rPr>
              <w:rFonts w:hint="eastAsia"/>
              <w:color w:val="000000"/>
            </w:rPr>
          </w:pPr>
          <w:r>
            <w:rPr>
              <w:rFonts w:hint="eastAsia"/>
              <w:color w:val="000000"/>
            </w:rPr>
            <w:t>标准项目名称：</w:t>
          </w:r>
        </w:p>
      </w:tc>
      <w:tc>
        <w:tcPr>
          <w:tcW w:w="4112" w:type="dxa"/>
          <w:tcBorders>
            <w:top w:val="nil"/>
            <w:left w:val="single" w:color="FFFFFF" w:sz="4" w:space="0"/>
            <w:bottom w:val="nil"/>
            <w:right w:val="nil"/>
          </w:tcBorders>
          <w:noWrap w:val="0"/>
          <w:vAlign w:val="center"/>
        </w:tcPr>
        <w:p>
          <w:pPr>
            <w:spacing w:line="360" w:lineRule="exact"/>
            <w:jc w:val="left"/>
            <w:rPr>
              <w:rFonts w:hint="eastAsia"/>
            </w:rPr>
          </w:pPr>
          <w:bookmarkStart w:id="0" w:name="_GoBack"/>
          <w:r>
            <w:rPr>
              <w:rFonts w:ascii="Times New Roman" w:hAnsi="Times New Roman" w:eastAsia="宋体" w:cs="Times New Roman"/>
              <w:bCs/>
              <w:color w:val="000000" w:themeColor="text1"/>
              <w:szCs w:val="21"/>
              <w14:textFill>
                <w14:solidFill>
                  <w14:schemeClr w14:val="tx1"/>
                </w14:solidFill>
              </w14:textFill>
            </w:rPr>
            <w:t>绿色设计产品评价技术规范 四氧化三钴</w:t>
          </w:r>
          <w:bookmarkEnd w:id="0"/>
        </w:p>
      </w:tc>
      <w:tc>
        <w:tcPr>
          <w:tcW w:w="1966" w:type="dxa"/>
          <w:tcBorders>
            <w:top w:val="nil"/>
            <w:left w:val="nil"/>
            <w:bottom w:val="nil"/>
            <w:right w:val="nil"/>
          </w:tcBorders>
          <w:noWrap w:val="0"/>
          <w:vAlign w:val="center"/>
        </w:tcPr>
        <w:p>
          <w:pPr>
            <w:spacing w:line="360" w:lineRule="exact"/>
            <w:rPr>
              <w:rFonts w:hint="eastAsia" w:eastAsia="宋体"/>
              <w:color w:val="000000"/>
              <w:lang w:eastAsia="zh-CN"/>
            </w:rPr>
          </w:pPr>
          <w:r>
            <w:rPr>
              <w:rFonts w:hint="eastAsia"/>
              <w:color w:val="000000"/>
            </w:rPr>
            <w:t>承办人：</w:t>
          </w:r>
          <w:r>
            <w:rPr>
              <w:rFonts w:hint="eastAsia"/>
              <w:color w:val="000000"/>
              <w:lang w:val="en-US" w:eastAsia="zh-CN"/>
            </w:rPr>
            <w:t>陈婷</w:t>
          </w:r>
        </w:p>
      </w:tc>
      <w:tc>
        <w:tcPr>
          <w:tcW w:w="1223" w:type="dxa"/>
          <w:tcBorders>
            <w:top w:val="nil"/>
            <w:left w:val="nil"/>
            <w:bottom w:val="nil"/>
            <w:right w:val="nil"/>
          </w:tcBorders>
          <w:noWrap w:val="0"/>
          <w:vAlign w:val="center"/>
        </w:tcPr>
        <w:p>
          <w:pPr>
            <w:spacing w:line="360" w:lineRule="exact"/>
            <w:jc w:val="center"/>
            <w:rPr>
              <w:rFonts w:hint="eastAsia"/>
              <w:color w:val="000000"/>
            </w:rPr>
          </w:pPr>
          <w:r>
            <w:rPr>
              <w:rFonts w:hint="eastAsia"/>
              <w:color w:val="000000"/>
            </w:rPr>
            <w:t xml:space="preserve">共 </w:t>
          </w:r>
          <w:r>
            <w:rPr>
              <w:rFonts w:hint="eastAsia"/>
              <w:color w:val="000000"/>
              <w:lang w:val="en-US" w:eastAsia="zh-CN"/>
            </w:rPr>
            <w:t>4</w:t>
          </w:r>
          <w:r>
            <w:rPr>
              <w:rFonts w:hint="eastAsia"/>
              <w:color w:val="000000"/>
            </w:rPr>
            <w:t>页</w:t>
          </w:r>
        </w:p>
      </w:tc>
      <w:tc>
        <w:tcPr>
          <w:tcW w:w="1221" w:type="dxa"/>
          <w:tcBorders>
            <w:top w:val="nil"/>
            <w:left w:val="nil"/>
            <w:bottom w:val="nil"/>
            <w:right w:val="single" w:color="FFFFFF" w:sz="4" w:space="0"/>
          </w:tcBorders>
          <w:noWrap w:val="0"/>
          <w:vAlign w:val="center"/>
        </w:tcPr>
        <w:p>
          <w:pPr>
            <w:spacing w:line="360" w:lineRule="exact"/>
            <w:rPr>
              <w:rFonts w:hint="eastAsia"/>
              <w:color w:val="000000"/>
            </w:rPr>
          </w:pPr>
          <w:r>
            <w:rPr>
              <w:rFonts w:hint="eastAsia"/>
              <w:color w:val="000000"/>
            </w:rPr>
            <w:t>第</w:t>
          </w:r>
          <w:r>
            <w:rPr>
              <w:rFonts w:hint="eastAsia"/>
              <w:color w:val="000000"/>
              <w:lang w:val="en-US" w:eastAsia="zh-CN"/>
            </w:rPr>
            <w:t>1</w:t>
          </w:r>
          <w:r>
            <w:rPr>
              <w:rFonts w:hint="eastAsia"/>
              <w:color w:val="00000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5779" w:type="dxa"/>
          <w:gridSpan w:val="2"/>
          <w:tcBorders>
            <w:top w:val="nil"/>
            <w:left w:val="single" w:color="FFFFFF" w:sz="4" w:space="0"/>
            <w:bottom w:val="single" w:color="FFFFFF" w:sz="4" w:space="0"/>
            <w:right w:val="nil"/>
          </w:tcBorders>
          <w:noWrap w:val="0"/>
          <w:vAlign w:val="center"/>
        </w:tcPr>
        <w:p>
          <w:pPr>
            <w:adjustRightInd w:val="0"/>
            <w:snapToGrid w:val="0"/>
            <w:jc w:val="left"/>
            <w:rPr>
              <w:rFonts w:hint="default" w:eastAsia="宋体"/>
              <w:color w:val="000000"/>
              <w:lang w:val="en-US" w:eastAsia="zh-CN"/>
            </w:rPr>
          </w:pPr>
          <w:r>
            <w:rPr>
              <w:rFonts w:hint="eastAsia"/>
              <w:color w:val="000000"/>
            </w:rPr>
            <w:t>标准项目负责起草单位：</w:t>
          </w:r>
          <w:r>
            <w:rPr>
              <w:rFonts w:ascii="Times New Roman" w:hAnsi="Times New Roman" w:eastAsia="宋体" w:cs="Times New Roman"/>
              <w:bCs/>
              <w:color w:val="000000" w:themeColor="text1"/>
              <w:szCs w:val="21"/>
              <w14:textFill>
                <w14:solidFill>
                  <w14:schemeClr w14:val="tx1"/>
                </w14:solidFill>
              </w14:textFill>
            </w:rPr>
            <w:t>衢州华友钴新材料有限公司</w:t>
          </w:r>
        </w:p>
      </w:tc>
      <w:tc>
        <w:tcPr>
          <w:tcW w:w="1966" w:type="dxa"/>
          <w:tcBorders>
            <w:top w:val="nil"/>
            <w:left w:val="nil"/>
            <w:bottom w:val="single" w:color="FFFFFF" w:sz="4" w:space="0"/>
            <w:right w:val="nil"/>
          </w:tcBorders>
          <w:noWrap w:val="0"/>
          <w:vAlign w:val="center"/>
        </w:tcPr>
        <w:p>
          <w:pPr>
            <w:spacing w:line="360" w:lineRule="exact"/>
            <w:rPr>
              <w:rFonts w:hint="default" w:eastAsia="宋体"/>
              <w:color w:val="000000"/>
              <w:lang w:val="en-US" w:eastAsia="zh-CN"/>
            </w:rPr>
          </w:pPr>
          <w:r>
            <w:rPr>
              <w:rFonts w:hint="eastAsia"/>
              <w:color w:val="000000"/>
            </w:rPr>
            <w:t>电话：</w:t>
          </w:r>
          <w:r>
            <w:rPr>
              <w:rFonts w:ascii="Times New Roman" w:hAnsi="Times New Roman" w:eastAsia="宋体" w:cs="Times New Roman"/>
              <w:bCs/>
              <w:color w:val="000000" w:themeColor="text1"/>
              <w:szCs w:val="21"/>
              <w14:textFill>
                <w14:solidFill>
                  <w14:schemeClr w14:val="tx1"/>
                </w14:solidFill>
              </w14:textFill>
            </w:rPr>
            <w:t>15695700902</w:t>
          </w:r>
        </w:p>
      </w:tc>
      <w:tc>
        <w:tcPr>
          <w:tcW w:w="2444" w:type="dxa"/>
          <w:gridSpan w:val="2"/>
          <w:tcBorders>
            <w:top w:val="nil"/>
            <w:left w:val="nil"/>
            <w:bottom w:val="single" w:color="FFFFFF" w:sz="4" w:space="0"/>
            <w:right w:val="single" w:color="FFFFFF" w:sz="4" w:space="0"/>
          </w:tcBorders>
          <w:noWrap w:val="0"/>
          <w:vAlign w:val="center"/>
        </w:tcPr>
        <w:p>
          <w:pPr>
            <w:spacing w:line="360" w:lineRule="exact"/>
            <w:jc w:val="center"/>
            <w:rPr>
              <w:rFonts w:hint="eastAsia"/>
              <w:color w:val="000000"/>
            </w:rPr>
          </w:pPr>
          <w:r>
            <w:rPr>
              <w:rFonts w:hint="eastAsia"/>
              <w:color w:val="000000"/>
            </w:rPr>
            <w:t>20</w:t>
          </w:r>
          <w:r>
            <w:rPr>
              <w:color w:val="000000"/>
            </w:rPr>
            <w:t>2</w:t>
          </w:r>
          <w:r>
            <w:rPr>
              <w:rFonts w:hint="eastAsia"/>
              <w:color w:val="000000"/>
              <w:lang w:val="en-US" w:eastAsia="zh-CN"/>
            </w:rPr>
            <w:t>1</w:t>
          </w:r>
          <w:r>
            <w:rPr>
              <w:rFonts w:hint="eastAsia"/>
              <w:color w:val="000000"/>
            </w:rPr>
            <w:t>年</w:t>
          </w:r>
          <w:r>
            <w:rPr>
              <w:rFonts w:hint="eastAsia"/>
              <w:color w:val="000000"/>
              <w:lang w:val="en-US" w:eastAsia="zh-CN"/>
            </w:rPr>
            <w:t>5</w:t>
          </w:r>
          <w:r>
            <w:rPr>
              <w:rFonts w:hint="eastAsia"/>
              <w:color w:val="000000"/>
            </w:rPr>
            <w:t>月</w:t>
          </w:r>
          <w:r>
            <w:rPr>
              <w:rFonts w:hint="eastAsia"/>
              <w:color w:val="000000"/>
              <w:lang w:val="en-US" w:eastAsia="zh-CN"/>
            </w:rPr>
            <w:t>31</w:t>
          </w:r>
          <w:r>
            <w:rPr>
              <w:rFonts w:hint="eastAsia"/>
              <w:color w:val="000000"/>
            </w:rPr>
            <w:t>日填写</w:t>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13"/>
      <w:suff w:val="nothing"/>
      <w:lvlText w:val="%1"/>
      <w:lvlJc w:val="left"/>
      <w:pPr>
        <w:ind w:left="0" w:firstLine="0"/>
      </w:pPr>
      <w:rPr>
        <w:rFonts w:hint="default" w:ascii="Times New Roman" w:hAnsi="Times New Roman"/>
        <w:b/>
        <w:i w:val="0"/>
        <w:sz w:val="21"/>
      </w:rPr>
    </w:lvl>
    <w:lvl w:ilvl="1" w:tentative="0">
      <w:start w:val="1"/>
      <w:numFmt w:val="decimal"/>
      <w:pStyle w:val="12"/>
      <w:suff w:val="nothing"/>
      <w:lvlText w:val="%1%2　"/>
      <w:lvlJc w:val="left"/>
      <w:pPr>
        <w:ind w:left="0" w:firstLine="0"/>
      </w:pPr>
      <w:rPr>
        <w:rFonts w:hint="eastAsia" w:ascii="黑体" w:hAnsi="Times New Roman" w:eastAsia="黑体"/>
        <w:b w:val="0"/>
        <w:i w:val="0"/>
        <w:sz w:val="21"/>
      </w:rPr>
    </w:lvl>
    <w:lvl w:ilvl="2" w:tentative="0">
      <w:start w:val="1"/>
      <w:numFmt w:val="decimal"/>
      <w:pStyle w:val="11"/>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9"/>
      <w:suff w:val="nothing"/>
      <w:lvlText w:val="%1%2.%3.%4.%5　"/>
      <w:lvlJc w:val="left"/>
      <w:pPr>
        <w:ind w:left="0" w:firstLine="0"/>
      </w:pPr>
      <w:rPr>
        <w:rFonts w:hint="eastAsia" w:ascii="黑体" w:hAnsi="Times New Roman" w:eastAsia="黑体"/>
        <w:b w:val="0"/>
        <w:i w:val="0"/>
        <w:color w:val="auto"/>
        <w:sz w:val="21"/>
      </w:rPr>
    </w:lvl>
    <w:lvl w:ilvl="5" w:tentative="0">
      <w:start w:val="1"/>
      <w:numFmt w:val="decimal"/>
      <w:pStyle w:val="14"/>
      <w:suff w:val="nothing"/>
      <w:lvlText w:val="%1%2.%3.%4.%5.%6　"/>
      <w:lvlJc w:val="left"/>
      <w:pPr>
        <w:ind w:left="0" w:firstLine="0"/>
      </w:pPr>
      <w:rPr>
        <w:rFonts w:hint="eastAsia" w:ascii="黑体" w:hAnsi="Times New Roman" w:eastAsia="黑体"/>
        <w:b w:val="0"/>
        <w:i w:val="0"/>
        <w:sz w:val="21"/>
      </w:rPr>
    </w:lvl>
    <w:lvl w:ilvl="6" w:tentative="0">
      <w:start w:val="1"/>
      <w:numFmt w:val="decimal"/>
      <w:pStyle w:val="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65"/>
    <w:rsid w:val="00037ED7"/>
    <w:rsid w:val="00047D8E"/>
    <w:rsid w:val="000601F0"/>
    <w:rsid w:val="000603B3"/>
    <w:rsid w:val="00070B23"/>
    <w:rsid w:val="000729F6"/>
    <w:rsid w:val="000742F5"/>
    <w:rsid w:val="00075519"/>
    <w:rsid w:val="00081807"/>
    <w:rsid w:val="00082FFF"/>
    <w:rsid w:val="000A34BB"/>
    <w:rsid w:val="000A6DFB"/>
    <w:rsid w:val="000B6319"/>
    <w:rsid w:val="000C27DD"/>
    <w:rsid w:val="000C3B9D"/>
    <w:rsid w:val="000D4110"/>
    <w:rsid w:val="000E3C10"/>
    <w:rsid w:val="000E4F8D"/>
    <w:rsid w:val="000F2266"/>
    <w:rsid w:val="00106D9F"/>
    <w:rsid w:val="00106E5C"/>
    <w:rsid w:val="001073E3"/>
    <w:rsid w:val="00116F8C"/>
    <w:rsid w:val="001204D8"/>
    <w:rsid w:val="0014240D"/>
    <w:rsid w:val="00161B97"/>
    <w:rsid w:val="001802BB"/>
    <w:rsid w:val="00181B29"/>
    <w:rsid w:val="001821AD"/>
    <w:rsid w:val="001B478B"/>
    <w:rsid w:val="001E2DC8"/>
    <w:rsid w:val="00201F42"/>
    <w:rsid w:val="00206D36"/>
    <w:rsid w:val="00233A6D"/>
    <w:rsid w:val="00250477"/>
    <w:rsid w:val="00256E35"/>
    <w:rsid w:val="00263CAA"/>
    <w:rsid w:val="002641BC"/>
    <w:rsid w:val="00272226"/>
    <w:rsid w:val="002723A7"/>
    <w:rsid w:val="002821CA"/>
    <w:rsid w:val="002B5E47"/>
    <w:rsid w:val="002B640E"/>
    <w:rsid w:val="002C65EF"/>
    <w:rsid w:val="002D16E7"/>
    <w:rsid w:val="002E54AF"/>
    <w:rsid w:val="00302BF4"/>
    <w:rsid w:val="00311FF6"/>
    <w:rsid w:val="00316741"/>
    <w:rsid w:val="003259BE"/>
    <w:rsid w:val="00331F66"/>
    <w:rsid w:val="003345CE"/>
    <w:rsid w:val="00347459"/>
    <w:rsid w:val="00356CE8"/>
    <w:rsid w:val="00375BB7"/>
    <w:rsid w:val="00380A3D"/>
    <w:rsid w:val="00391D47"/>
    <w:rsid w:val="003A2626"/>
    <w:rsid w:val="003B0DA7"/>
    <w:rsid w:val="003C38CA"/>
    <w:rsid w:val="003C40C8"/>
    <w:rsid w:val="003E0E33"/>
    <w:rsid w:val="003E5840"/>
    <w:rsid w:val="00410EC4"/>
    <w:rsid w:val="00422885"/>
    <w:rsid w:val="00422E49"/>
    <w:rsid w:val="0043138C"/>
    <w:rsid w:val="004348DF"/>
    <w:rsid w:val="00445D13"/>
    <w:rsid w:val="0045108D"/>
    <w:rsid w:val="00462276"/>
    <w:rsid w:val="00483087"/>
    <w:rsid w:val="004925E4"/>
    <w:rsid w:val="004A318A"/>
    <w:rsid w:val="004B07A7"/>
    <w:rsid w:val="004B2570"/>
    <w:rsid w:val="004B3FDD"/>
    <w:rsid w:val="004C3206"/>
    <w:rsid w:val="004C3461"/>
    <w:rsid w:val="004E135B"/>
    <w:rsid w:val="004E1AF4"/>
    <w:rsid w:val="004F3FB9"/>
    <w:rsid w:val="00502F5D"/>
    <w:rsid w:val="00534346"/>
    <w:rsid w:val="00543C90"/>
    <w:rsid w:val="00565C66"/>
    <w:rsid w:val="005E7855"/>
    <w:rsid w:val="005F0165"/>
    <w:rsid w:val="005F6887"/>
    <w:rsid w:val="00621F6C"/>
    <w:rsid w:val="00626695"/>
    <w:rsid w:val="006278AD"/>
    <w:rsid w:val="00627B24"/>
    <w:rsid w:val="006345D6"/>
    <w:rsid w:val="00640B36"/>
    <w:rsid w:val="00643DA9"/>
    <w:rsid w:val="00647A04"/>
    <w:rsid w:val="00652898"/>
    <w:rsid w:val="006536F2"/>
    <w:rsid w:val="00662F67"/>
    <w:rsid w:val="006650F7"/>
    <w:rsid w:val="00672127"/>
    <w:rsid w:val="00674BC7"/>
    <w:rsid w:val="00674F7F"/>
    <w:rsid w:val="0069626E"/>
    <w:rsid w:val="00697074"/>
    <w:rsid w:val="006A106F"/>
    <w:rsid w:val="006A47D9"/>
    <w:rsid w:val="006B119D"/>
    <w:rsid w:val="006D33EB"/>
    <w:rsid w:val="006E16DA"/>
    <w:rsid w:val="006E6438"/>
    <w:rsid w:val="006F77AB"/>
    <w:rsid w:val="006F7907"/>
    <w:rsid w:val="00703549"/>
    <w:rsid w:val="00705543"/>
    <w:rsid w:val="00714EC6"/>
    <w:rsid w:val="00741DCB"/>
    <w:rsid w:val="007564C6"/>
    <w:rsid w:val="00756F32"/>
    <w:rsid w:val="007643AC"/>
    <w:rsid w:val="007830DE"/>
    <w:rsid w:val="00783219"/>
    <w:rsid w:val="007938AE"/>
    <w:rsid w:val="007A7043"/>
    <w:rsid w:val="007A7130"/>
    <w:rsid w:val="007B6A33"/>
    <w:rsid w:val="007C7669"/>
    <w:rsid w:val="007C7FB9"/>
    <w:rsid w:val="007D3293"/>
    <w:rsid w:val="007D4624"/>
    <w:rsid w:val="007E6772"/>
    <w:rsid w:val="00802976"/>
    <w:rsid w:val="00810585"/>
    <w:rsid w:val="00810E4C"/>
    <w:rsid w:val="00811AB8"/>
    <w:rsid w:val="00812860"/>
    <w:rsid w:val="00815181"/>
    <w:rsid w:val="00823340"/>
    <w:rsid w:val="0082495C"/>
    <w:rsid w:val="008279B5"/>
    <w:rsid w:val="008361D9"/>
    <w:rsid w:val="00850EF0"/>
    <w:rsid w:val="00854313"/>
    <w:rsid w:val="00862167"/>
    <w:rsid w:val="00873EEB"/>
    <w:rsid w:val="008A3746"/>
    <w:rsid w:val="008B13E2"/>
    <w:rsid w:val="008B1FE6"/>
    <w:rsid w:val="008B3AE5"/>
    <w:rsid w:val="008B5818"/>
    <w:rsid w:val="008C2B4B"/>
    <w:rsid w:val="008C449A"/>
    <w:rsid w:val="008D3554"/>
    <w:rsid w:val="0090218E"/>
    <w:rsid w:val="00902770"/>
    <w:rsid w:val="0091630A"/>
    <w:rsid w:val="009204C5"/>
    <w:rsid w:val="00920EB7"/>
    <w:rsid w:val="00941939"/>
    <w:rsid w:val="0096791F"/>
    <w:rsid w:val="0099025A"/>
    <w:rsid w:val="009C4A7C"/>
    <w:rsid w:val="009C5E43"/>
    <w:rsid w:val="009C76CB"/>
    <w:rsid w:val="009D1EEF"/>
    <w:rsid w:val="00A022A9"/>
    <w:rsid w:val="00A035CB"/>
    <w:rsid w:val="00A15F88"/>
    <w:rsid w:val="00A16B3F"/>
    <w:rsid w:val="00A33235"/>
    <w:rsid w:val="00A33F2D"/>
    <w:rsid w:val="00A36F0D"/>
    <w:rsid w:val="00A91CEE"/>
    <w:rsid w:val="00AA0372"/>
    <w:rsid w:val="00AA3A4F"/>
    <w:rsid w:val="00AE0AE3"/>
    <w:rsid w:val="00AE6CCE"/>
    <w:rsid w:val="00AF2E62"/>
    <w:rsid w:val="00AF68F8"/>
    <w:rsid w:val="00B335E3"/>
    <w:rsid w:val="00B80B07"/>
    <w:rsid w:val="00BA116E"/>
    <w:rsid w:val="00BA4832"/>
    <w:rsid w:val="00BB2535"/>
    <w:rsid w:val="00BC124D"/>
    <w:rsid w:val="00BE5182"/>
    <w:rsid w:val="00BF688F"/>
    <w:rsid w:val="00C00C32"/>
    <w:rsid w:val="00C10259"/>
    <w:rsid w:val="00C16727"/>
    <w:rsid w:val="00C204E0"/>
    <w:rsid w:val="00C26F79"/>
    <w:rsid w:val="00C30EBC"/>
    <w:rsid w:val="00C5219F"/>
    <w:rsid w:val="00C762C1"/>
    <w:rsid w:val="00C855BE"/>
    <w:rsid w:val="00C92A00"/>
    <w:rsid w:val="00CB57D0"/>
    <w:rsid w:val="00CC2E21"/>
    <w:rsid w:val="00CD4E2F"/>
    <w:rsid w:val="00CE727A"/>
    <w:rsid w:val="00D051F7"/>
    <w:rsid w:val="00D114FF"/>
    <w:rsid w:val="00D15C93"/>
    <w:rsid w:val="00D21256"/>
    <w:rsid w:val="00D243E6"/>
    <w:rsid w:val="00D30C0B"/>
    <w:rsid w:val="00D3193D"/>
    <w:rsid w:val="00D40215"/>
    <w:rsid w:val="00D53597"/>
    <w:rsid w:val="00D66061"/>
    <w:rsid w:val="00D704D0"/>
    <w:rsid w:val="00D753C5"/>
    <w:rsid w:val="00D82757"/>
    <w:rsid w:val="00D83B92"/>
    <w:rsid w:val="00D95D11"/>
    <w:rsid w:val="00DA34E0"/>
    <w:rsid w:val="00DB2AF6"/>
    <w:rsid w:val="00DB4611"/>
    <w:rsid w:val="00DB6CFC"/>
    <w:rsid w:val="00DC319E"/>
    <w:rsid w:val="00DD7712"/>
    <w:rsid w:val="00DD78D4"/>
    <w:rsid w:val="00DF1550"/>
    <w:rsid w:val="00DF5F12"/>
    <w:rsid w:val="00E06008"/>
    <w:rsid w:val="00E079CD"/>
    <w:rsid w:val="00E143D6"/>
    <w:rsid w:val="00E24D46"/>
    <w:rsid w:val="00E25594"/>
    <w:rsid w:val="00E32DED"/>
    <w:rsid w:val="00E44F3A"/>
    <w:rsid w:val="00E50FE9"/>
    <w:rsid w:val="00E526BF"/>
    <w:rsid w:val="00E639F4"/>
    <w:rsid w:val="00E643F7"/>
    <w:rsid w:val="00E6741F"/>
    <w:rsid w:val="00E81486"/>
    <w:rsid w:val="00E848EC"/>
    <w:rsid w:val="00E84C09"/>
    <w:rsid w:val="00EB3DF5"/>
    <w:rsid w:val="00EF2DD5"/>
    <w:rsid w:val="00EF4EA8"/>
    <w:rsid w:val="00EF69E9"/>
    <w:rsid w:val="00F01D2F"/>
    <w:rsid w:val="00F518AF"/>
    <w:rsid w:val="00F744F4"/>
    <w:rsid w:val="00F9182C"/>
    <w:rsid w:val="00FF3DAB"/>
    <w:rsid w:val="01AD1EC5"/>
    <w:rsid w:val="04D34577"/>
    <w:rsid w:val="05D2168B"/>
    <w:rsid w:val="08681ED5"/>
    <w:rsid w:val="08F04B6A"/>
    <w:rsid w:val="0D8153B2"/>
    <w:rsid w:val="0E9279BA"/>
    <w:rsid w:val="0EB76039"/>
    <w:rsid w:val="0F9620AE"/>
    <w:rsid w:val="0FB50410"/>
    <w:rsid w:val="120D1182"/>
    <w:rsid w:val="12AD6B0E"/>
    <w:rsid w:val="14F3648C"/>
    <w:rsid w:val="17EA5BFE"/>
    <w:rsid w:val="18D910A2"/>
    <w:rsid w:val="1B0A3F7C"/>
    <w:rsid w:val="1B501AFA"/>
    <w:rsid w:val="1BD74364"/>
    <w:rsid w:val="1D38246D"/>
    <w:rsid w:val="1DB72D5A"/>
    <w:rsid w:val="22891279"/>
    <w:rsid w:val="26DD6338"/>
    <w:rsid w:val="288F2857"/>
    <w:rsid w:val="292279D5"/>
    <w:rsid w:val="2BBB4686"/>
    <w:rsid w:val="2C681CDC"/>
    <w:rsid w:val="2FA525E8"/>
    <w:rsid w:val="3DC16C90"/>
    <w:rsid w:val="3E2D504C"/>
    <w:rsid w:val="3E753B94"/>
    <w:rsid w:val="40B455C1"/>
    <w:rsid w:val="44B67977"/>
    <w:rsid w:val="45494306"/>
    <w:rsid w:val="508B5F79"/>
    <w:rsid w:val="50D73755"/>
    <w:rsid w:val="51E019A4"/>
    <w:rsid w:val="52EC0787"/>
    <w:rsid w:val="549679ED"/>
    <w:rsid w:val="568B7469"/>
    <w:rsid w:val="57135C9F"/>
    <w:rsid w:val="5CAE6776"/>
    <w:rsid w:val="5D595EB6"/>
    <w:rsid w:val="5E8528A9"/>
    <w:rsid w:val="5F1A63E5"/>
    <w:rsid w:val="5F246E77"/>
    <w:rsid w:val="63393EC6"/>
    <w:rsid w:val="642A2CC9"/>
    <w:rsid w:val="64367D72"/>
    <w:rsid w:val="685F796D"/>
    <w:rsid w:val="6A485E04"/>
    <w:rsid w:val="6B201871"/>
    <w:rsid w:val="6B91118D"/>
    <w:rsid w:val="6BAE68FA"/>
    <w:rsid w:val="6BC03D38"/>
    <w:rsid w:val="6EA05719"/>
    <w:rsid w:val="6EFB1853"/>
    <w:rsid w:val="74DA64A8"/>
    <w:rsid w:val="76CF453F"/>
    <w:rsid w:val="79482BBA"/>
    <w:rsid w:val="7C8A0A5A"/>
    <w:rsid w:val="7F070D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style>
  <w:style w:type="paragraph" w:styleId="2">
    <w:name w:val="Balloon Text"/>
    <w:basedOn w:val="1"/>
    <w:link w:val="17"/>
    <w:unhideWhenUsed/>
    <w:uiPriority w:val="99"/>
    <w:rPr>
      <w:sz w:val="18"/>
      <w:szCs w:val="18"/>
    </w:rPr>
  </w:style>
  <w:style w:type="paragraph" w:styleId="3">
    <w:name w:val="footer"/>
    <w:basedOn w:val="1"/>
    <w:link w:val="19"/>
    <w:uiPriority w:val="0"/>
    <w:pPr>
      <w:tabs>
        <w:tab w:val="center" w:pos="4153"/>
        <w:tab w:val="right" w:pos="8306"/>
      </w:tabs>
      <w:snapToGrid w:val="0"/>
      <w:jc w:val="left"/>
    </w:pPr>
    <w:rPr>
      <w:kern w:val="0"/>
      <w:sz w:val="18"/>
      <w:szCs w:val="18"/>
    </w:rPr>
  </w:style>
  <w:style w:type="paragraph" w:styleId="4">
    <w:name w:val="header"/>
    <w:basedOn w:val="1"/>
    <w:link w:val="18"/>
    <w:unhideWhenUsed/>
    <w:uiPriority w:val="99"/>
    <w:pPr>
      <w:framePr w:wrap="notBeside" w:vAnchor="text" w:hAnchor="text" w:y="1"/>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 Char"/>
    <w:basedOn w:val="1"/>
    <w:uiPriority w:val="0"/>
    <w:pPr>
      <w:widowControl/>
      <w:spacing w:after="160" w:line="240" w:lineRule="exact"/>
      <w:jc w:val="left"/>
    </w:pPr>
  </w:style>
  <w:style w:type="paragraph" w:customStyle="1" w:styleId="9">
    <w:name w:val="三级条标题"/>
    <w:basedOn w:val="10"/>
    <w:next w:val="1"/>
    <w:uiPriority w:val="0"/>
    <w:pPr>
      <w:numPr>
        <w:ilvl w:val="4"/>
        <w:numId w:val="1"/>
      </w:numPr>
      <w:tabs>
        <w:tab w:val="left" w:pos="360"/>
      </w:tabs>
      <w:outlineLvl w:val="4"/>
    </w:pPr>
  </w:style>
  <w:style w:type="paragraph" w:customStyle="1" w:styleId="10">
    <w:name w:val="二级条标题"/>
    <w:basedOn w:val="11"/>
    <w:next w:val="1"/>
    <w:link w:val="21"/>
    <w:uiPriority w:val="0"/>
    <w:pPr>
      <w:numPr>
        <w:ilvl w:val="3"/>
        <w:numId w:val="1"/>
      </w:numPr>
      <w:outlineLvl w:val="3"/>
    </w:pPr>
  </w:style>
  <w:style w:type="paragraph" w:customStyle="1" w:styleId="11">
    <w:name w:val="一级条标题"/>
    <w:basedOn w:val="12"/>
    <w:next w:val="1"/>
    <w:uiPriority w:val="0"/>
    <w:pPr>
      <w:numPr>
        <w:ilvl w:val="2"/>
        <w:numId w:val="1"/>
      </w:numPr>
      <w:spacing w:before="0" w:beforeLines="0" w:after="0" w:afterLines="0"/>
      <w:outlineLvl w:val="2"/>
    </w:pPr>
  </w:style>
  <w:style w:type="paragraph" w:customStyle="1" w:styleId="12">
    <w:name w:val="章标题"/>
    <w:next w:val="1"/>
    <w:uiPriority w:val="0"/>
    <w:pPr>
      <w:numPr>
        <w:ilvl w:val="1"/>
        <w:numId w:val="1"/>
      </w:numPr>
      <w:spacing w:before="50" w:beforeLines="50" w:after="50" w:afterLines="50"/>
      <w:jc w:val="both"/>
      <w:outlineLvl w:val="1"/>
    </w:pPr>
    <w:rPr>
      <w:rFonts w:ascii="黑体" w:hAnsi="Times New Roman" w:eastAsia="黑体"/>
      <w:sz w:val="21"/>
      <w:lang w:val="en-US" w:eastAsia="zh-CN" w:bidi="ar-SA"/>
    </w:rPr>
  </w:style>
  <w:style w:type="paragraph" w:customStyle="1" w:styleId="13">
    <w:name w:val="前言、引言标题"/>
    <w:next w:val="1"/>
    <w:uiPriority w:val="0"/>
    <w:pPr>
      <w:numPr>
        <w:ilvl w:val="0"/>
        <w:numId w:val="1"/>
      </w:numPr>
      <w:shd w:val="clear" w:color="FFFFFF" w:fill="FFFFFF"/>
      <w:spacing w:before="640" w:after="560"/>
      <w:jc w:val="center"/>
      <w:outlineLvl w:val="0"/>
    </w:pPr>
    <w:rPr>
      <w:rFonts w:ascii="黑体" w:hAnsi="Times New Roman" w:eastAsia="黑体"/>
      <w:sz w:val="32"/>
      <w:lang w:val="en-US" w:eastAsia="zh-CN" w:bidi="ar-SA"/>
    </w:rPr>
  </w:style>
  <w:style w:type="paragraph" w:customStyle="1" w:styleId="14">
    <w:name w:val="四级条标题"/>
    <w:basedOn w:val="9"/>
    <w:next w:val="1"/>
    <w:uiPriority w:val="0"/>
    <w:pPr>
      <w:numPr>
        <w:ilvl w:val="5"/>
        <w:numId w:val="1"/>
      </w:numPr>
      <w:outlineLvl w:val="5"/>
    </w:pPr>
  </w:style>
  <w:style w:type="paragraph" w:customStyle="1" w:styleId="15">
    <w:name w:val="五级条标题"/>
    <w:basedOn w:val="14"/>
    <w:next w:val="1"/>
    <w:uiPriority w:val="0"/>
    <w:pPr>
      <w:numPr>
        <w:ilvl w:val="6"/>
        <w:numId w:val="1"/>
      </w:numPr>
      <w:outlineLvl w:val="6"/>
    </w:pPr>
  </w:style>
  <w:style w:type="paragraph" w:customStyle="1" w:styleId="16">
    <w:name w:val="段"/>
    <w:link w:val="20"/>
    <w:uiPriority w:val="0"/>
    <w:pPr>
      <w:autoSpaceDE w:val="0"/>
      <w:autoSpaceDN w:val="0"/>
      <w:ind w:firstLine="200" w:firstLineChars="200"/>
      <w:jc w:val="both"/>
    </w:pPr>
    <w:rPr>
      <w:rFonts w:ascii="宋体" w:hAnsi="Times New Roman"/>
      <w:sz w:val="21"/>
      <w:lang w:val="en-US" w:eastAsia="zh-CN" w:bidi="ar-SA"/>
    </w:rPr>
  </w:style>
  <w:style w:type="character" w:customStyle="1" w:styleId="17">
    <w:name w:val="批注框文本 Char"/>
    <w:link w:val="2"/>
    <w:semiHidden/>
    <w:uiPriority w:val="99"/>
    <w:rPr>
      <w:rFonts w:ascii="Times New Roman" w:hAnsi="Times New Roman"/>
      <w:kern w:val="2"/>
      <w:sz w:val="18"/>
      <w:szCs w:val="18"/>
    </w:rPr>
  </w:style>
  <w:style w:type="character" w:customStyle="1" w:styleId="18">
    <w:name w:val="页眉 Char"/>
    <w:link w:val="4"/>
    <w:uiPriority w:val="99"/>
    <w:rPr>
      <w:rFonts w:ascii="Times New Roman" w:hAnsi="Times New Roman"/>
      <w:kern w:val="2"/>
      <w:sz w:val="18"/>
      <w:szCs w:val="18"/>
    </w:rPr>
  </w:style>
  <w:style w:type="character" w:customStyle="1" w:styleId="19">
    <w:name w:val="页脚 Char"/>
    <w:link w:val="3"/>
    <w:uiPriority w:val="0"/>
    <w:rPr>
      <w:rFonts w:ascii="Times New Roman" w:hAnsi="Times New Roman" w:eastAsia="宋体" w:cs="Times New Roman"/>
      <w:sz w:val="18"/>
      <w:szCs w:val="18"/>
    </w:rPr>
  </w:style>
  <w:style w:type="character" w:customStyle="1" w:styleId="20">
    <w:name w:val="段 Char"/>
    <w:link w:val="16"/>
    <w:uiPriority w:val="0"/>
    <w:rPr>
      <w:rFonts w:ascii="宋体" w:hAnsi="Times New Roman"/>
      <w:sz w:val="21"/>
      <w:lang w:bidi="ar-SA"/>
    </w:rPr>
  </w:style>
  <w:style w:type="character" w:customStyle="1" w:styleId="21">
    <w:name w:val="二级条标题 Char"/>
    <w:link w:val="10"/>
    <w:uiPriority w:val="0"/>
    <w:rPr>
      <w:rFonts w:ascii="黑体" w:hAnsi="Times New Roman" w:eastAsia="黑体"/>
      <w:sz w:val="21"/>
    </w:rPr>
  </w:style>
  <w:style w:type="character" w:customStyle="1" w:styleId="22">
    <w:name w:val="页眉 字符"/>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Words>
  <Characters>233</Characters>
  <Lines>1</Lines>
  <Paragraphs>1</Paragraphs>
  <TotalTime>14</TotalTime>
  <ScaleCrop>false</ScaleCrop>
  <LinksUpToDate>false</LinksUpToDate>
  <CharactersWithSpaces>272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2019-09-22T03:27:00Z</dcterms:created>
  <dc:creator>LENOVO</dc:creator>
  <cp:lastModifiedBy>陈婷</cp:lastModifiedBy>
  <cp:lastPrinted>2019-12-23T08:18:00Z</cp:lastPrinted>
  <dcterms:modified xsi:type="dcterms:W3CDTF">2021-09-22T06:19:26Z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