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color w:val="000000"/>
          <w:sz w:val="28"/>
          <w:szCs w:val="28"/>
        </w:rPr>
      </w:pPr>
      <w:r>
        <w:rPr>
          <w:rFonts w:ascii="黑体" w:hAnsi="黑体"/>
          <w:color w:val="000000"/>
        </w:rPr>
        <mc:AlternateContent>
          <mc:Choice Requires="wps">
            <w:drawing>
              <wp:anchor distT="0" distB="0" distL="114300" distR="114300" simplePos="0" relativeHeight="251653120" behindDoc="0" locked="1" layoutInCell="0" allowOverlap="1">
                <wp:simplePos x="0" y="0"/>
                <wp:positionH relativeFrom="margin">
                  <wp:posOffset>-56515</wp:posOffset>
                </wp:positionH>
                <wp:positionV relativeFrom="margin">
                  <wp:posOffset>85090</wp:posOffset>
                </wp:positionV>
                <wp:extent cx="1089660" cy="555625"/>
                <wp:effectExtent l="0" t="0" r="0" b="0"/>
                <wp:wrapNone/>
                <wp:docPr id="34" name="fmFrame1"/>
                <wp:cNvGraphicFramePr/>
                <a:graphic xmlns:a="http://schemas.openxmlformats.org/drawingml/2006/main">
                  <a:graphicData uri="http://schemas.microsoft.com/office/word/2010/wordprocessingShape">
                    <wps:wsp>
                      <wps:cNvSpPr txBox="1"/>
                      <wps:spPr bwMode="auto">
                        <a:xfrm>
                          <a:off x="0" y="0"/>
                          <a:ext cx="1089660" cy="555625"/>
                        </a:xfrm>
                        <a:prstGeom prst="rect">
                          <a:avLst/>
                        </a:prstGeom>
                        <a:solidFill>
                          <a:srgbClr val="FFFFFF"/>
                        </a:solidFill>
                        <a:ln>
                          <a:noFill/>
                        </a:ln>
                      </wps:spPr>
                      <wps:txbx>
                        <w:txbxContent>
                          <w:p>
                            <w:pPr>
                              <w:pStyle w:val="48"/>
                              <w:adjustRightInd/>
                              <w:rPr>
                                <w:rFonts w:ascii="黑体" w:hAnsi="黑体" w:eastAsia="黑体" w:cs="Times New Roman"/>
                                <w:sz w:val="21"/>
                                <w:szCs w:val="21"/>
                              </w:rPr>
                            </w:pPr>
                            <w:r>
                              <w:rPr>
                                <w:rFonts w:ascii="黑体" w:hAnsi="黑体" w:eastAsia="黑体" w:cs="Times New Roman"/>
                                <w:sz w:val="21"/>
                                <w:szCs w:val="21"/>
                              </w:rPr>
                              <w:t>ICS 77.</w:t>
                            </w:r>
                            <w:r>
                              <w:rPr>
                                <w:rFonts w:hint="eastAsia" w:ascii="黑体" w:hAnsi="黑体" w:eastAsia="黑体" w:cs="Times New Roman"/>
                                <w:sz w:val="21"/>
                                <w:szCs w:val="21"/>
                              </w:rPr>
                              <w:t>1</w:t>
                            </w:r>
                            <w:r>
                              <w:rPr>
                                <w:rFonts w:ascii="黑体" w:hAnsi="黑体" w:eastAsia="黑体" w:cs="Times New Roman"/>
                                <w:sz w:val="21"/>
                                <w:szCs w:val="21"/>
                              </w:rPr>
                              <w:t>2</w:t>
                            </w:r>
                            <w:r>
                              <w:rPr>
                                <w:rFonts w:hint="eastAsia" w:ascii="黑体" w:hAnsi="黑体" w:eastAsia="黑体" w:cs="Times New Roman"/>
                                <w:sz w:val="21"/>
                                <w:szCs w:val="21"/>
                              </w:rPr>
                              <w:t>0.99</w:t>
                            </w:r>
                            <w:r>
                              <w:rPr>
                                <w:rFonts w:ascii="黑体" w:hAnsi="黑体" w:eastAsia="黑体" w:cs="Times New Roman"/>
                                <w:sz w:val="21"/>
                                <w:szCs w:val="21"/>
                              </w:rPr>
                              <w:t xml:space="preserve"> </w:t>
                            </w:r>
                          </w:p>
                          <w:p>
                            <w:pPr>
                              <w:pStyle w:val="48"/>
                              <w:adjustRightInd/>
                              <w:rPr>
                                <w:rFonts w:ascii="黑体" w:hAnsi="黑体" w:eastAsia="黑体" w:cs="Times New Roman"/>
                                <w:sz w:val="21"/>
                                <w:szCs w:val="21"/>
                              </w:rPr>
                            </w:pPr>
                            <w:r>
                              <w:rPr>
                                <w:rFonts w:hint="eastAsia" w:ascii="黑体" w:hAnsi="黑体" w:eastAsia="黑体" w:cs="Times New Roman"/>
                                <w:sz w:val="21"/>
                                <w:szCs w:val="21"/>
                              </w:rPr>
                              <w:t xml:space="preserve">CCS </w:t>
                            </w:r>
                            <w:r>
                              <w:rPr>
                                <w:rFonts w:ascii="黑体" w:hAnsi="黑体" w:eastAsia="黑体" w:cs="Times New Roman"/>
                                <w:sz w:val="21"/>
                                <w:szCs w:val="21"/>
                              </w:rPr>
                              <w:t xml:space="preserve">H </w:t>
                            </w:r>
                            <w:r>
                              <w:rPr>
                                <w:rFonts w:hint="eastAsia" w:ascii="黑体" w:hAnsi="黑体" w:eastAsia="黑体" w:cs="Times New Roman"/>
                                <w:sz w:val="21"/>
                                <w:szCs w:val="21"/>
                              </w:rPr>
                              <w:t>62</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45pt;margin-top:6.7pt;height:43.75pt;width:85.8pt;mso-position-horizontal-relative:margin;mso-position-vertical-relative:margin;z-index:251653120;mso-width-relative:page;mso-height-relative:page;" fillcolor="#FFFFFF" filled="t" stroked="f" coordsize="21600,21600" o:allowincell="f" o:gfxdata="UEsDBAoAAAAAAIdO4kAAAAAAAAAAAAAAAAAEAAAAZHJzL1BLAwQUAAAACACHTuJAmIIcg9gAAAAJ&#10;AQAADwAAAGRycy9kb3ducmV2LnhtbE2PQW/CMAyF75P2HyJP2mWChG7qoDRFGmy37QBDnE1j2mqN&#10;UzUphX+/cNputt/T8/fy1cW24ky9bxxrmE0VCOLSmYYrDfvvj8kchA/IBlvHpOFKHlbF/V2OmXEj&#10;b+m8C5WIIewz1FCH0GVS+rImi37qOuKonVxvMcS1r6TpcYzhtpWJUqm02HD8UGNH65rKn91gNaSb&#10;fhi3vH7a7N8/8aurksPb9aD148NMLUEEuoQ/M9zwIzoUkenoBjZetBom80V0xvvzC4ibniavII5x&#10;UGoBssjl/wbFL1BLAwQUAAAACACHTuJAVbEvd9kBAACuAwAADgAAAGRycy9lMm9Eb2MueG1srVPb&#10;jtMwEH1H4h8sv9O0hVZL1HQFuypCAhZp4QMcx24s2R4zdpssX8/YacrtDZEHazyX4zlnJrvb0Vl2&#10;VhgN+IavFkvOlJfQGX9s+Ncvhxc3nMUkfCcseNXwJxX57f75s90QarWGHmynkBGIj/UQGt6nFOqq&#10;irJXTsQFBOUpqAGdSHTFY9WhGAjd2Wq9XG6rAbALCFLFSN77Kcj3BV9rJdOD1lElZhtOvaVyYjnb&#10;fFb7naiPKEJv5KUN8Q9dOGE8PXqFuhdJsBOav6CckQgRdFpIcBVobaQqHIjNavkHm8deBFW4kDgx&#10;XGWK/w9Wfjp/Rma6hr98xZkXjmak3QHJWGVxhhBrynkMlJXGtzDSkGd/zM52+AgdFYlTgqLAqNFl&#10;JYgbo2wS/ekqtBoTkxliefN6u6WQpNhms9muNxm0EvVcHTCmdwocy0bDkQZZ0MX5Q0xT6pySH4tg&#10;TXcw1pYLHts7i+wsaOiH8l3Qf0uzPid7yGUTYvZUmXFmNnFPYzteZGiheyLCCNMS0dKT0QN+52yg&#10;BWp4/HYSqDiz7z1NKG/bbOBstLMhvKTShifOJvMuTVt5CmiOPSGvCl8Pb0hYbQrn3NrUxaVPWoqi&#10;2mWB89b9ei9ZP3+z/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ghyD2AAAAAkBAAAPAAAAAAAA&#10;AAEAIAAAACIAAABkcnMvZG93bnJldi54bWxQSwECFAAUAAAACACHTuJAVbEvd9kBAACuAwAADgAA&#10;AAAAAAABACAAAAAnAQAAZHJzL2Uyb0RvYy54bWxQSwUGAAAAAAYABgBZAQAAcgUAAAAA&#10;">
                <v:fill on="t" focussize="0,0"/>
                <v:stroke on="f"/>
                <v:imagedata o:title=""/>
                <o:lock v:ext="edit" aspectratio="f"/>
                <v:textbox inset="0mm,0mm,0mm,0mm">
                  <w:txbxContent>
                    <w:p>
                      <w:pPr>
                        <w:pStyle w:val="48"/>
                        <w:adjustRightInd/>
                        <w:rPr>
                          <w:rFonts w:ascii="黑体" w:hAnsi="黑体" w:eastAsia="黑体" w:cs="Times New Roman"/>
                          <w:sz w:val="21"/>
                          <w:szCs w:val="21"/>
                        </w:rPr>
                      </w:pPr>
                      <w:r>
                        <w:rPr>
                          <w:rFonts w:ascii="黑体" w:hAnsi="黑体" w:eastAsia="黑体" w:cs="Times New Roman"/>
                          <w:sz w:val="21"/>
                          <w:szCs w:val="21"/>
                        </w:rPr>
                        <w:t>ICS 77.</w:t>
                      </w:r>
                      <w:r>
                        <w:rPr>
                          <w:rFonts w:hint="eastAsia" w:ascii="黑体" w:hAnsi="黑体" w:eastAsia="黑体" w:cs="Times New Roman"/>
                          <w:sz w:val="21"/>
                          <w:szCs w:val="21"/>
                        </w:rPr>
                        <w:t>1</w:t>
                      </w:r>
                      <w:r>
                        <w:rPr>
                          <w:rFonts w:ascii="黑体" w:hAnsi="黑体" w:eastAsia="黑体" w:cs="Times New Roman"/>
                          <w:sz w:val="21"/>
                          <w:szCs w:val="21"/>
                        </w:rPr>
                        <w:t>2</w:t>
                      </w:r>
                      <w:r>
                        <w:rPr>
                          <w:rFonts w:hint="eastAsia" w:ascii="黑体" w:hAnsi="黑体" w:eastAsia="黑体" w:cs="Times New Roman"/>
                          <w:sz w:val="21"/>
                          <w:szCs w:val="21"/>
                        </w:rPr>
                        <w:t>0.99</w:t>
                      </w:r>
                      <w:r>
                        <w:rPr>
                          <w:rFonts w:ascii="黑体" w:hAnsi="黑体" w:eastAsia="黑体" w:cs="Times New Roman"/>
                          <w:sz w:val="21"/>
                          <w:szCs w:val="21"/>
                        </w:rPr>
                        <w:t xml:space="preserve"> </w:t>
                      </w:r>
                    </w:p>
                    <w:p>
                      <w:pPr>
                        <w:pStyle w:val="48"/>
                        <w:adjustRightInd/>
                        <w:rPr>
                          <w:rFonts w:ascii="黑体" w:hAnsi="黑体" w:eastAsia="黑体" w:cs="Times New Roman"/>
                          <w:sz w:val="21"/>
                          <w:szCs w:val="21"/>
                        </w:rPr>
                      </w:pPr>
                      <w:r>
                        <w:rPr>
                          <w:rFonts w:hint="eastAsia" w:ascii="黑体" w:hAnsi="黑体" w:eastAsia="黑体" w:cs="Times New Roman"/>
                          <w:sz w:val="21"/>
                          <w:szCs w:val="21"/>
                        </w:rPr>
                        <w:t xml:space="preserve">CCS </w:t>
                      </w:r>
                      <w:r>
                        <w:rPr>
                          <w:rFonts w:ascii="黑体" w:hAnsi="黑体" w:eastAsia="黑体" w:cs="Times New Roman"/>
                          <w:sz w:val="21"/>
                          <w:szCs w:val="21"/>
                        </w:rPr>
                        <w:t xml:space="preserve">H </w:t>
                      </w:r>
                      <w:r>
                        <w:rPr>
                          <w:rFonts w:hint="eastAsia" w:ascii="黑体" w:hAnsi="黑体" w:eastAsia="黑体" w:cs="Times New Roman"/>
                          <w:sz w:val="21"/>
                          <w:szCs w:val="21"/>
                        </w:rPr>
                        <w:t>62</w:t>
                      </w:r>
                    </w:p>
                  </w:txbxContent>
                </v:textbox>
                <w10:anchorlock/>
              </v:shape>
            </w:pict>
          </mc:Fallback>
        </mc:AlternateContent>
      </w:r>
    </w:p>
    <w:p>
      <w:pPr>
        <w:rPr>
          <w:rFonts w:ascii="黑体" w:hAnsi="黑体"/>
          <w:color w:val="000000"/>
          <w:sz w:val="28"/>
          <w:szCs w:val="28"/>
        </w:rPr>
      </w:pPr>
      <w:r>
        <w:rPr>
          <w:rFonts w:ascii="黑体" w:hAnsi="黑体"/>
          <w:color w:val="000000"/>
          <w:sz w:val="28"/>
          <w:szCs w:val="28"/>
        </w:rPr>
        <w:t xml:space="preserve">                                          </w:t>
      </w:r>
    </w:p>
    <w:p>
      <w:pPr>
        <w:pStyle w:val="48"/>
        <w:adjustRightInd/>
        <w:jc w:val="center"/>
        <w:rPr>
          <w:rFonts w:ascii="黑体" w:hAnsi="黑体" w:eastAsia="黑体"/>
          <w:color w:val="auto"/>
          <w:sz w:val="48"/>
          <w:szCs w:val="48"/>
        </w:rPr>
      </w:pPr>
      <w:r>
        <w:rPr>
          <w:rFonts w:ascii="黑体" w:hAnsi="黑体" w:eastAsia="黑体"/>
          <w:bCs/>
          <w:color w:val="auto"/>
          <w:sz w:val="84"/>
          <w:szCs w:val="84"/>
        </w:rPr>
        <w:t>团  体  标  准</w:t>
      </w:r>
    </w:p>
    <w:p>
      <w:pPr>
        <w:pStyle w:val="48"/>
        <w:adjustRightInd/>
        <w:jc w:val="center"/>
        <w:rPr>
          <w:rFonts w:ascii="Times New Roman" w:hAnsi="Times New Roman" w:eastAsia="黑体" w:cs="Times New Roman"/>
          <w:color w:val="auto"/>
          <w:sz w:val="48"/>
          <w:szCs w:val="48"/>
        </w:rPr>
      </w:pPr>
      <w:r>
        <w:rPr>
          <w:rFonts w:ascii="黑体" w:hAnsi="黑体"/>
        </w:rPr>
        <mc:AlternateContent>
          <mc:Choice Requires="wps">
            <w:drawing>
              <wp:anchor distT="0" distB="0" distL="114300" distR="114300" simplePos="0" relativeHeight="251664384"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4384;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1ww5mtgEAAGIDAAAOAAAAZHJzL2Uyb0RvYy54bWytU8uO&#10;2zAMvBfoPwi6N7azTdAYcfaQxfaStgF2+wGKHrZQSRQkJXb+vpTyaLe9FfVBMEVyOBxS68fJGnKS&#10;IWpwHW1mNSXScRDa9R39/vr84RMlMTEnmAEnO3qWkT5u3r9bj76VcxjACBkIgrjYjr6jQ0q+rarI&#10;B2lZnIGXDp0KgmUJzdBXIrAR0a2p5nW9rEYIwgfgMka8fbo46abgKyV5+qZUlImYjiK3VM5QzkM+&#10;q82atX1gftD8SoP9AwvLtMOid6gnlhg5Bv0XlNU8QASVZhxsBUppLksP2E1T/9HNy8C8LL2gONHf&#10;ZYr/D5Z/Pe0D0aKjD5Q4ZnFEO+0kmWdlRh9bDNi6fci98cm9+B3wH5E42A7M9bIwfD17TGtyRvUm&#10;JRvRI/5h/AICY9gxQZFpUsFmSBSATGUa5/s05JQIx8tl06w+rhaUcPQtHxYFn7W3VB9i+izBkvzT&#10;UYOsCzQ77WLKVFh7C8mVHDxrY8q4jSMj8l3Vi7pkRDBaZG+Oi6E/bE0gJ5Y3pnzXwm/CAhyduFQx&#10;LufJsmzX0rfGLxIeQJz34aYODrKQuy5d3pTf7aLhr6ex+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Q9yI1wAAAAkBAAAPAAAAAAAAAAEAIAAAACIAAABkcnMvZG93bnJldi54bWxQSwECFAAUAAAA&#10;CACHTuJAdcMOZrYBAABiAwAADgAAAAAAAAABACAAAAAmAQAAZHJzL2Uyb0RvYy54bWxQSwUGAAAA&#10;AAYABgBZAQAATgUAAAAA&#10;">
                <v:fill on="f" focussize="0,0"/>
                <v:stroke weight="1.5pt" color="#000000" joinstyle="round"/>
                <v:imagedata o:title=""/>
                <o:lock v:ext="edit" aspectratio="f"/>
                <w10:wrap type="topAndBottom"/>
              </v:line>
            </w:pict>
          </mc:Fallback>
        </mc:AlternateContent>
      </w:r>
      <w:r>
        <w:rPr>
          <w:rFonts w:ascii="黑体" w:hAnsi="黑体" w:eastAsia="黑体"/>
          <w:color w:val="auto"/>
          <w:sz w:val="48"/>
          <w:szCs w:val="48"/>
        </w:rPr>
        <w:t xml:space="preserve">                         </w:t>
      </w:r>
      <w:r>
        <w:rPr>
          <w:rFonts w:ascii="Times New Roman" w:hAnsi="Times New Roman" w:eastAsia="黑体" w:cs="Times New Roman"/>
          <w:color w:val="auto"/>
          <w:sz w:val="48"/>
          <w:szCs w:val="48"/>
        </w:rPr>
        <w:t xml:space="preserve"> </w:t>
      </w:r>
      <w:r>
        <w:rPr>
          <w:rFonts w:ascii="Times New Roman" w:hAnsi="Times New Roman" w:eastAsia="黑体" w:cs="Times New Roman"/>
          <w:color w:val="auto"/>
          <w:sz w:val="28"/>
          <w:szCs w:val="28"/>
        </w:rPr>
        <w:t>T/CNIA  xxxx－xxxx</w:t>
      </w: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r>
        <w:rPr>
          <w:rFonts w:ascii="黑体" w:hAnsi="黑体"/>
          <w:color w:val="000000"/>
        </w:rPr>
        <mc:AlternateContent>
          <mc:Choice Requires="wps">
            <w:drawing>
              <wp:anchor distT="0" distB="0" distL="114300" distR="114300" simplePos="0" relativeHeight="251656192" behindDoc="0" locked="1" layoutInCell="0" allowOverlap="1">
                <wp:simplePos x="0" y="0"/>
                <wp:positionH relativeFrom="margin">
                  <wp:posOffset>-855980</wp:posOffset>
                </wp:positionH>
                <wp:positionV relativeFrom="margin">
                  <wp:posOffset>2228215</wp:posOffset>
                </wp:positionV>
                <wp:extent cx="7465060" cy="4269740"/>
                <wp:effectExtent l="0" t="0" r="2540" b="0"/>
                <wp:wrapNone/>
                <wp:docPr id="29" name="fmFrame4"/>
                <wp:cNvGraphicFramePr/>
                <a:graphic xmlns:a="http://schemas.openxmlformats.org/drawingml/2006/main">
                  <a:graphicData uri="http://schemas.microsoft.com/office/word/2010/wordprocessingShape">
                    <wps:wsp>
                      <wps:cNvSpPr txBox="1"/>
                      <wps:spPr bwMode="auto">
                        <a:xfrm>
                          <a:off x="0" y="0"/>
                          <a:ext cx="7465060" cy="4269740"/>
                        </a:xfrm>
                        <a:prstGeom prst="rect">
                          <a:avLst/>
                        </a:prstGeom>
                        <a:solidFill>
                          <a:srgbClr val="FFFFFF"/>
                        </a:solidFill>
                        <a:ln>
                          <a:noFill/>
                        </a:ln>
                      </wps:spPr>
                      <wps:txbx>
                        <w:txbxContent>
                          <w:p>
                            <w:pPr>
                              <w:pStyle w:val="39"/>
                            </w:pPr>
                          </w:p>
                          <w:p>
                            <w:pPr>
                              <w:pStyle w:val="39"/>
                              <w:spacing w:line="360" w:lineRule="auto"/>
                              <w:rPr>
                                <w:rFonts w:ascii="Times New Roman"/>
                                <w:sz w:val="32"/>
                                <w:szCs w:val="32"/>
                              </w:rPr>
                            </w:pPr>
                          </w:p>
                          <w:p>
                            <w:pPr>
                              <w:pStyle w:val="48"/>
                              <w:adjustRightInd/>
                              <w:spacing w:before="370" w:line="400" w:lineRule="exact"/>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绿色设计产品评价技术规范</w:t>
                            </w:r>
                          </w:p>
                          <w:p>
                            <w:pPr>
                              <w:pStyle w:val="48"/>
                              <w:adjustRightInd/>
                              <w:spacing w:before="370" w:line="400" w:lineRule="exact"/>
                              <w:jc w:val="center"/>
                              <w:rPr>
                                <w:rFonts w:ascii="Times New Roman" w:hAnsi="Times New Roman" w:eastAsia="黑体" w:cs="Times New Roman"/>
                                <w:bCs/>
                                <w:sz w:val="52"/>
                                <w:szCs w:val="52"/>
                              </w:rPr>
                            </w:pPr>
                            <w:r>
                              <w:rPr>
                                <w:rFonts w:ascii="Times New Roman" w:hAnsi="Times New Roman" w:eastAsia="黑体" w:cs="Times New Roman"/>
                                <w:bCs/>
                                <w:sz w:val="52"/>
                                <w:szCs w:val="52"/>
                              </w:rPr>
                              <w:t>四氧化三钴</w:t>
                            </w:r>
                          </w:p>
                          <w:p>
                            <w:pPr>
                              <w:adjustRightInd w:val="0"/>
                              <w:snapToGrid w:val="0"/>
                              <w:spacing w:before="370"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Technical specification for green-design product assessment-Cobaltosic oxide</w:t>
                            </w:r>
                          </w:p>
                          <w:p>
                            <w:pPr>
                              <w:pStyle w:val="48"/>
                              <w:adjustRightInd/>
                              <w:spacing w:before="440" w:after="160"/>
                              <w:jc w:val="center"/>
                              <w:rPr>
                                <w:rFonts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eastAsia="zh-CN"/>
                              </w:rPr>
                              <w:t>送审</w:t>
                            </w:r>
                            <w:r>
                              <w:rPr>
                                <w:rFonts w:hint="eastAsia" w:ascii="Times New Roman" w:hAnsi="Times New Roman" w:cs="Times New Roman"/>
                                <w:color w:val="auto"/>
                              </w:rPr>
                              <w:t>稿）</w:t>
                            </w:r>
                          </w:p>
                          <w:p>
                            <w:pPr>
                              <w:pStyle w:val="43"/>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67.4pt;margin-top:175.45pt;height:336.2pt;width:587.8pt;mso-position-horizontal-relative:margin;mso-position-vertical-relative:margin;z-index:251656192;mso-width-relative:page;mso-height-relative:page;" fillcolor="#FFFFFF" filled="t" stroked="f" coordsize="21600,21600" o:allowincell="f" o:gfxdata="UEsDBAoAAAAAAIdO4kAAAAAAAAAAAAAAAAAEAAAAZHJzL1BLAwQUAAAACACHTuJALaYcG9wAAAAO&#10;AQAADwAAAGRycy9kb3ducmV2LnhtbE2PwU7DMBBE70j8g7VIXFBrJykVDXEq0cINDi1Vz9vYTSLi&#10;dWQ7Tfv3OCe47c6OZt4W66vp2EU731qSkMwFME2VVS3VEg7fH7MXYD4gKewsaQk37WFd3t8VmCs7&#10;0k5f9qFmMYR8jhKaEPqcc1812qCf215TvJ2tMxji6mquHI4x3HQ8FWLJDbYUGxrs9abR1c9+MBKW&#10;WzeMO9o8bQ/vn/jV1+nx7XaU8vEhEa/Agr6GPzNM+BEdysh0sgMpzzoJsyRbRPYgIXsWK2CTRSxE&#10;lE7TlGYZ8LLg/98ofwFQSwMEFAAAAAgAh07iQGR7At7dAQAArwMAAA4AAABkcnMvZTJvRG9jLnht&#10;bK1T247TMBB9R+IfLL/TtFXpstGmK9hVERI3aeEDHMduLNkeM3ablK9n7DTl9obIgzWem+ecObm7&#10;H51lJ4XRgG/4arHkTHkJnfGHhn/9sn/xirOYhO+EBa8aflaR3++eP7sbQq3W0IPtFDJq4mM9hIb3&#10;KYW6qqLslRNxAUF5CmpAJxJd8VB1KAbq7my1Xi631QDYBQSpYiTv4xTku9JfayXTJ62jSsw2nGZL&#10;5cRytvmsdneiPqAIvZGXMcQ/TOGE8fTotdWjSIId0fzVyhmJEEGnhQRXgdZGqoKB0KyWf6B56kVQ&#10;BQuRE8OVpvj/2sqPp8/ITNfw9S1nXjjakXZ7JGOTyRlCrCnnKVBWGt/ASEue/TE72+EDdFQkjgkK&#10;A6NGl5kgbIyyifTzlWg1JibJebPZvlxuKSQptllvb282ZRWVqOfygDG9VeBYNhqOtMnSXpzex0SD&#10;Ueqckl+LYE23N9aWCx7aB4vsJGjr+/LlmanktzTrc7KHXDaFs6fKkDO0CXwa2/HCQwvdmRAjTCoi&#10;1ZPRA37nbCAFNTx+OwpUnNl3nlaU5TYbOBvtbAgvqbThibPJfEiTLI8BzaGnzquC18NrYlabgjmP&#10;Nk1xmZNUUXBdFJxl9+u9ZP38z3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mHBvcAAAADgEA&#10;AA8AAAAAAAAAAQAgAAAAIgAAAGRycy9kb3ducmV2LnhtbFBLAQIUABQAAAAIAIdO4kBkewLe3QEA&#10;AK8DAAAOAAAAAAAAAAEAIAAAACsBAABkcnMvZTJvRG9jLnhtbFBLBQYAAAAABgAGAFkBAAB6BQAA&#10;AAA=&#10;">
                <v:fill on="t" focussize="0,0"/>
                <v:stroke on="f"/>
                <v:imagedata o:title=""/>
                <o:lock v:ext="edit" aspectratio="f"/>
                <v:textbox inset="0mm,0mm,0mm,0mm">
                  <w:txbxContent>
                    <w:p>
                      <w:pPr>
                        <w:pStyle w:val="39"/>
                      </w:pPr>
                    </w:p>
                    <w:p>
                      <w:pPr>
                        <w:pStyle w:val="39"/>
                        <w:spacing w:line="360" w:lineRule="auto"/>
                        <w:rPr>
                          <w:rFonts w:ascii="Times New Roman"/>
                          <w:sz w:val="32"/>
                          <w:szCs w:val="32"/>
                        </w:rPr>
                      </w:pPr>
                    </w:p>
                    <w:p>
                      <w:pPr>
                        <w:pStyle w:val="48"/>
                        <w:adjustRightInd/>
                        <w:spacing w:before="370" w:line="400" w:lineRule="exact"/>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绿色设计产品评价技术规范</w:t>
                      </w:r>
                    </w:p>
                    <w:p>
                      <w:pPr>
                        <w:pStyle w:val="48"/>
                        <w:adjustRightInd/>
                        <w:spacing w:before="370" w:line="400" w:lineRule="exact"/>
                        <w:jc w:val="center"/>
                        <w:rPr>
                          <w:rFonts w:ascii="Times New Roman" w:hAnsi="Times New Roman" w:eastAsia="黑体" w:cs="Times New Roman"/>
                          <w:bCs/>
                          <w:sz w:val="52"/>
                          <w:szCs w:val="52"/>
                        </w:rPr>
                      </w:pPr>
                      <w:r>
                        <w:rPr>
                          <w:rFonts w:ascii="Times New Roman" w:hAnsi="Times New Roman" w:eastAsia="黑体" w:cs="Times New Roman"/>
                          <w:bCs/>
                          <w:sz w:val="52"/>
                          <w:szCs w:val="52"/>
                        </w:rPr>
                        <w:t>四氧化三钴</w:t>
                      </w:r>
                    </w:p>
                    <w:p>
                      <w:pPr>
                        <w:adjustRightInd w:val="0"/>
                        <w:snapToGrid w:val="0"/>
                        <w:spacing w:before="370"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Technical specification for green-design product assessment-Cobaltosic oxide</w:t>
                      </w:r>
                    </w:p>
                    <w:p>
                      <w:pPr>
                        <w:pStyle w:val="48"/>
                        <w:adjustRightInd/>
                        <w:spacing w:before="440" w:after="160"/>
                        <w:jc w:val="center"/>
                        <w:rPr>
                          <w:rFonts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eastAsia="zh-CN"/>
                        </w:rPr>
                        <w:t>送审</w:t>
                      </w:r>
                      <w:r>
                        <w:rPr>
                          <w:rFonts w:hint="eastAsia" w:ascii="Times New Roman" w:hAnsi="Times New Roman" w:cs="Times New Roman"/>
                          <w:color w:val="auto"/>
                        </w:rPr>
                        <w:t>稿）</w:t>
                      </w:r>
                    </w:p>
                    <w:p>
                      <w:pPr>
                        <w:pStyle w:val="43"/>
                      </w:pPr>
                    </w:p>
                  </w:txbxContent>
                </v:textbox>
                <w10:anchorlock/>
              </v:shape>
            </w:pict>
          </mc:Fallback>
        </mc:AlternateContent>
      </w: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rPr>
          <w:rFonts w:ascii="黑体" w:hAnsi="黑体"/>
          <w:color w:val="000000"/>
          <w:sz w:val="28"/>
          <w:szCs w:val="28"/>
        </w:rPr>
      </w:pPr>
    </w:p>
    <w:p>
      <w:pPr>
        <w:pStyle w:val="48"/>
        <w:tabs>
          <w:tab w:val="right" w:pos="9637"/>
        </w:tabs>
        <w:adjustRightInd/>
        <w:spacing w:before="120" w:after="120"/>
        <w:rPr>
          <w:rFonts w:ascii="黑体" w:hAnsi="黑体" w:eastAsia="黑体"/>
          <w:b/>
          <w:bCs/>
          <w:color w:val="auto"/>
          <w:sz w:val="28"/>
          <w:szCs w:val="28"/>
        </w:rPr>
      </w:pPr>
      <w:r>
        <w:rPr>
          <w:rFonts w:ascii="黑体" w:hAnsi="黑体" w:eastAsia="黑体" w:cs="Times New Roman"/>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466090</wp:posOffset>
                </wp:positionV>
                <wp:extent cx="6119495" cy="635"/>
                <wp:effectExtent l="0" t="0" r="14605" b="1841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36.7pt;height:0.05pt;width:481.85pt;z-index:251666432;mso-width-relative:page;mso-height-relative:page;" filled="f" stroked="t" coordsize="21600,21600" o:gfxdata="UEsDBAoAAAAAAIdO4kAAAAAAAAAAAAAAAAAEAAAAZHJzL1BLAwQUAAAACACHTuJAVCqaG9YAAAAI&#10;AQAADwAAAGRycy9kb3ducmV2LnhtbE2PwW7CMAyG75P2DpEn7QZpGXSla4o0pF24rUMbR9OYtlrj&#10;VE0o9O0XTuNo/78+f843V9OJkQbXWlYQzyMQxJXVLdcK9l8fsxSE88gaO8ukYCIHm+LxIcdM2wt/&#10;0lj6WgQIuwwVNN73mZSuasigm9ueOGQnOxj0YRxqqQe8BLjp5CKKEmmw5XChwZ62DVW/5dkEyuon&#10;fd9hup+mrjysl9vv3chGqeenOHoD4enq/8tw0w/qUASnoz2zdqJTMIvj0FTw+rIEEfJ1skhAHG+L&#10;Fcgil/cPFH9QSwMEFAAAAAgAh07iQLyBuhG2AQAAYgMAAA4AAABkcnMvZTJvRG9jLnhtbK1Ty47b&#10;MAy8F+g/CLo3ttMmaIw4e8hie0nbALv9AEUPW6gkCpISO39fSnlst70V9UEwRXI4HFLrh8kacpIh&#10;anAdbWY1JdJxENr1Hf3x8vThMyUxMSeYASc7epaRPmzev1uPvpVzGMAIGQiCuNiOvqNDSr6tqsgH&#10;aVmcgZcOnQqCZQnN0FcisBHRranmdb2sRgjCB+AyRrx9vDjppuArJXn6rlSUiZiOIrdUzlDOQz6r&#10;zZq1fWB+0PxKg/0DC8u0w6J3qEeWGDkG/ReU1TxABJVmHGwFSmkuSw/YTVP/0c3zwLwsvaA40d9l&#10;iv8Pln877QPRoqNLShyzOKKddpLMszKjjy0GbN0+5N745J79DvjPSBxsB+Z6WRi+nD2mNTmjepOS&#10;jegR/zB+BYEx7JigyDSpYDMkCkCmMo3zfRpySoTj5bJpVp9WC0o4+pYfFwWftbdUH2L6IsGS/NNR&#10;g6wLNDvtYspUWHsLyZUcPGljyriNIyPyXdWLumREMFpkb46LoT9sTSAnljemfNfCb8ICHJ24VDEu&#10;58mybNfSt8YvEh5AnPfhpg4OspC7Ll3elN/touHr0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QqmhvWAAAACAEAAA8AAAAAAAAAAQAgAAAAIgAAAGRycy9kb3ducmV2LnhtbFBLAQIUABQAAAAI&#10;AIdO4kC8gboRtgEAAGIDAAAOAAAAAAAAAAEAIAAAACUBAABkcnMvZTJvRG9jLnhtbFBLBQYAAAAA&#10;BgAGAFkBAABNBQAAAAA=&#10;">
                <v:fill on="f" focussize="0,0"/>
                <v:stroke weight="1.5pt" color="#000000" joinstyle="round"/>
                <v:imagedata o:title=""/>
                <o:lock v:ext="edit" aspectratio="f"/>
              </v:line>
            </w:pict>
          </mc:Fallback>
        </mc:AlternateContent>
      </w:r>
      <w:r>
        <w:rPr>
          <w:rFonts w:ascii="黑体" w:hAnsi="黑体" w:eastAsia="黑体" w:cs="Times New Roman"/>
          <w:color w:val="auto"/>
          <w:sz w:val="28"/>
          <w:szCs w:val="28"/>
        </w:rPr>
        <w:t>xxxx-xx-xx发布</w:t>
      </w:r>
      <w:r>
        <w:rPr>
          <w:rFonts w:ascii="黑体" w:hAnsi="黑体" w:eastAsia="黑体"/>
          <w:color w:val="auto"/>
          <w:sz w:val="28"/>
          <w:szCs w:val="28"/>
        </w:rPr>
        <w:tab/>
      </w:r>
      <w:r>
        <w:rPr>
          <w:rFonts w:ascii="黑体" w:hAnsi="黑体" w:eastAsia="黑体" w:cs="Times New Roman"/>
          <w:color w:val="auto"/>
          <w:sz w:val="28"/>
          <w:szCs w:val="28"/>
        </w:rPr>
        <w:t>xxxx-xx-xx实施</w:t>
      </w:r>
    </w:p>
    <w:p>
      <w:pPr>
        <w:pStyle w:val="48"/>
        <w:adjustRightInd/>
        <w:spacing w:before="851"/>
        <w:jc w:val="center"/>
        <w:rPr>
          <w:rFonts w:ascii="黑体" w:hAnsi="黑体" w:eastAsia="黑体" w:cs="Times New Roman"/>
          <w:sz w:val="28"/>
        </w:rPr>
        <w:sectPr>
          <w:pgSz w:w="11906" w:h="16838"/>
          <w:pgMar w:top="1412" w:right="1140" w:bottom="1412" w:left="1412" w:header="851" w:footer="992" w:gutter="0"/>
          <w:pgNumType w:fmt="upperRoman" w:start="1"/>
          <w:cols w:space="425" w:num="1"/>
          <w:docGrid w:type="lines" w:linePitch="312" w:charSpace="0"/>
        </w:sectPr>
      </w:pPr>
      <w:r>
        <mc:AlternateContent>
          <mc:Choice Requires="wps">
            <w:drawing>
              <wp:anchor distT="45720" distB="45720" distL="114300" distR="114300" simplePos="0" relativeHeight="251699200" behindDoc="0" locked="0" layoutInCell="1" allowOverlap="1">
                <wp:simplePos x="0" y="0"/>
                <wp:positionH relativeFrom="column">
                  <wp:posOffset>4567555</wp:posOffset>
                </wp:positionH>
                <wp:positionV relativeFrom="paragraph">
                  <wp:posOffset>540385</wp:posOffset>
                </wp:positionV>
                <wp:extent cx="600075" cy="499110"/>
                <wp:effectExtent l="0" t="0" r="9525" b="1524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00075" cy="49911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59.65pt;margin-top:42.55pt;height:39.3pt;width:47.25pt;z-index:251699200;mso-width-relative:page;mso-height-relative:page;" fillcolor="#FFFFFF" filled="t" stroked="f" coordsize="21600,21600" o:gfxdata="UEsDBAoAAAAAAIdO4kAAAAAAAAAAAAAAAAAEAAAAZHJzL1BLAwQUAAAACACHTuJARBVLqNcAAAAK&#10;AQAADwAAAGRycy9kb3ducmV2LnhtbE2PQU7DMBBF90jcwRokNog6JjRJQ5xKIIHYtvQAk9hNIuJx&#10;FLtNe3uGFSxH8/T/+9X24kZxtnMYPGlQqwSEpdabgToNh6/3xwJEiEgGR09Ww9UG2Na3NxWWxi+0&#10;s+d97ASHUChRQx/jVEoZ2t46DCs/WeLf0c8OI59zJ82MC4e7UT4lSSYdDsQNPU72rbft9/7kNBw/&#10;l4f1Zmk+4iHfPWevOOSNv2p9f6eSFxDRXuIfDL/6rA41OzX+RCaIUUOuNimjGoq1AsFAoVLe0jCZ&#10;pTnIupL/J9Q/UEsDBBQAAAAIAIdO4kD8pm/MHQIAAAUEAAAOAAAAZHJzL2Uyb0RvYy54bWytU82O&#10;0zAQviPxDpbvNGnVbrdR09XSVRHS8iMtPIDjOI2F7TG222R5AHgDTly481x9DsZOW6rlhsjBynjG&#10;n7/55vPypteK7IXzEkxJx6OcEmE41NJsS/rxw+bFNSU+MFMzBUaU9FF4erN6/mzZ2UJMoAVVC0cQ&#10;xPiisyVtQ7BFlnneCs38CKwwmGzAaRYwdNusdqxDdK2ySZ5fZR242jrgwnvcvRuSdJXwm0bw8K5p&#10;vAhElRS5hbS6tFZxzVZLVmwds63kRxrsH1hoJg1eeoa6Y4GRnZN/QWnJHXhowoiDzqBpJBepB+xm&#10;nD/p5qFlVqReUBxvzzL5/wfL3+7fOyJrnN2cEsM0zujw/dvhx6/Dz68E91CgzvoC6x4sVob+JfRY&#10;nJr19h74J08MrFtmtuLWOehawWokOI4ns4ujA46PIFX3Bmq8iO0CJKC+cTqqh3oQRMdBPZ6HI/pA&#10;OG5e5Xk+n1HCMTVdLMbjNLyMFafD1vnwSoAm8aekDmefwNn+3odIhhWnkniXByXrjVQqBW5brZUj&#10;e4Y+2aQv8X9SpgzpSrqYTWYJ2UA8nyykZUAfK6lLeo1E8xM5ZY4qxMYHCUJf9UdVK6gfUQ8Hgy/x&#10;HeFPC+4LJR16sqT+8445QYl6bVDTxXg6jSZOwXQ2n2DgLjPVZYYZjlAlDZQMv+uQjB/7NXCL2jcy&#10;6RKHNDA5ckWvJbmO7yKa+TJOVX9e7+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BVLqNcAAAAK&#10;AQAADwAAAAAAAAABACAAAAAiAAAAZHJzL2Rvd25yZXYueG1sUEsBAhQAFAAAAAgAh07iQPymb8wd&#10;AgAABQQAAA4AAAAAAAAAAQAgAAAAJgEAAGRycy9lMm9Eb2MueG1sUEsFBgAAAAAGAAYAWQEAALUF&#10;A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81792" behindDoc="0" locked="1" layoutInCell="1" allowOverlap="1">
                <wp:simplePos x="0" y="0"/>
                <wp:positionH relativeFrom="margin">
                  <wp:posOffset>666115</wp:posOffset>
                </wp:positionH>
                <wp:positionV relativeFrom="margin">
                  <wp:posOffset>8257540</wp:posOffset>
                </wp:positionV>
                <wp:extent cx="4163060" cy="786130"/>
                <wp:effectExtent l="0" t="0" r="889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63060" cy="786130"/>
                        </a:xfrm>
                        <a:prstGeom prst="rect">
                          <a:avLst/>
                        </a:prstGeom>
                        <a:solidFill>
                          <a:srgbClr val="FFFFFF"/>
                        </a:solidFill>
                        <a:ln>
                          <a:noFill/>
                        </a:ln>
                      </wps:spPr>
                      <wps:txbx>
                        <w:txbxContent>
                          <w:p>
                            <w:pPr>
                              <w:pStyle w:val="31"/>
                              <w:spacing w:line="340" w:lineRule="exact"/>
                              <w:rPr>
                                <w:rFonts w:ascii="黑体" w:eastAsia="黑体"/>
                                <w:b w:val="0"/>
                                <w:bCs/>
                                <w:szCs w:val="28"/>
                              </w:rPr>
                            </w:pPr>
                            <w:r>
                              <w:rPr>
                                <w:rFonts w:hint="eastAsia" w:ascii="黑体" w:eastAsia="黑体"/>
                                <w:b w:val="0"/>
                                <w:bCs/>
                                <w:szCs w:val="28"/>
                              </w:rPr>
                              <w:t>中国有色金属工业学会</w:t>
                            </w:r>
                          </w:p>
                          <w:p>
                            <w:pPr>
                              <w:pStyle w:val="32"/>
                              <w:ind w:firstLine="0" w:firstLineChars="0"/>
                              <w:jc w:val="center"/>
                              <w:rPr>
                                <w:sz w:val="36"/>
                                <w:szCs w:val="36"/>
                              </w:rPr>
                            </w:pPr>
                            <w:r>
                              <w:rPr>
                                <w:rFonts w:hint="eastAsia" w:ascii="黑体" w:eastAsia="黑体"/>
                                <w:bCs/>
                                <w:spacing w:val="20"/>
                                <w:w w:val="135"/>
                                <w:sz w:val="36"/>
                                <w:szCs w:val="36"/>
                              </w:rPr>
                              <w:t>中国有色金属学会</w:t>
                            </w:r>
                          </w:p>
                          <w:p>
                            <w:pPr>
                              <w:jc w:val="center"/>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45pt;margin-top:650.2pt;height:61.9pt;width:327.8pt;mso-position-horizontal-relative:margin;mso-position-vertical-relative:margin;z-index:251681792;mso-width-relative:page;mso-height-relative:page;" fillcolor="#FFFFFF" filled="t" stroked="f" coordsize="21600,21600" o:gfxdata="UEsDBAoAAAAAAIdO4kAAAAAAAAAAAAAAAAAEAAAAZHJzL1BLAwQUAAAACACHTuJALvHDl9oAAAAN&#10;AQAADwAAAGRycy9kb3ducmV2LnhtbE2PQU/DMAyF70j8h8hIXBBLVkrZStNJbHCDw8a0s9eEtqJx&#10;qiZdt3+POcHNz356/l6xOrtOnOwQWk8a5jMFwlLlTUu1hv3n2/0CRIhIBjtPVsPFBliV11cF5sZP&#10;tLWnXawFh1DIUUMTY59LGarGOgwz31vi25cfHEaWQy3NgBOHu04mSmXSYUv8ocHerhtbfe9GpyHb&#10;DOO0pfXdZv/6jh99nRxeLgetb2/m6hlEtOf4Z4ZffEaHkpmOfiQTRMdapUu28vCgVAqCLU+ZegRx&#10;5FWapAnIspD/W5Q/UEsDBBQAAAAIAIdO4kCMHRr7BgIAAOADAAAOAAAAZHJzL2Uyb0RvYy54bWyt&#10;U82O0zAQviPxDpbvNO0uKlXUdLV0VYS0/EjLPoDjOImF4zFjt0l5AHgDTly481x9DsZO210tN0QO&#10;1tie+Tzf902WV0Nn2E6h12ALPptMOVNWQqVtU/D7T5sXC858ELYSBqwq+F55frV6/mzZu1xdQAum&#10;UsgIxPq8dwVvQ3B5lnnZqk74CThl6bIG7ESgLTZZhaIn9M5kF9PpPOsBK4cglfd0ejNe8lXCr2sl&#10;w4e69iowU3DqLaQV01rGNVstRd6gcK2WxzbEP3TRCW3p0TPUjQiCbVH/BdVpieChDhMJXQZ1raVK&#10;HIjNbPqEzV0rnEpcSBzvzjL5/wcr3+8+ItNVwckoKzqy6PDj++Hn78Ovb2wR5emdzynrzlFeGF7D&#10;QDYnqt7dgvzsmYV1K2yjrhGhb5WoqL1ZrMwelY44PoKU/Tuo6B2xDZCAhhq7qB2pwQidbNqfrVFD&#10;YJIOX87ml9M5XUm6e7WYzy6Td5nIT9UOfXijoGMxKDiS9Qld7G59iN2I/JQSH/NgdLXRxqQNNuXa&#10;INsJGpNN+hKBJ2nGxmQLsWxEjCeJZmQ2cgxDORxlK6HaE2GEcezoN6GgBfzKWU8jV3D/ZStQcWbe&#10;WhItzucpwFNQngJhJZUWPHA2huswzvHWoW5aQh5tsXBNwtY6cY4OjF0c+6QxSlIcRz7O6eN9ynr4&#10;MV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7xw5faAAAADQEAAA8AAAAAAAAAAQAgAAAAIgAA&#10;AGRycy9kb3ducmV2LnhtbFBLAQIUABQAAAAIAIdO4kCMHRr7BgIAAOADAAAOAAAAAAAAAAEAIAAA&#10;ACkBAABkcnMvZTJvRG9jLnhtbFBLBQYAAAAABgAGAFkBAAChBQAAAAA=&#10;">
                <v:fill on="t" focussize="0,0"/>
                <v:stroke on="f"/>
                <v:imagedata o:title=""/>
                <o:lock v:ext="edit" aspectratio="f"/>
                <v:textbox inset="0mm,0mm,0mm,0mm">
                  <w:txbxContent>
                    <w:p>
                      <w:pPr>
                        <w:pStyle w:val="31"/>
                        <w:spacing w:line="340" w:lineRule="exact"/>
                        <w:rPr>
                          <w:rFonts w:ascii="黑体" w:eastAsia="黑体"/>
                          <w:b w:val="0"/>
                          <w:bCs/>
                          <w:szCs w:val="28"/>
                        </w:rPr>
                      </w:pPr>
                      <w:r>
                        <w:rPr>
                          <w:rFonts w:hint="eastAsia" w:ascii="黑体" w:eastAsia="黑体"/>
                          <w:b w:val="0"/>
                          <w:bCs/>
                          <w:szCs w:val="28"/>
                        </w:rPr>
                        <w:t>中国有色金属工业学会</w:t>
                      </w:r>
                    </w:p>
                    <w:p>
                      <w:pPr>
                        <w:pStyle w:val="32"/>
                        <w:ind w:firstLine="0" w:firstLineChars="0"/>
                        <w:jc w:val="center"/>
                        <w:rPr>
                          <w:sz w:val="36"/>
                          <w:szCs w:val="36"/>
                        </w:rPr>
                      </w:pPr>
                      <w:r>
                        <w:rPr>
                          <w:rFonts w:hint="eastAsia" w:ascii="黑体" w:eastAsia="黑体"/>
                          <w:bCs/>
                          <w:spacing w:val="20"/>
                          <w:w w:val="135"/>
                          <w:sz w:val="36"/>
                          <w:szCs w:val="36"/>
                        </w:rPr>
                        <w:t>中国有色金属学会</w:t>
                      </w:r>
                    </w:p>
                    <w:p>
                      <w:pPr>
                        <w:jc w:val="center"/>
                        <w:rPr>
                          <w:sz w:val="28"/>
                          <w:szCs w:val="28"/>
                        </w:rPr>
                      </w:pPr>
                    </w:p>
                  </w:txbxContent>
                </v:textbox>
                <w10:anchorlock/>
              </v:shape>
            </w:pict>
          </mc:Fallback>
        </mc:AlternateContent>
      </w:r>
    </w:p>
    <w:p>
      <w:pPr>
        <w:pStyle w:val="54"/>
        <w:spacing w:before="480" w:after="240" w:afterLines="100" w:line="360" w:lineRule="auto"/>
        <w:jc w:val="center"/>
        <w:rPr>
          <w:rFonts w:ascii="黑体" w:hAnsi="黑体" w:eastAsia="黑体"/>
          <w:color w:val="000000"/>
          <w:lang w:val="zh-CN"/>
        </w:rPr>
      </w:pPr>
      <w:r>
        <w:rPr>
          <w:rFonts w:ascii="黑体" w:hAnsi="黑体" w:eastAsia="黑体"/>
          <w:color w:val="000000"/>
          <w:lang w:val="zh-CN"/>
        </w:rPr>
        <w:t>目</w:t>
      </w:r>
      <w:r>
        <w:rPr>
          <w:rFonts w:ascii="Times New Roman"/>
        </w:rPr>
        <w:t>  </w:t>
      </w:r>
      <w:r>
        <w:rPr>
          <w:rFonts w:hint="eastAsia" w:ascii="黑体" w:hAnsi="黑体" w:eastAsia="黑体"/>
          <w:color w:val="000000"/>
          <w:lang w:val="zh-CN"/>
        </w:rPr>
        <w:t>次</w:t>
      </w:r>
    </w:p>
    <w:p>
      <w:pPr>
        <w:pStyle w:val="12"/>
        <w:tabs>
          <w:tab w:val="right" w:leader="dot" w:pos="9060"/>
        </w:tabs>
        <w:rPr>
          <w:rFonts w:ascii="Times New Roman" w:hAnsi="Times New Roman"/>
          <w:szCs w:val="21"/>
        </w:rPr>
      </w:pPr>
      <w:r>
        <w:fldChar w:fldCharType="begin"/>
      </w:r>
      <w:r>
        <w:instrText xml:space="preserve"> HYPERLINK \l "_Toc5095404" </w:instrText>
      </w:r>
      <w:r>
        <w:fldChar w:fldCharType="separate"/>
      </w:r>
      <w:r>
        <w:rPr>
          <w:rStyle w:val="21"/>
          <w:rFonts w:ascii="Times New Roman" w:hAnsi="Times New Roman"/>
          <w:bCs/>
          <w:color w:val="auto"/>
          <w:kern w:val="44"/>
          <w:szCs w:val="21"/>
          <w:u w:val="none"/>
        </w:rPr>
        <w:t>前  言</w:t>
      </w:r>
      <w:r>
        <w:rPr>
          <w:rFonts w:ascii="Times New Roman" w:hAnsi="Times New Roman"/>
          <w:szCs w:val="21"/>
        </w:rPr>
        <w:tab/>
      </w:r>
      <w:r>
        <w:rPr>
          <w:rFonts w:ascii="Times New Roman" w:hAnsi="Times New Roman"/>
          <w:szCs w:val="21"/>
        </w:rPr>
        <w:t>I</w:t>
      </w:r>
      <w:r>
        <w:rPr>
          <w:rFonts w:ascii="Times New Roman" w:hAnsi="Times New Roman"/>
          <w:szCs w:val="21"/>
        </w:rPr>
        <w:fldChar w:fldCharType="end"/>
      </w:r>
    </w:p>
    <w:p>
      <w:pPr>
        <w:pStyle w:val="12"/>
        <w:tabs>
          <w:tab w:val="right" w:leader="dot" w:pos="9060"/>
        </w:tabs>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TOC \o "1-1" \h \z \u </w:instrText>
      </w:r>
      <w:r>
        <w:rPr>
          <w:rFonts w:ascii="Times New Roman" w:hAnsi="Times New Roman"/>
          <w:szCs w:val="21"/>
        </w:rPr>
        <w:fldChar w:fldCharType="separate"/>
      </w:r>
      <w:r>
        <w:fldChar w:fldCharType="begin"/>
      </w:r>
      <w:r>
        <w:instrText xml:space="preserve"> HYPERLINK \l "_Toc5095404" </w:instrText>
      </w:r>
      <w:r>
        <w:fldChar w:fldCharType="separate"/>
      </w:r>
      <w:r>
        <w:rPr>
          <w:rStyle w:val="21"/>
          <w:rFonts w:ascii="Times New Roman" w:hAnsi="Times New Roman"/>
          <w:bCs/>
          <w:color w:val="auto"/>
          <w:kern w:val="44"/>
          <w:szCs w:val="21"/>
          <w:u w:val="none"/>
        </w:rPr>
        <w:t>1 范围</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_Toc5095404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2"/>
        <w:tabs>
          <w:tab w:val="right" w:leader="dot" w:pos="9060"/>
        </w:tabs>
        <w:rPr>
          <w:rFonts w:ascii="Times New Roman" w:hAnsi="Times New Roman"/>
          <w:szCs w:val="21"/>
        </w:rPr>
      </w:pPr>
      <w:r>
        <w:fldChar w:fldCharType="begin"/>
      </w:r>
      <w:r>
        <w:instrText xml:space="preserve"> HYPERLINK \l "_Toc5095405" </w:instrText>
      </w:r>
      <w:r>
        <w:fldChar w:fldCharType="separate"/>
      </w:r>
      <w:r>
        <w:rPr>
          <w:rStyle w:val="21"/>
          <w:rFonts w:ascii="Times New Roman" w:hAnsi="Times New Roman"/>
          <w:bCs/>
          <w:color w:val="auto"/>
          <w:kern w:val="44"/>
          <w:szCs w:val="21"/>
          <w:u w:val="none"/>
        </w:rPr>
        <w:t>2 规范性引用文件</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_Toc5095405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2"/>
        <w:tabs>
          <w:tab w:val="right" w:leader="dot" w:pos="9060"/>
        </w:tabs>
        <w:rPr>
          <w:rFonts w:ascii="Times New Roman" w:hAnsi="Times New Roman"/>
          <w:szCs w:val="21"/>
        </w:rPr>
      </w:pPr>
      <w:r>
        <w:fldChar w:fldCharType="begin"/>
      </w:r>
      <w:r>
        <w:instrText xml:space="preserve"> HYPERLINK \l "_Toc5095406" </w:instrText>
      </w:r>
      <w:r>
        <w:fldChar w:fldCharType="separate"/>
      </w:r>
      <w:r>
        <w:rPr>
          <w:rStyle w:val="21"/>
          <w:rFonts w:ascii="Times New Roman" w:hAnsi="Times New Roman"/>
          <w:bCs/>
          <w:color w:val="auto"/>
          <w:kern w:val="44"/>
          <w:szCs w:val="21"/>
          <w:u w:val="none"/>
        </w:rPr>
        <w:t>3 术语和定义</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_Toc5095406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2"/>
        <w:tabs>
          <w:tab w:val="right" w:leader="dot" w:pos="9060"/>
        </w:tabs>
        <w:rPr>
          <w:rFonts w:ascii="Times New Roman" w:hAnsi="Times New Roman"/>
          <w:szCs w:val="21"/>
        </w:rPr>
      </w:pPr>
      <w:r>
        <w:fldChar w:fldCharType="begin"/>
      </w:r>
      <w:r>
        <w:instrText xml:space="preserve"> HYPERLINK \l "_Toc5095407" </w:instrText>
      </w:r>
      <w:r>
        <w:fldChar w:fldCharType="separate"/>
      </w:r>
      <w:r>
        <w:rPr>
          <w:rStyle w:val="21"/>
          <w:rFonts w:ascii="Times New Roman" w:hAnsi="Times New Roman"/>
          <w:bCs/>
          <w:color w:val="auto"/>
          <w:kern w:val="44"/>
          <w:szCs w:val="21"/>
          <w:u w:val="none"/>
        </w:rPr>
        <w:t>4 评价要求</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_Toc5095407 \h </w:instrText>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r>
        <w:rPr>
          <w:rFonts w:ascii="Times New Roman" w:hAnsi="Times New Roman"/>
          <w:szCs w:val="21"/>
        </w:rPr>
        <w:fldChar w:fldCharType="end"/>
      </w:r>
    </w:p>
    <w:p>
      <w:pPr>
        <w:pStyle w:val="12"/>
        <w:tabs>
          <w:tab w:val="right" w:leader="dot" w:pos="9060"/>
        </w:tabs>
        <w:rPr>
          <w:rFonts w:ascii="Times New Roman" w:hAnsi="Times New Roman"/>
          <w:szCs w:val="21"/>
        </w:rPr>
      </w:pPr>
      <w:r>
        <w:fldChar w:fldCharType="begin"/>
      </w:r>
      <w:r>
        <w:instrText xml:space="preserve"> HYPERLINK \l "_Toc5095408" </w:instrText>
      </w:r>
      <w:r>
        <w:fldChar w:fldCharType="separate"/>
      </w:r>
      <w:r>
        <w:rPr>
          <w:rStyle w:val="21"/>
          <w:rFonts w:ascii="Times New Roman" w:hAnsi="Times New Roman"/>
          <w:bCs/>
          <w:color w:val="auto"/>
          <w:kern w:val="44"/>
          <w:szCs w:val="21"/>
          <w:u w:val="none"/>
        </w:rPr>
        <w:t>5 产品生命周期评价报告编制方法</w:t>
      </w:r>
      <w:r>
        <w:rPr>
          <w:rFonts w:ascii="Times New Roman" w:hAnsi="Times New Roman"/>
          <w:szCs w:val="21"/>
        </w:rPr>
        <w:tab/>
      </w:r>
      <w:r>
        <w:rPr>
          <w:rFonts w:ascii="Times New Roman" w:hAnsi="Times New Roman"/>
          <w:szCs w:val="21"/>
        </w:rPr>
        <w:fldChar w:fldCharType="begin"/>
      </w:r>
      <w:r>
        <w:rPr>
          <w:rFonts w:ascii="Times New Roman" w:hAnsi="Times New Roman"/>
          <w:szCs w:val="21"/>
        </w:rPr>
        <w:instrText xml:space="preserve"> PAGEREF _Toc5095408 \h </w:instrText>
      </w:r>
      <w:r>
        <w:rPr>
          <w:rFonts w:ascii="Times New Roman" w:hAnsi="Times New Roman"/>
          <w:szCs w:val="21"/>
        </w:rPr>
        <w:fldChar w:fldCharType="separate"/>
      </w:r>
      <w:r>
        <w:rPr>
          <w:rFonts w:ascii="Times New Roman" w:hAnsi="Times New Roman"/>
          <w:szCs w:val="21"/>
        </w:rPr>
        <w:t>3</w:t>
      </w:r>
      <w:r>
        <w:rPr>
          <w:rFonts w:ascii="Times New Roman" w:hAnsi="Times New Roman"/>
          <w:szCs w:val="21"/>
        </w:rPr>
        <w:fldChar w:fldCharType="end"/>
      </w:r>
      <w:r>
        <w:rPr>
          <w:rFonts w:ascii="Times New Roman" w:hAnsi="Times New Roman"/>
          <w:szCs w:val="21"/>
        </w:rPr>
        <w:fldChar w:fldCharType="end"/>
      </w:r>
    </w:p>
    <w:p>
      <w:pPr>
        <w:pStyle w:val="12"/>
        <w:tabs>
          <w:tab w:val="right" w:leader="dot" w:pos="9060"/>
        </w:tabs>
        <w:rPr>
          <w:rFonts w:ascii="Times New Roman" w:hAnsi="Times New Roman"/>
          <w:szCs w:val="21"/>
        </w:rPr>
      </w:pPr>
      <w:r>
        <w:fldChar w:fldCharType="begin"/>
      </w:r>
      <w:r>
        <w:instrText xml:space="preserve"> HYPERLINK \l "_Toc5095409" </w:instrText>
      </w:r>
      <w:r>
        <w:fldChar w:fldCharType="separate"/>
      </w:r>
      <w:r>
        <w:rPr>
          <w:rStyle w:val="21"/>
          <w:rFonts w:ascii="Times New Roman" w:hAnsi="Times New Roman"/>
          <w:bCs/>
          <w:color w:val="auto"/>
          <w:kern w:val="44"/>
          <w:szCs w:val="21"/>
          <w:u w:val="none"/>
        </w:rPr>
        <w:t xml:space="preserve">6 </w:t>
      </w:r>
      <w:r>
        <w:rPr>
          <w:rStyle w:val="21"/>
          <w:rFonts w:hint="eastAsia" w:ascii="Times New Roman" w:hAnsi="Times New Roman"/>
          <w:bCs/>
          <w:color w:val="auto"/>
          <w:kern w:val="44"/>
          <w:szCs w:val="21"/>
          <w:u w:val="none"/>
        </w:rPr>
        <w:t>绿色产品评价方法和判定依据</w:t>
      </w:r>
      <w:r>
        <w:rPr>
          <w:rFonts w:ascii="Times New Roman" w:hAnsi="Times New Roman"/>
          <w:szCs w:val="21"/>
        </w:rPr>
        <w:tab/>
      </w:r>
      <w:r>
        <w:rPr>
          <w:rFonts w:ascii="Times New Roman" w:hAnsi="Times New Roman"/>
          <w:szCs w:val="21"/>
        </w:rPr>
        <w:t>4</w:t>
      </w:r>
      <w:r>
        <w:rPr>
          <w:rFonts w:ascii="Times New Roman" w:hAnsi="Times New Roman"/>
          <w:szCs w:val="21"/>
        </w:rPr>
        <w:fldChar w:fldCharType="end"/>
      </w:r>
    </w:p>
    <w:p>
      <w:pPr>
        <w:pStyle w:val="12"/>
        <w:tabs>
          <w:tab w:val="right" w:leader="dot" w:pos="9060"/>
        </w:tabs>
        <w:rPr>
          <w:rStyle w:val="21"/>
          <w:rFonts w:ascii="Times New Roman" w:hAnsi="Times New Roman"/>
          <w:color w:val="auto"/>
          <w:szCs w:val="21"/>
          <w:u w:val="none"/>
        </w:rPr>
      </w:pPr>
      <w:r>
        <w:rPr>
          <w:rStyle w:val="21"/>
          <w:rFonts w:ascii="Times New Roman" w:hAnsi="Times New Roman"/>
          <w:color w:val="auto"/>
          <w:szCs w:val="21"/>
          <w:u w:val="none"/>
        </w:rPr>
        <w:t>附录A （规范性） 主要指标计算方法</w:t>
      </w:r>
      <w:r>
        <w:rPr>
          <w:rStyle w:val="21"/>
          <w:rFonts w:ascii="Times New Roman" w:hAnsi="Times New Roman"/>
          <w:color w:val="auto"/>
          <w:szCs w:val="21"/>
          <w:u w:val="none"/>
        </w:rPr>
        <w:tab/>
      </w:r>
      <w:r>
        <w:rPr>
          <w:rStyle w:val="21"/>
          <w:rFonts w:ascii="Times New Roman" w:hAnsi="Times New Roman"/>
          <w:color w:val="auto"/>
          <w:szCs w:val="21"/>
          <w:u w:val="none"/>
        </w:rPr>
        <w:t>6</w:t>
      </w:r>
    </w:p>
    <w:p>
      <w:pPr>
        <w:pStyle w:val="12"/>
        <w:tabs>
          <w:tab w:val="right" w:leader="dot" w:pos="9060"/>
        </w:tabs>
        <w:rPr>
          <w:rFonts w:ascii="Times New Roman" w:hAnsi="Times New Roman"/>
          <w:szCs w:val="21"/>
        </w:rPr>
      </w:pPr>
      <w:r>
        <w:fldChar w:fldCharType="begin"/>
      </w:r>
      <w:r>
        <w:instrText xml:space="preserve"> HYPERLINK \l "_Toc5095410" </w:instrText>
      </w:r>
      <w:r>
        <w:fldChar w:fldCharType="separate"/>
      </w:r>
      <w:r>
        <w:rPr>
          <w:rStyle w:val="21"/>
          <w:rFonts w:ascii="Times New Roman" w:hAnsi="Times New Roman"/>
          <w:color w:val="auto"/>
          <w:szCs w:val="21"/>
          <w:u w:val="none"/>
        </w:rPr>
        <w:t>附录B （规范性） 四氧化三钴产品生命周期评价方法</w:t>
      </w:r>
      <w:r>
        <w:rPr>
          <w:rFonts w:ascii="Times New Roman" w:hAnsi="Times New Roman"/>
          <w:szCs w:val="21"/>
        </w:rPr>
        <w:tab/>
      </w:r>
      <w:r>
        <w:rPr>
          <w:rFonts w:ascii="Times New Roman" w:hAnsi="Times New Roman"/>
          <w:szCs w:val="21"/>
        </w:rPr>
        <w:fldChar w:fldCharType="end"/>
      </w:r>
      <w:r>
        <w:rPr>
          <w:rFonts w:ascii="Times New Roman" w:hAnsi="Times New Roman"/>
          <w:szCs w:val="21"/>
        </w:rPr>
        <w:t>8</w:t>
      </w:r>
    </w:p>
    <w:p>
      <w:pPr>
        <w:pStyle w:val="12"/>
        <w:tabs>
          <w:tab w:val="right" w:leader="dot" w:pos="9060"/>
        </w:tabs>
        <w:rPr>
          <w:rFonts w:ascii="Times New Roman" w:hAnsi="Times New Roman"/>
          <w:szCs w:val="21"/>
        </w:rPr>
      </w:pPr>
      <w:r>
        <w:fldChar w:fldCharType="begin"/>
      </w:r>
      <w:r>
        <w:instrText xml:space="preserve"> HYPERLINK \l "_Toc5095410" </w:instrText>
      </w:r>
      <w:r>
        <w:fldChar w:fldCharType="separate"/>
      </w:r>
      <w:r>
        <w:rPr>
          <w:rStyle w:val="21"/>
          <w:rFonts w:ascii="Times New Roman" w:hAnsi="Times New Roman"/>
          <w:color w:val="auto"/>
          <w:szCs w:val="21"/>
          <w:u w:val="none"/>
        </w:rPr>
        <w:t xml:space="preserve">附录C （规范性） </w:t>
      </w:r>
      <w:r>
        <w:rPr>
          <w:rStyle w:val="21"/>
          <w:rFonts w:hint="eastAsia" w:ascii="Times New Roman" w:hAnsi="Times New Roman"/>
          <w:color w:val="auto"/>
          <w:szCs w:val="21"/>
          <w:u w:val="none"/>
        </w:rPr>
        <w:t>数据分析</w:t>
      </w:r>
      <w:r>
        <w:rPr>
          <w:rStyle w:val="21"/>
          <w:rFonts w:ascii="Times New Roman" w:hAnsi="Times New Roman"/>
          <w:color w:val="auto"/>
          <w:szCs w:val="21"/>
          <w:u w:val="none"/>
        </w:rPr>
        <w:t>方法示</w:t>
      </w:r>
      <w:r>
        <w:rPr>
          <w:rStyle w:val="21"/>
          <w:rFonts w:hint="eastAsia" w:ascii="Times New Roman" w:hAnsi="Times New Roman"/>
          <w:color w:val="auto"/>
          <w:szCs w:val="21"/>
          <w:u w:val="none"/>
        </w:rPr>
        <w:t>例</w:t>
      </w:r>
      <w:r>
        <w:rPr>
          <w:rFonts w:ascii="Times New Roman" w:hAnsi="Times New Roman"/>
          <w:szCs w:val="21"/>
        </w:rPr>
        <w:tab/>
      </w:r>
      <w:r>
        <w:rPr>
          <w:rFonts w:ascii="Times New Roman" w:hAnsi="Times New Roman"/>
          <w:szCs w:val="21"/>
        </w:rPr>
        <w:fldChar w:fldCharType="end"/>
      </w:r>
      <w:r>
        <w:rPr>
          <w:rFonts w:ascii="Times New Roman" w:hAnsi="Times New Roman"/>
          <w:szCs w:val="21"/>
        </w:rPr>
        <w:t>14</w:t>
      </w:r>
    </w:p>
    <w:p>
      <w:pPr>
        <w:pStyle w:val="12"/>
        <w:tabs>
          <w:tab w:val="right" w:leader="dot" w:pos="9060"/>
        </w:tabs>
        <w:rPr>
          <w:rFonts w:ascii="Times New Roman" w:hAnsi="Times New Roman"/>
          <w:szCs w:val="21"/>
        </w:rPr>
      </w:pPr>
      <w:r>
        <w:fldChar w:fldCharType="begin"/>
      </w:r>
      <w:r>
        <w:instrText xml:space="preserve"> HYPERLINK \l "_Toc5095410" </w:instrText>
      </w:r>
      <w:r>
        <w:fldChar w:fldCharType="separate"/>
      </w:r>
      <w:r>
        <w:rPr>
          <w:rStyle w:val="21"/>
          <w:rFonts w:ascii="Times New Roman" w:hAnsi="Times New Roman"/>
          <w:color w:val="auto"/>
          <w:szCs w:val="21"/>
          <w:u w:val="none"/>
        </w:rPr>
        <w:t>附录</w:t>
      </w:r>
      <w:r>
        <w:rPr>
          <w:rStyle w:val="21"/>
          <w:rFonts w:hint="eastAsia" w:ascii="Times New Roman" w:hAnsi="Times New Roman"/>
          <w:color w:val="auto"/>
          <w:szCs w:val="21"/>
          <w:u w:val="none"/>
        </w:rPr>
        <w:t>D</w:t>
      </w:r>
      <w:r>
        <w:rPr>
          <w:rStyle w:val="21"/>
          <w:rFonts w:ascii="Times New Roman" w:hAnsi="Times New Roman"/>
          <w:color w:val="auto"/>
          <w:szCs w:val="21"/>
          <w:u w:val="none"/>
        </w:rPr>
        <w:t xml:space="preserve"> （</w:t>
      </w:r>
      <w:r>
        <w:rPr>
          <w:rStyle w:val="21"/>
          <w:rFonts w:hint="eastAsia" w:ascii="Times New Roman" w:hAnsi="Times New Roman"/>
          <w:color w:val="auto"/>
          <w:szCs w:val="21"/>
          <w:u w:val="none"/>
        </w:rPr>
        <w:t>资料性</w:t>
      </w:r>
      <w:r>
        <w:rPr>
          <w:rStyle w:val="21"/>
          <w:rFonts w:ascii="Times New Roman" w:hAnsi="Times New Roman"/>
          <w:color w:val="auto"/>
          <w:szCs w:val="21"/>
          <w:u w:val="none"/>
        </w:rPr>
        <w:t>） 产品绿色设计方案优先排序方法及示例</w:t>
      </w:r>
      <w:r>
        <w:rPr>
          <w:rFonts w:ascii="Times New Roman" w:hAnsi="Times New Roman"/>
          <w:szCs w:val="21"/>
        </w:rPr>
        <w:tab/>
      </w:r>
      <w:r>
        <w:rPr>
          <w:rFonts w:ascii="Times New Roman" w:hAnsi="Times New Roman"/>
          <w:szCs w:val="21"/>
        </w:rPr>
        <w:fldChar w:fldCharType="end"/>
      </w:r>
      <w:r>
        <w:rPr>
          <w:rFonts w:ascii="Times New Roman" w:hAnsi="Times New Roman"/>
          <w:szCs w:val="21"/>
        </w:rPr>
        <w:t>16</w:t>
      </w:r>
    </w:p>
    <w:p>
      <w:pPr>
        <w:pStyle w:val="12"/>
        <w:tabs>
          <w:tab w:val="right" w:leader="dot" w:pos="9060"/>
        </w:tabs>
        <w:rPr>
          <w:rFonts w:ascii="黑体" w:hAnsi="黑体"/>
          <w:color w:val="000000"/>
          <w:sz w:val="24"/>
          <w:szCs w:val="24"/>
        </w:rPr>
        <w:sectPr>
          <w:headerReference r:id="rId3" w:type="first"/>
          <w:footerReference r:id="rId5" w:type="first"/>
          <w:footerReference r:id="rId4" w:type="default"/>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pgNumType w:fmt="upperRoman" w:start="1"/>
          <w:cols w:space="720" w:num="1"/>
          <w:titlePg/>
          <w:docGrid w:linePitch="312" w:charSpace="0"/>
        </w:sectPr>
      </w:pPr>
      <w:r>
        <w:rPr>
          <w:rFonts w:ascii="Times New Roman" w:hAnsi="Times New Roman"/>
          <w:szCs w:val="21"/>
        </w:rPr>
        <w:fldChar w:fldCharType="end"/>
      </w:r>
    </w:p>
    <w:p>
      <w:pPr>
        <w:widowControl/>
        <w:spacing w:before="240" w:beforeLines="100" w:after="240" w:afterLines="100" w:line="360" w:lineRule="auto"/>
        <w:jc w:val="center"/>
        <w:rPr>
          <w:rFonts w:ascii="黑体" w:hAnsi="黑体" w:eastAsia="黑体"/>
          <w:bCs/>
          <w:kern w:val="44"/>
          <w:sz w:val="32"/>
          <w:szCs w:val="44"/>
        </w:rPr>
      </w:pPr>
      <w:bookmarkStart w:id="0" w:name="_Toc2755357"/>
      <w:r>
        <w:rPr>
          <w:rFonts w:ascii="黑体" w:hAnsi="黑体" w:eastAsia="黑体"/>
          <w:bCs/>
          <w:kern w:val="44"/>
          <w:sz w:val="32"/>
          <w:szCs w:val="44"/>
        </w:rPr>
        <w:t>前  言</w:t>
      </w:r>
      <w:bookmarkEnd w:id="0"/>
    </w:p>
    <w:p>
      <w:pPr>
        <w:ind w:firstLine="420" w:firstLineChars="200"/>
        <w:rPr>
          <w:rFonts w:ascii="Times New Roman" w:hAnsi="Times New Roman"/>
          <w:szCs w:val="24"/>
        </w:rPr>
      </w:pPr>
      <w:r>
        <w:rPr>
          <w:rFonts w:ascii="Times New Roman" w:hAnsi="Times New Roman"/>
          <w:szCs w:val="24"/>
        </w:rPr>
        <w:t>本文件按照GB/T 1.1—2020《标准化工作导则 第1部分：标准化文件的结构和起草规则》的规定起草。</w:t>
      </w:r>
    </w:p>
    <w:p>
      <w:pPr>
        <w:ind w:firstLine="420" w:firstLineChars="200"/>
        <w:rPr>
          <w:rFonts w:ascii="Times New Roman" w:hAnsi="Times New Roman"/>
          <w:szCs w:val="24"/>
        </w:rPr>
      </w:pPr>
      <w:r>
        <w:rPr>
          <w:rFonts w:ascii="Times New Roman" w:hAnsi="Times New Roman"/>
          <w:szCs w:val="24"/>
        </w:rPr>
        <w:t>请注意本文件的某些内容可能涉及专利。本文件的发布机构不承担识别专利的责任。</w:t>
      </w:r>
    </w:p>
    <w:p>
      <w:pPr>
        <w:ind w:firstLine="420" w:firstLineChars="200"/>
        <w:rPr>
          <w:rFonts w:ascii="Times New Roman" w:hAnsi="Times New Roman"/>
          <w:szCs w:val="24"/>
        </w:rPr>
      </w:pPr>
      <w:r>
        <w:rPr>
          <w:rFonts w:ascii="Times New Roman" w:hAnsi="Times New Roman"/>
          <w:szCs w:val="24"/>
        </w:rPr>
        <w:t>本文件</w:t>
      </w:r>
      <w:r>
        <w:rPr>
          <w:rFonts w:hint="eastAsia" w:ascii="Times New Roman" w:hAnsi="Times New Roman"/>
          <w:szCs w:val="24"/>
        </w:rPr>
        <w:t>由工业和信息化部节能与综合利用司和中国有色金属工业协会提出，由全国有色金属标准化技术委员会（SAC/T 243）归口</w:t>
      </w:r>
      <w:r>
        <w:rPr>
          <w:rFonts w:ascii="Times New Roman" w:hAnsi="Times New Roman"/>
          <w:szCs w:val="24"/>
        </w:rPr>
        <w:t>。</w:t>
      </w:r>
    </w:p>
    <w:p>
      <w:pPr>
        <w:ind w:firstLine="420" w:firstLineChars="200"/>
        <w:jc w:val="left"/>
        <w:rPr>
          <w:rFonts w:ascii="Times New Roman" w:hAnsi="Times New Roman"/>
          <w:szCs w:val="21"/>
        </w:rPr>
      </w:pPr>
      <w:r>
        <w:rPr>
          <w:rFonts w:ascii="Times New Roman" w:hAnsi="Times New Roman"/>
          <w:szCs w:val="21"/>
        </w:rPr>
        <w:t>本</w:t>
      </w:r>
      <w:r>
        <w:rPr>
          <w:rFonts w:ascii="Times New Roman" w:hAnsi="Times New Roman" w:eastAsia="方正行楷简体"/>
          <w:szCs w:val="21"/>
        </w:rPr>
        <w:t>文件</w:t>
      </w:r>
      <w:r>
        <w:rPr>
          <w:rFonts w:ascii="Times New Roman" w:hAnsi="Times New Roman"/>
          <w:szCs w:val="21"/>
        </w:rPr>
        <w:t>起草单位：衢州华友钴新材料有限公司、湖南中伟新材料有限公司</w:t>
      </w:r>
      <w:r>
        <w:rPr>
          <w:rFonts w:hint="eastAsia" w:ascii="Times New Roman" w:hAnsi="Times New Roman"/>
          <w:szCs w:val="21"/>
          <w:lang w:eastAsia="zh-CN"/>
        </w:rPr>
        <w:t>、</w:t>
      </w:r>
      <w:r>
        <w:rPr>
          <w:rFonts w:ascii="Times New Roman" w:hAnsi="Times New Roman"/>
          <w:szCs w:val="21"/>
        </w:rPr>
        <w:t>格林美（江苏）钴业有限公司、浙江华友钴业股份有限公司、湖南长远锂科股份有限公司、天津盟固利新材料科技股份有限公司、广东邦普循环科技有限公司。</w:t>
      </w:r>
    </w:p>
    <w:p>
      <w:pPr>
        <w:widowControl/>
        <w:ind w:firstLine="420" w:firstLineChars="200"/>
        <w:jc w:val="left"/>
        <w:rPr>
          <w:rFonts w:ascii="黑体" w:hAnsi="黑体"/>
          <w:sz w:val="28"/>
          <w:szCs w:val="28"/>
        </w:rPr>
      </w:pPr>
      <w:r>
        <w:rPr>
          <w:rFonts w:ascii="Times New Roman" w:hAnsi="Times New Roman"/>
          <w:szCs w:val="21"/>
        </w:rPr>
        <w:t>本</w:t>
      </w:r>
      <w:r>
        <w:rPr>
          <w:rFonts w:ascii="Times New Roman" w:hAnsi="Times New Roman" w:eastAsia="方正行楷简体"/>
          <w:szCs w:val="21"/>
        </w:rPr>
        <w:t>文件</w:t>
      </w:r>
      <w:r>
        <w:rPr>
          <w:rFonts w:ascii="Times New Roman" w:hAnsi="Times New Roman"/>
          <w:szCs w:val="21"/>
        </w:rPr>
        <w:t>主要起草人：</w:t>
      </w:r>
      <w:bookmarkStart w:id="55" w:name="_GoBack"/>
      <w:bookmarkEnd w:id="55"/>
    </w:p>
    <w:p>
      <w:pPr>
        <w:widowControl/>
        <w:jc w:val="left"/>
        <w:rPr>
          <w:rFonts w:ascii="黑体" w:hAnsi="黑体"/>
          <w:color w:val="000000"/>
          <w:sz w:val="28"/>
          <w:szCs w:val="28"/>
        </w:rPr>
      </w:pPr>
    </w:p>
    <w:p>
      <w:pPr>
        <w:widowControl/>
        <w:jc w:val="left"/>
        <w:rPr>
          <w:rFonts w:ascii="黑体" w:hAnsi="黑体"/>
          <w:color w:val="000000"/>
          <w:sz w:val="28"/>
          <w:szCs w:val="28"/>
        </w:rPr>
        <w:sectPr>
          <w:footerReference r:id="rId7" w:type="first"/>
          <w:footerReference r:id="rId6" w:type="default"/>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pgNumType w:fmt="upperRoman"/>
          <w:cols w:space="720" w:num="1"/>
          <w:titlePg/>
          <w:docGrid w:linePitch="312" w:charSpace="0"/>
        </w:sectPr>
      </w:pPr>
    </w:p>
    <w:p>
      <w:pPr>
        <w:pStyle w:val="3"/>
        <w:adjustRightInd w:val="0"/>
        <w:snapToGrid w:val="0"/>
        <w:spacing w:before="640" w:beforeAutospacing="0" w:after="560" w:afterAutospacing="0"/>
        <w:ind w:left="420" w:hanging="420"/>
        <w:jc w:val="center"/>
        <w:rPr>
          <w:rFonts w:ascii="黑体" w:hAnsi="黑体" w:eastAsia="黑体"/>
          <w:b w:val="0"/>
          <w:bCs/>
          <w:kern w:val="44"/>
          <w:sz w:val="32"/>
          <w:szCs w:val="32"/>
          <w:highlight w:val="none"/>
          <w:lang w:val="en-US"/>
        </w:rPr>
      </w:pPr>
      <w:bookmarkStart w:id="1" w:name="_Toc72754520"/>
      <w:r>
        <w:rPr>
          <w:rFonts w:ascii="黑体" w:hAnsi="黑体" w:eastAsia="黑体"/>
          <w:b w:val="0"/>
          <w:bCs/>
          <w:kern w:val="44"/>
          <w:sz w:val="32"/>
          <w:szCs w:val="32"/>
          <w:lang w:val="en-US"/>
        </w:rPr>
        <w:t xml:space="preserve">绿色设计产品评价技术规范  </w:t>
      </w:r>
      <w:r>
        <w:rPr>
          <w:rFonts w:ascii="黑体" w:hAnsi="黑体" w:eastAsia="黑体"/>
          <w:b w:val="0"/>
          <w:bCs/>
          <w:kern w:val="44"/>
          <w:sz w:val="32"/>
          <w:szCs w:val="32"/>
          <w:highlight w:val="none"/>
          <w:lang w:val="en-US"/>
        </w:rPr>
        <w:t>四氧化三钴</w:t>
      </w:r>
      <w:bookmarkEnd w:id="1"/>
    </w:p>
    <w:p>
      <w:pPr>
        <w:pStyle w:val="57"/>
        <w:spacing w:before="240" w:after="240"/>
        <w:rPr>
          <w:rFonts w:hAnsi="黑体"/>
        </w:rPr>
      </w:pPr>
      <w:bookmarkStart w:id="2" w:name="_Toc72754521"/>
      <w:bookmarkStart w:id="3" w:name="_Toc5095404"/>
      <w:bookmarkStart w:id="4" w:name="_Toc2755358"/>
      <w:r>
        <w:rPr>
          <w:rFonts w:hAnsi="黑体"/>
        </w:rPr>
        <w:t>1  范围</w:t>
      </w:r>
      <w:bookmarkEnd w:id="2"/>
      <w:bookmarkEnd w:id="3"/>
      <w:bookmarkEnd w:id="4"/>
    </w:p>
    <w:p>
      <w:pPr>
        <w:ind w:firstLine="420" w:firstLineChars="200"/>
        <w:jc w:val="left"/>
        <w:rPr>
          <w:rFonts w:ascii="黑体" w:hAnsi="黑体"/>
          <w:color w:val="000000"/>
          <w:szCs w:val="21"/>
        </w:rPr>
      </w:pPr>
      <w:r>
        <w:rPr>
          <w:rFonts w:ascii="黑体" w:hAnsi="黑体"/>
          <w:color w:val="000000"/>
          <w:szCs w:val="21"/>
        </w:rPr>
        <w:t>本文件规定了四氧化三钴绿色设计产品</w:t>
      </w:r>
      <w:r>
        <w:rPr>
          <w:rFonts w:hint="eastAsia" w:ascii="黑体" w:hAnsi="黑体"/>
          <w:color w:val="000000"/>
          <w:szCs w:val="21"/>
        </w:rPr>
        <w:t>的术语</w:t>
      </w:r>
      <w:r>
        <w:rPr>
          <w:rFonts w:hint="eastAsia" w:ascii="黑体" w:hAnsi="黑体"/>
          <w:color w:val="000000"/>
          <w:szCs w:val="21"/>
          <w:lang w:val="en-US" w:eastAsia="zh-CN"/>
        </w:rPr>
        <w:t>和</w:t>
      </w:r>
      <w:r>
        <w:rPr>
          <w:rFonts w:ascii="黑体" w:hAnsi="黑体"/>
          <w:color w:val="000000"/>
          <w:szCs w:val="21"/>
        </w:rPr>
        <w:t>定义</w:t>
      </w:r>
      <w:r>
        <w:rPr>
          <w:rFonts w:hint="eastAsia" w:ascii="黑体" w:hAnsi="黑体"/>
          <w:color w:val="000000"/>
          <w:szCs w:val="21"/>
        </w:rPr>
        <w:t>、</w:t>
      </w:r>
      <w:r>
        <w:rPr>
          <w:rFonts w:ascii="黑体" w:hAnsi="黑体"/>
          <w:color w:val="000000"/>
          <w:szCs w:val="21"/>
        </w:rPr>
        <w:t>评价要求、</w:t>
      </w:r>
      <w:r>
        <w:rPr>
          <w:rFonts w:hint="eastAsia" w:ascii="黑体" w:hAnsi="黑体"/>
          <w:color w:val="000000"/>
          <w:szCs w:val="21"/>
        </w:rPr>
        <w:t>产品生命周期评价报告编制方法，</w:t>
      </w:r>
      <w:r>
        <w:rPr>
          <w:rFonts w:ascii="黑体" w:hAnsi="黑体"/>
          <w:color w:val="000000"/>
          <w:szCs w:val="21"/>
        </w:rPr>
        <w:t>以</w:t>
      </w:r>
      <w:r>
        <w:rPr>
          <w:rFonts w:hint="eastAsia" w:ascii="黑体" w:hAnsi="黑体"/>
          <w:color w:val="000000"/>
          <w:szCs w:val="21"/>
        </w:rPr>
        <w:t>及绿色</w:t>
      </w:r>
      <w:r>
        <w:rPr>
          <w:rFonts w:ascii="黑体" w:hAnsi="黑体"/>
          <w:color w:val="000000"/>
          <w:szCs w:val="21"/>
        </w:rPr>
        <w:t>产品评价方法</w:t>
      </w:r>
      <w:r>
        <w:rPr>
          <w:rFonts w:hint="eastAsia" w:ascii="黑体" w:hAnsi="黑体"/>
          <w:color w:val="000000"/>
          <w:szCs w:val="21"/>
        </w:rPr>
        <w:t>和判定</w:t>
      </w:r>
      <w:r>
        <w:rPr>
          <w:rFonts w:ascii="黑体" w:hAnsi="黑体"/>
          <w:color w:val="000000"/>
          <w:szCs w:val="21"/>
        </w:rPr>
        <w:t>依据。</w:t>
      </w:r>
    </w:p>
    <w:p>
      <w:pPr>
        <w:ind w:firstLine="420" w:firstLineChars="200"/>
        <w:jc w:val="left"/>
        <w:rPr>
          <w:rFonts w:ascii="黑体" w:hAnsi="黑体"/>
          <w:color w:val="000000"/>
          <w:szCs w:val="21"/>
        </w:rPr>
      </w:pPr>
      <w:r>
        <w:rPr>
          <w:rFonts w:ascii="黑体" w:hAnsi="黑体"/>
          <w:color w:val="000000"/>
          <w:szCs w:val="21"/>
        </w:rPr>
        <w:t>本文件适用于四氧化三钴绿色设计产品评价。</w:t>
      </w:r>
    </w:p>
    <w:p>
      <w:pPr>
        <w:pStyle w:val="57"/>
        <w:spacing w:before="240" w:after="240"/>
        <w:rPr>
          <w:rFonts w:hAnsi="黑体"/>
        </w:rPr>
      </w:pPr>
      <w:bookmarkStart w:id="5" w:name="_Toc72754522"/>
      <w:bookmarkStart w:id="6" w:name="_Toc5095405"/>
      <w:bookmarkStart w:id="7" w:name="_Toc2755359"/>
      <w:r>
        <w:rPr>
          <w:rFonts w:hAnsi="黑体"/>
        </w:rPr>
        <w:t>2  规范性引用文件</w:t>
      </w:r>
      <w:bookmarkEnd w:id="5"/>
      <w:bookmarkEnd w:id="6"/>
      <w:bookmarkEnd w:id="7"/>
    </w:p>
    <w:p>
      <w:pPr>
        <w:ind w:firstLine="420" w:firstLineChars="200"/>
        <w:rPr>
          <w:rFonts w:ascii="黑体" w:hAnsi="黑体"/>
          <w:color w:val="000000"/>
          <w:szCs w:val="21"/>
        </w:rPr>
      </w:pPr>
      <w:r>
        <w:rPr>
          <w:rFonts w:hint="eastAsia" w:ascii="黑体" w:hAnsi="黑体"/>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Times New Roman" w:hAnsi="Times New Roman"/>
          <w:color w:val="000000"/>
          <w:szCs w:val="21"/>
        </w:rPr>
      </w:pPr>
      <w:r>
        <w:rPr>
          <w:rFonts w:ascii="Times New Roman" w:hAnsi="Times New Roman"/>
          <w:color w:val="000000"/>
          <w:szCs w:val="21"/>
        </w:rPr>
        <w:t>GB/T 2589  综合能耗计算通则</w:t>
      </w:r>
    </w:p>
    <w:p>
      <w:pPr>
        <w:ind w:firstLine="420" w:firstLineChars="0"/>
        <w:rPr>
          <w:rFonts w:ascii="Times New Roman" w:hAnsi="Times New Roman"/>
          <w:color w:val="000000"/>
          <w:szCs w:val="21"/>
        </w:rPr>
      </w:pPr>
      <w:bookmarkStart w:id="8" w:name="_Hlk509409621"/>
      <w:r>
        <w:rPr>
          <w:rFonts w:hint="default" w:ascii="Times New Roman" w:hAnsi="Times New Roman" w:eastAsia="宋体" w:cs="Times New Roman"/>
          <w:color w:val="auto"/>
        </w:rPr>
        <w:t xml:space="preserve">GB/T 5162 </w:t>
      </w:r>
      <w:r>
        <w:rPr>
          <w:rFonts w:hint="eastAsia" w:cs="Times New Roman"/>
          <w:color w:val="auto"/>
          <w:lang w:val="en-US" w:eastAsia="zh-CN"/>
        </w:rPr>
        <w:t xml:space="preserve"> </w:t>
      </w:r>
      <w:r>
        <w:rPr>
          <w:rFonts w:hint="default" w:ascii="Times New Roman" w:hAnsi="Times New Roman" w:eastAsia="宋体" w:cs="Times New Roman"/>
          <w:color w:val="auto"/>
        </w:rPr>
        <w:t xml:space="preserve">金属粉末 </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振实密度的测定</w:t>
      </w:r>
    </w:p>
    <w:p>
      <w:pPr>
        <w:ind w:firstLine="420" w:firstLineChars="200"/>
        <w:rPr>
          <w:rFonts w:ascii="Times New Roman" w:hAnsi="Times New Roman"/>
          <w:color w:val="000000"/>
          <w:szCs w:val="21"/>
        </w:rPr>
      </w:pPr>
      <w:r>
        <w:rPr>
          <w:rFonts w:ascii="Times New Roman" w:hAnsi="Times New Roman"/>
          <w:color w:val="000000"/>
          <w:szCs w:val="21"/>
        </w:rPr>
        <w:t>GB/T 16157  固定污染源排气中颗粒物测定与气态污染物采样方法</w:t>
      </w:r>
    </w:p>
    <w:p>
      <w:pPr>
        <w:ind w:firstLine="420" w:firstLineChars="200"/>
        <w:rPr>
          <w:rFonts w:ascii="Times New Roman" w:hAnsi="Times New Roman"/>
          <w:color w:val="000000"/>
          <w:szCs w:val="21"/>
        </w:rPr>
      </w:pPr>
      <w:r>
        <w:rPr>
          <w:rFonts w:ascii="Times New Roman" w:hAnsi="Times New Roman"/>
          <w:color w:val="000000"/>
          <w:szCs w:val="21"/>
        </w:rPr>
        <w:t>GB/T 16297  大气污染物综合排放标准</w:t>
      </w:r>
    </w:p>
    <w:p>
      <w:pPr>
        <w:ind w:firstLine="420" w:firstLineChars="200"/>
        <w:rPr>
          <w:rFonts w:ascii="Times New Roman" w:hAnsi="Times New Roman"/>
          <w:color w:val="000000"/>
          <w:szCs w:val="21"/>
        </w:rPr>
      </w:pPr>
      <w:r>
        <w:rPr>
          <w:rFonts w:ascii="Times New Roman" w:hAnsi="Times New Roman"/>
          <w:color w:val="000000"/>
          <w:szCs w:val="21"/>
        </w:rPr>
        <w:t>GB 17167  用能单位能源计量器具配备和管理通则</w:t>
      </w:r>
    </w:p>
    <w:p>
      <w:pPr>
        <w:ind w:firstLine="420" w:firstLineChars="200"/>
        <w:jc w:val="left"/>
        <w:rPr>
          <w:rFonts w:ascii="Times New Roman" w:hAnsi="Times New Roman"/>
          <w:color w:val="000000"/>
          <w:szCs w:val="21"/>
        </w:rPr>
      </w:pPr>
      <w:r>
        <w:rPr>
          <w:rFonts w:ascii="Times New Roman" w:hAnsi="Times New Roman"/>
          <w:color w:val="000000"/>
          <w:szCs w:val="21"/>
        </w:rPr>
        <w:t>GB 18597  危险废物贮存污染控制标准</w:t>
      </w:r>
    </w:p>
    <w:p>
      <w:pPr>
        <w:ind w:firstLine="420" w:firstLineChars="200"/>
        <w:jc w:val="left"/>
        <w:rPr>
          <w:rFonts w:ascii="Times New Roman" w:hAnsi="Times New Roman"/>
          <w:color w:val="000000"/>
          <w:szCs w:val="21"/>
        </w:rPr>
      </w:pPr>
      <w:r>
        <w:rPr>
          <w:rFonts w:ascii="Times New Roman" w:hAnsi="Times New Roman"/>
          <w:color w:val="000000"/>
          <w:szCs w:val="21"/>
        </w:rPr>
        <w:t>GB 18599  一般工业固体废物贮存、处置场污染控制标准</w:t>
      </w:r>
    </w:p>
    <w:p>
      <w:pPr>
        <w:ind w:firstLine="420" w:firstLineChars="200"/>
        <w:rPr>
          <w:rFonts w:ascii="Times New Roman" w:hAnsi="Times New Roman"/>
          <w:color w:val="000000"/>
          <w:szCs w:val="21"/>
        </w:rPr>
      </w:pPr>
      <w:r>
        <w:rPr>
          <w:rFonts w:ascii="Times New Roman" w:hAnsi="Times New Roman"/>
          <w:color w:val="000000"/>
          <w:szCs w:val="21"/>
        </w:rPr>
        <w:t>GB/T 19001  质量管理体系</w:t>
      </w:r>
      <w:r>
        <w:rPr>
          <w:rFonts w:hint="eastAsia" w:ascii="Times New Roman" w:hAnsi="Times New Roman"/>
          <w:color w:val="000000"/>
          <w:szCs w:val="21"/>
        </w:rPr>
        <w:t xml:space="preserve"> </w:t>
      </w:r>
      <w:r>
        <w:rPr>
          <w:rFonts w:ascii="Times New Roman" w:hAnsi="Times New Roman"/>
          <w:color w:val="000000"/>
          <w:szCs w:val="21"/>
        </w:rPr>
        <w:t xml:space="preserve"> 要求</w:t>
      </w:r>
    </w:p>
    <w:p>
      <w:pPr>
        <w:ind w:firstLine="420" w:firstLineChars="200"/>
        <w:rPr>
          <w:rFonts w:ascii="Times New Roman" w:hAnsi="Times New Roman"/>
          <w:color w:val="000000"/>
          <w:szCs w:val="21"/>
        </w:rPr>
      </w:pPr>
      <w:r>
        <w:rPr>
          <w:rFonts w:ascii="Times New Roman" w:hAnsi="Times New Roman"/>
          <w:color w:val="000000"/>
          <w:szCs w:val="21"/>
        </w:rPr>
        <w:t>GB/T 23331  能源管理体系  要求</w:t>
      </w:r>
    </w:p>
    <w:p>
      <w:pPr>
        <w:ind w:firstLine="420" w:firstLineChars="200"/>
        <w:rPr>
          <w:rFonts w:ascii="Times New Roman" w:hAnsi="Times New Roman"/>
          <w:color w:val="000000"/>
          <w:szCs w:val="21"/>
        </w:rPr>
      </w:pPr>
      <w:r>
        <w:rPr>
          <w:rFonts w:ascii="Times New Roman" w:hAnsi="Times New Roman"/>
          <w:color w:val="000000"/>
          <w:szCs w:val="21"/>
        </w:rPr>
        <w:t>GB/T 24001  环境管理体系要求及使用指南</w:t>
      </w:r>
    </w:p>
    <w:p>
      <w:pPr>
        <w:ind w:firstLine="420" w:firstLineChars="200"/>
        <w:rPr>
          <w:rFonts w:ascii="Times New Roman" w:hAnsi="Times New Roman"/>
          <w:color w:val="000000"/>
          <w:szCs w:val="21"/>
        </w:rPr>
      </w:pPr>
      <w:r>
        <w:rPr>
          <w:rFonts w:hint="eastAsia" w:ascii="Times New Roman" w:hAnsi="Times New Roman"/>
          <w:color w:val="000000"/>
          <w:szCs w:val="21"/>
        </w:rPr>
        <w:t xml:space="preserve">GB/T 24040  环境管理 </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 xml:space="preserve">生命周期评价 </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原则与框架</w:t>
      </w:r>
    </w:p>
    <w:p>
      <w:pPr>
        <w:ind w:firstLine="420" w:firstLineChars="200"/>
        <w:rPr>
          <w:rFonts w:ascii="Times New Roman" w:hAnsi="Times New Roman"/>
          <w:color w:val="000000"/>
          <w:szCs w:val="21"/>
        </w:rPr>
      </w:pPr>
      <w:r>
        <w:rPr>
          <w:rFonts w:ascii="Times New Roman" w:hAnsi="Times New Roman"/>
          <w:color w:val="000000"/>
          <w:szCs w:val="21"/>
        </w:rPr>
        <w:t>GB/T 24044</w:t>
      </w:r>
      <w:r>
        <w:rPr>
          <w:rFonts w:hint="eastAsia" w:ascii="Times New Roman" w:hAnsi="Times New Roman"/>
          <w:color w:val="000000"/>
          <w:szCs w:val="21"/>
        </w:rPr>
        <w:t xml:space="preserve">  环境管理</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 xml:space="preserve"> 生命周期评价 </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要求与指南</w:t>
      </w:r>
    </w:p>
    <w:p>
      <w:pPr>
        <w:ind w:firstLine="420" w:firstLineChars="200"/>
        <w:rPr>
          <w:rFonts w:ascii="Times New Roman" w:hAnsi="Times New Roman"/>
          <w:color w:val="000000"/>
          <w:szCs w:val="21"/>
        </w:rPr>
      </w:pPr>
      <w:r>
        <w:rPr>
          <w:rFonts w:ascii="Times New Roman" w:hAnsi="Times New Roman"/>
          <w:color w:val="000000"/>
          <w:szCs w:val="21"/>
        </w:rPr>
        <w:t>GB/T 24789  用水单位水计量器具配备和管理通则</w:t>
      </w:r>
    </w:p>
    <w:p>
      <w:pPr>
        <w:ind w:firstLine="420" w:firstLineChars="200"/>
        <w:jc w:val="left"/>
        <w:rPr>
          <w:rFonts w:ascii="Times New Roman" w:hAnsi="Times New Roman"/>
          <w:color w:val="000000"/>
          <w:kern w:val="0"/>
          <w:szCs w:val="21"/>
        </w:rPr>
      </w:pPr>
      <w:r>
        <w:rPr>
          <w:rFonts w:ascii="Times New Roman" w:hAnsi="Times New Roman"/>
          <w:color w:val="000000"/>
          <w:szCs w:val="21"/>
        </w:rPr>
        <w:t xml:space="preserve">GB 25467  </w:t>
      </w:r>
      <w:r>
        <w:rPr>
          <w:rFonts w:ascii="Times New Roman" w:hAnsi="Times New Roman"/>
          <w:color w:val="000000"/>
          <w:kern w:val="0"/>
          <w:szCs w:val="21"/>
        </w:rPr>
        <w:t>铜、镍、钴工业污染物排放标准</w:t>
      </w:r>
    </w:p>
    <w:p>
      <w:pPr>
        <w:ind w:firstLine="420" w:firstLineChars="200"/>
        <w:rPr>
          <w:rFonts w:ascii="Times New Roman" w:hAnsi="Times New Roman"/>
          <w:color w:val="000000"/>
          <w:szCs w:val="21"/>
        </w:rPr>
      </w:pPr>
      <w:r>
        <w:rPr>
          <w:rFonts w:ascii="Times New Roman" w:hAnsi="Times New Roman"/>
          <w:color w:val="000000"/>
          <w:szCs w:val="21"/>
        </w:rPr>
        <w:t>GB/T 32161  生态设计产品评价通则</w:t>
      </w:r>
    </w:p>
    <w:p>
      <w:pPr>
        <w:ind w:firstLine="420" w:firstLineChars="200"/>
        <w:rPr>
          <w:rFonts w:ascii="Times New Roman" w:hAnsi="Times New Roman"/>
          <w:color w:val="000000"/>
          <w:szCs w:val="21"/>
        </w:rPr>
      </w:pPr>
      <w:r>
        <w:rPr>
          <w:rFonts w:ascii="Times New Roman" w:hAnsi="Times New Roman"/>
          <w:color w:val="000000"/>
          <w:szCs w:val="21"/>
        </w:rPr>
        <w:t>GB/T 32162  生态设计产品标识</w:t>
      </w:r>
    </w:p>
    <w:p>
      <w:pPr>
        <w:ind w:firstLine="420" w:firstLineChars="200"/>
        <w:rPr>
          <w:rFonts w:ascii="Times New Roman" w:hAnsi="Times New Roman"/>
          <w:color w:val="000000"/>
          <w:szCs w:val="21"/>
        </w:rPr>
      </w:pPr>
      <w:r>
        <w:rPr>
          <w:rFonts w:ascii="Times New Roman" w:hAnsi="Times New Roman"/>
          <w:color w:val="000000"/>
          <w:szCs w:val="21"/>
        </w:rPr>
        <w:t>GB/T 33000  企业安全生产标准化基本规范</w:t>
      </w:r>
    </w:p>
    <w:p>
      <w:pPr>
        <w:pStyle w:val="2"/>
        <w:ind w:firstLine="420" w:firstLineChars="200"/>
      </w:pPr>
      <w:r>
        <w:rPr>
          <w:rFonts w:hint="default" w:ascii="Times New Roman" w:hAnsi="Times New Roman" w:eastAsia="宋体" w:cs="Times New Roman"/>
          <w:color w:val="000000"/>
          <w:kern w:val="2"/>
          <w:sz w:val="21"/>
          <w:szCs w:val="21"/>
          <w:lang w:val="en-US" w:eastAsia="zh-CN" w:bidi="ar"/>
        </w:rPr>
        <w:t xml:space="preserve">GB/T 36132  </w:t>
      </w:r>
      <w:r>
        <w:rPr>
          <w:rFonts w:hint="eastAsia" w:ascii="Times New Roman" w:hAnsi="Times New Roman" w:eastAsia="宋体" w:cs="Times New Roman"/>
          <w:color w:val="000000"/>
          <w:kern w:val="2"/>
          <w:sz w:val="21"/>
          <w:szCs w:val="21"/>
          <w:lang w:val="en-US" w:eastAsia="zh-CN" w:bidi="ar"/>
        </w:rPr>
        <w:t>绿色工厂评价通则</w:t>
      </w:r>
    </w:p>
    <w:p>
      <w:pPr>
        <w:ind w:firstLine="420" w:firstLineChars="200"/>
        <w:rPr>
          <w:rFonts w:ascii="Times New Roman" w:hAnsi="Times New Roman"/>
          <w:color w:val="000000"/>
          <w:szCs w:val="21"/>
        </w:rPr>
      </w:pPr>
      <w:r>
        <w:rPr>
          <w:rFonts w:ascii="Times New Roman" w:hAnsi="Times New Roman"/>
          <w:color w:val="000000"/>
          <w:szCs w:val="21"/>
        </w:rPr>
        <w:t xml:space="preserve">GB/T 45001  </w:t>
      </w:r>
      <w:r>
        <w:rPr>
          <w:rFonts w:hint="eastAsia" w:ascii="Times New Roman" w:hAnsi="Times New Roman"/>
          <w:color w:val="000000"/>
          <w:szCs w:val="21"/>
        </w:rPr>
        <w:t xml:space="preserve">职业健康安全管理体系 </w:t>
      </w:r>
      <w:r>
        <w:rPr>
          <w:rFonts w:ascii="Times New Roman" w:hAnsi="Times New Roman"/>
          <w:color w:val="000000"/>
          <w:szCs w:val="21"/>
        </w:rPr>
        <w:t xml:space="preserve"> </w:t>
      </w:r>
      <w:r>
        <w:rPr>
          <w:rFonts w:hint="eastAsia" w:ascii="Times New Roman" w:hAnsi="Times New Roman"/>
          <w:color w:val="000000"/>
          <w:szCs w:val="21"/>
        </w:rPr>
        <w:t>要求及使用指南</w:t>
      </w:r>
    </w:p>
    <w:bookmarkEnd w:id="8"/>
    <w:p>
      <w:pPr>
        <w:ind w:firstLine="420" w:firstLineChars="200"/>
        <w:rPr>
          <w:rFonts w:ascii="Times New Roman" w:hAnsi="Times New Roman"/>
          <w:color w:val="000000"/>
          <w:szCs w:val="21"/>
        </w:rPr>
      </w:pPr>
      <w:r>
        <w:rPr>
          <w:rFonts w:ascii="Times New Roman" w:hAnsi="Times New Roman"/>
          <w:color w:val="000000"/>
          <w:szCs w:val="21"/>
        </w:rPr>
        <w:t>YS/T 63</w:t>
      </w:r>
      <w:r>
        <w:rPr>
          <w:rFonts w:hint="eastAsia" w:ascii="Times New Roman" w:hAnsi="Times New Roman"/>
          <w:color w:val="000000"/>
          <w:szCs w:val="21"/>
          <w:lang w:val="en-US" w:eastAsia="zh-CN"/>
        </w:rPr>
        <w:t>3</w:t>
      </w:r>
      <w:r>
        <w:rPr>
          <w:rFonts w:ascii="Times New Roman" w:hAnsi="Times New Roman"/>
          <w:color w:val="000000"/>
          <w:szCs w:val="21"/>
        </w:rPr>
        <w:t xml:space="preserve">  四氧化三钴</w:t>
      </w:r>
    </w:p>
    <w:p>
      <w:pPr>
        <w:spacing w:line="24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rPr>
        <w:t>YS/T 1057</w:t>
      </w:r>
      <w:r>
        <w:rPr>
          <w:rFonts w:hint="eastAsia" w:cs="Times New Roman"/>
          <w:color w:val="auto"/>
          <w:lang w:val="en-US" w:eastAsia="zh-CN"/>
        </w:rPr>
        <w:t xml:space="preserve"> </w:t>
      </w:r>
      <w:r>
        <w:rPr>
          <w:rFonts w:hint="default" w:ascii="Times New Roman" w:hAnsi="Times New Roman" w:eastAsia="宋体" w:cs="Times New Roman"/>
          <w:color w:val="auto"/>
        </w:rPr>
        <w:t xml:space="preserve"> 四氧化三钴化学分析方法</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 xml:space="preserve"> 磁性异物含量</w:t>
      </w:r>
      <w:r>
        <w:rPr>
          <w:rFonts w:hint="eastAsia" w:eastAsia="宋体" w:cs="Times New Roman"/>
          <w:color w:val="auto"/>
          <w:lang w:val="en-US" w:eastAsia="zh-CN"/>
        </w:rPr>
        <w:t>的</w:t>
      </w:r>
      <w:r>
        <w:rPr>
          <w:rFonts w:hint="default" w:ascii="Times New Roman" w:hAnsi="Times New Roman" w:eastAsia="宋体" w:cs="Times New Roman"/>
          <w:color w:val="auto"/>
        </w:rPr>
        <w:t>测定</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rPr>
        <w:t xml:space="preserve"> 磁选分离-电感耦合等离子体发射光谱法</w:t>
      </w:r>
    </w:p>
    <w:p>
      <w:pPr>
        <w:ind w:firstLine="420" w:firstLineChars="200"/>
        <w:rPr>
          <w:rFonts w:hint="eastAsia" w:ascii="Times New Roman" w:hAnsi="Times New Roman"/>
          <w:color w:val="000000"/>
          <w:szCs w:val="21"/>
        </w:rPr>
      </w:pPr>
      <w:r>
        <w:rPr>
          <w:rFonts w:hint="default" w:ascii="Times New Roman" w:hAnsi="Times New Roman" w:eastAsia="宋体" w:cs="Times New Roman"/>
          <w:color w:val="000000"/>
          <w:kern w:val="2"/>
          <w:sz w:val="21"/>
          <w:szCs w:val="21"/>
          <w:lang w:val="en-US" w:eastAsia="zh-CN" w:bidi="ar"/>
        </w:rPr>
        <w:t xml:space="preserve">YS/T 1412  </w:t>
      </w:r>
      <w:r>
        <w:rPr>
          <w:rFonts w:hint="eastAsia" w:ascii="Times New Roman" w:hAnsi="Times New Roman" w:eastAsia="宋体" w:cs="宋体"/>
          <w:color w:val="000000"/>
          <w:kern w:val="2"/>
          <w:sz w:val="21"/>
          <w:szCs w:val="21"/>
          <w:lang w:val="en-US" w:eastAsia="zh-CN" w:bidi="ar"/>
        </w:rPr>
        <w:t>钴冶炼企业单位产品能源消耗限额</w:t>
      </w:r>
    </w:p>
    <w:p>
      <w:pPr>
        <w:ind w:firstLine="420" w:firstLineChars="200"/>
        <w:rPr>
          <w:rFonts w:ascii="Times New Roman" w:hAnsi="Times New Roman"/>
          <w:color w:val="000000"/>
          <w:szCs w:val="21"/>
        </w:rPr>
      </w:pPr>
      <w:r>
        <w:rPr>
          <w:rFonts w:hint="eastAsia" w:ascii="Times New Roman" w:hAnsi="Times New Roman"/>
          <w:color w:val="000000"/>
          <w:szCs w:val="21"/>
        </w:rPr>
        <w:t>YS/T xx</w:t>
      </w:r>
      <w:r>
        <w:rPr>
          <w:rFonts w:hint="eastAsia" w:ascii="Times New Roman" w:hAnsi="Times New Roman"/>
          <w:color w:val="000000"/>
          <w:szCs w:val="21"/>
          <w:lang w:val="en-US" w:eastAsia="zh-CN"/>
        </w:rPr>
        <w:t>x</w:t>
      </w:r>
      <w:r>
        <w:rPr>
          <w:rFonts w:hint="eastAsia" w:ascii="Times New Roman" w:hAnsi="Times New Roman"/>
          <w:color w:val="000000"/>
          <w:szCs w:val="21"/>
        </w:rPr>
        <w:t xml:space="preserve">  掺杂型四氧化三钴</w:t>
      </w:r>
    </w:p>
    <w:p>
      <w:pPr>
        <w:pStyle w:val="57"/>
        <w:spacing w:before="240" w:after="240"/>
        <w:rPr>
          <w:rFonts w:hAnsi="黑体"/>
        </w:rPr>
      </w:pPr>
      <w:bookmarkStart w:id="9" w:name="_Toc2755360"/>
      <w:bookmarkStart w:id="10" w:name="_Toc72754523"/>
      <w:bookmarkStart w:id="11" w:name="_Toc5095406"/>
      <w:r>
        <w:rPr>
          <w:rFonts w:hAnsi="黑体"/>
        </w:rPr>
        <w:t>3  术语和定义</w:t>
      </w:r>
      <w:bookmarkEnd w:id="9"/>
      <w:bookmarkEnd w:id="10"/>
      <w:bookmarkEnd w:id="11"/>
    </w:p>
    <w:p>
      <w:pPr>
        <w:ind w:firstLine="420" w:firstLineChars="200"/>
        <w:jc w:val="left"/>
        <w:rPr>
          <w:rFonts w:ascii="Times New Roman" w:hAnsi="Times New Roman"/>
          <w:color w:val="000000"/>
          <w:szCs w:val="21"/>
        </w:rPr>
      </w:pPr>
      <w:r>
        <w:rPr>
          <w:rFonts w:ascii="Times New Roman" w:hAnsi="Times New Roman"/>
          <w:color w:val="000000"/>
          <w:szCs w:val="21"/>
          <w:lang w:val="de-DE"/>
        </w:rPr>
        <w:t>GB/T 32161、GB/T 32162和YS/T 633界定的</w:t>
      </w:r>
      <w:r>
        <w:rPr>
          <w:rFonts w:ascii="Times New Roman" w:hAnsi="Times New Roman"/>
          <w:color w:val="000000"/>
          <w:szCs w:val="21"/>
        </w:rPr>
        <w:t>术语和定义适用于本文件。</w:t>
      </w:r>
      <w:bookmarkStart w:id="12" w:name="_Toc2755361"/>
    </w:p>
    <w:p>
      <w:pPr>
        <w:pStyle w:val="57"/>
        <w:spacing w:before="240" w:after="240"/>
        <w:rPr>
          <w:rFonts w:hAnsi="黑体"/>
        </w:rPr>
      </w:pPr>
      <w:bookmarkStart w:id="13" w:name="_Toc5095407"/>
      <w:bookmarkStart w:id="14" w:name="_Toc72754524"/>
      <w:r>
        <w:rPr>
          <w:rFonts w:hAnsi="黑体"/>
        </w:rPr>
        <w:t>4  评价</w:t>
      </w:r>
      <w:bookmarkEnd w:id="12"/>
      <w:r>
        <w:rPr>
          <w:rFonts w:hAnsi="黑体"/>
        </w:rPr>
        <w:t>要求</w:t>
      </w:r>
      <w:bookmarkEnd w:id="13"/>
      <w:bookmarkEnd w:id="14"/>
    </w:p>
    <w:p>
      <w:pPr>
        <w:pStyle w:val="57"/>
        <w:spacing w:before="120" w:beforeLines="50" w:after="120" w:afterLines="50"/>
        <w:rPr>
          <w:rFonts w:hAnsi="黑体"/>
        </w:rPr>
      </w:pPr>
      <w:bookmarkStart w:id="15" w:name="_Toc72754525"/>
      <w:r>
        <w:rPr>
          <w:rFonts w:hAnsi="黑体"/>
        </w:rPr>
        <w:t>4.1  基本要求</w:t>
      </w:r>
      <w:bookmarkEnd w:id="15"/>
    </w:p>
    <w:p>
      <w:pPr>
        <w:rPr>
          <w:rFonts w:ascii="Times New Roman" w:hAnsi="Times New Roman"/>
          <w:szCs w:val="21"/>
        </w:rPr>
      </w:pPr>
      <w:r>
        <w:rPr>
          <w:rFonts w:hint="eastAsia" w:ascii="黑体" w:hAnsi="黑体" w:eastAsia="黑体"/>
          <w:szCs w:val="21"/>
        </w:rPr>
        <w:t>4.1.1</w:t>
      </w:r>
      <w:r>
        <w:rPr>
          <w:rFonts w:hint="eastAsia" w:ascii="Times New Roman" w:hAnsi="Times New Roman"/>
          <w:szCs w:val="21"/>
        </w:rPr>
        <w:t xml:space="preserve">  </w:t>
      </w:r>
      <w:r>
        <w:rPr>
          <w:rFonts w:ascii="Times New Roman" w:hAnsi="Times New Roman"/>
          <w:szCs w:val="21"/>
        </w:rPr>
        <w:t>企业近三年无重大安全、环境污染和质量事故，</w:t>
      </w:r>
      <w:r>
        <w:rPr>
          <w:rFonts w:hint="eastAsia" w:ascii="Times New Roman" w:hAnsi="Times New Roman"/>
          <w:szCs w:val="21"/>
        </w:rPr>
        <w:t>应</w:t>
      </w:r>
      <w:r>
        <w:rPr>
          <w:rFonts w:ascii="Times New Roman" w:hAnsi="Times New Roman"/>
          <w:szCs w:val="21"/>
        </w:rPr>
        <w:t>设立安环、质量管理机构</w:t>
      </w:r>
      <w:r>
        <w:rPr>
          <w:rFonts w:hint="eastAsia" w:ascii="Times New Roman" w:hAnsi="Times New Roman"/>
          <w:szCs w:val="21"/>
        </w:rPr>
        <w:t>，</w:t>
      </w:r>
      <w:r>
        <w:rPr>
          <w:rFonts w:ascii="Times New Roman" w:hAnsi="Times New Roman"/>
          <w:szCs w:val="21"/>
        </w:rPr>
        <w:t>并配置专职管理人员。</w:t>
      </w:r>
    </w:p>
    <w:p>
      <w:pPr>
        <w:rPr>
          <w:rFonts w:ascii="Times New Roman" w:hAnsi="Times New Roman"/>
          <w:szCs w:val="21"/>
        </w:rPr>
      </w:pPr>
      <w:r>
        <w:rPr>
          <w:rFonts w:ascii="黑体" w:hAnsi="黑体" w:eastAsia="黑体"/>
          <w:szCs w:val="21"/>
        </w:rPr>
        <w:t>4.1</w:t>
      </w:r>
      <w:r>
        <w:rPr>
          <w:rFonts w:hint="eastAsia" w:ascii="黑体" w:hAnsi="黑体" w:eastAsia="黑体"/>
          <w:szCs w:val="21"/>
        </w:rPr>
        <w:t>.</w:t>
      </w:r>
      <w:r>
        <w:rPr>
          <w:rFonts w:ascii="黑体" w:hAnsi="黑体" w:eastAsia="黑体"/>
          <w:szCs w:val="21"/>
        </w:rPr>
        <w:t>2</w:t>
      </w:r>
      <w:r>
        <w:rPr>
          <w:rFonts w:ascii="Times New Roman" w:hAnsi="Times New Roman"/>
          <w:szCs w:val="21"/>
        </w:rPr>
        <w:t xml:space="preserve">  </w:t>
      </w:r>
      <w:r>
        <w:rPr>
          <w:rFonts w:ascii="Times New Roman" w:hAnsi="Times New Roman"/>
          <w:szCs w:val="21"/>
        </w:rPr>
        <w:tab/>
      </w:r>
      <w:r>
        <w:rPr>
          <w:rFonts w:ascii="Times New Roman" w:hAnsi="Times New Roman"/>
          <w:szCs w:val="21"/>
        </w:rPr>
        <w:t>企业污染物的排放应符合国家或地方法律法规及标准要求</w:t>
      </w:r>
      <w:r>
        <w:rPr>
          <w:rFonts w:hint="eastAsia" w:ascii="Times New Roman" w:hAnsi="Times New Roman"/>
          <w:szCs w:val="21"/>
          <w:lang w:val="en-US" w:eastAsia="zh-CN"/>
        </w:rPr>
        <w:t>，</w:t>
      </w:r>
      <w:r>
        <w:rPr>
          <w:rFonts w:ascii="Times New Roman" w:hAnsi="Times New Roman"/>
          <w:szCs w:val="21"/>
        </w:rPr>
        <w:t>污染物排放总量</w:t>
      </w:r>
      <w:r>
        <w:rPr>
          <w:rFonts w:hint="eastAsia" w:ascii="Times New Roman" w:hAnsi="Times New Roman"/>
          <w:szCs w:val="21"/>
        </w:rPr>
        <w:t>和</w:t>
      </w:r>
      <w:r>
        <w:rPr>
          <w:rFonts w:ascii="Times New Roman" w:hAnsi="Times New Roman"/>
          <w:szCs w:val="21"/>
        </w:rPr>
        <w:t>排放浓度应达到排污许可证的要求。</w:t>
      </w:r>
    </w:p>
    <w:p>
      <w:pPr>
        <w:rPr>
          <w:rFonts w:ascii="Times New Roman" w:hAnsi="Times New Roman"/>
          <w:szCs w:val="21"/>
        </w:rPr>
      </w:pPr>
      <w:r>
        <w:rPr>
          <w:rFonts w:ascii="黑体" w:hAnsi="黑体" w:eastAsia="黑体"/>
          <w:szCs w:val="21"/>
        </w:rPr>
        <w:t>4.1.3</w:t>
      </w:r>
      <w:r>
        <w:rPr>
          <w:rFonts w:ascii="Times New Roman" w:hAnsi="Times New Roman"/>
          <w:szCs w:val="21"/>
        </w:rPr>
        <w:t xml:space="preserve">  清洁生产应达到国内先进水平</w:t>
      </w:r>
      <w:r>
        <w:rPr>
          <w:rFonts w:hint="eastAsia" w:ascii="Times New Roman" w:hAnsi="Times New Roman"/>
          <w:szCs w:val="21"/>
        </w:rPr>
        <w:t>，</w:t>
      </w:r>
      <w:r>
        <w:rPr>
          <w:rFonts w:hint="eastAsia" w:ascii="宋体" w:hAnsi="宋体"/>
          <w:color w:val="000000" w:themeColor="text1"/>
          <w:szCs w:val="21"/>
          <w14:textFill>
            <w14:solidFill>
              <w14:schemeClr w14:val="tx1"/>
            </w14:solidFill>
          </w14:textFill>
        </w:rPr>
        <w:t>宜参照《镍钴行业清洁生产评价指标体系》进行</w:t>
      </w:r>
      <w:r>
        <w:rPr>
          <w:rFonts w:ascii="宋体" w:hAnsi="宋体"/>
          <w:color w:val="000000" w:themeColor="text1"/>
          <w:szCs w:val="21"/>
          <w14:textFill>
            <w14:solidFill>
              <w14:schemeClr w14:val="tx1"/>
            </w14:solidFill>
          </w14:textFill>
        </w:rPr>
        <w:t>判定</w:t>
      </w:r>
      <w:r>
        <w:rPr>
          <w:rFonts w:ascii="Times New Roman" w:hAnsi="Times New Roman"/>
          <w:szCs w:val="21"/>
        </w:rPr>
        <w:t>。</w:t>
      </w:r>
    </w:p>
    <w:p>
      <w:pPr>
        <w:rPr>
          <w:rFonts w:ascii="Times New Roman" w:hAnsi="Times New Roman"/>
          <w:szCs w:val="21"/>
        </w:rPr>
      </w:pPr>
      <w:r>
        <w:rPr>
          <w:rFonts w:ascii="黑体" w:hAnsi="黑体" w:eastAsia="黑体"/>
          <w:szCs w:val="21"/>
        </w:rPr>
        <w:t>4.1.4</w:t>
      </w:r>
      <w:r>
        <w:rPr>
          <w:rFonts w:ascii="Times New Roman" w:hAnsi="Times New Roman"/>
          <w:szCs w:val="21"/>
        </w:rPr>
        <w:t xml:space="preserve">  企业安全管理应达到GB/T 33000的要求，并按照GB/T 19001、GB/T 23331、GB/T 24001、GB/T 45001分别建立、实施、保持并持续改进质量管理体系、能源管理体系、环境管理体系和职业健康安全管理体系。</w:t>
      </w:r>
    </w:p>
    <w:p>
      <w:pPr>
        <w:rPr>
          <w:rFonts w:ascii="Times New Roman" w:hAnsi="Times New Roman"/>
          <w:szCs w:val="21"/>
        </w:rPr>
      </w:pPr>
      <w:r>
        <w:rPr>
          <w:rFonts w:ascii="黑体" w:hAnsi="黑体" w:eastAsia="黑体"/>
          <w:szCs w:val="21"/>
        </w:rPr>
        <w:t xml:space="preserve">4.1.5 </w:t>
      </w:r>
      <w:r>
        <w:rPr>
          <w:rFonts w:ascii="Times New Roman" w:hAnsi="Times New Roman"/>
          <w:szCs w:val="21"/>
        </w:rPr>
        <w:t xml:space="preserve"> </w:t>
      </w:r>
      <w:r>
        <w:rPr>
          <w:rFonts w:ascii="Times New Roman" w:hAnsi="Times New Roman"/>
          <w:szCs w:val="21"/>
        </w:rPr>
        <w:tab/>
      </w:r>
      <w:r>
        <w:rPr>
          <w:rFonts w:ascii="Times New Roman" w:hAnsi="Times New Roman"/>
          <w:szCs w:val="21"/>
        </w:rPr>
        <w:t>企业应按照GB 17167配备能源计量器具，按照GB 24789配备水计量器具，并根据环保法律法规和标准要求配备污染物检测设备。</w:t>
      </w:r>
    </w:p>
    <w:p>
      <w:pPr>
        <w:rPr>
          <w:rFonts w:ascii="Times New Roman" w:hAnsi="Times New Roman"/>
          <w:szCs w:val="21"/>
        </w:rPr>
      </w:pPr>
      <w:r>
        <w:rPr>
          <w:rFonts w:hint="default" w:ascii="黑体" w:hAnsi="黑体" w:eastAsia="黑体" w:cs="Times New Roman"/>
          <w:color w:val="000000"/>
          <w:sz w:val="21"/>
          <w:szCs w:val="21"/>
          <w:lang w:val="en-US" w:eastAsia="zh-CN"/>
        </w:rPr>
        <w:t xml:space="preserve">4.1.6 </w:t>
      </w:r>
      <w:r>
        <w:rPr>
          <w:rFonts w:hint="eastAsia" w:ascii="Times New Roman" w:hAnsi="Times New Roman" w:cs="Times New Roman"/>
          <w:color w:val="000000"/>
          <w:sz w:val="24"/>
          <w:szCs w:val="24"/>
          <w:lang w:val="en-US" w:eastAsia="zh-CN"/>
        </w:rPr>
        <w:t xml:space="preserve"> </w:t>
      </w:r>
      <w:r>
        <w:rPr>
          <w:rFonts w:ascii="Times New Roman" w:hAnsi="Times New Roman" w:eastAsia="宋体" w:cs="Times New Roman"/>
          <w:color w:val="000000"/>
          <w:sz w:val="21"/>
          <w:szCs w:val="21"/>
        </w:rPr>
        <w:t>企业生产的四氧化三钴产品应符合YS/T</w:t>
      </w:r>
      <w:r>
        <w:rPr>
          <w:rFonts w:hint="eastAsia" w:ascii="Times New Roman" w:hAnsi="Times New Roman" w:cs="Times New Roman"/>
          <w:color w:val="000000"/>
          <w:sz w:val="21"/>
          <w:szCs w:val="21"/>
          <w:lang w:val="en-US" w:eastAsia="zh-CN"/>
        </w:rPr>
        <w:t xml:space="preserve"> </w:t>
      </w:r>
      <w:r>
        <w:rPr>
          <w:rFonts w:ascii="Times New Roman" w:hAnsi="Times New Roman" w:eastAsia="宋体" w:cs="Times New Roman"/>
          <w:color w:val="000000"/>
          <w:sz w:val="21"/>
          <w:szCs w:val="21"/>
        </w:rPr>
        <w:t>633</w:t>
      </w:r>
      <w:r>
        <w:rPr>
          <w:rFonts w:hint="eastAsia" w:ascii="Times New Roman" w:hAnsi="Times New Roman" w:eastAsia="宋体" w:cs="Times New Roman"/>
          <w:color w:val="000000"/>
          <w:sz w:val="21"/>
          <w:szCs w:val="21"/>
          <w:lang w:eastAsia="zh-CN"/>
        </w:rPr>
        <w:t>或</w:t>
      </w:r>
      <w:r>
        <w:rPr>
          <w:rFonts w:hint="eastAsia" w:ascii="Times New Roman" w:hAnsi="Times New Roman" w:eastAsia="宋体" w:cs="Times New Roman"/>
          <w:color w:val="000000"/>
          <w:sz w:val="21"/>
          <w:szCs w:val="21"/>
          <w:lang w:val="en-US" w:eastAsia="zh-CN"/>
        </w:rPr>
        <w:t xml:space="preserve">YS/T xx（掺杂型四氧化三钴 </w:t>
      </w:r>
      <w:r>
        <w:rPr>
          <w:rFonts w:hint="eastAsia" w:ascii="Times New Roman" w:hAnsi="Times New Roman" w:cs="Times New Roman"/>
          <w:color w:val="000000"/>
          <w:sz w:val="21"/>
          <w:szCs w:val="21"/>
          <w:lang w:val="en-US" w:eastAsia="zh-CN"/>
        </w:rPr>
        <w:t>已报批</w:t>
      </w:r>
      <w:r>
        <w:rPr>
          <w:rFonts w:hint="eastAsia" w:ascii="Times New Roman" w:hAnsi="Times New Roman" w:eastAsia="宋体" w:cs="Times New Roman"/>
          <w:color w:val="000000"/>
          <w:sz w:val="21"/>
          <w:szCs w:val="21"/>
          <w:lang w:val="en-US" w:eastAsia="zh-CN"/>
        </w:rPr>
        <w:t>）</w:t>
      </w:r>
      <w:r>
        <w:rPr>
          <w:rFonts w:ascii="Times New Roman" w:hAnsi="Times New Roman" w:eastAsia="宋体" w:cs="Times New Roman"/>
          <w:color w:val="000000"/>
          <w:sz w:val="21"/>
          <w:szCs w:val="21"/>
        </w:rPr>
        <w:t>的规定。</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7</w:t>
      </w:r>
      <w:r>
        <w:rPr>
          <w:rFonts w:ascii="Times New Roman" w:hAnsi="Times New Roman"/>
          <w:szCs w:val="21"/>
        </w:rPr>
        <w:t xml:space="preserve">  四氧化三钴冶炼固</w:t>
      </w:r>
      <w:r>
        <w:rPr>
          <w:rFonts w:hint="eastAsia" w:ascii="Times New Roman" w:hAnsi="Times New Roman"/>
          <w:szCs w:val="21"/>
        </w:rPr>
        <w:t>体废</w:t>
      </w:r>
      <w:r>
        <w:rPr>
          <w:rFonts w:ascii="Times New Roman" w:hAnsi="Times New Roman"/>
          <w:szCs w:val="21"/>
        </w:rPr>
        <w:t>物应进行无害化</w:t>
      </w:r>
      <w:r>
        <w:rPr>
          <w:rFonts w:hint="eastAsia" w:ascii="Times New Roman" w:hAnsi="Times New Roman"/>
          <w:szCs w:val="21"/>
        </w:rPr>
        <w:t>、</w:t>
      </w:r>
      <w:r>
        <w:rPr>
          <w:rFonts w:ascii="Times New Roman" w:hAnsi="Times New Roman"/>
          <w:szCs w:val="21"/>
        </w:rPr>
        <w:t>资源化处理，</w:t>
      </w:r>
      <w:r>
        <w:rPr>
          <w:rFonts w:ascii="Times New Roman" w:hAnsi="Times New Roman" w:eastAsia="宋体" w:cs="Times New Roman"/>
          <w:color w:val="000000"/>
          <w:sz w:val="21"/>
          <w:szCs w:val="21"/>
        </w:rPr>
        <w:t>根据固体废物性质鉴别的结果</w:t>
      </w:r>
      <w:r>
        <w:rPr>
          <w:rFonts w:hint="eastAsia" w:ascii="Times New Roman" w:hAnsi="Times New Roman" w:cs="Times New Roman"/>
          <w:color w:val="000000"/>
          <w:sz w:val="21"/>
          <w:szCs w:val="21"/>
          <w:lang w:eastAsia="zh-CN"/>
        </w:rPr>
        <w:t>，</w:t>
      </w:r>
      <w:r>
        <w:rPr>
          <w:rFonts w:ascii="Times New Roman" w:hAnsi="Times New Roman"/>
          <w:szCs w:val="21"/>
        </w:rPr>
        <w:t>一般固体废弃物按照GB 18599的要求进行</w:t>
      </w:r>
      <w:r>
        <w:rPr>
          <w:rFonts w:ascii="Times New Roman" w:hAnsi="Times New Roman"/>
          <w:szCs w:val="21"/>
          <w:highlight w:val="none"/>
        </w:rPr>
        <w:t>管控，</w:t>
      </w:r>
      <w:r>
        <w:rPr>
          <w:rFonts w:ascii="Times New Roman" w:hAnsi="Times New Roman"/>
          <w:szCs w:val="21"/>
        </w:rPr>
        <w:t>危险</w:t>
      </w:r>
      <w:r>
        <w:rPr>
          <w:rFonts w:hint="eastAsia" w:ascii="Times New Roman" w:hAnsi="Times New Roman"/>
          <w:szCs w:val="21"/>
        </w:rPr>
        <w:t>固体废物</w:t>
      </w:r>
      <w:r>
        <w:rPr>
          <w:rFonts w:ascii="Times New Roman" w:hAnsi="Times New Roman"/>
          <w:szCs w:val="21"/>
        </w:rPr>
        <w:t>按照GB 18597的要求进行</w:t>
      </w:r>
      <w:r>
        <w:rPr>
          <w:rFonts w:hint="eastAsia" w:ascii="Times New Roman" w:hAnsi="Times New Roman"/>
          <w:szCs w:val="21"/>
        </w:rPr>
        <w:t>管控</w:t>
      </w:r>
      <w:r>
        <w:rPr>
          <w:rFonts w:ascii="Times New Roman" w:hAnsi="Times New Roman"/>
          <w:szCs w:val="21"/>
        </w:rPr>
        <w:t>。</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8</w:t>
      </w:r>
      <w:r>
        <w:rPr>
          <w:rFonts w:ascii="黑体" w:hAnsi="黑体" w:eastAsia="黑体"/>
          <w:szCs w:val="21"/>
        </w:rPr>
        <w:t xml:space="preserve"> </w:t>
      </w:r>
      <w:r>
        <w:rPr>
          <w:rFonts w:ascii="Times New Roman" w:hAnsi="Times New Roman"/>
          <w:szCs w:val="21"/>
        </w:rPr>
        <w:t xml:space="preserve"> 产品说明书中应包含有害物质使用、需特殊处理材料及产品废弃后循环利用的相关说明要求。产品包装材料应采用可再生利用或可降解材料。</w:t>
      </w:r>
    </w:p>
    <w:p>
      <w:pPr>
        <w:rPr>
          <w:rFonts w:ascii="Times New Roman" w:hAnsi="Times New Roman"/>
          <w:szCs w:val="21"/>
        </w:rPr>
      </w:pPr>
      <w:r>
        <w:rPr>
          <w:rFonts w:ascii="黑体" w:hAnsi="黑体" w:eastAsia="黑体"/>
          <w:szCs w:val="21"/>
        </w:rPr>
        <w:t>4.1.</w:t>
      </w:r>
      <w:r>
        <w:rPr>
          <w:rFonts w:hint="eastAsia" w:ascii="黑体" w:hAnsi="黑体" w:eastAsia="黑体"/>
          <w:szCs w:val="21"/>
          <w:lang w:val="en-US" w:eastAsia="zh-CN"/>
        </w:rPr>
        <w:t>9</w:t>
      </w:r>
      <w:r>
        <w:rPr>
          <w:rFonts w:ascii="黑体" w:hAnsi="黑体" w:eastAsia="黑体"/>
          <w:szCs w:val="21"/>
        </w:rPr>
        <w:t xml:space="preserve"> </w:t>
      </w:r>
      <w:r>
        <w:rPr>
          <w:rFonts w:ascii="Times New Roman" w:hAnsi="Times New Roman"/>
          <w:szCs w:val="21"/>
        </w:rPr>
        <w:t xml:space="preserve"> 企业</w:t>
      </w:r>
      <w:r>
        <w:rPr>
          <w:rFonts w:hint="eastAsia" w:ascii="Times New Roman" w:hAnsi="Times New Roman"/>
          <w:szCs w:val="21"/>
        </w:rPr>
        <w:t>宜</w:t>
      </w:r>
      <w:r>
        <w:rPr>
          <w:rFonts w:ascii="Times New Roman" w:hAnsi="Times New Roman"/>
          <w:szCs w:val="21"/>
        </w:rPr>
        <w:t>采用国家鼓励的先进技术和工艺，不应使用国家或相关部门发布的淘汰或禁止的技术、工艺、装备及相关物质。</w:t>
      </w:r>
    </w:p>
    <w:p>
      <w:pPr>
        <w:pStyle w:val="57"/>
        <w:spacing w:before="120" w:beforeLines="50" w:after="120" w:afterLines="50"/>
        <w:rPr>
          <w:rFonts w:hAnsi="黑体"/>
        </w:rPr>
      </w:pPr>
      <w:bookmarkStart w:id="16" w:name="_Toc72754526"/>
      <w:r>
        <w:rPr>
          <w:rFonts w:hAnsi="黑体"/>
        </w:rPr>
        <w:t>4.2  评价指标要求</w:t>
      </w:r>
      <w:bookmarkEnd w:id="16"/>
    </w:p>
    <w:p>
      <w:pPr>
        <w:ind w:firstLine="420" w:firstLineChars="200"/>
        <w:jc w:val="left"/>
        <w:rPr>
          <w:rFonts w:ascii="Times New Roman" w:hAnsi="Times New Roman"/>
          <w:color w:val="000000"/>
          <w:szCs w:val="21"/>
        </w:rPr>
      </w:pPr>
      <w:r>
        <w:rPr>
          <w:rFonts w:ascii="Times New Roman" w:hAnsi="Times New Roman"/>
          <w:color w:val="000000"/>
          <w:szCs w:val="21"/>
        </w:rPr>
        <w:t>四氧化三钴产品评价指标由一级指标和二级指标组成。一级指标包含资源属性指标、能源属性指标、环境属性指标和产品属性指标。二级指标是对一级指标的具体化，明确规定所要达到的具体数值</w:t>
      </w:r>
      <w:r>
        <w:rPr>
          <w:rFonts w:hint="eastAsia" w:ascii="Times New Roman" w:hAnsi="Times New Roman"/>
          <w:color w:val="000000"/>
          <w:szCs w:val="21"/>
        </w:rPr>
        <w:t>。</w:t>
      </w:r>
      <w:r>
        <w:rPr>
          <w:rFonts w:ascii="Times New Roman" w:hAnsi="Times New Roman"/>
          <w:color w:val="000000"/>
          <w:szCs w:val="21"/>
        </w:rPr>
        <w:t>具体见表1。</w:t>
      </w:r>
      <w:r>
        <w:rPr>
          <w:rFonts w:hint="eastAsia" w:ascii="Times New Roman" w:hAnsi="Times New Roman"/>
          <w:color w:val="000000"/>
          <w:szCs w:val="21"/>
        </w:rPr>
        <w:t>本标准</w:t>
      </w:r>
      <w:r>
        <w:rPr>
          <w:rFonts w:ascii="Times New Roman" w:hAnsi="Times New Roman"/>
          <w:color w:val="000000"/>
          <w:szCs w:val="21"/>
        </w:rPr>
        <w:t>的功能单位</w:t>
      </w:r>
      <w:r>
        <w:rPr>
          <w:rFonts w:hint="eastAsia" w:ascii="Times New Roman" w:hAnsi="Times New Roman"/>
          <w:color w:val="000000"/>
          <w:szCs w:val="21"/>
        </w:rPr>
        <w:t>为生</w:t>
      </w:r>
      <w:r>
        <w:rPr>
          <w:rFonts w:ascii="Times New Roman" w:hAnsi="Times New Roman"/>
          <w:color w:val="000000"/>
          <w:szCs w:val="21"/>
        </w:rPr>
        <w:t>产1t符合</w:t>
      </w:r>
      <w:r>
        <w:rPr>
          <w:rFonts w:hint="eastAsia" w:ascii="Times New Roman" w:hAnsi="Times New Roman"/>
          <w:color w:val="000000"/>
          <w:szCs w:val="21"/>
        </w:rPr>
        <w:t>质量要求的四氧化三钴。</w:t>
      </w:r>
    </w:p>
    <w:p>
      <w:pPr>
        <w:adjustRightInd w:val="0"/>
        <w:snapToGrid w:val="0"/>
        <w:spacing w:before="120" w:beforeLines="50" w:after="120" w:afterLines="50"/>
        <w:jc w:val="center"/>
        <w:rPr>
          <w:rFonts w:ascii="黑体" w:hAnsi="黑体" w:eastAsia="黑体"/>
          <w:color w:val="000000"/>
          <w:szCs w:val="21"/>
        </w:rPr>
      </w:pPr>
      <w:r>
        <w:rPr>
          <w:rFonts w:ascii="黑体" w:hAnsi="黑体" w:eastAsia="黑体"/>
          <w:color w:val="000000"/>
          <w:szCs w:val="21"/>
        </w:rPr>
        <w:t>表1  四氧化三钴</w:t>
      </w:r>
      <w:r>
        <w:rPr>
          <w:rFonts w:hint="eastAsia" w:ascii="黑体" w:hAnsi="黑体" w:eastAsia="黑体"/>
          <w:color w:val="000000"/>
          <w:szCs w:val="21"/>
        </w:rPr>
        <w:t>绿色设计</w:t>
      </w:r>
      <w:r>
        <w:rPr>
          <w:rFonts w:ascii="黑体" w:hAnsi="黑体" w:eastAsia="黑体"/>
          <w:color w:val="000000"/>
          <w:szCs w:val="21"/>
        </w:rPr>
        <w:t>产品评价指标要求</w:t>
      </w:r>
    </w:p>
    <w:tbl>
      <w:tblPr>
        <w:tblStyle w:val="1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2463"/>
        <w:gridCol w:w="850"/>
        <w:gridCol w:w="1150"/>
        <w:gridCol w:w="2170"/>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4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一级指标</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二级指标</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单位</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基准值</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判定依据</w:t>
            </w:r>
          </w:p>
        </w:tc>
        <w:tc>
          <w:tcPr>
            <w:tcW w:w="95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jc w:val="center"/>
        </w:trPr>
        <w:tc>
          <w:tcPr>
            <w:tcW w:w="940"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资源</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属性</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钴冶炼综合回收率</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highlight w:val="none"/>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单位产品新鲜水耗</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m</w:t>
            </w:r>
            <w:r>
              <w:rPr>
                <w:rFonts w:hint="default" w:ascii="Times New Roman" w:hAnsi="Times New Roman" w:cs="Times New Roman"/>
                <w:color w:val="000000"/>
                <w:sz w:val="18"/>
                <w:szCs w:val="18"/>
                <w:highlight w:val="none"/>
                <w:vertAlign w:val="superscript"/>
              </w:rPr>
              <w:t>3</w:t>
            </w:r>
            <w:r>
              <w:rPr>
                <w:rFonts w:hint="default" w:ascii="Times New Roman" w:hAnsi="Times New Roman" w:cs="Times New Roman"/>
                <w:color w:val="000000"/>
                <w:sz w:val="18"/>
                <w:szCs w:val="18"/>
                <w:highlight w:val="none"/>
              </w:rPr>
              <w:t>/t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≤70</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工业用水重复利用率</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≥9</w:t>
            </w:r>
            <w:r>
              <w:rPr>
                <w:rFonts w:hint="default" w:ascii="Times New Roman" w:hAnsi="Times New Roman" w:cs="Times New Roman"/>
                <w:color w:val="000000"/>
                <w:sz w:val="18"/>
                <w:szCs w:val="18"/>
                <w:lang w:val="en-US" w:eastAsia="zh-CN"/>
              </w:rPr>
              <w:t>5</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依据《镍钴行业清洁生产评价指标体系》计算</w:t>
            </w:r>
          </w:p>
        </w:tc>
        <w:tc>
          <w:tcPr>
            <w:tcW w:w="95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能源</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属性</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（钴精矿-钴液）</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单位产品综合能耗</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kgce/t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（粗盐中间品-钴液）</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单位产品综合能耗</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kgce/t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≤350</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（钴合金料-钴液）</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单位产品综合能耗</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kgce/t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≤5800</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（钴液-煅烧系四氧化三钴）单位产品综合能耗</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kgce/t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800</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（钴液-喷雾系四氧化三钴）单位产品综合能耗</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kgce/t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400</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属性</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磁性异物</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≤0.00001</w:t>
            </w:r>
            <w:r>
              <w:rPr>
                <w:rFonts w:hint="default" w:ascii="Times New Roman" w:hAnsi="Times New Roman" w:cs="Times New Roman"/>
                <w:color w:val="000000"/>
                <w:sz w:val="18"/>
                <w:szCs w:val="18"/>
                <w:lang w:val="en-US" w:eastAsia="zh-CN"/>
              </w:rPr>
              <w:t>2</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 xml:space="preserve">依据YS/T </w:t>
            </w:r>
            <w:r>
              <w:rPr>
                <w:rFonts w:hint="default" w:ascii="Times New Roman" w:hAnsi="Times New Roman" w:cs="Times New Roman"/>
                <w:color w:val="000000"/>
                <w:sz w:val="18"/>
                <w:szCs w:val="18"/>
                <w:lang w:val="en-US" w:eastAsia="zh-CN"/>
              </w:rPr>
              <w:t>1057</w:t>
            </w:r>
            <w:r>
              <w:rPr>
                <w:rFonts w:hint="default" w:ascii="Times New Roman" w:hAnsi="Times New Roman" w:cs="Times New Roman"/>
                <w:color w:val="000000"/>
                <w:sz w:val="18"/>
                <w:szCs w:val="18"/>
              </w:rPr>
              <w:t>标准检测</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rPr>
              <w:t>氧化亚钴相</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5</w:t>
            </w:r>
          </w:p>
        </w:tc>
        <w:tc>
          <w:tcPr>
            <w:tcW w:w="21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依据YS/T 633标准检测</w:t>
            </w:r>
          </w:p>
        </w:tc>
        <w:tc>
          <w:tcPr>
            <w:tcW w:w="95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bl>
    <w:p>
      <w:pPr>
        <w:adjustRightInd w:val="0"/>
        <w:snapToGrid w:val="0"/>
        <w:jc w:val="center"/>
        <w:rPr>
          <w:rFonts w:ascii="黑体" w:hAnsi="黑体" w:eastAsia="黑体"/>
          <w:color w:val="000000"/>
          <w:szCs w:val="21"/>
        </w:rPr>
      </w:pPr>
      <w:bookmarkStart w:id="17" w:name="_Toc72754527"/>
    </w:p>
    <w:p>
      <w:pPr>
        <w:adjustRightInd w:val="0"/>
        <w:snapToGrid w:val="0"/>
        <w:spacing w:before="157" w:after="157"/>
        <w:jc w:val="center"/>
        <w:rPr>
          <w:rFonts w:hAnsi="黑体"/>
        </w:rPr>
      </w:pPr>
      <w:r>
        <w:rPr>
          <w:rFonts w:ascii="黑体" w:hAnsi="黑体" w:eastAsia="黑体"/>
          <w:color w:val="000000"/>
          <w:szCs w:val="21"/>
        </w:rPr>
        <w:t xml:space="preserve">表1  </w:t>
      </w:r>
      <w:r>
        <w:rPr>
          <w:rFonts w:hint="eastAsia" w:ascii="宋体" w:hAnsi="宋体" w:eastAsia="宋体" w:cs="宋体"/>
          <w:color w:val="000000"/>
          <w:sz w:val="18"/>
          <w:szCs w:val="18"/>
          <w:lang w:eastAsia="zh-CN"/>
        </w:rPr>
        <w:t>（续）</w:t>
      </w:r>
    </w:p>
    <w:tbl>
      <w:tblPr>
        <w:tblStyle w:val="1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2463"/>
        <w:gridCol w:w="850"/>
        <w:gridCol w:w="1150"/>
        <w:gridCol w:w="2187"/>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4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一级指标</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二级指标</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单位</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基准值</w:t>
            </w:r>
          </w:p>
        </w:tc>
        <w:tc>
          <w:tcPr>
            <w:tcW w:w="218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判定依据</w:t>
            </w:r>
          </w:p>
        </w:tc>
        <w:tc>
          <w:tcPr>
            <w:tcW w:w="93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94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属性</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振实密度</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g/cm</w:t>
            </w:r>
            <w:r>
              <w:rPr>
                <w:rFonts w:hint="default" w:ascii="Times New Roman" w:hAnsi="Times New Roman" w:cs="Times New Roman"/>
                <w:color w:val="000000"/>
                <w:sz w:val="18"/>
                <w:szCs w:val="18"/>
                <w:vertAlign w:val="superscript"/>
              </w:rPr>
              <w:t>3</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szCs w:val="18"/>
                <w:lang w:val="en-US" w:eastAsia="zh-CN"/>
              </w:rPr>
              <w:t>.0</w:t>
            </w:r>
          </w:p>
        </w:tc>
        <w:tc>
          <w:tcPr>
            <w:tcW w:w="218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依据</w:t>
            </w:r>
            <w:r>
              <w:rPr>
                <w:rFonts w:hint="default" w:ascii="Times New Roman" w:hAnsi="Times New Roman" w:cs="Times New Roman"/>
                <w:color w:val="000000"/>
                <w:sz w:val="18"/>
                <w:szCs w:val="18"/>
                <w:lang w:val="en-US" w:eastAsia="zh-CN"/>
              </w:rPr>
              <w:t>GB/T 5162</w:t>
            </w:r>
            <w:r>
              <w:rPr>
                <w:rFonts w:hint="default" w:ascii="Times New Roman" w:hAnsi="Times New Roman" w:cs="Times New Roman"/>
                <w:color w:val="000000"/>
                <w:sz w:val="18"/>
                <w:szCs w:val="18"/>
              </w:rPr>
              <w:t>标准检测</w:t>
            </w:r>
          </w:p>
        </w:tc>
        <w:tc>
          <w:tcPr>
            <w:tcW w:w="93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940"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属性</w:t>
            </w: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大气污染物排放限值</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mg/m</w:t>
            </w:r>
            <w:r>
              <w:rPr>
                <w:rFonts w:hint="default" w:ascii="Times New Roman" w:hAnsi="Times New Roman" w:cs="Times New Roman"/>
                <w:color w:val="000000"/>
                <w:sz w:val="18"/>
                <w:szCs w:val="18"/>
                <w:vertAlign w:val="superscript"/>
              </w:rPr>
              <w:t>3</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符合GB 25467标准中新建企业及以上要求</w:t>
            </w:r>
          </w:p>
        </w:tc>
        <w:tc>
          <w:tcPr>
            <w:tcW w:w="218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依据GB 25467标准检测</w:t>
            </w:r>
          </w:p>
        </w:tc>
        <w:tc>
          <w:tcPr>
            <w:tcW w:w="93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水污染物排放限值</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mg/L</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符合GB 25467标准中新建企业及以上要求</w:t>
            </w:r>
          </w:p>
        </w:tc>
        <w:tc>
          <w:tcPr>
            <w:tcW w:w="218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依据GB 25467标准检测</w:t>
            </w:r>
          </w:p>
        </w:tc>
        <w:tc>
          <w:tcPr>
            <w:tcW w:w="93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940"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p>
        </w:tc>
        <w:tc>
          <w:tcPr>
            <w:tcW w:w="2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rPr>
              <w:t>工业</w:t>
            </w:r>
            <w:r>
              <w:rPr>
                <w:rFonts w:hint="default" w:ascii="Times New Roman" w:hAnsi="Times New Roman" w:cs="Times New Roman"/>
                <w:color w:val="000000"/>
                <w:sz w:val="18"/>
                <w:szCs w:val="18"/>
              </w:rPr>
              <w:t>固体废物综合利用率</w:t>
            </w:r>
          </w:p>
        </w:tc>
        <w:tc>
          <w:tcPr>
            <w:tcW w:w="8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115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≥9</w:t>
            </w:r>
            <w:r>
              <w:rPr>
                <w:rFonts w:hint="default" w:ascii="Times New Roman" w:hAnsi="Times New Roman" w:cs="Times New Roman"/>
                <w:color w:val="000000"/>
                <w:sz w:val="18"/>
                <w:szCs w:val="18"/>
                <w:lang w:val="en-US" w:eastAsia="zh-CN"/>
              </w:rPr>
              <w:t>0</w:t>
            </w:r>
          </w:p>
        </w:tc>
        <w:tc>
          <w:tcPr>
            <w:tcW w:w="218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统计数据</w:t>
            </w:r>
          </w:p>
        </w:tc>
        <w:tc>
          <w:tcPr>
            <w:tcW w:w="93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8528" w:type="dxa"/>
            <w:gridSpan w:val="6"/>
            <w:shd w:val="clear" w:color="auto" w:fill="auto"/>
            <w:vAlign w:val="center"/>
          </w:tcPr>
          <w:p>
            <w:pPr>
              <w:keepNext w:val="0"/>
              <w:keepLines w:val="0"/>
              <w:suppressLineNumbers w:val="0"/>
              <w:spacing w:before="0" w:beforeAutospacing="0" w:after="0" w:afterAutospacing="0"/>
              <w:ind w:left="0" w:right="0" w:firstLine="360" w:firstLineChars="200"/>
              <w:jc w:val="both"/>
              <w:rPr>
                <w:rFonts w:hint="default" w:ascii="Times New Roman" w:hAnsi="Times New Roman" w:cs="Times New Roman"/>
                <w:color w:val="000000"/>
                <w:sz w:val="18"/>
                <w:szCs w:val="18"/>
              </w:rPr>
            </w:pPr>
            <w:r>
              <w:rPr>
                <w:rFonts w:hint="default" w:ascii="Times New Roman" w:hAnsi="Times New Roman" w:eastAsia="黑体" w:cs="Times New Roman"/>
                <w:color w:val="000000"/>
                <w:sz w:val="18"/>
                <w:szCs w:val="18"/>
              </w:rPr>
              <w:t>注：</w:t>
            </w:r>
            <w:r>
              <w:rPr>
                <w:rFonts w:hint="default" w:ascii="Times New Roman" w:hAnsi="Times New Roman" w:eastAsia="宋体" w:cs="Times New Roman"/>
                <w:color w:val="000000"/>
                <w:sz w:val="18"/>
                <w:szCs w:val="18"/>
              </w:rPr>
              <w:t>如企业所用含钴原料为钴精矿、粗盐中间品和白合金中的两种或多种，可按照</w:t>
            </w:r>
            <w:r>
              <w:rPr>
                <w:rFonts w:hint="default" w:ascii="Times New Roman" w:hAnsi="Times New Roman" w:cs="Times New Roman"/>
                <w:color w:val="000000"/>
                <w:sz w:val="18"/>
                <w:szCs w:val="18"/>
              </w:rPr>
              <w:t>单一</w:t>
            </w:r>
            <w:r>
              <w:rPr>
                <w:rFonts w:hint="default" w:ascii="Times New Roman" w:hAnsi="Times New Roman" w:eastAsia="宋体" w:cs="Times New Roman"/>
                <w:color w:val="000000"/>
                <w:sz w:val="18"/>
                <w:szCs w:val="18"/>
              </w:rPr>
              <w:t>原料</w:t>
            </w:r>
            <w:r>
              <w:rPr>
                <w:rFonts w:hint="default" w:ascii="Times New Roman" w:hAnsi="Times New Roman" w:cs="Times New Roman"/>
                <w:color w:val="000000"/>
                <w:sz w:val="18"/>
                <w:szCs w:val="18"/>
              </w:rPr>
              <w:t>（钴金属量）</w:t>
            </w:r>
            <w:r>
              <w:rPr>
                <w:rFonts w:hint="default" w:ascii="Times New Roman" w:hAnsi="Times New Roman" w:eastAsia="宋体" w:cs="Times New Roman"/>
                <w:color w:val="000000"/>
                <w:sz w:val="18"/>
                <w:szCs w:val="18"/>
              </w:rPr>
              <w:t>所占比例计算</w:t>
            </w:r>
            <w:r>
              <w:rPr>
                <w:rFonts w:hint="default" w:ascii="Times New Roman" w:hAnsi="Times New Roman" w:cs="Times New Roman"/>
                <w:color w:val="000000"/>
                <w:sz w:val="18"/>
                <w:szCs w:val="18"/>
                <w:lang w:eastAsia="zh-CN"/>
              </w:rPr>
              <w:t>混合</w:t>
            </w:r>
            <w:r>
              <w:rPr>
                <w:rFonts w:hint="default" w:ascii="Times New Roman" w:hAnsi="Times New Roman" w:cs="Times New Roman"/>
                <w:color w:val="000000"/>
                <w:sz w:val="18"/>
                <w:szCs w:val="18"/>
              </w:rPr>
              <w:t>原料</w:t>
            </w:r>
            <w:r>
              <w:rPr>
                <w:rFonts w:hint="default" w:ascii="Times New Roman" w:hAnsi="Times New Roman" w:cs="Times New Roman"/>
                <w:color w:val="000000"/>
                <w:sz w:val="18"/>
                <w:szCs w:val="18"/>
                <w:lang w:eastAsia="zh-CN"/>
              </w:rPr>
              <w:t>到</w:t>
            </w:r>
            <w:r>
              <w:rPr>
                <w:rFonts w:hint="default" w:ascii="Times New Roman" w:hAnsi="Times New Roman" w:cs="Times New Roman"/>
                <w:color w:val="000000"/>
                <w:sz w:val="18"/>
                <w:szCs w:val="18"/>
              </w:rPr>
              <w:t>钴液</w:t>
            </w:r>
            <w:r>
              <w:rPr>
                <w:rFonts w:hint="default" w:ascii="Times New Roman" w:hAnsi="Times New Roman" w:eastAsia="宋体" w:cs="Times New Roman"/>
                <w:color w:val="000000"/>
                <w:sz w:val="18"/>
                <w:szCs w:val="18"/>
              </w:rPr>
              <w:t>的单位产品综合能耗。</w:t>
            </w:r>
          </w:p>
        </w:tc>
      </w:tr>
    </w:tbl>
    <w:p>
      <w:pPr>
        <w:pStyle w:val="57"/>
        <w:spacing w:before="120" w:beforeLines="50" w:after="120" w:afterLines="50"/>
        <w:rPr>
          <w:rFonts w:hAnsi="黑体"/>
        </w:rPr>
      </w:pPr>
    </w:p>
    <w:p>
      <w:pPr>
        <w:pStyle w:val="57"/>
        <w:spacing w:before="120" w:beforeLines="50" w:after="120" w:afterLines="50"/>
        <w:rPr>
          <w:rFonts w:hAnsi="黑体"/>
        </w:rPr>
      </w:pPr>
      <w:r>
        <w:rPr>
          <w:rFonts w:hAnsi="黑体"/>
        </w:rPr>
        <w:t>4.3  数据</w:t>
      </w:r>
      <w:r>
        <w:rPr>
          <w:rFonts w:hint="eastAsia" w:hAnsi="黑体"/>
        </w:rPr>
        <w:t>来源</w:t>
      </w:r>
      <w:bookmarkEnd w:id="17"/>
    </w:p>
    <w:p>
      <w:pPr>
        <w:pStyle w:val="57"/>
        <w:spacing w:before="120" w:beforeLines="50" w:after="120" w:afterLines="50"/>
        <w:rPr>
          <w:rFonts w:hAnsi="黑体"/>
        </w:rPr>
      </w:pPr>
      <w:bookmarkStart w:id="18" w:name="_Toc72754528"/>
      <w:r>
        <w:rPr>
          <w:rFonts w:hint="eastAsia" w:hAnsi="黑体"/>
        </w:rPr>
        <w:t>4</w:t>
      </w:r>
      <w:r>
        <w:rPr>
          <w:rFonts w:hAnsi="黑体"/>
        </w:rPr>
        <w:t xml:space="preserve">.3.1  </w:t>
      </w:r>
      <w:r>
        <w:rPr>
          <w:rFonts w:hint="eastAsia" w:hAnsi="黑体"/>
        </w:rPr>
        <w:t>统计数据</w:t>
      </w:r>
      <w:bookmarkEnd w:id="18"/>
    </w:p>
    <w:p>
      <w:pPr>
        <w:ind w:firstLine="420" w:firstLineChars="200"/>
        <w:rPr>
          <w:rFonts w:ascii="Times New Roman" w:hAnsi="Times New Roman"/>
          <w:szCs w:val="21"/>
        </w:rPr>
      </w:pPr>
      <w:r>
        <w:rPr>
          <w:rFonts w:hint="eastAsia" w:ascii="Times New Roman" w:hAnsi="Times New Roman"/>
          <w:szCs w:val="21"/>
        </w:rPr>
        <w:t>企业的原辅材料及能源使用量、产品产量、废水、废气和固体废物产生量及相关技术经济指标等，以法定月报表或年报表为准。</w:t>
      </w:r>
    </w:p>
    <w:p>
      <w:pPr>
        <w:pStyle w:val="57"/>
        <w:spacing w:before="120" w:beforeLines="50" w:after="120" w:afterLines="50"/>
        <w:rPr>
          <w:rFonts w:hAnsi="黑体"/>
        </w:rPr>
      </w:pPr>
      <w:bookmarkStart w:id="19" w:name="_Toc72754529"/>
      <w:r>
        <w:rPr>
          <w:rFonts w:hint="eastAsia" w:hAnsi="黑体"/>
        </w:rPr>
        <w:t>4</w:t>
      </w:r>
      <w:r>
        <w:rPr>
          <w:rFonts w:hAnsi="黑体"/>
        </w:rPr>
        <w:t xml:space="preserve">.3.2  </w:t>
      </w:r>
      <w:r>
        <w:rPr>
          <w:rFonts w:hint="eastAsia" w:hAnsi="黑体"/>
        </w:rPr>
        <w:t>实测数据</w:t>
      </w:r>
      <w:bookmarkEnd w:id="19"/>
    </w:p>
    <w:p>
      <w:pPr>
        <w:ind w:firstLine="420" w:firstLineChars="200"/>
        <w:rPr>
          <w:rFonts w:ascii="Times New Roman" w:hAnsi="Times New Roman"/>
          <w:szCs w:val="21"/>
        </w:rPr>
      </w:pPr>
      <w:r>
        <w:rPr>
          <w:rFonts w:hint="eastAsia" w:ascii="Times New Roman" w:hAnsi="Times New Roman"/>
          <w:szCs w:val="21"/>
        </w:rPr>
        <w:t>如果</w:t>
      </w:r>
      <w:r>
        <w:rPr>
          <w:rFonts w:ascii="Times New Roman" w:hAnsi="Times New Roman"/>
          <w:szCs w:val="21"/>
        </w:rPr>
        <w:t>统计数据严重短缺，新鲜水用水量、循环水量、综合能耗等指标</w:t>
      </w:r>
      <w:r>
        <w:rPr>
          <w:rFonts w:hint="eastAsia" w:ascii="Times New Roman" w:hAnsi="Times New Roman"/>
          <w:szCs w:val="21"/>
        </w:rPr>
        <w:t>也</w:t>
      </w:r>
      <w:r>
        <w:rPr>
          <w:rFonts w:ascii="Times New Roman" w:hAnsi="Times New Roman"/>
          <w:szCs w:val="21"/>
        </w:rPr>
        <w:t>可以在一定计量时间内用实测方法取得，</w:t>
      </w:r>
      <w:r>
        <w:rPr>
          <w:rFonts w:hint="eastAsia" w:ascii="Times New Roman" w:hAnsi="Times New Roman"/>
          <w:szCs w:val="21"/>
        </w:rPr>
        <w:t>一定计量</w:t>
      </w:r>
      <w:r>
        <w:rPr>
          <w:rFonts w:ascii="Times New Roman" w:hAnsi="Times New Roman"/>
          <w:szCs w:val="21"/>
        </w:rPr>
        <w:t>时间</w:t>
      </w:r>
      <w:r>
        <w:rPr>
          <w:rFonts w:hint="eastAsia" w:ascii="Times New Roman" w:hAnsi="Times New Roman"/>
          <w:szCs w:val="21"/>
        </w:rPr>
        <w:t>一般不少于一个月。</w:t>
      </w:r>
    </w:p>
    <w:p>
      <w:pPr>
        <w:pStyle w:val="57"/>
        <w:spacing w:before="120" w:beforeLines="50" w:after="120" w:afterLines="50"/>
        <w:rPr>
          <w:rFonts w:hAnsi="黑体"/>
        </w:rPr>
      </w:pPr>
      <w:bookmarkStart w:id="20" w:name="_Toc72754530"/>
      <w:r>
        <w:rPr>
          <w:rFonts w:hint="eastAsia" w:hAnsi="黑体"/>
        </w:rPr>
        <w:t>4</w:t>
      </w:r>
      <w:r>
        <w:rPr>
          <w:rFonts w:hAnsi="黑体"/>
        </w:rPr>
        <w:t xml:space="preserve">.3.3  </w:t>
      </w:r>
      <w:r>
        <w:rPr>
          <w:rFonts w:hint="eastAsia" w:hAnsi="黑体"/>
        </w:rPr>
        <w:t>采样和监测</w:t>
      </w:r>
      <w:bookmarkEnd w:id="20"/>
    </w:p>
    <w:p>
      <w:pPr>
        <w:ind w:firstLine="420" w:firstLineChars="200"/>
        <w:rPr>
          <w:rFonts w:ascii="黑体" w:hAnsi="黑体"/>
          <w:szCs w:val="21"/>
        </w:rPr>
      </w:pPr>
      <w:r>
        <w:rPr>
          <w:rFonts w:ascii="Times New Roman" w:hAnsi="Times New Roman"/>
          <w:szCs w:val="21"/>
        </w:rPr>
        <w:t>污染物排放指标的采样和监测按照相关技术规范执行，</w:t>
      </w:r>
      <w:r>
        <w:rPr>
          <w:rFonts w:hint="eastAsia" w:ascii="Times New Roman" w:hAnsi="Times New Roman"/>
          <w:szCs w:val="21"/>
        </w:rPr>
        <w:t>并采用相应的国家或行业标准监测分析方法，详见GB 25467</w:t>
      </w:r>
      <w:r>
        <w:rPr>
          <w:rFonts w:hint="eastAsia" w:ascii="黑体" w:hAnsi="黑体"/>
          <w:szCs w:val="21"/>
        </w:rPr>
        <w:t>。</w:t>
      </w:r>
    </w:p>
    <w:p>
      <w:pPr>
        <w:pStyle w:val="57"/>
        <w:spacing w:before="120" w:beforeLines="50" w:after="120" w:afterLines="50"/>
        <w:rPr>
          <w:rFonts w:hAnsi="黑体"/>
        </w:rPr>
      </w:pPr>
      <w:bookmarkStart w:id="21" w:name="_Toc72754531"/>
      <w:r>
        <w:rPr>
          <w:rFonts w:hint="eastAsia" w:hAnsi="黑体"/>
        </w:rPr>
        <w:t>4.</w:t>
      </w:r>
      <w:r>
        <w:rPr>
          <w:rFonts w:hAnsi="黑体"/>
        </w:rPr>
        <w:t xml:space="preserve">3.4  </w:t>
      </w:r>
      <w:r>
        <w:rPr>
          <w:rFonts w:hint="eastAsia" w:hAnsi="黑体"/>
        </w:rPr>
        <w:t>定性指标</w:t>
      </w:r>
      <w:bookmarkEnd w:id="21"/>
    </w:p>
    <w:p>
      <w:pPr>
        <w:ind w:firstLine="420" w:firstLineChars="200"/>
        <w:rPr>
          <w:rFonts w:ascii="Times New Roman" w:hAnsi="Times New Roman"/>
          <w:szCs w:val="21"/>
        </w:rPr>
      </w:pPr>
      <w:r>
        <w:rPr>
          <w:rFonts w:ascii="Times New Roman" w:hAnsi="Times New Roman"/>
          <w:szCs w:val="21"/>
        </w:rPr>
        <w:t>定性指标一般采取企业提供文件证明资料的方式提供。文件证明可以是成文制度、管理记录、监测报告、监管部门信息查询结果、认证证书、企业承诺和说明等。</w:t>
      </w:r>
    </w:p>
    <w:p>
      <w:pPr>
        <w:pStyle w:val="57"/>
        <w:spacing w:before="120" w:beforeLines="50" w:after="120" w:afterLines="50"/>
        <w:rPr>
          <w:rFonts w:hAnsi="黑体"/>
        </w:rPr>
      </w:pPr>
      <w:bookmarkStart w:id="22" w:name="_Toc72754532"/>
      <w:r>
        <w:rPr>
          <w:rFonts w:hAnsi="黑体"/>
        </w:rPr>
        <w:t>4.4  数据</w:t>
      </w:r>
      <w:r>
        <w:rPr>
          <w:rFonts w:hint="eastAsia" w:hAnsi="黑体"/>
        </w:rPr>
        <w:t>处理和计算方法</w:t>
      </w:r>
      <w:bookmarkEnd w:id="22"/>
    </w:p>
    <w:p>
      <w:pPr>
        <w:pStyle w:val="32"/>
        <w:rPr>
          <w:rFonts w:ascii="黑体" w:hAnsi="黑体"/>
          <w:color w:val="000000"/>
          <w:szCs w:val="21"/>
        </w:rPr>
      </w:pPr>
      <w:r>
        <w:rPr>
          <w:rFonts w:hint="eastAsia" w:ascii="黑体" w:hAnsi="黑体"/>
        </w:rPr>
        <w:t>本文件中每个指标的计算方法</w:t>
      </w:r>
      <w:r>
        <w:rPr>
          <w:rFonts w:ascii="Times New Roman"/>
        </w:rPr>
        <w:t>或检测方法，</w:t>
      </w:r>
      <w:r>
        <w:rPr>
          <w:rFonts w:hint="eastAsia" w:ascii="Times New Roman"/>
        </w:rPr>
        <w:t>应优先采用GB/T 36132、</w:t>
      </w:r>
      <w:r>
        <w:rPr>
          <w:rFonts w:hint="eastAsia" w:ascii="Times New Roman"/>
          <w:lang w:val="en-US" w:eastAsia="zh-CN"/>
        </w:rPr>
        <w:t>GB/T 2859、</w:t>
      </w:r>
      <w:r>
        <w:rPr>
          <w:rFonts w:hint="eastAsia" w:ascii="Times New Roman"/>
        </w:rPr>
        <w:t>YS/T 1412等国家或行业标准</w:t>
      </w:r>
      <w:r>
        <w:rPr>
          <w:rFonts w:ascii="Times New Roman"/>
        </w:rPr>
        <w:t>。具体见附录A</w:t>
      </w:r>
      <w:r>
        <w:rPr>
          <w:rFonts w:ascii="Times New Roman"/>
          <w:color w:val="000000"/>
          <w:szCs w:val="21"/>
        </w:rPr>
        <w:t>。</w:t>
      </w:r>
    </w:p>
    <w:p>
      <w:pPr>
        <w:pStyle w:val="57"/>
        <w:spacing w:before="240" w:after="240"/>
        <w:rPr>
          <w:rFonts w:hAnsi="黑体"/>
        </w:rPr>
      </w:pPr>
      <w:bookmarkStart w:id="23" w:name="_Toc72754533"/>
      <w:bookmarkStart w:id="24" w:name="_Toc5095408"/>
      <w:bookmarkStart w:id="25" w:name="_Toc2755362"/>
      <w:r>
        <w:rPr>
          <w:rFonts w:hAnsi="黑体"/>
        </w:rPr>
        <w:t>5  产品生命周期评价报告编制方法</w:t>
      </w:r>
      <w:bookmarkEnd w:id="23"/>
      <w:bookmarkEnd w:id="24"/>
      <w:bookmarkEnd w:id="25"/>
    </w:p>
    <w:p>
      <w:pPr>
        <w:pStyle w:val="57"/>
        <w:spacing w:before="120" w:beforeLines="50" w:after="120" w:afterLines="50"/>
        <w:rPr>
          <w:rFonts w:hAnsi="黑体"/>
        </w:rPr>
      </w:pPr>
      <w:bookmarkStart w:id="26" w:name="_Toc72754534"/>
      <w:r>
        <w:rPr>
          <w:rFonts w:hAnsi="黑体"/>
        </w:rPr>
        <w:t>5.1  方法</w:t>
      </w:r>
      <w:bookmarkEnd w:id="26"/>
    </w:p>
    <w:p>
      <w:pPr>
        <w:ind w:firstLine="420" w:firstLineChars="200"/>
        <w:jc w:val="left"/>
        <w:rPr>
          <w:rFonts w:ascii="Times New Roman" w:hAnsi="Times New Roman"/>
          <w:color w:val="000000"/>
          <w:szCs w:val="21"/>
        </w:rPr>
      </w:pPr>
      <w:r>
        <w:rPr>
          <w:rFonts w:ascii="Times New Roman" w:hAnsi="Times New Roman"/>
          <w:color w:val="000000"/>
          <w:szCs w:val="21"/>
        </w:rPr>
        <w:t>应依据附录B中产品生命周期评价方法</w:t>
      </w:r>
      <w:r>
        <w:rPr>
          <w:rFonts w:hint="eastAsia" w:ascii="Times New Roman" w:hAnsi="Times New Roman"/>
          <w:color w:val="000000"/>
          <w:szCs w:val="21"/>
          <w:lang w:eastAsia="zh-CN"/>
        </w:rPr>
        <w:t>和附录</w:t>
      </w:r>
      <w:r>
        <w:rPr>
          <w:rFonts w:hint="eastAsia" w:ascii="Times New Roman" w:hAnsi="Times New Roman"/>
          <w:color w:val="000000"/>
          <w:szCs w:val="21"/>
          <w:lang w:val="en-US" w:eastAsia="zh-CN"/>
        </w:rPr>
        <w:t>C中数据收集表格，来</w:t>
      </w:r>
      <w:r>
        <w:rPr>
          <w:rFonts w:ascii="Times New Roman" w:hAnsi="Times New Roman"/>
          <w:color w:val="000000"/>
          <w:szCs w:val="21"/>
        </w:rPr>
        <w:t>对四氧化三钴产品进行生命周期评价。</w:t>
      </w:r>
    </w:p>
    <w:p>
      <w:pPr>
        <w:pStyle w:val="57"/>
        <w:spacing w:before="120" w:beforeLines="50" w:after="120" w:afterLines="50"/>
        <w:rPr>
          <w:rFonts w:hAnsi="黑体"/>
        </w:rPr>
      </w:pPr>
      <w:bookmarkStart w:id="27" w:name="_Toc72754535"/>
      <w:r>
        <w:rPr>
          <w:rFonts w:hAnsi="黑体"/>
        </w:rPr>
        <w:t>5.2  报告</w:t>
      </w:r>
      <w:r>
        <w:rPr>
          <w:rFonts w:hint="eastAsia" w:hAnsi="黑体"/>
        </w:rPr>
        <w:t>内容</w:t>
      </w:r>
      <w:r>
        <w:rPr>
          <w:rFonts w:hAnsi="黑体"/>
        </w:rPr>
        <w:t>框架</w:t>
      </w:r>
      <w:bookmarkEnd w:id="27"/>
    </w:p>
    <w:p>
      <w:pPr>
        <w:pStyle w:val="57"/>
        <w:spacing w:before="120" w:beforeLines="50" w:after="120" w:afterLines="50"/>
        <w:rPr>
          <w:rFonts w:hAnsi="黑体"/>
        </w:rPr>
      </w:pPr>
      <w:bookmarkStart w:id="28" w:name="_Toc72754536"/>
      <w:r>
        <w:rPr>
          <w:rFonts w:hAnsi="黑体"/>
        </w:rPr>
        <w:t>5.2.1  基本信息</w:t>
      </w:r>
      <w:bookmarkEnd w:id="28"/>
    </w:p>
    <w:p>
      <w:pPr>
        <w:ind w:firstLine="420" w:firstLineChars="200"/>
        <w:jc w:val="left"/>
        <w:rPr>
          <w:rFonts w:ascii="黑体" w:hAnsi="黑体"/>
          <w:color w:val="000000"/>
          <w:szCs w:val="21"/>
        </w:rPr>
      </w:pPr>
      <w:r>
        <w:rPr>
          <w:rFonts w:ascii="黑体" w:hAnsi="黑体"/>
          <w:color w:val="000000"/>
          <w:szCs w:val="21"/>
        </w:rPr>
        <w:t>报告应提供报告信息、申请者信息、评估对象信息、采用的标准信息等基本信息；各信息内容应包括：</w:t>
      </w:r>
    </w:p>
    <w:p>
      <w:pPr>
        <w:pStyle w:val="37"/>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报告信息：包括报告编号、编制人员、审核人员、日期等；</w:t>
      </w:r>
    </w:p>
    <w:p>
      <w:pPr>
        <w:pStyle w:val="37"/>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申请者信息：包括公司全称、统一社会信用代码、地址、联系人、联系方式等；</w:t>
      </w:r>
    </w:p>
    <w:p>
      <w:pPr>
        <w:pStyle w:val="37"/>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评估对象信息：包括产品名称、主要技术指标、产品功能、制造商及厂址等；</w:t>
      </w:r>
    </w:p>
    <w:p>
      <w:pPr>
        <w:pStyle w:val="37"/>
        <w:numPr>
          <w:ilvl w:val="0"/>
          <w:numId w:val="2"/>
        </w:numPr>
        <w:ind w:left="780" w:hanging="360" w:firstLineChars="0"/>
        <w:jc w:val="left"/>
        <w:rPr>
          <w:rFonts w:ascii="Times New Roman" w:hAnsi="Times New Roman"/>
          <w:color w:val="000000"/>
          <w:szCs w:val="21"/>
        </w:rPr>
      </w:pPr>
      <w:r>
        <w:rPr>
          <w:rFonts w:ascii="Times New Roman" w:hAnsi="Times New Roman"/>
          <w:color w:val="000000"/>
          <w:szCs w:val="21"/>
        </w:rPr>
        <w:t>采用的标准信息：包括标准名称及标准号等。</w:t>
      </w:r>
    </w:p>
    <w:p>
      <w:pPr>
        <w:pStyle w:val="57"/>
        <w:spacing w:before="120" w:beforeLines="50" w:after="120" w:afterLines="50"/>
        <w:rPr>
          <w:rFonts w:hAnsi="黑体"/>
        </w:rPr>
      </w:pPr>
      <w:bookmarkStart w:id="29" w:name="_Toc72754537"/>
      <w:r>
        <w:rPr>
          <w:rFonts w:hAnsi="黑体"/>
        </w:rPr>
        <w:t>5.2.2  符合性评价</w:t>
      </w:r>
      <w:bookmarkEnd w:id="29"/>
    </w:p>
    <w:p>
      <w:pPr>
        <w:ind w:firstLine="420" w:firstLineChars="200"/>
        <w:jc w:val="left"/>
        <w:rPr>
          <w:rFonts w:ascii="黑体" w:hAnsi="黑体"/>
          <w:color w:val="000000"/>
          <w:szCs w:val="21"/>
        </w:rPr>
      </w:pPr>
      <w:r>
        <w:rPr>
          <w:rFonts w:ascii="黑体" w:hAnsi="黑体"/>
          <w:color w:val="000000"/>
          <w:szCs w:val="21"/>
        </w:rPr>
        <w:t>报告中应提供对基本要求和评价指标要求的符合性情况说明，并提供所有评价指标报告期比基期改进情况的说明。其中报告期为当前评价的年份，一般是指产品参与评价年份的上一年；基期为一个对照年份，一般比报告期提前一年。</w:t>
      </w:r>
    </w:p>
    <w:p>
      <w:pPr>
        <w:pStyle w:val="57"/>
        <w:spacing w:before="120" w:beforeLines="50" w:after="120" w:afterLines="50"/>
        <w:rPr>
          <w:rFonts w:hAnsi="黑体"/>
        </w:rPr>
      </w:pPr>
      <w:bookmarkStart w:id="30" w:name="_Toc72754538"/>
      <w:r>
        <w:rPr>
          <w:rFonts w:hAnsi="黑体"/>
        </w:rPr>
        <w:t>5.2.3  生命周期评价</w:t>
      </w:r>
      <w:bookmarkEnd w:id="30"/>
    </w:p>
    <w:p>
      <w:pPr>
        <w:pStyle w:val="57"/>
        <w:spacing w:before="120" w:beforeLines="50" w:after="120" w:afterLines="50"/>
        <w:rPr>
          <w:rFonts w:hAnsi="黑体"/>
        </w:rPr>
      </w:pPr>
      <w:bookmarkStart w:id="31" w:name="_Toc72754539"/>
      <w:r>
        <w:rPr>
          <w:rFonts w:hAnsi="黑体"/>
        </w:rPr>
        <w:t xml:space="preserve">5.2.3.1  </w:t>
      </w:r>
      <w:r>
        <w:rPr>
          <w:rFonts w:hint="eastAsia" w:hAnsi="黑体"/>
        </w:rPr>
        <w:t>目的和范围的确定</w:t>
      </w:r>
      <w:bookmarkEnd w:id="31"/>
    </w:p>
    <w:p>
      <w:pPr>
        <w:ind w:firstLine="420" w:firstLineChars="200"/>
        <w:jc w:val="left"/>
        <w:rPr>
          <w:rFonts w:ascii="黑体" w:hAnsi="黑体"/>
          <w:color w:val="000000"/>
          <w:szCs w:val="21"/>
        </w:rPr>
      </w:pPr>
      <w:r>
        <w:rPr>
          <w:rFonts w:ascii="黑体" w:hAnsi="黑体"/>
          <w:color w:val="000000"/>
          <w:szCs w:val="21"/>
        </w:rPr>
        <w:t>报告中应详细描述评估的目的和范围，主要包括</w:t>
      </w:r>
      <w:r>
        <w:rPr>
          <w:rFonts w:hint="eastAsia" w:ascii="黑体" w:hAnsi="黑体"/>
          <w:color w:val="000000"/>
          <w:szCs w:val="21"/>
        </w:rPr>
        <w:t>四氧化三钴</w:t>
      </w:r>
      <w:r>
        <w:rPr>
          <w:rFonts w:ascii="黑体" w:hAnsi="黑体"/>
          <w:color w:val="000000"/>
          <w:szCs w:val="21"/>
        </w:rPr>
        <w:t>产品</w:t>
      </w:r>
      <w:r>
        <w:rPr>
          <w:rFonts w:hint="eastAsia" w:ascii="黑体" w:hAnsi="黑体"/>
          <w:color w:val="000000"/>
          <w:szCs w:val="21"/>
        </w:rPr>
        <w:t>系统及功能、功能单位和基准流、系统边界、取舍原则、共生产品的分配方法、数据来源和质量、局限性、影响类型和指标选取以及报告的形式</w:t>
      </w:r>
      <w:r>
        <w:rPr>
          <w:rFonts w:ascii="黑体" w:hAnsi="黑体"/>
          <w:color w:val="000000"/>
          <w:szCs w:val="21"/>
        </w:rPr>
        <w:t>。</w:t>
      </w:r>
    </w:p>
    <w:p>
      <w:pPr>
        <w:pStyle w:val="57"/>
        <w:spacing w:before="120" w:beforeLines="50" w:after="120" w:afterLines="50"/>
        <w:rPr>
          <w:rFonts w:hAnsi="黑体"/>
        </w:rPr>
      </w:pPr>
      <w:bookmarkStart w:id="32" w:name="_Toc72754540"/>
      <w:r>
        <w:rPr>
          <w:rFonts w:hAnsi="黑体"/>
        </w:rPr>
        <w:t>5.2.3.2  生命周期清单分析</w:t>
      </w:r>
      <w:bookmarkEnd w:id="32"/>
    </w:p>
    <w:p>
      <w:pPr>
        <w:ind w:firstLine="420" w:firstLineChars="200"/>
        <w:jc w:val="left"/>
        <w:rPr>
          <w:rFonts w:ascii="黑体" w:hAnsi="黑体"/>
          <w:color w:val="000000"/>
          <w:szCs w:val="21"/>
        </w:rPr>
      </w:pPr>
      <w:r>
        <w:rPr>
          <w:rFonts w:ascii="黑体" w:hAnsi="黑体"/>
          <w:color w:val="000000"/>
          <w:szCs w:val="21"/>
        </w:rPr>
        <w:t>报告中应</w:t>
      </w:r>
      <w:r>
        <w:rPr>
          <w:rFonts w:hint="eastAsia" w:ascii="黑体" w:hAnsi="黑体"/>
          <w:color w:val="000000"/>
          <w:szCs w:val="21"/>
        </w:rPr>
        <w:t>对四氧化三钴产品整个生命周期中输入和输出进行汇编和量化。应</w:t>
      </w:r>
      <w:r>
        <w:rPr>
          <w:rFonts w:ascii="黑体" w:hAnsi="黑体"/>
          <w:color w:val="000000"/>
          <w:szCs w:val="21"/>
        </w:rPr>
        <w:t>提供考虑的生命周期阶段，说明每个阶段所考虑的清单因子及收集到的现场数据或背景数据，涉及到数据分配的情况应说明分配方法和结果。</w:t>
      </w:r>
    </w:p>
    <w:p>
      <w:pPr>
        <w:pStyle w:val="57"/>
        <w:spacing w:before="120" w:beforeLines="50" w:after="120" w:afterLines="50"/>
        <w:rPr>
          <w:rFonts w:hAnsi="黑体"/>
        </w:rPr>
      </w:pPr>
      <w:bookmarkStart w:id="33" w:name="_Toc72754541"/>
      <w:r>
        <w:rPr>
          <w:rFonts w:hAnsi="黑体"/>
        </w:rPr>
        <w:t>5.2.3.3  生命周期影响评价</w:t>
      </w:r>
      <w:bookmarkEnd w:id="33"/>
    </w:p>
    <w:p>
      <w:pPr>
        <w:ind w:firstLine="420" w:firstLineChars="200"/>
        <w:jc w:val="left"/>
        <w:rPr>
          <w:rFonts w:ascii="黑体" w:hAnsi="黑体"/>
          <w:color w:val="000000"/>
          <w:szCs w:val="21"/>
        </w:rPr>
      </w:pPr>
      <w:r>
        <w:rPr>
          <w:rFonts w:ascii="黑体" w:hAnsi="黑体"/>
          <w:color w:val="000000"/>
          <w:szCs w:val="21"/>
        </w:rPr>
        <w:t>报告中应提供四氧化三钴产品生命周期各阶段的不同影响类型的特征化值，并对不同影响类型在各个生命周期阶段的分布情况进行比较分析。</w:t>
      </w:r>
    </w:p>
    <w:p>
      <w:pPr>
        <w:pStyle w:val="57"/>
        <w:spacing w:before="120" w:beforeLines="50" w:after="120" w:afterLines="50"/>
        <w:rPr>
          <w:rFonts w:hAnsi="黑体"/>
        </w:rPr>
      </w:pPr>
      <w:bookmarkStart w:id="34" w:name="_Toc72754542"/>
      <w:r>
        <w:rPr>
          <w:rFonts w:hAnsi="黑体"/>
        </w:rPr>
        <w:t>5.2.3.4  生命周期解释</w:t>
      </w:r>
      <w:bookmarkEnd w:id="34"/>
    </w:p>
    <w:p>
      <w:pPr>
        <w:ind w:firstLine="420" w:firstLineChars="200"/>
        <w:jc w:val="left"/>
        <w:rPr>
          <w:rFonts w:ascii="黑体" w:hAnsi="黑体"/>
          <w:color w:val="000000"/>
          <w:szCs w:val="21"/>
        </w:rPr>
      </w:pPr>
      <w:r>
        <w:rPr>
          <w:rFonts w:ascii="黑体" w:hAnsi="黑体"/>
          <w:color w:val="000000"/>
          <w:szCs w:val="21"/>
        </w:rPr>
        <w:t>报告中应提供以清单分析和</w:t>
      </w:r>
      <w:r>
        <w:rPr>
          <w:rFonts w:hint="eastAsia" w:ascii="黑体" w:hAnsi="黑体"/>
          <w:color w:val="000000"/>
          <w:szCs w:val="21"/>
        </w:rPr>
        <w:t>（或）</w:t>
      </w:r>
      <w:r>
        <w:rPr>
          <w:rFonts w:ascii="黑体" w:hAnsi="黑体"/>
          <w:color w:val="000000"/>
          <w:szCs w:val="21"/>
        </w:rPr>
        <w:t>影响评价的结果</w:t>
      </w:r>
      <w:r>
        <w:rPr>
          <w:rFonts w:hint="eastAsia" w:ascii="黑体" w:hAnsi="黑体"/>
          <w:color w:val="000000"/>
          <w:szCs w:val="21"/>
        </w:rPr>
        <w:t>进行评价之后所形成的结论和建议</w:t>
      </w:r>
      <w:r>
        <w:rPr>
          <w:rFonts w:ascii="黑体" w:hAnsi="黑体"/>
          <w:color w:val="000000"/>
          <w:szCs w:val="21"/>
        </w:rPr>
        <w:t>。解释结果应与所规定的目的和范围保持一致。</w:t>
      </w:r>
    </w:p>
    <w:p>
      <w:pPr>
        <w:pStyle w:val="57"/>
        <w:spacing w:before="120" w:beforeLines="50" w:after="120" w:afterLines="50"/>
        <w:rPr>
          <w:rFonts w:hAnsi="黑体"/>
        </w:rPr>
      </w:pPr>
      <w:bookmarkStart w:id="35" w:name="_Toc72754543"/>
      <w:r>
        <w:rPr>
          <w:rFonts w:hAnsi="黑体"/>
        </w:rPr>
        <w:t>5.2.3.5  绿色设计改进方案</w:t>
      </w:r>
      <w:bookmarkEnd w:id="35"/>
    </w:p>
    <w:p>
      <w:pPr>
        <w:ind w:firstLine="420" w:firstLineChars="200"/>
        <w:jc w:val="left"/>
        <w:rPr>
          <w:rFonts w:ascii="黑体" w:hAnsi="黑体"/>
          <w:color w:val="000000"/>
          <w:szCs w:val="21"/>
        </w:rPr>
      </w:pPr>
      <w:r>
        <w:rPr>
          <w:rFonts w:ascii="黑体" w:hAnsi="黑体"/>
          <w:color w:val="000000"/>
          <w:szCs w:val="21"/>
        </w:rPr>
        <w:t>在分析指标的符合性评价结果以及生命周期评价结果的基础上，提出四氧化三钴产品绿色设计改进的具体方案。</w:t>
      </w:r>
    </w:p>
    <w:p>
      <w:pPr>
        <w:pStyle w:val="57"/>
        <w:spacing w:before="120" w:beforeLines="50" w:after="120" w:afterLines="50"/>
        <w:rPr>
          <w:rFonts w:hAnsi="黑体"/>
        </w:rPr>
      </w:pPr>
      <w:bookmarkStart w:id="36" w:name="_Toc72754544"/>
      <w:r>
        <w:rPr>
          <w:rFonts w:hAnsi="黑体"/>
        </w:rPr>
        <w:t>5.2.3.6  评价报告主要结论</w:t>
      </w:r>
      <w:bookmarkEnd w:id="36"/>
    </w:p>
    <w:p>
      <w:pPr>
        <w:ind w:firstLine="420" w:firstLineChars="200"/>
        <w:jc w:val="left"/>
        <w:rPr>
          <w:rFonts w:ascii="黑体" w:hAnsi="黑体"/>
          <w:color w:val="000000"/>
          <w:szCs w:val="21"/>
        </w:rPr>
      </w:pPr>
      <w:r>
        <w:rPr>
          <w:rFonts w:ascii="黑体" w:hAnsi="黑体"/>
          <w:color w:val="000000"/>
          <w:szCs w:val="21"/>
        </w:rPr>
        <w:t>应说明四氧化三钴产品对评价指标的符合性结论、生命周期评价结果、提出的改进方案，并根据评价结论初步判断四氧化三钴产品是否为绿色设计产品。</w:t>
      </w:r>
    </w:p>
    <w:p>
      <w:pPr>
        <w:pStyle w:val="57"/>
        <w:spacing w:before="120" w:beforeLines="50" w:after="120" w:afterLines="50"/>
        <w:rPr>
          <w:rFonts w:hAnsi="黑体"/>
        </w:rPr>
      </w:pPr>
      <w:bookmarkStart w:id="37" w:name="_Toc72754545"/>
      <w:r>
        <w:rPr>
          <w:rFonts w:hAnsi="黑体"/>
        </w:rPr>
        <w:t>5.2.3.7  附件</w:t>
      </w:r>
      <w:bookmarkEnd w:id="37"/>
    </w:p>
    <w:p>
      <w:pPr>
        <w:ind w:firstLine="420" w:firstLineChars="200"/>
        <w:jc w:val="left"/>
        <w:rPr>
          <w:rFonts w:ascii="黑体" w:hAnsi="黑体"/>
          <w:color w:val="000000"/>
          <w:szCs w:val="21"/>
        </w:rPr>
      </w:pPr>
      <w:r>
        <w:rPr>
          <w:rFonts w:ascii="黑体" w:hAnsi="黑体"/>
          <w:color w:val="000000"/>
          <w:szCs w:val="21"/>
        </w:rPr>
        <w:t>报告应在附件中提供：</w:t>
      </w:r>
    </w:p>
    <w:p>
      <w:pPr>
        <w:pStyle w:val="37"/>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四氧化三钴产品化学成分分析检测结果；</w:t>
      </w:r>
    </w:p>
    <w:p>
      <w:pPr>
        <w:pStyle w:val="37"/>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四氧化三钴产品生产材料清单；</w:t>
      </w:r>
    </w:p>
    <w:p>
      <w:pPr>
        <w:pStyle w:val="37"/>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四氧化三钴产品工艺表（包括工艺名称、工艺过程）；</w:t>
      </w:r>
    </w:p>
    <w:p>
      <w:pPr>
        <w:pStyle w:val="37"/>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各单元过程的数据收集表；</w:t>
      </w:r>
    </w:p>
    <w:p>
      <w:pPr>
        <w:pStyle w:val="37"/>
        <w:numPr>
          <w:ilvl w:val="0"/>
          <w:numId w:val="3"/>
        </w:numPr>
        <w:ind w:left="840" w:hanging="420" w:firstLineChars="0"/>
        <w:jc w:val="left"/>
        <w:rPr>
          <w:rFonts w:ascii="Times New Roman" w:hAnsi="Times New Roman"/>
          <w:color w:val="000000"/>
          <w:szCs w:val="21"/>
        </w:rPr>
      </w:pPr>
      <w:r>
        <w:rPr>
          <w:rFonts w:ascii="Times New Roman" w:hAnsi="Times New Roman"/>
          <w:color w:val="000000"/>
          <w:szCs w:val="21"/>
        </w:rPr>
        <w:t>其他。</w:t>
      </w:r>
    </w:p>
    <w:p>
      <w:pPr>
        <w:pStyle w:val="3"/>
        <w:adjustRightInd w:val="0"/>
        <w:snapToGrid w:val="0"/>
        <w:spacing w:before="240" w:beforeLines="100" w:beforeAutospacing="0" w:after="240" w:afterLines="100" w:afterAutospacing="0"/>
        <w:ind w:left="420" w:hanging="420"/>
        <w:rPr>
          <w:rFonts w:ascii="黑体" w:hAnsi="黑体" w:eastAsia="黑体"/>
          <w:b w:val="0"/>
          <w:kern w:val="44"/>
          <w:sz w:val="21"/>
          <w:szCs w:val="44"/>
          <w:lang w:val="en-US"/>
        </w:rPr>
      </w:pPr>
      <w:bookmarkStart w:id="38" w:name="_Toc5095409"/>
      <w:bookmarkStart w:id="39" w:name="_Toc72754546"/>
      <w:r>
        <w:rPr>
          <w:rFonts w:ascii="黑体" w:hAnsi="黑体" w:eastAsia="黑体"/>
          <w:b w:val="0"/>
          <w:bCs/>
          <w:kern w:val="44"/>
          <w:sz w:val="21"/>
          <w:szCs w:val="44"/>
          <w:lang w:val="en-US"/>
        </w:rPr>
        <w:t xml:space="preserve">6  </w:t>
      </w:r>
      <w:r>
        <w:rPr>
          <w:rFonts w:hint="eastAsia" w:ascii="黑体" w:hAnsi="黑体" w:eastAsia="黑体"/>
          <w:b w:val="0"/>
          <w:bCs/>
          <w:kern w:val="44"/>
          <w:sz w:val="21"/>
          <w:szCs w:val="44"/>
          <w:lang w:val="en-US"/>
        </w:rPr>
        <w:t>绿色</w:t>
      </w:r>
      <w:r>
        <w:rPr>
          <w:rFonts w:ascii="黑体" w:hAnsi="黑体" w:eastAsia="黑体"/>
          <w:b w:val="0"/>
          <w:bCs/>
          <w:kern w:val="44"/>
          <w:sz w:val="21"/>
          <w:szCs w:val="44"/>
          <w:lang w:val="en-US"/>
        </w:rPr>
        <w:t>产品评价</w:t>
      </w:r>
      <w:bookmarkEnd w:id="38"/>
      <w:r>
        <w:rPr>
          <w:rFonts w:hint="eastAsia" w:ascii="黑体" w:hAnsi="黑体" w:eastAsia="黑体"/>
          <w:b w:val="0"/>
          <w:bCs/>
          <w:kern w:val="44"/>
          <w:sz w:val="21"/>
          <w:szCs w:val="44"/>
          <w:lang w:val="en-US"/>
        </w:rPr>
        <w:t>方法和判定依据</w:t>
      </w:r>
      <w:bookmarkEnd w:id="39"/>
    </w:p>
    <w:p>
      <w:pPr>
        <w:pStyle w:val="57"/>
        <w:spacing w:before="120" w:beforeLines="50" w:after="120" w:afterLines="50"/>
        <w:rPr>
          <w:rFonts w:hAnsi="黑体"/>
        </w:rPr>
      </w:pPr>
      <w:bookmarkStart w:id="40" w:name="_Toc72754547"/>
      <w:r>
        <w:rPr>
          <w:rFonts w:hAnsi="黑体"/>
        </w:rPr>
        <w:t xml:space="preserve">6.1  </w:t>
      </w:r>
      <w:r>
        <w:rPr>
          <w:rFonts w:hint="eastAsia" w:hAnsi="黑体"/>
        </w:rPr>
        <w:t>绿色</w:t>
      </w:r>
      <w:r>
        <w:rPr>
          <w:rFonts w:hAnsi="黑体"/>
        </w:rPr>
        <w:t>产品</w:t>
      </w:r>
      <w:r>
        <w:rPr>
          <w:rFonts w:hint="eastAsia" w:hAnsi="黑体"/>
        </w:rPr>
        <w:t>评价方法</w:t>
      </w:r>
      <w:bookmarkEnd w:id="40"/>
    </w:p>
    <w:p>
      <w:pPr>
        <w:ind w:firstLine="420" w:firstLineChars="200"/>
      </w:pPr>
      <w:r>
        <w:rPr>
          <w:rFonts w:ascii="Times New Roman" w:hAnsi="Times New Roman"/>
          <w:color w:val="000000"/>
          <w:szCs w:val="21"/>
        </w:rPr>
        <w:t>根据四氧化三钴产品的特点，明确评价范围；根据评价指标体系中的指标和生命周期评价方法，收集需要的数据，同时要对数据质量进行分析；对照基本要求和评价指标要求，对产品进行评价，符合基本要求和指标要求的产品可判定该产品符合绿色设计产品的评价要求；产品符合基本要求和评价指标要求的生产企业，还应提供该产品的生命周期评价报告。评价流程</w:t>
      </w:r>
      <w:r>
        <w:rPr>
          <w:rFonts w:hint="eastAsia" w:ascii="Times New Roman" w:hAnsi="Times New Roman"/>
          <w:color w:val="000000"/>
          <w:szCs w:val="21"/>
        </w:rPr>
        <w:t>图如</w:t>
      </w:r>
      <w:r>
        <w:rPr>
          <w:rFonts w:ascii="Times New Roman" w:hAnsi="Times New Roman"/>
          <w:color w:val="000000"/>
          <w:szCs w:val="21"/>
        </w:rPr>
        <w:t>图1</w:t>
      </w:r>
      <w:r>
        <w:rPr>
          <w:rFonts w:hint="eastAsia" w:ascii="Times New Roman" w:hAnsi="Times New Roman"/>
          <w:color w:val="000000"/>
          <w:szCs w:val="21"/>
        </w:rPr>
        <w:t>所示</w:t>
      </w:r>
      <w:r>
        <w:rPr>
          <w:rFonts w:ascii="Times New Roman" w:hAnsi="Times New Roman"/>
          <w:color w:val="000000"/>
          <w:szCs w:val="21"/>
        </w:rPr>
        <w:t>。</w:t>
      </w:r>
    </w:p>
    <w:p>
      <w:pPr>
        <w:pStyle w:val="57"/>
        <w:spacing w:before="120" w:beforeLines="50" w:after="120" w:afterLines="50"/>
        <w:rPr>
          <w:rFonts w:hAnsi="黑体"/>
        </w:rPr>
      </w:pPr>
      <w:bookmarkStart w:id="41" w:name="_Toc72754548"/>
      <w:r>
        <w:rPr>
          <w:rFonts w:hAnsi="黑体"/>
        </w:rPr>
        <w:t xml:space="preserve">6.2  </w:t>
      </w:r>
      <w:r>
        <w:rPr>
          <w:rFonts w:hint="eastAsia" w:hAnsi="黑体"/>
        </w:rPr>
        <w:t>绿色</w:t>
      </w:r>
      <w:r>
        <w:rPr>
          <w:rFonts w:hAnsi="黑体"/>
        </w:rPr>
        <w:t>产品</w:t>
      </w:r>
      <w:r>
        <w:rPr>
          <w:rFonts w:hint="eastAsia" w:hAnsi="黑体"/>
        </w:rPr>
        <w:t>判定依据</w:t>
      </w:r>
      <w:bookmarkEnd w:id="41"/>
    </w:p>
    <w:p>
      <w:pPr>
        <w:ind w:firstLine="420" w:firstLineChars="200"/>
      </w:pPr>
      <w:r>
        <w:rPr>
          <w:rFonts w:ascii="Times New Roman" w:hAnsi="Times New Roman"/>
          <w:color w:val="000000"/>
          <w:szCs w:val="21"/>
        </w:rPr>
        <w:t>本文件采用指标评价和生命周期评价相结合的方法，按照“4.1基本要求”和“4.2评价指标要求”开展自我评价或第三方评价。在满足评价指标要求的基础上，采用生命周期评价方法，进行生命周期影响评价，编制生命周期评价报告</w:t>
      </w:r>
      <w:r>
        <w:rPr>
          <w:rFonts w:hint="eastAsia" w:ascii="Times New Roman" w:hAnsi="Times New Roman"/>
          <w:color w:val="000000"/>
          <w:szCs w:val="21"/>
        </w:rPr>
        <w:t>。</w:t>
      </w:r>
      <w:r>
        <w:rPr>
          <w:rFonts w:ascii="Times New Roman" w:hAnsi="Times New Roman"/>
          <w:color w:val="000000"/>
          <w:szCs w:val="21"/>
        </w:rPr>
        <w:t>四氧化三钴同时满足以下条件，可判定为绿色设计产品：</w:t>
      </w:r>
    </w:p>
    <w:p>
      <w:pPr>
        <w:pStyle w:val="37"/>
        <w:numPr>
          <w:ilvl w:val="0"/>
          <w:numId w:val="4"/>
        </w:numPr>
        <w:ind w:left="780" w:hanging="360" w:firstLineChars="0"/>
        <w:jc w:val="left"/>
        <w:rPr>
          <w:rFonts w:ascii="Times New Roman" w:hAnsi="Times New Roman"/>
          <w:color w:val="000000"/>
          <w:szCs w:val="21"/>
        </w:rPr>
      </w:pPr>
      <w:r>
        <w:rPr>
          <w:rFonts w:ascii="Times New Roman" w:hAnsi="Times New Roman"/>
          <w:color w:val="000000"/>
          <w:szCs w:val="21"/>
        </w:rPr>
        <w:t>满足基本要求（见4.1）和评价指标要求（见4.2）；</w:t>
      </w:r>
    </w:p>
    <w:p>
      <w:pPr>
        <w:pStyle w:val="37"/>
        <w:numPr>
          <w:ilvl w:val="0"/>
          <w:numId w:val="4"/>
        </w:numPr>
        <w:ind w:left="780" w:hanging="360" w:firstLineChars="0"/>
        <w:jc w:val="left"/>
        <w:rPr>
          <w:rFonts w:ascii="Times New Roman" w:hAnsi="Times New Roman"/>
          <w:color w:val="000000"/>
          <w:szCs w:val="21"/>
        </w:rPr>
      </w:pPr>
      <w:r>
        <w:rPr>
          <w:rFonts w:ascii="Times New Roman" w:hAnsi="Times New Roman"/>
          <w:color w:val="000000"/>
          <w:szCs w:val="21"/>
        </w:rPr>
        <w:t>企业需提供四氧化三钴产品生命周期评价报告（见5.2）。</w:t>
      </w:r>
    </w:p>
    <w:p>
      <w:pPr>
        <w:ind w:firstLine="420" w:firstLineChars="200"/>
        <w:jc w:val="left"/>
        <w:rPr>
          <w:rFonts w:ascii="Times New Roman" w:hAnsi="Times New Roman"/>
          <w:color w:val="000000"/>
          <w:szCs w:val="21"/>
        </w:rPr>
      </w:pPr>
    </w:p>
    <w:p>
      <w:pPr>
        <w:jc w:val="center"/>
        <w:rPr>
          <w:rFonts w:ascii="黑体" w:hAnsi="黑体"/>
          <w:color w:val="000000"/>
        </w:rPr>
      </w:pPr>
      <w:r>
        <w:rPr>
          <w:rFonts w:ascii="黑体" w:hAnsi="黑体"/>
          <w:color w:val="000000"/>
        </w:rPr>
        <w:object>
          <v:shape id="_x0000_i1025" o:spt="75" type="#_x0000_t75" style="height:211.5pt;width:294pt;" o:ole="t" filled="f" o:preferrelative="t" stroked="f" coordsize="21600,21600">
            <v:path/>
            <v:fill on="f" focussize="0,0"/>
            <v:stroke on="f" joinstyle="miter"/>
            <v:imagedata r:id="rId12" o:title=""/>
            <o:lock v:ext="edit" aspectratio="t"/>
            <w10:wrap type="none"/>
            <w10:anchorlock/>
          </v:shape>
          <o:OLEObject Type="Embed" ProgID="Visio.DrawingConvertable.15" ShapeID="_x0000_i1025" DrawAspect="Content" ObjectID="_1468075725" r:id="rId11">
            <o:LockedField>false</o:LockedField>
          </o:OLEObject>
        </w:object>
      </w:r>
    </w:p>
    <w:p>
      <w:pPr>
        <w:spacing w:before="120" w:beforeLines="50" w:after="120" w:afterLines="50"/>
        <w:jc w:val="center"/>
        <w:rPr>
          <w:rFonts w:ascii="黑体" w:hAnsi="黑体" w:eastAsia="黑体"/>
          <w:color w:val="000000"/>
          <w:sz w:val="18"/>
          <w:szCs w:val="21"/>
        </w:rPr>
      </w:pPr>
      <w:r>
        <w:rPr>
          <w:rFonts w:ascii="黑体" w:hAnsi="黑体" w:eastAsia="黑体"/>
          <w:color w:val="000000"/>
          <w:sz w:val="18"/>
          <w:szCs w:val="21"/>
        </w:rPr>
        <w:t>图1  四氧化三钴绿色设计产品评价流程</w:t>
      </w:r>
    </w:p>
    <w:p>
      <w:pPr>
        <w:widowControl/>
        <w:spacing w:line="360" w:lineRule="auto"/>
        <w:jc w:val="center"/>
        <w:outlineLvl w:val="0"/>
        <w:rPr>
          <w:rFonts w:ascii="黑体" w:hAnsi="黑体" w:eastAsia="黑体"/>
          <w:color w:val="000000"/>
          <w:szCs w:val="21"/>
        </w:rPr>
        <w:sectPr>
          <w:footerReference r:id="rId9" w:type="first"/>
          <w:footerReference r:id="rId8" w:type="default"/>
          <w:pgSz w:w="11906" w:h="16838"/>
          <w:pgMar w:top="1440" w:right="1797" w:bottom="1440" w:left="1797" w:header="851" w:footer="992" w:gutter="0"/>
          <w:pgBorders w:offsetFrom="page">
            <w:top w:val="single" w:color="FFFFFF" w:sz="8" w:space="24"/>
            <w:left w:val="single" w:color="FFFFFF" w:sz="8" w:space="24"/>
            <w:bottom w:val="single" w:color="FFFFFF" w:sz="8" w:space="24"/>
            <w:right w:val="single" w:color="FFFFFF" w:sz="8" w:space="24"/>
          </w:pgBorders>
          <w:pgNumType w:start="1"/>
          <w:cols w:space="720" w:num="1"/>
          <w:titlePg/>
          <w:docGrid w:linePitch="312" w:charSpace="0"/>
        </w:sectPr>
      </w:pPr>
      <w:bookmarkStart w:id="42" w:name="_Toc2755364"/>
    </w:p>
    <w:p>
      <w:pPr>
        <w:pStyle w:val="63"/>
        <w:numPr>
          <w:ilvl w:val="0"/>
          <w:numId w:val="5"/>
        </w:numPr>
        <w:ind w:left="0"/>
      </w:pPr>
      <w:r>
        <w:br w:type="textWrapping"/>
      </w:r>
      <w:bookmarkStart w:id="43" w:name="_Toc72754549"/>
      <w:r>
        <w:rPr>
          <w:rFonts w:hint="eastAsia"/>
        </w:rPr>
        <w:t>（规范性）</w:t>
      </w:r>
      <w:r>
        <w:br w:type="textWrapping"/>
      </w:r>
      <w:r>
        <w:rPr>
          <w:rFonts w:hint="eastAsia"/>
        </w:rPr>
        <w:t>主要</w:t>
      </w:r>
      <w:r>
        <w:t>指标计算方法</w:t>
      </w:r>
      <w:bookmarkEnd w:id="43"/>
    </w:p>
    <w:p>
      <w:pPr>
        <w:ind w:firstLine="420"/>
        <w:rPr>
          <w:rFonts w:ascii="黑体" w:hAnsi="黑体" w:eastAsia="黑体"/>
          <w:szCs w:val="21"/>
        </w:rPr>
      </w:pPr>
      <w:r>
        <w:rPr>
          <w:rFonts w:ascii="黑体" w:hAnsi="黑体"/>
          <w:szCs w:val="21"/>
        </w:rPr>
        <w:t>本文件所规定的各项指标均采用</w:t>
      </w:r>
      <w:r>
        <w:rPr>
          <w:rFonts w:hint="eastAsia" w:ascii="黑体" w:hAnsi="黑体"/>
          <w:szCs w:val="21"/>
        </w:rPr>
        <w:t>化工</w:t>
      </w:r>
      <w:r>
        <w:rPr>
          <w:rFonts w:ascii="黑体" w:hAnsi="黑体"/>
          <w:szCs w:val="21"/>
        </w:rPr>
        <w:t>行业和环境保护部门最常用的指标，易于理解和执行。</w:t>
      </w:r>
    </w:p>
    <w:bookmarkEnd w:id="42"/>
    <w:p>
      <w:pPr>
        <w:spacing w:before="240" w:beforeLines="100" w:after="240" w:afterLines="100"/>
        <w:jc w:val="left"/>
        <w:rPr>
          <w:rFonts w:ascii="黑体" w:hAnsi="黑体" w:eastAsia="黑体" w:cs="黑体"/>
          <w:color w:val="000000"/>
          <w:szCs w:val="21"/>
        </w:rPr>
      </w:pPr>
      <w:r>
        <w:rPr>
          <w:rFonts w:ascii="黑体" w:hAnsi="黑体" w:eastAsia="黑体" w:cs="黑体"/>
          <w:color w:val="000000"/>
          <w:szCs w:val="21"/>
        </w:rPr>
        <w:t xml:space="preserve">A.1  </w:t>
      </w:r>
      <w:r>
        <w:rPr>
          <w:rFonts w:hint="eastAsia" w:ascii="黑体" w:hAnsi="黑体" w:eastAsia="黑体" w:cs="黑体"/>
          <w:color w:val="000000"/>
          <w:szCs w:val="21"/>
        </w:rPr>
        <w:t>指标解释</w:t>
      </w:r>
    </w:p>
    <w:p>
      <w:pPr>
        <w:spacing w:before="120" w:beforeLines="50" w:after="120" w:afterLines="50"/>
        <w:jc w:val="left"/>
        <w:rPr>
          <w:rFonts w:ascii="黑体" w:hAnsi="黑体" w:eastAsia="黑体"/>
          <w:b/>
          <w:kern w:val="0"/>
          <w:szCs w:val="21"/>
        </w:rPr>
      </w:pPr>
      <w:r>
        <w:rPr>
          <w:rFonts w:ascii="黑体" w:hAnsi="黑体" w:eastAsia="黑体"/>
          <w:bCs/>
          <w:kern w:val="0"/>
          <w:szCs w:val="21"/>
        </w:rPr>
        <w:t xml:space="preserve">A.1.1  </w:t>
      </w:r>
      <w:r>
        <w:rPr>
          <w:rFonts w:hint="eastAsia" w:ascii="黑体" w:hAnsi="黑体" w:eastAsia="黑体"/>
          <w:bCs/>
          <w:kern w:val="0"/>
          <w:szCs w:val="21"/>
        </w:rPr>
        <w:t>工业用水重复利用率</w:t>
      </w:r>
    </w:p>
    <w:p>
      <w:pPr>
        <w:ind w:firstLine="420"/>
        <w:rPr>
          <w:rFonts w:ascii="Times New Roman" w:hAnsi="Times New Roman"/>
          <w:szCs w:val="21"/>
        </w:rPr>
      </w:pPr>
      <w:r>
        <w:rPr>
          <w:rFonts w:ascii="Times New Roman" w:hAnsi="Times New Roman"/>
          <w:szCs w:val="21"/>
        </w:rPr>
        <w:t>工业用水重复利用率</w:t>
      </w:r>
      <w:r>
        <w:rPr>
          <w:rFonts w:hint="eastAsia" w:ascii="Times New Roman" w:hAnsi="Times New Roman"/>
          <w:szCs w:val="21"/>
          <w:lang w:eastAsia="zh-CN"/>
        </w:rPr>
        <w:t>是指在一定的计量时间内，在</w:t>
      </w:r>
      <w:r>
        <w:rPr>
          <w:rFonts w:ascii="Times New Roman" w:hAnsi="Times New Roman"/>
          <w:szCs w:val="21"/>
        </w:rPr>
        <w:t>生产过程中使用的重复利用水量与总用水量的</w:t>
      </w:r>
      <w:r>
        <w:rPr>
          <w:rFonts w:hint="eastAsia" w:ascii="Times New Roman" w:hAnsi="Times New Roman"/>
          <w:szCs w:val="21"/>
          <w:lang w:eastAsia="zh-CN"/>
        </w:rPr>
        <w:t>百分比</w:t>
      </w:r>
      <w:r>
        <w:rPr>
          <w:rFonts w:ascii="Times New Roman" w:hAnsi="Times New Roman"/>
          <w:szCs w:val="21"/>
        </w:rPr>
        <w:t>，按公式（A.1）计算：</w:t>
      </w:r>
    </w:p>
    <w:p>
      <w:pPr>
        <w:ind w:firstLine="420"/>
        <w:jc w:val="right"/>
        <w:rPr>
          <w:rFonts w:ascii="黑体" w:hAnsi="黑体"/>
          <w:szCs w:val="21"/>
        </w:rPr>
      </w:pPr>
    </w:p>
    <w:p>
      <w:pPr>
        <w:ind w:firstLine="3150" w:firstLineChars="1500"/>
        <w:rPr>
          <w:rFonts w:ascii="黑体" w:hAnsi="黑体"/>
          <w:szCs w:val="21"/>
        </w:rPr>
      </w:pPr>
      <m:oMath>
        <m:r>
          <m:rPr>
            <m:nor/>
            <m:sty m:val="p"/>
          </m:rPr>
          <w:rPr>
            <w:rFonts w:ascii="Times New Roman" w:hAnsi="Times New Roman"/>
            <w:b w:val="0"/>
            <w:i w:val="0"/>
            <w:szCs w:val="21"/>
          </w:rPr>
          <m:t>R=</m:t>
        </m:r>
        <m:f>
          <m:fPr>
            <m:ctrlPr>
              <w:rPr>
                <w:rFonts w:ascii="Cambria Math" w:hAnsi="Cambria Math"/>
                <w:i/>
                <w:szCs w:val="21"/>
              </w:rPr>
            </m:ctrlPr>
          </m:fPr>
          <m:num>
            <m:r>
              <m:rPr>
                <m:nor/>
              </m:rPr>
              <w:rPr>
                <w:rFonts w:ascii="Times New Roman" w:hAnsi="Times New Roman"/>
                <w:i/>
                <w:szCs w:val="21"/>
              </w:rPr>
              <m:t>Vr</m:t>
            </m:r>
            <m:ctrlPr>
              <w:rPr>
                <w:rFonts w:ascii="Cambria Math" w:hAnsi="Cambria Math"/>
                <w:i/>
                <w:szCs w:val="21"/>
              </w:rPr>
            </m:ctrlPr>
          </m:num>
          <m:den>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V</m:t>
                    </m:r>
                    <m:ctrlPr>
                      <w:rPr>
                        <w:rFonts w:ascii="Cambria Math" w:hAnsi="Cambria Math"/>
                        <w:i/>
                        <w:szCs w:val="21"/>
                      </w:rPr>
                    </m:ctrlPr>
                  </m:e>
                  <m:sub>
                    <m:r>
                      <m:rPr>
                        <m:nor/>
                      </m:rPr>
                      <w:rPr>
                        <w:rFonts w:ascii="Times New Roman" w:hAnsi="Times New Roman"/>
                        <w:i/>
                        <w:szCs w:val="21"/>
                      </w:rPr>
                      <m:t>r</m:t>
                    </m:r>
                    <m:ctrlPr>
                      <w:rPr>
                        <w:rFonts w:ascii="Cambria Math" w:hAnsi="Cambria Math"/>
                        <w:i/>
                        <w:szCs w:val="21"/>
                      </w:rPr>
                    </m:ctrlPr>
                  </m:sub>
                </m:sSub>
                <m:r>
                  <m:rPr>
                    <m:nor/>
                  </m:rPr>
                  <w:rPr>
                    <w:rFonts w:ascii="Times New Roman" w:hAnsi="Times New Roman"/>
                    <w:i/>
                    <w:szCs w:val="21"/>
                  </w:rPr>
                  <m:t>+V</m:t>
                </m:r>
                <m:ctrlPr>
                  <w:rPr>
                    <w:rFonts w:ascii="Cambria Math" w:hAnsi="Cambria Math"/>
                    <w:i/>
                    <w:szCs w:val="21"/>
                  </w:rPr>
                </m:ctrlPr>
              </m:e>
              <m:sub>
                <m:r>
                  <m:rPr>
                    <m:nor/>
                  </m:rPr>
                  <w:rPr>
                    <w:rFonts w:ascii="Times New Roman" w:hAnsi="Times New Roman"/>
                    <w:i/>
                    <w:szCs w:val="21"/>
                  </w:rPr>
                  <m:t>n</m:t>
                </m:r>
                <m:ctrlPr>
                  <w:rPr>
                    <w:rFonts w:ascii="Cambria Math" w:hAnsi="Cambria Math"/>
                    <w:i/>
                    <w:szCs w:val="21"/>
                  </w:rPr>
                </m:ctrlPr>
              </m:sub>
            </m:sSub>
            <m:ctrlPr>
              <w:rPr>
                <w:rFonts w:ascii="Cambria Math" w:hAnsi="Cambria Math"/>
                <w:i/>
                <w:szCs w:val="21"/>
              </w:rPr>
            </m:ctrlPr>
          </m:den>
        </m:f>
        <m:r>
          <m:rPr>
            <m:nor/>
            <m:sty m:val="p"/>
          </m:rPr>
          <w:rPr>
            <w:rFonts w:ascii="Times New Roman" w:hAnsi="Times New Roman"/>
            <w:b w:val="0"/>
            <w:i w:val="0"/>
            <w:szCs w:val="21"/>
          </w:rPr>
          <m:t>×100%</m:t>
        </m:r>
      </m:oMath>
      <w:r>
        <w:rPr>
          <w:rFonts w:ascii="Times New Roman" w:hAnsi="Times New Roman"/>
          <w:szCs w:val="21"/>
        </w:rPr>
        <w:t xml:space="preserve">    </w:t>
      </w:r>
      <w:r>
        <w:rPr>
          <w:rFonts w:ascii="Times New Roman" w:hAnsi="Times New Roman"/>
          <w:sz w:val="24"/>
          <w:szCs w:val="24"/>
          <w:shd w:val="clear" w:color="auto" w:fill="FFFFFF"/>
        </w:rPr>
        <w:t xml:space="preserve">……………………………… </w:t>
      </w:r>
      <w:r>
        <w:rPr>
          <w:rFonts w:ascii="Times New Roman" w:hAnsi="Times New Roman"/>
          <w:szCs w:val="21"/>
        </w:rPr>
        <w:t>（A.1）</w:t>
      </w:r>
    </w:p>
    <w:p>
      <w:pPr>
        <w:ind w:firstLine="420"/>
        <w:jc w:val="right"/>
        <w:rPr>
          <w:rFonts w:ascii="黑体" w:hAnsi="黑体"/>
          <w:szCs w:val="21"/>
        </w:rPr>
      </w:pPr>
      <w:r>
        <w:rPr>
          <w:rFonts w:ascii="黑体" w:hAnsi="黑体"/>
          <w:szCs w:val="21"/>
        </w:rPr>
        <w:t xml:space="preserve">                   </w:t>
      </w:r>
    </w:p>
    <w:p>
      <w:pPr>
        <w:ind w:firstLine="420"/>
        <w:rPr>
          <w:rFonts w:ascii="Times New Roman" w:hAnsi="Times New Roman"/>
          <w:szCs w:val="21"/>
        </w:rPr>
      </w:pPr>
      <w:r>
        <w:rPr>
          <w:rFonts w:ascii="Times New Roman" w:hAnsi="Times New Roman"/>
          <w:szCs w:val="21"/>
        </w:rPr>
        <w:t>式中：</w:t>
      </w:r>
    </w:p>
    <w:p>
      <w:pPr>
        <w:ind w:firstLine="420"/>
        <w:rPr>
          <w:rFonts w:ascii="Times New Roman" w:hAnsi="Times New Roman"/>
          <w:szCs w:val="21"/>
        </w:rPr>
      </w:pPr>
      <w:r>
        <w:rPr>
          <w:rFonts w:ascii="Times New Roman" w:hAnsi="Times New Roman"/>
          <w:szCs w:val="21"/>
        </w:rPr>
        <w:t>R——</w:t>
      </w:r>
      <w:r>
        <w:rPr>
          <w:rFonts w:hint="eastAsia" w:ascii="Times New Roman" w:hAnsi="Times New Roman"/>
          <w:szCs w:val="21"/>
          <w:lang w:eastAsia="zh-CN"/>
        </w:rPr>
        <w:t>工业用水</w:t>
      </w:r>
      <w:r>
        <w:rPr>
          <w:rFonts w:ascii="Times New Roman" w:hAnsi="Times New Roman"/>
          <w:szCs w:val="21"/>
        </w:rPr>
        <w:t>重复利用率，%；</w:t>
      </w:r>
    </w:p>
    <w:p>
      <w:pPr>
        <w:ind w:firstLine="420"/>
        <w:rPr>
          <w:rFonts w:ascii="Times New Roman" w:hAnsi="Times New Roman"/>
          <w:szCs w:val="21"/>
        </w:rPr>
      </w:pPr>
      <w:r>
        <w:rPr>
          <w:rFonts w:ascii="Times New Roman" w:hAnsi="Times New Roman"/>
          <w:szCs w:val="21"/>
        </w:rPr>
        <w:t>Vr——</w:t>
      </w:r>
      <w:r>
        <w:rPr>
          <w:rFonts w:hint="eastAsia" w:ascii="Times New Roman" w:hAnsi="Times New Roman"/>
          <w:szCs w:val="21"/>
          <w:lang w:eastAsia="zh-CN"/>
        </w:rPr>
        <w:t>统计期内</w:t>
      </w:r>
      <w:r>
        <w:rPr>
          <w:rFonts w:ascii="Times New Roman" w:hAnsi="Times New Roman"/>
          <w:szCs w:val="21"/>
        </w:rPr>
        <w:t>重复利用水量，单位为立方米（m</w:t>
      </w:r>
      <w:r>
        <w:rPr>
          <w:rFonts w:ascii="Times New Roman" w:hAnsi="Times New Roman"/>
          <w:szCs w:val="21"/>
          <w:vertAlign w:val="superscript"/>
        </w:rPr>
        <w:t>3</w:t>
      </w:r>
      <w:r>
        <w:rPr>
          <w:rFonts w:ascii="Times New Roman" w:hAnsi="Times New Roman"/>
          <w:szCs w:val="21"/>
        </w:rPr>
        <w:t>）；</w:t>
      </w:r>
    </w:p>
    <w:p>
      <w:pPr>
        <w:ind w:firstLine="420"/>
        <w:rPr>
          <w:rFonts w:ascii="Times New Roman" w:hAnsi="Times New Roman"/>
          <w:szCs w:val="21"/>
        </w:rPr>
      </w:pPr>
      <w:r>
        <w:rPr>
          <w:rFonts w:ascii="Times New Roman" w:hAnsi="Times New Roman"/>
          <w:szCs w:val="21"/>
        </w:rPr>
        <w:t>Vn——</w:t>
      </w:r>
      <w:r>
        <w:rPr>
          <w:rFonts w:hint="eastAsia" w:ascii="Times New Roman" w:hAnsi="Times New Roman"/>
          <w:szCs w:val="21"/>
          <w:lang w:eastAsia="zh-CN"/>
        </w:rPr>
        <w:t>统计期内</w:t>
      </w:r>
      <w:r>
        <w:rPr>
          <w:rFonts w:ascii="Times New Roman" w:hAnsi="Times New Roman"/>
          <w:szCs w:val="21"/>
        </w:rPr>
        <w:t>使用的</w:t>
      </w:r>
      <w:r>
        <w:rPr>
          <w:rFonts w:hint="eastAsia" w:ascii="Times New Roman" w:hAnsi="Times New Roman"/>
          <w:szCs w:val="21"/>
          <w:lang w:eastAsia="zh-CN"/>
        </w:rPr>
        <w:t>新鲜水</w:t>
      </w:r>
      <w:r>
        <w:rPr>
          <w:rFonts w:ascii="Times New Roman" w:hAnsi="Times New Roman"/>
          <w:szCs w:val="21"/>
        </w:rPr>
        <w:t>量，单位为立方米（m</w:t>
      </w:r>
      <w:r>
        <w:rPr>
          <w:rFonts w:ascii="Times New Roman" w:hAnsi="Times New Roman"/>
          <w:szCs w:val="21"/>
          <w:vertAlign w:val="superscript"/>
        </w:rPr>
        <w:t>3</w:t>
      </w:r>
      <w:r>
        <w:rPr>
          <w:rFonts w:ascii="Times New Roman" w:hAnsi="Times New Roman"/>
          <w:szCs w:val="21"/>
        </w:rPr>
        <w:t>）。</w:t>
      </w:r>
    </w:p>
    <w:p>
      <w:pPr>
        <w:spacing w:before="120" w:beforeLines="50" w:after="120" w:afterLines="50"/>
        <w:jc w:val="left"/>
        <w:rPr>
          <w:rFonts w:ascii="黑体" w:hAnsi="黑体" w:eastAsia="黑体"/>
          <w:bCs/>
          <w:kern w:val="0"/>
          <w:szCs w:val="21"/>
        </w:rPr>
      </w:pPr>
      <w:r>
        <w:rPr>
          <w:rFonts w:ascii="黑体" w:hAnsi="黑体" w:eastAsia="黑体"/>
          <w:bCs/>
          <w:kern w:val="0"/>
          <w:szCs w:val="21"/>
        </w:rPr>
        <w:t xml:space="preserve">A.1.2 </w:t>
      </w:r>
      <w:r>
        <w:rPr>
          <w:rFonts w:hint="eastAsia" w:ascii="黑体" w:hAnsi="黑体" w:eastAsia="黑体"/>
          <w:bCs/>
          <w:kern w:val="0"/>
          <w:szCs w:val="21"/>
        </w:rPr>
        <w:t>单位产品新鲜水耗</w:t>
      </w:r>
    </w:p>
    <w:p>
      <w:pPr>
        <w:pStyle w:val="60"/>
        <w:rPr>
          <w:rFonts w:ascii="Times New Roman"/>
          <w:szCs w:val="21"/>
        </w:rPr>
      </w:pPr>
      <w:r>
        <w:rPr>
          <w:rFonts w:ascii="Times New Roman"/>
          <w:szCs w:val="21"/>
        </w:rPr>
        <w:t>单位产品</w:t>
      </w:r>
      <w:r>
        <w:rPr>
          <w:rFonts w:hint="eastAsia" w:ascii="Times New Roman"/>
          <w:szCs w:val="21"/>
        </w:rPr>
        <w:t>新鲜</w:t>
      </w:r>
      <w:r>
        <w:rPr>
          <w:rFonts w:ascii="Times New Roman"/>
          <w:szCs w:val="21"/>
        </w:rPr>
        <w:t>水耗按式</w:t>
      </w:r>
      <w:r>
        <w:rPr>
          <w:rFonts w:ascii="Times New Roman"/>
          <w:kern w:val="2"/>
          <w:szCs w:val="21"/>
        </w:rPr>
        <w:t>（A.2）</w:t>
      </w:r>
      <w:r>
        <w:rPr>
          <w:rFonts w:ascii="Times New Roman"/>
          <w:szCs w:val="21"/>
        </w:rPr>
        <w:t>计算</w:t>
      </w:r>
    </w:p>
    <w:p>
      <w:pPr>
        <w:ind w:firstLine="3150" w:firstLineChars="1500"/>
        <w:rPr>
          <w:rFonts w:ascii="黑体" w:hAnsi="黑体"/>
          <w:szCs w:val="21"/>
        </w:rPr>
      </w:pPr>
      <m:oMath>
        <m:r>
          <m:rPr>
            <m:nor/>
            <m:sty m:val="p"/>
          </m:rPr>
          <w:rPr>
            <w:rFonts w:ascii="Times New Roman" w:hAnsi="Times New Roman"/>
            <w:b w:val="0"/>
            <w:i w:val="0"/>
            <w:szCs w:val="21"/>
          </w:rPr>
          <m:t>Wui=</m:t>
        </m:r>
        <m:f>
          <m:fPr>
            <m:ctrlPr>
              <w:rPr>
                <w:rFonts w:ascii="Cambria Math" w:hAnsi="Cambria Math"/>
                <w:i/>
                <w:szCs w:val="21"/>
              </w:rPr>
            </m:ctrlPr>
          </m:fPr>
          <m:num>
            <m:r>
              <m:rPr>
                <m:nor/>
              </m:rPr>
              <w:rPr>
                <w:rFonts w:ascii="Times New Roman" w:hAnsi="Times New Roman"/>
                <w:i/>
                <w:szCs w:val="21"/>
              </w:rPr>
              <m:t>W</m:t>
            </m:r>
            <m:r>
              <m:rPr>
                <m:nor/>
              </m:rPr>
              <w:rPr>
                <w:rFonts w:ascii="Cambria Math" w:hAnsi="Times New Roman"/>
                <w:i/>
                <w:szCs w:val="21"/>
              </w:rPr>
              <m:t>i</m:t>
            </m:r>
            <m:ctrlPr>
              <w:rPr>
                <w:rFonts w:ascii="Cambria Math" w:hAnsi="Cambria Math"/>
                <w:i/>
                <w:szCs w:val="21"/>
              </w:rPr>
            </m:ctrlPr>
          </m:num>
          <m:den>
            <m:r>
              <w:rPr>
                <w:rFonts w:ascii="Cambria Math" w:hAnsi="Cambria Math"/>
                <w:szCs w:val="21"/>
              </w:rPr>
              <m:t>Q</m:t>
            </m:r>
            <m:ctrlPr>
              <w:rPr>
                <w:rFonts w:ascii="Cambria Math" w:hAnsi="Cambria Math"/>
                <w:i/>
                <w:szCs w:val="21"/>
              </w:rPr>
            </m:ctrlPr>
          </m:den>
        </m:f>
        <m:r>
          <m:rPr>
            <m:nor/>
            <m:sty m:val="p"/>
          </m:rPr>
          <w:rPr>
            <w:rFonts w:ascii="Times New Roman" w:hAnsi="Times New Roman"/>
            <w:b w:val="0"/>
            <w:i w:val="0"/>
            <w:szCs w:val="21"/>
          </w:rPr>
          <m:t>×100%</m:t>
        </m:r>
      </m:oMath>
      <w:r>
        <w:rPr>
          <w:rFonts w:hint="eastAsia" w:ascii="黑体" w:hAnsi="黑体"/>
          <w:szCs w:val="21"/>
        </w:rPr>
        <w:t xml:space="preserve">   </w:t>
      </w:r>
      <w:r>
        <w:rPr>
          <w:rFonts w:hint="eastAsia" w:ascii="Times New Roman" w:hAnsi="Times New Roman"/>
          <w:sz w:val="24"/>
          <w:szCs w:val="24"/>
          <w:shd w:val="clear" w:color="auto" w:fill="FFFFFF"/>
        </w:rPr>
        <w:t xml:space="preserve"> </w:t>
      </w:r>
      <w:r>
        <w:rPr>
          <w:rFonts w:ascii="Times New Roman" w:hAnsi="Times New Roman"/>
          <w:sz w:val="24"/>
          <w:szCs w:val="24"/>
          <w:shd w:val="clear" w:color="auto" w:fill="FFFFFF"/>
        </w:rPr>
        <w:t>………………………………</w:t>
      </w:r>
      <w:r>
        <w:rPr>
          <w:rFonts w:ascii="Times New Roman" w:hAnsi="Times New Roman"/>
          <w:szCs w:val="21"/>
        </w:rPr>
        <w:t>（A.2）</w:t>
      </w:r>
    </w:p>
    <w:p>
      <w:pPr>
        <w:pStyle w:val="60"/>
        <w:ind w:firstLine="420" w:firstLineChars="200"/>
        <w:rPr>
          <w:rFonts w:ascii="Times New Roman"/>
          <w:szCs w:val="21"/>
        </w:rPr>
      </w:pPr>
      <w:r>
        <w:rPr>
          <w:rFonts w:ascii="Times New Roman"/>
          <w:szCs w:val="21"/>
        </w:rPr>
        <w:t>式中</w:t>
      </w:r>
      <w:r>
        <w:rPr>
          <w:rFonts w:hint="eastAsia" w:ascii="Times New Roman"/>
          <w:szCs w:val="21"/>
        </w:rPr>
        <w:t>：</w:t>
      </w:r>
    </w:p>
    <w:p>
      <w:pPr>
        <w:pStyle w:val="60"/>
        <w:ind w:firstLine="420" w:firstLineChars="200"/>
        <w:rPr>
          <w:rFonts w:ascii="Times New Roman"/>
          <w:szCs w:val="21"/>
        </w:rPr>
      </w:pPr>
      <w:r>
        <w:rPr>
          <w:rFonts w:ascii="Times New Roman"/>
          <w:szCs w:val="21"/>
        </w:rPr>
        <w:t>Wui</w:t>
      </w:r>
      <w:r>
        <w:rPr>
          <w:rFonts w:ascii="Times New Roman"/>
          <w:szCs w:val="21"/>
        </w:rPr>
        <w:fldChar w:fldCharType="begin"/>
      </w:r>
      <w:r>
        <w:rPr>
          <w:rFonts w:ascii="Times New Roman"/>
          <w:szCs w:val="21"/>
        </w:rPr>
        <w:instrText xml:space="preserve"> QUOTE </w:instrText>
      </w:r>
      <w:r>
        <w:rPr>
          <w:rFonts w:ascii="Times New Roman"/>
          <w:position w:val="-4"/>
        </w:rPr>
        <w:pict>
          <v:shape id="_x0000_i1026" o:spt="75" type="#_x0000_t75" style="height:12pt;width:15.75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B2602&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2B2602&quot; wsp:rsidP=&quot;002B2602&quot;&gt;&lt;m:oMathPara&gt;&lt;m:oMath&gt;&lt;m:sSub&gt;&lt;m:sSubPr&gt;&lt;m:ctrlPr&gt;&lt;aml:annotation aml:id=&quot;0&quot; w:type=&quot;Word.Insertion&quot; aml:author=&quot;涓? 绁ア aml:createdate=&quot;2020-08-31T14:58:00Z&quot;&gt;&lt;aml:content&gt;&lt;w:rPr&gt;&lt;w:rFonts w:ascii=&quot;Cambria Math&quot; w:h-ansi=&quot;Cambria Math&quot;/&gt;&lt;wx:font wx:val=&quot;Cambria Math&quot;/&gt;&lt;w:color w&lt;m:&lt;m:&lt;m:&lt;m:&lt;m:&lt;m:&lt;m:&lt;m:&lt;m:&lt;m:&lt;m:&lt;m:&lt;m:&lt;m:&lt;m:&lt;m:&lt;m:&lt;m::valSub=&quot;b&gt;&lt;00&lt;m:0000&quot;/&gt;&lt;w:sz-cs w:val=&quot;21&quot;/&gt;&lt;/w:rPr&gt;&lt;/aml:content&gt;&lt;/aml:annotation&gt;&lt;/m:ctrlPr&gt;&lt;/m:sSubPr&gt;&lt;m:e&gt;&lt;m:r&gt;&lt;aml:annotation aml:id=&quot;1&quot; w:type=&quot;Word.Insertion&quot; aml:author=&quot;涓? 绁ア aml:createdate=&quot;&lt;m:202&lt;m:0-0&lt;m:8-3&lt;m:1T1&lt;m:4:5&lt;m:8:0&lt;m:0Z&quot;&lt;m:&gt;&lt;a&lt;m:ml:&lt;m:con&lt;m:ten&lt;m:t&gt;&lt;&lt;m:w:r&lt;m:Pr&gt;&lt;m:&lt;w:&lt;m:rFo&lt;m:nts&lt;m: w:asciSubi=&quot;Cab&gt;&lt;mbria&lt;m: Math&quot; w:h-ansi=&quot;Cambria Math&quot;/&gt;&lt;wx:font wx:val=&quot;Cambria Math&quot;/&gt;&lt;w:i/&gt;&lt;w:color w:val=&quot;000000&quot;/&gt;&lt;w:sz-cs w:val=&quot;21&quot;/&gt;&lt;/w:rPr&gt;&lt;m:t&gt;W&lt;/m:t&gt;&lt;/aml:content&gt;&lt;/aml:annotation&gt;&lt;/m:r&gt;&lt;/m:e&gt;&lt;m:sub&gt;&lt;m:r&gt;&lt;aml:annotation aml:id=&quot;2&quot; w:type=&quot;Word.Insertion&quot; aml:author=&quot;:? 绁ア aml:createdate=&quot;2020-08-31T14:58:00Z&quot;&gt;&lt;aml:content&gt;&lt;w:rPr&gt;&lt;w:rFonts w:ascii=&quot;Cambria Math&quot; w:h-ansi=&quot;Cambria Math&quot;/&gt;&lt;wx:m:font w/mx:val=/a&quot;Cambronia Mat&gt;&lt;h&quot;/&gt;&lt;w:a:i/&gt;&lt;wat:color&lt;/ w:val&lt;/=&quot;0000&lt;m00&quot;/&gt;&lt;&gt;&lt;w:sz-c&lt;as w:vannl=&quot;21&quot;io/&gt;&lt;/w:l:rPr&gt;&lt;m2&quot;:t&gt;ui&lt;yp/m:t&gt;&lt;or/aml:conteiont&gt;&lt;/aml:a:annota=&quot;: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szCs w:val="21"/>
        </w:rPr>
        <w:instrText xml:space="preserve"> </w:instrText>
      </w:r>
      <w:r>
        <w:rPr>
          <w:rFonts w:ascii="Times New Roman"/>
          <w:szCs w:val="21"/>
        </w:rPr>
        <w:fldChar w:fldCharType="end"/>
      </w:r>
      <w:r>
        <w:rPr>
          <w:rFonts w:ascii="Times New Roman"/>
          <w:szCs w:val="21"/>
        </w:rPr>
        <w:t>——单位产品</w:t>
      </w:r>
      <w:r>
        <w:rPr>
          <w:rFonts w:hint="eastAsia" w:ascii="Times New Roman"/>
          <w:szCs w:val="21"/>
        </w:rPr>
        <w:t>新鲜</w:t>
      </w:r>
      <w:r>
        <w:rPr>
          <w:rFonts w:ascii="Times New Roman"/>
          <w:szCs w:val="21"/>
        </w:rPr>
        <w:t>水耗，</w:t>
      </w:r>
      <w:r>
        <w:rPr>
          <w:rFonts w:hint="eastAsia" w:ascii="Times New Roman"/>
          <w:szCs w:val="21"/>
          <w:lang w:val="en-US" w:eastAsia="zh-CN"/>
        </w:rPr>
        <w:t>m</w:t>
      </w:r>
      <w:r>
        <w:rPr>
          <w:rFonts w:hint="eastAsia" w:ascii="Times New Roman"/>
          <w:szCs w:val="21"/>
          <w:vertAlign w:val="superscript"/>
          <w:lang w:val="en-US" w:eastAsia="zh-CN"/>
        </w:rPr>
        <w:t>3</w:t>
      </w:r>
      <w:r>
        <w:rPr>
          <w:rFonts w:hint="eastAsia" w:ascii="Times New Roman"/>
          <w:szCs w:val="21"/>
          <w:lang w:val="en-US" w:eastAsia="zh-CN"/>
        </w:rPr>
        <w:t>/t</w:t>
      </w:r>
      <w:r>
        <w:rPr>
          <w:rFonts w:hint="eastAsia" w:ascii="Times New Roman"/>
          <w:szCs w:val="21"/>
        </w:rPr>
        <w:t>；</w:t>
      </w:r>
    </w:p>
    <w:p>
      <w:pPr>
        <w:pStyle w:val="60"/>
        <w:ind w:firstLine="420" w:firstLineChars="200"/>
        <w:rPr>
          <w:rFonts w:ascii="Times New Roman"/>
          <w:szCs w:val="21"/>
        </w:rPr>
      </w:pPr>
      <w:r>
        <w:rPr>
          <w:rFonts w:ascii="Times New Roman"/>
          <w:szCs w:val="21"/>
        </w:rPr>
        <w:t xml:space="preserve">Wi </w:t>
      </w:r>
      <w:r>
        <w:rPr>
          <w:rFonts w:ascii="Times New Roman"/>
          <w:szCs w:val="21"/>
        </w:rPr>
        <w:fldChar w:fldCharType="begin"/>
      </w:r>
      <w:r>
        <w:rPr>
          <w:rFonts w:ascii="Times New Roman"/>
          <w:szCs w:val="21"/>
        </w:rPr>
        <w:instrText xml:space="preserve"> QUOTE </w:instrText>
      </w:r>
      <w:r>
        <w:rPr>
          <w:rFonts w:ascii="Times New Roman"/>
          <w:position w:val="-4"/>
        </w:rPr>
        <w:pict>
          <v:shape id="_x0000_i1027" o:spt="75" type="#_x0000_t75" style="height:12pt;width:12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2FD7&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892FD7&quot; wsp:rsidP=&quot;00892FD7&quot;&gt;&lt;m:oMathPara&gt;&lt;m:oMath&gt;&lt;m:sSub&gt;&lt;m:sSubPr&gt;&lt;m:ctrlPr&gt;&lt;aml:annotation aml:id=&quot;0&quot; w:type=&quot;Word.Insertion&quot; aml:author=&quot;涓? 绁ア aml:createdate=&quot;2020-08-31T14:58:00Z&quot;&gt;&lt;aml:content&gt;&lt;w:rPr&gt;&lt;w:rFonts w:ascii=&quot;Cambria Math&quot; w:h-ansi=&quot;Cambria Math&quot;/&gt;&lt;wx:font wx:val=&quot;Cambria Math&quot;/&gt;&lt;w:i/&gt;&lt;w:c&lt;m:&lt;m:&lt;m:&lt;m:&lt;m:&lt;m:&lt;m:&lt;m:&lt;m:&lt;m:&lt;m:&lt;m:&lt;m:&lt;m:&lt;m:&lt;m:&lt;m:&lt;m:olorSub wb&gt;&lt;:v&lt;m:al=&quot;000000&quot;/&gt;&lt;w:sz-cs w:val=&quot;21&quot;/&gt;&lt;/w:rPr&gt;&lt;/aml:content&gt;&lt;/aml:annotation&gt;&lt;/m:ctrlPr&gt;&lt;/m:sSubPr&gt;&lt;m:e&gt;&lt;m:r&gt;&lt;aml:annotation aml:id=&quot;1&quot; w:type=&quot;Word.Insertion&quot; aml:author=&quot;涓? 绁ア aml:create&lt;m:dat&lt;m:e=&quot;&lt;m:202&lt;m:0-0&lt;m:8-3&lt;m:1T1&lt;m:4:5&lt;m:8:0&lt;m:0Z&quot;&lt;m:&gt;&lt;a&lt;m:ml:&lt;m:con&lt;m:ten&lt;m:t&gt;&lt;&lt;m:w:r&lt;m:Pr&gt;&lt;m:&lt;w:&lt;m:rFonts Subw:ascb&gt;&lt;ii=&quot;C&lt;m:ambria Math&quot; w:h-ansi=&quot;Cambria Math&quot;/&gt;&lt;wx:font wx:val=&quot;Cambria Math&quot;/&gt;&lt;w:i/&gt;&lt;w:color w:val=&quot;000000&quot;/&gt;&lt;w:sz-cs w:val=&quot;21&quot;/&gt;&lt;/w:rPr&gt;&lt;m:t&gt;W&lt;/m:t&gt;&lt;/aml:content&gt;&lt;/aml:annotation&gt;&lt;/m:r&gt;&lt;/m:e&gt;&lt;m:sub&gt;&lt;m:r&gt;&lt;aml:annotation aml:id=&quot;2&quot; w:type=&quot;Word.Insertion&quot; aml:author=&quot;涓? 绁ア aml:createdate=&quot;2020-08-31T14:58:00Z&quot;&gt;&lt;aml:content&gt;&lt;w:rPr&gt;&lt;w:rFonts w:ascii=&quot;Cambria Math&quot; w:h-ansi=&quot;Cambria Mathw:r&quot;/&gt;&lt;wx&lt;m::font &lt;/mwx:val&lt;/a=&quot;Cambconria Mat&gt;&lt;th&quot;/&gt;&lt;l:aw:i/&gt;&lt;tatw:colo&gt;&lt;/r w:va&gt;&lt;/l=&quot;000&gt;&lt;m000&quot;/&gt;b&gt;&lt;&lt;w:sz-&gt;&lt;acs w:vannal=&quot;21tio&quot;/&gt;&lt;/wml::rPr&gt;&lt;&quot;2&quot;m:t&gt;i&lt;typ/m:t&gt;&lt;/aml.In:contenton&quot;&gt;&lt;/aml:aaut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Times New Roman"/>
          <w:szCs w:val="21"/>
        </w:rPr>
        <w:instrText xml:space="preserve"> </w:instrText>
      </w:r>
      <w:r>
        <w:rPr>
          <w:rFonts w:ascii="Times New Roman"/>
          <w:szCs w:val="21"/>
        </w:rPr>
        <w:fldChar w:fldCharType="end"/>
      </w:r>
      <w:r>
        <w:rPr>
          <w:rFonts w:ascii="Times New Roman"/>
          <w:szCs w:val="21"/>
        </w:rPr>
        <w:t>——统计期内，生产产品所消耗总的新鲜水量，</w:t>
      </w:r>
      <w:r>
        <w:rPr>
          <w:rFonts w:ascii="Times New Roman" w:eastAsia="宋体e眠副浡渀."/>
          <w:szCs w:val="21"/>
        </w:rPr>
        <w:t>单位为</w:t>
      </w:r>
      <w:r>
        <w:rPr>
          <w:rFonts w:hint="eastAsia" w:ascii="Times New Roman" w:eastAsia="宋体e眠副浡渀."/>
          <w:szCs w:val="21"/>
        </w:rPr>
        <w:t>立方米</w:t>
      </w:r>
      <w:r>
        <w:rPr>
          <w:rFonts w:ascii="Times New Roman" w:eastAsia="宋体e眠副浡渀."/>
          <w:szCs w:val="21"/>
        </w:rPr>
        <w:t>（m</w:t>
      </w:r>
      <w:r>
        <w:rPr>
          <w:rFonts w:ascii="Times New Roman" w:eastAsia="宋体e眠副浡渀."/>
          <w:szCs w:val="21"/>
          <w:vertAlign w:val="superscript"/>
        </w:rPr>
        <w:t>3</w:t>
      </w:r>
      <w:r>
        <w:rPr>
          <w:rFonts w:ascii="Times New Roman" w:eastAsia="宋体e眠副浡渀."/>
          <w:szCs w:val="21"/>
        </w:rPr>
        <w:t>）</w:t>
      </w:r>
      <w:r>
        <w:rPr>
          <w:rFonts w:ascii="Times New Roman"/>
          <w:szCs w:val="21"/>
        </w:rPr>
        <w:t>；</w:t>
      </w:r>
    </w:p>
    <w:p>
      <w:pPr>
        <w:pStyle w:val="60"/>
        <w:ind w:firstLine="420" w:firstLineChars="200"/>
        <w:rPr>
          <w:rFonts w:ascii="Times New Roman" w:eastAsia="宋体e眠副浡渀."/>
          <w:szCs w:val="21"/>
        </w:rPr>
      </w:pPr>
      <w:r>
        <w:rPr>
          <w:rFonts w:ascii="Times New Roman"/>
          <w:szCs w:val="21"/>
        </w:rPr>
        <w:t>Q</w:t>
      </w:r>
      <w:r>
        <w:rPr>
          <w:rFonts w:ascii="Times New Roman"/>
          <w:szCs w:val="21"/>
        </w:rPr>
        <w:fldChar w:fldCharType="begin"/>
      </w:r>
      <w:r>
        <w:rPr>
          <w:rFonts w:ascii="Times New Roman"/>
          <w:szCs w:val="21"/>
        </w:rPr>
        <w:instrText xml:space="preserve"> QUOTE </w:instrText>
      </w:r>
      <w:r>
        <w:rPr>
          <w:rFonts w:ascii="Times New Roman"/>
          <w:position w:val="-4"/>
        </w:rPr>
        <w:pict>
          <v:shape id="_x0000_i1028" o:spt="75" type="#_x0000_t75" style="height:12pt;width:6.75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0C00&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AB0C00&quot; wsp:rsidP=&quot;00AB0C00&quot;&gt;&lt;m:oMathPara&gt;&lt;m:oMath&gt;&lt;m:r&gt;&lt;aml:annotation aml:id=&quot;0&quot; w:type=&quot;Word.Insertion&quot; aml:author=&quot;涓? 绁ア aml:createdate=&quot;2020-08-31T14:58:00Z&quot;&gt;&lt;aml:content&gt;&lt;w:rPr&gt;&lt;w:rFonts w:ascii=&quot;Cambria Math&quot; w:h-ansi=&quot;Cambria Math&quot;/&gt;&lt;wx:font wx:val=&quot;Cambria Math&quot;/&gt;&lt;w:i/&gt;&lt;w:color w:val=&quot;000000&quot;/&gt;&lt;w&lt;m:&lt;m:&lt;m:&lt;m:&lt;m:&lt;m:&lt;m:&lt;m:&lt;m:&lt;m:&lt;m:&lt;m:&lt;m:&lt;m:&lt;m:&lt;m:&lt;m:&lt;m::sz-&gt;&lt;acsaml wl:a:val=&quot;21&quot;/&gt;&lt;/w:rPr&gt;&lt;m:t&gt;Q&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ascii="Times New Roman"/>
          <w:szCs w:val="21"/>
        </w:rPr>
        <w:instrText xml:space="preserve"> </w:instrText>
      </w:r>
      <w:r>
        <w:rPr>
          <w:rFonts w:ascii="Times New Roman"/>
          <w:szCs w:val="21"/>
        </w:rPr>
        <w:fldChar w:fldCharType="end"/>
      </w:r>
      <w:r>
        <w:rPr>
          <w:rFonts w:ascii="Times New Roman"/>
          <w:szCs w:val="21"/>
        </w:rPr>
        <w:t>——</w:t>
      </w:r>
      <w:r>
        <w:rPr>
          <w:rFonts w:ascii="Times New Roman" w:eastAsia="宋体e眠副浡渀."/>
          <w:szCs w:val="21"/>
        </w:rPr>
        <w:t>统计期内生产产品总量，单位为</w:t>
      </w:r>
      <w:r>
        <w:rPr>
          <w:rFonts w:hint="eastAsia" w:ascii="Times New Roman" w:eastAsia="宋体e眠副浡渀."/>
          <w:szCs w:val="21"/>
          <w:lang w:eastAsia="zh-CN"/>
        </w:rPr>
        <w:t>吨</w:t>
      </w:r>
      <w:r>
        <w:rPr>
          <w:rFonts w:ascii="Times New Roman" w:eastAsia="宋体e眠副浡渀."/>
          <w:szCs w:val="21"/>
        </w:rPr>
        <w:t>（</w:t>
      </w:r>
      <w:r>
        <w:rPr>
          <w:rFonts w:hint="eastAsia" w:ascii="Times New Roman" w:eastAsia="宋体e眠副浡渀."/>
          <w:szCs w:val="21"/>
          <w:lang w:val="en-US" w:eastAsia="zh-CN"/>
        </w:rPr>
        <w:t>t</w:t>
      </w:r>
      <w:r>
        <w:rPr>
          <w:rFonts w:ascii="Times New Roman" w:eastAsia="宋体e眠副浡渀."/>
          <w:szCs w:val="21"/>
        </w:rPr>
        <w:t>）。</w:t>
      </w:r>
    </w:p>
    <w:p>
      <w:pPr>
        <w:spacing w:before="120" w:beforeLines="50" w:after="120" w:afterLines="50"/>
        <w:jc w:val="left"/>
        <w:rPr>
          <w:rFonts w:ascii="黑体" w:hAnsi="黑体" w:eastAsia="黑体"/>
          <w:bCs/>
          <w:kern w:val="0"/>
          <w:szCs w:val="21"/>
        </w:rPr>
      </w:pPr>
      <w:r>
        <w:rPr>
          <w:rFonts w:ascii="黑体" w:hAnsi="黑体" w:eastAsia="黑体"/>
          <w:bCs/>
          <w:kern w:val="0"/>
          <w:szCs w:val="21"/>
        </w:rPr>
        <w:t xml:space="preserve">A.1.3  </w:t>
      </w:r>
      <w:r>
        <w:rPr>
          <w:rFonts w:hint="eastAsia" w:ascii="黑体" w:hAnsi="黑体" w:eastAsia="黑体"/>
          <w:bCs/>
          <w:kern w:val="0"/>
          <w:szCs w:val="21"/>
        </w:rPr>
        <w:t>单位产品综合能耗</w:t>
      </w:r>
    </w:p>
    <w:p>
      <w:pPr>
        <w:ind w:firstLine="420"/>
        <w:rPr>
          <w:rFonts w:ascii="Times New Roman" w:hAnsi="Times New Roman"/>
          <w:szCs w:val="21"/>
        </w:rPr>
      </w:pPr>
      <w:r>
        <w:rPr>
          <w:rFonts w:hint="eastAsia" w:ascii="Times New Roman" w:hAnsi="Times New Roman"/>
          <w:szCs w:val="21"/>
        </w:rPr>
        <w:t>单位产品综合能耗指四氧化三钴生产企业在计划统计期内，对实际消耗的各种能源实物量按规定的计算方法和单位分别折算为一次能源后的总和。综合能耗主要包括一次能源（如天然气、原油等）、二次能源（如蒸汽、电力等）和直接用于生产使用的耗能耗工质（如冷却水、压缩空气等），不包括生活用能和基建项目用能。单位产品综合能耗按（A.3）计算</w:t>
      </w:r>
      <w:r>
        <w:rPr>
          <w:rFonts w:ascii="Times New Roman" w:hAnsi="Times New Roman"/>
          <w:szCs w:val="21"/>
        </w:rPr>
        <w:t>。</w:t>
      </w:r>
    </w:p>
    <w:p>
      <w:pPr>
        <w:ind w:firstLine="420"/>
        <w:rPr>
          <w:rFonts w:ascii="Times New Roman" w:hAnsi="Times New Roman"/>
          <w:szCs w:val="21"/>
        </w:rPr>
      </w:pPr>
    </w:p>
    <w:p>
      <w:pPr>
        <w:ind w:firstLine="3150" w:firstLineChars="1500"/>
        <w:rPr>
          <w:rFonts w:ascii="Times New Roman" w:hAnsi="Times New Roman"/>
          <w:szCs w:val="21"/>
        </w:rPr>
      </w:pPr>
      <m:oMath>
        <m:r>
          <m:rPr>
            <m:nor/>
            <m:sty m:val="p"/>
          </m:rPr>
          <w:rPr>
            <w:rFonts w:ascii="Times New Roman" w:hAnsi="Times New Roman"/>
            <w:b w:val="0"/>
            <w:i w:val="0"/>
            <w:szCs w:val="21"/>
          </w:rPr>
          <m:t>Eui=</m:t>
        </m:r>
        <m:f>
          <m:fPr>
            <m:ctrlPr>
              <w:rPr>
                <w:rFonts w:ascii="Cambria Math" w:hAnsi="Cambria Math"/>
                <w:i/>
                <w:szCs w:val="21"/>
              </w:rPr>
            </m:ctrlPr>
          </m:fPr>
          <m:num>
            <m:r>
              <m:rPr>
                <m:nor/>
              </m:rPr>
              <w:rPr>
                <w:rFonts w:ascii="Times New Roman" w:hAnsi="Times New Roman"/>
                <w:i/>
                <w:szCs w:val="21"/>
              </w:rPr>
              <m:t>Ei</m:t>
            </m:r>
            <m:ctrlPr>
              <w:rPr>
                <w:rFonts w:ascii="Cambria Math" w:hAnsi="Cambria Math"/>
                <w:i/>
                <w:szCs w:val="21"/>
              </w:rPr>
            </m:ctrlPr>
          </m:num>
          <m:den>
            <m:r>
              <w:rPr>
                <w:rFonts w:ascii="Cambria Math" w:hAnsi="Cambria Math"/>
                <w:szCs w:val="21"/>
              </w:rPr>
              <m:t>Q</m:t>
            </m:r>
            <m:ctrlPr>
              <w:rPr>
                <w:rFonts w:ascii="Cambria Math" w:hAnsi="Cambria Math"/>
                <w:i/>
                <w:szCs w:val="21"/>
              </w:rPr>
            </m:ctrlPr>
          </m:den>
        </m:f>
      </m:oMath>
      <w:r>
        <w:rPr>
          <w:rFonts w:ascii="Times New Roman" w:hAnsi="Times New Roman"/>
          <w:position w:val="-30"/>
          <w:szCs w:val="21"/>
        </w:rPr>
        <w:t xml:space="preserve">  </w:t>
      </w:r>
      <w:r>
        <w:rPr>
          <w:rFonts w:ascii="Times New Roman" w:hAnsi="Times New Roman"/>
          <w:szCs w:val="21"/>
        </w:rPr>
        <w:t xml:space="preserve">   </w:t>
      </w:r>
      <w:r>
        <w:rPr>
          <w:rFonts w:ascii="Times New Roman" w:hAnsi="Times New Roman"/>
          <w:sz w:val="24"/>
          <w:szCs w:val="24"/>
          <w:shd w:val="clear" w:color="auto" w:fill="FFFFFF"/>
        </w:rPr>
        <w:t xml:space="preserve">………………………………    </w:t>
      </w:r>
      <w:r>
        <w:rPr>
          <w:rFonts w:ascii="Times New Roman" w:hAnsi="Times New Roman"/>
          <w:szCs w:val="21"/>
        </w:rPr>
        <w:t>（A.3）</w:t>
      </w:r>
    </w:p>
    <w:p>
      <w:pPr>
        <w:jc w:val="left"/>
        <w:rPr>
          <w:rFonts w:ascii="Times New Roman" w:hAnsi="Times New Roman"/>
          <w:szCs w:val="21"/>
        </w:rPr>
      </w:pPr>
      <w:r>
        <w:rPr>
          <w:rFonts w:ascii="Times New Roman" w:hAnsi="Times New Roman"/>
          <w:position w:val="-30"/>
          <w:szCs w:val="21"/>
        </w:rPr>
        <w:t xml:space="preserve">    </w:t>
      </w:r>
      <w:r>
        <w:rPr>
          <w:rFonts w:ascii="Times New Roman" w:hAnsi="Times New Roman"/>
          <w:szCs w:val="21"/>
        </w:rPr>
        <w:t>式中：</w:t>
      </w:r>
    </w:p>
    <w:p>
      <w:pPr>
        <w:ind w:firstLine="420"/>
        <w:rPr>
          <w:rFonts w:ascii="Times New Roman" w:hAnsi="Times New Roman"/>
          <w:szCs w:val="21"/>
        </w:rPr>
      </w:pPr>
      <w:r>
        <w:rPr>
          <w:rFonts w:ascii="Times New Roman" w:hAnsi="Times New Roman"/>
          <w:szCs w:val="21"/>
        </w:rPr>
        <w:t>Eui——单位产品综合能耗，单位为千克标准煤每吨（kgce/t）；</w:t>
      </w:r>
    </w:p>
    <w:p>
      <w:pPr>
        <w:ind w:firstLine="420"/>
        <w:rPr>
          <w:rFonts w:ascii="Times New Roman" w:hAnsi="Times New Roman"/>
          <w:szCs w:val="21"/>
        </w:rPr>
      </w:pPr>
      <w:r>
        <w:rPr>
          <w:rFonts w:ascii="Times New Roman" w:hAnsi="Times New Roman"/>
          <w:szCs w:val="21"/>
        </w:rPr>
        <w:t>Ei——在一定计量时间内产品生产的综合能耗，单位为千克标准煤（kgce）；</w:t>
      </w:r>
    </w:p>
    <w:p>
      <w:pPr>
        <w:ind w:firstLine="384" w:firstLineChars="183"/>
        <w:rPr>
          <w:rFonts w:ascii="Times New Roman" w:hAnsi="Times New Roman"/>
          <w:szCs w:val="21"/>
        </w:rPr>
      </w:pPr>
      <w:r>
        <w:rPr>
          <w:rFonts w:ascii="Times New Roman" w:hAnsi="Times New Roman"/>
          <w:szCs w:val="21"/>
        </w:rPr>
        <w:t>Q——在一定计量时间内产品产量，单位为吨（t）。</w:t>
      </w:r>
    </w:p>
    <w:p>
      <w:pPr>
        <w:spacing w:before="120" w:beforeLines="50" w:after="120" w:afterLines="50"/>
        <w:jc w:val="left"/>
        <w:rPr>
          <w:rFonts w:ascii="黑体" w:hAnsi="黑体" w:eastAsia="黑体"/>
          <w:bCs/>
          <w:kern w:val="0"/>
          <w:szCs w:val="21"/>
        </w:rPr>
      </w:pPr>
      <w:r>
        <w:rPr>
          <w:rFonts w:ascii="黑体" w:hAnsi="黑体" w:eastAsia="黑体"/>
          <w:bCs/>
          <w:kern w:val="0"/>
          <w:szCs w:val="21"/>
        </w:rPr>
        <w:t xml:space="preserve">A.1.4  </w:t>
      </w:r>
      <w:r>
        <w:rPr>
          <w:rFonts w:hint="eastAsia" w:ascii="黑体" w:hAnsi="黑体" w:eastAsia="黑体"/>
          <w:bCs/>
          <w:kern w:val="0"/>
          <w:szCs w:val="21"/>
          <w:lang w:eastAsia="zh-CN"/>
        </w:rPr>
        <w:t>工业</w:t>
      </w:r>
      <w:r>
        <w:rPr>
          <w:rFonts w:hint="eastAsia" w:ascii="黑体" w:hAnsi="黑体" w:eastAsia="黑体"/>
          <w:bCs/>
          <w:kern w:val="0"/>
          <w:szCs w:val="21"/>
        </w:rPr>
        <w:t>固体</w:t>
      </w:r>
      <w:r>
        <w:rPr>
          <w:rFonts w:ascii="黑体" w:hAnsi="黑体" w:eastAsia="黑体"/>
          <w:bCs/>
          <w:kern w:val="0"/>
          <w:szCs w:val="21"/>
        </w:rPr>
        <w:t>废物</w:t>
      </w:r>
      <w:r>
        <w:rPr>
          <w:rFonts w:hint="eastAsia" w:ascii="黑体" w:hAnsi="黑体" w:eastAsia="黑体"/>
          <w:bCs/>
          <w:kern w:val="0"/>
          <w:szCs w:val="21"/>
        </w:rPr>
        <w:t>综合利用率</w:t>
      </w:r>
    </w:p>
    <w:p>
      <w:pPr>
        <w:pStyle w:val="60"/>
        <w:ind w:firstLine="420" w:firstLineChars="200"/>
        <w:rPr>
          <w:rFonts w:ascii="Times New Roman"/>
          <w:szCs w:val="21"/>
        </w:rPr>
      </w:pPr>
      <w:r>
        <w:rPr>
          <w:rFonts w:hint="eastAsia" w:ascii="Times New Roman"/>
          <w:szCs w:val="21"/>
          <w:lang w:eastAsia="zh-CN"/>
        </w:rPr>
        <w:t>工业固体废物综合</w:t>
      </w:r>
      <w:r>
        <w:rPr>
          <w:rFonts w:ascii="Times New Roman"/>
          <w:szCs w:val="21"/>
        </w:rPr>
        <w:t>利用率按式</w:t>
      </w:r>
      <w:r>
        <w:rPr>
          <w:rFonts w:ascii="Times New Roman"/>
          <w:kern w:val="2"/>
          <w:szCs w:val="21"/>
        </w:rPr>
        <w:t>（A.4</w:t>
      </w:r>
      <w:r>
        <w:rPr>
          <w:rFonts w:ascii="Times New Roman"/>
          <w:szCs w:val="21"/>
        </w:rPr>
        <w:t>）计算</w:t>
      </w:r>
    </w:p>
    <w:p>
      <w:pPr>
        <w:ind w:firstLine="3150" w:firstLineChars="1500"/>
        <w:rPr>
          <w:rFonts w:ascii="黑体" w:hAnsi="黑体"/>
          <w:szCs w:val="21"/>
        </w:rPr>
      </w:pPr>
      <w:r>
        <w:rPr>
          <w:rFonts w:ascii="黑体" w:hAnsi="黑体"/>
          <w:position w:val="-30"/>
          <w:szCs w:val="21"/>
        </w:rPr>
        <w:t xml:space="preserve"> </w:t>
      </w:r>
      <m:oMath>
        <m:r>
          <m:rPr>
            <m:nor/>
            <m:sty m:val="p"/>
          </m:rPr>
          <w:rPr>
            <w:rFonts w:ascii="Times New Roman" w:hAnsi="Times New Roman"/>
            <w:b w:val="0"/>
            <w:i w:val="0"/>
            <w:szCs w:val="21"/>
          </w:rPr>
          <m:t>Gs=</m:t>
        </m:r>
        <m:f>
          <m:fPr>
            <m:ctrlPr>
              <w:rPr>
                <w:rFonts w:ascii="Cambria Math" w:hAnsi="Cambria Math"/>
                <w:i/>
                <w:szCs w:val="21"/>
              </w:rPr>
            </m:ctrlPr>
          </m:fPr>
          <m:num>
            <m:r>
              <m:rPr>
                <m:nor/>
                <m:sty m:val="p"/>
              </m:rPr>
              <w:rPr>
                <w:rFonts w:ascii="Times New Roman" w:hAnsi="Times New Roman"/>
                <w:b w:val="0"/>
                <w:i w:val="0"/>
                <w:szCs w:val="21"/>
              </w:rPr>
              <m:t>Gj</m:t>
            </m:r>
            <m:ctrlPr>
              <w:rPr>
                <w:rFonts w:ascii="Cambria Math" w:hAnsi="Cambria Math"/>
                <w:i/>
                <w:szCs w:val="21"/>
              </w:rPr>
            </m:ctrlPr>
          </m:num>
          <m:den>
            <m:r>
              <m:rPr>
                <m:sty m:val="p"/>
              </m:rPr>
              <w:rPr>
                <w:rFonts w:ascii="Cambria Math" w:hAnsi="Cambria Math"/>
                <w:szCs w:val="21"/>
              </w:rPr>
              <m:t>G</m:t>
            </m:r>
            <m:r>
              <w:rPr>
                <w:rFonts w:ascii="Cambria Math" w:hAnsi="Cambria Math"/>
                <w:szCs w:val="21"/>
              </w:rPr>
              <m:t>z</m:t>
            </m:r>
            <m:ctrlPr>
              <w:rPr>
                <w:rFonts w:ascii="Cambria Math" w:hAnsi="Cambria Math"/>
                <w:i/>
                <w:szCs w:val="21"/>
              </w:rPr>
            </m:ctrlPr>
          </m:den>
        </m:f>
        <m:r>
          <m:rPr>
            <m:nor/>
            <m:sty m:val="p"/>
          </m:rPr>
          <w:rPr>
            <w:rFonts w:ascii="Times New Roman" w:hAnsi="Times New Roman"/>
            <w:b w:val="0"/>
            <w:i w:val="0"/>
            <w:szCs w:val="21"/>
          </w:rPr>
          <m:t>×100%</m:t>
        </m:r>
      </m:oMath>
      <w:r>
        <w:rPr>
          <w:rFonts w:hint="eastAsia" w:ascii="黑体" w:hAnsi="黑体"/>
          <w:szCs w:val="21"/>
        </w:rPr>
        <w:t xml:space="preserve">   </w:t>
      </w:r>
      <w:r>
        <w:rPr>
          <w:rFonts w:hint="eastAsia" w:ascii="Times New Roman" w:hAnsi="Times New Roman"/>
          <w:sz w:val="24"/>
          <w:szCs w:val="24"/>
          <w:shd w:val="clear" w:color="auto" w:fill="FFFFFF"/>
        </w:rPr>
        <w:t xml:space="preserve"> </w:t>
      </w:r>
      <w:r>
        <w:rPr>
          <w:rFonts w:ascii="Times New Roman" w:hAnsi="Times New Roman"/>
          <w:sz w:val="24"/>
          <w:szCs w:val="24"/>
          <w:shd w:val="clear" w:color="auto" w:fill="FFFFFF"/>
        </w:rPr>
        <w:t>………………………………</w:t>
      </w:r>
      <w:r>
        <w:rPr>
          <w:rFonts w:ascii="Times New Roman" w:hAnsi="Times New Roman"/>
          <w:szCs w:val="21"/>
        </w:rPr>
        <w:t>（A.4）</w:t>
      </w:r>
    </w:p>
    <w:p>
      <w:pPr>
        <w:pStyle w:val="60"/>
        <w:ind w:firstLine="420" w:firstLineChars="200"/>
        <w:rPr>
          <w:rFonts w:ascii="Times New Roman"/>
          <w:color w:val="000000"/>
          <w:szCs w:val="21"/>
        </w:rPr>
      </w:pPr>
      <w:r>
        <w:rPr>
          <w:rFonts w:ascii="Times New Roman"/>
          <w:color w:val="000000"/>
          <w:szCs w:val="21"/>
        </w:rPr>
        <w:t>式中</w:t>
      </w:r>
      <w:r>
        <w:rPr>
          <w:rFonts w:hint="eastAsia" w:ascii="Times New Roman"/>
          <w:color w:val="000000"/>
          <w:szCs w:val="21"/>
        </w:rPr>
        <w:t>：</w:t>
      </w:r>
    </w:p>
    <w:p>
      <w:pPr>
        <w:pStyle w:val="60"/>
        <w:ind w:firstLine="420" w:firstLineChars="200"/>
        <w:rPr>
          <w:rFonts w:ascii="Times New Roman"/>
          <w:color w:val="000000"/>
          <w:szCs w:val="21"/>
        </w:rPr>
      </w:pPr>
      <w:r>
        <w:rPr>
          <w:rFonts w:ascii="Times New Roman"/>
          <w:color w:val="000000"/>
          <w:szCs w:val="21"/>
        </w:rPr>
        <w:t>Gs</w:t>
      </w:r>
      <w:r>
        <w:rPr>
          <w:rFonts w:ascii="Times New Roman"/>
          <w:color w:val="000000"/>
          <w:szCs w:val="21"/>
        </w:rPr>
        <w:fldChar w:fldCharType="begin"/>
      </w:r>
      <w:r>
        <w:rPr>
          <w:rFonts w:ascii="Times New Roman"/>
          <w:color w:val="000000"/>
          <w:szCs w:val="21"/>
        </w:rPr>
        <w:instrText xml:space="preserve"> QUOTE </w:instrText>
      </w:r>
      <w:r>
        <w:rPr>
          <w:rFonts w:ascii="Times New Roman"/>
          <w:position w:val="-4"/>
        </w:rPr>
        <w:pict>
          <v:shape id="_x0000_i1029" o:spt="75" type="#_x0000_t75" style="height:12pt;width:9.75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51C0&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A851C0&quot; wsp:rsidP=&quot;00A851C0&quot;&gt;&lt;m:oMathPara&gt;&lt;m:oMath&gt;&lt;m:sSub&gt;&lt;m:sSubPr&gt;&lt;m:ctrlPr&gt;&lt;aml:annotation aml:id=&quot;0&quot; w:type=&quot;Word.Insertion&quot; aml:author=&quot;涓? 绁ア aml:createdate=&quot;2020-08-31T14:59:00Z&quot;&gt;&lt;aml:content&gt;&lt;w:rPr&gt;&lt;w:rFonts w:ascii=&quot;Cambria Math&quot; w:h-ansi=&quot;Cambria Math&quot;/&gt;&lt;wx:font wx:val=&quot;Cambria Math&quot;/&gt;&lt;w:color w&lt;m:&lt;m:&lt;m:&lt;m:&lt;m:&lt;m:&lt;m:&lt;m:&lt;m:&lt;m:&lt;m:&lt;m:&lt;m:&lt;m:&lt;m:&lt;m:&lt;m:&lt;m::valSub=&quot;b&gt;&lt;00&lt;m:0000&quot;/&gt;&lt;w:sz-cs w:val=&quot;21&quot;/&gt;&lt;w:vertAlign w:val=&quot;subscript&quot;/&gt;&lt;/w:rPr&gt;&lt;/aml:content&gt;&lt;/aml:annotation&gt;&lt;/m:ctrlPr&gt;&lt;/m:sSubPr&gt;&lt;m:e&gt;&lt;m:r&gt;&lt;aml:annotation aml:id=&quot;1&quot; w:type=&quot;Word.Insertion&quot; aml:author=&quot;涓:? ?:ゥ?m: am&lt;m:l:c&lt;m:rea&lt;m:ted&lt;m:ate&lt;m:=&quot;2&lt;m:020&lt;m:-08&lt;m:-31&lt;m:T14&lt;m::59&lt;m::00&lt;m:Z&quot;&gt;&lt;amlSub:contb&gt;&lt;ent&gt;&lt;&lt;m:w:rPr&gt;&lt;w:rFonts w:ascii=&quot;Cambria Math&quot; w:h-ansi=&quot;Cambria Math&quot; w:hint=&quot;fareast&quot;/&gt;&lt;wx:font wx:val=&quot;Cambria Math&quot;/&gt;&lt;w:i/&gt;&lt;w:color w:val=&quot;000:a000th&quot;/&gt;r=&lt;w:s:z-c?:s w:val=&quot;21&quot;/&gt;&lt;w:vertAlign w:val=&quot;subscript&quot;/&gt;&lt;/w:rPr&gt;&lt;m:t&gt;G&lt;/m:t&gt;&lt;/aml:content&gt;&lt;/aml:annotation&gt;&lt;/m:r&gt;&lt;m:ctrlPr&gt;&lt;aml:annotation aml:id=&quot;2&quot; w:type=&quot;Word.Insertion&quot; aml:author=&quot;涓? 绁ア aml:createdate=&quot;2020-08-31T14:59:00Z&quot;&gt;&lt;aml:content0:a&gt;&lt;w:r0thPr&gt;&lt;w&gt;r=:rFon:s:ts w:c?:ascii=:va&quot;Cambr21&quot;ia Matw:vh&quot; w:hAli-ansi=w:v&quot;Cambr&quot;suia Matriph&quot; w:h&gt;&lt;/int=&quot;fPr&gt;areastt&gt;G&quot;/&gt;&lt;wx:t&gt;:font ml:wx:valten=&quot;Cambria :anMath&quot;/&gt;&lt;ionw:color r&gt;&lt;w:val=&quot;000000&quot;/&gt;&lt;w:sz-cs w:val=&quot;21&quot;/&gt;&lt;w:vertAlign w:val=&quot;subscript&quot;/&gt;&lt;/w:rPr&gt;&lt;/aml:content&gt;&lt;/aml:annotation&gt;&lt;/m:ctrlPr&gt;&lt;/m:e&gt;&lt;m:sub&gt;&lt;m:r&gt;&lt;aml:annotation aml:id=&quot;3&quot; w:type=&quot;Word.Insertion&quot; aml:author=&quot;涓&gt;? 绁ア amml:l:createdtenate=&quot;2020-08-:an31T14:59:00ionZ&quot;&gt;&lt;aml:conr&gt;&lt;tent&gt;&lt;w:rPr&gt;&lt;w:rFonts w:ascii=&quot;Cambria Math&quot; w:h-ansi=&quot;&gt;&lt;/Cambria &gt;&lt;/Math&quot; w:onthint=&quot;fa/amreast&quot;/&gt;ota&lt;wx:font /m:wx:val=&quot;C&gt;&lt;/ambria Ma:suth&quot;/&gt;&lt;w:i&gt;&lt;a/&gt;&lt;w:colootar w:val=&quot;ml:000000&quot;/&gt; w:&lt;w:sz-cs Worw:val=&quot;21rti&quot;/&gt;&lt;w:verl:atAlign w:v涓&gt;al=&quot;subscript&quot;/&gt;&lt;/w:rPr&gt;&lt;m:t&gt;s&lt;/m:t&gt;&lt;/aml:content&gt;&lt;/aml:annotation&gt;&lt;/m:r&gt;&lt;/m:s/ub&gt;&lt;/m:sSub/&gt;&lt;/m:oMath&gt;t&lt;/m:oMathPamra&gt;&lt;/w:p&gt;&lt;wa:sectPr wsp::rsidR=&quot;00000/000&quot;&gt;&lt;w:pgSzu w:w=&quot;12240&quot;a w:h=&quot;15840&quot;a/&gt;&lt;w:pgMar w::top=&quot;1440&quot; :w:right=&quot;180r0&quot; w:bottom=i&quot;1440&quot; w:lefat=&quot;180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rFonts w:ascii="Times New Roman"/>
          <w:color w:val="000000"/>
          <w:szCs w:val="21"/>
        </w:rPr>
        <w:instrText xml:space="preserve"> </w:instrText>
      </w:r>
      <w:r>
        <w:rPr>
          <w:rFonts w:ascii="Times New Roman"/>
          <w:color w:val="000000"/>
          <w:szCs w:val="21"/>
        </w:rPr>
        <w:fldChar w:fldCharType="end"/>
      </w:r>
      <w:r>
        <w:rPr>
          <w:rFonts w:ascii="Times New Roman"/>
          <w:color w:val="000000"/>
          <w:szCs w:val="21"/>
        </w:rPr>
        <w:t>——</w:t>
      </w:r>
      <w:r>
        <w:rPr>
          <w:rFonts w:hint="eastAsia" w:ascii="Times New Roman"/>
          <w:color w:val="000000"/>
          <w:szCs w:val="21"/>
          <w:lang w:eastAsia="zh-CN"/>
        </w:rPr>
        <w:t>工业固体废物</w:t>
      </w:r>
      <w:r>
        <w:rPr>
          <w:rFonts w:hint="eastAsia" w:ascii="Times New Roman"/>
          <w:color w:val="000000"/>
          <w:szCs w:val="21"/>
        </w:rPr>
        <w:t>综合</w:t>
      </w:r>
      <w:r>
        <w:rPr>
          <w:rFonts w:ascii="Times New Roman"/>
          <w:color w:val="000000"/>
          <w:szCs w:val="21"/>
        </w:rPr>
        <w:t>利用</w:t>
      </w:r>
      <w:r>
        <w:rPr>
          <w:rFonts w:hint="eastAsia" w:ascii="Times New Roman"/>
          <w:color w:val="000000"/>
          <w:szCs w:val="21"/>
          <w:lang w:eastAsia="zh-CN"/>
        </w:rPr>
        <w:t>率</w:t>
      </w:r>
      <w:r>
        <w:rPr>
          <w:rFonts w:ascii="Times New Roman"/>
          <w:color w:val="000000"/>
          <w:szCs w:val="21"/>
        </w:rPr>
        <w:t>，%</w:t>
      </w:r>
      <w:r>
        <w:rPr>
          <w:rFonts w:hint="eastAsia" w:ascii="Times New Roman"/>
          <w:color w:val="000000"/>
          <w:szCs w:val="21"/>
        </w:rPr>
        <w:t>；</w:t>
      </w:r>
    </w:p>
    <w:p>
      <w:pPr>
        <w:pStyle w:val="60"/>
        <w:ind w:firstLine="420" w:firstLineChars="200"/>
        <w:rPr>
          <w:rFonts w:ascii="Times New Roman"/>
          <w:color w:val="000000"/>
          <w:szCs w:val="21"/>
        </w:rPr>
      </w:pPr>
      <w:r>
        <w:rPr>
          <w:rFonts w:ascii="Times New Roman"/>
          <w:color w:val="000000"/>
          <w:szCs w:val="21"/>
        </w:rPr>
        <w:t>Gz</w:t>
      </w:r>
      <w:r>
        <w:rPr>
          <w:rFonts w:ascii="Times New Roman"/>
          <w:color w:val="000000"/>
          <w:szCs w:val="21"/>
        </w:rPr>
        <w:fldChar w:fldCharType="begin"/>
      </w:r>
      <w:r>
        <w:rPr>
          <w:rFonts w:ascii="Times New Roman"/>
          <w:color w:val="000000"/>
          <w:szCs w:val="21"/>
        </w:rPr>
        <w:instrText xml:space="preserve"> QUOTE </w:instrText>
      </w:r>
      <w:r>
        <w:rPr>
          <w:rFonts w:ascii="Times New Roman"/>
          <w:position w:val="-4"/>
        </w:rPr>
        <w:pict>
          <v:shape id="_x0000_i1030" o:spt="75" type="#_x0000_t75" style="height:12pt;width:12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06C4&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5906C4&quot; wsp:rsidP=&quot;005906C4&quot;&gt;&lt;m:oMathPara&gt;&lt;m:oMath&gt;&lt;m:sSub&gt;&lt;m:sSubPr&gt;&lt;m:ctrlPr&gt;&lt;aml:annotation aml:id=&quot;0&quot; w:type=&quot;Word.Insertion&quot; aml:author=&quot;涓? 绁ア aml:createdate=&quot;2020-08-31T14:59:00Z&quot;&gt;&lt;aml:content&gt;&lt;w:rPr&gt;&lt;w:rFonts w:ascii=&quot;Cambria Math&quot; w:h-ansi=&quot;Cambria Math&quot;/&gt;&lt;wx:font wx:val=&quot;Cambria Math&quot;/&gt;&lt;w:color w&lt;m:&lt;m:&lt;m:&lt;m:&lt;m:&lt;m:&lt;m:&lt;m:&lt;m:&lt;m:&lt;m:&lt;m:&lt;m:&lt;m:&lt;m:&lt;m:&lt;m:&lt;m::valSub=&quot;b&gt;&lt;00&lt;m:0000&quot;/&gt;&lt;w:sz-cs w:val=&quot;21&quot;/&gt;&lt;/w:rPr&gt;&lt;/aml:content&gt;&lt;/aml:annotation&gt;&lt;/m:ctrlPr&gt;&lt;/m:sSubPr&gt;&lt;m:e&gt;&lt;m:r&gt;&lt;aml:annotation aml:id=&quot;1&quot; w:type=&quot;Word.Insertion&quot; aml:author=&quot;涓? 绁ア aml:createdate=&quot;&lt;m:202&lt;m:0-0&lt;m:8-3&lt;m:1T1&lt;m:4:5&lt;m:9:0&lt;m:0Z&quot;&lt;m:&gt;&lt;a&lt;m:ml:&lt;m:con&lt;m:ten&lt;m:t&gt;&lt;&lt;m:w:r&lt;m:Pr&gt;&lt;m:&lt;w:&lt;m:rFo&lt;m:nts&lt;m: w:asciSubi=&quot;Cab&gt;&lt;mbria&lt;m: Math&quot; w:h-ansi=&quot;Cambria Math&quot; w:hint=&quot;fareast&quot;/&gt;&lt;wx:font wx:val=&quot;Cambria Math&quot;/&gt;&lt;w:i/&gt;&lt;w:color w:val=&quot;000000&quot;/&gt;&lt;w:sz-cs w:val=&quot;21&quot;/&gt;&lt;/w:rPr&gt;&lt;m:t&gt;G&lt;/m:t&gt;&lt;/aml:content&gt;&lt;/aml:annotation&gt;&lt;/m:r&gt;&lt;/m:e&gt;&lt;m:sub&gt;&lt;m:r&gt;&lt;aml:annotation aml:id=&quot;2&quot; w:type=&quot;Word.Insertion&quot; aml:author=&quot;涓? 绁ア aml:createdate=&quot;2020-08-31T14:59:00Z&quot;&gt;&lt;aml:content&gt;&lt;w:rPr&gt;&lt;w:rFonts w:ascii=&quot;Cambria Math&quot; w:h-ansi=&quot;Cal=ambria&quot;/&gt; Math&quot;:rP w:hinm:tt=&quot;far/m:east&quot;//am&gt;&lt;wx:fontont wx&gt;&lt;/:val=&quot;:anCambriatia Math&lt;/m&quot;/&gt;&lt;w:&lt;/mi/&gt;&lt;w:&lt;m:color &gt;&lt;mw:val=&lt;am&quot;00000nno0&quot;/&gt;&lt;wion:sz-csl:i w:val=&quot;21:ty&quot;/&gt;&lt;/w:rordPr&gt;&lt;m:t&gt;rtiz&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rFonts w:ascii="Times New Roman"/>
          <w:color w:val="000000"/>
          <w:szCs w:val="21"/>
        </w:rPr>
        <w:instrText xml:space="preserve"> </w:instrText>
      </w:r>
      <w:r>
        <w:rPr>
          <w:rFonts w:ascii="Times New Roman"/>
          <w:color w:val="000000"/>
          <w:szCs w:val="21"/>
        </w:rPr>
        <w:fldChar w:fldCharType="end"/>
      </w:r>
      <w:r>
        <w:rPr>
          <w:rFonts w:ascii="Times New Roman"/>
          <w:color w:val="000000"/>
          <w:szCs w:val="21"/>
        </w:rPr>
        <w:t>——统计期内，</w:t>
      </w:r>
      <w:r>
        <w:rPr>
          <w:rFonts w:hint="eastAsia" w:ascii="Times New Roman" w:hAnsi="Calibri" w:eastAsia="宋体" w:cs="Times New Roman"/>
          <w:color w:val="000000"/>
          <w:kern w:val="2"/>
          <w:sz w:val="21"/>
          <w:szCs w:val="21"/>
          <w:lang w:val="en-US" w:eastAsia="zh-CN" w:bidi="ar"/>
        </w:rPr>
        <w:t>工业固体废物产生量</w:t>
      </w:r>
      <w:r>
        <w:rPr>
          <w:rFonts w:ascii="Times New Roman"/>
          <w:color w:val="000000"/>
          <w:szCs w:val="21"/>
        </w:rPr>
        <w:t>，</w:t>
      </w:r>
      <w:r>
        <w:rPr>
          <w:rFonts w:ascii="Times New Roman"/>
          <w:szCs w:val="21"/>
        </w:rPr>
        <w:t>单位为吨（</w:t>
      </w:r>
      <w:r>
        <w:rPr>
          <w:rFonts w:ascii="Times New Roman" w:eastAsia="宋体e眠副浡渀."/>
          <w:szCs w:val="21"/>
        </w:rPr>
        <w:t>t）</w:t>
      </w:r>
      <w:r>
        <w:rPr>
          <w:rFonts w:ascii="Times New Roman"/>
          <w:color w:val="000000"/>
          <w:szCs w:val="21"/>
        </w:rPr>
        <w:t>；</w:t>
      </w:r>
    </w:p>
    <w:p>
      <w:pPr>
        <w:pStyle w:val="60"/>
        <w:ind w:firstLine="420" w:firstLineChars="200"/>
        <w:rPr>
          <w:rFonts w:ascii="黑体" w:hAnsi="黑体" w:eastAsia="宋体e眠副浡渀." w:cs="宋体e眠副浡渀."/>
          <w:szCs w:val="21"/>
        </w:rPr>
      </w:pPr>
      <w:r>
        <w:rPr>
          <w:rFonts w:ascii="Times New Roman"/>
          <w:color w:val="000000"/>
          <w:szCs w:val="21"/>
        </w:rPr>
        <w:t>Gj</w:t>
      </w:r>
      <w:r>
        <w:rPr>
          <w:rFonts w:ascii="Times New Roman"/>
          <w:color w:val="000000"/>
          <w:szCs w:val="21"/>
        </w:rPr>
        <w:fldChar w:fldCharType="begin"/>
      </w:r>
      <w:r>
        <w:rPr>
          <w:rFonts w:ascii="Times New Roman"/>
          <w:color w:val="000000"/>
          <w:szCs w:val="21"/>
        </w:rPr>
        <w:instrText xml:space="preserve"> QUOTE </w:instrText>
      </w:r>
      <w:r>
        <w:rPr>
          <w:rFonts w:ascii="Times New Roman"/>
          <w:position w:val="-8"/>
        </w:rPr>
        <w:pict>
          <v:shape id="_x0000_i1031" o:spt="75" type="#_x0000_t75" style="height:14.25pt;width:9.75pt;" filled="f" o:preferrelative="t" stroked="f" coordsize="21600,2160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9&quot;/&gt;&lt;w:doNotEmbedSystemFonts/&gt;&lt;w:bordersDontSurroundHeader/&gt;&lt;w:bordersDontSurroundFooter/&gt;&lt;w:defaultTabStop w:val=&quot;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allowPNG/&gt;&lt;w:pixelsPerInch w:val=&quot;12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F1E56&quot;/&gt;&lt;wsp:rsid wsp:val=&quot;0000107C&quot;/&gt;&lt;wsp:rsid wsp:val=&quot;000051EF&quot;/&gt;&lt;wsp:rsid wsp:val=&quot;0000554E&quot;/&gt;&lt;wsp:rsid wsp:val=&quot;00007CD0&quot;/&gt;&lt;wsp:rsid wsp:val=&quot;000119CA&quot;/&gt;&lt;wsp:rsid wsp:val=&quot;00013E10&quot;/&gt;&lt;wsp:rsid wsp:val=&quot;00017548&quot;/&gt;&lt;wsp:rsid wsp:val=&quot;00022E18&quot;/&gt;&lt;wsp:rsid wsp:val=&quot;00023071&quot;/&gt;&lt;wsp:rsid wsp:val=&quot;0003067A&quot;/&gt;&lt;wsp:rsid wsp:val=&quot;00030B1E&quot;/&gt;&lt;wsp:rsid wsp:val=&quot;000316AD&quot;/&gt;&lt;wsp:rsid wsp:val=&quot;00034D68&quot;/&gt;&lt;wsp:rsid wsp:val=&quot;00035924&quot;/&gt;&lt;wsp:rsid wsp:val=&quot;000413A2&quot;/&gt;&lt;wsp:rsid wsp:val=&quot;0004244A&quot;/&gt;&lt;wsp:rsid wsp:val=&quot;00047704&quot;/&gt;&lt;wsp:rsid wsp:val=&quot;000509EB&quot;/&gt;&lt;wsp:rsid wsp:val=&quot;00051833&quot;/&gt;&lt;wsp:rsid wsp:val=&quot;0005210A&quot;/&gt;&lt;wsp:rsid wsp:val=&quot;00053196&quot;/&gt;&lt;wsp:rsid wsp:val=&quot;0005365F&quot;/&gt;&lt;wsp:rsid wsp:val=&quot;000539E4&quot;/&gt;&lt;wsp:rsid wsp:val=&quot;000550AD&quot;/&gt;&lt;wsp:rsid wsp:val=&quot;00063414&quot;/&gt;&lt;wsp:rsid wsp:val=&quot;00064671&quot;/&gt;&lt;wsp:rsid wsp:val=&quot;00065803&quot;/&gt;&lt;wsp:rsid wsp:val=&quot;000666A7&quot;/&gt;&lt;wsp:rsid wsp:val=&quot;00071C03&quot;/&gt;&lt;wsp:rsid wsp:val=&quot;00072521&quot;/&gt;&lt;wsp:rsid wsp:val=&quot;000726F7&quot;/&gt;&lt;wsp:rsid wsp:val=&quot;00072C1B&quot;/&gt;&lt;wsp:rsid wsp:val=&quot;0007346F&quot;/&gt;&lt;wsp:rsid wsp:val=&quot;00074886&quot;/&gt;&lt;wsp:rsid wsp:val=&quot;00075BFC&quot;/&gt;&lt;wsp:rsid wsp:val=&quot;0007640B&quot;/&gt;&lt;wsp:rsid wsp:val=&quot;000765A4&quot;/&gt;&lt;wsp:rsid wsp:val=&quot;0007671E&quot;/&gt;&lt;wsp:rsid wsp:val=&quot;000771B9&quot;/&gt;&lt;wsp:rsid wsp:val=&quot;0008139B&quot;/&gt;&lt;wsp:rsid wsp:val=&quot;00081946&quot;/&gt;&lt;wsp:rsid wsp:val=&quot;0008260C&quot;/&gt;&lt;wsp:rsid wsp:val=&quot;00082F53&quot;/&gt;&lt;wsp:rsid wsp:val=&quot;00084B38&quot;/&gt;&lt;wsp:rsid wsp:val=&quot;0008600F&quot;/&gt;&lt;wsp:rsid wsp:val=&quot;00086925&quot;/&gt;&lt;wsp:rsid wsp:val=&quot;0008693C&quot;/&gt;&lt;wsp:rsid wsp:val=&quot;0008702B&quot;/&gt;&lt;wsp:rsid wsp:val=&quot;00091527&quot;/&gt;&lt;wsp:rsid wsp:val=&quot;0009253E&quot;/&gt;&lt;wsp:rsid wsp:val=&quot;00093124&quot;/&gt;&lt;wsp:rsid wsp:val=&quot;00093385&quot;/&gt;&lt;wsp:rsid wsp:val=&quot;00096A6D&quot;/&gt;&lt;wsp:rsid wsp:val=&quot;000A0497&quot;/&gt;&lt;wsp:rsid wsp:val=&quot;000A13C9&quot;/&gt;&lt;wsp:rsid wsp:val=&quot;000A2227&quot;/&gt;&lt;wsp:rsid wsp:val=&quot;000A2A92&quot;/&gt;&lt;wsp:rsid wsp:val=&quot;000A353D&quot;/&gt;&lt;wsp:rsid wsp:val=&quot;000A69DC&quot;/&gt;&lt;wsp:rsid wsp:val=&quot;000A72F3&quot;/&gt;&lt;wsp:rsid wsp:val=&quot;000A7722&quot;/&gt;&lt;wsp:rsid wsp:val=&quot;000B0427&quot;/&gt;&lt;wsp:rsid wsp:val=&quot;000B0CD2&quot;/&gt;&lt;wsp:rsid wsp:val=&quot;000B18C1&quot;/&gt;&lt;wsp:rsid wsp:val=&quot;000B52C6&quot;/&gt;&lt;wsp:rsid wsp:val=&quot;000C1730&quot;/&gt;&lt;wsp:rsid wsp:val=&quot;000C1A4C&quot;/&gt;&lt;wsp:rsid wsp:val=&quot;000C38AD&quot;/&gt;&lt;wsp:rsid wsp:val=&quot;000C51A6&quot;/&gt;&lt;wsp:rsid wsp:val=&quot;000C553A&quot;/&gt;&lt;wsp:rsid wsp:val=&quot;000C79FE&quot;/&gt;&lt;wsp:rsid wsp:val=&quot;000D0617&quot;/&gt;&lt;wsp:rsid wsp:val=&quot;000D0AA0&quot;/&gt;&lt;wsp:rsid wsp:val=&quot;000D1FE9&quot;/&gt;&lt;wsp:rsid wsp:val=&quot;000D3213&quot;/&gt;&lt;wsp:rsid wsp:val=&quot;000D50CD&quot;/&gt;&lt;wsp:rsid wsp:val=&quot;000D561A&quot;/&gt;&lt;wsp:rsid wsp:val=&quot;000D5959&quot;/&gt;&lt;wsp:rsid wsp:val=&quot;000D6162&quot;/&gt;&lt;wsp:rsid wsp:val=&quot;000D63AB&quot;/&gt;&lt;wsp:rsid wsp:val=&quot;000D6B4F&quot;/&gt;&lt;wsp:rsid wsp:val=&quot;000E009E&quot;/&gt;&lt;wsp:rsid wsp:val=&quot;000E1B8E&quot;/&gt;&lt;wsp:rsid wsp:val=&quot;000E2016&quot;/&gt;&lt;wsp:rsid wsp:val=&quot;000E24F9&quot;/&gt;&lt;wsp:rsid wsp:val=&quot;000E50E2&quot;/&gt;&lt;wsp:rsid wsp:val=&quot;000E5DD4&quot;/&gt;&lt;wsp:rsid wsp:val=&quot;000E6660&quot;/&gt;&lt;wsp:rsid wsp:val=&quot;000E786C&quot;/&gt;&lt;wsp:rsid wsp:val=&quot;000F0342&quot;/&gt;&lt;wsp:rsid wsp:val=&quot;000F0A47&quot;/&gt;&lt;wsp:rsid wsp:val=&quot;000F0D26&quot;/&gt;&lt;wsp:rsid wsp:val=&quot;000F1865&quot;/&gt;&lt;wsp:rsid wsp:val=&quot;000F62EF&quot;/&gt;&lt;wsp:rsid wsp:val=&quot;000F7E2C&quot;/&gt;&lt;wsp:rsid wsp:val=&quot;00101036&quot;/&gt;&lt;wsp:rsid wsp:val=&quot;00101621&quot;/&gt;&lt;wsp:rsid wsp:val=&quot;001029A4&quot;/&gt;&lt;wsp:rsid wsp:val=&quot;00102E20&quot;/&gt;&lt;wsp:rsid wsp:val=&quot;00104148&quot;/&gt;&lt;wsp:rsid wsp:val=&quot;001061B8&quot;/&gt;&lt;wsp:rsid wsp:val=&quot;0011139D&quot;/&gt;&lt;wsp:rsid wsp:val=&quot;00112354&quot;/&gt;&lt;wsp:rsid wsp:val=&quot;0011356F&quot;/&gt;&lt;wsp:rsid wsp:val=&quot;001158B8&quot;/&gt;&lt;wsp:rsid wsp:val=&quot;00116B4E&quot;/&gt;&lt;wsp:rsid wsp:val=&quot;00117863&quot;/&gt;&lt;wsp:rsid wsp:val=&quot;001239EF&quot;/&gt;&lt;wsp:rsid wsp:val=&quot;00123F9F&quot;/&gt;&lt;wsp:rsid wsp:val=&quot;00124835&quot;/&gt;&lt;wsp:rsid wsp:val=&quot;00125B61&quot;/&gt;&lt;wsp:rsid wsp:val=&quot;00125F2A&quot;/&gt;&lt;wsp:rsid wsp:val=&quot;001268A0&quot;/&gt;&lt;wsp:rsid wsp:val=&quot;00126DA2&quot;/&gt;&lt;wsp:rsid wsp:val=&quot;001277F6&quot;/&gt;&lt;wsp:rsid wsp:val=&quot;00130213&quot;/&gt;&lt;wsp:rsid wsp:val=&quot;0013069E&quot;/&gt;&lt;wsp:rsid wsp:val=&quot;00130C98&quot;/&gt;&lt;wsp:rsid wsp:val=&quot;00132456&quot;/&gt;&lt;wsp:rsid wsp:val=&quot;00132C01&quot;/&gt;&lt;wsp:rsid wsp:val=&quot;00141235&quot;/&gt;&lt;wsp:rsid wsp:val=&quot;0014537E&quot;/&gt;&lt;wsp:rsid wsp:val=&quot;001476FE&quot;/&gt;&lt;wsp:rsid wsp:val=&quot;00151AED&quot;/&gt;&lt;wsp:rsid wsp:val=&quot;00152262&quot;/&gt;&lt;wsp:rsid wsp:val=&quot;0015400C&quot;/&gt;&lt;wsp:rsid wsp:val=&quot;001542D7&quot;/&gt;&lt;wsp:rsid wsp:val=&quot;001546E9&quot;/&gt;&lt;wsp:rsid wsp:val=&quot;00155134&quot;/&gt;&lt;wsp:rsid wsp:val=&quot;00156609&quot;/&gt;&lt;wsp:rsid wsp:val=&quot;00156D69&quot;/&gt;&lt;wsp:rsid wsp:val=&quot;0016132C&quot;/&gt;&lt;wsp:rsid wsp:val=&quot;0016323F&quot;/&gt;&lt;wsp:rsid wsp:val=&quot;00163FC1&quot;/&gt;&lt;wsp:rsid wsp:val=&quot;001672E8&quot;/&gt;&lt;wsp:rsid wsp:val=&quot;0016733F&quot;/&gt;&lt;wsp:rsid wsp:val=&quot;0017039D&quot;/&gt;&lt;wsp:rsid wsp:val=&quot;00170A99&quot;/&gt;&lt;wsp:rsid wsp:val=&quot;00171096&quot;/&gt;&lt;wsp:rsid wsp:val=&quot;00176977&quot;/&gt;&lt;wsp:rsid wsp:val=&quot;00176AE8&quot;/&gt;&lt;wsp:rsid wsp:val=&quot;00180C9D&quot;/&gt;&lt;wsp:rsid wsp:val=&quot;001822A2&quot;/&gt;&lt;wsp:rsid wsp:val=&quot;001829BC&quot;/&gt;&lt;wsp:rsid wsp:val=&quot;00184EC2&quot;/&gt;&lt;wsp:rsid wsp:val=&quot;00186FD2&quot;/&gt;&lt;wsp:rsid wsp:val=&quot;00190A41&quot;/&gt;&lt;wsp:rsid wsp:val=&quot;001927DF&quot;/&gt;&lt;wsp:rsid wsp:val=&quot;001928CA&quot;/&gt;&lt;wsp:rsid wsp:val=&quot;00193E2D&quot;/&gt;&lt;wsp:rsid wsp:val=&quot;0019584D&quot;/&gt;&lt;wsp:rsid wsp:val=&quot;001A02F6&quot;/&gt;&lt;wsp:rsid wsp:val=&quot;001A3A9A&quot;/&gt;&lt;wsp:rsid wsp:val=&quot;001A5059&quot;/&gt;&lt;wsp:rsid wsp:val=&quot;001A5360&quot;/&gt;&lt;wsp:rsid wsp:val=&quot;001A5F39&quot;/&gt;&lt;wsp:rsid wsp:val=&quot;001A6796&quot;/&gt;&lt;wsp:rsid wsp:val=&quot;001B2016&quot;/&gt;&lt;wsp:rsid wsp:val=&quot;001B6AED&quot;/&gt;&lt;wsp:rsid wsp:val=&quot;001B7AD9&quot;/&gt;&lt;wsp:rsid wsp:val=&quot;001B7EA3&quot;/&gt;&lt;wsp:rsid wsp:val=&quot;001C05B3&quot;/&gt;&lt;wsp:rsid wsp:val=&quot;001C0742&quot;/&gt;&lt;wsp:rsid wsp:val=&quot;001C1126&quot;/&gt;&lt;wsp:rsid wsp:val=&quot;001C1899&quot;/&gt;&lt;wsp:rsid wsp:val=&quot;001C349D&quot;/&gt;&lt;wsp:rsid wsp:val=&quot;001D03F9&quot;/&gt;&lt;wsp:rsid wsp:val=&quot;001D0D71&quot;/&gt;&lt;wsp:rsid wsp:val=&quot;001D0F98&quot;/&gt;&lt;wsp:rsid wsp:val=&quot;001D1950&quot;/&gt;&lt;wsp:rsid wsp:val=&quot;001D2CE2&quot;/&gt;&lt;wsp:rsid wsp:val=&quot;001D2D77&quot;/&gt;&lt;wsp:rsid wsp:val=&quot;001D30DD&quot;/&gt;&lt;wsp:rsid wsp:val=&quot;001D37B7&quot;/&gt;&lt;wsp:rsid wsp:val=&quot;001D404D&quot;/&gt;&lt;wsp:rsid wsp:val=&quot;001D4ED3&quot;/&gt;&lt;wsp:rsid wsp:val=&quot;001D75A1&quot;/&gt;&lt;wsp:rsid wsp:val=&quot;001E0F4F&quot;/&gt;&lt;wsp:rsid wsp:val=&quot;001E1ECE&quot;/&gt;&lt;wsp:rsid wsp:val=&quot;001E29EF&quot;/&gt;&lt;wsp:rsid wsp:val=&quot;001E2A67&quot;/&gt;&lt;wsp:rsid wsp:val=&quot;001E2DF7&quot;/&gt;&lt;wsp:rsid wsp:val=&quot;001E3BD9&quot;/&gt;&lt;wsp:rsid wsp:val=&quot;001E6130&quot;/&gt;&lt;wsp:rsid wsp:val=&quot;001E6359&quot;/&gt;&lt;wsp:rsid wsp:val=&quot;001E7F01&quot;/&gt;&lt;wsp:rsid wsp:val=&quot;001F08FF&quot;/&gt;&lt;wsp:rsid wsp:val=&quot;001F1EA3&quot;/&gt;&lt;wsp:rsid wsp:val=&quot;001F28FE&quot;/&gt;&lt;wsp:rsid wsp:val=&quot;001F2940&quot;/&gt;&lt;wsp:rsid wsp:val=&quot;001F2C57&quot;/&gt;&lt;wsp:rsid wsp:val=&quot;001F2E25&quot;/&gt;&lt;wsp:rsid wsp:val=&quot;001F3272&quot;/&gt;&lt;wsp:rsid wsp:val=&quot;001F67E0&quot;/&gt;&lt;wsp:rsid wsp:val=&quot;001F67F1&quot;/&gt;&lt;wsp:rsid wsp:val=&quot;001F7852&quot;/&gt;&lt;wsp:rsid wsp:val=&quot;00200BAB&quot;/&gt;&lt;wsp:rsid wsp:val=&quot;00200E85&quot;/&gt;&lt;wsp:rsid wsp:val=&quot;00204C69&quot;/&gt;&lt;wsp:rsid wsp:val=&quot;00204E11&quot;/&gt;&lt;wsp:rsid wsp:val=&quot;00205D1B&quot;/&gt;&lt;wsp:rsid wsp:val=&quot;00210016&quot;/&gt;&lt;wsp:rsid wsp:val=&quot;00211156&quot;/&gt;&lt;wsp:rsid wsp:val=&quot;002131B8&quot;/&gt;&lt;wsp:rsid wsp:val=&quot;0021487A&quot;/&gt;&lt;wsp:rsid wsp:val=&quot;00216A6D&quot;/&gt;&lt;wsp:rsid wsp:val=&quot;002177E2&quot;/&gt;&lt;wsp:rsid wsp:val=&quot;002211F9&quot;/&gt;&lt;wsp:rsid wsp:val=&quot;00221E50&quot;/&gt;&lt;wsp:rsid wsp:val=&quot;0022324D&quot;/&gt;&lt;wsp:rsid wsp:val=&quot;00225FBF&quot;/&gt;&lt;wsp:rsid wsp:val=&quot;00226962&quot;/&gt;&lt;wsp:rsid wsp:val=&quot;00227067&quot;/&gt;&lt;wsp:rsid wsp:val=&quot;0022778D&quot;/&gt;&lt;wsp:rsid wsp:val=&quot;00227AD5&quot;/&gt;&lt;wsp:rsid wsp:val=&quot;00231EF3&quot;/&gt;&lt;wsp:rsid wsp:val=&quot;00233031&quot;/&gt;&lt;wsp:rsid wsp:val=&quot;00236FCD&quot;/&gt;&lt;wsp:rsid wsp:val=&quot;002410A3&quot;/&gt;&lt;wsp:rsid wsp:val=&quot;002438C5&quot;/&gt;&lt;wsp:rsid wsp:val=&quot;00244918&quot;/&gt;&lt;wsp:rsid wsp:val=&quot;00245BC2&quot;/&gt;&lt;wsp:rsid wsp:val=&quot;0025045E&quot;/&gt;&lt;wsp:rsid wsp:val=&quot;00251788&quot;/&gt;&lt;wsp:rsid wsp:val=&quot;00253084&quot;/&gt;&lt;wsp:rsid wsp:val=&quot;0025390F&quot;/&gt;&lt;wsp:rsid wsp:val=&quot;0025421E&quot;/&gt;&lt;wsp:rsid wsp:val=&quot;002555AE&quot;/&gt;&lt;wsp:rsid wsp:val=&quot;00257AD3&quot;/&gt;&lt;wsp:rsid wsp:val=&quot;00260213&quot;/&gt;&lt;wsp:rsid wsp:val=&quot;00263DB3&quot;/&gt;&lt;wsp:rsid wsp:val=&quot;00264C48&quot;/&gt;&lt;wsp:rsid wsp:val=&quot;00266EDF&quot;/&gt;&lt;wsp:rsid wsp:val=&quot;002671A8&quot;/&gt;&lt;wsp:rsid wsp:val=&quot;00270065&quot;/&gt;&lt;wsp:rsid wsp:val=&quot;00270A1A&quot;/&gt;&lt;wsp:rsid wsp:val=&quot;00271027&quot;/&gt;&lt;wsp:rsid wsp:val=&quot;00274247&quot;/&gt;&lt;wsp:rsid wsp:val=&quot;00275C87&quot;/&gt;&lt;wsp:rsid wsp:val=&quot;00276EDE&quot;/&gt;&lt;wsp:rsid wsp:val=&quot;00277D95&quot;/&gt;&lt;wsp:rsid wsp:val=&quot;00282684&quot;/&gt;&lt;wsp:rsid wsp:val=&quot;00287494&quot;/&gt;&lt;wsp:rsid wsp:val=&quot;002909D4&quot;/&gt;&lt;wsp:rsid wsp:val=&quot;002921A5&quot;/&gt;&lt;wsp:rsid wsp:val=&quot;00295BC1&quot;/&gt;&lt;wsp:rsid wsp:val=&quot;00297BA0&quot;/&gt;&lt;wsp:rsid wsp:val=&quot;002A2229&quot;/&gt;&lt;wsp:rsid wsp:val=&quot;002B0F36&quot;/&gt;&lt;wsp:rsid wsp:val=&quot;002B10BC&quot;/&gt;&lt;wsp:rsid wsp:val=&quot;002C0349&quot;/&gt;&lt;wsp:rsid wsp:val=&quot;002C07E6&quot;/&gt;&lt;wsp:rsid wsp:val=&quot;002C0A00&quot;/&gt;&lt;wsp:rsid wsp:val=&quot;002C0BC9&quot;/&gt;&lt;wsp:rsid wsp:val=&quot;002C2273&quot;/&gt;&lt;wsp:rsid wsp:val=&quot;002C24EA&quot;/&gt;&lt;wsp:rsid wsp:val=&quot;002C5D83&quot;/&gt;&lt;wsp:rsid wsp:val=&quot;002D2EE0&quot;/&gt;&lt;wsp:rsid wsp:val=&quot;002D32EA&quot;/&gt;&lt;wsp:rsid wsp:val=&quot;002D3E87&quot;/&gt;&lt;wsp:rsid wsp:val=&quot;002D5384&quot;/&gt;&lt;wsp:rsid wsp:val=&quot;002D54DA&quot;/&gt;&lt;wsp:rsid wsp:val=&quot;002D6AEF&quot;/&gt;&lt;wsp:rsid wsp:val=&quot;002D7A03&quot;/&gt;&lt;wsp:rsid wsp:val=&quot;002D7A8F&quot;/&gt;&lt;wsp:rsid wsp:val=&quot;002D7B9E&quot;/&gt;&lt;wsp:rsid wsp:val=&quot;002E008F&quot;/&gt;&lt;wsp:rsid wsp:val=&quot;002E1CF3&quot;/&gt;&lt;wsp:rsid wsp:val=&quot;002E2DA8&quot;/&gt;&lt;wsp:rsid wsp:val=&quot;002E334D&quot;/&gt;&lt;wsp:rsid wsp:val=&quot;002E38BD&quot;/&gt;&lt;wsp:rsid wsp:val=&quot;002E41EE&quot;/&gt;&lt;wsp:rsid wsp:val=&quot;002E42B8&quot;/&gt;&lt;wsp:rsid wsp:val=&quot;002E4571&quot;/&gt;&lt;wsp:rsid wsp:val=&quot;002E4BCC&quot;/&gt;&lt;wsp:rsid wsp:val=&quot;002E55B4&quot;/&gt;&lt;wsp:rsid wsp:val=&quot;002E5CF3&quot;/&gt;&lt;wsp:rsid wsp:val=&quot;002E5D1B&quot;/&gt;&lt;wsp:rsid wsp:val=&quot;002E7360&quot;/&gt;&lt;wsp:rsid wsp:val=&quot;002E7AF5&quot;/&gt;&lt;wsp:rsid wsp:val=&quot;002F060F&quot;/&gt;&lt;wsp:rsid wsp:val=&quot;002F0DCC&quot;/&gt;&lt;wsp:rsid wsp:val=&quot;002F21AE&quot;/&gt;&lt;wsp:rsid wsp:val=&quot;002F3B65&quot;/&gt;&lt;wsp:rsid wsp:val=&quot;002F7B8C&quot;/&gt;&lt;wsp:rsid wsp:val=&quot;0030251F&quot;/&gt;&lt;wsp:rsid wsp:val=&quot;00302D36&quot;/&gt;&lt;wsp:rsid wsp:val=&quot;003034F6&quot;/&gt;&lt;wsp:rsid wsp:val=&quot;003066AB&quot;/&gt;&lt;wsp:rsid wsp:val=&quot;00307703&quot;/&gt;&lt;wsp:rsid wsp:val=&quot;00307C81&quot;/&gt;&lt;wsp:rsid wsp:val=&quot;003104FE&quot;/&gt;&lt;wsp:rsid wsp:val=&quot;0031085F&quot;/&gt;&lt;wsp:rsid wsp:val=&quot;00310A96&quot;/&gt;&lt;wsp:rsid wsp:val=&quot;00310CD4&quot;/&gt;&lt;wsp:rsid wsp:val=&quot;003118D3&quot;/&gt;&lt;wsp:rsid wsp:val=&quot;00311D88&quot;/&gt;&lt;wsp:rsid wsp:val=&quot;003123E3&quot;/&gt;&lt;wsp:rsid wsp:val=&quot;00312FE5&quot;/&gt;&lt;wsp:rsid wsp:val=&quot;003144B1&quot;/&gt;&lt;wsp:rsid wsp:val=&quot;00314A72&quot;/&gt;&lt;wsp:rsid wsp:val=&quot;003167A9&quot;/&gt;&lt;wsp:rsid wsp:val=&quot;0032177C&quot;/&gt;&lt;wsp:rsid wsp:val=&quot;00322F4D&quot;/&gt;&lt;wsp:rsid wsp:val=&quot;0032444B&quot;/&gt;&lt;wsp:rsid wsp:val=&quot;003245A4&quot;/&gt;&lt;wsp:rsid wsp:val=&quot;00327DCB&quot;/&gt;&lt;wsp:rsid wsp:val=&quot;0033160B&quot;/&gt;&lt;wsp:rsid wsp:val=&quot;003319CE&quot;/&gt;&lt;wsp:rsid wsp:val=&quot;00331BB8&quot;/&gt;&lt;wsp:rsid wsp:val=&quot;003339D2&quot;/&gt;&lt;wsp:rsid wsp:val=&quot;00333CF4&quot;/&gt;&lt;wsp:rsid wsp:val=&quot;00334C5D&quot;/&gt;&lt;wsp:rsid wsp:val=&quot;0033505C&quot;/&gt;&lt;wsp:rsid wsp:val=&quot;003354FE&quot;/&gt;&lt;wsp:rsid wsp:val=&quot;00336851&quot;/&gt;&lt;wsp:rsid wsp:val=&quot;00342E5F&quot;/&gt;&lt;wsp:rsid wsp:val=&quot;00345164&quot;/&gt;&lt;wsp:rsid wsp:val=&quot;00347471&quot;/&gt;&lt;wsp:rsid wsp:val=&quot;00350E93&quot;/&gt;&lt;wsp:rsid wsp:val=&quot;00352365&quot;/&gt;&lt;wsp:rsid wsp:val=&quot;00353EB0&quot;/&gt;&lt;wsp:rsid wsp:val=&quot;003565E8&quot;/&gt;&lt;wsp:rsid wsp:val=&quot;00363C70&quot;/&gt;&lt;wsp:rsid wsp:val=&quot;00364C78&quot;/&gt;&lt;wsp:rsid wsp:val=&quot;00370ED9&quot;/&gt;&lt;wsp:rsid wsp:val=&quot;00372038&quot;/&gt;&lt;wsp:rsid wsp:val=&quot;003739C3&quot;/&gt;&lt;wsp:rsid wsp:val=&quot;00382959&quot;/&gt;&lt;wsp:rsid wsp:val=&quot;00382DBE&quot;/&gt;&lt;wsp:rsid wsp:val=&quot;00382F93&quot;/&gt;&lt;wsp:rsid wsp:val=&quot;00383850&quot;/&gt;&lt;wsp:rsid wsp:val=&quot;00383B8A&quot;/&gt;&lt;wsp:rsid wsp:val=&quot;003847D5&quot;/&gt;&lt;wsp:rsid wsp:val=&quot;00390F93&quot;/&gt;&lt;wsp:rsid wsp:val=&quot;00390FE6&quot;/&gt;&lt;wsp:rsid wsp:val=&quot;003912AC&quot;/&gt;&lt;wsp:rsid wsp:val=&quot;00391EFA&quot;/&gt;&lt;wsp:rsid wsp:val=&quot;00396213&quot;/&gt;&lt;wsp:rsid wsp:val=&quot;003A1CD3&quot;/&gt;&lt;wsp:rsid wsp:val=&quot;003A417B&quot;/&gt;&lt;wsp:rsid wsp:val=&quot;003A4327&quot;/&gt;&lt;wsp:rsid wsp:val=&quot;003A5A8C&quot;/&gt;&lt;wsp:rsid wsp:val=&quot;003B08ED&quot;/&gt;&lt;wsp:rsid wsp:val=&quot;003B0C58&quot;/&gt;&lt;wsp:rsid wsp:val=&quot;003B1ABC&quot;/&gt;&lt;wsp:rsid wsp:val=&quot;003B4B17&quot;/&gt;&lt;wsp:rsid wsp:val=&quot;003B4B63&quot;/&gt;&lt;wsp:rsid wsp:val=&quot;003B4EE3&quot;/&gt;&lt;wsp:rsid wsp:val=&quot;003C5336&quot;/&gt;&lt;wsp:rsid wsp:val=&quot;003C5D6E&quot;/&gt;&lt;wsp:rsid wsp:val=&quot;003C6A91&quot;/&gt;&lt;wsp:rsid wsp:val=&quot;003D3942&quot;/&gt;&lt;wsp:rsid wsp:val=&quot;003D3A81&quot;/&gt;&lt;wsp:rsid wsp:val=&quot;003D49D7&quot;/&gt;&lt;wsp:rsid wsp:val=&quot;003D6694&quot;/&gt;&lt;wsp:rsid wsp:val=&quot;003E0158&quot;/&gt;&lt;wsp:rsid wsp:val=&quot;003E0C83&quot;/&gt;&lt;wsp:rsid wsp:val=&quot;003E14FC&quot;/&gt;&lt;wsp:rsid wsp:val=&quot;003E3395&quot;/&gt;&lt;wsp:rsid wsp:val=&quot;003E3EA9&quot;/&gt;&lt;wsp:rsid wsp:val=&quot;003E5663&quot;/&gt;&lt;wsp:rsid wsp:val=&quot;003E6788&quot;/&gt;&lt;wsp:rsid wsp:val=&quot;003E6912&quot;/&gt;&lt;wsp:rsid wsp:val=&quot;003E7352&quot;/&gt;&lt;wsp:rsid wsp:val=&quot;003E7F1A&quot;/&gt;&lt;wsp:rsid wsp:val=&quot;003F2319&quot;/&gt;&lt;wsp:rsid wsp:val=&quot;003F250B&quot;/&gt;&lt;wsp:rsid wsp:val=&quot;003F34C5&quot;/&gt;&lt;wsp:rsid wsp:val=&quot;003F68C9&quot;/&gt;&lt;wsp:rsid wsp:val=&quot;003F68E5&quot;/&gt;&lt;wsp:rsid wsp:val=&quot;00400F33&quot;/&gt;&lt;wsp:rsid wsp:val=&quot;004018D5&quot;/&gt;&lt;wsp:rsid wsp:val=&quot;004079E6&quot;/&gt;&lt;wsp:rsid wsp:val=&quot;00410104&quot;/&gt;&lt;wsp:rsid wsp:val=&quot;0041026A&quot;/&gt;&lt;wsp:rsid wsp:val=&quot;0041075E&quot;/&gt;&lt;wsp:rsid wsp:val=&quot;004135CC&quot;/&gt;&lt;wsp:rsid wsp:val=&quot;00420479&quot;/&gt;&lt;wsp:rsid wsp:val=&quot;00420C0D&quot;/&gt;&lt;wsp:rsid wsp:val=&quot;00420E73&quot;/&gt;&lt;wsp:rsid wsp:val=&quot;00432753&quot;/&gt;&lt;wsp:rsid wsp:val=&quot;00434867&quot;/&gt;&lt;wsp:rsid wsp:val=&quot;00434900&quot;/&gt;&lt;wsp:rsid wsp:val=&quot;00436B30&quot;/&gt;&lt;wsp:rsid wsp:val=&quot;00443DE6&quot;/&gt;&lt;wsp:rsid wsp:val=&quot;004479BB&quot;/&gt;&lt;wsp:rsid wsp:val=&quot;00453B18&quot;/&gt;&lt;wsp:rsid wsp:val=&quot;004552B8&quot;/&gt;&lt;wsp:rsid wsp:val=&quot;004553EF&quot;/&gt;&lt;wsp:rsid wsp:val=&quot;00456922&quot;/&gt;&lt;wsp:rsid wsp:val=&quot;004579E8&quot;/&gt;&lt;wsp:rsid wsp:val=&quot;004615D6&quot;/&gt;&lt;wsp:rsid wsp:val=&quot;004621D9&quot;/&gt;&lt;wsp:rsid wsp:val=&quot;00467C34&quot;/&gt;&lt;wsp:rsid wsp:val=&quot;00471AAB&quot;/&gt;&lt;wsp:rsid wsp:val=&quot;00472898&quot;/&gt;&lt;wsp:rsid wsp:val=&quot;00473411&quot;/&gt;&lt;wsp:rsid wsp:val=&quot;004735EF&quot;/&gt;&lt;wsp:rsid wsp:val=&quot;0048025C&quot;/&gt;&lt;wsp:rsid wsp:val=&quot;00480B4C&quot;/&gt;&lt;wsp:rsid wsp:val=&quot;00480D18&quot;/&gt;&lt;wsp:rsid wsp:val=&quot;004861A4&quot;/&gt;&lt;wsp:rsid wsp:val=&quot;00491650&quot;/&gt;&lt;wsp:rsid wsp:val=&quot;0049464F&quot;/&gt;&lt;wsp:rsid wsp:val=&quot;00494738&quot;/&gt;&lt;wsp:rsid wsp:val=&quot;0049532A&quot;/&gt;&lt;wsp:rsid wsp:val=&quot;00495FE9&quot;/&gt;&lt;wsp:rsid wsp:val=&quot;004A0CC4&quot;/&gt;&lt;wsp:rsid wsp:val=&quot;004A1A35&quot;/&gt;&lt;wsp:rsid wsp:val=&quot;004A3B01&quot;/&gt;&lt;wsp:rsid wsp:val=&quot;004A514F&quot;/&gt;&lt;wsp:rsid wsp:val=&quot;004B1A1E&quot;/&gt;&lt;wsp:rsid wsp:val=&quot;004B24BA&quot;/&gt;&lt;wsp:rsid wsp:val=&quot;004B2C3B&quot;/&gt;&lt;wsp:rsid wsp:val=&quot;004B33DF&quot;/&gt;&lt;wsp:rsid wsp:val=&quot;004B4160&quot;/&gt;&lt;wsp:rsid wsp:val=&quot;004B417D&quot;/&gt;&lt;wsp:rsid wsp:val=&quot;004B5025&quot;/&gt;&lt;wsp:rsid wsp:val=&quot;004B7C59&quot;/&gt;&lt;wsp:rsid wsp:val=&quot;004C19A5&quot;/&gt;&lt;wsp:rsid wsp:val=&quot;004C2632&quot;/&gt;&lt;wsp:rsid wsp:val=&quot;004C29C8&quot;/&gt;&lt;wsp:rsid wsp:val=&quot;004C2B3A&quot;/&gt;&lt;wsp:rsid wsp:val=&quot;004C69DC&quot;/&gt;&lt;wsp:rsid wsp:val=&quot;004C6B76&quot;/&gt;&lt;wsp:rsid wsp:val=&quot;004D1C16&quot;/&gt;&lt;wsp:rsid wsp:val=&quot;004D34C6&quot;/&gt;&lt;wsp:rsid wsp:val=&quot;004D3B18&quot;/&gt;&lt;wsp:rsid wsp:val=&quot;004D3D75&quot;/&gt;&lt;wsp:rsid wsp:val=&quot;004D6FD8&quot;/&gt;&lt;wsp:rsid wsp:val=&quot;004D7EB8&quot;/&gt;&lt;wsp:rsid wsp:val=&quot;004E129B&quot;/&gt;&lt;wsp:rsid wsp:val=&quot;004E4A0C&quot;/&gt;&lt;wsp:rsid wsp:val=&quot;004E7BBA&quot;/&gt;&lt;wsp:rsid wsp:val=&quot;004F03A8&quot;/&gt;&lt;wsp:rsid wsp:val=&quot;004F280C&quot;/&gt;&lt;wsp:rsid wsp:val=&quot;004F3AC4&quot;/&gt;&lt;wsp:rsid wsp:val=&quot;004F5645&quot;/&gt;&lt;wsp:rsid wsp:val=&quot;004F733A&quot;/&gt;&lt;wsp:rsid wsp:val=&quot;00500FC0&quot;/&gt;&lt;wsp:rsid wsp:val=&quot;00501E12&quot;/&gt;&lt;wsp:rsid wsp:val=&quot;0050589E&quot;/&gt;&lt;wsp:rsid wsp:val=&quot;00510978&quot;/&gt;&lt;wsp:rsid wsp:val=&quot;005114D3&quot;/&gt;&lt;wsp:rsid wsp:val=&quot;005166D2&quot;/&gt;&lt;wsp:rsid wsp:val=&quot;00517850&quot;/&gt;&lt;wsp:rsid wsp:val=&quot;00522ECD&quot;/&gt;&lt;wsp:rsid wsp:val=&quot;00525B57&quot;/&gt;&lt;wsp:rsid wsp:val=&quot;0052663F&quot;/&gt;&lt;wsp:rsid wsp:val=&quot;00527CCE&quot;/&gt;&lt;wsp:rsid wsp:val=&quot;005314E7&quot;/&gt;&lt;wsp:rsid wsp:val=&quot;00533E37&quot;/&gt;&lt;wsp:rsid wsp:val=&quot;005347C9&quot;/&gt;&lt;wsp:rsid wsp:val=&quot;00535C77&quot;/&gt;&lt;wsp:rsid wsp:val=&quot;005364AF&quot;/&gt;&lt;wsp:rsid wsp:val=&quot;0053699D&quot;/&gt;&lt;wsp:rsid wsp:val=&quot;005401CB&quot;/&gt;&lt;wsp:rsid wsp:val=&quot;00540826&quot;/&gt;&lt;wsp:rsid wsp:val=&quot;00542802&quot;/&gt;&lt;wsp:rsid wsp:val=&quot;005442E2&quot;/&gt;&lt;wsp:rsid wsp:val=&quot;00544490&quot;/&gt;&lt;wsp:rsid wsp:val=&quot;005445CF&quot;/&gt;&lt;wsp:rsid wsp:val=&quot;005459D4&quot;/&gt;&lt;wsp:rsid wsp:val=&quot;00545CB7&quot;/&gt;&lt;wsp:rsid wsp:val=&quot;005465D1&quot;/&gt;&lt;wsp:rsid wsp:val=&quot;0054671F&quot;/&gt;&lt;wsp:rsid wsp:val=&quot;0055108A&quot;/&gt;&lt;wsp:rsid wsp:val=&quot;005512E1&quot;/&gt;&lt;wsp:rsid wsp:val=&quot;00555BBC&quot;/&gt;&lt;wsp:rsid wsp:val=&quot;00557A9E&quot;/&gt;&lt;wsp:rsid wsp:val=&quot;00557DA8&quot;/&gt;&lt;wsp:rsid wsp:val=&quot;00557FE3&quot;/&gt;&lt;wsp:rsid wsp:val=&quot;005603B0&quot;/&gt;&lt;wsp:rsid wsp:val=&quot;00560785&quot;/&gt;&lt;wsp:rsid wsp:val=&quot;005636D3&quot;/&gt;&lt;wsp:rsid wsp:val=&quot;00564111&quot;/&gt;&lt;wsp:rsid wsp:val=&quot;00565943&quot;/&gt;&lt;wsp:rsid wsp:val=&quot;00565AD3&quot;/&gt;&lt;wsp:rsid wsp:val=&quot;00566324&quot;/&gt;&lt;wsp:rsid wsp:val=&quot;00571576&quot;/&gt;&lt;wsp:rsid wsp:val=&quot;00572471&quot;/&gt;&lt;wsp:rsid wsp:val=&quot;00572592&quot;/&gt;&lt;wsp:rsid wsp:val=&quot;0057420A&quot;/&gt;&lt;wsp:rsid wsp:val=&quot;00575DFA&quot;/&gt;&lt;wsp:rsid wsp:val=&quot;005808CE&quot;/&gt;&lt;wsp:rsid wsp:val=&quot;00581E5A&quot;/&gt;&lt;wsp:rsid wsp:val=&quot;00585DB6&quot;/&gt;&lt;wsp:rsid wsp:val=&quot;005937B0&quot;/&gt;&lt;wsp:rsid wsp:val=&quot;005947D1&quot;/&gt;&lt;wsp:rsid wsp:val=&quot;00597ECA&quot;/&gt;&lt;wsp:rsid wsp:val=&quot;005A0964&quot;/&gt;&lt;wsp:rsid wsp:val=&quot;005A1424&quot;/&gt;&lt;wsp:rsid wsp:val=&quot;005A53D0&quot;/&gt;&lt;wsp:rsid wsp:val=&quot;005A69BE&quot;/&gt;&lt;wsp:rsid wsp:val=&quot;005B0765&quot;/&gt;&lt;wsp:rsid wsp:val=&quot;005B11C5&quot;/&gt;&lt;wsp:rsid wsp:val=&quot;005B1D64&quot;/&gt;&lt;wsp:rsid wsp:val=&quot;005B6D96&quot;/&gt;&lt;wsp:rsid wsp:val=&quot;005B76FC&quot;/&gt;&lt;wsp:rsid wsp:val=&quot;005B7A23&quot;/&gt;&lt;wsp:rsid wsp:val=&quot;005B7A41&quot;/&gt;&lt;wsp:rsid wsp:val=&quot;005C06C0&quot;/&gt;&lt;wsp:rsid wsp:val=&quot;005C3A38&quot;/&gt;&lt;wsp:rsid wsp:val=&quot;005C640D&quot;/&gt;&lt;wsp:rsid wsp:val=&quot;005C6D10&quot;/&gt;&lt;wsp:rsid wsp:val=&quot;005D0FE4&quot;/&gt;&lt;wsp:rsid wsp:val=&quot;005D1309&quot;/&gt;&lt;wsp:rsid wsp:val=&quot;005D1A08&quot;/&gt;&lt;wsp:rsid wsp:val=&quot;005D4863&quot;/&gt;&lt;wsp:rsid wsp:val=&quot;005D4E20&quot;/&gt;&lt;wsp:rsid wsp:val=&quot;005D58FC&quot;/&gt;&lt;wsp:rsid wsp:val=&quot;005D7CE4&quot;/&gt;&lt;wsp:rsid wsp:val=&quot;005E0CD5&quot;/&gt;&lt;wsp:rsid wsp:val=&quot;005E1105&quot;/&gt;&lt;wsp:rsid wsp:val=&quot;005E2691&quot;/&gt;&lt;wsp:rsid wsp:val=&quot;005E5143&quot;/&gt;&lt;wsp:rsid wsp:val=&quot;005F02B3&quot;/&gt;&lt;wsp:rsid wsp:val=&quot;005F5A7C&quot;/&gt;&lt;wsp:rsid wsp:val=&quot;005F795E&quot;/&gt;&lt;wsp:rsid wsp:val=&quot;00600792&quot;/&gt;&lt;wsp:rsid wsp:val=&quot;00601707&quot;/&gt;&lt;wsp:rsid wsp:val=&quot;00603A99&quot;/&gt;&lt;wsp:rsid wsp:val=&quot;006040A0&quot;/&gt;&lt;wsp:rsid wsp:val=&quot;00605CBE&quot;/&gt;&lt;wsp:rsid wsp:val=&quot;00605CF2&quot;/&gt;&lt;wsp:rsid wsp:val=&quot;0060629A&quot;/&gt;&lt;wsp:rsid wsp:val=&quot;00606D24&quot;/&gt;&lt;wsp:rsid wsp:val=&quot;00607F97&quot;/&gt;&lt;wsp:rsid wsp:val=&quot;006105FF&quot;/&gt;&lt;wsp:rsid wsp:val=&quot;00610D8E&quot;/&gt;&lt;wsp:rsid wsp:val=&quot;00612A6B&quot;/&gt;&lt;wsp:rsid wsp:val=&quot;00614213&quot;/&gt;&lt;wsp:rsid wsp:val=&quot;0061454E&quot;/&gt;&lt;wsp:rsid wsp:val=&quot;00614D99&quot;/&gt;&lt;wsp:rsid wsp:val=&quot;00616B2D&quot;/&gt;&lt;wsp:rsid wsp:val=&quot;006239ED&quot;/&gt;&lt;wsp:rsid wsp:val=&quot;006243F7&quot;/&gt;&lt;wsp:rsid wsp:val=&quot;00624A92&quot;/&gt;&lt;wsp:rsid wsp:val=&quot;00627F80&quot;/&gt;&lt;wsp:rsid wsp:val=&quot;00630D33&quot;/&gt;&lt;wsp:rsid wsp:val=&quot;00630FD4&quot;/&gt;&lt;wsp:rsid wsp:val=&quot;006313B3&quot;/&gt;&lt;wsp:rsid wsp:val=&quot;00631917&quot;/&gt;&lt;wsp:rsid wsp:val=&quot;00633E44&quot;/&gt;&lt;wsp:rsid wsp:val=&quot;00633E4E&quot;/&gt;&lt;wsp:rsid wsp:val=&quot;0063674A&quot;/&gt;&lt;wsp:rsid wsp:val=&quot;00636949&quot;/&gt;&lt;wsp:rsid wsp:val=&quot;00637163&quot;/&gt;&lt;wsp:rsid wsp:val=&quot;006374EA&quot;/&gt;&lt;wsp:rsid wsp:val=&quot;0064138C&quot;/&gt;&lt;wsp:rsid wsp:val=&quot;00641404&quot;/&gt;&lt;wsp:rsid wsp:val=&quot;00641491&quot;/&gt;&lt;wsp:rsid wsp:val=&quot;00642D78&quot;/&gt;&lt;wsp:rsid wsp:val=&quot;0064318A&quot;/&gt;&lt;wsp:rsid wsp:val=&quot;00644ED4&quot;/&gt;&lt;wsp:rsid wsp:val=&quot;006453B9&quot;/&gt;&lt;wsp:rsid wsp:val=&quot;0064562D&quot;/&gt;&lt;wsp:rsid wsp:val=&quot;006475F7&quot;/&gt;&lt;wsp:rsid wsp:val=&quot;006507A6&quot;/&gt;&lt;wsp:rsid wsp:val=&quot;00650EDD&quot;/&gt;&lt;wsp:rsid wsp:val=&quot;0065225C&quot;/&gt;&lt;wsp:rsid wsp:val=&quot;006529A3&quot;/&gt;&lt;wsp:rsid wsp:val=&quot;00653DB4&quot;/&gt;&lt;wsp:rsid wsp:val=&quot;00654C32&quot;/&gt;&lt;wsp:rsid wsp:val=&quot;00656FE2&quot;/&gt;&lt;wsp:rsid wsp:val=&quot;00657F92&quot;/&gt;&lt;wsp:rsid wsp:val=&quot;0066155D&quot;/&gt;&lt;wsp:rsid wsp:val=&quot;006622FD&quot;/&gt;&lt;wsp:rsid wsp:val=&quot;00664C26&quot;/&gt;&lt;wsp:rsid wsp:val=&quot;0067068E&quot;/&gt;&lt;wsp:rsid wsp:val=&quot;00671925&quot;/&gt;&lt;wsp:rsid wsp:val=&quot;00674CE3&quot;/&gt;&lt;wsp:rsid wsp:val=&quot;00675576&quot;/&gt;&lt;wsp:rsid wsp:val=&quot;0067708C&quot;/&gt;&lt;wsp:rsid wsp:val=&quot;00683AC2&quot;/&gt;&lt;wsp:rsid wsp:val=&quot;0068706F&quot;/&gt;&lt;wsp:rsid wsp:val=&quot;00687322&quot;/&gt;&lt;wsp:rsid wsp:val=&quot;0068742F&quot;/&gt;&lt;wsp:rsid wsp:val=&quot;00687D81&quot;/&gt;&lt;wsp:rsid wsp:val=&quot;0069203B&quot;/&gt;&lt;wsp:rsid wsp:val=&quot;0069273A&quot;/&gt;&lt;wsp:rsid wsp:val=&quot;00694929&quot;/&gt;&lt;wsp:rsid wsp:val=&quot;00695209&quot;/&gt;&lt;wsp:rsid wsp:val=&quot;00696060&quot;/&gt;&lt;wsp:rsid wsp:val=&quot;006A198A&quot;/&gt;&lt;wsp:rsid wsp:val=&quot;006A1E9A&quot;/&gt;&lt;wsp:rsid wsp:val=&quot;006A492D&quot;/&gt;&lt;wsp:rsid wsp:val=&quot;006A6DE9&quot;/&gt;&lt;wsp:rsid wsp:val=&quot;006A7145&quot;/&gt;&lt;wsp:rsid wsp:val=&quot;006B1830&quot;/&gt;&lt;wsp:rsid wsp:val=&quot;006B1BCD&quot;/&gt;&lt;wsp:rsid wsp:val=&quot;006B1FA9&quot;/&gt;&lt;wsp:rsid wsp:val=&quot;006B463A&quot;/&gt;&lt;wsp:rsid wsp:val=&quot;006B4A44&quot;/&gt;&lt;wsp:rsid wsp:val=&quot;006C3D5C&quot;/&gt;&lt;wsp:rsid wsp:val=&quot;006C3F5B&quot;/&gt;&lt;wsp:rsid wsp:val=&quot;006C5AF2&quot;/&gt;&lt;wsp:rsid wsp:val=&quot;006C7D99&quot;/&gt;&lt;wsp:rsid wsp:val=&quot;006D2E3A&quot;/&gt;&lt;wsp:rsid wsp:val=&quot;006D32E0&quot;/&gt;&lt;wsp:rsid wsp:val=&quot;006D3A31&quot;/&gt;&lt;wsp:rsid wsp:val=&quot;006D45C1&quot;/&gt;&lt;wsp:rsid wsp:val=&quot;006D6C6D&quot;/&gt;&lt;wsp:rsid wsp:val=&quot;006E26EB&quot;/&gt;&lt;wsp:rsid wsp:val=&quot;006E4E2E&quot;/&gt;&lt;wsp:rsid wsp:val=&quot;006E5FAF&quot;/&gt;&lt;wsp:rsid wsp:val=&quot;006E7B40&quot;/&gt;&lt;wsp:rsid wsp:val=&quot;006F163D&quot;/&gt;&lt;wsp:rsid wsp:val=&quot;006F4201&quot;/&gt;&lt;wsp:rsid wsp:val=&quot;006F5370&quot;/&gt;&lt;wsp:rsid wsp:val=&quot;006F5E27&quot;/&gt;&lt;wsp:rsid wsp:val=&quot;006F7D3B&quot;/&gt;&lt;wsp:rsid wsp:val=&quot;00704AF5&quot;/&gt;&lt;wsp:rsid wsp:val=&quot;0070532F&quot;/&gt;&lt;wsp:rsid wsp:val=&quot;0070663C&quot;/&gt;&lt;wsp:rsid wsp:val=&quot;00706A54&quot;/&gt;&lt;wsp:rsid wsp:val=&quot;00710863&quot;/&gt;&lt;wsp:rsid wsp:val=&quot;00711F8A&quot;/&gt;&lt;wsp:rsid wsp:val=&quot;0071435F&quot;/&gt;&lt;wsp:rsid wsp:val=&quot;00714649&quot;/&gt;&lt;wsp:rsid wsp:val=&quot;00715A7D&quot;/&gt;&lt;wsp:rsid wsp:val=&quot;00716862&quot;/&gt;&lt;wsp:rsid wsp:val=&quot;007175AA&quot;/&gt;&lt;wsp:rsid wsp:val=&quot;007209C7&quot;/&gt;&lt;wsp:rsid wsp:val=&quot;00720D39&quot;/&gt;&lt;wsp:rsid wsp:val=&quot;00727B57&quot;/&gt;&lt;wsp:rsid wsp:val=&quot;007316DD&quot;/&gt;&lt;wsp:rsid wsp:val=&quot;00733566&quot;/&gt;&lt;wsp:rsid wsp:val=&quot;00736570&quot;/&gt;&lt;wsp:rsid wsp:val=&quot;00736611&quot;/&gt;&lt;wsp:rsid wsp:val=&quot;0073689A&quot;/&gt;&lt;wsp:rsid wsp:val=&quot;00737C96&quot;/&gt;&lt;wsp:rsid wsp:val=&quot;00740B7B&quot;/&gt;&lt;wsp:rsid wsp:val=&quot;00741BB1&quot;/&gt;&lt;wsp:rsid wsp:val=&quot;00743F23&quot;/&gt;&lt;wsp:rsid wsp:val=&quot;00745E63&quot;/&gt;&lt;wsp:rsid wsp:val=&quot;00746260&quot;/&gt;&lt;wsp:rsid wsp:val=&quot;00751312&quot;/&gt;&lt;wsp:rsid wsp:val=&quot;007517A0&quot;/&gt;&lt;wsp:rsid wsp:val=&quot;007522FE&quot;/&gt;&lt;wsp:rsid wsp:val=&quot;00752418&quot;/&gt;&lt;wsp:rsid wsp:val=&quot;007551F6&quot;/&gt;&lt;wsp:rsid wsp:val=&quot;007559FA&quot;/&gt;&lt;wsp:rsid wsp:val=&quot;00756CD0&quot;/&gt;&lt;wsp:rsid wsp:val=&quot;00756F3B&quot;/&gt;&lt;wsp:rsid wsp:val=&quot;00760748&quot;/&gt;&lt;wsp:rsid wsp:val=&quot;00763456&quot;/&gt;&lt;wsp:rsid wsp:val=&quot;00765E2E&quot;/&gt;&lt;wsp:rsid wsp:val=&quot;0076693E&quot;/&gt;&lt;wsp:rsid wsp:val=&quot;0076784C&quot;/&gt;&lt;wsp:rsid wsp:val=&quot;00767B14&quot;/&gt;&lt;wsp:rsid wsp:val=&quot;00767E25&quot;/&gt;&lt;wsp:rsid wsp:val=&quot;007707B4&quot;/&gt;&lt;wsp:rsid wsp:val=&quot;00772ECA&quot;/&gt;&lt;wsp:rsid wsp:val=&quot;007808AD&quot;/&gt;&lt;wsp:rsid wsp:val=&quot;00781C06&quot;/&gt;&lt;wsp:rsid wsp:val=&quot;00782DF0&quot;/&gt;&lt;wsp:rsid wsp:val=&quot;00783353&quot;/&gt;&lt;wsp:rsid wsp:val=&quot;007838D0&quot;/&gt;&lt;wsp:rsid wsp:val=&quot;00785F9C&quot;/&gt;&lt;wsp:rsid wsp:val=&quot;00785FCD&quot;/&gt;&lt;wsp:rsid wsp:val=&quot;00791DE6&quot;/&gt;&lt;wsp:rsid wsp:val=&quot;0079342A&quot;/&gt;&lt;wsp:rsid wsp:val=&quot;00793526&quot;/&gt;&lt;wsp:rsid wsp:val=&quot;00793F75&quot;/&gt;&lt;wsp:rsid wsp:val=&quot;0079609D&quot;/&gt;&lt;wsp:rsid wsp:val=&quot;00796345&quot;/&gt;&lt;wsp:rsid wsp:val=&quot;00796D17&quot;/&gt;&lt;wsp:rsid wsp:val=&quot;0079779D&quot;/&gt;&lt;wsp:rsid wsp:val=&quot;007A27A8&quot;/&gt;&lt;wsp:rsid wsp:val=&quot;007B001A&quot;/&gt;&lt;wsp:rsid wsp:val=&quot;007B0666&quot;/&gt;&lt;wsp:rsid wsp:val=&quot;007B0DCD&quot;/&gt;&lt;wsp:rsid wsp:val=&quot;007B43B7&quot;/&gt;&lt;wsp:rsid wsp:val=&quot;007B747A&quot;/&gt;&lt;wsp:rsid wsp:val=&quot;007B7E31&quot;/&gt;&lt;wsp:rsid wsp:val=&quot;007C12C6&quot;/&gt;&lt;wsp:rsid wsp:val=&quot;007C3F7E&quot;/&gt;&lt;wsp:rsid wsp:val=&quot;007C4345&quot;/&gt;&lt;wsp:rsid wsp:val=&quot;007C5223&quot;/&gt;&lt;wsp:rsid wsp:val=&quot;007C6DF5&quot;/&gt;&lt;wsp:rsid wsp:val=&quot;007C770F&quot;/&gt;&lt;wsp:rsid wsp:val=&quot;007D17D3&quot;/&gt;&lt;wsp:rsid wsp:val=&quot;007D24FE&quot;/&gt;&lt;wsp:rsid wsp:val=&quot;007D61A5&quot;/&gt;&lt;wsp:rsid wsp:val=&quot;007D6AF8&quot;/&gt;&lt;wsp:rsid wsp:val=&quot;007D6E5C&quot;/&gt;&lt;wsp:rsid wsp:val=&quot;007D7BAA&quot;/&gt;&lt;wsp:rsid wsp:val=&quot;007E05A7&quot;/&gt;&lt;wsp:rsid wsp:val=&quot;007E1E4E&quot;/&gt;&lt;wsp:rsid wsp:val=&quot;007E2574&quot;/&gt;&lt;wsp:rsid wsp:val=&quot;007E3127&quot;/&gt;&lt;wsp:rsid wsp:val=&quot;007E44D2&quot;/&gt;&lt;wsp:rsid wsp:val=&quot;007E464B&quot;/&gt;&lt;wsp:rsid wsp:val=&quot;007E488E&quot;/&gt;&lt;wsp:rsid wsp:val=&quot;007E5119&quot;/&gt;&lt;wsp:rsid wsp:val=&quot;007E5AE6&quot;/&gt;&lt;wsp:rsid wsp:val=&quot;007E5D9C&quot;/&gt;&lt;wsp:rsid wsp:val=&quot;007E5F49&quot;/&gt;&lt;wsp:rsid wsp:val=&quot;007F1E56&quot;/&gt;&lt;wsp:rsid wsp:val=&quot;007F21A6&quot;/&gt;&lt;wsp:rsid wsp:val=&quot;007F3F8A&quot;/&gt;&lt;wsp:rsid wsp:val=&quot;007F5530&quot;/&gt;&lt;wsp:rsid wsp:val=&quot;007F5DB3&quot;/&gt;&lt;wsp:rsid wsp:val=&quot;007F7622&quot;/&gt;&lt;wsp:rsid wsp:val=&quot;008008CC&quot;/&gt;&lt;wsp:rsid wsp:val=&quot;00802182&quot;/&gt;&lt;wsp:rsid wsp:val=&quot;00802D85&quot;/&gt;&lt;wsp:rsid wsp:val=&quot;00804A9C&quot;/&gt;&lt;wsp:rsid wsp:val=&quot;00806A7F&quot;/&gt;&lt;wsp:rsid wsp:val=&quot;00807118&quot;/&gt;&lt;wsp:rsid wsp:val=&quot;008130C7&quot;/&gt;&lt;wsp:rsid wsp:val=&quot;00813540&quot;/&gt;&lt;wsp:rsid wsp:val=&quot;008143C1&quot;/&gt;&lt;wsp:rsid wsp:val=&quot;00814608&quot;/&gt;&lt;wsp:rsid wsp:val=&quot;00816278&quot;/&gt;&lt;wsp:rsid wsp:val=&quot;00820A65&quot;/&gt;&lt;wsp:rsid wsp:val=&quot;00823193&quot;/&gt;&lt;wsp:rsid wsp:val=&quot;008248A9&quot;/&gt;&lt;wsp:rsid wsp:val=&quot;00827DAA&quot;/&gt;&lt;wsp:rsid wsp:val=&quot;00832505&quot;/&gt;&lt;wsp:rsid wsp:val=&quot;00834A78&quot;/&gt;&lt;wsp:rsid wsp:val=&quot;00836057&quot;/&gt;&lt;wsp:rsid wsp:val=&quot;0083718F&quot;/&gt;&lt;wsp:rsid wsp:val=&quot;00837B31&quot;/&gt;&lt;wsp:rsid wsp:val=&quot;008409F6&quot;/&gt;&lt;wsp:rsid wsp:val=&quot;0084100F&quot;/&gt;&lt;wsp:rsid wsp:val=&quot;008422B1&quot;/&gt;&lt;wsp:rsid wsp:val=&quot;00843B78&quot;/&gt;&lt;wsp:rsid wsp:val=&quot;00845FA8&quot;/&gt;&lt;wsp:rsid wsp:val=&quot;00846267&quot;/&gt;&lt;wsp:rsid wsp:val=&quot;0085011E&quot;/&gt;&lt;wsp:rsid wsp:val=&quot;008503C7&quot;/&gt;&lt;wsp:rsid wsp:val=&quot;008522EF&quot;/&gt;&lt;wsp:rsid wsp:val=&quot;008530EB&quot;/&gt;&lt;wsp:rsid wsp:val=&quot;0085313C&quot;/&gt;&lt;wsp:rsid wsp:val=&quot;00854840&quot;/&gt;&lt;wsp:rsid wsp:val=&quot;00856D6B&quot;/&gt;&lt;wsp:rsid wsp:val=&quot;00860446&quot;/&gt;&lt;wsp:rsid wsp:val=&quot;00861A56&quot;/&gt;&lt;wsp:rsid wsp:val=&quot;008650A5&quot;/&gt;&lt;wsp:rsid wsp:val=&quot;008657FD&quot;/&gt;&lt;wsp:rsid wsp:val=&quot;00870B09&quot;/&gt;&lt;wsp:rsid wsp:val=&quot;008719FE&quot;/&gt;&lt;wsp:rsid wsp:val=&quot;008726FA&quot;/&gt;&lt;wsp:rsid wsp:val=&quot;008762D0&quot;/&gt;&lt;wsp:rsid wsp:val=&quot;008764FB&quot;/&gt;&lt;wsp:rsid wsp:val=&quot;008837A3&quot;/&gt;&lt;wsp:rsid wsp:val=&quot;008850E4&quot;/&gt;&lt;wsp:rsid wsp:val=&quot;008869A6&quot;/&gt;&lt;wsp:rsid wsp:val=&quot;00887591&quot;/&gt;&lt;wsp:rsid wsp:val=&quot;00890FD2&quot;/&gt;&lt;wsp:rsid wsp:val=&quot;0089155F&quot;/&gt;&lt;wsp:rsid wsp:val=&quot;00892147&quot;/&gt;&lt;wsp:rsid wsp:val=&quot;0089252B&quot;/&gt;&lt;wsp:rsid wsp:val=&quot;0089443C&quot;/&gt;&lt;wsp:rsid wsp:val=&quot;00894C7C&quot;/&gt;&lt;wsp:rsid wsp:val=&quot;00894E6F&quot;/&gt;&lt;wsp:rsid wsp:val=&quot;00894FB6&quot;/&gt;&lt;wsp:rsid wsp:val=&quot;008967BB&quot;/&gt;&lt;wsp:rsid wsp:val=&quot;008A0BBE&quot;/&gt;&lt;wsp:rsid wsp:val=&quot;008A2BAA&quot;/&gt;&lt;wsp:rsid wsp:val=&quot;008A31C5&quot;/&gt;&lt;wsp:rsid wsp:val=&quot;008A41B0&quot;/&gt;&lt;wsp:rsid wsp:val=&quot;008B1EA6&quot;/&gt;&lt;wsp:rsid wsp:val=&quot;008B4313&quot;/&gt;&lt;wsp:rsid wsp:val=&quot;008B442D&quot;/&gt;&lt;wsp:rsid wsp:val=&quot;008B556A&quot;/&gt;&lt;wsp:rsid wsp:val=&quot;008B586B&quot;/&gt;&lt;wsp:rsid wsp:val=&quot;008B7277&quot;/&gt;&lt;wsp:rsid wsp:val=&quot;008C0891&quot;/&gt;&lt;wsp:rsid wsp:val=&quot;008C1B74&quot;/&gt;&lt;wsp:rsid wsp:val=&quot;008C324A&quot;/&gt;&lt;wsp:rsid wsp:val=&quot;008C3473&quot;/&gt;&lt;wsp:rsid wsp:val=&quot;008C3969&quot;/&gt;&lt;wsp:rsid wsp:val=&quot;008C4B15&quot;/&gt;&lt;wsp:rsid wsp:val=&quot;008C4C2B&quot;/&gt;&lt;wsp:rsid wsp:val=&quot;008C5C8F&quot;/&gt;&lt;wsp:rsid wsp:val=&quot;008C633B&quot;/&gt;&lt;wsp:rsid wsp:val=&quot;008D129D&quot;/&gt;&lt;wsp:rsid wsp:val=&quot;008D2A02&quot;/&gt;&lt;wsp:rsid wsp:val=&quot;008D3C5E&quot;/&gt;&lt;wsp:rsid wsp:val=&quot;008D47B6&quot;/&gt;&lt;wsp:rsid wsp:val=&quot;008D61AF&quot;/&gt;&lt;wsp:rsid wsp:val=&quot;008D68BD&quot;/&gt;&lt;wsp:rsid wsp:val=&quot;008D79FA&quot;/&gt;&lt;wsp:rsid wsp:val=&quot;008E12C8&quot;/&gt;&lt;wsp:rsid wsp:val=&quot;008E262A&quot;/&gt;&lt;wsp:rsid wsp:val=&quot;008E4377&quot;/&gt;&lt;wsp:rsid wsp:val=&quot;008E5371&quot;/&gt;&lt;wsp:rsid wsp:val=&quot;008E6FDE&quot;/&gt;&lt;wsp:rsid wsp:val=&quot;008F1151&quot;/&gt;&lt;wsp:rsid wsp:val=&quot;008F2B41&quot;/&gt;&lt;wsp:rsid wsp:val=&quot;008F43E3&quot;/&gt;&lt;wsp:rsid wsp:val=&quot;008F49E8&quot;/&gt;&lt;wsp:rsid wsp:val=&quot;008F6255&quot;/&gt;&lt;wsp:rsid wsp:val=&quot;00900902&quot;/&gt;&lt;wsp:rsid wsp:val=&quot;009013A3&quot;/&gt;&lt;wsp:rsid wsp:val=&quot;0090214C&quot;/&gt;&lt;wsp:rsid wsp:val=&quot;009023B5&quot;/&gt;&lt;wsp:rsid wsp:val=&quot;009062D4&quot;/&gt;&lt;wsp:rsid wsp:val=&quot;00907723&quot;/&gt;&lt;wsp:rsid wsp:val=&quot;00912168&quot;/&gt;&lt;wsp:rsid wsp:val=&quot;00912E6C&quot;/&gt;&lt;wsp:rsid wsp:val=&quot;00913B92&quot;/&gt;&lt;wsp:rsid wsp:val=&quot;00917390&quot;/&gt;&lt;wsp:rsid wsp:val=&quot;009202D2&quot;/&gt;&lt;wsp:rsid wsp:val=&quot;0093081F&quot;/&gt;&lt;wsp:rsid wsp:val=&quot;00934F20&quot;/&gt;&lt;wsp:rsid wsp:val=&quot;00935470&quot;/&gt;&lt;wsp:rsid wsp:val=&quot;009376E4&quot;/&gt;&lt;wsp:rsid wsp:val=&quot;009429BC&quot;/&gt;&lt;wsp:rsid wsp:val=&quot;00944BE0&quot;/&gt;&lt;wsp:rsid wsp:val=&quot;00945949&quot;/&gt;&lt;wsp:rsid wsp:val=&quot;009461F6&quot;/&gt;&lt;wsp:rsid wsp:val=&quot;009508E4&quot;/&gt;&lt;wsp:rsid wsp:val=&quot;00950C52&quot;/&gt;&lt;wsp:rsid wsp:val=&quot;00953A13&quot;/&gt;&lt;wsp:rsid wsp:val=&quot;00953D3A&quot;/&gt;&lt;wsp:rsid wsp:val=&quot;00955D21&quot;/&gt;&lt;wsp:rsid wsp:val=&quot;0095733A&quot;/&gt;&lt;wsp:rsid wsp:val=&quot;009573E2&quot;/&gt;&lt;wsp:rsid wsp:val=&quot;00961D0C&quot;/&gt;&lt;wsp:rsid wsp:val=&quot;00962496&quot;/&gt;&lt;wsp:rsid wsp:val=&quot;00962F4E&quot;/&gt;&lt;wsp:rsid wsp:val=&quot;00964BBA&quot;/&gt;&lt;wsp:rsid wsp:val=&quot;009673E9&quot;/&gt;&lt;wsp:rsid wsp:val=&quot;009676C6&quot;/&gt;&lt;wsp:rsid wsp:val=&quot;00976465&quot;/&gt;&lt;wsp:rsid wsp:val=&quot;00977674&quot;/&gt;&lt;wsp:rsid wsp:val=&quot;009872AA&quot;/&gt;&lt;wsp:rsid wsp:val=&quot;00992305&quot;/&gt;&lt;wsp:rsid wsp:val=&quot;00993336&quot;/&gt;&lt;wsp:rsid wsp:val=&quot;00994D3E&quot;/&gt;&lt;wsp:rsid wsp:val=&quot;009962CB&quot;/&gt;&lt;wsp:rsid wsp:val=&quot;009966DA&quot;/&gt;&lt;wsp:rsid wsp:val=&quot;009A03B3&quot;/&gt;&lt;wsp:rsid wsp:val=&quot;009A0AAD&quot;/&gt;&lt;wsp:rsid wsp:val=&quot;009A1020&quot;/&gt;&lt;wsp:rsid wsp:val=&quot;009A2A6D&quot;/&gt;&lt;wsp:rsid wsp:val=&quot;009A30EC&quot;/&gt;&lt;wsp:rsid wsp:val=&quot;009A4815&quot;/&gt;&lt;wsp:rsid wsp:val=&quot;009A67A2&quot;/&gt;&lt;wsp:rsid wsp:val=&quot;009A722B&quot;/&gt;&lt;wsp:rsid wsp:val=&quot;009A772D&quot;/&gt;&lt;wsp:rsid wsp:val=&quot;009A7B8A&quot;/&gt;&lt;wsp:rsid wsp:val=&quot;009B47DE&quot;/&gt;&lt;wsp:rsid wsp:val=&quot;009B6EC3&quot;/&gt;&lt;wsp:rsid wsp:val=&quot;009C2183&quot;/&gt;&lt;wsp:rsid wsp:val=&quot;009C4AE4&quot;/&gt;&lt;wsp:rsid wsp:val=&quot;009D1F15&quot;/&gt;&lt;wsp:rsid wsp:val=&quot;009D5C05&quot;/&gt;&lt;wsp:rsid wsp:val=&quot;009D6696&quot;/&gt;&lt;wsp:rsid wsp:val=&quot;009D6E1D&quot;/&gt;&lt;wsp:rsid wsp:val=&quot;009D7198&quot;/&gt;&lt;wsp:rsid wsp:val=&quot;009D77A6&quot;/&gt;&lt;wsp:rsid wsp:val=&quot;009E0975&quot;/&gt;&lt;wsp:rsid wsp:val=&quot;009E2704&quot;/&gt;&lt;wsp:rsid wsp:val=&quot;009E30E0&quot;/&gt;&lt;wsp:rsid wsp:val=&quot;009E3344&quot;/&gt;&lt;wsp:rsid wsp:val=&quot;009E4ACB&quot;/&gt;&lt;wsp:rsid wsp:val=&quot;009E5050&quot;/&gt;&lt;wsp:rsid wsp:val=&quot;009E5362&quot;/&gt;&lt;wsp:rsid wsp:val=&quot;009E6261&quot;/&gt;&lt;wsp:rsid wsp:val=&quot;009E6288&quot;/&gt;&lt;wsp:rsid wsp:val=&quot;009E7346&quot;/&gt;&lt;wsp:rsid wsp:val=&quot;009F06BA&quot;/&gt;&lt;wsp:rsid wsp:val=&quot;009F375B&quot;/&gt;&lt;wsp:rsid wsp:val=&quot;009F3B73&quot;/&gt;&lt;wsp:rsid wsp:val=&quot;009F6D03&quot;/&gt;&lt;wsp:rsid wsp:val=&quot;009F7C21&quot;/&gt;&lt;wsp:rsid wsp:val=&quot;00A00AD3&quot;/&gt;&lt;wsp:rsid wsp:val=&quot;00A01229&quot;/&gt;&lt;wsp:rsid wsp:val=&quot;00A023E2&quot;/&gt;&lt;wsp:rsid wsp:val=&quot;00A02DCA&quot;/&gt;&lt;wsp:rsid wsp:val=&quot;00A03961&quot;/&gt;&lt;wsp:rsid wsp:val=&quot;00A0474A&quot;/&gt;&lt;wsp:rsid wsp:val=&quot;00A04879&quot;/&gt;&lt;wsp:rsid wsp:val=&quot;00A04A36&quot;/&gt;&lt;wsp:rsid wsp:val=&quot;00A0526A&quot;/&gt;&lt;wsp:rsid wsp:val=&quot;00A067E7&quot;/&gt;&lt;wsp:rsid wsp:val=&quot;00A07B3B&quot;/&gt;&lt;wsp:rsid wsp:val=&quot;00A141F1&quot;/&gt;&lt;wsp:rsid wsp:val=&quot;00A14E54&quot;/&gt;&lt;wsp:rsid wsp:val=&quot;00A17190&quot;/&gt;&lt;wsp:rsid wsp:val=&quot;00A2083F&quot;/&gt;&lt;wsp:rsid wsp:val=&quot;00A211DA&quot;/&gt;&lt;wsp:rsid wsp:val=&quot;00A218F7&quot;/&gt;&lt;wsp:rsid wsp:val=&quot;00A21ACC&quot;/&gt;&lt;wsp:rsid wsp:val=&quot;00A306B7&quot;/&gt;&lt;wsp:rsid wsp:val=&quot;00A318C7&quot;/&gt;&lt;wsp:rsid wsp:val=&quot;00A34D01&quot;/&gt;&lt;wsp:rsid wsp:val=&quot;00A40C0F&quot;/&gt;&lt;wsp:rsid wsp:val=&quot;00A41197&quot;/&gt;&lt;wsp:rsid wsp:val=&quot;00A414E1&quot;/&gt;&lt;wsp:rsid wsp:val=&quot;00A42FA4&quot;/&gt;&lt;wsp:rsid wsp:val=&quot;00A44CBF&quot;/&gt;&lt;wsp:rsid wsp:val=&quot;00A47D43&quot;/&gt;&lt;wsp:rsid wsp:val=&quot;00A50BFA&quot;/&gt;&lt;wsp:rsid wsp:val=&quot;00A54348&quot;/&gt;&lt;wsp:rsid wsp:val=&quot;00A56A93&quot;/&gt;&lt;wsp:rsid wsp:val=&quot;00A5731C&quot;/&gt;&lt;wsp:rsid wsp:val=&quot;00A57816&quot;/&gt;&lt;wsp:rsid wsp:val=&quot;00A578F9&quot;/&gt;&lt;wsp:rsid wsp:val=&quot;00A57EC0&quot;/&gt;&lt;wsp:rsid wsp:val=&quot;00A61D26&quot;/&gt;&lt;wsp:rsid wsp:val=&quot;00A62199&quot;/&gt;&lt;wsp:rsid wsp:val=&quot;00A63720&quot;/&gt;&lt;wsp:rsid wsp:val=&quot;00A638D7&quot;/&gt;&lt;wsp:rsid wsp:val=&quot;00A66B30&quot;/&gt;&lt;wsp:rsid wsp:val=&quot;00A70274&quot;/&gt;&lt;wsp:rsid wsp:val=&quot;00A73ECD&quot;/&gt;&lt;wsp:rsid wsp:val=&quot;00A75EC0&quot;/&gt;&lt;wsp:rsid wsp:val=&quot;00A76400&quot;/&gt;&lt;wsp:rsid wsp:val=&quot;00A832D3&quot;/&gt;&lt;wsp:rsid wsp:val=&quot;00A84175&quot;/&gt;&lt;wsp:rsid wsp:val=&quot;00A86B61&quot;/&gt;&lt;wsp:rsid wsp:val=&quot;00A91F6A&quot;/&gt;&lt;wsp:rsid wsp:val=&quot;00A97696&quot;/&gt;&lt;wsp:rsid wsp:val=&quot;00AA3865&quot;/&gt;&lt;wsp:rsid wsp:val=&quot;00AA3AF5&quot;/&gt;&lt;wsp:rsid wsp:val=&quot;00AA3BAB&quot;/&gt;&lt;wsp:rsid wsp:val=&quot;00AA5723&quot;/&gt;&lt;wsp:rsid wsp:val=&quot;00AA572B&quot;/&gt;&lt;wsp:rsid wsp:val=&quot;00AA6166&quot;/&gt;&lt;wsp:rsid wsp:val=&quot;00AB2EE4&quot;/&gt;&lt;wsp:rsid wsp:val=&quot;00AB3548&quot;/&gt;&lt;wsp:rsid wsp:val=&quot;00AB3F14&quot;/&gt;&lt;wsp:rsid wsp:val=&quot;00AB4BC7&quot;/&gt;&lt;wsp:rsid wsp:val=&quot;00AB61C0&quot;/&gt;&lt;wsp:rsid wsp:val=&quot;00AB7524&quot;/&gt;&lt;wsp:rsid wsp:val=&quot;00AB7B49&quot;/&gt;&lt;wsp:rsid wsp:val=&quot;00AB7DAB&quot;/&gt;&lt;wsp:rsid wsp:val=&quot;00AC11EC&quot;/&gt;&lt;wsp:rsid wsp:val=&quot;00AC3F65&quot;/&gt;&lt;wsp:rsid wsp:val=&quot;00AD2247&quot;/&gt;&lt;wsp:rsid wsp:val=&quot;00AD2DEA&quot;/&gt;&lt;wsp:rsid wsp:val=&quot;00AD326D&quot;/&gt;&lt;wsp:rsid wsp:val=&quot;00AD397F&quot;/&gt;&lt;wsp:rsid wsp:val=&quot;00AD3B06&quot;/&gt;&lt;wsp:rsid wsp:val=&quot;00AD3B99&quot;/&gt;&lt;wsp:rsid wsp:val=&quot;00AD4891&quot;/&gt;&lt;wsp:rsid wsp:val=&quot;00AD4B7F&quot;/&gt;&lt;wsp:rsid wsp:val=&quot;00AD59D0&quot;/&gt;&lt;wsp:rsid wsp:val=&quot;00AE169E&quot;/&gt;&lt;wsp:rsid wsp:val=&quot;00AE1908&quot;/&gt;&lt;wsp:rsid wsp:val=&quot;00AE2BFB&quot;/&gt;&lt;wsp:rsid wsp:val=&quot;00AE3D23&quot;/&gt;&lt;wsp:rsid wsp:val=&quot;00AE6F4A&quot;/&gt;&lt;wsp:rsid wsp:val=&quot;00AF03FA&quot;/&gt;&lt;wsp:rsid wsp:val=&quot;00AF2116&quot;/&gt;&lt;wsp:rsid wsp:val=&quot;00AF28DA&quot;/&gt;&lt;wsp:rsid wsp:val=&quot;00AF3D6F&quot;/&gt;&lt;wsp:rsid wsp:val=&quot;00AF6867&quot;/&gt;&lt;wsp:rsid wsp:val=&quot;00AF7304&quot;/&gt;&lt;wsp:rsid wsp:val=&quot;00B02134&quot;/&gt;&lt;wsp:rsid wsp:val=&quot;00B0284E&quot;/&gt;&lt;wsp:rsid wsp:val=&quot;00B0624B&quot;/&gt;&lt;wsp:rsid wsp:val=&quot;00B14E88&quot;/&gt;&lt;wsp:rsid wsp:val=&quot;00B166AF&quot;/&gt;&lt;wsp:rsid wsp:val=&quot;00B21F15&quot;/&gt;&lt;wsp:rsid wsp:val=&quot;00B22E73&quot;/&gt;&lt;wsp:rsid wsp:val=&quot;00B25E01&quot;/&gt;&lt;wsp:rsid wsp:val=&quot;00B26AA5&quot;/&gt;&lt;wsp:rsid wsp:val=&quot;00B26D7D&quot;/&gt;&lt;wsp:rsid wsp:val=&quot;00B27062&quot;/&gt;&lt;wsp:rsid wsp:val=&quot;00B277CA&quot;/&gt;&lt;wsp:rsid wsp:val=&quot;00B27A5B&quot;/&gt;&lt;wsp:rsid wsp:val=&quot;00B27DA2&quot;/&gt;&lt;wsp:rsid wsp:val=&quot;00B31B7D&quot;/&gt;&lt;wsp:rsid wsp:val=&quot;00B407B3&quot;/&gt;&lt;wsp:rsid wsp:val=&quot;00B41EAA&quot;/&gt;&lt;wsp:rsid wsp:val=&quot;00B424E9&quot;/&gt;&lt;wsp:rsid wsp:val=&quot;00B42E64&quot;/&gt;&lt;wsp:rsid wsp:val=&quot;00B43724&quot;/&gt;&lt;wsp:rsid wsp:val=&quot;00B43E9F&quot;/&gt;&lt;wsp:rsid wsp:val=&quot;00B44659&quot;/&gt;&lt;wsp:rsid wsp:val=&quot;00B461A1&quot;/&gt;&lt;wsp:rsid wsp:val=&quot;00B473A4&quot;/&gt;&lt;wsp:rsid wsp:val=&quot;00B4791B&quot;/&gt;&lt;wsp:rsid wsp:val=&quot;00B51E0F&quot;/&gt;&lt;wsp:rsid wsp:val=&quot;00B51F11&quot;/&gt;&lt;wsp:rsid wsp:val=&quot;00B61006&quot;/&gt;&lt;wsp:rsid wsp:val=&quot;00B63668&quot;/&gt;&lt;wsp:rsid wsp:val=&quot;00B6385D&quot;/&gt;&lt;wsp:rsid wsp:val=&quot;00B6465F&quot;/&gt;&lt;wsp:rsid wsp:val=&quot;00B67674&quot;/&gt;&lt;wsp:rsid wsp:val=&quot;00B67B6B&quot;/&gt;&lt;wsp:rsid wsp:val=&quot;00B67D6A&quot;/&gt;&lt;wsp:rsid wsp:val=&quot;00B70711&quot;/&gt;&lt;wsp:rsid wsp:val=&quot;00B726B1&quot;/&gt;&lt;wsp:rsid wsp:val=&quot;00B72E1B&quot;/&gt;&lt;wsp:rsid wsp:val=&quot;00B72ECA&quot;/&gt;&lt;wsp:rsid wsp:val=&quot;00B74B66&quot;/&gt;&lt;wsp:rsid wsp:val=&quot;00B75A08&quot;/&gt;&lt;wsp:rsid wsp:val=&quot;00B77846&quot;/&gt;&lt;wsp:rsid wsp:val=&quot;00B77E5A&quot;/&gt;&lt;wsp:rsid wsp:val=&quot;00B8075C&quot;/&gt;&lt;wsp:rsid wsp:val=&quot;00B8394B&quot;/&gt;&lt;wsp:rsid wsp:val=&quot;00B84909&quot;/&gt;&lt;wsp:rsid wsp:val=&quot;00B87D03&quot;/&gt;&lt;wsp:rsid wsp:val=&quot;00B90608&quot;/&gt;&lt;wsp:rsid wsp:val=&quot;00B910F4&quot;/&gt;&lt;wsp:rsid wsp:val=&quot;00B91854&quot;/&gt;&lt;wsp:rsid wsp:val=&quot;00B922B9&quot;/&gt;&lt;wsp:rsid wsp:val=&quot;00B9439D&quot;/&gt;&lt;wsp:rsid wsp:val=&quot;00B947CB&quot;/&gt;&lt;wsp:rsid wsp:val=&quot;00B94F70&quot;/&gt;&lt;wsp:rsid wsp:val=&quot;00B979BE&quot;/&gt;&lt;wsp:rsid wsp:val=&quot;00BA2FC3&quot;/&gt;&lt;wsp:rsid wsp:val=&quot;00BA4A74&quot;/&gt;&lt;wsp:rsid wsp:val=&quot;00BA74CB&quot;/&gt;&lt;wsp:rsid wsp:val=&quot;00BA7954&quot;/&gt;&lt;wsp:rsid wsp:val=&quot;00BB0081&quot;/&gt;&lt;wsp:rsid wsp:val=&quot;00BB08FE&quot;/&gt;&lt;wsp:rsid wsp:val=&quot;00BB0A4D&quot;/&gt;&lt;wsp:rsid wsp:val=&quot;00BB11FF&quot;/&gt;&lt;wsp:rsid wsp:val=&quot;00BB3970&quot;/&gt;&lt;wsp:rsid wsp:val=&quot;00BB3DE8&quot;/&gt;&lt;wsp:rsid wsp:val=&quot;00BB57C3&quot;/&gt;&lt;wsp:rsid wsp:val=&quot;00BB74E3&quot;/&gt;&lt;wsp:rsid wsp:val=&quot;00BC1809&quot;/&gt;&lt;wsp:rsid wsp:val=&quot;00BC43AD&quot;/&gt;&lt;wsp:rsid wsp:val=&quot;00BC7629&quot;/&gt;&lt;wsp:rsid wsp:val=&quot;00BD1103&quot;/&gt;&lt;wsp:rsid wsp:val=&quot;00BD2126&quot;/&gt;&lt;wsp:rsid wsp:val=&quot;00BD6274&quot;/&gt;&lt;wsp:rsid wsp:val=&quot;00BD6CED&quot;/&gt;&lt;wsp:rsid wsp:val=&quot;00BE0677&quot;/&gt;&lt;wsp:rsid wsp:val=&quot;00BE279C&quot;/&gt;&lt;wsp:rsid wsp:val=&quot;00BE2FDD&quot;/&gt;&lt;wsp:rsid wsp:val=&quot;00BE544C&quot;/&gt;&lt;wsp:rsid wsp:val=&quot;00BE65A9&quot;/&gt;&lt;wsp:rsid wsp:val=&quot;00BE6AAC&quot;/&gt;&lt;wsp:rsid wsp:val=&quot;00BE6DF8&quot;/&gt;&lt;wsp:rsid wsp:val=&quot;00BF0138&quot;/&gt;&lt;wsp:rsid wsp:val=&quot;00C00A54&quot;/&gt;&lt;wsp:rsid wsp:val=&quot;00C0174E&quot;/&gt;&lt;wsp:rsid wsp:val=&quot;00C02223&quot;/&gt;&lt;wsp:rsid wsp:val=&quot;00C023DA&quot;/&gt;&lt;wsp:rsid wsp:val=&quot;00C02D96&quot;/&gt;&lt;wsp:rsid wsp:val=&quot;00C04EBB&quot;/&gt;&lt;wsp:rsid wsp:val=&quot;00C052F1&quot;/&gt;&lt;wsp:rsid wsp:val=&quot;00C07FC4&quot;/&gt;&lt;wsp:rsid wsp:val=&quot;00C10D7F&quot;/&gt;&lt;wsp:rsid wsp:val=&quot;00C117E0&quot;/&gt;&lt;wsp:rsid wsp:val=&quot;00C127AD&quot;/&gt;&lt;wsp:rsid wsp:val=&quot;00C12C74&quot;/&gt;&lt;wsp:rsid wsp:val=&quot;00C13E9C&quot;/&gt;&lt;wsp:rsid wsp:val=&quot;00C13FDE&quot;/&gt;&lt;wsp:rsid wsp:val=&quot;00C15121&quot;/&gt;&lt;wsp:rsid wsp:val=&quot;00C16653&quot;/&gt;&lt;wsp:rsid wsp:val=&quot;00C17F1C&quot;/&gt;&lt;wsp:rsid wsp:val=&quot;00C20D76&quot;/&gt;&lt;wsp:rsid wsp:val=&quot;00C21C92&quot;/&gt;&lt;wsp:rsid wsp:val=&quot;00C2315A&quot;/&gt;&lt;wsp:rsid wsp:val=&quot;00C23530&quot;/&gt;&lt;wsp:rsid wsp:val=&quot;00C23A81&quot;/&gt;&lt;wsp:rsid wsp:val=&quot;00C26266&quot;/&gt;&lt;wsp:rsid wsp:val=&quot;00C274F5&quot;/&gt;&lt;wsp:rsid wsp:val=&quot;00C31FA3&quot;/&gt;&lt;wsp:rsid wsp:val=&quot;00C32ED7&quot;/&gt;&lt;wsp:rsid wsp:val=&quot;00C4165D&quot;/&gt;&lt;wsp:rsid wsp:val=&quot;00C41A40&quot;/&gt;&lt;wsp:rsid wsp:val=&quot;00C41DEF&quot;/&gt;&lt;wsp:rsid wsp:val=&quot;00C4395A&quot;/&gt;&lt;wsp:rsid wsp:val=&quot;00C4554E&quot;/&gt;&lt;wsp:rsid wsp:val=&quot;00C4557B&quot;/&gt;&lt;wsp:rsid wsp:val=&quot;00C47BD4&quot;/&gt;&lt;wsp:rsid wsp:val=&quot;00C50BFD&quot;/&gt;&lt;wsp:rsid wsp:val=&quot;00C50C83&quot;/&gt;&lt;wsp:rsid wsp:val=&quot;00C52DDA&quot;/&gt;&lt;wsp:rsid wsp:val=&quot;00C52EE1&quot;/&gt;&lt;wsp:rsid wsp:val=&quot;00C53B80&quot;/&gt;&lt;wsp:rsid wsp:val=&quot;00C55078&quot;/&gt;&lt;wsp:rsid wsp:val=&quot;00C61405&quot;/&gt;&lt;wsp:rsid wsp:val=&quot;00C63645&quot;/&gt;&lt;wsp:rsid wsp:val=&quot;00C66CAC&quot;/&gt;&lt;wsp:rsid wsp:val=&quot;00C678C2&quot;/&gt;&lt;wsp:rsid wsp:val=&quot;00C70549&quot;/&gt;&lt;wsp:rsid wsp:val=&quot;00C71E97&quot;/&gt;&lt;wsp:rsid wsp:val=&quot;00C71ECF&quot;/&gt;&lt;wsp:rsid wsp:val=&quot;00C71F5E&quot;/&gt;&lt;wsp:rsid wsp:val=&quot;00C738C2&quot;/&gt;&lt;wsp:rsid wsp:val=&quot;00C768AF&quot;/&gt;&lt;wsp:rsid wsp:val=&quot;00C774F5&quot;/&gt;&lt;wsp:rsid wsp:val=&quot;00C7785C&quot;/&gt;&lt;wsp:rsid wsp:val=&quot;00C801FF&quot;/&gt;&lt;wsp:rsid wsp:val=&quot;00C87004&quot;/&gt;&lt;wsp:rsid wsp:val=&quot;00C9121B&quot;/&gt;&lt;wsp:rsid wsp:val=&quot;00C92893&quot;/&gt;&lt;wsp:rsid wsp:val=&quot;00C92A68&quot;/&gt;&lt;wsp:rsid wsp:val=&quot;00C9310C&quot;/&gt;&lt;wsp:rsid wsp:val=&quot;00C939B7&quot;/&gt;&lt;wsp:rsid wsp:val=&quot;00C9528C&quot;/&gt;&lt;wsp:rsid wsp:val=&quot;00CA0E18&quot;/&gt;&lt;wsp:rsid wsp:val=&quot;00CA2933&quot;/&gt;&lt;wsp:rsid wsp:val=&quot;00CA398B&quot;/&gt;&lt;wsp:rsid wsp:val=&quot;00CA50D6&quot;/&gt;&lt;wsp:rsid wsp:val=&quot;00CA6775&quot;/&gt;&lt;wsp:rsid wsp:val=&quot;00CA6965&quot;/&gt;&lt;wsp:rsid wsp:val=&quot;00CB1E06&quot;/&gt;&lt;wsp:rsid wsp:val=&quot;00CB258F&quot;/&gt;&lt;wsp:rsid wsp:val=&quot;00CB3F5A&quot;/&gt;&lt;wsp:rsid wsp:val=&quot;00CB5555&quot;/&gt;&lt;wsp:rsid wsp:val=&quot;00CB69E4&quot;/&gt;&lt;wsp:rsid wsp:val=&quot;00CC269B&quot;/&gt;&lt;wsp:rsid wsp:val=&quot;00CC44E6&quot;/&gt;&lt;wsp:rsid wsp:val=&quot;00CC61C8&quot;/&gt;&lt;wsp:rsid wsp:val=&quot;00CC6386&quot;/&gt;&lt;wsp:rsid wsp:val=&quot;00CC735D&quot;/&gt;&lt;wsp:rsid wsp:val=&quot;00CD27E4&quot;/&gt;&lt;wsp:rsid wsp:val=&quot;00CD2A47&quot;/&gt;&lt;wsp:rsid wsp:val=&quot;00CD45B0&quot;/&gt;&lt;wsp:rsid wsp:val=&quot;00CD6E8E&quot;/&gt;&lt;wsp:rsid wsp:val=&quot;00CE0F16&quot;/&gt;&lt;wsp:rsid wsp:val=&quot;00CE152A&quot;/&gt;&lt;wsp:rsid wsp:val=&quot;00CE22E1&quot;/&gt;&lt;wsp:rsid wsp:val=&quot;00CE2BB8&quot;/&gt;&lt;wsp:rsid wsp:val=&quot;00CE3077&quot;/&gt;&lt;wsp:rsid wsp:val=&quot;00CE3CBB&quot;/&gt;&lt;wsp:rsid wsp:val=&quot;00CE4C97&quot;/&gt;&lt;wsp:rsid wsp:val=&quot;00CE56BD&quot;/&gt;&lt;wsp:rsid wsp:val=&quot;00CE58DF&quot;/&gt;&lt;wsp:rsid wsp:val=&quot;00CE743B&quot;/&gt;&lt;wsp:rsid wsp:val=&quot;00CF067D&quot;/&gt;&lt;wsp:rsid wsp:val=&quot;00CF22EF&quot;/&gt;&lt;wsp:rsid wsp:val=&quot;00CF24C5&quot;/&gt;&lt;wsp:rsid wsp:val=&quot;00CF2711&quot;/&gt;&lt;wsp:rsid wsp:val=&quot;00CF2E97&quot;/&gt;&lt;wsp:rsid wsp:val=&quot;00CF735A&quot;/&gt;&lt;wsp:rsid wsp:val=&quot;00CF7E56&quot;/&gt;&lt;wsp:rsid wsp:val=&quot;00D004F8&quot;/&gt;&lt;wsp:rsid wsp:val=&quot;00D00824&quot;/&gt;&lt;wsp:rsid wsp:val=&quot;00D01AA4&quot;/&gt;&lt;wsp:rsid wsp:val=&quot;00D01D07&quot;/&gt;&lt;wsp:rsid wsp:val=&quot;00D029B7&quot;/&gt;&lt;wsp:rsid wsp:val=&quot;00D056CC&quot;/&gt;&lt;wsp:rsid wsp:val=&quot;00D067AB&quot;/&gt;&lt;wsp:rsid wsp:val=&quot;00D13586&quot;/&gt;&lt;wsp:rsid wsp:val=&quot;00D14B67&quot;/&gt;&lt;wsp:rsid wsp:val=&quot;00D15F23&quot;/&gt;&lt;wsp:rsid wsp:val=&quot;00D202DB&quot;/&gt;&lt;wsp:rsid wsp:val=&quot;00D219E5&quot;/&gt;&lt;wsp:rsid wsp:val=&quot;00D21B3B&quot;/&gt;&lt;wsp:rsid wsp:val=&quot;00D221DF&quot;/&gt;&lt;wsp:rsid wsp:val=&quot;00D2341B&quot;/&gt;&lt;wsp:rsid wsp:val=&quot;00D238D6&quot;/&gt;&lt;wsp:rsid wsp:val=&quot;00D25071&quot;/&gt;&lt;wsp:rsid wsp:val=&quot;00D255B3&quot;/&gt;&lt;wsp:rsid wsp:val=&quot;00D26A52&quot;/&gt;&lt;wsp:rsid wsp:val=&quot;00D27EF7&quot;/&gt;&lt;wsp:rsid wsp:val=&quot;00D30B0F&quot;/&gt;&lt;wsp:rsid wsp:val=&quot;00D30C17&quot;/&gt;&lt;wsp:rsid wsp:val=&quot;00D3477B&quot;/&gt;&lt;wsp:rsid wsp:val=&quot;00D361BB&quot;/&gt;&lt;wsp:rsid wsp:val=&quot;00D378C4&quot;/&gt;&lt;wsp:rsid wsp:val=&quot;00D37FEA&quot;/&gt;&lt;wsp:rsid wsp:val=&quot;00D40492&quot;/&gt;&lt;wsp:rsid wsp:val=&quot;00D41678&quot;/&gt;&lt;wsp:rsid wsp:val=&quot;00D435A2&quot;/&gt;&lt;wsp:rsid wsp:val=&quot;00D44408&quot;/&gt;&lt;wsp:rsid wsp:val=&quot;00D47B28&quot;/&gt;&lt;wsp:rsid wsp:val=&quot;00D52902&quot;/&gt;&lt;wsp:rsid wsp:val=&quot;00D52A4B&quot;/&gt;&lt;wsp:rsid wsp:val=&quot;00D52F04&quot;/&gt;&lt;wsp:rsid wsp:val=&quot;00D53B6D&quot;/&gt;&lt;wsp:rsid wsp:val=&quot;00D53E7C&quot;/&gt;&lt;wsp:rsid wsp:val=&quot;00D568E2&quot;/&gt;&lt;wsp:rsid wsp:val=&quot;00D56A12&quot;/&gt;&lt;wsp:rsid wsp:val=&quot;00D56D81&quot;/&gt;&lt;wsp:rsid wsp:val=&quot;00D6013E&quot;/&gt;&lt;wsp:rsid wsp:val=&quot;00D624C9&quot;/&gt;&lt;wsp:rsid wsp:val=&quot;00D62521&quot;/&gt;&lt;wsp:rsid wsp:val=&quot;00D6299F&quot;/&gt;&lt;wsp:rsid wsp:val=&quot;00D63AE5&quot;/&gt;&lt;wsp:rsid wsp:val=&quot;00D6534C&quot;/&gt;&lt;wsp:rsid wsp:val=&quot;00D65910&quot;/&gt;&lt;wsp:rsid wsp:val=&quot;00D708BD&quot;/&gt;&lt;wsp:rsid wsp:val=&quot;00D7163C&quot;/&gt;&lt;wsp:rsid wsp:val=&quot;00D72AE5&quot;/&gt;&lt;wsp:rsid wsp:val=&quot;00D732AA&quot;/&gt;&lt;wsp:rsid wsp:val=&quot;00D73961&quot;/&gt;&lt;wsp:rsid wsp:val=&quot;00D740FD&quot;/&gt;&lt;wsp:rsid wsp:val=&quot;00D82580&quot;/&gt;&lt;wsp:rsid wsp:val=&quot;00D8260B&quot;/&gt;&lt;wsp:rsid wsp:val=&quot;00D82B02&quot;/&gt;&lt;wsp:rsid wsp:val=&quot;00D82D3D&quot;/&gt;&lt;wsp:rsid wsp:val=&quot;00D83023&quot;/&gt;&lt;wsp:rsid wsp:val=&quot;00D83B92&quot;/&gt;&lt;wsp:rsid wsp:val=&quot;00D8497D&quot;/&gt;&lt;wsp:rsid wsp:val=&quot;00D85561&quot;/&gt;&lt;wsp:rsid wsp:val=&quot;00D87110&quot;/&gt;&lt;wsp:rsid wsp:val=&quot;00D8753C&quot;/&gt;&lt;wsp:rsid wsp:val=&quot;00D90248&quot;/&gt;&lt;wsp:rsid wsp:val=&quot;00D920DE&quot;/&gt;&lt;wsp:rsid wsp:val=&quot;00D92C38&quot;/&gt;&lt;wsp:rsid wsp:val=&quot;00D92D95&quot;/&gt;&lt;wsp:rsid wsp:val=&quot;00D93061&quot;/&gt;&lt;wsp:rsid wsp:val=&quot;00D93B3F&quot;/&gt;&lt;wsp:rsid wsp:val=&quot;00D952CF&quot;/&gt;&lt;wsp:rsid wsp:val=&quot;00DA5E81&quot;/&gt;&lt;wsp:rsid wsp:val=&quot;00DA6410&quot;/&gt;&lt;wsp:rsid wsp:val=&quot;00DB1D9D&quot;/&gt;&lt;wsp:rsid wsp:val=&quot;00DB2258&quot;/&gt;&lt;wsp:rsid wsp:val=&quot;00DB2400&quot;/&gt;&lt;wsp:rsid wsp:val=&quot;00DB4073&quot;/&gt;&lt;wsp:rsid wsp:val=&quot;00DB4133&quot;/&gt;&lt;wsp:rsid wsp:val=&quot;00DB57BD&quot;/&gt;&lt;wsp:rsid wsp:val=&quot;00DB66DA&quot;/&gt;&lt;wsp:rsid wsp:val=&quot;00DB728C&quot;/&gt;&lt;wsp:rsid wsp:val=&quot;00DC37C4&quot;/&gt;&lt;wsp:rsid wsp:val=&quot;00DC6973&quot;/&gt;&lt;wsp:rsid wsp:val=&quot;00DD0F4D&quot;/&gt;&lt;wsp:rsid wsp:val=&quot;00DD10A3&quot;/&gt;&lt;wsp:rsid wsp:val=&quot;00DD5040&quot;/&gt;&lt;wsp:rsid wsp:val=&quot;00DD5119&quot;/&gt;&lt;wsp:rsid wsp:val=&quot;00DD631D&quot;/&gt;&lt;wsp:rsid wsp:val=&quot;00DD7804&quot;/&gt;&lt;wsp:rsid wsp:val=&quot;00DE1D5F&quot;/&gt;&lt;wsp:rsid wsp:val=&quot;00DE5009&quot;/&gt;&lt;wsp:rsid wsp:val=&quot;00DE6F41&quot;/&gt;&lt;wsp:rsid wsp:val=&quot;00DF05ED&quot;/&gt;&lt;wsp:rsid wsp:val=&quot;00DF41EE&quot;/&gt;&lt;wsp:rsid wsp:val=&quot;00DF4FAD&quot;/&gt;&lt;wsp:rsid wsp:val=&quot;00DF56C0&quot;/&gt;&lt;wsp:rsid wsp:val=&quot;00DF741A&quot;/&gt;&lt;wsp:rsid wsp:val=&quot;00E03058&quot;/&gt;&lt;wsp:rsid wsp:val=&quot;00E05FA2&quot;/&gt;&lt;wsp:rsid wsp:val=&quot;00E06F5D&quot;/&gt;&lt;wsp:rsid wsp:val=&quot;00E12B59&quot;/&gt;&lt;wsp:rsid wsp:val=&quot;00E13010&quot;/&gt;&lt;wsp:rsid wsp:val=&quot;00E13BAB&quot;/&gt;&lt;wsp:rsid wsp:val=&quot;00E16780&quot;/&gt;&lt;wsp:rsid wsp:val=&quot;00E21568&quot;/&gt;&lt;wsp:rsid wsp:val=&quot;00E23772&quot;/&gt;&lt;wsp:rsid wsp:val=&quot;00E2472B&quot;/&gt;&lt;wsp:rsid wsp:val=&quot;00E24E08&quot;/&gt;&lt;wsp:rsid wsp:val=&quot;00E250F9&quot;/&gt;&lt;wsp:rsid wsp:val=&quot;00E25977&quot;/&gt;&lt;wsp:rsid wsp:val=&quot;00E30ABF&quot;/&gt;&lt;wsp:rsid wsp:val=&quot;00E313D6&quot;/&gt;&lt;wsp:rsid wsp:val=&quot;00E32080&quot;/&gt;&lt;wsp:rsid wsp:val=&quot;00E32C7B&quot;/&gt;&lt;wsp:rsid wsp:val=&quot;00E338DC&quot;/&gt;&lt;wsp:rsid wsp:val=&quot;00E35501&quot;/&gt;&lt;wsp:rsid wsp:val=&quot;00E36E13&quot;/&gt;&lt;wsp:rsid wsp:val=&quot;00E404D1&quot;/&gt;&lt;wsp:rsid wsp:val=&quot;00E414F9&quot;/&gt;&lt;wsp:rsid wsp:val=&quot;00E432F2&quot;/&gt;&lt;wsp:rsid wsp:val=&quot;00E4523A&quot;/&gt;&lt;wsp:rsid wsp:val=&quot;00E503C1&quot;/&gt;&lt;wsp:rsid wsp:val=&quot;00E50826&quot;/&gt;&lt;wsp:rsid wsp:val=&quot;00E561D9&quot;/&gt;&lt;wsp:rsid wsp:val=&quot;00E57365&quot;/&gt;&lt;wsp:rsid wsp:val=&quot;00E603D9&quot;/&gt;&lt;wsp:rsid wsp:val=&quot;00E60725&quot;/&gt;&lt;wsp:rsid wsp:val=&quot;00E61696&quot;/&gt;&lt;wsp:rsid wsp:val=&quot;00E64906&quot;/&gt;&lt;wsp:rsid wsp:val=&quot;00E67394&quot;/&gt;&lt;wsp:rsid wsp:val=&quot;00E70766&quot;/&gt;&lt;wsp:rsid wsp:val=&quot;00E71B03&quot;/&gt;&lt;wsp:rsid wsp:val=&quot;00E816D6&quot;/&gt;&lt;wsp:rsid wsp:val=&quot;00E85841&quot;/&gt;&lt;wsp:rsid wsp:val=&quot;00E86A3A&quot;/&gt;&lt;wsp:rsid wsp:val=&quot;00E926EE&quot;/&gt;&lt;wsp:rsid wsp:val=&quot;00E93DE7&quot;/&gt;&lt;wsp:rsid wsp:val=&quot;00E9617A&quot;/&gt;&lt;wsp:rsid wsp:val=&quot;00E96DB4&quot;/&gt;&lt;wsp:rsid wsp:val=&quot;00EA0448&quot;/&gt;&lt;wsp:rsid wsp:val=&quot;00EA1722&quot;/&gt;&lt;wsp:rsid wsp:val=&quot;00EA393B&quot;/&gt;&lt;wsp:rsid wsp:val=&quot;00EA59C4&quot;/&gt;&lt;wsp:rsid wsp:val=&quot;00EB4973&quot;/&gt;&lt;wsp:rsid wsp:val=&quot;00EC29A1&quot;/&gt;&lt;wsp:rsid wsp:val=&quot;00EC6E91&quot;/&gt;&lt;wsp:rsid wsp:val=&quot;00EC7B37&quot;/&gt;&lt;wsp:rsid wsp:val=&quot;00ED0F13&quot;/&gt;&lt;wsp:rsid wsp:val=&quot;00ED190B&quot;/&gt;&lt;wsp:rsid wsp:val=&quot;00ED2165&quot;/&gt;&lt;wsp:rsid wsp:val=&quot;00ED22C2&quot;/&gt;&lt;wsp:rsid wsp:val=&quot;00ED3E0E&quot;/&gt;&lt;wsp:rsid wsp:val=&quot;00ED55C1&quot;/&gt;&lt;wsp:rsid wsp:val=&quot;00ED6347&quot;/&gt;&lt;wsp:rsid wsp:val=&quot;00ED7CEC&quot;/&gt;&lt;wsp:rsid wsp:val=&quot;00EE50A7&quot;/&gt;&lt;wsp:rsid wsp:val=&quot;00EE6711&quot;/&gt;&lt;wsp:rsid wsp:val=&quot;00EE6B17&quot;/&gt;&lt;wsp:rsid wsp:val=&quot;00EE6BFE&quot;/&gt;&lt;wsp:rsid wsp:val=&quot;00EE6DE1&quot;/&gt;&lt;wsp:rsid wsp:val=&quot;00EE77FB&quot;/&gt;&lt;wsp:rsid wsp:val=&quot;00EE7DFD&quot;/&gt;&lt;wsp:rsid wsp:val=&quot;00EF2532&quot;/&gt;&lt;wsp:rsid wsp:val=&quot;00EF3A85&quot;/&gt;&lt;wsp:rsid wsp:val=&quot;00EF4291&quot;/&gt;&lt;wsp:rsid wsp:val=&quot;00EF471A&quot;/&gt;&lt;wsp:rsid wsp:val=&quot;00EF4FCC&quot;/&gt;&lt;wsp:rsid wsp:val=&quot;00EF5A2D&quot;/&gt;&lt;wsp:rsid wsp:val=&quot;00EF6A0C&quot;/&gt;&lt;wsp:rsid wsp:val=&quot;00EF74E2&quot;/&gt;&lt;wsp:rsid wsp:val=&quot;00EF78E3&quot;/&gt;&lt;wsp:rsid wsp:val=&quot;00F042A9&quot;/&gt;&lt;wsp:rsid wsp:val=&quot;00F06327&quot;/&gt;&lt;wsp:rsid wsp:val=&quot;00F065A0&quot;/&gt;&lt;wsp:rsid wsp:val=&quot;00F06E9E&quot;/&gt;&lt;wsp:rsid wsp:val=&quot;00F079D4&quot;/&gt;&lt;wsp:rsid wsp:val=&quot;00F10148&quot;/&gt;&lt;wsp:rsid wsp:val=&quot;00F130EE&quot;/&gt;&lt;wsp:rsid wsp:val=&quot;00F13A80&quot;/&gt;&lt;wsp:rsid wsp:val=&quot;00F147E8&quot;/&gt;&lt;wsp:rsid wsp:val=&quot;00F152BB&quot;/&gt;&lt;wsp:rsid wsp:val=&quot;00F15337&quot;/&gt;&lt;wsp:rsid wsp:val=&quot;00F16321&quot;/&gt;&lt;wsp:rsid wsp:val=&quot;00F16D6D&quot;/&gt;&lt;wsp:rsid wsp:val=&quot;00F175FA&quot;/&gt;&lt;wsp:rsid wsp:val=&quot;00F21311&quot;/&gt;&lt;wsp:rsid wsp:val=&quot;00F22D5F&quot;/&gt;&lt;wsp:rsid wsp:val=&quot;00F2351D&quot;/&gt;&lt;wsp:rsid wsp:val=&quot;00F25513&quot;/&gt;&lt;wsp:rsid wsp:val=&quot;00F30BCF&quot;/&gt;&lt;wsp:rsid wsp:val=&quot;00F30F64&quot;/&gt;&lt;wsp:rsid wsp:val=&quot;00F34800&quot;/&gt;&lt;wsp:rsid wsp:val=&quot;00F3796F&quot;/&gt;&lt;wsp:rsid wsp:val=&quot;00F37D6F&quot;/&gt;&lt;wsp:rsid wsp:val=&quot;00F434CE&quot;/&gt;&lt;wsp:rsid wsp:val=&quot;00F43900&quot;/&gt;&lt;wsp:rsid wsp:val=&quot;00F440F7&quot;/&gt;&lt;wsp:rsid wsp:val=&quot;00F45D84&quot;/&gt;&lt;wsp:rsid wsp:val=&quot;00F45FED&quot;/&gt;&lt;wsp:rsid wsp:val=&quot;00F47EF1&quot;/&gt;&lt;wsp:rsid wsp:val=&quot;00F577DE&quot;/&gt;&lt;wsp:rsid wsp:val=&quot;00F621D4&quot;/&gt;&lt;wsp:rsid wsp:val=&quot;00F6245D&quot;/&gt;&lt;wsp:rsid wsp:val=&quot;00F62EFE&quot;/&gt;&lt;wsp:rsid wsp:val=&quot;00F63526&quot;/&gt;&lt;wsp:rsid wsp:val=&quot;00F65D5E&quot;/&gt;&lt;wsp:rsid wsp:val=&quot;00F65EE9&quot;/&gt;&lt;wsp:rsid wsp:val=&quot;00F66494&quot;/&gt;&lt;wsp:rsid wsp:val=&quot;00F72A9D&quot;/&gt;&lt;wsp:rsid wsp:val=&quot;00F7507A&quot;/&gt;&lt;wsp:rsid wsp:val=&quot;00F75608&quot;/&gt;&lt;wsp:rsid wsp:val=&quot;00F76E23&quot;/&gt;&lt;wsp:rsid wsp:val=&quot;00F77C60&quot;/&gt;&lt;wsp:rsid wsp:val=&quot;00F80E99&quot;/&gt;&lt;wsp:rsid wsp:val=&quot;00F81EE3&quot;/&gt;&lt;wsp:rsid wsp:val=&quot;00F8526E&quot;/&gt;&lt;wsp:rsid wsp:val=&quot;00F90A75&quot;/&gt;&lt;wsp:rsid wsp:val=&quot;00F94D20&quot;/&gt;&lt;wsp:rsid wsp:val=&quot;00F94E43&quot;/&gt;&lt;wsp:rsid wsp:val=&quot;00F96F4D&quot;/&gt;&lt;wsp:rsid wsp:val=&quot;00F97953&quot;/&gt;&lt;wsp:rsid wsp:val=&quot;00FA1195&quot;/&gt;&lt;wsp:rsid wsp:val=&quot;00FA4406&quot;/&gt;&lt;wsp:rsid wsp:val=&quot;00FA46CE&quot;/&gt;&lt;wsp:rsid wsp:val=&quot;00FA62CB&quot;/&gt;&lt;wsp:rsid wsp:val=&quot;00FA6C8B&quot;/&gt;&lt;wsp:rsid wsp:val=&quot;00FB04AE&quot;/&gt;&lt;wsp:rsid wsp:val=&quot;00FB110B&quot;/&gt;&lt;wsp:rsid wsp:val=&quot;00FB343F&quot;/&gt;&lt;wsp:rsid wsp:val=&quot;00FB4601&quot;/&gt;&lt;wsp:rsid wsp:val=&quot;00FB480A&quot;/&gt;&lt;wsp:rsid wsp:val=&quot;00FB732F&quot;/&gt;&lt;wsp:rsid wsp:val=&quot;00FB7AFA&quot;/&gt;&lt;wsp:rsid wsp:val=&quot;00FC19EE&quot;/&gt;&lt;wsp:rsid wsp:val=&quot;00FC27F9&quot;/&gt;&lt;wsp:rsid wsp:val=&quot;00FC3FDD&quot;/&gt;&lt;wsp:rsid wsp:val=&quot;00FC4488&quot;/&gt;&lt;wsp:rsid wsp:val=&quot;00FC5A21&quot;/&gt;&lt;wsp:rsid wsp:val=&quot;00FC7490&quot;/&gt;&lt;wsp:rsid wsp:val=&quot;00FD2C65&quot;/&gt;&lt;wsp:rsid wsp:val=&quot;00FD5C66&quot;/&gt;&lt;wsp:rsid wsp:val=&quot;00FD76AA&quot;/&gt;&lt;wsp:rsid wsp:val=&quot;00FE0025&quot;/&gt;&lt;wsp:rsid wsp:val=&quot;00FE20E9&quot;/&gt;&lt;wsp:rsid wsp:val=&quot;00FE32FD&quot;/&gt;&lt;wsp:rsid wsp:val=&quot;00FE51DF&quot;/&gt;&lt;wsp:rsid wsp:val=&quot;00FE6CB7&quot;/&gt;&lt;wsp:rsid wsp:val=&quot;00FF02A0&quot;/&gt;&lt;wsp:rsid wsp:val=&quot;00FF141A&quot;/&gt;&lt;wsp:rsid wsp:val=&quot;00FF332A&quot;/&gt;&lt;wsp:rsid wsp:val=&quot;00FF5813&quot;/&gt;&lt;wsp:rsid wsp:val=&quot;01F14874&quot;/&gt;&lt;wsp:rsid wsp:val=&quot;078609C8&quot;/&gt;&lt;wsp:rsid wsp:val=&quot;0EF62B37&quot;/&gt;&lt;wsp:rsid wsp:val=&quot;1DA75434&quot;/&gt;&lt;wsp:rsid wsp:val=&quot;25347170&quot;/&gt;&lt;wsp:rsid wsp:val=&quot;37456815&quot;/&gt;&lt;wsp:rsid wsp:val=&quot;41813EF7&quot;/&gt;&lt;wsp:rsid wsp:val=&quot;4EB945A5&quot;/&gt;&lt;wsp:rsid wsp:val=&quot;51432148&quot;/&gt;&lt;wsp:rsid wsp:val=&quot;591830D9&quot;/&gt;&lt;wsp:rsid wsp:val=&quot;72802162&quot;/&gt;&lt;wsp:rsid wsp:val=&quot;7673353C&quot;/&gt;&lt;wsp:rsid wsp:val=&quot;78CE5EA3&quot;/&gt;&lt;wsp:rsid wsp:val=&quot;79951FA3&quot;/&gt;&lt;wsp:rsid wsp:val=&quot;7DDB29FE&quot;/&gt;&lt;/wsp:rsids&gt;&lt;/w:docPr&gt;&lt;w:body&gt;&lt;wx:sect&gt;&lt;w:p wsp:rsidR=&quot;00000000&quot; wsp:rsidRDefault=&quot;00A17190&quot; wsp:rsidP=&quot;00A17190&quot;&gt;&lt;m:oMathPara&gt;&lt;m:oMath&gt;&lt;m:sSub&gt;&lt;m:sSubPr&gt;&lt;m:ctrlPr&gt;&lt;aml:annotation aml:id=&quot;0&quot; w:type=&quot;Word.Insertion&quot; aml:author=&quot;涓? 绁ア aml:createdate=&quot;2020-08-31T14:59:00Z&quot;&gt;&lt;aml:content&gt;&lt;w:rPr&gt;&lt;w:rFonts w:ascii=&quot;Cambria Math&quot; w:h-ansi=&quot;Cambria Math&quot;/&gt;&lt;wx:font wx:val=&quot;Cambria Math&quot;/&gt;&lt;w:color w&lt;m:&lt;m:&lt;m:&lt;m:&lt;m:&lt;m:&lt;m:&lt;m:&lt;m:&lt;m:&lt;m:&lt;m:&lt;m:&lt;m:&lt;m:&lt;m:&lt;m:&lt;m::valSub=&quot;b&gt;&lt;00&lt;m:0000&quot;/&gt;&lt;w:sz-cs w:val=&quot;21&quot;/&gt;&lt;w:vertAlign w:val=&quot;subscript&quot;/&gt;&lt;/w:rPr&gt;&lt;/aml:content&gt;&lt;/aml:annotation&gt;&lt;/m:ctrlPr&gt;&lt;/m:sSubPr&gt;&lt;m:e&gt;&lt;m:r&gt;&lt;aml:annotation aml:id=&quot;1&quot; w:type=&quot;Word.Insertion&quot; aml:author=&quot;涓:? ?:ゥ?m: am&lt;m:l:c&lt;m:rea&lt;m:ted&lt;m:ate&lt;m:=&quot;2&lt;m:020&lt;m:-08&lt;m:-31&lt;m:T14&lt;m::59&lt;m::00&lt;m:Z&quot;&gt;&lt;amlSub:contb&gt;&lt;ent&gt;&lt;&lt;m:w:rPr&gt;&lt;w:rFonts w:ascii=&quot;Cambria Math&quot; w:h-ansi=&quot;Cambria Math&quot; w:hint=&quot;fareast&quot;/&gt;&lt;wx:font wx:val=&quot;Cambria Math&quot;/&gt;&lt;w:i/&gt;&lt;w:color w:val=&quot;000:a000th&quot;/&gt;r=&lt;w:s:z-c?:s w:val=&quot;21&quot;/&gt;&lt;w:vertAlign w:val=&quot;subscript&quot;/&gt;&lt;/w:rPr&gt;&lt;m:t&gt;G&lt;/m:t&gt;&lt;/aml:content&gt;&lt;/aml:annotation&gt;&lt;/m:r&gt;&lt;/m:e&gt;&lt;m:sub&gt;&lt;m:r&gt;&lt;aml:annotation aml:id=&quot;2&quot; w:type=&quot;Word.Insertion&quot; aml:author=&quot;涓? 绁ア aml:createdate=&quot;2020-08-31T14:59:00Z&quot;&gt;&lt;aml0:a:cont0thent&gt;&lt;&gt;r=w:rPr:s:&gt;&lt;w:rc?:Fonts :vaw:asci21&quot;i=&quot;Camw:vbria MAliath&quot; ww:v:h-ans&quot;sui=&quot;Camripbria M&gt;&lt;/ath&quot; wPr&gt;:hint=t&gt;G&quot;farea:t&gt;st&quot;/&gt;&lt;ml:wx:fontent wx:val=&quot;:anCambria ionMath&quot;/&gt;&lt;r&gt;&lt;w:i/&gt;&lt;w:color w:val=&quot;000000&quot;/&gt;&lt;w:sz-cs w:val=&quot;21&quot;/&gt;&lt;w:vertAlign w:val=&quot;subscript&quot;/&gt;&lt;/w:rPr&gt;&lt;m:t&gt;j&lt;/m:t&gt;&lt;/aml:content&gt;&lt;/aml:annotation&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Times New Roman"/>
          <w:color w:val="000000"/>
          <w:szCs w:val="21"/>
        </w:rPr>
        <w:instrText xml:space="preserve"> </w:instrText>
      </w:r>
      <w:r>
        <w:rPr>
          <w:rFonts w:ascii="Times New Roman"/>
          <w:color w:val="000000"/>
          <w:szCs w:val="21"/>
        </w:rPr>
        <w:fldChar w:fldCharType="end"/>
      </w:r>
      <w:r>
        <w:rPr>
          <w:rFonts w:ascii="Times New Roman"/>
          <w:color w:val="000000"/>
          <w:szCs w:val="21"/>
        </w:rPr>
        <w:t>——</w:t>
      </w:r>
      <w:r>
        <w:rPr>
          <w:rFonts w:ascii="Times New Roman" w:eastAsia="宋体e眠副浡渀."/>
          <w:szCs w:val="21"/>
        </w:rPr>
        <w:t>统计期内，</w:t>
      </w:r>
      <w:r>
        <w:rPr>
          <w:rFonts w:hint="eastAsia" w:ascii="Times New Roman" w:hAnsi="Calibri" w:eastAsia="宋体e眠副浡渀." w:cs="Times New Roman"/>
          <w:kern w:val="2"/>
          <w:sz w:val="21"/>
          <w:szCs w:val="21"/>
          <w:lang w:val="en-US" w:eastAsia="zh-CN" w:bidi="ar"/>
        </w:rPr>
        <w:t>工业固体废物综合回收利用量</w:t>
      </w:r>
      <w:r>
        <w:rPr>
          <w:rFonts w:ascii="Times New Roman"/>
          <w:color w:val="000000"/>
          <w:szCs w:val="21"/>
        </w:rPr>
        <w:t>，</w:t>
      </w:r>
      <w:r>
        <w:rPr>
          <w:rFonts w:ascii="Times New Roman"/>
          <w:szCs w:val="21"/>
        </w:rPr>
        <w:t>单位为吨（</w:t>
      </w:r>
      <w:r>
        <w:rPr>
          <w:rFonts w:ascii="Times New Roman" w:eastAsia="宋体e眠副浡渀."/>
          <w:szCs w:val="21"/>
        </w:rPr>
        <w:t>t）</w:t>
      </w:r>
      <w:r>
        <w:rPr>
          <w:rFonts w:hint="eastAsia" w:ascii="黑体" w:hAnsi="黑体" w:eastAsia="宋体e眠副浡渀." w:cs="宋体e眠副浡渀."/>
          <w:szCs w:val="21"/>
        </w:rPr>
        <w:t>。</w:t>
      </w:r>
    </w:p>
    <w:p>
      <w:pPr>
        <w:spacing w:before="120" w:beforeLines="50" w:after="120" w:afterLines="50"/>
        <w:jc w:val="left"/>
        <w:rPr>
          <w:rFonts w:ascii="黑体" w:hAnsi="黑体" w:eastAsia="黑体"/>
          <w:bCs/>
          <w:kern w:val="0"/>
          <w:szCs w:val="21"/>
        </w:rPr>
      </w:pPr>
    </w:p>
    <w:p>
      <w:pPr>
        <w:spacing w:before="120" w:beforeLines="50" w:after="120" w:afterLines="50"/>
        <w:jc w:val="left"/>
        <w:rPr>
          <w:rFonts w:ascii="黑体" w:hAnsi="黑体" w:eastAsia="黑体"/>
          <w:bCs/>
          <w:kern w:val="0"/>
          <w:szCs w:val="21"/>
        </w:rPr>
      </w:pPr>
      <w:r>
        <w:rPr>
          <w:rFonts w:ascii="黑体" w:hAnsi="黑体" w:eastAsia="黑体"/>
          <w:bCs/>
          <w:kern w:val="0"/>
          <w:szCs w:val="21"/>
        </w:rPr>
        <w:t xml:space="preserve">A.1.5  </w:t>
      </w:r>
      <w:r>
        <w:rPr>
          <w:rFonts w:hint="eastAsia" w:ascii="黑体" w:hAnsi="黑体" w:eastAsia="黑体"/>
          <w:bCs/>
          <w:kern w:val="0"/>
          <w:szCs w:val="21"/>
        </w:rPr>
        <w:t>工序污染物排放</w:t>
      </w:r>
    </w:p>
    <w:p>
      <w:pPr>
        <w:ind w:firstLine="420"/>
        <w:rPr>
          <w:rFonts w:ascii="黑体" w:hAnsi="黑体"/>
          <w:szCs w:val="21"/>
        </w:rPr>
      </w:pPr>
      <w:r>
        <w:rPr>
          <w:rFonts w:ascii="黑体" w:hAnsi="黑体"/>
          <w:szCs w:val="21"/>
        </w:rPr>
        <w:t>生产序列内各工序的污染物排放</w:t>
      </w:r>
      <w:r>
        <w:rPr>
          <w:rFonts w:hint="eastAsia" w:ascii="黑体" w:hAnsi="黑体"/>
          <w:szCs w:val="21"/>
        </w:rPr>
        <w:t>包括废水、废气、一般工业固体废物及危险废物等</w:t>
      </w:r>
      <w:r>
        <w:rPr>
          <w:rFonts w:ascii="黑体" w:hAnsi="黑体"/>
          <w:szCs w:val="21"/>
        </w:rPr>
        <w:t>，提供在线监测数据或</w:t>
      </w:r>
      <w:r>
        <w:rPr>
          <w:rFonts w:hint="eastAsia" w:ascii="黑体" w:hAnsi="黑体"/>
          <w:szCs w:val="21"/>
        </w:rPr>
        <w:t>第三方</w:t>
      </w:r>
      <w:r>
        <w:rPr>
          <w:rFonts w:ascii="黑体" w:hAnsi="黑体"/>
          <w:szCs w:val="21"/>
        </w:rPr>
        <w:t>监测报告。</w:t>
      </w:r>
    </w:p>
    <w:p>
      <w:pPr>
        <w:widowControl/>
        <w:spacing w:line="360" w:lineRule="auto"/>
        <w:jc w:val="center"/>
        <w:outlineLvl w:val="0"/>
        <w:rPr>
          <w:rFonts w:ascii="黑体" w:hAnsi="黑体" w:eastAsia="黑体"/>
          <w:color w:val="000000"/>
          <w:szCs w:val="21"/>
        </w:rPr>
      </w:pPr>
      <w:r>
        <w:rPr>
          <w:rFonts w:ascii="黑体" w:hAnsi="黑体" w:eastAsia="黑体"/>
          <w:color w:val="000000"/>
          <w:szCs w:val="21"/>
        </w:rPr>
        <w:br w:type="page"/>
      </w:r>
    </w:p>
    <w:p>
      <w:pPr>
        <w:pStyle w:val="63"/>
        <w:numPr>
          <w:ilvl w:val="0"/>
          <w:numId w:val="5"/>
        </w:numPr>
        <w:ind w:left="0"/>
      </w:pPr>
      <w:r>
        <w:br w:type="textWrapping"/>
      </w:r>
      <w:bookmarkStart w:id="44" w:name="_Toc72754550"/>
      <w:r>
        <w:rPr>
          <w:rFonts w:hint="eastAsia"/>
        </w:rPr>
        <w:t>（规范性）</w:t>
      </w:r>
      <w:r>
        <w:br w:type="textWrapping"/>
      </w:r>
      <w:r>
        <w:rPr>
          <w:rFonts w:hint="eastAsia"/>
        </w:rPr>
        <w:t>四氧化三钴</w:t>
      </w:r>
      <w:r>
        <w:t>产品生命周期评价</w:t>
      </w:r>
      <w:r>
        <w:rPr>
          <w:rFonts w:hint="eastAsia"/>
        </w:rPr>
        <w:t>方法</w:t>
      </w:r>
      <w:bookmarkEnd w:id="44"/>
    </w:p>
    <w:p>
      <w:pPr>
        <w:spacing w:before="240" w:beforeLines="100" w:after="240" w:afterLines="10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.1  </w:t>
      </w:r>
      <w:r>
        <w:rPr>
          <w:rFonts w:hint="eastAsia" w:ascii="黑体" w:hAnsi="黑体" w:eastAsia="黑体"/>
          <w:color w:val="000000"/>
          <w:szCs w:val="21"/>
        </w:rPr>
        <w:t>概况</w:t>
      </w:r>
    </w:p>
    <w:p>
      <w:pPr>
        <w:ind w:firstLine="420"/>
        <w:rPr>
          <w:rFonts w:ascii="Times New Roman" w:hAnsi="Times New Roman"/>
          <w:color w:val="000000"/>
          <w:szCs w:val="21"/>
        </w:rPr>
      </w:pPr>
      <w:r>
        <w:rPr>
          <w:rFonts w:ascii="Times New Roman" w:hAnsi="Times New Roman"/>
          <w:color w:val="000000"/>
          <w:szCs w:val="21"/>
        </w:rPr>
        <w:t>依据GB/T 24040和GB/T 24044，建立四氧化三钴产品的生命周期评价方法。生命周期评价的过程应包括目的和范围的确定、生命周期清单分析、生命周期影响分析、生命周期结果解释以及生命周期评价报告。具体如下：</w:t>
      </w:r>
    </w:p>
    <w:p>
      <w:pPr>
        <w:pStyle w:val="37"/>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目的和范围确定：确定评价的目的、四氧化三钴产品系统和功能、功能单位和基准流、系统边界、舍取原则、共生产品的分配方法、影响类型和指标、数据的来源和质量、局限性以及报告的形式。</w:t>
      </w:r>
    </w:p>
    <w:p>
      <w:pPr>
        <w:pStyle w:val="37"/>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生命周期清单分析：数据收集前的准备、数据的收集、数据质量的审核、数据与单元过程的关联、数据与功能单位的关联、清单计算方法、数据合并和数据分配等。</w:t>
      </w:r>
    </w:p>
    <w:p>
      <w:pPr>
        <w:pStyle w:val="37"/>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生命周期影响评价：选取影响类型、类型参数和特征化模型，将生命周期清单数据归类划分到所选的影响类型，通过特征化模型计算类型参数结果。</w:t>
      </w:r>
    </w:p>
    <w:p>
      <w:pPr>
        <w:pStyle w:val="37"/>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生命周期结果解释：综合考虑清单分析和影响评价，对评价结果进行完整性、敏感性、一致性和不确定性检查，并对结论、建议和局限性进行说明。</w:t>
      </w:r>
    </w:p>
    <w:p>
      <w:pPr>
        <w:pStyle w:val="37"/>
        <w:numPr>
          <w:ilvl w:val="0"/>
          <w:numId w:val="6"/>
        </w:numPr>
        <w:ind w:left="567" w:hanging="147" w:firstLineChars="0"/>
        <w:jc w:val="both"/>
        <w:rPr>
          <w:rFonts w:ascii="Times New Roman" w:hAnsi="Times New Roman"/>
          <w:color w:val="000000"/>
          <w:szCs w:val="21"/>
        </w:rPr>
      </w:pPr>
      <w:r>
        <w:rPr>
          <w:rFonts w:ascii="Times New Roman" w:hAnsi="Times New Roman"/>
          <w:color w:val="000000"/>
          <w:szCs w:val="21"/>
        </w:rPr>
        <w:t>生命周期评价报告：按照相关要求编制产品生命周期评价报告。</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  目的和范围确定</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.2.1  评价目的</w:t>
      </w:r>
    </w:p>
    <w:p>
      <w:pPr>
        <w:ind w:firstLine="420" w:firstLineChars="200"/>
        <w:jc w:val="left"/>
        <w:rPr>
          <w:rFonts w:ascii="Times New Roman" w:hAnsi="Times New Roman"/>
          <w:color w:val="000000"/>
          <w:szCs w:val="21"/>
        </w:rPr>
      </w:pPr>
      <w:r>
        <w:rPr>
          <w:rFonts w:ascii="Times New Roman" w:hAnsi="Times New Roman"/>
          <w:color w:val="000000"/>
          <w:szCs w:val="21"/>
        </w:rPr>
        <w:t>四氧化三钴产品生命周期评价的目的：</w:t>
      </w:r>
    </w:p>
    <w:p>
      <w:pPr>
        <w:pStyle w:val="37"/>
        <w:numPr>
          <w:ilvl w:val="0"/>
          <w:numId w:val="7"/>
        </w:numPr>
        <w:ind w:left="567" w:hanging="147" w:firstLineChars="0"/>
        <w:jc w:val="both"/>
        <w:rPr>
          <w:rFonts w:ascii="Times New Roman" w:hAnsi="Times New Roman"/>
          <w:color w:val="000000"/>
          <w:szCs w:val="21"/>
        </w:rPr>
      </w:pPr>
      <w:r>
        <w:rPr>
          <w:rFonts w:ascii="Times New Roman" w:hAnsi="Times New Roman"/>
          <w:color w:val="000000"/>
          <w:szCs w:val="21"/>
        </w:rPr>
        <w:t>通过对四氧化三钴生产过程中的输入和输出进行汇编，形成最新的生命周期清单，为下游生产企业开展含钴中间产品和终端产品的生命周期评价提供上游数据</w:t>
      </w:r>
      <w:r>
        <w:rPr>
          <w:rFonts w:hint="eastAsia" w:ascii="Times New Roman" w:hAnsi="Times New Roman"/>
          <w:color w:val="000000"/>
          <w:szCs w:val="21"/>
        </w:rPr>
        <w:t>；</w:t>
      </w:r>
    </w:p>
    <w:p>
      <w:pPr>
        <w:pStyle w:val="37"/>
        <w:numPr>
          <w:ilvl w:val="0"/>
          <w:numId w:val="7"/>
        </w:numPr>
        <w:ind w:left="567" w:hanging="147" w:firstLineChars="0"/>
        <w:jc w:val="both"/>
        <w:rPr>
          <w:rFonts w:ascii="Times New Roman" w:hAnsi="Times New Roman"/>
          <w:color w:val="000000"/>
          <w:szCs w:val="21"/>
        </w:rPr>
      </w:pPr>
      <w:r>
        <w:rPr>
          <w:rFonts w:ascii="Times New Roman" w:hAnsi="Times New Roman"/>
          <w:color w:val="000000"/>
          <w:szCs w:val="21"/>
        </w:rPr>
        <w:t>通过对四氧化三钴生产过程中的潜在环境影响进行评价，为企业后续开展四氧化三钴产品的生态（绿色）设计，以及我国政府管理部门制订四氧化三钴产品绿色标准提供科学依据和技术支撑。</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.2.2  功能单位和基</w:t>
      </w:r>
      <w:r>
        <w:rPr>
          <w:rFonts w:hint="eastAsia" w:ascii="黑体" w:hAnsi="黑体" w:eastAsia="黑体"/>
          <w:color w:val="000000"/>
          <w:szCs w:val="21"/>
        </w:rPr>
        <w:t>准</w:t>
      </w:r>
      <w:r>
        <w:rPr>
          <w:rFonts w:ascii="黑体" w:hAnsi="黑体" w:eastAsia="黑体"/>
          <w:color w:val="000000"/>
          <w:szCs w:val="21"/>
        </w:rPr>
        <w:t>流</w:t>
      </w:r>
    </w:p>
    <w:p>
      <w:pPr>
        <w:ind w:firstLine="420" w:firstLineChars="200"/>
        <w:jc w:val="left"/>
        <w:rPr>
          <w:rFonts w:ascii="Times New Roman" w:hAnsi="Times New Roman"/>
          <w:color w:val="000000"/>
          <w:szCs w:val="21"/>
        </w:rPr>
      </w:pPr>
      <w:r>
        <w:rPr>
          <w:rFonts w:ascii="Times New Roman" w:hAnsi="Times New Roman"/>
          <w:color w:val="000000"/>
          <w:szCs w:val="21"/>
        </w:rPr>
        <w:t>功能单位和基准流是对产品功能的量化描述，是数据收集、评价和方案对比的基础。功能单位和基准流的定义</w:t>
      </w:r>
      <w:r>
        <w:rPr>
          <w:rFonts w:hint="eastAsia" w:ascii="Times New Roman" w:hAnsi="Times New Roman"/>
          <w:color w:val="000000"/>
          <w:szCs w:val="21"/>
        </w:rPr>
        <w:t>包含</w:t>
      </w:r>
      <w:r>
        <w:rPr>
          <w:rFonts w:ascii="Times New Roman" w:hAnsi="Times New Roman"/>
          <w:color w:val="000000"/>
          <w:szCs w:val="21"/>
        </w:rPr>
        <w:t>产品种类和用途。四氧化三钴一般作为其他产品生产的原材料，其功能单位和基准流一般定义为</w:t>
      </w:r>
      <w:r>
        <w:rPr>
          <w:rFonts w:hint="eastAsia" w:ascii="宋体" w:hAnsi="宋体" w:cs="宋体"/>
          <w:color w:val="000000"/>
          <w:szCs w:val="21"/>
        </w:rPr>
        <w:t>“</w:t>
      </w:r>
      <w:r>
        <w:rPr>
          <w:rFonts w:ascii="Times New Roman" w:hAnsi="Times New Roman"/>
          <w:color w:val="000000"/>
          <w:szCs w:val="21"/>
        </w:rPr>
        <w:t>生产单位数量的符合质量要求的产品</w:t>
      </w:r>
      <w:r>
        <w:rPr>
          <w:rFonts w:hint="eastAsia" w:ascii="宋体" w:hAnsi="宋体" w:cs="宋体"/>
          <w:color w:val="000000"/>
          <w:szCs w:val="21"/>
        </w:rPr>
        <w:t>”，</w:t>
      </w:r>
      <w:r>
        <w:rPr>
          <w:rFonts w:ascii="Times New Roman" w:hAnsi="Times New Roman"/>
          <w:color w:val="000000"/>
          <w:szCs w:val="21"/>
        </w:rPr>
        <w:t>本标准以</w:t>
      </w:r>
      <w:r>
        <w:rPr>
          <w:rFonts w:hint="eastAsia" w:ascii="宋体" w:hAnsi="宋体" w:cs="宋体"/>
          <w:color w:val="000000"/>
          <w:szCs w:val="21"/>
        </w:rPr>
        <w:t>“</w:t>
      </w:r>
      <w:r>
        <w:rPr>
          <w:rFonts w:ascii="Times New Roman" w:hAnsi="Times New Roman"/>
          <w:color w:val="000000"/>
          <w:szCs w:val="21"/>
        </w:rPr>
        <w:t>生产1t符合YS/T 633</w:t>
      </w:r>
      <w:r>
        <w:rPr>
          <w:rFonts w:hint="eastAsia" w:ascii="Times New Roman" w:hAnsi="Times New Roman" w:eastAsia="宋体" w:cs="Times New Roman"/>
          <w:color w:val="000000"/>
          <w:kern w:val="2"/>
          <w:sz w:val="21"/>
          <w:szCs w:val="21"/>
          <w:lang w:val="en-US" w:eastAsia="zh-CN" w:bidi="ar"/>
        </w:rPr>
        <w:t>或</w:t>
      </w:r>
      <w:r>
        <w:rPr>
          <w:rFonts w:hint="default" w:ascii="Times New Roman" w:hAnsi="Times New Roman" w:eastAsia="宋体" w:cs="Times New Roman"/>
          <w:color w:val="000000"/>
          <w:kern w:val="2"/>
          <w:sz w:val="21"/>
          <w:szCs w:val="21"/>
          <w:lang w:val="en-US" w:eastAsia="zh-CN" w:bidi="ar"/>
        </w:rPr>
        <w:t xml:space="preserve">YS/T </w:t>
      </w:r>
      <w:r>
        <w:rPr>
          <w:rFonts w:hint="eastAsia" w:ascii="Times New Roman" w:hAnsi="Times New Roman" w:cs="Times New Roman"/>
          <w:color w:val="000000"/>
          <w:kern w:val="2"/>
          <w:sz w:val="21"/>
          <w:szCs w:val="21"/>
          <w:lang w:val="en-US" w:eastAsia="zh-CN" w:bidi="ar"/>
        </w:rPr>
        <w:t>xx-xxxx（掺杂型四氧化三钴 已报批）标准规定</w:t>
      </w:r>
      <w:r>
        <w:rPr>
          <w:rFonts w:ascii="Times New Roman" w:hAnsi="Times New Roman"/>
          <w:color w:val="000000"/>
          <w:szCs w:val="21"/>
        </w:rPr>
        <w:t>的产</w:t>
      </w:r>
      <w:r>
        <w:rPr>
          <w:rFonts w:hint="eastAsia" w:ascii="宋体" w:hAnsi="宋体" w:cs="宋体"/>
          <w:color w:val="000000"/>
          <w:szCs w:val="21"/>
        </w:rPr>
        <w:t>品”</w:t>
      </w:r>
      <w:r>
        <w:rPr>
          <w:rFonts w:ascii="Times New Roman" w:hAnsi="Times New Roman"/>
          <w:color w:val="000000"/>
          <w:szCs w:val="21"/>
        </w:rPr>
        <w:t>。</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.2.3  系统边界</w:t>
      </w:r>
    </w:p>
    <w:p>
      <w:pPr>
        <w:ind w:firstLine="420" w:firstLineChars="200"/>
        <w:jc w:val="left"/>
        <w:rPr>
          <w:rFonts w:ascii="Times New Roman" w:hAnsi="Times New Roman"/>
          <w:color w:val="000000"/>
          <w:szCs w:val="21"/>
        </w:rPr>
      </w:pPr>
      <w:r>
        <w:rPr>
          <w:rFonts w:ascii="Times New Roman" w:hAnsi="Times New Roman"/>
          <w:color w:val="000000"/>
          <w:szCs w:val="21"/>
        </w:rPr>
        <w:t>在理想情况下，建立四氧化三钴系统的模型时应</w:t>
      </w:r>
      <w:r>
        <w:rPr>
          <w:rFonts w:hint="eastAsia" w:ascii="Times New Roman" w:hAnsi="Times New Roman"/>
          <w:color w:val="000000"/>
          <w:szCs w:val="21"/>
        </w:rPr>
        <w:t>是</w:t>
      </w:r>
      <w:r>
        <w:rPr>
          <w:rFonts w:ascii="Times New Roman" w:hAnsi="Times New Roman"/>
          <w:color w:val="000000"/>
          <w:szCs w:val="21"/>
        </w:rPr>
        <w:t>边界上的输入和输出均为基准流。但四氧化三钴的生产过程中，没有充足的时间、数据或资源来进行这样全面的研究，因而必须根据某一工艺环节对环境影响的重要程度来确定对</w:t>
      </w:r>
      <w:r>
        <w:rPr>
          <w:rFonts w:hint="eastAsia" w:ascii="Times New Roman" w:hAnsi="Times New Roman"/>
          <w:color w:val="000000"/>
          <w:szCs w:val="21"/>
        </w:rPr>
        <w:t>哪些</w:t>
      </w:r>
      <w:r>
        <w:rPr>
          <w:rFonts w:ascii="Times New Roman" w:hAnsi="Times New Roman"/>
          <w:color w:val="000000"/>
          <w:szCs w:val="21"/>
        </w:rPr>
        <w:t>单元过程进行模型建立，并决定对这些单元过程研究的详略程度，对于那些对总体结论影响不大的输入和输出则可以不予考虑。</w:t>
      </w:r>
    </w:p>
    <w:p>
      <w:pPr>
        <w:ind w:firstLine="420" w:firstLineChars="200"/>
        <w:jc w:val="left"/>
        <w:rPr>
          <w:rFonts w:ascii="Times New Roman" w:hAnsi="Times New Roman"/>
          <w:color w:val="000000"/>
          <w:szCs w:val="21"/>
        </w:rPr>
      </w:pPr>
      <w:r>
        <w:rPr>
          <w:rFonts w:ascii="Times New Roman" w:hAnsi="Times New Roman"/>
          <w:color w:val="000000"/>
          <w:szCs w:val="21"/>
        </w:rPr>
        <w:t>本文件界定的四氧化三钴产品的系统边界包括四氧化三钴生产和四氧化三钴包装等2个阶段。四氧化三钴生产包括原料浸取、前驱体合成、煅烧等过程，根据四氧化三钴产品生产的实际情况，产品评价的系统边界如图B.1所示：对于大气、水和土壤的排放物和废弃物的排放点为产品生产系统与外界（环境）的接口。</w:t>
      </w:r>
    </w:p>
    <w:p>
      <w:pPr>
        <w:spacing w:before="120" w:beforeLines="50" w:after="120" w:afterLines="50"/>
        <w:jc w:val="center"/>
        <w:rPr>
          <w:rFonts w:ascii="黑体" w:hAnsi="黑体"/>
          <w:color w:val="000000"/>
        </w:rPr>
      </w:pPr>
    </w:p>
    <w:p>
      <w:pPr>
        <w:spacing w:before="0" w:beforeLines="0" w:after="0" w:afterLines="0"/>
        <w:jc w:val="center"/>
        <w:rPr>
          <w:rFonts w:ascii="黑体" w:hAnsi="黑体"/>
          <w:color w:val="000000"/>
        </w:rPr>
      </w:pPr>
      <w:r>
        <w:rPr>
          <w:rFonts w:ascii="黑体" w:hAnsi="黑体"/>
          <w:color w:val="000000"/>
        </w:rPr>
        <w:object>
          <v:shape id="_x0000_i1032" o:spt="75" type="#_x0000_t75" style="height:166.45pt;width:453.2pt;" o:ole="t" filled="f" o:preferrelative="t" stroked="f" coordsize="21600,21600">
            <v:path/>
            <v:fill on="f" focussize="0,0"/>
            <v:stroke on="f"/>
            <v:imagedata r:id="rId20" o:title=""/>
            <o:lock v:ext="edit" aspectratio="f"/>
            <w10:wrap type="none"/>
            <w10:anchorlock/>
          </v:shape>
          <o:OLEObject Type="Embed" ProgID="Visio.Drawing.11" ShapeID="_x0000_i1032" DrawAspect="Content" ObjectID="_1468075726" r:id="rId19">
            <o:LockedField>false</o:LockedField>
          </o:OLEObject>
        </w:object>
      </w:r>
    </w:p>
    <w:p>
      <w:pPr>
        <w:spacing w:before="120" w:beforeLines="50" w:after="120" w:afterLines="50"/>
        <w:jc w:val="center"/>
        <w:rPr>
          <w:rFonts w:ascii="黑体" w:hAnsi="黑体" w:eastAsia="黑体"/>
          <w:color w:val="000000"/>
          <w:szCs w:val="21"/>
        </w:rPr>
      </w:pPr>
      <w:r>
        <w:rPr>
          <w:rFonts w:ascii="黑体" w:hAnsi="黑体" w:eastAsia="黑体"/>
          <w:color w:val="000000"/>
          <w:szCs w:val="21"/>
        </w:rPr>
        <w:t>图</w:t>
      </w:r>
      <w:r>
        <w:rPr>
          <w:rFonts w:hint="eastAsia" w:ascii="黑体" w:hAnsi="黑体" w:eastAsia="黑体"/>
          <w:color w:val="000000"/>
          <w:szCs w:val="21"/>
        </w:rPr>
        <w:t>B</w:t>
      </w:r>
      <w:r>
        <w:rPr>
          <w:rFonts w:ascii="黑体" w:hAnsi="黑体" w:eastAsia="黑体"/>
          <w:color w:val="000000"/>
          <w:szCs w:val="21"/>
        </w:rPr>
        <w:t>.1  四氧化三钴产品生命周期评价的系统边界</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.2.4  取舍原则</w:t>
      </w:r>
    </w:p>
    <w:p>
      <w:pPr>
        <w:adjustRightInd w:val="0"/>
        <w:snapToGrid w:val="0"/>
        <w:ind w:firstLine="420" w:firstLineChars="200"/>
        <w:jc w:val="left"/>
        <w:rPr>
          <w:rFonts w:ascii="黑体" w:hAnsi="黑体"/>
          <w:color w:val="000000"/>
          <w:szCs w:val="21"/>
        </w:rPr>
      </w:pPr>
      <w:r>
        <w:rPr>
          <w:rFonts w:hint="eastAsia" w:ascii="黑体" w:hAnsi="黑体"/>
          <w:color w:val="000000"/>
          <w:szCs w:val="21"/>
        </w:rPr>
        <w:t>四氧化三钴生产数据舍去</w:t>
      </w:r>
      <w:r>
        <w:rPr>
          <w:rFonts w:ascii="黑体" w:hAnsi="黑体"/>
          <w:color w:val="000000"/>
          <w:szCs w:val="21"/>
        </w:rPr>
        <w:t>原则如下：</w:t>
      </w:r>
    </w:p>
    <w:p>
      <w:pPr>
        <w:pStyle w:val="37"/>
        <w:numPr>
          <w:ilvl w:val="0"/>
          <w:numId w:val="8"/>
        </w:numPr>
        <w:adjustRightInd w:val="0"/>
        <w:snapToGrid w:val="0"/>
        <w:ind w:left="840" w:hanging="420" w:firstLineChars="0"/>
        <w:jc w:val="left"/>
        <w:rPr>
          <w:rFonts w:ascii="Times New Roman" w:hAnsi="Times New Roman"/>
          <w:color w:val="000000"/>
          <w:szCs w:val="21"/>
        </w:rPr>
      </w:pPr>
      <w:r>
        <w:rPr>
          <w:rFonts w:ascii="Times New Roman" w:hAnsi="Times New Roman"/>
          <w:color w:val="000000"/>
          <w:szCs w:val="21"/>
        </w:rPr>
        <w:t>能源的所有输入均列出；</w:t>
      </w:r>
    </w:p>
    <w:p>
      <w:pPr>
        <w:pStyle w:val="37"/>
        <w:numPr>
          <w:ilvl w:val="0"/>
          <w:numId w:val="8"/>
        </w:numPr>
        <w:adjustRightInd w:val="0"/>
        <w:snapToGrid w:val="0"/>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原料</w:t>
      </w:r>
      <w:r>
        <w:rPr>
          <w:rFonts w:ascii="Times New Roman" w:hAnsi="Times New Roman"/>
          <w:color w:val="000000"/>
          <w:szCs w:val="21"/>
        </w:rPr>
        <w:t>的所有输入均列出；</w:t>
      </w:r>
    </w:p>
    <w:p>
      <w:pPr>
        <w:pStyle w:val="37"/>
        <w:numPr>
          <w:ilvl w:val="0"/>
          <w:numId w:val="8"/>
        </w:numPr>
        <w:adjustRightInd w:val="0"/>
        <w:snapToGrid w:val="0"/>
        <w:ind w:left="840" w:hanging="420" w:firstLineChars="0"/>
        <w:jc w:val="left"/>
        <w:rPr>
          <w:rFonts w:ascii="Times New Roman" w:hAnsi="Times New Roman"/>
          <w:color w:val="000000"/>
          <w:szCs w:val="21"/>
        </w:rPr>
      </w:pPr>
      <w:r>
        <w:rPr>
          <w:rFonts w:ascii="Times New Roman" w:hAnsi="Times New Roman"/>
          <w:color w:val="000000"/>
          <w:szCs w:val="21"/>
        </w:rPr>
        <w:t>辅助材料质量小于原料</w:t>
      </w:r>
      <w:r>
        <w:rPr>
          <w:rFonts w:hint="eastAsia" w:ascii="Times New Roman" w:hAnsi="Times New Roman"/>
          <w:color w:val="000000"/>
          <w:szCs w:val="21"/>
          <w:lang w:eastAsia="zh-CN"/>
        </w:rPr>
        <w:t>总</w:t>
      </w:r>
      <w:r>
        <w:rPr>
          <w:rFonts w:ascii="Times New Roman" w:hAnsi="Times New Roman"/>
          <w:color w:val="000000"/>
          <w:szCs w:val="21"/>
        </w:rPr>
        <w:t>耗0.1%的项目输入可忽略；</w:t>
      </w:r>
    </w:p>
    <w:p>
      <w:pPr>
        <w:pStyle w:val="37"/>
        <w:numPr>
          <w:ilvl w:val="0"/>
          <w:numId w:val="8"/>
        </w:numPr>
        <w:adjustRightInd w:val="0"/>
        <w:snapToGrid w:val="0"/>
        <w:ind w:left="840" w:hanging="420" w:firstLineChars="0"/>
        <w:jc w:val="left"/>
        <w:rPr>
          <w:rFonts w:ascii="Times New Roman" w:hAnsi="Times New Roman"/>
          <w:color w:val="000000"/>
          <w:szCs w:val="21"/>
        </w:rPr>
      </w:pPr>
      <w:r>
        <w:rPr>
          <w:rFonts w:ascii="Times New Roman" w:hAnsi="Times New Roman"/>
          <w:color w:val="000000"/>
          <w:szCs w:val="21"/>
        </w:rPr>
        <w:t>大气、水体</w:t>
      </w:r>
      <w:r>
        <w:rPr>
          <w:rFonts w:hint="eastAsia" w:ascii="Times New Roman" w:hAnsi="Times New Roman"/>
          <w:color w:val="000000"/>
          <w:szCs w:val="21"/>
          <w:lang w:eastAsia="zh-CN"/>
        </w:rPr>
        <w:t>、固体废物的各种排放</w:t>
      </w:r>
      <w:r>
        <w:rPr>
          <w:rFonts w:ascii="Times New Roman" w:hAnsi="Times New Roman"/>
          <w:color w:val="000000"/>
          <w:szCs w:val="21"/>
        </w:rPr>
        <w:t>均列出；</w:t>
      </w:r>
    </w:p>
    <w:p>
      <w:pPr>
        <w:pStyle w:val="37"/>
        <w:numPr>
          <w:ilvl w:val="0"/>
          <w:numId w:val="8"/>
        </w:numPr>
        <w:adjustRightInd w:val="0"/>
        <w:snapToGrid w:val="0"/>
        <w:ind w:left="840" w:hanging="420" w:firstLineChars="0"/>
        <w:jc w:val="left"/>
        <w:rPr>
          <w:rFonts w:ascii="Times New Roman" w:hAnsi="Times New Roman"/>
          <w:color w:val="000000"/>
          <w:szCs w:val="21"/>
        </w:rPr>
      </w:pPr>
      <w:r>
        <w:rPr>
          <w:rFonts w:hint="eastAsia" w:ascii="Times New Roman" w:hAnsi="Times New Roman"/>
          <w:color w:val="000000"/>
          <w:szCs w:val="21"/>
          <w:lang w:eastAsia="zh-CN"/>
        </w:rPr>
        <w:t>道路与厂房的基础设施、各工序的设备、厂区内人员及生活设施的消耗和排放，均忽略；</w:t>
      </w:r>
    </w:p>
    <w:p>
      <w:pPr>
        <w:pStyle w:val="37"/>
        <w:numPr>
          <w:ilvl w:val="0"/>
          <w:numId w:val="8"/>
        </w:numPr>
        <w:adjustRightInd w:val="0"/>
        <w:snapToGrid w:val="0"/>
        <w:ind w:left="840" w:hanging="420" w:firstLineChars="0"/>
        <w:jc w:val="left"/>
        <w:rPr>
          <w:rFonts w:ascii="宋体" w:hAnsi="宋体"/>
          <w:color w:val="000000"/>
          <w:szCs w:val="21"/>
        </w:rPr>
      </w:pPr>
      <w:r>
        <w:rPr>
          <w:rFonts w:ascii="Times New Roman" w:hAnsi="Times New Roman"/>
          <w:color w:val="000000"/>
          <w:szCs w:val="21"/>
        </w:rPr>
        <w:t>取舍原则不适用于有毒有害物质，任何有毒有害的材料和物质均应包含于清单中</w:t>
      </w:r>
      <w:r>
        <w:rPr>
          <w:rFonts w:hint="eastAsia" w:ascii="Times New Roman" w:hAnsi="Times New Roman"/>
          <w:color w:val="000000"/>
          <w:szCs w:val="21"/>
          <w:lang w:eastAsia="zh-CN"/>
        </w:rPr>
        <w:t>。</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.2.5  </w:t>
      </w:r>
      <w:r>
        <w:rPr>
          <w:rFonts w:hint="eastAsia" w:ascii="黑体" w:hAnsi="黑体" w:eastAsia="黑体"/>
          <w:color w:val="000000"/>
          <w:szCs w:val="21"/>
        </w:rPr>
        <w:t>分配方法</w:t>
      </w:r>
    </w:p>
    <w:p>
      <w:pPr>
        <w:spacing w:before="120" w:beforeLines="50" w:after="120" w:afterLines="50"/>
        <w:ind w:firstLine="420" w:firstLineChars="200"/>
        <w:rPr>
          <w:rFonts w:ascii="黑体" w:hAnsi="黑体"/>
          <w:color w:val="000000"/>
          <w:szCs w:val="21"/>
        </w:rPr>
      </w:pPr>
      <w:r>
        <w:rPr>
          <w:rFonts w:ascii="黑体" w:hAnsi="黑体"/>
          <w:color w:val="000000"/>
          <w:szCs w:val="21"/>
        </w:rPr>
        <w:t>四氧化三钴产品生产过程还得到了其他副产品（例如硫酸铵、硫酸、盐酸等），需要按照一定的原则和程序，将资源能源输入和环境排放数据分配到各个产品或过程中。数据分配一般按照以下程序进行：</w:t>
      </w:r>
    </w:p>
    <w:p>
      <w:pPr>
        <w:pStyle w:val="37"/>
        <w:numPr>
          <w:ilvl w:val="0"/>
          <w:numId w:val="9"/>
        </w:numPr>
        <w:adjustRightInd w:val="0"/>
        <w:snapToGrid w:val="0"/>
        <w:ind w:left="567" w:hanging="147" w:firstLineChars="0"/>
        <w:jc w:val="left"/>
        <w:rPr>
          <w:rFonts w:ascii="Times New Roman" w:hAnsi="Times New Roman"/>
          <w:color w:val="000000"/>
          <w:szCs w:val="21"/>
        </w:rPr>
      </w:pPr>
      <w:r>
        <w:rPr>
          <w:rFonts w:ascii="Times New Roman" w:hAnsi="Times New Roman"/>
          <w:color w:val="000000"/>
          <w:szCs w:val="21"/>
        </w:rPr>
        <w:t>尽量减少或避免出现分配，可将原来收集数据时划分的单元过程再进一步分解，以便将与系统功能无关的单元排除在外；或者扩展产品系统边界，把原来排除在系统之外的单元过程包括进来</w:t>
      </w:r>
      <w:r>
        <w:rPr>
          <w:rFonts w:hint="eastAsia" w:ascii="Times New Roman" w:hAnsi="Times New Roman"/>
          <w:color w:val="000000"/>
          <w:szCs w:val="21"/>
        </w:rPr>
        <w:t>；</w:t>
      </w:r>
    </w:p>
    <w:p>
      <w:pPr>
        <w:pStyle w:val="37"/>
        <w:numPr>
          <w:ilvl w:val="0"/>
          <w:numId w:val="9"/>
        </w:numPr>
        <w:adjustRightInd w:val="0"/>
        <w:snapToGrid w:val="0"/>
        <w:ind w:left="567" w:hanging="147" w:firstLineChars="0"/>
        <w:jc w:val="left"/>
        <w:rPr>
          <w:rFonts w:ascii="Times New Roman" w:hAnsi="Times New Roman"/>
          <w:color w:val="000000"/>
          <w:szCs w:val="21"/>
        </w:rPr>
      </w:pPr>
      <w:r>
        <w:rPr>
          <w:rFonts w:ascii="Times New Roman" w:hAnsi="Times New Roman"/>
          <w:color w:val="000000"/>
          <w:szCs w:val="21"/>
        </w:rPr>
        <w:t>如果分配不可避免时，则宜将系统的输入输出以能反映出它们潜在物理关系的方式划分到其中的不同产品或功能中；例如，输入输出如何随着系统所提供的产品或功能中的量变而变化</w:t>
      </w:r>
      <w:r>
        <w:rPr>
          <w:rFonts w:hint="eastAsia" w:ascii="Times New Roman" w:hAnsi="Times New Roman"/>
          <w:color w:val="000000"/>
          <w:szCs w:val="21"/>
        </w:rPr>
        <w:t>；</w:t>
      </w:r>
    </w:p>
    <w:p>
      <w:pPr>
        <w:pStyle w:val="37"/>
        <w:numPr>
          <w:ilvl w:val="0"/>
          <w:numId w:val="9"/>
        </w:numPr>
        <w:adjustRightInd w:val="0"/>
        <w:snapToGrid w:val="0"/>
        <w:ind w:left="567" w:hanging="147" w:firstLineChars="0"/>
        <w:jc w:val="left"/>
        <w:rPr>
          <w:rFonts w:ascii="Times New Roman" w:hAnsi="Times New Roman"/>
          <w:color w:val="000000"/>
          <w:szCs w:val="21"/>
        </w:rPr>
      </w:pPr>
      <w:r>
        <w:rPr>
          <w:rFonts w:ascii="Times New Roman" w:hAnsi="Times New Roman"/>
          <w:color w:val="000000"/>
          <w:szCs w:val="21"/>
        </w:rPr>
        <w:t>当物理关系无法建立或无法单独用来作为分配基础时，则宜以能反映它们之间其他关系的方式将输入输出在产品或功能间进行分配。例如，可以根据产品的经济价值按比例将输入输出数据分配到共生产品。</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.2.6 影响类型和指标的选取</w:t>
      </w:r>
    </w:p>
    <w:p>
      <w:pPr>
        <w:adjustRightInd w:val="0"/>
        <w:snapToGrid w:val="0"/>
        <w:ind w:firstLine="420" w:firstLineChars="200"/>
        <w:jc w:val="left"/>
        <w:rPr>
          <w:rFonts w:ascii="Times New Roman" w:hAnsi="Times New Roman"/>
          <w:color w:val="000000"/>
          <w:szCs w:val="21"/>
        </w:rPr>
      </w:pPr>
      <w:r>
        <w:rPr>
          <w:rFonts w:ascii="Times New Roman" w:hAnsi="Times New Roman"/>
          <w:color w:val="000000"/>
          <w:szCs w:val="21"/>
        </w:rPr>
        <w:t>应选取气候变化、水体富营养化、酸雨、光化学氧化作用、初级能源消耗等5种影响类型，其指标和描述等相关信息见表B.1。</w:t>
      </w:r>
    </w:p>
    <w:p>
      <w:pPr>
        <w:adjustRightInd w:val="0"/>
        <w:snapToGrid w:val="0"/>
        <w:spacing w:before="120" w:beforeLines="50" w:after="120" w:afterLines="50"/>
        <w:ind w:firstLine="420" w:firstLineChars="200"/>
        <w:jc w:val="center"/>
        <w:rPr>
          <w:rFonts w:ascii="黑体" w:hAnsi="黑体" w:eastAsia="黑体"/>
          <w:color w:val="000000"/>
          <w:szCs w:val="21"/>
        </w:rPr>
      </w:pPr>
      <w:r>
        <w:rPr>
          <w:rFonts w:ascii="黑体" w:hAnsi="黑体" w:eastAsia="黑体"/>
          <w:color w:val="000000"/>
          <w:szCs w:val="21"/>
        </w:rPr>
        <w:t>表</w:t>
      </w:r>
      <w:r>
        <w:rPr>
          <w:rFonts w:hint="eastAsia" w:ascii="黑体" w:hAnsi="黑体" w:eastAsia="黑体"/>
          <w:color w:val="000000"/>
          <w:szCs w:val="21"/>
        </w:rPr>
        <w:t>B</w:t>
      </w:r>
      <w:r>
        <w:rPr>
          <w:rFonts w:ascii="黑体" w:hAnsi="黑体" w:eastAsia="黑体"/>
          <w:color w:val="000000"/>
          <w:szCs w:val="21"/>
        </w:rPr>
        <w:t>.</w:t>
      </w:r>
      <w:r>
        <w:rPr>
          <w:rFonts w:hint="eastAsia" w:ascii="黑体" w:hAnsi="黑体" w:eastAsia="黑体"/>
          <w:color w:val="000000"/>
          <w:szCs w:val="21"/>
        </w:rPr>
        <w:t>1</w:t>
      </w:r>
      <w:r>
        <w:rPr>
          <w:rFonts w:ascii="黑体" w:hAnsi="黑体" w:eastAsia="黑体"/>
          <w:color w:val="000000"/>
          <w:szCs w:val="21"/>
        </w:rPr>
        <w:t xml:space="preserve">  四氧化三钴产品的影响类型和指标选取</w:t>
      </w: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2157"/>
        <w:gridCol w:w="410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影响类型</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指标</w:t>
            </w:r>
          </w:p>
        </w:tc>
        <w:tc>
          <w:tcPr>
            <w:tcW w:w="4106"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描述</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
                <w:bCs/>
                <w:color w:val="000000"/>
                <w:sz w:val="18"/>
                <w:szCs w:val="20"/>
              </w:rPr>
            </w:pPr>
            <w:r>
              <w:rPr>
                <w:rFonts w:hint="default" w:ascii="Times New Roman" w:hAnsi="Times New Roman"/>
                <w:color w:val="000000"/>
                <w:sz w:val="18"/>
                <w:szCs w:val="20"/>
              </w:rPr>
              <w:t>气候变化</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全球变暖潜力（GWP100年）</w:t>
            </w:r>
          </w:p>
        </w:tc>
        <w:tc>
          <w:tcPr>
            <w:tcW w:w="4106" w:type="dxa"/>
            <w:vAlign w:val="center"/>
          </w:tcPr>
          <w:p>
            <w:pPr>
              <w:keepNext w:val="0"/>
              <w:keepLines w:val="0"/>
              <w:suppressLineNumbers w:val="0"/>
              <w:adjustRightInd w:val="0"/>
              <w:snapToGrid w:val="0"/>
              <w:spacing w:before="0" w:beforeAutospacing="0" w:after="0" w:afterAutospacing="0"/>
              <w:ind w:left="0" w:right="0"/>
              <w:textAlignment w:val="center"/>
              <w:rPr>
                <w:rFonts w:hint="default" w:ascii="Times New Roman" w:hAnsi="Times New Roman"/>
                <w:color w:val="000000"/>
                <w:sz w:val="18"/>
                <w:szCs w:val="20"/>
              </w:rPr>
            </w:pPr>
            <w:r>
              <w:rPr>
                <w:rFonts w:hint="default" w:ascii="Times New Roman" w:hAnsi="Times New Roman"/>
                <w:color w:val="000000"/>
                <w:sz w:val="18"/>
                <w:szCs w:val="20"/>
              </w:rPr>
              <w:t>度量温室气体的排放量，例如CO</w:t>
            </w:r>
            <w:r>
              <w:rPr>
                <w:rFonts w:hint="default" w:ascii="Times New Roman" w:hAnsi="Times New Roman"/>
                <w:color w:val="000000"/>
                <w:sz w:val="18"/>
                <w:szCs w:val="20"/>
                <w:vertAlign w:val="subscript"/>
              </w:rPr>
              <w:t xml:space="preserve">2 </w:t>
            </w:r>
            <w:r>
              <w:rPr>
                <w:rFonts w:hint="default" w:ascii="Times New Roman" w:hAnsi="Times New Roman"/>
                <w:color w:val="000000"/>
                <w:sz w:val="18"/>
                <w:szCs w:val="20"/>
              </w:rPr>
              <w:t>和甲醛。这些气体排放促使了地表热辐射的过度吸收，加剧了温室效应。</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kg CO</w:t>
            </w:r>
            <w:r>
              <w:rPr>
                <w:rFonts w:hint="default" w:ascii="Times New Roman" w:hAnsi="Times New Roman"/>
                <w:color w:val="000000"/>
                <w:sz w:val="18"/>
                <w:szCs w:val="20"/>
                <w:vertAlign w:val="subscript"/>
              </w:rPr>
              <w:t xml:space="preserve">2 </w:t>
            </w:r>
            <w:r>
              <w:rPr>
                <w:rFonts w:hint="default" w:ascii="Times New Roman" w:hAnsi="Times New Roman"/>
                <w:color w:val="000000"/>
                <w:sz w:val="18"/>
                <w:szCs w:val="20"/>
              </w:rPr>
              <w:t>当量</w:t>
            </w:r>
          </w:p>
        </w:tc>
      </w:tr>
    </w:tbl>
    <w:p>
      <w:pPr>
        <w:spacing w:before="120" w:beforeLines="50" w:after="120" w:afterLines="50"/>
        <w:jc w:val="left"/>
        <w:rPr>
          <w:rFonts w:hint="eastAsia" w:ascii="黑体" w:hAnsi="黑体" w:eastAsia="黑体"/>
          <w:color w:val="000000"/>
          <w:szCs w:val="21"/>
        </w:rPr>
      </w:pPr>
    </w:p>
    <w:p>
      <w:pPr>
        <w:pStyle w:val="2"/>
        <w:spacing w:before="157" w:beforeLines="50" w:after="157" w:afterLines="50"/>
        <w:jc w:val="center"/>
        <w:rPr>
          <w:rFonts w:ascii="黑体" w:hAnsi="黑体" w:eastAsia="黑体"/>
          <w:color w:val="000000"/>
          <w:szCs w:val="21"/>
        </w:rPr>
      </w:pPr>
    </w:p>
    <w:p>
      <w:pPr>
        <w:pStyle w:val="2"/>
        <w:spacing w:before="157" w:beforeLines="50" w:after="157" w:afterLines="50"/>
        <w:jc w:val="center"/>
        <w:rPr>
          <w:rFonts w:hint="default" w:eastAsia="黑体"/>
          <w:lang w:val="en-US" w:eastAsia="zh-CN"/>
        </w:rPr>
      </w:pPr>
      <w:r>
        <w:rPr>
          <w:rFonts w:ascii="黑体" w:hAnsi="黑体" w:eastAsia="黑体"/>
          <w:color w:val="000000"/>
          <w:szCs w:val="21"/>
        </w:rPr>
        <w:t>表</w:t>
      </w:r>
      <w:r>
        <w:rPr>
          <w:rFonts w:hint="eastAsia" w:ascii="黑体" w:hAnsi="黑体" w:eastAsia="黑体"/>
          <w:color w:val="000000"/>
          <w:szCs w:val="21"/>
        </w:rPr>
        <w:t>B</w:t>
      </w:r>
      <w:r>
        <w:rPr>
          <w:rFonts w:ascii="黑体" w:hAnsi="黑体" w:eastAsia="黑体"/>
          <w:color w:val="000000"/>
          <w:szCs w:val="21"/>
        </w:rPr>
        <w:t>.</w:t>
      </w:r>
      <w:r>
        <w:rPr>
          <w:rFonts w:hint="eastAsia" w:ascii="黑体" w:hAnsi="黑体" w:eastAsia="黑体"/>
          <w:color w:val="000000"/>
          <w:szCs w:val="21"/>
        </w:rPr>
        <w:t>1</w:t>
      </w:r>
      <w:r>
        <w:rPr>
          <w:rFonts w:hint="eastAsia" w:ascii="黑体" w:hAnsi="黑体" w:eastAsia="黑体"/>
          <w:color w:val="000000"/>
          <w:szCs w:val="21"/>
          <w:lang w:val="en-US" w:eastAsia="zh-CN"/>
        </w:rPr>
        <w:t xml:space="preserve">  </w:t>
      </w:r>
      <w:r>
        <w:rPr>
          <w:rFonts w:hint="eastAsia" w:ascii="宋体" w:hAnsi="宋体" w:eastAsia="宋体" w:cs="宋体"/>
          <w:color w:val="000000"/>
          <w:sz w:val="18"/>
          <w:szCs w:val="18"/>
          <w:lang w:val="en-US" w:eastAsia="zh-CN"/>
        </w:rPr>
        <w:t>（续）</w:t>
      </w: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2157"/>
        <w:gridCol w:w="410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影响类型</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指标</w:t>
            </w:r>
          </w:p>
        </w:tc>
        <w:tc>
          <w:tcPr>
            <w:tcW w:w="4106"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描述</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Cs/>
                <w:color w:val="000000"/>
                <w:sz w:val="18"/>
                <w:szCs w:val="20"/>
              </w:rPr>
            </w:pPr>
            <w:r>
              <w:rPr>
                <w:rFonts w:hint="default" w:ascii="Times New Roman" w:hAnsi="Times New Roman"/>
                <w:color w:val="000000"/>
                <w:sz w:val="18"/>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
                <w:bCs/>
                <w:color w:val="000000"/>
                <w:sz w:val="18"/>
                <w:szCs w:val="20"/>
              </w:rPr>
            </w:pPr>
            <w:r>
              <w:rPr>
                <w:rFonts w:hint="default" w:ascii="Times New Roman" w:hAnsi="Times New Roman"/>
                <w:color w:val="000000"/>
                <w:sz w:val="18"/>
                <w:szCs w:val="20"/>
              </w:rPr>
              <w:t>水体富营养化</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水体富营养化潜力</w:t>
            </w:r>
          </w:p>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(EP)</w:t>
            </w:r>
          </w:p>
        </w:tc>
        <w:tc>
          <w:tcPr>
            <w:tcW w:w="4106" w:type="dxa"/>
            <w:vAlign w:val="center"/>
          </w:tcPr>
          <w:p>
            <w:pPr>
              <w:keepNext w:val="0"/>
              <w:keepLines w:val="0"/>
              <w:suppressLineNumbers w:val="0"/>
              <w:adjustRightInd w:val="0"/>
              <w:snapToGrid w:val="0"/>
              <w:spacing w:before="0" w:beforeAutospacing="0" w:after="0" w:afterAutospacing="0"/>
              <w:ind w:left="0" w:right="0"/>
              <w:textAlignment w:val="center"/>
              <w:rPr>
                <w:rFonts w:hint="default" w:ascii="Times New Roman" w:hAnsi="Times New Roman"/>
                <w:color w:val="000000"/>
                <w:sz w:val="18"/>
                <w:szCs w:val="20"/>
              </w:rPr>
            </w:pPr>
            <w:r>
              <w:rPr>
                <w:rFonts w:hint="default" w:ascii="Times New Roman" w:hAnsi="Times New Roman"/>
                <w:color w:val="000000"/>
                <w:sz w:val="18"/>
                <w:szCs w:val="20"/>
              </w:rPr>
              <w:t>度量由废水（污染物质）排放引发的水体富营养化。水体富营养化潜力是一个化学计算的过程，主要是核算出氮和磷对陆地和海洋系统的影响（当量）。</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kg PO</w:t>
            </w:r>
            <w:r>
              <w:rPr>
                <w:rFonts w:hint="default" w:ascii="Times New Roman" w:hAnsi="Times New Roman"/>
                <w:color w:val="000000"/>
                <w:sz w:val="18"/>
                <w:szCs w:val="20"/>
                <w:vertAlign w:val="subscript"/>
              </w:rPr>
              <w:t>4</w:t>
            </w:r>
            <w:r>
              <w:rPr>
                <w:rFonts w:hint="default" w:ascii="Times New Roman" w:hAnsi="Times New Roman"/>
                <w:color w:val="000000"/>
                <w:sz w:val="18"/>
                <w:szCs w:val="20"/>
                <w:vertAlign w:val="superscript"/>
              </w:rPr>
              <w:t>3-</w:t>
            </w:r>
            <w:r>
              <w:rPr>
                <w:rFonts w:hint="default" w:ascii="Times New Roman" w:hAnsi="Times New Roman"/>
                <w:color w:val="000000"/>
                <w:sz w:val="18"/>
                <w:szCs w:val="20"/>
              </w:rPr>
              <w:t>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
                <w:bCs/>
                <w:color w:val="000000"/>
                <w:sz w:val="18"/>
                <w:szCs w:val="20"/>
              </w:rPr>
            </w:pPr>
            <w:r>
              <w:rPr>
                <w:rFonts w:hint="default" w:ascii="Times New Roman" w:hAnsi="Times New Roman"/>
                <w:color w:val="000000"/>
                <w:sz w:val="18"/>
                <w:szCs w:val="20"/>
              </w:rPr>
              <w:t>酸雨</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酸化潜力</w:t>
            </w:r>
          </w:p>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（AP）</w:t>
            </w:r>
          </w:p>
        </w:tc>
        <w:tc>
          <w:tcPr>
            <w:tcW w:w="4106" w:type="dxa"/>
            <w:vAlign w:val="center"/>
          </w:tcPr>
          <w:p>
            <w:pPr>
              <w:keepNext w:val="0"/>
              <w:keepLines w:val="0"/>
              <w:suppressLineNumbers w:val="0"/>
              <w:adjustRightInd w:val="0"/>
              <w:snapToGrid w:val="0"/>
              <w:spacing w:before="0" w:beforeAutospacing="0" w:after="0" w:afterAutospacing="0"/>
              <w:ind w:left="0" w:right="0"/>
              <w:textAlignment w:val="center"/>
              <w:rPr>
                <w:rFonts w:hint="default" w:ascii="Times New Roman" w:hAnsi="Times New Roman"/>
                <w:color w:val="000000"/>
                <w:sz w:val="18"/>
                <w:szCs w:val="20"/>
              </w:rPr>
            </w:pPr>
            <w:r>
              <w:rPr>
                <w:rFonts w:hint="default" w:ascii="Times New Roman" w:hAnsi="Times New Roman"/>
                <w:color w:val="000000"/>
                <w:sz w:val="18"/>
                <w:szCs w:val="20"/>
              </w:rPr>
              <w:t>度量（气体）污染物排放引发与酸化有关的环境影响。 酸化潜力是由硫、氮和卤族元素的排放浓度和含量而定的。</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kg SO</w:t>
            </w:r>
            <w:r>
              <w:rPr>
                <w:rFonts w:hint="default" w:ascii="Times New Roman" w:hAnsi="Times New Roman"/>
                <w:color w:val="000000"/>
                <w:sz w:val="18"/>
                <w:szCs w:val="20"/>
                <w:vertAlign w:val="subscript"/>
              </w:rPr>
              <w:t>2</w:t>
            </w:r>
            <w:r>
              <w:rPr>
                <w:rFonts w:hint="default" w:ascii="Times New Roman" w:hAnsi="Times New Roman"/>
                <w:color w:val="000000"/>
                <w:sz w:val="18"/>
                <w:szCs w:val="20"/>
              </w:rPr>
              <w:t xml:space="preserve"> 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
                <w:bCs/>
                <w:color w:val="000000"/>
                <w:sz w:val="18"/>
                <w:szCs w:val="20"/>
              </w:rPr>
            </w:pPr>
            <w:r>
              <w:rPr>
                <w:rFonts w:hint="default" w:ascii="Times New Roman" w:hAnsi="Times New Roman"/>
                <w:color w:val="000000"/>
                <w:sz w:val="18"/>
                <w:szCs w:val="20"/>
              </w:rPr>
              <w:t>光化学氧化作用</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pacing w:val="-1"/>
                <w:sz w:val="18"/>
              </w:rPr>
            </w:pPr>
            <w:r>
              <w:rPr>
                <w:rFonts w:hint="default" w:ascii="Times New Roman" w:hAnsi="Times New Roman"/>
                <w:color w:val="000000"/>
                <w:sz w:val="18"/>
                <w:szCs w:val="20"/>
              </w:rPr>
              <w:t>光化学氧化剂生成潜力 (POCP)/光化学烟雾的 影响</w:t>
            </w:r>
          </w:p>
        </w:tc>
        <w:tc>
          <w:tcPr>
            <w:tcW w:w="4106" w:type="dxa"/>
            <w:vAlign w:val="center"/>
          </w:tcPr>
          <w:p>
            <w:pPr>
              <w:keepNext w:val="0"/>
              <w:keepLines w:val="0"/>
              <w:suppressLineNumbers w:val="0"/>
              <w:adjustRightInd w:val="0"/>
              <w:snapToGrid w:val="0"/>
              <w:spacing w:before="0" w:beforeAutospacing="0" w:after="0" w:afterAutospacing="0"/>
              <w:ind w:left="0" w:right="0"/>
              <w:textAlignment w:val="center"/>
              <w:rPr>
                <w:rFonts w:hint="default" w:ascii="Times New Roman" w:hAnsi="Times New Roman"/>
                <w:color w:val="000000"/>
                <w:sz w:val="18"/>
                <w:szCs w:val="20"/>
              </w:rPr>
            </w:pPr>
            <w:r>
              <w:rPr>
                <w:rFonts w:hint="default" w:ascii="Times New Roman" w:hAnsi="Times New Roman"/>
                <w:color w:val="000000"/>
                <w:sz w:val="18"/>
                <w:szCs w:val="20"/>
              </w:rPr>
              <w:t>度量（气体）污染物排放，包括由参与光化学反应过程的一次污染物和二次污染物的混合物（其中有气体污染物，也有气溶胶）所形成的烟雾污染现象。</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kg C</w:t>
            </w:r>
            <w:r>
              <w:rPr>
                <w:rFonts w:hint="default" w:ascii="Times New Roman" w:hAnsi="Times New Roman"/>
                <w:color w:val="000000"/>
                <w:sz w:val="18"/>
                <w:szCs w:val="20"/>
                <w:vertAlign w:val="subscript"/>
              </w:rPr>
              <w:t>2</w:t>
            </w:r>
            <w:r>
              <w:rPr>
                <w:rFonts w:hint="default" w:ascii="Times New Roman" w:hAnsi="Times New Roman"/>
                <w:color w:val="000000"/>
                <w:sz w:val="18"/>
                <w:szCs w:val="20"/>
              </w:rPr>
              <w:t>H</w:t>
            </w:r>
            <w:r>
              <w:rPr>
                <w:rFonts w:hint="default" w:ascii="Times New Roman" w:hAnsi="Times New Roman"/>
                <w:color w:val="000000"/>
                <w:sz w:val="18"/>
                <w:szCs w:val="20"/>
                <w:vertAlign w:val="subscript"/>
              </w:rPr>
              <w:t>4</w:t>
            </w:r>
            <w:r>
              <w:rPr>
                <w:rFonts w:hint="default" w:ascii="Times New Roman" w:hAnsi="Times New Roman"/>
                <w:color w:val="000000"/>
                <w:sz w:val="18"/>
                <w:szCs w:val="20"/>
              </w:rPr>
              <w:t>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1715"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szCs w:val="20"/>
              </w:rPr>
              <w:t>初级能源</w:t>
            </w:r>
          </w:p>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b/>
                <w:bCs/>
                <w:color w:val="000000"/>
                <w:sz w:val="18"/>
                <w:szCs w:val="20"/>
              </w:rPr>
            </w:pPr>
            <w:r>
              <w:rPr>
                <w:rFonts w:hint="default" w:ascii="Times New Roman" w:hAnsi="Times New Roman"/>
                <w:color w:val="000000"/>
                <w:sz w:val="18"/>
                <w:szCs w:val="20"/>
              </w:rPr>
              <w:t>消耗</w:t>
            </w:r>
          </w:p>
        </w:tc>
        <w:tc>
          <w:tcPr>
            <w:tcW w:w="2157"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rPr>
            </w:pPr>
            <w:r>
              <w:rPr>
                <w:rFonts w:hint="default" w:ascii="Times New Roman" w:hAnsi="Times New Roman"/>
                <w:color w:val="000000"/>
                <w:sz w:val="18"/>
              </w:rPr>
              <w:t>初级能源消耗总量</w:t>
            </w:r>
          </w:p>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rPr>
            </w:pPr>
            <w:r>
              <w:rPr>
                <w:rFonts w:hint="default" w:ascii="Times New Roman" w:hAnsi="Times New Roman"/>
                <w:color w:val="000000"/>
                <w:sz w:val="18"/>
              </w:rPr>
              <w:t>(PED)</w:t>
            </w:r>
          </w:p>
        </w:tc>
        <w:tc>
          <w:tcPr>
            <w:tcW w:w="4106" w:type="dxa"/>
            <w:vAlign w:val="center"/>
          </w:tcPr>
          <w:p>
            <w:pPr>
              <w:keepNext w:val="0"/>
              <w:keepLines w:val="0"/>
              <w:suppressLineNumbers w:val="0"/>
              <w:adjustRightInd w:val="0"/>
              <w:snapToGrid w:val="0"/>
              <w:spacing w:before="0" w:beforeAutospacing="0" w:after="0" w:afterAutospacing="0"/>
              <w:ind w:left="0" w:right="0"/>
              <w:textAlignment w:val="center"/>
              <w:rPr>
                <w:rFonts w:hint="default" w:ascii="Times New Roman" w:hAnsi="Times New Roman"/>
                <w:color w:val="000000"/>
                <w:sz w:val="18"/>
                <w:szCs w:val="20"/>
              </w:rPr>
            </w:pPr>
            <w:r>
              <w:rPr>
                <w:rFonts w:hint="default" w:ascii="Times New Roman" w:hAnsi="Times New Roman"/>
                <w:color w:val="000000"/>
                <w:sz w:val="18"/>
              </w:rPr>
              <w:t>从任何来源获取的初级能源消耗总量的测量值。PED是用对非再生能源（例如石油、天然气等）和可再生能源（例如水力、风能和太阳能等）的需求来表示的。能源储存的效率（例如电力、热和蒸汽）也考虑其中。</w:t>
            </w:r>
          </w:p>
        </w:tc>
        <w:tc>
          <w:tcPr>
            <w:tcW w:w="1308" w:type="dxa"/>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rPr>
            </w:pPr>
            <w:r>
              <w:rPr>
                <w:rFonts w:hint="default" w:ascii="Times New Roman" w:hAnsi="Times New Roman"/>
                <w:color w:val="000000"/>
                <w:sz w:val="18"/>
              </w:rPr>
              <w:t>MJ</w:t>
            </w:r>
          </w:p>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w:hAnsi="Times New Roman"/>
                <w:color w:val="000000"/>
                <w:sz w:val="18"/>
                <w:szCs w:val="20"/>
                <w:highlight w:val="yellow"/>
              </w:rPr>
            </w:pPr>
            <w:r>
              <w:rPr>
                <w:rFonts w:hint="default" w:ascii="Times New Roman" w:hAnsi="Times New Roman"/>
                <w:color w:val="000000"/>
                <w:sz w:val="18"/>
              </w:rPr>
              <w:t>(低热值)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9286" w:type="dxa"/>
            <w:gridSpan w:val="4"/>
            <w:vAlign w:val="center"/>
          </w:tcPr>
          <w:p>
            <w:pPr>
              <w:keepNext w:val="0"/>
              <w:keepLines w:val="0"/>
              <w:suppressLineNumbers w:val="0"/>
              <w:adjustRightInd w:val="0"/>
              <w:snapToGrid w:val="0"/>
              <w:spacing w:before="0" w:beforeAutospacing="0" w:after="0" w:afterAutospacing="0"/>
              <w:ind w:left="0" w:right="0" w:firstLine="360" w:firstLineChars="200"/>
              <w:textAlignment w:val="center"/>
              <w:rPr>
                <w:rFonts w:hint="default" w:ascii="Times New Roman" w:hAnsi="Times New Roman"/>
                <w:color w:val="000000"/>
                <w:sz w:val="18"/>
                <w:szCs w:val="20"/>
                <w:lang w:val="de-DE"/>
              </w:rPr>
            </w:pPr>
            <w:r>
              <w:rPr>
                <w:rFonts w:hint="default" w:ascii="黑体" w:hAnsi="黑体" w:eastAsia="黑体"/>
                <w:color w:val="000000"/>
                <w:sz w:val="18"/>
                <w:szCs w:val="20"/>
                <w:lang w:val="de-DE"/>
              </w:rPr>
              <w:t>注：</w:t>
            </w:r>
            <w:r>
              <w:rPr>
                <w:rFonts w:hint="default" w:ascii="Times New Roman" w:hAnsi="Times New Roman"/>
                <w:color w:val="000000"/>
                <w:sz w:val="18"/>
                <w:szCs w:val="20"/>
                <w:lang w:val="de-DE"/>
              </w:rPr>
              <w:t>针对四氧化三钴的其他相关重要指标，比如水资源的稀缺、土地利用、非生物资源枯竭和人体健康和生态毒性等，因其还处于研究阶段，暂不在本标准内予以考虑。但应该准确、全面地收集生命周期清单数据，为以后开展相应的影响评价做好准备。</w:t>
            </w:r>
          </w:p>
        </w:tc>
      </w:tr>
    </w:tbl>
    <w:p>
      <w:pPr>
        <w:spacing w:before="120" w:beforeLines="50" w:after="120" w:afterLines="50"/>
        <w:jc w:val="left"/>
        <w:rPr>
          <w:rFonts w:hint="eastAsia" w:ascii="黑体" w:hAnsi="黑体" w:eastAsia="黑体"/>
          <w:color w:val="000000"/>
          <w:szCs w:val="21"/>
        </w:rPr>
      </w:pP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.2.7  数据</w:t>
      </w:r>
      <w:r>
        <w:rPr>
          <w:rFonts w:hint="eastAsia" w:ascii="黑体" w:hAnsi="黑体" w:eastAsia="黑体"/>
          <w:color w:val="000000"/>
          <w:szCs w:val="21"/>
        </w:rPr>
        <w:t>的来源和质量</w:t>
      </w:r>
    </w:p>
    <w:p>
      <w:pPr>
        <w:ind w:firstLine="420" w:firstLineChars="200"/>
        <w:jc w:val="left"/>
        <w:rPr>
          <w:rFonts w:ascii="Times New Roman" w:hAnsi="Times New Roman"/>
          <w:color w:val="000000"/>
          <w:szCs w:val="21"/>
        </w:rPr>
      </w:pPr>
      <w:r>
        <w:rPr>
          <w:rFonts w:ascii="Times New Roman" w:hAnsi="Times New Roman"/>
          <w:color w:val="000000"/>
          <w:szCs w:val="21"/>
        </w:rPr>
        <w:t>数据的来源和质量应遵循以下原则和要求：</w:t>
      </w:r>
    </w:p>
    <w:p>
      <w:pPr>
        <w:numPr>
          <w:ilvl w:val="0"/>
          <w:numId w:val="10"/>
        </w:numPr>
        <w:ind w:left="840"/>
        <w:jc w:val="left"/>
        <w:rPr>
          <w:rFonts w:ascii="Times New Roman" w:hAnsi="Times New Roman"/>
          <w:color w:val="000000"/>
          <w:szCs w:val="21"/>
        </w:rPr>
      </w:pPr>
      <w:r>
        <w:rPr>
          <w:rFonts w:ascii="Times New Roman" w:hAnsi="Times New Roman"/>
          <w:color w:val="000000"/>
          <w:szCs w:val="21"/>
        </w:rPr>
        <w:t>准确性</w:t>
      </w:r>
      <w:r>
        <w:rPr>
          <w:rFonts w:hint="eastAsia" w:ascii="Times New Roman" w:hAnsi="Times New Roman"/>
          <w:color w:val="000000"/>
          <w:szCs w:val="21"/>
          <w:lang w:eastAsia="zh-CN"/>
        </w:rPr>
        <w:t>。</w:t>
      </w:r>
    </w:p>
    <w:p>
      <w:pPr>
        <w:pStyle w:val="37"/>
        <w:jc w:val="left"/>
        <w:rPr>
          <w:rFonts w:ascii="Times New Roman" w:hAnsi="Times New Roman"/>
          <w:color w:val="000000"/>
          <w:szCs w:val="21"/>
        </w:rPr>
      </w:pPr>
      <w:r>
        <w:rPr>
          <w:rFonts w:ascii="Times New Roman" w:hAnsi="Times New Roman"/>
          <w:color w:val="000000"/>
          <w:szCs w:val="21"/>
        </w:rPr>
        <w:t>对于原始数据，如能源消耗、原材料、运输以及其他相关数据由企业直接提供；对于环境污染物排放数据，优先使用环境监测报告中的相关数据。</w:t>
      </w:r>
    </w:p>
    <w:p>
      <w:pPr>
        <w:numPr>
          <w:ilvl w:val="0"/>
          <w:numId w:val="10"/>
        </w:numPr>
        <w:ind w:left="840"/>
        <w:jc w:val="left"/>
        <w:rPr>
          <w:rFonts w:ascii="Times New Roman" w:hAnsi="Times New Roman"/>
          <w:color w:val="000000"/>
          <w:szCs w:val="21"/>
        </w:rPr>
      </w:pPr>
      <w:r>
        <w:rPr>
          <w:rFonts w:ascii="Times New Roman" w:hAnsi="Times New Roman"/>
          <w:color w:val="000000"/>
          <w:szCs w:val="21"/>
        </w:rPr>
        <w:t>完整性</w:t>
      </w:r>
      <w:r>
        <w:rPr>
          <w:rFonts w:hint="eastAsia" w:ascii="Times New Roman" w:hAnsi="Times New Roman"/>
          <w:color w:val="000000"/>
          <w:szCs w:val="21"/>
          <w:lang w:eastAsia="zh-CN"/>
        </w:rPr>
        <w:t>。</w:t>
      </w:r>
    </w:p>
    <w:p>
      <w:pPr>
        <w:pStyle w:val="37"/>
        <w:jc w:val="left"/>
        <w:rPr>
          <w:rFonts w:ascii="Times New Roman" w:hAnsi="Times New Roman"/>
          <w:color w:val="000000"/>
          <w:szCs w:val="21"/>
        </w:rPr>
      </w:pPr>
      <w:r>
        <w:rPr>
          <w:rFonts w:ascii="Times New Roman" w:hAnsi="Times New Roman"/>
          <w:color w:val="000000"/>
          <w:szCs w:val="21"/>
        </w:rPr>
        <w:t>将四氧化三钴生产过程中的所有相关步骤都考虑在内并进行模型的构建，以便能反映出实际的生产情及对应的环境影响。这些生产过程应与评价的目的和范围保持一致。</w:t>
      </w:r>
    </w:p>
    <w:p>
      <w:pPr>
        <w:numPr>
          <w:ilvl w:val="0"/>
          <w:numId w:val="10"/>
        </w:numPr>
        <w:ind w:left="840"/>
        <w:jc w:val="left"/>
        <w:rPr>
          <w:rFonts w:ascii="Times New Roman" w:hAnsi="Times New Roman"/>
          <w:color w:val="000000"/>
          <w:szCs w:val="21"/>
        </w:rPr>
      </w:pPr>
      <w:r>
        <w:rPr>
          <w:rFonts w:ascii="Times New Roman" w:hAnsi="Times New Roman"/>
          <w:color w:val="000000"/>
          <w:szCs w:val="21"/>
        </w:rPr>
        <w:t>一致性</w:t>
      </w:r>
      <w:r>
        <w:rPr>
          <w:rFonts w:hint="eastAsia" w:ascii="Times New Roman" w:hAnsi="Times New Roman"/>
          <w:color w:val="000000"/>
          <w:szCs w:val="21"/>
          <w:lang w:eastAsia="zh-CN"/>
        </w:rPr>
        <w:t>。</w:t>
      </w:r>
    </w:p>
    <w:p>
      <w:pPr>
        <w:pStyle w:val="37"/>
        <w:jc w:val="left"/>
        <w:rPr>
          <w:rFonts w:ascii="Times New Roman" w:hAnsi="Times New Roman"/>
          <w:color w:val="000000"/>
          <w:szCs w:val="21"/>
        </w:rPr>
      </w:pPr>
      <w:r>
        <w:rPr>
          <w:rFonts w:ascii="Times New Roman" w:hAnsi="Times New Roman"/>
          <w:color w:val="000000"/>
          <w:szCs w:val="21"/>
        </w:rPr>
        <w:t>为确保评价过程和结果一致性，所有原始数据（包括每个单元过程的消耗和排放）均应符合基于相同产品产量、相同边界范围和相同数据统计的统计标准。在所确定的研究范围内收集的全部原始数据需能反映国内企业的实际生产情况。</w:t>
      </w:r>
    </w:p>
    <w:p>
      <w:pPr>
        <w:numPr>
          <w:ilvl w:val="0"/>
          <w:numId w:val="10"/>
        </w:numPr>
        <w:ind w:left="840"/>
        <w:jc w:val="left"/>
        <w:rPr>
          <w:rFonts w:ascii="Times New Roman" w:hAnsi="Times New Roman"/>
          <w:color w:val="000000"/>
          <w:szCs w:val="21"/>
        </w:rPr>
      </w:pPr>
      <w:r>
        <w:rPr>
          <w:rFonts w:ascii="Times New Roman" w:hAnsi="Times New Roman"/>
          <w:color w:val="000000"/>
          <w:szCs w:val="21"/>
        </w:rPr>
        <w:t>代表性。</w:t>
      </w:r>
    </w:p>
    <w:p>
      <w:pPr>
        <w:pStyle w:val="37"/>
        <w:jc w:val="left"/>
        <w:rPr>
          <w:rFonts w:ascii="Times New Roman" w:hAnsi="Times New Roman"/>
          <w:color w:val="000000"/>
          <w:szCs w:val="21"/>
        </w:rPr>
      </w:pPr>
      <w:r>
        <w:rPr>
          <w:rFonts w:ascii="Times New Roman" w:hAnsi="Times New Roman"/>
          <w:color w:val="000000"/>
          <w:szCs w:val="21"/>
        </w:rPr>
        <w:t>代表性表示数据清单与目的和范围中所定义的地理上的、时间上的和技术上的要求的匹配程度。旨在对所有前景数据系统使用最具代表性的原始数据，对所有背景数据系统使用最具代表性的行业平均数据。当缺乏数据时(比如没有行业平均数据可用），则应该使用最为相关、合适的替代数据。</w:t>
      </w:r>
    </w:p>
    <w:p>
      <w:pPr>
        <w:pStyle w:val="37"/>
        <w:numPr>
          <w:ilvl w:val="-1"/>
          <w:numId w:val="0"/>
        </w:numPr>
        <w:ind w:left="839" w:firstLine="0" w:firstLineChars="0"/>
        <w:jc w:val="left"/>
        <w:rPr>
          <w:rFonts w:ascii="Times New Roman" w:hAnsi="Times New Roman"/>
          <w:color w:val="000000"/>
          <w:szCs w:val="21"/>
        </w:rPr>
      </w:pPr>
      <w:r>
        <w:rPr>
          <w:rFonts w:hint="eastAsia" w:ascii="Times New Roman" w:hAnsi="Times New Roman"/>
          <w:color w:val="000000"/>
          <w:szCs w:val="21"/>
          <w:lang w:val="en-US" w:eastAsia="zh-CN"/>
        </w:rPr>
        <w:t>1</w:t>
      </w:r>
      <w:r>
        <w:rPr>
          <w:rFonts w:hint="eastAsia" w:ascii="Times New Roman" w:hAnsi="Times New Roman"/>
          <w:color w:val="000000"/>
          <w:szCs w:val="21"/>
          <w:lang w:eastAsia="zh-CN"/>
        </w:rPr>
        <w:t>）</w:t>
      </w:r>
      <w:r>
        <w:rPr>
          <w:rFonts w:ascii="Times New Roman" w:hAnsi="Times New Roman"/>
          <w:color w:val="000000"/>
          <w:szCs w:val="21"/>
        </w:rPr>
        <w:t>技术代表性：应该涵盖和评价冶炼工艺中的所有重要技术或相关工艺</w:t>
      </w:r>
      <w:r>
        <w:rPr>
          <w:rFonts w:hint="eastAsia" w:ascii="Times New Roman" w:hAnsi="Times New Roman"/>
          <w:color w:val="000000"/>
          <w:szCs w:val="21"/>
          <w:lang w:eastAsia="zh-CN"/>
        </w:rPr>
        <w:t>；</w:t>
      </w:r>
    </w:p>
    <w:p>
      <w:pPr>
        <w:pStyle w:val="37"/>
        <w:numPr>
          <w:ilvl w:val="-1"/>
          <w:numId w:val="0"/>
        </w:numPr>
        <w:ind w:left="839" w:firstLine="0" w:firstLineChars="0"/>
        <w:jc w:val="left"/>
        <w:rPr>
          <w:rFonts w:ascii="Times New Roman" w:hAnsi="Times New Roman"/>
          <w:color w:val="000000"/>
          <w:szCs w:val="21"/>
        </w:rPr>
      </w:pPr>
      <w:r>
        <w:rPr>
          <w:rFonts w:hint="eastAsia" w:ascii="Times New Roman" w:hAnsi="Times New Roman"/>
          <w:color w:val="000000"/>
          <w:szCs w:val="21"/>
          <w:lang w:val="en-US" w:eastAsia="zh-CN"/>
        </w:rPr>
        <w:t>2</w:t>
      </w:r>
      <w:r>
        <w:rPr>
          <w:rFonts w:hint="eastAsia" w:ascii="Times New Roman" w:hAnsi="Times New Roman"/>
          <w:color w:val="000000"/>
          <w:szCs w:val="21"/>
          <w:lang w:eastAsia="zh-CN"/>
        </w:rPr>
        <w:t>）</w:t>
      </w:r>
      <w:r>
        <w:rPr>
          <w:rFonts w:ascii="Times New Roman" w:hAnsi="Times New Roman"/>
          <w:color w:val="000000"/>
          <w:szCs w:val="21"/>
        </w:rPr>
        <w:t>地理代表性：应该包括四氧化三钴生产企业的地理范围和各种辅助材料的生产加工</w:t>
      </w:r>
      <w:r>
        <w:rPr>
          <w:rFonts w:hint="eastAsia" w:ascii="Times New Roman" w:hAnsi="Times New Roman"/>
          <w:color w:val="000000"/>
          <w:szCs w:val="21"/>
          <w:lang w:eastAsia="zh-CN"/>
        </w:rPr>
        <w:t>；</w:t>
      </w:r>
    </w:p>
    <w:p>
      <w:pPr>
        <w:pStyle w:val="37"/>
        <w:numPr>
          <w:ilvl w:val="-1"/>
          <w:numId w:val="0"/>
        </w:numPr>
        <w:ind w:left="839" w:firstLine="0" w:firstLineChars="0"/>
        <w:jc w:val="left"/>
        <w:rPr>
          <w:rFonts w:ascii="Times New Roman" w:hAnsi="Times New Roman"/>
          <w:color w:val="000000"/>
          <w:szCs w:val="21"/>
        </w:rPr>
      </w:pPr>
      <w:r>
        <w:rPr>
          <w:rFonts w:hint="eastAsia" w:ascii="Times New Roman" w:hAnsi="Times New Roman"/>
          <w:color w:val="000000"/>
          <w:szCs w:val="21"/>
          <w:lang w:val="en-US" w:eastAsia="zh-CN"/>
        </w:rPr>
        <w:t>3</w:t>
      </w:r>
      <w:r>
        <w:rPr>
          <w:rFonts w:hint="eastAsia" w:ascii="Times New Roman" w:hAnsi="Times New Roman"/>
          <w:color w:val="000000"/>
          <w:szCs w:val="21"/>
          <w:lang w:eastAsia="zh-CN"/>
        </w:rPr>
        <w:t>）</w:t>
      </w:r>
      <w:r>
        <w:rPr>
          <w:rFonts w:ascii="Times New Roman" w:hAnsi="Times New Roman"/>
          <w:color w:val="000000"/>
          <w:szCs w:val="21"/>
        </w:rPr>
        <w:t>时间代表性：与评价目标时间差别至少不小于3年。</w:t>
      </w:r>
    </w:p>
    <w:p>
      <w:pPr>
        <w:spacing w:before="240" w:beforeLines="100" w:after="240" w:afterLines="10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  生命周期清单分析</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.3.1  总则</w:t>
      </w:r>
    </w:p>
    <w:p>
      <w:pPr>
        <w:ind w:firstLine="420" w:firstLineChars="200"/>
        <w:jc w:val="left"/>
        <w:rPr>
          <w:rFonts w:ascii="黑体" w:hAnsi="黑体"/>
          <w:color w:val="000000"/>
          <w:szCs w:val="21"/>
        </w:rPr>
      </w:pPr>
      <w:r>
        <w:rPr>
          <w:rFonts w:ascii="黑体" w:hAnsi="黑体"/>
          <w:color w:val="000000"/>
          <w:szCs w:val="21"/>
        </w:rPr>
        <w:t>应编制四氧化三钴产品系统边界内的所有原材料、辅料、能源和资源的输入，主产品和副产品的输出，和排放到大气、水及土壤的排放物以及废弃物的清单，作为产品生命周期评价的依据。</w:t>
      </w:r>
    </w:p>
    <w:p>
      <w:pPr>
        <w:ind w:firstLine="420"/>
        <w:rPr>
          <w:rFonts w:ascii="黑体" w:hAnsi="黑体"/>
          <w:color w:val="000000"/>
        </w:rPr>
      </w:pPr>
      <w:r>
        <w:rPr>
          <w:rFonts w:ascii="黑体" w:hAnsi="黑体"/>
          <w:color w:val="000000"/>
        </w:rPr>
        <w:t>如果数据清单有特殊情况、异常点或其</w:t>
      </w:r>
      <w:r>
        <w:rPr>
          <w:rFonts w:hint="eastAsia" w:ascii="黑体" w:hAnsi="黑体"/>
          <w:color w:val="000000"/>
        </w:rPr>
        <w:t>他</w:t>
      </w:r>
      <w:r>
        <w:rPr>
          <w:rFonts w:ascii="黑体" w:hAnsi="黑体"/>
          <w:color w:val="000000"/>
        </w:rPr>
        <w:t>问题，应在报告中进行明确说明。</w:t>
      </w:r>
    </w:p>
    <w:p>
      <w:pPr>
        <w:ind w:firstLine="420" w:firstLineChars="200"/>
        <w:jc w:val="left"/>
        <w:rPr>
          <w:rFonts w:ascii="黑体" w:hAnsi="黑体"/>
          <w:color w:val="000000"/>
          <w:szCs w:val="21"/>
        </w:rPr>
      </w:pPr>
      <w:r>
        <w:rPr>
          <w:rFonts w:ascii="黑体" w:hAnsi="黑体"/>
          <w:color w:val="000000"/>
          <w:szCs w:val="21"/>
        </w:rPr>
        <w:t>当数据收集完毕后，应对收集的数据进行审定。然后确定每个单元过程的定量输入和输出，将各个单元过程的输入输出数据除以四氧化三钴产品的</w:t>
      </w:r>
      <w:r>
        <w:rPr>
          <w:rFonts w:hint="eastAsia" w:ascii="黑体" w:hAnsi="黑体"/>
          <w:color w:val="000000"/>
          <w:szCs w:val="21"/>
        </w:rPr>
        <w:t>年</w:t>
      </w:r>
      <w:r>
        <w:rPr>
          <w:rFonts w:ascii="黑体" w:hAnsi="黑体"/>
          <w:color w:val="000000"/>
          <w:szCs w:val="21"/>
        </w:rPr>
        <w:t>产量，得到</w:t>
      </w:r>
      <w:r>
        <w:rPr>
          <w:rFonts w:hint="eastAsia" w:ascii="黑体" w:hAnsi="黑体"/>
          <w:color w:val="000000"/>
          <w:szCs w:val="21"/>
        </w:rPr>
        <w:t>功能单位符合质量要求的四氧化三钴产品所消耗</w:t>
      </w:r>
      <w:r>
        <w:rPr>
          <w:rFonts w:ascii="黑体" w:hAnsi="黑体"/>
          <w:color w:val="000000"/>
          <w:szCs w:val="21"/>
        </w:rPr>
        <w:t>的资源、能源消耗以及对大气、水体和土壤的各种排放物和废弃物。最后将</w:t>
      </w:r>
      <w:r>
        <w:rPr>
          <w:rFonts w:hint="eastAsia" w:ascii="黑体" w:hAnsi="黑体"/>
          <w:color w:val="000000"/>
          <w:szCs w:val="21"/>
        </w:rPr>
        <w:t>生产</w:t>
      </w:r>
      <w:r>
        <w:rPr>
          <w:rFonts w:ascii="黑体" w:hAnsi="黑体"/>
          <w:color w:val="000000"/>
          <w:szCs w:val="21"/>
        </w:rPr>
        <w:t>四氧化三钴产品各单元过程中相同影响因素的数据求和，以获取该影响因素的总量。</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  数据收集</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.3.2.1  概况</w:t>
      </w:r>
    </w:p>
    <w:p>
      <w:pPr>
        <w:ind w:firstLine="420" w:firstLineChars="200"/>
        <w:jc w:val="left"/>
        <w:rPr>
          <w:rFonts w:ascii="黑体" w:hAnsi="黑体"/>
          <w:color w:val="000000"/>
          <w:szCs w:val="21"/>
        </w:rPr>
      </w:pPr>
      <w:r>
        <w:rPr>
          <w:rFonts w:ascii="黑体" w:hAnsi="黑体"/>
          <w:color w:val="000000"/>
          <w:szCs w:val="21"/>
        </w:rPr>
        <w:t>应将以下阶段的数据纳入数据清单：</w:t>
      </w:r>
    </w:p>
    <w:p>
      <w:pPr>
        <w:pStyle w:val="37"/>
        <w:numPr>
          <w:ilvl w:val="2"/>
          <w:numId w:val="10"/>
        </w:numPr>
        <w:ind w:left="840" w:hanging="420" w:firstLineChars="0"/>
        <w:jc w:val="left"/>
        <w:rPr>
          <w:rFonts w:ascii="Times New Roman" w:hAnsi="Times New Roman"/>
          <w:color w:val="000000"/>
          <w:szCs w:val="21"/>
        </w:rPr>
      </w:pPr>
      <w:r>
        <w:rPr>
          <w:rFonts w:ascii="Times New Roman" w:hAnsi="Times New Roman"/>
          <w:color w:val="000000"/>
          <w:szCs w:val="21"/>
        </w:rPr>
        <w:t>四氧化三钴生产；</w:t>
      </w:r>
    </w:p>
    <w:p>
      <w:pPr>
        <w:pStyle w:val="37"/>
        <w:numPr>
          <w:ilvl w:val="2"/>
          <w:numId w:val="10"/>
        </w:numPr>
        <w:ind w:left="840" w:hanging="420" w:firstLineChars="0"/>
        <w:jc w:val="left"/>
        <w:rPr>
          <w:rFonts w:ascii="Times New Roman" w:hAnsi="Times New Roman"/>
          <w:color w:val="000000"/>
          <w:szCs w:val="21"/>
        </w:rPr>
      </w:pPr>
      <w:r>
        <w:rPr>
          <w:rFonts w:ascii="Times New Roman" w:hAnsi="Times New Roman"/>
          <w:color w:val="000000"/>
          <w:szCs w:val="21"/>
        </w:rPr>
        <w:t>四氧化三钴包装。</w:t>
      </w:r>
    </w:p>
    <w:p>
      <w:pPr>
        <w:ind w:firstLine="420"/>
        <w:rPr>
          <w:rFonts w:ascii="黑体" w:hAnsi="黑体"/>
          <w:color w:val="000000"/>
        </w:rPr>
      </w:pPr>
      <w:r>
        <w:rPr>
          <w:rFonts w:hint="eastAsia" w:ascii="黑体" w:hAnsi="黑体"/>
          <w:color w:val="000000"/>
        </w:rPr>
        <w:t>产品生命周期评级过程中要收集和使用的数据可分为两类：前景数据和背景数据。主要/重要数据尽量使用前景数据，如果无法获得“前景数据”，可以选择用最接近的“背景数据”来代替，但需要在报告中做局限性说明</w:t>
      </w:r>
      <w:r>
        <w:rPr>
          <w:rFonts w:ascii="黑体" w:hAnsi="黑体"/>
          <w:color w:val="000000"/>
        </w:rPr>
        <w:t>。</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.3.2.2  </w:t>
      </w:r>
      <w:r>
        <w:rPr>
          <w:rFonts w:hint="eastAsia" w:ascii="黑体" w:hAnsi="黑体" w:eastAsia="黑体"/>
          <w:color w:val="000000"/>
          <w:szCs w:val="21"/>
        </w:rPr>
        <w:t>前景</w:t>
      </w:r>
      <w:r>
        <w:rPr>
          <w:rFonts w:ascii="黑体" w:hAnsi="黑体" w:eastAsia="黑体"/>
          <w:color w:val="000000"/>
          <w:szCs w:val="21"/>
        </w:rPr>
        <w:t>数据</w:t>
      </w:r>
      <w:r>
        <w:rPr>
          <w:rFonts w:hint="eastAsia" w:ascii="黑体" w:hAnsi="黑体" w:eastAsia="黑体"/>
          <w:color w:val="000000"/>
          <w:szCs w:val="21"/>
        </w:rPr>
        <w:t>收集</w:t>
      </w:r>
    </w:p>
    <w:p>
      <w:pPr>
        <w:ind w:firstLine="420" w:firstLineChars="200"/>
        <w:rPr>
          <w:rFonts w:ascii="Times New Roman" w:hAnsi="Times New Roman"/>
          <w:color w:val="000000"/>
          <w:szCs w:val="21"/>
        </w:rPr>
      </w:pPr>
      <w:r>
        <w:rPr>
          <w:rFonts w:ascii="Times New Roman" w:hAnsi="Times New Roman"/>
          <w:color w:val="000000"/>
          <w:szCs w:val="21"/>
        </w:rPr>
        <w:t>通过直接测量、采访、问卷调查或相关文件材料查阅，从企业直接获得的数据为前景数据（参见附录C）。数据应包括四氧化三钴产品生产过程中所有已知输入和输出。输入指所消耗的原材料、辅料、能源和水等。输出指产品、副产品和环境排放物。可将环境排放物分为：对大气、水和土壤的排放物以及作为固体废弃物的排放物。</w:t>
      </w:r>
    </w:p>
    <w:p>
      <w:pPr>
        <w:ind w:firstLine="420" w:firstLineChars="200"/>
        <w:rPr>
          <w:rFonts w:ascii="Times New Roman" w:hAnsi="Times New Roman"/>
          <w:color w:val="000000"/>
          <w:szCs w:val="21"/>
        </w:rPr>
      </w:pPr>
      <w:r>
        <w:rPr>
          <w:rFonts w:ascii="Times New Roman" w:hAnsi="Times New Roman"/>
          <w:color w:val="000000"/>
          <w:szCs w:val="21"/>
        </w:rPr>
        <w:t>每个单元过程的典型前景数据来源包括：</w:t>
      </w:r>
    </w:p>
    <w:p>
      <w:pPr>
        <w:pStyle w:val="37"/>
        <w:numPr>
          <w:ilvl w:val="0"/>
          <w:numId w:val="11"/>
        </w:numPr>
        <w:ind w:firstLineChars="0"/>
        <w:rPr>
          <w:rFonts w:ascii="Times New Roman" w:hAnsi="Times New Roman"/>
          <w:color w:val="000000"/>
          <w:szCs w:val="21"/>
        </w:rPr>
      </w:pPr>
      <w:r>
        <w:rPr>
          <w:rFonts w:ascii="Times New Roman" w:hAnsi="Times New Roman"/>
          <w:color w:val="000000"/>
          <w:szCs w:val="21"/>
        </w:rPr>
        <w:t>原辅材料出入库记录；</w:t>
      </w:r>
    </w:p>
    <w:p>
      <w:pPr>
        <w:pStyle w:val="37"/>
        <w:numPr>
          <w:ilvl w:val="0"/>
          <w:numId w:val="11"/>
        </w:numPr>
        <w:ind w:firstLineChars="0"/>
        <w:rPr>
          <w:rFonts w:ascii="Times New Roman" w:hAnsi="Times New Roman"/>
          <w:color w:val="000000"/>
          <w:szCs w:val="21"/>
        </w:rPr>
      </w:pPr>
      <w:r>
        <w:rPr>
          <w:rFonts w:ascii="Times New Roman" w:hAnsi="Times New Roman"/>
          <w:color w:val="000000"/>
          <w:szCs w:val="21"/>
        </w:rPr>
        <w:t>能源和水消耗数据；</w:t>
      </w:r>
    </w:p>
    <w:p>
      <w:pPr>
        <w:pStyle w:val="37"/>
        <w:numPr>
          <w:ilvl w:val="0"/>
          <w:numId w:val="11"/>
        </w:numPr>
        <w:ind w:firstLineChars="0"/>
        <w:rPr>
          <w:rFonts w:ascii="Times New Roman" w:hAnsi="Times New Roman"/>
          <w:color w:val="000000"/>
          <w:szCs w:val="21"/>
        </w:rPr>
      </w:pPr>
      <w:r>
        <w:rPr>
          <w:rFonts w:ascii="Times New Roman" w:hAnsi="Times New Roman"/>
          <w:color w:val="000000"/>
          <w:szCs w:val="21"/>
        </w:rPr>
        <w:t>排放物的测量值（气体和废水排放物的数量和浓度）；</w:t>
      </w:r>
    </w:p>
    <w:p>
      <w:pPr>
        <w:pStyle w:val="37"/>
        <w:numPr>
          <w:ilvl w:val="0"/>
          <w:numId w:val="11"/>
        </w:numPr>
        <w:ind w:firstLineChars="0"/>
        <w:rPr>
          <w:rFonts w:ascii="Times New Roman" w:hAnsi="Times New Roman"/>
          <w:color w:val="000000"/>
          <w:szCs w:val="21"/>
        </w:rPr>
      </w:pPr>
      <w:r>
        <w:rPr>
          <w:rFonts w:ascii="Times New Roman" w:hAnsi="Times New Roman"/>
          <w:color w:val="000000"/>
          <w:szCs w:val="21"/>
        </w:rPr>
        <w:t>主产品、副产品、排放物和废弃物的成分；</w:t>
      </w:r>
    </w:p>
    <w:p>
      <w:pPr>
        <w:pStyle w:val="37"/>
        <w:numPr>
          <w:ilvl w:val="0"/>
          <w:numId w:val="11"/>
        </w:numPr>
        <w:ind w:firstLineChars="0"/>
        <w:rPr>
          <w:rFonts w:ascii="Times New Roman" w:hAnsi="Times New Roman"/>
          <w:color w:val="000000"/>
          <w:szCs w:val="21"/>
        </w:rPr>
      </w:pPr>
      <w:r>
        <w:rPr>
          <w:rFonts w:ascii="Times New Roman" w:hAnsi="Times New Roman"/>
          <w:color w:val="000000"/>
          <w:szCs w:val="21"/>
        </w:rPr>
        <w:t>采购和销售部门等。</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.3.2.3  背景数据采集</w:t>
      </w:r>
    </w:p>
    <w:p>
      <w:pPr>
        <w:ind w:firstLine="420" w:firstLineChars="200"/>
        <w:rPr>
          <w:rFonts w:ascii="黑体" w:hAnsi="黑体"/>
          <w:color w:val="000000"/>
          <w:szCs w:val="21"/>
        </w:rPr>
      </w:pPr>
      <w:r>
        <w:rPr>
          <w:rFonts w:ascii="黑体" w:hAnsi="黑体"/>
          <w:color w:val="000000"/>
          <w:szCs w:val="21"/>
        </w:rPr>
        <w:t>背景数据不是直接测量或计算得到的数据。背景数据可以为行业平均数据。所使用数据的来源应有清楚的文件记载并应载入</w:t>
      </w:r>
      <w:r>
        <w:rPr>
          <w:rFonts w:hint="eastAsia" w:ascii="黑体" w:hAnsi="黑体"/>
          <w:color w:val="000000"/>
          <w:szCs w:val="21"/>
        </w:rPr>
        <w:t>四氧化三钴</w:t>
      </w:r>
      <w:r>
        <w:rPr>
          <w:rFonts w:ascii="黑体" w:hAnsi="黑体"/>
          <w:color w:val="000000"/>
          <w:szCs w:val="21"/>
        </w:rPr>
        <w:t>产品生命周期评价报告。</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.3.2.4  生命周期各阶段数据采集</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.3.2.4.1  生产阶段</w:t>
      </w:r>
    </w:p>
    <w:p>
      <w:pPr>
        <w:ind w:firstLine="420" w:firstLineChars="200"/>
        <w:jc w:val="left"/>
        <w:rPr>
          <w:rFonts w:ascii="黑体" w:hAnsi="黑体"/>
          <w:color w:val="000000"/>
          <w:szCs w:val="21"/>
        </w:rPr>
      </w:pPr>
      <w:r>
        <w:rPr>
          <w:rFonts w:ascii="黑体" w:hAnsi="黑体"/>
          <w:color w:val="000000"/>
          <w:szCs w:val="21"/>
        </w:rPr>
        <w:t>该阶段起源于原</w:t>
      </w:r>
      <w:r>
        <w:rPr>
          <w:rFonts w:hint="eastAsia" w:ascii="黑体" w:hAnsi="黑体"/>
          <w:color w:val="000000"/>
          <w:szCs w:val="21"/>
        </w:rPr>
        <w:t>辅</w:t>
      </w:r>
      <w:r>
        <w:rPr>
          <w:rFonts w:ascii="黑体" w:hAnsi="黑体"/>
          <w:color w:val="000000"/>
          <w:szCs w:val="21"/>
        </w:rPr>
        <w:t>料进入厂区，结束于四氧化三钴产品离开厂区。生产活动包括</w:t>
      </w:r>
      <w:r>
        <w:rPr>
          <w:rFonts w:hint="eastAsia" w:ascii="黑体" w:hAnsi="黑体"/>
          <w:color w:val="000000"/>
          <w:szCs w:val="21"/>
        </w:rPr>
        <w:t>以</w:t>
      </w:r>
      <w:r>
        <w:rPr>
          <w:rFonts w:ascii="黑体" w:hAnsi="黑体"/>
          <w:color w:val="000000"/>
          <w:szCs w:val="21"/>
        </w:rPr>
        <w:t>含钴矿料、含钴</w:t>
      </w:r>
      <w:r>
        <w:rPr>
          <w:rFonts w:hint="eastAsia" w:ascii="黑体" w:hAnsi="黑体"/>
          <w:color w:val="000000"/>
          <w:szCs w:val="21"/>
        </w:rPr>
        <w:t>合金料</w:t>
      </w:r>
      <w:r>
        <w:rPr>
          <w:rFonts w:ascii="黑体" w:hAnsi="黑体"/>
          <w:color w:val="000000"/>
          <w:szCs w:val="21"/>
        </w:rPr>
        <w:t>、钴盐中间品等原料，经过浸出、萃取、合成、煅烧</w:t>
      </w:r>
      <w:r>
        <w:rPr>
          <w:rFonts w:hint="eastAsia" w:ascii="黑体" w:hAnsi="黑体"/>
          <w:color w:val="000000"/>
          <w:szCs w:val="21"/>
        </w:rPr>
        <w:t>等</w:t>
      </w:r>
      <w:r>
        <w:rPr>
          <w:rFonts w:ascii="黑体" w:hAnsi="黑体"/>
          <w:color w:val="000000"/>
          <w:szCs w:val="21"/>
        </w:rPr>
        <w:t>工序中的至少一步工序生产四氧化三钴</w:t>
      </w:r>
      <w:r>
        <w:rPr>
          <w:rFonts w:hint="eastAsia" w:ascii="黑体" w:hAnsi="黑体"/>
          <w:color w:val="000000"/>
          <w:szCs w:val="21"/>
        </w:rPr>
        <w:t>产品，</w:t>
      </w:r>
      <w:r>
        <w:rPr>
          <w:rFonts w:ascii="黑体" w:hAnsi="黑体"/>
          <w:color w:val="000000"/>
          <w:szCs w:val="21"/>
        </w:rPr>
        <w:t>以及物料的循环利用等。</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.3.2.4.2  包装阶段</w:t>
      </w:r>
    </w:p>
    <w:p>
      <w:pPr>
        <w:ind w:firstLine="420" w:firstLineChars="200"/>
        <w:jc w:val="left"/>
        <w:rPr>
          <w:rFonts w:ascii="黑体" w:hAnsi="黑体"/>
          <w:color w:val="000000"/>
          <w:szCs w:val="21"/>
        </w:rPr>
      </w:pPr>
      <w:r>
        <w:rPr>
          <w:rFonts w:ascii="黑体" w:hAnsi="黑体"/>
          <w:color w:val="000000"/>
          <w:szCs w:val="21"/>
        </w:rPr>
        <w:t>该阶段对验收合格的四氧化三钴进行包装，四氧化三钴包装后入库为止。</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.3.3  数据计算</w:t>
      </w:r>
    </w:p>
    <w:p>
      <w:pPr>
        <w:ind w:firstLine="420" w:firstLineChars="200"/>
        <w:rPr>
          <w:rFonts w:ascii="Times New Roman" w:hAnsi="Times New Roman"/>
          <w:color w:val="000000"/>
          <w:szCs w:val="21"/>
        </w:rPr>
      </w:pPr>
      <w:r>
        <w:rPr>
          <w:rFonts w:ascii="Times New Roman" w:hAnsi="Times New Roman"/>
          <w:color w:val="000000"/>
          <w:szCs w:val="21"/>
        </w:rPr>
        <w:t>数据收集后，应对所收集数据的有效性进行检查，确保数据符合质量要求。将收集的数据与单元过程进行关联，同时与功能单位的基准流进行关联。</w:t>
      </w:r>
    </w:p>
    <w:p>
      <w:pPr>
        <w:ind w:firstLine="420" w:firstLineChars="200"/>
        <w:rPr>
          <w:rFonts w:ascii="黑体" w:hAnsi="黑体"/>
          <w:color w:val="000000"/>
          <w:szCs w:val="21"/>
        </w:rPr>
      </w:pPr>
      <w:r>
        <w:rPr>
          <w:rFonts w:ascii="Times New Roman" w:hAnsi="Times New Roman"/>
          <w:color w:val="000000"/>
          <w:szCs w:val="21"/>
        </w:rPr>
        <w:t>合并来自相同数据类型（比如大气排放）、相同物质（如CO</w:t>
      </w:r>
      <w:r>
        <w:rPr>
          <w:rFonts w:ascii="Times New Roman" w:hAnsi="Times New Roman"/>
          <w:color w:val="000000"/>
          <w:szCs w:val="21"/>
          <w:vertAlign w:val="subscript"/>
        </w:rPr>
        <w:t>2</w:t>
      </w:r>
      <w:r>
        <w:rPr>
          <w:rFonts w:ascii="Times New Roman" w:hAnsi="Times New Roman"/>
          <w:color w:val="000000"/>
          <w:szCs w:val="21"/>
        </w:rPr>
        <w:t>）、不同单元过程的数据，以得到四氧化三钴产</w:t>
      </w:r>
      <w:r>
        <w:rPr>
          <w:rFonts w:ascii="黑体" w:hAnsi="黑体"/>
          <w:color w:val="000000"/>
          <w:szCs w:val="21"/>
        </w:rPr>
        <w:t>品系统的原材料</w:t>
      </w:r>
      <w:r>
        <w:rPr>
          <w:rFonts w:hint="eastAsia" w:ascii="黑体" w:hAnsi="黑体"/>
          <w:color w:val="000000"/>
          <w:szCs w:val="21"/>
        </w:rPr>
        <w:t>、</w:t>
      </w:r>
      <w:r>
        <w:rPr>
          <w:rFonts w:ascii="黑体" w:hAnsi="黑体"/>
          <w:color w:val="000000"/>
          <w:szCs w:val="21"/>
        </w:rPr>
        <w:t>辅料</w:t>
      </w:r>
      <w:r>
        <w:rPr>
          <w:rFonts w:hint="eastAsia" w:ascii="黑体" w:hAnsi="黑体"/>
          <w:color w:val="000000"/>
          <w:szCs w:val="21"/>
        </w:rPr>
        <w:t>、能源和水的</w:t>
      </w:r>
      <w:r>
        <w:rPr>
          <w:rFonts w:ascii="黑体" w:hAnsi="黑体"/>
          <w:color w:val="000000"/>
          <w:szCs w:val="21"/>
        </w:rPr>
        <w:t>消耗</w:t>
      </w:r>
      <w:r>
        <w:rPr>
          <w:rFonts w:hint="eastAsia" w:ascii="黑体" w:hAnsi="黑体"/>
          <w:color w:val="000000"/>
          <w:szCs w:val="21"/>
        </w:rPr>
        <w:t>，对大气</w:t>
      </w:r>
      <w:r>
        <w:rPr>
          <w:rFonts w:ascii="黑体" w:hAnsi="黑体"/>
          <w:color w:val="000000"/>
          <w:szCs w:val="21"/>
        </w:rPr>
        <w:t>、水体和土壤</w:t>
      </w:r>
      <w:r>
        <w:rPr>
          <w:rFonts w:hint="eastAsia" w:ascii="黑体" w:hAnsi="黑体"/>
          <w:color w:val="000000"/>
          <w:szCs w:val="21"/>
        </w:rPr>
        <w:t>的</w:t>
      </w:r>
      <w:r>
        <w:rPr>
          <w:rFonts w:ascii="黑体" w:hAnsi="黑体"/>
          <w:color w:val="000000"/>
          <w:szCs w:val="21"/>
        </w:rPr>
        <w:t>排放以及废弃物的数据。</w:t>
      </w:r>
    </w:p>
    <w:p>
      <w:pPr>
        <w:spacing w:before="240" w:beforeLines="100" w:after="240" w:afterLines="10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.4  生命周期影响评价</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.4.1  概述</w:t>
      </w:r>
    </w:p>
    <w:p>
      <w:pPr>
        <w:ind w:firstLine="420" w:firstLineChars="200"/>
        <w:rPr>
          <w:rFonts w:ascii="黑体" w:hAnsi="黑体"/>
          <w:color w:val="000000"/>
          <w:szCs w:val="21"/>
        </w:rPr>
      </w:pPr>
      <w:r>
        <w:rPr>
          <w:rFonts w:ascii="黑体" w:hAnsi="黑体"/>
          <w:color w:val="000000"/>
          <w:szCs w:val="21"/>
        </w:rPr>
        <w:t>根据清单分析所提供的资源</w:t>
      </w:r>
      <w:r>
        <w:rPr>
          <w:rFonts w:hint="eastAsia" w:ascii="黑体" w:hAnsi="黑体"/>
          <w:color w:val="000000"/>
          <w:szCs w:val="21"/>
        </w:rPr>
        <w:t>和能源</w:t>
      </w:r>
      <w:r>
        <w:rPr>
          <w:rFonts w:ascii="黑体" w:hAnsi="黑体"/>
          <w:color w:val="000000"/>
          <w:szCs w:val="21"/>
        </w:rPr>
        <w:t>消耗数据以及各种排放数据，对产品系统潜在的环境影响进行评价，为生命周期解释提供必要的信息。</w:t>
      </w:r>
      <w:r>
        <w:rPr>
          <w:rFonts w:hint="eastAsia" w:ascii="黑体" w:hAnsi="黑体"/>
          <w:color w:val="000000"/>
          <w:szCs w:val="21"/>
        </w:rPr>
        <w:t>其要素包括选取合适的影响类型，将清单分析结果归类并划分到相应影响类型，以及对类型参数结果进行特征化计算。</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.4.2  数据分类</w:t>
      </w:r>
    </w:p>
    <w:p>
      <w:pPr>
        <w:ind w:firstLine="420" w:firstLineChars="200"/>
        <w:rPr>
          <w:rFonts w:ascii="Times New Roman" w:hAnsi="Times New Roman"/>
          <w:color w:val="000000"/>
          <w:szCs w:val="21"/>
        </w:rPr>
      </w:pPr>
      <w:r>
        <w:rPr>
          <w:rFonts w:ascii="黑体" w:hAnsi="黑体"/>
          <w:color w:val="000000"/>
          <w:szCs w:val="21"/>
        </w:rPr>
        <w:t>根据清单因子的物理化学性质，将对某影响类型有贡献的因子归到一起。例如，将对气候变化有贡献的二</w:t>
      </w:r>
      <w:r>
        <w:rPr>
          <w:rFonts w:ascii="Times New Roman" w:hAnsi="Times New Roman"/>
          <w:color w:val="000000"/>
          <w:szCs w:val="21"/>
        </w:rPr>
        <w:t>氧化碳、甲烷、一氧化二氮等清单因子归到气候变化影响类型里面。列表归类，见表B.2。</w:t>
      </w:r>
    </w:p>
    <w:p>
      <w:pPr>
        <w:spacing w:before="120" w:beforeLines="50" w:after="120" w:afterLines="50"/>
        <w:ind w:firstLine="420" w:firstLineChars="200"/>
        <w:jc w:val="center"/>
        <w:rPr>
          <w:rFonts w:ascii="黑体" w:hAnsi="黑体" w:eastAsia="黑体"/>
          <w:color w:val="000000"/>
          <w:szCs w:val="21"/>
        </w:rPr>
      </w:pPr>
      <w:r>
        <w:rPr>
          <w:rFonts w:ascii="黑体" w:hAnsi="黑体" w:eastAsia="黑体"/>
          <w:color w:val="000000"/>
          <w:szCs w:val="21"/>
        </w:rPr>
        <w:t>表</w:t>
      </w:r>
      <w:r>
        <w:rPr>
          <w:rFonts w:hint="eastAsia" w:ascii="黑体" w:hAnsi="黑体" w:eastAsia="黑体"/>
          <w:color w:val="000000"/>
          <w:szCs w:val="21"/>
        </w:rPr>
        <w:t>B</w:t>
      </w:r>
      <w:r>
        <w:rPr>
          <w:rFonts w:ascii="黑体" w:hAnsi="黑体" w:eastAsia="黑体"/>
          <w:color w:val="000000"/>
          <w:szCs w:val="21"/>
        </w:rPr>
        <w:t>.2  数据归例示例</w:t>
      </w:r>
    </w:p>
    <w:tbl>
      <w:tblPr>
        <w:tblStyle w:val="1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619"/>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4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序号</w:t>
            </w:r>
          </w:p>
        </w:tc>
        <w:tc>
          <w:tcPr>
            <w:tcW w:w="261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影响类型</w:t>
            </w:r>
          </w:p>
        </w:tc>
        <w:tc>
          <w:tcPr>
            <w:tcW w:w="526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4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261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气候变化</w:t>
            </w:r>
          </w:p>
        </w:tc>
        <w:tc>
          <w:tcPr>
            <w:tcW w:w="526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、CO 、CH</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rPr>
              <w:t>、NO</w:t>
            </w:r>
            <w:r>
              <w:rPr>
                <w:rFonts w:hint="default" w:ascii="Times New Roman" w:hAnsi="Times New Roman" w:cs="Times New Roman"/>
                <w:color w:val="000000"/>
                <w:sz w:val="18"/>
                <w:szCs w:val="18"/>
                <w:vertAlign w:val="subscript"/>
              </w:rPr>
              <w:t>x</w:t>
            </w:r>
            <w:r>
              <w:rPr>
                <w:rFonts w:hint="default" w:ascii="Times New Roman" w:hAnsi="Times New Roman" w:cs="Times New Roman"/>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34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61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水体富营养化</w:t>
            </w:r>
          </w:p>
        </w:tc>
        <w:tc>
          <w:tcPr>
            <w:tcW w:w="526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PO</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、NO</w:t>
            </w:r>
            <w:r>
              <w:rPr>
                <w:rFonts w:hint="default" w:ascii="Times New Roman" w:hAnsi="Times New Roman" w:cs="Times New Roman"/>
                <w:color w:val="000000"/>
                <w:sz w:val="18"/>
                <w:szCs w:val="18"/>
                <w:vertAlign w:val="subscript"/>
              </w:rPr>
              <w:t>x</w:t>
            </w:r>
            <w:r>
              <w:rPr>
                <w:rFonts w:hint="default" w:ascii="Times New Roman" w:hAnsi="Times New Roman" w:cs="Times New Roman"/>
                <w:color w:val="000000"/>
                <w:sz w:val="18"/>
                <w:szCs w:val="18"/>
              </w:rPr>
              <w:t>、N、COD等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34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261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酸化</w:t>
            </w:r>
          </w:p>
        </w:tc>
        <w:tc>
          <w:tcPr>
            <w:tcW w:w="526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、NO</w:t>
            </w:r>
            <w:r>
              <w:rPr>
                <w:rFonts w:hint="default" w:ascii="Times New Roman" w:hAnsi="Times New Roman" w:cs="Times New Roman"/>
                <w:color w:val="000000"/>
                <w:sz w:val="18"/>
                <w:szCs w:val="18"/>
                <w:vertAlign w:val="subscript"/>
              </w:rPr>
              <w:t>x</w:t>
            </w:r>
            <w:r>
              <w:rPr>
                <w:rFonts w:hint="default" w:ascii="Times New Roman" w:hAnsi="Times New Roman" w:cs="Times New Roman"/>
                <w:color w:val="000000"/>
                <w:sz w:val="18"/>
                <w:szCs w:val="18"/>
              </w:rPr>
              <w:t>、H</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PO</w:t>
            </w:r>
            <w:r>
              <w:rPr>
                <w:rFonts w:hint="default" w:ascii="Times New Roman" w:hAnsi="Times New Roman" w:cs="Times New Roman"/>
                <w:color w:val="000000"/>
                <w:sz w:val="18"/>
                <w:szCs w:val="18"/>
                <w:vertAlign w:val="subscript"/>
              </w:rPr>
              <w:t>4</w:t>
            </w:r>
            <w:r>
              <w:rPr>
                <w:rFonts w:hint="default" w:ascii="Times New Roman" w:hAnsi="Times New Roman" w:cs="Times New Roman"/>
                <w:color w:val="000000"/>
                <w:sz w:val="18"/>
                <w:szCs w:val="18"/>
              </w:rPr>
              <w:t>、NH</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4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261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光化学氧化作用</w:t>
            </w:r>
          </w:p>
        </w:tc>
        <w:tc>
          <w:tcPr>
            <w:tcW w:w="526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CO、NO</w:t>
            </w:r>
            <w:r>
              <w:rPr>
                <w:rFonts w:hint="default" w:ascii="Times New Roman" w:hAnsi="Times New Roman" w:cs="Times New Roman"/>
                <w:color w:val="000000"/>
                <w:sz w:val="18"/>
                <w:szCs w:val="18"/>
                <w:vertAlign w:val="subscript"/>
              </w:rPr>
              <w:t>x</w:t>
            </w:r>
            <w:r>
              <w:rPr>
                <w:rFonts w:hint="default" w:ascii="Times New Roman" w:hAnsi="Times New Roman" w:cs="Times New Roman"/>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34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261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初级能源消耗</w:t>
            </w:r>
          </w:p>
        </w:tc>
        <w:tc>
          <w:tcPr>
            <w:tcW w:w="526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天然气、硬煤等不可再生能源，以及水力、太阳能等可再生能源</w:t>
            </w:r>
          </w:p>
        </w:tc>
      </w:tr>
    </w:tbl>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.4.3  特征化</w:t>
      </w:r>
    </w:p>
    <w:p>
      <w:pPr>
        <w:ind w:firstLine="420" w:firstLineChars="200"/>
        <w:jc w:val="left"/>
        <w:rPr>
          <w:rFonts w:ascii="Times New Roman" w:hAnsi="Times New Roman"/>
          <w:color w:val="000000"/>
          <w:szCs w:val="21"/>
        </w:rPr>
      </w:pPr>
      <w:r>
        <w:rPr>
          <w:rFonts w:ascii="Times New Roman" w:hAnsi="Times New Roman"/>
          <w:color w:val="000000"/>
          <w:szCs w:val="21"/>
        </w:rPr>
        <w:t>根据参考文献中给出的特征化因子采用公式（B.1）计算出不同影响类型的特性化值，分类评价的结果采用表B.3中的当量物质表示。</w:t>
      </w:r>
    </w:p>
    <w:p>
      <w:pPr>
        <w:spacing w:before="120" w:beforeLines="50" w:after="120" w:afterLines="50"/>
        <w:jc w:val="center"/>
        <w:rPr>
          <w:rFonts w:ascii="黑体" w:hAnsi="黑体" w:eastAsia="黑体"/>
          <w:color w:val="000000"/>
          <w:szCs w:val="21"/>
        </w:rPr>
      </w:pPr>
      <w:r>
        <w:rPr>
          <w:rFonts w:ascii="黑体" w:hAnsi="黑体" w:eastAsia="黑体"/>
          <w:color w:val="000000"/>
          <w:szCs w:val="21"/>
        </w:rPr>
        <w:t>表</w:t>
      </w:r>
      <w:r>
        <w:rPr>
          <w:rFonts w:hint="eastAsia" w:ascii="黑体" w:hAnsi="黑体" w:eastAsia="黑体"/>
          <w:color w:val="000000"/>
          <w:szCs w:val="21"/>
        </w:rPr>
        <w:t>B</w:t>
      </w:r>
      <w:r>
        <w:rPr>
          <w:rFonts w:ascii="黑体" w:hAnsi="黑体" w:eastAsia="黑体"/>
          <w:color w:val="000000"/>
          <w:szCs w:val="21"/>
        </w:rPr>
        <w:t>.3  特征化因子</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067"/>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blHeader/>
        </w:trPr>
        <w:tc>
          <w:tcPr>
            <w:tcW w:w="325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影响类别</w:t>
            </w:r>
          </w:p>
        </w:tc>
        <w:tc>
          <w:tcPr>
            <w:tcW w:w="306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296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325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气候变化</w:t>
            </w:r>
          </w:p>
        </w:tc>
        <w:tc>
          <w:tcPr>
            <w:tcW w:w="306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CO</w:t>
            </w:r>
            <w:r>
              <w:rPr>
                <w:rFonts w:hint="default" w:ascii="Times New Roman" w:hAnsi="Times New Roman"/>
                <w:color w:val="000000"/>
                <w:sz w:val="18"/>
                <w:szCs w:val="18"/>
                <w:vertAlign w:val="subscript"/>
              </w:rPr>
              <w:t xml:space="preserve">2 </w:t>
            </w:r>
            <w:r>
              <w:rPr>
                <w:rFonts w:hint="default" w:ascii="Times New Roman" w:hAnsi="Times New Roman"/>
                <w:color w:val="000000"/>
                <w:sz w:val="18"/>
                <w:szCs w:val="18"/>
              </w:rPr>
              <w:t>当量</w:t>
            </w:r>
          </w:p>
        </w:tc>
        <w:tc>
          <w:tcPr>
            <w:tcW w:w="296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olor w:val="000000"/>
                <w:sz w:val="18"/>
                <w:szCs w:val="18"/>
              </w:rPr>
            </w:pPr>
            <w:r>
              <w:rPr>
                <w:rFonts w:hint="default" w:ascii="Times New Roman" w:hAnsi="Times New Roman"/>
                <w:color w:val="000000"/>
                <w:sz w:val="18"/>
                <w:szCs w:val="18"/>
              </w:rPr>
              <w:t>CO</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、CO 、CH</w:t>
            </w:r>
            <w:r>
              <w:rPr>
                <w:rFonts w:hint="default" w:ascii="Times New Roman" w:hAnsi="Times New Roman"/>
                <w:color w:val="000000"/>
                <w:sz w:val="18"/>
                <w:szCs w:val="18"/>
                <w:vertAlign w:val="subscript"/>
              </w:rPr>
              <w:t>4</w:t>
            </w: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325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水体富营养化</w:t>
            </w:r>
          </w:p>
        </w:tc>
        <w:tc>
          <w:tcPr>
            <w:tcW w:w="306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PO</w:t>
            </w:r>
            <w:r>
              <w:rPr>
                <w:rFonts w:hint="default" w:ascii="Times New Roman" w:hAnsi="Times New Roman"/>
                <w:color w:val="000000"/>
                <w:sz w:val="18"/>
                <w:szCs w:val="18"/>
                <w:vertAlign w:val="subscript"/>
              </w:rPr>
              <w:t>4</w:t>
            </w:r>
            <w:r>
              <w:rPr>
                <w:rFonts w:hint="default" w:ascii="Times New Roman" w:hAnsi="Times New Roman"/>
                <w:color w:val="000000"/>
                <w:sz w:val="18"/>
                <w:szCs w:val="18"/>
                <w:vertAlign w:val="superscript"/>
              </w:rPr>
              <w:t>3-</w:t>
            </w:r>
            <w:r>
              <w:rPr>
                <w:rFonts w:hint="default" w:ascii="Times New Roman" w:hAnsi="Times New Roman"/>
                <w:color w:val="000000"/>
                <w:sz w:val="18"/>
                <w:szCs w:val="18"/>
              </w:rPr>
              <w:t>当量</w:t>
            </w:r>
          </w:p>
        </w:tc>
        <w:tc>
          <w:tcPr>
            <w:tcW w:w="296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olor w:val="000000"/>
                <w:sz w:val="18"/>
                <w:szCs w:val="18"/>
              </w:rPr>
            </w:pPr>
            <w:r>
              <w:rPr>
                <w:rFonts w:hint="default" w:ascii="Times New Roman" w:hAnsi="Times New Roman"/>
                <w:color w:val="000000"/>
                <w:sz w:val="18"/>
                <w:szCs w:val="18"/>
              </w:rPr>
              <w:t>PO</w:t>
            </w:r>
            <w:r>
              <w:rPr>
                <w:rFonts w:hint="default" w:ascii="Times New Roman" w:hAnsi="Times New Roman"/>
                <w:color w:val="000000"/>
                <w:sz w:val="18"/>
                <w:szCs w:val="18"/>
                <w:vertAlign w:val="subscript"/>
              </w:rPr>
              <w:t>4</w:t>
            </w:r>
            <w:r>
              <w:rPr>
                <w:rFonts w:hint="default" w:ascii="Times New Roman" w:hAnsi="Times New Roman"/>
                <w:color w:val="000000"/>
                <w:sz w:val="18"/>
                <w:szCs w:val="18"/>
                <w:vertAlign w:val="superscript"/>
              </w:rPr>
              <w:t>3-</w:t>
            </w: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、N、COD等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325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酸化</w:t>
            </w:r>
          </w:p>
        </w:tc>
        <w:tc>
          <w:tcPr>
            <w:tcW w:w="306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SO</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 xml:space="preserve"> 当量</w:t>
            </w:r>
          </w:p>
        </w:tc>
        <w:tc>
          <w:tcPr>
            <w:tcW w:w="296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olor w:val="000000"/>
                <w:sz w:val="18"/>
                <w:szCs w:val="18"/>
              </w:rPr>
            </w:pPr>
            <w:r>
              <w:rPr>
                <w:rFonts w:hint="default" w:ascii="Times New Roman" w:hAnsi="Times New Roman"/>
                <w:color w:val="000000"/>
                <w:sz w:val="18"/>
                <w:szCs w:val="18"/>
              </w:rPr>
              <w:t>SO</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、H</w:t>
            </w:r>
            <w:r>
              <w:rPr>
                <w:rFonts w:hint="default" w:ascii="Times New Roman" w:hAnsi="Times New Roman"/>
                <w:color w:val="000000"/>
                <w:sz w:val="18"/>
                <w:szCs w:val="18"/>
                <w:vertAlign w:val="subscript"/>
              </w:rPr>
              <w:t>3</w:t>
            </w:r>
            <w:r>
              <w:rPr>
                <w:rFonts w:hint="default" w:ascii="Times New Roman" w:hAnsi="Times New Roman"/>
                <w:color w:val="000000"/>
                <w:sz w:val="18"/>
                <w:szCs w:val="18"/>
              </w:rPr>
              <w:t>PO</w:t>
            </w:r>
            <w:r>
              <w:rPr>
                <w:rFonts w:hint="default" w:ascii="Times New Roman" w:hAnsi="Times New Roman"/>
                <w:color w:val="000000"/>
                <w:sz w:val="18"/>
                <w:szCs w:val="18"/>
                <w:vertAlign w:val="subscript"/>
              </w:rPr>
              <w:t>4</w:t>
            </w:r>
            <w:r>
              <w:rPr>
                <w:rFonts w:hint="default" w:ascii="Times New Roman" w:hAnsi="Times New Roman"/>
                <w:color w:val="000000"/>
                <w:sz w:val="18"/>
                <w:szCs w:val="18"/>
              </w:rPr>
              <w:t>、NH</w:t>
            </w:r>
            <w:r>
              <w:rPr>
                <w:rFonts w:hint="default" w:ascii="Times New Roman" w:hAnsi="Times New Roman"/>
                <w:color w:val="000000"/>
                <w:sz w:val="18"/>
                <w:szCs w:val="18"/>
                <w:vertAlign w:val="subscript"/>
              </w:rPr>
              <w:t>3</w:t>
            </w:r>
            <w:r>
              <w:rPr>
                <w:rFonts w:hint="default" w:ascii="Times New Roman" w:hAnsi="Times New Roman"/>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25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光化学氧化作用</w:t>
            </w:r>
          </w:p>
        </w:tc>
        <w:tc>
          <w:tcPr>
            <w:tcW w:w="306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kg 乙烯当量</w:t>
            </w:r>
          </w:p>
        </w:tc>
        <w:tc>
          <w:tcPr>
            <w:tcW w:w="296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olor w:val="000000"/>
                <w:sz w:val="18"/>
                <w:szCs w:val="18"/>
              </w:rPr>
            </w:pPr>
            <w:r>
              <w:rPr>
                <w:rFonts w:hint="default" w:ascii="Times New Roman" w:hAnsi="Times New Roman"/>
                <w:color w:val="000000"/>
                <w:sz w:val="18"/>
                <w:szCs w:val="18"/>
              </w:rPr>
              <w:t>CO、NO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3259"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初级能源消耗</w:t>
            </w:r>
          </w:p>
        </w:tc>
        <w:tc>
          <w:tcPr>
            <w:tcW w:w="306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MJ(低热值)</w:t>
            </w:r>
          </w:p>
        </w:tc>
        <w:tc>
          <w:tcPr>
            <w:tcW w:w="296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olor w:val="000000"/>
                <w:sz w:val="18"/>
                <w:szCs w:val="18"/>
              </w:rPr>
            </w:pPr>
            <w:r>
              <w:rPr>
                <w:rFonts w:hint="default" w:ascii="Times New Roman" w:hAnsi="Times New Roman"/>
                <w:color w:val="000000"/>
                <w:sz w:val="18"/>
                <w:szCs w:val="18"/>
              </w:rPr>
              <w:t>天然气、硬煤等不可再生能源，以及水力、太阳能灯可再生能源</w:t>
            </w:r>
          </w:p>
        </w:tc>
      </w:tr>
    </w:tbl>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.4.4  计算方法                       </w:t>
      </w:r>
    </w:p>
    <w:p>
      <w:pPr>
        <w:ind w:firstLine="3675" w:firstLineChars="1750"/>
        <w:jc w:val="left"/>
        <w:rPr>
          <w:rFonts w:ascii="黑体" w:hAnsi="黑体" w:eastAsia="黑体"/>
          <w:color w:val="000000"/>
          <w:szCs w:val="21"/>
        </w:rPr>
      </w:pPr>
      <w:r>
        <w:rPr>
          <w:rFonts w:ascii="Times New Roman" w:hAnsi="Times New Roman"/>
          <w:i/>
          <w:iCs/>
          <w:color w:val="000000"/>
          <w:szCs w:val="21"/>
        </w:rPr>
        <w:t>EP</w:t>
      </w:r>
      <w:r>
        <w:rPr>
          <w:rFonts w:ascii="Times New Roman" w:hAnsi="Times New Roman"/>
          <w:i/>
          <w:iCs/>
          <w:color w:val="000000"/>
          <w:szCs w:val="21"/>
          <w:vertAlign w:val="subscript"/>
        </w:rPr>
        <w:t>i</w:t>
      </w:r>
      <w:r>
        <w:rPr>
          <w:rFonts w:ascii="Times New Roman" w:hAnsi="Times New Roman"/>
          <w:color w:val="000000"/>
          <w:szCs w:val="21"/>
        </w:rPr>
        <w:t>=∑</w:t>
      </w:r>
      <w:r>
        <w:rPr>
          <w:rFonts w:ascii="Times New Roman" w:hAnsi="Times New Roman"/>
          <w:i/>
          <w:iCs/>
          <w:color w:val="000000"/>
          <w:szCs w:val="21"/>
        </w:rPr>
        <w:t>EP</w:t>
      </w:r>
      <w:r>
        <w:rPr>
          <w:rFonts w:ascii="Times New Roman" w:hAnsi="Times New Roman"/>
          <w:i/>
          <w:iCs/>
          <w:color w:val="000000"/>
          <w:szCs w:val="21"/>
          <w:vertAlign w:val="subscript"/>
        </w:rPr>
        <w:t>ij</w:t>
      </w:r>
      <w:r>
        <w:rPr>
          <w:rFonts w:ascii="Times New Roman" w:hAnsi="Times New Roman"/>
          <w:color w:val="000000"/>
          <w:szCs w:val="21"/>
        </w:rPr>
        <w:t>=∑</w:t>
      </w:r>
      <w:r>
        <w:rPr>
          <w:rFonts w:ascii="Times New Roman" w:hAnsi="Times New Roman"/>
          <w:i/>
          <w:iCs/>
          <w:color w:val="000000"/>
          <w:szCs w:val="21"/>
        </w:rPr>
        <w:t>Q</w:t>
      </w:r>
      <w:r>
        <w:rPr>
          <w:rFonts w:ascii="Times New Roman" w:hAnsi="Times New Roman"/>
          <w:i/>
          <w:iCs/>
          <w:color w:val="000000"/>
          <w:szCs w:val="21"/>
          <w:vertAlign w:val="subscript"/>
        </w:rPr>
        <w:t>j</w:t>
      </w:r>
      <w:r>
        <w:rPr>
          <w:rFonts w:ascii="Times New Roman" w:hAnsi="Times New Roman"/>
          <w:color w:val="000000"/>
          <w:szCs w:val="21"/>
        </w:rPr>
        <w:t>×</w:t>
      </w:r>
      <w:r>
        <w:rPr>
          <w:rFonts w:ascii="Times New Roman" w:hAnsi="Times New Roman"/>
          <w:i/>
          <w:iCs/>
          <w:color w:val="000000"/>
          <w:szCs w:val="21"/>
        </w:rPr>
        <w:t>EF</w:t>
      </w:r>
      <w:r>
        <w:rPr>
          <w:rFonts w:ascii="Times New Roman" w:hAnsi="Times New Roman"/>
          <w:i/>
          <w:iCs/>
          <w:color w:val="000000"/>
          <w:szCs w:val="21"/>
          <w:vertAlign w:val="subscript"/>
        </w:rPr>
        <w:t xml:space="preserve">ij </w:t>
      </w:r>
      <w:r>
        <w:rPr>
          <w:rFonts w:ascii="黑体" w:hAnsi="黑体"/>
          <w:i/>
          <w:iCs/>
          <w:color w:val="000000"/>
          <w:szCs w:val="21"/>
          <w:vertAlign w:val="subscript"/>
        </w:rPr>
        <w:t xml:space="preserve">                                          </w:t>
      </w:r>
      <w:r>
        <w:rPr>
          <w:rFonts w:ascii="黑体" w:hAnsi="黑体" w:eastAsia="黑体"/>
          <w:i/>
          <w:iCs/>
          <w:color w:val="000000"/>
          <w:szCs w:val="21"/>
          <w:vertAlign w:val="subscript"/>
        </w:rPr>
        <w:t xml:space="preserve">    </w:t>
      </w:r>
      <w:r>
        <w:rPr>
          <w:rFonts w:ascii="Times New Roman" w:hAnsi="Times New Roman" w:eastAsia="黑体"/>
          <w:color w:val="000000"/>
          <w:szCs w:val="21"/>
        </w:rPr>
        <w:t>（B.1）</w:t>
      </w:r>
    </w:p>
    <w:p>
      <w:pPr>
        <w:ind w:firstLine="420"/>
        <w:rPr>
          <w:rFonts w:ascii="Times New Roman" w:hAnsi="Times New Roman"/>
          <w:color w:val="000000"/>
        </w:rPr>
      </w:pPr>
      <w:r>
        <w:rPr>
          <w:rFonts w:ascii="Times New Roman" w:hAnsi="Times New Roman"/>
          <w:color w:val="000000"/>
        </w:rPr>
        <w:t>式中</w:t>
      </w:r>
    </w:p>
    <w:p>
      <w:pPr>
        <w:ind w:firstLine="420"/>
        <w:rPr>
          <w:rFonts w:ascii="Times New Roman" w:hAnsi="Times New Roman"/>
          <w:color w:val="000000"/>
        </w:rPr>
      </w:pPr>
      <w:r>
        <w:rPr>
          <w:rFonts w:ascii="Times New Roman" w:hAnsi="Times New Roman"/>
          <w:i/>
          <w:iCs/>
          <w:color w:val="000000"/>
        </w:rPr>
        <w:t>EP</w:t>
      </w:r>
      <w:r>
        <w:rPr>
          <w:rFonts w:ascii="Times New Roman" w:hAnsi="Times New Roman"/>
          <w:i/>
          <w:iCs/>
          <w:color w:val="000000"/>
          <w:vertAlign w:val="subscript"/>
        </w:rPr>
        <w:t xml:space="preserve">i </w:t>
      </w:r>
      <w:r>
        <w:rPr>
          <w:rFonts w:ascii="Times New Roman" w:hAnsi="Times New Roman"/>
          <w:color w:val="000000"/>
        </w:rPr>
        <w:t>—第</w:t>
      </w:r>
      <w:r>
        <w:rPr>
          <w:rFonts w:ascii="Times New Roman" w:hAnsi="Times New Roman"/>
          <w:i/>
          <w:iCs/>
          <w:color w:val="000000"/>
        </w:rPr>
        <w:t>i</w:t>
      </w:r>
      <w:r>
        <w:rPr>
          <w:rFonts w:ascii="Times New Roman" w:hAnsi="Times New Roman"/>
          <w:color w:val="000000"/>
        </w:rPr>
        <w:t>种环境类别特征化值；</w:t>
      </w:r>
    </w:p>
    <w:p>
      <w:pPr>
        <w:ind w:firstLine="420"/>
        <w:rPr>
          <w:rFonts w:ascii="Times New Roman" w:hAnsi="Times New Roman"/>
          <w:i/>
          <w:iCs/>
          <w:color w:val="000000"/>
        </w:rPr>
      </w:pPr>
      <w:r>
        <w:rPr>
          <w:rFonts w:ascii="Times New Roman" w:hAnsi="Times New Roman"/>
          <w:i/>
          <w:iCs/>
          <w:color w:val="000000"/>
        </w:rPr>
        <w:t>EP</w:t>
      </w:r>
      <w:r>
        <w:rPr>
          <w:rFonts w:ascii="Times New Roman" w:hAnsi="Times New Roman"/>
          <w:i/>
          <w:iCs/>
          <w:color w:val="000000"/>
          <w:vertAlign w:val="subscript"/>
        </w:rPr>
        <w:t>ij</w:t>
      </w:r>
      <w:r>
        <w:rPr>
          <w:rFonts w:ascii="Times New Roman" w:hAnsi="Times New Roman"/>
          <w:color w:val="000000"/>
        </w:rPr>
        <w:t>—第</w:t>
      </w:r>
      <w:r>
        <w:rPr>
          <w:rFonts w:ascii="Times New Roman" w:hAnsi="Times New Roman"/>
          <w:i/>
          <w:iCs/>
          <w:color w:val="000000"/>
        </w:rPr>
        <w:t>i</w:t>
      </w:r>
      <w:r>
        <w:rPr>
          <w:rFonts w:ascii="Times New Roman" w:hAnsi="Times New Roman"/>
          <w:color w:val="000000"/>
        </w:rPr>
        <w:t>种环境类别中第</w:t>
      </w:r>
      <w:r>
        <w:rPr>
          <w:rFonts w:ascii="Times New Roman" w:hAnsi="Times New Roman"/>
          <w:i/>
          <w:iCs/>
          <w:color w:val="000000"/>
        </w:rPr>
        <w:t>j</w:t>
      </w:r>
      <w:r>
        <w:rPr>
          <w:rFonts w:ascii="Times New Roman" w:hAnsi="Times New Roman"/>
          <w:color w:val="000000"/>
        </w:rPr>
        <w:t>种污染物的贡献；</w:t>
      </w:r>
    </w:p>
    <w:p>
      <w:pPr>
        <w:ind w:firstLine="420"/>
        <w:rPr>
          <w:rFonts w:ascii="Times New Roman" w:hAnsi="Times New Roman"/>
          <w:color w:val="000000"/>
        </w:rPr>
      </w:pPr>
      <w:r>
        <w:rPr>
          <w:rFonts w:ascii="Times New Roman" w:hAnsi="Times New Roman"/>
          <w:i/>
          <w:iCs/>
          <w:color w:val="000000"/>
        </w:rPr>
        <w:t>Q</w:t>
      </w:r>
      <w:r>
        <w:rPr>
          <w:rFonts w:ascii="Times New Roman" w:hAnsi="Times New Roman"/>
          <w:i/>
          <w:iCs/>
          <w:color w:val="000000"/>
          <w:vertAlign w:val="subscript"/>
        </w:rPr>
        <w:t xml:space="preserve">j </w:t>
      </w:r>
      <w:r>
        <w:rPr>
          <w:rFonts w:ascii="Times New Roman" w:hAnsi="Times New Roman"/>
          <w:color w:val="000000"/>
        </w:rPr>
        <w:t>—第</w:t>
      </w:r>
      <w:r>
        <w:rPr>
          <w:rFonts w:ascii="Times New Roman" w:hAnsi="Times New Roman"/>
          <w:i/>
          <w:iCs/>
          <w:color w:val="000000"/>
        </w:rPr>
        <w:t>j</w:t>
      </w:r>
      <w:r>
        <w:rPr>
          <w:rFonts w:ascii="Times New Roman" w:hAnsi="Times New Roman"/>
          <w:color w:val="000000"/>
        </w:rPr>
        <w:t>种污染物的排放量；</w:t>
      </w:r>
    </w:p>
    <w:p>
      <w:pPr>
        <w:ind w:firstLine="420" w:firstLineChars="200"/>
        <w:jc w:val="left"/>
        <w:rPr>
          <w:rFonts w:ascii="Times New Roman" w:hAnsi="Times New Roman"/>
          <w:color w:val="000000"/>
        </w:rPr>
      </w:pPr>
      <w:r>
        <w:rPr>
          <w:rFonts w:ascii="Times New Roman" w:hAnsi="Times New Roman"/>
          <w:i/>
          <w:iCs/>
          <w:color w:val="000000"/>
        </w:rPr>
        <w:t>EF</w:t>
      </w:r>
      <w:r>
        <w:rPr>
          <w:rFonts w:ascii="Times New Roman" w:hAnsi="Times New Roman"/>
          <w:i/>
          <w:iCs/>
          <w:color w:val="000000"/>
          <w:vertAlign w:val="subscript"/>
        </w:rPr>
        <w:t xml:space="preserve">ij </w:t>
      </w:r>
      <w:r>
        <w:rPr>
          <w:rFonts w:ascii="Times New Roman" w:hAnsi="Times New Roman"/>
          <w:color w:val="000000"/>
        </w:rPr>
        <w:t>—第</w:t>
      </w:r>
      <w:r>
        <w:rPr>
          <w:rFonts w:ascii="Times New Roman" w:hAnsi="Times New Roman"/>
          <w:i/>
          <w:iCs/>
          <w:color w:val="000000"/>
        </w:rPr>
        <w:t>i</w:t>
      </w:r>
      <w:r>
        <w:rPr>
          <w:rFonts w:ascii="Times New Roman" w:hAnsi="Times New Roman"/>
          <w:color w:val="000000"/>
        </w:rPr>
        <w:t>种环境类别中第</w:t>
      </w:r>
      <w:r>
        <w:rPr>
          <w:rFonts w:ascii="Times New Roman" w:hAnsi="Times New Roman"/>
          <w:i/>
          <w:iCs/>
          <w:color w:val="000000"/>
        </w:rPr>
        <w:t>j</w:t>
      </w:r>
      <w:r>
        <w:rPr>
          <w:rFonts w:ascii="Times New Roman" w:hAnsi="Times New Roman"/>
          <w:color w:val="000000"/>
        </w:rPr>
        <w:t>种污染物的特征化因子。</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.5  解释</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.5.1  总则</w:t>
      </w:r>
    </w:p>
    <w:p>
      <w:pPr>
        <w:ind w:firstLine="420" w:firstLineChars="200"/>
        <w:rPr>
          <w:rFonts w:ascii="黑体" w:hAnsi="黑体"/>
          <w:color w:val="000000"/>
          <w:szCs w:val="21"/>
        </w:rPr>
      </w:pPr>
      <w:r>
        <w:rPr>
          <w:rFonts w:ascii="黑体" w:hAnsi="黑体"/>
          <w:color w:val="000000"/>
          <w:szCs w:val="21"/>
        </w:rPr>
        <w:t>解释</w:t>
      </w:r>
      <w:r>
        <w:rPr>
          <w:rFonts w:hint="eastAsia" w:ascii="黑体" w:hAnsi="黑体"/>
          <w:color w:val="000000"/>
          <w:szCs w:val="21"/>
        </w:rPr>
        <w:t>是综合考虑清单分析和影响评价发现的一个阶段，以它们的结果为基础来识别重大问题（如清单数据、影响类型、各阶段对结果的主要贡献），应包括以下三个要素：“评估，包括完整性、敏感性和一致性检查”“识别重大问题与</w:t>
      </w:r>
      <w:r>
        <w:rPr>
          <w:rFonts w:hint="eastAsia" w:ascii="黑体" w:hAnsi="黑体"/>
          <w:color w:val="000000"/>
          <w:szCs w:val="21"/>
          <w:lang w:eastAsia="zh-CN"/>
        </w:rPr>
        <w:t>确认</w:t>
      </w:r>
      <w:r>
        <w:rPr>
          <w:rFonts w:hint="eastAsia" w:ascii="黑体" w:hAnsi="黑体"/>
          <w:color w:val="000000"/>
          <w:szCs w:val="21"/>
        </w:rPr>
        <w:t>改进方案”“结论、建议和局限性”</w:t>
      </w:r>
      <w:r>
        <w:rPr>
          <w:rFonts w:ascii="黑体" w:hAnsi="黑体"/>
          <w:color w:val="000000"/>
          <w:szCs w:val="21"/>
        </w:rPr>
        <w:t>。</w:t>
      </w:r>
      <w:r>
        <w:rPr>
          <w:rFonts w:hint="eastAsia" w:ascii="黑体" w:hAnsi="黑体"/>
          <w:color w:val="000000"/>
          <w:szCs w:val="21"/>
        </w:rPr>
        <w:t>解释结果应与所规定的目的和范围保持一致。</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.5.2  </w:t>
      </w:r>
      <w:r>
        <w:rPr>
          <w:rFonts w:hint="eastAsia" w:ascii="黑体" w:hAnsi="黑体" w:eastAsia="黑体"/>
          <w:color w:val="000000"/>
          <w:szCs w:val="21"/>
        </w:rPr>
        <w:t>评估</w:t>
      </w:r>
    </w:p>
    <w:p>
      <w:pPr>
        <w:ind w:firstLine="420" w:firstLineChars="200"/>
        <w:rPr>
          <w:rFonts w:ascii="黑体" w:hAnsi="黑体"/>
          <w:color w:val="000000"/>
          <w:szCs w:val="21"/>
        </w:rPr>
      </w:pPr>
      <w:r>
        <w:rPr>
          <w:rFonts w:hint="eastAsia" w:ascii="黑体" w:hAnsi="黑体"/>
          <w:color w:val="000000"/>
          <w:szCs w:val="21"/>
        </w:rPr>
        <w:t>评估应包括完整性、敏感性和一致性检查。</w:t>
      </w:r>
    </w:p>
    <w:p>
      <w:pPr>
        <w:pStyle w:val="37"/>
        <w:numPr>
          <w:ilvl w:val="0"/>
          <w:numId w:val="12"/>
        </w:numPr>
        <w:ind w:left="567" w:hanging="147" w:firstLineChars="0"/>
        <w:jc w:val="both"/>
        <w:rPr>
          <w:rFonts w:ascii="Times New Roman" w:hAnsi="Times New Roman"/>
          <w:color w:val="000000"/>
          <w:szCs w:val="21"/>
        </w:rPr>
      </w:pPr>
      <w:r>
        <w:rPr>
          <w:rFonts w:ascii="Times New Roman" w:hAnsi="Times New Roman"/>
          <w:color w:val="000000"/>
          <w:szCs w:val="21"/>
        </w:rPr>
        <w:t>完整性检查：评价数据清单，以确保其相对于确定的目标、范围和质量准则完整。这包括四氧化三钴产品生产过程的完整性（即包含了所考虑的各生产阶段的所有过程）和输入或输出范围（即包含了与各过程相关的所有原材料、辅料、能源和水的输入以及主产品、</w:t>
      </w:r>
      <w:r>
        <w:rPr>
          <w:rFonts w:hint="eastAsia" w:ascii="Times New Roman" w:hAnsi="Times New Roman"/>
          <w:color w:val="000000"/>
          <w:szCs w:val="21"/>
          <w:lang w:eastAsia="zh-CN"/>
        </w:rPr>
        <w:t>共生产品</w:t>
      </w:r>
      <w:r>
        <w:rPr>
          <w:rFonts w:hint="eastAsia" w:ascii="Times New Roman" w:hAnsi="Times New Roman"/>
          <w:color w:val="000000"/>
          <w:szCs w:val="21"/>
          <w:lang w:val="en-US" w:eastAsia="zh-CN"/>
        </w:rPr>
        <w:t>/</w:t>
      </w:r>
      <w:r>
        <w:rPr>
          <w:rFonts w:ascii="Times New Roman" w:hAnsi="Times New Roman"/>
          <w:color w:val="000000"/>
          <w:szCs w:val="21"/>
        </w:rPr>
        <w:t>副产品以及环境排放物的排出）</w:t>
      </w:r>
      <w:r>
        <w:rPr>
          <w:rFonts w:hint="eastAsia" w:ascii="Times New Roman" w:hAnsi="Times New Roman"/>
          <w:color w:val="000000"/>
          <w:szCs w:val="21"/>
          <w:lang w:val="en-US" w:eastAsia="zh-CN"/>
        </w:rPr>
        <w:t>。</w:t>
      </w:r>
    </w:p>
    <w:p>
      <w:pPr>
        <w:pStyle w:val="37"/>
        <w:numPr>
          <w:ilvl w:val="0"/>
          <w:numId w:val="12"/>
        </w:numPr>
        <w:ind w:left="567" w:hanging="147" w:firstLineChars="0"/>
        <w:jc w:val="both"/>
        <w:rPr>
          <w:rFonts w:ascii="Times New Roman" w:hAnsi="Times New Roman"/>
          <w:color w:val="000000"/>
          <w:szCs w:val="21"/>
        </w:rPr>
      </w:pPr>
      <w:r>
        <w:rPr>
          <w:rFonts w:ascii="Times New Roman" w:hAnsi="Times New Roman"/>
          <w:color w:val="000000"/>
          <w:szCs w:val="21"/>
        </w:rPr>
        <w:t>敏感性检查：通过确定最终结果和结论是如何受到数据、分配方法或类型参数等的不确定性的影响，来评价其可靠性</w:t>
      </w:r>
      <w:r>
        <w:rPr>
          <w:rFonts w:hint="eastAsia" w:ascii="Times New Roman" w:hAnsi="Times New Roman"/>
          <w:color w:val="000000"/>
          <w:szCs w:val="21"/>
          <w:lang w:eastAsia="zh-CN"/>
        </w:rPr>
        <w:t>。</w:t>
      </w:r>
    </w:p>
    <w:p>
      <w:pPr>
        <w:pStyle w:val="37"/>
        <w:numPr>
          <w:ilvl w:val="0"/>
          <w:numId w:val="12"/>
        </w:numPr>
        <w:ind w:left="567" w:hanging="147" w:firstLineChars="0"/>
        <w:jc w:val="both"/>
        <w:rPr>
          <w:rFonts w:ascii="Times New Roman" w:hAnsi="Times New Roman"/>
          <w:color w:val="000000"/>
          <w:szCs w:val="21"/>
        </w:rPr>
      </w:pPr>
      <w:r>
        <w:rPr>
          <w:rFonts w:ascii="Times New Roman" w:hAnsi="Times New Roman"/>
          <w:color w:val="000000"/>
          <w:szCs w:val="21"/>
        </w:rPr>
        <w:t>一致性检查：一致性检查的目的是确认假设、方法和数据是否与目的和范围的要求相一致</w:t>
      </w:r>
      <w:r>
        <w:rPr>
          <w:rFonts w:hint="eastAsia" w:ascii="Times New Roman" w:hAnsi="Times New Roman"/>
          <w:color w:val="000000"/>
          <w:szCs w:val="21"/>
          <w:lang w:eastAsia="zh-CN"/>
        </w:rPr>
        <w:t>。</w:t>
      </w:r>
      <w:r>
        <w:rPr>
          <w:rFonts w:ascii="Times New Roman" w:hAnsi="Times New Roman"/>
          <w:bCs/>
          <w:color w:val="000000"/>
          <w:szCs w:val="21"/>
        </w:rPr>
        <w:t>以不确定性分析结果和数据质量分析结果作为对上述检查的补充</w:t>
      </w:r>
      <w:r>
        <w:rPr>
          <w:rFonts w:ascii="Times New Roman" w:hAnsi="Times New Roman"/>
          <w:color w:val="000000"/>
          <w:szCs w:val="21"/>
        </w:rPr>
        <w:t>。</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.5.3  </w:t>
      </w:r>
      <w:r>
        <w:rPr>
          <w:rFonts w:hint="eastAsia" w:ascii="黑体" w:hAnsi="黑体" w:eastAsia="黑体"/>
          <w:color w:val="000000"/>
          <w:szCs w:val="21"/>
        </w:rPr>
        <w:t>识别重大问题与确认改进方案</w:t>
      </w:r>
    </w:p>
    <w:p>
      <w:pPr>
        <w:ind w:firstLine="420" w:firstLineChars="200"/>
        <w:jc w:val="left"/>
        <w:rPr>
          <w:rFonts w:ascii="Times New Roman" w:hAnsi="Times New Roman"/>
          <w:color w:val="000000"/>
          <w:szCs w:val="21"/>
        </w:rPr>
      </w:pPr>
      <w:r>
        <w:rPr>
          <w:rFonts w:ascii="Times New Roman" w:hAnsi="Times New Roman"/>
          <w:color w:val="000000"/>
          <w:szCs w:val="21"/>
        </w:rPr>
        <w:t>为了产生环境效益或至少将环境责任降至最低，应根据清单分析和影响评价的结果提出针对四氧化三钴产品的生态设计改进方案。</w:t>
      </w:r>
    </w:p>
    <w:p>
      <w:pPr>
        <w:ind w:firstLine="420" w:firstLineChars="200"/>
        <w:jc w:val="left"/>
        <w:rPr>
          <w:rFonts w:ascii="Times New Roman" w:hAnsi="Times New Roman"/>
          <w:color w:val="000000"/>
          <w:szCs w:val="21"/>
        </w:rPr>
      </w:pPr>
      <w:r>
        <w:rPr>
          <w:rFonts w:ascii="Times New Roman" w:hAnsi="Times New Roman"/>
          <w:color w:val="000000"/>
          <w:szCs w:val="21"/>
        </w:rPr>
        <w:t>评估人员根据产品生命周期评价结果提出的改进方案一般是广泛且全面的，并非所有的改进方案都能得到实施，需要从技术可行性、环境改进、经济效益、顾客增加值（CVA）影响、生产管理等方面评价改进方案，并进行优先排序，绘制实施者优先排序图和生命周期阶段优先排序图，具体方法参加附录D。</w:t>
      </w:r>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.5.4  结论、建议和</w:t>
      </w:r>
      <w:r>
        <w:rPr>
          <w:rFonts w:hint="eastAsia" w:ascii="黑体" w:hAnsi="黑体" w:eastAsia="黑体"/>
          <w:color w:val="000000"/>
          <w:szCs w:val="21"/>
        </w:rPr>
        <w:t>局限性</w:t>
      </w:r>
    </w:p>
    <w:p>
      <w:pPr>
        <w:ind w:firstLine="420" w:firstLineChars="200"/>
        <w:rPr>
          <w:rFonts w:ascii="黑体" w:hAnsi="黑体"/>
          <w:color w:val="000000"/>
          <w:szCs w:val="21"/>
        </w:rPr>
      </w:pPr>
      <w:r>
        <w:rPr>
          <w:rFonts w:ascii="黑体" w:hAnsi="黑体"/>
          <w:color w:val="000000"/>
          <w:szCs w:val="21"/>
        </w:rPr>
        <w:t>应根据确定的四氧化三钴产品生命周期评价的目标和范围阐述</w:t>
      </w:r>
      <w:r>
        <w:rPr>
          <w:rFonts w:hint="eastAsia" w:ascii="黑体" w:hAnsi="黑体"/>
          <w:color w:val="000000"/>
          <w:szCs w:val="21"/>
          <w:lang w:eastAsia="zh-CN"/>
        </w:rPr>
        <w:t>相应的</w:t>
      </w:r>
      <w:r>
        <w:rPr>
          <w:rFonts w:ascii="黑体" w:hAnsi="黑体"/>
          <w:color w:val="000000"/>
          <w:szCs w:val="21"/>
        </w:rPr>
        <w:t>结论</w:t>
      </w:r>
      <w:r>
        <w:rPr>
          <w:rFonts w:hint="eastAsia" w:ascii="黑体" w:hAnsi="黑体"/>
          <w:color w:val="000000"/>
          <w:szCs w:val="21"/>
        </w:rPr>
        <w:t>，提出</w:t>
      </w:r>
      <w:r>
        <w:rPr>
          <w:rFonts w:ascii="黑体" w:hAnsi="黑体"/>
          <w:color w:val="000000"/>
          <w:szCs w:val="21"/>
        </w:rPr>
        <w:t>建议</w:t>
      </w:r>
      <w:r>
        <w:rPr>
          <w:rFonts w:hint="eastAsia" w:ascii="黑体" w:hAnsi="黑体"/>
          <w:color w:val="000000"/>
          <w:szCs w:val="21"/>
        </w:rPr>
        <w:t>并对局限性进行说明</w:t>
      </w:r>
      <w:r>
        <w:rPr>
          <w:rFonts w:ascii="黑体" w:hAnsi="黑体"/>
          <w:color w:val="000000"/>
          <w:szCs w:val="21"/>
        </w:rPr>
        <w:t>。结论</w:t>
      </w:r>
      <w:r>
        <w:rPr>
          <w:rFonts w:hint="eastAsia" w:ascii="黑体" w:hAnsi="黑体"/>
          <w:color w:val="000000"/>
          <w:szCs w:val="21"/>
        </w:rPr>
        <w:t>应包括“评价方法学和结果的完整性、敏感性和一致性”与“所识别的重大问题及潜在改进方案”，同时需要检查该结论是否符合四氧化三钴研究的目的和范围要求，特别是数据质量要求、预先确定的假定和数值以及应用所需的要求。</w:t>
      </w:r>
      <w:bookmarkStart w:id="45" w:name="_Toc509405179"/>
      <w:bookmarkStart w:id="46" w:name="_Toc509405771"/>
    </w:p>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.6  生命周期评价（LCA）报告</w:t>
      </w:r>
      <w:bookmarkEnd w:id="45"/>
      <w:bookmarkEnd w:id="46"/>
    </w:p>
    <w:p>
      <w:pPr>
        <w:ind w:firstLine="420"/>
        <w:rPr>
          <w:rFonts w:ascii="黑体" w:hAnsi="黑体"/>
          <w:color w:val="000000"/>
        </w:rPr>
      </w:pPr>
      <w:r>
        <w:rPr>
          <w:rFonts w:ascii="Times New Roman" w:hAnsi="Times New Roman"/>
          <w:color w:val="000000"/>
        </w:rPr>
        <w:t>报告应对研究给出完整、公正的说明，具体要求可参见GB/T 24040的规定。在编制解释阶段的报告时，应在价值选择、原理和专家判断等方面严格体现完全透明的原则</w:t>
      </w:r>
      <w:r>
        <w:rPr>
          <w:rFonts w:ascii="黑体" w:hAnsi="黑体"/>
          <w:color w:val="000000"/>
        </w:rPr>
        <w:t>。</w:t>
      </w:r>
    </w:p>
    <w:p>
      <w:pPr>
        <w:widowControl/>
        <w:jc w:val="center"/>
        <w:outlineLvl w:val="0"/>
        <w:rPr>
          <w:rFonts w:ascii="黑体" w:hAnsi="黑体" w:eastAsia="黑体"/>
          <w:color w:val="000000"/>
          <w:szCs w:val="21"/>
        </w:rPr>
        <w:sectPr>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cols w:space="720" w:num="1"/>
          <w:titlePg/>
          <w:docGrid w:linePitch="312" w:charSpace="0"/>
        </w:sectPr>
      </w:pPr>
      <w:bookmarkStart w:id="47" w:name="_Toc2755366"/>
    </w:p>
    <w:bookmarkEnd w:id="47"/>
    <w:p>
      <w:pPr>
        <w:pStyle w:val="63"/>
        <w:numPr>
          <w:ilvl w:val="0"/>
          <w:numId w:val="5"/>
        </w:numPr>
        <w:ind w:left="0"/>
      </w:pPr>
      <w:r>
        <w:br w:type="textWrapping"/>
      </w:r>
      <w:bookmarkStart w:id="48" w:name="_Toc72754551"/>
      <w:r>
        <w:rPr>
          <w:rFonts w:hint="eastAsia"/>
        </w:rPr>
        <w:t>（规范性）</w:t>
      </w:r>
      <w:r>
        <w:br w:type="textWrapping"/>
      </w:r>
      <w:r>
        <w:rPr>
          <w:rFonts w:hint="eastAsia"/>
        </w:rPr>
        <w:t>数据</w:t>
      </w:r>
      <w:r>
        <w:t>分析方法示</w:t>
      </w:r>
      <w:r>
        <w:rPr>
          <w:rFonts w:hint="eastAsia"/>
        </w:rPr>
        <w:t>例</w:t>
      </w:r>
      <w:bookmarkEnd w:id="48"/>
    </w:p>
    <w:p>
      <w:pPr>
        <w:spacing w:before="240" w:beforeLines="100" w:after="240" w:afterLines="100"/>
        <w:jc w:val="left"/>
        <w:rPr>
          <w:rFonts w:ascii="黑体" w:hAnsi="黑体" w:eastAsia="黑体"/>
          <w:color w:val="000000"/>
          <w:szCs w:val="21"/>
        </w:rPr>
      </w:pPr>
      <w:bookmarkStart w:id="49" w:name="_Toc2755367"/>
      <w:r>
        <w:rPr>
          <w:rFonts w:hint="eastAsia" w:ascii="黑体" w:hAnsi="黑体" w:eastAsia="黑体"/>
          <w:color w:val="000000"/>
          <w:szCs w:val="21"/>
        </w:rPr>
        <w:t>C</w:t>
      </w:r>
      <w:r>
        <w:rPr>
          <w:rFonts w:ascii="黑体" w:hAnsi="黑体" w:eastAsia="黑体"/>
          <w:color w:val="000000"/>
          <w:szCs w:val="21"/>
        </w:rPr>
        <w:t>.1  工序过程</w:t>
      </w:r>
      <w:bookmarkEnd w:id="49"/>
    </w:p>
    <w:p>
      <w:pPr>
        <w:ind w:firstLine="420" w:firstLineChars="200"/>
        <w:jc w:val="left"/>
        <w:rPr>
          <w:rFonts w:ascii="Times New Roman" w:hAnsi="Times New Roman"/>
          <w:color w:val="000000"/>
        </w:rPr>
      </w:pPr>
      <w:r>
        <w:rPr>
          <w:rFonts w:ascii="Times New Roman" w:hAnsi="Times New Roman"/>
          <w:color w:val="000000"/>
        </w:rPr>
        <w:t>根据四氧化三钴生产过程绘制工序过程图（如图C.1所示）。</w:t>
      </w:r>
    </w:p>
    <w:p>
      <w:pPr>
        <w:jc w:val="center"/>
        <w:rPr>
          <w:rFonts w:ascii="黑体" w:hAnsi="黑体" w:eastAsia="Times New Roman"/>
          <w:color w:val="000000"/>
          <w:szCs w:val="21"/>
        </w:rPr>
      </w:pPr>
      <w:r>
        <w:rPr>
          <w:rFonts w:ascii="黑体" w:hAnsi="黑体"/>
          <w:color w:val="000000"/>
        </w:rPr>
        <w:object>
          <v:shape id="_x0000_i1033" o:spt="75" type="#_x0000_t75" style="height:142.8pt;width:452.95pt;" o:ole="t" filled="f" o:preferrelative="t" stroked="f" coordsize="21600,21600">
            <v:path/>
            <v:fill on="f" focussize="0,0"/>
            <v:stroke on="f"/>
            <v:imagedata r:id="rId22" o:title=""/>
            <o:lock v:ext="edit" aspectratio="f"/>
            <w10:wrap type="none"/>
            <w10:anchorlock/>
          </v:shape>
          <o:OLEObject Type="Embed" ProgID="Visio.Drawing.11" ShapeID="_x0000_i1033" DrawAspect="Content" ObjectID="_1468075727" r:id="rId21">
            <o:LockedField>false</o:LockedField>
          </o:OLEObject>
        </w:object>
      </w:r>
    </w:p>
    <w:p>
      <w:pPr>
        <w:spacing w:before="120" w:beforeLines="50" w:after="120" w:afterLines="50"/>
        <w:jc w:val="center"/>
        <w:rPr>
          <w:rFonts w:ascii="黑体" w:hAnsi="黑体" w:eastAsia="黑体"/>
          <w:szCs w:val="21"/>
        </w:rPr>
      </w:pPr>
      <w:r>
        <w:rPr>
          <w:rFonts w:ascii="黑体" w:hAnsi="黑体" w:eastAsia="黑体"/>
          <w:szCs w:val="21"/>
        </w:rPr>
        <w:t>图</w:t>
      </w:r>
      <w:r>
        <w:rPr>
          <w:rFonts w:hint="eastAsia" w:ascii="黑体" w:hAnsi="黑体" w:eastAsia="黑体"/>
          <w:szCs w:val="21"/>
        </w:rPr>
        <w:t>C</w:t>
      </w:r>
      <w:r>
        <w:rPr>
          <w:rFonts w:ascii="黑体" w:hAnsi="黑体" w:eastAsia="黑体"/>
          <w:szCs w:val="21"/>
        </w:rPr>
        <w:t>.1  四氧化三钴生产工序图</w:t>
      </w:r>
    </w:p>
    <w:p>
      <w:pPr>
        <w:spacing w:before="120" w:beforeLines="50" w:after="120" w:afterLines="50"/>
        <w:jc w:val="left"/>
        <w:rPr>
          <w:rFonts w:ascii="黑体" w:hAnsi="黑体" w:eastAsia="黑体"/>
          <w:color w:val="000000"/>
          <w:szCs w:val="21"/>
        </w:rPr>
      </w:pPr>
      <w:bookmarkStart w:id="50" w:name="_Toc2755368"/>
      <w:r>
        <w:rPr>
          <w:rFonts w:hint="eastAsia" w:ascii="黑体" w:hAnsi="黑体" w:eastAsia="黑体"/>
          <w:color w:val="000000"/>
          <w:szCs w:val="21"/>
        </w:rPr>
        <w:t>C</w:t>
      </w:r>
      <w:r>
        <w:rPr>
          <w:rFonts w:ascii="黑体" w:hAnsi="黑体" w:eastAsia="黑体"/>
          <w:color w:val="000000"/>
          <w:szCs w:val="21"/>
        </w:rPr>
        <w:t>.2 单元过程数据收集</w:t>
      </w:r>
      <w:bookmarkEnd w:id="50"/>
    </w:p>
    <w:p>
      <w:pPr>
        <w:ind w:firstLine="420" w:firstLineChars="200"/>
        <w:jc w:val="left"/>
        <w:rPr>
          <w:rFonts w:ascii="Times New Roman" w:hAnsi="Times New Roman"/>
          <w:color w:val="000000"/>
          <w:szCs w:val="21"/>
        </w:rPr>
      </w:pPr>
      <w:bookmarkStart w:id="51" w:name="_Toc2755369"/>
      <w:r>
        <w:rPr>
          <w:rFonts w:ascii="Times New Roman" w:hAnsi="Times New Roman"/>
          <w:color w:val="000000"/>
          <w:szCs w:val="21"/>
        </w:rPr>
        <w:t>根据图C.1每个单元过程图，参照表C.1收集单元过程的数据，最终汇总形成表C.2四氧化三钴产品的数据清单</w:t>
      </w:r>
      <w:bookmarkEnd w:id="51"/>
      <w:r>
        <w:rPr>
          <w:rFonts w:ascii="Times New Roman" w:hAnsi="Times New Roman"/>
          <w:color w:val="000000"/>
          <w:szCs w:val="21"/>
        </w:rPr>
        <w:t>。</w:t>
      </w:r>
    </w:p>
    <w:p>
      <w:pPr>
        <w:spacing w:before="120" w:beforeLines="50" w:after="120"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rPr>
        <w:t>C</w:t>
      </w:r>
      <w:r>
        <w:rPr>
          <w:rFonts w:ascii="黑体" w:hAnsi="黑体" w:eastAsia="黑体"/>
          <w:szCs w:val="21"/>
        </w:rPr>
        <w:t>.1  单元过程数据收集表示例</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134"/>
        <w:gridCol w:w="2268"/>
        <w:gridCol w:w="3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9"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制表人：</w:t>
            </w:r>
          </w:p>
        </w:tc>
        <w:tc>
          <w:tcPr>
            <w:tcW w:w="4961"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制表日期：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9"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单元过程名称：</w:t>
            </w:r>
          </w:p>
        </w:tc>
        <w:tc>
          <w:tcPr>
            <w:tcW w:w="4961"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19" w:type="dxa"/>
            <w:gridSpan w:val="3"/>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时段：     年</w:t>
            </w:r>
          </w:p>
        </w:tc>
        <w:tc>
          <w:tcPr>
            <w:tcW w:w="2268"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起始月：</w:t>
            </w:r>
          </w:p>
        </w:tc>
        <w:tc>
          <w:tcPr>
            <w:tcW w:w="2693"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终止月：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blHeader/>
        </w:trPr>
        <w:tc>
          <w:tcPr>
            <w:tcW w:w="9180" w:type="dxa"/>
            <w:gridSpan w:val="6"/>
          </w:tcPr>
          <w:p>
            <w:pPr>
              <w:keepNext w:val="0"/>
              <w:keepLines w:val="0"/>
              <w:suppressLineNumbers w:val="0"/>
              <w:spacing w:before="0" w:beforeAutospacing="0" w:after="0" w:afterAutospacing="0"/>
              <w:ind w:left="0" w:right="0"/>
              <w:jc w:val="left"/>
              <w:rPr>
                <w:rFonts w:hint="default" w:ascii="黑体" w:hAnsi="黑体"/>
                <w:color w:val="000000"/>
                <w:sz w:val="18"/>
                <w:szCs w:val="18"/>
              </w:rPr>
            </w:pPr>
            <w:r>
              <w:rPr>
                <w:rFonts w:hint="default" w:ascii="黑体" w:hAnsi="黑体"/>
                <w:color w:val="000000"/>
                <w:sz w:val="18"/>
                <w:szCs w:val="18"/>
              </w:rPr>
              <w:t>单元过程表述（如需要可加附页）：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材料输入</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取样程序描述</w:t>
            </w:r>
          </w:p>
        </w:tc>
        <w:tc>
          <w:tcPr>
            <w:tcW w:w="2363"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水消耗</w:t>
            </w:r>
            <w:r>
              <w:rPr>
                <w:rFonts w:hint="default" w:ascii="Times New Roman" w:hAnsi="Times New Roman"/>
                <w:color w:val="000000"/>
                <w:sz w:val="18"/>
                <w:szCs w:val="18"/>
                <w:vertAlign w:val="superscript"/>
              </w:rPr>
              <w:t>a</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能量输入</w:t>
            </w:r>
            <w:r>
              <w:rPr>
                <w:rFonts w:hint="default" w:ascii="Times New Roman" w:hAnsi="Times New Roman"/>
                <w:color w:val="000000"/>
                <w:sz w:val="18"/>
                <w:szCs w:val="18"/>
                <w:vertAlign w:val="superscript"/>
              </w:rPr>
              <w:t>b</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取样程序描述</w:t>
            </w:r>
          </w:p>
        </w:tc>
        <w:tc>
          <w:tcPr>
            <w:tcW w:w="2363" w:type="dxa"/>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1951"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1134"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598" w:type="dxa"/>
            <w:gridSpan w:val="2"/>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c>
          <w:tcPr>
            <w:tcW w:w="2363" w:type="dxa"/>
          </w:tcPr>
          <w:p>
            <w:pPr>
              <w:keepNext w:val="0"/>
              <w:keepLines w:val="0"/>
              <w:suppressLineNumbers w:val="0"/>
              <w:spacing w:before="0" w:beforeAutospacing="0" w:after="0" w:afterAutospacing="0"/>
              <w:ind w:left="0" w:right="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材料输出</w:t>
            </w:r>
            <w:r>
              <w:rPr>
                <w:rFonts w:hint="default" w:ascii="黑体" w:hAnsi="黑体"/>
                <w:color w:val="000000"/>
                <w:sz w:val="18"/>
                <w:szCs w:val="18"/>
              </w:rPr>
              <w:br w:type="textWrapping"/>
            </w:r>
            <w:r>
              <w:rPr>
                <w:rFonts w:hint="default" w:ascii="黑体" w:hAnsi="黑体"/>
                <w:color w:val="000000"/>
                <w:sz w:val="18"/>
                <w:szCs w:val="18"/>
              </w:rPr>
              <w:t>（包括产品）</w:t>
            </w: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单位</w:t>
            </w: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数量</w:t>
            </w: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取样程序描述</w:t>
            </w: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r>
              <w:rPr>
                <w:rFonts w:hint="default" w:ascii="黑体" w:hAnsi="黑体"/>
                <w:color w:val="000000"/>
                <w:sz w:val="18"/>
                <w:szCs w:val="18"/>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51" w:type="dxa"/>
            <w:vAlign w:val="top"/>
          </w:tcPr>
          <w:p>
            <w:pPr>
              <w:keepNext w:val="0"/>
              <w:keepLines w:val="0"/>
              <w:suppressLineNumbers w:val="0"/>
              <w:spacing w:before="0" w:beforeAutospacing="0" w:after="0" w:afterAutospacing="0"/>
              <w:ind w:left="0" w:right="0"/>
              <w:jc w:val="center"/>
              <w:rPr>
                <w:rFonts w:hint="eastAsia" w:ascii="黑体" w:hAnsi="黑体" w:eastAsia="宋体"/>
                <w:color w:val="000000"/>
                <w:sz w:val="18"/>
                <w:szCs w:val="18"/>
                <w:lang w:eastAsia="zh-CN"/>
              </w:rPr>
            </w:pPr>
            <w:r>
              <w:rPr>
                <w:rFonts w:hint="default" w:ascii="Times New Roman" w:hAnsi="Times New Roman"/>
                <w:color w:val="000000"/>
                <w:sz w:val="18"/>
                <w:szCs w:val="18"/>
              </w:rPr>
              <w:t>向空气排放</w:t>
            </w:r>
            <w:r>
              <w:rPr>
                <w:rFonts w:hint="eastAsia" w:ascii="Times New Roman" w:hAnsi="Times New Roman"/>
                <w:color w:val="000000"/>
                <w:sz w:val="18"/>
                <w:szCs w:val="18"/>
                <w:vertAlign w:val="superscript"/>
                <w:lang w:val="en-US" w:eastAsia="zh-CN"/>
              </w:rPr>
              <w:t>c</w:t>
            </w:r>
          </w:p>
        </w:tc>
        <w:tc>
          <w:tcPr>
            <w:tcW w:w="1134" w:type="dxa"/>
            <w:vAlign w:val="top"/>
          </w:tcPr>
          <w:p>
            <w:pPr>
              <w:keepNext w:val="0"/>
              <w:keepLines w:val="0"/>
              <w:suppressLineNumbers w:val="0"/>
              <w:autoSpaceDE w:val="0"/>
              <w:autoSpaceDN w:val="0"/>
              <w:snapToGrid w:val="0"/>
              <w:spacing w:before="0" w:beforeAutospacing="0" w:after="0" w:afterAutospacing="0" w:line="263" w:lineRule="exact"/>
              <w:ind w:left="350" w:leftChars="0" w:right="0"/>
              <w:jc w:val="left"/>
              <w:rPr>
                <w:rFonts w:hint="default" w:ascii="黑体" w:hAnsi="黑体"/>
                <w:color w:val="000000"/>
                <w:sz w:val="18"/>
                <w:szCs w:val="18"/>
              </w:rPr>
            </w:pPr>
            <w:r>
              <w:rPr>
                <w:rFonts w:hint="default" w:ascii="Times New Roman" w:hAnsi="Times New Roman"/>
                <w:color w:val="000000"/>
                <w:sz w:val="18"/>
                <w:szCs w:val="18"/>
              </w:rPr>
              <w:t>单位</w:t>
            </w:r>
          </w:p>
        </w:tc>
        <w:tc>
          <w:tcPr>
            <w:tcW w:w="1134" w:type="dxa"/>
            <w:vAlign w:val="top"/>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黑体" w:hAnsi="黑体"/>
                <w:color w:val="000000"/>
                <w:sz w:val="18"/>
                <w:szCs w:val="18"/>
              </w:rPr>
            </w:pPr>
            <w:r>
              <w:rPr>
                <w:rFonts w:hint="default" w:ascii="Times New Roman" w:hAnsi="Times New Roman"/>
                <w:color w:val="000000"/>
                <w:sz w:val="18"/>
                <w:szCs w:val="18"/>
              </w:rPr>
              <w:t>数量</w:t>
            </w:r>
          </w:p>
        </w:tc>
        <w:tc>
          <w:tcPr>
            <w:tcW w:w="2598" w:type="dxa"/>
            <w:gridSpan w:val="2"/>
            <w:vAlign w:val="top"/>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黑体" w:hAnsi="黑体"/>
                <w:color w:val="000000"/>
                <w:sz w:val="18"/>
                <w:szCs w:val="18"/>
              </w:rPr>
            </w:pPr>
            <w:r>
              <w:rPr>
                <w:rFonts w:hint="default" w:ascii="Times New Roman" w:hAnsi="Times New Roman"/>
                <w:color w:val="000000"/>
                <w:sz w:val="18"/>
                <w:szCs w:val="18"/>
              </w:rPr>
              <w:t>取样程序描述</w:t>
            </w:r>
          </w:p>
        </w:tc>
        <w:tc>
          <w:tcPr>
            <w:tcW w:w="2363" w:type="dxa"/>
            <w:vAlign w:val="top"/>
          </w:tcPr>
          <w:p>
            <w:pPr>
              <w:keepNext w:val="0"/>
              <w:keepLines w:val="0"/>
              <w:suppressLineNumbers w:val="0"/>
              <w:autoSpaceDE w:val="0"/>
              <w:autoSpaceDN w:val="0"/>
              <w:snapToGrid w:val="0"/>
              <w:spacing w:before="0" w:beforeAutospacing="0" w:after="0" w:afterAutospacing="0"/>
              <w:ind w:left="0" w:right="0" w:firstLine="420" w:firstLineChars="0"/>
              <w:jc w:val="left"/>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1134"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598" w:type="dxa"/>
            <w:gridSpan w:val="2"/>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c>
          <w:tcPr>
            <w:tcW w:w="2363" w:type="dxa"/>
            <w:vAlign w:val="center"/>
          </w:tcPr>
          <w:p>
            <w:pPr>
              <w:keepNext w:val="0"/>
              <w:keepLines w:val="0"/>
              <w:suppressLineNumbers w:val="0"/>
              <w:spacing w:before="0" w:beforeAutospacing="0" w:after="0" w:afterAutospacing="0"/>
              <w:ind w:left="0" w:right="0"/>
              <w:jc w:val="center"/>
              <w:rPr>
                <w:rFonts w:hint="default" w:ascii="黑体" w:hAnsi="黑体"/>
                <w:color w:val="000000"/>
                <w:sz w:val="18"/>
                <w:szCs w:val="18"/>
              </w:rPr>
            </w:pPr>
          </w:p>
        </w:tc>
      </w:tr>
    </w:tbl>
    <w:p>
      <w:pPr>
        <w:spacing w:before="120" w:beforeLines="50" w:after="120" w:afterLines="50"/>
        <w:jc w:val="center"/>
        <w:rPr>
          <w:rFonts w:hint="eastAsia" w:ascii="宋体" w:hAnsi="宋体" w:eastAsia="宋体" w:cs="宋体"/>
          <w:sz w:val="18"/>
          <w:szCs w:val="18"/>
        </w:rPr>
      </w:pPr>
      <w:r>
        <w:rPr>
          <w:rFonts w:ascii="黑体" w:hAnsi="黑体" w:eastAsia="黑体"/>
          <w:szCs w:val="21"/>
        </w:rPr>
        <w:t>表</w:t>
      </w:r>
      <w:r>
        <w:rPr>
          <w:rFonts w:hint="eastAsia" w:ascii="黑体" w:hAnsi="黑体" w:eastAsia="黑体"/>
          <w:szCs w:val="21"/>
        </w:rPr>
        <w:t>C</w:t>
      </w:r>
      <w:r>
        <w:rPr>
          <w:rFonts w:ascii="黑体" w:hAnsi="黑体" w:eastAsia="黑体"/>
          <w:szCs w:val="21"/>
        </w:rPr>
        <w:t>.1</w:t>
      </w:r>
      <w:r>
        <w:rPr>
          <w:rFonts w:hint="eastAsia" w:ascii="黑体" w:hAnsi="黑体" w:eastAsia="黑体"/>
          <w:szCs w:val="21"/>
          <w:lang w:val="en-US" w:eastAsia="zh-CN"/>
        </w:rPr>
        <w:t xml:space="preserve">  </w:t>
      </w:r>
      <w:r>
        <w:rPr>
          <w:rFonts w:hint="eastAsia" w:ascii="宋体" w:hAnsi="宋体" w:eastAsia="宋体" w:cs="宋体"/>
          <w:sz w:val="18"/>
          <w:szCs w:val="18"/>
          <w:lang w:eastAsia="zh-CN"/>
        </w:rPr>
        <w:t>（续）</w:t>
      </w:r>
    </w:p>
    <w:tbl>
      <w:tblPr>
        <w:tblStyle w:val="16"/>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1133"/>
        <w:gridCol w:w="1136"/>
        <w:gridCol w:w="2268"/>
        <w:gridCol w:w="329"/>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3" w:hRule="exact"/>
          <w:jc w:val="center"/>
        </w:trPr>
        <w:tc>
          <w:tcPr>
            <w:tcW w:w="4220" w:type="dxa"/>
            <w:gridSpan w:val="3"/>
          </w:tcPr>
          <w:p>
            <w:pPr>
              <w:keepNext w:val="0"/>
              <w:keepLines w:val="0"/>
              <w:suppressLineNumbers w:val="0"/>
              <w:autoSpaceDE w:val="0"/>
              <w:autoSpaceDN w:val="0"/>
              <w:snapToGrid w:val="0"/>
              <w:spacing w:before="0" w:beforeAutospacing="0" w:after="0" w:afterAutospacing="0" w:line="263" w:lineRule="exact"/>
              <w:ind w:left="9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制表人：</w:t>
            </w:r>
          </w:p>
        </w:tc>
        <w:tc>
          <w:tcPr>
            <w:tcW w:w="4961" w:type="dxa"/>
            <w:gridSpan w:val="3"/>
          </w:tcPr>
          <w:p>
            <w:pPr>
              <w:keepNext w:val="0"/>
              <w:keepLines w:val="0"/>
              <w:suppressLineNumbers w:val="0"/>
              <w:autoSpaceDE w:val="0"/>
              <w:autoSpaceDN w:val="0"/>
              <w:snapToGrid w:val="0"/>
              <w:spacing w:before="0" w:beforeAutospacing="0" w:after="0" w:afterAutospacing="0" w:line="263" w:lineRule="exact"/>
              <w:ind w:left="10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制表日期：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1" w:hRule="exact"/>
          <w:jc w:val="center"/>
        </w:trPr>
        <w:tc>
          <w:tcPr>
            <w:tcW w:w="4220" w:type="dxa"/>
            <w:gridSpan w:val="3"/>
          </w:tcPr>
          <w:p>
            <w:pPr>
              <w:keepNext w:val="0"/>
              <w:keepLines w:val="0"/>
              <w:suppressLineNumbers w:val="0"/>
              <w:autoSpaceDE w:val="0"/>
              <w:autoSpaceDN w:val="0"/>
              <w:snapToGrid w:val="0"/>
              <w:spacing w:before="1" w:beforeAutospacing="0" w:after="0" w:afterAutospacing="0" w:line="263" w:lineRule="exact"/>
              <w:ind w:left="9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单元过程名称：</w:t>
            </w:r>
          </w:p>
        </w:tc>
        <w:tc>
          <w:tcPr>
            <w:tcW w:w="4961" w:type="dxa"/>
            <w:gridSpan w:val="3"/>
          </w:tcPr>
          <w:p>
            <w:pPr>
              <w:keepNext w:val="0"/>
              <w:keepLines w:val="0"/>
              <w:suppressLineNumbers w:val="0"/>
              <w:autoSpaceDE w:val="0"/>
              <w:autoSpaceDN w:val="0"/>
              <w:snapToGrid w:val="0"/>
              <w:spacing w:before="1" w:beforeAutospacing="0" w:after="0" w:afterAutospacing="0" w:line="263" w:lineRule="exact"/>
              <w:ind w:left="10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exact"/>
          <w:jc w:val="center"/>
        </w:trPr>
        <w:tc>
          <w:tcPr>
            <w:tcW w:w="4220" w:type="dxa"/>
            <w:gridSpan w:val="3"/>
          </w:tcPr>
          <w:p>
            <w:pPr>
              <w:keepNext w:val="0"/>
              <w:keepLines w:val="0"/>
              <w:suppressLineNumbers w:val="0"/>
              <w:autoSpaceDE w:val="0"/>
              <w:autoSpaceDN w:val="0"/>
              <w:snapToGrid w:val="0"/>
              <w:spacing w:before="3" w:beforeAutospacing="0" w:after="0" w:afterAutospacing="0" w:line="263" w:lineRule="exact"/>
              <w:ind w:left="9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时段：</w:t>
            </w:r>
            <w:r>
              <w:rPr>
                <w:rFonts w:hint="default" w:ascii="Times New Roman" w:hAnsi="Times New Roman"/>
                <w:color w:val="000000"/>
                <w:spacing w:val="262"/>
                <w:sz w:val="18"/>
                <w:szCs w:val="18"/>
              </w:rPr>
              <w:t xml:space="preserve"> </w:t>
            </w:r>
            <w:r>
              <w:rPr>
                <w:rFonts w:hint="default" w:ascii="Times New Roman" w:hAnsi="Times New Roman"/>
                <w:color w:val="000000"/>
                <w:sz w:val="18"/>
                <w:szCs w:val="18"/>
              </w:rPr>
              <w:t>年</w:t>
            </w:r>
          </w:p>
        </w:tc>
        <w:tc>
          <w:tcPr>
            <w:tcW w:w="2268" w:type="dxa"/>
          </w:tcPr>
          <w:p>
            <w:pPr>
              <w:keepNext w:val="0"/>
              <w:keepLines w:val="0"/>
              <w:suppressLineNumbers w:val="0"/>
              <w:autoSpaceDE w:val="0"/>
              <w:autoSpaceDN w:val="0"/>
              <w:snapToGrid w:val="0"/>
              <w:spacing w:before="3" w:beforeAutospacing="0" w:after="0" w:afterAutospacing="0" w:line="263" w:lineRule="exact"/>
              <w:ind w:left="10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起始月：</w:t>
            </w:r>
          </w:p>
        </w:tc>
        <w:tc>
          <w:tcPr>
            <w:tcW w:w="2693" w:type="dxa"/>
            <w:gridSpan w:val="2"/>
          </w:tcPr>
          <w:p>
            <w:pPr>
              <w:keepNext w:val="0"/>
              <w:keepLines w:val="0"/>
              <w:suppressLineNumbers w:val="0"/>
              <w:autoSpaceDE w:val="0"/>
              <w:autoSpaceDN w:val="0"/>
              <w:snapToGrid w:val="0"/>
              <w:spacing w:before="3" w:beforeAutospacing="0" w:after="0" w:afterAutospacing="0" w:line="263" w:lineRule="exact"/>
              <w:ind w:left="10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终止月：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64" w:hRule="exact"/>
          <w:jc w:val="center"/>
        </w:trPr>
        <w:tc>
          <w:tcPr>
            <w:tcW w:w="9181" w:type="dxa"/>
            <w:gridSpan w:val="6"/>
          </w:tcPr>
          <w:p>
            <w:pPr>
              <w:keepNext w:val="0"/>
              <w:keepLines w:val="0"/>
              <w:suppressLineNumbers w:val="0"/>
              <w:autoSpaceDE w:val="0"/>
              <w:autoSpaceDN w:val="0"/>
              <w:snapToGrid w:val="0"/>
              <w:spacing w:before="0" w:beforeAutospacing="0" w:after="0" w:afterAutospacing="0" w:line="263" w:lineRule="exact"/>
              <w:ind w:left="9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单元过程表述（如需要可加附页</w:t>
            </w:r>
            <w:r>
              <w:rPr>
                <w:rFonts w:hint="default" w:ascii="Times New Roman" w:hAnsi="Times New Roman"/>
                <w:color w:val="000000"/>
                <w:spacing w:val="-52"/>
                <w:sz w:val="18"/>
                <w:szCs w:val="18"/>
              </w:rPr>
              <w:t>）</w:t>
            </w: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1" w:hRule="exact"/>
          <w:jc w:val="center"/>
        </w:trPr>
        <w:tc>
          <w:tcPr>
            <w:tcW w:w="1951" w:type="dxa"/>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向水体排放</w:t>
            </w:r>
            <w:r>
              <w:rPr>
                <w:rFonts w:hint="eastAsia" w:ascii="Times New Roman" w:hAnsi="Times New Roman"/>
                <w:color w:val="000000"/>
                <w:sz w:val="18"/>
                <w:szCs w:val="18"/>
                <w:vertAlign w:val="superscript"/>
                <w:lang w:val="en-US" w:eastAsia="zh-CN"/>
              </w:rPr>
              <w:t>d</w:t>
            </w:r>
          </w:p>
        </w:tc>
        <w:tc>
          <w:tcPr>
            <w:tcW w:w="1133"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1136"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数量</w:t>
            </w:r>
          </w:p>
        </w:tc>
        <w:tc>
          <w:tcPr>
            <w:tcW w:w="2597" w:type="dxa"/>
            <w:gridSpan w:val="2"/>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取样程序描述</w:t>
            </w: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7"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exact"/>
          <w:jc w:val="center"/>
        </w:trPr>
        <w:tc>
          <w:tcPr>
            <w:tcW w:w="1951" w:type="dxa"/>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向土壤排放</w:t>
            </w:r>
            <w:r>
              <w:rPr>
                <w:rFonts w:hint="eastAsia" w:ascii="Times New Roman" w:hAnsi="Times New Roman"/>
                <w:color w:val="000000"/>
                <w:sz w:val="18"/>
                <w:szCs w:val="18"/>
                <w:vertAlign w:val="superscript"/>
                <w:lang w:val="en-US" w:eastAsia="zh-CN"/>
              </w:rPr>
              <w:t>e</w:t>
            </w:r>
          </w:p>
        </w:tc>
        <w:tc>
          <w:tcPr>
            <w:tcW w:w="1133"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1136"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数量</w:t>
            </w:r>
          </w:p>
        </w:tc>
        <w:tc>
          <w:tcPr>
            <w:tcW w:w="2597" w:type="dxa"/>
            <w:gridSpan w:val="2"/>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取样程序描述</w:t>
            </w: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exact"/>
          <w:jc w:val="center"/>
        </w:trPr>
        <w:tc>
          <w:tcPr>
            <w:tcW w:w="1951" w:type="dxa"/>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其他排放</w:t>
            </w:r>
            <w:r>
              <w:rPr>
                <w:rFonts w:hint="eastAsia" w:ascii="Times New Roman" w:hAnsi="Times New Roman"/>
                <w:color w:val="000000"/>
                <w:sz w:val="18"/>
                <w:szCs w:val="18"/>
                <w:vertAlign w:val="superscript"/>
                <w:lang w:val="en-US" w:eastAsia="zh-CN"/>
              </w:rPr>
              <w:t>f</w:t>
            </w:r>
          </w:p>
        </w:tc>
        <w:tc>
          <w:tcPr>
            <w:tcW w:w="1133"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单位</w:t>
            </w:r>
          </w:p>
        </w:tc>
        <w:tc>
          <w:tcPr>
            <w:tcW w:w="1136" w:type="dxa"/>
          </w:tcPr>
          <w:p>
            <w:pPr>
              <w:keepNext w:val="0"/>
              <w:keepLines w:val="0"/>
              <w:suppressLineNumbers w:val="0"/>
              <w:autoSpaceDE w:val="0"/>
              <w:autoSpaceDN w:val="0"/>
              <w:snapToGrid w:val="0"/>
              <w:spacing w:before="0" w:beforeAutospacing="0" w:after="0" w:afterAutospacing="0" w:line="263" w:lineRule="exact"/>
              <w:ind w:left="350" w:right="0"/>
              <w:jc w:val="left"/>
              <w:rPr>
                <w:rFonts w:hint="default" w:ascii="Times New Roman" w:hAnsi="Times New Roman"/>
                <w:color w:val="000000"/>
                <w:sz w:val="18"/>
                <w:szCs w:val="18"/>
              </w:rPr>
            </w:pPr>
            <w:r>
              <w:rPr>
                <w:rFonts w:hint="default" w:ascii="Times New Roman" w:hAnsi="Times New Roman"/>
                <w:color w:val="000000"/>
                <w:sz w:val="18"/>
                <w:szCs w:val="18"/>
              </w:rPr>
              <w:t>数量</w:t>
            </w:r>
          </w:p>
        </w:tc>
        <w:tc>
          <w:tcPr>
            <w:tcW w:w="2597" w:type="dxa"/>
            <w:gridSpan w:val="2"/>
          </w:tcPr>
          <w:p>
            <w:pPr>
              <w:keepNext w:val="0"/>
              <w:keepLines w:val="0"/>
              <w:suppressLineNumbers w:val="0"/>
              <w:autoSpaceDE w:val="0"/>
              <w:autoSpaceDN w:val="0"/>
              <w:snapToGrid w:val="0"/>
              <w:spacing w:before="0" w:beforeAutospacing="0" w:after="0" w:afterAutospacing="0" w:line="263" w:lineRule="exact"/>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取样程序描述</w:t>
            </w: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4" w:hRule="exact"/>
          <w:jc w:val="center"/>
        </w:trPr>
        <w:tc>
          <w:tcPr>
            <w:tcW w:w="1951"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6" w:hRule="exact"/>
          <w:jc w:val="center"/>
        </w:trPr>
        <w:tc>
          <w:tcPr>
            <w:tcW w:w="1951"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3"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1136"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597" w:type="dxa"/>
            <w:gridSpan w:val="2"/>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c>
          <w:tcPr>
            <w:tcW w:w="2364" w:type="dxa"/>
          </w:tcPr>
          <w:p>
            <w:pPr>
              <w:keepNext w:val="0"/>
              <w:keepLines w:val="0"/>
              <w:suppressLineNumbers w:val="0"/>
              <w:autoSpaceDE w:val="0"/>
              <w:autoSpaceDN w:val="0"/>
              <w:snapToGrid w:val="0"/>
              <w:spacing w:before="0" w:beforeAutospacing="0" w:after="0" w:afterAutospacing="0"/>
              <w:ind w:left="0" w:right="0" w:firstLine="420"/>
              <w:jc w:val="lef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3" w:hRule="exact"/>
          <w:jc w:val="center"/>
        </w:trPr>
        <w:tc>
          <w:tcPr>
            <w:tcW w:w="9181" w:type="dxa"/>
            <w:gridSpan w:val="6"/>
          </w:tcPr>
          <w:p>
            <w:pPr>
              <w:keepNext w:val="0"/>
              <w:keepLines w:val="0"/>
              <w:suppressLineNumbers w:val="0"/>
              <w:tabs>
                <w:tab w:val="left" w:pos="7419"/>
              </w:tabs>
              <w:autoSpaceDE w:val="0"/>
              <w:autoSpaceDN w:val="0"/>
              <w:snapToGrid w:val="0"/>
              <w:spacing w:before="3" w:beforeAutospacing="0" w:after="0" w:afterAutospacing="0" w:line="263" w:lineRule="exact"/>
              <w:ind w:left="93" w:right="0" w:firstLine="420"/>
              <w:jc w:val="left"/>
              <w:rPr>
                <w:rFonts w:hint="default" w:ascii="Times New Roman" w:hAnsi="Times New Roman"/>
                <w:color w:val="000000"/>
                <w:sz w:val="18"/>
                <w:szCs w:val="18"/>
              </w:rPr>
            </w:pPr>
            <w:r>
              <w:rPr>
                <w:rFonts w:hint="default" w:ascii="Times New Roman" w:hAnsi="Times New Roman"/>
                <w:color w:val="000000"/>
                <w:sz w:val="18"/>
                <w:szCs w:val="18"/>
              </w:rPr>
              <w:t>注：此数据收集表中的数据是指规定时段内所有未分配的输入和输出。</w:t>
            </w:r>
            <w:r>
              <w:rPr>
                <w:rFonts w:hint="default" w:ascii="Times New Roman" w:hAnsi="Times New Roman"/>
                <w:color w:val="00000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40" w:hRule="exact"/>
          <w:jc w:val="center"/>
        </w:trPr>
        <w:tc>
          <w:tcPr>
            <w:tcW w:w="9181" w:type="dxa"/>
            <w:gridSpan w:val="6"/>
          </w:tcPr>
          <w:p>
            <w:pPr>
              <w:keepNext w:val="0"/>
              <w:keepLines w:val="0"/>
              <w:suppressLineNumbers w:val="0"/>
              <w:spacing w:before="0" w:beforeAutospacing="0" w:after="0" w:afterAutospacing="0"/>
              <w:ind w:left="420" w:leftChars="200" w:right="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 xml:space="preserve">a  </w:t>
            </w:r>
            <w:r>
              <w:rPr>
                <w:rFonts w:hint="default" w:ascii="Times New Roman" w:hAnsi="Times New Roman"/>
                <w:color w:val="000000"/>
                <w:sz w:val="18"/>
                <w:szCs w:val="18"/>
              </w:rPr>
              <w:t>例如地表水、饮用水。</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vertAlign w:val="superscript"/>
              </w:rPr>
            </w:pPr>
            <w:r>
              <w:rPr>
                <w:rFonts w:hint="eastAsia" w:ascii="Times New Roman" w:hAnsi="Times New Roman"/>
                <w:color w:val="000000"/>
                <w:sz w:val="18"/>
                <w:szCs w:val="18"/>
                <w:vertAlign w:val="superscript"/>
                <w:lang w:val="en-US" w:eastAsia="zh-CN"/>
              </w:rPr>
              <w:t xml:space="preserve">b  </w:t>
            </w:r>
            <w:r>
              <w:rPr>
                <w:rFonts w:hint="default" w:ascii="Times New Roman" w:hAnsi="Times New Roman"/>
                <w:color w:val="000000"/>
                <w:sz w:val="18"/>
                <w:szCs w:val="18"/>
              </w:rPr>
              <w:t>例如焦炭、煤油、天然气、</w:t>
            </w:r>
            <w:r>
              <w:rPr>
                <w:rFonts w:hint="eastAsia" w:ascii="Times New Roman" w:hAnsi="Times New Roman"/>
                <w:color w:val="000000"/>
                <w:sz w:val="18"/>
                <w:szCs w:val="18"/>
                <w:lang w:eastAsia="zh-CN"/>
              </w:rPr>
              <w:t>蒸汽、</w:t>
            </w:r>
            <w:r>
              <w:rPr>
                <w:rFonts w:hint="default" w:ascii="Times New Roman" w:hAnsi="Times New Roman"/>
                <w:color w:val="000000"/>
                <w:sz w:val="18"/>
                <w:szCs w:val="18"/>
              </w:rPr>
              <w:t>网电、压缩空气等。</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c</w:t>
            </w:r>
            <w:r>
              <w:rPr>
                <w:rFonts w:hint="default" w:ascii="Times New Roman" w:hAnsi="Times New Roman"/>
                <w:color w:val="000000"/>
                <w:sz w:val="18"/>
                <w:szCs w:val="18"/>
                <w:vertAlign w:val="superscript"/>
              </w:rPr>
              <w:t xml:space="preserve">  </w:t>
            </w:r>
            <w:r>
              <w:rPr>
                <w:rFonts w:hint="default" w:ascii="Times New Roman" w:hAnsi="Times New Roman"/>
                <w:color w:val="000000"/>
                <w:sz w:val="18"/>
                <w:szCs w:val="18"/>
              </w:rPr>
              <w:t>例如无机物：SO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、CO</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、CO、粉尘/颗粒物、</w:t>
            </w:r>
            <w:r>
              <w:rPr>
                <w:rFonts w:hint="eastAsia" w:ascii="Times New Roman" w:hAnsi="Times New Roman"/>
                <w:color w:val="000000"/>
                <w:sz w:val="18"/>
                <w:szCs w:val="18"/>
                <w:lang w:eastAsia="zh-CN"/>
              </w:rPr>
              <w:t>酸雾、</w:t>
            </w:r>
            <w:r>
              <w:rPr>
                <w:rFonts w:hint="default" w:ascii="Times New Roman" w:hAnsi="Times New Roman"/>
                <w:color w:val="000000"/>
                <w:sz w:val="18"/>
                <w:szCs w:val="18"/>
              </w:rPr>
              <w:t>Cl</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、H</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S、HCl、NH</w:t>
            </w:r>
            <w:r>
              <w:rPr>
                <w:rFonts w:hint="default" w:ascii="Times New Roman" w:hAnsi="Times New Roman"/>
                <w:color w:val="000000"/>
                <w:sz w:val="18"/>
                <w:szCs w:val="18"/>
                <w:vertAlign w:val="subscript"/>
              </w:rPr>
              <w:t>3</w:t>
            </w:r>
            <w:r>
              <w:rPr>
                <w:rFonts w:hint="default" w:ascii="Times New Roman" w:hAnsi="Times New Roman"/>
                <w:color w:val="000000"/>
                <w:sz w:val="18"/>
                <w:szCs w:val="18"/>
              </w:rPr>
              <w:t>、NO</w:t>
            </w:r>
            <w:r>
              <w:rPr>
                <w:rFonts w:hint="default" w:ascii="Times New Roman" w:hAnsi="Times New Roman"/>
                <w:color w:val="000000"/>
                <w:sz w:val="18"/>
                <w:szCs w:val="18"/>
                <w:vertAlign w:val="subscript"/>
              </w:rPr>
              <w:t>x</w:t>
            </w:r>
            <w:r>
              <w:rPr>
                <w:rFonts w:hint="default" w:ascii="Times New Roman" w:hAnsi="Times New Roman"/>
                <w:color w:val="000000"/>
                <w:sz w:val="18"/>
                <w:szCs w:val="18"/>
              </w:rPr>
              <w:t>；金属：As、Pb、Sb。</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d</w:t>
            </w:r>
            <w:r>
              <w:rPr>
                <w:rFonts w:hint="default" w:ascii="Times New Roman" w:hAnsi="Times New Roman"/>
                <w:color w:val="000000"/>
                <w:sz w:val="18"/>
                <w:szCs w:val="18"/>
                <w:vertAlign w:val="superscript"/>
              </w:rPr>
              <w:t xml:space="preserve">  </w:t>
            </w:r>
            <w:r>
              <w:rPr>
                <w:rFonts w:hint="default" w:ascii="Times New Roman" w:hAnsi="Times New Roman"/>
                <w:color w:val="000000"/>
                <w:sz w:val="18"/>
                <w:szCs w:val="18"/>
              </w:rPr>
              <w:t>例如，生化需氧量（BOD）、化学需氧量（COD）、Cl</w:t>
            </w:r>
            <w:r>
              <w:rPr>
                <w:rFonts w:hint="default" w:ascii="Times New Roman" w:hAnsi="Times New Roman"/>
                <w:color w:val="000000"/>
                <w:sz w:val="18"/>
                <w:szCs w:val="18"/>
                <w:vertAlign w:val="subscript"/>
              </w:rPr>
              <w:t>2</w:t>
            </w:r>
            <w:r>
              <w:rPr>
                <w:rFonts w:hint="default" w:ascii="Times New Roman" w:hAnsi="Times New Roman"/>
                <w:color w:val="000000"/>
                <w:sz w:val="18"/>
                <w:szCs w:val="18"/>
              </w:rPr>
              <w:t>、溶解性有机物、Fe</w:t>
            </w:r>
            <w:r>
              <w:rPr>
                <w:rFonts w:hint="default" w:ascii="Times New Roman" w:hAnsi="Times New Roman"/>
                <w:color w:val="000000"/>
                <w:sz w:val="18"/>
                <w:szCs w:val="18"/>
                <w:vertAlign w:val="superscript"/>
              </w:rPr>
              <w:t>2+</w:t>
            </w:r>
            <w:r>
              <w:rPr>
                <w:rFonts w:hint="default" w:ascii="Times New Roman" w:hAnsi="Times New Roman"/>
                <w:color w:val="000000"/>
                <w:sz w:val="18"/>
                <w:szCs w:val="18"/>
              </w:rPr>
              <w:t>、Hg</w:t>
            </w:r>
            <w:r>
              <w:rPr>
                <w:rFonts w:hint="default" w:ascii="Times New Roman" w:hAnsi="Times New Roman"/>
                <w:color w:val="000000"/>
                <w:sz w:val="18"/>
                <w:szCs w:val="18"/>
                <w:vertAlign w:val="superscript"/>
              </w:rPr>
              <w:t>+</w:t>
            </w:r>
            <w:r>
              <w:rPr>
                <w:rFonts w:hint="default" w:ascii="Times New Roman" w:hAnsi="Times New Roman"/>
                <w:color w:val="000000"/>
                <w:sz w:val="18"/>
                <w:szCs w:val="18"/>
              </w:rPr>
              <w:t>、Na</w:t>
            </w:r>
            <w:r>
              <w:rPr>
                <w:rFonts w:hint="default" w:ascii="Times New Roman" w:hAnsi="Times New Roman"/>
                <w:color w:val="000000"/>
                <w:sz w:val="18"/>
                <w:szCs w:val="18"/>
                <w:vertAlign w:val="superscript"/>
              </w:rPr>
              <w:t>+</w:t>
            </w:r>
            <w:r>
              <w:rPr>
                <w:rFonts w:hint="default" w:ascii="Times New Roman" w:hAnsi="Times New Roman"/>
                <w:color w:val="000000"/>
                <w:sz w:val="18"/>
                <w:szCs w:val="18"/>
              </w:rPr>
              <w:t>、NH</w:t>
            </w:r>
            <w:r>
              <w:rPr>
                <w:rFonts w:hint="default" w:ascii="Times New Roman" w:hAnsi="Times New Roman"/>
                <w:color w:val="000000"/>
                <w:sz w:val="18"/>
                <w:szCs w:val="18"/>
                <w:vertAlign w:val="superscript"/>
              </w:rPr>
              <w:t>4+</w:t>
            </w:r>
            <w:r>
              <w:rPr>
                <w:rFonts w:hint="default" w:ascii="Times New Roman" w:hAnsi="Times New Roman"/>
                <w:color w:val="000000"/>
                <w:sz w:val="18"/>
                <w:szCs w:val="18"/>
              </w:rPr>
              <w:t>、NO</w:t>
            </w:r>
            <w:r>
              <w:rPr>
                <w:rFonts w:hint="default" w:ascii="Times New Roman" w:hAnsi="Times New Roman"/>
                <w:color w:val="000000"/>
                <w:sz w:val="18"/>
                <w:szCs w:val="18"/>
                <w:vertAlign w:val="superscript"/>
              </w:rPr>
              <w:t>3-</w:t>
            </w:r>
            <w:r>
              <w:rPr>
                <w:rFonts w:hint="default" w:ascii="Times New Roman" w:hAnsi="Times New Roman"/>
                <w:color w:val="000000"/>
                <w:sz w:val="18"/>
                <w:szCs w:val="18"/>
              </w:rPr>
              <w:t>、其他金属、其他氮化合物、SO</w:t>
            </w:r>
            <w:r>
              <w:rPr>
                <w:rFonts w:hint="default" w:ascii="Times New Roman" w:hAnsi="Times New Roman"/>
                <w:color w:val="000000"/>
                <w:sz w:val="18"/>
                <w:szCs w:val="18"/>
                <w:vertAlign w:val="subscript"/>
              </w:rPr>
              <w:t>4</w:t>
            </w:r>
            <w:r>
              <w:rPr>
                <w:rFonts w:hint="default" w:ascii="Times New Roman" w:hAnsi="Times New Roman"/>
                <w:color w:val="000000"/>
                <w:sz w:val="18"/>
                <w:szCs w:val="18"/>
                <w:vertAlign w:val="superscript"/>
              </w:rPr>
              <w:t>2-</w:t>
            </w:r>
            <w:r>
              <w:rPr>
                <w:rFonts w:hint="default" w:ascii="Times New Roman" w:hAnsi="Times New Roman"/>
                <w:color w:val="000000"/>
                <w:sz w:val="18"/>
                <w:szCs w:val="18"/>
              </w:rPr>
              <w:t>、悬浮物。</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e</w:t>
            </w:r>
            <w:r>
              <w:rPr>
                <w:rFonts w:hint="default" w:ascii="Times New Roman" w:hAnsi="Times New Roman"/>
                <w:color w:val="000000"/>
                <w:sz w:val="18"/>
                <w:szCs w:val="18"/>
                <w:vertAlign w:val="superscript"/>
              </w:rPr>
              <w:t xml:space="preserve">  </w:t>
            </w:r>
            <w:r>
              <w:rPr>
                <w:rFonts w:hint="default" w:ascii="Times New Roman" w:hAnsi="Times New Roman"/>
                <w:color w:val="000000"/>
                <w:sz w:val="18"/>
                <w:szCs w:val="18"/>
              </w:rPr>
              <w:t>例如，矿物废物、工业混合废物、有毒废物。</w:t>
            </w:r>
          </w:p>
          <w:p>
            <w:pPr>
              <w:keepNext w:val="0"/>
              <w:keepLines w:val="0"/>
              <w:suppressLineNumbers w:val="0"/>
              <w:spacing w:before="0" w:beforeAutospacing="0" w:after="0" w:afterAutospacing="0"/>
              <w:ind w:left="600" w:leftChars="200" w:right="0" w:hanging="180" w:hangingChars="100"/>
              <w:rPr>
                <w:rFonts w:hint="default" w:ascii="Times New Roman" w:hAnsi="Times New Roman"/>
                <w:color w:val="000000"/>
                <w:sz w:val="18"/>
                <w:szCs w:val="18"/>
              </w:rPr>
            </w:pPr>
            <w:r>
              <w:rPr>
                <w:rFonts w:hint="eastAsia" w:ascii="Times New Roman" w:hAnsi="Times New Roman"/>
                <w:color w:val="000000"/>
                <w:sz w:val="18"/>
                <w:szCs w:val="18"/>
                <w:vertAlign w:val="superscript"/>
                <w:lang w:val="en-US" w:eastAsia="zh-CN"/>
              </w:rPr>
              <w:t>f</w:t>
            </w:r>
            <w:r>
              <w:rPr>
                <w:rFonts w:hint="default" w:ascii="Times New Roman" w:hAnsi="Times New Roman"/>
                <w:color w:val="000000"/>
                <w:sz w:val="18"/>
                <w:szCs w:val="18"/>
              </w:rPr>
              <w:t xml:space="preserve">  例如，噪声、辐射、振动、</w:t>
            </w:r>
            <w:r>
              <w:rPr>
                <w:rFonts w:hint="eastAsia" w:ascii="Times New Roman" w:hAnsi="Times New Roman"/>
                <w:color w:val="000000"/>
                <w:sz w:val="18"/>
                <w:szCs w:val="18"/>
                <w:lang w:eastAsia="zh-CN"/>
              </w:rPr>
              <w:t>恶臭、</w:t>
            </w:r>
            <w:r>
              <w:rPr>
                <w:rFonts w:hint="default" w:ascii="Times New Roman" w:hAnsi="Times New Roman"/>
                <w:color w:val="000000"/>
                <w:sz w:val="18"/>
                <w:szCs w:val="18"/>
              </w:rPr>
              <w:t>余热。</w:t>
            </w:r>
          </w:p>
        </w:tc>
      </w:tr>
    </w:tbl>
    <w:p>
      <w:pPr>
        <w:jc w:val="left"/>
        <w:rPr>
          <w:rFonts w:ascii="黑体" w:hAnsi="黑体"/>
          <w:color w:val="000000"/>
          <w:szCs w:val="21"/>
        </w:rPr>
      </w:pPr>
    </w:p>
    <w:p>
      <w:pPr>
        <w:widowControl/>
        <w:jc w:val="center"/>
        <w:outlineLvl w:val="0"/>
        <w:rPr>
          <w:rFonts w:ascii="黑体" w:hAnsi="黑体" w:eastAsia="黑体"/>
          <w:color w:val="000000"/>
          <w:szCs w:val="21"/>
        </w:rPr>
      </w:pPr>
      <w:r>
        <w:rPr>
          <w:rFonts w:ascii="黑体" w:hAnsi="黑体" w:eastAsia="黑体"/>
          <w:color w:val="000000"/>
          <w:szCs w:val="21"/>
        </w:rPr>
        <w:br w:type="page"/>
      </w:r>
    </w:p>
    <w:p>
      <w:pPr>
        <w:pStyle w:val="63"/>
        <w:numPr>
          <w:ilvl w:val="0"/>
          <w:numId w:val="5"/>
        </w:numPr>
        <w:ind w:left="0"/>
      </w:pPr>
      <w:r>
        <w:br w:type="textWrapping"/>
      </w:r>
      <w:bookmarkStart w:id="52" w:name="_Toc72754552"/>
      <w:r>
        <w:rPr>
          <w:rFonts w:hint="eastAsia"/>
        </w:rPr>
        <w:t>（资料性）</w:t>
      </w:r>
      <w:r>
        <w:br w:type="textWrapping"/>
      </w:r>
      <w:r>
        <w:rPr>
          <w:rFonts w:hAnsi="黑体"/>
          <w:color w:val="000000"/>
          <w:szCs w:val="21"/>
        </w:rPr>
        <w:t>产品绿色设计改进方案优先排序方法及</w:t>
      </w:r>
      <w:r>
        <w:t>示</w:t>
      </w:r>
      <w:r>
        <w:rPr>
          <w:rFonts w:hint="eastAsia"/>
        </w:rPr>
        <w:t>例</w:t>
      </w:r>
      <w:bookmarkEnd w:id="52"/>
    </w:p>
    <w:p>
      <w:pPr>
        <w:spacing w:before="240" w:beforeLines="100" w:after="240" w:afterLines="100"/>
        <w:jc w:val="left"/>
        <w:rPr>
          <w:rFonts w:ascii="黑体" w:hAnsi="黑体" w:eastAsia="黑体"/>
          <w:color w:val="000000"/>
          <w:szCs w:val="21"/>
        </w:rPr>
      </w:pPr>
      <w:r>
        <w:rPr>
          <w:rFonts w:hint="eastAsia" w:ascii="黑体" w:hAnsi="黑体" w:eastAsia="黑体"/>
          <w:color w:val="000000"/>
          <w:szCs w:val="21"/>
        </w:rPr>
        <w:t>D</w:t>
      </w:r>
      <w:r>
        <w:rPr>
          <w:rFonts w:ascii="黑体" w:hAnsi="黑体" w:eastAsia="黑体"/>
          <w:color w:val="000000"/>
          <w:szCs w:val="21"/>
        </w:rPr>
        <w:t>.1  排序方法</w:t>
      </w:r>
    </w:p>
    <w:p>
      <w:pPr>
        <w:ind w:firstLine="420" w:firstLineChars="200"/>
        <w:jc w:val="left"/>
        <w:rPr>
          <w:rFonts w:ascii="Times New Roman" w:hAnsi="Times New Roman"/>
          <w:color w:val="000000"/>
          <w:szCs w:val="21"/>
        </w:rPr>
      </w:pPr>
      <w:r>
        <w:rPr>
          <w:rFonts w:ascii="Times New Roman" w:hAnsi="Times New Roman"/>
          <w:color w:val="000000"/>
          <w:szCs w:val="21"/>
        </w:rPr>
        <w:t>产品绿色设计改进方案优先排序方法步骤如下：</w:t>
      </w:r>
    </w:p>
    <w:p>
      <w:pPr>
        <w:ind w:firstLine="420" w:firstLineChars="200"/>
        <w:jc w:val="left"/>
        <w:rPr>
          <w:rFonts w:ascii="Times New Roman" w:hAnsi="Times New Roman"/>
          <w:color w:val="000000"/>
          <w:szCs w:val="21"/>
        </w:rPr>
      </w:pPr>
      <w:r>
        <w:rPr>
          <w:rFonts w:ascii="Times New Roman" w:hAnsi="Times New Roman"/>
          <w:color w:val="000000"/>
          <w:szCs w:val="21"/>
        </w:rPr>
        <w:t>第一步：将所有方案划分为生产类、设计类和管理类三类方案；</w:t>
      </w:r>
    </w:p>
    <w:p>
      <w:pPr>
        <w:ind w:firstLine="420" w:firstLineChars="200"/>
        <w:jc w:val="left"/>
        <w:rPr>
          <w:rFonts w:ascii="Times New Roman" w:hAnsi="Times New Roman"/>
          <w:color w:val="000000"/>
          <w:szCs w:val="21"/>
        </w:rPr>
      </w:pPr>
      <w:r>
        <w:rPr>
          <w:rFonts w:ascii="Times New Roman" w:hAnsi="Times New Roman"/>
          <w:color w:val="000000"/>
          <w:szCs w:val="21"/>
        </w:rPr>
        <w:t>第二步：选取方案的评价指标，本文件的评价指标包括：</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——技术可行性，评估实施某改进方案的技术可行性；</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lang w:eastAsia="zh-CN"/>
        </w:rPr>
        <w:t>绿色</w:t>
      </w:r>
      <w:r>
        <w:rPr>
          <w:rFonts w:ascii="Times New Roman" w:hAnsi="Times New Roman"/>
          <w:color w:val="000000"/>
          <w:szCs w:val="21"/>
        </w:rPr>
        <w:t>设计改进，判断一个方案的实施能够对某个重要环境要素产生何种程度的作用；</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——经济效益，评估一个组织实施某特定方案所产生的财务影响；</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——顾客增加值（CVA）影响，表示因实施了某个改进方案而提高消费者认同增加值；</w:t>
      </w:r>
    </w:p>
    <w:p>
      <w:pPr>
        <w:ind w:left="420" w:leftChars="200" w:firstLine="420" w:firstLineChars="200"/>
        <w:jc w:val="left"/>
        <w:rPr>
          <w:rFonts w:ascii="Times New Roman" w:hAnsi="Times New Roman"/>
          <w:color w:val="000000"/>
          <w:szCs w:val="21"/>
        </w:rPr>
      </w:pPr>
      <w:r>
        <w:rPr>
          <w:rFonts w:ascii="Times New Roman" w:hAnsi="Times New Roman"/>
          <w:color w:val="000000"/>
          <w:szCs w:val="21"/>
        </w:rPr>
        <w:t>——生产管理，估计实施某方案可能对生产计划或者其他生产管理者产生的影响。</w:t>
      </w:r>
    </w:p>
    <w:p>
      <w:pPr>
        <w:ind w:firstLine="420" w:firstLineChars="200"/>
        <w:jc w:val="left"/>
        <w:rPr>
          <w:rFonts w:ascii="Times New Roman" w:hAnsi="Times New Roman"/>
          <w:color w:val="000000"/>
          <w:szCs w:val="21"/>
        </w:rPr>
      </w:pPr>
      <w:r>
        <w:rPr>
          <w:rFonts w:ascii="Times New Roman" w:hAnsi="Times New Roman"/>
          <w:color w:val="000000"/>
          <w:szCs w:val="21"/>
        </w:rPr>
        <w:t>第三步：各指标的等级评分准则如表D.1所示。评估人员依据准则对各方案在不同指标上的表现进行打分。</w:t>
      </w:r>
    </w:p>
    <w:p>
      <w:pPr>
        <w:ind w:firstLine="420" w:firstLineChars="200"/>
        <w:jc w:val="left"/>
        <w:rPr>
          <w:rFonts w:ascii="Times New Roman" w:hAnsi="Times New Roman"/>
          <w:color w:val="000000"/>
          <w:szCs w:val="21"/>
        </w:rPr>
      </w:pPr>
      <w:r>
        <w:rPr>
          <w:rFonts w:ascii="Times New Roman" w:hAnsi="Times New Roman"/>
          <w:color w:val="000000"/>
          <w:szCs w:val="21"/>
        </w:rPr>
        <w:t>第四步：加总每个方案在5个指标上的得分，得到每个方案的总评分。</w:t>
      </w:r>
    </w:p>
    <w:p>
      <w:pPr>
        <w:ind w:firstLine="420" w:firstLineChars="200"/>
        <w:jc w:val="left"/>
        <w:rPr>
          <w:rFonts w:ascii="Times New Roman" w:hAnsi="Times New Roman"/>
          <w:color w:val="000000"/>
          <w:szCs w:val="21"/>
        </w:rPr>
      </w:pPr>
      <w:r>
        <w:rPr>
          <w:rFonts w:ascii="Times New Roman" w:hAnsi="Times New Roman"/>
          <w:color w:val="000000"/>
          <w:szCs w:val="21"/>
        </w:rPr>
        <w:t>第五步：对每个方案的总评分进行标准化，方法为总评分减去10。</w:t>
      </w:r>
    </w:p>
    <w:p>
      <w:pPr>
        <w:ind w:firstLine="420" w:firstLineChars="200"/>
        <w:jc w:val="left"/>
        <w:rPr>
          <w:rFonts w:ascii="Times New Roman" w:hAnsi="Times New Roman"/>
          <w:color w:val="000000"/>
          <w:szCs w:val="21"/>
        </w:rPr>
      </w:pPr>
      <w:r>
        <w:rPr>
          <w:rFonts w:ascii="Times New Roman" w:hAnsi="Times New Roman"/>
          <w:color w:val="000000"/>
          <w:szCs w:val="21"/>
        </w:rPr>
        <w:t>第六步：经过标准化后的方案被分成“生产、设计、管理”三组，绘制分组的实施者优先排序图，分别针对制造工程师、设计工程师或管理人员等实施者。</w:t>
      </w:r>
    </w:p>
    <w:p>
      <w:pPr>
        <w:ind w:firstLine="420" w:firstLineChars="200"/>
        <w:jc w:val="left"/>
        <w:rPr>
          <w:rFonts w:ascii="Times New Roman" w:hAnsi="Times New Roman"/>
          <w:color w:val="000000"/>
          <w:szCs w:val="21"/>
        </w:rPr>
      </w:pPr>
      <w:r>
        <w:rPr>
          <w:rFonts w:ascii="Times New Roman" w:hAnsi="Times New Roman"/>
          <w:color w:val="000000"/>
          <w:szCs w:val="21"/>
        </w:rPr>
        <w:t>第七步：将改进方案按照四氧化三钴生命周期阶段（产品生产和产品包装两个阶段）分组，绘制生命周期阶段优先排序图。</w:t>
      </w:r>
    </w:p>
    <w:p>
      <w:pPr>
        <w:spacing w:before="120" w:beforeLines="50" w:after="120"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rPr>
        <w:t>D</w:t>
      </w:r>
      <w:r>
        <w:rPr>
          <w:rFonts w:ascii="黑体" w:hAnsi="黑体" w:eastAsia="黑体"/>
          <w:szCs w:val="21"/>
        </w:rPr>
        <w:t>.1  指标等级评分准则</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301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符号</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评价</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301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很好/很高</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301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好/高</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01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中等、一般</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301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差/低</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018"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很差/很低</w:t>
            </w:r>
          </w:p>
        </w:tc>
        <w:tc>
          <w:tcPr>
            <w:tcW w:w="3021" w:type="dxa"/>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0</w:t>
            </w:r>
          </w:p>
        </w:tc>
      </w:tr>
    </w:tbl>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D</w:t>
      </w:r>
      <w:r>
        <w:rPr>
          <w:rFonts w:ascii="黑体" w:hAnsi="黑体" w:eastAsia="黑体"/>
          <w:color w:val="000000"/>
          <w:szCs w:val="21"/>
        </w:rPr>
        <w:t>.2  排序示例</w:t>
      </w:r>
    </w:p>
    <w:p>
      <w:pPr>
        <w:spacing w:before="120" w:beforeLines="50" w:after="120" w:afterLines="50"/>
        <w:jc w:val="left"/>
        <w:rPr>
          <w:rFonts w:ascii="黑体" w:hAnsi="黑体" w:eastAsia="黑体"/>
          <w:szCs w:val="21"/>
        </w:rPr>
      </w:pPr>
      <w:r>
        <w:rPr>
          <w:rFonts w:hint="eastAsia" w:ascii="黑体" w:hAnsi="黑体" w:eastAsia="黑体"/>
          <w:szCs w:val="21"/>
        </w:rPr>
        <w:t>D</w:t>
      </w:r>
      <w:r>
        <w:rPr>
          <w:rFonts w:ascii="黑体" w:hAnsi="黑体" w:eastAsia="黑体"/>
          <w:szCs w:val="21"/>
        </w:rPr>
        <w:t>.2.1  改进方案</w:t>
      </w:r>
    </w:p>
    <w:p>
      <w:pPr>
        <w:ind w:firstLine="420" w:firstLineChars="200"/>
        <w:jc w:val="left"/>
        <w:rPr>
          <w:rFonts w:ascii="黑体" w:hAnsi="黑体"/>
          <w:szCs w:val="21"/>
        </w:rPr>
      </w:pPr>
      <w:r>
        <w:rPr>
          <w:rFonts w:ascii="黑体" w:hAnsi="黑体"/>
          <w:szCs w:val="21"/>
        </w:rPr>
        <w:t>依据某四氧化三钴产品生命周期评价结果提出的一些建议如下：</w:t>
      </w:r>
    </w:p>
    <w:p>
      <w:pPr>
        <w:pStyle w:val="37"/>
        <w:numPr>
          <w:ilvl w:val="-1"/>
          <w:numId w:val="0"/>
        </w:numPr>
        <w:ind w:left="0" w:firstLine="0" w:firstLineChars="0"/>
        <w:jc w:val="left"/>
        <w:rPr>
          <w:rFonts w:ascii="Times New Roman" w:hAnsi="Times New Roman"/>
          <w:szCs w:val="21"/>
        </w:rPr>
      </w:pPr>
      <w:r>
        <w:rPr>
          <w:rFonts w:hint="eastAsia" w:ascii="Times New Roman" w:hAnsi="Times New Roman"/>
          <w:szCs w:val="21"/>
          <w:lang w:val="en-US" w:eastAsia="zh-CN"/>
        </w:rPr>
        <w:t>a</w:t>
      </w:r>
      <w:r>
        <w:rPr>
          <w:rFonts w:hint="eastAsia" w:ascii="Times New Roman" w:hAnsi="Times New Roman"/>
          <w:szCs w:val="21"/>
          <w:lang w:eastAsia="zh-CN"/>
        </w:rPr>
        <w:t>）</w:t>
      </w:r>
      <w:r>
        <w:rPr>
          <w:rFonts w:ascii="Times New Roman" w:hAnsi="Times New Roman"/>
          <w:szCs w:val="21"/>
        </w:rPr>
        <w:t>生产制造改进方案包括：</w:t>
      </w:r>
    </w:p>
    <w:p>
      <w:pPr>
        <w:pStyle w:val="37"/>
        <w:ind w:left="420" w:firstLine="0" w:firstLineChars="0"/>
        <w:jc w:val="left"/>
        <w:rPr>
          <w:rFonts w:ascii="Times New Roman" w:hAnsi="Times New Roman"/>
          <w:szCs w:val="21"/>
        </w:rPr>
      </w:pPr>
      <w:r>
        <w:rPr>
          <w:rFonts w:ascii="Times New Roman" w:hAnsi="Times New Roman"/>
          <w:szCs w:val="21"/>
        </w:rPr>
        <w:t>——改进生产工艺，减少生产过程中</w:t>
      </w:r>
      <w:r>
        <w:rPr>
          <w:rFonts w:hint="eastAsia" w:ascii="Times New Roman" w:hAnsi="Times New Roman"/>
          <w:szCs w:val="21"/>
          <w:lang w:eastAsia="zh-CN"/>
        </w:rPr>
        <w:t>固体废物</w:t>
      </w:r>
      <w:r>
        <w:rPr>
          <w:rFonts w:ascii="Times New Roman" w:hAnsi="Times New Roman"/>
          <w:szCs w:val="21"/>
        </w:rPr>
        <w:t>的产生；</w:t>
      </w:r>
    </w:p>
    <w:p>
      <w:pPr>
        <w:pStyle w:val="37"/>
        <w:ind w:left="420" w:firstLine="0" w:firstLineChars="0"/>
        <w:jc w:val="left"/>
        <w:rPr>
          <w:rFonts w:ascii="Times New Roman" w:hAnsi="Times New Roman"/>
          <w:szCs w:val="21"/>
        </w:rPr>
      </w:pPr>
      <w:r>
        <w:rPr>
          <w:rFonts w:ascii="Times New Roman" w:hAnsi="Times New Roman"/>
          <w:szCs w:val="21"/>
        </w:rPr>
        <w:t>——修改生产设备和原辅料规格要求，鼓励或规定在制造过程中使用高效节能设备和水、萃取剂等循环物料；</w:t>
      </w:r>
    </w:p>
    <w:p>
      <w:pPr>
        <w:pStyle w:val="37"/>
        <w:ind w:left="420" w:firstLine="0" w:firstLineChars="0"/>
        <w:jc w:val="left"/>
        <w:rPr>
          <w:rFonts w:ascii="Times New Roman" w:hAnsi="Times New Roman"/>
          <w:szCs w:val="21"/>
        </w:rPr>
      </w:pPr>
      <w:r>
        <w:rPr>
          <w:rFonts w:ascii="Times New Roman" w:hAnsi="Times New Roman"/>
          <w:szCs w:val="21"/>
        </w:rPr>
        <w:t>——强化固体废弃物的无害化处理或再利用；</w:t>
      </w:r>
    </w:p>
    <w:p>
      <w:pPr>
        <w:pStyle w:val="37"/>
        <w:ind w:left="420" w:firstLine="0" w:firstLineChars="0"/>
        <w:jc w:val="left"/>
        <w:rPr>
          <w:rFonts w:ascii="Times New Roman" w:hAnsi="Times New Roman"/>
          <w:szCs w:val="21"/>
        </w:rPr>
      </w:pPr>
      <w:r>
        <w:rPr>
          <w:rFonts w:ascii="Times New Roman" w:hAnsi="Times New Roman"/>
          <w:szCs w:val="21"/>
        </w:rPr>
        <w:t>——产品包装过程应配备吸尘装置，以减少资源的浪费和对环境的影响。</w:t>
      </w:r>
    </w:p>
    <w:p>
      <w:pPr>
        <w:pStyle w:val="37"/>
        <w:numPr>
          <w:ilvl w:val="-1"/>
          <w:numId w:val="0"/>
        </w:numPr>
        <w:ind w:left="0" w:firstLine="0" w:firstLineChars="0"/>
        <w:jc w:val="left"/>
        <w:rPr>
          <w:rFonts w:ascii="Times New Roman" w:hAnsi="Times New Roman"/>
          <w:szCs w:val="21"/>
        </w:rPr>
      </w:pPr>
      <w:r>
        <w:rPr>
          <w:rFonts w:hint="eastAsia" w:ascii="Times New Roman" w:hAnsi="Times New Roman"/>
          <w:szCs w:val="21"/>
          <w:lang w:val="en-US" w:eastAsia="zh-CN"/>
        </w:rPr>
        <w:t>b</w:t>
      </w:r>
      <w:r>
        <w:rPr>
          <w:rFonts w:hint="eastAsia" w:ascii="Times New Roman" w:hAnsi="Times New Roman"/>
          <w:szCs w:val="21"/>
          <w:lang w:eastAsia="zh-CN"/>
        </w:rPr>
        <w:t>）</w:t>
      </w:r>
      <w:r>
        <w:rPr>
          <w:rFonts w:ascii="Times New Roman" w:hAnsi="Times New Roman"/>
          <w:szCs w:val="21"/>
        </w:rPr>
        <w:t>设计改进方案包括：</w:t>
      </w:r>
    </w:p>
    <w:p>
      <w:pPr>
        <w:pStyle w:val="37"/>
        <w:ind w:left="420" w:firstLine="0" w:firstLineChars="0"/>
        <w:jc w:val="left"/>
        <w:rPr>
          <w:rFonts w:ascii="Times New Roman" w:hAnsi="Times New Roman"/>
          <w:szCs w:val="21"/>
        </w:rPr>
      </w:pPr>
      <w:r>
        <w:rPr>
          <w:rFonts w:ascii="Times New Roman" w:hAnsi="Times New Roman"/>
          <w:szCs w:val="21"/>
        </w:rPr>
        <w:t>——尽减少含汞、镉等有害重金属或重金属含量超标的原料的使用，使用优质原料。</w:t>
      </w:r>
    </w:p>
    <w:p>
      <w:pPr>
        <w:pStyle w:val="37"/>
        <w:ind w:left="420" w:firstLine="0" w:firstLineChars="0"/>
        <w:jc w:val="left"/>
        <w:rPr>
          <w:rFonts w:hint="eastAsia" w:ascii="Times New Roman" w:hAnsi="Times New Roman" w:eastAsia="宋体"/>
          <w:szCs w:val="21"/>
          <w:lang w:eastAsia="zh-CN"/>
        </w:rPr>
      </w:pPr>
      <w:r>
        <w:rPr>
          <w:rFonts w:ascii="Times New Roman" w:hAnsi="Times New Roman"/>
          <w:szCs w:val="21"/>
        </w:rPr>
        <w:t>——</w:t>
      </w:r>
      <w:r>
        <w:rPr>
          <w:rFonts w:hint="eastAsia" w:ascii="Times New Roman" w:hAnsi="Times New Roman"/>
          <w:szCs w:val="21"/>
          <w:lang w:eastAsia="zh-CN"/>
        </w:rPr>
        <w:t>采用符合国家标准的节能设计。</w:t>
      </w:r>
    </w:p>
    <w:p>
      <w:pPr>
        <w:pStyle w:val="37"/>
        <w:numPr>
          <w:ilvl w:val="-1"/>
          <w:numId w:val="0"/>
        </w:numPr>
        <w:ind w:left="0" w:firstLine="0" w:firstLineChars="0"/>
        <w:jc w:val="left"/>
        <w:rPr>
          <w:rFonts w:ascii="Times New Roman" w:hAnsi="Times New Roman"/>
          <w:szCs w:val="21"/>
        </w:rPr>
      </w:pPr>
      <w:r>
        <w:rPr>
          <w:rFonts w:hint="eastAsia" w:ascii="Times New Roman" w:hAnsi="Times New Roman"/>
          <w:szCs w:val="21"/>
          <w:lang w:val="en-US" w:eastAsia="zh-CN"/>
        </w:rPr>
        <w:t>c</w:t>
      </w:r>
      <w:r>
        <w:rPr>
          <w:rFonts w:hint="eastAsia" w:ascii="Times New Roman" w:hAnsi="Times New Roman"/>
          <w:szCs w:val="21"/>
          <w:lang w:eastAsia="zh-CN"/>
        </w:rPr>
        <w:t>）</w:t>
      </w:r>
      <w:r>
        <w:rPr>
          <w:rFonts w:ascii="Times New Roman" w:hAnsi="Times New Roman"/>
          <w:szCs w:val="21"/>
        </w:rPr>
        <w:t>产品管理改进方案包括：</w:t>
      </w:r>
    </w:p>
    <w:p>
      <w:pPr>
        <w:pStyle w:val="37"/>
        <w:ind w:left="420" w:firstLine="0" w:firstLineChars="0"/>
        <w:jc w:val="left"/>
        <w:rPr>
          <w:rFonts w:ascii="Times New Roman" w:hAnsi="Times New Roman"/>
          <w:szCs w:val="21"/>
        </w:rPr>
      </w:pPr>
      <w:r>
        <w:rPr>
          <w:rFonts w:ascii="Times New Roman" w:hAnsi="Times New Roman"/>
          <w:szCs w:val="21"/>
        </w:rPr>
        <w:t>——产品有害成分指标应从严控制，以减少对下游客户使用的影响；</w:t>
      </w:r>
    </w:p>
    <w:p>
      <w:pPr>
        <w:pStyle w:val="37"/>
        <w:ind w:left="420" w:firstLine="0" w:firstLineChars="0"/>
        <w:jc w:val="left"/>
        <w:rPr>
          <w:rFonts w:ascii="Times New Roman" w:hAnsi="Times New Roman"/>
          <w:szCs w:val="21"/>
        </w:rPr>
      </w:pPr>
      <w:r>
        <w:rPr>
          <w:rFonts w:ascii="Times New Roman" w:hAnsi="Times New Roman"/>
          <w:szCs w:val="21"/>
        </w:rPr>
        <w:t>——建立一个可供客户在线评价的服务系统，完善电池材料前驱体规范的评价体系，高效收集产品质量反馈信息。</w:t>
      </w:r>
    </w:p>
    <w:p>
      <w:pPr>
        <w:spacing w:before="120" w:beforeLines="50" w:after="120" w:afterLines="50"/>
        <w:jc w:val="left"/>
        <w:rPr>
          <w:rFonts w:ascii="黑体" w:hAnsi="黑体" w:eastAsia="黑体"/>
          <w:szCs w:val="21"/>
        </w:rPr>
      </w:pPr>
      <w:r>
        <w:rPr>
          <w:rFonts w:hint="eastAsia" w:ascii="黑体" w:hAnsi="黑体" w:eastAsia="黑体"/>
          <w:szCs w:val="21"/>
        </w:rPr>
        <w:t>D</w:t>
      </w:r>
      <w:r>
        <w:rPr>
          <w:rFonts w:ascii="黑体" w:hAnsi="黑体" w:eastAsia="黑体"/>
          <w:szCs w:val="21"/>
        </w:rPr>
        <w:t>.2.2  改进方案的优先排序表</w:t>
      </w:r>
    </w:p>
    <w:p>
      <w:pPr>
        <w:ind w:firstLine="420" w:firstLineChars="200"/>
        <w:jc w:val="left"/>
        <w:rPr>
          <w:rFonts w:ascii="Times New Roman" w:hAnsi="Times New Roman"/>
          <w:color w:val="000000"/>
          <w:szCs w:val="21"/>
        </w:rPr>
      </w:pPr>
      <w:r>
        <w:rPr>
          <w:rFonts w:ascii="Times New Roman" w:hAnsi="Times New Roman"/>
          <w:color w:val="000000"/>
          <w:szCs w:val="21"/>
        </w:rPr>
        <w:t>改进方案的优先排序表如表D.2所示</w:t>
      </w:r>
      <w:r>
        <w:rPr>
          <w:rFonts w:hint="eastAsia" w:ascii="Times New Roman" w:hAnsi="Times New Roman"/>
          <w:color w:val="000000"/>
          <w:szCs w:val="21"/>
        </w:rPr>
        <w:t>。</w:t>
      </w:r>
    </w:p>
    <w:p>
      <w:pPr>
        <w:spacing w:line="276" w:lineRule="auto"/>
        <w:ind w:firstLine="420" w:firstLineChars="200"/>
        <w:jc w:val="center"/>
        <w:rPr>
          <w:rFonts w:ascii="黑体" w:hAnsi="黑体" w:eastAsia="黑体"/>
          <w:szCs w:val="21"/>
        </w:rPr>
      </w:pPr>
    </w:p>
    <w:p>
      <w:pPr>
        <w:spacing w:before="120" w:beforeLines="50" w:after="120"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rPr>
        <w:t>D</w:t>
      </w:r>
      <w:r>
        <w:rPr>
          <w:rFonts w:ascii="黑体" w:hAnsi="黑体" w:eastAsia="黑体"/>
          <w:szCs w:val="21"/>
        </w:rPr>
        <w:t>.2  改进方案的优先排序表</w:t>
      </w:r>
    </w:p>
    <w:tbl>
      <w:tblPr>
        <w:tblStyle w:val="1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4"/>
        <w:gridCol w:w="2402"/>
        <w:gridCol w:w="944"/>
        <w:gridCol w:w="977"/>
        <w:gridCol w:w="977"/>
        <w:gridCol w:w="835"/>
        <w:gridCol w:w="815"/>
        <w:gridCol w:w="65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8" w:hRule="atLeast"/>
          <w:jc w:val="center"/>
        </w:trPr>
        <w:tc>
          <w:tcPr>
            <w:tcW w:w="58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环节</w:t>
            </w:r>
          </w:p>
        </w:tc>
        <w:tc>
          <w:tcPr>
            <w:tcW w:w="2402"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改进方案</w:t>
            </w:r>
          </w:p>
        </w:tc>
        <w:tc>
          <w:tcPr>
            <w:tcW w:w="94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生命</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周期阶段</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技术</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可行性</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环境</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敏感性</w:t>
            </w:r>
          </w:p>
        </w:tc>
        <w:tc>
          <w:tcPr>
            <w:tcW w:w="83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经济</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影响</w:t>
            </w:r>
          </w:p>
        </w:tc>
        <w:tc>
          <w:tcPr>
            <w:tcW w:w="8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CVA</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影响</w:t>
            </w:r>
          </w:p>
        </w:tc>
        <w:tc>
          <w:tcPr>
            <w:tcW w:w="65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生产</w:t>
            </w:r>
          </w:p>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管理</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3" w:hRule="atLeast"/>
          <w:jc w:val="center"/>
        </w:trPr>
        <w:tc>
          <w:tcPr>
            <w:tcW w:w="584" w:type="dxa"/>
            <w:vMerge w:val="restart"/>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r>
              <w:rPr>
                <w:rFonts w:hint="default" w:ascii="Times New Roman" w:hAnsi="Times New Roman"/>
                <w:color w:val="000000"/>
                <w:sz w:val="18"/>
                <w:szCs w:val="18"/>
              </w:rPr>
              <w:t>生产</w:t>
            </w:r>
          </w:p>
        </w:tc>
        <w:tc>
          <w:tcPr>
            <w:tcW w:w="2402"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default" w:ascii="Times New Roman" w:hAnsi="Times New Roman"/>
                <w:color w:val="000000"/>
                <w:sz w:val="18"/>
                <w:szCs w:val="18"/>
              </w:rPr>
              <w:t>减少</w:t>
            </w:r>
            <w:r>
              <w:rPr>
                <w:rFonts w:hint="eastAsia" w:ascii="Times New Roman" w:hAnsi="Times New Roman"/>
                <w:color w:val="000000"/>
                <w:sz w:val="18"/>
                <w:szCs w:val="18"/>
                <w:lang w:eastAsia="zh-CN"/>
              </w:rPr>
              <w:t>固体废物</w:t>
            </w:r>
            <w:r>
              <w:rPr>
                <w:rFonts w:hint="default" w:ascii="Times New Roman" w:hAnsi="Times New Roman"/>
                <w:color w:val="000000"/>
                <w:sz w:val="18"/>
                <w:szCs w:val="18"/>
              </w:rPr>
              <w:t>产生量</w:t>
            </w:r>
          </w:p>
        </w:tc>
        <w:tc>
          <w:tcPr>
            <w:tcW w:w="94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1</w:t>
            </w:r>
            <w:r>
              <w:rPr>
                <w:rFonts w:hint="default" w:ascii="Times New Roman" w:hAnsi="Times New Roman"/>
                <w:color w:val="000000"/>
                <w:sz w:val="18"/>
                <w:szCs w:val="18"/>
              </w:rPr>
              <w:t>.1</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 w:hRule="atLeast"/>
          <w:jc w:val="center"/>
        </w:trPr>
        <w:tc>
          <w:tcPr>
            <w:tcW w:w="584" w:type="dxa"/>
            <w:vMerge w:val="continue"/>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p>
        </w:tc>
        <w:tc>
          <w:tcPr>
            <w:tcW w:w="2402" w:type="dxa"/>
            <w:shd w:val="clear" w:color="auto" w:fill="auto"/>
            <w:vAlign w:val="center"/>
          </w:tcPr>
          <w:p>
            <w:pPr>
              <w:keepNext w:val="0"/>
              <w:keepLines w:val="0"/>
              <w:suppressLineNumbers w:val="0"/>
              <w:spacing w:before="0" w:beforeAutospacing="0" w:after="0" w:afterAutospacing="0" w:line="276" w:lineRule="auto"/>
              <w:ind w:left="0" w:right="0"/>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使用节能装备和循环物料</w:t>
            </w:r>
          </w:p>
        </w:tc>
        <w:tc>
          <w:tcPr>
            <w:tcW w:w="94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1</w:t>
            </w:r>
            <w:r>
              <w:rPr>
                <w:rFonts w:hint="default" w:ascii="Times New Roman" w:hAnsi="Times New Roman"/>
                <w:color w:val="000000"/>
                <w:sz w:val="18"/>
                <w:szCs w:val="18"/>
              </w:rPr>
              <w:t>.</w:t>
            </w:r>
            <w:r>
              <w:rPr>
                <w:rFonts w:hint="eastAsia" w:ascii="Times New Roman" w:hAnsi="Times New Roman"/>
                <w:color w:val="000000"/>
                <w:sz w:val="18"/>
                <w:szCs w:val="18"/>
                <w:lang w:val="en-US" w:eastAsia="zh-CN"/>
              </w:rPr>
              <w:t>2</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 w:hRule="atLeast"/>
          <w:jc w:val="center"/>
        </w:trPr>
        <w:tc>
          <w:tcPr>
            <w:tcW w:w="584" w:type="dxa"/>
            <w:vMerge w:val="continue"/>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p>
        </w:tc>
        <w:tc>
          <w:tcPr>
            <w:tcW w:w="2402" w:type="dxa"/>
            <w:shd w:val="clear" w:color="auto" w:fill="auto"/>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default" w:ascii="Times New Roman" w:hAnsi="Times New Roman"/>
                <w:color w:val="000000"/>
                <w:sz w:val="18"/>
                <w:szCs w:val="18"/>
              </w:rPr>
              <w:t>使用可重复使用的包装材料</w:t>
            </w:r>
          </w:p>
        </w:tc>
        <w:tc>
          <w:tcPr>
            <w:tcW w:w="94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2</w:t>
            </w:r>
            <w:r>
              <w:rPr>
                <w:rFonts w:hint="default" w:ascii="Times New Roman" w:hAnsi="Times New Roman"/>
                <w:color w:val="000000"/>
                <w:sz w:val="18"/>
                <w:szCs w:val="18"/>
              </w:rPr>
              <w:t>.</w:t>
            </w:r>
            <w:r>
              <w:rPr>
                <w:rFonts w:hint="eastAsia" w:ascii="Times New Roman" w:hAnsi="Times New Roman"/>
                <w:color w:val="000000"/>
                <w:sz w:val="18"/>
                <w:szCs w:val="18"/>
                <w:lang w:val="en-US" w:eastAsia="zh-CN"/>
              </w:rPr>
              <w:t>1</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 w:hRule="atLeast"/>
          <w:jc w:val="center"/>
        </w:trPr>
        <w:tc>
          <w:tcPr>
            <w:tcW w:w="584" w:type="dxa"/>
            <w:vMerge w:val="continue"/>
            <w:vAlign w:val="center"/>
          </w:tcPr>
          <w:p>
            <w:pPr>
              <w:keepNext w:val="0"/>
              <w:keepLines w:val="0"/>
              <w:suppressLineNumbers w:val="0"/>
              <w:spacing w:before="0" w:beforeAutospacing="0" w:after="0" w:afterAutospacing="0" w:line="276" w:lineRule="auto"/>
              <w:ind w:left="0" w:right="0" w:firstLine="90" w:firstLineChars="50"/>
              <w:jc w:val="left"/>
              <w:rPr>
                <w:rFonts w:hint="default" w:ascii="Times New Roman" w:hAnsi="Times New Roman"/>
                <w:color w:val="000000"/>
                <w:sz w:val="18"/>
                <w:szCs w:val="18"/>
              </w:rPr>
            </w:pPr>
          </w:p>
        </w:tc>
        <w:tc>
          <w:tcPr>
            <w:tcW w:w="2402" w:type="dxa"/>
            <w:shd w:val="clear" w:color="auto" w:fill="auto"/>
            <w:vAlign w:val="center"/>
          </w:tcPr>
          <w:p>
            <w:pPr>
              <w:keepNext w:val="0"/>
              <w:keepLines w:val="0"/>
              <w:suppressLineNumbers w:val="0"/>
              <w:spacing w:before="0" w:beforeAutospacing="0" w:after="0" w:afterAutospacing="0" w:line="276" w:lineRule="auto"/>
              <w:ind w:left="0" w:right="0"/>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产品包装配备收尘装置</w:t>
            </w:r>
          </w:p>
        </w:tc>
        <w:tc>
          <w:tcPr>
            <w:tcW w:w="944"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w:t>
            </w:r>
            <w:r>
              <w:rPr>
                <w:rFonts w:hint="eastAsia" w:ascii="Times New Roman" w:hAnsi="Times New Roman"/>
                <w:color w:val="000000"/>
                <w:sz w:val="18"/>
                <w:szCs w:val="18"/>
                <w:lang w:val="en-US" w:eastAsia="zh-CN"/>
              </w:rPr>
              <w:t>2</w:t>
            </w:r>
            <w:r>
              <w:rPr>
                <w:rFonts w:hint="default" w:ascii="Times New Roman" w:hAnsi="Times New Roman"/>
                <w:color w:val="000000"/>
                <w:sz w:val="18"/>
                <w:szCs w:val="18"/>
              </w:rPr>
              <w:t>.</w:t>
            </w:r>
            <w:r>
              <w:rPr>
                <w:rFonts w:hint="eastAsia" w:ascii="Times New Roman" w:hAnsi="Times New Roman"/>
                <w:color w:val="000000"/>
                <w:sz w:val="18"/>
                <w:szCs w:val="18"/>
                <w:lang w:val="en-US" w:eastAsia="zh-CN"/>
              </w:rPr>
              <w:t>2</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shd w:val="clear" w:color="auto" w:fill="auto"/>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1</w:t>
            </w:r>
            <w:r>
              <w:rPr>
                <w:rFonts w:hint="eastAsia" w:ascii="Times New Roman" w:hAnsi="Times New Roman"/>
                <w:color w:val="00000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 w:hRule="atLeast"/>
          <w:jc w:val="center"/>
        </w:trPr>
        <w:tc>
          <w:tcPr>
            <w:tcW w:w="584" w:type="dxa"/>
            <w:vMerge w:val="restart"/>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default" w:ascii="Times New Roman" w:hAnsi="Times New Roman"/>
                <w:color w:val="000000"/>
                <w:sz w:val="18"/>
                <w:szCs w:val="18"/>
              </w:rPr>
              <w:t>设计</w:t>
            </w:r>
          </w:p>
        </w:tc>
        <w:tc>
          <w:tcPr>
            <w:tcW w:w="2402" w:type="dxa"/>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eastAsia" w:ascii="Times New Roman" w:hAnsi="Times New Roman"/>
                <w:color w:val="000000"/>
                <w:sz w:val="18"/>
                <w:szCs w:val="18"/>
                <w:lang w:eastAsia="zh-CN"/>
              </w:rPr>
              <w:t>使用优质原料</w:t>
            </w:r>
          </w:p>
        </w:tc>
        <w:tc>
          <w:tcPr>
            <w:tcW w:w="944" w:type="dxa"/>
            <w:vAlign w:val="center"/>
          </w:tcPr>
          <w:p>
            <w:pPr>
              <w:keepNext w:val="0"/>
              <w:keepLines w:val="0"/>
              <w:suppressLineNumbers w:val="0"/>
              <w:spacing w:before="0" w:beforeAutospacing="0" w:after="0" w:afterAutospacing="0" w:line="276" w:lineRule="auto"/>
              <w:ind w:left="0" w:right="0"/>
              <w:jc w:val="center"/>
              <w:rPr>
                <w:rFonts w:hint="eastAsia" w:ascii="Times New Roman" w:hAnsi="Times New Roman" w:eastAsia="宋体"/>
                <w:color w:val="000000"/>
                <w:sz w:val="18"/>
                <w:szCs w:val="18"/>
                <w:lang w:eastAsia="zh-CN"/>
              </w:rPr>
            </w:pPr>
            <w:r>
              <w:rPr>
                <w:rFonts w:hint="default" w:ascii="Times New Roman" w:hAnsi="Times New Roman"/>
                <w:color w:val="000000"/>
                <w:sz w:val="18"/>
                <w:szCs w:val="18"/>
              </w:rPr>
              <w:t>L.1.</w:t>
            </w:r>
            <w:r>
              <w:rPr>
                <w:rFonts w:hint="eastAsia" w:ascii="Times New Roman" w:hAnsi="Times New Roman"/>
                <w:color w:val="000000"/>
                <w:sz w:val="18"/>
                <w:szCs w:val="18"/>
                <w:lang w:val="en-US" w:eastAsia="zh-CN"/>
              </w:rPr>
              <w:t>3</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 w:hRule="atLeast"/>
          <w:jc w:val="center"/>
        </w:trPr>
        <w:tc>
          <w:tcPr>
            <w:tcW w:w="584" w:type="dxa"/>
            <w:vMerge w:val="continue"/>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p>
        </w:tc>
        <w:tc>
          <w:tcPr>
            <w:tcW w:w="2402" w:type="dxa"/>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default" w:ascii="Times New Roman" w:hAnsi="Times New Roman"/>
                <w:color w:val="000000"/>
                <w:sz w:val="18"/>
                <w:szCs w:val="18"/>
              </w:rPr>
              <w:t>采用</w:t>
            </w:r>
            <w:r>
              <w:rPr>
                <w:rFonts w:hint="eastAsia" w:ascii="Times New Roman" w:hAnsi="Times New Roman"/>
                <w:color w:val="000000"/>
                <w:sz w:val="18"/>
                <w:szCs w:val="18"/>
                <w:lang w:eastAsia="zh-CN"/>
              </w:rPr>
              <w:t>符合国家标准的节能设计</w:t>
            </w:r>
          </w:p>
        </w:tc>
        <w:tc>
          <w:tcPr>
            <w:tcW w:w="94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L1.4</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2" w:hRule="atLeast"/>
          <w:jc w:val="center"/>
        </w:trPr>
        <w:tc>
          <w:tcPr>
            <w:tcW w:w="584" w:type="dxa"/>
            <w:vMerge w:val="restart"/>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default" w:ascii="Times New Roman" w:hAnsi="Times New Roman"/>
                <w:color w:val="000000"/>
                <w:sz w:val="18"/>
                <w:szCs w:val="18"/>
              </w:rPr>
              <w:t>管理</w:t>
            </w:r>
          </w:p>
        </w:tc>
        <w:tc>
          <w:tcPr>
            <w:tcW w:w="2402" w:type="dxa"/>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eastAsia" w:ascii="Times New Roman" w:hAnsi="Times New Roman"/>
                <w:color w:val="000000"/>
                <w:sz w:val="18"/>
                <w:szCs w:val="18"/>
                <w:lang w:eastAsia="zh-CN"/>
              </w:rPr>
              <w:t>从严控制</w:t>
            </w:r>
            <w:r>
              <w:rPr>
                <w:rFonts w:hint="default" w:ascii="Times New Roman" w:hAnsi="Times New Roman"/>
                <w:color w:val="000000"/>
                <w:sz w:val="18"/>
                <w:szCs w:val="18"/>
              </w:rPr>
              <w:t>产品有害指标</w:t>
            </w:r>
          </w:p>
        </w:tc>
        <w:tc>
          <w:tcPr>
            <w:tcW w:w="94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L2.3</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2" w:hRule="atLeast"/>
          <w:jc w:val="center"/>
        </w:trPr>
        <w:tc>
          <w:tcPr>
            <w:tcW w:w="584" w:type="dxa"/>
            <w:vMerge w:val="continue"/>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p>
        </w:tc>
        <w:tc>
          <w:tcPr>
            <w:tcW w:w="2402" w:type="dxa"/>
            <w:vAlign w:val="center"/>
          </w:tcPr>
          <w:p>
            <w:pPr>
              <w:keepNext w:val="0"/>
              <w:keepLines w:val="0"/>
              <w:suppressLineNumbers w:val="0"/>
              <w:spacing w:before="0" w:beforeAutospacing="0" w:after="0" w:afterAutospacing="0" w:line="276" w:lineRule="auto"/>
              <w:ind w:left="0" w:right="0"/>
              <w:jc w:val="left"/>
              <w:rPr>
                <w:rFonts w:hint="default" w:ascii="Times New Roman" w:hAnsi="Times New Roman"/>
                <w:color w:val="000000"/>
                <w:sz w:val="18"/>
                <w:szCs w:val="18"/>
              </w:rPr>
            </w:pPr>
            <w:r>
              <w:rPr>
                <w:rFonts w:hint="default" w:ascii="Times New Roman" w:hAnsi="Times New Roman"/>
                <w:color w:val="000000"/>
                <w:sz w:val="18"/>
                <w:szCs w:val="18"/>
              </w:rPr>
              <w:t>建立客户在线评价系统</w:t>
            </w:r>
          </w:p>
        </w:tc>
        <w:tc>
          <w:tcPr>
            <w:tcW w:w="944"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L2.4</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977"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3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15"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65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68" w:type="dxa"/>
            <w:vAlign w:val="center"/>
          </w:tcPr>
          <w:p>
            <w:pPr>
              <w:keepNext w:val="0"/>
              <w:keepLines w:val="0"/>
              <w:suppressLineNumbers w:val="0"/>
              <w:spacing w:before="0" w:beforeAutospacing="0" w:after="0" w:afterAutospacing="0" w:line="276" w:lineRule="auto"/>
              <w:ind w:left="0" w:right="0"/>
              <w:jc w:val="center"/>
              <w:rPr>
                <w:rFonts w:hint="default" w:ascii="Times New Roman" w:hAnsi="Times New Roman"/>
                <w:color w:val="000000"/>
                <w:sz w:val="18"/>
                <w:szCs w:val="18"/>
              </w:rPr>
            </w:pPr>
            <w:r>
              <w:rPr>
                <w:rFonts w:hint="default" w:ascii="Times New Roman" w:hAnsi="Times New Roman"/>
                <w:color w:val="000000"/>
                <w:sz w:val="18"/>
                <w:szCs w:val="18"/>
              </w:rPr>
              <w:t>13</w:t>
            </w:r>
          </w:p>
        </w:tc>
      </w:tr>
    </w:tbl>
    <w:p>
      <w:pPr>
        <w:spacing w:before="120" w:beforeLines="50" w:after="120" w:afterLines="50"/>
        <w:jc w:val="left"/>
        <w:rPr>
          <w:rFonts w:ascii="黑体" w:hAnsi="黑体" w:eastAsia="黑体"/>
          <w:color w:val="000000"/>
          <w:szCs w:val="21"/>
        </w:rPr>
      </w:pPr>
      <w:r>
        <w:rPr>
          <w:rFonts w:hint="eastAsia" w:ascii="黑体" w:hAnsi="黑体" w:eastAsia="黑体"/>
          <w:color w:val="000000"/>
          <w:szCs w:val="21"/>
        </w:rPr>
        <w:t>D.</w:t>
      </w:r>
      <w:r>
        <w:rPr>
          <w:rFonts w:ascii="黑体" w:hAnsi="黑体" w:eastAsia="黑体"/>
          <w:color w:val="000000"/>
          <w:szCs w:val="21"/>
        </w:rPr>
        <w:t>2.3  实施者优先排序图和生命周期阶段优先排序图</w:t>
      </w:r>
    </w:p>
    <w:p>
      <w:pPr>
        <w:ind w:firstLine="420" w:firstLineChars="200"/>
        <w:rPr>
          <w:rFonts w:ascii="Times New Roman" w:hAnsi="Times New Roman"/>
          <w:color w:val="000000"/>
          <w:szCs w:val="21"/>
        </w:rPr>
      </w:pPr>
      <w:r>
        <w:rPr>
          <w:rFonts w:ascii="Times New Roman" w:hAnsi="Times New Roman"/>
          <w:color w:val="000000"/>
          <w:szCs w:val="21"/>
        </w:rPr>
        <w:t>图D.1为实施者优先排序图，可以看出在产品制造环节，</w:t>
      </w:r>
      <w:r>
        <w:rPr>
          <w:rFonts w:hint="eastAsia" w:ascii="Times New Roman" w:hAnsi="Times New Roman"/>
          <w:color w:val="000000"/>
          <w:szCs w:val="21"/>
          <w:lang w:eastAsia="zh-CN"/>
        </w:rPr>
        <w:t>最优先的改进方案是使用节能装备和循环物料</w:t>
      </w:r>
      <w:r>
        <w:rPr>
          <w:rFonts w:ascii="Times New Roman" w:hAnsi="Times New Roman"/>
          <w:color w:val="000000"/>
          <w:szCs w:val="21"/>
        </w:rPr>
        <w:t>。</w:t>
      </w:r>
    </w:p>
    <w:p>
      <w:pPr>
        <w:ind w:firstLine="420" w:firstLineChars="200"/>
        <w:rPr>
          <w:rFonts w:ascii="Times New Roman" w:hAnsi="Times New Roman"/>
          <w:color w:val="000000"/>
          <w:szCs w:val="21"/>
        </w:rPr>
      </w:pPr>
      <w:r>
        <w:rPr>
          <w:rFonts w:ascii="Times New Roman" w:hAnsi="Times New Roman"/>
          <w:color w:val="000000"/>
          <w:szCs w:val="21"/>
        </w:rPr>
        <w:t>图D.2为生命周期阶段优先排序图，为改进方案提供了一个新的评估手段，即将改进方案按时间和空间进行排序。例如，生产阶段改进方案的优先度很高，因此该产品生产的环境影响相对较大，而生命结束阶段改进方案的优先度很低。</w:t>
      </w:r>
    </w:p>
    <w:p>
      <w:pPr>
        <w:pStyle w:val="2"/>
      </w:pPr>
    </w:p>
    <w:p>
      <w:pPr>
        <w:spacing w:before="0" w:beforeLines="0" w:after="0" w:afterLines="0"/>
        <w:jc w:val="center"/>
        <w:rPr>
          <w:rFonts w:ascii="黑体" w:hAnsi="黑体"/>
          <w:color w:val="000000"/>
          <w:szCs w:val="21"/>
        </w:rPr>
      </w:pPr>
      <w:bookmarkStart w:id="53" w:name="_MON_1616259245"/>
      <w:bookmarkEnd w:id="53"/>
      <w:r>
        <w:drawing>
          <wp:inline distT="0" distB="0" distL="114300" distR="114300">
            <wp:extent cx="5137785" cy="2747010"/>
            <wp:effectExtent l="0" t="0" r="5715" b="15240"/>
            <wp:docPr id="10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20" w:beforeLines="50" w:after="120" w:afterLines="50"/>
        <w:jc w:val="center"/>
        <w:rPr>
          <w:rFonts w:ascii="黑体" w:hAnsi="黑体" w:eastAsia="黑体"/>
          <w:szCs w:val="21"/>
        </w:rPr>
      </w:pPr>
      <w:r>
        <w:rPr>
          <w:rFonts w:ascii="黑体" w:hAnsi="黑体" w:eastAsia="黑体"/>
          <w:szCs w:val="21"/>
        </w:rPr>
        <w:t>图</w:t>
      </w:r>
      <w:r>
        <w:rPr>
          <w:rFonts w:hint="eastAsia" w:ascii="黑体" w:hAnsi="黑体" w:eastAsia="黑体"/>
          <w:szCs w:val="21"/>
        </w:rPr>
        <w:t>D</w:t>
      </w:r>
      <w:r>
        <w:rPr>
          <w:rFonts w:ascii="黑体" w:hAnsi="黑体" w:eastAsia="黑体"/>
          <w:szCs w:val="21"/>
        </w:rPr>
        <w:t>.1 某四氧化三钴产品改进方案的实施者优先排序图</w:t>
      </w:r>
    </w:p>
    <w:p>
      <w:pPr>
        <w:spacing w:before="120" w:beforeLines="50" w:after="120" w:afterLines="50"/>
        <w:ind w:firstLine="360" w:firstLineChars="200"/>
        <w:jc w:val="left"/>
        <w:rPr>
          <w:rFonts w:ascii="Times New Roman" w:hAnsi="Times New Roman" w:eastAsia="黑体"/>
          <w:szCs w:val="21"/>
        </w:rPr>
      </w:pPr>
      <w:r>
        <w:rPr>
          <w:rFonts w:ascii="Times New Roman" w:hAnsi="Times New Roman"/>
          <w:color w:val="000000"/>
          <w:sz w:val="18"/>
          <w:szCs w:val="21"/>
        </w:rPr>
        <w:t>注：横轴上对应的是关于生产（M）、设计（D）</w:t>
      </w:r>
      <w:r>
        <w:rPr>
          <w:rFonts w:hint="eastAsia" w:ascii="Times New Roman" w:hAnsi="Times New Roman"/>
          <w:color w:val="000000"/>
          <w:sz w:val="18"/>
          <w:szCs w:val="21"/>
        </w:rPr>
        <w:t>、</w:t>
      </w:r>
      <w:r>
        <w:rPr>
          <w:rFonts w:ascii="Times New Roman" w:hAnsi="Times New Roman"/>
          <w:color w:val="000000"/>
          <w:sz w:val="18"/>
          <w:szCs w:val="21"/>
        </w:rPr>
        <w:t>管理（MG）的改进方案；纵轴上，数字越大表明优先度越高。</w:t>
      </w:r>
    </w:p>
    <w:p>
      <w:pPr>
        <w:rPr>
          <w:rFonts w:hint="eastAsia" w:ascii="黑体" w:hAnsi="黑体" w:eastAsia="黑体"/>
          <w:color w:val="000000"/>
          <w:szCs w:val="21"/>
          <w:lang w:val="en-US" w:eastAsia="zh-CN"/>
        </w:rPr>
      </w:pPr>
      <w:r>
        <w:rPr>
          <w:rFonts w:hint="eastAsia" w:ascii="黑体" w:hAnsi="黑体" w:eastAsia="黑体"/>
          <w:color w:val="000000"/>
          <w:szCs w:val="21"/>
          <w:lang w:val="en-US" w:eastAsia="zh-CN"/>
        </w:rPr>
        <w:t>·</w:t>
      </w:r>
    </w:p>
    <w:p>
      <w:pPr>
        <w:spacing w:before="120" w:beforeLines="50" w:after="120" w:afterLines="50"/>
        <w:jc w:val="center"/>
        <w:rPr>
          <w:rFonts w:ascii="黑体" w:hAnsi="黑体" w:eastAsia="黑体"/>
          <w:szCs w:val="21"/>
        </w:rPr>
      </w:pPr>
      <w:bookmarkStart w:id="54" w:name="_MON_1616259573"/>
      <w:bookmarkEnd w:id="54"/>
      <w:r>
        <w:rPr>
          <w:rFonts w:ascii="黑体" w:hAnsi="黑体" w:eastAsia="黑体"/>
          <w:szCs w:val="21"/>
        </w:rPr>
        <w:object>
          <v:shape id="_x0000_i1034" o:spt="75" type="#_x0000_t75" style="height:227.65pt;width:464.65pt;" o:ole="t" filled="f" o:preferrelative="t" stroked="f" coordsize="21600,21600">
            <v:path/>
            <v:fill on="f" focussize="0,0"/>
            <v:stroke on="f"/>
            <v:imagedata r:id="rId25" cropleft="-912f" croptop="-2087f" cropright="-5062f" cropbottom="-2594f" o:title=""/>
            <o:lock v:ext="edit" aspectratio="f"/>
            <w10:wrap type="none"/>
            <w10:anchorlock/>
          </v:shape>
          <o:OLEObject Type="Embed" ProgID="Excel.Sheet.8" ShapeID="_x0000_i1034" DrawAspect="Content" ObjectID="_1468075728" r:id="rId24">
            <o:LockedField>false</o:LockedField>
          </o:OLEObject>
        </w:object>
      </w:r>
      <w:r>
        <w:rPr>
          <w:rFonts w:ascii="黑体" w:hAnsi="黑体" w:eastAsia="黑体"/>
          <w:szCs w:val="21"/>
        </w:rPr>
        <w:t>图</w:t>
      </w:r>
      <w:r>
        <w:rPr>
          <w:rFonts w:hint="eastAsia" w:ascii="黑体" w:hAnsi="黑体" w:eastAsia="黑体"/>
          <w:szCs w:val="21"/>
        </w:rPr>
        <w:t>D</w:t>
      </w:r>
      <w:r>
        <w:rPr>
          <w:rFonts w:ascii="黑体" w:hAnsi="黑体" w:eastAsia="黑体"/>
          <w:szCs w:val="21"/>
        </w:rPr>
        <w:t>.2  某四氧化三钴产品改进方案的生命周期阶段优先排序图</w:t>
      </w:r>
    </w:p>
    <w:p>
      <w:pPr>
        <w:spacing w:before="120" w:beforeLines="50" w:after="120" w:afterLines="50"/>
        <w:ind w:firstLine="360" w:firstLineChars="200"/>
        <w:jc w:val="left"/>
        <w:rPr>
          <w:rFonts w:ascii="Times New Roman" w:hAnsi="Times New Roman"/>
          <w:color w:val="000000"/>
          <w:sz w:val="18"/>
          <w:szCs w:val="21"/>
        </w:rPr>
      </w:pPr>
      <w:r>
        <w:rPr>
          <w:rFonts w:ascii="Times New Roman" w:hAnsi="Times New Roman"/>
          <w:color w:val="000000"/>
          <w:sz w:val="18"/>
          <w:szCs w:val="21"/>
        </w:rPr>
        <w:t>注：每个柱状图下方代码的第一个数字表示和相应的生命周期阶段，第二个数字表示改进方案的序号。</w:t>
      </w:r>
    </w:p>
    <w:p>
      <w:pPr>
        <w:spacing w:before="120" w:beforeLines="50" w:after="120" w:afterLines="50"/>
        <w:ind w:firstLine="360" w:firstLineChars="200"/>
        <w:jc w:val="left"/>
        <w:rPr>
          <w:rFonts w:ascii="Times New Roman" w:hAnsi="Times New Roman"/>
          <w:color w:val="000000"/>
          <w:sz w:val="18"/>
          <w:szCs w:val="21"/>
        </w:rPr>
      </w:pPr>
    </w:p>
    <w:p>
      <w:pPr>
        <w:jc w:val="left"/>
        <w:rPr>
          <w:rFonts w:ascii="黑体" w:hAnsi="黑体"/>
          <w:color w:val="000000"/>
          <w:szCs w:val="21"/>
        </w:rPr>
      </w:pPr>
    </w:p>
    <w:p>
      <w:pPr>
        <w:widowControl/>
        <w:outlineLvl w:val="0"/>
        <w:rPr>
          <w:rFonts w:ascii="黑体" w:hAnsi="黑体"/>
          <w:color w:val="000000"/>
          <w:szCs w:val="21"/>
        </w:rPr>
        <w:sectPr>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cols w:space="720" w:num="1"/>
          <w:titlePg/>
          <w:docGrid w:linePitch="312" w:charSpace="0"/>
        </w:sectPr>
      </w:pPr>
    </w:p>
    <w:p>
      <w:pPr>
        <w:widowControl/>
        <w:spacing w:before="640" w:after="280"/>
        <w:jc w:val="center"/>
        <w:outlineLvl w:val="0"/>
        <w:rPr>
          <w:rFonts w:ascii="黑体" w:hAnsi="黑体" w:eastAsia="黑体" w:cs="黑体"/>
          <w:color w:val="000000"/>
          <w:szCs w:val="21"/>
        </w:rPr>
      </w:pPr>
      <w:r>
        <w:rPr>
          <w:rFonts w:hint="eastAsia" w:ascii="黑体" w:hAnsi="黑体" w:eastAsia="黑体" w:cs="黑体"/>
          <w:color w:val="000000"/>
          <w:szCs w:val="21"/>
        </w:rPr>
        <w:t>参  考  文  献</w:t>
      </w:r>
    </w:p>
    <w:p>
      <w:pPr>
        <w:widowControl/>
        <w:numPr>
          <w:ilvl w:val="0"/>
          <w:numId w:val="13"/>
        </w:numPr>
        <w:jc w:val="left"/>
        <w:outlineLvl w:val="0"/>
        <w:rPr>
          <w:rFonts w:ascii="Times New Roman" w:hAnsi="Times New Roman"/>
          <w:color w:val="000000"/>
          <w:szCs w:val="21"/>
        </w:rPr>
      </w:pPr>
      <w:r>
        <w:rPr>
          <w:rFonts w:ascii="Times New Roman" w:hAnsi="Times New Roman"/>
          <w:color w:val="000000"/>
          <w:szCs w:val="21"/>
        </w:rPr>
        <w:t>《镍钴行业清洁生产评价指标体系》（国家发展改革委、环境保护部、工业和信息化部 2015年第36号公告）</w:t>
      </w:r>
    </w:p>
    <w:p>
      <w:pPr>
        <w:widowControl/>
        <w:jc w:val="center"/>
        <w:outlineLvl w:val="0"/>
        <w:rPr>
          <w:rFonts w:ascii="黑体" w:hAnsi="黑体"/>
          <w:color w:val="000000"/>
          <w:szCs w:val="21"/>
        </w:rPr>
      </w:pPr>
    </w:p>
    <w:p/>
    <w:p/>
    <w:p/>
    <w:sectPr>
      <w:pgSz w:w="11906" w:h="16838"/>
      <w:pgMar w:top="1418" w:right="1418" w:bottom="1440" w:left="1418" w:header="851" w:footer="992" w:gutter="0"/>
      <w:pgBorders w:offsetFrom="page">
        <w:top w:val="single" w:color="FFFFFF" w:sz="8" w:space="24"/>
        <w:left w:val="single" w:color="FFFFFF" w:sz="8" w:space="24"/>
        <w:bottom w:val="single" w:color="FFFFFF" w:sz="8" w:space="24"/>
        <w:right w:val="single" w:color="FFFFFF" w:sz="8" w:space="24"/>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hAnsi="黑体" w:eastAsia="黑体"/>
      </w:rPr>
    </w:pPr>
    <w:r>
      <w:rPr>
        <w:rFonts w:ascii="黑体" w:hAnsi="黑体" w:eastAsia="黑体"/>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0D995"/>
    <w:multiLevelType w:val="multilevel"/>
    <w:tmpl w:val="9F00D99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F143967"/>
    <w:multiLevelType w:val="multilevel"/>
    <w:tmpl w:val="AF14396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8CD50BB"/>
    <w:multiLevelType w:val="multilevel"/>
    <w:tmpl w:val="08CD50BB"/>
    <w:lvl w:ilvl="0" w:tentative="0">
      <w:start w:val="1"/>
      <w:numFmt w:val="lowerLetter"/>
      <w:lvlText w:val="%1）"/>
      <w:lvlJc w:val="left"/>
      <w:pPr>
        <w:ind w:left="120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930854"/>
    <w:multiLevelType w:val="multilevel"/>
    <w:tmpl w:val="2293085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6198592"/>
    <w:multiLevelType w:val="multilevel"/>
    <w:tmpl w:val="26198592"/>
    <w:lvl w:ilvl="0" w:tentative="0">
      <w:start w:val="1"/>
      <w:numFmt w:val="lowerLetter"/>
      <w:lvlText w:val="%1）"/>
      <w:lvlJc w:val="left"/>
      <w:pPr>
        <w:ind w:left="567" w:leftChars="0" w:hanging="147" w:firstLineChars="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B4FE319"/>
    <w:multiLevelType w:val="multilevel"/>
    <w:tmpl w:val="2B4FE319"/>
    <w:lvl w:ilvl="0" w:tentative="0">
      <w:start w:val="1"/>
      <w:numFmt w:val="lowerLetter"/>
      <w:lvlText w:val="%1）"/>
      <w:lvlJc w:val="left"/>
      <w:pPr>
        <w:ind w:left="567" w:leftChars="0" w:hanging="147" w:firstLineChars="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FA73C2D"/>
    <w:multiLevelType w:val="multilevel"/>
    <w:tmpl w:val="3FA73C2D"/>
    <w:lvl w:ilvl="0" w:tentative="0">
      <w:start w:val="1"/>
      <w:numFmt w:val="bullet"/>
      <w:pStyle w:val="49"/>
      <w:lvlText w:val=""/>
      <w:lvlJc w:val="left"/>
      <w:pPr>
        <w:ind w:left="776" w:hanging="420"/>
      </w:pPr>
      <w:rPr>
        <w:rFonts w:hint="default" w:ascii="Wingdings" w:hAnsi="Wingdings"/>
        <w:sz w:val="18"/>
        <w:szCs w:val="18"/>
      </w:rPr>
    </w:lvl>
    <w:lvl w:ilvl="1" w:tentative="0">
      <w:start w:val="1"/>
      <w:numFmt w:val="bullet"/>
      <w:lvlText w:val=""/>
      <w:lvlJc w:val="left"/>
      <w:pPr>
        <w:ind w:left="1196" w:hanging="420"/>
      </w:pPr>
      <w:rPr>
        <w:rFonts w:hint="default" w:ascii="Wingdings" w:hAnsi="Wingdings"/>
      </w:rPr>
    </w:lvl>
    <w:lvl w:ilvl="2" w:tentative="0">
      <w:start w:val="1"/>
      <w:numFmt w:val="bullet"/>
      <w:lvlText w:val=""/>
      <w:lvlJc w:val="left"/>
      <w:pPr>
        <w:ind w:left="1616" w:hanging="420"/>
      </w:pPr>
      <w:rPr>
        <w:rFonts w:hint="default" w:ascii="Wingdings" w:hAnsi="Wingdings"/>
      </w:rPr>
    </w:lvl>
    <w:lvl w:ilvl="3" w:tentative="0">
      <w:start w:val="1"/>
      <w:numFmt w:val="bullet"/>
      <w:lvlText w:val=""/>
      <w:lvlJc w:val="left"/>
      <w:pPr>
        <w:ind w:left="2036" w:hanging="420"/>
      </w:pPr>
      <w:rPr>
        <w:rFonts w:hint="default" w:ascii="Wingdings" w:hAnsi="Wingdings"/>
      </w:rPr>
    </w:lvl>
    <w:lvl w:ilvl="4" w:tentative="0">
      <w:start w:val="1"/>
      <w:numFmt w:val="bullet"/>
      <w:lvlText w:val=""/>
      <w:lvlJc w:val="left"/>
      <w:pPr>
        <w:ind w:left="2456" w:hanging="420"/>
      </w:pPr>
      <w:rPr>
        <w:rFonts w:hint="default" w:ascii="Wingdings" w:hAnsi="Wingdings"/>
      </w:rPr>
    </w:lvl>
    <w:lvl w:ilvl="5" w:tentative="0">
      <w:start w:val="1"/>
      <w:numFmt w:val="bullet"/>
      <w:lvlText w:val=""/>
      <w:lvlJc w:val="left"/>
      <w:pPr>
        <w:ind w:left="2876" w:hanging="420"/>
      </w:pPr>
      <w:rPr>
        <w:rFonts w:hint="default" w:ascii="Wingdings" w:hAnsi="Wingdings"/>
      </w:rPr>
    </w:lvl>
    <w:lvl w:ilvl="6" w:tentative="0">
      <w:start w:val="1"/>
      <w:numFmt w:val="bullet"/>
      <w:lvlText w:val=""/>
      <w:lvlJc w:val="left"/>
      <w:pPr>
        <w:ind w:left="3296" w:hanging="420"/>
      </w:pPr>
      <w:rPr>
        <w:rFonts w:hint="default" w:ascii="Wingdings" w:hAnsi="Wingdings"/>
      </w:rPr>
    </w:lvl>
    <w:lvl w:ilvl="7" w:tentative="0">
      <w:start w:val="1"/>
      <w:numFmt w:val="bullet"/>
      <w:lvlText w:val=""/>
      <w:lvlJc w:val="left"/>
      <w:pPr>
        <w:ind w:left="3716" w:hanging="420"/>
      </w:pPr>
      <w:rPr>
        <w:rFonts w:hint="default" w:ascii="Wingdings" w:hAnsi="Wingdings"/>
      </w:rPr>
    </w:lvl>
    <w:lvl w:ilvl="8" w:tentative="0">
      <w:start w:val="1"/>
      <w:numFmt w:val="bullet"/>
      <w:lvlText w:val=""/>
      <w:lvlJc w:val="left"/>
      <w:pPr>
        <w:ind w:left="4136" w:hanging="420"/>
      </w:pPr>
      <w:rPr>
        <w:rFonts w:hint="default" w:ascii="Wingdings" w:hAnsi="Wingdings"/>
      </w:rPr>
    </w:lvl>
  </w:abstractNum>
  <w:abstractNum w:abstractNumId="7">
    <w:nsid w:val="44381ACA"/>
    <w:multiLevelType w:val="multilevel"/>
    <w:tmpl w:val="44381ACA"/>
    <w:lvl w:ilvl="0" w:tentative="0">
      <w:start w:val="1"/>
      <w:numFmt w:val="lowerLetter"/>
      <w:lvlText w:val="%1）"/>
      <w:lvlJc w:val="left"/>
      <w:pPr>
        <w:ind w:left="567" w:leftChars="0" w:hanging="147" w:firstLineChars="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310CC1C"/>
    <w:multiLevelType w:val="multilevel"/>
    <w:tmpl w:val="5310CC1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C08FB79"/>
    <w:multiLevelType w:val="singleLevel"/>
    <w:tmpl w:val="5C08FB79"/>
    <w:lvl w:ilvl="0" w:tentative="0">
      <w:start w:val="1"/>
      <w:numFmt w:val="decimal"/>
      <w:lvlText w:val="[%1]"/>
      <w:lvlJc w:val="left"/>
      <w:pPr>
        <w:tabs>
          <w:tab w:val="left" w:pos="420"/>
        </w:tabs>
        <w:ind w:left="425" w:hanging="425"/>
      </w:pPr>
      <w:rPr>
        <w:rFonts w:hint="default"/>
      </w:rPr>
    </w:lvl>
  </w:abstractNum>
  <w:abstractNum w:abstractNumId="10">
    <w:nsid w:val="5DD74124"/>
    <w:multiLevelType w:val="multilevel"/>
    <w:tmpl w:val="5DD7412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57D3FBC"/>
    <w:multiLevelType w:val="multilevel"/>
    <w:tmpl w:val="657D3FBC"/>
    <w:lvl w:ilvl="0" w:tentative="0">
      <w:start w:val="1"/>
      <w:numFmt w:val="upperLetter"/>
      <w:suff w:val="nothing"/>
      <w:lvlText w:val="附　录　%1"/>
      <w:lvlJc w:val="left"/>
      <w:pPr>
        <w:ind w:left="4961" w:firstLine="0"/>
      </w:pPr>
      <w:rPr>
        <w:rFonts w:hint="eastAsia" w:ascii="黑体" w:hAnsi="Times New Roman" w:eastAsia="黑体"/>
        <w:b w:val="0"/>
        <w:i w:val="0"/>
        <w:spacing w:val="0"/>
        <w:w w:val="100"/>
        <w:sz w:val="21"/>
        <w:lang w:val="en-US"/>
      </w:rPr>
    </w:lvl>
    <w:lvl w:ilvl="1" w:tentative="0">
      <w:start w:val="1"/>
      <w:numFmt w:val="decimal"/>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686"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2">
    <w:nsid w:val="72E55320"/>
    <w:multiLevelType w:val="multilevel"/>
    <w:tmpl w:val="72E55320"/>
    <w:lvl w:ilvl="0" w:tentative="0">
      <w:start w:val="1"/>
      <w:numFmt w:val="lowerLetter"/>
      <w:lvlText w:val="%1）"/>
      <w:lvlJc w:val="left"/>
      <w:pPr>
        <w:ind w:left="567" w:leftChars="0" w:hanging="147" w:firstLineChars="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8"/>
  </w:num>
  <w:num w:numId="3">
    <w:abstractNumId w:val="0"/>
  </w:num>
  <w:num w:numId="4">
    <w:abstractNumId w:val="1"/>
  </w:num>
  <w:num w:numId="5">
    <w:abstractNumId w:val="11"/>
  </w:num>
  <w:num w:numId="6">
    <w:abstractNumId w:val="7"/>
  </w:num>
  <w:num w:numId="7">
    <w:abstractNumId w:val="5"/>
  </w:num>
  <w:num w:numId="8">
    <w:abstractNumId w:val="2"/>
  </w:num>
  <w:num w:numId="9">
    <w:abstractNumId w:val="4"/>
  </w:num>
  <w:num w:numId="10">
    <w:abstractNumId w:val="1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56"/>
    <w:rsid w:val="0000107C"/>
    <w:rsid w:val="0000505F"/>
    <w:rsid w:val="000051EF"/>
    <w:rsid w:val="0000554E"/>
    <w:rsid w:val="00007CD0"/>
    <w:rsid w:val="000119CA"/>
    <w:rsid w:val="00013E10"/>
    <w:rsid w:val="00017548"/>
    <w:rsid w:val="00022E18"/>
    <w:rsid w:val="00023071"/>
    <w:rsid w:val="000274A3"/>
    <w:rsid w:val="0003067A"/>
    <w:rsid w:val="00030B1E"/>
    <w:rsid w:val="000316AD"/>
    <w:rsid w:val="00034D68"/>
    <w:rsid w:val="00034E13"/>
    <w:rsid w:val="00035924"/>
    <w:rsid w:val="000413A2"/>
    <w:rsid w:val="0004244A"/>
    <w:rsid w:val="00047704"/>
    <w:rsid w:val="000509EB"/>
    <w:rsid w:val="00051833"/>
    <w:rsid w:val="0005210A"/>
    <w:rsid w:val="00053196"/>
    <w:rsid w:val="0005365F"/>
    <w:rsid w:val="000539E4"/>
    <w:rsid w:val="000550AD"/>
    <w:rsid w:val="00063414"/>
    <w:rsid w:val="00064671"/>
    <w:rsid w:val="00065803"/>
    <w:rsid w:val="000666A7"/>
    <w:rsid w:val="00071C03"/>
    <w:rsid w:val="00072521"/>
    <w:rsid w:val="000726F7"/>
    <w:rsid w:val="00072C1B"/>
    <w:rsid w:val="0007346F"/>
    <w:rsid w:val="00074886"/>
    <w:rsid w:val="00075BFC"/>
    <w:rsid w:val="0007640B"/>
    <w:rsid w:val="000765A4"/>
    <w:rsid w:val="0007671E"/>
    <w:rsid w:val="000771B9"/>
    <w:rsid w:val="00077EF0"/>
    <w:rsid w:val="0008139B"/>
    <w:rsid w:val="00081946"/>
    <w:rsid w:val="0008260C"/>
    <w:rsid w:val="00082F53"/>
    <w:rsid w:val="00084B38"/>
    <w:rsid w:val="0008600F"/>
    <w:rsid w:val="00086925"/>
    <w:rsid w:val="0008693C"/>
    <w:rsid w:val="0008702B"/>
    <w:rsid w:val="00091527"/>
    <w:rsid w:val="0009253E"/>
    <w:rsid w:val="00093124"/>
    <w:rsid w:val="00093385"/>
    <w:rsid w:val="00096A6D"/>
    <w:rsid w:val="000A0497"/>
    <w:rsid w:val="000A13C9"/>
    <w:rsid w:val="000A2227"/>
    <w:rsid w:val="000A2A92"/>
    <w:rsid w:val="000A353D"/>
    <w:rsid w:val="000A4695"/>
    <w:rsid w:val="000A69DC"/>
    <w:rsid w:val="000A72F3"/>
    <w:rsid w:val="000A7722"/>
    <w:rsid w:val="000B0427"/>
    <w:rsid w:val="000B0CD2"/>
    <w:rsid w:val="000B18C1"/>
    <w:rsid w:val="000B52C6"/>
    <w:rsid w:val="000B7557"/>
    <w:rsid w:val="000C1730"/>
    <w:rsid w:val="000C1A4C"/>
    <w:rsid w:val="000C38AD"/>
    <w:rsid w:val="000C51A6"/>
    <w:rsid w:val="000C553A"/>
    <w:rsid w:val="000C79FE"/>
    <w:rsid w:val="000D0617"/>
    <w:rsid w:val="000D0AA0"/>
    <w:rsid w:val="000D1FE9"/>
    <w:rsid w:val="000D3213"/>
    <w:rsid w:val="000D50CD"/>
    <w:rsid w:val="000D561A"/>
    <w:rsid w:val="000D5959"/>
    <w:rsid w:val="000D6162"/>
    <w:rsid w:val="000D63AB"/>
    <w:rsid w:val="000D6B4F"/>
    <w:rsid w:val="000E009E"/>
    <w:rsid w:val="000E1B8E"/>
    <w:rsid w:val="000E2016"/>
    <w:rsid w:val="000E24F9"/>
    <w:rsid w:val="000E3537"/>
    <w:rsid w:val="000E50E2"/>
    <w:rsid w:val="000E5DD4"/>
    <w:rsid w:val="000E627D"/>
    <w:rsid w:val="000E62B5"/>
    <w:rsid w:val="000E6660"/>
    <w:rsid w:val="000E71FB"/>
    <w:rsid w:val="000E786C"/>
    <w:rsid w:val="000F0342"/>
    <w:rsid w:val="000F0A47"/>
    <w:rsid w:val="000F0D26"/>
    <w:rsid w:val="000F1865"/>
    <w:rsid w:val="000F62EF"/>
    <w:rsid w:val="000F7E2C"/>
    <w:rsid w:val="00101036"/>
    <w:rsid w:val="00101621"/>
    <w:rsid w:val="001029A4"/>
    <w:rsid w:val="00102E20"/>
    <w:rsid w:val="00104148"/>
    <w:rsid w:val="001061B8"/>
    <w:rsid w:val="0011139D"/>
    <w:rsid w:val="00112354"/>
    <w:rsid w:val="0011356F"/>
    <w:rsid w:val="001158B8"/>
    <w:rsid w:val="00116B4E"/>
    <w:rsid w:val="00117863"/>
    <w:rsid w:val="00120A03"/>
    <w:rsid w:val="00121EE6"/>
    <w:rsid w:val="001239EF"/>
    <w:rsid w:val="00123F9F"/>
    <w:rsid w:val="00124835"/>
    <w:rsid w:val="00125B61"/>
    <w:rsid w:val="00125F2A"/>
    <w:rsid w:val="001268A0"/>
    <w:rsid w:val="00126DA2"/>
    <w:rsid w:val="001277F6"/>
    <w:rsid w:val="00130213"/>
    <w:rsid w:val="0013069E"/>
    <w:rsid w:val="00130C98"/>
    <w:rsid w:val="00132456"/>
    <w:rsid w:val="00132C01"/>
    <w:rsid w:val="00141235"/>
    <w:rsid w:val="00142F29"/>
    <w:rsid w:val="0014537E"/>
    <w:rsid w:val="001476FE"/>
    <w:rsid w:val="00151AED"/>
    <w:rsid w:val="00152262"/>
    <w:rsid w:val="0015339B"/>
    <w:rsid w:val="0015400C"/>
    <w:rsid w:val="001542D7"/>
    <w:rsid w:val="001546E9"/>
    <w:rsid w:val="00155134"/>
    <w:rsid w:val="00156609"/>
    <w:rsid w:val="00156D69"/>
    <w:rsid w:val="0016132C"/>
    <w:rsid w:val="0016323F"/>
    <w:rsid w:val="00163FC1"/>
    <w:rsid w:val="001658D7"/>
    <w:rsid w:val="001672E8"/>
    <w:rsid w:val="0016733F"/>
    <w:rsid w:val="0017039D"/>
    <w:rsid w:val="001703E3"/>
    <w:rsid w:val="00170A99"/>
    <w:rsid w:val="00171096"/>
    <w:rsid w:val="00176977"/>
    <w:rsid w:val="00176AE8"/>
    <w:rsid w:val="00180C9D"/>
    <w:rsid w:val="001822A2"/>
    <w:rsid w:val="001829BC"/>
    <w:rsid w:val="00184EC2"/>
    <w:rsid w:val="00186FD2"/>
    <w:rsid w:val="00190A41"/>
    <w:rsid w:val="001927DF"/>
    <w:rsid w:val="001928CA"/>
    <w:rsid w:val="0019350B"/>
    <w:rsid w:val="00193E2D"/>
    <w:rsid w:val="0019584D"/>
    <w:rsid w:val="00195F7B"/>
    <w:rsid w:val="001A02F6"/>
    <w:rsid w:val="001A3A9A"/>
    <w:rsid w:val="001A4ECF"/>
    <w:rsid w:val="001A5059"/>
    <w:rsid w:val="001A5360"/>
    <w:rsid w:val="001A5F39"/>
    <w:rsid w:val="001A6796"/>
    <w:rsid w:val="001B0EE4"/>
    <w:rsid w:val="001B2016"/>
    <w:rsid w:val="001B5065"/>
    <w:rsid w:val="001B6AED"/>
    <w:rsid w:val="001B7AD9"/>
    <w:rsid w:val="001B7EA3"/>
    <w:rsid w:val="001C05B3"/>
    <w:rsid w:val="001C0742"/>
    <w:rsid w:val="001C1126"/>
    <w:rsid w:val="001C1899"/>
    <w:rsid w:val="001C349D"/>
    <w:rsid w:val="001D03F9"/>
    <w:rsid w:val="001D0D71"/>
    <w:rsid w:val="001D0F98"/>
    <w:rsid w:val="001D1950"/>
    <w:rsid w:val="001D2CE2"/>
    <w:rsid w:val="001D2D77"/>
    <w:rsid w:val="001D30DD"/>
    <w:rsid w:val="001D37B7"/>
    <w:rsid w:val="001D404D"/>
    <w:rsid w:val="001D4ED3"/>
    <w:rsid w:val="001D75A1"/>
    <w:rsid w:val="001E0F4F"/>
    <w:rsid w:val="001E1ECE"/>
    <w:rsid w:val="001E29EF"/>
    <w:rsid w:val="001E2A67"/>
    <w:rsid w:val="001E2DF7"/>
    <w:rsid w:val="001E3BD9"/>
    <w:rsid w:val="001E6130"/>
    <w:rsid w:val="001E6359"/>
    <w:rsid w:val="001E7F01"/>
    <w:rsid w:val="001F08FF"/>
    <w:rsid w:val="001F193A"/>
    <w:rsid w:val="001F1EA3"/>
    <w:rsid w:val="001F28FE"/>
    <w:rsid w:val="001F2940"/>
    <w:rsid w:val="001F2C57"/>
    <w:rsid w:val="001F2E25"/>
    <w:rsid w:val="001F3272"/>
    <w:rsid w:val="001F34D3"/>
    <w:rsid w:val="001F67E0"/>
    <w:rsid w:val="001F67F1"/>
    <w:rsid w:val="001F6B93"/>
    <w:rsid w:val="001F7852"/>
    <w:rsid w:val="00200BAB"/>
    <w:rsid w:val="00200E85"/>
    <w:rsid w:val="0020286F"/>
    <w:rsid w:val="00204C69"/>
    <w:rsid w:val="00204E11"/>
    <w:rsid w:val="00205D1B"/>
    <w:rsid w:val="0020676B"/>
    <w:rsid w:val="00210016"/>
    <w:rsid w:val="00211156"/>
    <w:rsid w:val="002131B8"/>
    <w:rsid w:val="0021487A"/>
    <w:rsid w:val="00216A6D"/>
    <w:rsid w:val="002177E2"/>
    <w:rsid w:val="002211F9"/>
    <w:rsid w:val="00221E50"/>
    <w:rsid w:val="0022324D"/>
    <w:rsid w:val="00225FBF"/>
    <w:rsid w:val="00226962"/>
    <w:rsid w:val="00227067"/>
    <w:rsid w:val="0022778D"/>
    <w:rsid w:val="00227AD5"/>
    <w:rsid w:val="00231DE6"/>
    <w:rsid w:val="00231EF3"/>
    <w:rsid w:val="00233031"/>
    <w:rsid w:val="00236FCD"/>
    <w:rsid w:val="002410A3"/>
    <w:rsid w:val="002438C5"/>
    <w:rsid w:val="00244918"/>
    <w:rsid w:val="00245BC2"/>
    <w:rsid w:val="0025045E"/>
    <w:rsid w:val="00251788"/>
    <w:rsid w:val="00253084"/>
    <w:rsid w:val="0025390F"/>
    <w:rsid w:val="0025421E"/>
    <w:rsid w:val="002555AE"/>
    <w:rsid w:val="00257AD3"/>
    <w:rsid w:val="00260213"/>
    <w:rsid w:val="00263DB3"/>
    <w:rsid w:val="00264C48"/>
    <w:rsid w:val="00266EDF"/>
    <w:rsid w:val="002671A8"/>
    <w:rsid w:val="00270065"/>
    <w:rsid w:val="00270A1A"/>
    <w:rsid w:val="00270A79"/>
    <w:rsid w:val="00271027"/>
    <w:rsid w:val="00274247"/>
    <w:rsid w:val="00275C87"/>
    <w:rsid w:val="00276EDE"/>
    <w:rsid w:val="00277D95"/>
    <w:rsid w:val="0028250E"/>
    <w:rsid w:val="00282684"/>
    <w:rsid w:val="00283026"/>
    <w:rsid w:val="00287494"/>
    <w:rsid w:val="002909D4"/>
    <w:rsid w:val="002921A5"/>
    <w:rsid w:val="00293413"/>
    <w:rsid w:val="00295BC1"/>
    <w:rsid w:val="002975A2"/>
    <w:rsid w:val="00297BA0"/>
    <w:rsid w:val="00297D02"/>
    <w:rsid w:val="002A2229"/>
    <w:rsid w:val="002B0F36"/>
    <w:rsid w:val="002B10BC"/>
    <w:rsid w:val="002B7B18"/>
    <w:rsid w:val="002C0349"/>
    <w:rsid w:val="002C07E6"/>
    <w:rsid w:val="002C0A00"/>
    <w:rsid w:val="002C0BC9"/>
    <w:rsid w:val="002C2273"/>
    <w:rsid w:val="002C24EA"/>
    <w:rsid w:val="002C5085"/>
    <w:rsid w:val="002C5D83"/>
    <w:rsid w:val="002D2EE0"/>
    <w:rsid w:val="002D32EA"/>
    <w:rsid w:val="002D3E87"/>
    <w:rsid w:val="002D5384"/>
    <w:rsid w:val="002D54DA"/>
    <w:rsid w:val="002D6AEF"/>
    <w:rsid w:val="002D7A03"/>
    <w:rsid w:val="002D7A8F"/>
    <w:rsid w:val="002D7B9E"/>
    <w:rsid w:val="002E008F"/>
    <w:rsid w:val="002E1CF3"/>
    <w:rsid w:val="002E2DA8"/>
    <w:rsid w:val="002E334D"/>
    <w:rsid w:val="002E38BD"/>
    <w:rsid w:val="002E41EE"/>
    <w:rsid w:val="002E42B8"/>
    <w:rsid w:val="002E4571"/>
    <w:rsid w:val="002E4BCC"/>
    <w:rsid w:val="002E55B4"/>
    <w:rsid w:val="002E5B46"/>
    <w:rsid w:val="002E5CF3"/>
    <w:rsid w:val="002E5D1B"/>
    <w:rsid w:val="002E7360"/>
    <w:rsid w:val="002E7AF5"/>
    <w:rsid w:val="002F0574"/>
    <w:rsid w:val="002F060F"/>
    <w:rsid w:val="002F0DCC"/>
    <w:rsid w:val="002F21AE"/>
    <w:rsid w:val="002F3B65"/>
    <w:rsid w:val="002F7B8C"/>
    <w:rsid w:val="0030251F"/>
    <w:rsid w:val="00302D36"/>
    <w:rsid w:val="003034F6"/>
    <w:rsid w:val="003066AB"/>
    <w:rsid w:val="00307703"/>
    <w:rsid w:val="00307C81"/>
    <w:rsid w:val="003104FE"/>
    <w:rsid w:val="0031085F"/>
    <w:rsid w:val="00310A96"/>
    <w:rsid w:val="00310CD4"/>
    <w:rsid w:val="003118D3"/>
    <w:rsid w:val="00311A02"/>
    <w:rsid w:val="00311D88"/>
    <w:rsid w:val="003123E3"/>
    <w:rsid w:val="00312FE5"/>
    <w:rsid w:val="003144B1"/>
    <w:rsid w:val="00314A72"/>
    <w:rsid w:val="003167A9"/>
    <w:rsid w:val="0032177C"/>
    <w:rsid w:val="00322D8F"/>
    <w:rsid w:val="00322F4D"/>
    <w:rsid w:val="0032444B"/>
    <w:rsid w:val="003245A4"/>
    <w:rsid w:val="00327DCB"/>
    <w:rsid w:val="00330998"/>
    <w:rsid w:val="0033160B"/>
    <w:rsid w:val="003319CE"/>
    <w:rsid w:val="00331BB8"/>
    <w:rsid w:val="003339D2"/>
    <w:rsid w:val="00333CF4"/>
    <w:rsid w:val="00334C5D"/>
    <w:rsid w:val="0033505C"/>
    <w:rsid w:val="003354F6"/>
    <w:rsid w:val="003354FE"/>
    <w:rsid w:val="00336851"/>
    <w:rsid w:val="00342E5F"/>
    <w:rsid w:val="00345164"/>
    <w:rsid w:val="00347471"/>
    <w:rsid w:val="00350553"/>
    <w:rsid w:val="00350E93"/>
    <w:rsid w:val="00352365"/>
    <w:rsid w:val="00353EB0"/>
    <w:rsid w:val="003565E8"/>
    <w:rsid w:val="00356C03"/>
    <w:rsid w:val="00363C70"/>
    <w:rsid w:val="00364C78"/>
    <w:rsid w:val="00370ED9"/>
    <w:rsid w:val="00372038"/>
    <w:rsid w:val="003739C3"/>
    <w:rsid w:val="00382959"/>
    <w:rsid w:val="00382DBE"/>
    <w:rsid w:val="00382F93"/>
    <w:rsid w:val="00383850"/>
    <w:rsid w:val="00383B8A"/>
    <w:rsid w:val="003847D5"/>
    <w:rsid w:val="00390F93"/>
    <w:rsid w:val="00390FE6"/>
    <w:rsid w:val="003912AC"/>
    <w:rsid w:val="00391EFA"/>
    <w:rsid w:val="00396213"/>
    <w:rsid w:val="003A1CD3"/>
    <w:rsid w:val="003A417B"/>
    <w:rsid w:val="003A4327"/>
    <w:rsid w:val="003A5A8C"/>
    <w:rsid w:val="003A7906"/>
    <w:rsid w:val="003B08ED"/>
    <w:rsid w:val="003B0C58"/>
    <w:rsid w:val="003B1ABC"/>
    <w:rsid w:val="003B4B17"/>
    <w:rsid w:val="003B4B63"/>
    <w:rsid w:val="003B4EE3"/>
    <w:rsid w:val="003C5336"/>
    <w:rsid w:val="003C5D6E"/>
    <w:rsid w:val="003C6A91"/>
    <w:rsid w:val="003D3942"/>
    <w:rsid w:val="003D3A81"/>
    <w:rsid w:val="003D49D7"/>
    <w:rsid w:val="003D6694"/>
    <w:rsid w:val="003E0158"/>
    <w:rsid w:val="003E0C83"/>
    <w:rsid w:val="003E14FC"/>
    <w:rsid w:val="003E3395"/>
    <w:rsid w:val="003E3EA9"/>
    <w:rsid w:val="003E5663"/>
    <w:rsid w:val="003E6788"/>
    <w:rsid w:val="003E6912"/>
    <w:rsid w:val="003E7352"/>
    <w:rsid w:val="003E7F1A"/>
    <w:rsid w:val="003F2319"/>
    <w:rsid w:val="003F250B"/>
    <w:rsid w:val="003F34C5"/>
    <w:rsid w:val="003F68C9"/>
    <w:rsid w:val="003F68E5"/>
    <w:rsid w:val="00400F33"/>
    <w:rsid w:val="004018D5"/>
    <w:rsid w:val="004079E6"/>
    <w:rsid w:val="00410104"/>
    <w:rsid w:val="0041026A"/>
    <w:rsid w:val="0041075E"/>
    <w:rsid w:val="004135CC"/>
    <w:rsid w:val="00420479"/>
    <w:rsid w:val="00420C0D"/>
    <w:rsid w:val="00420E73"/>
    <w:rsid w:val="00432753"/>
    <w:rsid w:val="00434867"/>
    <w:rsid w:val="00434900"/>
    <w:rsid w:val="00436B30"/>
    <w:rsid w:val="00443DE6"/>
    <w:rsid w:val="004479BB"/>
    <w:rsid w:val="00447B61"/>
    <w:rsid w:val="00453B18"/>
    <w:rsid w:val="004552B8"/>
    <w:rsid w:val="004553EF"/>
    <w:rsid w:val="00456922"/>
    <w:rsid w:val="004579E8"/>
    <w:rsid w:val="004615D6"/>
    <w:rsid w:val="004621D9"/>
    <w:rsid w:val="00467C34"/>
    <w:rsid w:val="00471AAB"/>
    <w:rsid w:val="00472898"/>
    <w:rsid w:val="00473411"/>
    <w:rsid w:val="004735EF"/>
    <w:rsid w:val="0048025C"/>
    <w:rsid w:val="00480B4C"/>
    <w:rsid w:val="00480D18"/>
    <w:rsid w:val="004861A4"/>
    <w:rsid w:val="00491650"/>
    <w:rsid w:val="0049464F"/>
    <w:rsid w:val="00494738"/>
    <w:rsid w:val="0049532A"/>
    <w:rsid w:val="00495FE9"/>
    <w:rsid w:val="004A0CC4"/>
    <w:rsid w:val="004A1A35"/>
    <w:rsid w:val="004A2DD0"/>
    <w:rsid w:val="004A3B01"/>
    <w:rsid w:val="004A43DF"/>
    <w:rsid w:val="004A514F"/>
    <w:rsid w:val="004B1A1E"/>
    <w:rsid w:val="004B24BA"/>
    <w:rsid w:val="004B2C3B"/>
    <w:rsid w:val="004B33DF"/>
    <w:rsid w:val="004B4160"/>
    <w:rsid w:val="004B417D"/>
    <w:rsid w:val="004B5025"/>
    <w:rsid w:val="004B5094"/>
    <w:rsid w:val="004B7C59"/>
    <w:rsid w:val="004C19A5"/>
    <w:rsid w:val="004C2632"/>
    <w:rsid w:val="004C29C8"/>
    <w:rsid w:val="004C2B3A"/>
    <w:rsid w:val="004C5BC2"/>
    <w:rsid w:val="004C69DC"/>
    <w:rsid w:val="004C6B76"/>
    <w:rsid w:val="004D1680"/>
    <w:rsid w:val="004D1C16"/>
    <w:rsid w:val="004D34C6"/>
    <w:rsid w:val="004D3B18"/>
    <w:rsid w:val="004D3D75"/>
    <w:rsid w:val="004D6FD8"/>
    <w:rsid w:val="004D7EB8"/>
    <w:rsid w:val="004E129B"/>
    <w:rsid w:val="004E4A0C"/>
    <w:rsid w:val="004E7BBA"/>
    <w:rsid w:val="004F03A8"/>
    <w:rsid w:val="004F280C"/>
    <w:rsid w:val="004F3AC4"/>
    <w:rsid w:val="004F3BC9"/>
    <w:rsid w:val="004F5645"/>
    <w:rsid w:val="004F6237"/>
    <w:rsid w:val="004F733A"/>
    <w:rsid w:val="0050065A"/>
    <w:rsid w:val="00500FC0"/>
    <w:rsid w:val="00501E12"/>
    <w:rsid w:val="0050589E"/>
    <w:rsid w:val="00510978"/>
    <w:rsid w:val="005114D3"/>
    <w:rsid w:val="00511D5D"/>
    <w:rsid w:val="005166D2"/>
    <w:rsid w:val="00516B8C"/>
    <w:rsid w:val="00517850"/>
    <w:rsid w:val="00522ECD"/>
    <w:rsid w:val="00525B57"/>
    <w:rsid w:val="0052663F"/>
    <w:rsid w:val="00527CCE"/>
    <w:rsid w:val="00527DF5"/>
    <w:rsid w:val="005314E7"/>
    <w:rsid w:val="00533E37"/>
    <w:rsid w:val="005347C9"/>
    <w:rsid w:val="00535C77"/>
    <w:rsid w:val="005364AF"/>
    <w:rsid w:val="0053699D"/>
    <w:rsid w:val="005401CB"/>
    <w:rsid w:val="00540826"/>
    <w:rsid w:val="00542802"/>
    <w:rsid w:val="005442E2"/>
    <w:rsid w:val="00544490"/>
    <w:rsid w:val="005445CF"/>
    <w:rsid w:val="005459D4"/>
    <w:rsid w:val="00545CB7"/>
    <w:rsid w:val="005465D1"/>
    <w:rsid w:val="0054671F"/>
    <w:rsid w:val="0055108A"/>
    <w:rsid w:val="005512E1"/>
    <w:rsid w:val="00555BBC"/>
    <w:rsid w:val="00557A9E"/>
    <w:rsid w:val="00557DA8"/>
    <w:rsid w:val="00557FE3"/>
    <w:rsid w:val="005603B0"/>
    <w:rsid w:val="00560785"/>
    <w:rsid w:val="00561A68"/>
    <w:rsid w:val="005636D3"/>
    <w:rsid w:val="00564111"/>
    <w:rsid w:val="00565943"/>
    <w:rsid w:val="00565AD3"/>
    <w:rsid w:val="00566324"/>
    <w:rsid w:val="00571576"/>
    <w:rsid w:val="00572471"/>
    <w:rsid w:val="00572592"/>
    <w:rsid w:val="00572A35"/>
    <w:rsid w:val="0057420A"/>
    <w:rsid w:val="00575DFA"/>
    <w:rsid w:val="005808CE"/>
    <w:rsid w:val="00581E5A"/>
    <w:rsid w:val="00585DB6"/>
    <w:rsid w:val="005937B0"/>
    <w:rsid w:val="005947D1"/>
    <w:rsid w:val="00597ECA"/>
    <w:rsid w:val="005A0964"/>
    <w:rsid w:val="005A1424"/>
    <w:rsid w:val="005A53D0"/>
    <w:rsid w:val="005A69BE"/>
    <w:rsid w:val="005A7615"/>
    <w:rsid w:val="005B0765"/>
    <w:rsid w:val="005B11C5"/>
    <w:rsid w:val="005B1D64"/>
    <w:rsid w:val="005B6AFC"/>
    <w:rsid w:val="005B6D96"/>
    <w:rsid w:val="005B75D3"/>
    <w:rsid w:val="005B76FC"/>
    <w:rsid w:val="005B7A23"/>
    <w:rsid w:val="005B7A41"/>
    <w:rsid w:val="005B7DAE"/>
    <w:rsid w:val="005C06C0"/>
    <w:rsid w:val="005C14D5"/>
    <w:rsid w:val="005C3A38"/>
    <w:rsid w:val="005C640D"/>
    <w:rsid w:val="005C6D10"/>
    <w:rsid w:val="005C73D8"/>
    <w:rsid w:val="005D0FE4"/>
    <w:rsid w:val="005D1309"/>
    <w:rsid w:val="005D1A08"/>
    <w:rsid w:val="005D4863"/>
    <w:rsid w:val="005D4E20"/>
    <w:rsid w:val="005D58FC"/>
    <w:rsid w:val="005D7CE4"/>
    <w:rsid w:val="005E0CD5"/>
    <w:rsid w:val="005E1105"/>
    <w:rsid w:val="005E2691"/>
    <w:rsid w:val="005E5143"/>
    <w:rsid w:val="005F02B3"/>
    <w:rsid w:val="005F5A7C"/>
    <w:rsid w:val="005F795E"/>
    <w:rsid w:val="00600792"/>
    <w:rsid w:val="00601707"/>
    <w:rsid w:val="00603A99"/>
    <w:rsid w:val="006040A0"/>
    <w:rsid w:val="00605CBE"/>
    <w:rsid w:val="00605CF2"/>
    <w:rsid w:val="0060629A"/>
    <w:rsid w:val="00606D24"/>
    <w:rsid w:val="00607F97"/>
    <w:rsid w:val="006105FF"/>
    <w:rsid w:val="00610D8E"/>
    <w:rsid w:val="00611600"/>
    <w:rsid w:val="00612A6B"/>
    <w:rsid w:val="00613BC6"/>
    <w:rsid w:val="00613CF6"/>
    <w:rsid w:val="00614213"/>
    <w:rsid w:val="0061454E"/>
    <w:rsid w:val="00614D99"/>
    <w:rsid w:val="00616B2D"/>
    <w:rsid w:val="006239ED"/>
    <w:rsid w:val="006243F7"/>
    <w:rsid w:val="00624A92"/>
    <w:rsid w:val="00627F80"/>
    <w:rsid w:val="00630D33"/>
    <w:rsid w:val="00630FD4"/>
    <w:rsid w:val="006313B3"/>
    <w:rsid w:val="00631917"/>
    <w:rsid w:val="00633E44"/>
    <w:rsid w:val="00633E4E"/>
    <w:rsid w:val="00635776"/>
    <w:rsid w:val="0063674A"/>
    <w:rsid w:val="00636949"/>
    <w:rsid w:val="00637163"/>
    <w:rsid w:val="006374EA"/>
    <w:rsid w:val="006402E5"/>
    <w:rsid w:val="0064138C"/>
    <w:rsid w:val="00641404"/>
    <w:rsid w:val="00641491"/>
    <w:rsid w:val="00642D78"/>
    <w:rsid w:val="0064318A"/>
    <w:rsid w:val="00644ED4"/>
    <w:rsid w:val="006453B9"/>
    <w:rsid w:val="0064562D"/>
    <w:rsid w:val="006475F7"/>
    <w:rsid w:val="006507A6"/>
    <w:rsid w:val="00650EDD"/>
    <w:rsid w:val="0065225C"/>
    <w:rsid w:val="006529A3"/>
    <w:rsid w:val="00653DB4"/>
    <w:rsid w:val="00654C32"/>
    <w:rsid w:val="00656FE2"/>
    <w:rsid w:val="00657F92"/>
    <w:rsid w:val="0066155D"/>
    <w:rsid w:val="006622FD"/>
    <w:rsid w:val="00664C26"/>
    <w:rsid w:val="0067068E"/>
    <w:rsid w:val="00671925"/>
    <w:rsid w:val="00674CE3"/>
    <w:rsid w:val="00675576"/>
    <w:rsid w:val="0067708C"/>
    <w:rsid w:val="00683AC2"/>
    <w:rsid w:val="0068706F"/>
    <w:rsid w:val="00687322"/>
    <w:rsid w:val="0068742F"/>
    <w:rsid w:val="00687D81"/>
    <w:rsid w:val="0069203B"/>
    <w:rsid w:val="0069273A"/>
    <w:rsid w:val="00694929"/>
    <w:rsid w:val="00695209"/>
    <w:rsid w:val="00696060"/>
    <w:rsid w:val="006A198A"/>
    <w:rsid w:val="006A1E9A"/>
    <w:rsid w:val="006A492D"/>
    <w:rsid w:val="006A6DE9"/>
    <w:rsid w:val="006A7145"/>
    <w:rsid w:val="006B1830"/>
    <w:rsid w:val="006B1BCD"/>
    <w:rsid w:val="006B1FA9"/>
    <w:rsid w:val="006B463A"/>
    <w:rsid w:val="006B4A44"/>
    <w:rsid w:val="006C3D5C"/>
    <w:rsid w:val="006C3F5B"/>
    <w:rsid w:val="006C5AF2"/>
    <w:rsid w:val="006C61A2"/>
    <w:rsid w:val="006C7D99"/>
    <w:rsid w:val="006D2E3A"/>
    <w:rsid w:val="006D32E0"/>
    <w:rsid w:val="006D3A31"/>
    <w:rsid w:val="006D45C1"/>
    <w:rsid w:val="006D6C6D"/>
    <w:rsid w:val="006E26EB"/>
    <w:rsid w:val="006E4E2E"/>
    <w:rsid w:val="006E5FAF"/>
    <w:rsid w:val="006E7B40"/>
    <w:rsid w:val="006F163D"/>
    <w:rsid w:val="006F4201"/>
    <w:rsid w:val="006F5370"/>
    <w:rsid w:val="006F5E27"/>
    <w:rsid w:val="006F7D3B"/>
    <w:rsid w:val="00704AF5"/>
    <w:rsid w:val="0070532F"/>
    <w:rsid w:val="0070663C"/>
    <w:rsid w:val="00706A54"/>
    <w:rsid w:val="00710863"/>
    <w:rsid w:val="00711F8A"/>
    <w:rsid w:val="0071435F"/>
    <w:rsid w:val="00714649"/>
    <w:rsid w:val="00715A7D"/>
    <w:rsid w:val="00716862"/>
    <w:rsid w:val="007175AA"/>
    <w:rsid w:val="007209C7"/>
    <w:rsid w:val="00720D39"/>
    <w:rsid w:val="00727B57"/>
    <w:rsid w:val="007316DD"/>
    <w:rsid w:val="00733566"/>
    <w:rsid w:val="00736570"/>
    <w:rsid w:val="00736611"/>
    <w:rsid w:val="0073689A"/>
    <w:rsid w:val="00737C96"/>
    <w:rsid w:val="00740B7B"/>
    <w:rsid w:val="00741BB1"/>
    <w:rsid w:val="00743F23"/>
    <w:rsid w:val="00745E63"/>
    <w:rsid w:val="00746260"/>
    <w:rsid w:val="00751312"/>
    <w:rsid w:val="007517A0"/>
    <w:rsid w:val="007522FE"/>
    <w:rsid w:val="00752418"/>
    <w:rsid w:val="007551F6"/>
    <w:rsid w:val="007559FA"/>
    <w:rsid w:val="00756CD0"/>
    <w:rsid w:val="00756F3B"/>
    <w:rsid w:val="00760748"/>
    <w:rsid w:val="00763456"/>
    <w:rsid w:val="00765E2E"/>
    <w:rsid w:val="0076693E"/>
    <w:rsid w:val="0076784C"/>
    <w:rsid w:val="00767B14"/>
    <w:rsid w:val="00767E25"/>
    <w:rsid w:val="007707B4"/>
    <w:rsid w:val="00772ECA"/>
    <w:rsid w:val="007808AD"/>
    <w:rsid w:val="00781C06"/>
    <w:rsid w:val="00782DF0"/>
    <w:rsid w:val="00783353"/>
    <w:rsid w:val="007838D0"/>
    <w:rsid w:val="00784337"/>
    <w:rsid w:val="00785F9C"/>
    <w:rsid w:val="00785FCD"/>
    <w:rsid w:val="00790356"/>
    <w:rsid w:val="00791DE6"/>
    <w:rsid w:val="0079342A"/>
    <w:rsid w:val="00793526"/>
    <w:rsid w:val="00793F75"/>
    <w:rsid w:val="0079609D"/>
    <w:rsid w:val="00796345"/>
    <w:rsid w:val="00796D17"/>
    <w:rsid w:val="0079779D"/>
    <w:rsid w:val="007A27A8"/>
    <w:rsid w:val="007B001A"/>
    <w:rsid w:val="007B0666"/>
    <w:rsid w:val="007B0DCD"/>
    <w:rsid w:val="007B43B7"/>
    <w:rsid w:val="007B747A"/>
    <w:rsid w:val="007B7E31"/>
    <w:rsid w:val="007C12C6"/>
    <w:rsid w:val="007C2504"/>
    <w:rsid w:val="007C3F28"/>
    <w:rsid w:val="007C3F7E"/>
    <w:rsid w:val="007C4345"/>
    <w:rsid w:val="007C5223"/>
    <w:rsid w:val="007C56C4"/>
    <w:rsid w:val="007C6DF5"/>
    <w:rsid w:val="007C770F"/>
    <w:rsid w:val="007D17D3"/>
    <w:rsid w:val="007D24FE"/>
    <w:rsid w:val="007D61A5"/>
    <w:rsid w:val="007D6AF8"/>
    <w:rsid w:val="007D6E5C"/>
    <w:rsid w:val="007D7BAA"/>
    <w:rsid w:val="007E05A7"/>
    <w:rsid w:val="007E1E4E"/>
    <w:rsid w:val="007E2574"/>
    <w:rsid w:val="007E3127"/>
    <w:rsid w:val="007E44D2"/>
    <w:rsid w:val="007E464B"/>
    <w:rsid w:val="007E488E"/>
    <w:rsid w:val="007E5119"/>
    <w:rsid w:val="007E5AE6"/>
    <w:rsid w:val="007E5D9C"/>
    <w:rsid w:val="007E5F49"/>
    <w:rsid w:val="007F158F"/>
    <w:rsid w:val="007F1E56"/>
    <w:rsid w:val="007F21A6"/>
    <w:rsid w:val="007F3F8A"/>
    <w:rsid w:val="007F5530"/>
    <w:rsid w:val="007F5DB3"/>
    <w:rsid w:val="007F7622"/>
    <w:rsid w:val="008008CC"/>
    <w:rsid w:val="00801812"/>
    <w:rsid w:val="00802182"/>
    <w:rsid w:val="00802D85"/>
    <w:rsid w:val="00804A9C"/>
    <w:rsid w:val="00806A7F"/>
    <w:rsid w:val="00807118"/>
    <w:rsid w:val="00811942"/>
    <w:rsid w:val="008130C7"/>
    <w:rsid w:val="00813540"/>
    <w:rsid w:val="008143C1"/>
    <w:rsid w:val="00814608"/>
    <w:rsid w:val="00816278"/>
    <w:rsid w:val="00820A65"/>
    <w:rsid w:val="00823193"/>
    <w:rsid w:val="008248A9"/>
    <w:rsid w:val="00827DAA"/>
    <w:rsid w:val="00832505"/>
    <w:rsid w:val="00832699"/>
    <w:rsid w:val="00834A78"/>
    <w:rsid w:val="00836057"/>
    <w:rsid w:val="0083718F"/>
    <w:rsid w:val="00837B31"/>
    <w:rsid w:val="008400D1"/>
    <w:rsid w:val="008409F6"/>
    <w:rsid w:val="0084100F"/>
    <w:rsid w:val="008422B1"/>
    <w:rsid w:val="00843B78"/>
    <w:rsid w:val="00845FA8"/>
    <w:rsid w:val="00846267"/>
    <w:rsid w:val="0085011E"/>
    <w:rsid w:val="008503C7"/>
    <w:rsid w:val="008522EF"/>
    <w:rsid w:val="008530EB"/>
    <w:rsid w:val="0085313C"/>
    <w:rsid w:val="00854840"/>
    <w:rsid w:val="00856D6B"/>
    <w:rsid w:val="00857D68"/>
    <w:rsid w:val="00860446"/>
    <w:rsid w:val="00861A56"/>
    <w:rsid w:val="008650A5"/>
    <w:rsid w:val="008657FD"/>
    <w:rsid w:val="00870B09"/>
    <w:rsid w:val="008719FE"/>
    <w:rsid w:val="008726FA"/>
    <w:rsid w:val="008762D0"/>
    <w:rsid w:val="008764FB"/>
    <w:rsid w:val="00877EBF"/>
    <w:rsid w:val="008837A3"/>
    <w:rsid w:val="008850E4"/>
    <w:rsid w:val="008869A6"/>
    <w:rsid w:val="00887591"/>
    <w:rsid w:val="00890FD2"/>
    <w:rsid w:val="008912DB"/>
    <w:rsid w:val="0089155F"/>
    <w:rsid w:val="00892147"/>
    <w:rsid w:val="0089252B"/>
    <w:rsid w:val="0089443C"/>
    <w:rsid w:val="00894C7C"/>
    <w:rsid w:val="00894E6F"/>
    <w:rsid w:val="00894FB6"/>
    <w:rsid w:val="008967BB"/>
    <w:rsid w:val="008A0BBE"/>
    <w:rsid w:val="008A2BAA"/>
    <w:rsid w:val="008A31C5"/>
    <w:rsid w:val="008A41B0"/>
    <w:rsid w:val="008A4A4B"/>
    <w:rsid w:val="008B1EA6"/>
    <w:rsid w:val="008B2341"/>
    <w:rsid w:val="008B4313"/>
    <w:rsid w:val="008B442D"/>
    <w:rsid w:val="008B556A"/>
    <w:rsid w:val="008B586B"/>
    <w:rsid w:val="008B6544"/>
    <w:rsid w:val="008B706B"/>
    <w:rsid w:val="008B7277"/>
    <w:rsid w:val="008C0891"/>
    <w:rsid w:val="008C1B74"/>
    <w:rsid w:val="008C2F5D"/>
    <w:rsid w:val="008C324A"/>
    <w:rsid w:val="008C3473"/>
    <w:rsid w:val="008C3969"/>
    <w:rsid w:val="008C4B15"/>
    <w:rsid w:val="008C4C2B"/>
    <w:rsid w:val="008C5C8F"/>
    <w:rsid w:val="008C633B"/>
    <w:rsid w:val="008D129D"/>
    <w:rsid w:val="008D2A02"/>
    <w:rsid w:val="008D3C5E"/>
    <w:rsid w:val="008D47B6"/>
    <w:rsid w:val="008D61AF"/>
    <w:rsid w:val="008D68BD"/>
    <w:rsid w:val="008D79FA"/>
    <w:rsid w:val="008E12C8"/>
    <w:rsid w:val="008E262A"/>
    <w:rsid w:val="008E4377"/>
    <w:rsid w:val="008E5371"/>
    <w:rsid w:val="008E6FDE"/>
    <w:rsid w:val="008F1151"/>
    <w:rsid w:val="008F2B41"/>
    <w:rsid w:val="008F43E3"/>
    <w:rsid w:val="008F49E8"/>
    <w:rsid w:val="008F6255"/>
    <w:rsid w:val="00900902"/>
    <w:rsid w:val="009013A3"/>
    <w:rsid w:val="0090214C"/>
    <w:rsid w:val="009023B5"/>
    <w:rsid w:val="009062D4"/>
    <w:rsid w:val="00906631"/>
    <w:rsid w:val="00907723"/>
    <w:rsid w:val="00912168"/>
    <w:rsid w:val="00912E6C"/>
    <w:rsid w:val="00913B92"/>
    <w:rsid w:val="00916424"/>
    <w:rsid w:val="00917390"/>
    <w:rsid w:val="009202D2"/>
    <w:rsid w:val="0093081F"/>
    <w:rsid w:val="009320DC"/>
    <w:rsid w:val="00934F20"/>
    <w:rsid w:val="00935470"/>
    <w:rsid w:val="009376E4"/>
    <w:rsid w:val="009429BC"/>
    <w:rsid w:val="00944BE0"/>
    <w:rsid w:val="00945949"/>
    <w:rsid w:val="009461F6"/>
    <w:rsid w:val="009508E4"/>
    <w:rsid w:val="00950C52"/>
    <w:rsid w:val="0095113E"/>
    <w:rsid w:val="00953A13"/>
    <w:rsid w:val="00953D3A"/>
    <w:rsid w:val="00955D21"/>
    <w:rsid w:val="0095733A"/>
    <w:rsid w:val="009573E2"/>
    <w:rsid w:val="00961D0C"/>
    <w:rsid w:val="00962496"/>
    <w:rsid w:val="00962F4E"/>
    <w:rsid w:val="00964BBA"/>
    <w:rsid w:val="009673E9"/>
    <w:rsid w:val="009676C6"/>
    <w:rsid w:val="00976465"/>
    <w:rsid w:val="00977674"/>
    <w:rsid w:val="00981F64"/>
    <w:rsid w:val="009863C4"/>
    <w:rsid w:val="009872AA"/>
    <w:rsid w:val="00992305"/>
    <w:rsid w:val="00993336"/>
    <w:rsid w:val="00994D3E"/>
    <w:rsid w:val="009962CB"/>
    <w:rsid w:val="009966DA"/>
    <w:rsid w:val="009A03B3"/>
    <w:rsid w:val="009A0AAD"/>
    <w:rsid w:val="009A1020"/>
    <w:rsid w:val="009A2A6D"/>
    <w:rsid w:val="009A30EC"/>
    <w:rsid w:val="009A4815"/>
    <w:rsid w:val="009A67A2"/>
    <w:rsid w:val="009A6BE1"/>
    <w:rsid w:val="009A722B"/>
    <w:rsid w:val="009A772D"/>
    <w:rsid w:val="009A7B8A"/>
    <w:rsid w:val="009B11AF"/>
    <w:rsid w:val="009B3B4C"/>
    <w:rsid w:val="009B47DE"/>
    <w:rsid w:val="009B6EC3"/>
    <w:rsid w:val="009B76A9"/>
    <w:rsid w:val="009C0DC4"/>
    <w:rsid w:val="009C2183"/>
    <w:rsid w:val="009C4AE4"/>
    <w:rsid w:val="009D1B47"/>
    <w:rsid w:val="009D1F15"/>
    <w:rsid w:val="009D50E6"/>
    <w:rsid w:val="009D5C05"/>
    <w:rsid w:val="009D6696"/>
    <w:rsid w:val="009D6E1D"/>
    <w:rsid w:val="009D7198"/>
    <w:rsid w:val="009D77A6"/>
    <w:rsid w:val="009E0975"/>
    <w:rsid w:val="009E2704"/>
    <w:rsid w:val="009E30E0"/>
    <w:rsid w:val="009E3344"/>
    <w:rsid w:val="009E4ACB"/>
    <w:rsid w:val="009E5050"/>
    <w:rsid w:val="009E5362"/>
    <w:rsid w:val="009E6261"/>
    <w:rsid w:val="009E6288"/>
    <w:rsid w:val="009E7346"/>
    <w:rsid w:val="009F06BA"/>
    <w:rsid w:val="009F375B"/>
    <w:rsid w:val="009F3B73"/>
    <w:rsid w:val="009F6D03"/>
    <w:rsid w:val="009F7C21"/>
    <w:rsid w:val="00A00AD3"/>
    <w:rsid w:val="00A01229"/>
    <w:rsid w:val="00A023E2"/>
    <w:rsid w:val="00A02DCA"/>
    <w:rsid w:val="00A03961"/>
    <w:rsid w:val="00A0474A"/>
    <w:rsid w:val="00A04879"/>
    <w:rsid w:val="00A04A36"/>
    <w:rsid w:val="00A0526A"/>
    <w:rsid w:val="00A067E7"/>
    <w:rsid w:val="00A07B3B"/>
    <w:rsid w:val="00A141F1"/>
    <w:rsid w:val="00A14E54"/>
    <w:rsid w:val="00A2083F"/>
    <w:rsid w:val="00A211DA"/>
    <w:rsid w:val="00A218F7"/>
    <w:rsid w:val="00A21ACC"/>
    <w:rsid w:val="00A306B7"/>
    <w:rsid w:val="00A318C7"/>
    <w:rsid w:val="00A33EE1"/>
    <w:rsid w:val="00A34D01"/>
    <w:rsid w:val="00A40C0F"/>
    <w:rsid w:val="00A41197"/>
    <w:rsid w:val="00A414E1"/>
    <w:rsid w:val="00A42FA4"/>
    <w:rsid w:val="00A44CBF"/>
    <w:rsid w:val="00A47D43"/>
    <w:rsid w:val="00A50BFA"/>
    <w:rsid w:val="00A54348"/>
    <w:rsid w:val="00A56A93"/>
    <w:rsid w:val="00A5731C"/>
    <w:rsid w:val="00A57816"/>
    <w:rsid w:val="00A578F9"/>
    <w:rsid w:val="00A57EC0"/>
    <w:rsid w:val="00A61D26"/>
    <w:rsid w:val="00A62199"/>
    <w:rsid w:val="00A63720"/>
    <w:rsid w:val="00A638D7"/>
    <w:rsid w:val="00A66B30"/>
    <w:rsid w:val="00A70274"/>
    <w:rsid w:val="00A73ECD"/>
    <w:rsid w:val="00A75EC0"/>
    <w:rsid w:val="00A76400"/>
    <w:rsid w:val="00A81481"/>
    <w:rsid w:val="00A832D3"/>
    <w:rsid w:val="00A83F15"/>
    <w:rsid w:val="00A84175"/>
    <w:rsid w:val="00A86B61"/>
    <w:rsid w:val="00A90906"/>
    <w:rsid w:val="00A91F6A"/>
    <w:rsid w:val="00A97696"/>
    <w:rsid w:val="00AA3865"/>
    <w:rsid w:val="00AA3AF5"/>
    <w:rsid w:val="00AA3BAB"/>
    <w:rsid w:val="00AA5723"/>
    <w:rsid w:val="00AA572B"/>
    <w:rsid w:val="00AA5B13"/>
    <w:rsid w:val="00AA6166"/>
    <w:rsid w:val="00AB2EE4"/>
    <w:rsid w:val="00AB3548"/>
    <w:rsid w:val="00AB3F14"/>
    <w:rsid w:val="00AB4BC7"/>
    <w:rsid w:val="00AB61C0"/>
    <w:rsid w:val="00AB7524"/>
    <w:rsid w:val="00AB7B49"/>
    <w:rsid w:val="00AB7DAB"/>
    <w:rsid w:val="00AC11EC"/>
    <w:rsid w:val="00AC3F65"/>
    <w:rsid w:val="00AD2247"/>
    <w:rsid w:val="00AD2DEA"/>
    <w:rsid w:val="00AD326D"/>
    <w:rsid w:val="00AD397F"/>
    <w:rsid w:val="00AD3B06"/>
    <w:rsid w:val="00AD3B99"/>
    <w:rsid w:val="00AD4891"/>
    <w:rsid w:val="00AD4B7F"/>
    <w:rsid w:val="00AD59D0"/>
    <w:rsid w:val="00AD6B3F"/>
    <w:rsid w:val="00AE169E"/>
    <w:rsid w:val="00AE1908"/>
    <w:rsid w:val="00AE2BFB"/>
    <w:rsid w:val="00AE3D23"/>
    <w:rsid w:val="00AE6F4A"/>
    <w:rsid w:val="00AF03FA"/>
    <w:rsid w:val="00AF2116"/>
    <w:rsid w:val="00AF28DA"/>
    <w:rsid w:val="00AF3D6F"/>
    <w:rsid w:val="00AF6867"/>
    <w:rsid w:val="00AF7304"/>
    <w:rsid w:val="00B02134"/>
    <w:rsid w:val="00B0284E"/>
    <w:rsid w:val="00B0624B"/>
    <w:rsid w:val="00B11939"/>
    <w:rsid w:val="00B14E88"/>
    <w:rsid w:val="00B166AF"/>
    <w:rsid w:val="00B21F15"/>
    <w:rsid w:val="00B22E73"/>
    <w:rsid w:val="00B23F30"/>
    <w:rsid w:val="00B25E01"/>
    <w:rsid w:val="00B26AA5"/>
    <w:rsid w:val="00B26D7D"/>
    <w:rsid w:val="00B27062"/>
    <w:rsid w:val="00B277CA"/>
    <w:rsid w:val="00B27A5B"/>
    <w:rsid w:val="00B27DA2"/>
    <w:rsid w:val="00B31B7D"/>
    <w:rsid w:val="00B407B3"/>
    <w:rsid w:val="00B41EAA"/>
    <w:rsid w:val="00B424E9"/>
    <w:rsid w:val="00B42550"/>
    <w:rsid w:val="00B42E64"/>
    <w:rsid w:val="00B43724"/>
    <w:rsid w:val="00B43E9F"/>
    <w:rsid w:val="00B44659"/>
    <w:rsid w:val="00B461A1"/>
    <w:rsid w:val="00B473A4"/>
    <w:rsid w:val="00B4791B"/>
    <w:rsid w:val="00B51E0F"/>
    <w:rsid w:val="00B51F11"/>
    <w:rsid w:val="00B61006"/>
    <w:rsid w:val="00B62339"/>
    <w:rsid w:val="00B63668"/>
    <w:rsid w:val="00B6385D"/>
    <w:rsid w:val="00B6465F"/>
    <w:rsid w:val="00B67674"/>
    <w:rsid w:val="00B67B6B"/>
    <w:rsid w:val="00B67D6A"/>
    <w:rsid w:val="00B70711"/>
    <w:rsid w:val="00B720C4"/>
    <w:rsid w:val="00B726B1"/>
    <w:rsid w:val="00B72E1B"/>
    <w:rsid w:val="00B72ECA"/>
    <w:rsid w:val="00B73325"/>
    <w:rsid w:val="00B74B66"/>
    <w:rsid w:val="00B75A08"/>
    <w:rsid w:val="00B77846"/>
    <w:rsid w:val="00B77E5A"/>
    <w:rsid w:val="00B8075C"/>
    <w:rsid w:val="00B8394B"/>
    <w:rsid w:val="00B84909"/>
    <w:rsid w:val="00B8647F"/>
    <w:rsid w:val="00B87D03"/>
    <w:rsid w:val="00B90608"/>
    <w:rsid w:val="00B910F4"/>
    <w:rsid w:val="00B91854"/>
    <w:rsid w:val="00B922B9"/>
    <w:rsid w:val="00B93E08"/>
    <w:rsid w:val="00B9439D"/>
    <w:rsid w:val="00B947CB"/>
    <w:rsid w:val="00B94F70"/>
    <w:rsid w:val="00B95364"/>
    <w:rsid w:val="00B95E74"/>
    <w:rsid w:val="00B97829"/>
    <w:rsid w:val="00B979BE"/>
    <w:rsid w:val="00BA2455"/>
    <w:rsid w:val="00BA2FC3"/>
    <w:rsid w:val="00BA4A74"/>
    <w:rsid w:val="00BA74CB"/>
    <w:rsid w:val="00BA7954"/>
    <w:rsid w:val="00BB0081"/>
    <w:rsid w:val="00BB08FE"/>
    <w:rsid w:val="00BB0A4D"/>
    <w:rsid w:val="00BB11FF"/>
    <w:rsid w:val="00BB295A"/>
    <w:rsid w:val="00BB3970"/>
    <w:rsid w:val="00BB3DE8"/>
    <w:rsid w:val="00BB57C3"/>
    <w:rsid w:val="00BB74E3"/>
    <w:rsid w:val="00BC1809"/>
    <w:rsid w:val="00BC43AD"/>
    <w:rsid w:val="00BC7629"/>
    <w:rsid w:val="00BD1103"/>
    <w:rsid w:val="00BD2126"/>
    <w:rsid w:val="00BD527A"/>
    <w:rsid w:val="00BD6274"/>
    <w:rsid w:val="00BD6CED"/>
    <w:rsid w:val="00BE0677"/>
    <w:rsid w:val="00BE279C"/>
    <w:rsid w:val="00BE2FDD"/>
    <w:rsid w:val="00BE544C"/>
    <w:rsid w:val="00BE65A9"/>
    <w:rsid w:val="00BE6AAC"/>
    <w:rsid w:val="00BE6DF8"/>
    <w:rsid w:val="00BF0138"/>
    <w:rsid w:val="00C00A54"/>
    <w:rsid w:val="00C0174E"/>
    <w:rsid w:val="00C02223"/>
    <w:rsid w:val="00C023DA"/>
    <w:rsid w:val="00C02D96"/>
    <w:rsid w:val="00C03A50"/>
    <w:rsid w:val="00C04EBB"/>
    <w:rsid w:val="00C052F1"/>
    <w:rsid w:val="00C07DC3"/>
    <w:rsid w:val="00C07FC4"/>
    <w:rsid w:val="00C10D7F"/>
    <w:rsid w:val="00C117E0"/>
    <w:rsid w:val="00C127AD"/>
    <w:rsid w:val="00C12C74"/>
    <w:rsid w:val="00C13E9C"/>
    <w:rsid w:val="00C13FDE"/>
    <w:rsid w:val="00C15121"/>
    <w:rsid w:val="00C16653"/>
    <w:rsid w:val="00C16B8B"/>
    <w:rsid w:val="00C17F1C"/>
    <w:rsid w:val="00C20D76"/>
    <w:rsid w:val="00C21C92"/>
    <w:rsid w:val="00C2315A"/>
    <w:rsid w:val="00C23530"/>
    <w:rsid w:val="00C23A81"/>
    <w:rsid w:val="00C26266"/>
    <w:rsid w:val="00C26B15"/>
    <w:rsid w:val="00C274F5"/>
    <w:rsid w:val="00C31FA3"/>
    <w:rsid w:val="00C32ED7"/>
    <w:rsid w:val="00C33C03"/>
    <w:rsid w:val="00C367F6"/>
    <w:rsid w:val="00C4165D"/>
    <w:rsid w:val="00C41A40"/>
    <w:rsid w:val="00C41DEF"/>
    <w:rsid w:val="00C4395A"/>
    <w:rsid w:val="00C4554E"/>
    <w:rsid w:val="00C4557B"/>
    <w:rsid w:val="00C47BD4"/>
    <w:rsid w:val="00C50BFD"/>
    <w:rsid w:val="00C50C83"/>
    <w:rsid w:val="00C52DDA"/>
    <w:rsid w:val="00C52EE1"/>
    <w:rsid w:val="00C53B80"/>
    <w:rsid w:val="00C55078"/>
    <w:rsid w:val="00C55DC3"/>
    <w:rsid w:val="00C61250"/>
    <w:rsid w:val="00C61405"/>
    <w:rsid w:val="00C63645"/>
    <w:rsid w:val="00C66CAC"/>
    <w:rsid w:val="00C678C2"/>
    <w:rsid w:val="00C70549"/>
    <w:rsid w:val="00C71E97"/>
    <w:rsid w:val="00C71ECF"/>
    <w:rsid w:val="00C71F5E"/>
    <w:rsid w:val="00C738C2"/>
    <w:rsid w:val="00C768AF"/>
    <w:rsid w:val="00C774F5"/>
    <w:rsid w:val="00C7785C"/>
    <w:rsid w:val="00C801FF"/>
    <w:rsid w:val="00C87004"/>
    <w:rsid w:val="00C9121B"/>
    <w:rsid w:val="00C92893"/>
    <w:rsid w:val="00C92A68"/>
    <w:rsid w:val="00C9310C"/>
    <w:rsid w:val="00C939B7"/>
    <w:rsid w:val="00C9528C"/>
    <w:rsid w:val="00CA0E18"/>
    <w:rsid w:val="00CA2933"/>
    <w:rsid w:val="00CA398B"/>
    <w:rsid w:val="00CA50D6"/>
    <w:rsid w:val="00CA6775"/>
    <w:rsid w:val="00CA6965"/>
    <w:rsid w:val="00CA77BA"/>
    <w:rsid w:val="00CB1E06"/>
    <w:rsid w:val="00CB258F"/>
    <w:rsid w:val="00CB3F5A"/>
    <w:rsid w:val="00CB5555"/>
    <w:rsid w:val="00CB69E4"/>
    <w:rsid w:val="00CB731E"/>
    <w:rsid w:val="00CC269B"/>
    <w:rsid w:val="00CC44E6"/>
    <w:rsid w:val="00CC61C8"/>
    <w:rsid w:val="00CC6386"/>
    <w:rsid w:val="00CC735D"/>
    <w:rsid w:val="00CD27E4"/>
    <w:rsid w:val="00CD2A47"/>
    <w:rsid w:val="00CD45B0"/>
    <w:rsid w:val="00CD6E8E"/>
    <w:rsid w:val="00CE0F16"/>
    <w:rsid w:val="00CE152A"/>
    <w:rsid w:val="00CE22E1"/>
    <w:rsid w:val="00CE2BB8"/>
    <w:rsid w:val="00CE3077"/>
    <w:rsid w:val="00CE3CBB"/>
    <w:rsid w:val="00CE4C97"/>
    <w:rsid w:val="00CE56BD"/>
    <w:rsid w:val="00CE58A7"/>
    <w:rsid w:val="00CE58DF"/>
    <w:rsid w:val="00CE743B"/>
    <w:rsid w:val="00CF067D"/>
    <w:rsid w:val="00CF22EF"/>
    <w:rsid w:val="00CF24C5"/>
    <w:rsid w:val="00CF2711"/>
    <w:rsid w:val="00CF2E97"/>
    <w:rsid w:val="00CF735A"/>
    <w:rsid w:val="00CF7E56"/>
    <w:rsid w:val="00D004F8"/>
    <w:rsid w:val="00D00824"/>
    <w:rsid w:val="00D01AA4"/>
    <w:rsid w:val="00D01D07"/>
    <w:rsid w:val="00D029B7"/>
    <w:rsid w:val="00D056CC"/>
    <w:rsid w:val="00D067AB"/>
    <w:rsid w:val="00D13586"/>
    <w:rsid w:val="00D14AC4"/>
    <w:rsid w:val="00D14B67"/>
    <w:rsid w:val="00D15F23"/>
    <w:rsid w:val="00D202DB"/>
    <w:rsid w:val="00D219E5"/>
    <w:rsid w:val="00D21B3B"/>
    <w:rsid w:val="00D221DF"/>
    <w:rsid w:val="00D2341B"/>
    <w:rsid w:val="00D238D6"/>
    <w:rsid w:val="00D25071"/>
    <w:rsid w:val="00D255B3"/>
    <w:rsid w:val="00D26A52"/>
    <w:rsid w:val="00D27EF7"/>
    <w:rsid w:val="00D30B0F"/>
    <w:rsid w:val="00D30C17"/>
    <w:rsid w:val="00D3477B"/>
    <w:rsid w:val="00D361BB"/>
    <w:rsid w:val="00D378C4"/>
    <w:rsid w:val="00D37FEA"/>
    <w:rsid w:val="00D40492"/>
    <w:rsid w:val="00D41678"/>
    <w:rsid w:val="00D435A2"/>
    <w:rsid w:val="00D44408"/>
    <w:rsid w:val="00D47B28"/>
    <w:rsid w:val="00D5195A"/>
    <w:rsid w:val="00D52902"/>
    <w:rsid w:val="00D52A4B"/>
    <w:rsid w:val="00D52F04"/>
    <w:rsid w:val="00D53B6D"/>
    <w:rsid w:val="00D53E7C"/>
    <w:rsid w:val="00D568E2"/>
    <w:rsid w:val="00D56A12"/>
    <w:rsid w:val="00D56D81"/>
    <w:rsid w:val="00D57181"/>
    <w:rsid w:val="00D576D4"/>
    <w:rsid w:val="00D6013E"/>
    <w:rsid w:val="00D624C9"/>
    <w:rsid w:val="00D62521"/>
    <w:rsid w:val="00D6299F"/>
    <w:rsid w:val="00D63AE5"/>
    <w:rsid w:val="00D6534C"/>
    <w:rsid w:val="00D65910"/>
    <w:rsid w:val="00D708BD"/>
    <w:rsid w:val="00D7163C"/>
    <w:rsid w:val="00D72AE5"/>
    <w:rsid w:val="00D732AA"/>
    <w:rsid w:val="00D73961"/>
    <w:rsid w:val="00D740FD"/>
    <w:rsid w:val="00D758D4"/>
    <w:rsid w:val="00D82580"/>
    <w:rsid w:val="00D8260B"/>
    <w:rsid w:val="00D82B02"/>
    <w:rsid w:val="00D82D3D"/>
    <w:rsid w:val="00D83023"/>
    <w:rsid w:val="00D83B92"/>
    <w:rsid w:val="00D8497D"/>
    <w:rsid w:val="00D85561"/>
    <w:rsid w:val="00D87110"/>
    <w:rsid w:val="00D8753C"/>
    <w:rsid w:val="00D90248"/>
    <w:rsid w:val="00D920DE"/>
    <w:rsid w:val="00D92C38"/>
    <w:rsid w:val="00D92D95"/>
    <w:rsid w:val="00D93061"/>
    <w:rsid w:val="00D93B3F"/>
    <w:rsid w:val="00D952CF"/>
    <w:rsid w:val="00D96924"/>
    <w:rsid w:val="00DA5E81"/>
    <w:rsid w:val="00DA6410"/>
    <w:rsid w:val="00DB1D9D"/>
    <w:rsid w:val="00DB2258"/>
    <w:rsid w:val="00DB2400"/>
    <w:rsid w:val="00DB4073"/>
    <w:rsid w:val="00DB4133"/>
    <w:rsid w:val="00DB57BD"/>
    <w:rsid w:val="00DB66DA"/>
    <w:rsid w:val="00DB728C"/>
    <w:rsid w:val="00DC295B"/>
    <w:rsid w:val="00DC37C4"/>
    <w:rsid w:val="00DC6973"/>
    <w:rsid w:val="00DD0F4D"/>
    <w:rsid w:val="00DD10A3"/>
    <w:rsid w:val="00DD5040"/>
    <w:rsid w:val="00DD5119"/>
    <w:rsid w:val="00DD631D"/>
    <w:rsid w:val="00DD7804"/>
    <w:rsid w:val="00DE1D5F"/>
    <w:rsid w:val="00DE5009"/>
    <w:rsid w:val="00DE6F41"/>
    <w:rsid w:val="00DF05ED"/>
    <w:rsid w:val="00DF41EE"/>
    <w:rsid w:val="00DF4FAD"/>
    <w:rsid w:val="00DF56C0"/>
    <w:rsid w:val="00DF741A"/>
    <w:rsid w:val="00E03058"/>
    <w:rsid w:val="00E05FA2"/>
    <w:rsid w:val="00E068B2"/>
    <w:rsid w:val="00E06F5D"/>
    <w:rsid w:val="00E12B59"/>
    <w:rsid w:val="00E13010"/>
    <w:rsid w:val="00E13BAB"/>
    <w:rsid w:val="00E16780"/>
    <w:rsid w:val="00E21568"/>
    <w:rsid w:val="00E23772"/>
    <w:rsid w:val="00E2472B"/>
    <w:rsid w:val="00E24859"/>
    <w:rsid w:val="00E24E08"/>
    <w:rsid w:val="00E250F9"/>
    <w:rsid w:val="00E25977"/>
    <w:rsid w:val="00E30ABF"/>
    <w:rsid w:val="00E313D6"/>
    <w:rsid w:val="00E32080"/>
    <w:rsid w:val="00E32C7B"/>
    <w:rsid w:val="00E338DC"/>
    <w:rsid w:val="00E35501"/>
    <w:rsid w:val="00E36E13"/>
    <w:rsid w:val="00E404D1"/>
    <w:rsid w:val="00E414F9"/>
    <w:rsid w:val="00E432F2"/>
    <w:rsid w:val="00E4523A"/>
    <w:rsid w:val="00E503C1"/>
    <w:rsid w:val="00E50826"/>
    <w:rsid w:val="00E556AA"/>
    <w:rsid w:val="00E561D9"/>
    <w:rsid w:val="00E57365"/>
    <w:rsid w:val="00E603D9"/>
    <w:rsid w:val="00E60725"/>
    <w:rsid w:val="00E61696"/>
    <w:rsid w:val="00E645B9"/>
    <w:rsid w:val="00E64906"/>
    <w:rsid w:val="00E66D6E"/>
    <w:rsid w:val="00E67394"/>
    <w:rsid w:val="00E70766"/>
    <w:rsid w:val="00E71B03"/>
    <w:rsid w:val="00E816D6"/>
    <w:rsid w:val="00E84B15"/>
    <w:rsid w:val="00E85841"/>
    <w:rsid w:val="00E86A3A"/>
    <w:rsid w:val="00E926EE"/>
    <w:rsid w:val="00E93DE7"/>
    <w:rsid w:val="00E9617A"/>
    <w:rsid w:val="00E96DB4"/>
    <w:rsid w:val="00EA0448"/>
    <w:rsid w:val="00EA1722"/>
    <w:rsid w:val="00EA393B"/>
    <w:rsid w:val="00EA59C4"/>
    <w:rsid w:val="00EB4973"/>
    <w:rsid w:val="00EC29A1"/>
    <w:rsid w:val="00EC2E0A"/>
    <w:rsid w:val="00EC6E91"/>
    <w:rsid w:val="00EC7B37"/>
    <w:rsid w:val="00EC7DBD"/>
    <w:rsid w:val="00ED0F13"/>
    <w:rsid w:val="00ED190B"/>
    <w:rsid w:val="00ED2165"/>
    <w:rsid w:val="00ED22C2"/>
    <w:rsid w:val="00ED3E0E"/>
    <w:rsid w:val="00ED55C1"/>
    <w:rsid w:val="00ED6347"/>
    <w:rsid w:val="00ED6BD2"/>
    <w:rsid w:val="00ED7CEC"/>
    <w:rsid w:val="00EE3B4E"/>
    <w:rsid w:val="00EE50A7"/>
    <w:rsid w:val="00EE6711"/>
    <w:rsid w:val="00EE6B17"/>
    <w:rsid w:val="00EE6BFE"/>
    <w:rsid w:val="00EE6DE1"/>
    <w:rsid w:val="00EE77FB"/>
    <w:rsid w:val="00EE7DFD"/>
    <w:rsid w:val="00EF2532"/>
    <w:rsid w:val="00EF3A85"/>
    <w:rsid w:val="00EF4291"/>
    <w:rsid w:val="00EF471A"/>
    <w:rsid w:val="00EF4FCC"/>
    <w:rsid w:val="00EF5A2D"/>
    <w:rsid w:val="00EF6A0C"/>
    <w:rsid w:val="00EF74E2"/>
    <w:rsid w:val="00EF78E3"/>
    <w:rsid w:val="00F042A9"/>
    <w:rsid w:val="00F06327"/>
    <w:rsid w:val="00F065A0"/>
    <w:rsid w:val="00F06E9E"/>
    <w:rsid w:val="00F079D4"/>
    <w:rsid w:val="00F10148"/>
    <w:rsid w:val="00F130EE"/>
    <w:rsid w:val="00F13A80"/>
    <w:rsid w:val="00F147E8"/>
    <w:rsid w:val="00F152BB"/>
    <w:rsid w:val="00F15337"/>
    <w:rsid w:val="00F16321"/>
    <w:rsid w:val="00F16D6D"/>
    <w:rsid w:val="00F175FA"/>
    <w:rsid w:val="00F21311"/>
    <w:rsid w:val="00F22820"/>
    <w:rsid w:val="00F22D5F"/>
    <w:rsid w:val="00F2351D"/>
    <w:rsid w:val="00F25513"/>
    <w:rsid w:val="00F30BCF"/>
    <w:rsid w:val="00F30F64"/>
    <w:rsid w:val="00F34290"/>
    <w:rsid w:val="00F34800"/>
    <w:rsid w:val="00F3796F"/>
    <w:rsid w:val="00F37D6F"/>
    <w:rsid w:val="00F434CE"/>
    <w:rsid w:val="00F43900"/>
    <w:rsid w:val="00F440F7"/>
    <w:rsid w:val="00F45D84"/>
    <w:rsid w:val="00F45FED"/>
    <w:rsid w:val="00F47EF1"/>
    <w:rsid w:val="00F577DE"/>
    <w:rsid w:val="00F6065C"/>
    <w:rsid w:val="00F621D4"/>
    <w:rsid w:val="00F6245D"/>
    <w:rsid w:val="00F62EFE"/>
    <w:rsid w:val="00F63526"/>
    <w:rsid w:val="00F65D5E"/>
    <w:rsid w:val="00F65EE9"/>
    <w:rsid w:val="00F66494"/>
    <w:rsid w:val="00F71784"/>
    <w:rsid w:val="00F72A9D"/>
    <w:rsid w:val="00F7507A"/>
    <w:rsid w:val="00F75608"/>
    <w:rsid w:val="00F76E23"/>
    <w:rsid w:val="00F77C60"/>
    <w:rsid w:val="00F80E99"/>
    <w:rsid w:val="00F81EE3"/>
    <w:rsid w:val="00F8526E"/>
    <w:rsid w:val="00F90A75"/>
    <w:rsid w:val="00F94D20"/>
    <w:rsid w:val="00F94E43"/>
    <w:rsid w:val="00F95C57"/>
    <w:rsid w:val="00F96F4D"/>
    <w:rsid w:val="00F97953"/>
    <w:rsid w:val="00FA1195"/>
    <w:rsid w:val="00FA4406"/>
    <w:rsid w:val="00FA46CE"/>
    <w:rsid w:val="00FA62CB"/>
    <w:rsid w:val="00FA6C8B"/>
    <w:rsid w:val="00FB04AE"/>
    <w:rsid w:val="00FB110B"/>
    <w:rsid w:val="00FB343F"/>
    <w:rsid w:val="00FB4601"/>
    <w:rsid w:val="00FB480A"/>
    <w:rsid w:val="00FB732F"/>
    <w:rsid w:val="00FB7AFA"/>
    <w:rsid w:val="00FC19EE"/>
    <w:rsid w:val="00FC27F9"/>
    <w:rsid w:val="00FC3FDD"/>
    <w:rsid w:val="00FC4488"/>
    <w:rsid w:val="00FC5A21"/>
    <w:rsid w:val="00FC7490"/>
    <w:rsid w:val="00FD2C65"/>
    <w:rsid w:val="00FD5C66"/>
    <w:rsid w:val="00FD76AA"/>
    <w:rsid w:val="00FE0025"/>
    <w:rsid w:val="00FE20E9"/>
    <w:rsid w:val="00FE31F7"/>
    <w:rsid w:val="00FE32FD"/>
    <w:rsid w:val="00FE51DF"/>
    <w:rsid w:val="00FE6CB7"/>
    <w:rsid w:val="00FF02A0"/>
    <w:rsid w:val="00FF141A"/>
    <w:rsid w:val="00FF332A"/>
    <w:rsid w:val="00FF5813"/>
    <w:rsid w:val="01E87A00"/>
    <w:rsid w:val="01F14874"/>
    <w:rsid w:val="034A296E"/>
    <w:rsid w:val="04F040EB"/>
    <w:rsid w:val="060E43DC"/>
    <w:rsid w:val="061E617C"/>
    <w:rsid w:val="06215126"/>
    <w:rsid w:val="078609C8"/>
    <w:rsid w:val="07C20E9C"/>
    <w:rsid w:val="088F0A8F"/>
    <w:rsid w:val="0925147A"/>
    <w:rsid w:val="0C390C3F"/>
    <w:rsid w:val="0E927676"/>
    <w:rsid w:val="0EF62B37"/>
    <w:rsid w:val="12E579BC"/>
    <w:rsid w:val="13766ADA"/>
    <w:rsid w:val="149500AA"/>
    <w:rsid w:val="16315200"/>
    <w:rsid w:val="185A5A0F"/>
    <w:rsid w:val="187A1967"/>
    <w:rsid w:val="18F47536"/>
    <w:rsid w:val="1D7B6942"/>
    <w:rsid w:val="1DA24F77"/>
    <w:rsid w:val="1DA75434"/>
    <w:rsid w:val="206978DB"/>
    <w:rsid w:val="226C039C"/>
    <w:rsid w:val="229B19BC"/>
    <w:rsid w:val="23284153"/>
    <w:rsid w:val="24C95750"/>
    <w:rsid w:val="25347170"/>
    <w:rsid w:val="265E01E5"/>
    <w:rsid w:val="27FD4DBC"/>
    <w:rsid w:val="2830001B"/>
    <w:rsid w:val="28B60898"/>
    <w:rsid w:val="2D12173D"/>
    <w:rsid w:val="2EB770C5"/>
    <w:rsid w:val="2F5F0351"/>
    <w:rsid w:val="30653B89"/>
    <w:rsid w:val="309E0DAC"/>
    <w:rsid w:val="30DF5EF3"/>
    <w:rsid w:val="37456815"/>
    <w:rsid w:val="383F6A23"/>
    <w:rsid w:val="3A176780"/>
    <w:rsid w:val="3DC17BC6"/>
    <w:rsid w:val="3E43206E"/>
    <w:rsid w:val="3FF40305"/>
    <w:rsid w:val="41813EF7"/>
    <w:rsid w:val="425B211F"/>
    <w:rsid w:val="43A4183C"/>
    <w:rsid w:val="45F3157F"/>
    <w:rsid w:val="46171766"/>
    <w:rsid w:val="48D531EE"/>
    <w:rsid w:val="4AC12EE1"/>
    <w:rsid w:val="4AE51932"/>
    <w:rsid w:val="4CE344F0"/>
    <w:rsid w:val="4D2B0976"/>
    <w:rsid w:val="4EB945A5"/>
    <w:rsid w:val="51432148"/>
    <w:rsid w:val="52C04B04"/>
    <w:rsid w:val="53B4261C"/>
    <w:rsid w:val="54F5706B"/>
    <w:rsid w:val="55587C84"/>
    <w:rsid w:val="55753BD6"/>
    <w:rsid w:val="558840DD"/>
    <w:rsid w:val="57534DEB"/>
    <w:rsid w:val="576610DD"/>
    <w:rsid w:val="57907356"/>
    <w:rsid w:val="591830D9"/>
    <w:rsid w:val="5B2D5720"/>
    <w:rsid w:val="5BB52CCA"/>
    <w:rsid w:val="5D3245A3"/>
    <w:rsid w:val="5EE2039B"/>
    <w:rsid w:val="5F3A6B34"/>
    <w:rsid w:val="5F5A6F27"/>
    <w:rsid w:val="606D4DF4"/>
    <w:rsid w:val="60D47707"/>
    <w:rsid w:val="637B0CC4"/>
    <w:rsid w:val="65CF6DA7"/>
    <w:rsid w:val="66F64D90"/>
    <w:rsid w:val="685A269E"/>
    <w:rsid w:val="6B2D6602"/>
    <w:rsid w:val="6C747ACD"/>
    <w:rsid w:val="6E620E9E"/>
    <w:rsid w:val="6FD01AD1"/>
    <w:rsid w:val="6FF02092"/>
    <w:rsid w:val="72802162"/>
    <w:rsid w:val="744968A2"/>
    <w:rsid w:val="755E2237"/>
    <w:rsid w:val="757D2C7C"/>
    <w:rsid w:val="7673353C"/>
    <w:rsid w:val="76C1141F"/>
    <w:rsid w:val="78CE5EA3"/>
    <w:rsid w:val="79951FA3"/>
    <w:rsid w:val="79B74F01"/>
    <w:rsid w:val="79CF2DD7"/>
    <w:rsid w:val="7B207C12"/>
    <w:rsid w:val="7B3137CA"/>
    <w:rsid w:val="7DDB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open"/>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b/>
      <w:kern w:val="36"/>
      <w:sz w:val="48"/>
      <w:szCs w:val="20"/>
      <w:lang w:val="zh-CN"/>
    </w:rPr>
  </w:style>
  <w:style w:type="paragraph" w:styleId="4">
    <w:name w:val="heading 2"/>
    <w:basedOn w:val="1"/>
    <w:next w:val="1"/>
    <w:link w:val="44"/>
    <w:unhideWhenUsed/>
    <w:qFormat/>
    <w:locked/>
    <w:uiPriority w:val="0"/>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53"/>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51"/>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eastAsia="宋体" w:cs="Times New Roman"/>
      <w:szCs w:val="24"/>
    </w:rPr>
  </w:style>
  <w:style w:type="paragraph" w:styleId="7">
    <w:name w:val="annotation text"/>
    <w:basedOn w:val="1"/>
    <w:link w:val="46"/>
    <w:unhideWhenUsed/>
    <w:qFormat/>
    <w:uiPriority w:val="99"/>
    <w:rPr>
      <w:sz w:val="20"/>
      <w:szCs w:val="20"/>
      <w:lang w:val="zh-CN"/>
    </w:rPr>
  </w:style>
  <w:style w:type="paragraph" w:styleId="8">
    <w:name w:val="toc 3"/>
    <w:basedOn w:val="1"/>
    <w:next w:val="1"/>
    <w:qFormat/>
    <w:locked/>
    <w:uiPriority w:val="39"/>
    <w:pPr>
      <w:ind w:left="840" w:leftChars="400"/>
    </w:pPr>
  </w:style>
  <w:style w:type="paragraph" w:styleId="9">
    <w:name w:val="Balloon Text"/>
    <w:basedOn w:val="1"/>
    <w:link w:val="24"/>
    <w:semiHidden/>
    <w:qFormat/>
    <w:uiPriority w:val="99"/>
    <w:rPr>
      <w:kern w:val="0"/>
      <w:sz w:val="18"/>
      <w:szCs w:val="20"/>
      <w:lang w:val="zh-CN"/>
    </w:rPr>
  </w:style>
  <w:style w:type="paragraph" w:styleId="10">
    <w:name w:val="footer"/>
    <w:basedOn w:val="1"/>
    <w:link w:val="26"/>
    <w:qFormat/>
    <w:uiPriority w:val="99"/>
    <w:pPr>
      <w:tabs>
        <w:tab w:val="center" w:pos="4153"/>
        <w:tab w:val="right" w:pos="8306"/>
      </w:tabs>
      <w:snapToGrid w:val="0"/>
      <w:jc w:val="left"/>
    </w:pPr>
    <w:rPr>
      <w:kern w:val="0"/>
      <w:sz w:val="18"/>
      <w:szCs w:val="20"/>
      <w:lang w:val="zh-CN"/>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kern w:val="0"/>
      <w:sz w:val="18"/>
      <w:szCs w:val="20"/>
      <w:lang w:val="zh-CN"/>
    </w:rPr>
  </w:style>
  <w:style w:type="paragraph" w:styleId="12">
    <w:name w:val="toc 1"/>
    <w:basedOn w:val="1"/>
    <w:next w:val="1"/>
    <w:qFormat/>
    <w:locked/>
    <w:uiPriority w:val="39"/>
  </w:style>
  <w:style w:type="paragraph" w:styleId="13">
    <w:name w:val="Body Text Indent 3"/>
    <w:basedOn w:val="1"/>
    <w:link w:val="28"/>
    <w:qFormat/>
    <w:uiPriority w:val="99"/>
    <w:pPr>
      <w:tabs>
        <w:tab w:val="left" w:pos="900"/>
      </w:tabs>
      <w:ind w:right="288" w:rightChars="137" w:firstLine="900"/>
      <w:jc w:val="center"/>
    </w:pPr>
    <w:rPr>
      <w:rFonts w:ascii="Times New Roman" w:hAnsi="Times New Roman"/>
      <w:b/>
      <w:kern w:val="0"/>
      <w:sz w:val="24"/>
      <w:szCs w:val="20"/>
      <w:lang w:val="zh-CN"/>
    </w:rPr>
  </w:style>
  <w:style w:type="paragraph" w:styleId="14">
    <w:name w:val="toc 2"/>
    <w:basedOn w:val="1"/>
    <w:next w:val="1"/>
    <w:unhideWhenUsed/>
    <w:qFormat/>
    <w:locked/>
    <w:uiPriority w:val="39"/>
    <w:pPr>
      <w:spacing w:line="360" w:lineRule="auto"/>
      <w:ind w:left="420" w:leftChars="200" w:firstLine="200" w:firstLineChars="200"/>
    </w:pPr>
    <w:rPr>
      <w:rFonts w:ascii="Times New Roman" w:hAnsi="Times New Roman"/>
      <w:sz w:val="24"/>
    </w:rPr>
  </w:style>
  <w:style w:type="paragraph" w:styleId="15">
    <w:name w:val="annotation subject"/>
    <w:basedOn w:val="7"/>
    <w:next w:val="7"/>
    <w:link w:val="47"/>
    <w:semiHidden/>
    <w:unhideWhenUsed/>
    <w:qFormat/>
    <w:uiPriority w:val="99"/>
    <w:rPr>
      <w:b/>
      <w:bCs/>
    </w:rPr>
  </w:style>
  <w:style w:type="table" w:styleId="17">
    <w:name w:val="Table Grid"/>
    <w:basedOn w:val="1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9">
    <w:name w:val="page number"/>
    <w:qFormat/>
    <w:uiPriority w:val="0"/>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99"/>
    <w:rPr>
      <w:rFonts w:cs="Times New Roman"/>
      <w:color w:val="0000FF"/>
      <w:u w:val="single"/>
    </w:rPr>
  </w:style>
  <w:style w:type="character" w:styleId="22">
    <w:name w:val="annotation reference"/>
    <w:unhideWhenUsed/>
    <w:qFormat/>
    <w:uiPriority w:val="99"/>
    <w:rPr>
      <w:sz w:val="16"/>
      <w:szCs w:val="16"/>
    </w:rPr>
  </w:style>
  <w:style w:type="character" w:customStyle="1" w:styleId="23">
    <w:name w:val="标题 1 字符"/>
    <w:link w:val="3"/>
    <w:qFormat/>
    <w:locked/>
    <w:uiPriority w:val="9"/>
    <w:rPr>
      <w:rFonts w:ascii="宋体" w:hAnsi="宋体" w:eastAsia="宋体" w:cs="Times New Roman"/>
      <w:b/>
      <w:kern w:val="36"/>
      <w:sz w:val="48"/>
    </w:rPr>
  </w:style>
  <w:style w:type="character" w:customStyle="1" w:styleId="24">
    <w:name w:val="批注框文本 字符"/>
    <w:link w:val="9"/>
    <w:semiHidden/>
    <w:qFormat/>
    <w:locked/>
    <w:uiPriority w:val="99"/>
    <w:rPr>
      <w:rFonts w:cs="Times New Roman"/>
      <w:sz w:val="18"/>
    </w:rPr>
  </w:style>
  <w:style w:type="character" w:styleId="25">
    <w:name w:val="Placeholder Text"/>
    <w:semiHidden/>
    <w:qFormat/>
    <w:uiPriority w:val="99"/>
    <w:rPr>
      <w:rFonts w:cs="Times New Roman"/>
      <w:color w:val="808080"/>
    </w:rPr>
  </w:style>
  <w:style w:type="character" w:customStyle="1" w:styleId="26">
    <w:name w:val="页脚 字符"/>
    <w:link w:val="10"/>
    <w:qFormat/>
    <w:locked/>
    <w:uiPriority w:val="99"/>
    <w:rPr>
      <w:rFonts w:cs="Times New Roman"/>
      <w:sz w:val="18"/>
    </w:rPr>
  </w:style>
  <w:style w:type="character" w:customStyle="1" w:styleId="27">
    <w:name w:val="页眉 字符"/>
    <w:link w:val="11"/>
    <w:qFormat/>
    <w:locked/>
    <w:uiPriority w:val="99"/>
    <w:rPr>
      <w:rFonts w:cs="Times New Roman"/>
      <w:sz w:val="18"/>
    </w:rPr>
  </w:style>
  <w:style w:type="character" w:customStyle="1" w:styleId="28">
    <w:name w:val="正文文本缩进 3 字符"/>
    <w:link w:val="13"/>
    <w:qFormat/>
    <w:locked/>
    <w:uiPriority w:val="99"/>
    <w:rPr>
      <w:rFonts w:ascii="Times New Roman" w:hAnsi="Times New Roman" w:eastAsia="宋体" w:cs="Times New Roman"/>
      <w:b/>
      <w:sz w:val="24"/>
    </w:rPr>
  </w:style>
  <w:style w:type="character" w:customStyle="1" w:styleId="29">
    <w:name w:val="发布"/>
    <w:qFormat/>
    <w:uiPriority w:val="99"/>
    <w:rPr>
      <w:rFonts w:ascii="黑体" w:eastAsia="黑体"/>
      <w:spacing w:val="22"/>
      <w:w w:val="100"/>
      <w:position w:val="3"/>
      <w:sz w:val="28"/>
    </w:rPr>
  </w:style>
  <w:style w:type="paragraph" w:customStyle="1" w:styleId="3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发布部门"/>
    <w:next w:val="3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2">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34">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5">
    <w:name w:val="实施日期"/>
    <w:basedOn w:val="36"/>
    <w:qFormat/>
    <w:uiPriority w:val="99"/>
    <w:pPr>
      <w:framePr w:hSpace="0" w:xAlign="right"/>
      <w:jc w:val="right"/>
    </w:pPr>
  </w:style>
  <w:style w:type="paragraph" w:customStyle="1" w:styleId="3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styleId="37">
    <w:name w:val="List Paragraph"/>
    <w:basedOn w:val="1"/>
    <w:qFormat/>
    <w:uiPriority w:val="99"/>
    <w:pPr>
      <w:ind w:firstLine="420" w:firstLineChars="200"/>
    </w:pPr>
  </w:style>
  <w:style w:type="paragraph" w:customStyle="1" w:styleId="38">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3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TOC Heading1"/>
    <w:basedOn w:val="3"/>
    <w:next w:val="1"/>
    <w:qFormat/>
    <w:uiPriority w:val="99"/>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4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42">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43">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character" w:customStyle="1" w:styleId="44">
    <w:name w:val="标题 2 字符"/>
    <w:link w:val="4"/>
    <w:qFormat/>
    <w:uiPriority w:val="0"/>
    <w:rPr>
      <w:rFonts w:ascii="Cambria" w:hAnsi="Cambria" w:eastAsia="宋体" w:cs="Times New Roman"/>
      <w:b/>
      <w:bCs/>
      <w:kern w:val="2"/>
      <w:sz w:val="32"/>
      <w:szCs w:val="32"/>
    </w:rPr>
  </w:style>
  <w:style w:type="paragraph" w:customStyle="1" w:styleId="45">
    <w:name w:val="Char Char Char Char"/>
    <w:basedOn w:val="1"/>
    <w:qFormat/>
    <w:uiPriority w:val="0"/>
    <w:pPr>
      <w:widowControl/>
      <w:spacing w:after="160" w:line="240" w:lineRule="exact"/>
      <w:jc w:val="left"/>
    </w:pPr>
    <w:rPr>
      <w:rFonts w:ascii="Times New Roman" w:hAnsi="Times New Roman"/>
      <w:szCs w:val="20"/>
    </w:rPr>
  </w:style>
  <w:style w:type="character" w:customStyle="1" w:styleId="46">
    <w:name w:val="批注文字 字符1"/>
    <w:link w:val="7"/>
    <w:qFormat/>
    <w:uiPriority w:val="0"/>
    <w:rPr>
      <w:kern w:val="2"/>
    </w:rPr>
  </w:style>
  <w:style w:type="character" w:customStyle="1" w:styleId="47">
    <w:name w:val="批注主题 字符"/>
    <w:link w:val="15"/>
    <w:semiHidden/>
    <w:qFormat/>
    <w:uiPriority w:val="99"/>
    <w:rPr>
      <w:b/>
      <w:bCs/>
      <w:kern w:val="2"/>
    </w:rPr>
  </w:style>
  <w:style w:type="paragraph" w:customStyle="1" w:styleId="4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Bullet Point List"/>
    <w:basedOn w:val="1"/>
    <w:qFormat/>
    <w:uiPriority w:val="0"/>
    <w:pPr>
      <w:widowControl/>
      <w:numPr>
        <w:ilvl w:val="0"/>
        <w:numId w:val="1"/>
      </w:numPr>
      <w:spacing w:after="200" w:line="276" w:lineRule="auto"/>
      <w:ind w:firstLine="0"/>
      <w:contextualSpacing/>
    </w:pPr>
    <w:rPr>
      <w:rFonts w:ascii="Times New Roman" w:hAnsi="Times New Roman" w:eastAsia="MS PGothic"/>
      <w:kern w:val="0"/>
      <w:sz w:val="24"/>
      <w:lang w:eastAsia="ja-JP"/>
    </w:rPr>
  </w:style>
  <w:style w:type="table" w:customStyle="1" w:styleId="50">
    <w:name w:val="网格表 1 浅色1"/>
    <w:basedOn w:val="16"/>
    <w:qFormat/>
    <w:uiPriority w:val="46"/>
    <w:rPr>
      <w:rFonts w:ascii="Times New Roman" w:hAnsi="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51">
    <w:name w:val="标题 4 字符"/>
    <w:link w:val="6"/>
    <w:qFormat/>
    <w:uiPriority w:val="9"/>
    <w:rPr>
      <w:rFonts w:ascii="Cambria" w:hAnsi="Cambria" w:eastAsia="宋体" w:cs="Times New Roman"/>
      <w:b/>
      <w:bCs/>
      <w:kern w:val="2"/>
      <w:sz w:val="28"/>
      <w:szCs w:val="28"/>
    </w:rPr>
  </w:style>
  <w:style w:type="character" w:customStyle="1" w:styleId="52">
    <w:name w:val="fontstyle21"/>
    <w:qFormat/>
    <w:uiPriority w:val="0"/>
    <w:rPr>
      <w:rFonts w:hint="eastAsia" w:ascii="宋体" w:hAnsi="宋体" w:eastAsia="宋体"/>
      <w:color w:val="000000"/>
      <w:sz w:val="22"/>
      <w:szCs w:val="22"/>
    </w:rPr>
  </w:style>
  <w:style w:type="character" w:customStyle="1" w:styleId="53">
    <w:name w:val="标题 3 字符"/>
    <w:link w:val="5"/>
    <w:qFormat/>
    <w:uiPriority w:val="9"/>
    <w:rPr>
      <w:b/>
      <w:bCs/>
      <w:kern w:val="2"/>
      <w:sz w:val="32"/>
      <w:szCs w:val="32"/>
    </w:rPr>
  </w:style>
  <w:style w:type="paragraph" w:customStyle="1" w:styleId="54">
    <w:name w:val="TOC 标题1"/>
    <w:basedOn w:val="3"/>
    <w:next w:val="1"/>
    <w:unhideWhenUsed/>
    <w:qFormat/>
    <w:uiPriority w:val="39"/>
    <w:pPr>
      <w:keepNext/>
      <w:keepLines/>
      <w:spacing w:before="240" w:beforeAutospacing="0" w:after="0" w:afterAutospacing="0" w:line="259" w:lineRule="auto"/>
      <w:outlineLvl w:val="9"/>
    </w:pPr>
    <w:rPr>
      <w:rFonts w:ascii="Calibri Light" w:hAnsi="Calibri Light"/>
      <w:b w:val="0"/>
      <w:color w:val="2E74B5"/>
      <w:kern w:val="0"/>
      <w:sz w:val="32"/>
      <w:szCs w:val="32"/>
      <w:lang w:val="en-US"/>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57">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8">
    <w:name w:val="段 Char"/>
    <w:link w:val="32"/>
    <w:qFormat/>
    <w:uiPriority w:val="0"/>
    <w:rPr>
      <w:rFonts w:ascii="宋体" w:hAnsi="Times New Roman"/>
      <w:sz w:val="21"/>
    </w:rPr>
  </w:style>
  <w:style w:type="character" w:customStyle="1" w:styleId="59">
    <w:name w:val="批注文字 字符"/>
    <w:semiHidden/>
    <w:qFormat/>
    <w:uiPriority w:val="99"/>
    <w:rPr>
      <w:rFonts w:ascii="Times New Roman" w:hAnsi="Times New Roman" w:eastAsia="宋体"/>
      <w:sz w:val="24"/>
    </w:rPr>
  </w:style>
  <w:style w:type="paragraph" w:customStyle="1" w:styleId="60">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paragraph" w:customStyle="1" w:styleId="61">
    <w:name w:val="附录章标题"/>
    <w:next w:val="3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修订1"/>
    <w:hidden/>
    <w:unhideWhenUsed/>
    <w:qFormat/>
    <w:uiPriority w:val="99"/>
    <w:rPr>
      <w:rFonts w:ascii="Calibri" w:hAnsi="Calibri" w:eastAsia="宋体" w:cs="Times New Roman"/>
      <w:kern w:val="2"/>
      <w:sz w:val="21"/>
      <w:szCs w:val="22"/>
      <w:lang w:val="en-US" w:eastAsia="zh-CN" w:bidi="ar-SA"/>
    </w:rPr>
  </w:style>
  <w:style w:type="paragraph" w:customStyle="1" w:styleId="63">
    <w:name w:val="附录标识"/>
    <w:basedOn w:val="1"/>
    <w:next w:val="32"/>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64">
    <w:name w:val="附录二级条标题"/>
    <w:basedOn w:val="1"/>
    <w:next w:val="32"/>
    <w:qFormat/>
    <w:uiPriority w:val="0"/>
    <w:pPr>
      <w:widowControl/>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65">
    <w:name w:val="附录三级条标题"/>
    <w:basedOn w:val="64"/>
    <w:next w:val="32"/>
    <w:qFormat/>
    <w:uiPriority w:val="0"/>
    <w:pPr>
      <w:tabs>
        <w:tab w:val="left" w:pos="360"/>
      </w:tabs>
      <w:outlineLvl w:val="4"/>
    </w:pPr>
  </w:style>
  <w:style w:type="paragraph" w:customStyle="1" w:styleId="66">
    <w:name w:val="附录四级条标题"/>
    <w:basedOn w:val="65"/>
    <w:next w:val="32"/>
    <w:qFormat/>
    <w:uiPriority w:val="0"/>
    <w:pPr>
      <w:outlineLvl w:val="5"/>
    </w:pPr>
  </w:style>
  <w:style w:type="paragraph" w:customStyle="1" w:styleId="67">
    <w:name w:val="附录五级条标题"/>
    <w:basedOn w:val="66"/>
    <w:next w:val="32"/>
    <w:qFormat/>
    <w:uiPriority w:val="0"/>
    <w:pPr>
      <w:outlineLvl w:val="6"/>
    </w:pPr>
  </w:style>
  <w:style w:type="paragraph" w:customStyle="1" w:styleId="68">
    <w:name w:val="附录一级条标题"/>
    <w:basedOn w:val="61"/>
    <w:next w:val="32"/>
    <w:qFormat/>
    <w:uiPriority w:val="0"/>
    <w:pPr>
      <w:tabs>
        <w:tab w:val="clear" w:pos="360"/>
      </w:tabs>
      <w:autoSpaceDN w:val="0"/>
      <w:spacing w:beforeLines="50" w:afterLines="50"/>
      <w:ind w:left="3544"/>
      <w:outlineLvl w:val="2"/>
    </w:pPr>
  </w:style>
  <w:style w:type="paragraph" w:customStyle="1" w:styleId="69">
    <w:name w:val="TOC 标题2"/>
    <w:basedOn w:val="3"/>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color w:val="2F5597" w:themeColor="accent1" w:themeShade="BF"/>
      <w:kern w:val="0"/>
      <w:sz w:val="32"/>
      <w:szCs w:val="32"/>
      <w:lang w:val="en-US"/>
    </w:rPr>
  </w:style>
  <w:style w:type="paragraph" w:customStyle="1" w:styleId="70">
    <w:name w:val="其他发布部门"/>
    <w:basedOn w:val="31"/>
    <w:qFormat/>
    <w:uiPriority w:val="0"/>
    <w:pPr>
      <w:framePr w:y="15310"/>
      <w:spacing w:line="0" w:lineRule="atLeast"/>
    </w:pPr>
    <w:rPr>
      <w:rFonts w:ascii="黑体" w:eastAsia="黑体"/>
      <w:b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emf"/><Relationship Id="rId24" Type="http://schemas.openxmlformats.org/officeDocument/2006/relationships/oleObject" Target="embeddings/oleObject4.bin"/><Relationship Id="rId23" Type="http://schemas.openxmlformats.org/officeDocument/2006/relationships/chart" Target="charts/chart1.xml"/><Relationship Id="rId22" Type="http://schemas.openxmlformats.org/officeDocument/2006/relationships/image" Target="media/image9.emf"/><Relationship Id="rId21" Type="http://schemas.openxmlformats.org/officeDocument/2006/relationships/oleObject" Target="embeddings/oleObject3.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7.emf"/><Relationship Id="rId17" Type="http://schemas.openxmlformats.org/officeDocument/2006/relationships/image" Target="media/image6.emf"/><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24037;&#20316;&#34920;%20&#22312;%20&#32511;&#33394;&#35774;&#35745;&#20135;&#21697;&#35780;&#20215;&#25216;&#26415;&#35268;&#33539;%20&#22235;&#27687;&#21270;&#19977;&#38068;%20&#26631;&#20934;&#25991;&#26412;&#65288;&#24449;&#27714;&#24847;&#35265;&#31295;&#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'[工作表 在 绿色设计产品评价技术规范 四氧化三钴 标准文本（征求意见稿）.xlsx]Sheet1'!$B$1</c:f>
              <c:strCache>
                <c:ptCount val="1"/>
                <c:pt idx="0">
                  <c:v>系列 1</c:v>
                </c:pt>
              </c:strCache>
            </c:strRef>
          </c:tx>
          <c:invertIfNegative val="0"/>
          <c:dLbls>
            <c:delete val="1"/>
          </c:dLbls>
          <c:cat>
            <c:strRef>
              <c:f>'[工作表 在 绿色设计产品评价技术规范 四氧化三钴 标准文本（征求意见稿）.xlsx]Sheet1'!$A$2:$A$9</c:f>
              <c:strCache>
                <c:ptCount val="8"/>
                <c:pt idx="0">
                  <c:v>M2</c:v>
                </c:pt>
                <c:pt idx="1">
                  <c:v>M4</c:v>
                </c:pt>
                <c:pt idx="2">
                  <c:v>M3</c:v>
                </c:pt>
                <c:pt idx="3">
                  <c:v>M1</c:v>
                </c:pt>
                <c:pt idx="4">
                  <c:v>D2</c:v>
                </c:pt>
                <c:pt idx="5">
                  <c:v>D1</c:v>
                </c:pt>
                <c:pt idx="6">
                  <c:v>MG2</c:v>
                </c:pt>
                <c:pt idx="7">
                  <c:v>MG1</c:v>
                </c:pt>
              </c:strCache>
            </c:strRef>
          </c:cat>
          <c:val>
            <c:numRef>
              <c:f>'[工作表 在 绿色设计产品评价技术规范 四氧化三钴 标准文本（征求意见稿）.xlsx]Sheet1'!$B$2:$B$9</c:f>
              <c:numCache>
                <c:formatCode>General</c:formatCode>
                <c:ptCount val="8"/>
                <c:pt idx="0">
                  <c:v>6</c:v>
                </c:pt>
                <c:pt idx="1">
                  <c:v>5</c:v>
                </c:pt>
                <c:pt idx="2">
                  <c:v>4</c:v>
                </c:pt>
                <c:pt idx="3">
                  <c:v>3</c:v>
                </c:pt>
                <c:pt idx="4">
                  <c:v>5</c:v>
                </c:pt>
                <c:pt idx="5">
                  <c:v>3</c:v>
                </c:pt>
                <c:pt idx="6">
                  <c:v>3</c:v>
                </c:pt>
                <c:pt idx="7">
                  <c:v>2</c:v>
                </c:pt>
              </c:numCache>
            </c:numRef>
          </c:val>
        </c:ser>
        <c:ser>
          <c:idx val="1"/>
          <c:order val="1"/>
          <c:tx>
            <c:strRef>
              <c:f>'[工作表 在 绿色设计产品评价技术规范 四氧化三钴 标准文本（征求意见稿）.xlsx]Sheet1'!$C$1</c:f>
              <c:strCache>
                <c:ptCount val="1"/>
                <c:pt idx="0">
                  <c:v>列1</c:v>
                </c:pt>
              </c:strCache>
            </c:strRef>
          </c:tx>
          <c:invertIfNegative val="0"/>
          <c:dLbls>
            <c:delete val="1"/>
          </c:dLbls>
          <c:cat>
            <c:strRef>
              <c:f>'[工作表 在 绿色设计产品评价技术规范 四氧化三钴 标准文本（征求意见稿）.xlsx]Sheet1'!$A$2:$A$9</c:f>
              <c:strCache>
                <c:ptCount val="8"/>
                <c:pt idx="0">
                  <c:v>M2</c:v>
                </c:pt>
                <c:pt idx="1">
                  <c:v>M4</c:v>
                </c:pt>
                <c:pt idx="2">
                  <c:v>M3</c:v>
                </c:pt>
                <c:pt idx="3">
                  <c:v>M1</c:v>
                </c:pt>
                <c:pt idx="4">
                  <c:v>D2</c:v>
                </c:pt>
                <c:pt idx="5">
                  <c:v>D1</c:v>
                </c:pt>
                <c:pt idx="6">
                  <c:v>MG2</c:v>
                </c:pt>
                <c:pt idx="7">
                  <c:v>MG1</c:v>
                </c:pt>
              </c:strCache>
            </c:strRef>
          </c:cat>
          <c:val>
            <c:numRef>
              <c:f>'[工作表 在 绿色设计产品评价技术规范 四氧化三钴 标准文本（征求意见稿）.xlsx]Sheet1'!$C$2:$C$9</c:f>
              <c:numCache>
                <c:formatCode>General</c:formatCode>
                <c:ptCount val="8"/>
              </c:numCache>
            </c:numRef>
          </c:val>
        </c:ser>
        <c:ser>
          <c:idx val="2"/>
          <c:order val="2"/>
          <c:tx>
            <c:strRef>
              <c:f>'[工作表 在 绿色设计产品评价技术规范 四氧化三钴 标准文本（征求意见稿）.xlsx]Sheet1'!$D$1</c:f>
              <c:strCache>
                <c:ptCount val="1"/>
                <c:pt idx="0">
                  <c:v>列2</c:v>
                </c:pt>
              </c:strCache>
            </c:strRef>
          </c:tx>
          <c:invertIfNegative val="0"/>
          <c:dLbls>
            <c:delete val="1"/>
          </c:dLbls>
          <c:cat>
            <c:strRef>
              <c:f>'[工作表 在 绿色设计产品评价技术规范 四氧化三钴 标准文本（征求意见稿）.xlsx]Sheet1'!$A$2:$A$9</c:f>
              <c:strCache>
                <c:ptCount val="8"/>
                <c:pt idx="0">
                  <c:v>M2</c:v>
                </c:pt>
                <c:pt idx="1">
                  <c:v>M4</c:v>
                </c:pt>
                <c:pt idx="2">
                  <c:v>M3</c:v>
                </c:pt>
                <c:pt idx="3">
                  <c:v>M1</c:v>
                </c:pt>
                <c:pt idx="4">
                  <c:v>D2</c:v>
                </c:pt>
                <c:pt idx="5">
                  <c:v>D1</c:v>
                </c:pt>
                <c:pt idx="6">
                  <c:v>MG2</c:v>
                </c:pt>
                <c:pt idx="7">
                  <c:v>MG1</c:v>
                </c:pt>
              </c:strCache>
            </c:strRef>
          </c:cat>
          <c:val>
            <c:numRef>
              <c:f>'[工作表 在 绿色设计产品评价技术规范 四氧化三钴 标准文本（征求意见稿）.xlsx]Sheet1'!$D$2:$D$9</c:f>
              <c:numCache>
                <c:formatCode>General</c:formatCode>
                <c:ptCount val="8"/>
              </c:numCache>
            </c:numRef>
          </c:val>
        </c:ser>
        <c:dLbls>
          <c:showLegendKey val="0"/>
          <c:showVal val="0"/>
          <c:showCatName val="0"/>
          <c:showSerName val="0"/>
          <c:showPercent val="0"/>
          <c:showBubbleSize val="0"/>
        </c:dLbls>
        <c:gapWidth val="150"/>
        <c:overlap val="0"/>
        <c:axId val="582963519"/>
        <c:axId val="201755162"/>
      </c:barChart>
      <c:catAx>
        <c:axId val="582963519"/>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755162"/>
        <c:crosses val="autoZero"/>
        <c:auto val="1"/>
        <c:lblAlgn val="ctr"/>
        <c:lblOffset val="100"/>
        <c:noMultiLvlLbl val="0"/>
      </c:catAx>
      <c:valAx>
        <c:axId val="20175516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2963519"/>
        <c:crosses val="autoZero"/>
        <c:crossBetween val="between"/>
      </c:valAx>
    </c:plotArea>
    <c:plotVisOnly val="1"/>
    <c:dispBlanksAs val="gap"/>
    <c:showDLblsOverMax val="0"/>
  </c:chart>
  <c:spPr>
    <a:ln w="9525" cap="flat" cmpd="sng" algn="ctr">
      <a:noFill/>
      <a:prstDash val="solid"/>
      <a:round/>
    </a:ln>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8F5F-A73B-4030-ABDB-30F64F1B84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2309</Words>
  <Characters>13165</Characters>
  <Lines>109</Lines>
  <Paragraphs>30</Paragraphs>
  <TotalTime>0</TotalTime>
  <ScaleCrop>false</ScaleCrop>
  <LinksUpToDate>false</LinksUpToDate>
  <CharactersWithSpaces>15444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2021-05-24T06:11:00Z</dcterms:created>
  <dc:creator>dwh</dc:creator>
  <cp:lastModifiedBy>陈婷</cp:lastModifiedBy>
  <cp:lastPrinted>2021-09-15T08:36:00Z</cp:lastPrinted>
  <dcterms:modified xsi:type="dcterms:W3CDTF">2021-09-15T10:21:44Z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