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28"/>
          <w:szCs w:val="28"/>
        </w:rPr>
        <w:t>附件2：</w:t>
      </w:r>
    </w:p>
    <w:p>
      <w:pPr>
        <w:spacing w:line="400" w:lineRule="exact"/>
        <w:ind w:left="-160" w:leftChars="-76" w:firstLine="159" w:firstLineChars="57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重金属分标委会审定、预审和任务落实的标准项目</w:t>
      </w:r>
    </w:p>
    <w:p>
      <w:pPr>
        <w:pStyle w:val="2"/>
        <w:rPr>
          <w:rFonts w:ascii="Times New Roman" w:hAnsi="Times New Roman"/>
        </w:rPr>
      </w:pPr>
    </w:p>
    <w:tbl>
      <w:tblPr>
        <w:tblStyle w:val="7"/>
        <w:tblW w:w="146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016"/>
        <w:gridCol w:w="2884"/>
        <w:gridCol w:w="7300"/>
        <w:gridCol w:w="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  <w:jc w:val="center"/>
        </w:trPr>
        <w:tc>
          <w:tcPr>
            <w:tcW w:w="644" w:type="dxa"/>
            <w:tcBorders>
              <w:bottom w:val="single" w:color="auto" w:sz="12" w:space="0"/>
            </w:tcBorders>
            <w:vAlign w:val="center"/>
          </w:tcPr>
          <w:p>
            <w:pPr>
              <w:pStyle w:val="12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3016" w:type="dxa"/>
            <w:tcBorders>
              <w:bottom w:val="single" w:color="auto" w:sz="12" w:space="0"/>
            </w:tcBorders>
            <w:vAlign w:val="center"/>
          </w:tcPr>
          <w:p>
            <w:pPr>
              <w:pStyle w:val="6"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标准项目名称</w:t>
            </w:r>
          </w:p>
        </w:tc>
        <w:tc>
          <w:tcPr>
            <w:tcW w:w="288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项目计划编号</w:t>
            </w:r>
          </w:p>
        </w:tc>
        <w:tc>
          <w:tcPr>
            <w:tcW w:w="7300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起草单位及相关单位</w:t>
            </w:r>
          </w:p>
        </w:tc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66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电容器端面用无铅锡基及锌基喷金线（修订YS/T 866-2013）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工信厅科函[2022]158号2022-0827T-YS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绍兴市天龙锡材有限公司、铜陵龙峰新材料有限公司、绍兴市特种设备检测院、绍兴市质量技术监督检测院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电真空器件阴极材料用镍及镍合金板带材和棒材（修订YS/T 908-2013）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工信厅科函[2022]94号2022-0211T-YS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沈阳有色金属研究所有限公司、南京达迈科技有限公司、中色创新研究院（天津）有限公司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矿物绝缘电缆用铜棒、线坯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工信厅科函[2022]94号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2022-0042T-YS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宁波金田铜业（集团）股份有限公司、芜湖楚江合金铜材有限公司、绍兴市特种设备检测院、华佛山市华鸿铜管有限公司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磁极线圈用铜型材（修订YS/T 1111-2016）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工信厅科函[2022]158号2022-0825T-YS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浙江力博实业股份有限公司、绍兴市质量技术监督检测院、浙江天宁合金材料有限公司、有色金属技术经济研究院有限责任公司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照相制版用铜板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工信厅科函[2022]94号2022-0048T-YS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中铝洛阳铜加工有限公司、绍兴市特种设备检测院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铅及铅锑合金棒和线材（修订YS/T 636-2007）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工信厅科函[2022]94号2022-0215T-YS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白银有色集团股份有限公司、白银有色西北铜加工有限公司等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 xml:space="preserve">  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铜及铜合金无缝高翅片管（修订YS/T 865-2013）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工信厅科函[2022]94号2022-0223T-YS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江苏萃隆精密铜管股份有限公司、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苏州美享彩科技有限公司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、新乡市龙翔精密铜管有限公司等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紧固件用铜合金空心型材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工信厅科函[2022]94号2022-0041T-YS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沈阳华泰铜业有限公司、芜湖恒鑫铜业集团有限公司等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铜合金连铸管（修订YS/T 962-2014）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工信厅科函[2022]158号2022-0830T-YS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沈阳华泰铜业有限公司、江苏包罗铜材集团股份有限公司、浙江同诚合金铜管有限公司、中铁建电气化局集团康远新材料有限公司、武汉泛舟中越铜合金有限公司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66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冶炼副产品铅铋合金锭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工信厅科函[2021]291号2021-1765T-YS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金隆铜业有限公司、阳谷祥光铜业有限公司、金川集团有限公司、紫金矿业集团股份有限公司、云南锡业股份有限公司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锌冶炼污酸资源化回收利用技术规范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中色协科字[2022]85号2022-046-T/CNIA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赛恩斯环保股份有限公司、中南大学、株洲冶炼集团股份有限公司、中国恩菲工程技术有限公司、中金岭南有色金属股份有限公司、安阳岷山有色金属有限责任公司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火法炼铅系统入炉湿法炼锌渣物料处理工艺技术规范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中色协科字[2022]85号2022-047-T/CNIA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云南驰宏锌锗股份有限公司、呼伦贝尔驰宏矿业有限公司、云南驰宏资源综合利用有限公司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全湿法炼锌浸出渣浮选提硫技术规范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中色协科字[2022]85号2022-048-T/CNIA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云南驰宏锌锗股份有限公司、呼伦贝尔驰宏矿业有限公司、中金岭南有色金属股份有限公司丹霞冶炼厂、西部矿业股份有限公司、云南永昌铅锌股份有限公司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66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tcBorders>
              <w:bottom w:val="single" w:color="auto" w:sz="12" w:space="0"/>
            </w:tcBorders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镍合金化学分析方法 第1部分：钼含量的测定 电感耦合等离子体原子发射光谱法</w:t>
            </w:r>
          </w:p>
        </w:tc>
        <w:tc>
          <w:tcPr>
            <w:tcW w:w="2884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国标委发[2021]12号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20210813-T-610</w:t>
            </w:r>
          </w:p>
        </w:tc>
        <w:tc>
          <w:tcPr>
            <w:tcW w:w="73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广西壮族自治区冶金产品质量检验站、广西壮族自治区分析测试研究中心、广西壮族自治区食品药品检验所、桂林理工大学、中国检验检疫认证集团广西有限公司、太原钢铁集团有限责任公司、酒泉钢铁（集团）有限责任公司、紫金矿业集团股份有限公司、浙江华友钴业股份有限公司等</w:t>
            </w:r>
          </w:p>
        </w:tc>
        <w:tc>
          <w:tcPr>
            <w:tcW w:w="823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tcBorders>
              <w:top w:val="single" w:color="auto" w:sz="12" w:space="0"/>
            </w:tcBorders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tcBorders>
              <w:top w:val="single" w:color="auto" w:sz="12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镍合金化学分析方法 第8部分：钴、铬、铜、铁和锰含量的测定 火焰原子吸收光谱法</w:t>
            </w:r>
          </w:p>
        </w:tc>
        <w:tc>
          <w:tcPr>
            <w:tcW w:w="2884" w:type="dxa"/>
            <w:tcBorders>
              <w:top w:val="single" w:color="auto" w:sz="12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国标委发[2022]22号20220744-T-610</w:t>
            </w:r>
          </w:p>
        </w:tc>
        <w:tc>
          <w:tcPr>
            <w:tcW w:w="7300" w:type="dxa"/>
            <w:tcBorders>
              <w:top w:val="single" w:color="auto" w:sz="12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广西壮族自治区冶金产品质量检验站、深圳市中金岭南有色金属股份有限公司、中国检验认证集团广西有限公司、广西壮族自治区分析测试研究中心、广西壮族自治区食品药品检验所、深圳市万泽中南研究院有限公司、广东省科学院工业分析检测中心、北矿检测技术股份有限公司、桂林理工大学、酒泉钢铁（集团）有限责任公司、国标（北京）检验认证有限公司、金川集团股份有限公司、中国有色桂林矿产地质研究院有限公司、广东邦普循环科技有限公司、浙江华友钴业股份有限公司、荆门市格林美新材料有限公司</w:t>
            </w:r>
          </w:p>
        </w:tc>
        <w:tc>
          <w:tcPr>
            <w:tcW w:w="82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铅及铅合金化学分析方法 第18部分：银、铜、铋、砷、锑、锡、锌、铁、镉、镍、镁、铝、钙、硒、碲含量的测定 电感耦合等离子体质谱法</w:t>
            </w:r>
          </w:p>
        </w:tc>
        <w:tc>
          <w:tcPr>
            <w:tcW w:w="288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国标委发[2022]22号20220733-T-610</w:t>
            </w:r>
          </w:p>
        </w:tc>
        <w:tc>
          <w:tcPr>
            <w:tcW w:w="7300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国合通用测试评价认证股份公司、国标（北京）检验认证有限公司、广东省科学院工业分析检测中心、阜阳市产品质量监督检验所、深圳市中金岭南有色金属股份有限公司、北矿检测技术股份有限公司、铜陵有色金属集团控股有限公司、金川集团股份有限公司、紫金铜业有限公司、国合通用（青岛）测试评价有限公司、水口山有色金属有限责任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粗硒化学分析方法 第 4 部分： 碲含量的测定 重量法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工信厅科函[2022]94号2022-0443T-YS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广东先导稀材股份有限公司、北矿检测技术股份有限公司、深圳中金岭南有色金属股份有限公司、紫金铜业有限公司、铜陵有色金属股份有限公司、广东省科学院分析测试中心、江西铜业股份有限公司、国标（北京）检验认证有限公司、大冶有色设计研究院有限公司、山东恒邦冶炼股份有限公司、郴州市产商品质量监督检验所、中国检验认证集团广西有限公司、山西北方铜业股份有限公司、中国有色桂林矿产地质院研究有限公司、昆明冶金研究院有限公司、广西南丹南方金属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粗硒化学分析方法 第 5 部分： 铂、 钯含量的测定 电感耦合等离子体原子发射光谱法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工信厅科函[2022]94号2022-0444T-YS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深圳中金岭南有色金属股份有限公司韶关冶炼厂、广东先导稀材股份有限公司、深圳中金岭南有色金属股份有限公司、江西铜业股份有限公司、紫金矿业集团股份有限公司、广东省科学院分析测试中心、铜陵有色金属集团控股有限公司、国标（北京）检验认证有限公司、大冶有色设计研究院有限公司、昆明冶金研究院有限公司、北矿检测技术股份有限公司、紫金铜业有限公司、山东恒邦冶炼股份有限公司、广西壮族自治区分析测试研究中心、中国检验认证集团广西有限公司、中国有色桂林矿产地质院研究有限公司、山西北方铜业股份有限公司、防城港市东途矿产检测有限公司、金隆铜业有限公司、郴州市产商品质量监督检验所、长沙矿冶研究院有限责任公司、广西南丹南方金属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混合铅锌精矿化学分析方法  第 4 部分： 砷含量的测定 碘滴定法和原子荧光光谱法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工信厅科函[2022]94号2022-0213T-YS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深圳市中金岭南有色金属股份有限公司韶关冶炼厂、北矿检测技术股份有限公司、云南云铜锌业股份有限公司、河南豫光金铅股份有限公司、深圳市中金岭南有色金属股份有限公司、大冶有色设计研究院有限公司、中国有色桂林矿产地质研究院有限公司、深圳市中金岭南有色金属股份有限公司丹霞冶炼厂、中国检验认证集团广西有限公司、广西壮族自治区分析测试研究中心、中国有色桂林矿产地质研究院有限公司、铜陵有色金属集团控股有限公司、长沙矿冶院检测技术有限责任公司、山东恒邦冶炼股份有限公司、紫金铜业有限公司、中国检验认证集团广东有限公司黄埔分公司、株洲冶炼集团股份有限公司、防城港市东途矿产检测有限公司、防城海关综合技术服务中心、葫芦岛锌业股份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混合铅锌精矿化学分析方法 第6部分：汞含量的测定原子荧光光谱法和固体进样直接法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工信厅科函[2022]158号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2022-0828T-YS</w:t>
            </w:r>
          </w:p>
        </w:tc>
        <w:tc>
          <w:tcPr>
            <w:tcW w:w="7300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深圳市中金岭南有色金属股份有限公司、连云港海关综合技术中心、云南云铜锌业股份有限公司、国标（北京）检验认证有限公司、葫芦岛锌业股份有限公司、中国有色桂林矿产地质研究院有限公司、中国检验认证集团广西有限公司、防城海关综合技术服务中心、鲅鱼圈海关综合技术服务中心、山东恒邦冶炼股份有限公司、南通海关综合技术中心、中国检验认证集团广东有限公司黄埔分公司、广西分析测试研究中心、大冶有色设计研究院有限公司、紫金铜业有限公司、郴州和俊检测有限公司、锦州海关综合技术服务中心、阿拉山海关综合技术服务中心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复合氧化铜粉中铜、氧化亚 铜、氧化铜组分的测定 氧化还原滴定法和差减法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工信厅科函[2023]18号2023-0406T-YS</w:t>
            </w:r>
          </w:p>
        </w:tc>
        <w:tc>
          <w:tcPr>
            <w:tcW w:w="7300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有研粉末新材料[合肥]有限公司、北京有研粉末新材料研究院有限公司、唐山三友硅业有限责任公司、国合通用测试评价认证股份公司、安徽旭晶粉体新材料科技有限公司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高纯钴化学分析方法 杂质元素含量的测定 辉光放电质谱法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工信厅科函[2023]18号2023-0407T-YS</w:t>
            </w:r>
          </w:p>
        </w:tc>
        <w:tc>
          <w:tcPr>
            <w:tcW w:w="7300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金川集团股份有限公司、甘肃省精普检测科技有限公司、国标[北京]检验认证有限公司、贵研检测科技[云南]有限公司、新疆众和股份有限公司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高纯镍化学分析方法 杂质元素含量的测定 辉光放电质谱法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工信厅科函[2023]18号2023-0408T-YS</w:t>
            </w:r>
          </w:p>
        </w:tc>
        <w:tc>
          <w:tcPr>
            <w:tcW w:w="7300" w:type="dxa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金川集团股份有限公司、甘肃省精普检测科技有限公司、国标[北京]检验认证有限公司、贵研检测科技[云南] 有限公司、新疆众和股份有限公司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混合铅锌精矿化学分析方法 第8部分：铜含量的测定 火焰原子吸收光谱法和碘量法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工信厅科函[2023]18号2023-0409T-YS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深圳市中金岭南有色金属股份有限公司、深圳市中金岭南有色金属股份有限公司韶关冶炼厂、株洲冶炼集团股份有限公司、北矿检测技术股份有限公司、中冶葫芦岛有色金属集团有限公司、湖南有色金属研究院有限责任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混合铅锌精矿化学分析方法 第9部分：银和金含量的测定 火焰原子吸收光谱法和火试金法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工信厅科函[2023]18号2023-0410T-YS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深圳市中金岭南有色金属股份有限公司、深圳市中金岭南有色金属股份有限公司韶关冶炼厂、中冶葫芦岛有色金属集团有限公司、北矿检测技术股份有限公司、湖南有色金属研究院有限责任公司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66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外文组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（注:27日待重金属第二组结束后开会）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铜合金弹性带材平面弯曲疲劳试验方法（外文版）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国标委发[2022]43号W20222946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西北稀有金属材料研究院宁夏有限公司、</w:t>
            </w:r>
            <w:r>
              <w:fldChar w:fldCharType="begin"/>
            </w:r>
            <w:r>
              <w:instrText xml:space="preserve"> HYPERLINK "https://std.samr.gov.cn/search/orgOthers?q=%E4%B8%AD%E8%89%B2%EF%BC%88%E5%AE%81%E5%A4%8F%EF%BC%89%E4%B8%9C%E6%96%B9%E9%9B%86%E5%9B%A2%E6%9C%89%E9%99%90%E5%85%AC%E5%8F%B8" \t "https://std.samr.gov.cn/gfs/search/_blank"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中色（宁夏）东方集团有限公司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端子连接器用铜及铜合金带箔材（外文版）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国标委发[2022]22号W20222368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宁波兴业盛泰集团有限公司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镍钴锰三元素复合氧化物（外文版）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国标委发[2021]41号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W20212184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金川集团股份有限公司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4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四氧化三钴（外文版）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工信厅科[2022]312号2022-W059-YS</w:t>
            </w:r>
          </w:p>
        </w:tc>
        <w:tc>
          <w:tcPr>
            <w:tcW w:w="73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格林美股份有限公司</w:t>
            </w:r>
          </w:p>
        </w:tc>
        <w:tc>
          <w:tcPr>
            <w:tcW w:w="8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审定</w:t>
            </w:r>
          </w:p>
        </w:tc>
      </w:tr>
    </w:tbl>
    <w:p>
      <w:pPr>
        <w:widowControl/>
        <w:spacing w:line="380" w:lineRule="exact"/>
        <w:rPr>
          <w:rFonts w:ascii="Times New Roman" w:hAnsi="Times New Roman" w:eastAsia="黑体" w:cs="Times New Roman"/>
          <w:sz w:val="28"/>
          <w:szCs w:val="28"/>
        </w:rPr>
      </w:pPr>
    </w:p>
    <w:p>
      <w:pPr>
        <w:widowControl/>
        <w:spacing w:line="380" w:lineRule="exact"/>
        <w:rPr>
          <w:rFonts w:ascii="Times New Roman" w:hAnsi="Times New Roman" w:eastAsia="黑体" w:cs="Times New Roman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D20D05"/>
    <w:multiLevelType w:val="multilevel"/>
    <w:tmpl w:val="64D20D0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xZDI0ZDMwZGE5MGE2YmUxZGU5MTQ4MGI3NzkwOWMifQ=="/>
  </w:docVars>
  <w:rsids>
    <w:rsidRoot w:val="00074E43"/>
    <w:rsid w:val="00074E43"/>
    <w:rsid w:val="004E013A"/>
    <w:rsid w:val="00CD7A6C"/>
    <w:rsid w:val="00F245BF"/>
    <w:rsid w:val="31B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1"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 w:cs="Times New Roman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3"/>
    <w:unhideWhenUsed/>
    <w:qFormat/>
    <w:uiPriority w:val="99"/>
    <w:rPr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尾注文本 字符"/>
    <w:basedOn w:val="8"/>
    <w:link w:val="2"/>
    <w:qFormat/>
    <w:uiPriority w:val="99"/>
    <w:rPr>
      <w:rFonts w:ascii="Calibri" w:hAnsi="Calibri" w:eastAsia="Times New Roman" w:cs="Times New Roman"/>
      <w:szCs w:val="24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3718</Words>
  <Characters>4335</Characters>
  <Lines>34</Lines>
  <Paragraphs>9</Paragraphs>
  <TotalTime>1</TotalTime>
  <ScaleCrop>false</ScaleCrop>
  <LinksUpToDate>false</LinksUpToDate>
  <CharactersWithSpaces>4378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2023-06-01T07:02:00Z</dcterms:created>
  <dc:creator>朱逸慧</dc:creator>
  <cp:lastModifiedBy>ss</cp:lastModifiedBy>
  <dcterms:modified xsi:type="dcterms:W3CDTF">2023-06-01T07:55:21Z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F5DB1C3FE7AB4EF987BA884A2E7EC729_12</vt:lpwstr>
  </property>
</Properties>
</file>