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rPr>
          <w:color w:val="000000"/>
        </w:rPr>
      </w:pPr>
      <w:bookmarkStart w:id="0" w:name="SectionMark0"/>
      <w:r>
        <w:rPr>
          <w:color w:val="000000"/>
        </w:rPr>
        <mc:AlternateContent>
          <mc:Choice Requires="wps">
            <w:drawing>
              <wp:anchor distT="0" distB="0" distL="114300" distR="114300" simplePos="0" relativeHeight="251668480" behindDoc="0" locked="1" layoutInCell="0" allowOverlap="1">
                <wp:simplePos x="0" y="0"/>
                <wp:positionH relativeFrom="margin">
                  <wp:posOffset>919480</wp:posOffset>
                </wp:positionH>
                <wp:positionV relativeFrom="margin">
                  <wp:posOffset>9006205</wp:posOffset>
                </wp:positionV>
                <wp:extent cx="3736975" cy="342265"/>
                <wp:effectExtent l="0" t="0" r="0" b="635"/>
                <wp:wrapNone/>
                <wp:docPr id="22" name="fmFrame7"/>
                <wp:cNvGraphicFramePr/>
                <a:graphic xmlns:a="http://schemas.openxmlformats.org/drawingml/2006/main">
                  <a:graphicData uri="http://schemas.microsoft.com/office/word/2010/wordprocessingShape">
                    <wps:wsp>
                      <wps:cNvSpPr txBox="1">
                        <a:spLocks noChangeArrowheads="1"/>
                      </wps:cNvSpPr>
                      <wps:spPr bwMode="auto">
                        <a:xfrm>
                          <a:off x="0" y="0"/>
                          <a:ext cx="3736975" cy="342265"/>
                        </a:xfrm>
                        <a:prstGeom prst="rect">
                          <a:avLst/>
                        </a:prstGeom>
                        <a:solidFill>
                          <a:srgbClr val="FFFFFF"/>
                        </a:solidFill>
                        <a:ln>
                          <a:noFill/>
                        </a:ln>
                        <a:effectLst/>
                      </wps:spPr>
                      <wps:txbx>
                        <w:txbxContent>
                          <w:p>
                            <w:pPr>
                              <w:pStyle w:val="72"/>
                              <w:jc w:val="distribute"/>
                              <w:rPr>
                                <w:rFonts w:ascii="新宋体" w:hAnsi="新宋体" w:eastAsia="新宋体" w:cs="新宋体"/>
                                <w:sz w:val="28"/>
                                <w:szCs w:val="28"/>
                              </w:rPr>
                            </w:pPr>
                            <w:r>
                              <w:rPr>
                                <w:rFonts w:hint="eastAsia" w:ascii="Times New Roman" w:eastAsia="黑体"/>
                                <w:b w:val="0"/>
                                <w:spacing w:val="0"/>
                                <w:w w:val="100"/>
                                <w:sz w:val="32"/>
                                <w:szCs w:val="32"/>
                              </w:rPr>
                              <w:t>中华人民共和国国家市场监督管理总局</w:t>
                            </w:r>
                          </w:p>
                          <w:p>
                            <w:pPr>
                              <w:pStyle w:val="48"/>
                              <w:ind w:firstLine="0" w:firstLineChars="0"/>
                              <w:jc w:val="distribute"/>
                              <w:rPr>
                                <w:b/>
                                <w:spacing w:val="20"/>
                                <w:w w:val="135"/>
                                <w:sz w:val="28"/>
                                <w:szCs w:val="28"/>
                              </w:rPr>
                            </w:pPr>
                          </w:p>
                          <w:p>
                            <w:pPr>
                              <w:pStyle w:val="48"/>
                              <w:ind w:firstLine="560"/>
                              <w:jc w:val="distribute"/>
                              <w:rPr>
                                <w:sz w:val="28"/>
                                <w:szCs w:val="28"/>
                              </w:rPr>
                            </w:pPr>
                          </w:p>
                          <w:p>
                            <w:pPr>
                              <w:pStyle w:val="48"/>
                              <w:ind w:firstLine="560"/>
                              <w:jc w:val="distribute"/>
                              <w:rPr>
                                <w:sz w:val="28"/>
                                <w:szCs w:val="28"/>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72.4pt;margin-top:709.15pt;height:26.95pt;width:294.25pt;mso-position-horizontal-relative:margin;mso-position-vertical-relative:margin;z-index:251668480;mso-width-relative:page;mso-height-relative:page;" fillcolor="#FFFFFF" filled="t" stroked="f" coordsize="21600,21600" o:allowincell="f" o:gfxdata="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RWva9oAAAANAQAA&#10;DwAAAAAAAAABACAAAAAiAAAAZHJzL2Rvd25yZXYueG1sUEsBAhQAFAAAAAgAh07iQK5t7JcXAgAA&#10;OgQAAA4AAAAAAAAAAQAgAAAAKQEAAGRycy9lMm9Eb2MueG1sUEsFBgAAAAAGAAYAWQEAALIFAAAA&#10;AA==&#10;">
                <v:fill on="t" focussize="0,0"/>
                <v:stroke on="f"/>
                <v:imagedata o:title=""/>
                <o:lock v:ext="edit" aspectratio="f"/>
                <v:textbox inset="0mm,0mm,0mm,0mm">
                  <w:txbxContent>
                    <w:p>
                      <w:pPr>
                        <w:pStyle w:val="72"/>
                        <w:jc w:val="distribute"/>
                        <w:rPr>
                          <w:rFonts w:ascii="新宋体" w:hAnsi="新宋体" w:eastAsia="新宋体" w:cs="新宋体"/>
                          <w:sz w:val="28"/>
                          <w:szCs w:val="28"/>
                        </w:rPr>
                      </w:pPr>
                      <w:r>
                        <w:rPr>
                          <w:rFonts w:hint="eastAsia" w:ascii="Times New Roman" w:eastAsia="黑体"/>
                          <w:b w:val="0"/>
                          <w:spacing w:val="0"/>
                          <w:w w:val="100"/>
                          <w:sz w:val="32"/>
                          <w:szCs w:val="32"/>
                        </w:rPr>
                        <w:t>中华人民共和国国家市场监督管理总局</w:t>
                      </w:r>
                    </w:p>
                    <w:p>
                      <w:pPr>
                        <w:pStyle w:val="48"/>
                        <w:ind w:firstLine="0" w:firstLineChars="0"/>
                        <w:jc w:val="distribute"/>
                        <w:rPr>
                          <w:b/>
                          <w:spacing w:val="20"/>
                          <w:w w:val="135"/>
                          <w:sz w:val="28"/>
                          <w:szCs w:val="28"/>
                        </w:rPr>
                      </w:pPr>
                    </w:p>
                    <w:p>
                      <w:pPr>
                        <w:pStyle w:val="48"/>
                        <w:ind w:firstLine="560"/>
                        <w:jc w:val="distribute"/>
                        <w:rPr>
                          <w:sz w:val="28"/>
                          <w:szCs w:val="28"/>
                        </w:rPr>
                      </w:pPr>
                    </w:p>
                    <w:p>
                      <w:pPr>
                        <w:pStyle w:val="48"/>
                        <w:ind w:firstLine="560"/>
                        <w:jc w:val="distribute"/>
                        <w:rPr>
                          <w:sz w:val="28"/>
                          <w:szCs w:val="28"/>
                        </w:rPr>
                      </w:pPr>
                    </w:p>
                  </w:txbxContent>
                </v:textbox>
                <w10:anchorlock/>
              </v:shape>
            </w:pict>
          </mc:Fallback>
        </mc:AlternateContent>
      </w:r>
      <w:r>
        <w:rPr>
          <w:color w:val="000000"/>
        </w:rPr>
        <w:drawing>
          <wp:anchor distT="0" distB="0" distL="114300" distR="114300" simplePos="0" relativeHeight="251667456" behindDoc="0" locked="1" layoutInCell="0" allowOverlap="1">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 xmlns:a="http://schemas.openxmlformats.org/drawingml/2006/main">
              <a:graphicData uri="http://schemas.openxmlformats.org/drawingml/2006/picture">
                <pic:pic xmlns:pic="http://schemas.openxmlformats.org/drawingml/2006/picture">
                  <pic:nvPicPr>
                    <pic:cNvPr id="21" name="HBPicture" descr="GB"/>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39545" cy="720090"/>
                    </a:xfrm>
                    <a:prstGeom prst="rect">
                      <a:avLst/>
                    </a:prstGeom>
                    <a:noFill/>
                    <a:ln>
                      <a:noFill/>
                    </a:ln>
                  </pic:spPr>
                </pic:pic>
              </a:graphicData>
            </a:graphic>
          </wp:anchor>
        </w:drawing>
      </w:r>
      <w:r>
        <w:rPr>
          <w:color w:val="000000"/>
        </w:rPr>
        <mc:AlternateContent>
          <mc:Choice Requires="wps">
            <w:drawing>
              <wp:anchor distT="0" distB="0" distL="114300" distR="114300" simplePos="0" relativeHeight="251664384" behindDoc="0" locked="1" layoutInCell="0" allowOverlap="1">
                <wp:simplePos x="0" y="0"/>
                <wp:positionH relativeFrom="margin">
                  <wp:posOffset>913130</wp:posOffset>
                </wp:positionH>
                <wp:positionV relativeFrom="margin">
                  <wp:posOffset>9273540</wp:posOffset>
                </wp:positionV>
                <wp:extent cx="3743960" cy="347345"/>
                <wp:effectExtent l="0" t="0" r="8890" b="0"/>
                <wp:wrapNone/>
                <wp:docPr id="20" name="fmFrame7"/>
                <wp:cNvGraphicFramePr/>
                <a:graphic xmlns:a="http://schemas.openxmlformats.org/drawingml/2006/main">
                  <a:graphicData uri="http://schemas.microsoft.com/office/word/2010/wordprocessingShape">
                    <wps:wsp>
                      <wps:cNvSpPr txBox="1">
                        <a:spLocks noChangeArrowheads="1"/>
                      </wps:cNvSpPr>
                      <wps:spPr bwMode="auto">
                        <a:xfrm>
                          <a:off x="0" y="0"/>
                          <a:ext cx="3743960" cy="347345"/>
                        </a:xfrm>
                        <a:prstGeom prst="rect">
                          <a:avLst/>
                        </a:prstGeom>
                        <a:solidFill>
                          <a:srgbClr val="FFFFFF"/>
                        </a:solidFill>
                        <a:ln>
                          <a:noFill/>
                        </a:ln>
                        <a:effectLst/>
                      </wps:spPr>
                      <wps:txbx>
                        <w:txbxContent>
                          <w:p>
                            <w:pPr>
                              <w:pStyle w:val="72"/>
                              <w:jc w:val="distribute"/>
                              <w:rPr>
                                <w:rFonts w:ascii="Times New Roman" w:eastAsia="黑体"/>
                                <w:b w:val="0"/>
                                <w:spacing w:val="0"/>
                                <w:w w:val="100"/>
                                <w:sz w:val="32"/>
                                <w:szCs w:val="32"/>
                              </w:rPr>
                            </w:pPr>
                            <w:r>
                              <w:rPr>
                                <w:rFonts w:hint="eastAsia" w:ascii="Times New Roman" w:eastAsia="黑体"/>
                                <w:b w:val="0"/>
                                <w:spacing w:val="0"/>
                                <w:w w:val="100"/>
                                <w:sz w:val="32"/>
                                <w:szCs w:val="32"/>
                              </w:rPr>
                              <w:t>中国国家标准化管理委员会</w:t>
                            </w:r>
                          </w:p>
                          <w:p>
                            <w:pPr>
                              <w:pStyle w:val="72"/>
                              <w:jc w:val="distribute"/>
                              <w:rPr>
                                <w:rFonts w:ascii="Times New Roman" w:eastAsia="黑体"/>
                                <w:b w:val="0"/>
                                <w:spacing w:val="0"/>
                                <w:w w:val="100"/>
                                <w:sz w:val="32"/>
                                <w:szCs w:val="32"/>
                              </w:rPr>
                            </w:pPr>
                          </w:p>
                          <w:p>
                            <w:pPr>
                              <w:pStyle w:val="48"/>
                              <w:ind w:firstLine="420"/>
                              <w:jc w:val="distribute"/>
                            </w:pPr>
                          </w:p>
                          <w:p>
                            <w:pPr>
                              <w:pStyle w:val="48"/>
                              <w:ind w:firstLine="420"/>
                              <w:jc w:val="distribute"/>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71.9pt;margin-top:730.2pt;height:27.35pt;width:294.8pt;mso-position-horizontal-relative:margin;mso-position-vertical-relative:margin;z-index:251664384;mso-width-relative:page;mso-height-relative:page;" fillcolor="#FFFFFF" filled="t" stroked="f" coordsize="21600,21600" o:allowincell="f" o:gfxdata="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FGtXZAAAADQEAAA8A&#10;AAAAAAAAAQAgAAAAIgAAAGRycy9kb3ducmV2LnhtbFBLAQIUABQAAAAIAIdO4kAHHhzsFgIAADoE&#10;AAAOAAAAAAAAAAEAIAAAACgBAABkcnMvZTJvRG9jLnhtbFBLBQYAAAAABgAGAFkBAACwBQAAAAA=&#10;">
                <v:fill on="t" focussize="0,0"/>
                <v:stroke on="f"/>
                <v:imagedata o:title=""/>
                <o:lock v:ext="edit" aspectratio="f"/>
                <v:textbox inset="0mm,0mm,0mm,0mm">
                  <w:txbxContent>
                    <w:p>
                      <w:pPr>
                        <w:pStyle w:val="72"/>
                        <w:jc w:val="distribute"/>
                        <w:rPr>
                          <w:rFonts w:ascii="Times New Roman" w:eastAsia="黑体"/>
                          <w:b w:val="0"/>
                          <w:spacing w:val="0"/>
                          <w:w w:val="100"/>
                          <w:sz w:val="32"/>
                          <w:szCs w:val="32"/>
                        </w:rPr>
                      </w:pPr>
                      <w:r>
                        <w:rPr>
                          <w:rFonts w:hint="eastAsia" w:ascii="Times New Roman" w:eastAsia="黑体"/>
                          <w:b w:val="0"/>
                          <w:spacing w:val="0"/>
                          <w:w w:val="100"/>
                          <w:sz w:val="32"/>
                          <w:szCs w:val="32"/>
                        </w:rPr>
                        <w:t>中国国家标准化管理委员会</w:t>
                      </w:r>
                    </w:p>
                    <w:p>
                      <w:pPr>
                        <w:pStyle w:val="72"/>
                        <w:jc w:val="distribute"/>
                        <w:rPr>
                          <w:rFonts w:ascii="Times New Roman" w:eastAsia="黑体"/>
                          <w:b w:val="0"/>
                          <w:spacing w:val="0"/>
                          <w:w w:val="100"/>
                          <w:sz w:val="32"/>
                          <w:szCs w:val="32"/>
                        </w:rPr>
                      </w:pPr>
                    </w:p>
                    <w:p>
                      <w:pPr>
                        <w:pStyle w:val="48"/>
                        <w:ind w:firstLine="420"/>
                        <w:jc w:val="distribute"/>
                      </w:pPr>
                    </w:p>
                    <w:p>
                      <w:pPr>
                        <w:pStyle w:val="48"/>
                        <w:ind w:firstLine="420"/>
                        <w:jc w:val="distribute"/>
                      </w:pPr>
                    </w:p>
                  </w:txbxContent>
                </v:textbox>
                <w10:anchorlock/>
              </v:shape>
            </w:pict>
          </mc:Fallback>
        </mc:AlternateContent>
      </w:r>
      <w:r>
        <w:rPr>
          <w:color w:val="000000"/>
        </w:rPr>
        <mc:AlternateContent>
          <mc:Choice Requires="wps">
            <w:drawing>
              <wp:anchor distT="0" distB="0" distL="114300" distR="114300" simplePos="0" relativeHeight="251663360" behindDoc="0" locked="1" layoutInCell="1" allowOverlap="1">
                <wp:simplePos x="0" y="0"/>
                <wp:positionH relativeFrom="margin">
                  <wp:posOffset>4000500</wp:posOffset>
                </wp:positionH>
                <wp:positionV relativeFrom="margin">
                  <wp:posOffset>8559165</wp:posOffset>
                </wp:positionV>
                <wp:extent cx="2019300" cy="312420"/>
                <wp:effectExtent l="0" t="0" r="0" b="0"/>
                <wp:wrapNone/>
                <wp:docPr id="19"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2"/>
                            </w:pPr>
                            <w:r>
                              <w:rPr>
                                <w:rFonts w:hint="eastAsia"/>
                              </w:rPr>
                              <w:t>20</w:t>
                            </w:r>
                            <w:r>
                              <w:t>2</w:t>
                            </w:r>
                            <w:r>
                              <w:rPr>
                                <w:rFonts w:hint="eastAsia"/>
                                <w:color w:val="000000"/>
                              </w:rPr>
                              <w:t>X-XX-XX</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15pt;margin-top:673.95pt;height:24.6pt;width:159pt;mso-position-horizontal-relative:margin;mso-position-vertical-relative:margin;z-index:251663360;mso-width-relative:page;mso-height-relative:page;" fillcolor="#FFFFFF" filled="t" stroked="f" coordsize="21600,21600" o:gfxdata="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ZMhj9oAAAANAQAADwAAAAAAAAAB&#10;ACAAAAAiAAAAZHJzL2Rvd25yZXYueG1sUEsBAhQAFAAAAAgAh07iQKQz/4UOAgAALAQAAA4AAAAA&#10;AAAAAQAgAAAAKQEAAGRycy9lMm9Eb2MueG1sUEsFBgAAAAAGAAYAWQEAAKkFAAAAAA==&#10;">
                <v:fill on="t" focussize="0,0"/>
                <v:stroke on="f"/>
                <v:imagedata o:title=""/>
                <o:lock v:ext="edit" aspectratio="f"/>
                <v:textbox inset="0mm,0mm,0mm,0mm">
                  <w:txbxContent>
                    <w:p>
                      <w:pPr>
                        <w:pStyle w:val="62"/>
                      </w:pPr>
                      <w:r>
                        <w:rPr>
                          <w:rFonts w:hint="eastAsia"/>
                        </w:rPr>
                        <w:t>20</w:t>
                      </w:r>
                      <w:r>
                        <w:t>2</w:t>
                      </w:r>
                      <w:r>
                        <w:rPr>
                          <w:rFonts w:hint="eastAsia"/>
                          <w:color w:val="000000"/>
                        </w:rPr>
                        <w:t>X-XX-XX</w:t>
                      </w:r>
                      <w:r>
                        <w:rPr>
                          <w:rFonts w:hint="eastAsia"/>
                        </w:rPr>
                        <w:t>实施</w:t>
                      </w:r>
                    </w:p>
                  </w:txbxContent>
                </v:textbox>
                <w10:anchorlock/>
              </v:shape>
            </w:pict>
          </mc:Fallback>
        </mc:AlternateContent>
      </w:r>
      <w:r>
        <w:rPr>
          <w:color w:val="00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8559800</wp:posOffset>
                </wp:positionV>
                <wp:extent cx="2019300" cy="312420"/>
                <wp:effectExtent l="0" t="0" r="0" b="0"/>
                <wp:wrapNone/>
                <wp:docPr id="18"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3"/>
                              <w:rPr>
                                <w:color w:val="000000"/>
                              </w:rPr>
                            </w:pPr>
                            <w:r>
                              <w:rPr>
                                <w:rFonts w:hint="eastAsia"/>
                              </w:rPr>
                              <w:t>20</w:t>
                            </w:r>
                            <w:r>
                              <w:rPr>
                                <w:color w:val="000000"/>
                              </w:rPr>
                              <w:t>2</w:t>
                            </w:r>
                            <w:r>
                              <w:rPr>
                                <w:rFonts w:hint="eastAsia"/>
                                <w:color w:val="000000"/>
                              </w:rPr>
                              <w:t>X-XX-XX发布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pt;height:24.6pt;width:159pt;mso-position-horizontal-relative:margin;mso-position-vertical-relative:margin;z-index:251662336;mso-width-relative:page;mso-height-relative:page;" fillcolor="#FFFFFF" filled="t" stroked="f" coordsize="21600,21600" o:gfxdata="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lLQ9u1gAAAAoBAAAPAAAAAAAAAAEAIAAA&#10;ACIAAABkcnMvZG93bnJldi54bWxQSwECFAAUAAAACACHTuJAWtG4Qg4CAAAsBAAADgAAAAAAAAAB&#10;ACAAAAAlAQAAZHJzL2Uyb0RvYy54bWxQSwUGAAAAAAYABgBZAQAApQUAAAAA&#10;">
                <v:fill on="t" focussize="0,0"/>
                <v:stroke on="f"/>
                <v:imagedata o:title=""/>
                <o:lock v:ext="edit" aspectratio="f"/>
                <v:textbox inset="0mm,0mm,0mm,0mm">
                  <w:txbxContent>
                    <w:p>
                      <w:pPr>
                        <w:pStyle w:val="63"/>
                        <w:rPr>
                          <w:color w:val="000000"/>
                        </w:rPr>
                      </w:pPr>
                      <w:r>
                        <w:rPr>
                          <w:rFonts w:hint="eastAsia"/>
                        </w:rPr>
                        <w:t>20</w:t>
                      </w:r>
                      <w:r>
                        <w:rPr>
                          <w:color w:val="000000"/>
                        </w:rPr>
                        <w:t>2</w:t>
                      </w:r>
                      <w:r>
                        <w:rPr>
                          <w:rFonts w:hint="eastAsia"/>
                          <w:color w:val="000000"/>
                        </w:rPr>
                        <w:t>X-XX-XX发布</w:t>
                      </w:r>
                    </w:p>
                  </w:txbxContent>
                </v:textbox>
                <w10:anchorlock/>
              </v:shape>
            </w:pict>
          </mc:Fallback>
        </mc:AlternateContent>
      </w:r>
      <w:r>
        <w:rPr>
          <w:color w:val="000000"/>
        </w:rPr>
        <mc:AlternateContent>
          <mc:Choice Requires="wps">
            <w:drawing>
              <wp:anchor distT="0" distB="0" distL="114300" distR="114300" simplePos="0" relativeHeight="251661312" behindDoc="0" locked="1" layoutInCell="0" allowOverlap="1">
                <wp:simplePos x="0" y="0"/>
                <wp:positionH relativeFrom="margin">
                  <wp:align>right</wp:align>
                </wp:positionH>
                <wp:positionV relativeFrom="margin">
                  <wp:posOffset>3785870</wp:posOffset>
                </wp:positionV>
                <wp:extent cx="6121400" cy="3738245"/>
                <wp:effectExtent l="0" t="0" r="0" b="0"/>
                <wp:wrapNone/>
                <wp:docPr id="17" name="fmFrame4"/>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wps:spPr>
                      <wps:txbx>
                        <w:txbxContent>
                          <w:p>
                            <w:pPr>
                              <w:pStyle w:val="112"/>
                              <w:rPr>
                                <w:rFonts w:hint="eastAsia"/>
                              </w:rPr>
                            </w:pPr>
                            <w:r>
                              <w:rPr>
                                <w:rFonts w:hint="eastAsia"/>
                              </w:rPr>
                              <w:t>稀土金属及其氧化物中非稀土杂质</w:t>
                            </w:r>
                          </w:p>
                          <w:p>
                            <w:pPr>
                              <w:pStyle w:val="112"/>
                              <w:rPr>
                                <w:rFonts w:hint="eastAsia"/>
                              </w:rPr>
                            </w:pPr>
                            <w:r>
                              <w:rPr>
                                <w:rFonts w:hint="eastAsia"/>
                              </w:rPr>
                              <w:t>化学分析方法 第12部分：钍、铀量的测定</w:t>
                            </w:r>
                          </w:p>
                          <w:p>
                            <w:pPr>
                              <w:pStyle w:val="83"/>
                              <w:shd w:val="clear" w:color="auto" w:fill="FFFFFF"/>
                              <w:spacing w:before="567" w:beforeAutospacing="0" w:after="0" w:line="330" w:lineRule="exact"/>
                              <w:ind w:firstLine="567"/>
                              <w:jc w:val="center"/>
                              <w:rPr>
                                <w:rFonts w:hint="eastAsia" w:ascii="Times New Roman" w:hAnsi="Times New Roman" w:eastAsia="黑体" w:cs="Times New Roman"/>
                                <w:color w:val="auto"/>
                                <w:sz w:val="28"/>
                              </w:rPr>
                            </w:pPr>
                            <w:r>
                              <w:rPr>
                                <w:rFonts w:hint="eastAsia" w:ascii="Times New Roman" w:hAnsi="Times New Roman" w:eastAsia="黑体" w:cs="Times New Roman"/>
                                <w:color w:val="auto"/>
                                <w:sz w:val="28"/>
                              </w:rPr>
                              <w:t>Chemical analysis methods for non-rare earth impurities of rare earth metals and their oxides—Part 12: Determination of thorium and uranium contents</w:t>
                            </w:r>
                          </w:p>
                          <w:p>
                            <w:pPr>
                              <w:pStyle w:val="96"/>
                            </w:pPr>
                            <w:r>
                              <w:rPr>
                                <w:rFonts w:hint="eastAsia"/>
                              </w:rPr>
                              <w:t>(预审稿)</w:t>
                            </w:r>
                          </w:p>
                          <w:p>
                            <w:pPr>
                              <w:pStyle w:val="113"/>
                            </w:pPr>
                          </w:p>
                          <w:p>
                            <w:pPr>
                              <w:pStyle w:val="76"/>
                              <w:jc w:val="both"/>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top:298.1pt;height:294.35pt;width:482pt;mso-position-horizontal:right;mso-position-horizontal-relative:margin;mso-position-vertical-relative:margin;z-index:251661312;mso-width-relative:page;mso-height-relative:page;" fillcolor="#FFFFFF" filled="t" stroked="f" coordsize="21600,21600" o:allowincell="f" o:gfxdata="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3vWmzYAAAACQEAAA8AAAAAAAAA&#10;AQAgAAAAIgAAAGRycy9kb3ducmV2LnhtbFBLAQIUABQAAAAIAIdO4kDcXG0BEQIAAC0EAAAOAAAA&#10;AAAAAAEAIAAAACcBAABkcnMvZTJvRG9jLnhtbFBLBQYAAAAABgAGAFkBAACqBQAAAAA=&#10;">
                <v:fill on="t" focussize="0,0"/>
                <v:stroke on="f"/>
                <v:imagedata o:title=""/>
                <o:lock v:ext="edit" aspectratio="f"/>
                <v:textbox inset="0mm,0mm,0mm,0mm">
                  <w:txbxContent>
                    <w:p>
                      <w:pPr>
                        <w:pStyle w:val="112"/>
                        <w:rPr>
                          <w:rFonts w:hint="eastAsia"/>
                        </w:rPr>
                      </w:pPr>
                      <w:r>
                        <w:rPr>
                          <w:rFonts w:hint="eastAsia"/>
                        </w:rPr>
                        <w:t>稀土金属及其氧化物中非稀土杂质</w:t>
                      </w:r>
                    </w:p>
                    <w:p>
                      <w:pPr>
                        <w:pStyle w:val="112"/>
                        <w:rPr>
                          <w:rFonts w:hint="eastAsia"/>
                        </w:rPr>
                      </w:pPr>
                      <w:r>
                        <w:rPr>
                          <w:rFonts w:hint="eastAsia"/>
                        </w:rPr>
                        <w:t>化学分析方法 第12部分：钍、铀量的测定</w:t>
                      </w:r>
                    </w:p>
                    <w:p>
                      <w:pPr>
                        <w:pStyle w:val="83"/>
                        <w:shd w:val="clear" w:color="auto" w:fill="FFFFFF"/>
                        <w:spacing w:before="567" w:beforeAutospacing="0" w:after="0" w:line="330" w:lineRule="exact"/>
                        <w:ind w:firstLine="567"/>
                        <w:jc w:val="center"/>
                        <w:rPr>
                          <w:rFonts w:hint="eastAsia" w:ascii="Times New Roman" w:hAnsi="Times New Roman" w:eastAsia="黑体" w:cs="Times New Roman"/>
                          <w:color w:val="auto"/>
                          <w:sz w:val="28"/>
                        </w:rPr>
                      </w:pPr>
                      <w:r>
                        <w:rPr>
                          <w:rFonts w:hint="eastAsia" w:ascii="Times New Roman" w:hAnsi="Times New Roman" w:eastAsia="黑体" w:cs="Times New Roman"/>
                          <w:color w:val="auto"/>
                          <w:sz w:val="28"/>
                        </w:rPr>
                        <w:t>Chemical analysis methods for non-rare earth impurities of rare earth metals and their oxides—Part 12: Determination of thorium and uranium contents</w:t>
                      </w:r>
                    </w:p>
                    <w:p>
                      <w:pPr>
                        <w:pStyle w:val="96"/>
                      </w:pPr>
                      <w:r>
                        <w:rPr>
                          <w:rFonts w:hint="eastAsia"/>
                        </w:rPr>
                        <w:t>(预审稿)</w:t>
                      </w:r>
                    </w:p>
                    <w:p>
                      <w:pPr>
                        <w:pStyle w:val="113"/>
                      </w:pPr>
                    </w:p>
                    <w:p>
                      <w:pPr>
                        <w:pStyle w:val="76"/>
                        <w:jc w:val="both"/>
                      </w:pPr>
                    </w:p>
                  </w:txbxContent>
                </v:textbox>
                <w10:anchorlock/>
              </v:shape>
            </w:pict>
          </mc:Fallback>
        </mc:AlternateContent>
      </w:r>
      <w:r>
        <w:rPr>
          <w:color w:val="000000"/>
        </w:rPr>
        <mc:AlternateContent>
          <mc:Choice Requires="wps">
            <w:drawing>
              <wp:anchor distT="0" distB="0" distL="114300" distR="114300" simplePos="0" relativeHeight="251660288" behindDoc="0" locked="1" layoutInCell="0" allowOverlap="1">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pPr>
                              <w:pStyle w:val="104"/>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5.25pt;margin-top:83.75pt;height:30.8pt;width:477.75pt;mso-position-horizontal-relative:margin;mso-position-vertical-relative:margin;z-index:251660288;mso-width-relative:page;mso-height-relative:page;" fillcolor="#FFFFFF" filled="t" stroked="f" coordsize="21600,21600" o:allowincell="f" o:gfxdata="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WtUKdgAAAAKAQAADwAAAAAAAAAB&#10;ACAAAAAiAAAAZHJzL2Rvd25yZXYueG1sUEsBAhQAFAAAAAgAh07iQJGcFosQAgAALAQAAA4AAAAA&#10;AAAAAQAgAAAAJwEAAGRycy9lMm9Eb2MueG1sUEsFBgAAAAAGAAYAWQEAAKkFAAAAAA==&#10;">
                <v:fill on="t" focussize="0,0"/>
                <v:stroke on="f"/>
                <v:imagedata o:title=""/>
                <o:lock v:ext="edit" aspectratio="f"/>
                <v:textbox inset="0mm,0mm,0mm,0mm">
                  <w:txbxContent>
                    <w:p>
                      <w:pPr>
                        <w:pStyle w:val="104"/>
                      </w:pPr>
                      <w:r>
                        <w:rPr>
                          <w:rFonts w:hint="eastAsia"/>
                        </w:rPr>
                        <w:t>中华人民共和国国家标准</w:t>
                      </w:r>
                    </w:p>
                  </w:txbxContent>
                </v:textbox>
                <w10:anchorlock/>
              </v:shape>
            </w:pict>
          </mc:Fallback>
        </mc:AlternateContent>
      </w:r>
      <w:r>
        <w:rPr>
          <w:color w:val="000000"/>
        </w:rPr>
        <mc:AlternateContent>
          <mc:Choice Requires="wps">
            <w:drawing>
              <wp:anchor distT="0" distB="0" distL="114300" distR="114300" simplePos="0" relativeHeight="251659264" behindDoc="0" locked="1" layoutInCell="0" allowOverlap="1">
                <wp:simplePos x="0" y="0"/>
                <wp:positionH relativeFrom="margin">
                  <wp:posOffset>-5080</wp:posOffset>
                </wp:positionH>
                <wp:positionV relativeFrom="margin">
                  <wp:posOffset>-17145</wp:posOffset>
                </wp:positionV>
                <wp:extent cx="923925" cy="390525"/>
                <wp:effectExtent l="0" t="0" r="9525" b="9525"/>
                <wp:wrapNone/>
                <wp:docPr id="15" name="fmFrame1"/>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wps:spPr>
                      <wps:txbx>
                        <w:txbxContent>
                          <w:p>
                            <w:pPr>
                              <w:pStyle w:val="99"/>
                            </w:pPr>
                            <w:r>
                              <w:t>ICS 77.120</w:t>
                            </w:r>
                            <w:r>
                              <w:rPr>
                                <w:rFonts w:hint="eastAsia"/>
                              </w:rPr>
                              <w:t>.99</w:t>
                            </w:r>
                          </w:p>
                          <w:p>
                            <w:pPr>
                              <w:pStyle w:val="99"/>
                            </w:pPr>
                            <w:r>
                              <w:t xml:space="preserve">H </w:t>
                            </w:r>
                            <w:r>
                              <w:rPr>
                                <w:rFonts w:hint="eastAsia"/>
                              </w:rPr>
                              <w:t>14</w:t>
                            </w:r>
                          </w:p>
                          <w:p>
                            <w:pPr>
                              <w:pStyle w:val="99"/>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4pt;margin-top:-1.35pt;height:30.75pt;width:72.75pt;mso-position-horizontal-relative:margin;mso-position-vertical-relative:margin;z-index:251659264;mso-width-relative:page;mso-height-relative:page;" fillcolor="#FFFFFF" filled="t" stroked="f" coordsize="21600,21600" o:allowincell="f" o:gfxdata="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rUZ4dUAAAAHAQAADwAAAAAAAAABACAAAAAi&#10;AAAAZHJzL2Rvd25yZXYueG1sUEsBAhQAFAAAAAgAh07iQMAlzqgNAgAAKwQAAA4AAAAAAAAAAQAg&#10;AAAAJAEAAGRycy9lMm9Eb2MueG1sUEsFBgAAAAAGAAYAWQEAAKMFAAAAAA==&#10;">
                <v:fill on="t" focussize="0,0"/>
                <v:stroke on="f"/>
                <v:imagedata o:title=""/>
                <o:lock v:ext="edit" aspectratio="f"/>
                <v:textbox inset="0mm,0mm,0mm,0mm">
                  <w:txbxContent>
                    <w:p>
                      <w:pPr>
                        <w:pStyle w:val="99"/>
                      </w:pPr>
                      <w:r>
                        <w:t>ICS 77.120</w:t>
                      </w:r>
                      <w:r>
                        <w:rPr>
                          <w:rFonts w:hint="eastAsia"/>
                        </w:rPr>
                        <w:t>.99</w:t>
                      </w:r>
                    </w:p>
                    <w:p>
                      <w:pPr>
                        <w:pStyle w:val="99"/>
                      </w:pPr>
                      <w:r>
                        <w:t xml:space="preserve">H </w:t>
                      </w:r>
                      <w:r>
                        <w:rPr>
                          <w:rFonts w:hint="eastAsia"/>
                        </w:rPr>
                        <w:t>14</w:t>
                      </w:r>
                    </w:p>
                    <w:p>
                      <w:pPr>
                        <w:pStyle w:val="99"/>
                      </w:pPr>
                    </w:p>
                  </w:txbxContent>
                </v:textbox>
                <w10:anchorlock/>
              </v:shape>
            </w:pict>
          </mc:Fallback>
        </mc:AlternateContent>
      </w:r>
    </w:p>
    <w:p>
      <w:pPr>
        <w:rPr>
          <w:color w:val="000000"/>
        </w:rPr>
      </w:pPr>
      <w:r>
        <w:rPr>
          <w:rFonts w:hint="eastAsia"/>
          <w:color w:val="000000"/>
        </w:rPr>
        <w:t>CCSc</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w:rPr>
          <w:color w:val="000000"/>
        </w:rPr>
        <mc:AlternateContent>
          <mc:Choice Requires="wps">
            <w:drawing>
              <wp:anchor distT="0" distB="0" distL="114300" distR="114300" simplePos="0" relativeHeight="251670528" behindDoc="0" locked="0" layoutInCell="1" allowOverlap="1">
                <wp:simplePos x="0" y="0"/>
                <wp:positionH relativeFrom="margin">
                  <wp:posOffset>269240</wp:posOffset>
                </wp:positionH>
                <wp:positionV relativeFrom="paragraph">
                  <wp:posOffset>60325</wp:posOffset>
                </wp:positionV>
                <wp:extent cx="5716905" cy="486410"/>
                <wp:effectExtent l="0" t="0" r="0" b="8890"/>
                <wp:wrapNone/>
                <wp:docPr id="14"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5716905" cy="486410"/>
                        </a:xfrm>
                        <a:prstGeom prst="rect">
                          <a:avLst/>
                        </a:prstGeom>
                        <a:noFill/>
                        <a:ln>
                          <a:noFill/>
                        </a:ln>
                      </wps:spPr>
                      <wps:txbx>
                        <w:txbxContent>
                          <w:p>
                            <w:pPr>
                              <w:spacing w:line="280" w:lineRule="exact"/>
                              <w:jc w:val="right"/>
                              <w:rPr>
                                <w:rFonts w:ascii="黑体" w:hAnsi="黑体" w:eastAsia="黑体"/>
                                <w:sz w:val="28"/>
                              </w:rPr>
                            </w:pPr>
                            <w:r>
                              <w:rPr>
                                <w:rFonts w:ascii="黑体" w:hAnsi="黑体" w:eastAsia="黑体"/>
                                <w:sz w:val="28"/>
                              </w:rPr>
                              <w:t>GB/T</w:t>
                            </w:r>
                            <w:r>
                              <w:rPr>
                                <w:rFonts w:hint="eastAsia" w:ascii="黑体" w:hAnsi="黑体" w:eastAsia="黑体"/>
                                <w:sz w:val="28"/>
                                <w:lang w:val="en-US" w:eastAsia="zh-CN"/>
                              </w:rPr>
                              <w:t xml:space="preserve"> 12690.12</w:t>
                            </w:r>
                            <w:r>
                              <w:rPr>
                                <w:rFonts w:ascii="黑体" w:hAnsi="黑体" w:eastAsia="黑体"/>
                                <w:sz w:val="28"/>
                              </w:rPr>
                              <w:t>—202X</w:t>
                            </w:r>
                          </w:p>
                          <w:p>
                            <w:pPr>
                              <w:wordWrap w:val="0"/>
                              <w:spacing w:line="280" w:lineRule="exact"/>
                              <w:jc w:val="right"/>
                              <w:rPr>
                                <w:rFonts w:hint="default" w:ascii="黑体" w:hAnsi="黑体" w:eastAsia="黑体"/>
                                <w:sz w:val="22"/>
                                <w:szCs w:val="21"/>
                                <w:lang w:val="en-US" w:eastAsia="zh-CN"/>
                              </w:rPr>
                            </w:pPr>
                            <w:r>
                              <w:rPr>
                                <w:rFonts w:hint="eastAsia" w:ascii="黑体" w:hAnsi="黑体" w:eastAsia="黑体"/>
                                <w:sz w:val="22"/>
                                <w:szCs w:val="21"/>
                                <w:lang w:val="en-US" w:eastAsia="zh-CN"/>
                              </w:rPr>
                              <w:t>代替GB/T 12690.12-2003</w:t>
                            </w:r>
                          </w:p>
                        </w:txbxContent>
                      </wps:txbx>
                      <wps:bodyPr rot="0" vert="horz" wrap="square" lIns="91440" tIns="45720" rIns="91440" bIns="45720" anchor="t" anchorCtr="0" upright="1">
                        <a:noAutofit/>
                      </wps:bodyPr>
                    </wps:wsp>
                  </a:graphicData>
                </a:graphic>
              </wp:anchor>
            </w:drawing>
          </mc:Choice>
          <mc:Fallback>
            <w:pict>
              <v:shape id="文本框 40" o:spid="_x0000_s1026" o:spt="202" type="#_x0000_t202" style="position:absolute;left:0pt;margin-left:21.2pt;margin-top:4.75pt;height:38.3pt;width:450.15pt;mso-position-horizontal-relative:margin;z-index:251670528;mso-width-relative:page;mso-height-relative:page;" filled="f" stroked="f" coordsize="21600,21600" o:gfxdata="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XO39UAAAAHAQAADwAA&#10;AAAAAAABACAAAAAiAAAAZHJzL2Rvd25yZXYueG1sUEsBAhQAFAAAAAgAh07iQElO530ZAgAAFwQA&#10;AA4AAAAAAAAAAQAgAAAAJAEAAGRycy9lMm9Eb2MueG1sUEsFBgAAAAAGAAYAWQEAAK8FAAAAAA==&#10;">
                <v:fill on="f" focussize="0,0"/>
                <v:stroke on="f"/>
                <v:imagedata o:title=""/>
                <o:lock v:ext="edit" aspectratio="f"/>
                <v:textbox>
                  <w:txbxContent>
                    <w:p>
                      <w:pPr>
                        <w:spacing w:line="280" w:lineRule="exact"/>
                        <w:jc w:val="right"/>
                        <w:rPr>
                          <w:rFonts w:ascii="黑体" w:hAnsi="黑体" w:eastAsia="黑体"/>
                          <w:sz w:val="28"/>
                        </w:rPr>
                      </w:pPr>
                      <w:r>
                        <w:rPr>
                          <w:rFonts w:ascii="黑体" w:hAnsi="黑体" w:eastAsia="黑体"/>
                          <w:sz w:val="28"/>
                        </w:rPr>
                        <w:t>GB/T</w:t>
                      </w:r>
                      <w:r>
                        <w:rPr>
                          <w:rFonts w:hint="eastAsia" w:ascii="黑体" w:hAnsi="黑体" w:eastAsia="黑体"/>
                          <w:sz w:val="28"/>
                          <w:lang w:val="en-US" w:eastAsia="zh-CN"/>
                        </w:rPr>
                        <w:t xml:space="preserve"> 12690.12</w:t>
                      </w:r>
                      <w:r>
                        <w:rPr>
                          <w:rFonts w:ascii="黑体" w:hAnsi="黑体" w:eastAsia="黑体"/>
                          <w:sz w:val="28"/>
                        </w:rPr>
                        <w:t>—202X</w:t>
                      </w:r>
                    </w:p>
                    <w:p>
                      <w:pPr>
                        <w:wordWrap w:val="0"/>
                        <w:spacing w:line="280" w:lineRule="exact"/>
                        <w:jc w:val="right"/>
                        <w:rPr>
                          <w:rFonts w:hint="default" w:ascii="黑体" w:hAnsi="黑体" w:eastAsia="黑体"/>
                          <w:sz w:val="22"/>
                          <w:szCs w:val="21"/>
                          <w:lang w:val="en-US" w:eastAsia="zh-CN"/>
                        </w:rPr>
                      </w:pPr>
                      <w:r>
                        <w:rPr>
                          <w:rFonts w:hint="eastAsia" w:ascii="黑体" w:hAnsi="黑体" w:eastAsia="黑体"/>
                          <w:sz w:val="22"/>
                          <w:szCs w:val="21"/>
                          <w:lang w:val="en-US" w:eastAsia="zh-CN"/>
                        </w:rPr>
                        <w:t>代替GB/T 12690.12-2003</w:t>
                      </w:r>
                    </w:p>
                  </w:txbxContent>
                </v:textbox>
              </v:shape>
            </w:pict>
          </mc:Fallback>
        </mc:AlternateContent>
      </w:r>
    </w:p>
    <w:p>
      <w:pPr>
        <w:rPr>
          <w:color w:val="000000"/>
        </w:rPr>
      </w:pPr>
      <w:r>
        <w:rPr>
          <w:color w:val="000000"/>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351155</wp:posOffset>
                </wp:positionV>
                <wp:extent cx="6121400" cy="0"/>
                <wp:effectExtent l="0" t="0" r="31750" b="19050"/>
                <wp:wrapSquare wrapText="bothSides"/>
                <wp:docPr id="13" name="直线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10" o:spid="_x0000_s1026" o:spt="20" style="position:absolute;left:0pt;margin-left:0pt;margin-top:27.65pt;height:0pt;width:482pt;mso-position-horizontal-relative:margin;mso-wrap-distance-bottom:0pt;mso-wrap-distance-left:9pt;mso-wrap-distance-right:9pt;mso-wrap-distance-top:0pt;z-index:251665408;mso-width-relative:page;mso-height-relative:page;" filled="f" stroked="t" coordsize="21600,21600" o:gfxdata="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lW5nfVAAAABgEAAA8AAAAAAAAA&#10;AQAgAAAAIgAAAGRycy9kb3ducmV2LnhtbFBLAQIUABQAAAAIAIdO4kA+D1+F2wEAALIDAAAOAAAA&#10;AAAAAAEAIAAAACQBAABkcnMvZTJvRG9jLnhtbFBLBQYAAAAABgAGAFkBAABxBQAAAAA=&#10;">
                <v:fill on="f" focussize="0,0"/>
                <v:stroke weight="1pt" color="#000000" joinstyle="round"/>
                <v:imagedata o:title=""/>
                <o:lock v:ext="edit" aspectratio="f"/>
                <w10:wrap type="square"/>
              </v:line>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8916"/>
        </w:tabs>
        <w:jc w:val="left"/>
        <w:rPr>
          <w:color w:val="000000"/>
        </w:rPr>
      </w:pPr>
      <w:r>
        <w:rPr>
          <w:color w:val="000000"/>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4384040</wp:posOffset>
                </wp:positionV>
                <wp:extent cx="6121400" cy="0"/>
                <wp:effectExtent l="0" t="0" r="31750" b="19050"/>
                <wp:wrapSquare wrapText="bothSides"/>
                <wp:docPr id="11" name="直线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直线 11" o:spid="_x0000_s1026" o:spt="20" style="position:absolute;left:0pt;margin-left:0pt;margin-top:345.2pt;height:0pt;width:482pt;mso-position-horizontal-relative:margin;mso-wrap-distance-bottom:0pt;mso-wrap-distance-left:9pt;mso-wrap-distance-right:9pt;mso-wrap-distance-top:0pt;z-index:251666432;mso-width-relative:page;mso-height-relative:page;" filled="f" stroked="t" coordsize="21600,21600" o:gfxdata="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tiuAA1gAAAAgBAAAPAAAAAAAAAAEAIAAA&#10;ACIAAABkcnMvZG93bnJldi54bWxQSwECFAAUAAAACACHTuJAcBg4CdUBAACkAwAADgAAAAAAAAAB&#10;ACAAAAAlAQAAZHJzL2Uyb0RvYy54bWxQSwUGAAAAAAYABgBZAQAAbAUAAAAA&#10;">
                <v:fill on="f" focussize="0,0"/>
                <v:stroke weight="1pt" color="#000000" joinstyle="round"/>
                <v:imagedata o:title=""/>
                <o:lock v:ext="edit" aspectratio="f"/>
                <w10:wrap type="square"/>
              </v:line>
            </w:pict>
          </mc:Fallback>
        </mc:AlternateContent>
      </w:r>
      <w:r>
        <w:rPr>
          <w:rFonts w:hint="eastAsia"/>
          <w:color w:val="000000"/>
        </w:rPr>
        <w:tab/>
      </w: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sectPr>
          <w:headerReference r:id="rId5" w:type="first"/>
          <w:headerReference r:id="rId3" w:type="default"/>
          <w:footerReference r:id="rId6" w:type="default"/>
          <w:headerReference r:id="rId4" w:type="even"/>
          <w:footerReference r:id="rId7" w:type="even"/>
          <w:pgSz w:w="11907" w:h="16839"/>
          <w:pgMar w:top="567" w:right="851" w:bottom="1418" w:left="1418" w:header="0" w:footer="0" w:gutter="0"/>
          <w:pgNumType w:fmt="upperRoman" w:start="1"/>
          <w:cols w:space="720" w:num="1"/>
          <w:titlePg/>
          <w:docGrid w:type="lines" w:linePitch="312" w:charSpace="0"/>
        </w:sectPr>
      </w:pPr>
      <w:r>
        <w:rPr>
          <w:color w:val="000000"/>
        </w:rPr>
        <mc:AlternateContent>
          <mc:Choice Requires="wps">
            <w:drawing>
              <wp:anchor distT="0" distB="0" distL="114300" distR="114300" simplePos="0" relativeHeight="251669504" behindDoc="0" locked="0" layoutInCell="1" allowOverlap="1">
                <wp:simplePos x="0" y="0"/>
                <wp:positionH relativeFrom="column">
                  <wp:posOffset>4739005</wp:posOffset>
                </wp:positionH>
                <wp:positionV relativeFrom="paragraph">
                  <wp:posOffset>1221105</wp:posOffset>
                </wp:positionV>
                <wp:extent cx="621665" cy="471170"/>
                <wp:effectExtent l="0" t="0" r="26035" b="24130"/>
                <wp:wrapNone/>
                <wp:docPr id="12"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621792" cy="471170"/>
                        </a:xfrm>
                        <a:prstGeom prst="rect">
                          <a:avLst/>
                        </a:prstGeom>
                        <a:solidFill>
                          <a:srgbClr val="FFFFFF"/>
                        </a:solidFill>
                        <a:ln w="9525">
                          <a:solidFill>
                            <a:srgbClr val="FFFFFF"/>
                          </a:solidFill>
                          <a:miter lim="800000"/>
                        </a:ln>
                      </wps:spPr>
                      <wps:txb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wps:txbx>
                      <wps:bodyPr rot="0" vert="horz" wrap="square" lIns="91440" tIns="45720" rIns="91440" bIns="45720" anchor="t" anchorCtr="0" upright="1">
                        <a:noAutofit/>
                      </wps:bodyPr>
                    </wps:wsp>
                  </a:graphicData>
                </a:graphic>
              </wp:anchor>
            </w:drawing>
          </mc:Choice>
          <mc:Fallback>
            <w:pict>
              <v:shape id="文本框 26" o:spid="_x0000_s1026" o:spt="202" type="#_x0000_t202" style="position:absolute;left:0pt;margin-left:373.15pt;margin-top:96.15pt;height:37.1pt;width:48.95pt;z-index:251669504;mso-width-relative:page;mso-height-relative:page;" fillcolor="#FFFFFF" filled="t" stroked="t" coordsize="21600,21600" o:gfxdata="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&#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DDLVi2QAAAAsBAAAPAAAAAAAAAAEAIAAAACIAAABk&#10;cnMvZG93bnJldi54bWxQSwECFAAUAAAACACHTuJAQIkv8z4CAACIBAAADgAAAAAAAAABACAAAAAo&#10;AQAAZHJzL2Uyb0RvYy54bWxQSwUGAAAAAAYABgBZAQAA2AUAAAAA&#10;">
                <v:fill on="t" focussize="0,0"/>
                <v:stroke color="#FFFFFF" miterlimit="8" joinstyle="miter"/>
                <v:imagedata o:title=""/>
                <o:lock v:ext="edit" aspectratio="f"/>
                <v:textbo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v:textbox>
              </v:shape>
            </w:pict>
          </mc:Fallback>
        </mc:AlternateContent>
      </w:r>
    </w:p>
    <w:bookmarkEnd w:id="0"/>
    <w:p>
      <w:pPr>
        <w:pStyle w:val="74"/>
        <w:numPr>
          <w:ilvl w:val="0"/>
          <w:numId w:val="0"/>
        </w:numPr>
        <w:spacing w:before="851" w:after="680"/>
        <w:rPr>
          <w:color w:val="000000"/>
        </w:rPr>
      </w:pPr>
      <w:bookmarkStart w:id="1" w:name="SectionMark2"/>
      <w:r>
        <w:rPr>
          <w:rFonts w:hint="eastAsia"/>
          <w:color w:val="000000"/>
        </w:rPr>
        <w:t>前   言</w:t>
      </w:r>
    </w:p>
    <w:bookmarkEnd w:id="1"/>
    <w:p>
      <w:pPr>
        <w:ind w:firstLine="420"/>
        <w:rPr>
          <w:rFonts w:ascii="宋体" w:hAnsi="宋体"/>
        </w:rPr>
      </w:pPr>
      <w:bookmarkStart w:id="2" w:name="SectionMark4"/>
      <w:r>
        <w:rPr>
          <w:rFonts w:hint="eastAsia" w:ascii="宋体" w:hAnsi="宋体"/>
        </w:rPr>
        <w:t>本文件按照</w:t>
      </w:r>
      <w:r>
        <w:rPr>
          <w:rFonts w:ascii="宋体" w:hAnsi="宋体"/>
        </w:rPr>
        <w:t>GB/T</w:t>
      </w:r>
      <w:r>
        <w:rPr>
          <w:rFonts w:hAnsi="宋体"/>
        </w:rPr>
        <w:t> </w:t>
      </w:r>
      <w:r>
        <w:rPr>
          <w:rFonts w:ascii="宋体" w:hAnsi="宋体"/>
        </w:rPr>
        <w:t>1.1-20</w:t>
      </w:r>
      <w:r>
        <w:rPr>
          <w:rFonts w:hint="eastAsia" w:ascii="宋体" w:hAnsi="宋体"/>
        </w:rPr>
        <w:t>20《标准化工作导则</w:t>
      </w:r>
      <w:r>
        <w:t> </w:t>
      </w:r>
      <w:r>
        <w:rPr>
          <w:rFonts w:hint="eastAsia" w:ascii="宋体" w:hAnsi="宋体"/>
        </w:rPr>
        <w:t>第1部分：标准化文件的结构和起草规则》的规定起草。</w:t>
      </w:r>
    </w:p>
    <w:p>
      <w:pPr>
        <w:ind w:firstLine="420"/>
        <w:rPr>
          <w:rFonts w:asciiTheme="minorEastAsia" w:hAnsiTheme="minorEastAsia" w:eastAsiaTheme="minorEastAsia"/>
        </w:rPr>
      </w:pPr>
      <w:r>
        <w:rPr>
          <w:rFonts w:hint="eastAsia" w:ascii="宋体" w:hAnsi="宋体"/>
        </w:rPr>
        <w:t>本</w:t>
      </w:r>
      <w:r>
        <w:rPr>
          <w:rFonts w:ascii="宋体" w:hAnsi="宋体"/>
        </w:rPr>
        <w:t>文件是</w:t>
      </w:r>
      <w:r>
        <w:rPr>
          <w:rFonts w:asciiTheme="minorEastAsia" w:hAnsiTheme="minorEastAsia" w:eastAsiaTheme="minorEastAsia"/>
        </w:rPr>
        <w:t>GB/T</w:t>
      </w:r>
      <w:r>
        <w:rPr>
          <w:rFonts w:hAnsi="宋体"/>
        </w:rPr>
        <w:t> </w:t>
      </w:r>
      <w:r>
        <w:rPr>
          <w:rFonts w:hint="eastAsia" w:asciiTheme="minorEastAsia" w:hAnsiTheme="minorEastAsia" w:eastAsiaTheme="minorEastAsia"/>
          <w:lang w:val="en-US" w:eastAsia="zh-CN"/>
        </w:rPr>
        <w:t>12690</w:t>
      </w:r>
      <w:r>
        <w:rPr>
          <w:rFonts w:asciiTheme="minorEastAsia" w:hAnsiTheme="minorEastAsia" w:eastAsiaTheme="minorEastAsia"/>
        </w:rPr>
        <w:t>《</w:t>
      </w:r>
      <w:r>
        <w:rPr>
          <w:rFonts w:hAnsi="宋体"/>
          <w:szCs w:val="21"/>
        </w:rPr>
        <w:t>稀土金属及其氧化物中非稀土杂质化学分析方法</w:t>
      </w:r>
      <w:r>
        <w:rPr>
          <w:rFonts w:asciiTheme="minorEastAsia" w:hAnsiTheme="minorEastAsia" w:eastAsiaTheme="minorEastAsia"/>
        </w:rPr>
        <w:t>》</w:t>
      </w:r>
      <w:r>
        <w:rPr>
          <w:rFonts w:hint="eastAsia" w:asciiTheme="minorEastAsia" w:hAnsiTheme="minorEastAsia" w:eastAsiaTheme="minorEastAsia"/>
        </w:rPr>
        <w:t>的</w:t>
      </w:r>
      <w:r>
        <w:rPr>
          <w:rFonts w:asciiTheme="minorEastAsia" w:hAnsiTheme="minorEastAsia" w:eastAsiaTheme="minorEastAsia"/>
        </w:rPr>
        <w:t>第</w:t>
      </w:r>
      <w:r>
        <w:rPr>
          <w:rFonts w:hint="eastAsia" w:asciiTheme="minorEastAsia" w:hAnsiTheme="minorEastAsia" w:eastAsiaTheme="minorEastAsia"/>
          <w:lang w:val="en-US" w:eastAsia="zh-CN"/>
        </w:rPr>
        <w:t>12</w:t>
      </w:r>
      <w:r>
        <w:rPr>
          <w:rFonts w:hint="eastAsia" w:asciiTheme="minorEastAsia" w:hAnsiTheme="minorEastAsia" w:eastAsiaTheme="minorEastAsia"/>
        </w:rPr>
        <w:t>部分</w:t>
      </w:r>
      <w:r>
        <w:rPr>
          <w:rFonts w:asciiTheme="minorEastAsia" w:hAnsiTheme="minorEastAsia" w:eastAsiaTheme="minorEastAsia"/>
        </w:rPr>
        <w:t>。GB/T</w:t>
      </w:r>
      <w:r>
        <w:rPr>
          <w:rFonts w:hAnsi="宋体"/>
        </w:rPr>
        <w:t> </w:t>
      </w:r>
      <w:r>
        <w:rPr>
          <w:rFonts w:asciiTheme="minorEastAsia" w:hAnsiTheme="minorEastAsia" w:eastAsiaTheme="minorEastAsia"/>
        </w:rPr>
        <w:t>1</w:t>
      </w:r>
      <w:r>
        <w:rPr>
          <w:rFonts w:hint="eastAsia" w:asciiTheme="minorEastAsia" w:hAnsiTheme="minorEastAsia" w:eastAsiaTheme="minorEastAsia"/>
          <w:lang w:val="en-US" w:eastAsia="zh-CN"/>
        </w:rPr>
        <w:t>2690</w:t>
      </w:r>
      <w:r>
        <w:rPr>
          <w:rFonts w:hint="eastAsia" w:asciiTheme="minorEastAsia" w:hAnsiTheme="minorEastAsia" w:eastAsiaTheme="minorEastAsia"/>
        </w:rPr>
        <w:t>已经</w:t>
      </w:r>
      <w:r>
        <w:rPr>
          <w:rFonts w:asciiTheme="minorEastAsia" w:hAnsiTheme="minorEastAsia" w:eastAsiaTheme="minorEastAsia"/>
        </w:rPr>
        <w:t>发布了以下部分：</w:t>
      </w:r>
    </w:p>
    <w:p>
      <w:pPr>
        <w:pStyle w:val="108"/>
        <w:snapToGrid w:val="0"/>
        <w:spacing w:line="320" w:lineRule="exact"/>
        <w:ind w:firstLine="420" w:firstLineChars="200"/>
        <w:jc w:val="both"/>
        <w:rPr>
          <w:szCs w:val="21"/>
        </w:rPr>
      </w:pPr>
      <w:r>
        <w:rPr>
          <w:szCs w:val="21"/>
        </w:rPr>
        <w:t>――</w:t>
      </w:r>
      <w:r>
        <w:rPr>
          <w:rFonts w:hAnsi="宋体"/>
          <w:szCs w:val="21"/>
        </w:rPr>
        <w:t>第</w:t>
      </w:r>
      <w:r>
        <w:rPr>
          <w:szCs w:val="21"/>
        </w:rPr>
        <w:t>1</w:t>
      </w:r>
      <w:r>
        <w:rPr>
          <w:rFonts w:hAnsi="宋体"/>
          <w:szCs w:val="21"/>
        </w:rPr>
        <w:t>部分：碳、硫量的测定</w:t>
      </w:r>
      <w:r>
        <w:rPr>
          <w:rFonts w:hint="eastAsia" w:hAnsi="宋体"/>
          <w:szCs w:val="21"/>
        </w:rPr>
        <w:t xml:space="preserve">  </w:t>
      </w:r>
      <w:r>
        <w:rPr>
          <w:rFonts w:hAnsi="宋体"/>
          <w:szCs w:val="21"/>
        </w:rPr>
        <w:t>高频</w:t>
      </w:r>
      <w:r>
        <w:rPr>
          <w:szCs w:val="21"/>
        </w:rPr>
        <w:t>-</w:t>
      </w:r>
      <w:r>
        <w:rPr>
          <w:rFonts w:hAnsi="宋体"/>
          <w:szCs w:val="21"/>
        </w:rPr>
        <w:t>红外吸收法；</w:t>
      </w:r>
    </w:p>
    <w:p>
      <w:pPr>
        <w:pStyle w:val="108"/>
        <w:snapToGrid w:val="0"/>
        <w:spacing w:line="320" w:lineRule="exact"/>
        <w:ind w:firstLine="420" w:firstLineChars="200"/>
        <w:jc w:val="both"/>
        <w:rPr>
          <w:szCs w:val="21"/>
        </w:rPr>
      </w:pPr>
      <w:r>
        <w:rPr>
          <w:szCs w:val="21"/>
        </w:rPr>
        <w:t>――</w:t>
      </w:r>
      <w:r>
        <w:rPr>
          <w:rFonts w:hAnsi="宋体"/>
          <w:szCs w:val="21"/>
        </w:rPr>
        <w:t>第</w:t>
      </w:r>
      <w:r>
        <w:rPr>
          <w:szCs w:val="21"/>
        </w:rPr>
        <w:t>2</w:t>
      </w:r>
      <w:r>
        <w:rPr>
          <w:rFonts w:hAnsi="宋体"/>
          <w:szCs w:val="21"/>
        </w:rPr>
        <w:t>部分：稀土氧化物中灼减量的测定</w:t>
      </w:r>
      <w:r>
        <w:rPr>
          <w:rFonts w:hint="eastAsia" w:hAnsi="宋体"/>
          <w:szCs w:val="21"/>
        </w:rPr>
        <w:t xml:space="preserve">  </w:t>
      </w:r>
      <w:r>
        <w:rPr>
          <w:rFonts w:hAnsi="宋体"/>
          <w:szCs w:val="21"/>
        </w:rPr>
        <w:t>重量法；</w:t>
      </w:r>
    </w:p>
    <w:p>
      <w:pPr>
        <w:pStyle w:val="108"/>
        <w:snapToGrid w:val="0"/>
        <w:spacing w:line="320" w:lineRule="exact"/>
        <w:ind w:firstLine="420" w:firstLineChars="200"/>
        <w:jc w:val="both"/>
        <w:rPr>
          <w:szCs w:val="21"/>
        </w:rPr>
      </w:pPr>
      <w:r>
        <w:rPr>
          <w:szCs w:val="21"/>
        </w:rPr>
        <w:t>――</w:t>
      </w:r>
      <w:r>
        <w:rPr>
          <w:rFonts w:hAnsi="宋体"/>
          <w:szCs w:val="21"/>
        </w:rPr>
        <w:t>第</w:t>
      </w:r>
      <w:r>
        <w:rPr>
          <w:szCs w:val="21"/>
        </w:rPr>
        <w:t>3</w:t>
      </w:r>
      <w:r>
        <w:rPr>
          <w:rFonts w:hAnsi="宋体"/>
          <w:szCs w:val="21"/>
        </w:rPr>
        <w:t>部分：稀土氧化物中水分量的测定</w:t>
      </w:r>
      <w:r>
        <w:rPr>
          <w:rFonts w:hint="eastAsia" w:hAnsi="宋体"/>
          <w:szCs w:val="21"/>
        </w:rPr>
        <w:t xml:space="preserve">  </w:t>
      </w:r>
      <w:r>
        <w:rPr>
          <w:rFonts w:hAnsi="宋体"/>
          <w:szCs w:val="21"/>
        </w:rPr>
        <w:t>重量法；</w:t>
      </w:r>
    </w:p>
    <w:p>
      <w:pPr>
        <w:pStyle w:val="108"/>
        <w:snapToGrid w:val="0"/>
        <w:spacing w:line="320" w:lineRule="exact"/>
        <w:ind w:left="735" w:leftChars="200" w:hanging="315" w:hangingChars="150"/>
        <w:jc w:val="both"/>
        <w:rPr>
          <w:szCs w:val="21"/>
        </w:rPr>
      </w:pPr>
      <w:r>
        <w:rPr>
          <w:szCs w:val="21"/>
        </w:rPr>
        <w:t>――</w:t>
      </w:r>
      <w:r>
        <w:rPr>
          <w:rFonts w:hAnsi="宋体"/>
          <w:szCs w:val="21"/>
        </w:rPr>
        <w:t>第</w:t>
      </w:r>
      <w:r>
        <w:rPr>
          <w:szCs w:val="21"/>
        </w:rPr>
        <w:t>4</w:t>
      </w:r>
      <w:r>
        <w:rPr>
          <w:rFonts w:hAnsi="宋体"/>
          <w:szCs w:val="21"/>
        </w:rPr>
        <w:t>部分：氧、氮量的测定</w:t>
      </w:r>
      <w:r>
        <w:rPr>
          <w:rFonts w:hint="eastAsia" w:hAnsi="宋体"/>
          <w:szCs w:val="21"/>
        </w:rPr>
        <w:t xml:space="preserve">  </w:t>
      </w:r>
      <w:r>
        <w:rPr>
          <w:rFonts w:hAnsi="宋体"/>
          <w:szCs w:val="21"/>
        </w:rPr>
        <w:t>脉冲</w:t>
      </w:r>
      <w:r>
        <w:rPr>
          <w:szCs w:val="21"/>
        </w:rPr>
        <w:t>-</w:t>
      </w:r>
      <w:r>
        <w:rPr>
          <w:rFonts w:hAnsi="宋体"/>
          <w:szCs w:val="21"/>
        </w:rPr>
        <w:t>红外吸收法和脉冲</w:t>
      </w:r>
      <w:r>
        <w:rPr>
          <w:szCs w:val="21"/>
        </w:rPr>
        <w:t>-</w:t>
      </w:r>
      <w:r>
        <w:rPr>
          <w:rFonts w:hAnsi="宋体"/>
          <w:szCs w:val="21"/>
        </w:rPr>
        <w:t>热导法；</w:t>
      </w:r>
    </w:p>
    <w:p>
      <w:pPr>
        <w:pStyle w:val="108"/>
        <w:snapToGrid w:val="0"/>
        <w:spacing w:line="320" w:lineRule="exact"/>
        <w:ind w:left="735" w:leftChars="200" w:right="210" w:hanging="315" w:hangingChars="150"/>
        <w:jc w:val="both"/>
        <w:rPr>
          <w:rFonts w:hAnsi="宋体"/>
          <w:szCs w:val="21"/>
        </w:rPr>
      </w:pPr>
      <w:r>
        <w:rPr>
          <w:szCs w:val="21"/>
        </w:rPr>
        <w:t>――</w:t>
      </w:r>
      <w:r>
        <w:rPr>
          <w:rFonts w:hAnsi="宋体"/>
          <w:szCs w:val="21"/>
        </w:rPr>
        <w:t>第</w:t>
      </w:r>
      <w:r>
        <w:rPr>
          <w:szCs w:val="21"/>
        </w:rPr>
        <w:t>5</w:t>
      </w:r>
      <w:r>
        <w:rPr>
          <w:rFonts w:hAnsi="宋体"/>
          <w:szCs w:val="21"/>
        </w:rPr>
        <w:t>部分：</w:t>
      </w:r>
      <w:r>
        <w:rPr>
          <w:rFonts w:hint="eastAsia" w:hAnsi="宋体"/>
          <w:szCs w:val="21"/>
        </w:rPr>
        <w:t>钴、锰、铅、镍、铜、锌、铝、铬、镁、镉、钒、铁量的测定</w:t>
      </w:r>
    </w:p>
    <w:p>
      <w:pPr>
        <w:pStyle w:val="108"/>
        <w:snapToGrid w:val="0"/>
        <w:spacing w:line="320" w:lineRule="exact"/>
        <w:ind w:right="210" w:firstLine="420" w:firstLineChars="200"/>
        <w:jc w:val="both"/>
        <w:rPr>
          <w:szCs w:val="21"/>
        </w:rPr>
      </w:pPr>
      <w:r>
        <w:rPr>
          <w:szCs w:val="21"/>
        </w:rPr>
        <w:t>――</w:t>
      </w:r>
      <w:r>
        <w:rPr>
          <w:rFonts w:hAnsi="宋体"/>
          <w:szCs w:val="21"/>
        </w:rPr>
        <w:t>第</w:t>
      </w:r>
      <w:r>
        <w:rPr>
          <w:szCs w:val="21"/>
        </w:rPr>
        <w:t>6</w:t>
      </w:r>
      <w:r>
        <w:rPr>
          <w:rFonts w:hAnsi="宋体"/>
          <w:szCs w:val="21"/>
        </w:rPr>
        <w:t>部分：铁量的测定</w:t>
      </w:r>
      <w:r>
        <w:rPr>
          <w:rFonts w:hint="eastAsia" w:hAnsi="宋体"/>
          <w:szCs w:val="21"/>
        </w:rPr>
        <w:t xml:space="preserve">  </w:t>
      </w:r>
      <w:r>
        <w:rPr>
          <w:rFonts w:hAnsi="宋体"/>
          <w:szCs w:val="21"/>
        </w:rPr>
        <w:t>硫氰酸钾、</w:t>
      </w:r>
      <w:r>
        <w:rPr>
          <w:szCs w:val="21"/>
        </w:rPr>
        <w:t>1</w:t>
      </w:r>
      <w:r>
        <w:rPr>
          <w:rFonts w:hAnsi="宋体"/>
          <w:szCs w:val="21"/>
        </w:rPr>
        <w:t>，</w:t>
      </w:r>
      <w:r>
        <w:rPr>
          <w:szCs w:val="21"/>
        </w:rPr>
        <w:t>10-</w:t>
      </w:r>
      <w:r>
        <w:rPr>
          <w:rFonts w:hAnsi="宋体"/>
          <w:szCs w:val="21"/>
        </w:rPr>
        <w:t>二氮杂菲分光光度法；</w:t>
      </w:r>
    </w:p>
    <w:p>
      <w:pPr>
        <w:pStyle w:val="108"/>
        <w:snapToGrid w:val="0"/>
        <w:spacing w:line="320" w:lineRule="exact"/>
        <w:ind w:right="210" w:firstLine="420" w:firstLineChars="200"/>
        <w:jc w:val="both"/>
        <w:rPr>
          <w:szCs w:val="21"/>
        </w:rPr>
      </w:pPr>
      <w:r>
        <w:rPr>
          <w:szCs w:val="21"/>
        </w:rPr>
        <w:t>――</w:t>
      </w:r>
      <w:r>
        <w:rPr>
          <w:rFonts w:hAnsi="宋体"/>
          <w:szCs w:val="21"/>
        </w:rPr>
        <w:t>第</w:t>
      </w:r>
      <w:r>
        <w:rPr>
          <w:szCs w:val="21"/>
        </w:rPr>
        <w:t>7</w:t>
      </w:r>
      <w:r>
        <w:rPr>
          <w:rFonts w:hAnsi="宋体"/>
          <w:szCs w:val="21"/>
        </w:rPr>
        <w:t>部分：硅量的测定</w:t>
      </w:r>
      <w:r>
        <w:rPr>
          <w:rFonts w:hint="eastAsia" w:hAnsi="宋体"/>
          <w:szCs w:val="21"/>
        </w:rPr>
        <w:t xml:space="preserve">  </w:t>
      </w:r>
      <w:r>
        <w:rPr>
          <w:rFonts w:hAnsi="宋体"/>
          <w:szCs w:val="21"/>
        </w:rPr>
        <w:t>钼蓝分光光度法；</w:t>
      </w:r>
    </w:p>
    <w:p>
      <w:pPr>
        <w:pStyle w:val="108"/>
        <w:snapToGrid w:val="0"/>
        <w:spacing w:line="320" w:lineRule="exact"/>
        <w:ind w:right="210" w:firstLine="420" w:firstLineChars="200"/>
        <w:jc w:val="both"/>
        <w:rPr>
          <w:szCs w:val="21"/>
        </w:rPr>
      </w:pPr>
      <w:r>
        <w:rPr>
          <w:szCs w:val="21"/>
        </w:rPr>
        <w:t>――</w:t>
      </w:r>
      <w:r>
        <w:rPr>
          <w:rFonts w:hAnsi="宋体"/>
          <w:szCs w:val="21"/>
        </w:rPr>
        <w:t>第</w:t>
      </w:r>
      <w:r>
        <w:rPr>
          <w:szCs w:val="21"/>
        </w:rPr>
        <w:t>8</w:t>
      </w:r>
      <w:r>
        <w:rPr>
          <w:rFonts w:hAnsi="宋体"/>
          <w:szCs w:val="21"/>
        </w:rPr>
        <w:t>部分：钠量的测定</w:t>
      </w:r>
      <w:r>
        <w:rPr>
          <w:rFonts w:hint="eastAsia" w:hAnsi="宋体"/>
          <w:szCs w:val="21"/>
        </w:rPr>
        <w:t xml:space="preserve">  </w:t>
      </w:r>
      <w:r>
        <w:rPr>
          <w:rFonts w:hAnsi="宋体"/>
          <w:szCs w:val="21"/>
        </w:rPr>
        <w:t>火焰原子吸收光谱法；</w:t>
      </w:r>
    </w:p>
    <w:p>
      <w:pPr>
        <w:pStyle w:val="108"/>
        <w:snapToGrid w:val="0"/>
        <w:spacing w:line="320" w:lineRule="exact"/>
        <w:ind w:right="210" w:firstLine="420" w:firstLineChars="200"/>
        <w:jc w:val="both"/>
        <w:rPr>
          <w:szCs w:val="21"/>
        </w:rPr>
      </w:pPr>
      <w:r>
        <w:rPr>
          <w:szCs w:val="21"/>
        </w:rPr>
        <w:t>――</w:t>
      </w:r>
      <w:r>
        <w:rPr>
          <w:rFonts w:hAnsi="宋体"/>
          <w:szCs w:val="21"/>
        </w:rPr>
        <w:t>第</w:t>
      </w:r>
      <w:r>
        <w:rPr>
          <w:szCs w:val="21"/>
        </w:rPr>
        <w:t>9</w:t>
      </w:r>
      <w:r>
        <w:rPr>
          <w:rFonts w:hAnsi="宋体"/>
          <w:szCs w:val="21"/>
        </w:rPr>
        <w:t>部分：氯量的测定</w:t>
      </w:r>
      <w:r>
        <w:rPr>
          <w:rFonts w:hint="eastAsia" w:hAnsi="宋体"/>
          <w:szCs w:val="21"/>
        </w:rPr>
        <w:t xml:space="preserve">  </w:t>
      </w:r>
      <w:r>
        <w:rPr>
          <w:rFonts w:hAnsi="宋体"/>
          <w:szCs w:val="21"/>
        </w:rPr>
        <w:t>硝酸银比浊法；</w:t>
      </w:r>
    </w:p>
    <w:p>
      <w:pPr>
        <w:pStyle w:val="108"/>
        <w:snapToGrid w:val="0"/>
        <w:spacing w:line="320" w:lineRule="exact"/>
        <w:ind w:right="210" w:firstLine="420" w:firstLineChars="200"/>
        <w:jc w:val="both"/>
        <w:rPr>
          <w:szCs w:val="21"/>
        </w:rPr>
      </w:pPr>
      <w:r>
        <w:rPr>
          <w:szCs w:val="21"/>
        </w:rPr>
        <w:t>――</w:t>
      </w:r>
      <w:r>
        <w:rPr>
          <w:rFonts w:hAnsi="宋体"/>
          <w:szCs w:val="21"/>
        </w:rPr>
        <w:t>第</w:t>
      </w:r>
      <w:r>
        <w:rPr>
          <w:szCs w:val="21"/>
        </w:rPr>
        <w:t>10</w:t>
      </w:r>
      <w:r>
        <w:rPr>
          <w:rFonts w:hAnsi="宋体"/>
          <w:szCs w:val="21"/>
        </w:rPr>
        <w:t>部分：磷量的测定</w:t>
      </w:r>
      <w:r>
        <w:rPr>
          <w:rFonts w:hint="eastAsia" w:hAnsi="宋体"/>
          <w:szCs w:val="21"/>
        </w:rPr>
        <w:t xml:space="preserve">  </w:t>
      </w:r>
      <w:r>
        <w:rPr>
          <w:rFonts w:hAnsi="宋体"/>
          <w:szCs w:val="21"/>
        </w:rPr>
        <w:t>钼蓝分光光度法；</w:t>
      </w:r>
    </w:p>
    <w:p>
      <w:pPr>
        <w:pStyle w:val="108"/>
        <w:snapToGrid w:val="0"/>
        <w:spacing w:line="320" w:lineRule="exact"/>
        <w:ind w:right="210" w:firstLine="420" w:firstLineChars="200"/>
        <w:jc w:val="both"/>
        <w:rPr>
          <w:szCs w:val="21"/>
        </w:rPr>
      </w:pPr>
      <w:r>
        <w:rPr>
          <w:szCs w:val="21"/>
        </w:rPr>
        <w:t>――</w:t>
      </w:r>
      <w:r>
        <w:rPr>
          <w:rFonts w:hAnsi="宋体"/>
          <w:szCs w:val="21"/>
        </w:rPr>
        <w:t>第</w:t>
      </w:r>
      <w:r>
        <w:rPr>
          <w:szCs w:val="21"/>
        </w:rPr>
        <w:t>11</w:t>
      </w:r>
      <w:r>
        <w:rPr>
          <w:rFonts w:hAnsi="宋体"/>
          <w:szCs w:val="21"/>
        </w:rPr>
        <w:t>部分：镁量的测定</w:t>
      </w:r>
      <w:r>
        <w:rPr>
          <w:rFonts w:hint="eastAsia" w:hAnsi="宋体"/>
          <w:szCs w:val="21"/>
        </w:rPr>
        <w:t xml:space="preserve">  </w:t>
      </w:r>
      <w:r>
        <w:rPr>
          <w:rFonts w:hAnsi="宋体"/>
          <w:szCs w:val="21"/>
        </w:rPr>
        <w:t>火焰原子吸收光谱法；</w:t>
      </w:r>
    </w:p>
    <w:p>
      <w:pPr>
        <w:pStyle w:val="108"/>
        <w:snapToGrid w:val="0"/>
        <w:spacing w:line="320" w:lineRule="exact"/>
        <w:ind w:right="210" w:firstLine="420" w:firstLineChars="200"/>
        <w:jc w:val="both"/>
        <w:rPr>
          <w:szCs w:val="21"/>
        </w:rPr>
      </w:pPr>
      <w:r>
        <w:rPr>
          <w:szCs w:val="21"/>
        </w:rPr>
        <w:t>――</w:t>
      </w:r>
      <w:r>
        <w:rPr>
          <w:rFonts w:hAnsi="宋体"/>
          <w:szCs w:val="21"/>
        </w:rPr>
        <w:t>第</w:t>
      </w:r>
      <w:r>
        <w:rPr>
          <w:szCs w:val="21"/>
        </w:rPr>
        <w:t>12</w:t>
      </w:r>
      <w:r>
        <w:rPr>
          <w:rFonts w:hAnsi="宋体"/>
          <w:szCs w:val="21"/>
        </w:rPr>
        <w:t>部分：钍</w:t>
      </w:r>
      <w:r>
        <w:rPr>
          <w:rFonts w:hint="eastAsia"/>
        </w:rPr>
        <w:t>、铀</w:t>
      </w:r>
      <w:r>
        <w:rPr>
          <w:rFonts w:hAnsi="宋体"/>
          <w:szCs w:val="21"/>
        </w:rPr>
        <w:t>量的测定；</w:t>
      </w:r>
    </w:p>
    <w:p>
      <w:pPr>
        <w:pStyle w:val="108"/>
        <w:snapToGrid w:val="0"/>
        <w:spacing w:line="320" w:lineRule="exact"/>
        <w:ind w:right="210" w:firstLine="420" w:firstLineChars="200"/>
        <w:jc w:val="both"/>
        <w:rPr>
          <w:szCs w:val="21"/>
        </w:rPr>
      </w:pPr>
      <w:r>
        <w:rPr>
          <w:szCs w:val="21"/>
        </w:rPr>
        <w:t>――</w:t>
      </w:r>
      <w:r>
        <w:rPr>
          <w:rFonts w:hAnsi="宋体"/>
          <w:szCs w:val="21"/>
        </w:rPr>
        <w:t>第</w:t>
      </w:r>
      <w:r>
        <w:rPr>
          <w:szCs w:val="21"/>
        </w:rPr>
        <w:t>13</w:t>
      </w:r>
      <w:r>
        <w:rPr>
          <w:rFonts w:hAnsi="宋体"/>
          <w:szCs w:val="21"/>
        </w:rPr>
        <w:t>部分：钼、钨量的测定；</w:t>
      </w:r>
    </w:p>
    <w:p>
      <w:pPr>
        <w:pStyle w:val="108"/>
        <w:snapToGrid w:val="0"/>
        <w:spacing w:line="320" w:lineRule="exact"/>
        <w:ind w:right="210" w:firstLine="420" w:firstLineChars="200"/>
        <w:jc w:val="both"/>
        <w:rPr>
          <w:szCs w:val="21"/>
        </w:rPr>
      </w:pPr>
      <w:r>
        <w:rPr>
          <w:szCs w:val="21"/>
        </w:rPr>
        <w:t>――</w:t>
      </w:r>
      <w:r>
        <w:rPr>
          <w:rFonts w:hAnsi="宋体"/>
          <w:szCs w:val="21"/>
        </w:rPr>
        <w:t>第</w:t>
      </w:r>
      <w:r>
        <w:rPr>
          <w:szCs w:val="21"/>
        </w:rPr>
        <w:t>14</w:t>
      </w:r>
      <w:r>
        <w:rPr>
          <w:rFonts w:hAnsi="宋体"/>
          <w:szCs w:val="21"/>
        </w:rPr>
        <w:t>部分：钛量的测定；</w:t>
      </w:r>
    </w:p>
    <w:p>
      <w:pPr>
        <w:pStyle w:val="108"/>
        <w:snapToGrid w:val="0"/>
        <w:spacing w:line="320" w:lineRule="exact"/>
        <w:ind w:right="210" w:firstLine="420" w:firstLineChars="200"/>
        <w:jc w:val="both"/>
        <w:rPr>
          <w:szCs w:val="21"/>
        </w:rPr>
      </w:pPr>
      <w:r>
        <w:rPr>
          <w:szCs w:val="21"/>
        </w:rPr>
        <w:t>――</w:t>
      </w:r>
      <w:r>
        <w:rPr>
          <w:rFonts w:hAnsi="宋体"/>
          <w:szCs w:val="21"/>
        </w:rPr>
        <w:t>第</w:t>
      </w:r>
      <w:r>
        <w:rPr>
          <w:szCs w:val="21"/>
        </w:rPr>
        <w:t>15</w:t>
      </w:r>
      <w:r>
        <w:rPr>
          <w:rFonts w:hAnsi="宋体"/>
          <w:szCs w:val="21"/>
        </w:rPr>
        <w:t>部分：钙量的测定；</w:t>
      </w:r>
    </w:p>
    <w:p>
      <w:pPr>
        <w:pStyle w:val="108"/>
        <w:snapToGrid w:val="0"/>
        <w:spacing w:line="320" w:lineRule="exact"/>
        <w:ind w:right="210" w:firstLine="420" w:firstLineChars="200"/>
        <w:jc w:val="both"/>
        <w:rPr>
          <w:szCs w:val="21"/>
        </w:rPr>
      </w:pPr>
      <w:r>
        <w:rPr>
          <w:szCs w:val="21"/>
        </w:rPr>
        <w:t>――</w:t>
      </w:r>
      <w:r>
        <w:rPr>
          <w:rFonts w:hAnsi="宋体"/>
          <w:szCs w:val="21"/>
        </w:rPr>
        <w:t>第</w:t>
      </w:r>
      <w:r>
        <w:rPr>
          <w:szCs w:val="21"/>
        </w:rPr>
        <w:t>16</w:t>
      </w:r>
      <w:r>
        <w:rPr>
          <w:rFonts w:hAnsi="宋体"/>
          <w:szCs w:val="21"/>
        </w:rPr>
        <w:t>部分：氟量的测定</w:t>
      </w:r>
      <w:r>
        <w:rPr>
          <w:rFonts w:hint="eastAsia" w:hAnsi="宋体"/>
          <w:szCs w:val="21"/>
        </w:rPr>
        <w:t xml:space="preserve">  </w:t>
      </w:r>
      <w:r>
        <w:rPr>
          <w:rFonts w:hAnsi="宋体"/>
          <w:szCs w:val="21"/>
        </w:rPr>
        <w:t>离子选择性电极法；</w:t>
      </w:r>
    </w:p>
    <w:p>
      <w:pPr>
        <w:pStyle w:val="108"/>
        <w:snapToGrid w:val="0"/>
        <w:spacing w:line="320" w:lineRule="exact"/>
        <w:ind w:right="210" w:firstLine="420" w:firstLineChars="200"/>
        <w:jc w:val="both"/>
        <w:rPr>
          <w:szCs w:val="21"/>
        </w:rPr>
      </w:pPr>
      <w:r>
        <w:rPr>
          <w:szCs w:val="21"/>
        </w:rPr>
        <w:t>――</w:t>
      </w:r>
      <w:r>
        <w:rPr>
          <w:rFonts w:hAnsi="宋体"/>
          <w:szCs w:val="21"/>
        </w:rPr>
        <w:t>第</w:t>
      </w:r>
      <w:r>
        <w:rPr>
          <w:szCs w:val="21"/>
        </w:rPr>
        <w:t>17</w:t>
      </w:r>
      <w:r>
        <w:rPr>
          <w:rFonts w:hAnsi="宋体"/>
          <w:szCs w:val="21"/>
        </w:rPr>
        <w:t>部分：稀土金属中铌、钽量的测定；</w:t>
      </w:r>
    </w:p>
    <w:p>
      <w:pPr>
        <w:pStyle w:val="108"/>
        <w:snapToGrid w:val="0"/>
        <w:spacing w:line="320" w:lineRule="exact"/>
        <w:ind w:right="210" w:firstLine="420" w:firstLineChars="200"/>
        <w:jc w:val="both"/>
        <w:rPr>
          <w:szCs w:val="21"/>
        </w:rPr>
      </w:pPr>
      <w:r>
        <w:rPr>
          <w:szCs w:val="21"/>
        </w:rPr>
        <w:t>――</w:t>
      </w:r>
      <w:r>
        <w:rPr>
          <w:rFonts w:hAnsi="宋体"/>
          <w:szCs w:val="21"/>
        </w:rPr>
        <w:t>第</w:t>
      </w:r>
      <w:r>
        <w:rPr>
          <w:szCs w:val="21"/>
        </w:rPr>
        <w:t>18</w:t>
      </w:r>
      <w:r>
        <w:rPr>
          <w:rFonts w:hAnsi="宋体"/>
          <w:szCs w:val="21"/>
        </w:rPr>
        <w:t>部分：锆量的测定；</w:t>
      </w:r>
    </w:p>
    <w:p>
      <w:pPr>
        <w:pStyle w:val="108"/>
        <w:snapToGrid w:val="0"/>
        <w:spacing w:line="320" w:lineRule="exact"/>
        <w:ind w:right="210" w:firstLine="420" w:firstLineChars="200"/>
        <w:jc w:val="both"/>
        <w:rPr>
          <w:rFonts w:hAnsi="宋体"/>
          <w:szCs w:val="21"/>
        </w:rPr>
      </w:pPr>
      <w:r>
        <w:rPr>
          <w:szCs w:val="21"/>
        </w:rPr>
        <w:t>――</w:t>
      </w:r>
      <w:r>
        <w:rPr>
          <w:rFonts w:hAnsi="宋体"/>
          <w:szCs w:val="21"/>
        </w:rPr>
        <w:t>第</w:t>
      </w:r>
      <w:r>
        <w:rPr>
          <w:szCs w:val="21"/>
        </w:rPr>
        <w:t>19</w:t>
      </w:r>
      <w:r>
        <w:rPr>
          <w:rFonts w:hAnsi="宋体"/>
          <w:szCs w:val="21"/>
        </w:rPr>
        <w:t>部分：砷、汞量的测定。</w:t>
      </w:r>
    </w:p>
    <w:p>
      <w:pPr>
        <w:pStyle w:val="108"/>
        <w:snapToGrid w:val="0"/>
        <w:spacing w:line="320" w:lineRule="exact"/>
        <w:ind w:right="210" w:firstLine="420" w:firstLineChars="200"/>
        <w:jc w:val="both"/>
        <w:rPr>
          <w:rFonts w:hint="eastAsia" w:hAnsi="宋体"/>
          <w:szCs w:val="21"/>
          <w:lang w:val="en-US" w:eastAsia="zh-CN"/>
        </w:rPr>
      </w:pPr>
      <w:r>
        <w:rPr>
          <w:rFonts w:hint="eastAsia" w:hAnsi="宋体"/>
          <w:szCs w:val="21"/>
          <w:lang w:val="en-US" w:eastAsia="zh-CN"/>
        </w:rPr>
        <w:t>本部分代替GB/T 12690.12-2003《稀土金属及其氧化物中非稀土杂质化学分析方法 第12部分：钍量的测定》</w:t>
      </w:r>
    </w:p>
    <w:p>
      <w:pPr>
        <w:pStyle w:val="108"/>
        <w:snapToGrid w:val="0"/>
        <w:spacing w:line="320" w:lineRule="exact"/>
        <w:ind w:right="210" w:firstLine="420" w:firstLineChars="200"/>
        <w:jc w:val="both"/>
        <w:rPr>
          <w:rFonts w:hint="eastAsia" w:hAnsi="宋体"/>
          <w:szCs w:val="21"/>
          <w:highlight w:val="yellow"/>
          <w:lang w:val="en-US" w:eastAsia="zh-CN"/>
        </w:rPr>
      </w:pPr>
      <w:r>
        <w:rPr>
          <w:rFonts w:hint="eastAsia" w:hAnsi="宋体"/>
          <w:szCs w:val="21"/>
          <w:highlight w:val="yellow"/>
          <w:lang w:val="en-US" w:eastAsia="zh-CN"/>
        </w:rPr>
        <w:t>本部分与GB/T 12690.12-2003相比，除编辑性修改外主要技术变化如下：</w:t>
      </w:r>
    </w:p>
    <w:p>
      <w:pPr>
        <w:pStyle w:val="108"/>
        <w:snapToGrid w:val="0"/>
        <w:spacing w:line="320" w:lineRule="exact"/>
        <w:ind w:firstLine="420" w:firstLineChars="200"/>
        <w:jc w:val="both"/>
        <w:rPr>
          <w:rFonts w:hint="eastAsia"/>
          <w:szCs w:val="21"/>
          <w:highlight w:val="yellow"/>
          <w:lang w:val="en-US" w:eastAsia="zh-CN"/>
        </w:rPr>
      </w:pPr>
      <w:r>
        <w:rPr>
          <w:szCs w:val="21"/>
          <w:highlight w:val="yellow"/>
        </w:rPr>
        <w:t>――</w:t>
      </w:r>
      <w:r>
        <w:rPr>
          <w:rFonts w:hint="eastAsia"/>
          <w:szCs w:val="21"/>
          <w:highlight w:val="yellow"/>
          <w:lang w:val="en-US" w:eastAsia="zh-CN"/>
        </w:rPr>
        <w:t>扩大了适用范围，增加了铀（U）含量的测定；</w:t>
      </w:r>
    </w:p>
    <w:p>
      <w:pPr>
        <w:pStyle w:val="108"/>
        <w:snapToGrid w:val="0"/>
        <w:spacing w:line="320" w:lineRule="exact"/>
        <w:ind w:firstLine="420" w:firstLineChars="200"/>
        <w:jc w:val="both"/>
        <w:rPr>
          <w:rFonts w:hint="default" w:eastAsia="宋体"/>
          <w:szCs w:val="21"/>
          <w:highlight w:val="yellow"/>
          <w:lang w:val="en-US" w:eastAsia="zh-CN"/>
        </w:rPr>
      </w:pPr>
      <w:r>
        <w:rPr>
          <w:szCs w:val="21"/>
          <w:highlight w:val="yellow"/>
        </w:rPr>
        <w:t>――</w:t>
      </w:r>
      <w:r>
        <w:rPr>
          <w:rFonts w:hint="eastAsia"/>
          <w:szCs w:val="21"/>
          <w:highlight w:val="yellow"/>
          <w:lang w:val="en-US" w:eastAsia="zh-CN"/>
        </w:rPr>
        <w:t>删除了方法1：偶氮胂Ⅲ分光光度法，近用电感耦合等离子体质谱法测定钍、铀量；</w:t>
      </w:r>
    </w:p>
    <w:p>
      <w:pPr>
        <w:pStyle w:val="108"/>
        <w:snapToGrid w:val="0"/>
        <w:spacing w:line="320" w:lineRule="exact"/>
        <w:ind w:firstLine="420" w:firstLineChars="200"/>
        <w:jc w:val="both"/>
        <w:rPr>
          <w:rFonts w:hint="default" w:hAnsi="宋体"/>
          <w:szCs w:val="21"/>
          <w:highlight w:val="yellow"/>
          <w:lang w:val="en-US" w:eastAsia="zh-CN"/>
        </w:rPr>
      </w:pPr>
      <w:r>
        <w:rPr>
          <w:szCs w:val="21"/>
          <w:highlight w:val="yellow"/>
        </w:rPr>
        <w:t>――</w:t>
      </w:r>
      <w:r>
        <w:rPr>
          <w:rFonts w:hint="eastAsia"/>
          <w:szCs w:val="21"/>
          <w:highlight w:val="yellow"/>
          <w:lang w:val="en-US" w:eastAsia="zh-CN"/>
        </w:rPr>
        <w:t>修改了钍量的测定范围下限，由0.0001%改为0.00005%。</w:t>
      </w:r>
    </w:p>
    <w:p>
      <w:pPr>
        <w:ind w:firstLine="420"/>
        <w:rPr>
          <w:rFonts w:asciiTheme="minorEastAsia" w:hAnsiTheme="minorEastAsia" w:eastAsiaTheme="minorEastAsia"/>
        </w:rPr>
      </w:pPr>
      <w:r>
        <w:rPr>
          <w:rFonts w:hint="eastAsia" w:asciiTheme="minorEastAsia" w:hAnsiTheme="minorEastAsia" w:eastAsiaTheme="minorEastAsia"/>
        </w:rPr>
        <w:t>请注意本文件的某些内容可能涉及专利。本文件的发布机构不承担识别专利的责任。</w:t>
      </w:r>
    </w:p>
    <w:p>
      <w:pPr>
        <w:ind w:firstLine="420"/>
        <w:rPr>
          <w:rFonts w:asciiTheme="minorEastAsia" w:hAnsiTheme="minorEastAsia" w:eastAsiaTheme="minorEastAsia"/>
        </w:rPr>
      </w:pPr>
      <w:r>
        <w:rPr>
          <w:rFonts w:asciiTheme="minorEastAsia" w:hAnsiTheme="minorEastAsia" w:eastAsiaTheme="minorEastAsia"/>
        </w:rPr>
        <w:t>本</w:t>
      </w:r>
      <w:r>
        <w:rPr>
          <w:rFonts w:hint="eastAsia" w:asciiTheme="minorEastAsia" w:hAnsiTheme="minorEastAsia" w:eastAsiaTheme="minorEastAsia"/>
        </w:rPr>
        <w:t>文件</w:t>
      </w:r>
      <w:r>
        <w:rPr>
          <w:rFonts w:asciiTheme="minorEastAsia" w:hAnsiTheme="minorEastAsia" w:eastAsiaTheme="minorEastAsia"/>
        </w:rPr>
        <w:t>由全国稀土标准化技术委员会（SAC/TC 229）提出</w:t>
      </w:r>
      <w:r>
        <w:rPr>
          <w:rFonts w:hint="eastAsia" w:asciiTheme="minorEastAsia" w:hAnsiTheme="minorEastAsia" w:eastAsiaTheme="minorEastAsia"/>
        </w:rPr>
        <w:t>并</w:t>
      </w:r>
      <w:r>
        <w:rPr>
          <w:rFonts w:asciiTheme="minorEastAsia" w:hAnsiTheme="minorEastAsia" w:eastAsiaTheme="minorEastAsia"/>
        </w:rPr>
        <w:t>归口</w:t>
      </w:r>
      <w:r>
        <w:rPr>
          <w:rFonts w:hint="eastAsia" w:asciiTheme="minorEastAsia" w:hAnsiTheme="minorEastAsia" w:eastAsiaTheme="minorEastAsia"/>
        </w:rPr>
        <w:t>。</w:t>
      </w:r>
    </w:p>
    <w:p>
      <w:pPr>
        <w:ind w:firstLine="420"/>
        <w:rPr>
          <w:rFonts w:hint="eastAsia" w:asciiTheme="minorEastAsia" w:hAnsiTheme="minorEastAsia" w:eastAsiaTheme="minorEastAsia"/>
          <w:lang w:val="en-US" w:eastAsia="zh-CN"/>
        </w:rPr>
      </w:pPr>
      <w:r>
        <w:rPr>
          <w:rFonts w:asciiTheme="minorEastAsia" w:hAnsiTheme="minorEastAsia" w:eastAsiaTheme="minorEastAsia"/>
        </w:rPr>
        <w:t>本</w:t>
      </w:r>
      <w:r>
        <w:rPr>
          <w:rFonts w:hint="eastAsia" w:asciiTheme="minorEastAsia" w:hAnsiTheme="minorEastAsia" w:eastAsiaTheme="minorEastAsia"/>
        </w:rPr>
        <w:t>文件</w:t>
      </w:r>
      <w:r>
        <w:rPr>
          <w:rFonts w:asciiTheme="minorEastAsia" w:hAnsiTheme="minorEastAsia" w:eastAsiaTheme="minorEastAsia"/>
        </w:rPr>
        <w:t>起草单位：</w:t>
      </w:r>
      <w:r>
        <w:rPr>
          <w:rFonts w:hint="eastAsia" w:hAnsi="宋体"/>
          <w:color w:val="FF0000"/>
        </w:rPr>
        <w:t>江西省钨与稀土产品质量监督检验中心</w:t>
      </w:r>
      <w:r>
        <w:rPr>
          <w:rFonts w:hint="eastAsia" w:hAnsi="宋体"/>
          <w:color w:val="FF0000"/>
          <w:lang w:val="en-US" w:eastAsia="zh-CN"/>
        </w:rPr>
        <w:t>、</w:t>
      </w:r>
      <w:r>
        <w:rPr>
          <w:rFonts w:hint="eastAsia" w:asciiTheme="minorEastAsia" w:hAnsiTheme="minorEastAsia" w:eastAsiaTheme="minorEastAsia"/>
        </w:rPr>
        <w:t>福建省长汀金龙稀土有限公司、湖南稀土金属材料研究院</w:t>
      </w:r>
      <w:r>
        <w:rPr>
          <w:rFonts w:hint="eastAsia" w:asciiTheme="minorEastAsia" w:hAnsiTheme="minorEastAsia" w:eastAsiaTheme="minorEastAsia"/>
          <w:lang w:val="en-US" w:eastAsia="zh-CN"/>
        </w:rPr>
        <w:t>、定南大华新材料资源有限公司、</w:t>
      </w:r>
      <w:r>
        <w:rPr>
          <w:rFonts w:hint="eastAsia" w:asciiTheme="minorEastAsia" w:hAnsiTheme="minorEastAsia" w:eastAsiaTheme="minorEastAsia"/>
        </w:rPr>
        <w:t>虔东稀土集团股份有限公司、</w:t>
      </w:r>
      <w:r>
        <w:rPr>
          <w:rFonts w:hint="eastAsia" w:asciiTheme="minorEastAsia" w:hAnsiTheme="minorEastAsia" w:eastAsiaTheme="minorEastAsia"/>
          <w:lang w:val="en-US" w:eastAsia="zh-CN"/>
        </w:rPr>
        <w:t>包头稀土研究院、赣州晨光稀土新材料有限公司</w:t>
      </w:r>
    </w:p>
    <w:p>
      <w:pPr>
        <w:ind w:firstLine="420"/>
        <w:rPr>
          <w:rFonts w:asciiTheme="minorEastAsia" w:hAnsiTheme="minorEastAsia" w:eastAsiaTheme="minorEastAsia"/>
        </w:rPr>
      </w:pPr>
      <w:r>
        <w:rPr>
          <w:rFonts w:asciiTheme="minorEastAsia" w:hAnsiTheme="minorEastAsia" w:eastAsiaTheme="minorEastAsia"/>
        </w:rPr>
        <w:t>本</w:t>
      </w:r>
      <w:r>
        <w:rPr>
          <w:rFonts w:hint="eastAsia" w:asciiTheme="minorEastAsia" w:hAnsiTheme="minorEastAsia" w:eastAsiaTheme="minorEastAsia"/>
        </w:rPr>
        <w:t>文件</w:t>
      </w:r>
      <w:r>
        <w:rPr>
          <w:rFonts w:asciiTheme="minorEastAsia" w:hAnsiTheme="minorEastAsia" w:eastAsiaTheme="minorEastAsia"/>
        </w:rPr>
        <w:t>主要起草人：</w:t>
      </w:r>
      <w:r>
        <w:rPr>
          <w:rFonts w:hint="eastAsia" w:asciiTheme="minorEastAsia" w:hAnsiTheme="minorEastAsia" w:eastAsiaTheme="minorEastAsia"/>
        </w:rPr>
        <w:t xml:space="preserve"> </w:t>
      </w:r>
    </w:p>
    <w:p>
      <w:pPr>
        <w:pStyle w:val="48"/>
        <w:ind w:firstLine="420"/>
        <w:rPr>
          <w:rFonts w:ascii="Times New Roman"/>
        </w:rPr>
      </w:pPr>
    </w:p>
    <w:p>
      <w:pPr>
        <w:rPr>
          <w:rFonts w:ascii="Times New Roman"/>
        </w:rPr>
      </w:pPr>
      <w:r>
        <w:rPr>
          <w:rFonts w:ascii="Times New Roman"/>
        </w:rPr>
        <w:br w:type="page"/>
      </w:r>
    </w:p>
    <w:p>
      <w:pPr>
        <w:pStyle w:val="109"/>
        <w:keepNext w:val="0"/>
        <w:keepLines w:val="0"/>
        <w:pageBreakBefore w:val="0"/>
        <w:widowControl/>
        <w:kinsoku/>
        <w:wordWrap/>
        <w:overflowPunct/>
        <w:topLinePunct w:val="0"/>
        <w:autoSpaceDE/>
        <w:autoSpaceDN/>
        <w:bidi w:val="0"/>
        <w:adjustRightInd/>
        <w:snapToGrid/>
        <w:spacing w:before="0" w:after="0"/>
        <w:jc w:val="both"/>
        <w:textAlignment w:val="auto"/>
        <w:rPr>
          <w:rFonts w:ascii="Times New Roman"/>
        </w:rPr>
      </w:pPr>
    </w:p>
    <w:p>
      <w:pPr>
        <w:pStyle w:val="109"/>
        <w:keepNext w:val="0"/>
        <w:keepLines w:val="0"/>
        <w:pageBreakBefore w:val="0"/>
        <w:widowControl/>
        <w:kinsoku/>
        <w:wordWrap/>
        <w:overflowPunct/>
        <w:topLinePunct w:val="0"/>
        <w:autoSpaceDE/>
        <w:autoSpaceDN/>
        <w:bidi w:val="0"/>
        <w:adjustRightInd/>
        <w:snapToGrid/>
        <w:spacing w:before="851" w:after="0"/>
        <w:textAlignment w:val="auto"/>
        <w:rPr>
          <w:rFonts w:ascii="Times New Roman"/>
        </w:rPr>
      </w:pPr>
      <w:r>
        <w:rPr>
          <w:rFonts w:hint="eastAsia"/>
          <w:szCs w:val="32"/>
        </w:rPr>
        <w:t>稀土金属及其氧化物中非稀土杂质</w:t>
      </w:r>
      <w:r>
        <w:rPr>
          <w:rFonts w:ascii="Times New Roman"/>
        </w:rPr>
        <w:t>化学分析方法</w:t>
      </w:r>
    </w:p>
    <w:p>
      <w:pPr>
        <w:pStyle w:val="109"/>
        <w:spacing w:before="0" w:after="680"/>
        <w:rPr>
          <w:rFonts w:ascii="Times New Roman"/>
        </w:rPr>
      </w:pPr>
      <w:r>
        <w:rPr>
          <w:rFonts w:hint="eastAsia"/>
          <w:szCs w:val="32"/>
        </w:rPr>
        <w:t>第12部分：</w:t>
      </w:r>
      <w:r>
        <w:rPr>
          <w:rFonts w:hint="eastAsia"/>
        </w:rPr>
        <w:t>钍、铀量</w:t>
      </w:r>
      <w:r>
        <w:rPr>
          <w:rFonts w:ascii="Times New Roman"/>
        </w:rPr>
        <w:t>的测定</w:t>
      </w:r>
    </w:p>
    <w:p>
      <w:pPr>
        <w:pStyle w:val="75"/>
        <w:numPr>
          <w:ilvl w:val="0"/>
          <w:numId w:val="11"/>
        </w:numPr>
        <w:tabs>
          <w:tab w:val="left" w:pos="112"/>
          <w:tab w:val="clear" w:pos="360"/>
        </w:tabs>
        <w:spacing w:before="312" w:beforeLines="100" w:after="312" w:afterLines="100"/>
        <w:ind w:left="357" w:hanging="357"/>
        <w:rPr>
          <w:rFonts w:ascii="Times New Roman"/>
          <w:color w:val="000000"/>
        </w:rPr>
      </w:pPr>
      <w:r>
        <w:rPr>
          <w:rFonts w:ascii="Times New Roman"/>
          <w:color w:val="FF0000"/>
        </w:rPr>
        <w:t>　</w:t>
      </w:r>
      <w:r>
        <w:rPr>
          <w:rFonts w:ascii="Times New Roman"/>
          <w:color w:val="000000"/>
        </w:rPr>
        <w:t>范围</w:t>
      </w:r>
    </w:p>
    <w:p>
      <w:pPr>
        <w:pStyle w:val="48"/>
        <w:ind w:firstLine="420"/>
        <w:rPr>
          <w:rFonts w:asciiTheme="minorEastAsia" w:hAnsiTheme="minorEastAsia" w:eastAsiaTheme="minorEastAsia"/>
          <w:color w:val="000000"/>
          <w:szCs w:val="21"/>
        </w:rPr>
      </w:pPr>
      <w:r>
        <w:rPr>
          <w:rFonts w:asciiTheme="minorEastAsia" w:hAnsiTheme="minorEastAsia" w:eastAsiaTheme="minorEastAsia"/>
          <w:color w:val="000000"/>
          <w:szCs w:val="21"/>
        </w:rPr>
        <w:t>本文件描述了</w:t>
      </w:r>
      <w:r>
        <w:rPr>
          <w:rFonts w:ascii="Times New Roman"/>
          <w:szCs w:val="21"/>
        </w:rPr>
        <w:t>稀土金属及其氧化物中</w:t>
      </w:r>
      <w:r>
        <w:rPr>
          <w:rFonts w:hint="eastAsia"/>
        </w:rPr>
        <w:t>钍、铀量</w:t>
      </w:r>
      <w:r>
        <w:rPr>
          <w:rFonts w:asciiTheme="minorEastAsia" w:hAnsiTheme="minorEastAsia" w:eastAsiaTheme="minorEastAsia"/>
          <w:color w:val="000000"/>
          <w:szCs w:val="21"/>
        </w:rPr>
        <w:t>的测定方法。</w:t>
      </w:r>
    </w:p>
    <w:p>
      <w:pPr>
        <w:pStyle w:val="48"/>
        <w:tabs>
          <w:tab w:val="center" w:pos="4201"/>
          <w:tab w:val="right" w:leader="dot" w:pos="9298"/>
        </w:tabs>
        <w:rPr>
          <w:rFonts w:hAnsi="宋体"/>
          <w:color w:val="FF0000"/>
        </w:rPr>
      </w:pPr>
      <w:r>
        <w:rPr>
          <w:rFonts w:asciiTheme="minorEastAsia" w:hAnsiTheme="minorEastAsia" w:eastAsiaTheme="minorEastAsia"/>
          <w:color w:val="000000"/>
          <w:szCs w:val="21"/>
        </w:rPr>
        <w:t>本部分适用于</w:t>
      </w:r>
      <w:r>
        <w:rPr>
          <w:rFonts w:ascii="Times New Roman"/>
          <w:szCs w:val="21"/>
        </w:rPr>
        <w:t>稀土金属及其氧化物中</w:t>
      </w:r>
      <w:r>
        <w:rPr>
          <w:rFonts w:hint="eastAsia"/>
        </w:rPr>
        <w:t>钍、铀量</w:t>
      </w:r>
      <w:r>
        <w:rPr>
          <w:rFonts w:asciiTheme="minorEastAsia" w:hAnsiTheme="minorEastAsia" w:eastAsiaTheme="minorEastAsia"/>
          <w:color w:val="000000"/>
          <w:szCs w:val="21"/>
        </w:rPr>
        <w:t>的测定。测定范围（</w:t>
      </w:r>
      <w:r>
        <w:rPr>
          <w:rFonts w:hint="eastAsia" w:asciiTheme="minorEastAsia" w:hAnsiTheme="minorEastAsia" w:eastAsiaTheme="minorEastAsia"/>
          <w:color w:val="000000"/>
          <w:szCs w:val="21"/>
        </w:rPr>
        <w:t>质量分数）</w:t>
      </w:r>
      <w:r>
        <w:rPr>
          <w:rFonts w:asciiTheme="minorEastAsia" w:hAnsiTheme="minorEastAsia" w:eastAsiaTheme="minorEastAsia"/>
          <w:szCs w:val="21"/>
        </w:rPr>
        <w:t>：</w:t>
      </w:r>
      <w:r>
        <w:rPr>
          <w:rFonts w:hint="eastAsia" w:ascii="Times New Roman"/>
          <w:szCs w:val="21"/>
        </w:rPr>
        <w:t>钍</w:t>
      </w:r>
      <w:r>
        <w:rPr>
          <w:rFonts w:hint="eastAsia" w:ascii="Times New Roman"/>
          <w:szCs w:val="21"/>
          <w:lang w:val="en-US" w:eastAsia="zh-CN"/>
        </w:rPr>
        <w:t>量</w:t>
      </w:r>
      <w:r>
        <w:rPr>
          <w:rFonts w:ascii="Times New Roman"/>
          <w:szCs w:val="21"/>
        </w:rPr>
        <w:t xml:space="preserve"> 0.00005%</w:t>
      </w:r>
      <w:r>
        <w:rPr>
          <w:rFonts w:ascii="Times New Roman" w:hAnsi="宋体"/>
          <w:szCs w:val="21"/>
        </w:rPr>
        <w:t>～</w:t>
      </w:r>
      <w:r>
        <w:rPr>
          <w:rFonts w:ascii="Times New Roman"/>
          <w:szCs w:val="21"/>
        </w:rPr>
        <w:t>0.0</w:t>
      </w:r>
      <w:r>
        <w:rPr>
          <w:rFonts w:hint="eastAsia" w:ascii="Times New Roman"/>
          <w:szCs w:val="21"/>
          <w:lang w:val="en-US" w:eastAsia="zh-CN"/>
        </w:rPr>
        <w:t>2</w:t>
      </w:r>
      <w:r>
        <w:rPr>
          <w:rFonts w:ascii="Times New Roman"/>
          <w:szCs w:val="21"/>
        </w:rPr>
        <w:t>0%</w:t>
      </w:r>
      <w:r>
        <w:rPr>
          <w:rFonts w:ascii="Times New Roman" w:hAnsi="宋体"/>
          <w:szCs w:val="21"/>
        </w:rPr>
        <w:t>；</w:t>
      </w:r>
      <w:r>
        <w:rPr>
          <w:rFonts w:hint="eastAsia" w:ascii="Times New Roman" w:hAnsi="宋体"/>
          <w:szCs w:val="21"/>
        </w:rPr>
        <w:t>铀</w:t>
      </w:r>
      <w:r>
        <w:rPr>
          <w:rFonts w:hint="eastAsia" w:ascii="Times New Roman" w:hAnsi="宋体"/>
          <w:szCs w:val="21"/>
          <w:lang w:val="en-US" w:eastAsia="zh-CN"/>
        </w:rPr>
        <w:t>量</w:t>
      </w:r>
      <w:r>
        <w:rPr>
          <w:rFonts w:ascii="Times New Roman"/>
          <w:szCs w:val="21"/>
        </w:rPr>
        <w:t xml:space="preserve"> 0.00005%</w:t>
      </w:r>
      <w:r>
        <w:rPr>
          <w:rFonts w:ascii="Times New Roman" w:hAnsi="宋体"/>
          <w:szCs w:val="21"/>
        </w:rPr>
        <w:t>～</w:t>
      </w:r>
      <w:r>
        <w:rPr>
          <w:rFonts w:ascii="Times New Roman"/>
          <w:szCs w:val="21"/>
        </w:rPr>
        <w:t>0.0</w:t>
      </w:r>
      <w:r>
        <w:rPr>
          <w:rFonts w:hint="eastAsia" w:ascii="Times New Roman"/>
          <w:szCs w:val="21"/>
          <w:lang w:val="en-US" w:eastAsia="zh-CN"/>
        </w:rPr>
        <w:t>2</w:t>
      </w:r>
      <w:r>
        <w:rPr>
          <w:rFonts w:ascii="Times New Roman"/>
          <w:szCs w:val="21"/>
        </w:rPr>
        <w:t>0%</w:t>
      </w:r>
      <w:r>
        <w:rPr>
          <w:rFonts w:asciiTheme="minorEastAsia" w:hAnsiTheme="minorEastAsia" w:eastAsiaTheme="minorEastAsia"/>
          <w:szCs w:val="21"/>
        </w:rPr>
        <w:t>。</w:t>
      </w:r>
      <w:r>
        <w:rPr>
          <w:rFonts w:hAnsi="宋体"/>
          <w:color w:val="FF0000"/>
        </w:rPr>
        <w:t xml:space="preserve"> </w:t>
      </w:r>
    </w:p>
    <w:p>
      <w:pPr>
        <w:pStyle w:val="75"/>
        <w:numPr>
          <w:ilvl w:val="0"/>
          <w:numId w:val="11"/>
        </w:numPr>
        <w:tabs>
          <w:tab w:val="left" w:pos="112"/>
          <w:tab w:val="clear" w:pos="360"/>
        </w:tabs>
        <w:spacing w:before="312" w:beforeLines="100" w:after="312" w:afterLines="100"/>
        <w:ind w:left="357" w:hanging="357" w:hangingChars="170"/>
        <w:rPr>
          <w:rFonts w:ascii="Times New Roman"/>
        </w:rPr>
      </w:pPr>
      <w:r>
        <w:rPr>
          <w:rFonts w:ascii="Times New Roman"/>
          <w:color w:val="FF0000"/>
        </w:rPr>
        <w:t>　</w:t>
      </w:r>
      <w:r>
        <w:rPr>
          <w:rFonts w:hint="eastAsia" w:ascii="Times New Roman"/>
        </w:rPr>
        <w:t>规范性引用文件</w:t>
      </w:r>
    </w:p>
    <w:p>
      <w:pPr>
        <w:pStyle w:val="48"/>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48"/>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GB/T</w:t>
      </w:r>
      <w:r>
        <w:rPr>
          <w:rFonts w:hAnsi="宋体"/>
          <w:color w:val="FF0000"/>
        </w:rPr>
        <w:t> </w:t>
      </w:r>
      <w:r>
        <w:rPr>
          <w:rFonts w:hint="eastAsia" w:asciiTheme="minorEastAsia" w:hAnsiTheme="minorEastAsia" w:eastAsiaTheme="minorEastAsia"/>
          <w:color w:val="000000"/>
          <w:szCs w:val="21"/>
        </w:rPr>
        <w:t>6682　分析实验室用水规格和试验方法</w:t>
      </w:r>
    </w:p>
    <w:p>
      <w:pPr>
        <w:pStyle w:val="48"/>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GB/T</w:t>
      </w:r>
      <w:r>
        <w:rPr>
          <w:rFonts w:hAnsi="宋体"/>
          <w:color w:val="FF0000"/>
        </w:rPr>
        <w:t> </w:t>
      </w:r>
      <w:r>
        <w:rPr>
          <w:rFonts w:hint="eastAsia" w:asciiTheme="minorEastAsia" w:hAnsiTheme="minorEastAsia" w:eastAsiaTheme="minorEastAsia"/>
          <w:color w:val="000000"/>
          <w:szCs w:val="21"/>
        </w:rPr>
        <w:t>8170　数值修约规则与极限数值的表示和判定</w:t>
      </w:r>
    </w:p>
    <w:p>
      <w:pPr>
        <w:pStyle w:val="75"/>
        <w:numPr>
          <w:ilvl w:val="0"/>
          <w:numId w:val="11"/>
        </w:numPr>
        <w:tabs>
          <w:tab w:val="left" w:pos="112"/>
          <w:tab w:val="clear" w:pos="360"/>
        </w:tabs>
        <w:spacing w:before="312" w:beforeLines="100" w:after="312" w:afterLines="100"/>
        <w:ind w:left="357" w:hanging="357"/>
        <w:rPr>
          <w:rFonts w:ascii="Times New Roman"/>
        </w:rPr>
      </w:pPr>
      <w:r>
        <w:rPr>
          <w:rFonts w:ascii="Times New Roman"/>
          <w:color w:val="FF0000"/>
        </w:rPr>
        <w:t>　</w:t>
      </w:r>
      <w:r>
        <w:rPr>
          <w:rFonts w:hint="eastAsia" w:ascii="Times New Roman"/>
        </w:rPr>
        <w:t>术语和定义</w:t>
      </w:r>
    </w:p>
    <w:p>
      <w:pPr>
        <w:pStyle w:val="48"/>
        <w:spacing w:line="400" w:lineRule="exact"/>
        <w:ind w:firstLine="420"/>
        <w:rPr>
          <w:rFonts w:ascii="Times New Roman"/>
          <w:szCs w:val="21"/>
        </w:rPr>
      </w:pPr>
      <w:r>
        <w:rPr>
          <w:rFonts w:hint="eastAsia" w:ascii="Times New Roman"/>
          <w:szCs w:val="21"/>
        </w:rPr>
        <w:t>本文件没有需要界定的术语和定义。</w:t>
      </w:r>
    </w:p>
    <w:p>
      <w:pPr>
        <w:pStyle w:val="75"/>
        <w:numPr>
          <w:ilvl w:val="0"/>
          <w:numId w:val="11"/>
        </w:numPr>
        <w:tabs>
          <w:tab w:val="left" w:pos="112"/>
          <w:tab w:val="clear" w:pos="360"/>
        </w:tabs>
        <w:spacing w:before="312" w:beforeLines="100" w:after="312" w:afterLines="100"/>
        <w:ind w:left="357" w:hanging="357"/>
        <w:rPr>
          <w:rFonts w:ascii="Times New Roman"/>
        </w:rPr>
      </w:pPr>
      <w:r>
        <w:rPr>
          <w:rFonts w:ascii="Times New Roman"/>
          <w:color w:val="FF0000"/>
        </w:rPr>
        <w:t>　</w:t>
      </w:r>
      <w:r>
        <w:rPr>
          <w:rFonts w:hint="eastAsia" w:ascii="Times New Roman"/>
        </w:rPr>
        <w:t>方法提要</w:t>
      </w:r>
    </w:p>
    <w:p>
      <w:pPr>
        <w:pStyle w:val="48"/>
        <w:spacing w:line="400" w:lineRule="exact"/>
        <w:ind w:firstLine="420"/>
        <w:rPr>
          <w:rFonts w:ascii="Times New Roman"/>
          <w:szCs w:val="21"/>
        </w:rPr>
      </w:pPr>
      <w:r>
        <w:rPr>
          <w:rFonts w:ascii="Times New Roman"/>
          <w:szCs w:val="21"/>
        </w:rPr>
        <w:t>试样经</w:t>
      </w:r>
      <w:r>
        <w:rPr>
          <w:rFonts w:hint="eastAsia" w:ascii="Times New Roman"/>
          <w:szCs w:val="21"/>
          <w:lang w:val="en-US" w:eastAsia="zh-CN"/>
        </w:rPr>
        <w:t>硝酸</w:t>
      </w:r>
      <w:r>
        <w:rPr>
          <w:rFonts w:ascii="Times New Roman"/>
          <w:szCs w:val="21"/>
        </w:rPr>
        <w:t>分解，</w:t>
      </w:r>
      <w:r>
        <w:rPr>
          <w:rFonts w:hint="eastAsia" w:ascii="Times New Roman"/>
          <w:szCs w:val="21"/>
          <w:lang w:val="en-US" w:eastAsia="zh-CN"/>
        </w:rPr>
        <w:t>在稀硝酸介质中</w:t>
      </w:r>
      <w:r>
        <w:rPr>
          <w:rFonts w:ascii="Times New Roman"/>
          <w:szCs w:val="21"/>
        </w:rPr>
        <w:t>，</w:t>
      </w:r>
      <w:r>
        <w:rPr>
          <w:rFonts w:ascii="Times New Roman" w:hAnsi="宋体"/>
          <w:szCs w:val="21"/>
        </w:rPr>
        <w:t>以氩等离子体为离子化源，利用标准模式，直接</w:t>
      </w:r>
      <w:r>
        <w:rPr>
          <w:rFonts w:hint="eastAsia" w:ascii="Times New Roman" w:hAnsi="宋体"/>
          <w:szCs w:val="21"/>
          <w:lang w:val="en-US" w:eastAsia="zh-CN"/>
        </w:rPr>
        <w:t>进行质谱</w:t>
      </w:r>
      <w:r>
        <w:rPr>
          <w:rFonts w:ascii="Times New Roman" w:hAnsi="宋体"/>
          <w:szCs w:val="21"/>
        </w:rPr>
        <w:t>测定，以内标法校正</w:t>
      </w:r>
      <w:r>
        <w:rPr>
          <w:rFonts w:hint="eastAsia" w:ascii="Times New Roman" w:hAnsi="宋体"/>
          <w:szCs w:val="21"/>
          <w:lang w:val="en-US" w:eastAsia="zh-CN"/>
        </w:rPr>
        <w:t>仪器漂移和</w:t>
      </w:r>
      <w:r>
        <w:rPr>
          <w:rFonts w:ascii="Times New Roman" w:hAnsi="宋体"/>
          <w:szCs w:val="21"/>
        </w:rPr>
        <w:t>基体干扰。</w:t>
      </w:r>
    </w:p>
    <w:p>
      <w:pPr>
        <w:pStyle w:val="75"/>
        <w:numPr>
          <w:ilvl w:val="0"/>
          <w:numId w:val="0"/>
        </w:numPr>
        <w:spacing w:before="312" w:beforeLines="100" w:after="312" w:afterLines="100"/>
        <w:rPr>
          <w:rFonts w:hint="eastAsia" w:ascii="黑体" w:hAnsi="黑体" w:eastAsia="黑体" w:cs="黑体"/>
          <w:color w:val="000000"/>
        </w:rPr>
      </w:pPr>
      <w:r>
        <w:rPr>
          <w:rFonts w:hint="eastAsia" w:ascii="黑体" w:hAnsi="黑体" w:eastAsia="黑体" w:cs="黑体"/>
          <w:color w:val="000000"/>
        </w:rPr>
        <w:t>5</w:t>
      </w:r>
      <w:r>
        <w:rPr>
          <w:rFonts w:hint="eastAsia" w:ascii="黑体" w:hAnsi="黑体" w:eastAsia="黑体" w:cs="黑体"/>
          <w:color w:val="FF0000"/>
        </w:rPr>
        <w:t>　</w:t>
      </w:r>
      <w:r>
        <w:rPr>
          <w:rFonts w:hint="eastAsia" w:ascii="黑体" w:hAnsi="黑体" w:eastAsia="黑体" w:cs="黑体"/>
          <w:color w:val="000000"/>
        </w:rPr>
        <w:t>试剂和材料</w:t>
      </w:r>
    </w:p>
    <w:bookmarkEnd w:id="2"/>
    <w:p>
      <w:pPr>
        <w:pStyle w:val="48"/>
        <w:ind w:firstLine="420"/>
        <w:rPr>
          <w:rFonts w:hint="eastAsia" w:ascii="宋体" w:hAnsi="宋体" w:eastAsia="宋体" w:cs="宋体"/>
          <w:color w:val="000000"/>
        </w:rPr>
      </w:pPr>
      <w:r>
        <w:rPr>
          <w:rFonts w:hint="eastAsia" w:ascii="宋体" w:hAnsi="宋体" w:eastAsia="宋体" w:cs="宋体"/>
          <w:bCs/>
          <w:kern w:val="2"/>
          <w:szCs w:val="24"/>
        </w:rPr>
        <w:t>除非另有说明，在分析中仅使用确认为分析纯及以上试剂和符合实验室GB/T6682规定的三级水。液体试剂均保存于塑料瓶中。</w:t>
      </w:r>
    </w:p>
    <w:p>
      <w:pPr>
        <w:rPr>
          <w:rFonts w:hint="eastAsia" w:ascii="宋体" w:hAnsi="宋体" w:eastAsia="宋体" w:cs="宋体"/>
          <w:color w:val="000000"/>
        </w:rPr>
      </w:pPr>
      <w:r>
        <w:rPr>
          <w:rFonts w:hint="eastAsia" w:ascii="宋体" w:hAnsi="宋体" w:eastAsia="宋体" w:cs="宋体"/>
          <w:color w:val="000000"/>
        </w:rPr>
        <w:t>5.1</w:t>
      </w:r>
      <w:r>
        <w:rPr>
          <w:rFonts w:hint="eastAsia" w:ascii="宋体" w:hAnsi="宋体" w:eastAsia="宋体" w:cs="宋体"/>
          <w:color w:val="FF0000"/>
        </w:rPr>
        <w:t>　</w:t>
      </w:r>
      <w:r>
        <w:rPr>
          <w:rFonts w:hint="eastAsia" w:ascii="宋体" w:hAnsi="宋体" w:eastAsia="宋体" w:cs="宋体"/>
          <w:color w:val="000000"/>
        </w:rPr>
        <w:t>过氧化氢</w:t>
      </w:r>
      <w:r>
        <w:rPr>
          <w:rFonts w:hint="eastAsia" w:ascii="宋体" w:hAnsi="宋体" w:eastAsia="宋体" w:cs="宋体"/>
          <w:szCs w:val="21"/>
        </w:rPr>
        <w:t>[</w:t>
      </w:r>
      <w:r>
        <w:rPr>
          <w:rFonts w:hint="eastAsia" w:ascii="宋体" w:hAnsi="宋体" w:eastAsia="宋体" w:cs="宋体"/>
          <w:i/>
        </w:rPr>
        <w:t>w</w:t>
      </w:r>
      <w:r>
        <w:rPr>
          <w:rFonts w:hint="eastAsia" w:ascii="宋体" w:hAnsi="宋体" w:eastAsia="宋体" w:cs="宋体"/>
        </w:rPr>
        <w:t>（H</w:t>
      </w:r>
      <w:r>
        <w:rPr>
          <w:rFonts w:hint="eastAsia" w:ascii="宋体" w:hAnsi="宋体" w:eastAsia="宋体" w:cs="宋体"/>
          <w:vertAlign w:val="subscript"/>
        </w:rPr>
        <w:t>2</w:t>
      </w:r>
      <w:r>
        <w:rPr>
          <w:rFonts w:hint="eastAsia" w:ascii="宋体" w:hAnsi="宋体" w:eastAsia="宋体" w:cs="宋体"/>
        </w:rPr>
        <w:t>O</w:t>
      </w:r>
      <w:r>
        <w:rPr>
          <w:rFonts w:hint="eastAsia" w:ascii="宋体" w:hAnsi="宋体" w:eastAsia="宋体" w:cs="宋体"/>
          <w:vertAlign w:val="subscript"/>
        </w:rPr>
        <w:t>2</w:t>
      </w:r>
      <w:r>
        <w:rPr>
          <w:rFonts w:hint="eastAsia" w:ascii="宋体" w:hAnsi="宋体" w:eastAsia="宋体" w:cs="宋体"/>
        </w:rPr>
        <w:t>）≥</w:t>
      </w:r>
      <w:r>
        <w:rPr>
          <w:rFonts w:hint="eastAsia" w:ascii="宋体" w:hAnsi="宋体" w:eastAsia="宋体" w:cs="宋体"/>
          <w:szCs w:val="21"/>
        </w:rPr>
        <w:t>30%]</w:t>
      </w:r>
    </w:p>
    <w:p>
      <w:pPr>
        <w:rPr>
          <w:rFonts w:hint="eastAsia" w:ascii="宋体" w:hAnsi="宋体" w:eastAsia="宋体" w:cs="宋体"/>
          <w:color w:val="000000"/>
        </w:rPr>
      </w:pPr>
      <w:r>
        <w:rPr>
          <w:rFonts w:hint="eastAsia" w:ascii="宋体" w:hAnsi="宋体" w:eastAsia="宋体" w:cs="宋体"/>
          <w:color w:val="000000"/>
        </w:rPr>
        <w:t>5.2  氢氟酸</w:t>
      </w:r>
      <w:r>
        <w:rPr>
          <w:rFonts w:hint="eastAsia" w:ascii="宋体" w:hAnsi="宋体" w:eastAsia="宋体" w:cs="宋体"/>
        </w:rPr>
        <w:t>（</w:t>
      </w:r>
      <w:r>
        <w:rPr>
          <w:rFonts w:hint="eastAsia" w:ascii="宋体" w:hAnsi="宋体" w:cs="宋体"/>
          <w:i w:val="0"/>
          <w:iCs/>
          <w:color w:val="000000" w:themeColor="text1"/>
          <w:lang w:val="en-US" w:eastAsia="zh-CN"/>
          <w14:textFill>
            <w14:solidFill>
              <w14:schemeClr w14:val="tx1"/>
            </w14:solidFill>
          </w14:textFill>
        </w:rPr>
        <w:t>1+9</w:t>
      </w:r>
      <w:r>
        <w:rPr>
          <w:rFonts w:hint="eastAsia" w:ascii="宋体" w:hAnsi="宋体" w:eastAsia="宋体" w:cs="宋体"/>
        </w:rPr>
        <w:t>）</w:t>
      </w:r>
      <w:r>
        <w:rPr>
          <w:rFonts w:hint="eastAsia" w:ascii="宋体" w:hAnsi="宋体" w:eastAsia="宋体" w:cs="宋体"/>
          <w:color w:val="FF0000"/>
        </w:rPr>
        <w:t>　</w:t>
      </w:r>
      <w:r>
        <w:rPr>
          <w:rFonts w:hint="eastAsia" w:ascii="宋体" w:hAnsi="宋体" w:eastAsia="宋体" w:cs="宋体"/>
          <w:color w:val="000000"/>
        </w:rPr>
        <w:t xml:space="preserve"> </w:t>
      </w:r>
    </w:p>
    <w:p>
      <w:pPr>
        <w:rPr>
          <w:rFonts w:hint="eastAsia" w:ascii="宋体" w:hAnsi="宋体" w:eastAsia="宋体" w:cs="宋体"/>
          <w:color w:val="000000"/>
        </w:rPr>
      </w:pPr>
      <w:r>
        <w:rPr>
          <w:rFonts w:hint="eastAsia" w:ascii="宋体" w:hAnsi="宋体" w:eastAsia="宋体" w:cs="宋体"/>
          <w:color w:val="000000"/>
        </w:rPr>
        <w:t>5.3</w:t>
      </w:r>
      <w:r>
        <w:rPr>
          <w:rFonts w:hint="eastAsia" w:ascii="宋体" w:hAnsi="宋体" w:eastAsia="宋体" w:cs="宋体"/>
          <w:color w:val="FF0000"/>
        </w:rPr>
        <w:t>　</w:t>
      </w:r>
      <w:r>
        <w:rPr>
          <w:rFonts w:hint="eastAsia" w:ascii="宋体" w:hAnsi="宋体" w:eastAsia="宋体" w:cs="宋体"/>
          <w:color w:val="000000"/>
        </w:rPr>
        <w:t>硝酸</w:t>
      </w:r>
      <w:r>
        <w:rPr>
          <w:rFonts w:hint="eastAsia" w:ascii="宋体" w:hAnsi="宋体" w:eastAsia="宋体" w:cs="宋体"/>
        </w:rPr>
        <w:t>（1+1）</w:t>
      </w:r>
    </w:p>
    <w:p>
      <w:pPr>
        <w:rPr>
          <w:rFonts w:hint="eastAsia" w:ascii="宋体" w:hAnsi="宋体" w:eastAsia="宋体" w:cs="宋体"/>
        </w:rPr>
      </w:pPr>
      <w:r>
        <w:rPr>
          <w:rFonts w:hint="eastAsia" w:ascii="宋体" w:hAnsi="宋体" w:eastAsia="宋体" w:cs="宋体"/>
          <w:color w:val="000000"/>
        </w:rPr>
        <w:t>5.4</w:t>
      </w:r>
      <w:r>
        <w:rPr>
          <w:rFonts w:hint="eastAsia" w:ascii="宋体" w:hAnsi="宋体" w:eastAsia="宋体" w:cs="宋体"/>
          <w:color w:val="FF0000"/>
        </w:rPr>
        <w:t>　</w:t>
      </w:r>
      <w:r>
        <w:rPr>
          <w:rFonts w:hint="eastAsia" w:ascii="宋体" w:hAnsi="宋体" w:eastAsia="宋体" w:cs="宋体"/>
          <w:color w:val="000000"/>
        </w:rPr>
        <w:t>硝酸</w:t>
      </w:r>
      <w:r>
        <w:rPr>
          <w:rFonts w:hint="eastAsia" w:ascii="宋体" w:hAnsi="宋体" w:eastAsia="宋体" w:cs="宋体"/>
        </w:rPr>
        <w:t>（</w:t>
      </w:r>
      <w:r>
        <w:rPr>
          <w:rFonts w:hint="eastAsia" w:ascii="宋体" w:hAnsi="宋体" w:eastAsia="宋体" w:cs="宋体"/>
          <w:lang w:val="en-US" w:eastAsia="zh-CN"/>
        </w:rPr>
        <w:t>2+98</w:t>
      </w:r>
      <w:r>
        <w:rPr>
          <w:rFonts w:hint="eastAsia" w:ascii="宋体" w:hAnsi="宋体" w:eastAsia="宋体" w:cs="宋体"/>
        </w:rPr>
        <w:t>）</w:t>
      </w:r>
    </w:p>
    <w:p>
      <w:pPr>
        <w:rPr>
          <w:rFonts w:hint="eastAsia" w:ascii="宋体" w:hAnsi="宋体" w:eastAsia="宋体" w:cs="宋体"/>
          <w:color w:val="000000"/>
          <w:lang w:val="en-US" w:eastAsia="zh-CN"/>
        </w:rPr>
      </w:pPr>
      <w:r>
        <w:rPr>
          <w:rFonts w:hint="eastAsia" w:ascii="宋体" w:hAnsi="宋体" w:eastAsia="宋体" w:cs="宋体"/>
        </w:rPr>
        <w:t xml:space="preserve">5.5 </w:t>
      </w:r>
      <w:r>
        <w:rPr>
          <w:rFonts w:hint="eastAsia" w:ascii="宋体" w:hAnsi="宋体" w:eastAsia="宋体" w:cs="宋体"/>
          <w:lang w:val="en-US" w:eastAsia="zh-CN"/>
        </w:rPr>
        <w:t xml:space="preserve"> </w:t>
      </w:r>
      <w:r>
        <w:rPr>
          <w:rFonts w:hint="eastAsia" w:ascii="宋体" w:hAnsi="宋体" w:eastAsia="宋体" w:cs="宋体"/>
        </w:rPr>
        <w:t>钍标准贮存溶液：准确称取0.1138 g</w:t>
      </w:r>
      <w:r>
        <w:rPr>
          <w:rFonts w:hint="eastAsia" w:ascii="宋体" w:hAnsi="宋体" w:cs="宋体"/>
          <w:lang w:val="en-US" w:eastAsia="zh-CN"/>
        </w:rPr>
        <w:t>经110℃烘干并置于干燥器中冷却至室温的二</w:t>
      </w:r>
      <w:r>
        <w:rPr>
          <w:rFonts w:hint="eastAsia" w:ascii="宋体" w:hAnsi="宋体" w:eastAsia="宋体" w:cs="宋体"/>
        </w:rPr>
        <w:t>氧化钍，置于100 mL烧杯中，加入10 ml硝酸（</w:t>
      </w:r>
      <w:r>
        <w:rPr>
          <w:rFonts w:hint="eastAsia" w:ascii="宋体" w:hAnsi="宋体" w:eastAsia="宋体" w:cs="宋体"/>
          <w:lang w:val="en-US" w:eastAsia="zh-CN"/>
        </w:rPr>
        <w:t>5.3</w:t>
      </w:r>
      <w:r>
        <w:rPr>
          <w:rFonts w:hint="eastAsia" w:ascii="宋体" w:hAnsi="宋体" w:eastAsia="宋体" w:cs="宋体"/>
        </w:rPr>
        <w:t>），1滴氢氟酸</w:t>
      </w:r>
      <w:r>
        <w:rPr>
          <w:rFonts w:hint="eastAsia" w:ascii="宋体" w:hAnsi="宋体" w:eastAsia="宋体" w:cs="宋体"/>
          <w:lang w:eastAsia="zh-CN"/>
        </w:rPr>
        <w:t>（</w:t>
      </w:r>
      <w:r>
        <w:rPr>
          <w:rFonts w:hint="eastAsia" w:ascii="宋体" w:hAnsi="宋体" w:eastAsia="宋体" w:cs="宋体"/>
          <w:lang w:val="en-US" w:eastAsia="zh-CN"/>
        </w:rPr>
        <w:t>5.2</w:t>
      </w:r>
      <w:r>
        <w:rPr>
          <w:rFonts w:hint="eastAsia" w:ascii="宋体" w:hAnsi="宋体" w:eastAsia="宋体" w:cs="宋体"/>
          <w:lang w:eastAsia="zh-CN"/>
        </w:rPr>
        <w:t>）</w:t>
      </w:r>
      <w:r>
        <w:rPr>
          <w:rFonts w:hint="eastAsia" w:ascii="宋体" w:hAnsi="宋体" w:eastAsia="宋体" w:cs="宋体"/>
        </w:rPr>
        <w:t>，低温加热至溶解完全并蒸发至1 ml左右，加入10 ml硝酸（</w:t>
      </w:r>
      <w:r>
        <w:rPr>
          <w:rFonts w:hint="eastAsia" w:ascii="宋体" w:hAnsi="宋体" w:eastAsia="宋体" w:cs="宋体"/>
          <w:lang w:val="en-US" w:eastAsia="zh-CN"/>
        </w:rPr>
        <w:t>5.3</w:t>
      </w:r>
      <w:r>
        <w:rPr>
          <w:rFonts w:hint="eastAsia" w:ascii="宋体" w:hAnsi="宋体" w:eastAsia="宋体" w:cs="宋体"/>
        </w:rPr>
        <w:t>），蒸发至1 ml左右，重复操作一次以赶尽氟离子，冷却。移入1000 mL容量瓶中，加入10 ml硝酸（</w:t>
      </w:r>
      <w:r>
        <w:rPr>
          <w:rFonts w:hint="eastAsia" w:ascii="宋体" w:hAnsi="宋体" w:eastAsia="宋体" w:cs="宋体"/>
          <w:lang w:val="en-US" w:eastAsia="zh-CN"/>
        </w:rPr>
        <w:t>5.3</w:t>
      </w:r>
      <w:r>
        <w:rPr>
          <w:rFonts w:hint="eastAsia" w:ascii="宋体" w:hAnsi="宋体" w:eastAsia="宋体" w:cs="宋体"/>
        </w:rPr>
        <w:t>），用水稀释至刻度，混匀。此溶液1 mL含100µg钍</w:t>
      </w:r>
      <w:r>
        <w:rPr>
          <w:rFonts w:hint="eastAsia" w:ascii="宋体" w:hAnsi="宋体" w:eastAsia="宋体" w:cs="宋体"/>
          <w:lang w:eastAsia="zh-CN"/>
        </w:rPr>
        <w:t>。</w:t>
      </w:r>
    </w:p>
    <w:p>
      <w:pPr>
        <w:pStyle w:val="48"/>
        <w:tabs>
          <w:tab w:val="center" w:pos="4201"/>
          <w:tab w:val="right" w:leader="dot" w:pos="9298"/>
        </w:tabs>
        <w:ind w:firstLine="0" w:firstLineChars="0"/>
        <w:rPr>
          <w:rFonts w:hint="eastAsia" w:ascii="宋体" w:hAnsi="宋体" w:eastAsia="宋体" w:cs="宋体"/>
          <w:szCs w:val="21"/>
        </w:rPr>
      </w:pPr>
      <w:r>
        <w:rPr>
          <w:rFonts w:hint="eastAsia" w:ascii="宋体" w:hAnsi="宋体" w:eastAsia="宋体" w:cs="宋体"/>
          <w:color w:val="000000"/>
        </w:rPr>
        <w:t>5.6</w:t>
      </w:r>
      <w:r>
        <w:rPr>
          <w:rFonts w:hint="eastAsia" w:ascii="宋体" w:hAnsi="宋体" w:eastAsia="宋体" w:cs="宋体"/>
          <w:color w:val="FF0000"/>
        </w:rPr>
        <w:t>　</w:t>
      </w:r>
      <w:r>
        <w:rPr>
          <w:rFonts w:hint="eastAsia" w:ascii="宋体" w:hAnsi="宋体" w:eastAsia="宋体" w:cs="宋体"/>
        </w:rPr>
        <w:t>铀标准贮存溶液：准确称取0.1179 g</w:t>
      </w:r>
      <w:r>
        <w:rPr>
          <w:rFonts w:hint="eastAsia" w:ascii="宋体" w:hAnsi="宋体" w:cs="宋体"/>
          <w:lang w:val="en-US" w:eastAsia="zh-CN"/>
        </w:rPr>
        <w:t>经1</w:t>
      </w:r>
      <w:r>
        <w:rPr>
          <w:rFonts w:hint="eastAsia" w:hAnsi="宋体" w:cs="宋体"/>
          <w:lang w:val="en-US" w:eastAsia="zh-CN"/>
        </w:rPr>
        <w:t>10</w:t>
      </w:r>
      <w:r>
        <w:rPr>
          <w:rFonts w:hint="eastAsia" w:ascii="宋体" w:hAnsi="宋体" w:cs="宋体"/>
          <w:lang w:val="en-US" w:eastAsia="zh-CN"/>
        </w:rPr>
        <w:t>℃烘干并置于干燥器中冷却至室温的</w:t>
      </w:r>
      <w:r>
        <w:rPr>
          <w:rFonts w:hint="eastAsia" w:ascii="宋体" w:hAnsi="宋体" w:eastAsia="宋体" w:cs="宋体"/>
        </w:rPr>
        <w:t>八氧化三铀，置于100 mL烧杯中，加入10 ml硝酸（</w:t>
      </w:r>
      <w:r>
        <w:rPr>
          <w:rFonts w:hint="eastAsia" w:ascii="宋体" w:hAnsi="宋体" w:eastAsia="宋体" w:cs="宋体"/>
          <w:lang w:val="en-US" w:eastAsia="zh-CN"/>
        </w:rPr>
        <w:t>5.3</w:t>
      </w:r>
      <w:r>
        <w:rPr>
          <w:rFonts w:hint="eastAsia" w:ascii="宋体" w:hAnsi="宋体" w:eastAsia="宋体" w:cs="宋体"/>
        </w:rPr>
        <w:t>），低温加热至溶解完全，冷却。移入1000 mL容量瓶中，继续用水稀释至刻度，混匀。此溶液1 mL含100 µg铀。</w:t>
      </w:r>
    </w:p>
    <w:p>
      <w:pPr>
        <w:rPr>
          <w:rFonts w:hint="eastAsia" w:ascii="宋体" w:hAnsi="宋体" w:eastAsia="宋体" w:cs="宋体"/>
          <w:szCs w:val="21"/>
          <w:lang w:eastAsia="zh-CN"/>
        </w:rPr>
      </w:pPr>
      <w:r>
        <w:rPr>
          <w:rFonts w:hint="eastAsia" w:ascii="宋体" w:hAnsi="宋体" w:eastAsia="宋体" w:cs="宋体"/>
          <w:color w:val="000000"/>
        </w:rPr>
        <w:t>5.7</w:t>
      </w:r>
      <w:r>
        <w:rPr>
          <w:rFonts w:hint="eastAsia" w:ascii="宋体" w:hAnsi="宋体" w:eastAsia="宋体" w:cs="宋体"/>
          <w:color w:val="FF0000"/>
        </w:rPr>
        <w:t>　</w:t>
      </w:r>
      <w:r>
        <w:rPr>
          <w:rFonts w:hint="eastAsia" w:ascii="宋体" w:hAnsi="宋体" w:eastAsia="宋体" w:cs="宋体"/>
        </w:rPr>
        <w:t>铯内标溶液：准确称取0.1267 g</w:t>
      </w:r>
      <w:r>
        <w:rPr>
          <w:rFonts w:hint="eastAsia" w:ascii="宋体" w:hAnsi="宋体" w:cs="宋体"/>
          <w:lang w:val="en-US" w:eastAsia="zh-CN"/>
        </w:rPr>
        <w:t>经110℃烘干并置于干燥器中冷却至室温的</w:t>
      </w:r>
      <w:r>
        <w:rPr>
          <w:rFonts w:hint="eastAsia" w:ascii="宋体" w:hAnsi="宋体" w:eastAsia="宋体" w:cs="宋体"/>
        </w:rPr>
        <w:t>氯化铯，置于100 mL烧杯中，加入10ml硝酸（</w:t>
      </w:r>
      <w:r>
        <w:rPr>
          <w:rFonts w:hint="eastAsia" w:ascii="宋体" w:hAnsi="宋体" w:eastAsia="宋体" w:cs="宋体"/>
          <w:lang w:val="en-US" w:eastAsia="zh-CN"/>
        </w:rPr>
        <w:t>5.3</w:t>
      </w:r>
      <w:r>
        <w:rPr>
          <w:rFonts w:hint="eastAsia" w:ascii="宋体" w:hAnsi="宋体" w:eastAsia="宋体" w:cs="宋体"/>
        </w:rPr>
        <w:t>），低温加热至溶解完全，冷</w:t>
      </w:r>
      <w:bookmarkStart w:id="3" w:name="_GoBack"/>
      <w:bookmarkEnd w:id="3"/>
      <w:r>
        <w:rPr>
          <w:rFonts w:hint="eastAsia" w:ascii="宋体" w:hAnsi="宋体" w:eastAsia="宋体" w:cs="宋体"/>
        </w:rPr>
        <w:t>却。移入1000 mL容量瓶中，以水稀释至刻度，混匀。此溶液1 mL含100µg铯。再将此溶液稀释至1 mL含10 µg铯的标准溶液</w:t>
      </w:r>
      <w:r>
        <w:rPr>
          <w:rFonts w:hint="eastAsia" w:ascii="宋体" w:hAnsi="宋体" w:eastAsia="宋体" w:cs="宋体"/>
          <w:szCs w:val="21"/>
          <w:lang w:eastAsia="zh-CN"/>
        </w:rPr>
        <w:t>。</w:t>
      </w:r>
    </w:p>
    <w:p>
      <w:pPr>
        <w:rPr>
          <w:rFonts w:hint="eastAsia" w:ascii="宋体" w:hAnsi="宋体" w:eastAsia="宋体" w:cs="宋体"/>
          <w:szCs w:val="21"/>
        </w:rPr>
      </w:pPr>
      <w:r>
        <w:rPr>
          <w:rFonts w:hint="eastAsia" w:ascii="宋体" w:hAnsi="宋体" w:eastAsia="宋体" w:cs="宋体"/>
          <w:color w:val="000000"/>
        </w:rPr>
        <w:t>5.8</w:t>
      </w:r>
      <w:r>
        <w:rPr>
          <w:rFonts w:hint="eastAsia" w:ascii="宋体" w:hAnsi="宋体" w:eastAsia="宋体" w:cs="宋体"/>
          <w:color w:val="FF0000"/>
        </w:rPr>
        <w:t>　</w:t>
      </w:r>
      <w:r>
        <w:rPr>
          <w:rFonts w:hint="eastAsia" w:ascii="宋体" w:hAnsi="宋体" w:eastAsia="宋体" w:cs="宋体"/>
        </w:rPr>
        <w:t>钍、铀标准混合标准溶液：分别移取钍、铀标准贮存溶液（</w:t>
      </w:r>
      <w:r>
        <w:rPr>
          <w:rFonts w:hint="eastAsia" w:ascii="宋体" w:hAnsi="宋体" w:eastAsia="宋体" w:cs="宋体"/>
          <w:lang w:val="en-US" w:eastAsia="zh-CN"/>
        </w:rPr>
        <w:t>5.5</w:t>
      </w:r>
      <w:r>
        <w:rPr>
          <w:rFonts w:hint="eastAsia" w:ascii="宋体" w:hAnsi="宋体" w:eastAsia="宋体" w:cs="宋体"/>
        </w:rPr>
        <w:t>～</w:t>
      </w:r>
      <w:r>
        <w:rPr>
          <w:rFonts w:hint="eastAsia" w:ascii="宋体" w:hAnsi="宋体" w:eastAsia="宋体" w:cs="宋体"/>
          <w:lang w:val="en-US" w:eastAsia="zh-CN"/>
        </w:rPr>
        <w:t>5.6</w:t>
      </w:r>
      <w:r>
        <w:rPr>
          <w:rFonts w:hint="eastAsia" w:ascii="宋体" w:hAnsi="宋体" w:eastAsia="宋体" w:cs="宋体"/>
        </w:rPr>
        <w:t>）各1 mL于100 mL容量瓶中，加入10 mL硝酸（</w:t>
      </w:r>
      <w:r>
        <w:rPr>
          <w:rFonts w:hint="eastAsia" w:ascii="宋体" w:hAnsi="宋体" w:eastAsia="宋体" w:cs="宋体"/>
          <w:lang w:val="en-US" w:eastAsia="zh-CN"/>
        </w:rPr>
        <w:t>5.3</w:t>
      </w:r>
      <w:r>
        <w:rPr>
          <w:rFonts w:hint="eastAsia" w:ascii="宋体" w:hAnsi="宋体" w:eastAsia="宋体" w:cs="宋体"/>
        </w:rPr>
        <w:t>），用水稀释至刻度，混匀。此溶液1mL分别含钍、铀1 µg。</w:t>
      </w:r>
    </w:p>
    <w:p>
      <w:pPr>
        <w:pStyle w:val="75"/>
        <w:numPr>
          <w:ilvl w:val="1"/>
          <w:numId w:val="12"/>
        </w:numPr>
        <w:spacing w:before="0" w:beforeLines="0" w:after="0" w:afterLines="0" w:line="360" w:lineRule="auto"/>
        <w:rPr>
          <w:rFonts w:hint="eastAsia" w:ascii="宋体" w:hAnsi="宋体" w:eastAsia="宋体" w:cs="宋体"/>
          <w:szCs w:val="21"/>
        </w:rPr>
      </w:pPr>
      <w:r>
        <w:rPr>
          <w:rFonts w:hint="eastAsia" w:ascii="宋体" w:hAnsi="宋体" w:eastAsia="宋体" w:cs="宋体"/>
          <w:szCs w:val="21"/>
          <w:lang w:val="en-US" w:eastAsia="zh-CN"/>
        </w:rPr>
        <w:t xml:space="preserve"> </w:t>
      </w:r>
      <w:r>
        <w:rPr>
          <w:rFonts w:hint="eastAsia" w:ascii="宋体" w:hAnsi="宋体" w:eastAsia="宋体" w:cs="宋体"/>
          <w:szCs w:val="21"/>
        </w:rPr>
        <w:t>氩气（体积分数≥99.99%）。</w:t>
      </w:r>
    </w:p>
    <w:p>
      <w:pPr>
        <w:pStyle w:val="75"/>
        <w:numPr>
          <w:ilvl w:val="0"/>
          <w:numId w:val="0"/>
        </w:numPr>
        <w:spacing w:before="312" w:beforeLines="100" w:after="312" w:afterLines="100"/>
        <w:rPr>
          <w:rFonts w:hint="eastAsia" w:ascii="黑体" w:hAnsi="黑体" w:eastAsia="黑体" w:cs="黑体"/>
          <w:color w:val="000000"/>
        </w:rPr>
      </w:pPr>
      <w:r>
        <w:rPr>
          <w:rFonts w:hint="eastAsia" w:ascii="黑体" w:hAnsi="黑体" w:eastAsia="黑体" w:cs="黑体"/>
          <w:color w:val="000000"/>
        </w:rPr>
        <w:t>6　仪器设备</w:t>
      </w:r>
    </w:p>
    <w:p>
      <w:pPr>
        <w:ind w:firstLine="420" w:firstLineChars="200"/>
        <w:rPr>
          <w:rFonts w:hint="eastAsia" w:ascii="宋体" w:hAnsi="宋体" w:eastAsia="宋体" w:cs="宋体"/>
        </w:rPr>
      </w:pPr>
      <w:r>
        <w:rPr>
          <w:rFonts w:hint="eastAsia" w:ascii="宋体" w:hAnsi="宋体" w:eastAsia="宋体" w:cs="宋体"/>
        </w:rPr>
        <w:t>电感耦合等离子体质谱仪：质量分辨率优于（0.8±0.1）amu。</w:t>
      </w:r>
    </w:p>
    <w:p>
      <w:pPr>
        <w:pStyle w:val="75"/>
        <w:numPr>
          <w:ilvl w:val="0"/>
          <w:numId w:val="0"/>
        </w:numPr>
        <w:spacing w:before="312" w:beforeLines="100" w:after="312" w:afterLines="100"/>
        <w:rPr>
          <w:rFonts w:hint="eastAsia" w:ascii="黑体" w:hAnsi="黑体" w:eastAsia="黑体" w:cs="黑体"/>
          <w:color w:val="000000"/>
        </w:rPr>
      </w:pPr>
      <w:r>
        <w:rPr>
          <w:rFonts w:hint="eastAsia" w:ascii="黑体" w:hAnsi="黑体" w:eastAsia="黑体" w:cs="黑体"/>
          <w:color w:val="000000"/>
        </w:rPr>
        <w:t>7　样品</w:t>
      </w:r>
    </w:p>
    <w:p>
      <w:pPr>
        <w:rPr>
          <w:rFonts w:hint="eastAsia" w:asciiTheme="minorEastAsia" w:hAnsiTheme="minorEastAsia" w:eastAsiaTheme="minorEastAsia"/>
          <w:lang w:val="en-US" w:eastAsia="zh-CN"/>
        </w:rPr>
      </w:pPr>
      <w:r>
        <w:rPr>
          <w:rFonts w:asciiTheme="minorEastAsia" w:hAnsiTheme="minorEastAsia" w:eastAsiaTheme="minorEastAsia"/>
        </w:rPr>
        <w:t>7.1</w:t>
      </w:r>
      <w:r>
        <w:rPr>
          <w:rFonts w:hint="eastAsia" w:asciiTheme="minorEastAsia" w:hAnsiTheme="minorEastAsia" w:eastAsiaTheme="minorEastAsia"/>
          <w:lang w:val="en-US" w:eastAsia="zh-CN"/>
        </w:rPr>
        <w:t xml:space="preserve"> 氧化物试样于105℃烘1 h，置于干燥器中，冷却至室温，立即称样。</w:t>
      </w:r>
    </w:p>
    <w:p>
      <w:pP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7.2 金属试样应去掉表面氧化层，取样后立即称样。</w:t>
      </w:r>
    </w:p>
    <w:p>
      <w:pPr>
        <w:pStyle w:val="75"/>
        <w:numPr>
          <w:ilvl w:val="0"/>
          <w:numId w:val="0"/>
        </w:numPr>
        <w:spacing w:before="312" w:beforeLines="100" w:after="312" w:afterLines="100"/>
        <w:rPr>
          <w:rFonts w:hint="eastAsia" w:ascii="黑体" w:hAnsi="黑体" w:eastAsia="黑体" w:cs="黑体"/>
          <w:color w:val="000000"/>
        </w:rPr>
      </w:pPr>
      <w:r>
        <w:rPr>
          <w:rFonts w:hint="eastAsia" w:ascii="黑体" w:hAnsi="黑体" w:eastAsia="黑体" w:cs="黑体"/>
          <w:color w:val="000000"/>
        </w:rPr>
        <w:t>8　试验步骤</w:t>
      </w:r>
    </w:p>
    <w:p>
      <w:pPr>
        <w:pStyle w:val="75"/>
        <w:numPr>
          <w:ilvl w:val="0"/>
          <w:numId w:val="0"/>
        </w:numPr>
        <w:spacing w:before="312" w:beforeLines="100" w:after="312" w:afterLines="100"/>
        <w:rPr>
          <w:rFonts w:hint="eastAsia" w:ascii="黑体" w:hAnsi="黑体" w:eastAsia="黑体" w:cs="黑体"/>
          <w:color w:val="000000"/>
        </w:rPr>
      </w:pPr>
      <w:r>
        <w:rPr>
          <w:rFonts w:hint="eastAsia" w:ascii="黑体" w:hAnsi="黑体" w:eastAsia="黑体" w:cs="黑体"/>
          <w:color w:val="000000"/>
        </w:rPr>
        <w:t>8.1　试料</w:t>
      </w:r>
    </w:p>
    <w:p>
      <w:pPr>
        <w:ind w:firstLine="420" w:firstLineChars="200"/>
        <w:rPr>
          <w:rFonts w:hint="eastAsia" w:ascii="宋体" w:hAnsi="宋体" w:eastAsia="宋体" w:cs="宋体"/>
        </w:rPr>
      </w:pPr>
      <w:r>
        <w:rPr>
          <w:rFonts w:hint="eastAsia" w:ascii="宋体" w:hAnsi="宋体" w:eastAsia="宋体" w:cs="宋体"/>
        </w:rPr>
        <w:t>称取0.25</w:t>
      </w:r>
      <w:r>
        <w:rPr>
          <w:rFonts w:hint="eastAsia" w:ascii="宋体" w:hAnsi="宋体" w:eastAsia="宋体" w:cs="宋体"/>
          <w:color w:val="000000"/>
        </w:rPr>
        <w:t> </w:t>
      </w:r>
      <w:r>
        <w:rPr>
          <w:rFonts w:hint="eastAsia" w:ascii="宋体" w:hAnsi="宋体" w:eastAsia="宋体" w:cs="宋体"/>
        </w:rPr>
        <w:t>g</w:t>
      </w:r>
      <w:r>
        <w:rPr>
          <w:rFonts w:hint="eastAsia" w:ascii="宋体" w:hAnsi="宋体" w:eastAsia="宋体" w:cs="宋体"/>
          <w:lang w:val="en-US" w:eastAsia="zh-CN"/>
        </w:rPr>
        <w:t>样品</w:t>
      </w:r>
      <w:r>
        <w:rPr>
          <w:rFonts w:hint="eastAsia" w:ascii="宋体" w:hAnsi="宋体" w:eastAsia="宋体" w:cs="宋体"/>
        </w:rPr>
        <w:t>（7），精确至0.0001</w:t>
      </w:r>
      <w:r>
        <w:rPr>
          <w:rFonts w:hint="eastAsia" w:ascii="宋体" w:hAnsi="宋体" w:eastAsia="宋体" w:cs="宋体"/>
          <w:color w:val="000000"/>
        </w:rPr>
        <w:t> </w:t>
      </w:r>
      <w:r>
        <w:rPr>
          <w:rFonts w:hint="eastAsia" w:ascii="宋体" w:hAnsi="宋体" w:eastAsia="宋体" w:cs="宋体"/>
        </w:rPr>
        <w:t>g。</w:t>
      </w:r>
    </w:p>
    <w:p>
      <w:pPr>
        <w:pStyle w:val="75"/>
        <w:numPr>
          <w:ilvl w:val="0"/>
          <w:numId w:val="0"/>
        </w:numPr>
        <w:spacing w:before="312" w:beforeLines="100" w:after="312" w:afterLines="100"/>
        <w:rPr>
          <w:rFonts w:hint="eastAsia" w:ascii="黑体" w:hAnsi="黑体" w:eastAsia="黑体" w:cs="黑体"/>
          <w:color w:val="000000"/>
        </w:rPr>
      </w:pPr>
      <w:r>
        <w:rPr>
          <w:rFonts w:hint="eastAsia" w:ascii="黑体" w:hAnsi="黑体" w:eastAsia="黑体" w:cs="黑体"/>
          <w:color w:val="000000"/>
        </w:rPr>
        <w:t>8.2　平行试验</w:t>
      </w:r>
    </w:p>
    <w:p>
      <w:pPr>
        <w:pStyle w:val="21"/>
        <w:adjustRightInd w:val="0"/>
        <w:snapToGrid w:val="0"/>
        <w:ind w:firstLine="420" w:firstLineChars="200"/>
        <w:rPr>
          <w:rFonts w:ascii="Times New Roman" w:hAnsi="Times New Roman"/>
          <w:szCs w:val="22"/>
        </w:rPr>
      </w:pPr>
      <w:r>
        <w:rPr>
          <w:rFonts w:hint="eastAsia" w:ascii="Times New Roman" w:hAnsi="Times New Roman"/>
          <w:szCs w:val="22"/>
        </w:rPr>
        <w:t>称取两份试样，进行平行测定，取其平均值。</w:t>
      </w:r>
    </w:p>
    <w:p>
      <w:pPr>
        <w:pStyle w:val="75"/>
        <w:numPr>
          <w:ilvl w:val="0"/>
          <w:numId w:val="0"/>
        </w:numPr>
        <w:spacing w:before="312" w:beforeLines="100" w:after="312" w:afterLines="100"/>
        <w:rPr>
          <w:rFonts w:hint="eastAsia" w:ascii="黑体" w:hAnsi="黑体" w:eastAsia="黑体" w:cs="黑体"/>
          <w:color w:val="000000"/>
        </w:rPr>
      </w:pPr>
      <w:r>
        <w:rPr>
          <w:rFonts w:hint="eastAsia" w:ascii="黑体" w:hAnsi="黑体" w:eastAsia="黑体" w:cs="黑体"/>
          <w:color w:val="000000"/>
        </w:rPr>
        <w:t>8.3　空白试验</w:t>
      </w:r>
    </w:p>
    <w:p>
      <w:pPr>
        <w:pStyle w:val="21"/>
        <w:adjustRightInd w:val="0"/>
        <w:snapToGrid w:val="0"/>
        <w:ind w:firstLine="420" w:firstLineChars="200"/>
        <w:rPr>
          <w:rFonts w:ascii="Times New Roman" w:hAnsi="Times New Roman"/>
          <w:szCs w:val="22"/>
        </w:rPr>
      </w:pPr>
      <w:r>
        <w:rPr>
          <w:rFonts w:ascii="Times New Roman" w:hAnsi="Times New Roman"/>
          <w:szCs w:val="22"/>
        </w:rPr>
        <w:t>随同试料做空白试验。</w:t>
      </w:r>
    </w:p>
    <w:p>
      <w:pPr>
        <w:pStyle w:val="75"/>
        <w:numPr>
          <w:ilvl w:val="0"/>
          <w:numId w:val="0"/>
        </w:numPr>
        <w:spacing w:before="312" w:beforeLines="100" w:after="312" w:afterLines="100"/>
        <w:rPr>
          <w:rFonts w:hint="eastAsia" w:ascii="黑体" w:hAnsi="黑体" w:eastAsia="黑体" w:cs="黑体"/>
          <w:color w:val="000000"/>
        </w:rPr>
      </w:pPr>
      <w:r>
        <w:rPr>
          <w:rFonts w:hint="eastAsia" w:ascii="黑体" w:hAnsi="黑体" w:eastAsia="黑体" w:cs="黑体"/>
          <w:color w:val="000000"/>
        </w:rPr>
        <w:t>8.4　分析试液的制备</w:t>
      </w:r>
    </w:p>
    <w:p>
      <w:pPr>
        <w:pStyle w:val="48"/>
        <w:ind w:firstLine="0" w:firstLineChars="0"/>
        <w:rPr>
          <w:rFonts w:hAnsi="宋体"/>
          <w:szCs w:val="21"/>
          <w:lang w:val="de-DE"/>
        </w:rPr>
      </w:pPr>
      <w:r>
        <w:rPr>
          <w:rFonts w:hint="eastAsia" w:cs="宋体" w:asciiTheme="minorEastAsia" w:hAnsiTheme="minorEastAsia" w:eastAsiaTheme="minorEastAsia"/>
          <w:kern w:val="2"/>
          <w:szCs w:val="21"/>
        </w:rPr>
        <w:t xml:space="preserve">8.4.1 </w:t>
      </w:r>
      <w:r>
        <w:rPr>
          <w:rFonts w:hAnsi="宋体"/>
          <w:szCs w:val="21"/>
        </w:rPr>
        <w:t>将除二氧化铈外的试料（</w:t>
      </w:r>
      <w:r>
        <w:rPr>
          <w:rFonts w:hint="eastAsia"/>
          <w:szCs w:val="21"/>
          <w:lang w:val="en-US" w:eastAsia="zh-CN"/>
        </w:rPr>
        <w:t>8.1</w:t>
      </w:r>
      <w:r>
        <w:rPr>
          <w:rFonts w:hAnsi="宋体"/>
          <w:szCs w:val="21"/>
        </w:rPr>
        <w:t>）置于</w:t>
      </w:r>
      <w:r>
        <w:rPr>
          <w:rFonts w:hint="eastAsia"/>
          <w:szCs w:val="21"/>
          <w:lang w:val="en-US" w:eastAsia="zh-CN"/>
        </w:rPr>
        <w:t>100 mL烧杯中</w:t>
      </w:r>
      <w:r>
        <w:rPr>
          <w:rFonts w:hAnsi="宋体"/>
          <w:szCs w:val="21"/>
        </w:rPr>
        <w:t>，加</w:t>
      </w:r>
      <w:r>
        <w:rPr>
          <w:szCs w:val="21"/>
        </w:rPr>
        <w:t>10</w:t>
      </w:r>
      <w:r>
        <w:rPr>
          <w:rFonts w:hint="eastAsia"/>
          <w:szCs w:val="21"/>
          <w:lang w:val="en-US" w:eastAsia="zh-CN"/>
        </w:rPr>
        <w:t xml:space="preserve"> </w:t>
      </w:r>
      <w:r>
        <w:rPr>
          <w:szCs w:val="21"/>
        </w:rPr>
        <w:t>mL</w:t>
      </w:r>
      <w:r>
        <w:rPr>
          <w:rFonts w:hAnsi="宋体"/>
          <w:szCs w:val="21"/>
        </w:rPr>
        <w:t>硝酸</w:t>
      </w:r>
      <w:r>
        <w:rPr>
          <w:szCs w:val="21"/>
        </w:rPr>
        <w:t>(</w:t>
      </w:r>
      <w:r>
        <w:rPr>
          <w:rFonts w:hint="eastAsia"/>
          <w:szCs w:val="21"/>
          <w:lang w:val="en-US" w:eastAsia="zh-CN"/>
        </w:rPr>
        <w:t>5.3</w:t>
      </w:r>
      <w:r>
        <w:rPr>
          <w:szCs w:val="21"/>
        </w:rPr>
        <w:t>),</w:t>
      </w:r>
      <w:r>
        <w:rPr>
          <w:rFonts w:hint="eastAsia"/>
          <w:szCs w:val="21"/>
          <w:lang w:val="en-US" w:eastAsia="zh-CN"/>
        </w:rPr>
        <w:t>低温</w:t>
      </w:r>
      <w:r>
        <w:rPr>
          <w:rFonts w:hAnsi="宋体"/>
          <w:szCs w:val="21"/>
        </w:rPr>
        <w:t>加热至溶解完全。冷却至室温，移入</w:t>
      </w:r>
      <w:r>
        <w:rPr>
          <w:szCs w:val="21"/>
        </w:rPr>
        <w:t>100</w:t>
      </w:r>
      <w:r>
        <w:rPr>
          <w:rFonts w:hint="eastAsia"/>
          <w:szCs w:val="21"/>
          <w:lang w:val="en-US" w:eastAsia="zh-CN"/>
        </w:rPr>
        <w:t xml:space="preserve"> </w:t>
      </w:r>
      <w:r>
        <w:rPr>
          <w:szCs w:val="21"/>
        </w:rPr>
        <w:t>mL</w:t>
      </w:r>
      <w:r>
        <w:rPr>
          <w:rFonts w:hAnsi="宋体"/>
          <w:szCs w:val="21"/>
        </w:rPr>
        <w:t>容量瓶中，</w:t>
      </w:r>
      <w:r>
        <w:rPr>
          <w:rFonts w:hAnsi="宋体"/>
          <w:szCs w:val="21"/>
          <w:lang w:val="de-DE"/>
        </w:rPr>
        <w:t>以水稀释至刻度，混匀。</w:t>
      </w:r>
    </w:p>
    <w:p>
      <w:pPr>
        <w:pStyle w:val="48"/>
        <w:ind w:firstLine="0" w:firstLineChars="0"/>
        <w:rPr>
          <w:rFonts w:hAnsi="宋体"/>
          <w:szCs w:val="21"/>
          <w:lang w:val="de-DE"/>
        </w:rPr>
      </w:pPr>
      <w:r>
        <w:rPr>
          <w:rFonts w:hint="eastAsia" w:cs="宋体" w:asciiTheme="minorEastAsia" w:hAnsiTheme="minorEastAsia" w:eastAsiaTheme="minorEastAsia"/>
          <w:szCs w:val="21"/>
        </w:rPr>
        <w:t xml:space="preserve">8.4.2 </w:t>
      </w:r>
      <w:r>
        <w:rPr>
          <w:rFonts w:hAnsi="宋体"/>
          <w:szCs w:val="21"/>
        </w:rPr>
        <w:t>将二氧化铈试料（</w:t>
      </w:r>
      <w:r>
        <w:rPr>
          <w:rFonts w:hint="eastAsia"/>
          <w:szCs w:val="21"/>
          <w:lang w:val="en-US" w:eastAsia="zh-CN"/>
        </w:rPr>
        <w:t>8.1</w:t>
      </w:r>
      <w:r>
        <w:rPr>
          <w:rFonts w:hAnsi="宋体"/>
          <w:szCs w:val="21"/>
        </w:rPr>
        <w:t>）置于</w:t>
      </w:r>
      <w:r>
        <w:rPr>
          <w:rFonts w:hint="eastAsia"/>
          <w:szCs w:val="21"/>
          <w:lang w:val="en-US" w:eastAsia="zh-CN"/>
        </w:rPr>
        <w:t>100 mL烧杯中</w:t>
      </w:r>
      <w:r>
        <w:rPr>
          <w:rFonts w:hAnsi="宋体"/>
          <w:szCs w:val="21"/>
        </w:rPr>
        <w:t>，加</w:t>
      </w:r>
      <w:r>
        <w:rPr>
          <w:szCs w:val="21"/>
        </w:rPr>
        <w:t>10</w:t>
      </w:r>
      <w:r>
        <w:rPr>
          <w:rFonts w:hint="eastAsia"/>
          <w:szCs w:val="21"/>
          <w:lang w:val="en-US" w:eastAsia="zh-CN"/>
        </w:rPr>
        <w:t xml:space="preserve"> </w:t>
      </w:r>
      <w:r>
        <w:rPr>
          <w:szCs w:val="21"/>
        </w:rPr>
        <w:t>mL</w:t>
      </w:r>
      <w:r>
        <w:rPr>
          <w:rFonts w:hAnsi="宋体"/>
          <w:szCs w:val="21"/>
        </w:rPr>
        <w:t>硝酸</w:t>
      </w:r>
      <w:r>
        <w:rPr>
          <w:szCs w:val="21"/>
        </w:rPr>
        <w:t>(</w:t>
      </w:r>
      <w:r>
        <w:rPr>
          <w:rFonts w:hint="eastAsia"/>
          <w:szCs w:val="21"/>
          <w:lang w:val="en-US" w:eastAsia="zh-CN"/>
        </w:rPr>
        <w:t>5.3</w:t>
      </w:r>
      <w:r>
        <w:rPr>
          <w:szCs w:val="21"/>
        </w:rPr>
        <w:t>),</w:t>
      </w:r>
      <w:r>
        <w:rPr>
          <w:rFonts w:hint="eastAsia"/>
          <w:szCs w:val="21"/>
          <w:lang w:val="en-US" w:eastAsia="zh-CN"/>
        </w:rPr>
        <w:t>滴加0.5 mL</w:t>
      </w:r>
      <w:r>
        <w:rPr>
          <w:rFonts w:hint="eastAsia" w:ascii="宋体" w:hAnsi="宋体" w:eastAsia="宋体" w:cs="宋体"/>
          <w:color w:val="000000"/>
        </w:rPr>
        <w:t>过氧化氢</w:t>
      </w:r>
      <w:r>
        <w:rPr>
          <w:rFonts w:hint="eastAsia"/>
          <w:szCs w:val="21"/>
          <w:lang w:val="en-US" w:eastAsia="zh-CN"/>
        </w:rPr>
        <w:t>（5.1），低温</w:t>
      </w:r>
      <w:r>
        <w:rPr>
          <w:rFonts w:hAnsi="宋体"/>
          <w:szCs w:val="21"/>
        </w:rPr>
        <w:t>加热至溶解完全。冷却至室温，移入</w:t>
      </w:r>
      <w:r>
        <w:rPr>
          <w:szCs w:val="21"/>
        </w:rPr>
        <w:t>100mL</w:t>
      </w:r>
      <w:r>
        <w:rPr>
          <w:rFonts w:hAnsi="宋体"/>
          <w:szCs w:val="21"/>
        </w:rPr>
        <w:t>容量瓶中，</w:t>
      </w:r>
      <w:r>
        <w:rPr>
          <w:rFonts w:hAnsi="宋体"/>
          <w:szCs w:val="21"/>
          <w:lang w:val="de-DE"/>
        </w:rPr>
        <w:t>以水稀释至刻度，混匀。</w:t>
      </w:r>
    </w:p>
    <w:p>
      <w:pPr>
        <w:pStyle w:val="48"/>
        <w:ind w:firstLine="0" w:firstLineChars="0"/>
        <w:rPr>
          <w:rFonts w:hint="default" w:hAnsi="宋体" w:eastAsia="宋体"/>
          <w:szCs w:val="21"/>
          <w:lang w:val="en-US" w:eastAsia="zh-CN"/>
        </w:rPr>
      </w:pPr>
      <w:r>
        <w:rPr>
          <w:rFonts w:hint="eastAsia" w:hAnsi="宋体"/>
          <w:szCs w:val="21"/>
          <w:lang w:val="en-US" w:eastAsia="zh-CN"/>
        </w:rPr>
        <w:t>8.4.3 移取10 mL试液（8.4.1,8.4.2）于50 mL容量瓶中，加入0.5 mL铯内标溶液（5.7）,以硝酸（5.4）定容至刻度，混匀，待测。</w:t>
      </w:r>
    </w:p>
    <w:p>
      <w:pPr>
        <w:pStyle w:val="48"/>
        <w:ind w:firstLine="420"/>
      </w:pPr>
    </w:p>
    <w:p>
      <w:pPr>
        <w:pStyle w:val="75"/>
        <w:numPr>
          <w:ilvl w:val="0"/>
          <w:numId w:val="0"/>
        </w:numPr>
        <w:spacing w:before="312" w:beforeLines="100" w:after="312" w:afterLines="100"/>
        <w:rPr>
          <w:rFonts w:hint="eastAsia" w:ascii="黑体" w:hAnsi="黑体" w:eastAsia="黑体" w:cs="黑体"/>
          <w:color w:val="000000"/>
        </w:rPr>
      </w:pPr>
      <w:r>
        <w:rPr>
          <w:rFonts w:hint="eastAsia" w:ascii="黑体" w:hAnsi="黑体" w:eastAsia="黑体" w:cs="黑体"/>
          <w:color w:val="000000"/>
        </w:rPr>
        <w:t>8.5　标准系列溶液的配制</w:t>
      </w:r>
    </w:p>
    <w:p>
      <w:pPr>
        <w:snapToGrid w:val="0"/>
        <w:spacing w:before="156" w:beforeLines="50" w:after="156" w:afterLines="50"/>
        <w:rPr>
          <w:rFonts w:hint="eastAsia" w:ascii="宋体" w:hAnsi="宋体" w:eastAsia="宋体" w:cs="宋体"/>
          <w:szCs w:val="21"/>
        </w:rPr>
      </w:pPr>
      <w:r>
        <w:rPr>
          <w:rFonts w:hint="eastAsia" w:ascii="宋体" w:hAnsi="宋体" w:eastAsia="宋体" w:cs="宋体"/>
          <w:szCs w:val="21"/>
        </w:rPr>
        <w:t>移取适量标准溶液（</w:t>
      </w:r>
      <w:r>
        <w:rPr>
          <w:rFonts w:hint="eastAsia" w:ascii="宋体" w:hAnsi="宋体" w:eastAsia="宋体" w:cs="宋体"/>
          <w:szCs w:val="21"/>
          <w:lang w:val="en-US" w:eastAsia="zh-CN"/>
        </w:rPr>
        <w:t>5.8</w:t>
      </w:r>
      <w:r>
        <w:rPr>
          <w:rFonts w:hint="eastAsia" w:ascii="宋体" w:hAnsi="宋体" w:eastAsia="宋体" w:cs="宋体"/>
          <w:szCs w:val="21"/>
        </w:rPr>
        <w:t>）于7个100 mL容量瓶中，加入1mL</w:t>
      </w:r>
      <w:r>
        <w:rPr>
          <w:rFonts w:hint="eastAsia" w:ascii="宋体" w:hAnsi="宋体" w:eastAsia="宋体" w:cs="宋体"/>
          <w:szCs w:val="21"/>
          <w:lang w:val="en-US" w:eastAsia="zh-CN"/>
        </w:rPr>
        <w:t>铯内标溶液（5.7）</w:t>
      </w:r>
      <w:r>
        <w:rPr>
          <w:rFonts w:hint="eastAsia" w:ascii="宋体" w:hAnsi="宋体" w:eastAsia="宋体" w:cs="宋体"/>
          <w:szCs w:val="21"/>
        </w:rPr>
        <w:t>，</w:t>
      </w:r>
      <w:r>
        <w:rPr>
          <w:rFonts w:hint="eastAsia" w:ascii="宋体" w:hAnsi="宋体" w:eastAsia="宋体" w:cs="宋体"/>
          <w:szCs w:val="21"/>
          <w:lang w:val="en-US" w:eastAsia="zh-CN"/>
        </w:rPr>
        <w:t>以硝酸（5.4）定容至刻度，混匀，待测</w:t>
      </w:r>
      <w:r>
        <w:rPr>
          <w:rFonts w:hint="eastAsia" w:ascii="宋体" w:hAnsi="宋体" w:eastAsia="宋体" w:cs="宋体"/>
          <w:szCs w:val="21"/>
        </w:rPr>
        <w:t>。此标准系列溶液浓度见表</w:t>
      </w:r>
      <w:r>
        <w:rPr>
          <w:rFonts w:hint="eastAsia" w:ascii="宋体" w:hAnsi="宋体" w:eastAsia="宋体" w:cs="宋体"/>
          <w:szCs w:val="21"/>
          <w:lang w:val="en-US" w:eastAsia="zh-CN"/>
        </w:rPr>
        <w:t>1</w:t>
      </w:r>
      <w:r>
        <w:rPr>
          <w:rFonts w:hint="eastAsia" w:ascii="宋体" w:hAnsi="宋体" w:eastAsia="宋体" w:cs="宋体"/>
          <w:szCs w:val="21"/>
        </w:rPr>
        <w:t>。</w:t>
      </w:r>
    </w:p>
    <w:p>
      <w:pPr>
        <w:ind w:firstLine="420"/>
        <w:jc w:val="center"/>
        <w:rPr>
          <w:rFonts w:hint="eastAsia" w:ascii="黑体" w:hAnsi="宋体" w:eastAsia="黑体"/>
          <w:szCs w:val="21"/>
        </w:rPr>
      </w:pPr>
    </w:p>
    <w:p>
      <w:pPr>
        <w:ind w:firstLine="420"/>
        <w:jc w:val="center"/>
        <w:rPr>
          <w:rFonts w:hint="eastAsia" w:ascii="黑体" w:eastAsia="黑体"/>
          <w:szCs w:val="21"/>
          <w:lang w:eastAsia="zh-CN"/>
        </w:rPr>
      </w:pPr>
      <w:r>
        <w:rPr>
          <w:rFonts w:hint="eastAsia" w:ascii="黑体" w:hAnsi="宋体" w:eastAsia="黑体"/>
          <w:szCs w:val="21"/>
        </w:rPr>
        <w:t>表</w:t>
      </w:r>
      <w:r>
        <w:rPr>
          <w:rFonts w:hint="eastAsia" w:ascii="黑体" w:eastAsia="黑体"/>
          <w:szCs w:val="21"/>
          <w:lang w:val="en-US" w:eastAsia="zh-CN"/>
        </w:rPr>
        <w:t>1</w:t>
      </w:r>
    </w:p>
    <w:tbl>
      <w:tblPr>
        <w:tblStyle w:val="32"/>
        <w:tblW w:w="486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850"/>
        <w:gridCol w:w="1006"/>
        <w:gridCol w:w="1277"/>
        <w:gridCol w:w="1277"/>
        <w:gridCol w:w="1275"/>
        <w:gridCol w:w="1046"/>
        <w:gridCol w:w="10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8" w:type="pct"/>
            <w:tcBorders>
              <w:bottom w:val="single" w:color="auto" w:sz="12" w:space="0"/>
            </w:tcBorders>
            <w:noWrap w:val="0"/>
            <w:vAlign w:val="center"/>
          </w:tcPr>
          <w:p>
            <w:pPr>
              <w:jc w:val="center"/>
              <w:rPr>
                <w:sz w:val="18"/>
                <w:szCs w:val="18"/>
              </w:rPr>
            </w:pPr>
            <w:r>
              <w:rPr>
                <w:rFonts w:hAnsi="宋体"/>
                <w:sz w:val="18"/>
                <w:szCs w:val="18"/>
              </w:rPr>
              <w:t>标准溶液编号</w:t>
            </w:r>
          </w:p>
        </w:tc>
        <w:tc>
          <w:tcPr>
            <w:tcW w:w="456" w:type="pct"/>
            <w:tcBorders>
              <w:bottom w:val="single" w:color="auto" w:sz="12" w:space="0"/>
            </w:tcBorders>
            <w:noWrap w:val="0"/>
            <w:vAlign w:val="center"/>
          </w:tcPr>
          <w:p>
            <w:pPr>
              <w:jc w:val="center"/>
              <w:rPr>
                <w:sz w:val="18"/>
                <w:szCs w:val="18"/>
              </w:rPr>
            </w:pPr>
            <w:r>
              <w:rPr>
                <w:sz w:val="18"/>
                <w:szCs w:val="18"/>
              </w:rPr>
              <w:t>1</w:t>
            </w:r>
          </w:p>
        </w:tc>
        <w:tc>
          <w:tcPr>
            <w:tcW w:w="539" w:type="pct"/>
            <w:tcBorders>
              <w:bottom w:val="single" w:color="auto" w:sz="12" w:space="0"/>
            </w:tcBorders>
            <w:noWrap w:val="0"/>
            <w:vAlign w:val="center"/>
          </w:tcPr>
          <w:p>
            <w:pPr>
              <w:jc w:val="center"/>
              <w:rPr>
                <w:sz w:val="18"/>
                <w:szCs w:val="18"/>
              </w:rPr>
            </w:pPr>
            <w:r>
              <w:rPr>
                <w:sz w:val="18"/>
                <w:szCs w:val="18"/>
              </w:rPr>
              <w:t>2</w:t>
            </w:r>
          </w:p>
        </w:tc>
        <w:tc>
          <w:tcPr>
            <w:tcW w:w="685" w:type="pct"/>
            <w:tcBorders>
              <w:bottom w:val="single" w:color="auto" w:sz="12" w:space="0"/>
            </w:tcBorders>
            <w:noWrap w:val="0"/>
            <w:vAlign w:val="center"/>
          </w:tcPr>
          <w:p>
            <w:pPr>
              <w:jc w:val="center"/>
              <w:rPr>
                <w:sz w:val="18"/>
                <w:szCs w:val="18"/>
              </w:rPr>
            </w:pPr>
            <w:r>
              <w:rPr>
                <w:sz w:val="18"/>
                <w:szCs w:val="18"/>
              </w:rPr>
              <w:t>3</w:t>
            </w:r>
          </w:p>
        </w:tc>
        <w:tc>
          <w:tcPr>
            <w:tcW w:w="685" w:type="pct"/>
            <w:tcBorders>
              <w:bottom w:val="single" w:color="auto" w:sz="12" w:space="0"/>
            </w:tcBorders>
            <w:noWrap w:val="0"/>
            <w:vAlign w:val="center"/>
          </w:tcPr>
          <w:p>
            <w:pPr>
              <w:jc w:val="center"/>
              <w:rPr>
                <w:sz w:val="18"/>
                <w:szCs w:val="18"/>
              </w:rPr>
            </w:pPr>
            <w:r>
              <w:rPr>
                <w:sz w:val="18"/>
                <w:szCs w:val="18"/>
              </w:rPr>
              <w:t>4</w:t>
            </w:r>
          </w:p>
        </w:tc>
        <w:tc>
          <w:tcPr>
            <w:tcW w:w="684" w:type="pct"/>
            <w:tcBorders>
              <w:bottom w:val="single" w:color="auto" w:sz="12" w:space="0"/>
            </w:tcBorders>
            <w:noWrap w:val="0"/>
            <w:vAlign w:val="center"/>
          </w:tcPr>
          <w:p>
            <w:pPr>
              <w:jc w:val="center"/>
              <w:rPr>
                <w:sz w:val="18"/>
                <w:szCs w:val="18"/>
              </w:rPr>
            </w:pPr>
            <w:r>
              <w:rPr>
                <w:sz w:val="18"/>
                <w:szCs w:val="18"/>
              </w:rPr>
              <w:t>5</w:t>
            </w:r>
          </w:p>
        </w:tc>
        <w:tc>
          <w:tcPr>
            <w:tcW w:w="561" w:type="pct"/>
            <w:tcBorders>
              <w:bottom w:val="single" w:color="auto" w:sz="12" w:space="0"/>
            </w:tcBorders>
            <w:noWrap w:val="0"/>
            <w:vAlign w:val="center"/>
          </w:tcPr>
          <w:p>
            <w:pPr>
              <w:jc w:val="center"/>
              <w:rPr>
                <w:sz w:val="18"/>
                <w:szCs w:val="18"/>
              </w:rPr>
            </w:pPr>
            <w:r>
              <w:rPr>
                <w:sz w:val="18"/>
                <w:szCs w:val="18"/>
              </w:rPr>
              <w:t>6</w:t>
            </w:r>
          </w:p>
        </w:tc>
        <w:tc>
          <w:tcPr>
            <w:tcW w:w="560" w:type="pct"/>
            <w:tcBorders>
              <w:bottom w:val="single" w:color="auto" w:sz="12" w:space="0"/>
            </w:tcBorders>
            <w:noWrap w:val="0"/>
            <w:vAlign w:val="center"/>
          </w:tcPr>
          <w:p>
            <w:pPr>
              <w:jc w:val="center"/>
              <w:rPr>
                <w:sz w:val="18"/>
                <w:szCs w:val="18"/>
              </w:rPr>
            </w:pPr>
            <w:r>
              <w:rPr>
                <w:sz w:val="18"/>
                <w:szCs w:val="18"/>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 w:hRule="atLeast"/>
          <w:jc w:val="center"/>
        </w:trPr>
        <w:tc>
          <w:tcPr>
            <w:tcW w:w="828" w:type="pct"/>
            <w:tcBorders>
              <w:top w:val="single" w:color="auto" w:sz="12" w:space="0"/>
              <w:bottom w:val="single" w:color="auto" w:sz="12" w:space="0"/>
            </w:tcBorders>
            <w:noWrap w:val="0"/>
            <w:vAlign w:val="center"/>
          </w:tcPr>
          <w:p>
            <w:pPr>
              <w:jc w:val="center"/>
              <w:rPr>
                <w:rFonts w:hint="eastAsia" w:eastAsia="宋体"/>
                <w:sz w:val="18"/>
                <w:szCs w:val="18"/>
                <w:lang w:val="en-US" w:eastAsia="zh-CN"/>
              </w:rPr>
            </w:pPr>
            <w:r>
              <w:rPr>
                <w:rFonts w:hint="eastAsia"/>
                <w:sz w:val="18"/>
                <w:szCs w:val="18"/>
                <w:lang w:val="en-US" w:eastAsia="zh-CN"/>
              </w:rPr>
              <w:t>Th</w:t>
            </w:r>
            <w:r>
              <w:rPr>
                <w:rFonts w:hAnsi="宋体"/>
                <w:sz w:val="18"/>
                <w:szCs w:val="18"/>
              </w:rPr>
              <w:t>、</w:t>
            </w:r>
            <w:r>
              <w:rPr>
                <w:rFonts w:hint="eastAsia"/>
                <w:sz w:val="18"/>
                <w:szCs w:val="18"/>
                <w:lang w:val="en-US" w:eastAsia="zh-CN"/>
              </w:rPr>
              <w:t>U (</w:t>
            </w:r>
            <w:r>
              <w:rPr>
                <w:sz w:val="18"/>
                <w:szCs w:val="18"/>
              </w:rPr>
              <w:t>ng/mL</w:t>
            </w:r>
            <w:r>
              <w:rPr>
                <w:rFonts w:hint="eastAsia"/>
                <w:sz w:val="18"/>
                <w:szCs w:val="18"/>
                <w:lang w:val="en-US" w:eastAsia="zh-CN"/>
              </w:rPr>
              <w:t>)</w:t>
            </w:r>
          </w:p>
        </w:tc>
        <w:tc>
          <w:tcPr>
            <w:tcW w:w="456" w:type="pct"/>
            <w:tcBorders>
              <w:top w:val="single" w:color="auto" w:sz="12" w:space="0"/>
              <w:bottom w:val="single" w:color="auto" w:sz="12" w:space="0"/>
            </w:tcBorders>
            <w:noWrap w:val="0"/>
            <w:vAlign w:val="center"/>
          </w:tcPr>
          <w:p>
            <w:pPr>
              <w:jc w:val="center"/>
              <w:rPr>
                <w:sz w:val="18"/>
                <w:szCs w:val="18"/>
              </w:rPr>
            </w:pPr>
            <w:r>
              <w:rPr>
                <w:sz w:val="18"/>
                <w:szCs w:val="18"/>
              </w:rPr>
              <w:t>0</w:t>
            </w:r>
          </w:p>
        </w:tc>
        <w:tc>
          <w:tcPr>
            <w:tcW w:w="539" w:type="pct"/>
            <w:tcBorders>
              <w:top w:val="single" w:color="auto" w:sz="12" w:space="0"/>
              <w:bottom w:val="single" w:color="auto" w:sz="12" w:space="0"/>
            </w:tcBorders>
            <w:noWrap w:val="0"/>
            <w:vAlign w:val="center"/>
          </w:tcPr>
          <w:p>
            <w:pPr>
              <w:jc w:val="center"/>
              <w:rPr>
                <w:rFonts w:hint="default" w:eastAsia="宋体"/>
                <w:sz w:val="18"/>
                <w:szCs w:val="18"/>
                <w:lang w:val="en-US" w:eastAsia="zh-CN"/>
              </w:rPr>
            </w:pPr>
            <w:r>
              <w:rPr>
                <w:rFonts w:hint="eastAsia"/>
                <w:sz w:val="18"/>
                <w:szCs w:val="18"/>
                <w:lang w:val="en-US" w:eastAsia="zh-CN"/>
              </w:rPr>
              <w:t>2.00</w:t>
            </w:r>
          </w:p>
        </w:tc>
        <w:tc>
          <w:tcPr>
            <w:tcW w:w="685" w:type="pct"/>
            <w:tcBorders>
              <w:top w:val="single" w:color="auto" w:sz="12" w:space="0"/>
              <w:bottom w:val="single" w:color="auto" w:sz="12" w:space="0"/>
            </w:tcBorders>
            <w:noWrap w:val="0"/>
            <w:vAlign w:val="center"/>
          </w:tcPr>
          <w:p>
            <w:pPr>
              <w:jc w:val="center"/>
              <w:rPr>
                <w:sz w:val="18"/>
                <w:szCs w:val="18"/>
              </w:rPr>
            </w:pPr>
            <w:r>
              <w:rPr>
                <w:rFonts w:hint="eastAsia"/>
                <w:sz w:val="18"/>
                <w:szCs w:val="18"/>
                <w:lang w:val="en-US" w:eastAsia="zh-CN"/>
              </w:rPr>
              <w:t>5</w:t>
            </w:r>
            <w:r>
              <w:rPr>
                <w:sz w:val="18"/>
                <w:szCs w:val="18"/>
              </w:rPr>
              <w:t>.00</w:t>
            </w:r>
          </w:p>
        </w:tc>
        <w:tc>
          <w:tcPr>
            <w:tcW w:w="685" w:type="pct"/>
            <w:tcBorders>
              <w:top w:val="single" w:color="auto" w:sz="12" w:space="0"/>
              <w:bottom w:val="single" w:color="auto" w:sz="12" w:space="0"/>
            </w:tcBorders>
            <w:noWrap w:val="0"/>
            <w:vAlign w:val="center"/>
          </w:tcPr>
          <w:p>
            <w:pPr>
              <w:jc w:val="center"/>
              <w:rPr>
                <w:sz w:val="18"/>
                <w:szCs w:val="18"/>
              </w:rPr>
            </w:pPr>
            <w:r>
              <w:rPr>
                <w:rFonts w:hint="eastAsia"/>
                <w:sz w:val="18"/>
                <w:szCs w:val="18"/>
                <w:lang w:val="en-US" w:eastAsia="zh-CN"/>
              </w:rPr>
              <w:t>10</w:t>
            </w:r>
            <w:r>
              <w:rPr>
                <w:sz w:val="18"/>
                <w:szCs w:val="18"/>
              </w:rPr>
              <w:t>.00</w:t>
            </w:r>
          </w:p>
        </w:tc>
        <w:tc>
          <w:tcPr>
            <w:tcW w:w="684" w:type="pct"/>
            <w:tcBorders>
              <w:top w:val="single" w:color="auto" w:sz="12" w:space="0"/>
              <w:bottom w:val="single" w:color="auto" w:sz="12" w:space="0"/>
            </w:tcBorders>
            <w:noWrap w:val="0"/>
            <w:vAlign w:val="center"/>
          </w:tcPr>
          <w:p>
            <w:pPr>
              <w:jc w:val="center"/>
              <w:rPr>
                <w:sz w:val="18"/>
                <w:szCs w:val="18"/>
              </w:rPr>
            </w:pPr>
            <w:r>
              <w:rPr>
                <w:rFonts w:hint="eastAsia"/>
                <w:sz w:val="18"/>
                <w:szCs w:val="18"/>
                <w:lang w:val="en-US" w:eastAsia="zh-CN"/>
              </w:rPr>
              <w:t>20</w:t>
            </w:r>
            <w:r>
              <w:rPr>
                <w:sz w:val="18"/>
                <w:szCs w:val="18"/>
              </w:rPr>
              <w:t>.00</w:t>
            </w:r>
          </w:p>
        </w:tc>
        <w:tc>
          <w:tcPr>
            <w:tcW w:w="561" w:type="pct"/>
            <w:tcBorders>
              <w:top w:val="single" w:color="auto" w:sz="12" w:space="0"/>
              <w:bottom w:val="single" w:color="auto" w:sz="12" w:space="0"/>
            </w:tcBorders>
            <w:noWrap w:val="0"/>
            <w:vAlign w:val="center"/>
          </w:tcPr>
          <w:p>
            <w:pPr>
              <w:jc w:val="center"/>
              <w:rPr>
                <w:sz w:val="18"/>
                <w:szCs w:val="18"/>
              </w:rPr>
            </w:pPr>
            <w:r>
              <w:rPr>
                <w:rFonts w:hint="eastAsia"/>
                <w:sz w:val="18"/>
                <w:szCs w:val="18"/>
                <w:lang w:val="en-US" w:eastAsia="zh-CN"/>
              </w:rPr>
              <w:t>5</w:t>
            </w:r>
            <w:r>
              <w:rPr>
                <w:sz w:val="18"/>
                <w:szCs w:val="18"/>
              </w:rPr>
              <w:t>0.00</w:t>
            </w:r>
          </w:p>
        </w:tc>
        <w:tc>
          <w:tcPr>
            <w:tcW w:w="560" w:type="pct"/>
            <w:tcBorders>
              <w:top w:val="single" w:color="auto" w:sz="12" w:space="0"/>
              <w:bottom w:val="single" w:color="auto" w:sz="12" w:space="0"/>
            </w:tcBorders>
            <w:noWrap w:val="0"/>
            <w:vAlign w:val="center"/>
          </w:tcPr>
          <w:p>
            <w:pPr>
              <w:jc w:val="center"/>
              <w:rPr>
                <w:sz w:val="18"/>
                <w:szCs w:val="18"/>
              </w:rPr>
            </w:pPr>
            <w:r>
              <w:rPr>
                <w:rFonts w:hint="eastAsia"/>
                <w:sz w:val="18"/>
                <w:szCs w:val="18"/>
                <w:lang w:val="en-US" w:eastAsia="zh-CN"/>
              </w:rPr>
              <w:t>10</w:t>
            </w:r>
            <w:r>
              <w:rPr>
                <w:sz w:val="18"/>
                <w:szCs w:val="18"/>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 w:hRule="atLeast"/>
          <w:jc w:val="center"/>
        </w:trPr>
        <w:tc>
          <w:tcPr>
            <w:tcW w:w="828" w:type="pct"/>
            <w:tcBorders>
              <w:top w:val="single" w:color="auto" w:sz="12" w:space="0"/>
            </w:tcBorders>
            <w:noWrap w:val="0"/>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Cs (</w:t>
            </w:r>
            <w:r>
              <w:rPr>
                <w:sz w:val="18"/>
                <w:szCs w:val="18"/>
              </w:rPr>
              <w:t>ng/mL</w:t>
            </w:r>
            <w:r>
              <w:rPr>
                <w:rFonts w:hint="eastAsia"/>
                <w:sz w:val="18"/>
                <w:szCs w:val="18"/>
                <w:lang w:val="en-US" w:eastAsia="zh-CN"/>
              </w:rPr>
              <w:t>)</w:t>
            </w:r>
          </w:p>
        </w:tc>
        <w:tc>
          <w:tcPr>
            <w:tcW w:w="456" w:type="pct"/>
            <w:tcBorders>
              <w:top w:val="single" w:color="auto" w:sz="12" w:space="0"/>
            </w:tcBorders>
            <w:noWrap w:val="0"/>
            <w:vAlign w:val="center"/>
          </w:tcPr>
          <w:p>
            <w:pPr>
              <w:jc w:val="center"/>
              <w:rPr>
                <w:rFonts w:hint="default" w:ascii="Times New Roman" w:hAnsi="Times New Roman" w:eastAsia="宋体" w:cs="Times New Roman"/>
                <w:kern w:val="2"/>
                <w:sz w:val="18"/>
                <w:szCs w:val="18"/>
                <w:lang w:val="en-US" w:eastAsia="zh-CN" w:bidi="ar-SA"/>
              </w:rPr>
            </w:pPr>
            <w:r>
              <w:rPr>
                <w:rFonts w:hint="eastAsia"/>
                <w:sz w:val="18"/>
                <w:szCs w:val="18"/>
                <w:lang w:val="en-US" w:eastAsia="zh-CN"/>
              </w:rPr>
              <w:t>100.00</w:t>
            </w:r>
          </w:p>
        </w:tc>
        <w:tc>
          <w:tcPr>
            <w:tcW w:w="539" w:type="pct"/>
            <w:tcBorders>
              <w:top w:val="single" w:color="auto" w:sz="12" w:space="0"/>
            </w:tcBorders>
            <w:noWrap w:val="0"/>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100.00</w:t>
            </w:r>
          </w:p>
        </w:tc>
        <w:tc>
          <w:tcPr>
            <w:tcW w:w="685" w:type="pct"/>
            <w:tcBorders>
              <w:top w:val="single" w:color="auto" w:sz="12" w:space="0"/>
            </w:tcBorders>
            <w:noWrap w:val="0"/>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100.00</w:t>
            </w:r>
          </w:p>
        </w:tc>
        <w:tc>
          <w:tcPr>
            <w:tcW w:w="685" w:type="pct"/>
            <w:tcBorders>
              <w:top w:val="single" w:color="auto" w:sz="12" w:space="0"/>
            </w:tcBorders>
            <w:noWrap w:val="0"/>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100.00</w:t>
            </w:r>
          </w:p>
        </w:tc>
        <w:tc>
          <w:tcPr>
            <w:tcW w:w="684" w:type="pct"/>
            <w:tcBorders>
              <w:top w:val="single" w:color="auto" w:sz="12" w:space="0"/>
            </w:tcBorders>
            <w:noWrap w:val="0"/>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100.00</w:t>
            </w:r>
          </w:p>
        </w:tc>
        <w:tc>
          <w:tcPr>
            <w:tcW w:w="561" w:type="pct"/>
            <w:tcBorders>
              <w:top w:val="single" w:color="auto" w:sz="12" w:space="0"/>
            </w:tcBorders>
            <w:noWrap w:val="0"/>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100.00</w:t>
            </w:r>
          </w:p>
        </w:tc>
        <w:tc>
          <w:tcPr>
            <w:tcW w:w="560" w:type="pct"/>
            <w:tcBorders>
              <w:top w:val="single" w:color="auto" w:sz="12" w:space="0"/>
            </w:tcBorders>
            <w:noWrap w:val="0"/>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100.00</w:t>
            </w:r>
          </w:p>
        </w:tc>
      </w:tr>
    </w:tbl>
    <w:p>
      <w:pPr>
        <w:rPr>
          <w:rFonts w:hAnsi="宋体"/>
          <w:szCs w:val="21"/>
        </w:rPr>
      </w:pPr>
    </w:p>
    <w:p>
      <w:pPr>
        <w:pStyle w:val="75"/>
        <w:numPr>
          <w:ilvl w:val="0"/>
          <w:numId w:val="0"/>
        </w:numPr>
        <w:spacing w:before="312" w:beforeLines="100" w:after="312" w:afterLines="100"/>
        <w:rPr>
          <w:rFonts w:hint="eastAsia" w:ascii="黑体" w:hAnsi="黑体" w:eastAsia="黑体" w:cs="黑体"/>
          <w:color w:val="000000"/>
        </w:rPr>
      </w:pPr>
      <w:r>
        <w:rPr>
          <w:rFonts w:hint="eastAsia" w:ascii="黑体" w:hAnsi="黑体" w:eastAsia="黑体" w:cs="黑体"/>
          <w:color w:val="000000"/>
          <w:lang w:val="en-US" w:eastAsia="zh-CN"/>
        </w:rPr>
        <w:t xml:space="preserve">8.6 </w:t>
      </w:r>
      <w:r>
        <w:rPr>
          <w:rFonts w:hint="eastAsia" w:ascii="黑体" w:hAnsi="黑体" w:eastAsia="黑体" w:cs="黑体"/>
          <w:color w:val="000000"/>
        </w:rPr>
        <w:t xml:space="preserve"> 工作曲线的绘制与测定</w:t>
      </w:r>
    </w:p>
    <w:p>
      <w:pPr>
        <w:pStyle w:val="48"/>
        <w:ind w:firstLine="0" w:firstLineChars="0"/>
      </w:pPr>
      <w:r>
        <w:rPr>
          <w:rFonts w:hint="eastAsia" w:ascii="黑体" w:hAnsi="Times New Roman" w:eastAsia="黑体" w:cs="Times New Roman"/>
          <w:kern w:val="2"/>
          <w:sz w:val="21"/>
          <w:szCs w:val="21"/>
          <w:lang w:val="en-US" w:eastAsia="zh-CN" w:bidi="ar-SA"/>
        </w:rPr>
        <w:t xml:space="preserve">8.6.1 </w:t>
      </w:r>
      <w:r>
        <w:rPr>
          <w:rFonts w:hint="eastAsia"/>
        </w:rPr>
        <w:t>推荐分析</w:t>
      </w:r>
      <w:r>
        <w:rPr>
          <w:rFonts w:hAnsi="宋体"/>
          <w:szCs w:val="21"/>
        </w:rPr>
        <w:t>质量数</w:t>
      </w:r>
    </w:p>
    <w:p>
      <w:pPr>
        <w:pStyle w:val="48"/>
        <w:spacing w:before="156" w:beforeLines="50"/>
        <w:ind w:firstLine="420"/>
        <w:rPr>
          <w:rFonts w:ascii="Times New Roman" w:hAnsi="宋体"/>
          <w:kern w:val="2"/>
          <w:szCs w:val="21"/>
        </w:rPr>
      </w:pPr>
      <w:r>
        <w:rPr>
          <w:rFonts w:ascii="Times New Roman" w:hAnsi="宋体"/>
          <w:kern w:val="2"/>
          <w:szCs w:val="21"/>
        </w:rPr>
        <w:t>推荐分析</w:t>
      </w:r>
      <w:r>
        <w:rPr>
          <w:rFonts w:hAnsi="宋体"/>
          <w:szCs w:val="21"/>
        </w:rPr>
        <w:t>质量数</w:t>
      </w:r>
      <w:r>
        <w:rPr>
          <w:rFonts w:ascii="Times New Roman" w:hAnsi="宋体"/>
          <w:kern w:val="2"/>
          <w:szCs w:val="21"/>
        </w:rPr>
        <w:t>见表2。</w:t>
      </w:r>
    </w:p>
    <w:p>
      <w:pPr>
        <w:spacing w:before="156" w:beforeLines="50" w:line="276" w:lineRule="auto"/>
        <w:jc w:val="center"/>
        <w:rPr>
          <w:rFonts w:ascii="黑体" w:hAnsi="黑体" w:eastAsia="黑体"/>
          <w:kern w:val="0"/>
          <w:szCs w:val="21"/>
        </w:rPr>
      </w:pPr>
      <w:r>
        <w:rPr>
          <w:rFonts w:ascii="黑体" w:hAnsi="黑体" w:eastAsia="黑体"/>
          <w:kern w:val="0"/>
          <w:szCs w:val="21"/>
        </w:rPr>
        <w:t>表2 推荐分析</w:t>
      </w:r>
      <w:r>
        <w:rPr>
          <w:rFonts w:hint="eastAsia" w:ascii="黑体" w:hAnsi="黑体" w:eastAsia="黑体"/>
          <w:kern w:val="0"/>
          <w:szCs w:val="21"/>
        </w:rPr>
        <w:t>质量数</w:t>
      </w:r>
    </w:p>
    <w:tbl>
      <w:tblPr>
        <w:tblStyle w:val="32"/>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4784"/>
        <w:gridCol w:w="478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9" w:hRule="atLeast"/>
        </w:trPr>
        <w:tc>
          <w:tcPr>
            <w:tcW w:w="4784" w:type="dxa"/>
            <w:shd w:val="clear" w:color="auto" w:fill="auto"/>
            <w:vAlign w:val="center"/>
          </w:tcPr>
          <w:p>
            <w:pPr>
              <w:pStyle w:val="48"/>
              <w:spacing w:line="360" w:lineRule="auto"/>
              <w:ind w:firstLine="0" w:firstLineChars="0"/>
              <w:jc w:val="center"/>
              <w:rPr>
                <w:rFonts w:hint="eastAsia" w:ascii="宋体" w:hAnsi="宋体" w:eastAsia="宋体" w:cs="宋体"/>
                <w:kern w:val="2"/>
                <w:sz w:val="18"/>
                <w:szCs w:val="18"/>
              </w:rPr>
            </w:pPr>
            <w:r>
              <w:rPr>
                <w:rFonts w:hint="eastAsia" w:ascii="宋体" w:hAnsi="宋体" w:eastAsia="宋体" w:cs="宋体"/>
                <w:kern w:val="2"/>
                <w:sz w:val="18"/>
                <w:szCs w:val="18"/>
              </w:rPr>
              <w:t>元素</w:t>
            </w:r>
          </w:p>
        </w:tc>
        <w:tc>
          <w:tcPr>
            <w:tcW w:w="4787" w:type="dxa"/>
            <w:shd w:val="clear" w:color="auto" w:fill="auto"/>
            <w:vAlign w:val="center"/>
          </w:tcPr>
          <w:p>
            <w:pPr>
              <w:pStyle w:val="48"/>
              <w:spacing w:line="360" w:lineRule="auto"/>
              <w:ind w:firstLine="0" w:firstLineChars="0"/>
              <w:jc w:val="center"/>
              <w:rPr>
                <w:rFonts w:hint="eastAsia" w:ascii="宋体" w:hAnsi="宋体" w:eastAsia="宋体" w:cs="宋体"/>
                <w:kern w:val="2"/>
                <w:sz w:val="18"/>
                <w:szCs w:val="18"/>
              </w:rPr>
            </w:pPr>
            <w:r>
              <w:rPr>
                <w:rFonts w:hint="eastAsia" w:ascii="宋体" w:hAnsi="宋体" w:eastAsia="宋体" w:cs="宋体"/>
                <w:sz w:val="18"/>
                <w:szCs w:val="18"/>
              </w:rPr>
              <w:t>质量数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784" w:type="dxa"/>
            <w:shd w:val="clear" w:color="auto" w:fill="auto"/>
            <w:vAlign w:val="center"/>
          </w:tcPr>
          <w:p>
            <w:pPr>
              <w:pStyle w:val="48"/>
              <w:spacing w:line="360" w:lineRule="auto"/>
              <w:ind w:firstLine="0" w:firstLineChars="0"/>
              <w:jc w:val="center"/>
              <w:rPr>
                <w:rFonts w:hint="eastAsia" w:ascii="宋体" w:hAnsi="宋体" w:eastAsia="宋体" w:cs="宋体"/>
                <w:kern w:val="2"/>
                <w:sz w:val="18"/>
                <w:szCs w:val="18"/>
                <w:lang w:val="en-US" w:eastAsia="zh-CN"/>
              </w:rPr>
            </w:pPr>
            <w:r>
              <w:rPr>
                <w:rFonts w:hint="eastAsia" w:ascii="宋体" w:hAnsi="宋体" w:eastAsia="宋体" w:cs="宋体"/>
                <w:kern w:val="2"/>
                <w:sz w:val="18"/>
                <w:szCs w:val="18"/>
                <w:lang w:val="en-US" w:eastAsia="zh-CN"/>
              </w:rPr>
              <w:t>Th</w:t>
            </w:r>
          </w:p>
        </w:tc>
        <w:tc>
          <w:tcPr>
            <w:tcW w:w="4787" w:type="dxa"/>
            <w:shd w:val="clear" w:color="auto" w:fill="auto"/>
            <w:vAlign w:val="center"/>
          </w:tcPr>
          <w:p>
            <w:pPr>
              <w:pStyle w:val="48"/>
              <w:spacing w:line="360" w:lineRule="auto"/>
              <w:ind w:firstLine="0" w:firstLineChars="0"/>
              <w:jc w:val="center"/>
              <w:rPr>
                <w:rFonts w:hint="eastAsia" w:ascii="宋体" w:hAnsi="宋体" w:eastAsia="宋体" w:cs="宋体"/>
                <w:kern w:val="2"/>
                <w:sz w:val="18"/>
                <w:szCs w:val="18"/>
                <w:lang w:val="en-US" w:eastAsia="zh-CN"/>
              </w:rPr>
            </w:pPr>
            <w:r>
              <w:rPr>
                <w:rFonts w:hint="eastAsia" w:ascii="宋体" w:hAnsi="宋体" w:eastAsia="宋体" w:cs="宋体"/>
                <w:kern w:val="2"/>
                <w:sz w:val="18"/>
                <w:szCs w:val="18"/>
                <w:lang w:val="en-US" w:eastAsia="zh-CN"/>
              </w:rPr>
              <w:t>232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784" w:type="dxa"/>
            <w:shd w:val="clear" w:color="auto" w:fill="auto"/>
            <w:vAlign w:val="center"/>
          </w:tcPr>
          <w:p>
            <w:pPr>
              <w:pStyle w:val="48"/>
              <w:spacing w:line="360" w:lineRule="auto"/>
              <w:ind w:firstLine="0" w:firstLineChars="0"/>
              <w:jc w:val="center"/>
              <w:rPr>
                <w:rFonts w:hint="eastAsia" w:ascii="宋体" w:hAnsi="宋体" w:eastAsia="宋体" w:cs="宋体"/>
                <w:kern w:val="2"/>
                <w:sz w:val="18"/>
                <w:szCs w:val="18"/>
                <w:lang w:val="en-US" w:eastAsia="zh-CN"/>
              </w:rPr>
            </w:pPr>
            <w:r>
              <w:rPr>
                <w:rFonts w:hint="eastAsia" w:ascii="宋体" w:hAnsi="宋体" w:eastAsia="宋体" w:cs="宋体"/>
                <w:kern w:val="2"/>
                <w:sz w:val="18"/>
                <w:szCs w:val="18"/>
                <w:lang w:val="en-US" w:eastAsia="zh-CN"/>
              </w:rPr>
              <w:t>U</w:t>
            </w:r>
          </w:p>
        </w:tc>
        <w:tc>
          <w:tcPr>
            <w:tcW w:w="4787" w:type="dxa"/>
            <w:shd w:val="clear" w:color="auto" w:fill="auto"/>
            <w:vAlign w:val="center"/>
          </w:tcPr>
          <w:p>
            <w:pPr>
              <w:pStyle w:val="48"/>
              <w:spacing w:line="360" w:lineRule="auto"/>
              <w:ind w:firstLine="0" w:firstLineChars="0"/>
              <w:jc w:val="center"/>
              <w:rPr>
                <w:rFonts w:hint="eastAsia" w:ascii="宋体" w:hAnsi="宋体" w:eastAsia="宋体" w:cs="宋体"/>
                <w:kern w:val="2"/>
                <w:sz w:val="18"/>
                <w:szCs w:val="18"/>
                <w:lang w:val="en-US" w:eastAsia="zh-CN"/>
              </w:rPr>
            </w:pPr>
            <w:r>
              <w:rPr>
                <w:rFonts w:hint="eastAsia" w:ascii="宋体" w:hAnsi="宋体" w:eastAsia="宋体" w:cs="宋体"/>
                <w:kern w:val="2"/>
                <w:sz w:val="18"/>
                <w:szCs w:val="18"/>
                <w:lang w:val="en-US" w:eastAsia="zh-CN"/>
              </w:rPr>
              <w:t>238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784" w:type="dxa"/>
            <w:shd w:val="clear" w:color="auto" w:fill="auto"/>
            <w:vAlign w:val="center"/>
          </w:tcPr>
          <w:p>
            <w:pPr>
              <w:pStyle w:val="48"/>
              <w:spacing w:line="360" w:lineRule="auto"/>
              <w:ind w:firstLine="0" w:firstLineChars="0"/>
              <w:jc w:val="center"/>
              <w:rPr>
                <w:rFonts w:hint="eastAsia" w:ascii="宋体" w:hAnsi="宋体" w:eastAsia="宋体" w:cs="宋体"/>
                <w:kern w:val="2"/>
                <w:sz w:val="18"/>
                <w:szCs w:val="18"/>
                <w:lang w:val="en-US" w:eastAsia="zh-CN" w:bidi="ar-SA"/>
              </w:rPr>
            </w:pPr>
            <w:r>
              <w:rPr>
                <w:rFonts w:hint="eastAsia" w:hAnsi="宋体" w:cs="宋体"/>
                <w:kern w:val="2"/>
                <w:sz w:val="18"/>
                <w:szCs w:val="18"/>
                <w:lang w:val="en-US" w:eastAsia="zh-CN"/>
              </w:rPr>
              <w:t>Cs</w:t>
            </w:r>
          </w:p>
        </w:tc>
        <w:tc>
          <w:tcPr>
            <w:tcW w:w="4787" w:type="dxa"/>
            <w:shd w:val="clear" w:color="auto" w:fill="auto"/>
            <w:vAlign w:val="center"/>
          </w:tcPr>
          <w:p>
            <w:pPr>
              <w:pStyle w:val="48"/>
              <w:spacing w:line="360" w:lineRule="auto"/>
              <w:ind w:firstLine="0" w:firstLineChars="0"/>
              <w:jc w:val="center"/>
              <w:rPr>
                <w:rFonts w:hint="eastAsia" w:ascii="宋体" w:hAnsi="宋体" w:eastAsia="宋体" w:cs="宋体"/>
                <w:kern w:val="2"/>
                <w:sz w:val="18"/>
                <w:szCs w:val="18"/>
                <w:lang w:val="en-US" w:eastAsia="zh-CN" w:bidi="ar-SA"/>
              </w:rPr>
            </w:pPr>
            <w:r>
              <w:rPr>
                <w:rFonts w:hint="eastAsia" w:hAnsi="宋体" w:cs="宋体"/>
                <w:kern w:val="2"/>
                <w:sz w:val="18"/>
                <w:szCs w:val="18"/>
                <w:lang w:val="en-US" w:eastAsia="zh-CN"/>
              </w:rPr>
              <w:t>133</w:t>
            </w:r>
          </w:p>
        </w:tc>
      </w:tr>
    </w:tbl>
    <w:p>
      <w:pPr>
        <w:spacing w:line="360" w:lineRule="auto"/>
        <w:rPr>
          <w:rFonts w:eastAsia="黑体"/>
        </w:rPr>
      </w:pPr>
      <w:r>
        <w:rPr>
          <w:rFonts w:hint="eastAsia" w:ascii="黑体" w:eastAsia="黑体"/>
          <w:szCs w:val="21"/>
          <w:lang w:val="en-US" w:eastAsia="zh-CN"/>
        </w:rPr>
        <w:t>8</w:t>
      </w:r>
      <w:r>
        <w:rPr>
          <w:rFonts w:hint="eastAsia" w:ascii="黑体" w:eastAsia="黑体"/>
          <w:szCs w:val="21"/>
        </w:rPr>
        <w:t xml:space="preserve">.6.2  </w:t>
      </w:r>
      <w:r>
        <w:rPr>
          <w:rFonts w:hAnsi="宋体"/>
          <w:szCs w:val="21"/>
        </w:rPr>
        <w:t>将空白试液、分析溶液、标准系列溶液同时进行氩等离子体质谱测定。</w:t>
      </w:r>
    </w:p>
    <w:p>
      <w:pPr>
        <w:pStyle w:val="75"/>
        <w:numPr>
          <w:ilvl w:val="0"/>
          <w:numId w:val="0"/>
        </w:numPr>
        <w:spacing w:before="312" w:beforeLines="100" w:after="312" w:afterLines="100"/>
        <w:rPr>
          <w:rFonts w:hint="eastAsia" w:ascii="黑体" w:hAnsi="黑体" w:eastAsia="黑体" w:cs="黑体"/>
          <w:color w:val="000000"/>
          <w:lang w:val="en-US" w:eastAsia="zh-CN"/>
        </w:rPr>
      </w:pPr>
      <w:r>
        <w:rPr>
          <w:rFonts w:hint="eastAsia" w:ascii="黑体" w:hAnsi="黑体" w:eastAsia="黑体" w:cs="黑体"/>
          <w:color w:val="000000"/>
          <w:lang w:val="en-US" w:eastAsia="zh-CN"/>
        </w:rPr>
        <w:t>9　试验数据处理</w:t>
      </w:r>
    </w:p>
    <w:p>
      <w:pPr>
        <w:pStyle w:val="48"/>
        <w:ind w:firstLine="0" w:firstLineChars="0"/>
        <w:rPr>
          <w:rFonts w:ascii="Times New Roman"/>
        </w:rPr>
      </w:pPr>
      <w:r>
        <w:rPr>
          <w:rFonts w:hint="eastAsia" w:ascii="Times New Roman"/>
        </w:rPr>
        <w:t xml:space="preserve">9.1 </w:t>
      </w:r>
      <w:r>
        <w:rPr>
          <w:rFonts w:hint="eastAsia" w:ascii="Times New Roman"/>
          <w:lang w:val="en-US" w:eastAsia="zh-CN"/>
        </w:rPr>
        <w:t>如待测元素为金属，</w:t>
      </w:r>
      <w:r>
        <w:rPr>
          <w:rFonts w:ascii="Times New Roman"/>
        </w:rPr>
        <w:t>按公式（1）计算</w:t>
      </w:r>
      <w:r>
        <w:rPr>
          <w:rFonts w:hint="eastAsia" w:ascii="Times New Roman"/>
          <w:lang w:val="en-US" w:eastAsia="zh-CN"/>
        </w:rPr>
        <w:t>样品中待测元素的质量分数</w:t>
      </w:r>
      <w:r>
        <w:drawing>
          <wp:inline distT="0" distB="0" distL="114300" distR="114300">
            <wp:extent cx="352425" cy="209550"/>
            <wp:effectExtent l="0" t="0" r="0" b="571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4"/>
                    <a:stretch>
                      <a:fillRect/>
                    </a:stretch>
                  </pic:blipFill>
                  <pic:spPr>
                    <a:xfrm>
                      <a:off x="0" y="0"/>
                      <a:ext cx="352425" cy="209550"/>
                    </a:xfrm>
                    <a:prstGeom prst="rect">
                      <a:avLst/>
                    </a:prstGeom>
                    <a:noFill/>
                    <a:ln>
                      <a:noFill/>
                    </a:ln>
                  </pic:spPr>
                </pic:pic>
              </a:graphicData>
            </a:graphic>
          </wp:inline>
        </w:drawing>
      </w:r>
      <w:r>
        <w:rPr>
          <w:rFonts w:hint="eastAsia" w:ascii="Times New Roman"/>
        </w:rPr>
        <w:t>：</w:t>
      </w:r>
    </w:p>
    <w:p>
      <w:pPr>
        <w:pStyle w:val="48"/>
        <w:ind w:firstLine="420"/>
        <w:jc w:val="center"/>
        <w:rPr>
          <w:rFonts w:ascii="Times New Roman"/>
        </w:rPr>
      </w:pPr>
      <w:r>
        <w:rPr>
          <w:rFonts w:hint="eastAsia" w:hAnsi="宋体" w:cs="宋体"/>
          <w:position w:val="-30"/>
        </w:rPr>
        <w:object>
          <v:shape id="_x0000_i1025" o:spt="75" type="#_x0000_t75" style="height:36pt;width:181.75pt;" o:ole="t" filled="f" o:preferrelative="t" stroked="f" coordsize="21600,21600">
            <v:path/>
            <v:fill on="f" focussize="0,0"/>
            <v:stroke on="f"/>
            <v:imagedata r:id="rId16" o:title=""/>
            <o:lock v:ext="edit" aspectratio="t"/>
            <w10:wrap type="none"/>
            <w10:anchorlock/>
          </v:shape>
          <o:OLEObject Type="Embed" ProgID="Equation.3" ShapeID="_x0000_i1025" DrawAspect="Content" ObjectID="_1468075725" r:id="rId15">
            <o:LockedField>false</o:LockedField>
          </o:OLEObject>
        </w:object>
      </w:r>
      <w:r>
        <w:rPr>
          <w:rFonts w:ascii="Times New Roman"/>
        </w:rPr>
        <w:t>…………………（1）</w:t>
      </w:r>
    </w:p>
    <w:p>
      <w:pPr>
        <w:pStyle w:val="48"/>
        <w:ind w:firstLine="420"/>
        <w:rPr>
          <w:rFonts w:ascii="Times New Roman"/>
        </w:rPr>
      </w:pPr>
      <w:r>
        <w:rPr>
          <w:rFonts w:ascii="Times New Roman"/>
        </w:rPr>
        <w:t>式中：</w:t>
      </w:r>
    </w:p>
    <w:p>
      <w:pPr>
        <w:adjustRightInd w:val="0"/>
        <w:snapToGrid w:val="0"/>
        <w:ind w:firstLine="420"/>
        <w:rPr>
          <w:rFonts w:hint="eastAsia" w:ascii="宋体" w:hAnsi="宋体" w:eastAsia="宋体" w:cs="宋体"/>
          <w:szCs w:val="21"/>
        </w:rPr>
      </w:pPr>
      <w:r>
        <w:rPr>
          <w:rFonts w:hint="eastAsia" w:ascii="宋体" w:hAnsi="宋体" w:eastAsia="宋体" w:cs="宋体"/>
          <w:i/>
          <w:iCs/>
          <w:kern w:val="0"/>
          <w:szCs w:val="21"/>
        </w:rPr>
        <w:t>ρ</w:t>
      </w:r>
      <w:r>
        <w:rPr>
          <w:rFonts w:hint="eastAsia" w:ascii="宋体" w:hAnsi="宋体" w:eastAsia="宋体" w:cs="宋体"/>
          <w:iCs/>
          <w:kern w:val="0"/>
          <w:szCs w:val="21"/>
          <w:vertAlign w:val="subscript"/>
        </w:rPr>
        <w:t>1</w:t>
      </w:r>
      <w:r>
        <w:rPr>
          <w:rFonts w:hint="eastAsia" w:ascii="宋体" w:hAnsi="宋体" w:eastAsia="宋体" w:cs="宋体"/>
          <w:i/>
          <w:kern w:val="0"/>
          <w:szCs w:val="21"/>
        </w:rPr>
        <w:t>——</w:t>
      </w:r>
      <w:r>
        <w:rPr>
          <w:rFonts w:hint="eastAsia" w:ascii="宋体" w:hAnsi="宋体" w:eastAsia="宋体" w:cs="宋体"/>
          <w:kern w:val="0"/>
          <w:szCs w:val="21"/>
        </w:rPr>
        <w:t>自工作曲线上查得</w:t>
      </w:r>
      <w:r>
        <w:rPr>
          <w:rFonts w:hint="eastAsia" w:ascii="宋体" w:hAnsi="宋体" w:eastAsia="宋体" w:cs="宋体"/>
          <w:color w:val="000000"/>
          <w:kern w:val="0"/>
          <w:szCs w:val="21"/>
        </w:rPr>
        <w:t>分析试液中</w:t>
      </w:r>
      <w:r>
        <w:rPr>
          <w:rFonts w:hint="eastAsia" w:ascii="宋体" w:hAnsi="宋体" w:eastAsia="宋体" w:cs="宋体"/>
          <w:kern w:val="0"/>
          <w:szCs w:val="21"/>
        </w:rPr>
        <w:t>待测元素的质量浓度，单位为纳克每毫升（ng/mL）；</w:t>
      </w:r>
    </w:p>
    <w:p>
      <w:pPr>
        <w:adjustRightInd w:val="0"/>
        <w:snapToGrid w:val="0"/>
        <w:ind w:left="422" w:leftChars="201"/>
        <w:rPr>
          <w:rFonts w:hint="eastAsia" w:ascii="宋体" w:hAnsi="宋体" w:eastAsia="宋体" w:cs="宋体"/>
          <w:szCs w:val="21"/>
        </w:rPr>
      </w:pPr>
      <w:r>
        <w:rPr>
          <w:rFonts w:hint="eastAsia" w:ascii="宋体" w:hAnsi="宋体" w:eastAsia="宋体" w:cs="宋体"/>
          <w:i/>
          <w:iCs/>
          <w:kern w:val="0"/>
          <w:szCs w:val="21"/>
        </w:rPr>
        <w:t>ρ</w:t>
      </w:r>
      <w:r>
        <w:rPr>
          <w:rFonts w:hint="eastAsia" w:ascii="宋体" w:hAnsi="宋体" w:eastAsia="宋体" w:cs="宋体"/>
          <w:iCs/>
          <w:kern w:val="0"/>
          <w:szCs w:val="21"/>
          <w:vertAlign w:val="subscript"/>
        </w:rPr>
        <w:t>0</w:t>
      </w:r>
      <w:r>
        <w:rPr>
          <w:rFonts w:hint="eastAsia" w:ascii="宋体" w:hAnsi="宋体" w:eastAsia="宋体" w:cs="宋体"/>
          <w:i/>
          <w:kern w:val="0"/>
          <w:szCs w:val="21"/>
        </w:rPr>
        <w:t>——</w:t>
      </w:r>
      <w:r>
        <w:rPr>
          <w:rFonts w:hint="eastAsia" w:ascii="宋体" w:hAnsi="宋体" w:eastAsia="宋体" w:cs="宋体"/>
          <w:kern w:val="0"/>
          <w:szCs w:val="21"/>
        </w:rPr>
        <w:t>自工作曲线上查得空白溶液中待测元素的质量浓度，单位为纳克每毫升（ng/mL）；</w:t>
      </w:r>
    </w:p>
    <w:p>
      <w:pPr>
        <w:adjustRightInd w:val="0"/>
        <w:snapToGrid w:val="0"/>
        <w:ind w:left="422" w:leftChars="201"/>
        <w:rPr>
          <w:rFonts w:hint="eastAsia" w:ascii="宋体" w:hAnsi="宋体" w:eastAsia="宋体" w:cs="宋体"/>
          <w:szCs w:val="21"/>
        </w:rPr>
      </w:pPr>
      <w:r>
        <w:rPr>
          <w:rFonts w:hint="eastAsia" w:ascii="宋体" w:hAnsi="宋体" w:eastAsia="宋体" w:cs="宋体"/>
          <w:i/>
          <w:iCs/>
          <w:kern w:val="0"/>
          <w:szCs w:val="21"/>
        </w:rPr>
        <w:t>V</w:t>
      </w:r>
      <w:r>
        <w:rPr>
          <w:rFonts w:hint="eastAsia" w:ascii="宋体" w:hAnsi="宋体" w:eastAsia="宋体" w:cs="宋体"/>
          <w:iCs/>
          <w:kern w:val="0"/>
          <w:szCs w:val="21"/>
          <w:vertAlign w:val="subscript"/>
        </w:rPr>
        <w:t>2</w:t>
      </w:r>
      <w:r>
        <w:rPr>
          <w:rFonts w:hint="eastAsia" w:ascii="宋体" w:hAnsi="宋体" w:eastAsia="宋体" w:cs="宋体"/>
          <w:i/>
          <w:kern w:val="0"/>
          <w:szCs w:val="21"/>
        </w:rPr>
        <w:t>——</w:t>
      </w:r>
      <w:r>
        <w:rPr>
          <w:rFonts w:hint="eastAsia" w:ascii="宋体" w:hAnsi="宋体" w:eastAsia="宋体" w:cs="宋体"/>
          <w:szCs w:val="21"/>
        </w:rPr>
        <w:t>被测试液体积，</w:t>
      </w:r>
      <w:r>
        <w:rPr>
          <w:rFonts w:hint="eastAsia" w:ascii="宋体" w:hAnsi="宋体" w:eastAsia="宋体" w:cs="宋体"/>
          <w:kern w:val="0"/>
          <w:szCs w:val="21"/>
        </w:rPr>
        <w:t>单位为毫升（mL）；</w:t>
      </w:r>
    </w:p>
    <w:p>
      <w:pPr>
        <w:pStyle w:val="29"/>
        <w:ind w:left="422" w:leftChars="201"/>
        <w:rPr>
          <w:rFonts w:hint="eastAsia" w:ascii="宋体" w:hAnsi="宋体" w:eastAsia="宋体" w:cs="宋体"/>
          <w:sz w:val="21"/>
          <w:szCs w:val="21"/>
        </w:rPr>
      </w:pPr>
      <w:r>
        <w:rPr>
          <w:rFonts w:hint="eastAsia" w:ascii="宋体" w:hAnsi="宋体" w:eastAsia="宋体" w:cs="宋体"/>
          <w:i/>
          <w:iCs/>
          <w:sz w:val="21"/>
          <w:szCs w:val="21"/>
        </w:rPr>
        <w:t>V</w:t>
      </w:r>
      <w:r>
        <w:rPr>
          <w:rFonts w:hint="eastAsia" w:ascii="宋体" w:hAnsi="宋体" w:eastAsia="宋体" w:cs="宋体"/>
          <w:iCs/>
          <w:sz w:val="21"/>
          <w:szCs w:val="21"/>
          <w:vertAlign w:val="subscript"/>
        </w:rPr>
        <w:t>0</w:t>
      </w:r>
      <w:r>
        <w:rPr>
          <w:rFonts w:hint="eastAsia" w:ascii="宋体" w:hAnsi="宋体" w:eastAsia="宋体" w:cs="宋体"/>
          <w:i/>
          <w:sz w:val="21"/>
          <w:szCs w:val="21"/>
        </w:rPr>
        <w:t>——</w:t>
      </w:r>
      <w:r>
        <w:rPr>
          <w:rFonts w:hint="eastAsia" w:ascii="宋体" w:hAnsi="宋体" w:eastAsia="宋体" w:cs="宋体"/>
          <w:sz w:val="21"/>
          <w:szCs w:val="21"/>
        </w:rPr>
        <w:t>试液总体积，单位为毫升（</w:t>
      </w:r>
      <w:r>
        <w:rPr>
          <w:rFonts w:hint="eastAsia" w:ascii="宋体" w:hAnsi="宋体" w:eastAsia="宋体" w:cs="宋体"/>
          <w:kern w:val="0"/>
          <w:sz w:val="21"/>
          <w:szCs w:val="21"/>
        </w:rPr>
        <w:t>mL</w:t>
      </w:r>
      <w:r>
        <w:rPr>
          <w:rFonts w:hint="eastAsia" w:ascii="宋体" w:hAnsi="宋体" w:eastAsia="宋体" w:cs="宋体"/>
          <w:sz w:val="21"/>
          <w:szCs w:val="21"/>
        </w:rPr>
        <w:t>）；</w:t>
      </w:r>
    </w:p>
    <w:p>
      <w:pPr>
        <w:ind w:firstLine="420"/>
        <w:rPr>
          <w:rFonts w:hint="eastAsia" w:ascii="宋体" w:hAnsi="宋体" w:eastAsia="宋体" w:cs="宋体"/>
          <w:kern w:val="0"/>
          <w:szCs w:val="21"/>
        </w:rPr>
      </w:pPr>
      <w:r>
        <w:rPr>
          <w:rFonts w:hint="eastAsia" w:ascii="宋体" w:hAnsi="宋体" w:eastAsia="宋体" w:cs="宋体"/>
          <w:i/>
          <w:kern w:val="0"/>
          <w:szCs w:val="21"/>
        </w:rPr>
        <w:t>m——</w:t>
      </w:r>
      <w:r>
        <w:rPr>
          <w:rFonts w:hint="eastAsia" w:ascii="宋体" w:hAnsi="宋体" w:eastAsia="宋体" w:cs="宋体"/>
          <w:kern w:val="0"/>
          <w:szCs w:val="21"/>
        </w:rPr>
        <w:t>试料的质量，单位为克（g）；</w:t>
      </w:r>
    </w:p>
    <w:p>
      <w:pPr>
        <w:pStyle w:val="48"/>
        <w:ind w:firstLine="420"/>
        <w:rPr>
          <w:rFonts w:hint="eastAsia" w:ascii="宋体" w:hAnsi="宋体" w:eastAsia="宋体" w:cs="宋体"/>
          <w:kern w:val="2"/>
          <w:szCs w:val="21"/>
        </w:rPr>
      </w:pPr>
      <w:r>
        <w:rPr>
          <w:rFonts w:hint="eastAsia" w:ascii="宋体" w:hAnsi="宋体" w:eastAsia="宋体" w:cs="宋体"/>
          <w:i/>
          <w:iCs/>
          <w:kern w:val="0"/>
          <w:szCs w:val="21"/>
        </w:rPr>
        <w:t>V</w:t>
      </w:r>
      <w:r>
        <w:rPr>
          <w:rFonts w:hint="eastAsia" w:ascii="宋体" w:hAnsi="宋体" w:eastAsia="宋体" w:cs="宋体"/>
          <w:iCs/>
          <w:kern w:val="0"/>
          <w:szCs w:val="21"/>
          <w:vertAlign w:val="subscript"/>
        </w:rPr>
        <w:t>1</w:t>
      </w:r>
      <w:r>
        <w:rPr>
          <w:rFonts w:hint="eastAsia" w:ascii="宋体" w:hAnsi="宋体" w:eastAsia="宋体" w:cs="宋体"/>
          <w:i/>
          <w:kern w:val="0"/>
          <w:szCs w:val="21"/>
        </w:rPr>
        <w:t>——</w:t>
      </w:r>
      <w:r>
        <w:rPr>
          <w:rFonts w:hint="eastAsia" w:ascii="宋体" w:hAnsi="宋体" w:eastAsia="宋体" w:cs="宋体"/>
          <w:kern w:val="0"/>
          <w:szCs w:val="21"/>
        </w:rPr>
        <w:t>分取试液体积，单位为毫升（mL</w:t>
      </w:r>
      <w:r>
        <w:rPr>
          <w:rFonts w:hint="eastAsia" w:ascii="宋体" w:hAnsi="宋体" w:eastAsia="宋体" w:cs="宋体"/>
          <w:kern w:val="0"/>
          <w:szCs w:val="21"/>
          <w:lang w:val="en-US" w:eastAsia="zh-CN"/>
        </w:rPr>
        <w:t>)</w:t>
      </w:r>
      <w:r>
        <w:rPr>
          <w:rFonts w:hint="eastAsia" w:ascii="宋体" w:hAnsi="宋体" w:eastAsia="宋体" w:cs="宋体"/>
          <w:kern w:val="2"/>
          <w:szCs w:val="21"/>
        </w:rPr>
        <w:t>。</w:t>
      </w:r>
    </w:p>
    <w:p>
      <w:pPr>
        <w:pStyle w:val="48"/>
        <w:ind w:firstLine="0" w:firstLineChars="0"/>
        <w:rPr>
          <w:rFonts w:ascii="Times New Roman"/>
        </w:rPr>
      </w:pPr>
      <w:r>
        <w:rPr>
          <w:rFonts w:hint="eastAsia" w:ascii="Times New Roman"/>
          <w:kern w:val="2"/>
          <w:szCs w:val="21"/>
        </w:rPr>
        <w:t xml:space="preserve">9.2 </w:t>
      </w:r>
      <w:r>
        <w:rPr>
          <w:rFonts w:hint="eastAsia" w:ascii="Times New Roman"/>
          <w:lang w:val="en-US" w:eastAsia="zh-CN"/>
        </w:rPr>
        <w:t>如待测元素为氧化物，</w:t>
      </w:r>
      <w:r>
        <w:rPr>
          <w:rFonts w:ascii="Times New Roman"/>
        </w:rPr>
        <w:t>按公式（</w:t>
      </w:r>
      <w:r>
        <w:rPr>
          <w:rFonts w:hint="eastAsia" w:ascii="Times New Roman"/>
          <w:lang w:val="en-US" w:eastAsia="zh-CN"/>
        </w:rPr>
        <w:t>2</w:t>
      </w:r>
      <w:r>
        <w:rPr>
          <w:rFonts w:ascii="Times New Roman"/>
        </w:rPr>
        <w:t>）计算</w:t>
      </w:r>
      <w:r>
        <w:rPr>
          <w:rFonts w:hint="eastAsia" w:ascii="Times New Roman"/>
          <w:lang w:val="en-US" w:eastAsia="zh-CN"/>
        </w:rPr>
        <w:t>样品中待测元素的质量分数</w:t>
      </w:r>
      <w:r>
        <w:drawing>
          <wp:inline distT="0" distB="0" distL="114300" distR="114300">
            <wp:extent cx="352425" cy="209550"/>
            <wp:effectExtent l="0" t="0" r="0" b="571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4"/>
                    <a:stretch>
                      <a:fillRect/>
                    </a:stretch>
                  </pic:blipFill>
                  <pic:spPr>
                    <a:xfrm>
                      <a:off x="0" y="0"/>
                      <a:ext cx="352425" cy="209550"/>
                    </a:xfrm>
                    <a:prstGeom prst="rect">
                      <a:avLst/>
                    </a:prstGeom>
                    <a:noFill/>
                    <a:ln>
                      <a:noFill/>
                    </a:ln>
                  </pic:spPr>
                </pic:pic>
              </a:graphicData>
            </a:graphic>
          </wp:inline>
        </w:drawing>
      </w:r>
      <w:r>
        <w:rPr>
          <w:rFonts w:hint="eastAsia" w:ascii="Times New Roman"/>
        </w:rPr>
        <w:t>：</w:t>
      </w:r>
    </w:p>
    <w:p>
      <w:pPr>
        <w:pStyle w:val="48"/>
        <w:ind w:firstLine="0" w:firstLineChars="0"/>
        <w:rPr>
          <w:rFonts w:ascii="Times New Roman"/>
          <w:kern w:val="2"/>
          <w:szCs w:val="21"/>
        </w:rPr>
      </w:pPr>
    </w:p>
    <w:p>
      <w:pPr>
        <w:pStyle w:val="48"/>
        <w:ind w:firstLine="2100" w:firstLineChars="1000"/>
        <w:rPr>
          <w:rFonts w:hAnsi="宋体" w:cs="宋体"/>
          <w:position w:val="-24"/>
        </w:rPr>
      </w:pPr>
      <w:r>
        <w:rPr>
          <w:rFonts w:hint="eastAsia" w:hAnsi="宋体" w:cs="宋体"/>
          <w:i/>
          <w:iCs/>
          <w:position w:val="-30"/>
        </w:rPr>
        <w:object>
          <v:shape id="_x0000_i1026" o:spt="75" type="#_x0000_t75" style="height:36pt;width:193.75pt;" o:ole="t" filled="f" o:preferrelative="t" stroked="f" coordsize="21600,21600">
            <v:path/>
            <v:fill on="f" focussize="0,0"/>
            <v:stroke on="f"/>
            <v:imagedata r:id="rId18" o:title=""/>
            <o:lock v:ext="edit" aspectratio="t"/>
            <w10:wrap type="none"/>
            <w10:anchorlock/>
          </v:shape>
          <o:OLEObject Type="Embed" ProgID="Equation.3" ShapeID="_x0000_i1026" DrawAspect="Content" ObjectID="_1468075726" r:id="rId17">
            <o:LockedField>false</o:LockedField>
          </o:OLEObject>
        </w:object>
      </w:r>
      <w:r>
        <w:rPr>
          <w:rFonts w:ascii="Times New Roman"/>
        </w:rPr>
        <w:t>…………………（</w:t>
      </w:r>
      <w:r>
        <w:rPr>
          <w:rFonts w:hint="eastAsia" w:ascii="Times New Roman"/>
        </w:rPr>
        <w:t>2</w:t>
      </w:r>
      <w:r>
        <w:rPr>
          <w:rFonts w:ascii="Times New Roman"/>
        </w:rPr>
        <w:t>）</w:t>
      </w:r>
    </w:p>
    <w:p>
      <w:pPr>
        <w:pStyle w:val="48"/>
        <w:ind w:firstLine="420"/>
        <w:rPr>
          <w:rFonts w:ascii="Times New Roman"/>
        </w:rPr>
      </w:pPr>
      <w:r>
        <w:rPr>
          <w:rFonts w:ascii="Times New Roman"/>
        </w:rPr>
        <w:t>式中：</w:t>
      </w:r>
    </w:p>
    <w:p>
      <w:pPr>
        <w:adjustRightInd w:val="0"/>
        <w:snapToGrid w:val="0"/>
        <w:ind w:firstLine="420"/>
        <w:rPr>
          <w:rFonts w:hint="eastAsia" w:ascii="宋体" w:hAnsi="宋体" w:eastAsia="宋体" w:cs="宋体"/>
          <w:szCs w:val="21"/>
        </w:rPr>
      </w:pPr>
      <w:r>
        <w:rPr>
          <w:rFonts w:hint="eastAsia" w:ascii="宋体" w:hAnsi="宋体" w:eastAsia="宋体" w:cs="宋体"/>
          <w:i/>
          <w:iCs/>
          <w:kern w:val="0"/>
          <w:szCs w:val="21"/>
        </w:rPr>
        <w:t>ρ</w:t>
      </w:r>
      <w:r>
        <w:rPr>
          <w:rFonts w:hint="eastAsia" w:ascii="宋体" w:hAnsi="宋体" w:eastAsia="宋体" w:cs="宋体"/>
          <w:iCs/>
          <w:kern w:val="0"/>
          <w:szCs w:val="21"/>
          <w:vertAlign w:val="subscript"/>
        </w:rPr>
        <w:t>1</w:t>
      </w:r>
      <w:r>
        <w:rPr>
          <w:rFonts w:hint="eastAsia" w:ascii="宋体" w:hAnsi="宋体" w:eastAsia="宋体" w:cs="宋体"/>
          <w:i/>
          <w:kern w:val="0"/>
          <w:szCs w:val="21"/>
        </w:rPr>
        <w:t>——</w:t>
      </w:r>
      <w:r>
        <w:rPr>
          <w:rFonts w:hint="eastAsia" w:ascii="宋体" w:hAnsi="宋体" w:eastAsia="宋体" w:cs="宋体"/>
          <w:kern w:val="0"/>
          <w:szCs w:val="21"/>
        </w:rPr>
        <w:t>自工作曲线上查得</w:t>
      </w:r>
      <w:r>
        <w:rPr>
          <w:rFonts w:hint="eastAsia" w:ascii="宋体" w:hAnsi="宋体" w:eastAsia="宋体" w:cs="宋体"/>
          <w:color w:val="000000"/>
          <w:kern w:val="0"/>
          <w:szCs w:val="21"/>
        </w:rPr>
        <w:t>分析试液中</w:t>
      </w:r>
      <w:r>
        <w:rPr>
          <w:rFonts w:hint="eastAsia" w:ascii="宋体" w:hAnsi="宋体" w:eastAsia="宋体" w:cs="宋体"/>
          <w:kern w:val="0"/>
          <w:szCs w:val="21"/>
        </w:rPr>
        <w:t>待测元素的质量浓度，单位为纳克每毫升（ng/mL）；</w:t>
      </w:r>
    </w:p>
    <w:p>
      <w:pPr>
        <w:adjustRightInd w:val="0"/>
        <w:snapToGrid w:val="0"/>
        <w:ind w:left="422" w:leftChars="201"/>
        <w:rPr>
          <w:rFonts w:hint="eastAsia" w:ascii="宋体" w:hAnsi="宋体" w:eastAsia="宋体" w:cs="宋体"/>
          <w:szCs w:val="21"/>
        </w:rPr>
      </w:pPr>
      <w:r>
        <w:rPr>
          <w:rFonts w:hint="eastAsia" w:ascii="宋体" w:hAnsi="宋体" w:eastAsia="宋体" w:cs="宋体"/>
          <w:i/>
          <w:iCs/>
          <w:kern w:val="0"/>
          <w:szCs w:val="21"/>
        </w:rPr>
        <w:t>ρ</w:t>
      </w:r>
      <w:r>
        <w:rPr>
          <w:rFonts w:hint="eastAsia" w:ascii="宋体" w:hAnsi="宋体" w:eastAsia="宋体" w:cs="宋体"/>
          <w:iCs/>
          <w:kern w:val="0"/>
          <w:szCs w:val="21"/>
          <w:vertAlign w:val="subscript"/>
        </w:rPr>
        <w:t>0</w:t>
      </w:r>
      <w:r>
        <w:rPr>
          <w:rFonts w:hint="eastAsia" w:ascii="宋体" w:hAnsi="宋体" w:eastAsia="宋体" w:cs="宋体"/>
          <w:i/>
          <w:kern w:val="0"/>
          <w:szCs w:val="21"/>
        </w:rPr>
        <w:t>——</w:t>
      </w:r>
      <w:r>
        <w:rPr>
          <w:rFonts w:hint="eastAsia" w:ascii="宋体" w:hAnsi="宋体" w:eastAsia="宋体" w:cs="宋体"/>
          <w:kern w:val="0"/>
          <w:szCs w:val="21"/>
        </w:rPr>
        <w:t>自工作曲线上查得空白溶液中待测元素的质量浓度，单位为纳克每毫升（ng/mL）；</w:t>
      </w:r>
    </w:p>
    <w:p>
      <w:pPr>
        <w:adjustRightInd w:val="0"/>
        <w:snapToGrid w:val="0"/>
        <w:ind w:left="422" w:leftChars="201"/>
        <w:rPr>
          <w:rFonts w:hint="eastAsia" w:ascii="宋体" w:hAnsi="宋体" w:eastAsia="宋体" w:cs="宋体"/>
          <w:szCs w:val="21"/>
        </w:rPr>
      </w:pPr>
      <w:r>
        <w:rPr>
          <w:rFonts w:hint="eastAsia" w:ascii="宋体" w:hAnsi="宋体" w:eastAsia="宋体" w:cs="宋体"/>
          <w:i/>
          <w:iCs/>
          <w:kern w:val="0"/>
          <w:szCs w:val="21"/>
        </w:rPr>
        <w:t>V</w:t>
      </w:r>
      <w:r>
        <w:rPr>
          <w:rFonts w:hint="eastAsia" w:ascii="宋体" w:hAnsi="宋体" w:eastAsia="宋体" w:cs="宋体"/>
          <w:iCs/>
          <w:kern w:val="0"/>
          <w:szCs w:val="21"/>
          <w:vertAlign w:val="subscript"/>
        </w:rPr>
        <w:t>2</w:t>
      </w:r>
      <w:r>
        <w:rPr>
          <w:rFonts w:hint="eastAsia" w:ascii="宋体" w:hAnsi="宋体" w:eastAsia="宋体" w:cs="宋体"/>
          <w:i/>
          <w:kern w:val="0"/>
          <w:szCs w:val="21"/>
        </w:rPr>
        <w:t>——</w:t>
      </w:r>
      <w:r>
        <w:rPr>
          <w:rFonts w:hint="eastAsia" w:ascii="宋体" w:hAnsi="宋体" w:eastAsia="宋体" w:cs="宋体"/>
          <w:szCs w:val="21"/>
        </w:rPr>
        <w:t>被测试液体积，</w:t>
      </w:r>
      <w:r>
        <w:rPr>
          <w:rFonts w:hint="eastAsia" w:ascii="宋体" w:hAnsi="宋体" w:eastAsia="宋体" w:cs="宋体"/>
          <w:kern w:val="0"/>
          <w:szCs w:val="21"/>
        </w:rPr>
        <w:t>单位为毫升（mL）；</w:t>
      </w:r>
    </w:p>
    <w:p>
      <w:pPr>
        <w:pStyle w:val="29"/>
        <w:ind w:left="422" w:leftChars="201"/>
        <w:rPr>
          <w:rFonts w:hint="eastAsia" w:ascii="宋体" w:hAnsi="宋体" w:eastAsia="宋体" w:cs="宋体"/>
          <w:sz w:val="21"/>
          <w:szCs w:val="21"/>
        </w:rPr>
      </w:pPr>
      <w:r>
        <w:rPr>
          <w:rFonts w:hint="eastAsia" w:ascii="宋体" w:hAnsi="宋体" w:eastAsia="宋体" w:cs="宋体"/>
          <w:i/>
          <w:iCs/>
          <w:sz w:val="21"/>
          <w:szCs w:val="21"/>
        </w:rPr>
        <w:t>V</w:t>
      </w:r>
      <w:r>
        <w:rPr>
          <w:rFonts w:hint="eastAsia" w:ascii="宋体" w:hAnsi="宋体" w:eastAsia="宋体" w:cs="宋体"/>
          <w:iCs/>
          <w:sz w:val="21"/>
          <w:szCs w:val="21"/>
          <w:vertAlign w:val="subscript"/>
        </w:rPr>
        <w:t>0</w:t>
      </w:r>
      <w:r>
        <w:rPr>
          <w:rFonts w:hint="eastAsia" w:ascii="宋体" w:hAnsi="宋体" w:eastAsia="宋体" w:cs="宋体"/>
          <w:i/>
          <w:sz w:val="21"/>
          <w:szCs w:val="21"/>
        </w:rPr>
        <w:t>——</w:t>
      </w:r>
      <w:r>
        <w:rPr>
          <w:rFonts w:hint="eastAsia" w:ascii="宋体" w:hAnsi="宋体" w:eastAsia="宋体" w:cs="宋体"/>
          <w:sz w:val="21"/>
          <w:szCs w:val="21"/>
        </w:rPr>
        <w:t>试液总体积，单位为毫升（</w:t>
      </w:r>
      <w:r>
        <w:rPr>
          <w:rFonts w:hint="eastAsia" w:ascii="宋体" w:hAnsi="宋体" w:eastAsia="宋体" w:cs="宋体"/>
          <w:kern w:val="0"/>
          <w:sz w:val="21"/>
          <w:szCs w:val="21"/>
        </w:rPr>
        <w:t>mL</w:t>
      </w:r>
      <w:r>
        <w:rPr>
          <w:rFonts w:hint="eastAsia" w:ascii="宋体" w:hAnsi="宋体" w:eastAsia="宋体" w:cs="宋体"/>
          <w:sz w:val="21"/>
          <w:szCs w:val="21"/>
        </w:rPr>
        <w:t>）；</w:t>
      </w:r>
    </w:p>
    <w:p>
      <w:pPr>
        <w:ind w:firstLine="420"/>
        <w:rPr>
          <w:rFonts w:hint="eastAsia" w:ascii="宋体" w:hAnsi="宋体" w:eastAsia="宋体" w:cs="宋体"/>
          <w:kern w:val="0"/>
          <w:szCs w:val="21"/>
        </w:rPr>
      </w:pPr>
      <w:r>
        <w:rPr>
          <w:rFonts w:hint="eastAsia" w:ascii="宋体" w:hAnsi="宋体" w:eastAsia="宋体" w:cs="宋体"/>
          <w:i/>
          <w:kern w:val="0"/>
          <w:szCs w:val="21"/>
        </w:rPr>
        <w:t>m——</w:t>
      </w:r>
      <w:r>
        <w:rPr>
          <w:rFonts w:hint="eastAsia" w:ascii="宋体" w:hAnsi="宋体" w:eastAsia="宋体" w:cs="宋体"/>
          <w:kern w:val="0"/>
          <w:szCs w:val="21"/>
        </w:rPr>
        <w:t>试料的质量，单位为克（g）；</w:t>
      </w:r>
    </w:p>
    <w:p>
      <w:pPr>
        <w:pStyle w:val="48"/>
        <w:ind w:firstLine="420"/>
        <w:rPr>
          <w:rFonts w:hint="eastAsia" w:ascii="宋体" w:hAnsi="宋体" w:eastAsia="宋体" w:cs="宋体"/>
          <w:kern w:val="2"/>
          <w:szCs w:val="21"/>
        </w:rPr>
      </w:pPr>
      <w:r>
        <w:rPr>
          <w:rFonts w:hint="eastAsia" w:ascii="宋体" w:hAnsi="宋体" w:eastAsia="宋体" w:cs="宋体"/>
          <w:i/>
          <w:iCs/>
          <w:kern w:val="0"/>
          <w:szCs w:val="21"/>
        </w:rPr>
        <w:t>V</w:t>
      </w:r>
      <w:r>
        <w:rPr>
          <w:rFonts w:hint="eastAsia" w:ascii="宋体" w:hAnsi="宋体" w:eastAsia="宋体" w:cs="宋体"/>
          <w:iCs/>
          <w:kern w:val="0"/>
          <w:szCs w:val="21"/>
          <w:vertAlign w:val="subscript"/>
        </w:rPr>
        <w:t>1</w:t>
      </w:r>
      <w:r>
        <w:rPr>
          <w:rFonts w:hint="eastAsia" w:ascii="宋体" w:hAnsi="宋体" w:eastAsia="宋体" w:cs="宋体"/>
          <w:i/>
          <w:kern w:val="0"/>
          <w:szCs w:val="21"/>
        </w:rPr>
        <w:t>——</w:t>
      </w:r>
      <w:r>
        <w:rPr>
          <w:rFonts w:hint="eastAsia" w:ascii="宋体" w:hAnsi="宋体" w:eastAsia="宋体" w:cs="宋体"/>
          <w:kern w:val="0"/>
          <w:szCs w:val="21"/>
        </w:rPr>
        <w:t>分取试液体积，单位为毫升（mL</w:t>
      </w:r>
      <w:r>
        <w:rPr>
          <w:rFonts w:hint="eastAsia" w:ascii="宋体" w:hAnsi="宋体" w:eastAsia="宋体" w:cs="宋体"/>
          <w:kern w:val="0"/>
          <w:szCs w:val="21"/>
          <w:lang w:val="en-US" w:eastAsia="zh-CN"/>
        </w:rPr>
        <w:t>)</w:t>
      </w:r>
      <w:r>
        <w:rPr>
          <w:rFonts w:hint="eastAsia" w:ascii="宋体" w:hAnsi="宋体" w:eastAsia="宋体" w:cs="宋体"/>
          <w:kern w:val="2"/>
          <w:szCs w:val="21"/>
        </w:rPr>
        <w:t>。</w:t>
      </w:r>
    </w:p>
    <w:p>
      <w:pPr>
        <w:pStyle w:val="48"/>
        <w:ind w:firstLine="420"/>
        <w:rPr>
          <w:rFonts w:hint="eastAsia" w:hAnsi="宋体" w:cs="宋体"/>
          <w:i w:val="0"/>
          <w:iCs/>
          <w:kern w:val="0"/>
          <w:szCs w:val="21"/>
          <w:lang w:val="en-US" w:eastAsia="zh-CN"/>
        </w:rPr>
      </w:pPr>
      <w:r>
        <w:rPr>
          <w:rFonts w:hint="eastAsia" w:hAnsi="宋体" w:cs="宋体"/>
          <w:i/>
          <w:iCs/>
          <w:kern w:val="2"/>
          <w:szCs w:val="21"/>
          <w:lang w:val="en-US" w:eastAsia="zh-CN"/>
        </w:rPr>
        <w:t>k</w:t>
      </w:r>
      <w:r>
        <w:rPr>
          <w:rFonts w:hint="eastAsia" w:ascii="宋体" w:hAnsi="宋体" w:eastAsia="宋体" w:cs="宋体"/>
          <w:i/>
          <w:kern w:val="0"/>
          <w:szCs w:val="21"/>
        </w:rPr>
        <w:t>——</w:t>
      </w:r>
      <w:r>
        <w:rPr>
          <w:rFonts w:hint="eastAsia" w:hAnsi="宋体" w:cs="宋体"/>
          <w:i w:val="0"/>
          <w:iCs/>
          <w:kern w:val="0"/>
          <w:szCs w:val="21"/>
          <w:lang w:val="en-US" w:eastAsia="zh-CN"/>
        </w:rPr>
        <w:t>各元素氧化物与其单质的换算系数，见表3。</w:t>
      </w:r>
    </w:p>
    <w:p>
      <w:pPr>
        <w:spacing w:before="156" w:beforeLines="50" w:line="276" w:lineRule="auto"/>
        <w:jc w:val="center"/>
        <w:rPr>
          <w:rFonts w:ascii="黑体" w:hAnsi="黑体" w:eastAsia="黑体"/>
          <w:kern w:val="0"/>
          <w:szCs w:val="21"/>
        </w:rPr>
      </w:pPr>
      <w:r>
        <w:rPr>
          <w:rFonts w:ascii="黑体" w:hAnsi="黑体" w:eastAsia="黑体"/>
          <w:kern w:val="0"/>
          <w:szCs w:val="21"/>
        </w:rPr>
        <w:t>表</w:t>
      </w:r>
      <w:r>
        <w:rPr>
          <w:rFonts w:hint="eastAsia" w:ascii="黑体" w:hAnsi="黑体" w:eastAsia="黑体"/>
          <w:kern w:val="0"/>
          <w:szCs w:val="21"/>
          <w:lang w:val="en-US" w:eastAsia="zh-CN"/>
        </w:rPr>
        <w:t>3</w:t>
      </w:r>
      <w:r>
        <w:rPr>
          <w:rFonts w:ascii="黑体" w:hAnsi="黑体" w:eastAsia="黑体"/>
          <w:kern w:val="0"/>
          <w:szCs w:val="21"/>
        </w:rPr>
        <w:t xml:space="preserve"> </w:t>
      </w:r>
    </w:p>
    <w:tbl>
      <w:tblPr>
        <w:tblStyle w:val="32"/>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3189"/>
        <w:gridCol w:w="3190"/>
        <w:gridCol w:w="319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9" w:hRule="atLeast"/>
        </w:trPr>
        <w:tc>
          <w:tcPr>
            <w:tcW w:w="3189" w:type="dxa"/>
            <w:shd w:val="clear" w:color="auto" w:fill="auto"/>
            <w:vAlign w:val="center"/>
          </w:tcPr>
          <w:p>
            <w:pPr>
              <w:pStyle w:val="48"/>
              <w:spacing w:line="360" w:lineRule="auto"/>
              <w:ind w:firstLine="0" w:firstLineChars="0"/>
              <w:jc w:val="center"/>
              <w:rPr>
                <w:rFonts w:hint="eastAsia" w:ascii="宋体" w:hAnsi="宋体" w:eastAsia="宋体" w:cs="宋体"/>
                <w:kern w:val="2"/>
                <w:sz w:val="18"/>
                <w:szCs w:val="18"/>
              </w:rPr>
            </w:pPr>
            <w:r>
              <w:rPr>
                <w:rFonts w:hint="eastAsia" w:ascii="宋体" w:hAnsi="宋体" w:eastAsia="宋体" w:cs="宋体"/>
                <w:kern w:val="2"/>
                <w:sz w:val="18"/>
                <w:szCs w:val="18"/>
              </w:rPr>
              <w:t>元素</w:t>
            </w:r>
          </w:p>
        </w:tc>
        <w:tc>
          <w:tcPr>
            <w:tcW w:w="3190" w:type="dxa"/>
            <w:shd w:val="clear" w:color="auto" w:fill="auto"/>
            <w:vAlign w:val="center"/>
          </w:tcPr>
          <w:p>
            <w:pPr>
              <w:pStyle w:val="48"/>
              <w:spacing w:line="360" w:lineRule="auto"/>
              <w:ind w:firstLine="0" w:firstLineChars="0"/>
              <w:jc w:val="center"/>
              <w:rPr>
                <w:rFonts w:hint="eastAsia" w:ascii="宋体" w:hAnsi="宋体" w:eastAsia="宋体" w:cs="宋体"/>
                <w:kern w:val="2"/>
                <w:sz w:val="18"/>
                <w:szCs w:val="18"/>
                <w:lang w:val="en-US" w:eastAsia="zh-CN"/>
              </w:rPr>
            </w:pPr>
            <w:r>
              <w:rPr>
                <w:rFonts w:hint="eastAsia" w:ascii="宋体" w:hAnsi="宋体" w:eastAsia="宋体" w:cs="宋体"/>
                <w:sz w:val="18"/>
                <w:szCs w:val="18"/>
                <w:lang w:val="en-US" w:eastAsia="zh-CN"/>
              </w:rPr>
              <w:t>Th</w:t>
            </w:r>
          </w:p>
        </w:tc>
        <w:tc>
          <w:tcPr>
            <w:tcW w:w="3190" w:type="dxa"/>
            <w:shd w:val="clear" w:color="auto" w:fill="auto"/>
            <w:vAlign w:val="center"/>
          </w:tcPr>
          <w:p>
            <w:pPr>
              <w:pStyle w:val="48"/>
              <w:spacing w:line="360" w:lineRule="auto"/>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U</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3189" w:type="dxa"/>
            <w:shd w:val="clear" w:color="auto" w:fill="auto"/>
            <w:vAlign w:val="center"/>
          </w:tcPr>
          <w:p>
            <w:pPr>
              <w:pStyle w:val="48"/>
              <w:spacing w:line="360" w:lineRule="auto"/>
              <w:ind w:firstLine="0" w:firstLineChars="0"/>
              <w:jc w:val="center"/>
              <w:rPr>
                <w:rFonts w:hint="eastAsia" w:ascii="宋体" w:hAnsi="宋体" w:eastAsia="宋体" w:cs="宋体"/>
                <w:kern w:val="2"/>
                <w:sz w:val="18"/>
                <w:szCs w:val="18"/>
                <w:lang w:val="en-US" w:eastAsia="zh-CN"/>
              </w:rPr>
            </w:pPr>
            <w:r>
              <w:rPr>
                <w:rFonts w:hint="eastAsia" w:ascii="宋体" w:hAnsi="宋体" w:eastAsia="宋体" w:cs="宋体"/>
                <w:sz w:val="18"/>
                <w:szCs w:val="18"/>
                <w:lang w:val="en-US" w:eastAsia="zh-CN"/>
              </w:rPr>
              <w:t>k</w:t>
            </w:r>
          </w:p>
        </w:tc>
        <w:tc>
          <w:tcPr>
            <w:tcW w:w="3190" w:type="dxa"/>
            <w:shd w:val="clear" w:color="auto" w:fill="auto"/>
            <w:vAlign w:val="center"/>
          </w:tcPr>
          <w:p>
            <w:pPr>
              <w:pStyle w:val="48"/>
              <w:spacing w:line="360" w:lineRule="auto"/>
              <w:ind w:firstLine="0" w:firstLineChars="0"/>
              <w:jc w:val="center"/>
              <w:rPr>
                <w:rFonts w:hint="eastAsia" w:ascii="宋体" w:hAnsi="宋体" w:eastAsia="宋体" w:cs="宋体"/>
                <w:kern w:val="2"/>
                <w:sz w:val="18"/>
                <w:szCs w:val="18"/>
                <w:lang w:val="en-US" w:eastAsia="zh-CN"/>
              </w:rPr>
            </w:pPr>
            <w:r>
              <w:rPr>
                <w:rFonts w:hint="eastAsia" w:ascii="宋体" w:hAnsi="宋体" w:eastAsia="宋体" w:cs="宋体"/>
                <w:kern w:val="2"/>
                <w:sz w:val="18"/>
                <w:szCs w:val="18"/>
                <w:lang w:val="en-US" w:eastAsia="zh-CN"/>
              </w:rPr>
              <w:t>1.1379</w:t>
            </w:r>
          </w:p>
        </w:tc>
        <w:tc>
          <w:tcPr>
            <w:tcW w:w="3190" w:type="dxa"/>
            <w:shd w:val="clear" w:color="auto" w:fill="auto"/>
            <w:vAlign w:val="center"/>
          </w:tcPr>
          <w:p>
            <w:pPr>
              <w:pStyle w:val="48"/>
              <w:spacing w:line="360" w:lineRule="auto"/>
              <w:ind w:firstLine="0" w:firstLineChars="0"/>
              <w:jc w:val="center"/>
              <w:rPr>
                <w:rFonts w:hint="eastAsia" w:ascii="宋体" w:hAnsi="宋体" w:eastAsia="宋体" w:cs="宋体"/>
                <w:kern w:val="2"/>
                <w:sz w:val="18"/>
                <w:szCs w:val="18"/>
                <w:lang w:val="en-US" w:eastAsia="zh-CN"/>
              </w:rPr>
            </w:pPr>
            <w:r>
              <w:rPr>
                <w:rFonts w:hint="eastAsia" w:ascii="宋体" w:hAnsi="宋体" w:eastAsia="宋体" w:cs="宋体"/>
                <w:kern w:val="2"/>
                <w:sz w:val="18"/>
                <w:szCs w:val="18"/>
                <w:lang w:val="en-US" w:eastAsia="zh-CN"/>
              </w:rPr>
              <w:t>1.1793</w:t>
            </w:r>
          </w:p>
        </w:tc>
      </w:tr>
    </w:tbl>
    <w:p>
      <w:pPr>
        <w:pStyle w:val="48"/>
        <w:ind w:firstLine="420"/>
        <w:rPr>
          <w:rFonts w:hint="default" w:hAnsi="宋体" w:cs="宋体"/>
          <w:i w:val="0"/>
          <w:iCs/>
          <w:kern w:val="0"/>
          <w:szCs w:val="21"/>
          <w:lang w:val="en-US" w:eastAsia="zh-CN"/>
        </w:rPr>
      </w:pPr>
    </w:p>
    <w:p>
      <w:pPr>
        <w:adjustRightInd w:val="0"/>
        <w:snapToGrid w:val="0"/>
        <w:spacing w:before="156" w:beforeLines="50"/>
        <w:ind w:firstLine="444" w:firstLineChars="200"/>
        <w:rPr>
          <w:spacing w:val="6"/>
        </w:rPr>
      </w:pPr>
      <w:r>
        <w:rPr>
          <w:rFonts w:hint="eastAsia"/>
          <w:spacing w:val="6"/>
        </w:rPr>
        <w:t>两次平行测定结果的绝对差值不大于表3中相应重复性限时，取其平均值作为测定结果，所得结果保留两位有效数字，数值修约按GB/T 8170的规定执行。</w:t>
      </w:r>
    </w:p>
    <w:p>
      <w:pPr>
        <w:pStyle w:val="75"/>
        <w:numPr>
          <w:ilvl w:val="0"/>
          <w:numId w:val="0"/>
        </w:numPr>
        <w:spacing w:before="312" w:beforeLines="100" w:after="312" w:afterLines="100"/>
        <w:rPr>
          <w:rFonts w:hint="eastAsia" w:ascii="黑体" w:hAnsi="黑体" w:eastAsia="黑体" w:cs="黑体"/>
          <w:color w:val="000000"/>
          <w:lang w:val="en-US" w:eastAsia="zh-CN"/>
        </w:rPr>
      </w:pPr>
      <w:r>
        <w:rPr>
          <w:rFonts w:hint="eastAsia" w:ascii="黑体" w:hAnsi="黑体" w:eastAsia="黑体" w:cs="黑体"/>
          <w:color w:val="000000"/>
          <w:lang w:val="en-US" w:eastAsia="zh-CN"/>
        </w:rPr>
        <w:t>10　精密度</w:t>
      </w:r>
    </w:p>
    <w:p>
      <w:pPr>
        <w:snapToGrid w:val="0"/>
        <w:spacing w:before="156" w:beforeLines="50" w:after="156" w:afterLines="50"/>
        <w:rPr>
          <w:rFonts w:ascii="宋体" w:hAnsi="宋体" w:cs="宋体"/>
        </w:rPr>
      </w:pPr>
      <w:r>
        <w:rPr>
          <w:rFonts w:ascii="黑体" w:hAnsi="黑体" w:eastAsia="黑体"/>
          <w:color w:val="000000"/>
          <w:szCs w:val="22"/>
        </w:rPr>
        <w:t>10.1　</w:t>
      </w:r>
      <w:r>
        <w:rPr>
          <w:rFonts w:hint="eastAsia" w:ascii="黑体" w:hAnsi="黑体" w:eastAsia="黑体"/>
          <w:color w:val="000000"/>
          <w:szCs w:val="22"/>
        </w:rPr>
        <w:t>重复性</w:t>
      </w:r>
    </w:p>
    <w:p>
      <w:pPr>
        <w:snapToGrid w:val="0"/>
        <w:ind w:firstLine="420" w:firstLineChars="200"/>
        <w:rPr>
          <w:rFonts w:ascii="宋体" w:hAnsi="宋体" w:cs="宋体"/>
        </w:rPr>
      </w:pPr>
      <w:r>
        <w:rPr>
          <w:rFonts w:hint="eastAsia" w:ascii="宋体" w:hAnsi="宋体" w:cs="宋体"/>
        </w:rPr>
        <w:t>在重复性条件下获得的两次独立测试结果的的绝对差值不超过重复性限（</w:t>
      </w:r>
      <w:r>
        <w:rPr>
          <w:rFonts w:hint="eastAsia" w:ascii="宋体" w:hAnsi="宋体" w:cs="宋体"/>
          <w:i/>
          <w:iCs/>
        </w:rPr>
        <w:t>r</w:t>
      </w:r>
      <w:r>
        <w:rPr>
          <w:rFonts w:hint="eastAsia" w:ascii="宋体" w:hAnsi="宋体" w:cs="宋体"/>
        </w:rPr>
        <w:t>），超过重复性限（</w:t>
      </w:r>
      <w:r>
        <w:rPr>
          <w:rFonts w:hint="eastAsia" w:ascii="宋体" w:hAnsi="宋体" w:cs="宋体"/>
          <w:i/>
          <w:iCs/>
        </w:rPr>
        <w:t>r</w:t>
      </w:r>
      <w:r>
        <w:rPr>
          <w:rFonts w:hint="eastAsia" w:ascii="宋体" w:hAnsi="宋体" w:cs="宋体"/>
        </w:rPr>
        <w:t>）的情况不超过5%，重复性限（</w:t>
      </w:r>
      <w:r>
        <w:rPr>
          <w:rFonts w:hint="eastAsia" w:ascii="宋体" w:hAnsi="宋体" w:cs="宋体"/>
          <w:i/>
          <w:iCs/>
        </w:rPr>
        <w:t>r</w:t>
      </w:r>
      <w:r>
        <w:rPr>
          <w:rFonts w:hint="eastAsia" w:ascii="宋体" w:hAnsi="宋体" w:cs="宋体"/>
        </w:rPr>
        <w:t>）按表</w:t>
      </w:r>
      <w:r>
        <w:rPr>
          <w:rFonts w:ascii="宋体" w:hAnsi="宋体" w:cs="宋体"/>
        </w:rPr>
        <w:t>3</w:t>
      </w:r>
      <w:r>
        <w:rPr>
          <w:rFonts w:hint="eastAsia" w:ascii="宋体" w:hAnsi="宋体" w:cs="宋体"/>
        </w:rPr>
        <w:t>数据采用线性内插法或外延法求得。</w:t>
      </w:r>
    </w:p>
    <w:p>
      <w:pPr>
        <w:spacing w:before="156" w:beforeLines="50" w:after="156" w:afterLines="50" w:line="360" w:lineRule="exact"/>
        <w:jc w:val="center"/>
        <w:rPr>
          <w:rFonts w:eastAsia="黑体"/>
        </w:rPr>
      </w:pPr>
      <w:r>
        <w:rPr>
          <w:rFonts w:eastAsia="黑体"/>
        </w:rPr>
        <w:t>表</w:t>
      </w:r>
      <w:r>
        <w:rPr>
          <w:rFonts w:hint="eastAsia" w:ascii="黑体" w:hAnsi="黑体" w:eastAsia="黑体" w:cs="黑体"/>
          <w:lang w:val="en-US" w:eastAsia="zh-CN"/>
        </w:rPr>
        <w:t>4</w:t>
      </w:r>
      <w:r>
        <w:rPr>
          <w:color w:val="000000"/>
        </w:rPr>
        <w:t>　</w:t>
      </w:r>
      <w:r>
        <w:rPr>
          <w:rFonts w:eastAsia="黑体"/>
        </w:rPr>
        <w:t>重复性限</w:t>
      </w:r>
      <w:r>
        <w:rPr>
          <w:rFonts w:hint="eastAsia" w:ascii="黑体" w:hAnsi="黑体" w:eastAsia="黑体"/>
        </w:rPr>
        <w:t>(</w:t>
      </w:r>
      <w:r>
        <w:rPr>
          <w:rFonts w:ascii="黑体" w:hAnsi="黑体" w:eastAsia="黑体"/>
          <w:i/>
        </w:rPr>
        <w:t>r</w:t>
      </w:r>
      <w:r>
        <w:rPr>
          <w:rFonts w:hint="eastAsia" w:ascii="黑体" w:hAnsi="黑体" w:eastAsia="黑体"/>
        </w:rPr>
        <w:t>)</w:t>
      </w:r>
    </w:p>
    <w:tbl>
      <w:tblPr>
        <w:tblStyle w:val="32"/>
        <w:tblW w:w="93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673"/>
        <w:gridCol w:w="46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exact"/>
          <w:jc w:val="center"/>
        </w:trPr>
        <w:tc>
          <w:tcPr>
            <w:tcW w:w="2498" w:type="pct"/>
            <w:tcBorders>
              <w:bottom w:val="single" w:color="auto" w:sz="12" w:space="0"/>
            </w:tcBorders>
            <w:vAlign w:val="center"/>
          </w:tcPr>
          <w:p>
            <w:pPr>
              <w:spacing w:line="220" w:lineRule="exact"/>
              <w:jc w:val="center"/>
              <w:rPr>
                <w:rFonts w:ascii="宋体" w:hAnsi="宋体" w:cs="宋体"/>
                <w:sz w:val="18"/>
                <w:szCs w:val="18"/>
              </w:rPr>
            </w:pPr>
            <w:r>
              <w:rPr>
                <w:rFonts w:hint="eastAsia" w:ascii="宋体" w:hAnsi="宋体" w:cs="宋体"/>
                <w:sz w:val="18"/>
                <w:szCs w:val="18"/>
              </w:rPr>
              <w:t>质量分数/%</w:t>
            </w:r>
          </w:p>
        </w:tc>
        <w:tc>
          <w:tcPr>
            <w:tcW w:w="2502" w:type="pct"/>
            <w:tcBorders>
              <w:bottom w:val="single" w:color="auto" w:sz="12" w:space="0"/>
            </w:tcBorders>
            <w:vAlign w:val="center"/>
          </w:tcPr>
          <w:p>
            <w:pPr>
              <w:spacing w:line="220" w:lineRule="exact"/>
              <w:jc w:val="center"/>
              <w:rPr>
                <w:rFonts w:ascii="宋体" w:hAnsi="宋体" w:cs="宋体"/>
                <w:sz w:val="18"/>
                <w:szCs w:val="18"/>
              </w:rPr>
            </w:pPr>
            <w:r>
              <w:rPr>
                <w:rFonts w:hint="eastAsia" w:ascii="宋体" w:hAnsi="宋体" w:cs="宋体"/>
                <w:sz w:val="18"/>
                <w:szCs w:val="18"/>
              </w:rPr>
              <w:t>重复</w:t>
            </w:r>
            <w:r>
              <w:rPr>
                <w:rFonts w:ascii="宋体" w:hAnsi="宋体" w:cs="宋体"/>
                <w:sz w:val="18"/>
                <w:szCs w:val="18"/>
              </w:rPr>
              <w:t>性</w:t>
            </w:r>
            <w:r>
              <w:rPr>
                <w:rFonts w:hint="eastAsia" w:ascii="宋体" w:hAnsi="宋体" w:cs="宋体"/>
                <w:sz w:val="18"/>
                <w:szCs w:val="18"/>
              </w:rPr>
              <w:t>限(</w:t>
            </w:r>
            <w:r>
              <w:rPr>
                <w:rFonts w:ascii="宋体" w:hAnsi="宋体" w:cs="宋体"/>
                <w:i/>
                <w:sz w:val="18"/>
                <w:szCs w:val="18"/>
              </w:rPr>
              <w:t>r</w:t>
            </w: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 w:hRule="exact"/>
          <w:jc w:val="center"/>
        </w:trPr>
        <w:tc>
          <w:tcPr>
            <w:tcW w:w="2498" w:type="pct"/>
            <w:tcBorders>
              <w:top w:val="single" w:color="auto" w:sz="12" w:space="0"/>
              <w:bottom w:val="single" w:color="auto" w:sz="6" w:space="0"/>
            </w:tcBorders>
            <w:shd w:val="clear" w:color="auto" w:fill="auto"/>
            <w:vAlign w:val="center"/>
          </w:tcPr>
          <w:p>
            <w:pPr>
              <w:widowControl/>
              <w:jc w:val="center"/>
              <w:textAlignment w:val="center"/>
              <w:rPr>
                <w:rFonts w:ascii="宋体" w:hAnsi="宋体" w:cs="宋体"/>
                <w:color w:val="000000"/>
                <w:kern w:val="0"/>
                <w:sz w:val="18"/>
                <w:szCs w:val="18"/>
                <w:lang w:bidi="ar"/>
              </w:rPr>
            </w:pPr>
          </w:p>
        </w:tc>
        <w:tc>
          <w:tcPr>
            <w:tcW w:w="2502" w:type="pct"/>
            <w:tcBorders>
              <w:top w:val="single" w:color="auto" w:sz="12" w:space="0"/>
              <w:bottom w:val="single" w:color="auto" w:sz="6" w:space="0"/>
            </w:tcBorders>
            <w:shd w:val="clear" w:color="auto" w:fill="auto"/>
            <w:vAlign w:val="center"/>
          </w:tcPr>
          <w:p>
            <w:pPr>
              <w:jc w:val="center"/>
              <w:textAlignment w:val="center"/>
              <w:rPr>
                <w:rFonts w:ascii="宋体" w:hAnsi="宋体" w:cs="宋体"/>
                <w:color w:val="000000"/>
                <w:kern w:val="0"/>
                <w:sz w:val="18"/>
                <w:szCs w:val="18"/>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 w:hRule="exact"/>
          <w:jc w:val="center"/>
        </w:trPr>
        <w:tc>
          <w:tcPr>
            <w:tcW w:w="2498" w:type="pct"/>
            <w:tcBorders>
              <w:top w:val="single" w:color="auto" w:sz="6" w:space="0"/>
              <w:bottom w:val="single" w:color="auto" w:sz="6" w:space="0"/>
            </w:tcBorders>
            <w:shd w:val="clear" w:color="auto" w:fill="auto"/>
            <w:vAlign w:val="center"/>
          </w:tcPr>
          <w:p>
            <w:pPr>
              <w:widowControl/>
              <w:jc w:val="center"/>
              <w:textAlignment w:val="center"/>
              <w:rPr>
                <w:rFonts w:ascii="宋体" w:hAnsi="宋体" w:cs="宋体"/>
                <w:color w:val="000000"/>
                <w:kern w:val="0"/>
                <w:sz w:val="18"/>
                <w:szCs w:val="18"/>
                <w:lang w:bidi="ar"/>
              </w:rPr>
            </w:pPr>
          </w:p>
        </w:tc>
        <w:tc>
          <w:tcPr>
            <w:tcW w:w="2502" w:type="pct"/>
            <w:tcBorders>
              <w:top w:val="single" w:color="auto" w:sz="6" w:space="0"/>
              <w:bottom w:val="single" w:color="auto" w:sz="6" w:space="0"/>
            </w:tcBorders>
            <w:shd w:val="clear" w:color="auto" w:fill="auto"/>
            <w:vAlign w:val="center"/>
          </w:tcPr>
          <w:p>
            <w:pPr>
              <w:widowControl/>
              <w:jc w:val="center"/>
              <w:textAlignment w:val="center"/>
              <w:rPr>
                <w:rFonts w:ascii="宋体" w:hAnsi="宋体" w:cs="宋体"/>
                <w:color w:val="000000"/>
                <w:kern w:val="0"/>
                <w:sz w:val="18"/>
                <w:szCs w:val="18"/>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 w:hRule="exact"/>
          <w:jc w:val="center"/>
        </w:trPr>
        <w:tc>
          <w:tcPr>
            <w:tcW w:w="2498" w:type="pct"/>
            <w:tcBorders>
              <w:top w:val="single" w:color="auto" w:sz="6" w:space="0"/>
              <w:bottom w:val="single" w:color="auto" w:sz="6" w:space="0"/>
            </w:tcBorders>
            <w:shd w:val="clear" w:color="auto" w:fill="auto"/>
            <w:vAlign w:val="center"/>
          </w:tcPr>
          <w:p>
            <w:pPr>
              <w:widowControl/>
              <w:jc w:val="center"/>
              <w:textAlignment w:val="center"/>
              <w:rPr>
                <w:rFonts w:ascii="宋体" w:hAnsi="宋体" w:cs="宋体"/>
                <w:color w:val="000000"/>
                <w:kern w:val="0"/>
                <w:sz w:val="18"/>
                <w:szCs w:val="18"/>
                <w:lang w:bidi="ar"/>
              </w:rPr>
            </w:pPr>
          </w:p>
        </w:tc>
        <w:tc>
          <w:tcPr>
            <w:tcW w:w="2502" w:type="pct"/>
            <w:tcBorders>
              <w:top w:val="single" w:color="auto" w:sz="6" w:space="0"/>
              <w:bottom w:val="single" w:color="auto" w:sz="6" w:space="0"/>
            </w:tcBorders>
            <w:shd w:val="clear" w:color="auto" w:fill="auto"/>
            <w:vAlign w:val="center"/>
          </w:tcPr>
          <w:p>
            <w:pPr>
              <w:widowControl/>
              <w:jc w:val="center"/>
              <w:textAlignment w:val="center"/>
              <w:rPr>
                <w:rFonts w:ascii="宋体" w:hAnsi="宋体" w:cs="宋体"/>
                <w:color w:val="000000"/>
                <w:kern w:val="0"/>
                <w:sz w:val="18"/>
                <w:szCs w:val="18"/>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 w:hRule="exact"/>
          <w:jc w:val="center"/>
        </w:trPr>
        <w:tc>
          <w:tcPr>
            <w:tcW w:w="2498" w:type="pct"/>
            <w:tcBorders>
              <w:top w:val="single" w:color="auto" w:sz="6" w:space="0"/>
              <w:bottom w:val="single" w:color="auto" w:sz="6" w:space="0"/>
            </w:tcBorders>
            <w:shd w:val="clear" w:color="auto" w:fill="auto"/>
            <w:vAlign w:val="center"/>
          </w:tcPr>
          <w:p>
            <w:pPr>
              <w:widowControl/>
              <w:jc w:val="center"/>
              <w:textAlignment w:val="center"/>
              <w:rPr>
                <w:rFonts w:ascii="宋体" w:hAnsi="宋体" w:cs="宋体"/>
                <w:color w:val="000000"/>
                <w:kern w:val="0"/>
                <w:sz w:val="18"/>
                <w:szCs w:val="18"/>
                <w:lang w:bidi="ar"/>
              </w:rPr>
            </w:pPr>
          </w:p>
        </w:tc>
        <w:tc>
          <w:tcPr>
            <w:tcW w:w="2502" w:type="pct"/>
            <w:tcBorders>
              <w:top w:val="single" w:color="auto" w:sz="6" w:space="0"/>
              <w:bottom w:val="single" w:color="auto" w:sz="6" w:space="0"/>
            </w:tcBorders>
            <w:shd w:val="clear" w:color="auto" w:fill="auto"/>
            <w:vAlign w:val="center"/>
          </w:tcPr>
          <w:p>
            <w:pPr>
              <w:widowControl/>
              <w:jc w:val="center"/>
              <w:textAlignment w:val="center"/>
              <w:rPr>
                <w:rFonts w:ascii="宋体" w:hAnsi="宋体" w:cs="宋体"/>
                <w:color w:val="000000"/>
                <w:kern w:val="0"/>
                <w:sz w:val="18"/>
                <w:szCs w:val="18"/>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 w:hRule="exact"/>
          <w:jc w:val="center"/>
        </w:trPr>
        <w:tc>
          <w:tcPr>
            <w:tcW w:w="2498" w:type="pct"/>
            <w:tcBorders>
              <w:top w:val="single" w:color="auto" w:sz="6" w:space="0"/>
              <w:bottom w:val="single" w:color="auto" w:sz="12" w:space="0"/>
            </w:tcBorders>
            <w:shd w:val="clear" w:color="auto" w:fill="auto"/>
            <w:vAlign w:val="center"/>
          </w:tcPr>
          <w:p>
            <w:pPr>
              <w:widowControl/>
              <w:jc w:val="center"/>
              <w:textAlignment w:val="center"/>
              <w:rPr>
                <w:rFonts w:ascii="宋体" w:hAnsi="宋体" w:cs="宋体"/>
                <w:color w:val="000000"/>
                <w:kern w:val="0"/>
                <w:sz w:val="18"/>
                <w:szCs w:val="18"/>
                <w:lang w:bidi="ar"/>
              </w:rPr>
            </w:pPr>
          </w:p>
        </w:tc>
        <w:tc>
          <w:tcPr>
            <w:tcW w:w="2502" w:type="pct"/>
            <w:tcBorders>
              <w:top w:val="single" w:color="auto" w:sz="6" w:space="0"/>
              <w:bottom w:val="single" w:color="auto" w:sz="12" w:space="0"/>
            </w:tcBorders>
            <w:shd w:val="clear" w:color="auto" w:fill="auto"/>
            <w:vAlign w:val="center"/>
          </w:tcPr>
          <w:p>
            <w:pPr>
              <w:widowControl/>
              <w:jc w:val="center"/>
              <w:textAlignment w:val="center"/>
              <w:rPr>
                <w:rFonts w:ascii="宋体" w:hAnsi="宋体" w:cs="宋体"/>
                <w:color w:val="000000"/>
                <w:kern w:val="0"/>
                <w:sz w:val="18"/>
                <w:szCs w:val="18"/>
                <w:lang w:bidi="ar"/>
              </w:rPr>
            </w:pPr>
          </w:p>
        </w:tc>
      </w:tr>
    </w:tbl>
    <w:p>
      <w:pPr>
        <w:pStyle w:val="82"/>
        <w:numPr>
          <w:ilvl w:val="0"/>
          <w:numId w:val="0"/>
        </w:numPr>
        <w:snapToGrid w:val="0"/>
        <w:spacing w:before="156" w:beforeLines="50" w:after="156" w:afterLines="50"/>
        <w:rPr>
          <w:rFonts w:ascii="Times New Roman"/>
          <w:kern w:val="2"/>
        </w:rPr>
      </w:pPr>
      <w:r>
        <w:rPr>
          <w:rFonts w:hAnsi="黑体"/>
          <w:color w:val="000000"/>
          <w:szCs w:val="22"/>
        </w:rPr>
        <w:t>10.2</w:t>
      </w:r>
      <w:r>
        <w:rPr>
          <w:rFonts w:ascii="Times New Roman"/>
        </w:rPr>
        <w:t>　</w:t>
      </w:r>
      <w:r>
        <w:rPr>
          <w:rFonts w:hint="eastAsia" w:ascii="Times New Roman"/>
          <w:kern w:val="2"/>
        </w:rPr>
        <w:t>再现性</w:t>
      </w:r>
    </w:p>
    <w:p>
      <w:pPr>
        <w:pStyle w:val="48"/>
        <w:snapToGrid w:val="0"/>
        <w:ind w:firstLine="420"/>
        <w:rPr>
          <w:rFonts w:hAnsi="宋体" w:cs="宋体"/>
        </w:rPr>
      </w:pPr>
      <w:r>
        <w:rPr>
          <w:rFonts w:hint="eastAsia" w:hAnsi="宋体" w:cs="宋体"/>
          <w:color w:val="000000"/>
        </w:rPr>
        <w:t>在再现性条件下获得的两次独立测试结果的</w:t>
      </w:r>
      <w:r>
        <w:rPr>
          <w:rFonts w:hint="eastAsia" w:hAnsi="宋体" w:cs="宋体"/>
        </w:rPr>
        <w:t>的</w:t>
      </w:r>
      <w:r>
        <w:rPr>
          <w:rFonts w:hint="eastAsia" w:hAnsi="宋体" w:cs="宋体"/>
          <w:color w:val="000000"/>
        </w:rPr>
        <w:t>绝对差值不大于再现性限（</w:t>
      </w:r>
      <w:r>
        <w:rPr>
          <w:rFonts w:hint="eastAsia" w:hAnsi="宋体" w:cs="宋体"/>
          <w:i/>
          <w:color w:val="000000"/>
        </w:rPr>
        <w:t>R</w:t>
      </w:r>
      <w:r>
        <w:rPr>
          <w:rFonts w:hint="eastAsia" w:hAnsi="宋体" w:cs="宋体"/>
          <w:color w:val="000000"/>
        </w:rPr>
        <w:t>），超过再现性限（</w:t>
      </w:r>
      <w:r>
        <w:rPr>
          <w:rFonts w:hint="eastAsia" w:hAnsi="宋体" w:cs="宋体"/>
          <w:i/>
          <w:color w:val="000000"/>
        </w:rPr>
        <w:t>R</w:t>
      </w:r>
      <w:r>
        <w:rPr>
          <w:rFonts w:hint="eastAsia" w:hAnsi="宋体" w:cs="宋体"/>
          <w:color w:val="000000"/>
        </w:rPr>
        <w:t>）的情况不超过5%，再现性限（</w:t>
      </w:r>
      <w:r>
        <w:rPr>
          <w:rFonts w:hint="eastAsia" w:hAnsi="宋体" w:cs="宋体"/>
          <w:i/>
          <w:color w:val="000000"/>
        </w:rPr>
        <w:t>R</w:t>
      </w:r>
      <w:r>
        <w:rPr>
          <w:rFonts w:hint="eastAsia" w:hAnsi="宋体" w:cs="宋体"/>
          <w:color w:val="000000"/>
        </w:rPr>
        <w:t>）按</w:t>
      </w:r>
      <w:r>
        <w:rPr>
          <w:rFonts w:hAnsi="宋体" w:cs="宋体"/>
          <w:color w:val="000000"/>
        </w:rPr>
        <w:t>4</w:t>
      </w:r>
      <w:r>
        <w:rPr>
          <w:rFonts w:hint="eastAsia" w:hAnsi="宋体" w:cs="宋体"/>
          <w:color w:val="000000"/>
        </w:rPr>
        <w:t>数据采用线性内插法或外延法求得。</w:t>
      </w:r>
    </w:p>
    <w:p>
      <w:pPr>
        <w:spacing w:before="156" w:beforeLines="50" w:after="156" w:afterLines="50" w:line="360" w:lineRule="exact"/>
        <w:jc w:val="center"/>
        <w:rPr>
          <w:rFonts w:eastAsia="黑体"/>
        </w:rPr>
      </w:pPr>
      <w:r>
        <w:rPr>
          <w:rFonts w:eastAsia="黑体"/>
        </w:rPr>
        <w:t>表</w:t>
      </w:r>
      <w:r>
        <w:rPr>
          <w:rFonts w:hint="eastAsia" w:ascii="黑体" w:hAnsi="黑体" w:eastAsia="黑体" w:cs="黑体"/>
          <w:lang w:val="en-US" w:eastAsia="zh-CN"/>
        </w:rPr>
        <w:t>5</w:t>
      </w:r>
      <w:r>
        <w:rPr>
          <w:color w:val="000000"/>
        </w:rPr>
        <w:t>　</w:t>
      </w:r>
      <w:r>
        <w:rPr>
          <w:rFonts w:eastAsia="黑体"/>
        </w:rPr>
        <w:t>再现性限</w:t>
      </w:r>
      <w:r>
        <w:rPr>
          <w:rFonts w:hint="eastAsia" w:ascii="黑体" w:hAnsi="黑体" w:eastAsia="黑体"/>
        </w:rPr>
        <w:t>（</w:t>
      </w:r>
      <w:r>
        <w:rPr>
          <w:rFonts w:hint="eastAsia" w:ascii="黑体" w:hAnsi="黑体" w:eastAsia="黑体"/>
          <w:i/>
        </w:rPr>
        <w:t>R</w:t>
      </w:r>
      <w:r>
        <w:rPr>
          <w:rFonts w:hint="eastAsia" w:ascii="黑体" w:hAnsi="黑体" w:eastAsia="黑体"/>
        </w:rPr>
        <w:t>）</w:t>
      </w:r>
    </w:p>
    <w:tbl>
      <w:tblPr>
        <w:tblStyle w:val="32"/>
        <w:tblW w:w="93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675"/>
        <w:gridCol w:w="46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9" w:hRule="exact"/>
          <w:jc w:val="center"/>
        </w:trPr>
        <w:tc>
          <w:tcPr>
            <w:tcW w:w="2499" w:type="pct"/>
            <w:tcBorders>
              <w:bottom w:val="single" w:color="auto" w:sz="12"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质量分数</w:t>
            </w:r>
            <w:r>
              <w:rPr>
                <w:rFonts w:ascii="宋体" w:hAnsi="宋体" w:cs="宋体"/>
                <w:sz w:val="18"/>
                <w:szCs w:val="18"/>
              </w:rPr>
              <w:t>/%</w:t>
            </w:r>
          </w:p>
        </w:tc>
        <w:tc>
          <w:tcPr>
            <w:tcW w:w="2501" w:type="pct"/>
            <w:tcBorders>
              <w:bottom w:val="single" w:color="auto" w:sz="12"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再现</w:t>
            </w:r>
            <w:r>
              <w:rPr>
                <w:rFonts w:ascii="宋体" w:hAnsi="宋体" w:cs="宋体"/>
                <w:sz w:val="18"/>
                <w:szCs w:val="18"/>
              </w:rPr>
              <w:t>性</w:t>
            </w:r>
            <w:r>
              <w:rPr>
                <w:rFonts w:hint="eastAsia" w:ascii="宋体" w:hAnsi="宋体" w:cs="宋体"/>
                <w:sz w:val="18"/>
                <w:szCs w:val="18"/>
              </w:rPr>
              <w:t>限</w:t>
            </w:r>
            <w:r>
              <w:rPr>
                <w:rFonts w:ascii="宋体" w:hAnsi="宋体" w:cs="宋体"/>
                <w:sz w:val="18"/>
                <w:szCs w:val="18"/>
              </w:rPr>
              <w:t>(R)/%</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 w:hRule="exact"/>
          <w:jc w:val="center"/>
        </w:trPr>
        <w:tc>
          <w:tcPr>
            <w:tcW w:w="2499" w:type="pct"/>
            <w:tcBorders>
              <w:top w:val="single" w:color="auto" w:sz="12" w:space="0"/>
              <w:bottom w:val="single" w:color="auto" w:sz="6" w:space="0"/>
            </w:tcBorders>
            <w:shd w:val="clear" w:color="auto" w:fill="auto"/>
            <w:vAlign w:val="center"/>
          </w:tcPr>
          <w:p>
            <w:pPr>
              <w:widowControl/>
              <w:jc w:val="center"/>
              <w:textAlignment w:val="center"/>
              <w:rPr>
                <w:rFonts w:ascii="宋体" w:hAnsi="宋体" w:cs="宋体"/>
                <w:color w:val="000000"/>
                <w:kern w:val="0"/>
                <w:sz w:val="18"/>
                <w:szCs w:val="18"/>
                <w:lang w:bidi="ar"/>
              </w:rPr>
            </w:pPr>
          </w:p>
        </w:tc>
        <w:tc>
          <w:tcPr>
            <w:tcW w:w="2501" w:type="pct"/>
            <w:tcBorders>
              <w:top w:val="single" w:color="auto" w:sz="12" w:space="0"/>
              <w:bottom w:val="single" w:color="auto" w:sz="6" w:space="0"/>
            </w:tcBorders>
            <w:shd w:val="clear" w:color="auto" w:fill="auto"/>
            <w:vAlign w:val="center"/>
          </w:tcPr>
          <w:p>
            <w:pPr>
              <w:spacing w:line="220" w:lineRule="exact"/>
              <w:jc w:val="center"/>
              <w:rPr>
                <w:rFonts w:ascii="宋体" w:hAnsi="宋体" w:cs="宋体"/>
                <w:color w:val="000000"/>
                <w:kern w:val="0"/>
                <w:sz w:val="18"/>
                <w:szCs w:val="18"/>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 w:hRule="exact"/>
          <w:jc w:val="center"/>
        </w:trPr>
        <w:tc>
          <w:tcPr>
            <w:tcW w:w="2499" w:type="pct"/>
            <w:tcBorders>
              <w:top w:val="single" w:color="auto" w:sz="6" w:space="0"/>
              <w:bottom w:val="single" w:color="auto" w:sz="6" w:space="0"/>
            </w:tcBorders>
            <w:shd w:val="clear" w:color="auto" w:fill="auto"/>
            <w:vAlign w:val="center"/>
          </w:tcPr>
          <w:p>
            <w:pPr>
              <w:widowControl/>
              <w:jc w:val="center"/>
              <w:textAlignment w:val="center"/>
              <w:rPr>
                <w:rFonts w:ascii="宋体" w:hAnsi="宋体" w:cs="宋体"/>
                <w:color w:val="000000"/>
                <w:kern w:val="0"/>
                <w:sz w:val="18"/>
                <w:szCs w:val="18"/>
                <w:lang w:bidi="ar"/>
              </w:rPr>
            </w:pPr>
          </w:p>
        </w:tc>
        <w:tc>
          <w:tcPr>
            <w:tcW w:w="2501" w:type="pct"/>
            <w:tcBorders>
              <w:top w:val="single" w:color="auto" w:sz="6" w:space="0"/>
              <w:bottom w:val="single" w:color="auto" w:sz="6" w:space="0"/>
            </w:tcBorders>
            <w:shd w:val="clear" w:color="auto" w:fill="auto"/>
            <w:vAlign w:val="center"/>
          </w:tcPr>
          <w:p>
            <w:pPr>
              <w:spacing w:line="220" w:lineRule="exact"/>
              <w:jc w:val="center"/>
              <w:rPr>
                <w:rFonts w:ascii="宋体" w:hAnsi="宋体" w:cs="宋体"/>
                <w:color w:val="000000"/>
                <w:kern w:val="0"/>
                <w:sz w:val="18"/>
                <w:szCs w:val="18"/>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 w:hRule="exact"/>
          <w:jc w:val="center"/>
        </w:trPr>
        <w:tc>
          <w:tcPr>
            <w:tcW w:w="2499" w:type="pct"/>
            <w:tcBorders>
              <w:top w:val="single" w:color="auto" w:sz="6" w:space="0"/>
              <w:bottom w:val="single" w:color="auto" w:sz="6" w:space="0"/>
            </w:tcBorders>
            <w:shd w:val="clear" w:color="auto" w:fill="auto"/>
            <w:vAlign w:val="center"/>
          </w:tcPr>
          <w:p>
            <w:pPr>
              <w:widowControl/>
              <w:jc w:val="center"/>
              <w:textAlignment w:val="center"/>
              <w:rPr>
                <w:rFonts w:ascii="宋体" w:hAnsi="宋体" w:cs="宋体"/>
                <w:color w:val="000000"/>
                <w:kern w:val="0"/>
                <w:sz w:val="18"/>
                <w:szCs w:val="18"/>
                <w:lang w:bidi="ar"/>
              </w:rPr>
            </w:pPr>
          </w:p>
        </w:tc>
        <w:tc>
          <w:tcPr>
            <w:tcW w:w="2501" w:type="pct"/>
            <w:tcBorders>
              <w:top w:val="single" w:color="auto" w:sz="6" w:space="0"/>
              <w:bottom w:val="single" w:color="auto" w:sz="6" w:space="0"/>
            </w:tcBorders>
            <w:shd w:val="clear" w:color="auto" w:fill="auto"/>
            <w:vAlign w:val="center"/>
          </w:tcPr>
          <w:p>
            <w:pPr>
              <w:spacing w:line="220" w:lineRule="exact"/>
              <w:jc w:val="center"/>
              <w:rPr>
                <w:rFonts w:ascii="宋体" w:hAnsi="宋体" w:cs="宋体"/>
                <w:color w:val="000000"/>
                <w:kern w:val="0"/>
                <w:sz w:val="18"/>
                <w:szCs w:val="18"/>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 w:hRule="exact"/>
          <w:jc w:val="center"/>
        </w:trPr>
        <w:tc>
          <w:tcPr>
            <w:tcW w:w="2499" w:type="pct"/>
            <w:tcBorders>
              <w:top w:val="single" w:color="auto" w:sz="6" w:space="0"/>
              <w:bottom w:val="single" w:color="auto" w:sz="6" w:space="0"/>
            </w:tcBorders>
            <w:shd w:val="clear" w:color="auto" w:fill="auto"/>
            <w:vAlign w:val="center"/>
          </w:tcPr>
          <w:p>
            <w:pPr>
              <w:widowControl/>
              <w:jc w:val="center"/>
              <w:textAlignment w:val="center"/>
              <w:rPr>
                <w:rFonts w:ascii="宋体" w:hAnsi="宋体" w:cs="宋体"/>
                <w:color w:val="000000"/>
                <w:kern w:val="0"/>
                <w:sz w:val="18"/>
                <w:szCs w:val="18"/>
                <w:lang w:bidi="ar"/>
              </w:rPr>
            </w:pPr>
          </w:p>
        </w:tc>
        <w:tc>
          <w:tcPr>
            <w:tcW w:w="2501" w:type="pct"/>
            <w:tcBorders>
              <w:top w:val="single" w:color="auto" w:sz="6" w:space="0"/>
              <w:bottom w:val="single" w:color="auto" w:sz="6" w:space="0"/>
            </w:tcBorders>
            <w:shd w:val="clear" w:color="auto" w:fill="auto"/>
            <w:vAlign w:val="center"/>
          </w:tcPr>
          <w:p>
            <w:pPr>
              <w:spacing w:line="220" w:lineRule="exact"/>
              <w:jc w:val="center"/>
              <w:rPr>
                <w:rFonts w:ascii="宋体" w:hAnsi="宋体" w:cs="宋体"/>
                <w:color w:val="000000"/>
                <w:kern w:val="0"/>
                <w:sz w:val="18"/>
                <w:szCs w:val="18"/>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 w:hRule="exact"/>
          <w:jc w:val="center"/>
        </w:trPr>
        <w:tc>
          <w:tcPr>
            <w:tcW w:w="2499" w:type="pct"/>
            <w:tcBorders>
              <w:top w:val="single" w:color="auto" w:sz="6" w:space="0"/>
              <w:bottom w:val="single" w:color="auto" w:sz="12" w:space="0"/>
            </w:tcBorders>
            <w:shd w:val="clear" w:color="auto" w:fill="auto"/>
            <w:vAlign w:val="center"/>
          </w:tcPr>
          <w:p>
            <w:pPr>
              <w:widowControl/>
              <w:jc w:val="center"/>
              <w:textAlignment w:val="center"/>
              <w:rPr>
                <w:rFonts w:ascii="宋体" w:hAnsi="宋体" w:cs="宋体"/>
                <w:color w:val="000000"/>
                <w:kern w:val="0"/>
                <w:sz w:val="18"/>
                <w:szCs w:val="18"/>
                <w:lang w:bidi="ar"/>
              </w:rPr>
            </w:pPr>
          </w:p>
        </w:tc>
        <w:tc>
          <w:tcPr>
            <w:tcW w:w="2501" w:type="pct"/>
            <w:tcBorders>
              <w:top w:val="single" w:color="auto" w:sz="6" w:space="0"/>
              <w:bottom w:val="single" w:color="auto" w:sz="12" w:space="0"/>
            </w:tcBorders>
            <w:shd w:val="clear" w:color="auto" w:fill="auto"/>
            <w:vAlign w:val="center"/>
          </w:tcPr>
          <w:p>
            <w:pPr>
              <w:spacing w:line="220" w:lineRule="exact"/>
              <w:jc w:val="center"/>
              <w:rPr>
                <w:rFonts w:ascii="宋体" w:hAnsi="宋体" w:cs="宋体"/>
                <w:color w:val="000000"/>
                <w:kern w:val="0"/>
                <w:sz w:val="18"/>
                <w:szCs w:val="18"/>
                <w:lang w:bidi="ar"/>
              </w:rPr>
            </w:pPr>
          </w:p>
        </w:tc>
      </w:tr>
    </w:tbl>
    <w:p>
      <w:pPr>
        <w:pStyle w:val="48"/>
        <w:snapToGrid w:val="0"/>
        <w:ind w:firstLine="0" w:firstLineChars="0"/>
        <w:rPr>
          <w:rFonts w:hAnsi="宋体" w:cs="宋体"/>
        </w:rPr>
      </w:pPr>
      <w:r>
        <mc:AlternateContent>
          <mc:Choice Requires="wps">
            <w:drawing>
              <wp:anchor distT="0" distB="0" distL="114300" distR="114300" simplePos="0" relativeHeight="251671552" behindDoc="0" locked="0" layoutInCell="1" allowOverlap="1">
                <wp:simplePos x="0" y="0"/>
                <wp:positionH relativeFrom="column">
                  <wp:posOffset>1777365</wp:posOffset>
                </wp:positionH>
                <wp:positionV relativeFrom="paragraph">
                  <wp:posOffset>221615</wp:posOffset>
                </wp:positionV>
                <wp:extent cx="2209800" cy="2540"/>
                <wp:effectExtent l="0" t="0" r="0" b="0"/>
                <wp:wrapNone/>
                <wp:docPr id="7" name="直接连接符 7"/>
                <wp:cNvGraphicFramePr/>
                <a:graphic xmlns:a="http://schemas.openxmlformats.org/drawingml/2006/main">
                  <a:graphicData uri="http://schemas.microsoft.com/office/word/2010/wordprocessingShape">
                    <wps:wsp>
                      <wps:cNvCnPr/>
                      <wps:spPr>
                        <a:xfrm>
                          <a:off x="2325370" y="8241030"/>
                          <a:ext cx="2209800" cy="2540"/>
                        </a:xfrm>
                        <a:prstGeom prst="line">
                          <a:avLst/>
                        </a:prstGeom>
                        <a:ln w="1905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9.95pt;margin-top:17.45pt;height:0.2pt;width:174pt;z-index:251671552;mso-width-relative:page;mso-height-relative:page;" filled="f" stroked="t" coordsize="21600,21600" o:gfxdata="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XWsNkAAAAJAQAADwAAAAAAAAABACAAAAAiAAAAZHJzL2Rvd25yZXYueG1sUEsBAhQA&#10;FAAAAAgAh07iQLA53GfxAQAAwQMAAA4AAAAAAAAAAQAgAAAAKAEAAGRycy9lMm9Eb2MueG1sUEsF&#10;BgAAAAAGAAYAWQEAAIsFAAAAAA==&#10;">
                <v:fill on="f" focussize="0,0"/>
                <v:stroke weight="1.5pt" color="#000000 [3213]" miterlimit="8" joinstyle="miter"/>
                <v:imagedata o:title=""/>
                <o:lock v:ext="edit" aspectratio="f"/>
              </v:line>
            </w:pict>
          </mc:Fallback>
        </mc:AlternateContent>
      </w:r>
    </w:p>
    <w:sectPr>
      <w:headerReference r:id="rId8" w:type="default"/>
      <w:footerReference r:id="rId10" w:type="default"/>
      <w:headerReference r:id="rId9" w:type="even"/>
      <w:footerReference r:id="rId11" w:type="even"/>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rStyle w:val="35"/>
      </w:rPr>
    </w:pPr>
    <w:r>
      <w:fldChar w:fldCharType="begin"/>
    </w:r>
    <w:r>
      <w:rPr>
        <w:rStyle w:val="35"/>
      </w:rPr>
      <w:instrText xml:space="preserve">PAGE  </w:instrText>
    </w:r>
    <w:r>
      <w:fldChar w:fldCharType="separate"/>
    </w:r>
    <w:r>
      <w:rPr>
        <w:rStyle w:val="35"/>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Style w:val="35"/>
      </w:rPr>
    </w:pPr>
    <w:r>
      <w:fldChar w:fldCharType="begin"/>
    </w:r>
    <w:r>
      <w:rPr>
        <w:rStyle w:val="35"/>
      </w:rPr>
      <w:instrText xml:space="preserve">PAGE  </w:instrText>
    </w:r>
    <w:r>
      <w:fldChar w:fldCharType="separate"/>
    </w:r>
    <w:r>
      <w:rPr>
        <w:rStyle w:val="35"/>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rStyle w:val="35"/>
      </w:rPr>
    </w:pPr>
    <w:r>
      <w:fldChar w:fldCharType="begin"/>
    </w:r>
    <w:r>
      <w:rPr>
        <w:rStyle w:val="35"/>
      </w:rPr>
      <w:instrText xml:space="preserve">PAGE  </w:instrText>
    </w:r>
    <w:r>
      <w:fldChar w:fldCharType="separate"/>
    </w:r>
    <w:r>
      <w:rPr>
        <w:rStyle w:val="35"/>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right"/>
      <w:rPr>
        <w:rStyle w:val="35"/>
      </w:rPr>
    </w:pPr>
    <w:r>
      <w:fldChar w:fldCharType="begin"/>
    </w:r>
    <w:r>
      <w:rPr>
        <w:rStyle w:val="35"/>
      </w:rPr>
      <w:instrText xml:space="preserve">PAGE  </w:instrText>
    </w:r>
    <w:r>
      <w:fldChar w:fldCharType="separate"/>
    </w:r>
    <w:r>
      <w:rPr>
        <w:rStyle w:val="35"/>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jc w:val="right"/>
      <w:rPr>
        <w:rFonts w:ascii="黑体" w:hAnsi="黑体" w:eastAsia="黑体"/>
      </w:rPr>
    </w:pPr>
    <w:r>
      <w:rPr>
        <w:rFonts w:ascii="黑体" w:hAnsi="黑体" w:eastAsia="黑体"/>
      </w:rPr>
      <w:t>GB/T 18882.4—202X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right"/>
      <w:rPr>
        <w:sz w:val="24"/>
        <w:szCs w:val="24"/>
      </w:rPr>
    </w:pPr>
    <w:r>
      <w:rPr>
        <w:rFonts w:ascii="黑体" w:hAnsi="黑体" w:eastAsia="黑体"/>
        <w:sz w:val="24"/>
        <w:szCs w:val="24"/>
      </w:rPr>
      <w:t>GB/T</w:t>
    </w:r>
    <w:r>
      <w:rPr>
        <w:rFonts w:hint="eastAsia" w:ascii="黑体" w:hAnsi="黑体" w:eastAsia="黑体"/>
        <w:sz w:val="24"/>
        <w:szCs w:val="24"/>
        <w:lang w:val="en-US" w:eastAsia="zh-CN"/>
      </w:rPr>
      <w:t xml:space="preserve"> 12690.12</w:t>
    </w:r>
    <w:r>
      <w:rPr>
        <w:rFonts w:ascii="黑体" w:hAnsi="黑体" w:eastAsia="黑体"/>
        <w:sz w:val="24"/>
        <w:szCs w:val="24"/>
      </w:rPr>
      <w:t>—202X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right"/>
      <w:rPr>
        <w:sz w:val="24"/>
        <w:szCs w:val="24"/>
      </w:rPr>
    </w:pPr>
    <w:r>
      <w:rPr>
        <w:rFonts w:ascii="黑体" w:hAnsi="黑体" w:eastAsia="黑体"/>
        <w:sz w:val="24"/>
        <w:szCs w:val="24"/>
      </w:rPr>
      <w:t>GB/T</w:t>
    </w:r>
    <w:r>
      <w:rPr>
        <w:rFonts w:hint="eastAsia" w:ascii="黑体" w:hAnsi="黑体" w:eastAsia="黑体"/>
        <w:sz w:val="24"/>
        <w:szCs w:val="24"/>
        <w:lang w:val="en-US" w:eastAsia="zh-CN"/>
      </w:rPr>
      <w:t xml:space="preserve"> 12690.12</w:t>
    </w:r>
    <w:r>
      <w:rPr>
        <w:rFonts w:ascii="黑体" w:hAnsi="黑体" w:eastAsia="黑体"/>
        <w:sz w:val="24"/>
        <w:szCs w:val="24"/>
      </w:rPr>
      <w:t>—202X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9"/>
      <w:suff w:val="nothing"/>
      <w:lvlText w:val="%1%2.%3　"/>
      <w:lvlJc w:val="left"/>
      <w:pPr>
        <w:ind w:left="0" w:firstLine="0"/>
      </w:pPr>
      <w:rPr>
        <w:rFonts w:hint="eastAsia" w:ascii="黑体" w:hAnsi="Times New Roman" w:eastAsia="黑体"/>
        <w:b w:val="0"/>
        <w:i w:val="0"/>
        <w:sz w:val="21"/>
      </w:rPr>
    </w:lvl>
    <w:lvl w:ilvl="3" w:tentative="0">
      <w:start w:val="1"/>
      <w:numFmt w:val="decimal"/>
      <w:pStyle w:val="86"/>
      <w:suff w:val="nothing"/>
      <w:lvlText w:val="%1%2.%3.%4　"/>
      <w:lvlJc w:val="left"/>
      <w:pPr>
        <w:ind w:left="0" w:firstLine="0"/>
      </w:pPr>
      <w:rPr>
        <w:rFonts w:hint="eastAsia" w:ascii="黑体" w:hAnsi="Times New Roman" w:eastAsia="黑体"/>
        <w:b w:val="0"/>
        <w:i w:val="0"/>
        <w:sz w:val="21"/>
      </w:rPr>
    </w:lvl>
    <w:lvl w:ilvl="4" w:tentative="0">
      <w:start w:val="1"/>
      <w:numFmt w:val="decimal"/>
      <w:pStyle w:val="107"/>
      <w:suff w:val="nothing"/>
      <w:lvlText w:val="%1%2.%3.%4.%5　"/>
      <w:lvlJc w:val="left"/>
      <w:pPr>
        <w:ind w:left="0" w:firstLine="0"/>
      </w:pPr>
      <w:rPr>
        <w:rFonts w:hint="eastAsia" w:ascii="黑体" w:hAnsi="Times New Roman" w:eastAsia="黑体"/>
        <w:b w:val="0"/>
        <w:i w:val="0"/>
        <w:sz w:val="21"/>
      </w:rPr>
    </w:lvl>
    <w:lvl w:ilvl="5" w:tentative="0">
      <w:start w:val="1"/>
      <w:numFmt w:val="decimal"/>
      <w:pStyle w:val="94"/>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97"/>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6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10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8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111"/>
      <w:suff w:val="nothing"/>
      <w:lvlText w:val="附　录　%1"/>
      <w:lvlJc w:val="left"/>
      <w:pPr>
        <w:ind w:left="0" w:firstLine="0"/>
      </w:pPr>
      <w:rPr>
        <w:rFonts w:hint="eastAsia" w:ascii="黑体" w:hAnsi="Times New Roman" w:eastAsia="黑体"/>
        <w:b w:val="0"/>
        <w:i w:val="0"/>
        <w:sz w:val="21"/>
      </w:rPr>
    </w:lvl>
    <w:lvl w:ilvl="1" w:tentative="0">
      <w:start w:val="1"/>
      <w:numFmt w:val="decimal"/>
      <w:pStyle w:val="6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0" w:firstLine="0"/>
      </w:pPr>
      <w:rPr>
        <w:rFonts w:hint="eastAsia" w:ascii="黑体" w:hAnsi="Times New Roman" w:eastAsia="黑体"/>
        <w:b w:val="0"/>
        <w:i w:val="0"/>
        <w:sz w:val="21"/>
      </w:rPr>
    </w:lvl>
    <w:lvl w:ilvl="4" w:tentative="0">
      <w:start w:val="1"/>
      <w:numFmt w:val="decimal"/>
      <w:pStyle w:val="67"/>
      <w:suff w:val="nothing"/>
      <w:lvlText w:val="%1.%2.%3.%4.%5　"/>
      <w:lvlJc w:val="left"/>
      <w:pPr>
        <w:ind w:left="0" w:firstLine="0"/>
      </w:pPr>
      <w:rPr>
        <w:rFonts w:hint="eastAsia" w:ascii="黑体" w:hAnsi="Times New Roman" w:eastAsia="黑体"/>
        <w:b w:val="0"/>
        <w:i w:val="0"/>
        <w:sz w:val="21"/>
      </w:rPr>
    </w:lvl>
    <w:lvl w:ilvl="5" w:tentative="0">
      <w:start w:val="1"/>
      <w:numFmt w:val="decimal"/>
      <w:pStyle w:val="66"/>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BE73FFC"/>
    <w:multiLevelType w:val="multilevel"/>
    <w:tmpl w:val="6BE73FF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CEA2025"/>
    <w:multiLevelType w:val="multilevel"/>
    <w:tmpl w:val="6CEA2025"/>
    <w:lvl w:ilvl="0" w:tentative="0">
      <w:start w:val="1"/>
      <w:numFmt w:val="none"/>
      <w:pStyle w:val="74"/>
      <w:suff w:val="nothing"/>
      <w:lvlText w:val="%1"/>
      <w:lvlJc w:val="left"/>
      <w:pPr>
        <w:ind w:left="0" w:firstLine="0"/>
      </w:pPr>
      <w:rPr>
        <w:rFonts w:hint="default" w:ascii="Times New Roman" w:hAnsi="Times New Roman"/>
        <w:b/>
        <w:i w:val="0"/>
        <w:sz w:val="21"/>
      </w:rPr>
    </w:lvl>
    <w:lvl w:ilvl="1" w:tentative="0">
      <w:start w:val="1"/>
      <w:numFmt w:val="decimal"/>
      <w:pStyle w:val="75"/>
      <w:suff w:val="nothing"/>
      <w:lvlText w:val="%1%2　"/>
      <w:lvlJc w:val="left"/>
      <w:pPr>
        <w:ind w:left="210" w:firstLine="0"/>
      </w:pPr>
      <w:rPr>
        <w:rFonts w:hint="eastAsia" w:ascii="黑体" w:hAnsi="Times New Roman" w:eastAsia="黑体"/>
        <w:b w:val="0"/>
        <w:i w:val="0"/>
        <w:sz w:val="21"/>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73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tentative="0">
      <w:start w:val="1"/>
      <w:numFmt w:val="none"/>
      <w:pStyle w:val="7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0A07505"/>
    <w:multiLevelType w:val="multilevel"/>
    <w:tmpl w:val="70A07505"/>
    <w:lvl w:ilvl="0" w:tentative="0">
      <w:start w:val="5"/>
      <w:numFmt w:val="decimal"/>
      <w:lvlText w:val="%1"/>
      <w:lvlJc w:val="left"/>
      <w:pPr>
        <w:ind w:left="360" w:hanging="360"/>
      </w:pPr>
      <w:rPr>
        <w:rFonts w:hint="default" w:ascii="Times New Roman" w:hAnsi="Times New Roman" w:eastAsia="黑体" w:cs="Times New Roman"/>
        <w:color w:val="auto"/>
      </w:rPr>
    </w:lvl>
    <w:lvl w:ilvl="1" w:tentative="0">
      <w:start w:val="9"/>
      <w:numFmt w:val="decimal"/>
      <w:isLgl/>
      <w:lvlText w:val="%1.%2"/>
      <w:lvlJc w:val="left"/>
      <w:pPr>
        <w:ind w:left="375" w:hanging="375"/>
      </w:pPr>
      <w:rPr>
        <w:rFonts w:hint="default" w:ascii="宋体" w:hAnsi="宋体" w:eastAsia="宋体" w:cs="宋体"/>
      </w:rPr>
    </w:lvl>
    <w:lvl w:ilvl="2" w:tentative="0">
      <w:start w:val="1"/>
      <w:numFmt w:val="decimal"/>
      <w:isLgl/>
      <w:lvlText w:val="%1.%2.%3"/>
      <w:lvlJc w:val="left"/>
      <w:pPr>
        <w:ind w:left="720" w:hanging="720"/>
      </w:pPr>
      <w:rPr>
        <w:rFonts w:hint="default" w:ascii="Times New Roman" w:hAnsi="Times New Roman" w:eastAsia="黑体" w:cs="Times New Roman"/>
      </w:rPr>
    </w:lvl>
    <w:lvl w:ilvl="3" w:tentative="0">
      <w:start w:val="1"/>
      <w:numFmt w:val="decimal"/>
      <w:isLgl/>
      <w:lvlText w:val="%1.%2.%3.%4"/>
      <w:lvlJc w:val="left"/>
      <w:pPr>
        <w:ind w:left="1080" w:hanging="1080"/>
      </w:pPr>
      <w:rPr>
        <w:rFonts w:hint="default" w:ascii="Times New Roman" w:hAnsi="Times New Roman" w:eastAsia="黑体" w:cs="Times New Roman"/>
      </w:rPr>
    </w:lvl>
    <w:lvl w:ilvl="4" w:tentative="0">
      <w:start w:val="1"/>
      <w:numFmt w:val="decimal"/>
      <w:isLgl/>
      <w:lvlText w:val="%1.%2.%3.%4.%5"/>
      <w:lvlJc w:val="left"/>
      <w:pPr>
        <w:ind w:left="1080" w:hanging="1080"/>
      </w:pPr>
      <w:rPr>
        <w:rFonts w:hint="default" w:ascii="Times New Roman" w:hAnsi="Times New Roman" w:eastAsia="黑体" w:cs="Times New Roman"/>
      </w:rPr>
    </w:lvl>
    <w:lvl w:ilvl="5" w:tentative="0">
      <w:start w:val="1"/>
      <w:numFmt w:val="decimal"/>
      <w:isLgl/>
      <w:lvlText w:val="%1.%2.%3.%4.%5.%6"/>
      <w:lvlJc w:val="left"/>
      <w:pPr>
        <w:ind w:left="1440" w:hanging="1440"/>
      </w:pPr>
      <w:rPr>
        <w:rFonts w:hint="default" w:ascii="Times New Roman" w:hAnsi="Times New Roman" w:eastAsia="黑体" w:cs="Times New Roman"/>
      </w:rPr>
    </w:lvl>
    <w:lvl w:ilvl="6" w:tentative="0">
      <w:start w:val="1"/>
      <w:numFmt w:val="decimal"/>
      <w:isLgl/>
      <w:lvlText w:val="%1.%2.%3.%4.%5.%6.%7"/>
      <w:lvlJc w:val="left"/>
      <w:pPr>
        <w:ind w:left="1440" w:hanging="1440"/>
      </w:pPr>
      <w:rPr>
        <w:rFonts w:hint="default" w:ascii="Times New Roman" w:hAnsi="Times New Roman" w:eastAsia="黑体" w:cs="Times New Roman"/>
      </w:rPr>
    </w:lvl>
    <w:lvl w:ilvl="7" w:tentative="0">
      <w:start w:val="1"/>
      <w:numFmt w:val="decimal"/>
      <w:isLgl/>
      <w:lvlText w:val="%1.%2.%3.%4.%5.%6.%7.%8"/>
      <w:lvlJc w:val="left"/>
      <w:pPr>
        <w:ind w:left="1800" w:hanging="1800"/>
      </w:pPr>
      <w:rPr>
        <w:rFonts w:hint="default" w:ascii="Times New Roman" w:hAnsi="Times New Roman" w:eastAsia="黑体" w:cs="Times New Roman"/>
      </w:rPr>
    </w:lvl>
    <w:lvl w:ilvl="8" w:tentative="0">
      <w:start w:val="1"/>
      <w:numFmt w:val="decimal"/>
      <w:isLgl/>
      <w:lvlText w:val="%1.%2.%3.%4.%5.%6.%7.%8.%9"/>
      <w:lvlJc w:val="left"/>
      <w:pPr>
        <w:ind w:left="1800" w:hanging="1800"/>
      </w:pPr>
      <w:rPr>
        <w:rFonts w:hint="default" w:ascii="Times New Roman" w:hAnsi="Times New Roman" w:eastAsia="黑体" w:cs="Times New Roman"/>
      </w:rPr>
    </w:lvl>
  </w:abstractNum>
  <w:abstractNum w:abstractNumId="11">
    <w:nsid w:val="76933334"/>
    <w:multiLevelType w:val="multilevel"/>
    <w:tmpl w:val="76933334"/>
    <w:lvl w:ilvl="0" w:tentative="0">
      <w:start w:val="1"/>
      <w:numFmt w:val="none"/>
      <w:pStyle w:val="90"/>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3"/>
  </w:num>
  <w:num w:numId="3">
    <w:abstractNumId w:val="9"/>
  </w:num>
  <w:num w:numId="4">
    <w:abstractNumId w:val="8"/>
  </w:num>
  <w:num w:numId="5">
    <w:abstractNumId w:val="0"/>
  </w:num>
  <w:num w:numId="6">
    <w:abstractNumId w:val="5"/>
  </w:num>
  <w:num w:numId="7">
    <w:abstractNumId w:val="11"/>
  </w:num>
  <w:num w:numId="8">
    <w:abstractNumId w:val="1"/>
  </w:num>
  <w:num w:numId="9">
    <w:abstractNumId w:val="2"/>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42"/>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2NmZlOGEzNzUzYzhiZDcwMzYzZGMzYzBhY2M3MDIifQ=="/>
  </w:docVars>
  <w:rsids>
    <w:rsidRoot w:val="00CC1FA2"/>
    <w:rsid w:val="00002610"/>
    <w:rsid w:val="0000344F"/>
    <w:rsid w:val="00005240"/>
    <w:rsid w:val="00006808"/>
    <w:rsid w:val="00007D5F"/>
    <w:rsid w:val="00010DD4"/>
    <w:rsid w:val="000120D5"/>
    <w:rsid w:val="00013E78"/>
    <w:rsid w:val="00014739"/>
    <w:rsid w:val="00014A89"/>
    <w:rsid w:val="00023099"/>
    <w:rsid w:val="00026D24"/>
    <w:rsid w:val="00031E13"/>
    <w:rsid w:val="000325A2"/>
    <w:rsid w:val="000355C8"/>
    <w:rsid w:val="0004107D"/>
    <w:rsid w:val="0004384B"/>
    <w:rsid w:val="000453C5"/>
    <w:rsid w:val="00046582"/>
    <w:rsid w:val="00050BC5"/>
    <w:rsid w:val="00051966"/>
    <w:rsid w:val="00052595"/>
    <w:rsid w:val="00053F77"/>
    <w:rsid w:val="00054F92"/>
    <w:rsid w:val="0005546F"/>
    <w:rsid w:val="00057184"/>
    <w:rsid w:val="00066270"/>
    <w:rsid w:val="0006798F"/>
    <w:rsid w:val="00072932"/>
    <w:rsid w:val="00072C0B"/>
    <w:rsid w:val="000747C7"/>
    <w:rsid w:val="00077F3F"/>
    <w:rsid w:val="000851A7"/>
    <w:rsid w:val="00085B2B"/>
    <w:rsid w:val="000A42E1"/>
    <w:rsid w:val="000A55E3"/>
    <w:rsid w:val="000B3B88"/>
    <w:rsid w:val="000B6052"/>
    <w:rsid w:val="000C0E23"/>
    <w:rsid w:val="000C4DD3"/>
    <w:rsid w:val="000C700F"/>
    <w:rsid w:val="000D3A7A"/>
    <w:rsid w:val="000D5520"/>
    <w:rsid w:val="000D6133"/>
    <w:rsid w:val="000E0FE8"/>
    <w:rsid w:val="000E1842"/>
    <w:rsid w:val="000E2F46"/>
    <w:rsid w:val="000F2B8D"/>
    <w:rsid w:val="000F4D50"/>
    <w:rsid w:val="000F5B2D"/>
    <w:rsid w:val="000F7E42"/>
    <w:rsid w:val="00104E6D"/>
    <w:rsid w:val="00107891"/>
    <w:rsid w:val="00110FD7"/>
    <w:rsid w:val="00113D86"/>
    <w:rsid w:val="00137C3F"/>
    <w:rsid w:val="00141917"/>
    <w:rsid w:val="00141EB1"/>
    <w:rsid w:val="0014536F"/>
    <w:rsid w:val="0015158E"/>
    <w:rsid w:val="00155929"/>
    <w:rsid w:val="00167C46"/>
    <w:rsid w:val="00167E30"/>
    <w:rsid w:val="00167EDE"/>
    <w:rsid w:val="001706F0"/>
    <w:rsid w:val="00170EC5"/>
    <w:rsid w:val="00175F26"/>
    <w:rsid w:val="001820CD"/>
    <w:rsid w:val="00183043"/>
    <w:rsid w:val="00186889"/>
    <w:rsid w:val="001908B3"/>
    <w:rsid w:val="00190EF5"/>
    <w:rsid w:val="00194581"/>
    <w:rsid w:val="001A1245"/>
    <w:rsid w:val="001A305E"/>
    <w:rsid w:val="001A501E"/>
    <w:rsid w:val="001A739B"/>
    <w:rsid w:val="001A7479"/>
    <w:rsid w:val="001B043C"/>
    <w:rsid w:val="001B0F0F"/>
    <w:rsid w:val="001B1FE3"/>
    <w:rsid w:val="001B3C18"/>
    <w:rsid w:val="001C26E8"/>
    <w:rsid w:val="001D241E"/>
    <w:rsid w:val="001D2F28"/>
    <w:rsid w:val="001D64EA"/>
    <w:rsid w:val="001E0094"/>
    <w:rsid w:val="001E473E"/>
    <w:rsid w:val="001E697D"/>
    <w:rsid w:val="001F63E7"/>
    <w:rsid w:val="0020151E"/>
    <w:rsid w:val="002030FF"/>
    <w:rsid w:val="00205161"/>
    <w:rsid w:val="00205424"/>
    <w:rsid w:val="00207958"/>
    <w:rsid w:val="00211DA8"/>
    <w:rsid w:val="00214B0D"/>
    <w:rsid w:val="002217F4"/>
    <w:rsid w:val="00230428"/>
    <w:rsid w:val="002350C0"/>
    <w:rsid w:val="002374C4"/>
    <w:rsid w:val="002412C5"/>
    <w:rsid w:val="0024638D"/>
    <w:rsid w:val="00246E93"/>
    <w:rsid w:val="00247081"/>
    <w:rsid w:val="00247556"/>
    <w:rsid w:val="0025020D"/>
    <w:rsid w:val="002519E4"/>
    <w:rsid w:val="00252249"/>
    <w:rsid w:val="00252685"/>
    <w:rsid w:val="0025275C"/>
    <w:rsid w:val="002702F9"/>
    <w:rsid w:val="00270A2D"/>
    <w:rsid w:val="00274085"/>
    <w:rsid w:val="00284876"/>
    <w:rsid w:val="00284F26"/>
    <w:rsid w:val="00287DE8"/>
    <w:rsid w:val="00287FD1"/>
    <w:rsid w:val="00291190"/>
    <w:rsid w:val="002931DC"/>
    <w:rsid w:val="00295856"/>
    <w:rsid w:val="002A3871"/>
    <w:rsid w:val="002A4497"/>
    <w:rsid w:val="002A6472"/>
    <w:rsid w:val="002A687E"/>
    <w:rsid w:val="002B6AE2"/>
    <w:rsid w:val="002D54FB"/>
    <w:rsid w:val="002F04F9"/>
    <w:rsid w:val="002F33BD"/>
    <w:rsid w:val="002F5977"/>
    <w:rsid w:val="002F6208"/>
    <w:rsid w:val="00300AEC"/>
    <w:rsid w:val="003026AB"/>
    <w:rsid w:val="0030573C"/>
    <w:rsid w:val="003119D4"/>
    <w:rsid w:val="00315FF9"/>
    <w:rsid w:val="00320263"/>
    <w:rsid w:val="00323663"/>
    <w:rsid w:val="0033673D"/>
    <w:rsid w:val="00344BE8"/>
    <w:rsid w:val="00345108"/>
    <w:rsid w:val="00345AB2"/>
    <w:rsid w:val="00355187"/>
    <w:rsid w:val="00356BB4"/>
    <w:rsid w:val="003614E7"/>
    <w:rsid w:val="00361572"/>
    <w:rsid w:val="003676D6"/>
    <w:rsid w:val="0037152F"/>
    <w:rsid w:val="003721F7"/>
    <w:rsid w:val="00373CAB"/>
    <w:rsid w:val="0037633C"/>
    <w:rsid w:val="00377C23"/>
    <w:rsid w:val="00385B77"/>
    <w:rsid w:val="00392F61"/>
    <w:rsid w:val="00394D3D"/>
    <w:rsid w:val="00395F91"/>
    <w:rsid w:val="0039612B"/>
    <w:rsid w:val="003A0401"/>
    <w:rsid w:val="003A1377"/>
    <w:rsid w:val="003A1CF5"/>
    <w:rsid w:val="003A64F1"/>
    <w:rsid w:val="003B4220"/>
    <w:rsid w:val="003B6513"/>
    <w:rsid w:val="003B7392"/>
    <w:rsid w:val="003C108E"/>
    <w:rsid w:val="003C1FAB"/>
    <w:rsid w:val="003C2AD7"/>
    <w:rsid w:val="003D5732"/>
    <w:rsid w:val="003E24C6"/>
    <w:rsid w:val="003E374D"/>
    <w:rsid w:val="003E66E4"/>
    <w:rsid w:val="003F3095"/>
    <w:rsid w:val="003F7E93"/>
    <w:rsid w:val="00407CF0"/>
    <w:rsid w:val="00415E4E"/>
    <w:rsid w:val="00422292"/>
    <w:rsid w:val="00422E92"/>
    <w:rsid w:val="00422FF6"/>
    <w:rsid w:val="00424670"/>
    <w:rsid w:val="0042736B"/>
    <w:rsid w:val="00427B74"/>
    <w:rsid w:val="00431D08"/>
    <w:rsid w:val="00436D25"/>
    <w:rsid w:val="0044118E"/>
    <w:rsid w:val="00445CBB"/>
    <w:rsid w:val="00454066"/>
    <w:rsid w:val="00455C94"/>
    <w:rsid w:val="00456E51"/>
    <w:rsid w:val="00460FEF"/>
    <w:rsid w:val="0046470E"/>
    <w:rsid w:val="004676BA"/>
    <w:rsid w:val="00473D25"/>
    <w:rsid w:val="00482952"/>
    <w:rsid w:val="00490AFF"/>
    <w:rsid w:val="00494988"/>
    <w:rsid w:val="00495897"/>
    <w:rsid w:val="00497F56"/>
    <w:rsid w:val="004A0D2E"/>
    <w:rsid w:val="004A1F38"/>
    <w:rsid w:val="004A20BC"/>
    <w:rsid w:val="004A4B00"/>
    <w:rsid w:val="004A7F30"/>
    <w:rsid w:val="004B0FBE"/>
    <w:rsid w:val="004B2895"/>
    <w:rsid w:val="004B5937"/>
    <w:rsid w:val="004B5F26"/>
    <w:rsid w:val="004C55A3"/>
    <w:rsid w:val="004C77D5"/>
    <w:rsid w:val="004D127D"/>
    <w:rsid w:val="004D40FF"/>
    <w:rsid w:val="004D4588"/>
    <w:rsid w:val="004D50E4"/>
    <w:rsid w:val="004E35CE"/>
    <w:rsid w:val="004E5327"/>
    <w:rsid w:val="004E711D"/>
    <w:rsid w:val="004F2E14"/>
    <w:rsid w:val="004F4143"/>
    <w:rsid w:val="004F7B44"/>
    <w:rsid w:val="00504E87"/>
    <w:rsid w:val="00505F45"/>
    <w:rsid w:val="005113A7"/>
    <w:rsid w:val="00513380"/>
    <w:rsid w:val="00521432"/>
    <w:rsid w:val="005247F2"/>
    <w:rsid w:val="00524BF5"/>
    <w:rsid w:val="00526615"/>
    <w:rsid w:val="00526A44"/>
    <w:rsid w:val="005271E7"/>
    <w:rsid w:val="005273F5"/>
    <w:rsid w:val="00542AFE"/>
    <w:rsid w:val="0054496F"/>
    <w:rsid w:val="00554E66"/>
    <w:rsid w:val="00563695"/>
    <w:rsid w:val="00565F26"/>
    <w:rsid w:val="00566228"/>
    <w:rsid w:val="005679C3"/>
    <w:rsid w:val="005748E3"/>
    <w:rsid w:val="00574C5F"/>
    <w:rsid w:val="00582B18"/>
    <w:rsid w:val="00586781"/>
    <w:rsid w:val="00590962"/>
    <w:rsid w:val="005922A8"/>
    <w:rsid w:val="00595703"/>
    <w:rsid w:val="005A0F20"/>
    <w:rsid w:val="005A3F42"/>
    <w:rsid w:val="005A3FC9"/>
    <w:rsid w:val="005B0C36"/>
    <w:rsid w:val="005B3B1A"/>
    <w:rsid w:val="005B619E"/>
    <w:rsid w:val="005B7330"/>
    <w:rsid w:val="005C02EC"/>
    <w:rsid w:val="005C546C"/>
    <w:rsid w:val="005D21AF"/>
    <w:rsid w:val="005D2BF3"/>
    <w:rsid w:val="005D46C6"/>
    <w:rsid w:val="005D4E07"/>
    <w:rsid w:val="005D6753"/>
    <w:rsid w:val="005E21C7"/>
    <w:rsid w:val="005E5677"/>
    <w:rsid w:val="005E660A"/>
    <w:rsid w:val="005F055D"/>
    <w:rsid w:val="00607440"/>
    <w:rsid w:val="00610070"/>
    <w:rsid w:val="0062560B"/>
    <w:rsid w:val="00626943"/>
    <w:rsid w:val="00630A97"/>
    <w:rsid w:val="00632DE1"/>
    <w:rsid w:val="00634B13"/>
    <w:rsid w:val="00634B6B"/>
    <w:rsid w:val="006417D4"/>
    <w:rsid w:val="00641F4B"/>
    <w:rsid w:val="006475D5"/>
    <w:rsid w:val="006533B2"/>
    <w:rsid w:val="00656D13"/>
    <w:rsid w:val="00661A03"/>
    <w:rsid w:val="006663E2"/>
    <w:rsid w:val="0067416A"/>
    <w:rsid w:val="006758AE"/>
    <w:rsid w:val="00683F0E"/>
    <w:rsid w:val="00684287"/>
    <w:rsid w:val="0069309D"/>
    <w:rsid w:val="006A4C94"/>
    <w:rsid w:val="006A6467"/>
    <w:rsid w:val="006A68EC"/>
    <w:rsid w:val="006B26AF"/>
    <w:rsid w:val="006C1939"/>
    <w:rsid w:val="006C404D"/>
    <w:rsid w:val="006C559D"/>
    <w:rsid w:val="006C7067"/>
    <w:rsid w:val="006D16E8"/>
    <w:rsid w:val="006D2DB7"/>
    <w:rsid w:val="006D5B27"/>
    <w:rsid w:val="006D5E7C"/>
    <w:rsid w:val="006E6E4E"/>
    <w:rsid w:val="006F4723"/>
    <w:rsid w:val="006F71C7"/>
    <w:rsid w:val="00702A97"/>
    <w:rsid w:val="00702DB6"/>
    <w:rsid w:val="0070519E"/>
    <w:rsid w:val="007051D3"/>
    <w:rsid w:val="00706CEB"/>
    <w:rsid w:val="0070742C"/>
    <w:rsid w:val="007100BC"/>
    <w:rsid w:val="0071292A"/>
    <w:rsid w:val="00717838"/>
    <w:rsid w:val="007262CC"/>
    <w:rsid w:val="0072799F"/>
    <w:rsid w:val="00727F75"/>
    <w:rsid w:val="007358FF"/>
    <w:rsid w:val="00735A77"/>
    <w:rsid w:val="00754B0D"/>
    <w:rsid w:val="007551AC"/>
    <w:rsid w:val="00755392"/>
    <w:rsid w:val="0076286C"/>
    <w:rsid w:val="00764F1E"/>
    <w:rsid w:val="00774693"/>
    <w:rsid w:val="007747BC"/>
    <w:rsid w:val="0077603E"/>
    <w:rsid w:val="00776464"/>
    <w:rsid w:val="0077687C"/>
    <w:rsid w:val="00776E92"/>
    <w:rsid w:val="007815C6"/>
    <w:rsid w:val="00782410"/>
    <w:rsid w:val="00783CD6"/>
    <w:rsid w:val="00785233"/>
    <w:rsid w:val="00791040"/>
    <w:rsid w:val="0079432C"/>
    <w:rsid w:val="007A2588"/>
    <w:rsid w:val="007A6D2F"/>
    <w:rsid w:val="007B0AAF"/>
    <w:rsid w:val="007B1630"/>
    <w:rsid w:val="007B2330"/>
    <w:rsid w:val="007B338C"/>
    <w:rsid w:val="007B5D8C"/>
    <w:rsid w:val="007B63E2"/>
    <w:rsid w:val="007B7BBD"/>
    <w:rsid w:val="007B7C1D"/>
    <w:rsid w:val="007C25BD"/>
    <w:rsid w:val="007C43B0"/>
    <w:rsid w:val="007C6CE9"/>
    <w:rsid w:val="007D51D0"/>
    <w:rsid w:val="007D7704"/>
    <w:rsid w:val="007E0739"/>
    <w:rsid w:val="007E3C2E"/>
    <w:rsid w:val="007F16F9"/>
    <w:rsid w:val="007F3FA0"/>
    <w:rsid w:val="007F7BB1"/>
    <w:rsid w:val="0080593B"/>
    <w:rsid w:val="00810700"/>
    <w:rsid w:val="00811378"/>
    <w:rsid w:val="00812A88"/>
    <w:rsid w:val="00813137"/>
    <w:rsid w:val="00815DC2"/>
    <w:rsid w:val="00816405"/>
    <w:rsid w:val="0082370B"/>
    <w:rsid w:val="00823BB3"/>
    <w:rsid w:val="0082461F"/>
    <w:rsid w:val="00825DF1"/>
    <w:rsid w:val="008320D0"/>
    <w:rsid w:val="00832819"/>
    <w:rsid w:val="00835BE5"/>
    <w:rsid w:val="00836DA0"/>
    <w:rsid w:val="008376F8"/>
    <w:rsid w:val="00837BD3"/>
    <w:rsid w:val="00837DAD"/>
    <w:rsid w:val="008425A7"/>
    <w:rsid w:val="00845CEE"/>
    <w:rsid w:val="00846726"/>
    <w:rsid w:val="00851BA3"/>
    <w:rsid w:val="00852BB4"/>
    <w:rsid w:val="00854181"/>
    <w:rsid w:val="00856884"/>
    <w:rsid w:val="00863AD9"/>
    <w:rsid w:val="00867FD1"/>
    <w:rsid w:val="00871359"/>
    <w:rsid w:val="00874F07"/>
    <w:rsid w:val="00882036"/>
    <w:rsid w:val="00882545"/>
    <w:rsid w:val="008978AF"/>
    <w:rsid w:val="008A1061"/>
    <w:rsid w:val="008A36C7"/>
    <w:rsid w:val="008A379B"/>
    <w:rsid w:val="008A4F6A"/>
    <w:rsid w:val="008A50AA"/>
    <w:rsid w:val="008B172E"/>
    <w:rsid w:val="008B2931"/>
    <w:rsid w:val="008B386B"/>
    <w:rsid w:val="008C0B96"/>
    <w:rsid w:val="008C7C59"/>
    <w:rsid w:val="008D123C"/>
    <w:rsid w:val="008D3DC5"/>
    <w:rsid w:val="008D6579"/>
    <w:rsid w:val="008D68FF"/>
    <w:rsid w:val="008E0C26"/>
    <w:rsid w:val="008E1E11"/>
    <w:rsid w:val="008E2211"/>
    <w:rsid w:val="008E57BC"/>
    <w:rsid w:val="008E67CC"/>
    <w:rsid w:val="008F357B"/>
    <w:rsid w:val="00901DFE"/>
    <w:rsid w:val="00904D44"/>
    <w:rsid w:val="00906D73"/>
    <w:rsid w:val="0090722C"/>
    <w:rsid w:val="0091236D"/>
    <w:rsid w:val="00913EE6"/>
    <w:rsid w:val="0092257C"/>
    <w:rsid w:val="009231CE"/>
    <w:rsid w:val="009333ED"/>
    <w:rsid w:val="00935104"/>
    <w:rsid w:val="00937850"/>
    <w:rsid w:val="00945A50"/>
    <w:rsid w:val="00954B2A"/>
    <w:rsid w:val="00957CA1"/>
    <w:rsid w:val="0097111A"/>
    <w:rsid w:val="009754BD"/>
    <w:rsid w:val="00975F49"/>
    <w:rsid w:val="00976BEC"/>
    <w:rsid w:val="009806D1"/>
    <w:rsid w:val="00982278"/>
    <w:rsid w:val="00984D85"/>
    <w:rsid w:val="0098540A"/>
    <w:rsid w:val="00992E7F"/>
    <w:rsid w:val="00994D33"/>
    <w:rsid w:val="009962D3"/>
    <w:rsid w:val="00996482"/>
    <w:rsid w:val="009A452A"/>
    <w:rsid w:val="009A5919"/>
    <w:rsid w:val="009A5ACA"/>
    <w:rsid w:val="009C2E7D"/>
    <w:rsid w:val="009C49D8"/>
    <w:rsid w:val="009D07B4"/>
    <w:rsid w:val="009D2028"/>
    <w:rsid w:val="009E3C46"/>
    <w:rsid w:val="009E4552"/>
    <w:rsid w:val="00A02471"/>
    <w:rsid w:val="00A03EDF"/>
    <w:rsid w:val="00A0543D"/>
    <w:rsid w:val="00A0673F"/>
    <w:rsid w:val="00A10887"/>
    <w:rsid w:val="00A10E86"/>
    <w:rsid w:val="00A12F01"/>
    <w:rsid w:val="00A14DB5"/>
    <w:rsid w:val="00A15998"/>
    <w:rsid w:val="00A160C0"/>
    <w:rsid w:val="00A172E1"/>
    <w:rsid w:val="00A21BE9"/>
    <w:rsid w:val="00A2284F"/>
    <w:rsid w:val="00A3013A"/>
    <w:rsid w:val="00A324D2"/>
    <w:rsid w:val="00A325CA"/>
    <w:rsid w:val="00A44792"/>
    <w:rsid w:val="00A52751"/>
    <w:rsid w:val="00A603DC"/>
    <w:rsid w:val="00A638D7"/>
    <w:rsid w:val="00A66CD4"/>
    <w:rsid w:val="00A71D85"/>
    <w:rsid w:val="00A72035"/>
    <w:rsid w:val="00A77055"/>
    <w:rsid w:val="00A77C64"/>
    <w:rsid w:val="00A77EED"/>
    <w:rsid w:val="00A804E6"/>
    <w:rsid w:val="00A80C09"/>
    <w:rsid w:val="00A81FB6"/>
    <w:rsid w:val="00A82420"/>
    <w:rsid w:val="00A852B7"/>
    <w:rsid w:val="00A86AF7"/>
    <w:rsid w:val="00A94664"/>
    <w:rsid w:val="00AA2166"/>
    <w:rsid w:val="00AA3E2F"/>
    <w:rsid w:val="00AA48EC"/>
    <w:rsid w:val="00AB4660"/>
    <w:rsid w:val="00AB73CC"/>
    <w:rsid w:val="00AC309C"/>
    <w:rsid w:val="00AC4C05"/>
    <w:rsid w:val="00AC7EE8"/>
    <w:rsid w:val="00AD195C"/>
    <w:rsid w:val="00AD3362"/>
    <w:rsid w:val="00AD37B6"/>
    <w:rsid w:val="00AD45FF"/>
    <w:rsid w:val="00AD6600"/>
    <w:rsid w:val="00AD7EC1"/>
    <w:rsid w:val="00AE29C1"/>
    <w:rsid w:val="00AF5014"/>
    <w:rsid w:val="00AF61CD"/>
    <w:rsid w:val="00B002B0"/>
    <w:rsid w:val="00B007EF"/>
    <w:rsid w:val="00B04494"/>
    <w:rsid w:val="00B06EC3"/>
    <w:rsid w:val="00B10C97"/>
    <w:rsid w:val="00B142A9"/>
    <w:rsid w:val="00B217A4"/>
    <w:rsid w:val="00B223CD"/>
    <w:rsid w:val="00B30A0D"/>
    <w:rsid w:val="00B35B0C"/>
    <w:rsid w:val="00B35B52"/>
    <w:rsid w:val="00B3661B"/>
    <w:rsid w:val="00B377FD"/>
    <w:rsid w:val="00B41B11"/>
    <w:rsid w:val="00B4378D"/>
    <w:rsid w:val="00B440A5"/>
    <w:rsid w:val="00B47553"/>
    <w:rsid w:val="00B47C8B"/>
    <w:rsid w:val="00B505F1"/>
    <w:rsid w:val="00B55C7C"/>
    <w:rsid w:val="00B55D36"/>
    <w:rsid w:val="00B60EF0"/>
    <w:rsid w:val="00B93985"/>
    <w:rsid w:val="00B9443C"/>
    <w:rsid w:val="00B94FA8"/>
    <w:rsid w:val="00BA066D"/>
    <w:rsid w:val="00BA126A"/>
    <w:rsid w:val="00BA2F32"/>
    <w:rsid w:val="00BA3368"/>
    <w:rsid w:val="00BA3A86"/>
    <w:rsid w:val="00BB7D3F"/>
    <w:rsid w:val="00BC50CE"/>
    <w:rsid w:val="00BC561F"/>
    <w:rsid w:val="00BC69EE"/>
    <w:rsid w:val="00BD1CA2"/>
    <w:rsid w:val="00BD5FB7"/>
    <w:rsid w:val="00BD775F"/>
    <w:rsid w:val="00BE05EA"/>
    <w:rsid w:val="00BE0CBF"/>
    <w:rsid w:val="00BE50A3"/>
    <w:rsid w:val="00BE6377"/>
    <w:rsid w:val="00BE6AC5"/>
    <w:rsid w:val="00BF1053"/>
    <w:rsid w:val="00BF1151"/>
    <w:rsid w:val="00BF2738"/>
    <w:rsid w:val="00C028A9"/>
    <w:rsid w:val="00C03D11"/>
    <w:rsid w:val="00C06708"/>
    <w:rsid w:val="00C160D6"/>
    <w:rsid w:val="00C16AD1"/>
    <w:rsid w:val="00C2235F"/>
    <w:rsid w:val="00C23078"/>
    <w:rsid w:val="00C30693"/>
    <w:rsid w:val="00C31882"/>
    <w:rsid w:val="00C34FD5"/>
    <w:rsid w:val="00C376C3"/>
    <w:rsid w:val="00C4232B"/>
    <w:rsid w:val="00C42B5C"/>
    <w:rsid w:val="00C4409D"/>
    <w:rsid w:val="00C5084A"/>
    <w:rsid w:val="00C513CD"/>
    <w:rsid w:val="00C526A6"/>
    <w:rsid w:val="00C52BA0"/>
    <w:rsid w:val="00C6237C"/>
    <w:rsid w:val="00C638E5"/>
    <w:rsid w:val="00C64269"/>
    <w:rsid w:val="00C73A4B"/>
    <w:rsid w:val="00C73ABB"/>
    <w:rsid w:val="00C756C4"/>
    <w:rsid w:val="00C808D7"/>
    <w:rsid w:val="00C84984"/>
    <w:rsid w:val="00C84A9B"/>
    <w:rsid w:val="00C853E1"/>
    <w:rsid w:val="00C936A2"/>
    <w:rsid w:val="00CA31C9"/>
    <w:rsid w:val="00CA3A11"/>
    <w:rsid w:val="00CA4166"/>
    <w:rsid w:val="00CA5A15"/>
    <w:rsid w:val="00CA714B"/>
    <w:rsid w:val="00CB06B0"/>
    <w:rsid w:val="00CB1EB0"/>
    <w:rsid w:val="00CB3241"/>
    <w:rsid w:val="00CB3690"/>
    <w:rsid w:val="00CB3B56"/>
    <w:rsid w:val="00CB5F61"/>
    <w:rsid w:val="00CB729D"/>
    <w:rsid w:val="00CC1FA2"/>
    <w:rsid w:val="00CC490B"/>
    <w:rsid w:val="00CD2C0A"/>
    <w:rsid w:val="00CD3599"/>
    <w:rsid w:val="00CE5529"/>
    <w:rsid w:val="00CE712D"/>
    <w:rsid w:val="00CF0CF2"/>
    <w:rsid w:val="00CF1AC7"/>
    <w:rsid w:val="00CF22BE"/>
    <w:rsid w:val="00CF4C1D"/>
    <w:rsid w:val="00CF5A79"/>
    <w:rsid w:val="00CF79D5"/>
    <w:rsid w:val="00D008FD"/>
    <w:rsid w:val="00D01217"/>
    <w:rsid w:val="00D037D9"/>
    <w:rsid w:val="00D05205"/>
    <w:rsid w:val="00D11129"/>
    <w:rsid w:val="00D12F8B"/>
    <w:rsid w:val="00D15E99"/>
    <w:rsid w:val="00D1764C"/>
    <w:rsid w:val="00D21EB5"/>
    <w:rsid w:val="00D2683A"/>
    <w:rsid w:val="00D33D7C"/>
    <w:rsid w:val="00D34C82"/>
    <w:rsid w:val="00D356A8"/>
    <w:rsid w:val="00D36FB7"/>
    <w:rsid w:val="00D4021A"/>
    <w:rsid w:val="00D40EBE"/>
    <w:rsid w:val="00D423F8"/>
    <w:rsid w:val="00D44BDD"/>
    <w:rsid w:val="00D45293"/>
    <w:rsid w:val="00D47C57"/>
    <w:rsid w:val="00D51C55"/>
    <w:rsid w:val="00D64DE4"/>
    <w:rsid w:val="00D70128"/>
    <w:rsid w:val="00D779F7"/>
    <w:rsid w:val="00D83D78"/>
    <w:rsid w:val="00D850F7"/>
    <w:rsid w:val="00D92A6F"/>
    <w:rsid w:val="00D939B6"/>
    <w:rsid w:val="00D9561B"/>
    <w:rsid w:val="00D95D26"/>
    <w:rsid w:val="00DA2875"/>
    <w:rsid w:val="00DA5BA5"/>
    <w:rsid w:val="00DB4790"/>
    <w:rsid w:val="00DB59B5"/>
    <w:rsid w:val="00DB5D7B"/>
    <w:rsid w:val="00DC2590"/>
    <w:rsid w:val="00DD0844"/>
    <w:rsid w:val="00DD4D22"/>
    <w:rsid w:val="00DE15F4"/>
    <w:rsid w:val="00DE4D65"/>
    <w:rsid w:val="00DF6E0D"/>
    <w:rsid w:val="00DF70A6"/>
    <w:rsid w:val="00E03DF1"/>
    <w:rsid w:val="00E050C4"/>
    <w:rsid w:val="00E07A71"/>
    <w:rsid w:val="00E120FE"/>
    <w:rsid w:val="00E16338"/>
    <w:rsid w:val="00E26852"/>
    <w:rsid w:val="00E2753E"/>
    <w:rsid w:val="00E27BBD"/>
    <w:rsid w:val="00E31896"/>
    <w:rsid w:val="00E35654"/>
    <w:rsid w:val="00E3677E"/>
    <w:rsid w:val="00E375FF"/>
    <w:rsid w:val="00E40345"/>
    <w:rsid w:val="00E4215E"/>
    <w:rsid w:val="00E42A57"/>
    <w:rsid w:val="00E46241"/>
    <w:rsid w:val="00E51750"/>
    <w:rsid w:val="00E52AAD"/>
    <w:rsid w:val="00E535C7"/>
    <w:rsid w:val="00E56D5D"/>
    <w:rsid w:val="00E57413"/>
    <w:rsid w:val="00E577AD"/>
    <w:rsid w:val="00E62095"/>
    <w:rsid w:val="00E64E25"/>
    <w:rsid w:val="00E67C3E"/>
    <w:rsid w:val="00E73BAE"/>
    <w:rsid w:val="00E8000F"/>
    <w:rsid w:val="00E86E17"/>
    <w:rsid w:val="00E95438"/>
    <w:rsid w:val="00E954E6"/>
    <w:rsid w:val="00E954F0"/>
    <w:rsid w:val="00E96103"/>
    <w:rsid w:val="00E9762D"/>
    <w:rsid w:val="00EA0529"/>
    <w:rsid w:val="00EA5FF5"/>
    <w:rsid w:val="00EB22EE"/>
    <w:rsid w:val="00EB4052"/>
    <w:rsid w:val="00EB57F1"/>
    <w:rsid w:val="00EB6EF0"/>
    <w:rsid w:val="00EB735D"/>
    <w:rsid w:val="00EC227F"/>
    <w:rsid w:val="00EC2952"/>
    <w:rsid w:val="00EC7C05"/>
    <w:rsid w:val="00ED5FAA"/>
    <w:rsid w:val="00EE1E5D"/>
    <w:rsid w:val="00EE27BE"/>
    <w:rsid w:val="00EE5E19"/>
    <w:rsid w:val="00EE7C18"/>
    <w:rsid w:val="00EF3FAF"/>
    <w:rsid w:val="00EF4DCF"/>
    <w:rsid w:val="00F00045"/>
    <w:rsid w:val="00F05E42"/>
    <w:rsid w:val="00F1031A"/>
    <w:rsid w:val="00F1467B"/>
    <w:rsid w:val="00F17B66"/>
    <w:rsid w:val="00F23515"/>
    <w:rsid w:val="00F2370A"/>
    <w:rsid w:val="00F32114"/>
    <w:rsid w:val="00F33DF4"/>
    <w:rsid w:val="00F355E3"/>
    <w:rsid w:val="00F3608B"/>
    <w:rsid w:val="00F36E57"/>
    <w:rsid w:val="00F373FA"/>
    <w:rsid w:val="00F40146"/>
    <w:rsid w:val="00F409AF"/>
    <w:rsid w:val="00F5129F"/>
    <w:rsid w:val="00F53C23"/>
    <w:rsid w:val="00F60151"/>
    <w:rsid w:val="00F62897"/>
    <w:rsid w:val="00F63534"/>
    <w:rsid w:val="00F74778"/>
    <w:rsid w:val="00F749B0"/>
    <w:rsid w:val="00F80C14"/>
    <w:rsid w:val="00F85487"/>
    <w:rsid w:val="00F97020"/>
    <w:rsid w:val="00FA105A"/>
    <w:rsid w:val="00FA6C69"/>
    <w:rsid w:val="00FB0ED7"/>
    <w:rsid w:val="00FB3A39"/>
    <w:rsid w:val="00FB6B90"/>
    <w:rsid w:val="00FB7993"/>
    <w:rsid w:val="00FC0A9F"/>
    <w:rsid w:val="00FD0BA3"/>
    <w:rsid w:val="00FE25ED"/>
    <w:rsid w:val="00FE5F72"/>
    <w:rsid w:val="00FE761B"/>
    <w:rsid w:val="00FF1455"/>
    <w:rsid w:val="03130A11"/>
    <w:rsid w:val="03EF5EB9"/>
    <w:rsid w:val="053A63E8"/>
    <w:rsid w:val="06FA53C9"/>
    <w:rsid w:val="0A0C2682"/>
    <w:rsid w:val="0AA32563"/>
    <w:rsid w:val="0C874EE1"/>
    <w:rsid w:val="0D0802C8"/>
    <w:rsid w:val="0DEB76F2"/>
    <w:rsid w:val="0FCE263A"/>
    <w:rsid w:val="10B349F6"/>
    <w:rsid w:val="17562080"/>
    <w:rsid w:val="17C0471D"/>
    <w:rsid w:val="18E67433"/>
    <w:rsid w:val="1ABE6F31"/>
    <w:rsid w:val="1AFD67FA"/>
    <w:rsid w:val="1B683762"/>
    <w:rsid w:val="1E9E4C6F"/>
    <w:rsid w:val="1F160A01"/>
    <w:rsid w:val="25680762"/>
    <w:rsid w:val="27822DB6"/>
    <w:rsid w:val="284B24CB"/>
    <w:rsid w:val="29B70979"/>
    <w:rsid w:val="2BF950DA"/>
    <w:rsid w:val="2F4777E6"/>
    <w:rsid w:val="2F8F69AC"/>
    <w:rsid w:val="2FBF3CD4"/>
    <w:rsid w:val="30A627B0"/>
    <w:rsid w:val="31DB3DE6"/>
    <w:rsid w:val="32B5139A"/>
    <w:rsid w:val="33E434B3"/>
    <w:rsid w:val="36814F45"/>
    <w:rsid w:val="3755179A"/>
    <w:rsid w:val="3C44256E"/>
    <w:rsid w:val="3EDB173D"/>
    <w:rsid w:val="3F3101B5"/>
    <w:rsid w:val="42AE3CB4"/>
    <w:rsid w:val="439962CD"/>
    <w:rsid w:val="43C2058B"/>
    <w:rsid w:val="45341814"/>
    <w:rsid w:val="46074774"/>
    <w:rsid w:val="49EA57FA"/>
    <w:rsid w:val="4B285C9E"/>
    <w:rsid w:val="4CF114C9"/>
    <w:rsid w:val="4DDF048D"/>
    <w:rsid w:val="4ED17C3D"/>
    <w:rsid w:val="51DB35C2"/>
    <w:rsid w:val="52EE211C"/>
    <w:rsid w:val="54845A24"/>
    <w:rsid w:val="57DA1460"/>
    <w:rsid w:val="585E72A6"/>
    <w:rsid w:val="59A728E8"/>
    <w:rsid w:val="5A957839"/>
    <w:rsid w:val="5B4358BA"/>
    <w:rsid w:val="5BED4A53"/>
    <w:rsid w:val="5EE93C26"/>
    <w:rsid w:val="5EF66ECF"/>
    <w:rsid w:val="625405BD"/>
    <w:rsid w:val="6CED2E22"/>
    <w:rsid w:val="6DA62B86"/>
    <w:rsid w:val="74FC3819"/>
    <w:rsid w:val="75095CAE"/>
    <w:rsid w:val="759A0127"/>
    <w:rsid w:val="77D05953"/>
    <w:rsid w:val="7CBE210E"/>
    <w:rsid w:val="7ED54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Document Map"/>
    <w:basedOn w:val="1"/>
    <w:semiHidden/>
    <w:qFormat/>
    <w:uiPriority w:val="0"/>
    <w:pPr>
      <w:shd w:val="clear" w:color="auto" w:fill="000080"/>
    </w:pPr>
  </w:style>
  <w:style w:type="paragraph" w:styleId="19">
    <w:name w:val="annotation text"/>
    <w:basedOn w:val="1"/>
    <w:link w:val="118"/>
    <w:qFormat/>
    <w:uiPriority w:val="0"/>
    <w:pPr>
      <w:jc w:val="left"/>
    </w:pPr>
  </w:style>
  <w:style w:type="paragraph" w:styleId="20">
    <w:name w:val="HTML Address"/>
    <w:basedOn w:val="1"/>
    <w:qFormat/>
    <w:uiPriority w:val="0"/>
    <w:rPr>
      <w:i/>
      <w:iCs/>
    </w:rPr>
  </w:style>
  <w:style w:type="paragraph" w:styleId="21">
    <w:name w:val="Plain Text"/>
    <w:basedOn w:val="1"/>
    <w:link w:val="117"/>
    <w:qFormat/>
    <w:uiPriority w:val="0"/>
    <w:rPr>
      <w:rFonts w:ascii="宋体" w:hAnsi="Courier New"/>
      <w:szCs w:val="20"/>
    </w:rPr>
  </w:style>
  <w:style w:type="paragraph" w:styleId="22">
    <w:name w:val="toc 8"/>
    <w:basedOn w:val="11"/>
    <w:next w:val="1"/>
    <w:semiHidden/>
    <w:qFormat/>
    <w:uiPriority w:val="0"/>
  </w:style>
  <w:style w:type="paragraph" w:styleId="23">
    <w:name w:val="Date"/>
    <w:basedOn w:val="1"/>
    <w:next w:val="1"/>
    <w:qFormat/>
    <w:uiPriority w:val="0"/>
    <w:pPr>
      <w:ind w:left="100" w:leftChars="2500"/>
    </w:pPr>
  </w:style>
  <w:style w:type="paragraph" w:styleId="24">
    <w:name w:val="Balloon Text"/>
    <w:basedOn w:val="1"/>
    <w:semiHidden/>
    <w:qFormat/>
    <w:uiPriority w:val="0"/>
    <w:rPr>
      <w:sz w:val="18"/>
      <w:szCs w:val="18"/>
    </w:rPr>
  </w:style>
  <w:style w:type="paragraph" w:styleId="25">
    <w:name w:val="footer"/>
    <w:basedOn w:val="1"/>
    <w:qFormat/>
    <w:uiPriority w:val="0"/>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Normal (Web)"/>
    <w:basedOn w:val="1"/>
    <w:unhideWhenUsed/>
    <w:qFormat/>
    <w:uiPriority w:val="99"/>
    <w:rPr>
      <w:sz w:val="24"/>
    </w:rPr>
  </w:style>
  <w:style w:type="paragraph" w:styleId="30">
    <w:name w:val="Title"/>
    <w:basedOn w:val="1"/>
    <w:qFormat/>
    <w:uiPriority w:val="0"/>
    <w:pPr>
      <w:spacing w:before="240" w:after="60"/>
      <w:jc w:val="center"/>
      <w:outlineLvl w:val="0"/>
    </w:pPr>
    <w:rPr>
      <w:rFonts w:ascii="Arial" w:hAnsi="Arial" w:cs="Arial"/>
      <w:b/>
      <w:bCs/>
      <w:sz w:val="32"/>
      <w:szCs w:val="32"/>
    </w:rPr>
  </w:style>
  <w:style w:type="paragraph" w:styleId="31">
    <w:name w:val="annotation subject"/>
    <w:basedOn w:val="19"/>
    <w:next w:val="19"/>
    <w:link w:val="119"/>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qFormat/>
    <w:uiPriority w:val="0"/>
    <w:rPr>
      <w:rFonts w:ascii="Times New Roman" w:hAnsi="Times New Roman" w:eastAsia="宋体"/>
      <w:sz w:val="18"/>
    </w:rPr>
  </w:style>
  <w:style w:type="character" w:styleId="36">
    <w:name w:val="HTML Definition"/>
    <w:qFormat/>
    <w:uiPriority w:val="0"/>
    <w:rPr>
      <w:i/>
      <w:iCs/>
    </w:rPr>
  </w:style>
  <w:style w:type="character" w:styleId="37">
    <w:name w:val="HTML Typewriter"/>
    <w:qFormat/>
    <w:uiPriority w:val="0"/>
    <w:rPr>
      <w:rFonts w:ascii="Courier New" w:hAnsi="Courier New"/>
      <w:sz w:val="20"/>
      <w:szCs w:val="20"/>
    </w:rPr>
  </w:style>
  <w:style w:type="character" w:styleId="38">
    <w:name w:val="HTML Acronym"/>
    <w:basedOn w:val="34"/>
    <w:qFormat/>
    <w:uiPriority w:val="0"/>
  </w:style>
  <w:style w:type="character" w:styleId="39">
    <w:name w:val="HTML Variable"/>
    <w:qFormat/>
    <w:uiPriority w:val="0"/>
    <w:rPr>
      <w:i/>
      <w:iCs/>
    </w:rPr>
  </w:style>
  <w:style w:type="character" w:styleId="40">
    <w:name w:val="Hyperlink"/>
    <w:qFormat/>
    <w:uiPriority w:val="0"/>
    <w:rPr>
      <w:rFonts w:ascii="Times New Roman" w:hAnsi="Times New Roman" w:eastAsia="宋体"/>
      <w:color w:val="auto"/>
      <w:spacing w:val="0"/>
      <w:w w:val="100"/>
      <w:position w:val="0"/>
      <w:sz w:val="21"/>
      <w:u w:val="none"/>
      <w:vertAlign w:val="baseline"/>
    </w:rPr>
  </w:style>
  <w:style w:type="character" w:styleId="41">
    <w:name w:val="annotation reference"/>
    <w:basedOn w:val="34"/>
    <w:qFormat/>
    <w:uiPriority w:val="0"/>
    <w:rPr>
      <w:sz w:val="21"/>
      <w:szCs w:val="21"/>
    </w:rPr>
  </w:style>
  <w:style w:type="character" w:styleId="42">
    <w:name w:val="footnote reference"/>
    <w:semiHidden/>
    <w:qFormat/>
    <w:uiPriority w:val="0"/>
    <w:rPr>
      <w:vertAlign w:val="superscript"/>
    </w:rPr>
  </w:style>
  <w:style w:type="character" w:styleId="43">
    <w:name w:val="HTML Keyboard"/>
    <w:qFormat/>
    <w:uiPriority w:val="0"/>
    <w:rPr>
      <w:rFonts w:ascii="Courier New" w:hAnsi="Courier New"/>
      <w:sz w:val="20"/>
      <w:szCs w:val="20"/>
    </w:rPr>
  </w:style>
  <w:style w:type="character" w:styleId="44">
    <w:name w:val="HTML Sample"/>
    <w:qFormat/>
    <w:uiPriority w:val="0"/>
    <w:rPr>
      <w:rFonts w:ascii="Courier New" w:hAnsi="Courier New"/>
    </w:rPr>
  </w:style>
  <w:style w:type="character" w:customStyle="1" w:styleId="45">
    <w:name w:val="HTML 站点"/>
    <w:qFormat/>
    <w:uiPriority w:val="0"/>
    <w:rPr>
      <w:i/>
      <w:iCs/>
    </w:rPr>
  </w:style>
  <w:style w:type="character" w:customStyle="1" w:styleId="46">
    <w:name w:val="个人答复风格"/>
    <w:qFormat/>
    <w:uiPriority w:val="0"/>
    <w:rPr>
      <w:rFonts w:ascii="Arial" w:hAnsi="Arial" w:eastAsia="宋体" w:cs="Arial"/>
      <w:color w:val="auto"/>
      <w:sz w:val="20"/>
    </w:rPr>
  </w:style>
  <w:style w:type="character" w:customStyle="1" w:styleId="47">
    <w:name w:val="段 Char"/>
    <w:link w:val="48"/>
    <w:qFormat/>
    <w:uiPriority w:val="0"/>
    <w:rPr>
      <w:rFonts w:ascii="宋体"/>
      <w:sz w:val="21"/>
      <w:lang w:val="en-US" w:eastAsia="zh-CN" w:bidi="ar-SA"/>
    </w:rPr>
  </w:style>
  <w:style w:type="paragraph" w:customStyle="1" w:styleId="48">
    <w:name w:val="段"/>
    <w:link w:val="4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9">
    <w:name w:val="个人撰写风格"/>
    <w:qFormat/>
    <w:uiPriority w:val="0"/>
    <w:rPr>
      <w:rFonts w:ascii="Arial" w:hAnsi="Arial" w:eastAsia="宋体" w:cs="Arial"/>
      <w:color w:val="auto"/>
      <w:sz w:val="20"/>
    </w:rPr>
  </w:style>
  <w:style w:type="character" w:customStyle="1" w:styleId="50">
    <w:name w:val="high-light-bg4"/>
    <w:qFormat/>
    <w:uiPriority w:val="0"/>
  </w:style>
  <w:style w:type="character" w:customStyle="1" w:styleId="51">
    <w:name w:val="HTML 编码"/>
    <w:qFormat/>
    <w:uiPriority w:val="0"/>
    <w:rPr>
      <w:rFonts w:ascii="Courier New" w:hAnsi="Courier New"/>
      <w:sz w:val="20"/>
      <w:szCs w:val="20"/>
    </w:rPr>
  </w:style>
  <w:style w:type="character" w:customStyle="1" w:styleId="52">
    <w:name w:val="发布"/>
    <w:qFormat/>
    <w:uiPriority w:val="0"/>
    <w:rPr>
      <w:rFonts w:ascii="黑体" w:eastAsia="黑体"/>
      <w:spacing w:val="22"/>
      <w:w w:val="100"/>
      <w:position w:val="3"/>
      <w:sz w:val="28"/>
    </w:rPr>
  </w:style>
  <w:style w:type="paragraph" w:customStyle="1" w:styleId="5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4">
    <w:name w:val="封面标准号2"/>
    <w:basedOn w:val="53"/>
    <w:qFormat/>
    <w:uiPriority w:val="0"/>
    <w:pPr>
      <w:framePr w:w="9138" w:h="1244" w:hRule="exact" w:wrap="around" w:vAnchor="page" w:hAnchor="margin" w:y="2908"/>
      <w:adjustRightInd w:val="0"/>
      <w:spacing w:before="357" w:line="280" w:lineRule="exact"/>
    </w:p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7">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58">
    <w:name w:val="附录图标题"/>
    <w:next w:val="48"/>
    <w:qFormat/>
    <w:uiPriority w:val="0"/>
    <w:pPr>
      <w:jc w:val="center"/>
    </w:pPr>
    <w:rPr>
      <w:rFonts w:ascii="黑体" w:hAnsi="Times New Roman" w:eastAsia="黑体" w:cs="Times New Roman"/>
      <w:sz w:val="21"/>
      <w:lang w:val="en-US" w:eastAsia="zh-CN" w:bidi="ar-SA"/>
    </w:rPr>
  </w:style>
  <w:style w:type="paragraph" w:customStyle="1" w:styleId="59">
    <w:name w:val="附录二级条标题"/>
    <w:basedOn w:val="60"/>
    <w:next w:val="48"/>
    <w:qFormat/>
    <w:uiPriority w:val="0"/>
    <w:pPr>
      <w:numPr>
        <w:ilvl w:val="3"/>
      </w:numPr>
      <w:outlineLvl w:val="3"/>
    </w:pPr>
  </w:style>
  <w:style w:type="paragraph" w:customStyle="1" w:styleId="60">
    <w:name w:val="附录一级条标题"/>
    <w:basedOn w:val="61"/>
    <w:next w:val="48"/>
    <w:qFormat/>
    <w:uiPriority w:val="0"/>
    <w:pPr>
      <w:numPr>
        <w:ilvl w:val="2"/>
      </w:numPr>
      <w:autoSpaceDN w:val="0"/>
      <w:spacing w:before="0" w:beforeLines="0" w:after="0" w:afterLines="0"/>
      <w:outlineLvl w:val="2"/>
    </w:pPr>
  </w:style>
  <w:style w:type="paragraph" w:customStyle="1" w:styleId="61">
    <w:name w:val="附录章标题"/>
    <w:next w:val="48"/>
    <w:qFormat/>
    <w:uiPriority w:val="0"/>
    <w:pPr>
      <w:numPr>
        <w:ilvl w:val="1"/>
        <w:numId w:val="1"/>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2">
    <w:name w:val="实施日期"/>
    <w:basedOn w:val="63"/>
    <w:qFormat/>
    <w:uiPriority w:val="0"/>
    <w:pPr>
      <w:framePr w:hSpace="0" w:wrap="around" w:xAlign="right"/>
      <w:jc w:val="right"/>
    </w:pPr>
  </w:style>
  <w:style w:type="paragraph" w:customStyle="1" w:styleId="6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4">
    <w:name w:val="封面正文"/>
    <w:qFormat/>
    <w:uiPriority w:val="0"/>
    <w:pPr>
      <w:jc w:val="both"/>
    </w:pPr>
    <w:rPr>
      <w:rFonts w:ascii="Times New Roman" w:hAnsi="Times New Roman" w:eastAsia="宋体" w:cs="Times New Roman"/>
      <w:lang w:val="en-US" w:eastAsia="zh-CN" w:bidi="ar-SA"/>
    </w:rPr>
  </w:style>
  <w:style w:type="paragraph" w:customStyle="1" w:styleId="6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6">
    <w:name w:val="附录四级条标题"/>
    <w:basedOn w:val="67"/>
    <w:next w:val="48"/>
    <w:qFormat/>
    <w:uiPriority w:val="0"/>
    <w:pPr>
      <w:numPr>
        <w:ilvl w:val="5"/>
      </w:numPr>
      <w:outlineLvl w:val="5"/>
    </w:pPr>
  </w:style>
  <w:style w:type="paragraph" w:customStyle="1" w:styleId="67">
    <w:name w:val="附录三级条标题"/>
    <w:basedOn w:val="59"/>
    <w:next w:val="48"/>
    <w:qFormat/>
    <w:uiPriority w:val="0"/>
    <w:pPr>
      <w:numPr>
        <w:ilvl w:val="4"/>
      </w:numPr>
      <w:outlineLvl w:val="4"/>
    </w:pPr>
  </w:style>
  <w:style w:type="paragraph" w:customStyle="1" w:styleId="68">
    <w:name w:val="注×："/>
    <w:qFormat/>
    <w:uiPriority w:val="0"/>
    <w:pPr>
      <w:widowControl w:val="0"/>
      <w:numPr>
        <w:ilvl w:val="0"/>
        <w:numId w:val="2"/>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69">
    <w:name w:val="条文脚注"/>
    <w:basedOn w:val="27"/>
    <w:qFormat/>
    <w:uiPriority w:val="0"/>
    <w:pPr>
      <w:ind w:left="780" w:leftChars="200" w:hanging="360" w:hangingChars="200"/>
      <w:jc w:val="both"/>
    </w:pPr>
    <w:rPr>
      <w:rFonts w:ascii="宋体"/>
    </w:rPr>
  </w:style>
  <w:style w:type="paragraph" w:customStyle="1" w:styleId="70">
    <w:name w:val="注："/>
    <w:next w:val="48"/>
    <w:qFormat/>
    <w:uiPriority w:val="0"/>
    <w:pPr>
      <w:widowControl w:val="0"/>
      <w:numPr>
        <w:ilvl w:val="0"/>
        <w:numId w:val="3"/>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7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2">
    <w:name w:val="发布部门"/>
    <w:next w:val="4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3">
    <w:name w:val="参考文献、索引标题"/>
    <w:basedOn w:val="74"/>
    <w:next w:val="1"/>
    <w:qFormat/>
    <w:uiPriority w:val="0"/>
    <w:pPr>
      <w:numPr>
        <w:numId w:val="0"/>
      </w:numPr>
      <w:spacing w:after="200"/>
    </w:pPr>
    <w:rPr>
      <w:sz w:val="21"/>
    </w:rPr>
  </w:style>
  <w:style w:type="paragraph" w:customStyle="1" w:styleId="74">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5">
    <w:name w:val="章标题"/>
    <w:next w:val="48"/>
    <w:qFormat/>
    <w:uiPriority w:val="0"/>
    <w:pPr>
      <w:numPr>
        <w:ilvl w:val="1"/>
        <w:numId w:val="4"/>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7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8">
    <w:name w:val="五级条标题"/>
    <w:basedOn w:val="79"/>
    <w:next w:val="48"/>
    <w:qFormat/>
    <w:uiPriority w:val="0"/>
    <w:pPr>
      <w:numPr>
        <w:ilvl w:val="6"/>
      </w:numPr>
      <w:outlineLvl w:val="6"/>
    </w:pPr>
  </w:style>
  <w:style w:type="paragraph" w:customStyle="1" w:styleId="79">
    <w:name w:val="四级条标题"/>
    <w:basedOn w:val="80"/>
    <w:next w:val="48"/>
    <w:qFormat/>
    <w:uiPriority w:val="0"/>
    <w:pPr>
      <w:numPr>
        <w:ilvl w:val="5"/>
      </w:numPr>
      <w:outlineLvl w:val="5"/>
    </w:pPr>
  </w:style>
  <w:style w:type="paragraph" w:customStyle="1" w:styleId="80">
    <w:name w:val="三级条标题"/>
    <w:basedOn w:val="81"/>
    <w:next w:val="48"/>
    <w:qFormat/>
    <w:uiPriority w:val="0"/>
    <w:pPr>
      <w:numPr>
        <w:ilvl w:val="4"/>
      </w:numPr>
      <w:outlineLvl w:val="4"/>
    </w:pPr>
  </w:style>
  <w:style w:type="paragraph" w:customStyle="1" w:styleId="81">
    <w:name w:val="二级条标题"/>
    <w:basedOn w:val="82"/>
    <w:next w:val="48"/>
    <w:qFormat/>
    <w:uiPriority w:val="0"/>
    <w:pPr>
      <w:numPr>
        <w:ilvl w:val="3"/>
      </w:numPr>
      <w:outlineLvl w:val="3"/>
    </w:pPr>
  </w:style>
  <w:style w:type="paragraph" w:customStyle="1" w:styleId="82">
    <w:name w:val="一级条标题"/>
    <w:basedOn w:val="75"/>
    <w:next w:val="48"/>
    <w:qFormat/>
    <w:uiPriority w:val="0"/>
    <w:pPr>
      <w:numPr>
        <w:ilvl w:val="2"/>
        <w:numId w:val="0"/>
      </w:numPr>
      <w:spacing w:before="0" w:beforeLines="0" w:after="0" w:afterLines="0"/>
      <w:outlineLvl w:val="2"/>
    </w:pPr>
  </w:style>
  <w:style w:type="paragraph" w:customStyle="1" w:styleId="83">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84">
    <w:name w:val="无标题条"/>
    <w:next w:val="48"/>
    <w:qFormat/>
    <w:uiPriority w:val="0"/>
    <w:pPr>
      <w:jc w:val="both"/>
    </w:pPr>
    <w:rPr>
      <w:rFonts w:ascii="Times New Roman" w:hAnsi="Times New Roman" w:eastAsia="宋体" w:cs="Times New Roman"/>
      <w:sz w:val="21"/>
      <w:lang w:val="en-US" w:eastAsia="zh-CN" w:bidi="ar-SA"/>
    </w:rPr>
  </w:style>
  <w:style w:type="paragraph" w:customStyle="1" w:styleId="85">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6">
    <w:name w:val="二级无标题条"/>
    <w:basedOn w:val="1"/>
    <w:qFormat/>
    <w:uiPriority w:val="0"/>
    <w:pPr>
      <w:numPr>
        <w:ilvl w:val="3"/>
        <w:numId w:val="5"/>
      </w:numPr>
    </w:pPr>
  </w:style>
  <w:style w:type="paragraph" w:customStyle="1" w:styleId="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8">
    <w:name w:val="正文表标题"/>
    <w:next w:val="48"/>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89">
    <w:name w:val="一级无标题条"/>
    <w:basedOn w:val="1"/>
    <w:qFormat/>
    <w:uiPriority w:val="0"/>
    <w:pPr>
      <w:numPr>
        <w:ilvl w:val="2"/>
        <w:numId w:val="5"/>
      </w:numPr>
    </w:pPr>
  </w:style>
  <w:style w:type="paragraph" w:customStyle="1" w:styleId="90">
    <w:name w:val="列项——"/>
    <w:qFormat/>
    <w:uiPriority w:val="0"/>
    <w:pPr>
      <w:widowControl w:val="0"/>
      <w:numPr>
        <w:ilvl w:val="0"/>
        <w:numId w:val="7"/>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91">
    <w:name w:val="示例"/>
    <w:next w:val="48"/>
    <w:qFormat/>
    <w:uiPriority w:val="0"/>
    <w:pPr>
      <w:numPr>
        <w:ilvl w:val="0"/>
        <w:numId w:val="8"/>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2">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
    <w:name w:val="附录表标题"/>
    <w:next w:val="48"/>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4">
    <w:name w:val="四级无标题条"/>
    <w:basedOn w:val="1"/>
    <w:qFormat/>
    <w:uiPriority w:val="0"/>
    <w:pPr>
      <w:numPr>
        <w:ilvl w:val="5"/>
        <w:numId w:val="5"/>
      </w:numPr>
    </w:pPr>
  </w:style>
  <w:style w:type="paragraph" w:customStyle="1" w:styleId="95">
    <w:name w:val="封面标准代替信息"/>
    <w:basedOn w:val="54"/>
    <w:qFormat/>
    <w:uiPriority w:val="0"/>
    <w:pPr>
      <w:framePr w:wrap="around"/>
      <w:spacing w:before="57"/>
    </w:pPr>
    <w:rPr>
      <w:rFonts w:ascii="宋体"/>
      <w:sz w:val="21"/>
    </w:rPr>
  </w:style>
  <w:style w:type="paragraph" w:customStyle="1" w:styleId="96">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7">
    <w:name w:val="列项·"/>
    <w:qFormat/>
    <w:uiPriority w:val="0"/>
    <w:pPr>
      <w:numPr>
        <w:ilvl w:val="0"/>
        <w:numId w:val="9"/>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98">
    <w:name w:val="附录五级条标题"/>
    <w:basedOn w:val="66"/>
    <w:next w:val="48"/>
    <w:qFormat/>
    <w:uiPriority w:val="0"/>
    <w:pPr>
      <w:numPr>
        <w:ilvl w:val="6"/>
      </w:numPr>
      <w:outlineLvl w:val="6"/>
    </w:pPr>
  </w:style>
  <w:style w:type="paragraph" w:customStyle="1" w:styleId="9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0">
    <w:name w:val="HTML 预先格式化"/>
    <w:basedOn w:val="1"/>
    <w:qFormat/>
    <w:uiPriority w:val="0"/>
    <w:rPr>
      <w:rFonts w:ascii="Courier New" w:hAnsi="Courier New" w:cs="楷体_GB2312"/>
      <w:sz w:val="20"/>
      <w:szCs w:val="20"/>
    </w:rPr>
  </w:style>
  <w:style w:type="paragraph" w:customStyle="1" w:styleId="101">
    <w:name w:val="标准书眉_偶数页"/>
    <w:basedOn w:val="102"/>
    <w:next w:val="1"/>
    <w:qFormat/>
    <w:uiPriority w:val="0"/>
    <w:pPr>
      <w:tabs>
        <w:tab w:val="center" w:pos="4154"/>
        <w:tab w:val="right" w:pos="8306"/>
      </w:tabs>
      <w:jc w:val="left"/>
    </w:pPr>
  </w:style>
  <w:style w:type="paragraph" w:customStyle="1" w:styleId="10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3">
    <w:name w:val="正文图标题"/>
    <w:next w:val="48"/>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0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05">
    <w:name w:val="五级无标题条"/>
    <w:basedOn w:val="1"/>
    <w:qFormat/>
    <w:uiPriority w:val="0"/>
    <w:pPr>
      <w:numPr>
        <w:ilvl w:val="6"/>
        <w:numId w:val="5"/>
      </w:numPr>
    </w:pPr>
  </w:style>
  <w:style w:type="paragraph" w:customStyle="1" w:styleId="106">
    <w:name w:val="其他发布部门"/>
    <w:basedOn w:val="72"/>
    <w:qFormat/>
    <w:uiPriority w:val="0"/>
    <w:pPr>
      <w:framePr w:wrap="around"/>
      <w:spacing w:line="0" w:lineRule="atLeast"/>
    </w:pPr>
    <w:rPr>
      <w:rFonts w:ascii="黑体" w:eastAsia="黑体"/>
      <w:b w:val="0"/>
    </w:rPr>
  </w:style>
  <w:style w:type="paragraph" w:customStyle="1" w:styleId="107">
    <w:name w:val="三级无标题条"/>
    <w:basedOn w:val="1"/>
    <w:qFormat/>
    <w:uiPriority w:val="0"/>
    <w:pPr>
      <w:numPr>
        <w:ilvl w:val="4"/>
        <w:numId w:val="5"/>
      </w:numPr>
    </w:pPr>
  </w:style>
  <w:style w:type="paragraph" w:customStyle="1" w:styleId="108">
    <w:name w:val="标准"/>
    <w:basedOn w:val="1"/>
    <w:qFormat/>
    <w:uiPriority w:val="0"/>
    <w:pPr>
      <w:adjustRightInd w:val="0"/>
      <w:spacing w:line="312" w:lineRule="atLeast"/>
      <w:jc w:val="center"/>
      <w:textAlignment w:val="baseline"/>
    </w:pPr>
    <w:rPr>
      <w:kern w:val="0"/>
      <w:szCs w:val="20"/>
    </w:rPr>
  </w:style>
  <w:style w:type="paragraph" w:customStyle="1" w:styleId="109">
    <w:name w:val="目次、标准名称标题"/>
    <w:basedOn w:val="74"/>
    <w:next w:val="48"/>
    <w:qFormat/>
    <w:uiPriority w:val="0"/>
    <w:pPr>
      <w:numPr>
        <w:numId w:val="0"/>
      </w:numPr>
      <w:spacing w:line="460" w:lineRule="exact"/>
    </w:pPr>
  </w:style>
  <w:style w:type="paragraph" w:customStyle="1" w:styleId="110">
    <w:name w:val="图表脚注"/>
    <w:next w:val="48"/>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11">
    <w:name w:val="附录标识"/>
    <w:basedOn w:val="74"/>
    <w:qFormat/>
    <w:uiPriority w:val="0"/>
    <w:pPr>
      <w:numPr>
        <w:ilvl w:val="0"/>
        <w:numId w:val="1"/>
      </w:numPr>
      <w:tabs>
        <w:tab w:val="left" w:pos="6405"/>
      </w:tabs>
      <w:spacing w:after="200"/>
    </w:pPr>
    <w:rPr>
      <w:sz w:val="21"/>
    </w:rPr>
  </w:style>
  <w:style w:type="paragraph" w:customStyle="1" w:styleId="11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table" w:customStyle="1" w:styleId="114">
    <w:name w:val="网格型1"/>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5">
    <w:name w:val="List Paragraph"/>
    <w:basedOn w:val="1"/>
    <w:qFormat/>
    <w:uiPriority w:val="34"/>
    <w:pPr>
      <w:ind w:firstLine="420" w:firstLineChars="200"/>
    </w:pPr>
  </w:style>
  <w:style w:type="character" w:styleId="116">
    <w:name w:val="Placeholder Text"/>
    <w:basedOn w:val="34"/>
    <w:unhideWhenUsed/>
    <w:qFormat/>
    <w:uiPriority w:val="99"/>
    <w:rPr>
      <w:color w:val="808080"/>
    </w:rPr>
  </w:style>
  <w:style w:type="character" w:customStyle="1" w:styleId="117">
    <w:name w:val="纯文本 Char"/>
    <w:link w:val="21"/>
    <w:qFormat/>
    <w:uiPriority w:val="0"/>
    <w:rPr>
      <w:rFonts w:ascii="宋体" w:hAnsi="Courier New"/>
      <w:kern w:val="2"/>
      <w:sz w:val="21"/>
    </w:rPr>
  </w:style>
  <w:style w:type="character" w:customStyle="1" w:styleId="118">
    <w:name w:val="批注文字 Char"/>
    <w:basedOn w:val="34"/>
    <w:link w:val="19"/>
    <w:qFormat/>
    <w:uiPriority w:val="0"/>
    <w:rPr>
      <w:kern w:val="2"/>
      <w:sz w:val="21"/>
      <w:szCs w:val="24"/>
    </w:rPr>
  </w:style>
  <w:style w:type="character" w:customStyle="1" w:styleId="119">
    <w:name w:val="批注主题 Char"/>
    <w:basedOn w:val="118"/>
    <w:link w:val="31"/>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wmf"/><Relationship Id="rId17" Type="http://schemas.openxmlformats.org/officeDocument/2006/relationships/oleObject" Target="embeddings/oleObject2.bin"/><Relationship Id="rId16" Type="http://schemas.openxmlformats.org/officeDocument/2006/relationships/image" Target="media/image3.wmf"/><Relationship Id="rId15" Type="http://schemas.openxmlformats.org/officeDocument/2006/relationships/oleObject" Target="embeddings/oleObject1.bin"/><Relationship Id="rId14" Type="http://schemas.openxmlformats.org/officeDocument/2006/relationships/image" Target="media/image2.wm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3B065C-D8B6-480D-BADD-B31000C0BE36}">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7</Pages>
  <Words>2767</Words>
  <Characters>3317</Characters>
  <Lines>30</Lines>
  <Paragraphs>8</Paragraphs>
  <TotalTime>1</TotalTime>
  <ScaleCrop>false</ScaleCrop>
  <LinksUpToDate>false</LinksUpToDate>
  <CharactersWithSpaces>3437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2022-06-14T07:18:00Z</dcterms:created>
  <dc:creator>赣州有色冶金研究所有限公司</dc:creator>
  <cp:lastModifiedBy>孙娜</cp:lastModifiedBy>
  <cp:lastPrinted>2022-06-04T01:58:00Z</cp:lastPrinted>
  <dcterms:modified xsi:type="dcterms:W3CDTF">2023-06-19T12:13:04Z</dcterms:modified>
  <dc:title>前    言</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F267C66297C445E193CF4B75368DA84D_13</vt:lpwstr>
  </property>
</Properties>
</file>