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3E7A" w14:textId="77777777" w:rsidR="006E3639" w:rsidRDefault="006E3639" w:rsidP="006E3639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3A8F780E" w14:textId="77777777" w:rsidR="006E3639" w:rsidRDefault="006E3639" w:rsidP="006E3639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轻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6E3639" w14:paraId="746347CE" w14:textId="77777777" w:rsidTr="00D231C3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D9199" w14:textId="77777777" w:rsidR="006E3639" w:rsidRDefault="006E3639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75AA6" w14:textId="77777777" w:rsidR="006E3639" w:rsidRDefault="006E3639" w:rsidP="00D231C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D5164" w14:textId="77777777" w:rsidR="006E3639" w:rsidRDefault="006E3639" w:rsidP="00D231C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86748" w14:textId="77777777" w:rsidR="006E3639" w:rsidRDefault="006E3639" w:rsidP="00D231C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F1C09" w14:textId="77777777" w:rsidR="006E3639" w:rsidRDefault="006E3639" w:rsidP="00D231C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6E3639" w14:paraId="1F6B41F0" w14:textId="77777777" w:rsidTr="00D231C3">
        <w:trPr>
          <w:trHeight w:val="247"/>
          <w:jc w:val="center"/>
        </w:trPr>
        <w:tc>
          <w:tcPr>
            <w:tcW w:w="141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68F11" w14:textId="77777777" w:rsidR="006E3639" w:rsidRDefault="006E3639" w:rsidP="00D231C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第一组</w:t>
            </w:r>
          </w:p>
        </w:tc>
      </w:tr>
      <w:tr w:rsidR="006E3639" w14:paraId="530B1A44" w14:textId="77777777" w:rsidTr="00D231C3">
        <w:trPr>
          <w:trHeight w:val="676"/>
          <w:jc w:val="center"/>
        </w:trPr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70CD67F4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1319FEB1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镁及镁合金化学分析方法 第20部分：元素含量的测定 电感耦合等离子体原子发射光谱法</w:t>
            </w: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14:paraId="674C9A4D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发[2022]22号20220714-T-610</w:t>
            </w:r>
          </w:p>
        </w:tc>
        <w:tc>
          <w:tcPr>
            <w:tcW w:w="5959" w:type="dxa"/>
            <w:tcBorders>
              <w:top w:val="single" w:sz="12" w:space="0" w:color="auto"/>
            </w:tcBorders>
            <w:vAlign w:val="center"/>
          </w:tcPr>
          <w:p w14:paraId="00C85930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中铝郑州有色金属研究院有限公司、广东省科学院工业分析检测中心、昆明冶金研究院有限公司、上海交通大学、国标（北京）检验认证有限公司、山西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股份有限公司、国家镁及镁合金产品质量监督检验中心等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2112386B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6E3639" w14:paraId="2C68254D" w14:textId="77777777" w:rsidTr="00D231C3">
        <w:trPr>
          <w:trHeight w:val="204"/>
          <w:jc w:val="center"/>
        </w:trPr>
        <w:tc>
          <w:tcPr>
            <w:tcW w:w="141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B8D49" w14:textId="77777777" w:rsidR="006E3639" w:rsidRDefault="006E3639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第二组</w:t>
            </w:r>
          </w:p>
        </w:tc>
      </w:tr>
      <w:tr w:rsidR="006E3639" w14:paraId="4D808C17" w14:textId="77777777" w:rsidTr="00D231C3">
        <w:trPr>
          <w:trHeight w:val="469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26BD783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6E377C93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一般工业用铝及铝合金板、带材 第2部分：力学性能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61B31840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22号20220706-T-610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14:paraId="2EB62B0A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铝板带有限公司、厦门厦顺铝箔有限公司等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D9DE5AB" w14:textId="77777777" w:rsidR="006E3639" w:rsidRDefault="006E3639" w:rsidP="00D231C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6E3639" w14:paraId="0CB4661A" w14:textId="77777777" w:rsidTr="00D231C3">
        <w:trPr>
          <w:trHeight w:val="469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78B2652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1049FB13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一般工业用铝及铝合金板、带材 第3部分：尺寸偏差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0131AEDF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发[2022]22号20220715-T-610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14:paraId="6A0E3F81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铝板带有限公司、厦门厦顺铝箔有限公司等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FA7354B" w14:textId="77777777" w:rsidR="006E3639" w:rsidRDefault="006E3639" w:rsidP="00D231C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6E3639" w14:paraId="2497DF48" w14:textId="77777777" w:rsidTr="00D231C3">
        <w:trPr>
          <w:trHeight w:val="469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FBD9D7A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284F4DB4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深冲用铝及铝合金板、带材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0564B9F3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[2022]158号2022-0815T-YS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14:paraId="043E64AA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东北轻合金有限责任公司</w:t>
            </w:r>
            <w:r>
              <w:rPr>
                <w:rFonts w:hint="eastAsia"/>
              </w:rPr>
              <w:t>、西南铝业（集团）有限责任公司、</w:t>
            </w:r>
            <w:proofErr w:type="gramStart"/>
            <w:r>
              <w:rPr>
                <w:rFonts w:hint="eastAsia"/>
              </w:rPr>
              <w:t>中铝瑞闽</w:t>
            </w:r>
            <w:proofErr w:type="gramEnd"/>
            <w:r>
              <w:rPr>
                <w:rFonts w:hint="eastAsia"/>
              </w:rPr>
              <w:t>股份有限公司、厦门夏顺铝箔有限公司、广西柳州银海铝业股份有限公司、国标（北京）检验认证有限公司、中铝材料应用研究院有限公司、广西南南铝加工有限公司、福建省南铝板带加工有限公司、天津忠旺铝业有限公司、山东宏桥新型材料有限公司、江苏鼎胜新能源材料股份有限公司、浙江永杰铝业有限公司、银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>
              <w:rPr>
                <w:rFonts w:hint="eastAsia"/>
              </w:rPr>
              <w:t>金属复合材料股份有限公司、浙江佑丰新材料股份有限公司、有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工程技术研究院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8A888E0" w14:textId="77777777" w:rsidR="006E3639" w:rsidRDefault="006E3639" w:rsidP="00D231C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6E3639" w14:paraId="187BD1F8" w14:textId="77777777" w:rsidTr="00D231C3">
        <w:trPr>
          <w:trHeight w:val="9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81D4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9675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铝及铝合金晶粒细化用合金线材  第2部分：铝-钛-碳合金线材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AC478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[2022]312号2022-1700T-YS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14:paraId="6BD011BF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立中四通轻合金集团股份有限公司、山东南山铝业股份有限公司、重庆升格新材料有限公司、山东创新金属科技有限公司、西南铝业（集团）有限责任公司、重庆国创轻合金研究院有限公司、国标（北京）检验认证有限公司、国合通用测试评价认</w:t>
            </w:r>
            <w:r>
              <w:rPr>
                <w:rFonts w:hint="eastAsia"/>
              </w:rPr>
              <w:lastRenderedPageBreak/>
              <w:t>证股份公司、中铝材料院苏州分公司、哈尔滨东盛金属材料有限公司、新疆众和股份有限公司等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5CAA5" w14:textId="77777777" w:rsidR="006E3639" w:rsidRDefault="006E3639" w:rsidP="00D231C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讨论</w:t>
            </w:r>
          </w:p>
        </w:tc>
      </w:tr>
      <w:tr w:rsidR="006E3639" w14:paraId="645972AC" w14:textId="77777777" w:rsidTr="00D231C3">
        <w:trPr>
          <w:trHeight w:val="469"/>
          <w:jc w:val="center"/>
        </w:trPr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32C925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B772A" w14:textId="77777777" w:rsidR="006E3639" w:rsidRDefault="006E363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铝及铝合金晶粒细化用合金线材  第3部分：铝-钛合金线材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F78795" w14:textId="77777777" w:rsidR="006E3639" w:rsidRDefault="006E363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[2022]312号2022-1701T-YS</w:t>
            </w:r>
          </w:p>
        </w:tc>
        <w:tc>
          <w:tcPr>
            <w:tcW w:w="5959" w:type="dxa"/>
            <w:tcBorders>
              <w:bottom w:val="single" w:sz="12" w:space="0" w:color="auto"/>
            </w:tcBorders>
            <w:vAlign w:val="center"/>
          </w:tcPr>
          <w:p w14:paraId="7A194CBF" w14:textId="77777777" w:rsidR="006E3639" w:rsidRDefault="006E3639" w:rsidP="00D231C3">
            <w:pPr>
              <w:pStyle w:val="TOC1"/>
              <w:spacing w:before="78" w:after="78"/>
              <w:rPr>
                <w:rFonts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</w:rPr>
              <w:t>立中四通轻合金集团股份有限公司、重庆升格新材料有限公司、山东创新金属科技有限公司、山东南山铝业股份有限公司、西南铝业（集团）有限责任公司、东北轻合金有限责任公司、重庆国创轻合金研究院有限公司、国标（北京）检验认证有限公司、中铝材料院苏州分公司、哈尔滨东盛金属材料有限公司等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A231B3" w14:textId="77777777" w:rsidR="006E3639" w:rsidRDefault="006E3639" w:rsidP="00D231C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6E3639" w14:paraId="17486CAD" w14:textId="77777777" w:rsidTr="00D231C3">
        <w:trPr>
          <w:trHeight w:val="196"/>
          <w:jc w:val="center"/>
        </w:trPr>
        <w:tc>
          <w:tcPr>
            <w:tcW w:w="141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117BC" w14:textId="77777777" w:rsidR="006E3639" w:rsidRDefault="006E3639" w:rsidP="00D231C3">
            <w:pPr>
              <w:tabs>
                <w:tab w:val="left" w:pos="6093"/>
              </w:tabs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第三组</w:t>
            </w:r>
          </w:p>
        </w:tc>
      </w:tr>
      <w:tr w:rsidR="006E3639" w14:paraId="267B8C74" w14:textId="77777777" w:rsidTr="00D231C3">
        <w:trPr>
          <w:trHeight w:val="318"/>
          <w:jc w:val="center"/>
        </w:trPr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507DF978" w14:textId="77777777" w:rsidR="006E3639" w:rsidRDefault="006E3639" w:rsidP="00D231C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0BD85B85" w14:textId="77777777" w:rsidR="006E3639" w:rsidRDefault="006E3639" w:rsidP="00D231C3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bidi="ar"/>
              </w:rPr>
              <w:t>压缩空气管道用铝合金热挤压圆管</w:t>
            </w: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14:paraId="063BB883" w14:textId="77777777" w:rsidR="006E3639" w:rsidRDefault="006E3639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字[2023]14号2023-002-T/CNIA</w:t>
            </w:r>
          </w:p>
        </w:tc>
        <w:tc>
          <w:tcPr>
            <w:tcW w:w="5959" w:type="dxa"/>
            <w:tcBorders>
              <w:top w:val="single" w:sz="12" w:space="0" w:color="auto"/>
            </w:tcBorders>
            <w:vAlign w:val="center"/>
          </w:tcPr>
          <w:p w14:paraId="3C224019" w14:textId="77777777" w:rsidR="006E3639" w:rsidRDefault="006E3639" w:rsidP="00D231C3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浙江富丽华铝业有限公司、有色金属技术经济研究院有限责任公司、浙江捷诺威轻量化科技有限公司、阿特拉斯·科普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(上海)贸易有限公司、派克汉尼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动力传动产品(无锡)有限公司、安耐（无锡）流体技术有限公司、福建省闽发铝业股份有限公司等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0901D601" w14:textId="77777777" w:rsidR="006E3639" w:rsidRDefault="006E3639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  <w:szCs w:val="21"/>
                <w:lang w:bidi="ar"/>
              </w:rPr>
              <w:t>审定</w:t>
            </w:r>
          </w:p>
        </w:tc>
      </w:tr>
    </w:tbl>
    <w:p w14:paraId="6CC7F86F" w14:textId="77777777" w:rsidR="006E3639" w:rsidRDefault="006E3639" w:rsidP="006E3639">
      <w:pPr>
        <w:widowControl/>
        <w:jc w:val="left"/>
        <w:rPr>
          <w:b/>
          <w:bCs/>
          <w:color w:val="000000" w:themeColor="text1"/>
        </w:rPr>
      </w:pPr>
    </w:p>
    <w:p w14:paraId="4E92A04D" w14:textId="77777777" w:rsidR="006E3639" w:rsidRDefault="006E3639" w:rsidP="006E3639">
      <w:pPr>
        <w:pStyle w:val="TOC1"/>
        <w:spacing w:before="78" w:after="78"/>
      </w:pPr>
    </w:p>
    <w:p w14:paraId="62EB1A62" w14:textId="77777777" w:rsidR="005A076C" w:rsidRDefault="005A076C"/>
    <w:sectPr w:rsidR="005A076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B010" w14:textId="77777777" w:rsidR="00574CFD" w:rsidRDefault="00574CFD" w:rsidP="006E3639">
      <w:r>
        <w:separator/>
      </w:r>
    </w:p>
  </w:endnote>
  <w:endnote w:type="continuationSeparator" w:id="0">
    <w:p w14:paraId="0BECB772" w14:textId="77777777" w:rsidR="00574CFD" w:rsidRDefault="00574CFD" w:rsidP="006E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9D8F" w14:textId="77777777" w:rsidR="00574CFD" w:rsidRDefault="00574CFD" w:rsidP="006E3639">
      <w:r>
        <w:separator/>
      </w:r>
    </w:p>
  </w:footnote>
  <w:footnote w:type="continuationSeparator" w:id="0">
    <w:p w14:paraId="61392B31" w14:textId="77777777" w:rsidR="00574CFD" w:rsidRDefault="00574CFD" w:rsidP="006E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8018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60"/>
    <w:rsid w:val="00574CFD"/>
    <w:rsid w:val="005A076C"/>
    <w:rsid w:val="005F2D60"/>
    <w:rsid w:val="006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17F2C4-9911-4B38-A6DB-7485432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6E3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6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639"/>
    <w:rPr>
      <w:sz w:val="18"/>
      <w:szCs w:val="18"/>
    </w:rPr>
  </w:style>
  <w:style w:type="paragraph" w:styleId="TOC1">
    <w:name w:val="toc 1"/>
    <w:basedOn w:val="a"/>
    <w:next w:val="a"/>
    <w:semiHidden/>
    <w:qFormat/>
    <w:rsid w:val="006E3639"/>
    <w:pPr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2023-09-28T09:30:00Z</dcterms:created>
  <dcterms:modified xsi:type="dcterms:W3CDTF">2023-09-28T09:31:00Z</dcterms:modified>
</cp:coreProperties>
</file>