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《锂离子电池正极材料前驱体副产 硫酸钠》</w:t>
      </w:r>
    </w:p>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编制说明（</w:t>
      </w:r>
      <w:r>
        <w:rPr>
          <w:rFonts w:hint="eastAsia" w:ascii="宋体" w:hAnsi="宋体" w:eastAsia="宋体" w:cs="宋体"/>
          <w:b/>
          <w:bCs/>
          <w:sz w:val="32"/>
          <w:szCs w:val="32"/>
          <w:lang w:val="en-US" w:eastAsia="zh-CN"/>
        </w:rPr>
        <w:t>讨论</w:t>
      </w:r>
      <w:r>
        <w:rPr>
          <w:rFonts w:hint="eastAsia" w:ascii="宋体" w:hAnsi="宋体" w:eastAsia="宋体" w:cs="宋体"/>
          <w:b/>
          <w:bCs/>
          <w:sz w:val="32"/>
          <w:szCs w:val="32"/>
        </w:rPr>
        <w:t>稿）</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b/>
          <w:bCs/>
          <w:lang w:val="en-US" w:eastAsia="zh-CN"/>
        </w:rPr>
      </w:pPr>
      <w:r>
        <w:rPr>
          <w:rFonts w:hint="eastAsia"/>
          <w:b/>
          <w:bCs/>
          <w:lang w:val="en-US" w:eastAsia="zh-CN"/>
        </w:rPr>
        <w:t>工作简况</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textAlignment w:val="auto"/>
        <w:rPr>
          <w:rFonts w:hint="default"/>
          <w:b/>
          <w:bCs/>
          <w:color w:val="auto"/>
          <w:lang w:val="en-US" w:eastAsia="zh-CN"/>
        </w:rPr>
      </w:pPr>
      <w:r>
        <w:rPr>
          <w:rFonts w:hint="eastAsia"/>
          <w:b/>
          <w:bCs/>
          <w:color w:val="auto"/>
          <w:lang w:val="en-US" w:eastAsia="zh-CN"/>
        </w:rPr>
        <w:t>任务来源</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default"/>
          <w:lang w:val="en-US" w:eastAsia="zh-CN"/>
        </w:rPr>
      </w:pPr>
      <w:r>
        <w:rPr>
          <w:rFonts w:hint="eastAsia" w:ascii="宋体" w:hAnsi="宋体" w:eastAsia="宋体" w:cs="宋体"/>
          <w:color w:val="auto"/>
          <w:sz w:val="21"/>
          <w:szCs w:val="21"/>
          <w:lang w:val="en-US" w:eastAsia="zh-CN"/>
        </w:rPr>
        <w:t>根据中国有色金属工业协会《关于下达2023年第三批协会标准制修订计划的通知》（中色协科字[2023]97号）的要求，中伟新材料股份有限公司承担团体标准《</w:t>
      </w:r>
      <w:r>
        <w:rPr>
          <w:rFonts w:hint="eastAsia" w:ascii="宋体" w:hAnsi="宋体" w:eastAsia="宋体" w:cs="宋体"/>
          <w:color w:val="auto"/>
          <w:sz w:val="21"/>
          <w:szCs w:val="21"/>
        </w:rPr>
        <w:t>锂离子电池正极材料前驱体副产 硫酸钠</w:t>
      </w:r>
      <w:r>
        <w:rPr>
          <w:rFonts w:hint="eastAsia" w:ascii="宋体" w:hAnsi="宋体" w:eastAsia="宋体" w:cs="宋体"/>
          <w:color w:val="auto"/>
          <w:sz w:val="21"/>
          <w:szCs w:val="21"/>
          <w:lang w:val="en-US" w:eastAsia="zh-CN"/>
        </w:rPr>
        <w:t>》起草任务，项目计划编号：2023-027-T/CNIA，完成年限为2024</w:t>
      </w:r>
      <w:r>
        <w:rPr>
          <w:rFonts w:hint="eastAsia" w:ascii="宋体" w:hAnsi="宋体" w:eastAsia="宋体" w:cs="宋体"/>
          <w:sz w:val="21"/>
          <w:szCs w:val="21"/>
          <w:lang w:val="en-US" w:eastAsia="zh-CN"/>
        </w:rPr>
        <w:t>年。</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textAlignment w:val="auto"/>
        <w:rPr>
          <w:rFonts w:hint="default"/>
          <w:b/>
          <w:bCs/>
          <w:lang w:val="en-US" w:eastAsia="zh-CN"/>
        </w:rPr>
      </w:pPr>
      <w:r>
        <w:rPr>
          <w:rFonts w:hint="eastAsia"/>
          <w:b/>
          <w:bCs/>
          <w:lang w:val="en-US" w:eastAsia="zh-CN"/>
        </w:rPr>
        <w:t>标准的必要性</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硫酸钠是一种无机化合物，高纯度、细颗粒的无水硫酸钠也称为元明粉</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外观为无色透明的大结晶或颗粒性小结晶。硫酸钠吸湿性强，易溶于水，水溶液呈碱性，可溶于甘油，不溶于乙醇。硫酸钠可用于生产硫化钠， 可用作分析试剂、干燥剂、蒸煮剂、助溶剂、凝固剂、缓泻剂等，被广泛应用在水玻璃、玻璃、造纸、纺织、皮革、冶金、瓷釉、医药等领域。</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rPr>
      </w:pPr>
      <w:r>
        <w:rPr>
          <w:rFonts w:hint="eastAsia" w:ascii="宋体" w:hAnsi="宋体" w:eastAsia="宋体" w:cs="宋体"/>
          <w:sz w:val="21"/>
          <w:szCs w:val="21"/>
          <w:lang w:val="en-US" w:eastAsia="zh-CN"/>
        </w:rPr>
        <w:t>随着新能源行业的发展，在锂离子电池正极材料前驱体生产过程中会产生大量的硫酸钠废水，经过废水处理可以将水中的Ni、Co、Mn等回收并且降低废水中的COD以减小环保厂区水处理的压力，同时生产出杂质较少的硫酸钠溶液，这些溶液可以转运至对应的蒸发结晶车间得到硫酸钠晶体，主要硫酸钠废水处理主要有两条线，分别是来自MHP产线的硫酸钠废水和生产三元前驱体的硫酸钠废水。这类循环回收的硫酸钠与工业硫酸钠相比，需要检测镍、钴离子的含量，但其纯度达到工业硫酸钠的优等品级别，广泛销售与洗涤和印染行业。</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i w:val="0"/>
          <w:iCs/>
          <w:color w:val="auto"/>
          <w:sz w:val="21"/>
          <w:szCs w:val="21"/>
          <w:lang w:val="en-US" w:eastAsia="zh-CN"/>
        </w:rPr>
      </w:pPr>
      <w:r>
        <w:rPr>
          <w:rFonts w:hint="eastAsia" w:ascii="宋体" w:hAnsi="宋体" w:eastAsia="宋体" w:cs="宋体"/>
          <w:i w:val="0"/>
          <w:iCs/>
          <w:color w:val="auto"/>
          <w:sz w:val="21"/>
          <w:szCs w:val="21"/>
          <w:lang w:eastAsia="zh-CN"/>
        </w:rPr>
        <w:t>《</w:t>
      </w:r>
      <w:r>
        <w:rPr>
          <w:rFonts w:hint="eastAsia" w:ascii="宋体" w:hAnsi="宋体" w:eastAsia="宋体" w:cs="宋体"/>
          <w:i w:val="0"/>
          <w:iCs/>
          <w:color w:val="auto"/>
          <w:sz w:val="21"/>
          <w:szCs w:val="21"/>
        </w:rPr>
        <w:t>“十四五”工业绿色发展规划</w:t>
      </w:r>
      <w:r>
        <w:rPr>
          <w:rFonts w:hint="eastAsia" w:ascii="宋体" w:hAnsi="宋体" w:eastAsia="宋体" w:cs="宋体"/>
          <w:i w:val="0"/>
          <w:iCs/>
          <w:color w:val="auto"/>
          <w:sz w:val="21"/>
          <w:szCs w:val="21"/>
          <w:lang w:eastAsia="zh-CN"/>
        </w:rPr>
        <w:t>》</w:t>
      </w:r>
      <w:r>
        <w:rPr>
          <w:rFonts w:hint="eastAsia" w:ascii="宋体" w:hAnsi="宋体" w:eastAsia="宋体" w:cs="宋体"/>
          <w:i w:val="0"/>
          <w:iCs/>
          <w:color w:val="auto"/>
          <w:sz w:val="21"/>
          <w:szCs w:val="21"/>
        </w:rPr>
        <w:t xml:space="preserve"> 提出升级改造末端治理设施</w:t>
      </w:r>
      <w:r>
        <w:rPr>
          <w:rFonts w:hint="eastAsia" w:ascii="宋体" w:hAnsi="宋体" w:eastAsia="宋体" w:cs="宋体"/>
          <w:i w:val="0"/>
          <w:iCs/>
          <w:color w:val="auto"/>
          <w:sz w:val="21"/>
          <w:szCs w:val="21"/>
          <w:lang w:eastAsia="zh-CN"/>
        </w:rPr>
        <w:t>，</w:t>
      </w:r>
      <w:r>
        <w:rPr>
          <w:rFonts w:hint="eastAsia" w:ascii="宋体" w:hAnsi="宋体" w:eastAsia="宋体" w:cs="宋体"/>
          <w:i w:val="0"/>
          <w:iCs/>
          <w:color w:val="auto"/>
          <w:sz w:val="21"/>
          <w:szCs w:val="21"/>
        </w:rPr>
        <w:t>在水污染防治重点领域，聚焦涉重金属、高盐、高有机物等高难度废水，开展深度高效治理应用示范，逐步提升印染、造纸、化学原料药、煤化工、有色金属等行业废水治理水平。</w:t>
      </w:r>
      <w:r>
        <w:rPr>
          <w:rFonts w:hint="eastAsia" w:ascii="宋体" w:hAnsi="宋体" w:eastAsia="宋体" w:cs="宋体"/>
          <w:i w:val="0"/>
          <w:iCs/>
          <w:color w:val="auto"/>
          <w:sz w:val="21"/>
          <w:szCs w:val="21"/>
          <w:lang w:eastAsia="zh-CN"/>
        </w:rPr>
        <w:t>《</w:t>
      </w:r>
      <w:r>
        <w:rPr>
          <w:rFonts w:hint="eastAsia" w:ascii="宋体" w:hAnsi="宋体" w:eastAsia="宋体" w:cs="宋体"/>
          <w:i w:val="0"/>
          <w:iCs/>
          <w:color w:val="auto"/>
          <w:sz w:val="21"/>
          <w:szCs w:val="21"/>
        </w:rPr>
        <w:t>“十四五”节水型社会建设规划</w:t>
      </w:r>
      <w:r>
        <w:rPr>
          <w:rFonts w:hint="eastAsia" w:ascii="宋体" w:hAnsi="宋体" w:eastAsia="宋体" w:cs="宋体"/>
          <w:i w:val="0"/>
          <w:iCs/>
          <w:color w:val="auto"/>
          <w:sz w:val="21"/>
          <w:szCs w:val="21"/>
          <w:lang w:eastAsia="zh-CN"/>
        </w:rPr>
        <w:t>》</w:t>
      </w:r>
      <w:r>
        <w:rPr>
          <w:rFonts w:hint="eastAsia" w:ascii="宋体" w:hAnsi="宋体" w:eastAsia="宋体" w:cs="宋体"/>
          <w:i w:val="0"/>
          <w:iCs/>
          <w:color w:val="auto"/>
          <w:sz w:val="21"/>
          <w:szCs w:val="21"/>
        </w:rPr>
        <w:t xml:space="preserve"> 鼓励企业间串联用水、分质用水，实现一水多用和梯级利用，推行废水资源化利用。</w:t>
      </w:r>
      <w:r>
        <w:rPr>
          <w:rFonts w:hint="eastAsia" w:ascii="宋体" w:hAnsi="宋体" w:eastAsia="宋体" w:cs="宋体"/>
          <w:iCs/>
          <w:color w:val="auto"/>
          <w:sz w:val="21"/>
          <w:szCs w:val="21"/>
          <w:lang w:val="en-US" w:eastAsia="zh-CN"/>
        </w:rPr>
        <w:t>硫酸钠的应用领域广泛，</w:t>
      </w:r>
      <w:r>
        <w:rPr>
          <w:rFonts w:hint="eastAsia" w:ascii="宋体" w:hAnsi="宋体" w:eastAsia="宋体" w:cs="宋体"/>
          <w:i w:val="0"/>
          <w:iCs/>
          <w:color w:val="auto"/>
          <w:sz w:val="21"/>
          <w:szCs w:val="21"/>
          <w:lang w:val="en-US" w:eastAsia="zh-CN"/>
        </w:rPr>
        <w:t>锂离子电池正极材料前驱体的副产硫酸钠既保证了硫酸钠产品的质量，又减少了对工业制取硫酸钠所需的芒硝的使用，且通过废水综合处理获得的副产硫酸钠也符合国家提出废水治理的相关政策。</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default"/>
          <w:lang w:val="en-US" w:eastAsia="zh-CN"/>
        </w:rPr>
      </w:pPr>
      <w:r>
        <w:rPr>
          <w:rFonts w:hint="eastAsia" w:ascii="宋体" w:hAnsi="宋体" w:eastAsia="宋体" w:cs="宋体"/>
          <w:i w:val="0"/>
          <w:iCs/>
          <w:color w:val="auto"/>
          <w:sz w:val="21"/>
          <w:szCs w:val="21"/>
          <w:lang w:val="en-US" w:eastAsia="zh-CN"/>
        </w:rPr>
        <w:t>另外，锂离子电池主要应用于3C、储能、动力电池等领域。2023年2月23日，国家工信部电子信息司发布《2022年全国锂离子电池行业运行情况》，根据工信部公布的数据，2022年全国锂离子电池产量达750GWh，同比增长超过130%，行业总产值突破1.2万亿元，是上一年行业总产值6000亿元的约两倍。从2015年到2022年间，全国锂离子电池行业规模实现逐年攀升。虽然个别年份出现增长波动，但总体来看，中国锂电池行业的增长仍然非常迅速。然而在生产锂离子电池过程中，年产1.5万吨锂离子电池三元正极材料前驱体能够联产2.5万吨/年以上的无水硫酸钠，随着锂离子电池的需求不断增加，相应的回收硫酸钠的产量也会爆发式增长，因此急需相关特定的标准来规范不同程序生产的硫酸钠，为市场流通提供方便，扩大其流通市场。</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textAlignment w:val="auto"/>
        <w:rPr>
          <w:rFonts w:hint="default"/>
          <w:b/>
          <w:bCs/>
          <w:lang w:val="en-US" w:eastAsia="zh-CN"/>
        </w:rPr>
      </w:pPr>
      <w:r>
        <w:rPr>
          <w:rFonts w:hint="eastAsia"/>
          <w:b/>
          <w:bCs/>
          <w:lang w:val="en-US" w:eastAsia="zh-CN"/>
        </w:rPr>
        <w:t>起草单位及主要工作过程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default"/>
          <w:b w:val="0"/>
          <w:bCs w:val="0"/>
          <w:lang w:val="en-US" w:eastAsia="zh-CN"/>
        </w:rPr>
      </w:pPr>
      <w:r>
        <w:rPr>
          <w:rFonts w:hint="eastAsia"/>
          <w:b w:val="0"/>
          <w:bCs w:val="0"/>
          <w:lang w:val="en-US" w:eastAsia="zh-CN"/>
        </w:rPr>
        <w:t>3.1主起草单位</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rPr>
      </w:pPr>
      <w:r>
        <w:rPr>
          <w:rFonts w:hint="eastAsia" w:ascii="宋体" w:hAnsi="宋体" w:eastAsia="宋体" w:cs="宋体"/>
        </w:rPr>
        <w:t>中伟新材料股份有限公司自2014年成立以来，依靠多年对锂电池正极材料前驱体行业的投入，利用完备的产业化平台，较快地建立了现代化的自主研发体系。公司以高镍、掺杂、烧结、循环等技术作为主要研发方向，组织人力、财力、物力不断进行技术攻关，基于共沉淀法最终形成多项核心技术。经过多年的发展，公司是LG化学三元前驱体原材料的核心供应商、厦门钨业四氧化三钴原材料的核心供应商，并已全面进入包括宁德时代、LG化学、比亚迪、三星SDI、ATL在内的全球领先锂离子电池产业链。</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rPr>
      </w:pPr>
      <w:r>
        <w:rPr>
          <w:rFonts w:hint="eastAsia" w:ascii="宋体" w:hAnsi="宋体" w:eastAsia="宋体" w:cs="宋体"/>
        </w:rPr>
        <w:t>中伟新材料股份有限公司自主开发的高电压四氧化三钴、高镍NCM、NCA等核心产品跻身中国、欧美、日韩地区世界500强企业高端供应链，被广泛应用于3C数码领域、动力领域及储能领域。</w:t>
      </w:r>
      <w:r>
        <w:rPr>
          <w:rFonts w:hint="eastAsia" w:ascii="宋体" w:hAnsi="宋体" w:eastAsia="宋体" w:cs="宋体"/>
          <w:lang w:val="en-US" w:eastAsia="zh-CN"/>
        </w:rPr>
        <w:t>近三</w:t>
      </w:r>
      <w:r>
        <w:rPr>
          <w:rFonts w:hint="eastAsia" w:ascii="宋体" w:hAnsi="宋体" w:eastAsia="宋体" w:cs="宋体"/>
        </w:rPr>
        <w:t>年公司三元前驱体、四氧化三钴出货量、出口量稳居全球第一。在国内，中伟股份已建立铜仁（上市主体）产业基地、宁乡产业基地、钦州产业基地、开阳产业基地四大产业基地，覆盖全国；在海外，公司建有印尼原料基地，并启动规划国际化产业基地，业务覆盖日韩、东南亚、欧洲以及北美等多个国家和地区。公司始终以研发创新为核心，专注新能源材料领域的研发，持续加大研发投入，以高镍低钴全系列三元前驱体、高电压四氧化三钴、综合循环回收利用、原材料冶炼、材料制造装备为主要研发方向，同时积极布局磷铁系、锰系以及钠系技术路线，打造多样化、定制化、快速开发与量产的技术服务能力及产业化应用能力，引领行业技术创新。</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val="0"/>
          <w:bCs w:val="0"/>
        </w:rPr>
      </w:pPr>
      <w:r>
        <w:rPr>
          <w:rFonts w:hint="eastAsia"/>
          <w:b w:val="0"/>
          <w:bCs w:val="0"/>
          <w:lang w:val="en-US" w:eastAsia="zh-CN"/>
        </w:rPr>
        <w:t>3.2主要工作过程</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color w:val="auto"/>
          <w:lang w:val="en-US" w:eastAsia="zh-CN"/>
        </w:rPr>
      </w:pPr>
      <w:r>
        <w:rPr>
          <w:rFonts w:hint="eastAsia" w:ascii="宋体" w:hAnsi="宋体" w:eastAsia="宋体" w:cs="宋体"/>
          <w:b/>
          <w:bCs/>
          <w:color w:val="auto"/>
          <w:lang w:val="en-US" w:eastAsia="zh-CN"/>
        </w:rPr>
        <w:t>2023年4月-2023年8月 立项阶段</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FF0000"/>
          <w:lang w:val="en-US" w:eastAsia="zh-CN"/>
        </w:rPr>
      </w:pPr>
      <w:r>
        <w:rPr>
          <w:rFonts w:hint="eastAsia" w:ascii="宋体" w:hAnsi="宋体" w:eastAsia="宋体" w:cs="宋体"/>
          <w:color w:val="auto"/>
          <w:sz w:val="21"/>
          <w:szCs w:val="21"/>
        </w:rPr>
        <w:t>2023年3月中伟新材料股份有限公司向全国有色金属标准化技术委员会提出《锂离子电池正极材料前驱体副产 硫酸钠》项目申请。2023年4月，在</w:t>
      </w:r>
      <w:r>
        <w:rPr>
          <w:rFonts w:hint="eastAsia" w:ascii="宋体" w:hAnsi="宋体" w:eastAsia="宋体" w:cs="宋体"/>
          <w:color w:val="auto"/>
          <w:sz w:val="21"/>
          <w:szCs w:val="21"/>
          <w:lang w:val="en-US" w:eastAsia="zh-CN"/>
        </w:rPr>
        <w:t>武汉</w:t>
      </w:r>
      <w:r>
        <w:rPr>
          <w:rFonts w:hint="eastAsia" w:ascii="宋体" w:hAnsi="宋体" w:eastAsia="宋体" w:cs="宋体"/>
          <w:color w:val="auto"/>
          <w:sz w:val="21"/>
          <w:szCs w:val="21"/>
        </w:rPr>
        <w:t>举行项目论证会议，会上介绍标准起草背景、制定思路与内容，标准内容、制定工作计划。2023年</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28</w:t>
      </w:r>
      <w:r>
        <w:rPr>
          <w:rFonts w:hint="eastAsia" w:ascii="宋体" w:hAnsi="宋体" w:eastAsia="宋体" w:cs="宋体"/>
          <w:color w:val="auto"/>
          <w:sz w:val="21"/>
          <w:szCs w:val="21"/>
        </w:rPr>
        <w:t>日，有色金属标委会下发</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全国有色金属标准化技术委员会 有色标委[2023]97号</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文件，团体标准《锂离子电池正极材料前驱体副产 硫酸钠》正式立项</w:t>
      </w:r>
      <w:r>
        <w:rPr>
          <w:rFonts w:hint="eastAsia" w:ascii="宋体" w:hAnsi="宋体" w:eastAsia="宋体" w:cs="宋体"/>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2023年9月-10月 起草阶段</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对湖南长远锂科股份有限公司进行调研。梳理汇总调研的情况，分析当前相关标准实施的问题，汇总标准化关键要求，编写标准草案。</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2023年11月-2024年1月征求意见阶段</w:t>
      </w:r>
    </w:p>
    <w:p>
      <w:pPr>
        <w:keepNext w:val="0"/>
        <w:keepLines w:val="0"/>
        <w:pageBreakBefore w:val="0"/>
        <w:widowControl w:val="0"/>
        <w:kinsoku/>
        <w:wordWrap/>
        <w:overflowPunct/>
        <w:topLinePunct w:val="0"/>
        <w:autoSpaceDE/>
        <w:autoSpaceDN/>
        <w:bidi w:val="0"/>
        <w:adjustRightInd/>
        <w:snapToGrid/>
        <w:spacing w:line="400" w:lineRule="exact"/>
        <w:ind w:left="420" w:leftChars="200" w:firstLine="0" w:firstLineChars="0"/>
        <w:textAlignment w:val="auto"/>
        <w:rPr>
          <w:rFonts w:hint="eastAsia" w:ascii="宋体" w:hAnsi="宋体" w:eastAsia="宋体" w:cs="宋体"/>
          <w:color w:val="auto"/>
        </w:rPr>
      </w:pPr>
      <w:r>
        <w:rPr>
          <w:rFonts w:hint="eastAsia" w:ascii="宋体" w:hAnsi="宋体" w:eastAsia="宋体" w:cs="宋体"/>
          <w:color w:val="auto"/>
        </w:rPr>
        <w:t>2023年</w:t>
      </w:r>
      <w:r>
        <w:rPr>
          <w:rFonts w:hint="eastAsia" w:ascii="宋体" w:hAnsi="宋体" w:eastAsia="宋体" w:cs="宋体"/>
          <w:color w:val="auto"/>
          <w:lang w:val="en-US" w:eastAsia="zh-CN"/>
        </w:rPr>
        <w:t>1</w:t>
      </w:r>
      <w:r>
        <w:rPr>
          <w:rFonts w:hint="eastAsia" w:ascii="宋体" w:hAnsi="宋体" w:eastAsia="宋体" w:cs="宋体"/>
          <w:color w:val="auto"/>
        </w:rPr>
        <w:t>月</w:t>
      </w:r>
      <w:r>
        <w:rPr>
          <w:rFonts w:hint="eastAsia" w:ascii="宋体" w:hAnsi="宋体" w:eastAsia="宋体" w:cs="宋体"/>
          <w:color w:val="auto"/>
          <w:lang w:val="en-US" w:eastAsia="zh-CN"/>
        </w:rPr>
        <w:t>30</w:t>
      </w:r>
      <w:r>
        <w:rPr>
          <w:rFonts w:hint="eastAsia" w:ascii="宋体" w:hAnsi="宋体" w:eastAsia="宋体" w:cs="宋体"/>
          <w:color w:val="auto"/>
        </w:rPr>
        <w:t>日，在**召开标准讨论会。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FF0000"/>
          <w:lang w:val="en-US" w:eastAsia="zh-CN"/>
        </w:rPr>
      </w:pPr>
      <w:r>
        <w:rPr>
          <w:rFonts w:hint="eastAsia" w:ascii="宋体" w:hAnsi="宋体" w:eastAsia="宋体" w:cs="宋体"/>
          <w:color w:val="auto"/>
          <w:lang w:val="en-US" w:eastAsia="zh-CN"/>
        </w:rPr>
        <w:t>2024</w:t>
      </w:r>
      <w:r>
        <w:rPr>
          <w:rFonts w:hint="eastAsia" w:ascii="宋体" w:hAnsi="宋体" w:eastAsia="宋体" w:cs="宋体"/>
          <w:color w:val="auto"/>
        </w:rPr>
        <w:t>年</w:t>
      </w:r>
      <w:r>
        <w:rPr>
          <w:rFonts w:hint="eastAsia" w:ascii="宋体" w:hAnsi="宋体" w:eastAsia="宋体" w:cs="宋体"/>
          <w:color w:val="auto"/>
          <w:lang w:val="en-US" w:eastAsia="zh-CN"/>
        </w:rPr>
        <w:t>4</w:t>
      </w:r>
      <w:r>
        <w:rPr>
          <w:rFonts w:hint="eastAsia" w:ascii="宋体" w:hAnsi="宋体" w:eastAsia="宋体" w:cs="宋体"/>
          <w:color w:val="auto"/>
        </w:rPr>
        <w:t>月</w:t>
      </w:r>
      <w:r>
        <w:rPr>
          <w:rFonts w:hint="eastAsia" w:ascii="宋体" w:hAnsi="宋体" w:eastAsia="宋体" w:cs="宋体"/>
          <w:color w:val="auto"/>
          <w:lang w:val="en-US" w:eastAsia="zh-CN"/>
        </w:rPr>
        <w:t>30</w:t>
      </w:r>
      <w:r>
        <w:rPr>
          <w:rFonts w:hint="eastAsia" w:ascii="宋体" w:hAnsi="宋体" w:eastAsia="宋体" w:cs="宋体"/>
          <w:color w:val="auto"/>
        </w:rPr>
        <w:t>日，在**召开标</w:t>
      </w:r>
      <w:r>
        <w:rPr>
          <w:rFonts w:hint="eastAsia"/>
          <w:color w:val="auto"/>
        </w:rPr>
        <w:t>准预审会议，对形成的预审稿向相关部门、企业、专家</w:t>
      </w:r>
      <w:r>
        <w:rPr>
          <w:rFonts w:hint="eastAsia"/>
          <w:color w:val="auto"/>
          <w:lang w:eastAsia="zh-CN"/>
        </w:rPr>
        <w:t>、</w:t>
      </w:r>
      <w:r>
        <w:rPr>
          <w:rFonts w:hint="eastAsia"/>
          <w:color w:val="auto"/>
        </w:rPr>
        <w:t>公众征询意见及建议。</w:t>
      </w:r>
      <w:r>
        <w:rPr>
          <w:rFonts w:hint="eastAsia" w:ascii="宋体" w:hAnsi="宋体" w:eastAsia="宋体" w:cs="宋体"/>
          <w:color w:val="auto"/>
        </w:rPr>
        <w:br w:type="textWrapping"/>
      </w:r>
      <w:r>
        <w:rPr>
          <w:rFonts w:hint="eastAsia" w:ascii="宋体" w:hAnsi="宋体" w:eastAsia="宋体" w:cs="宋体"/>
          <w:color w:val="auto"/>
          <w:lang w:val="en-US" w:eastAsia="zh-CN"/>
        </w:rPr>
        <w:t xml:space="preserve">    </w:t>
      </w:r>
      <w:r>
        <w:rPr>
          <w:rFonts w:hint="eastAsia" w:ascii="宋体" w:hAnsi="宋体" w:eastAsia="宋体" w:cs="宋体"/>
          <w:color w:val="auto"/>
        </w:rPr>
        <w:t>2024年</w:t>
      </w:r>
      <w:r>
        <w:rPr>
          <w:rFonts w:hint="eastAsia" w:ascii="宋体" w:hAnsi="宋体" w:eastAsia="宋体" w:cs="宋体"/>
          <w:color w:val="auto"/>
          <w:lang w:val="en-US" w:eastAsia="zh-CN"/>
        </w:rPr>
        <w:t>8</w:t>
      </w:r>
      <w:r>
        <w:rPr>
          <w:rFonts w:hint="eastAsia" w:ascii="宋体" w:hAnsi="宋体" w:eastAsia="宋体" w:cs="宋体"/>
          <w:color w:val="auto"/>
        </w:rPr>
        <w:t>月</w:t>
      </w:r>
      <w:r>
        <w:rPr>
          <w:rFonts w:hint="eastAsia" w:ascii="宋体" w:hAnsi="宋体" w:eastAsia="宋体" w:cs="宋体"/>
          <w:color w:val="auto"/>
          <w:lang w:val="en-US" w:eastAsia="zh-CN"/>
        </w:rPr>
        <w:t>31</w:t>
      </w:r>
      <w:r>
        <w:rPr>
          <w:rFonts w:hint="eastAsia"/>
          <w:color w:val="auto"/>
        </w:rPr>
        <w:t>日</w:t>
      </w:r>
      <w:r>
        <w:rPr>
          <w:rFonts w:hint="eastAsia" w:ascii="宋体" w:hAnsi="宋体" w:eastAsia="宋体" w:cs="宋体"/>
          <w:color w:val="auto"/>
        </w:rPr>
        <w:t>，针对收集的反馈意见与建议，修改完善文本，并形成标准审定稿。</w:t>
      </w:r>
      <w:r>
        <w:rPr>
          <w:rFonts w:hint="eastAsia" w:ascii="宋体" w:hAnsi="宋体" w:eastAsia="宋体" w:cs="宋体"/>
          <w:color w:val="auto"/>
        </w:rPr>
        <w:br w:type="textWrapping"/>
      </w:r>
      <w:r>
        <w:rPr>
          <w:rFonts w:hint="eastAsia" w:ascii="宋体" w:hAnsi="宋体" w:eastAsia="宋体" w:cs="宋体"/>
          <w:color w:val="auto"/>
          <w:lang w:val="en-US" w:eastAsia="zh-CN"/>
        </w:rPr>
        <w:t xml:space="preserve">    </w:t>
      </w:r>
      <w:r>
        <w:rPr>
          <w:rFonts w:hint="eastAsia" w:ascii="宋体" w:hAnsi="宋体" w:eastAsia="宋体" w:cs="宋体"/>
          <w:color w:val="auto"/>
        </w:rPr>
        <w:t>2024年</w:t>
      </w:r>
      <w:r>
        <w:rPr>
          <w:rFonts w:hint="eastAsia" w:ascii="宋体" w:hAnsi="宋体" w:eastAsia="宋体" w:cs="宋体"/>
          <w:color w:val="auto"/>
          <w:lang w:val="en-US" w:eastAsia="zh-CN"/>
        </w:rPr>
        <w:t>9</w:t>
      </w:r>
      <w:r>
        <w:rPr>
          <w:rFonts w:hint="eastAsia" w:ascii="宋体" w:hAnsi="宋体" w:eastAsia="宋体" w:cs="宋体"/>
          <w:color w:val="auto"/>
        </w:rPr>
        <w:t>月</w:t>
      </w:r>
      <w:r>
        <w:rPr>
          <w:rFonts w:hint="eastAsia" w:ascii="宋体" w:hAnsi="宋体" w:eastAsia="宋体" w:cs="宋体"/>
          <w:color w:val="auto"/>
          <w:lang w:val="en-US" w:eastAsia="zh-CN"/>
        </w:rPr>
        <w:t>30</w:t>
      </w:r>
      <w:r>
        <w:rPr>
          <w:rFonts w:hint="eastAsia" w:ascii="宋体" w:hAnsi="宋体" w:eastAsia="宋体" w:cs="宋体"/>
          <w:color w:val="auto"/>
        </w:rPr>
        <w:t>日，开审定会</w:t>
      </w:r>
      <w:r>
        <w:rPr>
          <w:rFonts w:hint="eastAsia" w:ascii="宋体" w:hAnsi="宋体" w:eastAsia="宋体" w:cs="宋体"/>
          <w:color w:val="auto"/>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标准编制原则和确定标准主要内容的依据</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标准编制原则</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1.1本标准按照</w:t>
      </w:r>
      <w:r>
        <w:rPr>
          <w:rFonts w:hint="eastAsia" w:ascii="宋体" w:hAnsi="宋体" w:eastAsia="宋体" w:cs="宋体"/>
        </w:rPr>
        <w:t>GB/T 1.1—2020《标准化工作导则 第1部分：标准化文件的结构和起草规则》</w:t>
      </w:r>
      <w:r>
        <w:rPr>
          <w:rFonts w:hint="eastAsia" w:ascii="宋体" w:hAnsi="宋体" w:eastAsia="宋体" w:cs="宋体"/>
          <w:lang w:val="en-US" w:eastAsia="zh-CN"/>
        </w:rPr>
        <w:t>的要求制定，并符合国家标准编写模板的要求。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1.2 在编制过程中，始终遵循满足市场需求、技术内容科学合理、检测方法操作可行的原则，满足相关法律法规要求。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 xml:space="preserve">1.3 </w:t>
      </w:r>
      <w:r>
        <w:rPr>
          <w:rFonts w:hint="eastAsia" w:ascii="宋体" w:hAnsi="宋体" w:eastAsia="宋体" w:cs="宋体"/>
        </w:rPr>
        <w:t>标准的编制应充分考虑生产企业的产品质量和相关单位的意见，同时要确保用户的需求，为印染和合成洗涤剂</w:t>
      </w:r>
      <w:r>
        <w:rPr>
          <w:rFonts w:hint="eastAsia" w:ascii="宋体" w:hAnsi="宋体" w:eastAsia="宋体" w:cs="宋体"/>
          <w:lang w:val="en-US" w:eastAsia="zh-CN"/>
        </w:rPr>
        <w:t>行业</w:t>
      </w:r>
      <w:r>
        <w:rPr>
          <w:rFonts w:hint="eastAsia" w:ascii="宋体" w:hAnsi="宋体" w:eastAsia="宋体" w:cs="宋体"/>
        </w:rPr>
        <w:t>提供满意的使用原料。</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textAlignment w:val="auto"/>
        <w:rPr>
          <w:rFonts w:hint="default"/>
          <w:b/>
          <w:bCs/>
          <w:lang w:val="en-US" w:eastAsia="zh-CN"/>
        </w:rPr>
      </w:pPr>
      <w:r>
        <w:rPr>
          <w:rFonts w:hint="eastAsia"/>
          <w:b/>
          <w:bCs/>
          <w:lang w:val="en-US" w:eastAsia="zh-CN"/>
        </w:rPr>
        <w:t>确定标准主要内容的依据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default"/>
          <w:lang w:val="en-US" w:eastAsia="zh-CN"/>
        </w:rPr>
      </w:pPr>
      <w:r>
        <w:rPr>
          <w:rFonts w:hint="eastAsia"/>
          <w:lang w:val="en-US" w:eastAsia="zh-CN"/>
        </w:rPr>
        <w:t>2.1企业调研数据</w:t>
      </w:r>
    </w:p>
    <w:p>
      <w:pPr>
        <w:adjustRightInd w:val="0"/>
        <w:snapToGrid w:val="0"/>
        <w:spacing w:before="156" w:beforeLines="50" w:after="156" w:afterLines="50" w:line="240" w:lineRule="auto"/>
        <w:ind w:firstLine="360" w:firstLineChars="20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表1 企业A、B反馈数据</w:t>
      </w:r>
    </w:p>
    <w:tbl>
      <w:tblPr>
        <w:tblStyle w:val="4"/>
        <w:tblW w:w="6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1"/>
        <w:gridCol w:w="1259"/>
        <w:gridCol w:w="1148"/>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931" w:type="dxa"/>
            <w:noWrap w:val="0"/>
            <w:vAlign w:val="center"/>
          </w:tcPr>
          <w:p>
            <w:pPr>
              <w:spacing w:line="400" w:lineRule="exact"/>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项目</w:t>
            </w:r>
          </w:p>
        </w:tc>
        <w:tc>
          <w:tcPr>
            <w:tcW w:w="1259" w:type="dxa"/>
            <w:noWrap w:val="0"/>
            <w:vAlign w:val="center"/>
          </w:tcPr>
          <w:p>
            <w:pPr>
              <w:spacing w:line="40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优等品</w:t>
            </w:r>
          </w:p>
        </w:tc>
        <w:tc>
          <w:tcPr>
            <w:tcW w:w="1148" w:type="dxa"/>
            <w:noWrap w:val="0"/>
            <w:vAlign w:val="center"/>
          </w:tcPr>
          <w:p>
            <w:pPr>
              <w:spacing w:line="40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一等品</w:t>
            </w:r>
          </w:p>
        </w:tc>
        <w:tc>
          <w:tcPr>
            <w:tcW w:w="1860" w:type="dxa"/>
            <w:noWrap w:val="0"/>
            <w:vAlign w:val="center"/>
          </w:tcPr>
          <w:p>
            <w:pPr>
              <w:spacing w:line="40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合格品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931" w:type="dxa"/>
            <w:noWrap w:val="0"/>
            <w:vAlign w:val="center"/>
          </w:tcPr>
          <w:p>
            <w:pPr>
              <w:spacing w:line="400" w:lineRule="exact"/>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Na</w:t>
            </w:r>
            <w:r>
              <w:rPr>
                <w:rFonts w:hint="eastAsia" w:ascii="宋体" w:hAnsi="宋体" w:eastAsia="宋体" w:cs="宋体"/>
                <w:bCs/>
                <w:color w:val="auto"/>
                <w:sz w:val="18"/>
                <w:szCs w:val="18"/>
                <w:vertAlign w:val="subscript"/>
                <w:lang w:val="en-US" w:eastAsia="zh-CN"/>
              </w:rPr>
              <w:t>2</w:t>
            </w:r>
            <w:r>
              <w:rPr>
                <w:rFonts w:hint="eastAsia" w:ascii="宋体" w:hAnsi="宋体" w:eastAsia="宋体" w:cs="宋体"/>
                <w:bCs/>
                <w:color w:val="auto"/>
                <w:sz w:val="18"/>
                <w:szCs w:val="18"/>
              </w:rPr>
              <w:t>SO</w:t>
            </w:r>
            <w:r>
              <w:rPr>
                <w:rFonts w:hint="eastAsia" w:ascii="宋体" w:hAnsi="宋体" w:eastAsia="宋体" w:cs="宋体"/>
                <w:bCs/>
                <w:color w:val="auto"/>
                <w:sz w:val="18"/>
                <w:szCs w:val="18"/>
                <w:vertAlign w:val="subscript"/>
                <w:lang w:val="en-US" w:eastAsia="zh-CN"/>
              </w:rPr>
              <w:t>4</w:t>
            </w:r>
            <w:r>
              <w:rPr>
                <w:rFonts w:hint="eastAsia" w:ascii="宋体" w:hAnsi="宋体" w:eastAsia="宋体" w:cs="宋体"/>
                <w:bCs/>
                <w:color w:val="auto"/>
                <w:sz w:val="18"/>
                <w:szCs w:val="18"/>
              </w:rPr>
              <w:t>（≥%）</w:t>
            </w:r>
          </w:p>
        </w:tc>
        <w:tc>
          <w:tcPr>
            <w:tcW w:w="1259" w:type="dxa"/>
            <w:noWrap w:val="0"/>
            <w:vAlign w:val="center"/>
          </w:tcPr>
          <w:p>
            <w:pPr>
              <w:spacing w:line="400" w:lineRule="exact"/>
              <w:jc w:val="center"/>
              <w:rPr>
                <w:rFonts w:hint="eastAsia" w:ascii="宋体" w:hAnsi="宋体" w:eastAsia="宋体" w:cs="宋体"/>
                <w:bCs/>
                <w:color w:val="auto"/>
                <w:kern w:val="2"/>
                <w:sz w:val="18"/>
                <w:szCs w:val="18"/>
                <w:lang w:val="en-US" w:eastAsia="zh-CN" w:bidi="ar-SA"/>
              </w:rPr>
            </w:pPr>
            <w:r>
              <w:rPr>
                <w:rFonts w:hint="eastAsia" w:ascii="宋体" w:hAnsi="宋体" w:eastAsia="宋体" w:cs="宋体"/>
                <w:bCs/>
                <w:color w:val="auto"/>
                <w:sz w:val="18"/>
                <w:szCs w:val="18"/>
              </w:rPr>
              <w:t>99</w:t>
            </w:r>
          </w:p>
        </w:tc>
        <w:tc>
          <w:tcPr>
            <w:tcW w:w="1148" w:type="dxa"/>
            <w:noWrap w:val="0"/>
            <w:vAlign w:val="center"/>
          </w:tcPr>
          <w:p>
            <w:pPr>
              <w:spacing w:line="400" w:lineRule="exact"/>
              <w:jc w:val="center"/>
              <w:rPr>
                <w:rFonts w:hint="eastAsia" w:ascii="宋体" w:hAnsi="宋体" w:eastAsia="宋体" w:cs="宋体"/>
                <w:bCs/>
                <w:color w:val="auto"/>
                <w:kern w:val="2"/>
                <w:sz w:val="18"/>
                <w:szCs w:val="18"/>
                <w:lang w:val="en-US" w:eastAsia="zh-CN" w:bidi="ar-SA"/>
              </w:rPr>
            </w:pPr>
            <w:r>
              <w:rPr>
                <w:rFonts w:hint="eastAsia" w:ascii="宋体" w:hAnsi="宋体" w:eastAsia="宋体" w:cs="宋体"/>
                <w:bCs/>
                <w:color w:val="auto"/>
                <w:sz w:val="18"/>
                <w:szCs w:val="18"/>
              </w:rPr>
              <w:t>99</w:t>
            </w:r>
          </w:p>
        </w:tc>
        <w:tc>
          <w:tcPr>
            <w:tcW w:w="1860" w:type="dxa"/>
            <w:noWrap w:val="0"/>
            <w:vAlign w:val="center"/>
          </w:tcPr>
          <w:p>
            <w:pPr>
              <w:spacing w:line="400" w:lineRule="exact"/>
              <w:jc w:val="center"/>
              <w:rPr>
                <w:rFonts w:hint="eastAsia" w:ascii="宋体" w:hAnsi="宋体" w:eastAsia="宋体" w:cs="宋体"/>
                <w:b/>
                <w:color w:val="auto"/>
                <w:kern w:val="2"/>
                <w:sz w:val="18"/>
                <w:szCs w:val="18"/>
                <w:lang w:val="en-US" w:eastAsia="zh-CN" w:bidi="ar-SA"/>
              </w:rPr>
            </w:pPr>
            <w:r>
              <w:rPr>
                <w:rFonts w:hint="eastAsia" w:ascii="宋体" w:hAnsi="宋体" w:eastAsia="宋体" w:cs="宋体"/>
                <w:bCs/>
                <w:color w:val="auto"/>
                <w:sz w:val="18"/>
                <w:szCs w:val="18"/>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931" w:type="dxa"/>
            <w:noWrap w:val="0"/>
            <w:vAlign w:val="center"/>
          </w:tcPr>
          <w:p>
            <w:pPr>
              <w:spacing w:line="400" w:lineRule="exact"/>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氨（≤%）</w:t>
            </w:r>
          </w:p>
        </w:tc>
        <w:tc>
          <w:tcPr>
            <w:tcW w:w="1259" w:type="dxa"/>
            <w:noWrap w:val="0"/>
            <w:vAlign w:val="center"/>
          </w:tcPr>
          <w:p>
            <w:pPr>
              <w:spacing w:line="400" w:lineRule="exact"/>
              <w:jc w:val="center"/>
              <w:rPr>
                <w:rFonts w:hint="eastAsia" w:ascii="宋体" w:hAnsi="宋体" w:eastAsia="宋体" w:cs="宋体"/>
                <w:bCs/>
                <w:color w:val="auto"/>
                <w:kern w:val="2"/>
                <w:sz w:val="18"/>
                <w:szCs w:val="18"/>
                <w:lang w:val="en-US" w:eastAsia="zh-CN" w:bidi="ar-SA"/>
              </w:rPr>
            </w:pPr>
            <w:r>
              <w:rPr>
                <w:rFonts w:hint="eastAsia" w:ascii="宋体" w:hAnsi="宋体" w:eastAsia="宋体" w:cs="宋体"/>
                <w:bCs/>
                <w:color w:val="auto"/>
                <w:sz w:val="18"/>
                <w:szCs w:val="18"/>
              </w:rPr>
              <w:t>0.0</w:t>
            </w:r>
            <w:r>
              <w:rPr>
                <w:rFonts w:hint="eastAsia" w:ascii="宋体" w:hAnsi="宋体" w:eastAsia="宋体" w:cs="宋体"/>
                <w:bCs/>
                <w:color w:val="auto"/>
                <w:sz w:val="18"/>
                <w:szCs w:val="18"/>
                <w:lang w:val="en-US" w:eastAsia="zh-CN"/>
              </w:rPr>
              <w:t>02</w:t>
            </w:r>
          </w:p>
        </w:tc>
        <w:tc>
          <w:tcPr>
            <w:tcW w:w="1148" w:type="dxa"/>
            <w:noWrap w:val="0"/>
            <w:vAlign w:val="center"/>
          </w:tcPr>
          <w:p>
            <w:pPr>
              <w:spacing w:line="400" w:lineRule="exact"/>
              <w:jc w:val="center"/>
              <w:rPr>
                <w:rFonts w:hint="eastAsia" w:ascii="宋体" w:hAnsi="宋体" w:eastAsia="宋体" w:cs="宋体"/>
                <w:bCs/>
                <w:color w:val="auto"/>
                <w:kern w:val="2"/>
                <w:sz w:val="18"/>
                <w:szCs w:val="18"/>
                <w:lang w:val="en-US" w:eastAsia="zh-CN" w:bidi="ar-SA"/>
              </w:rPr>
            </w:pPr>
            <w:r>
              <w:rPr>
                <w:rFonts w:hint="eastAsia" w:ascii="宋体" w:hAnsi="宋体" w:eastAsia="宋体" w:cs="宋体"/>
                <w:bCs/>
                <w:color w:val="auto"/>
                <w:sz w:val="18"/>
                <w:szCs w:val="18"/>
              </w:rPr>
              <w:t>0.0</w:t>
            </w:r>
            <w:r>
              <w:rPr>
                <w:rFonts w:hint="eastAsia" w:ascii="宋体" w:hAnsi="宋体" w:eastAsia="宋体" w:cs="宋体"/>
                <w:bCs/>
                <w:color w:val="auto"/>
                <w:sz w:val="18"/>
                <w:szCs w:val="18"/>
                <w:lang w:val="en-US" w:eastAsia="zh-CN"/>
              </w:rPr>
              <w:t>02</w:t>
            </w:r>
          </w:p>
        </w:tc>
        <w:tc>
          <w:tcPr>
            <w:tcW w:w="1860" w:type="dxa"/>
            <w:noWrap w:val="0"/>
            <w:vAlign w:val="center"/>
          </w:tcPr>
          <w:p>
            <w:pPr>
              <w:spacing w:line="400" w:lineRule="exact"/>
              <w:jc w:val="center"/>
              <w:rPr>
                <w:rFonts w:hint="eastAsia" w:ascii="宋体" w:hAnsi="宋体" w:eastAsia="宋体" w:cs="宋体"/>
                <w:bCs/>
                <w:color w:val="auto"/>
                <w:kern w:val="2"/>
                <w:sz w:val="18"/>
                <w:szCs w:val="18"/>
                <w:lang w:val="en-US" w:eastAsia="zh-CN" w:bidi="ar-SA"/>
              </w:rPr>
            </w:pPr>
            <w:r>
              <w:rPr>
                <w:rFonts w:hint="eastAsia" w:ascii="宋体" w:hAnsi="宋体" w:eastAsia="宋体" w:cs="宋体"/>
                <w:bCs/>
                <w:color w:val="auto"/>
                <w:sz w:val="18"/>
                <w:szCs w:val="18"/>
              </w:rPr>
              <w:t>0.0</w:t>
            </w:r>
            <w:r>
              <w:rPr>
                <w:rFonts w:hint="eastAsia" w:ascii="宋体" w:hAnsi="宋体" w:eastAsia="宋体" w:cs="宋体"/>
                <w:bCs/>
                <w:color w:val="auto"/>
                <w:sz w:val="18"/>
                <w:szCs w:val="18"/>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931" w:type="dxa"/>
            <w:noWrap w:val="0"/>
            <w:vAlign w:val="center"/>
          </w:tcPr>
          <w:p>
            <w:pPr>
              <w:spacing w:line="400" w:lineRule="exact"/>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Fe（≤%）</w:t>
            </w:r>
          </w:p>
        </w:tc>
        <w:tc>
          <w:tcPr>
            <w:tcW w:w="1259" w:type="dxa"/>
            <w:noWrap w:val="0"/>
            <w:vAlign w:val="center"/>
          </w:tcPr>
          <w:p>
            <w:pPr>
              <w:spacing w:line="400" w:lineRule="exact"/>
              <w:jc w:val="center"/>
              <w:rPr>
                <w:rFonts w:hint="eastAsia" w:ascii="宋体" w:hAnsi="宋体" w:eastAsia="宋体" w:cs="宋体"/>
                <w:bCs/>
                <w:color w:val="auto"/>
                <w:kern w:val="2"/>
                <w:sz w:val="18"/>
                <w:szCs w:val="18"/>
                <w:highlight w:val="none"/>
                <w:lang w:val="en-US" w:eastAsia="zh-CN" w:bidi="ar-SA"/>
              </w:rPr>
            </w:pPr>
            <w:r>
              <w:rPr>
                <w:rFonts w:hint="eastAsia" w:ascii="宋体" w:hAnsi="宋体" w:eastAsia="宋体" w:cs="宋体"/>
                <w:bCs/>
                <w:color w:val="auto"/>
                <w:sz w:val="18"/>
                <w:szCs w:val="18"/>
                <w:highlight w:val="none"/>
              </w:rPr>
              <w:t>0.002</w:t>
            </w:r>
          </w:p>
        </w:tc>
        <w:tc>
          <w:tcPr>
            <w:tcW w:w="1148" w:type="dxa"/>
            <w:noWrap w:val="0"/>
            <w:vAlign w:val="center"/>
          </w:tcPr>
          <w:p>
            <w:pPr>
              <w:spacing w:line="400" w:lineRule="exact"/>
              <w:jc w:val="center"/>
              <w:rPr>
                <w:rFonts w:hint="eastAsia" w:ascii="宋体" w:hAnsi="宋体" w:eastAsia="宋体" w:cs="宋体"/>
                <w:bCs/>
                <w:color w:val="auto"/>
                <w:kern w:val="2"/>
                <w:sz w:val="18"/>
                <w:szCs w:val="18"/>
                <w:highlight w:val="none"/>
                <w:lang w:val="en-US" w:eastAsia="zh-CN" w:bidi="ar-SA"/>
              </w:rPr>
            </w:pPr>
            <w:r>
              <w:rPr>
                <w:rFonts w:hint="eastAsia" w:ascii="宋体" w:hAnsi="宋体" w:eastAsia="宋体" w:cs="宋体"/>
                <w:bCs/>
                <w:color w:val="auto"/>
                <w:sz w:val="18"/>
                <w:szCs w:val="18"/>
                <w:highlight w:val="none"/>
              </w:rPr>
              <w:t>0.002</w:t>
            </w:r>
          </w:p>
        </w:tc>
        <w:tc>
          <w:tcPr>
            <w:tcW w:w="1860" w:type="dxa"/>
            <w:noWrap w:val="0"/>
            <w:vAlign w:val="center"/>
          </w:tcPr>
          <w:p>
            <w:pPr>
              <w:spacing w:line="400" w:lineRule="exact"/>
              <w:jc w:val="center"/>
              <w:rPr>
                <w:rFonts w:hint="eastAsia" w:ascii="宋体" w:hAnsi="宋体" w:eastAsia="宋体" w:cs="宋体"/>
                <w:bCs/>
                <w:color w:val="auto"/>
                <w:kern w:val="2"/>
                <w:sz w:val="18"/>
                <w:szCs w:val="18"/>
                <w:highlight w:val="none"/>
                <w:lang w:val="en-US" w:eastAsia="zh-CN" w:bidi="ar-SA"/>
              </w:rPr>
            </w:pPr>
            <w:r>
              <w:rPr>
                <w:rFonts w:hint="eastAsia" w:ascii="宋体" w:hAnsi="宋体" w:eastAsia="宋体" w:cs="宋体"/>
                <w:bCs/>
                <w:color w:val="auto"/>
                <w:sz w:val="18"/>
                <w:szCs w:val="18"/>
                <w:highlight w:val="none"/>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931" w:type="dxa"/>
            <w:noWrap w:val="0"/>
            <w:vAlign w:val="center"/>
          </w:tcPr>
          <w:p>
            <w:pPr>
              <w:spacing w:line="400" w:lineRule="exact"/>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Ca（≤%）</w:t>
            </w:r>
          </w:p>
        </w:tc>
        <w:tc>
          <w:tcPr>
            <w:tcW w:w="125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0.01</w:t>
            </w:r>
          </w:p>
        </w:tc>
        <w:tc>
          <w:tcPr>
            <w:tcW w:w="114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0.01</w:t>
            </w:r>
          </w:p>
        </w:tc>
        <w:tc>
          <w:tcPr>
            <w:tcW w:w="1860" w:type="dxa"/>
            <w:noWrap w:val="0"/>
            <w:vAlign w:val="center"/>
          </w:tcPr>
          <w:p>
            <w:pPr>
              <w:spacing w:line="400" w:lineRule="exact"/>
              <w:jc w:val="center"/>
              <w:rPr>
                <w:rFonts w:hint="default" w:ascii="宋体" w:hAnsi="宋体" w:eastAsia="宋体" w:cs="宋体"/>
                <w:bCs/>
                <w:color w:val="auto"/>
                <w:kern w:val="2"/>
                <w:sz w:val="18"/>
                <w:szCs w:val="18"/>
                <w:highlight w:val="none"/>
                <w:lang w:val="en-US" w:eastAsia="zh-CN" w:bidi="ar-SA"/>
              </w:rPr>
            </w:pPr>
            <w:r>
              <w:rPr>
                <w:rFonts w:hint="eastAsia" w:ascii="宋体" w:hAnsi="宋体" w:eastAsia="宋体" w:cs="宋体"/>
                <w:bCs/>
                <w:color w:val="auto"/>
                <w:sz w:val="18"/>
                <w:szCs w:val="18"/>
                <w:highlight w:val="none"/>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931" w:type="dxa"/>
            <w:noWrap w:val="0"/>
            <w:vAlign w:val="center"/>
          </w:tcPr>
          <w:p>
            <w:pPr>
              <w:spacing w:line="400" w:lineRule="exact"/>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Mg（≤%）</w:t>
            </w:r>
          </w:p>
        </w:tc>
        <w:tc>
          <w:tcPr>
            <w:tcW w:w="125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0.01</w:t>
            </w:r>
          </w:p>
        </w:tc>
        <w:tc>
          <w:tcPr>
            <w:tcW w:w="114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0.01</w:t>
            </w:r>
          </w:p>
        </w:tc>
        <w:tc>
          <w:tcPr>
            <w:tcW w:w="1860" w:type="dxa"/>
            <w:noWrap w:val="0"/>
            <w:vAlign w:val="center"/>
          </w:tcPr>
          <w:p>
            <w:pPr>
              <w:spacing w:line="400" w:lineRule="exact"/>
              <w:jc w:val="center"/>
              <w:rPr>
                <w:rFonts w:hint="default" w:ascii="宋体" w:hAnsi="宋体" w:eastAsia="宋体" w:cs="宋体"/>
                <w:bCs/>
                <w:color w:val="auto"/>
                <w:kern w:val="2"/>
                <w:sz w:val="18"/>
                <w:szCs w:val="18"/>
                <w:highlight w:val="none"/>
                <w:lang w:val="en-US" w:eastAsia="zh-CN" w:bidi="ar-SA"/>
              </w:rPr>
            </w:pPr>
            <w:r>
              <w:rPr>
                <w:rFonts w:hint="eastAsia" w:ascii="宋体" w:hAnsi="宋体" w:eastAsia="宋体" w:cs="宋体"/>
                <w:bCs/>
                <w:color w:val="auto"/>
                <w:sz w:val="18"/>
                <w:szCs w:val="18"/>
                <w:highlight w:val="none"/>
              </w:rPr>
              <w:t>0.</w:t>
            </w:r>
            <w:r>
              <w:rPr>
                <w:rFonts w:hint="eastAsia" w:ascii="宋体" w:hAnsi="宋体" w:eastAsia="宋体" w:cs="宋体"/>
                <w:bCs/>
                <w:color w:val="auto"/>
                <w:sz w:val="18"/>
                <w:szCs w:val="18"/>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931" w:type="dxa"/>
            <w:noWrap w:val="0"/>
            <w:vAlign w:val="center"/>
          </w:tcPr>
          <w:p>
            <w:pPr>
              <w:spacing w:line="400" w:lineRule="exact"/>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Cl</w:t>
            </w:r>
            <w:r>
              <w:rPr>
                <w:rFonts w:hint="eastAsia" w:ascii="宋体" w:hAnsi="宋体" w:eastAsia="宋体" w:cs="宋体"/>
                <w:bCs/>
                <w:color w:val="auto"/>
                <w:sz w:val="18"/>
                <w:szCs w:val="18"/>
                <w:vertAlign w:val="superscript"/>
              </w:rPr>
              <w:t>-</w:t>
            </w:r>
            <w:r>
              <w:rPr>
                <w:rFonts w:hint="eastAsia" w:ascii="宋体" w:hAnsi="宋体" w:eastAsia="宋体" w:cs="宋体"/>
                <w:bCs/>
                <w:color w:val="auto"/>
                <w:sz w:val="18"/>
                <w:szCs w:val="18"/>
              </w:rPr>
              <w:t>（≤%）</w:t>
            </w:r>
          </w:p>
        </w:tc>
        <w:tc>
          <w:tcPr>
            <w:tcW w:w="1259" w:type="dxa"/>
            <w:noWrap w:val="0"/>
            <w:vAlign w:val="center"/>
          </w:tcPr>
          <w:p>
            <w:pPr>
              <w:spacing w:line="400" w:lineRule="exact"/>
              <w:jc w:val="center"/>
              <w:rPr>
                <w:rFonts w:hint="eastAsia" w:ascii="宋体" w:hAnsi="宋体" w:eastAsia="宋体" w:cs="宋体"/>
                <w:bCs/>
                <w:color w:val="auto"/>
                <w:kern w:val="2"/>
                <w:sz w:val="18"/>
                <w:szCs w:val="18"/>
                <w:highlight w:val="none"/>
                <w:lang w:val="en-US" w:eastAsia="zh-CN" w:bidi="ar-SA"/>
              </w:rPr>
            </w:pPr>
            <w:r>
              <w:rPr>
                <w:rFonts w:hint="eastAsia" w:ascii="宋体" w:hAnsi="宋体" w:eastAsia="宋体" w:cs="宋体"/>
                <w:bCs/>
                <w:color w:val="auto"/>
                <w:sz w:val="18"/>
                <w:szCs w:val="18"/>
                <w:highlight w:val="none"/>
              </w:rPr>
              <w:t>0.35</w:t>
            </w:r>
          </w:p>
        </w:tc>
        <w:tc>
          <w:tcPr>
            <w:tcW w:w="1148" w:type="dxa"/>
            <w:noWrap w:val="0"/>
            <w:vAlign w:val="center"/>
          </w:tcPr>
          <w:p>
            <w:pPr>
              <w:spacing w:line="400" w:lineRule="exact"/>
              <w:jc w:val="center"/>
              <w:rPr>
                <w:rFonts w:hint="eastAsia" w:ascii="宋体" w:hAnsi="宋体" w:eastAsia="宋体" w:cs="宋体"/>
                <w:bCs/>
                <w:color w:val="auto"/>
                <w:kern w:val="2"/>
                <w:sz w:val="18"/>
                <w:szCs w:val="18"/>
                <w:highlight w:val="none"/>
                <w:lang w:val="en-US" w:eastAsia="zh-CN" w:bidi="ar-SA"/>
              </w:rPr>
            </w:pPr>
            <w:r>
              <w:rPr>
                <w:rFonts w:hint="eastAsia" w:ascii="宋体" w:hAnsi="宋体" w:eastAsia="宋体" w:cs="宋体"/>
                <w:bCs/>
                <w:color w:val="auto"/>
                <w:sz w:val="18"/>
                <w:szCs w:val="18"/>
                <w:highlight w:val="none"/>
              </w:rPr>
              <w:t>0.35</w:t>
            </w:r>
          </w:p>
        </w:tc>
        <w:tc>
          <w:tcPr>
            <w:tcW w:w="1860" w:type="dxa"/>
            <w:noWrap w:val="0"/>
            <w:vAlign w:val="center"/>
          </w:tcPr>
          <w:p>
            <w:pPr>
              <w:spacing w:line="400" w:lineRule="exact"/>
              <w:jc w:val="center"/>
              <w:rPr>
                <w:rFonts w:hint="eastAsia" w:ascii="宋体" w:hAnsi="宋体" w:eastAsia="宋体" w:cs="宋体"/>
                <w:bCs/>
                <w:color w:val="auto"/>
                <w:kern w:val="2"/>
                <w:sz w:val="18"/>
                <w:szCs w:val="18"/>
                <w:highlight w:val="none"/>
                <w:lang w:val="en-US" w:eastAsia="zh-CN" w:bidi="ar-SA"/>
              </w:rPr>
            </w:pPr>
            <w:r>
              <w:rPr>
                <w:rFonts w:hint="eastAsia" w:ascii="宋体" w:hAnsi="宋体" w:eastAsia="宋体" w:cs="宋体"/>
                <w:bCs/>
                <w:color w:val="auto"/>
                <w:sz w:val="18"/>
                <w:szCs w:val="18"/>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931" w:type="dxa"/>
            <w:noWrap w:val="0"/>
            <w:vAlign w:val="center"/>
          </w:tcPr>
          <w:p>
            <w:pPr>
              <w:spacing w:line="400" w:lineRule="exact"/>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水不溶物（≤%）</w:t>
            </w:r>
          </w:p>
        </w:tc>
        <w:tc>
          <w:tcPr>
            <w:tcW w:w="1259" w:type="dxa"/>
            <w:noWrap w:val="0"/>
            <w:vAlign w:val="center"/>
          </w:tcPr>
          <w:p>
            <w:pPr>
              <w:spacing w:line="400" w:lineRule="exact"/>
              <w:jc w:val="center"/>
              <w:rPr>
                <w:rFonts w:hint="eastAsia" w:ascii="宋体" w:hAnsi="宋体" w:eastAsia="宋体" w:cs="宋体"/>
                <w:bCs/>
                <w:color w:val="auto"/>
                <w:kern w:val="2"/>
                <w:sz w:val="18"/>
                <w:szCs w:val="18"/>
                <w:highlight w:val="none"/>
                <w:lang w:val="en-US" w:eastAsia="zh-CN" w:bidi="ar-SA"/>
              </w:rPr>
            </w:pPr>
            <w:r>
              <w:rPr>
                <w:rFonts w:hint="eastAsia" w:ascii="宋体" w:hAnsi="宋体" w:eastAsia="宋体" w:cs="宋体"/>
                <w:bCs/>
                <w:color w:val="auto"/>
                <w:sz w:val="18"/>
                <w:szCs w:val="18"/>
                <w:highlight w:val="none"/>
              </w:rPr>
              <w:t>0.05</w:t>
            </w:r>
          </w:p>
        </w:tc>
        <w:tc>
          <w:tcPr>
            <w:tcW w:w="1148" w:type="dxa"/>
            <w:noWrap w:val="0"/>
            <w:vAlign w:val="center"/>
          </w:tcPr>
          <w:p>
            <w:pPr>
              <w:spacing w:line="400" w:lineRule="exact"/>
              <w:jc w:val="center"/>
              <w:rPr>
                <w:rFonts w:hint="eastAsia" w:ascii="宋体" w:hAnsi="宋体" w:eastAsia="宋体" w:cs="宋体"/>
                <w:bCs/>
                <w:color w:val="auto"/>
                <w:kern w:val="2"/>
                <w:sz w:val="18"/>
                <w:szCs w:val="18"/>
                <w:highlight w:val="none"/>
                <w:lang w:val="en-US" w:eastAsia="zh-CN" w:bidi="ar-SA"/>
              </w:rPr>
            </w:pPr>
            <w:r>
              <w:rPr>
                <w:rFonts w:hint="eastAsia" w:ascii="宋体" w:hAnsi="宋体" w:eastAsia="宋体" w:cs="宋体"/>
                <w:bCs/>
                <w:color w:val="auto"/>
                <w:sz w:val="18"/>
                <w:szCs w:val="18"/>
                <w:highlight w:val="none"/>
              </w:rPr>
              <w:t>0.05</w:t>
            </w:r>
          </w:p>
        </w:tc>
        <w:tc>
          <w:tcPr>
            <w:tcW w:w="1860" w:type="dxa"/>
            <w:noWrap w:val="0"/>
            <w:vAlign w:val="center"/>
          </w:tcPr>
          <w:p>
            <w:pPr>
              <w:spacing w:line="400" w:lineRule="exact"/>
              <w:jc w:val="center"/>
              <w:rPr>
                <w:rFonts w:hint="eastAsia" w:ascii="宋体" w:hAnsi="宋体" w:eastAsia="宋体" w:cs="宋体"/>
                <w:bCs/>
                <w:color w:val="auto"/>
                <w:kern w:val="2"/>
                <w:sz w:val="18"/>
                <w:szCs w:val="18"/>
                <w:highlight w:val="none"/>
                <w:lang w:val="en-US" w:eastAsia="zh-CN" w:bidi="ar-SA"/>
              </w:rPr>
            </w:pPr>
            <w:r>
              <w:rPr>
                <w:rFonts w:hint="eastAsia" w:ascii="宋体" w:hAnsi="宋体" w:eastAsia="宋体" w:cs="宋体"/>
                <w:bCs/>
                <w:color w:val="auto"/>
                <w:sz w:val="18"/>
                <w:szCs w:val="18"/>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931" w:type="dxa"/>
            <w:noWrap w:val="0"/>
            <w:vAlign w:val="center"/>
          </w:tcPr>
          <w:p>
            <w:pPr>
              <w:spacing w:line="400" w:lineRule="exact"/>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水分（≤%）</w:t>
            </w:r>
          </w:p>
        </w:tc>
        <w:tc>
          <w:tcPr>
            <w:tcW w:w="1259" w:type="dxa"/>
            <w:noWrap w:val="0"/>
            <w:vAlign w:val="center"/>
          </w:tcPr>
          <w:p>
            <w:pPr>
              <w:spacing w:line="400" w:lineRule="exact"/>
              <w:jc w:val="center"/>
              <w:rPr>
                <w:rFonts w:hint="default" w:ascii="宋体" w:hAnsi="宋体" w:eastAsia="宋体" w:cs="宋体"/>
                <w:bCs/>
                <w:color w:val="auto"/>
                <w:kern w:val="2"/>
                <w:sz w:val="18"/>
                <w:szCs w:val="18"/>
                <w:highlight w:val="none"/>
                <w:lang w:val="en-US" w:eastAsia="zh-CN" w:bidi="ar-SA"/>
              </w:rPr>
            </w:pPr>
            <w:r>
              <w:rPr>
                <w:rFonts w:hint="eastAsia" w:ascii="宋体" w:hAnsi="宋体" w:eastAsia="宋体" w:cs="宋体"/>
                <w:bCs/>
                <w:color w:val="auto"/>
                <w:sz w:val="18"/>
                <w:szCs w:val="18"/>
                <w:highlight w:val="none"/>
                <w:lang w:val="en-US" w:eastAsia="zh-CN"/>
              </w:rPr>
              <w:t>0.02</w:t>
            </w:r>
          </w:p>
        </w:tc>
        <w:tc>
          <w:tcPr>
            <w:tcW w:w="1148" w:type="dxa"/>
            <w:noWrap w:val="0"/>
            <w:vAlign w:val="center"/>
          </w:tcPr>
          <w:p>
            <w:pPr>
              <w:spacing w:line="400" w:lineRule="exact"/>
              <w:jc w:val="center"/>
              <w:rPr>
                <w:rFonts w:hint="eastAsia" w:ascii="宋体" w:hAnsi="宋体" w:eastAsia="宋体" w:cs="宋体"/>
                <w:bCs/>
                <w:color w:val="auto"/>
                <w:kern w:val="2"/>
                <w:sz w:val="18"/>
                <w:szCs w:val="18"/>
                <w:highlight w:val="none"/>
                <w:lang w:val="en-US" w:eastAsia="zh-CN" w:bidi="ar-SA"/>
              </w:rPr>
            </w:pPr>
            <w:r>
              <w:rPr>
                <w:rFonts w:hint="eastAsia" w:ascii="宋体" w:hAnsi="宋体" w:eastAsia="宋体" w:cs="宋体"/>
                <w:bCs/>
                <w:color w:val="auto"/>
                <w:sz w:val="18"/>
                <w:szCs w:val="18"/>
                <w:highlight w:val="none"/>
              </w:rPr>
              <w:t>0.2</w:t>
            </w:r>
          </w:p>
        </w:tc>
        <w:tc>
          <w:tcPr>
            <w:tcW w:w="1860" w:type="dxa"/>
            <w:noWrap w:val="0"/>
            <w:vAlign w:val="center"/>
          </w:tcPr>
          <w:p>
            <w:pPr>
              <w:spacing w:line="400" w:lineRule="exact"/>
              <w:jc w:val="center"/>
              <w:rPr>
                <w:rFonts w:hint="eastAsia" w:ascii="宋体" w:hAnsi="宋体" w:eastAsia="宋体" w:cs="宋体"/>
                <w:bCs/>
                <w:color w:val="auto"/>
                <w:kern w:val="2"/>
                <w:sz w:val="18"/>
                <w:szCs w:val="18"/>
                <w:highlight w:val="none"/>
                <w:lang w:val="en-US" w:eastAsia="zh-CN" w:bidi="ar-SA"/>
              </w:rPr>
            </w:pPr>
            <w:r>
              <w:rPr>
                <w:rFonts w:hint="eastAsia" w:ascii="宋体" w:hAnsi="宋体" w:eastAsia="宋体" w:cs="宋体"/>
                <w:bCs/>
                <w:color w:val="auto"/>
                <w:sz w:val="18"/>
                <w:szCs w:val="18"/>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931" w:type="dxa"/>
            <w:noWrap w:val="0"/>
            <w:vAlign w:val="center"/>
          </w:tcPr>
          <w:p>
            <w:pPr>
              <w:spacing w:line="400" w:lineRule="exact"/>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镍钴锰（≤%）</w:t>
            </w:r>
          </w:p>
        </w:tc>
        <w:tc>
          <w:tcPr>
            <w:tcW w:w="1259" w:type="dxa"/>
            <w:noWrap w:val="0"/>
            <w:vAlign w:val="center"/>
          </w:tcPr>
          <w:p>
            <w:pPr>
              <w:spacing w:line="400" w:lineRule="exact"/>
              <w:jc w:val="center"/>
              <w:rPr>
                <w:rFonts w:hint="eastAsia" w:ascii="宋体" w:hAnsi="宋体" w:eastAsia="宋体" w:cs="宋体"/>
                <w:bCs/>
                <w:color w:val="auto"/>
                <w:kern w:val="2"/>
                <w:sz w:val="18"/>
                <w:szCs w:val="18"/>
                <w:lang w:val="en-US" w:eastAsia="zh-CN" w:bidi="ar-SA"/>
              </w:rPr>
            </w:pPr>
            <w:r>
              <w:rPr>
                <w:rFonts w:hint="eastAsia" w:ascii="宋体" w:hAnsi="宋体" w:eastAsia="宋体" w:cs="宋体"/>
                <w:bCs/>
                <w:color w:val="auto"/>
                <w:sz w:val="18"/>
                <w:szCs w:val="18"/>
              </w:rPr>
              <w:t>0.0</w:t>
            </w:r>
            <w:r>
              <w:rPr>
                <w:rFonts w:hint="eastAsia" w:ascii="宋体" w:hAnsi="宋体" w:eastAsia="宋体" w:cs="宋体"/>
                <w:bCs/>
                <w:color w:val="auto"/>
                <w:sz w:val="18"/>
                <w:szCs w:val="18"/>
                <w:lang w:val="en-US" w:eastAsia="zh-CN"/>
              </w:rPr>
              <w:t>05</w:t>
            </w:r>
          </w:p>
        </w:tc>
        <w:tc>
          <w:tcPr>
            <w:tcW w:w="1148" w:type="dxa"/>
            <w:noWrap w:val="0"/>
            <w:vAlign w:val="center"/>
          </w:tcPr>
          <w:p>
            <w:pPr>
              <w:spacing w:line="400" w:lineRule="exact"/>
              <w:jc w:val="center"/>
              <w:rPr>
                <w:rFonts w:hint="eastAsia" w:ascii="宋体" w:hAnsi="宋体" w:eastAsia="宋体" w:cs="宋体"/>
                <w:bCs/>
                <w:color w:val="auto"/>
                <w:kern w:val="2"/>
                <w:sz w:val="18"/>
                <w:szCs w:val="18"/>
                <w:lang w:val="en-US" w:eastAsia="zh-CN" w:bidi="ar-SA"/>
              </w:rPr>
            </w:pPr>
            <w:r>
              <w:rPr>
                <w:rFonts w:hint="eastAsia" w:ascii="宋体" w:hAnsi="宋体" w:eastAsia="宋体" w:cs="宋体"/>
                <w:bCs/>
                <w:color w:val="auto"/>
                <w:sz w:val="18"/>
                <w:szCs w:val="18"/>
              </w:rPr>
              <w:t>0.0</w:t>
            </w:r>
            <w:r>
              <w:rPr>
                <w:rFonts w:hint="eastAsia" w:ascii="宋体" w:hAnsi="宋体" w:eastAsia="宋体" w:cs="宋体"/>
                <w:bCs/>
                <w:color w:val="auto"/>
                <w:sz w:val="18"/>
                <w:szCs w:val="18"/>
                <w:lang w:val="en-US" w:eastAsia="zh-CN"/>
              </w:rPr>
              <w:t>05</w:t>
            </w:r>
          </w:p>
        </w:tc>
        <w:tc>
          <w:tcPr>
            <w:tcW w:w="1860" w:type="dxa"/>
            <w:noWrap w:val="0"/>
            <w:vAlign w:val="center"/>
          </w:tcPr>
          <w:p>
            <w:pPr>
              <w:spacing w:line="400" w:lineRule="exact"/>
              <w:jc w:val="center"/>
              <w:rPr>
                <w:rFonts w:hint="eastAsia" w:ascii="宋体" w:hAnsi="宋体" w:eastAsia="宋体" w:cs="宋体"/>
                <w:bCs/>
                <w:color w:val="auto"/>
                <w:kern w:val="2"/>
                <w:sz w:val="18"/>
                <w:szCs w:val="18"/>
                <w:lang w:val="en-US" w:eastAsia="zh-CN" w:bidi="ar-SA"/>
              </w:rPr>
            </w:pPr>
            <w:r>
              <w:rPr>
                <w:rFonts w:hint="eastAsia" w:ascii="宋体" w:hAnsi="宋体" w:eastAsia="宋体" w:cs="宋体"/>
                <w:bCs/>
                <w:color w:val="auto"/>
                <w:sz w:val="18"/>
                <w:szCs w:val="18"/>
              </w:rPr>
              <w:t>0.0</w:t>
            </w:r>
            <w:r>
              <w:rPr>
                <w:rFonts w:hint="eastAsia" w:ascii="宋体" w:hAnsi="宋体" w:eastAsia="宋体" w:cs="宋体"/>
                <w:bCs/>
                <w:color w:val="auto"/>
                <w:sz w:val="18"/>
                <w:szCs w:val="18"/>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931" w:type="dxa"/>
            <w:tcBorders>
              <w:bottom w:val="single" w:color="auto" w:sz="4" w:space="0"/>
            </w:tcBorders>
            <w:noWrap w:val="0"/>
            <w:vAlign w:val="center"/>
          </w:tcPr>
          <w:p>
            <w:pPr>
              <w:spacing w:line="40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pH</w:t>
            </w:r>
          </w:p>
        </w:tc>
        <w:tc>
          <w:tcPr>
            <w:tcW w:w="1259" w:type="dxa"/>
            <w:tcBorders>
              <w:bottom w:val="single" w:color="auto" w:sz="4" w:space="0"/>
            </w:tcBorders>
            <w:noWrap w:val="0"/>
            <w:vAlign w:val="center"/>
          </w:tcPr>
          <w:p>
            <w:pPr>
              <w:spacing w:line="400" w:lineRule="exact"/>
              <w:jc w:val="center"/>
              <w:rPr>
                <w:rFonts w:hint="default" w:ascii="宋体" w:hAnsi="宋体" w:eastAsia="宋体" w:cs="宋体"/>
                <w:bCs/>
                <w:color w:val="auto"/>
                <w:kern w:val="2"/>
                <w:sz w:val="18"/>
                <w:szCs w:val="18"/>
                <w:highlight w:val="none"/>
                <w:lang w:val="en-US" w:eastAsia="zh-CN" w:bidi="ar-SA"/>
              </w:rPr>
            </w:pPr>
            <w:r>
              <w:rPr>
                <w:rFonts w:hint="eastAsia" w:ascii="宋体" w:hAnsi="宋体" w:eastAsia="宋体" w:cs="宋体"/>
                <w:bCs/>
                <w:color w:val="auto"/>
                <w:sz w:val="18"/>
                <w:szCs w:val="18"/>
                <w:highlight w:val="none"/>
                <w:lang w:val="en-US" w:eastAsia="zh-CN"/>
              </w:rPr>
              <w:t>6～9</w:t>
            </w:r>
          </w:p>
        </w:tc>
        <w:tc>
          <w:tcPr>
            <w:tcW w:w="1148" w:type="dxa"/>
            <w:tcBorders>
              <w:bottom w:val="single" w:color="auto" w:sz="4" w:space="0"/>
            </w:tcBorders>
            <w:noWrap w:val="0"/>
            <w:vAlign w:val="center"/>
          </w:tcPr>
          <w:p>
            <w:pPr>
              <w:spacing w:line="400" w:lineRule="exact"/>
              <w:jc w:val="center"/>
              <w:rPr>
                <w:rFonts w:hint="eastAsia" w:ascii="宋体" w:hAnsi="宋体" w:eastAsia="宋体" w:cs="宋体"/>
                <w:bCs/>
                <w:color w:val="auto"/>
                <w:kern w:val="2"/>
                <w:sz w:val="18"/>
                <w:szCs w:val="18"/>
                <w:highlight w:val="none"/>
                <w:lang w:val="en-US" w:eastAsia="zh-CN" w:bidi="ar-SA"/>
              </w:rPr>
            </w:pPr>
            <w:r>
              <w:rPr>
                <w:rFonts w:hint="eastAsia" w:ascii="宋体" w:hAnsi="宋体" w:eastAsia="宋体" w:cs="宋体"/>
                <w:bCs/>
                <w:color w:val="auto"/>
                <w:sz w:val="18"/>
                <w:szCs w:val="18"/>
                <w:highlight w:val="none"/>
                <w:lang w:val="en-US" w:eastAsia="zh-CN"/>
              </w:rPr>
              <w:t>6～9</w:t>
            </w:r>
          </w:p>
        </w:tc>
        <w:tc>
          <w:tcPr>
            <w:tcW w:w="1860" w:type="dxa"/>
            <w:tcBorders>
              <w:bottom w:val="single" w:color="auto" w:sz="4" w:space="0"/>
            </w:tcBorders>
            <w:noWrap w:val="0"/>
            <w:vAlign w:val="center"/>
          </w:tcPr>
          <w:p>
            <w:pPr>
              <w:spacing w:line="400" w:lineRule="exact"/>
              <w:jc w:val="center"/>
              <w:rPr>
                <w:rFonts w:hint="default" w:ascii="宋体" w:hAnsi="宋体" w:eastAsia="宋体" w:cs="宋体"/>
                <w:bCs/>
                <w:color w:val="auto"/>
                <w:kern w:val="2"/>
                <w:sz w:val="18"/>
                <w:szCs w:val="18"/>
                <w:highlight w:val="none"/>
                <w:lang w:val="en-US" w:eastAsia="zh-CN" w:bidi="ar-SA"/>
              </w:rPr>
            </w:pPr>
            <w:r>
              <w:rPr>
                <w:rFonts w:hint="eastAsia" w:ascii="宋体" w:hAnsi="宋体" w:eastAsia="宋体" w:cs="宋体"/>
                <w:bCs/>
                <w:color w:val="auto"/>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931" w:type="dxa"/>
            <w:tcBorders>
              <w:bottom w:val="single" w:color="auto" w:sz="4" w:space="0"/>
            </w:tcBorders>
            <w:noWrap w:val="0"/>
            <w:vAlign w:val="center"/>
          </w:tcPr>
          <w:p>
            <w:pPr>
              <w:spacing w:line="400" w:lineRule="exact"/>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白度（R457）</w:t>
            </w:r>
          </w:p>
        </w:tc>
        <w:tc>
          <w:tcPr>
            <w:tcW w:w="1259" w:type="dxa"/>
            <w:tcBorders>
              <w:bottom w:val="single" w:color="auto" w:sz="4" w:space="0"/>
            </w:tcBorders>
            <w:noWrap w:val="0"/>
            <w:vAlign w:val="center"/>
          </w:tcPr>
          <w:p>
            <w:pPr>
              <w:spacing w:line="400" w:lineRule="exact"/>
              <w:jc w:val="center"/>
              <w:rPr>
                <w:rFonts w:hint="eastAsia" w:ascii="宋体" w:hAnsi="宋体" w:eastAsia="宋体" w:cs="宋体"/>
                <w:bCs/>
                <w:color w:val="auto"/>
                <w:kern w:val="2"/>
                <w:sz w:val="18"/>
                <w:szCs w:val="18"/>
                <w:highlight w:val="none"/>
                <w:lang w:val="en-US" w:eastAsia="zh-CN" w:bidi="ar-SA"/>
              </w:rPr>
            </w:pPr>
            <w:r>
              <w:rPr>
                <w:rFonts w:hint="eastAsia" w:ascii="宋体" w:hAnsi="宋体" w:eastAsia="宋体" w:cs="宋体"/>
                <w:bCs/>
                <w:color w:val="auto"/>
                <w:sz w:val="18"/>
                <w:szCs w:val="18"/>
                <w:highlight w:val="none"/>
              </w:rPr>
              <w:t>≥85</w:t>
            </w:r>
          </w:p>
        </w:tc>
        <w:tc>
          <w:tcPr>
            <w:tcW w:w="1148" w:type="dxa"/>
            <w:tcBorders>
              <w:bottom w:val="single" w:color="auto" w:sz="4" w:space="0"/>
            </w:tcBorders>
            <w:noWrap w:val="0"/>
            <w:vAlign w:val="center"/>
          </w:tcPr>
          <w:p>
            <w:pPr>
              <w:spacing w:line="400" w:lineRule="exact"/>
              <w:jc w:val="center"/>
              <w:rPr>
                <w:rFonts w:hint="default" w:ascii="宋体" w:hAnsi="宋体" w:eastAsia="宋体" w:cs="宋体"/>
                <w:bCs/>
                <w:color w:val="auto"/>
                <w:kern w:val="2"/>
                <w:sz w:val="18"/>
                <w:szCs w:val="18"/>
                <w:highlight w:val="none"/>
                <w:lang w:val="en-US" w:eastAsia="zh-CN" w:bidi="ar-SA"/>
              </w:rPr>
            </w:pPr>
            <w:r>
              <w:rPr>
                <w:rFonts w:hint="eastAsia" w:ascii="宋体" w:hAnsi="宋体" w:eastAsia="宋体" w:cs="宋体"/>
                <w:bCs/>
                <w:color w:val="auto"/>
                <w:sz w:val="18"/>
                <w:szCs w:val="18"/>
                <w:highlight w:val="none"/>
                <w:lang w:val="en-US" w:eastAsia="zh-CN"/>
              </w:rPr>
              <w:t>≤84</w:t>
            </w:r>
          </w:p>
        </w:tc>
        <w:tc>
          <w:tcPr>
            <w:tcW w:w="1860" w:type="dxa"/>
            <w:tcBorders>
              <w:bottom w:val="single" w:color="auto" w:sz="4" w:space="0"/>
            </w:tcBorders>
            <w:noWrap w:val="0"/>
            <w:vAlign w:val="center"/>
          </w:tcPr>
          <w:p>
            <w:pPr>
              <w:spacing w:line="400" w:lineRule="exact"/>
              <w:jc w:val="center"/>
              <w:rPr>
                <w:rFonts w:hint="eastAsia" w:ascii="宋体" w:hAnsi="宋体" w:eastAsia="宋体" w:cs="宋体"/>
                <w:bCs/>
                <w:color w:val="auto"/>
                <w:kern w:val="2"/>
                <w:sz w:val="18"/>
                <w:szCs w:val="18"/>
                <w:highlight w:val="none"/>
                <w:lang w:val="en-US" w:eastAsia="zh-CN" w:bidi="ar-SA"/>
              </w:rPr>
            </w:pPr>
            <w:r>
              <w:rPr>
                <w:rFonts w:hint="eastAsia" w:ascii="宋体" w:hAnsi="宋体" w:eastAsia="宋体" w:cs="宋体"/>
                <w:bCs/>
                <w:color w:val="auto"/>
                <w:sz w:val="18"/>
                <w:szCs w:val="18"/>
                <w:highlight w:val="none"/>
                <w:lang w:eastAsia="zh-CN"/>
              </w:rPr>
              <w:t>—</w:t>
            </w:r>
          </w:p>
        </w:tc>
      </w:tr>
    </w:tbl>
    <w:p>
      <w:pPr>
        <w:adjustRightInd w:val="0"/>
        <w:snapToGrid w:val="0"/>
        <w:spacing w:before="156" w:beforeLines="50" w:after="156" w:afterLines="50" w:line="240" w:lineRule="auto"/>
        <w:ind w:firstLine="360" w:firstLineChars="20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表2 企业C反馈数据</w:t>
      </w:r>
    </w:p>
    <w:tbl>
      <w:tblPr>
        <w:tblStyle w:val="4"/>
        <w:tblW w:w="37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1"/>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931" w:type="dxa"/>
            <w:noWrap w:val="0"/>
            <w:vAlign w:val="center"/>
          </w:tcPr>
          <w:p>
            <w:pPr>
              <w:spacing w:line="400" w:lineRule="exact"/>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项目</w:t>
            </w:r>
          </w:p>
        </w:tc>
        <w:tc>
          <w:tcPr>
            <w:tcW w:w="1860" w:type="dxa"/>
            <w:noWrap w:val="0"/>
            <w:vAlign w:val="center"/>
          </w:tcPr>
          <w:p>
            <w:pPr>
              <w:spacing w:line="40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合格品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931" w:type="dxa"/>
            <w:noWrap w:val="0"/>
            <w:vAlign w:val="center"/>
          </w:tcPr>
          <w:p>
            <w:pPr>
              <w:spacing w:line="400" w:lineRule="exact"/>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Na</w:t>
            </w:r>
            <w:r>
              <w:rPr>
                <w:rFonts w:hint="eastAsia" w:ascii="宋体" w:hAnsi="宋体" w:eastAsia="宋体" w:cs="宋体"/>
                <w:bCs/>
                <w:color w:val="auto"/>
                <w:sz w:val="18"/>
                <w:szCs w:val="18"/>
                <w:vertAlign w:val="subscript"/>
                <w:lang w:val="en-US" w:eastAsia="zh-CN"/>
              </w:rPr>
              <w:t>2</w:t>
            </w:r>
            <w:r>
              <w:rPr>
                <w:rFonts w:hint="eastAsia" w:ascii="宋体" w:hAnsi="宋体" w:eastAsia="宋体" w:cs="宋体"/>
                <w:bCs/>
                <w:color w:val="auto"/>
                <w:sz w:val="18"/>
                <w:szCs w:val="18"/>
              </w:rPr>
              <w:t>SO</w:t>
            </w:r>
            <w:r>
              <w:rPr>
                <w:rFonts w:hint="eastAsia" w:ascii="宋体" w:hAnsi="宋体" w:eastAsia="宋体" w:cs="宋体"/>
                <w:bCs/>
                <w:color w:val="auto"/>
                <w:sz w:val="18"/>
                <w:szCs w:val="18"/>
                <w:vertAlign w:val="subscript"/>
                <w:lang w:val="en-US" w:eastAsia="zh-CN"/>
              </w:rPr>
              <w:t>4</w:t>
            </w:r>
            <w:r>
              <w:rPr>
                <w:rFonts w:hint="eastAsia" w:ascii="宋体" w:hAnsi="宋体" w:eastAsia="宋体" w:cs="宋体"/>
                <w:bCs/>
                <w:color w:val="auto"/>
                <w:sz w:val="18"/>
                <w:szCs w:val="18"/>
              </w:rPr>
              <w:t>（≥%）</w:t>
            </w:r>
          </w:p>
        </w:tc>
        <w:tc>
          <w:tcPr>
            <w:tcW w:w="1860" w:type="dxa"/>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18"/>
                <w:szCs w:val="18"/>
                <w:lang w:val="en-US" w:eastAsia="zh-CN" w:bidi="ar-SA"/>
              </w:rPr>
            </w:pPr>
            <w:r>
              <w:rPr>
                <w:rFonts w:hint="eastAsia" w:ascii="宋体" w:hAnsi="宋体" w:eastAsia="宋体" w:cs="宋体"/>
                <w:i w:val="0"/>
                <w:iCs w:val="0"/>
                <w:color w:val="auto"/>
                <w:kern w:val="0"/>
                <w:sz w:val="18"/>
                <w:szCs w:val="18"/>
                <w:u w:val="none"/>
                <w:lang w:val="en-US" w:eastAsia="zh-CN" w:bidi="ar"/>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931" w:type="dxa"/>
            <w:noWrap w:val="0"/>
            <w:vAlign w:val="center"/>
          </w:tcPr>
          <w:p>
            <w:pPr>
              <w:spacing w:line="400" w:lineRule="exact"/>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氨（≤%）</w:t>
            </w:r>
          </w:p>
        </w:tc>
        <w:tc>
          <w:tcPr>
            <w:tcW w:w="1860" w:type="dxa"/>
            <w:noWrap w:val="0"/>
            <w:vAlign w:val="center"/>
          </w:tcPr>
          <w:p>
            <w:pPr>
              <w:jc w:val="center"/>
              <w:rPr>
                <w:rFonts w:hint="eastAsia" w:ascii="宋体" w:hAnsi="宋体" w:eastAsia="宋体" w:cs="宋体"/>
                <w:bCs/>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931" w:type="dxa"/>
            <w:noWrap w:val="0"/>
            <w:vAlign w:val="center"/>
          </w:tcPr>
          <w:p>
            <w:pPr>
              <w:spacing w:line="400" w:lineRule="exact"/>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Fe（≤%）</w:t>
            </w:r>
          </w:p>
        </w:tc>
        <w:tc>
          <w:tcPr>
            <w:tcW w:w="1860" w:type="dxa"/>
            <w:noWrap w:val="0"/>
            <w:vAlign w:val="center"/>
          </w:tcPr>
          <w:p>
            <w:pPr>
              <w:keepNext w:val="0"/>
              <w:keepLines w:val="0"/>
              <w:widowControl/>
              <w:suppressLineNumbers w:val="0"/>
              <w:jc w:val="center"/>
              <w:textAlignment w:val="center"/>
              <w:rPr>
                <w:rFonts w:hint="default" w:ascii="宋体" w:hAnsi="宋体" w:eastAsia="宋体" w:cs="宋体"/>
                <w:bCs/>
                <w:color w:val="auto"/>
                <w:kern w:val="2"/>
                <w:sz w:val="18"/>
                <w:szCs w:val="18"/>
                <w:highlight w:val="none"/>
                <w:lang w:val="en-US" w:eastAsia="zh-CN" w:bidi="ar-SA"/>
              </w:rPr>
            </w:pPr>
            <w:r>
              <w:rPr>
                <w:rFonts w:hint="eastAsia" w:ascii="宋体" w:hAnsi="宋体" w:eastAsia="宋体" w:cs="宋体"/>
                <w:i w:val="0"/>
                <w:iCs w:val="0"/>
                <w:color w:val="auto"/>
                <w:kern w:val="0"/>
                <w:sz w:val="18"/>
                <w:szCs w:val="18"/>
                <w:u w:val="none"/>
                <w:lang w:val="en-US" w:eastAsia="zh-CN" w:bidi="ar"/>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931" w:type="dxa"/>
            <w:noWrap w:val="0"/>
            <w:vAlign w:val="center"/>
          </w:tcPr>
          <w:p>
            <w:pPr>
              <w:spacing w:line="400" w:lineRule="exact"/>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Ca（≤%）</w:t>
            </w:r>
          </w:p>
        </w:tc>
        <w:tc>
          <w:tcPr>
            <w:tcW w:w="1860" w:type="dxa"/>
            <w:noWrap w:val="0"/>
            <w:vAlign w:val="center"/>
          </w:tcPr>
          <w:p>
            <w:pPr>
              <w:keepNext w:val="0"/>
              <w:keepLines w:val="0"/>
              <w:widowControl/>
              <w:suppressLineNumbers w:val="0"/>
              <w:jc w:val="center"/>
              <w:textAlignment w:val="center"/>
              <w:rPr>
                <w:rFonts w:hint="default" w:ascii="宋体" w:hAnsi="宋体" w:eastAsia="宋体" w:cs="宋体"/>
                <w:bCs/>
                <w:color w:val="auto"/>
                <w:kern w:val="2"/>
                <w:sz w:val="18"/>
                <w:szCs w:val="18"/>
                <w:highlight w:val="none"/>
                <w:lang w:val="en-US" w:eastAsia="zh-CN" w:bidi="ar-SA"/>
              </w:rPr>
            </w:pPr>
            <w:r>
              <w:rPr>
                <w:rFonts w:hint="eastAsia" w:ascii="宋体" w:hAnsi="宋体" w:eastAsia="宋体" w:cs="宋体"/>
                <w:i w:val="0"/>
                <w:iCs w:val="0"/>
                <w:color w:val="auto"/>
                <w:kern w:val="0"/>
                <w:sz w:val="18"/>
                <w:szCs w:val="18"/>
                <w:u w:val="none"/>
                <w:lang w:val="en-US" w:eastAsia="zh-CN" w:bidi="ar"/>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931" w:type="dxa"/>
            <w:noWrap w:val="0"/>
            <w:vAlign w:val="center"/>
          </w:tcPr>
          <w:p>
            <w:pPr>
              <w:spacing w:line="400" w:lineRule="exact"/>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Mg（≤%）</w:t>
            </w:r>
          </w:p>
        </w:tc>
        <w:tc>
          <w:tcPr>
            <w:tcW w:w="1860" w:type="dxa"/>
            <w:noWrap w:val="0"/>
            <w:vAlign w:val="center"/>
          </w:tcPr>
          <w:p>
            <w:pPr>
              <w:keepNext w:val="0"/>
              <w:keepLines w:val="0"/>
              <w:widowControl/>
              <w:suppressLineNumbers w:val="0"/>
              <w:jc w:val="center"/>
              <w:textAlignment w:val="center"/>
              <w:rPr>
                <w:rFonts w:hint="default" w:ascii="宋体" w:hAnsi="宋体" w:eastAsia="宋体" w:cs="宋体"/>
                <w:bCs/>
                <w:color w:val="auto"/>
                <w:kern w:val="2"/>
                <w:sz w:val="18"/>
                <w:szCs w:val="18"/>
                <w:highlight w:val="none"/>
                <w:lang w:val="en-US" w:eastAsia="zh-CN" w:bidi="ar-SA"/>
              </w:rPr>
            </w:pPr>
            <w:r>
              <w:rPr>
                <w:rFonts w:hint="eastAsia" w:ascii="宋体" w:hAnsi="宋体" w:eastAsia="宋体" w:cs="宋体"/>
                <w:i w:val="0"/>
                <w:iCs w:val="0"/>
                <w:color w:val="auto"/>
                <w:kern w:val="0"/>
                <w:sz w:val="18"/>
                <w:szCs w:val="18"/>
                <w:u w:val="none"/>
                <w:lang w:val="en-US" w:eastAsia="zh-CN" w:bidi="ar"/>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931" w:type="dxa"/>
            <w:noWrap w:val="0"/>
            <w:vAlign w:val="center"/>
          </w:tcPr>
          <w:p>
            <w:pPr>
              <w:spacing w:line="400" w:lineRule="exact"/>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Cl</w:t>
            </w:r>
            <w:r>
              <w:rPr>
                <w:rFonts w:hint="eastAsia" w:ascii="宋体" w:hAnsi="宋体" w:eastAsia="宋体" w:cs="宋体"/>
                <w:bCs/>
                <w:color w:val="auto"/>
                <w:sz w:val="18"/>
                <w:szCs w:val="18"/>
                <w:vertAlign w:val="superscript"/>
              </w:rPr>
              <w:t>-</w:t>
            </w:r>
            <w:r>
              <w:rPr>
                <w:rFonts w:hint="eastAsia" w:ascii="宋体" w:hAnsi="宋体" w:eastAsia="宋体" w:cs="宋体"/>
                <w:bCs/>
                <w:color w:val="auto"/>
                <w:sz w:val="18"/>
                <w:szCs w:val="18"/>
              </w:rPr>
              <w:t>（≤%）</w:t>
            </w:r>
          </w:p>
        </w:tc>
        <w:tc>
          <w:tcPr>
            <w:tcW w:w="1860" w:type="dxa"/>
            <w:noWrap w:val="0"/>
            <w:vAlign w:val="center"/>
          </w:tcPr>
          <w:p>
            <w:pPr>
              <w:jc w:val="center"/>
              <w:rPr>
                <w:rFonts w:hint="eastAsia" w:ascii="宋体" w:hAnsi="宋体" w:eastAsia="宋体" w:cs="宋体"/>
                <w:bCs/>
                <w:color w:val="auto"/>
                <w:kern w:val="2"/>
                <w:sz w:val="18"/>
                <w:szCs w:val="1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931" w:type="dxa"/>
            <w:noWrap w:val="0"/>
            <w:vAlign w:val="center"/>
          </w:tcPr>
          <w:p>
            <w:pPr>
              <w:spacing w:line="400" w:lineRule="exact"/>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水不溶物（≤%）</w:t>
            </w:r>
          </w:p>
        </w:tc>
        <w:tc>
          <w:tcPr>
            <w:tcW w:w="1860" w:type="dxa"/>
            <w:noWrap w:val="0"/>
            <w:vAlign w:val="center"/>
          </w:tcPr>
          <w:p>
            <w:pPr>
              <w:jc w:val="center"/>
              <w:rPr>
                <w:rFonts w:hint="eastAsia" w:ascii="宋体" w:hAnsi="宋体" w:eastAsia="宋体" w:cs="宋体"/>
                <w:bCs/>
                <w:color w:val="auto"/>
                <w:kern w:val="2"/>
                <w:sz w:val="18"/>
                <w:szCs w:val="1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931" w:type="dxa"/>
            <w:noWrap w:val="0"/>
            <w:vAlign w:val="center"/>
          </w:tcPr>
          <w:p>
            <w:pPr>
              <w:spacing w:line="400" w:lineRule="exact"/>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水分（≤%）</w:t>
            </w:r>
          </w:p>
        </w:tc>
        <w:tc>
          <w:tcPr>
            <w:tcW w:w="1860" w:type="dxa"/>
            <w:noWrap w:val="0"/>
            <w:vAlign w:val="center"/>
          </w:tcPr>
          <w:p>
            <w:pPr>
              <w:jc w:val="center"/>
              <w:rPr>
                <w:rFonts w:hint="eastAsia" w:ascii="宋体" w:hAnsi="宋体" w:eastAsia="宋体" w:cs="宋体"/>
                <w:bCs/>
                <w:color w:val="auto"/>
                <w:kern w:val="2"/>
                <w:sz w:val="18"/>
                <w:szCs w:val="1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931" w:type="dxa"/>
            <w:noWrap w:val="0"/>
            <w:vAlign w:val="center"/>
          </w:tcPr>
          <w:p>
            <w:pPr>
              <w:spacing w:line="400" w:lineRule="exact"/>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镍钴锰（≤%）</w:t>
            </w:r>
          </w:p>
        </w:tc>
        <w:tc>
          <w:tcPr>
            <w:tcW w:w="1860" w:type="dxa"/>
            <w:noWrap w:val="0"/>
            <w:vAlign w:val="center"/>
          </w:tcPr>
          <w:p>
            <w:pPr>
              <w:keepNext w:val="0"/>
              <w:keepLines w:val="0"/>
              <w:widowControl/>
              <w:suppressLineNumbers w:val="0"/>
              <w:jc w:val="center"/>
              <w:textAlignment w:val="center"/>
              <w:rPr>
                <w:rFonts w:hint="default" w:ascii="宋体" w:hAnsi="宋体" w:eastAsia="宋体" w:cs="宋体"/>
                <w:bCs/>
                <w:color w:val="auto"/>
                <w:kern w:val="2"/>
                <w:sz w:val="18"/>
                <w:szCs w:val="18"/>
                <w:lang w:val="en-US" w:eastAsia="zh-CN" w:bidi="ar-SA"/>
              </w:rPr>
            </w:pPr>
            <w:r>
              <w:rPr>
                <w:rFonts w:hint="eastAsia" w:ascii="宋体" w:hAnsi="宋体" w:eastAsia="宋体" w:cs="宋体"/>
                <w:i w:val="0"/>
                <w:iCs w:val="0"/>
                <w:color w:val="auto"/>
                <w:kern w:val="0"/>
                <w:sz w:val="18"/>
                <w:szCs w:val="18"/>
                <w:u w:val="none"/>
                <w:lang w:val="en-US" w:eastAsia="zh-CN" w:bidi="ar"/>
              </w:rPr>
              <w:t>Ni（ppm）≤0.003</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Co（ppm）≤0.002</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Mn（ppm）≤0.002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931" w:type="dxa"/>
            <w:tcBorders>
              <w:bottom w:val="single" w:color="auto" w:sz="4" w:space="0"/>
            </w:tcBorders>
            <w:noWrap w:val="0"/>
            <w:vAlign w:val="center"/>
          </w:tcPr>
          <w:p>
            <w:pPr>
              <w:spacing w:line="40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pH</w:t>
            </w:r>
          </w:p>
        </w:tc>
        <w:tc>
          <w:tcPr>
            <w:tcW w:w="1860" w:type="dxa"/>
            <w:tcBorders>
              <w:bottom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Cs/>
                <w:color w:val="auto"/>
                <w:kern w:val="2"/>
                <w:sz w:val="18"/>
                <w:szCs w:val="18"/>
                <w:highlight w:val="none"/>
                <w:lang w:val="en-US" w:eastAsia="zh-CN" w:bidi="ar-SA"/>
              </w:rPr>
            </w:pPr>
            <w:r>
              <w:rPr>
                <w:rFonts w:hint="eastAsia" w:ascii="宋体" w:hAnsi="宋体" w:eastAsia="宋体" w:cs="宋体"/>
                <w:i w:val="0"/>
                <w:iCs w:val="0"/>
                <w:color w:val="auto"/>
                <w:kern w:val="0"/>
                <w:sz w:val="18"/>
                <w:szCs w:val="18"/>
                <w:u w:val="none"/>
                <w:lang w:val="en-US" w:eastAsia="zh-CN" w:bidi="ar"/>
              </w:rPr>
              <w:t>7.0-10.0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931" w:type="dxa"/>
            <w:tcBorders>
              <w:bottom w:val="single" w:color="auto" w:sz="4" w:space="0"/>
            </w:tcBorders>
            <w:noWrap w:val="0"/>
            <w:vAlign w:val="center"/>
          </w:tcPr>
          <w:p>
            <w:pPr>
              <w:spacing w:line="400" w:lineRule="exact"/>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白度（R457）</w:t>
            </w:r>
          </w:p>
        </w:tc>
        <w:tc>
          <w:tcPr>
            <w:tcW w:w="1860" w:type="dxa"/>
            <w:tcBorders>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Cs/>
                <w:color w:val="auto"/>
                <w:kern w:val="2"/>
                <w:sz w:val="18"/>
                <w:szCs w:val="18"/>
                <w:highlight w:val="none"/>
                <w:lang w:val="en-US" w:eastAsia="zh-CN" w:bidi="ar-SA"/>
              </w:rPr>
            </w:pPr>
            <w:r>
              <w:rPr>
                <w:rFonts w:hint="eastAsia" w:ascii="宋体" w:hAnsi="宋体" w:eastAsia="宋体" w:cs="宋体"/>
                <w:i w:val="0"/>
                <w:iCs w:val="0"/>
                <w:color w:val="auto"/>
                <w:kern w:val="0"/>
                <w:sz w:val="18"/>
                <w:szCs w:val="18"/>
                <w:u w:val="none"/>
                <w:lang w:val="en-US" w:eastAsia="zh-CN" w:bidi="ar"/>
              </w:rPr>
              <w:t>≥78</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2.2产品主要指标和确定依据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i w:val="0"/>
          <w:iCs/>
          <w:color w:val="auto"/>
          <w:sz w:val="21"/>
          <w:szCs w:val="21"/>
          <w:lang w:val="en-US" w:eastAsia="zh-CN"/>
        </w:rPr>
      </w:pPr>
      <w:r>
        <w:rPr>
          <w:rFonts w:hint="eastAsia" w:ascii="宋体" w:hAnsi="宋体" w:eastAsia="宋体" w:cs="宋体"/>
          <w:i w:val="0"/>
          <w:iCs/>
          <w:color w:val="auto"/>
          <w:sz w:val="21"/>
          <w:szCs w:val="21"/>
          <w:lang w:val="en-US" w:eastAsia="zh-CN"/>
        </w:rPr>
        <w:t>2.2.1分子式和相对分子质量</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i w:val="0"/>
          <w:iCs/>
          <w:color w:val="auto"/>
          <w:sz w:val="21"/>
          <w:szCs w:val="21"/>
          <w:lang w:val="en-US" w:eastAsia="zh-CN"/>
        </w:rPr>
      </w:pPr>
      <w:r>
        <w:rPr>
          <w:rFonts w:hint="eastAsia" w:ascii="宋体" w:hAnsi="宋体" w:eastAsia="宋体" w:cs="宋体"/>
          <w:i w:val="0"/>
          <w:iCs/>
          <w:color w:val="auto"/>
          <w:sz w:val="21"/>
          <w:szCs w:val="21"/>
          <w:lang w:val="en-US" w:eastAsia="zh-CN"/>
        </w:rPr>
        <w:t>分子式：Na</w:t>
      </w:r>
      <w:r>
        <w:rPr>
          <w:rFonts w:hint="eastAsia" w:ascii="宋体" w:hAnsi="宋体" w:eastAsia="宋体" w:cs="宋体"/>
          <w:i w:val="0"/>
          <w:iCs/>
          <w:color w:val="auto"/>
          <w:sz w:val="21"/>
          <w:szCs w:val="21"/>
          <w:vertAlign w:val="subscript"/>
          <w:lang w:val="en-US" w:eastAsia="zh-CN"/>
        </w:rPr>
        <w:t>2</w:t>
      </w:r>
      <w:r>
        <w:rPr>
          <w:rFonts w:hint="eastAsia" w:ascii="宋体" w:hAnsi="宋体" w:eastAsia="宋体" w:cs="宋体"/>
          <w:i w:val="0"/>
          <w:iCs/>
          <w:color w:val="auto"/>
          <w:sz w:val="21"/>
          <w:szCs w:val="21"/>
          <w:lang w:val="en-US" w:eastAsia="zh-CN"/>
        </w:rPr>
        <w:t>SO</w:t>
      </w:r>
      <w:r>
        <w:rPr>
          <w:rFonts w:hint="eastAsia" w:ascii="宋体" w:hAnsi="宋体" w:eastAsia="宋体" w:cs="宋体"/>
          <w:i w:val="0"/>
          <w:iCs/>
          <w:color w:val="auto"/>
          <w:sz w:val="21"/>
          <w:szCs w:val="21"/>
          <w:vertAlign w:val="subscript"/>
          <w:lang w:val="en-US" w:eastAsia="zh-CN"/>
        </w:rPr>
        <w:t>4</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i w:val="0"/>
          <w:iCs/>
          <w:color w:val="auto"/>
          <w:sz w:val="21"/>
          <w:szCs w:val="21"/>
          <w:lang w:val="en-US" w:eastAsia="zh-CN"/>
        </w:rPr>
      </w:pPr>
      <w:r>
        <w:rPr>
          <w:rFonts w:hint="eastAsia" w:ascii="宋体" w:hAnsi="宋体" w:eastAsia="宋体" w:cs="宋体"/>
          <w:i w:val="0"/>
          <w:iCs/>
          <w:color w:val="auto"/>
          <w:sz w:val="21"/>
          <w:szCs w:val="21"/>
          <w:lang w:val="en-US" w:eastAsia="zh-CN"/>
        </w:rPr>
        <w:t>相对分子质量：142.02（按2011年国际相对原子质量）</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i w:val="0"/>
          <w:iCs/>
          <w:color w:val="auto"/>
          <w:sz w:val="21"/>
          <w:szCs w:val="21"/>
          <w:lang w:val="en-US" w:eastAsia="zh-CN"/>
        </w:rPr>
      </w:pPr>
      <w:r>
        <w:rPr>
          <w:rFonts w:hint="eastAsia" w:ascii="宋体" w:hAnsi="宋体" w:eastAsia="宋体" w:cs="宋体"/>
          <w:i w:val="0"/>
          <w:iCs/>
          <w:color w:val="auto"/>
          <w:sz w:val="21"/>
          <w:szCs w:val="21"/>
          <w:lang w:val="en-US" w:eastAsia="zh-CN"/>
        </w:rPr>
        <w:t>2.2.2分类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i w:val="0"/>
          <w:iCs/>
          <w:color w:val="auto"/>
          <w:sz w:val="21"/>
          <w:szCs w:val="21"/>
          <w:lang w:val="en-US" w:eastAsia="zh-CN"/>
        </w:rPr>
      </w:pPr>
      <w:r>
        <w:rPr>
          <w:rFonts w:hint="eastAsia" w:ascii="宋体" w:hAnsi="宋体" w:eastAsia="宋体" w:cs="宋体"/>
          <w:i w:val="0"/>
          <w:iCs/>
          <w:color w:val="auto"/>
          <w:sz w:val="21"/>
          <w:szCs w:val="21"/>
          <w:lang w:val="en-US" w:eastAsia="zh-CN"/>
        </w:rPr>
        <w:t>根据硫酸钠的化学成分分为优等品、一等品和合格品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i w:val="0"/>
          <w:iCs/>
          <w:color w:val="auto"/>
          <w:sz w:val="21"/>
          <w:szCs w:val="21"/>
          <w:lang w:eastAsia="zh-CN"/>
        </w:rPr>
      </w:pPr>
      <w:r>
        <w:rPr>
          <w:rFonts w:hint="eastAsia" w:ascii="宋体" w:hAnsi="宋体" w:eastAsia="宋体" w:cs="宋体"/>
          <w:i w:val="0"/>
          <w:iCs/>
          <w:color w:val="auto"/>
          <w:sz w:val="21"/>
          <w:szCs w:val="21"/>
          <w:lang w:val="en-US" w:eastAsia="zh-CN"/>
        </w:rPr>
        <w:t>2.2.3技术要求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i w:val="0"/>
          <w:iCs/>
          <w:color w:val="auto"/>
          <w:sz w:val="21"/>
          <w:szCs w:val="21"/>
          <w:lang w:eastAsia="zh-CN"/>
        </w:rPr>
      </w:pPr>
      <w:r>
        <w:rPr>
          <w:rFonts w:hint="eastAsia" w:ascii="宋体" w:hAnsi="宋体" w:eastAsia="宋体" w:cs="宋体"/>
          <w:i w:val="0"/>
          <w:iCs/>
          <w:color w:val="auto"/>
          <w:sz w:val="21"/>
          <w:szCs w:val="21"/>
          <w:lang w:val="en-US" w:eastAsia="zh-CN"/>
        </w:rPr>
        <w:t>2.2.3.1外观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i w:val="0"/>
          <w:iCs/>
          <w:color w:val="auto"/>
          <w:sz w:val="21"/>
          <w:szCs w:val="21"/>
          <w:lang w:val="en-US" w:eastAsia="zh-CN"/>
        </w:rPr>
      </w:pPr>
      <w:r>
        <w:rPr>
          <w:rFonts w:hint="eastAsia" w:ascii="宋体" w:hAnsi="宋体" w:eastAsia="宋体" w:cs="宋体"/>
          <w:i w:val="0"/>
          <w:iCs/>
          <w:color w:val="auto"/>
          <w:sz w:val="21"/>
          <w:szCs w:val="21"/>
          <w:lang w:val="en-US" w:eastAsia="zh-CN"/>
        </w:rPr>
        <w:t>硫酸钠外观应为白色晶体或白色粉末</w:t>
      </w:r>
      <w:r>
        <w:rPr>
          <w:rFonts w:hint="eastAsia" w:ascii="宋体" w:hAnsi="宋体" w:eastAsia="宋体" w:cs="宋体"/>
          <w:i w:val="0"/>
          <w:iCs/>
          <w:color w:val="auto"/>
          <w:sz w:val="21"/>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i w:val="0"/>
          <w:iCs/>
          <w:color w:val="auto"/>
          <w:sz w:val="21"/>
          <w:szCs w:val="21"/>
          <w:lang w:val="en-US" w:eastAsia="zh-CN"/>
        </w:rPr>
      </w:pPr>
      <w:r>
        <w:rPr>
          <w:rFonts w:hint="eastAsia" w:ascii="宋体" w:hAnsi="宋体" w:eastAsia="宋体" w:cs="宋体"/>
          <w:i w:val="0"/>
          <w:iCs/>
          <w:color w:val="auto"/>
          <w:sz w:val="21"/>
          <w:szCs w:val="21"/>
          <w:lang w:val="en-US" w:eastAsia="zh-CN"/>
        </w:rPr>
        <w:t>2.2.3.2技术要求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i w:val="0"/>
          <w:iCs/>
          <w:color w:val="auto"/>
          <w:sz w:val="21"/>
          <w:szCs w:val="21"/>
          <w:lang w:val="en-US" w:eastAsia="zh-CN"/>
        </w:rPr>
      </w:pPr>
      <w:r>
        <w:rPr>
          <w:rFonts w:hint="eastAsia" w:ascii="宋体" w:hAnsi="宋体" w:eastAsia="宋体" w:cs="宋体"/>
          <w:i w:val="0"/>
          <w:iCs/>
          <w:color w:val="auto"/>
          <w:sz w:val="21"/>
          <w:szCs w:val="21"/>
          <w:lang w:val="en-US" w:eastAsia="zh-CN"/>
        </w:rPr>
        <w:t>硫酸钠应符合表3要求。</w:t>
      </w:r>
    </w:p>
    <w:p>
      <w:pPr>
        <w:snapToGrid w:val="0"/>
        <w:ind w:firstLine="42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表3 技术要求</w:t>
      </w:r>
    </w:p>
    <w:p>
      <w:pPr>
        <w:snapToGrid w:val="0"/>
        <w:ind w:firstLine="420"/>
        <w:rPr>
          <w:rFonts w:hint="default" w:ascii="Times New Roman" w:hAnsi="Times New Roman" w:cs="Times New Roman"/>
          <w:color w:val="auto"/>
          <w:lang w:val="en-US" w:eastAsia="zh-CN"/>
        </w:rPr>
      </w:pPr>
    </w:p>
    <w:tbl>
      <w:tblPr>
        <w:tblStyle w:val="4"/>
        <w:tblW w:w="6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1"/>
        <w:gridCol w:w="1259"/>
        <w:gridCol w:w="1148"/>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931" w:type="dxa"/>
            <w:noWrap w:val="0"/>
            <w:vAlign w:val="center"/>
          </w:tcPr>
          <w:p>
            <w:pPr>
              <w:spacing w:line="400" w:lineRule="exact"/>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项目</w:t>
            </w:r>
          </w:p>
        </w:tc>
        <w:tc>
          <w:tcPr>
            <w:tcW w:w="1259" w:type="dxa"/>
            <w:noWrap w:val="0"/>
            <w:vAlign w:val="center"/>
          </w:tcPr>
          <w:p>
            <w:pPr>
              <w:spacing w:line="40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优等品</w:t>
            </w:r>
          </w:p>
        </w:tc>
        <w:tc>
          <w:tcPr>
            <w:tcW w:w="1148" w:type="dxa"/>
            <w:noWrap w:val="0"/>
            <w:vAlign w:val="center"/>
          </w:tcPr>
          <w:p>
            <w:pPr>
              <w:spacing w:line="40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一等品</w:t>
            </w:r>
          </w:p>
        </w:tc>
        <w:tc>
          <w:tcPr>
            <w:tcW w:w="1860" w:type="dxa"/>
            <w:noWrap w:val="0"/>
            <w:vAlign w:val="center"/>
          </w:tcPr>
          <w:p>
            <w:pPr>
              <w:spacing w:line="40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合格品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931" w:type="dxa"/>
            <w:noWrap w:val="0"/>
            <w:vAlign w:val="center"/>
          </w:tcPr>
          <w:p>
            <w:pPr>
              <w:spacing w:line="400" w:lineRule="exact"/>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Na</w:t>
            </w:r>
            <w:r>
              <w:rPr>
                <w:rFonts w:hint="eastAsia" w:ascii="宋体" w:hAnsi="宋体" w:eastAsia="宋体" w:cs="宋体"/>
                <w:bCs/>
                <w:color w:val="auto"/>
                <w:sz w:val="18"/>
                <w:szCs w:val="18"/>
                <w:vertAlign w:val="subscript"/>
                <w:lang w:val="en-US" w:eastAsia="zh-CN"/>
              </w:rPr>
              <w:t>2</w:t>
            </w:r>
            <w:r>
              <w:rPr>
                <w:rFonts w:hint="eastAsia" w:ascii="宋体" w:hAnsi="宋体" w:eastAsia="宋体" w:cs="宋体"/>
                <w:bCs/>
                <w:color w:val="auto"/>
                <w:sz w:val="18"/>
                <w:szCs w:val="18"/>
              </w:rPr>
              <w:t>SO</w:t>
            </w:r>
            <w:r>
              <w:rPr>
                <w:rFonts w:hint="eastAsia" w:ascii="宋体" w:hAnsi="宋体" w:eastAsia="宋体" w:cs="宋体"/>
                <w:bCs/>
                <w:color w:val="auto"/>
                <w:sz w:val="18"/>
                <w:szCs w:val="18"/>
                <w:vertAlign w:val="subscript"/>
                <w:lang w:val="en-US" w:eastAsia="zh-CN"/>
              </w:rPr>
              <w:t>4</w:t>
            </w:r>
            <w:r>
              <w:rPr>
                <w:rFonts w:hint="eastAsia" w:ascii="宋体" w:hAnsi="宋体" w:eastAsia="宋体" w:cs="宋体"/>
                <w:bCs/>
                <w:color w:val="auto"/>
                <w:sz w:val="18"/>
                <w:szCs w:val="18"/>
              </w:rPr>
              <w:t>（≥%）</w:t>
            </w:r>
          </w:p>
        </w:tc>
        <w:tc>
          <w:tcPr>
            <w:tcW w:w="1259" w:type="dxa"/>
            <w:noWrap w:val="0"/>
            <w:vAlign w:val="center"/>
          </w:tcPr>
          <w:p>
            <w:pPr>
              <w:spacing w:line="400" w:lineRule="exact"/>
              <w:jc w:val="center"/>
              <w:rPr>
                <w:rFonts w:hint="eastAsia" w:ascii="宋体" w:hAnsi="宋体" w:eastAsia="宋体" w:cs="宋体"/>
                <w:bCs/>
                <w:color w:val="auto"/>
                <w:kern w:val="2"/>
                <w:sz w:val="18"/>
                <w:szCs w:val="18"/>
                <w:lang w:val="en-US" w:eastAsia="zh-CN" w:bidi="ar-SA"/>
              </w:rPr>
            </w:pPr>
            <w:r>
              <w:rPr>
                <w:rFonts w:hint="eastAsia" w:ascii="宋体" w:hAnsi="宋体" w:eastAsia="宋体" w:cs="宋体"/>
                <w:bCs/>
                <w:color w:val="auto"/>
                <w:sz w:val="18"/>
                <w:szCs w:val="18"/>
              </w:rPr>
              <w:t>99</w:t>
            </w:r>
          </w:p>
        </w:tc>
        <w:tc>
          <w:tcPr>
            <w:tcW w:w="1148" w:type="dxa"/>
            <w:noWrap w:val="0"/>
            <w:vAlign w:val="center"/>
          </w:tcPr>
          <w:p>
            <w:pPr>
              <w:spacing w:line="400" w:lineRule="exact"/>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99</w:t>
            </w:r>
          </w:p>
        </w:tc>
        <w:tc>
          <w:tcPr>
            <w:tcW w:w="1860" w:type="dxa"/>
            <w:noWrap w:val="0"/>
            <w:vAlign w:val="center"/>
          </w:tcPr>
          <w:p>
            <w:pPr>
              <w:spacing w:line="400" w:lineRule="exact"/>
              <w:jc w:val="center"/>
              <w:rPr>
                <w:rFonts w:hint="eastAsia" w:ascii="宋体" w:hAnsi="宋体" w:eastAsia="宋体" w:cs="宋体"/>
                <w:b/>
                <w:color w:val="auto"/>
                <w:sz w:val="18"/>
                <w:szCs w:val="18"/>
              </w:rPr>
            </w:pPr>
            <w:r>
              <w:rPr>
                <w:rFonts w:hint="eastAsia" w:ascii="宋体" w:hAnsi="宋体" w:eastAsia="宋体" w:cs="宋体"/>
                <w:bCs/>
                <w:color w:val="auto"/>
                <w:sz w:val="18"/>
                <w:szCs w:val="18"/>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931" w:type="dxa"/>
            <w:noWrap w:val="0"/>
            <w:vAlign w:val="center"/>
          </w:tcPr>
          <w:p>
            <w:pPr>
              <w:spacing w:line="400" w:lineRule="exact"/>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氨（≤%）</w:t>
            </w:r>
          </w:p>
        </w:tc>
        <w:tc>
          <w:tcPr>
            <w:tcW w:w="1259" w:type="dxa"/>
            <w:noWrap w:val="0"/>
            <w:vAlign w:val="center"/>
          </w:tcPr>
          <w:p>
            <w:pPr>
              <w:spacing w:line="400" w:lineRule="exact"/>
              <w:jc w:val="center"/>
              <w:rPr>
                <w:rFonts w:hint="eastAsia" w:ascii="宋体" w:hAnsi="宋体" w:eastAsia="宋体" w:cs="宋体"/>
                <w:bCs/>
                <w:color w:val="auto"/>
                <w:kern w:val="2"/>
                <w:sz w:val="18"/>
                <w:szCs w:val="18"/>
                <w:lang w:val="en-US" w:eastAsia="zh-CN" w:bidi="ar-SA"/>
              </w:rPr>
            </w:pPr>
            <w:r>
              <w:rPr>
                <w:rFonts w:hint="eastAsia" w:ascii="宋体" w:hAnsi="宋体" w:eastAsia="宋体" w:cs="宋体"/>
                <w:bCs/>
                <w:color w:val="auto"/>
                <w:sz w:val="18"/>
                <w:szCs w:val="18"/>
              </w:rPr>
              <w:t>0.0</w:t>
            </w:r>
            <w:r>
              <w:rPr>
                <w:rFonts w:hint="eastAsia" w:ascii="宋体" w:hAnsi="宋体" w:eastAsia="宋体" w:cs="宋体"/>
                <w:bCs/>
                <w:color w:val="auto"/>
                <w:sz w:val="18"/>
                <w:szCs w:val="18"/>
                <w:lang w:val="en-US" w:eastAsia="zh-CN"/>
              </w:rPr>
              <w:t>02</w:t>
            </w:r>
          </w:p>
        </w:tc>
        <w:tc>
          <w:tcPr>
            <w:tcW w:w="1148" w:type="dxa"/>
            <w:noWrap w:val="0"/>
            <w:vAlign w:val="center"/>
          </w:tcPr>
          <w:p>
            <w:pPr>
              <w:spacing w:line="40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rPr>
              <w:t>0.0</w:t>
            </w:r>
            <w:r>
              <w:rPr>
                <w:rFonts w:hint="eastAsia" w:ascii="宋体" w:hAnsi="宋体" w:eastAsia="宋体" w:cs="宋体"/>
                <w:bCs/>
                <w:color w:val="auto"/>
                <w:sz w:val="18"/>
                <w:szCs w:val="18"/>
                <w:lang w:val="en-US" w:eastAsia="zh-CN"/>
              </w:rPr>
              <w:t>02</w:t>
            </w:r>
          </w:p>
        </w:tc>
        <w:tc>
          <w:tcPr>
            <w:tcW w:w="1860" w:type="dxa"/>
            <w:noWrap w:val="0"/>
            <w:vAlign w:val="center"/>
          </w:tcPr>
          <w:p>
            <w:pPr>
              <w:spacing w:line="40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931" w:type="dxa"/>
            <w:noWrap w:val="0"/>
            <w:vAlign w:val="center"/>
          </w:tcPr>
          <w:p>
            <w:pPr>
              <w:spacing w:line="400" w:lineRule="exact"/>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Fe（≤%）</w:t>
            </w:r>
          </w:p>
        </w:tc>
        <w:tc>
          <w:tcPr>
            <w:tcW w:w="1259" w:type="dxa"/>
            <w:noWrap w:val="0"/>
            <w:vAlign w:val="center"/>
          </w:tcPr>
          <w:p>
            <w:pPr>
              <w:spacing w:line="400" w:lineRule="exact"/>
              <w:jc w:val="center"/>
              <w:rPr>
                <w:rFonts w:hint="eastAsia" w:ascii="宋体" w:hAnsi="宋体" w:eastAsia="宋体" w:cs="宋体"/>
                <w:bCs/>
                <w:color w:val="auto"/>
                <w:kern w:val="2"/>
                <w:sz w:val="18"/>
                <w:szCs w:val="18"/>
                <w:highlight w:val="none"/>
                <w:lang w:val="en-US" w:eastAsia="zh-CN" w:bidi="ar-SA"/>
              </w:rPr>
            </w:pPr>
            <w:r>
              <w:rPr>
                <w:rFonts w:hint="eastAsia" w:ascii="宋体" w:hAnsi="宋体" w:eastAsia="宋体" w:cs="宋体"/>
                <w:bCs/>
                <w:color w:val="auto"/>
                <w:sz w:val="18"/>
                <w:szCs w:val="18"/>
                <w:highlight w:val="none"/>
              </w:rPr>
              <w:t>0.002</w:t>
            </w:r>
          </w:p>
        </w:tc>
        <w:tc>
          <w:tcPr>
            <w:tcW w:w="1148" w:type="dxa"/>
            <w:noWrap w:val="0"/>
            <w:vAlign w:val="center"/>
          </w:tcPr>
          <w:p>
            <w:pPr>
              <w:spacing w:line="400" w:lineRule="exact"/>
              <w:jc w:val="center"/>
              <w:rPr>
                <w:rFonts w:hint="eastAsia" w:ascii="宋体" w:hAnsi="宋体" w:eastAsia="宋体" w:cs="宋体"/>
                <w:bCs/>
                <w:color w:val="auto"/>
                <w:sz w:val="18"/>
                <w:szCs w:val="18"/>
                <w:highlight w:val="none"/>
              </w:rPr>
            </w:pPr>
            <w:r>
              <w:rPr>
                <w:rFonts w:hint="eastAsia" w:ascii="宋体" w:hAnsi="宋体" w:eastAsia="宋体" w:cs="宋体"/>
                <w:bCs/>
                <w:color w:val="auto"/>
                <w:sz w:val="18"/>
                <w:szCs w:val="18"/>
                <w:highlight w:val="none"/>
              </w:rPr>
              <w:t>0.002</w:t>
            </w:r>
          </w:p>
        </w:tc>
        <w:tc>
          <w:tcPr>
            <w:tcW w:w="1860" w:type="dxa"/>
            <w:noWrap w:val="0"/>
            <w:vAlign w:val="center"/>
          </w:tcPr>
          <w:p>
            <w:pPr>
              <w:spacing w:line="400" w:lineRule="exact"/>
              <w:jc w:val="center"/>
              <w:rPr>
                <w:rFonts w:hint="eastAsia" w:ascii="宋体" w:hAnsi="宋体" w:eastAsia="宋体" w:cs="宋体"/>
                <w:bCs/>
                <w:color w:val="auto"/>
                <w:sz w:val="18"/>
                <w:szCs w:val="18"/>
                <w:highlight w:val="none"/>
              </w:rPr>
            </w:pPr>
            <w:r>
              <w:rPr>
                <w:rFonts w:hint="eastAsia" w:ascii="宋体" w:hAnsi="宋体" w:eastAsia="宋体" w:cs="宋体"/>
                <w:bCs/>
                <w:color w:val="auto"/>
                <w:sz w:val="18"/>
                <w:szCs w:val="18"/>
                <w:highlight w:val="none"/>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931" w:type="dxa"/>
            <w:noWrap w:val="0"/>
            <w:vAlign w:val="center"/>
          </w:tcPr>
          <w:p>
            <w:pPr>
              <w:spacing w:line="400" w:lineRule="exact"/>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Ca（≤%）</w:t>
            </w:r>
          </w:p>
        </w:tc>
        <w:tc>
          <w:tcPr>
            <w:tcW w:w="125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0.01</w:t>
            </w:r>
          </w:p>
        </w:tc>
        <w:tc>
          <w:tcPr>
            <w:tcW w:w="114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0.01</w:t>
            </w:r>
          </w:p>
        </w:tc>
        <w:tc>
          <w:tcPr>
            <w:tcW w:w="1860" w:type="dxa"/>
            <w:noWrap w:val="0"/>
            <w:vAlign w:val="center"/>
          </w:tcPr>
          <w:p>
            <w:pPr>
              <w:spacing w:line="400" w:lineRule="exact"/>
              <w:jc w:val="center"/>
              <w:rPr>
                <w:rFonts w:hint="default"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931" w:type="dxa"/>
            <w:noWrap w:val="0"/>
            <w:vAlign w:val="center"/>
          </w:tcPr>
          <w:p>
            <w:pPr>
              <w:spacing w:line="400" w:lineRule="exact"/>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Mg（≤%）</w:t>
            </w:r>
          </w:p>
        </w:tc>
        <w:tc>
          <w:tcPr>
            <w:tcW w:w="125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0.01</w:t>
            </w:r>
          </w:p>
        </w:tc>
        <w:tc>
          <w:tcPr>
            <w:tcW w:w="114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0.01</w:t>
            </w:r>
          </w:p>
        </w:tc>
        <w:tc>
          <w:tcPr>
            <w:tcW w:w="1860" w:type="dxa"/>
            <w:noWrap w:val="0"/>
            <w:vAlign w:val="center"/>
          </w:tcPr>
          <w:p>
            <w:pPr>
              <w:spacing w:line="400" w:lineRule="exact"/>
              <w:jc w:val="center"/>
              <w:rPr>
                <w:rFonts w:hint="default"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rPr>
              <w:t>0.</w:t>
            </w:r>
            <w:r>
              <w:rPr>
                <w:rFonts w:hint="eastAsia" w:ascii="宋体" w:hAnsi="宋体" w:eastAsia="宋体" w:cs="宋体"/>
                <w:bCs/>
                <w:color w:val="auto"/>
                <w:sz w:val="18"/>
                <w:szCs w:val="18"/>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931" w:type="dxa"/>
            <w:noWrap w:val="0"/>
            <w:vAlign w:val="center"/>
          </w:tcPr>
          <w:p>
            <w:pPr>
              <w:spacing w:line="400" w:lineRule="exact"/>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Cl</w:t>
            </w:r>
            <w:r>
              <w:rPr>
                <w:rFonts w:hint="eastAsia" w:ascii="宋体" w:hAnsi="宋体" w:eastAsia="宋体" w:cs="宋体"/>
                <w:bCs/>
                <w:color w:val="auto"/>
                <w:sz w:val="18"/>
                <w:szCs w:val="18"/>
                <w:vertAlign w:val="superscript"/>
              </w:rPr>
              <w:t>-</w:t>
            </w:r>
            <w:r>
              <w:rPr>
                <w:rFonts w:hint="eastAsia" w:ascii="宋体" w:hAnsi="宋体" w:eastAsia="宋体" w:cs="宋体"/>
                <w:bCs/>
                <w:color w:val="auto"/>
                <w:sz w:val="18"/>
                <w:szCs w:val="18"/>
              </w:rPr>
              <w:t>（≤%）</w:t>
            </w:r>
          </w:p>
        </w:tc>
        <w:tc>
          <w:tcPr>
            <w:tcW w:w="1259" w:type="dxa"/>
            <w:noWrap w:val="0"/>
            <w:vAlign w:val="center"/>
          </w:tcPr>
          <w:p>
            <w:pPr>
              <w:spacing w:line="400" w:lineRule="exact"/>
              <w:jc w:val="center"/>
              <w:rPr>
                <w:rFonts w:hint="eastAsia" w:ascii="宋体" w:hAnsi="宋体" w:eastAsia="宋体" w:cs="宋体"/>
                <w:bCs/>
                <w:color w:val="auto"/>
                <w:kern w:val="2"/>
                <w:sz w:val="18"/>
                <w:szCs w:val="18"/>
                <w:highlight w:val="none"/>
                <w:lang w:val="en-US" w:eastAsia="zh-CN" w:bidi="ar-SA"/>
              </w:rPr>
            </w:pPr>
            <w:r>
              <w:rPr>
                <w:rFonts w:hint="eastAsia" w:ascii="宋体" w:hAnsi="宋体" w:eastAsia="宋体" w:cs="宋体"/>
                <w:bCs/>
                <w:color w:val="auto"/>
                <w:sz w:val="18"/>
                <w:szCs w:val="18"/>
                <w:highlight w:val="none"/>
              </w:rPr>
              <w:t>0.35</w:t>
            </w:r>
          </w:p>
        </w:tc>
        <w:tc>
          <w:tcPr>
            <w:tcW w:w="1148" w:type="dxa"/>
            <w:noWrap w:val="0"/>
            <w:vAlign w:val="center"/>
          </w:tcPr>
          <w:p>
            <w:pPr>
              <w:spacing w:line="400" w:lineRule="exact"/>
              <w:jc w:val="center"/>
              <w:rPr>
                <w:rFonts w:hint="eastAsia" w:ascii="宋体" w:hAnsi="宋体" w:eastAsia="宋体" w:cs="宋体"/>
                <w:bCs/>
                <w:color w:val="auto"/>
                <w:sz w:val="18"/>
                <w:szCs w:val="18"/>
                <w:highlight w:val="none"/>
              </w:rPr>
            </w:pPr>
            <w:r>
              <w:rPr>
                <w:rFonts w:hint="eastAsia" w:ascii="宋体" w:hAnsi="宋体" w:eastAsia="宋体" w:cs="宋体"/>
                <w:bCs/>
                <w:color w:val="auto"/>
                <w:sz w:val="18"/>
                <w:szCs w:val="18"/>
                <w:highlight w:val="none"/>
              </w:rPr>
              <w:t>0.35</w:t>
            </w:r>
          </w:p>
        </w:tc>
        <w:tc>
          <w:tcPr>
            <w:tcW w:w="1860" w:type="dxa"/>
            <w:noWrap w:val="0"/>
            <w:vAlign w:val="center"/>
          </w:tcPr>
          <w:p>
            <w:pPr>
              <w:spacing w:line="400" w:lineRule="exact"/>
              <w:jc w:val="center"/>
              <w:rPr>
                <w:rFonts w:hint="eastAsia" w:ascii="宋体" w:hAnsi="宋体" w:eastAsia="宋体" w:cs="宋体"/>
                <w:bCs/>
                <w:color w:val="auto"/>
                <w:sz w:val="18"/>
                <w:szCs w:val="18"/>
                <w:highlight w:val="none"/>
                <w:lang w:eastAsia="zh-CN"/>
              </w:rPr>
            </w:pPr>
            <w:r>
              <w:rPr>
                <w:rFonts w:hint="eastAsia" w:ascii="宋体" w:hAnsi="宋体" w:eastAsia="宋体" w:cs="宋体"/>
                <w:bCs/>
                <w:color w:val="auto"/>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931" w:type="dxa"/>
            <w:noWrap w:val="0"/>
            <w:vAlign w:val="center"/>
          </w:tcPr>
          <w:p>
            <w:pPr>
              <w:spacing w:line="400" w:lineRule="exact"/>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水不溶物（≤%）</w:t>
            </w:r>
          </w:p>
        </w:tc>
        <w:tc>
          <w:tcPr>
            <w:tcW w:w="1259" w:type="dxa"/>
            <w:noWrap w:val="0"/>
            <w:vAlign w:val="center"/>
          </w:tcPr>
          <w:p>
            <w:pPr>
              <w:spacing w:line="400" w:lineRule="exact"/>
              <w:jc w:val="center"/>
              <w:rPr>
                <w:rFonts w:hint="eastAsia" w:ascii="宋体" w:hAnsi="宋体" w:eastAsia="宋体" w:cs="宋体"/>
                <w:bCs/>
                <w:color w:val="auto"/>
                <w:kern w:val="2"/>
                <w:sz w:val="18"/>
                <w:szCs w:val="18"/>
                <w:highlight w:val="none"/>
                <w:lang w:val="en-US" w:eastAsia="zh-CN" w:bidi="ar-SA"/>
              </w:rPr>
            </w:pPr>
            <w:r>
              <w:rPr>
                <w:rFonts w:hint="eastAsia" w:ascii="宋体" w:hAnsi="宋体" w:eastAsia="宋体" w:cs="宋体"/>
                <w:bCs/>
                <w:color w:val="auto"/>
                <w:sz w:val="18"/>
                <w:szCs w:val="18"/>
                <w:highlight w:val="none"/>
              </w:rPr>
              <w:t>0.05</w:t>
            </w:r>
          </w:p>
        </w:tc>
        <w:tc>
          <w:tcPr>
            <w:tcW w:w="1148" w:type="dxa"/>
            <w:noWrap w:val="0"/>
            <w:vAlign w:val="center"/>
          </w:tcPr>
          <w:p>
            <w:pPr>
              <w:spacing w:line="400" w:lineRule="exact"/>
              <w:jc w:val="center"/>
              <w:rPr>
                <w:rFonts w:hint="eastAsia" w:ascii="宋体" w:hAnsi="宋体" w:eastAsia="宋体" w:cs="宋体"/>
                <w:bCs/>
                <w:color w:val="auto"/>
                <w:sz w:val="18"/>
                <w:szCs w:val="18"/>
                <w:highlight w:val="none"/>
              </w:rPr>
            </w:pPr>
            <w:r>
              <w:rPr>
                <w:rFonts w:hint="eastAsia" w:ascii="宋体" w:hAnsi="宋体" w:eastAsia="宋体" w:cs="宋体"/>
                <w:bCs/>
                <w:color w:val="auto"/>
                <w:sz w:val="18"/>
                <w:szCs w:val="18"/>
                <w:highlight w:val="none"/>
              </w:rPr>
              <w:t>0.05</w:t>
            </w:r>
          </w:p>
        </w:tc>
        <w:tc>
          <w:tcPr>
            <w:tcW w:w="1860" w:type="dxa"/>
            <w:noWrap w:val="0"/>
            <w:vAlign w:val="center"/>
          </w:tcPr>
          <w:p>
            <w:pPr>
              <w:spacing w:line="400" w:lineRule="exact"/>
              <w:jc w:val="center"/>
              <w:rPr>
                <w:rFonts w:hint="eastAsia" w:ascii="宋体" w:hAnsi="宋体" w:eastAsia="宋体" w:cs="宋体"/>
                <w:bCs/>
                <w:color w:val="auto"/>
                <w:sz w:val="18"/>
                <w:szCs w:val="18"/>
                <w:highlight w:val="none"/>
                <w:lang w:eastAsia="zh-CN"/>
              </w:rPr>
            </w:pPr>
            <w:r>
              <w:rPr>
                <w:rFonts w:hint="eastAsia" w:ascii="宋体" w:hAnsi="宋体" w:eastAsia="宋体" w:cs="宋体"/>
                <w:bCs/>
                <w:color w:val="auto"/>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931" w:type="dxa"/>
            <w:noWrap w:val="0"/>
            <w:vAlign w:val="center"/>
          </w:tcPr>
          <w:p>
            <w:pPr>
              <w:spacing w:line="400" w:lineRule="exact"/>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水分（≤%）</w:t>
            </w:r>
          </w:p>
        </w:tc>
        <w:tc>
          <w:tcPr>
            <w:tcW w:w="1259" w:type="dxa"/>
            <w:noWrap w:val="0"/>
            <w:vAlign w:val="center"/>
          </w:tcPr>
          <w:p>
            <w:pPr>
              <w:spacing w:line="400" w:lineRule="exact"/>
              <w:jc w:val="center"/>
              <w:rPr>
                <w:rFonts w:hint="default"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0.05</w:t>
            </w:r>
            <w:bookmarkStart w:id="0" w:name="_GoBack"/>
            <w:bookmarkEnd w:id="0"/>
          </w:p>
        </w:tc>
        <w:tc>
          <w:tcPr>
            <w:tcW w:w="1148" w:type="dxa"/>
            <w:noWrap w:val="0"/>
            <w:vAlign w:val="center"/>
          </w:tcPr>
          <w:p>
            <w:pPr>
              <w:spacing w:line="400" w:lineRule="exact"/>
              <w:jc w:val="center"/>
              <w:rPr>
                <w:rFonts w:hint="eastAsia" w:ascii="宋体" w:hAnsi="宋体" w:eastAsia="宋体" w:cs="宋体"/>
                <w:bCs/>
                <w:color w:val="auto"/>
                <w:sz w:val="18"/>
                <w:szCs w:val="18"/>
                <w:highlight w:val="none"/>
              </w:rPr>
            </w:pPr>
            <w:r>
              <w:rPr>
                <w:rFonts w:hint="eastAsia" w:ascii="宋体" w:hAnsi="宋体" w:eastAsia="宋体" w:cs="宋体"/>
                <w:bCs/>
                <w:color w:val="auto"/>
                <w:sz w:val="18"/>
                <w:szCs w:val="18"/>
                <w:highlight w:val="none"/>
              </w:rPr>
              <w:t>0.2</w:t>
            </w:r>
          </w:p>
        </w:tc>
        <w:tc>
          <w:tcPr>
            <w:tcW w:w="1860" w:type="dxa"/>
            <w:noWrap w:val="0"/>
            <w:vAlign w:val="center"/>
          </w:tcPr>
          <w:p>
            <w:pPr>
              <w:spacing w:line="400" w:lineRule="exact"/>
              <w:jc w:val="center"/>
              <w:rPr>
                <w:rFonts w:hint="eastAsia" w:ascii="宋体" w:hAnsi="宋体" w:eastAsia="宋体" w:cs="宋体"/>
                <w:bCs/>
                <w:color w:val="auto"/>
                <w:sz w:val="18"/>
                <w:szCs w:val="18"/>
                <w:highlight w:val="none"/>
                <w:lang w:eastAsia="zh-CN"/>
              </w:rPr>
            </w:pPr>
            <w:r>
              <w:rPr>
                <w:rFonts w:hint="eastAsia" w:ascii="宋体" w:hAnsi="宋体" w:eastAsia="宋体" w:cs="宋体"/>
                <w:bCs/>
                <w:color w:val="auto"/>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931" w:type="dxa"/>
            <w:noWrap w:val="0"/>
            <w:vAlign w:val="center"/>
          </w:tcPr>
          <w:p>
            <w:pPr>
              <w:spacing w:line="400" w:lineRule="exact"/>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镍钴锰（≤%）</w:t>
            </w:r>
          </w:p>
        </w:tc>
        <w:tc>
          <w:tcPr>
            <w:tcW w:w="1259" w:type="dxa"/>
            <w:noWrap w:val="0"/>
            <w:vAlign w:val="center"/>
          </w:tcPr>
          <w:p>
            <w:pPr>
              <w:spacing w:line="400" w:lineRule="exact"/>
              <w:jc w:val="center"/>
              <w:rPr>
                <w:rFonts w:hint="eastAsia" w:ascii="宋体" w:hAnsi="宋体" w:eastAsia="宋体" w:cs="宋体"/>
                <w:bCs/>
                <w:color w:val="auto"/>
                <w:kern w:val="2"/>
                <w:sz w:val="18"/>
                <w:szCs w:val="18"/>
                <w:lang w:val="en-US" w:eastAsia="zh-CN" w:bidi="ar-SA"/>
              </w:rPr>
            </w:pPr>
            <w:r>
              <w:rPr>
                <w:rFonts w:hint="eastAsia" w:ascii="宋体" w:hAnsi="宋体" w:eastAsia="宋体" w:cs="宋体"/>
                <w:bCs/>
                <w:color w:val="auto"/>
                <w:sz w:val="18"/>
                <w:szCs w:val="18"/>
              </w:rPr>
              <w:t>0.0</w:t>
            </w:r>
            <w:r>
              <w:rPr>
                <w:rFonts w:hint="eastAsia" w:ascii="宋体" w:hAnsi="宋体" w:eastAsia="宋体" w:cs="宋体"/>
                <w:bCs/>
                <w:color w:val="auto"/>
                <w:sz w:val="18"/>
                <w:szCs w:val="18"/>
                <w:lang w:val="en-US" w:eastAsia="zh-CN"/>
              </w:rPr>
              <w:t>05</w:t>
            </w:r>
          </w:p>
        </w:tc>
        <w:tc>
          <w:tcPr>
            <w:tcW w:w="1148" w:type="dxa"/>
            <w:noWrap w:val="0"/>
            <w:vAlign w:val="center"/>
          </w:tcPr>
          <w:p>
            <w:pPr>
              <w:spacing w:line="400" w:lineRule="exact"/>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0.0</w:t>
            </w:r>
            <w:r>
              <w:rPr>
                <w:rFonts w:hint="eastAsia" w:ascii="宋体" w:hAnsi="宋体" w:eastAsia="宋体" w:cs="宋体"/>
                <w:bCs/>
                <w:color w:val="auto"/>
                <w:sz w:val="18"/>
                <w:szCs w:val="18"/>
                <w:lang w:val="en-US" w:eastAsia="zh-CN"/>
              </w:rPr>
              <w:t>05</w:t>
            </w:r>
          </w:p>
        </w:tc>
        <w:tc>
          <w:tcPr>
            <w:tcW w:w="1860" w:type="dxa"/>
            <w:noWrap w:val="0"/>
            <w:vAlign w:val="center"/>
          </w:tcPr>
          <w:p>
            <w:pPr>
              <w:spacing w:line="400" w:lineRule="exact"/>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0.0</w:t>
            </w:r>
            <w:r>
              <w:rPr>
                <w:rFonts w:hint="eastAsia" w:ascii="宋体" w:hAnsi="宋体" w:eastAsia="宋体" w:cs="宋体"/>
                <w:bCs/>
                <w:color w:val="auto"/>
                <w:sz w:val="18"/>
                <w:szCs w:val="18"/>
                <w:lang w:val="en-US" w:eastAsia="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931" w:type="dxa"/>
            <w:tcBorders>
              <w:bottom w:val="single" w:color="auto" w:sz="4" w:space="0"/>
            </w:tcBorders>
            <w:noWrap w:val="0"/>
            <w:vAlign w:val="center"/>
          </w:tcPr>
          <w:p>
            <w:pPr>
              <w:spacing w:line="40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pH</w:t>
            </w:r>
          </w:p>
        </w:tc>
        <w:tc>
          <w:tcPr>
            <w:tcW w:w="1259" w:type="dxa"/>
            <w:tcBorders>
              <w:bottom w:val="single" w:color="auto" w:sz="4" w:space="0"/>
            </w:tcBorders>
            <w:noWrap w:val="0"/>
            <w:vAlign w:val="center"/>
          </w:tcPr>
          <w:p>
            <w:pPr>
              <w:spacing w:line="400" w:lineRule="exact"/>
              <w:jc w:val="center"/>
              <w:rPr>
                <w:rFonts w:hint="default"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6～9</w:t>
            </w:r>
          </w:p>
        </w:tc>
        <w:tc>
          <w:tcPr>
            <w:tcW w:w="1148" w:type="dxa"/>
            <w:tcBorders>
              <w:bottom w:val="single" w:color="auto" w:sz="4" w:space="0"/>
            </w:tcBorders>
            <w:noWrap w:val="0"/>
            <w:vAlign w:val="center"/>
          </w:tcPr>
          <w:p>
            <w:pPr>
              <w:spacing w:line="400" w:lineRule="exact"/>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6～9</w:t>
            </w:r>
          </w:p>
        </w:tc>
        <w:tc>
          <w:tcPr>
            <w:tcW w:w="1860" w:type="dxa"/>
            <w:tcBorders>
              <w:bottom w:val="single" w:color="auto" w:sz="4" w:space="0"/>
            </w:tcBorders>
            <w:noWrap w:val="0"/>
            <w:vAlign w:val="center"/>
          </w:tcPr>
          <w:p>
            <w:pPr>
              <w:spacing w:line="400" w:lineRule="exact"/>
              <w:jc w:val="center"/>
              <w:rPr>
                <w:rFonts w:hint="default"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931" w:type="dxa"/>
            <w:tcBorders>
              <w:bottom w:val="single" w:color="auto" w:sz="4" w:space="0"/>
            </w:tcBorders>
            <w:noWrap w:val="0"/>
            <w:vAlign w:val="center"/>
          </w:tcPr>
          <w:p>
            <w:pPr>
              <w:spacing w:line="400" w:lineRule="exact"/>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白度（R457）</w:t>
            </w:r>
          </w:p>
        </w:tc>
        <w:tc>
          <w:tcPr>
            <w:tcW w:w="1259" w:type="dxa"/>
            <w:tcBorders>
              <w:bottom w:val="single" w:color="auto" w:sz="4" w:space="0"/>
            </w:tcBorders>
            <w:noWrap w:val="0"/>
            <w:vAlign w:val="center"/>
          </w:tcPr>
          <w:p>
            <w:pPr>
              <w:spacing w:line="400" w:lineRule="exact"/>
              <w:jc w:val="center"/>
              <w:rPr>
                <w:rFonts w:hint="eastAsia" w:ascii="宋体" w:hAnsi="宋体" w:eastAsia="宋体" w:cs="宋体"/>
                <w:bCs/>
                <w:color w:val="auto"/>
                <w:kern w:val="2"/>
                <w:sz w:val="18"/>
                <w:szCs w:val="18"/>
                <w:highlight w:val="none"/>
                <w:lang w:val="en-US" w:eastAsia="zh-CN" w:bidi="ar-SA"/>
              </w:rPr>
            </w:pPr>
            <w:r>
              <w:rPr>
                <w:rFonts w:hint="eastAsia" w:ascii="宋体" w:hAnsi="宋体" w:eastAsia="宋体" w:cs="宋体"/>
                <w:bCs/>
                <w:color w:val="auto"/>
                <w:sz w:val="18"/>
                <w:szCs w:val="18"/>
                <w:highlight w:val="none"/>
              </w:rPr>
              <w:t>≥85</w:t>
            </w:r>
          </w:p>
        </w:tc>
        <w:tc>
          <w:tcPr>
            <w:tcW w:w="1148" w:type="dxa"/>
            <w:tcBorders>
              <w:bottom w:val="single" w:color="auto" w:sz="4" w:space="0"/>
            </w:tcBorders>
            <w:noWrap w:val="0"/>
            <w:vAlign w:val="center"/>
          </w:tcPr>
          <w:p>
            <w:pPr>
              <w:spacing w:line="400" w:lineRule="exact"/>
              <w:jc w:val="center"/>
              <w:rPr>
                <w:rFonts w:hint="default"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≤84</w:t>
            </w:r>
          </w:p>
        </w:tc>
        <w:tc>
          <w:tcPr>
            <w:tcW w:w="1860" w:type="dxa"/>
            <w:tcBorders>
              <w:bottom w:val="single" w:color="auto" w:sz="4" w:space="0"/>
            </w:tcBorders>
            <w:noWrap w:val="0"/>
            <w:vAlign w:val="center"/>
          </w:tcPr>
          <w:p>
            <w:pPr>
              <w:spacing w:line="400" w:lineRule="exact"/>
              <w:jc w:val="center"/>
              <w:rPr>
                <w:rFonts w:hint="eastAsia" w:ascii="宋体" w:hAnsi="宋体" w:eastAsia="宋体" w:cs="宋体"/>
                <w:bCs/>
                <w:color w:val="auto"/>
                <w:sz w:val="18"/>
                <w:szCs w:val="18"/>
                <w:highlight w:val="none"/>
                <w:lang w:eastAsia="zh-CN"/>
              </w:rPr>
            </w:pPr>
            <w:r>
              <w:rPr>
                <w:rFonts w:hint="eastAsia" w:ascii="宋体" w:hAnsi="宋体" w:eastAsia="宋体" w:cs="宋体"/>
                <w:bCs/>
                <w:color w:val="auto"/>
                <w:sz w:val="18"/>
                <w:szCs w:val="18"/>
                <w:highlight w:val="none"/>
                <w:lang w:eastAsia="zh-CN"/>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2.2.4实验方法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color w:val="auto"/>
          <w:sz w:val="21"/>
          <w:szCs w:val="21"/>
          <w:lang w:val="en-US" w:eastAsia="zh-CN"/>
        </w:rPr>
        <w:t>按GB/T 6009-2014中规定执行。本项目新增氨、镍钴锰检测项。</w:t>
      </w:r>
    </w:p>
    <w:p>
      <w:pPr>
        <w:numPr>
          <w:ilvl w:val="0"/>
          <w:numId w:val="0"/>
        </w:numPr>
        <w:spacing w:line="360" w:lineRule="auto"/>
        <w:jc w:val="left"/>
        <w:rPr>
          <w:rFonts w:hint="eastAsia" w:ascii="宋体" w:hAnsi="宋体"/>
          <w:b/>
          <w:bCs/>
          <w:sz w:val="21"/>
          <w:szCs w:val="21"/>
          <w:lang w:eastAsia="zh-CN"/>
        </w:rPr>
      </w:pPr>
      <w:r>
        <w:rPr>
          <w:rFonts w:hint="eastAsia" w:ascii="宋体" w:hAnsi="宋体"/>
          <w:b/>
          <w:bCs/>
          <w:sz w:val="21"/>
          <w:szCs w:val="21"/>
          <w:lang w:val="en-US" w:eastAsia="zh-CN"/>
        </w:rPr>
        <w:t>三</w:t>
      </w:r>
      <w:r>
        <w:rPr>
          <w:rFonts w:hint="eastAsia" w:ascii="宋体" w:hAnsi="宋体"/>
          <w:b/>
          <w:bCs/>
          <w:sz w:val="21"/>
          <w:szCs w:val="21"/>
          <w:lang w:eastAsia="zh-CN"/>
        </w:rPr>
        <w:t>、标准中涉及专利的情况</w:t>
      </w:r>
    </w:p>
    <w:p>
      <w:pPr>
        <w:numPr>
          <w:ilvl w:val="0"/>
          <w:numId w:val="0"/>
        </w:numPr>
        <w:spacing w:line="360" w:lineRule="auto"/>
        <w:ind w:firstLine="420" w:firstLineChars="200"/>
        <w:jc w:val="left"/>
        <w:rPr>
          <w:rFonts w:hint="default" w:ascii="宋体" w:hAnsi="宋体"/>
          <w:sz w:val="21"/>
          <w:szCs w:val="21"/>
          <w:lang w:val="en-US" w:eastAsia="zh-CN"/>
        </w:rPr>
      </w:pPr>
      <w:r>
        <w:rPr>
          <w:rFonts w:hint="eastAsia" w:ascii="宋体" w:hAnsi="宋体"/>
          <w:sz w:val="21"/>
          <w:szCs w:val="21"/>
          <w:lang w:eastAsia="zh-CN"/>
        </w:rPr>
        <w:t>本标准不涉及专利问题。</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四</w:t>
      </w:r>
      <w:r>
        <w:rPr>
          <w:rFonts w:hint="eastAsia" w:ascii="宋体" w:hAnsi="宋体" w:eastAsia="宋体" w:cs="宋体"/>
          <w:sz w:val="21"/>
          <w:szCs w:val="21"/>
        </w:rPr>
        <w:t>、</w:t>
      </w:r>
      <w:r>
        <w:rPr>
          <w:rFonts w:hint="eastAsia" w:ascii="宋体" w:hAnsi="宋体" w:eastAsia="宋体" w:cs="宋体"/>
          <w:b/>
          <w:bCs/>
          <w:color w:val="auto"/>
          <w:sz w:val="21"/>
          <w:szCs w:val="21"/>
        </w:rPr>
        <w:t>采用国际标准和国外先进标准的情况，与国际、国内同类标准水平的对比情况</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lang w:eastAsia="zh-CN"/>
        </w:rPr>
      </w:pPr>
      <w:r>
        <w:rPr>
          <w:rFonts w:hint="eastAsia" w:ascii="宋体" w:hAnsi="宋体" w:eastAsia="宋体" w:cs="宋体"/>
          <w:lang w:eastAsia="zh-CN"/>
        </w:rPr>
        <w:t>本文件在制定过程中没有采用国际标准。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现有的硫酸钠标准体系中已有GBT 6009-2014 工业无水硫酸钠，以及食品添加剂硫酸钠、化学试剂无水硫酸钠、铬盐副产硫酸钠等标准。镍颜、钴盐、氨水是制备锂离子正极材料</w:t>
      </w:r>
      <w:r>
        <w:rPr>
          <w:rFonts w:hint="eastAsia" w:ascii="宋体" w:hAnsi="宋体" w:eastAsia="宋体" w:cs="宋体"/>
        </w:rPr>
        <w:t>前驱体</w:t>
      </w:r>
      <w:r>
        <w:rPr>
          <w:rFonts w:hint="eastAsia" w:ascii="宋体" w:hAnsi="宋体" w:eastAsia="宋体" w:cs="宋体"/>
          <w:lang w:val="en-US" w:eastAsia="zh-CN"/>
        </w:rPr>
        <w:t>的主要原材料，从锂离子正极材料</w:t>
      </w:r>
      <w:r>
        <w:rPr>
          <w:rFonts w:hint="eastAsia" w:ascii="宋体" w:hAnsi="宋体" w:eastAsia="宋体" w:cs="宋体"/>
        </w:rPr>
        <w:t>前驱体</w:t>
      </w:r>
      <w:r>
        <w:rPr>
          <w:rFonts w:hint="eastAsia" w:ascii="宋体" w:hAnsi="宋体" w:eastAsia="宋体" w:cs="宋体"/>
          <w:lang w:val="en-US" w:eastAsia="zh-CN"/>
        </w:rPr>
        <w:t>废水中回收所得的硫酸钠，需要检测镍离子、钴离子、铵根离子的含量，而现有GBT 6009-2014 《工业无水硫酸钠》里未对其进行规范。HG/T 5560-2019《铬盐副产硫酸钠》中规范的硫酸钠含量≥88%，是用做生产硫化钠和元明粉（元明粉又叫无水硫酸钠）的原材料，不适用于本项目</w:t>
      </w:r>
      <w:r>
        <w:rPr>
          <w:rFonts w:hint="eastAsia" w:ascii="宋体" w:hAnsi="宋体" w:eastAsia="宋体" w:cs="宋体"/>
        </w:rPr>
        <w:t>锂离子电池正极材料前驱体副产</w:t>
      </w:r>
      <w:r>
        <w:rPr>
          <w:rFonts w:hint="eastAsia" w:ascii="宋体" w:hAnsi="宋体" w:eastAsia="宋体" w:cs="宋体"/>
          <w:lang w:val="en-US" w:eastAsia="zh-CN"/>
        </w:rPr>
        <w:t>硫酸钠（硫酸钠含量≥99%）。</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五</w:t>
      </w:r>
      <w:r>
        <w:rPr>
          <w:rFonts w:hint="eastAsia" w:ascii="宋体" w:hAnsi="宋体" w:eastAsia="宋体" w:cs="宋体"/>
          <w:b/>
          <w:bCs/>
          <w:color w:val="auto"/>
          <w:sz w:val="21"/>
          <w:szCs w:val="21"/>
        </w:rPr>
        <w:t>、与有关的现行法律、法规和强制性国家标准的关系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lang w:eastAsia="zh-CN"/>
        </w:rPr>
      </w:pPr>
      <w:r>
        <w:rPr>
          <w:rFonts w:hint="eastAsia" w:ascii="宋体" w:hAnsi="宋体" w:eastAsia="宋体" w:cs="宋体"/>
          <w:lang w:eastAsia="zh-CN"/>
        </w:rPr>
        <w:t>本标准的制定过程、技术指标的选定、检验项目的设置符合现行法律、法规和强制性国家标准的规定。</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六</w:t>
      </w:r>
      <w:r>
        <w:rPr>
          <w:rFonts w:hint="eastAsia" w:ascii="宋体" w:hAnsi="宋体" w:eastAsia="宋体" w:cs="宋体"/>
          <w:b/>
          <w:bCs/>
          <w:color w:val="auto"/>
          <w:sz w:val="21"/>
          <w:szCs w:val="21"/>
        </w:rPr>
        <w:t>、重大分歧意见的处理经过和依据</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lang w:eastAsia="zh-CN"/>
        </w:rPr>
      </w:pPr>
      <w:r>
        <w:rPr>
          <w:rFonts w:hint="eastAsia" w:ascii="宋体" w:hAnsi="宋体" w:eastAsia="宋体" w:cs="宋体"/>
          <w:lang w:eastAsia="zh-CN"/>
        </w:rPr>
        <w:t>无</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七、标准作为强制性或推荐性标准的建议</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lang w:eastAsia="zh-CN"/>
        </w:rPr>
      </w:pPr>
      <w:r>
        <w:rPr>
          <w:rFonts w:hint="eastAsia" w:ascii="宋体" w:hAnsi="宋体" w:eastAsia="宋体" w:cs="宋体"/>
          <w:lang w:eastAsia="zh-CN"/>
        </w:rPr>
        <w:t>建议该标准</w:t>
      </w:r>
      <w:r>
        <w:rPr>
          <w:rFonts w:hint="eastAsia" w:ascii="宋体" w:hAnsi="宋体" w:eastAsia="宋体" w:cs="宋体"/>
          <w:color w:val="auto"/>
          <w:lang w:eastAsia="zh-CN"/>
        </w:rPr>
        <w:t>作为</w:t>
      </w:r>
      <w:r>
        <w:rPr>
          <w:rFonts w:hint="eastAsia" w:ascii="宋体" w:hAnsi="宋体" w:eastAsia="宋体" w:cs="宋体"/>
          <w:color w:val="auto"/>
          <w:lang w:val="en-US" w:eastAsia="zh-CN"/>
        </w:rPr>
        <w:t>推荐性</w:t>
      </w:r>
      <w:r>
        <w:rPr>
          <w:rFonts w:hint="eastAsia" w:ascii="宋体" w:hAnsi="宋体" w:eastAsia="宋体" w:cs="宋体"/>
          <w:lang w:val="en-US" w:eastAsia="zh-CN"/>
        </w:rPr>
        <w:t>团体</w:t>
      </w:r>
      <w:r>
        <w:rPr>
          <w:rFonts w:hint="eastAsia" w:ascii="宋体" w:hAnsi="宋体" w:eastAsia="宋体" w:cs="宋体"/>
          <w:lang w:eastAsia="zh-CN"/>
        </w:rPr>
        <w:t>标准。</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八、贯彻标准的要求和措施建议，包括（组织措施、技术措施、过渡办法）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lang w:val="en-US" w:eastAsia="zh-CN"/>
        </w:rPr>
      </w:pPr>
      <w:r>
        <w:rPr>
          <w:rFonts w:hint="eastAsia" w:ascii="宋体" w:hAnsi="宋体" w:eastAsia="宋体" w:cs="宋体"/>
          <w:lang w:eastAsia="zh-CN"/>
        </w:rPr>
        <w:t>由于本标准首次制定，没有特</w:t>
      </w:r>
      <w:r>
        <w:rPr>
          <w:rFonts w:hint="eastAsia" w:ascii="宋体" w:hAnsi="宋体" w:eastAsia="宋体" w:cs="宋体"/>
          <w:lang w:val="en-US" w:eastAsia="zh-CN"/>
        </w:rPr>
        <w:t>殊要求。</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九、废止现有有关标准的建议</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lang w:eastAsia="zh-CN"/>
        </w:rPr>
      </w:pPr>
      <w:r>
        <w:rPr>
          <w:rFonts w:hint="eastAsia" w:ascii="宋体" w:hAnsi="宋体" w:eastAsia="宋体" w:cs="宋体"/>
          <w:lang w:eastAsia="zh-CN"/>
        </w:rPr>
        <w:t>无。</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十、预期效果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lang w:eastAsia="zh-CN"/>
        </w:rPr>
      </w:pPr>
      <w:r>
        <w:rPr>
          <w:rFonts w:hint="eastAsia" w:ascii="宋体" w:hAnsi="宋体" w:eastAsia="宋体" w:cs="宋体"/>
          <w:lang w:eastAsia="zh-CN"/>
        </w:rPr>
        <w:t>本标准的制定填补了国内无锂离子电池正极材料前驱体副产硫酸钠专用标准的空白，标准的制定过程、技术指标的选定、检验项目的设置符合</w:t>
      </w:r>
      <w:r>
        <w:rPr>
          <w:rFonts w:hint="eastAsia" w:ascii="宋体" w:hAnsi="宋体" w:eastAsia="宋体" w:cs="宋体"/>
          <w:lang w:val="en-US" w:eastAsia="zh-CN"/>
        </w:rPr>
        <w:t>下游产业</w:t>
      </w:r>
      <w:r>
        <w:rPr>
          <w:rFonts w:hint="eastAsia" w:ascii="宋体" w:hAnsi="宋体" w:eastAsia="宋体" w:cs="宋体"/>
          <w:lang w:eastAsia="zh-CN"/>
        </w:rPr>
        <w:t>的要求。本标准的发布、实施，有力推动我国</w:t>
      </w:r>
      <w:r>
        <w:rPr>
          <w:rFonts w:hint="eastAsia" w:ascii="宋体" w:hAnsi="宋体" w:eastAsia="宋体" w:cs="宋体"/>
          <w:lang w:val="en-US" w:eastAsia="zh-CN"/>
        </w:rPr>
        <w:t>硫酸钠</w:t>
      </w:r>
      <w:r>
        <w:rPr>
          <w:rFonts w:hint="eastAsia" w:ascii="宋体" w:hAnsi="宋体" w:eastAsia="宋体" w:cs="宋体"/>
          <w:lang w:eastAsia="zh-CN"/>
        </w:rPr>
        <w:t>国产化、批量化的进程，为</w:t>
      </w:r>
      <w:r>
        <w:rPr>
          <w:rFonts w:hint="eastAsia" w:ascii="宋体" w:hAnsi="宋体" w:eastAsia="宋体" w:cs="宋体"/>
          <w:lang w:val="en-US" w:eastAsia="zh-CN"/>
        </w:rPr>
        <w:t>其</w:t>
      </w:r>
      <w:r>
        <w:rPr>
          <w:rFonts w:hint="eastAsia" w:ascii="宋体" w:hAnsi="宋体" w:eastAsia="宋体" w:cs="宋体"/>
          <w:lang w:eastAsia="zh-CN"/>
        </w:rPr>
        <w:t>发展起到积极作用。</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十一、其他应予说明的事项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lang w:eastAsia="zh-CN"/>
        </w:rPr>
      </w:pPr>
      <w:r>
        <w:rPr>
          <w:rFonts w:hint="eastAsia" w:ascii="宋体" w:hAnsi="宋体" w:eastAsia="宋体" w:cs="宋体"/>
          <w:lang w:eastAsia="zh-CN"/>
        </w:rPr>
        <w:t>无</w:t>
      </w:r>
    </w:p>
    <w:p>
      <w:pPr>
        <w:adjustRightInd w:val="0"/>
        <w:snapToGrid w:val="0"/>
        <w:spacing w:line="360" w:lineRule="auto"/>
        <w:ind w:firstLine="420" w:firstLineChars="200"/>
        <w:rPr>
          <w:rFonts w:hint="eastAsia" w:ascii="宋体" w:hAnsi="宋体"/>
          <w:sz w:val="21"/>
          <w:szCs w:val="21"/>
        </w:rPr>
      </w:pP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rPr>
      </w:pPr>
      <w:r>
        <w:rPr>
          <w:rFonts w:hint="eastAsia"/>
        </w:rPr>
        <w:t>《锂离子电池正极材料前驱体副产 硫酸钠》标准编制组</w:t>
      </w: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lang w:val="en-US" w:eastAsia="zh-CN"/>
        </w:rPr>
      </w:pPr>
      <w:r>
        <w:rPr>
          <w:rFonts w:hint="eastAsia"/>
          <w:lang w:eastAsia="zh-CN"/>
        </w:rPr>
        <w:t>二</w:t>
      </w:r>
      <w:r>
        <w:rPr>
          <w:rFonts w:hint="eastAsia"/>
        </w:rPr>
        <w:t>0</w:t>
      </w:r>
      <w:r>
        <w:rPr>
          <w:rFonts w:hint="eastAsia"/>
          <w:lang w:eastAsia="zh-CN"/>
        </w:rPr>
        <w:t>二</w:t>
      </w:r>
      <w:r>
        <w:rPr>
          <w:rFonts w:hint="eastAsia"/>
          <w:lang w:val="en-US" w:eastAsia="zh-CN"/>
        </w:rPr>
        <w:t>三年十二月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A733DB"/>
    <w:multiLevelType w:val="singleLevel"/>
    <w:tmpl w:val="A3A733DB"/>
    <w:lvl w:ilvl="0" w:tentative="0">
      <w:start w:val="1"/>
      <w:numFmt w:val="decimal"/>
      <w:suff w:val="space"/>
      <w:lvlText w:val="%1."/>
      <w:lvlJc w:val="left"/>
    </w:lvl>
  </w:abstractNum>
  <w:abstractNum w:abstractNumId="1">
    <w:nsid w:val="E7B44E57"/>
    <w:multiLevelType w:val="singleLevel"/>
    <w:tmpl w:val="E7B44E57"/>
    <w:lvl w:ilvl="0" w:tentative="0">
      <w:start w:val="1"/>
      <w:numFmt w:val="decimal"/>
      <w:suff w:val="space"/>
      <w:lvlText w:val="%1."/>
      <w:lvlJc w:val="left"/>
    </w:lvl>
  </w:abstractNum>
  <w:abstractNum w:abstractNumId="2">
    <w:nsid w:val="4C6AA439"/>
    <w:multiLevelType w:val="singleLevel"/>
    <w:tmpl w:val="4C6AA439"/>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xZTE0NWJiMjJjYTA2YWJlMTkwZmViYzAwMjRiMGIifQ=="/>
  </w:docVars>
  <w:rsids>
    <w:rsidRoot w:val="4D4A6DC5"/>
    <w:rsid w:val="01466841"/>
    <w:rsid w:val="068F49A6"/>
    <w:rsid w:val="089622E5"/>
    <w:rsid w:val="0B5E0A31"/>
    <w:rsid w:val="147274C4"/>
    <w:rsid w:val="16747296"/>
    <w:rsid w:val="185B10F3"/>
    <w:rsid w:val="18891FE1"/>
    <w:rsid w:val="1C60776B"/>
    <w:rsid w:val="2C062997"/>
    <w:rsid w:val="2D1A3117"/>
    <w:rsid w:val="370F5268"/>
    <w:rsid w:val="39FD73D0"/>
    <w:rsid w:val="476B7AA9"/>
    <w:rsid w:val="48830CEC"/>
    <w:rsid w:val="49D75B47"/>
    <w:rsid w:val="4ACE33A4"/>
    <w:rsid w:val="4C0E674B"/>
    <w:rsid w:val="4D4A6DC5"/>
    <w:rsid w:val="550A0FB6"/>
    <w:rsid w:val="55212FF4"/>
    <w:rsid w:val="557608AE"/>
    <w:rsid w:val="5B577BEB"/>
    <w:rsid w:val="657A61E6"/>
    <w:rsid w:val="6FE16B76"/>
    <w:rsid w:val="764A4B4A"/>
    <w:rsid w:val="79161E49"/>
    <w:rsid w:val="79A15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Indent"/>
    <w:basedOn w:val="1"/>
    <w:autoRedefine/>
    <w:qFormat/>
    <w:uiPriority w:val="99"/>
    <w:pPr>
      <w:spacing w:after="120"/>
      <w:ind w:left="420" w:leftChars="200"/>
    </w:pPr>
  </w:style>
  <w:style w:type="table" w:styleId="4">
    <w:name w:val="Table Grid"/>
    <w:basedOn w:val="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封面标准名称"/>
    <w:autoRedefine/>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2023-12-12T01:11:00Z</dcterms:created>
  <dc:creator>230926011</dc:creator>
  <cp:lastModifiedBy>蒲公英</cp:lastModifiedBy>
  <dcterms:modified xsi:type="dcterms:W3CDTF">2024-01-11T01:48:00Z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CB3EBB815CFA44AE84F7EC10A6D062FA_11</vt:lpwstr>
  </property>
</Properties>
</file>