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rPr>
          <w:rFonts w:eastAsiaTheme="minorEastAsia"/>
          <w:sz w:val="21"/>
          <w:szCs w:val="21"/>
        </w:rPr>
      </w:pPr>
      <w:bookmarkStart w:id="0" w:name="SectionMark0"/>
      <w:bookmarkStart w:id="1" w:name="SectionMark4"/>
      <w:r>
        <w:rPr>
          <w:rFonts w:eastAsiaTheme="minorEastAsia"/>
          <w:sz w:val="21"/>
          <w:szCs w:val="21"/>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超声波探伤用液浸式换能器特性校准规范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超声波探伤用液浸式换能器特性校准规范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w:rPr>
          <w:rFonts w:eastAsiaTheme="minorEastAsia"/>
          <w:sz w:val="21"/>
          <w:szCs w:val="21"/>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 xml:space="preserve"> 征求意见稿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4-05</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 xml:space="preserve"> 征求意见稿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4-05</w:t>
                      </w:r>
                    </w:p>
                  </w:txbxContent>
                </v:textbox>
                <w10:anchorlock/>
              </v:rect>
            </w:pict>
          </mc:Fallback>
        </mc:AlternateContent>
      </w:r>
      <w:r>
        <w:rPr>
          <w:rFonts w:eastAsiaTheme="minorEastAsia"/>
          <w:sz w:val="21"/>
          <w:szCs w:val="21"/>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8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8"/>
                          <w:p>
                            <w:pPr>
                              <w:pStyle w:val="75"/>
                              <w:rPr>
                                <w:rFonts w:hAnsi="黑体" w:cs="黑体"/>
                                <w:szCs w:val="52"/>
                              </w:rPr>
                            </w:pPr>
                            <w:r>
                              <w:rPr>
                                <w:rFonts w:hint="eastAsia" w:hAnsi="黑体" w:cs="黑体"/>
                                <w:szCs w:val="52"/>
                              </w:rPr>
                              <w:t>超声波探伤用液浸式换能器特性校准规范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8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8"/>
                    <w:p>
                      <w:pPr>
                        <w:pStyle w:val="75"/>
                        <w:rPr>
                          <w:rFonts w:hAnsi="黑体" w:cs="黑体"/>
                          <w:szCs w:val="52"/>
                        </w:rPr>
                      </w:pPr>
                      <w:r>
                        <w:rPr>
                          <w:rFonts w:hint="eastAsia" w:hAnsi="黑体" w:cs="黑体"/>
                          <w:szCs w:val="52"/>
                        </w:rPr>
                        <w:t>超声波探伤用液浸式换能器特性校准规范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2"/>
        <w:numPr>
          <w:ilvl w:val="0"/>
          <w:numId w:val="0"/>
        </w:numPr>
        <w:ind w:left="840" w:hanging="420"/>
        <w:jc w:val="center"/>
        <w:rPr>
          <w:rFonts w:ascii="Times New Roman" w:eastAsiaTheme="minorEastAsia"/>
          <w:b/>
          <w:szCs w:val="21"/>
        </w:rPr>
      </w:pPr>
    </w:p>
    <w:p>
      <w:pPr>
        <w:pStyle w:val="58"/>
        <w:ind w:firstLine="420"/>
        <w:rPr>
          <w:rFonts w:ascii="Times New Roman" w:hAnsi="Times New Roman" w:eastAsiaTheme="minorEastAsia"/>
          <w:szCs w:val="21"/>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bookmarkStart w:id="2" w:name="_Toc464728891"/>
      <w:r>
        <w:rPr>
          <w:rFonts w:ascii="Times New Roman" w:eastAsiaTheme="minorEastAsia"/>
          <w:szCs w:val="21"/>
        </w:rPr>
        <w:t>工作简况</w:t>
      </w:r>
      <w:bookmarkEnd w:id="2"/>
    </w:p>
    <w:p>
      <w:pPr>
        <w:pStyle w:val="61"/>
        <w:rPr>
          <w:rFonts w:ascii="Times New Roman" w:hAnsi="Times New Roman"/>
          <w:szCs w:val="21"/>
        </w:rPr>
      </w:pPr>
      <w:bookmarkStart w:id="3" w:name="_Toc456592524"/>
      <w:bookmarkStart w:id="4" w:name="_Toc464728892"/>
      <w:r>
        <w:rPr>
          <w:rFonts w:ascii="Times New Roman" w:hAnsi="Times New Roman"/>
          <w:szCs w:val="21"/>
        </w:rPr>
        <w:t>1.立项目的</w:t>
      </w:r>
      <w:bookmarkEnd w:id="3"/>
      <w:bookmarkEnd w:id="4"/>
    </w:p>
    <w:p>
      <w:pPr>
        <w:spacing w:line="300" w:lineRule="auto"/>
        <w:ind w:firstLine="420" w:firstLineChars="200"/>
        <w:rPr>
          <w:rFonts w:eastAsiaTheme="minorEastAsia"/>
          <w:szCs w:val="21"/>
        </w:rPr>
      </w:pPr>
      <w:bookmarkStart w:id="5" w:name="_Toc464728896"/>
      <w:r>
        <w:rPr>
          <w:rFonts w:eastAsiaTheme="minorEastAsia"/>
          <w:szCs w:val="21"/>
        </w:rPr>
        <w:t>超声波探伤用液浸式换能器主要用于水中超声探伤时，配套超声探伤机使用。它可以将电信号变换为超声信号，又能将超声信号变换为电信号，即具有超声发射和接收双重功能。它是谐振于超声频率的压电陶瓷，由材料的压电效应将电信号转换为机械振动。主要应用于金属材料加工企业对其产品的超声无损检测，在这种应用场所中，超声波探伤用液浸式换能器的性能指标能够满足工艺要求对能否发现被检测样品的内部缺陷起着关键作用。</w:t>
      </w:r>
    </w:p>
    <w:p>
      <w:pPr>
        <w:spacing w:line="300" w:lineRule="auto"/>
        <w:ind w:firstLine="420" w:firstLineChars="200"/>
        <w:rPr>
          <w:rFonts w:eastAsiaTheme="minorEastAsia"/>
          <w:szCs w:val="21"/>
        </w:rPr>
      </w:pPr>
      <w:r>
        <w:rPr>
          <w:rFonts w:eastAsiaTheme="minorEastAsia"/>
          <w:szCs w:val="21"/>
        </w:rPr>
        <w:t>目前，可参考对超声波探伤用液浸式换能器进行校准的有JJF 1650-2017《超声探伤仪换能器声场特性校准规范》、JJF 1294-2011《超声探伤仪换能器校准规范》等规范。但这些规范的发布日期距离当前已经有较长时间，导致这些规范在当前的实际校准工作中存在校准方法不适用，校准项目不全面等问题，无法保证校准结果的准确性与可靠性。重新编写更适用于超声波探伤用液浸式换能器的校准方法，完善相关校准项目，保证超声波探伤用液浸式换能器校准结果的准确可靠，可以为指定的探伤工艺提供保障，进一步帮助有色金属行业实现高标准、高质量的的发展目标。</w:t>
      </w:r>
    </w:p>
    <w:p>
      <w:pPr>
        <w:pStyle w:val="61"/>
        <w:rPr>
          <w:rFonts w:ascii="Times New Roman" w:hAnsi="Times New Roman"/>
          <w:szCs w:val="21"/>
        </w:rPr>
      </w:pPr>
      <w:r>
        <w:rPr>
          <w:rFonts w:ascii="Times New Roman" w:hAnsi="Times New Roman"/>
          <w:szCs w:val="21"/>
        </w:rPr>
        <w:t>2.任务来源</w:t>
      </w:r>
      <w:bookmarkEnd w:id="5"/>
    </w:p>
    <w:p>
      <w:pPr>
        <w:spacing w:line="300" w:lineRule="auto"/>
        <w:ind w:firstLine="420" w:firstLineChars="200"/>
        <w:contextualSpacing/>
        <w:jc w:val="left"/>
        <w:rPr>
          <w:rFonts w:eastAsiaTheme="minorEastAsia"/>
          <w:color w:val="auto"/>
          <w:szCs w:val="21"/>
        </w:rPr>
      </w:pPr>
      <w:r>
        <w:rPr>
          <w:rFonts w:eastAsiaTheme="minorEastAsia"/>
          <w:szCs w:val="21"/>
        </w:rPr>
        <w:t>为保证用于校准超声波探伤用液浸式换能器的量值准确、可靠，适应我国有色金属行业的快速发展和满足国内外市场的需要，工业和信息化部以工信厅下达</w:t>
      </w:r>
      <w:r>
        <w:rPr>
          <w:rFonts w:eastAsiaTheme="minorEastAsia"/>
          <w:color w:val="auto"/>
          <w:szCs w:val="21"/>
        </w:rPr>
        <w:t>了《工业和信息化部办公厅关于印发202</w:t>
      </w:r>
      <w:r>
        <w:rPr>
          <w:rFonts w:hint="eastAsia" w:eastAsiaTheme="minorEastAsia"/>
          <w:color w:val="auto"/>
          <w:szCs w:val="21"/>
          <w:lang w:val="en-US" w:eastAsia="zh-CN"/>
        </w:rPr>
        <w:t>2</w:t>
      </w:r>
      <w:r>
        <w:rPr>
          <w:rFonts w:eastAsiaTheme="minorEastAsia"/>
          <w:color w:val="auto"/>
          <w:szCs w:val="21"/>
        </w:rPr>
        <w:t>年行业计量技术规范制修订计划的通知》</w:t>
      </w:r>
      <w:r>
        <w:rPr>
          <w:rFonts w:eastAsiaTheme="minorEastAsia"/>
          <w:bCs/>
          <w:color w:val="auto"/>
          <w:szCs w:val="21"/>
        </w:rPr>
        <w:t>（工信厅科函［202</w:t>
      </w:r>
      <w:r>
        <w:rPr>
          <w:rFonts w:hint="eastAsia" w:eastAsiaTheme="minorEastAsia"/>
          <w:bCs/>
          <w:color w:val="auto"/>
          <w:szCs w:val="21"/>
          <w:lang w:val="en-US" w:eastAsia="zh-CN"/>
        </w:rPr>
        <w:t>2</w:t>
      </w:r>
      <w:r>
        <w:rPr>
          <w:rFonts w:eastAsiaTheme="minorEastAsia"/>
          <w:bCs/>
          <w:color w:val="auto"/>
          <w:szCs w:val="21"/>
        </w:rPr>
        <w:t>］</w:t>
      </w:r>
      <w:r>
        <w:rPr>
          <w:rFonts w:hint="eastAsia" w:eastAsiaTheme="minorEastAsia"/>
          <w:bCs/>
          <w:color w:val="auto"/>
          <w:szCs w:val="21"/>
          <w:lang w:val="en-US" w:eastAsia="zh-CN"/>
        </w:rPr>
        <w:t>476</w:t>
      </w:r>
      <w:r>
        <w:rPr>
          <w:rFonts w:eastAsiaTheme="minorEastAsia"/>
          <w:bCs/>
          <w:color w:val="auto"/>
          <w:szCs w:val="21"/>
        </w:rPr>
        <w:t>号）</w:t>
      </w:r>
      <w:r>
        <w:rPr>
          <w:rFonts w:eastAsiaTheme="minorEastAsia"/>
          <w:color w:val="auto"/>
          <w:szCs w:val="21"/>
        </w:rPr>
        <w:t>，其计划项目代号为：JJFZ(有色金属)0</w:t>
      </w:r>
      <w:r>
        <w:rPr>
          <w:rFonts w:hint="eastAsia" w:eastAsiaTheme="minorEastAsia"/>
          <w:color w:val="auto"/>
          <w:szCs w:val="21"/>
          <w:lang w:val="en-US" w:eastAsia="zh-CN"/>
        </w:rPr>
        <w:t>13</w:t>
      </w:r>
      <w:r>
        <w:rPr>
          <w:rFonts w:eastAsiaTheme="minorEastAsia"/>
          <w:color w:val="auto"/>
          <w:szCs w:val="21"/>
        </w:rPr>
        <w:t>-20</w:t>
      </w:r>
      <w:r>
        <w:rPr>
          <w:rFonts w:hint="eastAsia" w:eastAsiaTheme="minorEastAsia"/>
          <w:color w:val="auto"/>
          <w:szCs w:val="21"/>
          <w:lang w:val="en-US" w:eastAsia="zh-CN"/>
        </w:rPr>
        <w:t>23</w:t>
      </w:r>
      <w:r>
        <w:rPr>
          <w:rFonts w:eastAsiaTheme="minorEastAsia"/>
          <w:color w:val="auto"/>
          <w:szCs w:val="21"/>
        </w:rPr>
        <w:t>，计划完成年限为202</w:t>
      </w:r>
      <w:r>
        <w:rPr>
          <w:rFonts w:hint="eastAsia" w:eastAsiaTheme="minorEastAsia"/>
          <w:color w:val="auto"/>
          <w:szCs w:val="21"/>
          <w:lang w:val="en-US" w:eastAsia="zh-CN"/>
        </w:rPr>
        <w:t>4</w:t>
      </w:r>
      <w:r>
        <w:rPr>
          <w:rFonts w:eastAsiaTheme="minorEastAsia"/>
          <w:color w:val="auto"/>
          <w:szCs w:val="21"/>
        </w:rPr>
        <w:t xml:space="preserve">年。 </w:t>
      </w:r>
    </w:p>
    <w:p>
      <w:pPr>
        <w:pStyle w:val="61"/>
        <w:rPr>
          <w:rFonts w:ascii="Times New Roman" w:hAnsi="Times New Roman"/>
          <w:szCs w:val="21"/>
        </w:rPr>
      </w:pPr>
      <w:bookmarkStart w:id="6" w:name="_Toc464728898"/>
      <w:bookmarkStart w:id="7" w:name="_Toc462884342"/>
      <w:r>
        <w:rPr>
          <w:rFonts w:ascii="Times New Roman" w:hAnsi="Times New Roman"/>
          <w:szCs w:val="21"/>
        </w:rPr>
        <w:t>3.项目编制组单位简况</w:t>
      </w:r>
      <w:bookmarkEnd w:id="6"/>
      <w:bookmarkEnd w:id="7"/>
      <w:r>
        <w:rPr>
          <w:rFonts w:ascii="Times New Roman" w:hAnsi="Times New Roman"/>
          <w:szCs w:val="21"/>
        </w:rPr>
        <w:t xml:space="preserve">      </w:t>
      </w:r>
    </w:p>
    <w:p>
      <w:pPr>
        <w:pStyle w:val="60"/>
      </w:pPr>
      <w:bookmarkStart w:id="8" w:name="_Toc462884343"/>
      <w:bookmarkStart w:id="9" w:name="_Toc464728899"/>
      <w:r>
        <w:t>3.1编制组成员单位</w:t>
      </w:r>
      <w:bookmarkEnd w:id="8"/>
      <w:bookmarkEnd w:id="9"/>
    </w:p>
    <w:p>
      <w:pPr>
        <w:widowControl/>
        <w:autoSpaceDE w:val="0"/>
        <w:autoSpaceDN w:val="0"/>
        <w:spacing w:line="360" w:lineRule="auto"/>
        <w:ind w:firstLine="420" w:firstLineChars="200"/>
        <w:rPr>
          <w:rFonts w:eastAsiaTheme="minorEastAsia"/>
          <w:szCs w:val="21"/>
        </w:rPr>
      </w:pPr>
      <w:bookmarkStart w:id="10" w:name="_Toc462884344"/>
      <w:bookmarkStart w:id="11" w:name="_Toc464728900"/>
      <w:r>
        <w:rPr>
          <w:rFonts w:eastAsiaTheme="minorEastAsia"/>
          <w:szCs w:val="21"/>
        </w:rPr>
        <w:t>本规范的编制组单位为：西安汉唐分析检测有限公司。</w:t>
      </w:r>
    </w:p>
    <w:bookmarkEnd w:id="10"/>
    <w:bookmarkEnd w:id="11"/>
    <w:p>
      <w:pPr>
        <w:pStyle w:val="60"/>
      </w:pPr>
      <w:r>
        <w:t>3.2主编单位简介</w:t>
      </w:r>
    </w:p>
    <w:p>
      <w:pPr>
        <w:pStyle w:val="59"/>
        <w:ind w:firstLine="396"/>
        <w:rPr>
          <w:rFonts w:hAnsi="Times New Roman"/>
        </w:rPr>
      </w:pPr>
      <w:r>
        <w:rPr>
          <w:rFonts w:hAnsi="Times New Roman"/>
        </w:rPr>
        <w:t>3.2.1西安汉唐分析检测有限公司</w:t>
      </w:r>
    </w:p>
    <w:p>
      <w:pPr>
        <w:spacing w:line="360" w:lineRule="auto"/>
        <w:ind w:firstLine="420" w:firstLineChars="200"/>
        <w:rPr>
          <w:rFonts w:eastAsiaTheme="minorEastAsia"/>
          <w:szCs w:val="21"/>
        </w:rPr>
      </w:pPr>
      <w:r>
        <w:rPr>
          <w:rFonts w:eastAsiaTheme="minor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rFonts w:eastAsiaTheme="minorEastAsia"/>
          <w:szCs w:val="21"/>
        </w:rPr>
      </w:pPr>
      <w:r>
        <w:rPr>
          <w:rFonts w:eastAsiaTheme="minor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rFonts w:eastAsiaTheme="minorEastAsia"/>
          <w:szCs w:val="21"/>
        </w:rPr>
      </w:pPr>
      <w:r>
        <w:rPr>
          <w:rFonts w:eastAsiaTheme="minor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rFonts w:eastAsiaTheme="minorEastAsia"/>
          <w:szCs w:val="21"/>
        </w:rPr>
      </w:pPr>
      <w:r>
        <w:rPr>
          <w:rFonts w:eastAsiaTheme="minor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60"/>
      </w:pPr>
      <w:bookmarkStart w:id="12" w:name="_Toc464728901"/>
      <w:bookmarkStart w:id="13" w:name="_Toc462884345"/>
      <w:r>
        <w:t>3.3成员单位简介</w:t>
      </w:r>
      <w:bookmarkEnd w:id="12"/>
      <w:bookmarkEnd w:id="13"/>
    </w:p>
    <w:p>
      <w:pPr>
        <w:pStyle w:val="61"/>
        <w:rPr>
          <w:rFonts w:ascii="Times New Roman" w:hAnsi="Times New Roman"/>
          <w:szCs w:val="21"/>
        </w:rPr>
      </w:pPr>
      <w:bookmarkStart w:id="14" w:name="_Toc464728913"/>
      <w:bookmarkStart w:id="15" w:name="_Toc462884357"/>
      <w:r>
        <w:rPr>
          <w:rFonts w:ascii="Times New Roman" w:hAnsi="Times New Roman"/>
          <w:szCs w:val="21"/>
        </w:rPr>
        <w:t>4.主要工作过程</w:t>
      </w:r>
      <w:bookmarkEnd w:id="14"/>
      <w:bookmarkEnd w:id="15"/>
    </w:p>
    <w:p>
      <w:pPr>
        <w:spacing w:line="360" w:lineRule="auto"/>
        <w:ind w:firstLine="420" w:firstLineChars="200"/>
        <w:rPr>
          <w:rFonts w:eastAsiaTheme="minorEastAsia"/>
          <w:bCs/>
          <w:color w:val="FF0000"/>
          <w:szCs w:val="21"/>
        </w:rPr>
      </w:pPr>
      <w:bookmarkStart w:id="16" w:name="_Toc464728924"/>
      <w:r>
        <w:rPr>
          <w:rFonts w:eastAsiaTheme="minorEastAsia"/>
          <w:bCs/>
          <w:szCs w:val="21"/>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pStyle w:val="74"/>
        <w:tabs>
          <w:tab w:val="left" w:pos="426"/>
        </w:tabs>
        <w:spacing w:before="312" w:beforeLines="100" w:after="312" w:afterLines="100" w:line="360" w:lineRule="auto"/>
        <w:ind w:firstLine="420" w:firstLineChars="200"/>
        <w:jc w:val="left"/>
        <w:rPr>
          <w:rFonts w:ascii="Times New Roman" w:eastAsiaTheme="minorEastAsia"/>
          <w:bCs/>
          <w:kern w:val="2"/>
          <w:szCs w:val="21"/>
        </w:rPr>
      </w:pPr>
      <w:r>
        <w:rPr>
          <w:rFonts w:ascii="Times New Roman" w:eastAsiaTheme="minorEastAsia"/>
          <w:bCs/>
          <w:kern w:val="2"/>
          <w:szCs w:val="21"/>
        </w:rPr>
        <w:t>1）2023年8月成立了计量规范编制组，明确编制组成员各自的工作内容及任务，对被校对象的使用单位进行了校准需求调研，收集相关资料。</w:t>
      </w:r>
    </w:p>
    <w:p>
      <w:pPr>
        <w:pStyle w:val="74"/>
        <w:tabs>
          <w:tab w:val="left" w:pos="426"/>
        </w:tabs>
        <w:spacing w:before="312" w:beforeLines="100" w:after="312" w:afterLines="100" w:line="360" w:lineRule="auto"/>
        <w:ind w:firstLine="420" w:firstLineChars="200"/>
        <w:jc w:val="left"/>
        <w:rPr>
          <w:rFonts w:ascii="Times New Roman" w:eastAsiaTheme="minorEastAsia"/>
          <w:bCs/>
          <w:kern w:val="2"/>
          <w:szCs w:val="21"/>
        </w:rPr>
      </w:pPr>
      <w:r>
        <w:rPr>
          <w:rFonts w:ascii="Times New Roman" w:eastAsiaTheme="minorEastAsia"/>
          <w:bCs/>
          <w:kern w:val="2"/>
          <w:szCs w:val="21"/>
        </w:rPr>
        <w:t>2）2023年9月~2024年4月编制组成员对校准规范中的计量特性及校准方法进行了讨论，确定了校准项目及方法，在2024年4月形成了校准规范讨论稿。</w:t>
      </w:r>
    </w:p>
    <w:p>
      <w:pPr>
        <w:pStyle w:val="74"/>
        <w:tabs>
          <w:tab w:val="left" w:pos="426"/>
        </w:tabs>
        <w:spacing w:before="312" w:beforeLines="100" w:after="312" w:afterLines="100" w:line="360" w:lineRule="auto"/>
        <w:ind w:firstLine="420" w:firstLineChars="200"/>
        <w:jc w:val="left"/>
        <w:rPr>
          <w:rFonts w:ascii="Times New Roman" w:eastAsiaTheme="minorEastAsia"/>
          <w:bCs/>
          <w:kern w:val="2"/>
          <w:szCs w:val="21"/>
        </w:rPr>
      </w:pPr>
      <w:r>
        <w:rPr>
          <w:rFonts w:ascii="Times New Roman" w:eastAsiaTheme="minorEastAsia"/>
          <w:bCs/>
          <w:kern w:val="2"/>
          <w:szCs w:val="21"/>
        </w:rPr>
        <w:t>3）2024年4月24日~26日，编制组成员参加了由有色金属行业计量技术委员会组织的在湖南省长沙市华晨豪大酒店召开的有色金属计量技术规范讨论会，与会专家和各单位代表对《液浸式超声换能器特性校准规范》提出了修改意见，并且在会上确定了项目负责起草单位明确了各项工作时间进度要求，编制组依据讨论会上提出的修改意见，修改讨论稿并形成征求意见稿，具体意见内容如下：</w:t>
      </w:r>
      <w:bookmarkEnd w:id="16"/>
    </w:p>
    <w:p>
      <w:pPr>
        <w:pStyle w:val="74"/>
        <w:tabs>
          <w:tab w:val="left" w:pos="426"/>
        </w:tabs>
        <w:spacing w:before="312" w:beforeLines="100" w:after="312" w:afterLines="100" w:line="360" w:lineRule="auto"/>
        <w:ind w:firstLine="420" w:firstLineChars="200"/>
        <w:jc w:val="left"/>
        <w:rPr>
          <w:rFonts w:ascii="Times New Roman" w:eastAsiaTheme="minorEastAsia"/>
          <w:bCs/>
          <w:kern w:val="2"/>
          <w:szCs w:val="21"/>
        </w:rPr>
      </w:pPr>
      <w:r>
        <w:rPr>
          <w:rFonts w:ascii="Times New Roman" w:eastAsiaTheme="minorEastAsia"/>
          <w:bCs/>
          <w:kern w:val="2"/>
          <w:szCs w:val="21"/>
        </w:rPr>
        <w:t>1、 4章节：计量特性描述统一改为：“一般不超过”；</w:t>
      </w:r>
    </w:p>
    <w:p>
      <w:pPr>
        <w:ind w:firstLine="435"/>
        <w:rPr>
          <w:rFonts w:hint="eastAsia"/>
        </w:rPr>
      </w:pPr>
      <w:r>
        <w:t>2、6章节图1中图示解释改为“注：1——超声波接收发射仪；2——自由调节装置；3——示波器显示；4——液浸式超声换能器；5——球靶反射体。”形式</w:t>
      </w:r>
      <w:r>
        <w:rPr>
          <w:rFonts w:hint="eastAsia"/>
        </w:rPr>
        <w:t>；</w:t>
      </w:r>
    </w:p>
    <w:p>
      <w:pPr>
        <w:ind w:firstLine="435"/>
        <w:rPr>
          <w:rFonts w:hint="eastAsia"/>
        </w:rPr>
      </w:pPr>
      <w:r>
        <w:rPr>
          <w:rFonts w:hint="eastAsia"/>
        </w:rPr>
        <w:t>3、全文公式格式按照要求调整；</w:t>
      </w:r>
    </w:p>
    <w:p>
      <w:pPr>
        <w:ind w:firstLine="435"/>
        <w:rPr>
          <w:rFonts w:hint="eastAsia"/>
        </w:rPr>
      </w:pPr>
      <w:r>
        <w:rPr>
          <w:rFonts w:hint="eastAsia"/>
        </w:rPr>
        <w:t>4、附录A，按照格式要求进行修改，同时新增示意图空白处；</w:t>
      </w:r>
    </w:p>
    <w:p>
      <w:pPr>
        <w:ind w:firstLine="435"/>
        <w:rPr>
          <w:rFonts w:hint="eastAsia"/>
        </w:rPr>
      </w:pPr>
      <w:r>
        <w:rPr>
          <w:rFonts w:hint="eastAsia"/>
        </w:rPr>
        <w:t>5、附录B，按照格式要求进行修改，同时新增示意图空白处；</w:t>
      </w:r>
    </w:p>
    <w:p>
      <w:pPr>
        <w:ind w:firstLine="435"/>
      </w:pPr>
      <w:r>
        <w:rPr>
          <w:rFonts w:hint="eastAsia"/>
        </w:rPr>
        <w:t>6、附录C，按照格式要求进行修改。</w:t>
      </w:r>
    </w:p>
    <w:p>
      <w:pPr>
        <w:pStyle w:val="79"/>
        <w:wordWrap/>
        <w:spacing w:beforeLines="0" w:after="156" w:line="360" w:lineRule="auto"/>
        <w:rPr>
          <w:rFonts w:ascii="Times New Roman" w:eastAsiaTheme="minorEastAsia"/>
          <w:szCs w:val="21"/>
        </w:rPr>
      </w:pPr>
      <w:bookmarkStart w:id="17" w:name="_Toc464728925"/>
      <w:r>
        <w:rPr>
          <w:rFonts w:ascii="Times New Roman" w:eastAsiaTheme="minorEastAsia"/>
          <w:szCs w:val="21"/>
        </w:rPr>
        <w:t>编制原则</w:t>
      </w:r>
      <w:bookmarkEnd w:id="17"/>
    </w:p>
    <w:p>
      <w:pPr>
        <w:pStyle w:val="58"/>
        <w:spacing w:line="324" w:lineRule="auto"/>
        <w:ind w:firstLineChars="0"/>
        <w:rPr>
          <w:rFonts w:ascii="Times New Roman" w:hAnsi="Times New Roman" w:eastAsiaTheme="minorEastAsia"/>
          <w:kern w:val="2"/>
          <w:szCs w:val="21"/>
        </w:rPr>
      </w:pPr>
      <w:bookmarkStart w:id="18" w:name="_Toc464728926"/>
      <w:r>
        <w:rPr>
          <w:rFonts w:ascii="Times New Roman" w:hAnsi="Times New Roman" w:eastAsiaTheme="minorEastAsia"/>
          <w:kern w:val="2"/>
          <w:szCs w:val="21"/>
        </w:rPr>
        <w:t>本规范是以JJF 1071-2010《国家计量校准规范编写规则》、JJF 1001-2011《通用计量术语及定义》和JJF 1059.1-2012《测量不确定度评定与表示》为基础性系列规范进行编写。</w:t>
      </w:r>
    </w:p>
    <w:p>
      <w:pPr>
        <w:spacing w:line="324" w:lineRule="auto"/>
        <w:ind w:firstLine="420" w:firstLineChars="200"/>
        <w:rPr>
          <w:rFonts w:eastAsiaTheme="minorEastAsia"/>
          <w:szCs w:val="21"/>
        </w:rPr>
      </w:pPr>
      <w:r>
        <w:rPr>
          <w:rFonts w:eastAsiaTheme="minorEastAsia"/>
          <w:szCs w:val="21"/>
        </w:rPr>
        <w:t>本规范引用了JJF 1650-2017 《超声探伤仪换能器声场特性校准规范》、ISO 22232-2 《Non-destructive testing-Characterization and verification of ultrasonic test equipment》、ASTM E1065 《Evaluating Characteristics of Ultrasonic Search Units》等相关内容。</w:t>
      </w:r>
    </w:p>
    <w:p>
      <w:pPr>
        <w:spacing w:line="324" w:lineRule="auto"/>
        <w:ind w:firstLine="420" w:firstLineChars="200"/>
        <w:rPr>
          <w:rFonts w:eastAsiaTheme="minorEastAsia"/>
          <w:szCs w:val="21"/>
        </w:rPr>
      </w:pPr>
    </w:p>
    <w:p>
      <w:pPr>
        <w:pStyle w:val="79"/>
        <w:spacing w:before="312" w:beforeLines="100" w:after="312" w:afterLines="100"/>
        <w:rPr>
          <w:rFonts w:ascii="Times New Roman" w:eastAsiaTheme="minorEastAsia"/>
          <w:szCs w:val="21"/>
        </w:rPr>
      </w:pPr>
      <w:r>
        <w:rPr>
          <w:rFonts w:ascii="Times New Roman" w:eastAsiaTheme="minorEastAsia"/>
          <w:szCs w:val="21"/>
        </w:rPr>
        <w:t>确定主要内</w:t>
      </w:r>
      <w:bookmarkEnd w:id="18"/>
      <w:r>
        <w:rPr>
          <w:rFonts w:ascii="Times New Roman" w:eastAsiaTheme="minorEastAsia"/>
          <w:szCs w:val="21"/>
        </w:rPr>
        <w:t>容</w:t>
      </w:r>
    </w:p>
    <w:p>
      <w:pPr>
        <w:pStyle w:val="61"/>
        <w:rPr>
          <w:rFonts w:ascii="Times New Roman" w:hAnsi="Times New Roman"/>
          <w:szCs w:val="21"/>
        </w:rPr>
      </w:pPr>
      <w:bookmarkStart w:id="19" w:name="_Toc23837_WPSOffice_Level1"/>
      <w:bookmarkStart w:id="20" w:name="_Toc500258929"/>
      <w:bookmarkStart w:id="21" w:name="_Toc193860027"/>
      <w:bookmarkStart w:id="22" w:name="_Toc193860177"/>
      <w:bookmarkStart w:id="23" w:name="_Toc193860208"/>
      <w:bookmarkStart w:id="24" w:name="_Toc464728964"/>
      <w:r>
        <w:rPr>
          <w:rFonts w:ascii="Times New Roman" w:hAnsi="Times New Roman"/>
          <w:szCs w:val="21"/>
        </w:rPr>
        <w:t>1 范围</w:t>
      </w:r>
      <w:bookmarkEnd w:id="19"/>
      <w:bookmarkEnd w:id="20"/>
      <w:bookmarkEnd w:id="21"/>
      <w:bookmarkEnd w:id="22"/>
      <w:bookmarkEnd w:id="23"/>
    </w:p>
    <w:p>
      <w:pPr>
        <w:pStyle w:val="58"/>
        <w:spacing w:line="324" w:lineRule="auto"/>
        <w:ind w:firstLineChars="0"/>
        <w:rPr>
          <w:rFonts w:ascii="Times New Roman" w:hAnsi="Times New Roman" w:eastAsiaTheme="minorEastAsia"/>
          <w:kern w:val="2"/>
          <w:szCs w:val="21"/>
        </w:rPr>
      </w:pPr>
      <w:bookmarkStart w:id="25" w:name="_Toc193860178"/>
      <w:bookmarkStart w:id="26" w:name="_Toc193860028"/>
      <w:bookmarkStart w:id="27" w:name="_Toc193860209"/>
      <w:bookmarkStart w:id="28" w:name="_Toc7848_WPSOffice_Level1"/>
      <w:bookmarkStart w:id="29" w:name="_Toc500258930"/>
      <w:r>
        <w:rPr>
          <w:rFonts w:ascii="Times New Roman" w:hAnsi="Times New Roman" w:eastAsiaTheme="minorEastAsia"/>
          <w:kern w:val="2"/>
          <w:szCs w:val="21"/>
        </w:rPr>
        <w:t>本规范适用于频率在（0.5~15）MHz范围内的液浸式聚焦换能器与液浸式平面换能器。</w:t>
      </w:r>
    </w:p>
    <w:p>
      <w:pPr>
        <w:pStyle w:val="61"/>
        <w:rPr>
          <w:rFonts w:ascii="Times New Roman" w:hAnsi="Times New Roman"/>
          <w:szCs w:val="21"/>
        </w:rPr>
      </w:pPr>
      <w:r>
        <w:rPr>
          <w:rFonts w:ascii="Times New Roman" w:hAnsi="Times New Roman"/>
          <w:szCs w:val="21"/>
        </w:rPr>
        <w:t>2 引用文</w:t>
      </w:r>
      <w:bookmarkEnd w:id="25"/>
      <w:bookmarkEnd w:id="26"/>
      <w:bookmarkEnd w:id="27"/>
      <w:r>
        <w:rPr>
          <w:rFonts w:ascii="Times New Roman" w:hAnsi="Times New Roman"/>
          <w:szCs w:val="21"/>
        </w:rPr>
        <w:t>件</w:t>
      </w:r>
      <w:bookmarkEnd w:id="28"/>
      <w:bookmarkEnd w:id="29"/>
    </w:p>
    <w:p>
      <w:pPr>
        <w:spacing w:line="360" w:lineRule="auto"/>
        <w:ind w:firstLine="420" w:firstLineChars="200"/>
        <w:rPr>
          <w:rFonts w:eastAsiaTheme="minorEastAsia"/>
          <w:szCs w:val="21"/>
        </w:rPr>
      </w:pPr>
      <w:bookmarkStart w:id="30" w:name="_Toc193619097"/>
      <w:bookmarkStart w:id="31" w:name="_Toc193860180"/>
      <w:bookmarkStart w:id="32" w:name="_Toc13054_WPSOffice_Level1"/>
      <w:bookmarkStart w:id="33" w:name="_Toc193860030"/>
      <w:bookmarkStart w:id="34" w:name="_Toc193619055"/>
      <w:bookmarkStart w:id="35" w:name="_Toc193860211"/>
      <w:bookmarkStart w:id="36" w:name="_Toc500258937"/>
      <w:bookmarkStart w:id="37" w:name="_Toc193618952"/>
      <w:r>
        <w:rPr>
          <w:rFonts w:eastAsiaTheme="minorEastAsia"/>
          <w:szCs w:val="21"/>
        </w:rPr>
        <w:t>本规范无引用文件。</w:t>
      </w:r>
    </w:p>
    <w:p>
      <w:pPr>
        <w:pStyle w:val="61"/>
        <w:rPr>
          <w:rFonts w:ascii="Times New Roman" w:hAnsi="Times New Roman"/>
          <w:szCs w:val="21"/>
        </w:rPr>
      </w:pPr>
      <w:r>
        <w:rPr>
          <w:rFonts w:ascii="Times New Roman" w:hAnsi="Times New Roman"/>
          <w:szCs w:val="21"/>
        </w:rPr>
        <w:t>3 概述</w:t>
      </w:r>
      <w:bookmarkEnd w:id="30"/>
      <w:bookmarkEnd w:id="31"/>
      <w:bookmarkEnd w:id="32"/>
      <w:bookmarkEnd w:id="33"/>
      <w:bookmarkEnd w:id="34"/>
      <w:bookmarkEnd w:id="35"/>
      <w:bookmarkEnd w:id="36"/>
      <w:bookmarkEnd w:id="37"/>
    </w:p>
    <w:p>
      <w:pPr>
        <w:pStyle w:val="58"/>
        <w:spacing w:line="324" w:lineRule="auto"/>
        <w:ind w:firstLineChars="0"/>
        <w:rPr>
          <w:rFonts w:ascii="Times New Roman" w:hAnsi="Times New Roman" w:eastAsiaTheme="minorEastAsia"/>
          <w:color w:val="FF0000"/>
          <w:szCs w:val="21"/>
        </w:rPr>
      </w:pPr>
      <w:r>
        <w:rPr>
          <w:rFonts w:ascii="Times New Roman" w:hAnsi="Times New Roman" w:eastAsiaTheme="minorEastAsia"/>
          <w:kern w:val="2"/>
          <w:szCs w:val="21"/>
        </w:rPr>
        <w:t>超声波探伤用液浸式换能器由压电晶片、阻尼块、接头、电缆线、保护膜和外壳组成。其关键部件是压电晶片，是一个具有压电特性的单晶或多晶体薄片，其作用是将电能转换为声能，并将声能转换为电能。广泛应用在超声无损检测等领域，可分为聚焦换能器和平面换能器。液浸式超声换能器的特性参数可通过球靶反射体法和水听器法测量超声信号和扫描声场获得。</w:t>
      </w:r>
    </w:p>
    <w:p>
      <w:pPr>
        <w:pStyle w:val="61"/>
        <w:rPr>
          <w:rFonts w:ascii="Times New Roman" w:hAnsi="Times New Roman"/>
          <w:szCs w:val="21"/>
        </w:rPr>
      </w:pPr>
      <w:bookmarkStart w:id="38" w:name="_Toc193860212"/>
      <w:bookmarkStart w:id="39" w:name="_Toc193619098"/>
      <w:bookmarkStart w:id="40" w:name="_Toc500258938"/>
      <w:bookmarkStart w:id="41" w:name="_Toc193860181"/>
      <w:bookmarkStart w:id="42" w:name="_Toc193619056"/>
      <w:bookmarkStart w:id="43" w:name="_Toc19851_WPSOffice_Level1"/>
      <w:bookmarkStart w:id="44" w:name="_Toc193618953"/>
      <w:bookmarkStart w:id="45" w:name="_Toc193860031"/>
      <w:r>
        <w:rPr>
          <w:rFonts w:ascii="Times New Roman" w:hAnsi="Times New Roman"/>
          <w:szCs w:val="21"/>
        </w:rPr>
        <w:t>4 计量特性</w:t>
      </w:r>
      <w:bookmarkEnd w:id="38"/>
      <w:bookmarkEnd w:id="39"/>
      <w:bookmarkEnd w:id="40"/>
      <w:bookmarkEnd w:id="41"/>
      <w:bookmarkEnd w:id="42"/>
      <w:bookmarkEnd w:id="43"/>
      <w:bookmarkEnd w:id="44"/>
      <w:bookmarkEnd w:id="45"/>
    </w:p>
    <w:p>
      <w:pPr>
        <w:pStyle w:val="61"/>
        <w:rPr>
          <w:rFonts w:ascii="Times New Roman" w:hAnsi="Times New Roman"/>
          <w:szCs w:val="21"/>
        </w:rPr>
      </w:pPr>
      <w:bookmarkStart w:id="46" w:name="_Toc25829_WPSOffice_Level1"/>
      <w:r>
        <w:rPr>
          <w:rFonts w:ascii="Times New Roman" w:hAnsi="Times New Roman"/>
          <w:szCs w:val="21"/>
        </w:rPr>
        <w:t>4.1 脉冲回波灵敏度</w:t>
      </w:r>
    </w:p>
    <w:p>
      <w:pPr>
        <w:pStyle w:val="61"/>
        <w:rPr>
          <w:rFonts w:ascii="Times New Roman" w:hAnsi="Times New Roman"/>
          <w:szCs w:val="21"/>
        </w:rPr>
      </w:pPr>
      <w:r>
        <w:rPr>
          <w:rFonts w:ascii="Times New Roman" w:hAnsi="Times New Roman"/>
          <w:szCs w:val="21"/>
        </w:rPr>
        <w:t>与出厂数据相差一般不超过±3dB。</w:t>
      </w:r>
    </w:p>
    <w:p>
      <w:pPr>
        <w:pStyle w:val="61"/>
        <w:rPr>
          <w:rFonts w:ascii="Times New Roman" w:hAnsi="Times New Roman"/>
          <w:szCs w:val="21"/>
        </w:rPr>
      </w:pPr>
      <w:r>
        <w:rPr>
          <w:rFonts w:ascii="Times New Roman" w:hAnsi="Times New Roman"/>
          <w:szCs w:val="21"/>
        </w:rPr>
        <w:t>4.2 中心频率</w:t>
      </w:r>
    </w:p>
    <w:p>
      <w:pPr>
        <w:pStyle w:val="61"/>
        <w:rPr>
          <w:rFonts w:ascii="Times New Roman" w:hAnsi="Times New Roman"/>
          <w:szCs w:val="21"/>
        </w:rPr>
      </w:pPr>
      <w:r>
        <w:rPr>
          <w:rFonts w:ascii="Times New Roman" w:hAnsi="Times New Roman"/>
          <w:szCs w:val="21"/>
        </w:rPr>
        <w:t>中心频率偏差一般不超过标称值的±10%。</w:t>
      </w:r>
    </w:p>
    <w:p>
      <w:pPr>
        <w:pStyle w:val="61"/>
        <w:rPr>
          <w:rFonts w:ascii="Times New Roman" w:hAnsi="Times New Roman"/>
          <w:szCs w:val="21"/>
        </w:rPr>
      </w:pPr>
      <w:r>
        <w:rPr>
          <w:rFonts w:ascii="Times New Roman" w:hAnsi="Times New Roman"/>
          <w:szCs w:val="21"/>
        </w:rPr>
        <w:t>4.3 相对带宽</w:t>
      </w:r>
    </w:p>
    <w:p>
      <w:pPr>
        <w:pStyle w:val="61"/>
        <w:rPr>
          <w:rFonts w:ascii="Times New Roman" w:hAnsi="Times New Roman"/>
          <w:szCs w:val="21"/>
        </w:rPr>
      </w:pPr>
      <w:r>
        <w:rPr>
          <w:rFonts w:ascii="Times New Roman" w:hAnsi="Times New Roman"/>
          <w:szCs w:val="21"/>
        </w:rPr>
        <w:t>偏差一般不超过标称值的±15%。</w:t>
      </w:r>
    </w:p>
    <w:p>
      <w:pPr>
        <w:pStyle w:val="61"/>
        <w:rPr>
          <w:rFonts w:ascii="Times New Roman" w:hAnsi="Times New Roman"/>
          <w:szCs w:val="21"/>
        </w:rPr>
      </w:pPr>
      <w:r>
        <w:rPr>
          <w:rFonts w:ascii="Times New Roman" w:hAnsi="Times New Roman"/>
          <w:szCs w:val="21"/>
        </w:rPr>
        <w:t>4.4 焦距/近场长度</w:t>
      </w:r>
    </w:p>
    <w:p>
      <w:pPr>
        <w:pStyle w:val="61"/>
        <w:rPr>
          <w:rFonts w:ascii="Times New Roman" w:hAnsi="Times New Roman"/>
          <w:szCs w:val="21"/>
        </w:rPr>
      </w:pPr>
      <w:r>
        <w:rPr>
          <w:rFonts w:ascii="Times New Roman" w:hAnsi="Times New Roman"/>
          <w:szCs w:val="21"/>
        </w:rPr>
        <w:t>焦距/近场长度偏差一般不超过标称值/理论值的±15%。</w:t>
      </w:r>
    </w:p>
    <w:p>
      <w:pPr>
        <w:pStyle w:val="61"/>
        <w:rPr>
          <w:rFonts w:ascii="Times New Roman" w:hAnsi="Times New Roman"/>
          <w:szCs w:val="21"/>
        </w:rPr>
      </w:pPr>
      <w:r>
        <w:rPr>
          <w:rFonts w:ascii="Times New Roman" w:hAnsi="Times New Roman"/>
          <w:szCs w:val="21"/>
        </w:rPr>
        <w:t>4.5 场深（焦柱长度）</w:t>
      </w:r>
    </w:p>
    <w:p>
      <w:pPr>
        <w:pStyle w:val="61"/>
        <w:rPr>
          <w:rFonts w:ascii="Times New Roman" w:hAnsi="Times New Roman"/>
          <w:szCs w:val="21"/>
        </w:rPr>
      </w:pPr>
      <w:r>
        <w:rPr>
          <w:rFonts w:ascii="Times New Roman" w:hAnsi="Times New Roman"/>
          <w:szCs w:val="21"/>
        </w:rPr>
        <w:t>场深（焦柱长度）偏差一般不超过标称值的±15%。</w:t>
      </w:r>
    </w:p>
    <w:p>
      <w:pPr>
        <w:pStyle w:val="61"/>
        <w:rPr>
          <w:rFonts w:ascii="Times New Roman" w:hAnsi="Times New Roman"/>
          <w:szCs w:val="21"/>
        </w:rPr>
      </w:pPr>
      <w:r>
        <w:rPr>
          <w:rFonts w:ascii="Times New Roman" w:hAnsi="Times New Roman"/>
          <w:szCs w:val="21"/>
        </w:rPr>
        <w:t>4.6 焦点尺寸/声束直径</w:t>
      </w:r>
    </w:p>
    <w:p>
      <w:pPr>
        <w:pStyle w:val="61"/>
        <w:rPr>
          <w:rFonts w:ascii="Times New Roman" w:hAnsi="Times New Roman"/>
          <w:szCs w:val="21"/>
        </w:rPr>
      </w:pPr>
      <w:r>
        <w:rPr>
          <w:rFonts w:ascii="Times New Roman" w:hAnsi="Times New Roman"/>
          <w:szCs w:val="21"/>
        </w:rPr>
        <w:t>焦点尺寸/声束直径的偏差一般不超过标称值的±20%。</w:t>
      </w:r>
    </w:p>
    <w:p>
      <w:pPr>
        <w:pStyle w:val="61"/>
        <w:rPr>
          <w:rFonts w:ascii="Times New Roman" w:hAnsi="Times New Roman"/>
          <w:szCs w:val="21"/>
        </w:rPr>
      </w:pPr>
      <w:r>
        <w:rPr>
          <w:rFonts w:ascii="Times New Roman" w:hAnsi="Times New Roman"/>
          <w:szCs w:val="21"/>
        </w:rPr>
        <w:t>4.7 声束扩散角</w:t>
      </w:r>
    </w:p>
    <w:p>
      <w:pPr>
        <w:pStyle w:val="61"/>
        <w:rPr>
          <w:rFonts w:ascii="Times New Roman" w:hAnsi="Times New Roman"/>
          <w:szCs w:val="21"/>
        </w:rPr>
      </w:pPr>
      <w:r>
        <w:rPr>
          <w:rFonts w:ascii="Times New Roman" w:hAnsi="Times New Roman"/>
          <w:szCs w:val="21"/>
        </w:rPr>
        <w:t xml:space="preserve">    偏差一般不超过标称值的±20%。</w:t>
      </w:r>
    </w:p>
    <w:p>
      <w:pPr>
        <w:pStyle w:val="61"/>
        <w:rPr>
          <w:rFonts w:ascii="Times New Roman" w:hAnsi="Times New Roman"/>
          <w:szCs w:val="21"/>
        </w:rPr>
      </w:pPr>
      <w:r>
        <w:rPr>
          <w:rFonts w:ascii="Times New Roman" w:hAnsi="Times New Roman"/>
          <w:szCs w:val="21"/>
        </w:rPr>
        <w:t>5 校准条件</w:t>
      </w:r>
      <w:bookmarkEnd w:id="46"/>
      <w:bookmarkStart w:id="47" w:name="_Toc193860033"/>
      <w:bookmarkStart w:id="48" w:name="_Toc193860183"/>
      <w:bookmarkStart w:id="49" w:name="_Toc500258942"/>
      <w:bookmarkStart w:id="50" w:name="_Toc193860214"/>
    </w:p>
    <w:bookmarkEnd w:id="47"/>
    <w:bookmarkEnd w:id="48"/>
    <w:bookmarkEnd w:id="49"/>
    <w:bookmarkEnd w:id="50"/>
    <w:p>
      <w:pPr>
        <w:pStyle w:val="61"/>
        <w:rPr>
          <w:rFonts w:ascii="Times New Roman" w:hAnsi="Times New Roman"/>
          <w:szCs w:val="21"/>
        </w:rPr>
      </w:pPr>
      <w:bookmarkStart w:id="51" w:name="_Toc193860216"/>
      <w:bookmarkStart w:id="52" w:name="_Toc193619058"/>
      <w:bookmarkStart w:id="53" w:name="_Toc193618955"/>
      <w:bookmarkStart w:id="54" w:name="_Toc193619100"/>
      <w:bookmarkStart w:id="55" w:name="_Toc500258944"/>
      <w:bookmarkStart w:id="56" w:name="_Toc2741_WPSOffice_Level1"/>
      <w:bookmarkStart w:id="57" w:name="_Toc193860185"/>
      <w:bookmarkStart w:id="58" w:name="_Toc193860035"/>
      <w:r>
        <w:rPr>
          <w:rFonts w:ascii="Times New Roman" w:hAnsi="Times New Roman"/>
          <w:szCs w:val="21"/>
        </w:rPr>
        <w:t>校准时的环境条件应满足以下要求：</w:t>
      </w:r>
    </w:p>
    <w:p>
      <w:pPr>
        <w:pStyle w:val="61"/>
        <w:rPr>
          <w:rFonts w:ascii="Times New Roman" w:hAnsi="Times New Roman"/>
          <w:szCs w:val="21"/>
        </w:rPr>
      </w:pPr>
      <w:r>
        <w:rPr>
          <w:rFonts w:ascii="Times New Roman" w:hAnsi="Times New Roman"/>
          <w:szCs w:val="21"/>
        </w:rPr>
        <w:t>室温：（18~28）℃；</w:t>
      </w:r>
    </w:p>
    <w:p>
      <w:pPr>
        <w:pStyle w:val="61"/>
        <w:rPr>
          <w:rFonts w:ascii="Times New Roman" w:hAnsi="Times New Roman"/>
          <w:szCs w:val="21"/>
        </w:rPr>
      </w:pPr>
      <w:r>
        <w:rPr>
          <w:rFonts w:ascii="Times New Roman" w:hAnsi="Times New Roman"/>
          <w:szCs w:val="21"/>
        </w:rPr>
        <w:t>水温：（15~33）℃。</w:t>
      </w:r>
    </w:p>
    <w:p>
      <w:pPr>
        <w:pStyle w:val="58"/>
        <w:ind w:firstLine="420"/>
        <w:rPr>
          <w:rFonts w:ascii="Times New Roman" w:hAnsi="Times New Roman" w:eastAsiaTheme="minorEastAsia"/>
          <w:szCs w:val="21"/>
        </w:rPr>
      </w:pPr>
      <w:r>
        <w:rPr>
          <w:rFonts w:ascii="Times New Roman" w:hAnsi="Times New Roman" w:eastAsiaTheme="minorEastAsia"/>
          <w:szCs w:val="21"/>
        </w:rPr>
        <w:t>测量标准及设备应满足如下表1要求.</w:t>
      </w:r>
    </w:p>
    <w:p>
      <w:pPr>
        <w:jc w:val="center"/>
        <w:rPr>
          <w:rFonts w:eastAsiaTheme="minorEastAsia"/>
          <w:szCs w:val="21"/>
        </w:rPr>
      </w:pPr>
      <w:r>
        <w:rPr>
          <w:rFonts w:eastAsiaTheme="minorEastAsia"/>
          <w:kern w:val="0"/>
          <w:szCs w:val="21"/>
        </w:rPr>
        <w:t>表1校准设备</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50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eastAsiaTheme="minorEastAsia"/>
                <w:szCs w:val="21"/>
              </w:rPr>
            </w:pPr>
            <w:r>
              <w:rPr>
                <w:rFonts w:eastAsiaTheme="minorEastAsia"/>
                <w:szCs w:val="21"/>
              </w:rPr>
              <w:t>序号</w:t>
            </w:r>
          </w:p>
        </w:tc>
        <w:tc>
          <w:tcPr>
            <w:tcW w:w="2505" w:type="dxa"/>
            <w:vAlign w:val="center"/>
          </w:tcPr>
          <w:p>
            <w:pPr>
              <w:jc w:val="center"/>
              <w:rPr>
                <w:rFonts w:eastAsiaTheme="minorEastAsia"/>
                <w:szCs w:val="21"/>
              </w:rPr>
            </w:pPr>
            <w:r>
              <w:rPr>
                <w:rFonts w:eastAsiaTheme="minorEastAsia"/>
                <w:szCs w:val="21"/>
              </w:rPr>
              <w:t>仪器设备名称</w:t>
            </w:r>
          </w:p>
        </w:tc>
        <w:tc>
          <w:tcPr>
            <w:tcW w:w="6045" w:type="dxa"/>
            <w:vAlign w:val="center"/>
          </w:tcPr>
          <w:p>
            <w:pPr>
              <w:jc w:val="center"/>
              <w:rPr>
                <w:rFonts w:eastAsiaTheme="minorEastAsia"/>
                <w:szCs w:val="21"/>
              </w:rPr>
            </w:pPr>
            <w:r>
              <w:rPr>
                <w:rFonts w:eastAsiaTheme="minorEastAsia"/>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eastAsiaTheme="minorEastAsia"/>
                <w:szCs w:val="21"/>
              </w:rPr>
            </w:pPr>
            <w:r>
              <w:rPr>
                <w:rFonts w:eastAsiaTheme="minorEastAsia"/>
                <w:szCs w:val="21"/>
              </w:rPr>
              <w:t>1</w:t>
            </w:r>
          </w:p>
        </w:tc>
        <w:tc>
          <w:tcPr>
            <w:tcW w:w="2505" w:type="dxa"/>
            <w:vAlign w:val="center"/>
          </w:tcPr>
          <w:p>
            <w:pPr>
              <w:jc w:val="center"/>
              <w:rPr>
                <w:rFonts w:eastAsiaTheme="minorEastAsia"/>
                <w:szCs w:val="21"/>
              </w:rPr>
            </w:pPr>
            <w:r>
              <w:rPr>
                <w:rFonts w:eastAsiaTheme="minorEastAsia"/>
                <w:kern w:val="0"/>
                <w:szCs w:val="21"/>
              </w:rPr>
              <w:t>超声波接收发射仪</w:t>
            </w:r>
          </w:p>
        </w:tc>
        <w:tc>
          <w:tcPr>
            <w:tcW w:w="6045" w:type="dxa"/>
            <w:vAlign w:val="center"/>
          </w:tcPr>
          <w:p>
            <w:pPr>
              <w:jc w:val="center"/>
              <w:rPr>
                <w:rFonts w:eastAsiaTheme="minorEastAsia"/>
                <w:kern w:val="0"/>
                <w:szCs w:val="21"/>
              </w:rPr>
            </w:pPr>
            <w:r>
              <w:rPr>
                <w:rFonts w:eastAsiaTheme="minorEastAsia"/>
                <w:kern w:val="0"/>
                <w:szCs w:val="21"/>
              </w:rPr>
              <w:t>频带宽度：0.5MHz~30MHz；</w:t>
            </w:r>
          </w:p>
          <w:p>
            <w:pPr>
              <w:jc w:val="center"/>
              <w:rPr>
                <w:rFonts w:eastAsiaTheme="minorEastAsia"/>
                <w:kern w:val="0"/>
                <w:szCs w:val="21"/>
              </w:rPr>
            </w:pPr>
            <w:r>
              <w:rPr>
                <w:rFonts w:eastAsiaTheme="minorEastAsia"/>
                <w:kern w:val="0"/>
                <w:szCs w:val="21"/>
              </w:rPr>
              <w:t>激励电压：50V~350V；</w:t>
            </w:r>
          </w:p>
          <w:p>
            <w:pPr>
              <w:jc w:val="center"/>
              <w:rPr>
                <w:rFonts w:eastAsiaTheme="minorEastAsia"/>
                <w:kern w:val="0"/>
                <w:szCs w:val="21"/>
              </w:rPr>
            </w:pPr>
            <w:r>
              <w:rPr>
                <w:rFonts w:eastAsiaTheme="minorEastAsia"/>
                <w:kern w:val="0"/>
                <w:szCs w:val="21"/>
              </w:rPr>
              <w:t>激励方式：方波、尖波。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eastAsiaTheme="minorEastAsia"/>
                <w:szCs w:val="21"/>
              </w:rPr>
            </w:pPr>
            <w:r>
              <w:rPr>
                <w:rFonts w:eastAsiaTheme="minorEastAsia"/>
                <w:szCs w:val="21"/>
              </w:rPr>
              <w:t>2</w:t>
            </w:r>
          </w:p>
        </w:tc>
        <w:tc>
          <w:tcPr>
            <w:tcW w:w="2505" w:type="dxa"/>
            <w:vAlign w:val="center"/>
          </w:tcPr>
          <w:p>
            <w:pPr>
              <w:jc w:val="center"/>
              <w:rPr>
                <w:rFonts w:eastAsiaTheme="minorEastAsia"/>
                <w:kern w:val="0"/>
                <w:szCs w:val="21"/>
              </w:rPr>
            </w:pPr>
            <w:r>
              <w:rPr>
                <w:rFonts w:eastAsiaTheme="minorEastAsia"/>
                <w:kern w:val="0"/>
                <w:szCs w:val="21"/>
              </w:rPr>
              <w:t>数字存储示波器</w:t>
            </w:r>
          </w:p>
        </w:tc>
        <w:tc>
          <w:tcPr>
            <w:tcW w:w="6045" w:type="dxa"/>
            <w:vAlign w:val="center"/>
          </w:tcPr>
          <w:p>
            <w:pPr>
              <w:jc w:val="center"/>
              <w:rPr>
                <w:rFonts w:eastAsiaTheme="minorEastAsia"/>
                <w:kern w:val="0"/>
                <w:szCs w:val="21"/>
              </w:rPr>
            </w:pPr>
            <w:r>
              <w:rPr>
                <w:rFonts w:eastAsiaTheme="minorEastAsia"/>
                <w:kern w:val="0"/>
                <w:szCs w:val="21"/>
              </w:rPr>
              <w:t>工作频率上限不低于100MHz，采样率高于200MHz，具有频谱分析功能。时间分辨力优于0.1μs。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eastAsiaTheme="minorEastAsia"/>
                <w:szCs w:val="21"/>
              </w:rPr>
            </w:pPr>
            <w:r>
              <w:rPr>
                <w:rFonts w:eastAsiaTheme="minorEastAsia"/>
                <w:szCs w:val="21"/>
              </w:rPr>
              <w:t>3</w:t>
            </w:r>
          </w:p>
        </w:tc>
        <w:tc>
          <w:tcPr>
            <w:tcW w:w="2505" w:type="dxa"/>
            <w:vAlign w:val="center"/>
          </w:tcPr>
          <w:p>
            <w:pPr>
              <w:jc w:val="center"/>
              <w:rPr>
                <w:rFonts w:eastAsiaTheme="minorEastAsia"/>
                <w:kern w:val="0"/>
                <w:szCs w:val="21"/>
              </w:rPr>
            </w:pPr>
            <w:r>
              <w:rPr>
                <w:rFonts w:eastAsiaTheme="minorEastAsia"/>
                <w:kern w:val="0"/>
                <w:szCs w:val="21"/>
              </w:rPr>
              <w:t>水听器</w:t>
            </w:r>
          </w:p>
        </w:tc>
        <w:tc>
          <w:tcPr>
            <w:tcW w:w="6045" w:type="dxa"/>
            <w:vAlign w:val="center"/>
          </w:tcPr>
          <w:p>
            <w:pPr>
              <w:jc w:val="center"/>
              <w:rPr>
                <w:rFonts w:eastAsiaTheme="minorEastAsia"/>
                <w:kern w:val="0"/>
                <w:szCs w:val="21"/>
              </w:rPr>
            </w:pPr>
            <w:r>
              <w:rPr>
                <w:rFonts w:eastAsiaTheme="minorEastAsia"/>
                <w:kern w:val="0"/>
                <w:szCs w:val="21"/>
              </w:rPr>
              <w:t>带宽：0.5MHz~15MHz；</w:t>
            </w:r>
          </w:p>
          <w:p>
            <w:pPr>
              <w:jc w:val="center"/>
              <w:rPr>
                <w:rFonts w:eastAsiaTheme="minorEastAsia"/>
                <w:kern w:val="0"/>
                <w:szCs w:val="21"/>
              </w:rPr>
            </w:pPr>
            <w:r>
              <w:rPr>
                <w:rFonts w:eastAsiaTheme="minorEastAsia"/>
                <w:kern w:val="0"/>
                <w:szCs w:val="21"/>
              </w:rPr>
              <w:t>直径小于2λ，λ为在水介质中声速波长。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eastAsiaTheme="minorEastAsia"/>
                <w:szCs w:val="21"/>
              </w:rPr>
            </w:pPr>
            <w:r>
              <w:rPr>
                <w:rFonts w:eastAsiaTheme="minorEastAsia"/>
                <w:szCs w:val="21"/>
              </w:rPr>
              <w:t>4</w:t>
            </w:r>
          </w:p>
        </w:tc>
        <w:tc>
          <w:tcPr>
            <w:tcW w:w="2505" w:type="dxa"/>
            <w:vAlign w:val="center"/>
          </w:tcPr>
          <w:p>
            <w:pPr>
              <w:jc w:val="center"/>
              <w:rPr>
                <w:rFonts w:eastAsiaTheme="minorEastAsia"/>
                <w:szCs w:val="21"/>
              </w:rPr>
            </w:pPr>
            <w:r>
              <w:rPr>
                <w:rFonts w:eastAsiaTheme="minorEastAsia"/>
                <w:szCs w:val="21"/>
              </w:rPr>
              <w:t>水箱及自由调节装置</w:t>
            </w:r>
          </w:p>
        </w:tc>
        <w:tc>
          <w:tcPr>
            <w:tcW w:w="6045" w:type="dxa"/>
            <w:vAlign w:val="center"/>
          </w:tcPr>
          <w:p>
            <w:pPr>
              <w:jc w:val="left"/>
              <w:rPr>
                <w:rFonts w:eastAsiaTheme="minorEastAsia"/>
                <w:szCs w:val="21"/>
              </w:rPr>
            </w:pPr>
            <w:r>
              <w:rPr>
                <w:rFonts w:eastAsiaTheme="minorEastAsia"/>
                <w:szCs w:val="21"/>
              </w:rPr>
              <w:t>水箱应满足声场扫描范围的要求，声场长度方向，水箱尺寸应大于被校换能器的3倍近场区；</w:t>
            </w:r>
          </w:p>
          <w:p>
            <w:pPr>
              <w:jc w:val="left"/>
              <w:rPr>
                <w:rFonts w:eastAsiaTheme="minorEastAsia"/>
                <w:szCs w:val="21"/>
              </w:rPr>
            </w:pPr>
            <w:r>
              <w:rPr>
                <w:rFonts w:eastAsiaTheme="minorEastAsia"/>
                <w:szCs w:val="21"/>
              </w:rPr>
              <w:t>换能器夹持调节机构，应具有五个自由度的调节能力，包括X、Y、Z的空间定位，以及调节水平偏转和垂直俯仰功能，其中X、Y、Z的空间定位精度应优于0.02mm，另外两个自由旋转角度分辨力应优于0.05°。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jc w:val="center"/>
              <w:rPr>
                <w:rFonts w:eastAsiaTheme="minorEastAsia"/>
                <w:szCs w:val="21"/>
              </w:rPr>
            </w:pPr>
            <w:r>
              <w:rPr>
                <w:rFonts w:eastAsiaTheme="minorEastAsia"/>
                <w:szCs w:val="21"/>
              </w:rPr>
              <w:t>5</w:t>
            </w:r>
          </w:p>
        </w:tc>
        <w:tc>
          <w:tcPr>
            <w:tcW w:w="2505" w:type="dxa"/>
            <w:vAlign w:val="center"/>
          </w:tcPr>
          <w:p>
            <w:pPr>
              <w:jc w:val="center"/>
              <w:rPr>
                <w:rFonts w:eastAsiaTheme="minorEastAsia"/>
                <w:szCs w:val="21"/>
              </w:rPr>
            </w:pPr>
            <w:r>
              <w:rPr>
                <w:rFonts w:eastAsiaTheme="minorEastAsia"/>
                <w:szCs w:val="21"/>
              </w:rPr>
              <w:t>温度计</w:t>
            </w:r>
          </w:p>
        </w:tc>
        <w:tc>
          <w:tcPr>
            <w:tcW w:w="6045" w:type="dxa"/>
            <w:vAlign w:val="center"/>
          </w:tcPr>
          <w:p>
            <w:pPr>
              <w:jc w:val="center"/>
              <w:rPr>
                <w:rFonts w:eastAsiaTheme="minorEastAsia"/>
                <w:szCs w:val="21"/>
              </w:rPr>
            </w:pPr>
            <w:r>
              <w:rPr>
                <w:rFonts w:eastAsiaTheme="minorEastAsia"/>
                <w:szCs w:val="21"/>
              </w:rPr>
              <w:t>测量范围：0~40℃；</w:t>
            </w:r>
          </w:p>
          <w:p>
            <w:pPr>
              <w:jc w:val="center"/>
              <w:rPr>
                <w:rFonts w:eastAsiaTheme="minorEastAsia"/>
                <w:szCs w:val="21"/>
              </w:rPr>
            </w:pPr>
            <w:r>
              <w:rPr>
                <w:rFonts w:eastAsiaTheme="minorEastAsia"/>
                <w:szCs w:val="21"/>
              </w:rPr>
              <w:t>示值误差应优于±0.1℃。</w:t>
            </w:r>
          </w:p>
        </w:tc>
      </w:tr>
    </w:tbl>
    <w:p>
      <w:pPr>
        <w:pStyle w:val="61"/>
        <w:rPr>
          <w:rFonts w:ascii="Times New Roman" w:hAnsi="Times New Roman"/>
          <w:szCs w:val="21"/>
        </w:rPr>
      </w:pPr>
      <w:r>
        <w:rPr>
          <w:rFonts w:ascii="Times New Roman" w:hAnsi="Times New Roman"/>
          <w:szCs w:val="21"/>
        </w:rPr>
        <w:t>6 校准项目和校准方法</w:t>
      </w:r>
      <w:bookmarkEnd w:id="51"/>
      <w:bookmarkEnd w:id="52"/>
      <w:bookmarkEnd w:id="53"/>
      <w:bookmarkEnd w:id="54"/>
      <w:bookmarkEnd w:id="55"/>
      <w:bookmarkEnd w:id="56"/>
      <w:bookmarkEnd w:id="57"/>
      <w:bookmarkEnd w:id="58"/>
    </w:p>
    <w:p>
      <w:pPr>
        <w:pStyle w:val="61"/>
        <w:rPr>
          <w:rFonts w:ascii="Times New Roman" w:hAnsi="Times New Roman"/>
          <w:szCs w:val="21"/>
        </w:rPr>
      </w:pPr>
      <w:bookmarkStart w:id="59" w:name="_Toc22718_WPSOffice_Level2"/>
      <w:bookmarkStart w:id="60" w:name="_Toc500258945"/>
      <w:r>
        <w:rPr>
          <w:rFonts w:ascii="Times New Roman" w:hAnsi="Times New Roman"/>
          <w:szCs w:val="21"/>
        </w:rPr>
        <w:t>6.1校准项目</w:t>
      </w:r>
    </w:p>
    <w:p>
      <w:pPr>
        <w:spacing w:line="360" w:lineRule="auto"/>
        <w:ind w:firstLine="420" w:firstLineChars="200"/>
        <w:rPr>
          <w:rFonts w:eastAsiaTheme="minorEastAsia"/>
          <w:kern w:val="0"/>
          <w:szCs w:val="21"/>
        </w:rPr>
      </w:pPr>
      <w:r>
        <w:rPr>
          <w:rFonts w:eastAsiaTheme="minorEastAsia"/>
          <w:kern w:val="0"/>
          <w:szCs w:val="21"/>
        </w:rPr>
        <w:t>校准项目见表2。</w:t>
      </w:r>
    </w:p>
    <w:p>
      <w:pPr>
        <w:jc w:val="center"/>
        <w:rPr>
          <w:rFonts w:eastAsiaTheme="minorEastAsia"/>
          <w:szCs w:val="21"/>
        </w:rPr>
      </w:pPr>
      <w:r>
        <w:rPr>
          <w:rFonts w:eastAsiaTheme="minorEastAsia"/>
          <w:szCs w:val="21"/>
        </w:rPr>
        <w:t>表2聚焦/平面超声换能器校准项目一览表</w:t>
      </w:r>
    </w:p>
    <w:tbl>
      <w:tblPr>
        <w:tblStyle w:val="4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5"/>
        <w:gridCol w:w="4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序号</w:t>
            </w:r>
          </w:p>
        </w:tc>
        <w:tc>
          <w:tcPr>
            <w:tcW w:w="4786" w:type="dxa"/>
            <w:vAlign w:val="center"/>
          </w:tcPr>
          <w:p>
            <w:pPr>
              <w:jc w:val="center"/>
              <w:rPr>
                <w:rFonts w:eastAsiaTheme="minorEastAsia"/>
                <w:szCs w:val="21"/>
              </w:rPr>
            </w:pPr>
            <w:r>
              <w:rPr>
                <w:rFonts w:eastAsiaTheme="minorEastAsia"/>
                <w:szCs w:val="21"/>
              </w:rPr>
              <w:t>项目名称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1</w:t>
            </w:r>
          </w:p>
        </w:tc>
        <w:tc>
          <w:tcPr>
            <w:tcW w:w="4786" w:type="dxa"/>
            <w:vAlign w:val="center"/>
          </w:tcPr>
          <w:p>
            <w:pPr>
              <w:jc w:val="center"/>
              <w:rPr>
                <w:rFonts w:eastAsiaTheme="minorEastAsia"/>
                <w:szCs w:val="21"/>
              </w:rPr>
            </w:pPr>
            <w:r>
              <w:rPr>
                <w:rFonts w:eastAsiaTheme="minorEastAsia"/>
                <w:szCs w:val="21"/>
              </w:rPr>
              <w:t>脉冲回波灵敏度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2</w:t>
            </w:r>
          </w:p>
        </w:tc>
        <w:tc>
          <w:tcPr>
            <w:tcW w:w="4786" w:type="dxa"/>
            <w:vAlign w:val="center"/>
          </w:tcPr>
          <w:p>
            <w:pPr>
              <w:jc w:val="center"/>
              <w:rPr>
                <w:rFonts w:eastAsiaTheme="minorEastAsia"/>
                <w:szCs w:val="21"/>
              </w:rPr>
            </w:pPr>
            <w:r>
              <w:rPr>
                <w:rFonts w:eastAsiaTheme="minorEastAsia"/>
                <w:szCs w:val="21"/>
              </w:rPr>
              <w:t>中心频率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3</w:t>
            </w:r>
          </w:p>
        </w:tc>
        <w:tc>
          <w:tcPr>
            <w:tcW w:w="4786" w:type="dxa"/>
            <w:vAlign w:val="center"/>
          </w:tcPr>
          <w:p>
            <w:pPr>
              <w:jc w:val="center"/>
              <w:rPr>
                <w:rFonts w:eastAsiaTheme="minorEastAsia"/>
                <w:szCs w:val="21"/>
              </w:rPr>
            </w:pPr>
            <w:r>
              <w:rPr>
                <w:rFonts w:eastAsiaTheme="minorEastAsia"/>
                <w:szCs w:val="21"/>
              </w:rPr>
              <w:t>相对带宽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4</w:t>
            </w:r>
          </w:p>
        </w:tc>
        <w:tc>
          <w:tcPr>
            <w:tcW w:w="4786" w:type="dxa"/>
            <w:vAlign w:val="center"/>
          </w:tcPr>
          <w:p>
            <w:pPr>
              <w:jc w:val="center"/>
              <w:rPr>
                <w:rFonts w:eastAsiaTheme="minorEastAsia"/>
                <w:szCs w:val="21"/>
              </w:rPr>
            </w:pPr>
            <w:r>
              <w:rPr>
                <w:rFonts w:eastAsiaTheme="minorEastAsia"/>
                <w:szCs w:val="21"/>
              </w:rPr>
              <w:t>焦距/近场长度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5</w:t>
            </w:r>
          </w:p>
        </w:tc>
        <w:tc>
          <w:tcPr>
            <w:tcW w:w="4786" w:type="dxa"/>
            <w:vAlign w:val="center"/>
          </w:tcPr>
          <w:p>
            <w:pPr>
              <w:jc w:val="center"/>
              <w:rPr>
                <w:rFonts w:eastAsiaTheme="minorEastAsia"/>
                <w:szCs w:val="21"/>
              </w:rPr>
            </w:pPr>
            <w:r>
              <w:rPr>
                <w:rFonts w:eastAsiaTheme="minorEastAsia"/>
                <w:szCs w:val="21"/>
              </w:rPr>
              <w:t>场深（焦柱长度）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6</w:t>
            </w:r>
          </w:p>
        </w:tc>
        <w:tc>
          <w:tcPr>
            <w:tcW w:w="4786" w:type="dxa"/>
            <w:vAlign w:val="center"/>
          </w:tcPr>
          <w:p>
            <w:pPr>
              <w:jc w:val="center"/>
              <w:rPr>
                <w:rFonts w:eastAsiaTheme="minorEastAsia"/>
                <w:szCs w:val="21"/>
              </w:rPr>
            </w:pPr>
            <w:r>
              <w:rPr>
                <w:rFonts w:eastAsiaTheme="minorEastAsia"/>
                <w:szCs w:val="21"/>
              </w:rPr>
              <w:t>焦点尺寸/声束直径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5" w:type="dxa"/>
            <w:vAlign w:val="center"/>
          </w:tcPr>
          <w:p>
            <w:pPr>
              <w:jc w:val="center"/>
              <w:rPr>
                <w:rFonts w:eastAsiaTheme="minorEastAsia"/>
                <w:szCs w:val="21"/>
              </w:rPr>
            </w:pPr>
            <w:r>
              <w:rPr>
                <w:rFonts w:eastAsiaTheme="minorEastAsia"/>
                <w:szCs w:val="21"/>
              </w:rPr>
              <w:t>7</w:t>
            </w:r>
          </w:p>
        </w:tc>
        <w:tc>
          <w:tcPr>
            <w:tcW w:w="4786" w:type="dxa"/>
            <w:vAlign w:val="center"/>
          </w:tcPr>
          <w:p>
            <w:pPr>
              <w:jc w:val="center"/>
              <w:rPr>
                <w:rFonts w:eastAsiaTheme="minorEastAsia"/>
                <w:szCs w:val="21"/>
              </w:rPr>
            </w:pPr>
            <w:r>
              <w:rPr>
                <w:rFonts w:eastAsiaTheme="minorEastAsia"/>
                <w:szCs w:val="21"/>
              </w:rPr>
              <w:t>声束扩散角</w:t>
            </w:r>
          </w:p>
        </w:tc>
      </w:tr>
    </w:tbl>
    <w:p>
      <w:pPr>
        <w:pStyle w:val="61"/>
        <w:rPr>
          <w:rFonts w:ascii="Times New Roman" w:hAnsi="Times New Roman"/>
          <w:szCs w:val="21"/>
        </w:rPr>
      </w:pPr>
      <w:r>
        <w:rPr>
          <w:rFonts w:ascii="Times New Roman" w:hAnsi="Times New Roman"/>
          <w:szCs w:val="21"/>
        </w:rPr>
        <w:t>6.2校准方法</w:t>
      </w:r>
    </w:p>
    <w:p>
      <w:pPr>
        <w:spacing w:line="360" w:lineRule="auto"/>
        <w:ind w:firstLine="420" w:firstLineChars="200"/>
        <w:rPr>
          <w:rFonts w:eastAsiaTheme="minorEastAsia"/>
          <w:kern w:val="0"/>
          <w:szCs w:val="21"/>
        </w:rPr>
      </w:pPr>
      <w:r>
        <w:rPr>
          <w:rFonts w:eastAsiaTheme="minorEastAsia"/>
          <w:kern w:val="0"/>
          <w:szCs w:val="21"/>
        </w:rPr>
        <w:t>整个校准过程将换能器和φ4表面光滑小球反射体或水听器浸在水中进行，校准装置及原理如图1、图2所示。</w:t>
      </w:r>
    </w:p>
    <w:p>
      <w:pPr>
        <w:spacing w:line="360" w:lineRule="auto"/>
        <w:jc w:val="center"/>
        <w:rPr>
          <w:rFonts w:eastAsiaTheme="minorEastAsia"/>
          <w:kern w:val="0"/>
          <w:szCs w:val="21"/>
        </w:rPr>
      </w:pPr>
      <w:bookmarkStart w:id="89" w:name="_GoBack"/>
      <w:r>
        <w:rPr>
          <w:rFonts w:eastAsiaTheme="minorEastAsia"/>
          <w:kern w:val="0"/>
          <w:szCs w:val="21"/>
        </w:rPr>
        <w:drawing>
          <wp:inline distT="0" distB="0" distL="0" distR="0">
            <wp:extent cx="3535045" cy="1875155"/>
            <wp:effectExtent l="0" t="0" r="8255" b="0"/>
            <wp:docPr id="10" name="图片 10" descr="H:\磁粉打印\小球反射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磁粉打印\小球反射体.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36642" cy="1876110"/>
                    </a:xfrm>
                    <a:prstGeom prst="rect">
                      <a:avLst/>
                    </a:prstGeom>
                    <a:noFill/>
                    <a:ln>
                      <a:noFill/>
                    </a:ln>
                  </pic:spPr>
                </pic:pic>
              </a:graphicData>
            </a:graphic>
          </wp:inline>
        </w:drawing>
      </w:r>
      <w:bookmarkEnd w:id="89"/>
    </w:p>
    <w:p>
      <w:pPr>
        <w:spacing w:line="360" w:lineRule="auto"/>
        <w:jc w:val="center"/>
        <w:rPr>
          <w:rFonts w:eastAsiaTheme="minorEastAsia"/>
          <w:kern w:val="0"/>
          <w:szCs w:val="21"/>
        </w:rPr>
      </w:pPr>
      <w:r>
        <w:rPr>
          <w:rFonts w:eastAsiaTheme="minorEastAsia"/>
          <w:kern w:val="0"/>
          <w:szCs w:val="21"/>
        </w:rPr>
        <w:t>图1 φ4球靶反射体法液浸式换能器校准系统示意图</w:t>
      </w:r>
    </w:p>
    <w:p>
      <w:pPr>
        <w:ind w:firstLine="435"/>
        <w:jc w:val="left"/>
        <w:rPr>
          <w:rFonts w:eastAsiaTheme="minorEastAsia"/>
          <w:szCs w:val="21"/>
        </w:rPr>
      </w:pPr>
      <w:r>
        <w:rPr>
          <w:rFonts w:eastAsiaTheme="minorEastAsia"/>
          <w:szCs w:val="21"/>
        </w:rPr>
        <w:t>注：</w:t>
      </w:r>
    </w:p>
    <w:p>
      <w:pPr>
        <w:ind w:firstLine="435"/>
        <w:jc w:val="left"/>
        <w:rPr>
          <w:rFonts w:eastAsiaTheme="minorEastAsia"/>
          <w:szCs w:val="21"/>
        </w:rPr>
      </w:pPr>
      <w:r>
        <w:rPr>
          <w:rFonts w:eastAsiaTheme="minorEastAsia"/>
          <w:szCs w:val="21"/>
        </w:rPr>
        <w:t>1——超声波接收发射仪；2——自由调节装置；3——示波器显示；4——液浸式超声换能器；5——球靶反射体。</w:t>
      </w:r>
    </w:p>
    <w:p>
      <w:pPr>
        <w:spacing w:line="360" w:lineRule="auto"/>
        <w:jc w:val="center"/>
        <w:rPr>
          <w:rFonts w:eastAsiaTheme="minorEastAsia"/>
          <w:kern w:val="0"/>
          <w:szCs w:val="21"/>
        </w:rPr>
      </w:pPr>
      <w:r>
        <w:rPr>
          <w:rFonts w:eastAsiaTheme="minorEastAsia"/>
          <w:kern w:val="0"/>
          <w:szCs w:val="21"/>
        </w:rPr>
        <w:drawing>
          <wp:inline distT="0" distB="0" distL="0" distR="0">
            <wp:extent cx="3455035" cy="1763395"/>
            <wp:effectExtent l="0" t="0" r="0" b="8255"/>
            <wp:docPr id="9" name="图片 9" descr="H:\磁粉打印\校准系统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磁粉打印\校准系统图.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71912" cy="1772315"/>
                    </a:xfrm>
                    <a:prstGeom prst="rect">
                      <a:avLst/>
                    </a:prstGeom>
                    <a:noFill/>
                    <a:ln>
                      <a:noFill/>
                    </a:ln>
                  </pic:spPr>
                </pic:pic>
              </a:graphicData>
            </a:graphic>
          </wp:inline>
        </w:drawing>
      </w:r>
    </w:p>
    <w:p>
      <w:pPr>
        <w:spacing w:line="360" w:lineRule="auto"/>
        <w:jc w:val="center"/>
        <w:rPr>
          <w:rFonts w:eastAsiaTheme="minorEastAsia"/>
          <w:kern w:val="0"/>
          <w:szCs w:val="21"/>
        </w:rPr>
      </w:pPr>
      <w:r>
        <w:rPr>
          <w:rFonts w:eastAsiaTheme="minorEastAsia"/>
          <w:kern w:val="0"/>
          <w:szCs w:val="21"/>
        </w:rPr>
        <w:t>图2 水听器法液浸式换能器校准系统示意图</w:t>
      </w:r>
    </w:p>
    <w:p>
      <w:pPr>
        <w:spacing w:line="360" w:lineRule="auto"/>
        <w:ind w:firstLine="420" w:firstLineChars="200"/>
        <w:rPr>
          <w:rFonts w:eastAsiaTheme="minorEastAsia"/>
          <w:kern w:val="0"/>
          <w:szCs w:val="21"/>
        </w:rPr>
      </w:pPr>
      <w:r>
        <w:rPr>
          <w:rFonts w:eastAsiaTheme="minorEastAsia"/>
          <w:kern w:val="0"/>
          <w:szCs w:val="21"/>
        </w:rPr>
        <w:t>注：</w:t>
      </w:r>
    </w:p>
    <w:p>
      <w:pPr>
        <w:ind w:firstLine="435"/>
        <w:jc w:val="left"/>
        <w:rPr>
          <w:rFonts w:eastAsiaTheme="minorEastAsia"/>
          <w:szCs w:val="21"/>
        </w:rPr>
      </w:pPr>
      <w:bookmarkStart w:id="61" w:name="_Toc7187"/>
      <w:r>
        <w:rPr>
          <w:rFonts w:eastAsiaTheme="minorEastAsia"/>
          <w:szCs w:val="21"/>
        </w:rPr>
        <w:t>1——超声波接收发射仪；2——自由调节装置；3——信号同步；4——示波器显示；5——液浸式超声换能器；6——水听器。</w:t>
      </w:r>
    </w:p>
    <w:p>
      <w:pPr>
        <w:spacing w:line="360" w:lineRule="auto"/>
        <w:ind w:firstLine="420" w:firstLineChars="200"/>
        <w:rPr>
          <w:rFonts w:eastAsiaTheme="minorEastAsia"/>
          <w:bCs/>
          <w:kern w:val="0"/>
          <w:szCs w:val="21"/>
        </w:rPr>
      </w:pPr>
      <w:r>
        <w:rPr>
          <w:rFonts w:eastAsiaTheme="minorEastAsia"/>
          <w:bCs/>
          <w:kern w:val="0"/>
          <w:szCs w:val="21"/>
        </w:rPr>
        <w:t>6.2.1校准前检查</w:t>
      </w:r>
      <w:bookmarkEnd w:id="61"/>
    </w:p>
    <w:p>
      <w:pPr>
        <w:spacing w:line="360" w:lineRule="auto"/>
        <w:ind w:firstLine="420" w:firstLineChars="200"/>
        <w:rPr>
          <w:rFonts w:eastAsiaTheme="minorEastAsia"/>
          <w:kern w:val="0"/>
          <w:szCs w:val="21"/>
        </w:rPr>
      </w:pPr>
      <w:r>
        <w:rPr>
          <w:rFonts w:eastAsiaTheme="minorEastAsia"/>
          <w:kern w:val="0"/>
          <w:szCs w:val="21"/>
        </w:rPr>
        <w:t>检查换能器外观，应满足一下要求：</w:t>
      </w:r>
    </w:p>
    <w:p>
      <w:pPr>
        <w:spacing w:line="360" w:lineRule="auto"/>
        <w:ind w:firstLine="420" w:firstLineChars="200"/>
        <w:rPr>
          <w:rFonts w:eastAsiaTheme="minorEastAsia"/>
          <w:kern w:val="0"/>
          <w:szCs w:val="21"/>
        </w:rPr>
      </w:pPr>
      <w:r>
        <w:rPr>
          <w:rFonts w:eastAsiaTheme="minorEastAsia"/>
          <w:kern w:val="0"/>
          <w:szCs w:val="21"/>
        </w:rPr>
        <w:t>1）被校换能器应无明显损坏，发射声波前端匹配层应完好无破损脱落现象；</w:t>
      </w:r>
    </w:p>
    <w:p>
      <w:pPr>
        <w:spacing w:line="360" w:lineRule="auto"/>
        <w:ind w:firstLine="420" w:firstLineChars="200"/>
        <w:rPr>
          <w:rFonts w:eastAsiaTheme="minorEastAsia"/>
          <w:kern w:val="0"/>
          <w:szCs w:val="21"/>
        </w:rPr>
      </w:pPr>
      <w:r>
        <w:rPr>
          <w:rFonts w:eastAsiaTheme="minorEastAsia"/>
          <w:kern w:val="0"/>
          <w:szCs w:val="21"/>
        </w:rPr>
        <w:t>2）被校换能器防水橡胶圈应无老化开裂现象。</w:t>
      </w:r>
    </w:p>
    <w:p>
      <w:pPr>
        <w:spacing w:line="360" w:lineRule="auto"/>
        <w:ind w:firstLine="420" w:firstLineChars="200"/>
        <w:rPr>
          <w:rFonts w:eastAsiaTheme="minorEastAsia"/>
          <w:bCs/>
          <w:kern w:val="0"/>
          <w:szCs w:val="21"/>
        </w:rPr>
      </w:pPr>
      <w:bookmarkStart w:id="62" w:name="_Toc13132"/>
      <w:r>
        <w:rPr>
          <w:rFonts w:eastAsiaTheme="minorEastAsia"/>
          <w:bCs/>
          <w:kern w:val="0"/>
          <w:szCs w:val="21"/>
        </w:rPr>
        <w:t>6.2.2脉冲回波灵敏度</w:t>
      </w:r>
      <w:bookmarkEnd w:id="62"/>
    </w:p>
    <w:p>
      <w:pPr>
        <w:ind w:firstLine="480"/>
        <w:rPr>
          <w:rFonts w:eastAsiaTheme="minorEastAsia"/>
          <w:kern w:val="0"/>
          <w:szCs w:val="21"/>
        </w:rPr>
      </w:pPr>
      <w:r>
        <w:rPr>
          <w:rFonts w:eastAsiaTheme="minorEastAsia"/>
          <w:kern w:val="0"/>
          <w:szCs w:val="21"/>
        </w:rPr>
        <w:t>脉冲回波灵敏度计算方法见公式（1）：</w:t>
      </w:r>
    </w:p>
    <w:p>
      <w:pPr>
        <w:ind w:firstLine="480"/>
        <w:jc w:val="center"/>
        <w:rPr>
          <w:rFonts w:eastAsiaTheme="minorEastAsia"/>
          <w:kern w:val="0"/>
          <w:szCs w:val="21"/>
        </w:rPr>
      </w:pPr>
      <w:r>
        <w:rPr>
          <w:rFonts w:eastAsiaTheme="minorEastAsia"/>
          <w:kern w:val="0"/>
          <w:szCs w:val="21"/>
        </w:rPr>
        <w:t xml:space="preserve">                             </w:t>
      </w:r>
      <m:oMath>
        <m:r>
          <m:rPr>
            <m:sty m:val="p"/>
          </m:rPr>
          <w:rPr>
            <w:rFonts w:ascii="Cambria Math" w:hAnsi="Cambria Math" w:eastAsiaTheme="minorEastAsia"/>
            <w:kern w:val="0"/>
            <w:szCs w:val="21"/>
          </w:rPr>
          <m:t>S=20</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log</m:t>
            </m:r>
            <m:ctrlPr>
              <w:rPr>
                <w:rFonts w:ascii="Cambria Math" w:hAnsi="Cambria Math" w:eastAsiaTheme="minorEastAsia"/>
                <w:kern w:val="0"/>
                <w:szCs w:val="21"/>
              </w:rPr>
            </m:ctrlPr>
          </m:e>
          <m:sub>
            <m:r>
              <m:rPr>
                <m:sty m:val="p"/>
              </m:rPr>
              <w:rPr>
                <w:rFonts w:ascii="Cambria Math" w:hAnsi="Cambria Math" w:eastAsiaTheme="minorEastAsia"/>
                <w:kern w:val="0"/>
                <w:szCs w:val="21"/>
              </w:rPr>
              <m:t>10</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f>
          <m:fPr>
            <m:ctrlPr>
              <w:rPr>
                <w:rFonts w:ascii="Cambria Math" w:hAnsi="Cambria Math" w:eastAsiaTheme="minorEastAsia"/>
                <w:kern w:val="0"/>
                <w:szCs w:val="21"/>
              </w:rPr>
            </m:ctrlPr>
          </m:fPr>
          <m:num>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V</m:t>
                </m:r>
                <m:ctrlPr>
                  <w:rPr>
                    <w:rFonts w:ascii="Cambria Math" w:hAnsi="Cambria Math" w:eastAsiaTheme="minorEastAsia"/>
                    <w:kern w:val="0"/>
                    <w:szCs w:val="21"/>
                  </w:rPr>
                </m:ctrlPr>
              </m:e>
              <m:sub>
                <m:r>
                  <m:rPr>
                    <m:sty m:val="p"/>
                  </m:rPr>
                  <w:rPr>
                    <w:rFonts w:ascii="Cambria Math" w:hAnsi="Cambria Math" w:eastAsiaTheme="minorEastAsia"/>
                    <w:kern w:val="0"/>
                    <w:szCs w:val="21"/>
                  </w:rPr>
                  <m:t>out</m:t>
                </m:r>
                <m:ctrlPr>
                  <w:rPr>
                    <w:rFonts w:ascii="Cambria Math" w:hAnsi="Cambria Math" w:eastAsiaTheme="minorEastAsia"/>
                    <w:kern w:val="0"/>
                    <w:szCs w:val="21"/>
                  </w:rPr>
                </m:ctrlPr>
              </m:sub>
            </m:sSub>
            <m:ctrlPr>
              <w:rPr>
                <w:rFonts w:ascii="Cambria Math" w:hAnsi="Cambria Math" w:eastAsiaTheme="minorEastAsia"/>
                <w:kern w:val="0"/>
                <w:szCs w:val="21"/>
              </w:rPr>
            </m:ctrlPr>
          </m:num>
          <m:den>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V</m:t>
                </m:r>
                <m:ctrlPr>
                  <w:rPr>
                    <w:rFonts w:ascii="Cambria Math" w:hAnsi="Cambria Math" w:eastAsiaTheme="minorEastAsia"/>
                    <w:kern w:val="0"/>
                    <w:szCs w:val="21"/>
                  </w:rPr>
                </m:ctrlPr>
              </m:e>
              <m:sub>
                <m:r>
                  <m:rPr>
                    <m:sty m:val="p"/>
                  </m:rPr>
                  <w:rPr>
                    <w:rFonts w:ascii="Cambria Math" w:hAnsi="Cambria Math" w:eastAsiaTheme="minorEastAsia"/>
                    <w:kern w:val="0"/>
                    <w:szCs w:val="21"/>
                  </w:rPr>
                  <m:t>in</m:t>
                </m:r>
                <m:ctrlPr>
                  <w:rPr>
                    <w:rFonts w:ascii="Cambria Math" w:hAnsi="Cambria Math" w:eastAsiaTheme="minorEastAsia"/>
                    <w:kern w:val="0"/>
                    <w:szCs w:val="21"/>
                  </w:rPr>
                </m:ctrlPr>
              </m:sub>
            </m:sSub>
            <m:ctrlPr>
              <w:rPr>
                <w:rFonts w:ascii="Cambria Math" w:hAnsi="Cambria Math" w:eastAsiaTheme="minorEastAsia"/>
                <w:kern w:val="0"/>
                <w:szCs w:val="21"/>
              </w:rPr>
            </m:ctrlPr>
          </m:den>
        </m:f>
        <m:r>
          <m:rPr>
            <m:sty m:val="p"/>
          </m:rPr>
          <w:rPr>
            <w:rFonts w:ascii="Cambria Math" w:hAnsi="Cambria Math" w:eastAsiaTheme="minorEastAsia"/>
            <w:kern w:val="0"/>
            <w:szCs w:val="21"/>
          </w:rPr>
          <m:t>）</m:t>
        </m:r>
      </m:oMath>
      <w:r>
        <w:rPr>
          <w:rFonts w:eastAsiaTheme="minorEastAsia"/>
          <w:kern w:val="0"/>
          <w:szCs w:val="21"/>
        </w:rPr>
        <w:t xml:space="preserve">                        （1）</w:t>
      </w:r>
    </w:p>
    <w:p>
      <w:pPr>
        <w:ind w:firstLine="480"/>
        <w:rPr>
          <w:rFonts w:eastAsiaTheme="minorEastAsia"/>
          <w:kern w:val="0"/>
          <w:szCs w:val="21"/>
        </w:rPr>
      </w:pPr>
      <w:r>
        <w:rPr>
          <w:rFonts w:eastAsiaTheme="minorEastAsia"/>
          <w:kern w:val="0"/>
          <w:szCs w:val="21"/>
        </w:rPr>
        <w:t>其中：</w:t>
      </w:r>
    </w:p>
    <w:p>
      <w:pPr>
        <w:ind w:firstLine="480"/>
        <w:rPr>
          <w:rFonts w:eastAsiaTheme="minorEastAsia"/>
          <w:kern w:val="0"/>
          <w:szCs w:val="21"/>
        </w:rPr>
      </w:pPr>
      <w:r>
        <w:rPr>
          <w:rFonts w:eastAsiaTheme="minorEastAsia"/>
          <w:kern w:val="0"/>
          <w:szCs w:val="21"/>
        </w:rPr>
        <w:t>S——脉冲回波灵敏度，dB；</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V</m:t>
            </m:r>
            <m:ctrlPr>
              <w:rPr>
                <w:rFonts w:ascii="Cambria Math" w:hAnsi="Cambria Math" w:eastAsiaTheme="minorEastAsia"/>
                <w:kern w:val="0"/>
                <w:szCs w:val="21"/>
              </w:rPr>
            </m:ctrlPr>
          </m:e>
          <m:sub>
            <m:r>
              <m:rPr>
                <m:sty m:val="p"/>
              </m:rPr>
              <w:rPr>
                <w:rFonts w:ascii="Cambria Math" w:hAnsi="Cambria Math" w:eastAsiaTheme="minorEastAsia"/>
                <w:kern w:val="0"/>
                <w:szCs w:val="21"/>
              </w:rPr>
              <m:t>out</m:t>
            </m:r>
            <m:ctrlPr>
              <w:rPr>
                <w:rFonts w:ascii="Cambria Math" w:hAnsi="Cambria Math" w:eastAsiaTheme="minorEastAsia"/>
                <w:kern w:val="0"/>
                <w:szCs w:val="21"/>
              </w:rPr>
            </m:ctrlPr>
          </m:sub>
        </m:sSub>
      </m:oMath>
      <w:r>
        <w:rPr>
          <w:rFonts w:eastAsiaTheme="minorEastAsia"/>
          <w:kern w:val="0"/>
          <w:szCs w:val="21"/>
        </w:rPr>
        <w:t>——回波信号的峰峰电压值，mV；</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V</m:t>
            </m:r>
            <m:ctrlPr>
              <w:rPr>
                <w:rFonts w:ascii="Cambria Math" w:hAnsi="Cambria Math" w:eastAsiaTheme="minorEastAsia"/>
                <w:kern w:val="0"/>
                <w:szCs w:val="21"/>
              </w:rPr>
            </m:ctrlPr>
          </m:e>
          <m:sub>
            <m:r>
              <m:rPr>
                <m:sty m:val="p"/>
              </m:rPr>
              <w:rPr>
                <w:rFonts w:ascii="Cambria Math" w:hAnsi="Cambria Math" w:eastAsiaTheme="minorEastAsia"/>
                <w:kern w:val="0"/>
                <w:szCs w:val="21"/>
              </w:rPr>
              <m:t>in</m:t>
            </m:r>
            <m:ctrlPr>
              <w:rPr>
                <w:rFonts w:ascii="Cambria Math" w:hAnsi="Cambria Math" w:eastAsiaTheme="minorEastAsia"/>
                <w:kern w:val="0"/>
                <w:szCs w:val="21"/>
              </w:rPr>
            </m:ctrlPr>
          </m:sub>
        </m:sSub>
      </m:oMath>
      <w:r>
        <w:rPr>
          <w:rFonts w:eastAsiaTheme="minorEastAsia"/>
          <w:kern w:val="0"/>
          <w:szCs w:val="21"/>
        </w:rPr>
        <w:t>——超声换能器激励电压值，V。</w:t>
      </w:r>
    </w:p>
    <w:p>
      <w:pPr>
        <w:autoSpaceDE w:val="0"/>
        <w:autoSpaceDN w:val="0"/>
        <w:adjustRightInd w:val="0"/>
        <w:spacing w:line="440" w:lineRule="exact"/>
        <w:ind w:firstLine="420" w:firstLineChars="200"/>
        <w:rPr>
          <w:rFonts w:eastAsiaTheme="minorEastAsia"/>
          <w:kern w:val="0"/>
          <w:szCs w:val="21"/>
        </w:rPr>
      </w:pPr>
      <w:r>
        <w:rPr>
          <w:rFonts w:eastAsiaTheme="minorEastAsia"/>
          <w:kern w:val="0"/>
          <w:szCs w:val="21"/>
        </w:rPr>
        <w:t>进行相对脉冲灵敏度校准时，采用球靶反射体法进行校准。将换能器发生声波面朝向球靶固定好后，连接超声波接收发射仪和示波器，调节超声波接收发射仪激励信号波形、激励电压等参数，通过自由度调节机构带动球靶，在示波器显示波形稳定且幅值最高时进行信号测量。</w:t>
      </w:r>
    </w:p>
    <w:p>
      <w:pPr>
        <w:autoSpaceDE w:val="0"/>
        <w:autoSpaceDN w:val="0"/>
        <w:adjustRightInd w:val="0"/>
        <w:spacing w:line="440" w:lineRule="exact"/>
        <w:ind w:firstLine="420" w:firstLineChars="200"/>
        <w:rPr>
          <w:rFonts w:eastAsiaTheme="minorEastAsia"/>
          <w:kern w:val="0"/>
          <w:szCs w:val="21"/>
        </w:rPr>
      </w:pPr>
      <w:r>
        <w:rPr>
          <w:rFonts w:eastAsiaTheme="minorEastAsia"/>
          <w:kern w:val="0"/>
          <w:szCs w:val="21"/>
        </w:rPr>
        <w:t>不同类型的液浸式超声换能器脉冲回波灵敏度会因液体介质类型、液体介质温度、换能器阻抗不同而产生差异。因此，每次校准时，应详细记录校准条件。</w:t>
      </w:r>
    </w:p>
    <w:p>
      <w:pPr>
        <w:spacing w:line="360" w:lineRule="auto"/>
        <w:ind w:firstLine="420" w:firstLineChars="200"/>
        <w:rPr>
          <w:rFonts w:eastAsiaTheme="minorEastAsia"/>
          <w:bCs/>
          <w:kern w:val="0"/>
          <w:szCs w:val="21"/>
        </w:rPr>
      </w:pPr>
      <w:bookmarkStart w:id="63" w:name="_Toc24992"/>
      <w:r>
        <w:rPr>
          <w:rFonts w:eastAsiaTheme="minorEastAsia"/>
          <w:bCs/>
          <w:kern w:val="0"/>
          <w:szCs w:val="21"/>
        </w:rPr>
        <w:t>6.2.3中心频率</w:t>
      </w:r>
      <w:bookmarkEnd w:id="63"/>
    </w:p>
    <w:p>
      <w:pPr>
        <w:ind w:firstLine="480"/>
        <w:rPr>
          <w:rFonts w:eastAsiaTheme="minorEastAsia"/>
          <w:kern w:val="0"/>
          <w:szCs w:val="21"/>
        </w:rPr>
      </w:pPr>
      <w:r>
        <w:rPr>
          <w:rFonts w:eastAsiaTheme="minorEastAsia"/>
          <w:kern w:val="0"/>
          <w:szCs w:val="21"/>
        </w:rPr>
        <w:t>中心频率计算方法见公式（2）：</w:t>
      </w:r>
    </w:p>
    <w:p>
      <w:pPr>
        <w:ind w:firstLine="480"/>
        <w:jc w:val="center"/>
        <w:rPr>
          <w:rFonts w:eastAsiaTheme="minorEastAsia"/>
          <w:kern w:val="0"/>
          <w:szCs w:val="21"/>
        </w:rPr>
      </w:pPr>
      <w:r>
        <w:rPr>
          <w:rFonts w:eastAsiaTheme="minorEastAsia"/>
          <w:kern w:val="0"/>
          <w:szCs w:val="21"/>
        </w:rPr>
        <w:t xml:space="preserve">                              </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f>
          <m:fPr>
            <m:ctrlPr>
              <w:rPr>
                <w:rFonts w:ascii="Cambria Math" w:hAnsi="Cambria Math" w:eastAsiaTheme="minorEastAsia"/>
                <w:kern w:val="0"/>
                <w:szCs w:val="21"/>
              </w:rPr>
            </m:ctrlPr>
          </m:fPr>
          <m:num>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u</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l</m:t>
                </m:r>
                <m:ctrlPr>
                  <w:rPr>
                    <w:rFonts w:ascii="Cambria Math" w:hAnsi="Cambria Math" w:eastAsiaTheme="minorEastAsia"/>
                    <w:kern w:val="0"/>
                    <w:szCs w:val="21"/>
                  </w:rPr>
                </m:ctrlPr>
              </m:sub>
            </m:sSub>
            <m:ctrlPr>
              <w:rPr>
                <w:rFonts w:ascii="Cambria Math" w:hAnsi="Cambria Math" w:eastAsiaTheme="minorEastAsia"/>
                <w:kern w:val="0"/>
                <w:szCs w:val="21"/>
              </w:rPr>
            </m:ctrlPr>
          </m:num>
          <m:den>
            <m:r>
              <m:rPr>
                <m:sty m:val="p"/>
              </m:rPr>
              <w:rPr>
                <w:rFonts w:ascii="Cambria Math" w:hAnsi="Cambria Math" w:eastAsiaTheme="minorEastAsia"/>
                <w:kern w:val="0"/>
                <w:szCs w:val="21"/>
              </w:rPr>
              <m:t>2</m:t>
            </m:r>
            <m:ctrlPr>
              <w:rPr>
                <w:rFonts w:ascii="Cambria Math" w:hAnsi="Cambria Math" w:eastAsiaTheme="minorEastAsia"/>
                <w:kern w:val="0"/>
                <w:szCs w:val="21"/>
              </w:rPr>
            </m:ctrlPr>
          </m:den>
        </m:f>
      </m:oMath>
      <w:r>
        <w:rPr>
          <w:rFonts w:eastAsiaTheme="minorEastAsia"/>
          <w:kern w:val="0"/>
          <w:szCs w:val="21"/>
        </w:rPr>
        <w:t xml:space="preserve">                                  （2）</w:t>
      </w:r>
    </w:p>
    <w:p>
      <w:pPr>
        <w:ind w:firstLine="480"/>
        <w:rPr>
          <w:rFonts w:eastAsiaTheme="minorEastAsia"/>
          <w:kern w:val="0"/>
          <w:szCs w:val="21"/>
        </w:rPr>
      </w:pPr>
      <w:r>
        <w:rPr>
          <w:rFonts w:eastAsiaTheme="minorEastAsia"/>
          <w:kern w:val="0"/>
          <w:szCs w:val="21"/>
        </w:rPr>
        <w:t>式中：</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oMath>
      <w:r>
        <w:rPr>
          <w:rFonts w:eastAsiaTheme="minorEastAsia"/>
          <w:kern w:val="0"/>
          <w:szCs w:val="21"/>
        </w:rPr>
        <w:t>——中心频率；</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u</m:t>
            </m:r>
            <m:ctrlPr>
              <w:rPr>
                <w:rFonts w:ascii="Cambria Math" w:hAnsi="Cambria Math" w:eastAsiaTheme="minorEastAsia"/>
                <w:kern w:val="0"/>
                <w:szCs w:val="21"/>
              </w:rPr>
            </m:ctrlPr>
          </m:sub>
        </m:sSub>
      </m:oMath>
      <w:r>
        <w:rPr>
          <w:rFonts w:eastAsiaTheme="minorEastAsia"/>
          <w:kern w:val="0"/>
          <w:szCs w:val="21"/>
        </w:rPr>
        <w:t>——上限截止频率；</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l</m:t>
            </m:r>
            <m:ctrlPr>
              <w:rPr>
                <w:rFonts w:ascii="Cambria Math" w:hAnsi="Cambria Math" w:eastAsiaTheme="minorEastAsia"/>
                <w:kern w:val="0"/>
                <w:szCs w:val="21"/>
              </w:rPr>
            </m:ctrlPr>
          </m:sub>
        </m:sSub>
      </m:oMath>
      <w:r>
        <w:rPr>
          <w:rFonts w:eastAsiaTheme="minorEastAsia"/>
          <w:kern w:val="0"/>
          <w:szCs w:val="21"/>
        </w:rPr>
        <w:t>——下限截止频率。</w:t>
      </w:r>
    </w:p>
    <w:p>
      <w:pPr>
        <w:autoSpaceDE w:val="0"/>
        <w:autoSpaceDN w:val="0"/>
        <w:adjustRightInd w:val="0"/>
        <w:spacing w:line="440" w:lineRule="exact"/>
        <w:ind w:firstLine="420" w:firstLineChars="200"/>
        <w:rPr>
          <w:rFonts w:eastAsiaTheme="minorEastAsia"/>
          <w:kern w:val="0"/>
          <w:szCs w:val="21"/>
        </w:rPr>
      </w:pPr>
      <w:r>
        <w:rPr>
          <w:rFonts w:eastAsiaTheme="minorEastAsia"/>
          <w:kern w:val="0"/>
          <w:szCs w:val="21"/>
        </w:rPr>
        <w:t>进行中心频率校准时，采用球靶反射体法进行校准。校准时，稳定回波信号获取方法参照6.2.2。</w:t>
      </w:r>
    </w:p>
    <w:p>
      <w:pPr>
        <w:autoSpaceDE w:val="0"/>
        <w:autoSpaceDN w:val="0"/>
        <w:adjustRightInd w:val="0"/>
        <w:spacing w:line="440" w:lineRule="exact"/>
        <w:ind w:firstLine="420" w:firstLineChars="200"/>
        <w:rPr>
          <w:rFonts w:eastAsiaTheme="minorEastAsia"/>
          <w:kern w:val="0"/>
          <w:szCs w:val="21"/>
        </w:rPr>
      </w:pPr>
      <w:r>
        <w:rPr>
          <w:rFonts w:eastAsiaTheme="minorEastAsia"/>
          <w:kern w:val="0"/>
          <w:szCs w:val="21"/>
        </w:rPr>
        <w:t>使用示波器的频谱分析功能，得到回波信号的频率响应曲线。上限截止频率</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u</m:t>
            </m:r>
            <m:ctrlPr>
              <w:rPr>
                <w:rFonts w:ascii="Cambria Math" w:hAnsi="Cambria Math" w:eastAsiaTheme="minorEastAsia"/>
                <w:kern w:val="0"/>
                <w:szCs w:val="21"/>
              </w:rPr>
            </m:ctrlPr>
          </m:sub>
        </m:sSub>
      </m:oMath>
      <w:r>
        <w:rPr>
          <w:rFonts w:eastAsiaTheme="minorEastAsia"/>
          <w:kern w:val="0"/>
          <w:szCs w:val="21"/>
        </w:rPr>
        <w:t>和下限截止频率</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l</m:t>
            </m:r>
            <m:ctrlPr>
              <w:rPr>
                <w:rFonts w:ascii="Cambria Math" w:hAnsi="Cambria Math" w:eastAsiaTheme="minorEastAsia"/>
                <w:kern w:val="0"/>
                <w:szCs w:val="21"/>
              </w:rPr>
            </m:ctrlPr>
          </m:sub>
        </m:sSub>
      </m:oMath>
      <w:r>
        <w:rPr>
          <w:rFonts w:eastAsiaTheme="minorEastAsia"/>
          <w:kern w:val="0"/>
          <w:szCs w:val="21"/>
        </w:rPr>
        <w:t>定义为：脉冲回波信号在频率响应曲线的峰值点（峰值频率</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p</m:t>
            </m:r>
            <m:ctrlPr>
              <w:rPr>
                <w:rFonts w:ascii="Cambria Math" w:hAnsi="Cambria Math" w:eastAsiaTheme="minorEastAsia"/>
                <w:kern w:val="0"/>
                <w:szCs w:val="21"/>
              </w:rPr>
            </m:ctrlPr>
          </m:sub>
        </m:sSub>
      </m:oMath>
      <w:r>
        <w:rPr>
          <w:rFonts w:eastAsiaTheme="minorEastAsia"/>
          <w:kern w:val="0"/>
          <w:szCs w:val="21"/>
        </w:rPr>
        <w:t>）以下下降6dB时对应两个频率点的值，常见频率响应曲线见图3。</w:t>
      </w:r>
    </w:p>
    <w:p>
      <w:pPr>
        <w:spacing w:line="360" w:lineRule="auto"/>
        <w:jc w:val="center"/>
        <w:rPr>
          <w:rFonts w:eastAsiaTheme="minorEastAsia"/>
          <w:kern w:val="0"/>
          <w:szCs w:val="21"/>
        </w:rPr>
      </w:pPr>
      <w:r>
        <w:rPr>
          <w:rFonts w:eastAsiaTheme="minorEastAsia"/>
          <w:kern w:val="0"/>
          <w:szCs w:val="21"/>
        </w:rPr>
        <w:drawing>
          <wp:inline distT="0" distB="0" distL="0" distR="0">
            <wp:extent cx="3224530" cy="2123440"/>
            <wp:effectExtent l="0" t="0" r="0" b="0"/>
            <wp:docPr id="4" name="图片 4" descr="H:\磁粉打印\频率响应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磁粉打印\频率响应图.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34068" cy="2129888"/>
                    </a:xfrm>
                    <a:prstGeom prst="rect">
                      <a:avLst/>
                    </a:prstGeom>
                    <a:noFill/>
                    <a:ln>
                      <a:noFill/>
                    </a:ln>
                  </pic:spPr>
                </pic:pic>
              </a:graphicData>
            </a:graphic>
          </wp:inline>
        </w:drawing>
      </w:r>
    </w:p>
    <w:p>
      <w:pPr>
        <w:spacing w:line="360" w:lineRule="auto"/>
        <w:jc w:val="center"/>
        <w:rPr>
          <w:rFonts w:eastAsiaTheme="minorEastAsia"/>
          <w:kern w:val="0"/>
          <w:szCs w:val="21"/>
        </w:rPr>
      </w:pPr>
      <w:r>
        <w:rPr>
          <w:rFonts w:eastAsiaTheme="minorEastAsia"/>
          <w:kern w:val="0"/>
          <w:szCs w:val="21"/>
        </w:rPr>
        <w:t>图3 频率响应曲线</w:t>
      </w:r>
    </w:p>
    <w:p>
      <w:pPr>
        <w:spacing w:line="360" w:lineRule="auto"/>
        <w:ind w:firstLine="420" w:firstLineChars="200"/>
        <w:rPr>
          <w:rFonts w:eastAsiaTheme="minorEastAsia"/>
          <w:bCs/>
          <w:kern w:val="0"/>
          <w:szCs w:val="21"/>
        </w:rPr>
      </w:pPr>
      <w:bookmarkStart w:id="64" w:name="_Toc22681"/>
      <w:r>
        <w:rPr>
          <w:rFonts w:eastAsiaTheme="minorEastAsia"/>
          <w:bCs/>
          <w:kern w:val="0"/>
          <w:szCs w:val="21"/>
        </w:rPr>
        <w:t>6.2.4相对带宽</w:t>
      </w:r>
      <w:bookmarkEnd w:id="64"/>
    </w:p>
    <w:p>
      <w:pPr>
        <w:ind w:firstLine="480"/>
        <w:rPr>
          <w:rFonts w:eastAsiaTheme="minorEastAsia"/>
          <w:kern w:val="0"/>
          <w:szCs w:val="21"/>
        </w:rPr>
      </w:pPr>
      <w:bookmarkStart w:id="65" w:name="_Toc5122"/>
      <w:r>
        <w:rPr>
          <w:rFonts w:eastAsiaTheme="minorEastAsia"/>
          <w:kern w:val="0"/>
          <w:szCs w:val="21"/>
        </w:rPr>
        <w:t>带宽计算方法见公式（3）：</w:t>
      </w:r>
    </w:p>
    <w:p>
      <w:pPr>
        <w:ind w:firstLine="480"/>
        <w:jc w:val="center"/>
        <w:rPr>
          <w:rFonts w:eastAsiaTheme="minorEastAsia"/>
          <w:kern w:val="0"/>
          <w:szCs w:val="21"/>
        </w:rPr>
      </w:pPr>
      <w:r>
        <w:rPr>
          <w:rFonts w:eastAsiaTheme="minorEastAsia"/>
          <w:kern w:val="0"/>
          <w:szCs w:val="21"/>
        </w:rPr>
        <w:t xml:space="preserve">                       </w:t>
      </w:r>
      <m:oMath>
        <m:r>
          <m:rPr>
            <m:sty m:val="p"/>
          </m:rPr>
          <w:rPr>
            <w:rFonts w:ascii="Cambria Math" w:hAnsi="Cambria Math" w:eastAsiaTheme="minorEastAsia"/>
            <w:kern w:val="0"/>
            <w:szCs w:val="21"/>
          </w:rPr>
          <m:t>BW=</m:t>
        </m:r>
        <m:f>
          <m:fPr>
            <m:ctrlPr>
              <w:rPr>
                <w:rFonts w:ascii="Cambria Math" w:hAnsi="Cambria Math" w:eastAsiaTheme="minorEastAsia"/>
                <w:kern w:val="0"/>
                <w:szCs w:val="21"/>
              </w:rPr>
            </m:ctrlPr>
          </m:fPr>
          <m:num>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u</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l</m:t>
                </m:r>
                <m:ctrlPr>
                  <w:rPr>
                    <w:rFonts w:ascii="Cambria Math" w:hAnsi="Cambria Math" w:eastAsiaTheme="minorEastAsia"/>
                    <w:kern w:val="0"/>
                    <w:szCs w:val="21"/>
                  </w:rPr>
                </m:ctrlPr>
              </m:sub>
            </m:sSub>
            <m:ctrlPr>
              <w:rPr>
                <w:rFonts w:ascii="Cambria Math" w:hAnsi="Cambria Math" w:eastAsiaTheme="minorEastAsia"/>
                <w:kern w:val="0"/>
                <w:szCs w:val="21"/>
              </w:rPr>
            </m:ctrlPr>
          </m:num>
          <m:den>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ctrlPr>
              <w:rPr>
                <w:rFonts w:ascii="Cambria Math" w:hAnsi="Cambria Math" w:eastAsiaTheme="minorEastAsia"/>
                <w:kern w:val="0"/>
                <w:szCs w:val="21"/>
              </w:rPr>
            </m:ctrlPr>
          </m:den>
        </m:f>
        <m:r>
          <m:rPr>
            <m:sty m:val="p"/>
          </m:rPr>
          <w:rPr>
            <w:rFonts w:ascii="Cambria Math" w:hAnsi="Cambria Math" w:eastAsiaTheme="minorEastAsia"/>
            <w:kern w:val="0"/>
            <w:szCs w:val="21"/>
          </w:rPr>
          <m:t>×100%</m:t>
        </m:r>
      </m:oMath>
      <w:r>
        <w:rPr>
          <w:rFonts w:eastAsiaTheme="minorEastAsia"/>
          <w:kern w:val="0"/>
          <w:szCs w:val="21"/>
        </w:rPr>
        <w:t xml:space="preserve">                               （3）</w:t>
      </w:r>
    </w:p>
    <w:p>
      <w:pPr>
        <w:ind w:firstLine="480"/>
        <w:rPr>
          <w:rFonts w:eastAsiaTheme="minorEastAsia"/>
          <w:kern w:val="0"/>
          <w:szCs w:val="21"/>
        </w:rPr>
      </w:pPr>
      <w:r>
        <w:rPr>
          <w:rFonts w:eastAsiaTheme="minorEastAsia"/>
          <w:kern w:val="0"/>
          <w:szCs w:val="21"/>
        </w:rPr>
        <w:t>式中：</w:t>
      </w:r>
    </w:p>
    <w:p>
      <w:pPr>
        <w:ind w:firstLine="480"/>
        <w:rPr>
          <w:rFonts w:eastAsiaTheme="minorEastAsia"/>
          <w:kern w:val="0"/>
          <w:szCs w:val="21"/>
        </w:rPr>
      </w:pPr>
      <w:r>
        <w:rPr>
          <w:rFonts w:eastAsiaTheme="minorEastAsia"/>
          <w:kern w:val="0"/>
          <w:szCs w:val="21"/>
        </w:rPr>
        <w:t>BW——相对带宽，以百分号表示；</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u</m:t>
            </m:r>
            <m:ctrlPr>
              <w:rPr>
                <w:rFonts w:ascii="Cambria Math" w:hAnsi="Cambria Math" w:eastAsiaTheme="minorEastAsia"/>
                <w:kern w:val="0"/>
                <w:szCs w:val="21"/>
              </w:rPr>
            </m:ctrlPr>
          </m:sub>
        </m:sSub>
      </m:oMath>
      <w:r>
        <w:rPr>
          <w:rFonts w:eastAsiaTheme="minorEastAsia"/>
          <w:kern w:val="0"/>
          <w:szCs w:val="21"/>
        </w:rPr>
        <w:t>——上限截止频率，MHz；</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l</m:t>
            </m:r>
            <m:ctrlPr>
              <w:rPr>
                <w:rFonts w:ascii="Cambria Math" w:hAnsi="Cambria Math" w:eastAsiaTheme="minorEastAsia"/>
                <w:kern w:val="0"/>
                <w:szCs w:val="21"/>
              </w:rPr>
            </m:ctrlPr>
          </m:sub>
        </m:sSub>
      </m:oMath>
      <w:r>
        <w:rPr>
          <w:rFonts w:eastAsiaTheme="minorEastAsia"/>
          <w:kern w:val="0"/>
          <w:szCs w:val="21"/>
        </w:rPr>
        <w:t>——下限截止频率，MHz；</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f</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oMath>
      <w:r>
        <w:rPr>
          <w:rFonts w:eastAsiaTheme="minorEastAsia"/>
          <w:kern w:val="0"/>
          <w:szCs w:val="21"/>
        </w:rPr>
        <w:t>——中心频率，MHz。</w:t>
      </w:r>
    </w:p>
    <w:p>
      <w:pPr>
        <w:autoSpaceDE w:val="0"/>
        <w:autoSpaceDN w:val="0"/>
        <w:adjustRightInd w:val="0"/>
        <w:spacing w:line="440" w:lineRule="exact"/>
        <w:ind w:firstLine="420" w:firstLineChars="200"/>
        <w:rPr>
          <w:rFonts w:eastAsiaTheme="minorEastAsia"/>
          <w:kern w:val="0"/>
          <w:szCs w:val="21"/>
        </w:rPr>
      </w:pPr>
      <w:r>
        <w:rPr>
          <w:rFonts w:eastAsiaTheme="minorEastAsia"/>
          <w:kern w:val="0"/>
          <w:szCs w:val="21"/>
        </w:rPr>
        <w:t>进行带宽校准时，采用球靶反射体法进行校准。校准时，稳定回波信号获取方法参照6.2.2。</w:t>
      </w:r>
    </w:p>
    <w:p>
      <w:pPr>
        <w:spacing w:line="360" w:lineRule="auto"/>
        <w:ind w:firstLine="420" w:firstLineChars="200"/>
        <w:rPr>
          <w:rFonts w:eastAsiaTheme="minorEastAsia"/>
          <w:bCs/>
          <w:kern w:val="0"/>
          <w:szCs w:val="21"/>
        </w:rPr>
      </w:pPr>
      <w:r>
        <w:rPr>
          <w:rFonts w:eastAsiaTheme="minorEastAsia"/>
          <w:bCs/>
          <w:kern w:val="0"/>
          <w:szCs w:val="21"/>
        </w:rPr>
        <w:t>6.2.5焦距/近场长度</w:t>
      </w:r>
      <w:bookmarkEnd w:id="65"/>
    </w:p>
    <w:p>
      <w:pPr>
        <w:spacing w:line="360" w:lineRule="auto"/>
        <w:ind w:firstLine="420" w:firstLineChars="200"/>
        <w:rPr>
          <w:rFonts w:eastAsiaTheme="minorEastAsia"/>
          <w:kern w:val="0"/>
          <w:szCs w:val="21"/>
        </w:rPr>
      </w:pPr>
      <w:r>
        <w:rPr>
          <w:rFonts w:eastAsiaTheme="minorEastAsia"/>
          <w:kern w:val="0"/>
          <w:szCs w:val="21"/>
        </w:rPr>
        <w:t>对聚焦换能器的焦距校准和对平面换能器的近场长度校准时，采用水听器法进行校准。将待校准换能器固定并确保其向水槽中发射声波，连接超声波接收发射仪和示波器，调节超声波接收发射仪激励信号波形、激励电压等参数，通过自由度调节机构带动水听器对超声换能器的辐射声场进行沿声轴方向的纵向剖面扫描，得到沿声轴方向的声压场数据。通过分析声轴上的声压场，得到待校准超声换能器的焦距/近场长度。焦距为聚焦换能器焦点到换能器表面的距离，近场长度为平面换能器声轴上的声压峰值处到换能器表面的距离。扫描步进间隔一般设置为不超过工作频率所对应波长的一半。</w:t>
      </w:r>
    </w:p>
    <w:p>
      <w:pPr>
        <w:spacing w:line="360" w:lineRule="auto"/>
        <w:ind w:firstLine="420" w:firstLineChars="200"/>
        <w:rPr>
          <w:rFonts w:eastAsiaTheme="minorEastAsia"/>
          <w:kern w:val="0"/>
          <w:szCs w:val="21"/>
        </w:rPr>
      </w:pPr>
      <w:r>
        <w:rPr>
          <w:rFonts w:eastAsiaTheme="minorEastAsia"/>
          <w:kern w:val="0"/>
          <w:szCs w:val="21"/>
        </w:rPr>
        <w:t>聚焦换能器声轴上声压分布及焦距测量如图4中FL所示，平面换能器声轴上声压分布及近场长度测量原理如图5中N0所示。</w:t>
      </w:r>
    </w:p>
    <w:p>
      <w:pPr>
        <w:spacing w:line="360" w:lineRule="auto"/>
        <w:jc w:val="center"/>
        <w:rPr>
          <w:rFonts w:eastAsiaTheme="minorEastAsia"/>
          <w:kern w:val="0"/>
          <w:szCs w:val="21"/>
        </w:rPr>
      </w:pPr>
      <w:r>
        <w:rPr>
          <w:rFonts w:eastAsiaTheme="minorEastAsia"/>
          <w:kern w:val="0"/>
          <w:szCs w:val="21"/>
        </w:rPr>
        <w:drawing>
          <wp:inline distT="0" distB="0" distL="114300" distR="114300">
            <wp:extent cx="3266440" cy="1977390"/>
            <wp:effectExtent l="0" t="0" r="10160" b="3810"/>
            <wp:docPr id="23" name="图片 23" descr="5e760fdda1e459f51b4c7c54f925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5e760fdda1e459f51b4c7c54f9254ad"/>
                    <pic:cNvPicPr>
                      <a:picLocks noChangeAspect="1"/>
                    </pic:cNvPicPr>
                  </pic:nvPicPr>
                  <pic:blipFill>
                    <a:blip r:embed="rId14"/>
                    <a:srcRect b="10781"/>
                    <a:stretch>
                      <a:fillRect/>
                    </a:stretch>
                  </pic:blipFill>
                  <pic:spPr>
                    <a:xfrm>
                      <a:off x="0" y="0"/>
                      <a:ext cx="3266440" cy="1977390"/>
                    </a:xfrm>
                    <a:prstGeom prst="rect">
                      <a:avLst/>
                    </a:prstGeom>
                  </pic:spPr>
                </pic:pic>
              </a:graphicData>
            </a:graphic>
          </wp:inline>
        </w:drawing>
      </w:r>
    </w:p>
    <w:p>
      <w:pPr>
        <w:spacing w:line="360" w:lineRule="auto"/>
        <w:jc w:val="center"/>
        <w:rPr>
          <w:rFonts w:eastAsiaTheme="minorEastAsia"/>
          <w:kern w:val="0"/>
          <w:szCs w:val="21"/>
        </w:rPr>
      </w:pPr>
      <w:r>
        <w:rPr>
          <w:rFonts w:eastAsiaTheme="minorEastAsia"/>
          <w:kern w:val="0"/>
          <w:szCs w:val="21"/>
        </w:rPr>
        <w:t>图4 聚焦换能器声轴上声压分布图</w:t>
      </w:r>
    </w:p>
    <w:p>
      <w:pPr>
        <w:spacing w:line="360" w:lineRule="auto"/>
        <w:jc w:val="center"/>
        <w:rPr>
          <w:rFonts w:eastAsiaTheme="minorEastAsia"/>
          <w:kern w:val="0"/>
          <w:szCs w:val="21"/>
        </w:rPr>
      </w:pPr>
      <w:r>
        <w:rPr>
          <w:rFonts w:eastAsiaTheme="minorEastAsia"/>
          <w:kern w:val="0"/>
          <w:szCs w:val="21"/>
        </w:rPr>
        <w:drawing>
          <wp:inline distT="0" distB="0" distL="0" distR="0">
            <wp:extent cx="2733040" cy="2066290"/>
            <wp:effectExtent l="0" t="0" r="0" b="0"/>
            <wp:docPr id="14" name="图片 14" descr="H:\磁粉打印\平面换能器声轴声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磁粉打印\平面换能器声轴声场.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39344" cy="2070803"/>
                    </a:xfrm>
                    <a:prstGeom prst="rect">
                      <a:avLst/>
                    </a:prstGeom>
                    <a:noFill/>
                    <a:ln>
                      <a:noFill/>
                    </a:ln>
                  </pic:spPr>
                </pic:pic>
              </a:graphicData>
            </a:graphic>
          </wp:inline>
        </w:drawing>
      </w:r>
    </w:p>
    <w:p>
      <w:pPr>
        <w:spacing w:line="360" w:lineRule="auto"/>
        <w:jc w:val="center"/>
        <w:rPr>
          <w:rFonts w:eastAsiaTheme="minorEastAsia"/>
          <w:kern w:val="0"/>
          <w:szCs w:val="21"/>
        </w:rPr>
      </w:pPr>
      <w:r>
        <w:rPr>
          <w:rFonts w:eastAsiaTheme="minorEastAsia"/>
          <w:kern w:val="0"/>
          <w:szCs w:val="21"/>
        </w:rPr>
        <w:t>图5 平面换能器声轴上声压分布</w:t>
      </w:r>
    </w:p>
    <w:p>
      <w:pPr>
        <w:spacing w:line="360" w:lineRule="auto"/>
        <w:ind w:firstLine="420" w:firstLineChars="200"/>
        <w:rPr>
          <w:rFonts w:eastAsiaTheme="minorEastAsia"/>
          <w:bCs/>
          <w:kern w:val="0"/>
          <w:szCs w:val="21"/>
        </w:rPr>
      </w:pPr>
      <w:bookmarkStart w:id="66" w:name="_Toc20027"/>
      <w:r>
        <w:rPr>
          <w:rFonts w:eastAsiaTheme="minorEastAsia"/>
          <w:bCs/>
          <w:kern w:val="0"/>
          <w:szCs w:val="21"/>
        </w:rPr>
        <w:t>6.2.6场深（焦柱长度）</w:t>
      </w:r>
      <w:bookmarkEnd w:id="66"/>
    </w:p>
    <w:p>
      <w:pPr>
        <w:spacing w:line="360" w:lineRule="auto"/>
        <w:ind w:firstLine="420" w:firstLineChars="200"/>
        <w:rPr>
          <w:rFonts w:eastAsiaTheme="minorEastAsia"/>
          <w:kern w:val="0"/>
          <w:szCs w:val="21"/>
        </w:rPr>
      </w:pPr>
      <w:r>
        <w:rPr>
          <w:rFonts w:eastAsiaTheme="minorEastAsia"/>
          <w:kern w:val="0"/>
          <w:szCs w:val="21"/>
        </w:rPr>
        <w:t>场深的校准仅对于聚焦换能器，根据6.2.5得到聚焦换能器声轴上的声压分布，在焦点前后寻找比焦点处声压幅值下降3dB的位置，该两个位置的距离即为该换能器的场深（焦柱长度），如图4所示。</w:t>
      </w:r>
    </w:p>
    <w:p>
      <w:pPr>
        <w:spacing w:line="360" w:lineRule="auto"/>
        <w:ind w:firstLine="420" w:firstLineChars="200"/>
        <w:rPr>
          <w:rFonts w:eastAsiaTheme="minorEastAsia"/>
          <w:bCs/>
          <w:kern w:val="0"/>
          <w:szCs w:val="21"/>
        </w:rPr>
      </w:pPr>
      <w:bookmarkStart w:id="67" w:name="_Toc12776"/>
      <w:r>
        <w:rPr>
          <w:rFonts w:eastAsiaTheme="minorEastAsia"/>
          <w:bCs/>
          <w:kern w:val="0"/>
          <w:szCs w:val="21"/>
        </w:rPr>
        <w:t>6.2.7焦点尺寸/声束直径</w:t>
      </w:r>
      <w:bookmarkEnd w:id="67"/>
    </w:p>
    <w:p>
      <w:pPr>
        <w:spacing w:line="360" w:lineRule="auto"/>
        <w:ind w:firstLine="420" w:firstLineChars="200"/>
        <w:rPr>
          <w:rFonts w:eastAsiaTheme="minorEastAsia"/>
          <w:kern w:val="0"/>
          <w:szCs w:val="21"/>
        </w:rPr>
      </w:pPr>
      <w:r>
        <w:rPr>
          <w:rFonts w:eastAsiaTheme="minorEastAsia"/>
          <w:kern w:val="0"/>
          <w:szCs w:val="21"/>
        </w:rPr>
        <w:t>对焦点尺寸/声束直径校准时，采用水听器法进行校准。通过多自由度调节机构带动水听器对聚焦换能器或平面换能器的辐射声场进行垂直于声轴方向的横向剖面扫描，得到声压场的二维图。在该二维图像中，找到最大点，在最大点周围寻找幅度比最大值下降若干分贝的数据点得到封闭曲线，并通过适当的拟合方式得到规则的圆，该圆的直径即为声束直径。针对水听器法通常得到的是-3dB声束直径。如果拟合结果不是规则的圆，以椭圆的长轴短轴方式表达。</w:t>
      </w:r>
    </w:p>
    <w:p>
      <w:pPr>
        <w:spacing w:line="360" w:lineRule="auto"/>
        <w:ind w:firstLine="420" w:firstLineChars="200"/>
        <w:rPr>
          <w:rFonts w:eastAsiaTheme="minorEastAsia"/>
          <w:bCs/>
          <w:kern w:val="0"/>
          <w:szCs w:val="21"/>
        </w:rPr>
      </w:pPr>
      <w:bookmarkStart w:id="68" w:name="_Toc2244"/>
      <w:r>
        <w:rPr>
          <w:rFonts w:eastAsiaTheme="minorEastAsia"/>
          <w:bCs/>
          <w:kern w:val="0"/>
          <w:szCs w:val="21"/>
        </w:rPr>
        <w:t>6.2.8声束扩散角</w:t>
      </w:r>
      <w:bookmarkEnd w:id="68"/>
    </w:p>
    <w:p>
      <w:pPr>
        <w:spacing w:line="360" w:lineRule="auto"/>
        <w:ind w:firstLine="420" w:firstLineChars="200"/>
        <w:rPr>
          <w:rFonts w:eastAsiaTheme="minorEastAsia"/>
          <w:kern w:val="0"/>
          <w:szCs w:val="21"/>
        </w:rPr>
      </w:pPr>
      <w:r>
        <w:rPr>
          <w:rFonts w:eastAsiaTheme="minorEastAsia"/>
          <w:kern w:val="0"/>
          <w:szCs w:val="21"/>
        </w:rPr>
        <w:t>对声束扩散角校准时，采用水听器法进行校准。根据6.2.5得到聚焦换能器声轴上的声压分布，在远场区选择位置A、C，如图6所示。通过计算A、C处的-3dB声束直径，并考虑A、C点间的距离得到扩散角。</w:t>
      </w:r>
    </w:p>
    <w:p>
      <w:pPr>
        <w:spacing w:line="360" w:lineRule="auto"/>
        <w:jc w:val="center"/>
        <w:rPr>
          <w:rFonts w:eastAsiaTheme="minorEastAsia"/>
          <w:kern w:val="0"/>
          <w:szCs w:val="21"/>
        </w:rPr>
      </w:pPr>
      <w:r>
        <w:rPr>
          <w:rFonts w:eastAsiaTheme="minorEastAsia"/>
          <w:kern w:val="0"/>
          <w:szCs w:val="21"/>
        </w:rPr>
        <w:drawing>
          <wp:inline distT="0" distB="0" distL="0" distR="0">
            <wp:extent cx="3905885" cy="1706245"/>
            <wp:effectExtent l="0" t="0" r="0" b="8255"/>
            <wp:docPr id="18" name="图片 18" descr="H:\磁粉打印\声束扩散角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磁粉打印\声束扩散角图.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10780" cy="1708360"/>
                    </a:xfrm>
                    <a:prstGeom prst="rect">
                      <a:avLst/>
                    </a:prstGeom>
                    <a:noFill/>
                    <a:ln>
                      <a:noFill/>
                    </a:ln>
                  </pic:spPr>
                </pic:pic>
              </a:graphicData>
            </a:graphic>
          </wp:inline>
        </w:drawing>
      </w:r>
    </w:p>
    <w:p>
      <w:pPr>
        <w:spacing w:line="360" w:lineRule="auto"/>
        <w:jc w:val="center"/>
        <w:rPr>
          <w:rFonts w:eastAsiaTheme="minorEastAsia"/>
          <w:kern w:val="0"/>
          <w:szCs w:val="21"/>
        </w:rPr>
      </w:pPr>
      <w:r>
        <w:rPr>
          <w:rFonts w:eastAsiaTheme="minorEastAsia"/>
          <w:kern w:val="0"/>
          <w:szCs w:val="21"/>
        </w:rPr>
        <w:t>图6 声束扩散角计算示意图</w:t>
      </w:r>
    </w:p>
    <w:p>
      <w:pPr>
        <w:spacing w:line="360" w:lineRule="auto"/>
        <w:ind w:firstLine="420" w:firstLineChars="200"/>
        <w:rPr>
          <w:rFonts w:eastAsiaTheme="minorEastAsia"/>
          <w:kern w:val="0"/>
          <w:szCs w:val="21"/>
        </w:rPr>
      </w:pPr>
      <w:r>
        <w:rPr>
          <w:rFonts w:eastAsiaTheme="minorEastAsia"/>
          <w:kern w:val="0"/>
          <w:szCs w:val="21"/>
        </w:rPr>
        <w:t>扩散角计算公式：</w:t>
      </w:r>
    </w:p>
    <w:bookmarkEnd w:id="59"/>
    <w:bookmarkEnd w:id="60"/>
    <w:p>
      <w:pPr>
        <w:ind w:firstLine="480"/>
        <w:rPr>
          <w:rFonts w:eastAsiaTheme="minorEastAsia"/>
          <w:kern w:val="0"/>
          <w:szCs w:val="21"/>
        </w:rPr>
      </w:pPr>
      <w:bookmarkStart w:id="69" w:name="_Toc193860219"/>
      <w:bookmarkStart w:id="70" w:name="_Toc193860038"/>
      <w:bookmarkStart w:id="71" w:name="_Toc193618956"/>
      <w:bookmarkStart w:id="72" w:name="_Toc193619101"/>
      <w:bookmarkStart w:id="73" w:name="_Toc193860188"/>
      <w:bookmarkStart w:id="74" w:name="_Toc193619059"/>
      <w:bookmarkStart w:id="75" w:name="_Toc500258947"/>
      <w:bookmarkStart w:id="76" w:name="_Toc25466_WPSOffice_Level1"/>
      <w:r>
        <w:rPr>
          <w:rFonts w:eastAsiaTheme="minorEastAsia"/>
          <w:kern w:val="0"/>
          <w:szCs w:val="21"/>
        </w:rPr>
        <w:t>扩散角计算公式：</w:t>
      </w:r>
    </w:p>
    <w:p>
      <w:pPr>
        <w:ind w:firstLine="480"/>
        <w:jc w:val="center"/>
        <w:rPr>
          <w:rFonts w:eastAsiaTheme="minorEastAsia"/>
          <w:kern w:val="0"/>
          <w:szCs w:val="21"/>
        </w:rPr>
      </w:pPr>
      <w:r>
        <w:rPr>
          <w:rFonts w:eastAsiaTheme="minorEastAsia"/>
          <w:kern w:val="0"/>
          <w:szCs w:val="21"/>
        </w:rPr>
        <w:t xml:space="preserve">                  </w:t>
      </w:r>
      <m:oMath>
        <m:r>
          <m:rPr>
            <m:sty m:val="p"/>
          </m:rPr>
          <w:rPr>
            <w:rFonts w:ascii="Cambria Math" w:hAnsi="Cambria Math" w:eastAsiaTheme="minorEastAsia"/>
            <w:kern w:val="0"/>
            <w:szCs w:val="21"/>
          </w:rPr>
          <m:t>θ=2φ=2×arctan</m:t>
        </m:r>
        <m:d>
          <m:dPr>
            <m:begChr m:val="["/>
            <m:endChr m:val="]"/>
            <m:ctrlPr>
              <w:rPr>
                <w:rFonts w:ascii="Cambria Math" w:hAnsi="Cambria Math" w:eastAsiaTheme="minorEastAsia"/>
                <w:kern w:val="0"/>
                <w:szCs w:val="21"/>
              </w:rPr>
            </m:ctrlPr>
          </m:dPr>
          <m:e>
            <m:r>
              <m:rPr>
                <m:sty m:val="p"/>
              </m:rPr>
              <w:rPr>
                <w:rFonts w:ascii="Cambria Math" w:hAnsi="Cambria Math" w:eastAsiaTheme="minorEastAsia"/>
                <w:kern w:val="0"/>
                <w:szCs w:val="21"/>
              </w:rPr>
              <m:t>W/(</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a</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ctrlPr>
              <w:rPr>
                <w:rFonts w:ascii="Cambria Math" w:hAnsi="Cambria Math" w:eastAsiaTheme="minorEastAsia"/>
                <w:kern w:val="0"/>
                <w:szCs w:val="21"/>
              </w:rPr>
            </m:ctrlPr>
          </m:e>
        </m:d>
      </m:oMath>
      <w:r>
        <w:rPr>
          <w:rFonts w:eastAsiaTheme="minorEastAsia"/>
          <w:kern w:val="0"/>
          <w:szCs w:val="21"/>
        </w:rPr>
        <w:t xml:space="preserve">                     （4）</w:t>
      </w:r>
    </w:p>
    <w:p>
      <w:pPr>
        <w:ind w:firstLine="480"/>
        <w:rPr>
          <w:rFonts w:eastAsiaTheme="minorEastAsia"/>
          <w:kern w:val="0"/>
          <w:szCs w:val="21"/>
        </w:rPr>
      </w:pPr>
      <w:r>
        <w:rPr>
          <w:rFonts w:eastAsiaTheme="minorEastAsia"/>
          <w:kern w:val="0"/>
          <w:szCs w:val="21"/>
        </w:rPr>
        <w:t>式中：</w:t>
      </w:r>
    </w:p>
    <w:p>
      <w:pPr>
        <w:ind w:firstLine="480"/>
        <w:rPr>
          <w:rFonts w:eastAsiaTheme="minorEastAsia"/>
          <w:kern w:val="0"/>
          <w:szCs w:val="21"/>
        </w:rPr>
      </w:pP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a</m:t>
            </m:r>
            <m:ctrlPr>
              <w:rPr>
                <w:rFonts w:ascii="Cambria Math" w:hAnsi="Cambria Math" w:eastAsiaTheme="minorEastAsia"/>
                <w:kern w:val="0"/>
                <w:szCs w:val="21"/>
              </w:rPr>
            </m:ctrlPr>
          </m:sub>
        </m:sSub>
        <m:r>
          <m:rPr>
            <m:sty m:val="p"/>
          </m:rPr>
          <w:rPr>
            <w:rFonts w:ascii="Cambria Math" w:hAnsi="Cambria Math" w:eastAsiaTheme="minorEastAsia"/>
            <w:kern w:val="0"/>
            <w:szCs w:val="21"/>
          </w:rPr>
          <m: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oMath>
      <w:r>
        <w:rPr>
          <w:rFonts w:eastAsiaTheme="minorEastAsia"/>
          <w:kern w:val="0"/>
          <w:szCs w:val="21"/>
        </w:rPr>
        <w:t>——声轴上A、C两点距换能器表面距离，</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r>
          <m:rPr>
            <m:sty m:val="p"/>
          </m:rPr>
          <w:rPr>
            <w:rFonts w:ascii="Cambria Math" w:hAnsi="Cambria Math" w:eastAsiaTheme="minorEastAsia"/>
            <w:kern w:val="0"/>
            <w:szCs w:val="21"/>
          </w:rPr>
          <m:t>&gt;</m:t>
        </m:r>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a</m:t>
            </m:r>
            <m:ctrlPr>
              <w:rPr>
                <w:rFonts w:ascii="Cambria Math" w:hAnsi="Cambria Math" w:eastAsiaTheme="minorEastAsia"/>
                <w:kern w:val="0"/>
                <w:szCs w:val="21"/>
              </w:rPr>
            </m:ctrlPr>
          </m:sub>
        </m:sSub>
      </m:oMath>
      <w:r>
        <w:rPr>
          <w:rFonts w:eastAsiaTheme="minorEastAsia"/>
          <w:kern w:val="0"/>
          <w:szCs w:val="21"/>
        </w:rPr>
        <w:t>，mm；</w:t>
      </w:r>
    </w:p>
    <w:p>
      <w:pPr>
        <w:ind w:firstLine="480"/>
        <w:rPr>
          <w:rFonts w:eastAsiaTheme="minorEastAsia"/>
          <w:kern w:val="0"/>
          <w:szCs w:val="21"/>
        </w:rPr>
      </w:pPr>
      <w:r>
        <w:rPr>
          <w:rFonts w:eastAsiaTheme="minorEastAsia"/>
          <w:kern w:val="0"/>
          <w:szCs w:val="21"/>
        </w:rPr>
        <w:t>W——</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c</m:t>
            </m:r>
            <m:ctrlPr>
              <w:rPr>
                <w:rFonts w:ascii="Cambria Math" w:hAnsi="Cambria Math" w:eastAsiaTheme="minorEastAsia"/>
                <w:kern w:val="0"/>
                <w:szCs w:val="21"/>
              </w:rPr>
            </m:ctrlPr>
          </m:sub>
        </m:sSub>
      </m:oMath>
      <w:r>
        <w:rPr>
          <w:rFonts w:eastAsiaTheme="minorEastAsia"/>
          <w:kern w:val="0"/>
          <w:szCs w:val="21"/>
        </w:rPr>
        <w:t>位置处-3dB声束直径比</w:t>
      </w:r>
      <m:oMath>
        <m:sSub>
          <m:sSubPr>
            <m:ctrlPr>
              <w:rPr>
                <w:rFonts w:ascii="Cambria Math" w:hAnsi="Cambria Math" w:eastAsiaTheme="minorEastAsia"/>
                <w:kern w:val="0"/>
                <w:szCs w:val="21"/>
              </w:rPr>
            </m:ctrlPr>
          </m:sSubPr>
          <m:e>
            <m:r>
              <m:rPr>
                <m:sty m:val="p"/>
              </m:rPr>
              <w:rPr>
                <w:rFonts w:ascii="Cambria Math" w:hAnsi="Cambria Math" w:eastAsiaTheme="minorEastAsia"/>
                <w:kern w:val="0"/>
                <w:szCs w:val="21"/>
              </w:rPr>
              <m:t>Z</m:t>
            </m:r>
            <m:ctrlPr>
              <w:rPr>
                <w:rFonts w:ascii="Cambria Math" w:hAnsi="Cambria Math" w:eastAsiaTheme="minorEastAsia"/>
                <w:kern w:val="0"/>
                <w:szCs w:val="21"/>
              </w:rPr>
            </m:ctrlPr>
          </m:e>
          <m:sub>
            <m:r>
              <m:rPr>
                <m:sty m:val="p"/>
              </m:rPr>
              <w:rPr>
                <w:rFonts w:ascii="Cambria Math" w:hAnsi="Cambria Math" w:eastAsiaTheme="minorEastAsia"/>
                <w:kern w:val="0"/>
                <w:szCs w:val="21"/>
              </w:rPr>
              <m:t>a</m:t>
            </m:r>
            <m:ctrlPr>
              <w:rPr>
                <w:rFonts w:ascii="Cambria Math" w:hAnsi="Cambria Math" w:eastAsiaTheme="minorEastAsia"/>
                <w:kern w:val="0"/>
                <w:szCs w:val="21"/>
              </w:rPr>
            </m:ctrlPr>
          </m:sub>
        </m:sSub>
      </m:oMath>
      <w:r>
        <w:rPr>
          <w:rFonts w:eastAsiaTheme="minorEastAsia"/>
          <w:kern w:val="0"/>
          <w:szCs w:val="21"/>
        </w:rPr>
        <w:t>位置处-3dB声束直径增加值的一半，mm。</w:t>
      </w:r>
    </w:p>
    <w:p>
      <w:pPr>
        <w:pStyle w:val="61"/>
        <w:rPr>
          <w:rFonts w:ascii="Times New Roman" w:hAnsi="Times New Roman"/>
          <w:szCs w:val="21"/>
        </w:rPr>
      </w:pPr>
      <w:r>
        <w:rPr>
          <w:rFonts w:ascii="Times New Roman" w:hAnsi="Times New Roman"/>
          <w:szCs w:val="21"/>
        </w:rPr>
        <w:t>7 校准结果</w:t>
      </w:r>
      <w:bookmarkEnd w:id="69"/>
      <w:bookmarkEnd w:id="70"/>
      <w:bookmarkEnd w:id="71"/>
      <w:bookmarkEnd w:id="72"/>
      <w:bookmarkEnd w:id="73"/>
      <w:bookmarkEnd w:id="74"/>
      <w:r>
        <w:rPr>
          <w:rFonts w:ascii="Times New Roman" w:hAnsi="Times New Roman"/>
          <w:szCs w:val="21"/>
        </w:rPr>
        <w:t>表达</w:t>
      </w:r>
      <w:bookmarkEnd w:id="75"/>
      <w:bookmarkEnd w:id="76"/>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经校准后出具校准证书，校准证书由封面和校准数据内页组成，封面由校准机构确定统一格式，校准数据按照附件B要求，并可根据实际情况进行填写。校准证书应至少包括以下信息：</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a) 标题：校准证书；</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b) 实验室名称和地址；</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c) 进行校准的地点（如与实验室的地址不同）；</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d) 证书的唯一性标识（如编号），每页及总页数的标识；</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e) 客户的名称和地址；</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f) 被校对象的描述和明确标识；</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g) 进行校准的日期，如果与校准结果的有效性和应用有关时，应说明被校对象的接收日期；</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h) 校准所依据的技术规范的标识，包括名称及代号；</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i) 本次校准所用测量标准的溯源性及有效性说明；</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j) 校准环境的描述；</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k) 校准结果及测量不确定度的说明；</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l) 对校准规范的偏离的说明；</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m) 校准证书签发人的签名、职务或等效标识以及签发日期；</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n) 校准结果仅对被校对象有效的声明；</w:t>
      </w:r>
    </w:p>
    <w:p>
      <w:pPr>
        <w:pStyle w:val="58"/>
        <w:spacing w:line="360" w:lineRule="auto"/>
        <w:ind w:firstLine="420"/>
        <w:rPr>
          <w:rFonts w:ascii="Times New Roman" w:hAnsi="Times New Roman" w:eastAsiaTheme="minorEastAsia"/>
          <w:szCs w:val="21"/>
        </w:rPr>
      </w:pPr>
      <w:r>
        <w:rPr>
          <w:rFonts w:ascii="Times New Roman" w:hAnsi="Times New Roman" w:eastAsiaTheme="minorEastAsia"/>
          <w:szCs w:val="21"/>
        </w:rPr>
        <w:t>o) 未经实验室书面批准，不得部分复制证书的声明。</w:t>
      </w:r>
    </w:p>
    <w:p>
      <w:pPr>
        <w:pStyle w:val="61"/>
        <w:rPr>
          <w:rFonts w:ascii="Times New Roman" w:hAnsi="Times New Roman"/>
          <w:szCs w:val="21"/>
        </w:rPr>
      </w:pPr>
      <w:bookmarkStart w:id="77" w:name="_Toc193860189"/>
      <w:bookmarkStart w:id="78" w:name="_Toc193860040"/>
      <w:bookmarkStart w:id="79" w:name="_Toc14803_WPSOffice_Level1"/>
      <w:bookmarkStart w:id="80" w:name="_Toc193860220"/>
      <w:bookmarkStart w:id="81" w:name="_Toc5529"/>
      <w:bookmarkStart w:id="82" w:name="_Toc193860041"/>
      <w:r>
        <w:rPr>
          <w:rFonts w:ascii="Times New Roman" w:hAnsi="Times New Roman"/>
          <w:szCs w:val="21"/>
        </w:rPr>
        <w:t>8 复校</w:t>
      </w:r>
      <w:bookmarkEnd w:id="77"/>
      <w:bookmarkEnd w:id="78"/>
      <w:bookmarkEnd w:id="79"/>
      <w:bookmarkEnd w:id="80"/>
      <w:bookmarkEnd w:id="81"/>
      <w:r>
        <w:rPr>
          <w:rFonts w:ascii="Times New Roman" w:hAnsi="Times New Roman"/>
          <w:szCs w:val="21"/>
        </w:rPr>
        <w:t>时间间隔</w:t>
      </w:r>
    </w:p>
    <w:bookmarkEnd w:id="82"/>
    <w:p>
      <w:pPr>
        <w:pStyle w:val="58"/>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建议校准时间间隔为1年；当使用频率较高时，建议用户缩短为3个月。</w:t>
      </w:r>
    </w:p>
    <w:p>
      <w:pPr>
        <w:pStyle w:val="61"/>
        <w:rPr>
          <w:rFonts w:ascii="Times New Roman" w:hAnsi="Times New Roman"/>
          <w:szCs w:val="21"/>
        </w:rPr>
      </w:pPr>
      <w:r>
        <w:rPr>
          <w:rFonts w:ascii="Times New Roman" w:hAnsi="Times New Roman"/>
          <w:szCs w:val="21"/>
        </w:rPr>
        <w:t>9.附录</w:t>
      </w:r>
    </w:p>
    <w:p>
      <w:pPr>
        <w:pStyle w:val="58"/>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附录主要包含校准原始记录参考格式、校准证书内页参考格式、测量不确定度评定示例三部分。</w:t>
      </w:r>
    </w:p>
    <w:bookmarkEnd w:id="1"/>
    <w:bookmarkEnd w:id="24"/>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bookmarkStart w:id="83" w:name="_Toc464728965"/>
      <w:r>
        <w:rPr>
          <w:rFonts w:ascii="Times New Roman" w:eastAsiaTheme="minorEastAsia"/>
          <w:szCs w:val="21"/>
        </w:rPr>
        <w:t>规范水平分析</w:t>
      </w:r>
      <w:bookmarkEnd w:id="83"/>
    </w:p>
    <w:p>
      <w:pPr>
        <w:adjustRightInd w:val="0"/>
        <w:spacing w:line="360" w:lineRule="auto"/>
        <w:rPr>
          <w:rFonts w:eastAsiaTheme="minorEastAsia"/>
          <w:bCs/>
          <w:szCs w:val="21"/>
        </w:rPr>
      </w:pPr>
      <w:r>
        <w:rPr>
          <w:rFonts w:eastAsiaTheme="minorEastAsia"/>
          <w:bCs/>
          <w:szCs w:val="21"/>
        </w:rPr>
        <w:t>3.1采用国际标准及国外先进规范的程度</w:t>
      </w:r>
    </w:p>
    <w:p>
      <w:pPr>
        <w:adjustRightInd w:val="0"/>
        <w:spacing w:line="360" w:lineRule="auto"/>
        <w:ind w:firstLine="420" w:firstLineChars="200"/>
        <w:rPr>
          <w:rFonts w:eastAsiaTheme="minorEastAsia"/>
          <w:bCs/>
          <w:szCs w:val="21"/>
        </w:rPr>
      </w:pPr>
      <w:r>
        <w:rPr>
          <w:rFonts w:eastAsiaTheme="minorEastAsia"/>
          <w:bCs/>
          <w:szCs w:val="21"/>
        </w:rPr>
        <w:t>据查，目前国内外针对</w:t>
      </w:r>
      <w:r>
        <w:rPr>
          <w:rFonts w:eastAsiaTheme="minorEastAsia"/>
          <w:szCs w:val="21"/>
        </w:rPr>
        <w:t>超声波探伤用液浸式换能器特性</w:t>
      </w:r>
      <w:r>
        <w:rPr>
          <w:rFonts w:eastAsiaTheme="minorEastAsia"/>
          <w:bCs/>
          <w:szCs w:val="21"/>
        </w:rPr>
        <w:t>的校准规范，计量检测机构对</w:t>
      </w:r>
      <w:r>
        <w:rPr>
          <w:rFonts w:eastAsiaTheme="minorEastAsia"/>
          <w:szCs w:val="21"/>
        </w:rPr>
        <w:t>超声波探伤用液浸式换能器特性</w:t>
      </w:r>
      <w:r>
        <w:rPr>
          <w:rFonts w:eastAsiaTheme="minorEastAsia"/>
          <w:bCs/>
          <w:szCs w:val="21"/>
        </w:rPr>
        <w:t>校准项目的选取以及校准方式参照当前已有的</w:t>
      </w:r>
      <w:r>
        <w:rPr>
          <w:rFonts w:eastAsiaTheme="minorEastAsia"/>
          <w:szCs w:val="21"/>
        </w:rPr>
        <w:t>JJF 1650-2017《超声探伤仪换能器声场特性校准规范》、JJF 1294-2011《超声探伤仪换能器校准规范》等规范进行校准，这些规范存在时间过长且不满足校准实际需求的问题，本规范为目前最新的校准方法。</w:t>
      </w:r>
    </w:p>
    <w:p>
      <w:pPr>
        <w:adjustRightInd w:val="0"/>
        <w:spacing w:line="360" w:lineRule="auto"/>
        <w:rPr>
          <w:rFonts w:eastAsiaTheme="minorEastAsia"/>
          <w:bCs/>
          <w:szCs w:val="21"/>
        </w:rPr>
      </w:pPr>
      <w:r>
        <w:rPr>
          <w:rFonts w:eastAsiaTheme="minorEastAsia"/>
          <w:bCs/>
          <w:szCs w:val="21"/>
        </w:rPr>
        <w:t>3.2与国际及国外同类标准水平的对比分析</w:t>
      </w:r>
    </w:p>
    <w:p>
      <w:pPr>
        <w:spacing w:line="360" w:lineRule="auto"/>
        <w:ind w:firstLine="420" w:firstLineChars="200"/>
        <w:rPr>
          <w:rFonts w:eastAsiaTheme="minorEastAsia"/>
          <w:bCs/>
          <w:szCs w:val="21"/>
        </w:rPr>
      </w:pPr>
      <w:r>
        <w:rPr>
          <w:rFonts w:eastAsiaTheme="minorEastAsia"/>
          <w:bCs/>
          <w:szCs w:val="21"/>
        </w:rPr>
        <w:t>目前国外没有相关校准规范。</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r>
        <w:rPr>
          <w:rFonts w:ascii="Times New Roman" w:eastAsiaTheme="minorEastAsia"/>
          <w:bCs/>
          <w:szCs w:val="21"/>
        </w:rPr>
        <w:t>与有关的现行法律、法规和强制性国家标准的关系</w:t>
      </w:r>
    </w:p>
    <w:p>
      <w:pPr>
        <w:pStyle w:val="58"/>
        <w:spacing w:line="300" w:lineRule="auto"/>
        <w:ind w:firstLine="420"/>
        <w:rPr>
          <w:rFonts w:ascii="Times New Roman" w:hAnsi="Times New Roman" w:eastAsiaTheme="minorEastAsia"/>
          <w:szCs w:val="21"/>
        </w:rPr>
      </w:pPr>
      <w:r>
        <w:rPr>
          <w:rFonts w:ascii="Times New Roman" w:hAnsi="Times New Roman" w:eastAsiaTheme="minorEastAsia"/>
          <w:szCs w:val="21"/>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bookmarkStart w:id="84" w:name="_Toc464728973"/>
      <w:r>
        <w:rPr>
          <w:rFonts w:ascii="Times New Roman" w:eastAsiaTheme="minorEastAsia"/>
          <w:szCs w:val="21"/>
        </w:rPr>
        <w:t>规范中涉及的专利或知识产权说明</w:t>
      </w:r>
      <w:bookmarkEnd w:id="84"/>
    </w:p>
    <w:p>
      <w:pPr>
        <w:pStyle w:val="58"/>
        <w:spacing w:line="300" w:lineRule="auto"/>
        <w:ind w:firstLineChars="0"/>
        <w:contextualSpacing/>
        <w:rPr>
          <w:rFonts w:ascii="Times New Roman" w:hAnsi="Times New Roman" w:eastAsiaTheme="minorEastAsia"/>
          <w:szCs w:val="21"/>
        </w:rPr>
      </w:pPr>
      <w:bookmarkStart w:id="85" w:name="_Toc464728974"/>
      <w:r>
        <w:rPr>
          <w:rFonts w:ascii="Times New Roman" w:hAnsi="Times New Roman" w:eastAsiaTheme="minorEastAsia"/>
          <w:szCs w:val="21"/>
        </w:rPr>
        <w:t>（无）</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r>
        <w:rPr>
          <w:rFonts w:ascii="Times New Roman" w:eastAsiaTheme="minorEastAsia"/>
          <w:szCs w:val="21"/>
        </w:rPr>
        <w:t>重大分歧意见的处理经过和依据</w:t>
      </w:r>
      <w:bookmarkEnd w:id="85"/>
    </w:p>
    <w:p>
      <w:pPr>
        <w:pStyle w:val="58"/>
        <w:spacing w:line="300" w:lineRule="auto"/>
        <w:ind w:firstLine="420"/>
        <w:contextualSpacing/>
        <w:rPr>
          <w:rFonts w:ascii="Times New Roman" w:hAnsi="Times New Roman" w:eastAsiaTheme="minorEastAsia"/>
          <w:szCs w:val="21"/>
        </w:rPr>
      </w:pPr>
      <w:r>
        <w:rPr>
          <w:rFonts w:ascii="Times New Roman" w:hAnsi="Times New Roman" w:eastAsiaTheme="minorEastAsia"/>
          <w:szCs w:val="21"/>
        </w:rPr>
        <w:t>（无）</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r>
        <w:rPr>
          <w:rFonts w:ascii="Times New Roman" w:eastAsiaTheme="minorEastAsia"/>
          <w:szCs w:val="21"/>
        </w:rPr>
        <w:t>规范作为强制性或推荐性国家（或行业）标准的建议</w:t>
      </w:r>
    </w:p>
    <w:p>
      <w:pPr>
        <w:adjustRightInd w:val="0"/>
        <w:spacing w:line="360" w:lineRule="auto"/>
        <w:ind w:firstLine="420" w:firstLineChars="200"/>
        <w:rPr>
          <w:rFonts w:eastAsiaTheme="minorEastAsia"/>
          <w:bCs/>
          <w:szCs w:val="21"/>
        </w:rPr>
      </w:pPr>
      <w:r>
        <w:rPr>
          <w:rFonts w:eastAsiaTheme="minorEastAsia"/>
          <w:bCs/>
          <w:szCs w:val="21"/>
        </w:rPr>
        <w:t>建议本规范作为推荐性行业计量技术规范，供相关行业参考采用。</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bookmarkStart w:id="86" w:name="_Toc464728976"/>
      <w:r>
        <w:rPr>
          <w:rFonts w:ascii="Times New Roman" w:eastAsiaTheme="minorEastAsia"/>
          <w:szCs w:val="21"/>
        </w:rPr>
        <w:t>贯彻规范的要求和措施建议</w:t>
      </w:r>
      <w:bookmarkEnd w:id="86"/>
    </w:p>
    <w:p>
      <w:pPr>
        <w:pStyle w:val="58"/>
        <w:spacing w:line="300" w:lineRule="auto"/>
        <w:ind w:firstLine="420"/>
        <w:contextualSpacing/>
        <w:rPr>
          <w:rFonts w:ascii="Times New Roman" w:hAnsi="Times New Roman" w:eastAsiaTheme="minorEastAsia"/>
          <w:szCs w:val="21"/>
        </w:rPr>
      </w:pPr>
      <w:r>
        <w:rPr>
          <w:rFonts w:ascii="Times New Roman" w:hAnsi="Times New Roman" w:eastAsiaTheme="minorEastAsia"/>
          <w:szCs w:val="21"/>
        </w:rPr>
        <w:t>本规范发布后，中国有色金属行业协会和有色金属行业计量技术委员会应加强本规范的宣传力度，促进超声波探伤用液浸式换能器生产厂家按照实际情况合理选用校准规程，以促进我国企业的技术进步和产品质量上档次，提高我国产品在国际国内市场的竞争能力。</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bookmarkStart w:id="87" w:name="_Toc464728977"/>
      <w:r>
        <w:rPr>
          <w:rFonts w:ascii="Times New Roman" w:eastAsiaTheme="minorEastAsia"/>
          <w:szCs w:val="21"/>
        </w:rPr>
        <w:t>废止现行有关规范的建议</w:t>
      </w:r>
      <w:bookmarkEnd w:id="87"/>
    </w:p>
    <w:p>
      <w:pPr>
        <w:pStyle w:val="58"/>
        <w:spacing w:line="300" w:lineRule="auto"/>
        <w:ind w:firstLine="420"/>
        <w:contextualSpacing/>
        <w:rPr>
          <w:rFonts w:ascii="Times New Roman" w:hAnsi="Times New Roman" w:eastAsiaTheme="minorEastAsia"/>
          <w:szCs w:val="21"/>
        </w:rPr>
      </w:pPr>
      <w:r>
        <w:rPr>
          <w:rFonts w:ascii="Times New Roman" w:hAnsi="Times New Roman" w:eastAsiaTheme="minorEastAsia"/>
          <w:szCs w:val="21"/>
        </w:rPr>
        <w:t>（无）。</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r>
        <w:rPr>
          <w:rFonts w:ascii="Times New Roman" w:eastAsiaTheme="minorEastAsia"/>
          <w:szCs w:val="21"/>
        </w:rPr>
        <w:t>预期效果</w:t>
      </w:r>
    </w:p>
    <w:p>
      <w:pPr>
        <w:pStyle w:val="58"/>
        <w:spacing w:line="300" w:lineRule="auto"/>
        <w:ind w:firstLineChars="0"/>
        <w:contextualSpacing/>
        <w:rPr>
          <w:rFonts w:ascii="Times New Roman" w:hAnsi="Times New Roman" w:eastAsiaTheme="minorEastAsia"/>
          <w:szCs w:val="21"/>
        </w:rPr>
      </w:pPr>
      <w:r>
        <w:rPr>
          <w:rFonts w:ascii="Times New Roman" w:hAnsi="Times New Roman" w:eastAsiaTheme="minorEastAsia"/>
          <w:kern w:val="2"/>
          <w:szCs w:val="21"/>
        </w:rPr>
        <w:t>本规范的制定，具有极大的经济效益和社会效益，填补了有色金属行业领域校准空白，对</w:t>
      </w:r>
      <w:r>
        <w:rPr>
          <w:rFonts w:ascii="Times New Roman" w:hAnsi="Times New Roman" w:eastAsiaTheme="minorEastAsia"/>
          <w:szCs w:val="21"/>
        </w:rPr>
        <w:t>超声波探伤用液浸式换能器特性的校准过程提供了技术支撑。</w:t>
      </w:r>
    </w:p>
    <w:p>
      <w:pPr>
        <w:pStyle w:val="74"/>
        <w:numPr>
          <w:ilvl w:val="0"/>
          <w:numId w:val="11"/>
        </w:numPr>
        <w:tabs>
          <w:tab w:val="left" w:pos="426"/>
        </w:tabs>
        <w:spacing w:before="312" w:beforeLines="100" w:after="312" w:afterLines="100"/>
        <w:ind w:left="420" w:hangingChars="200"/>
        <w:jc w:val="left"/>
        <w:rPr>
          <w:rFonts w:ascii="Times New Roman" w:eastAsiaTheme="minorEastAsia"/>
          <w:szCs w:val="21"/>
        </w:rPr>
      </w:pPr>
      <w:r>
        <w:rPr>
          <w:rFonts w:ascii="Times New Roman" w:eastAsiaTheme="minorEastAsia"/>
          <w:bCs/>
          <w:szCs w:val="21"/>
        </w:rPr>
        <w:t>其他应予说明的事项</w:t>
      </w:r>
    </w:p>
    <w:p>
      <w:pPr>
        <w:pStyle w:val="58"/>
        <w:spacing w:line="300" w:lineRule="auto"/>
        <w:ind w:firstLineChars="0"/>
        <w:contextualSpacing/>
        <w:rPr>
          <w:rFonts w:ascii="Times New Roman" w:hAnsi="Times New Roman" w:eastAsiaTheme="minorEastAsia"/>
          <w:szCs w:val="21"/>
        </w:rPr>
      </w:pPr>
      <w:r>
        <w:rPr>
          <w:rFonts w:ascii="Times New Roman" w:hAnsi="Times New Roman" w:eastAsiaTheme="minorEastAsia"/>
          <w:szCs w:val="21"/>
        </w:rPr>
        <w:t>（无）。</w:t>
      </w:r>
    </w:p>
    <w:p>
      <w:pPr>
        <w:pStyle w:val="58"/>
        <w:spacing w:line="300" w:lineRule="auto"/>
        <w:ind w:firstLineChars="0"/>
        <w:contextualSpacing/>
        <w:jc w:val="right"/>
        <w:rPr>
          <w:rFonts w:ascii="Times New Roman" w:hAnsi="Times New Roman" w:eastAsiaTheme="minorEastAsia"/>
          <w:szCs w:val="21"/>
        </w:rPr>
      </w:pPr>
      <w:r>
        <w:rPr>
          <w:rFonts w:ascii="Times New Roman" w:hAnsi="Times New Roman" w:eastAsiaTheme="minorEastAsia"/>
          <w:bCs/>
          <w:szCs w:val="21"/>
        </w:rPr>
        <w:t xml:space="preserve">  《</w:t>
      </w:r>
      <w:r>
        <w:rPr>
          <w:rFonts w:ascii="Times New Roman" w:hAnsi="Times New Roman" w:eastAsiaTheme="minorEastAsia"/>
          <w:szCs w:val="21"/>
        </w:rPr>
        <w:t>超声波探伤用液浸式换能器特性校准规范</w:t>
      </w:r>
      <w:r>
        <w:rPr>
          <w:rFonts w:ascii="Times New Roman" w:hAnsi="Times New Roman" w:eastAsiaTheme="minorEastAsia"/>
          <w:bCs/>
          <w:szCs w:val="21"/>
        </w:rPr>
        <w:t>》编制组  2024年05月</w:t>
      </w:r>
    </w:p>
    <w:p>
      <w:pPr>
        <w:pStyle w:val="58"/>
        <w:spacing w:line="300" w:lineRule="auto"/>
        <w:ind w:firstLine="420"/>
        <w:contextualSpacing/>
        <w:rPr>
          <w:rFonts w:ascii="Times New Roman" w:hAnsi="Times New Roman" w:eastAsiaTheme="minorEastAsia"/>
          <w:szCs w:val="21"/>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693668"/>
    <w:rsid w:val="00001F60"/>
    <w:rsid w:val="000038F0"/>
    <w:rsid w:val="00004648"/>
    <w:rsid w:val="00013992"/>
    <w:rsid w:val="00014C66"/>
    <w:rsid w:val="000211BF"/>
    <w:rsid w:val="00021A9F"/>
    <w:rsid w:val="000237D4"/>
    <w:rsid w:val="0002700F"/>
    <w:rsid w:val="000306E4"/>
    <w:rsid w:val="000309D7"/>
    <w:rsid w:val="00032AC7"/>
    <w:rsid w:val="00032F98"/>
    <w:rsid w:val="00034584"/>
    <w:rsid w:val="00035A56"/>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0F69"/>
    <w:rsid w:val="000C5C42"/>
    <w:rsid w:val="000C772A"/>
    <w:rsid w:val="000C794F"/>
    <w:rsid w:val="000D1F80"/>
    <w:rsid w:val="000F15FB"/>
    <w:rsid w:val="000F714B"/>
    <w:rsid w:val="00100912"/>
    <w:rsid w:val="00104CBC"/>
    <w:rsid w:val="001164A0"/>
    <w:rsid w:val="0012155C"/>
    <w:rsid w:val="00122AD8"/>
    <w:rsid w:val="00122CAF"/>
    <w:rsid w:val="00123CAD"/>
    <w:rsid w:val="00136813"/>
    <w:rsid w:val="0014120B"/>
    <w:rsid w:val="00150062"/>
    <w:rsid w:val="001527ED"/>
    <w:rsid w:val="001567DA"/>
    <w:rsid w:val="00163830"/>
    <w:rsid w:val="0016493A"/>
    <w:rsid w:val="001859F4"/>
    <w:rsid w:val="0019431C"/>
    <w:rsid w:val="001A4F75"/>
    <w:rsid w:val="001B76E1"/>
    <w:rsid w:val="001C0648"/>
    <w:rsid w:val="001C13CE"/>
    <w:rsid w:val="001C7BB8"/>
    <w:rsid w:val="001D0501"/>
    <w:rsid w:val="001D6A71"/>
    <w:rsid w:val="001E0288"/>
    <w:rsid w:val="001E09C6"/>
    <w:rsid w:val="0020375B"/>
    <w:rsid w:val="00220437"/>
    <w:rsid w:val="00225EC9"/>
    <w:rsid w:val="00235374"/>
    <w:rsid w:val="00247A7D"/>
    <w:rsid w:val="00255EB1"/>
    <w:rsid w:val="002732FF"/>
    <w:rsid w:val="00275F7A"/>
    <w:rsid w:val="00280BE9"/>
    <w:rsid w:val="002849BB"/>
    <w:rsid w:val="00291548"/>
    <w:rsid w:val="002977EC"/>
    <w:rsid w:val="002A1305"/>
    <w:rsid w:val="002A45F0"/>
    <w:rsid w:val="002B225D"/>
    <w:rsid w:val="002D0634"/>
    <w:rsid w:val="002D16B1"/>
    <w:rsid w:val="002D2103"/>
    <w:rsid w:val="002E6C19"/>
    <w:rsid w:val="002F4E61"/>
    <w:rsid w:val="002F6135"/>
    <w:rsid w:val="003012C4"/>
    <w:rsid w:val="00305CB9"/>
    <w:rsid w:val="00307A90"/>
    <w:rsid w:val="003113C5"/>
    <w:rsid w:val="00314BA2"/>
    <w:rsid w:val="0032338B"/>
    <w:rsid w:val="0033057E"/>
    <w:rsid w:val="003318C1"/>
    <w:rsid w:val="00335FEC"/>
    <w:rsid w:val="0034125E"/>
    <w:rsid w:val="00343AD0"/>
    <w:rsid w:val="00352269"/>
    <w:rsid w:val="00366AF1"/>
    <w:rsid w:val="00373555"/>
    <w:rsid w:val="00397407"/>
    <w:rsid w:val="003A2156"/>
    <w:rsid w:val="003B0148"/>
    <w:rsid w:val="003B314C"/>
    <w:rsid w:val="003C2376"/>
    <w:rsid w:val="003C685D"/>
    <w:rsid w:val="003E10E7"/>
    <w:rsid w:val="003E237F"/>
    <w:rsid w:val="003F2C11"/>
    <w:rsid w:val="00400BF2"/>
    <w:rsid w:val="0040777C"/>
    <w:rsid w:val="00411DC2"/>
    <w:rsid w:val="00415481"/>
    <w:rsid w:val="00416978"/>
    <w:rsid w:val="00423CBD"/>
    <w:rsid w:val="00423FDF"/>
    <w:rsid w:val="0042558A"/>
    <w:rsid w:val="004257BB"/>
    <w:rsid w:val="00425D1F"/>
    <w:rsid w:val="004315D8"/>
    <w:rsid w:val="00441D4A"/>
    <w:rsid w:val="004508BB"/>
    <w:rsid w:val="00455FE9"/>
    <w:rsid w:val="0046211B"/>
    <w:rsid w:val="00464019"/>
    <w:rsid w:val="0048362B"/>
    <w:rsid w:val="00486647"/>
    <w:rsid w:val="00497039"/>
    <w:rsid w:val="004A27E5"/>
    <w:rsid w:val="004B1DE2"/>
    <w:rsid w:val="004B3BD5"/>
    <w:rsid w:val="004C6FDF"/>
    <w:rsid w:val="004E1361"/>
    <w:rsid w:val="004E4C45"/>
    <w:rsid w:val="004E5080"/>
    <w:rsid w:val="00521FA9"/>
    <w:rsid w:val="00526AEB"/>
    <w:rsid w:val="0052761B"/>
    <w:rsid w:val="005305AE"/>
    <w:rsid w:val="00531FA0"/>
    <w:rsid w:val="00536268"/>
    <w:rsid w:val="00536BFA"/>
    <w:rsid w:val="005535AA"/>
    <w:rsid w:val="0055489A"/>
    <w:rsid w:val="00556AC4"/>
    <w:rsid w:val="005608DA"/>
    <w:rsid w:val="00567271"/>
    <w:rsid w:val="005709C3"/>
    <w:rsid w:val="0059121E"/>
    <w:rsid w:val="005924E7"/>
    <w:rsid w:val="00593500"/>
    <w:rsid w:val="005944B9"/>
    <w:rsid w:val="005A5A5D"/>
    <w:rsid w:val="005A7971"/>
    <w:rsid w:val="005B2B0B"/>
    <w:rsid w:val="005B3A80"/>
    <w:rsid w:val="005B5BAB"/>
    <w:rsid w:val="005C0BE7"/>
    <w:rsid w:val="005C2448"/>
    <w:rsid w:val="005C769A"/>
    <w:rsid w:val="005D60F8"/>
    <w:rsid w:val="005D7687"/>
    <w:rsid w:val="005E67C7"/>
    <w:rsid w:val="005F42DD"/>
    <w:rsid w:val="005F759F"/>
    <w:rsid w:val="00601ADF"/>
    <w:rsid w:val="00606487"/>
    <w:rsid w:val="00623451"/>
    <w:rsid w:val="00624A40"/>
    <w:rsid w:val="00625140"/>
    <w:rsid w:val="0062664E"/>
    <w:rsid w:val="00627726"/>
    <w:rsid w:val="006320F5"/>
    <w:rsid w:val="00633572"/>
    <w:rsid w:val="00636E32"/>
    <w:rsid w:val="00637AB5"/>
    <w:rsid w:val="00640443"/>
    <w:rsid w:val="00642A06"/>
    <w:rsid w:val="00644C6D"/>
    <w:rsid w:val="006510D6"/>
    <w:rsid w:val="00660A77"/>
    <w:rsid w:val="00667FDB"/>
    <w:rsid w:val="00672533"/>
    <w:rsid w:val="006738AA"/>
    <w:rsid w:val="00676748"/>
    <w:rsid w:val="006820CD"/>
    <w:rsid w:val="00683E68"/>
    <w:rsid w:val="00686643"/>
    <w:rsid w:val="00693668"/>
    <w:rsid w:val="006B3185"/>
    <w:rsid w:val="006B43C4"/>
    <w:rsid w:val="006B56BB"/>
    <w:rsid w:val="006C188A"/>
    <w:rsid w:val="006C2258"/>
    <w:rsid w:val="006C2AF8"/>
    <w:rsid w:val="006D1B98"/>
    <w:rsid w:val="006D68A7"/>
    <w:rsid w:val="006D7E99"/>
    <w:rsid w:val="006E11F0"/>
    <w:rsid w:val="00700A25"/>
    <w:rsid w:val="00724E03"/>
    <w:rsid w:val="00733C71"/>
    <w:rsid w:val="00735A75"/>
    <w:rsid w:val="007373AB"/>
    <w:rsid w:val="00740702"/>
    <w:rsid w:val="00743BA2"/>
    <w:rsid w:val="00743BAC"/>
    <w:rsid w:val="00746BAC"/>
    <w:rsid w:val="00750ED3"/>
    <w:rsid w:val="00764D0A"/>
    <w:rsid w:val="00765621"/>
    <w:rsid w:val="00770269"/>
    <w:rsid w:val="00787910"/>
    <w:rsid w:val="007901C0"/>
    <w:rsid w:val="007902D1"/>
    <w:rsid w:val="007A3BEE"/>
    <w:rsid w:val="007B580F"/>
    <w:rsid w:val="007C15E3"/>
    <w:rsid w:val="007E3483"/>
    <w:rsid w:val="007E56C9"/>
    <w:rsid w:val="00804BC8"/>
    <w:rsid w:val="00817131"/>
    <w:rsid w:val="00820F69"/>
    <w:rsid w:val="00824B04"/>
    <w:rsid w:val="008353D7"/>
    <w:rsid w:val="00841A27"/>
    <w:rsid w:val="008461B6"/>
    <w:rsid w:val="0085122B"/>
    <w:rsid w:val="0086056F"/>
    <w:rsid w:val="0086378F"/>
    <w:rsid w:val="00865F38"/>
    <w:rsid w:val="008754EE"/>
    <w:rsid w:val="00876D87"/>
    <w:rsid w:val="008840F2"/>
    <w:rsid w:val="00887E9F"/>
    <w:rsid w:val="008B22FC"/>
    <w:rsid w:val="008B38E0"/>
    <w:rsid w:val="008C16C8"/>
    <w:rsid w:val="008C672E"/>
    <w:rsid w:val="008C7D6D"/>
    <w:rsid w:val="008E0E28"/>
    <w:rsid w:val="008E415E"/>
    <w:rsid w:val="008F1961"/>
    <w:rsid w:val="008F5DCA"/>
    <w:rsid w:val="009034C1"/>
    <w:rsid w:val="009052E4"/>
    <w:rsid w:val="009111C1"/>
    <w:rsid w:val="00913ED1"/>
    <w:rsid w:val="009148E0"/>
    <w:rsid w:val="00933D2C"/>
    <w:rsid w:val="009359EC"/>
    <w:rsid w:val="00944D55"/>
    <w:rsid w:val="00946B7D"/>
    <w:rsid w:val="009513C5"/>
    <w:rsid w:val="00954DA4"/>
    <w:rsid w:val="00967A11"/>
    <w:rsid w:val="00967BBB"/>
    <w:rsid w:val="00971240"/>
    <w:rsid w:val="009737CF"/>
    <w:rsid w:val="00982373"/>
    <w:rsid w:val="009919FE"/>
    <w:rsid w:val="009958D1"/>
    <w:rsid w:val="009A12AB"/>
    <w:rsid w:val="009B4929"/>
    <w:rsid w:val="009B561F"/>
    <w:rsid w:val="009C0597"/>
    <w:rsid w:val="009C2D10"/>
    <w:rsid w:val="009C3FBE"/>
    <w:rsid w:val="009D79FA"/>
    <w:rsid w:val="009E3D09"/>
    <w:rsid w:val="009F420F"/>
    <w:rsid w:val="00A06113"/>
    <w:rsid w:val="00A07D5A"/>
    <w:rsid w:val="00A11A21"/>
    <w:rsid w:val="00A12727"/>
    <w:rsid w:val="00A1378A"/>
    <w:rsid w:val="00A1497C"/>
    <w:rsid w:val="00A15577"/>
    <w:rsid w:val="00A30766"/>
    <w:rsid w:val="00A3211C"/>
    <w:rsid w:val="00A363F7"/>
    <w:rsid w:val="00A40585"/>
    <w:rsid w:val="00A40E4F"/>
    <w:rsid w:val="00A419FA"/>
    <w:rsid w:val="00A47FE2"/>
    <w:rsid w:val="00A56163"/>
    <w:rsid w:val="00A57E1E"/>
    <w:rsid w:val="00A57FA5"/>
    <w:rsid w:val="00A77511"/>
    <w:rsid w:val="00A7790F"/>
    <w:rsid w:val="00A8043A"/>
    <w:rsid w:val="00A8426B"/>
    <w:rsid w:val="00A86AF0"/>
    <w:rsid w:val="00A872B0"/>
    <w:rsid w:val="00A87866"/>
    <w:rsid w:val="00A91553"/>
    <w:rsid w:val="00AA53FB"/>
    <w:rsid w:val="00AB1F90"/>
    <w:rsid w:val="00AC0924"/>
    <w:rsid w:val="00AC1E7A"/>
    <w:rsid w:val="00AD093B"/>
    <w:rsid w:val="00AD5E7E"/>
    <w:rsid w:val="00AE0B35"/>
    <w:rsid w:val="00AE47AC"/>
    <w:rsid w:val="00AE69D6"/>
    <w:rsid w:val="00AF7111"/>
    <w:rsid w:val="00B056DA"/>
    <w:rsid w:val="00B05E25"/>
    <w:rsid w:val="00B07889"/>
    <w:rsid w:val="00B07D3B"/>
    <w:rsid w:val="00B173B2"/>
    <w:rsid w:val="00B369B6"/>
    <w:rsid w:val="00B43636"/>
    <w:rsid w:val="00B45E9C"/>
    <w:rsid w:val="00B53389"/>
    <w:rsid w:val="00B60FA7"/>
    <w:rsid w:val="00B614F2"/>
    <w:rsid w:val="00B706F7"/>
    <w:rsid w:val="00B7116A"/>
    <w:rsid w:val="00B75677"/>
    <w:rsid w:val="00B817F8"/>
    <w:rsid w:val="00B909CD"/>
    <w:rsid w:val="00BA5A9E"/>
    <w:rsid w:val="00BB316D"/>
    <w:rsid w:val="00BB4554"/>
    <w:rsid w:val="00BB7985"/>
    <w:rsid w:val="00BC66A0"/>
    <w:rsid w:val="00BC6B82"/>
    <w:rsid w:val="00BF4703"/>
    <w:rsid w:val="00C03A4F"/>
    <w:rsid w:val="00C058B2"/>
    <w:rsid w:val="00C10883"/>
    <w:rsid w:val="00C113A5"/>
    <w:rsid w:val="00C2681C"/>
    <w:rsid w:val="00C27739"/>
    <w:rsid w:val="00C3112F"/>
    <w:rsid w:val="00C34261"/>
    <w:rsid w:val="00C40CAE"/>
    <w:rsid w:val="00C5059F"/>
    <w:rsid w:val="00C53BDD"/>
    <w:rsid w:val="00C55028"/>
    <w:rsid w:val="00C5550F"/>
    <w:rsid w:val="00C57BAB"/>
    <w:rsid w:val="00C66C85"/>
    <w:rsid w:val="00C70EA3"/>
    <w:rsid w:val="00C7537E"/>
    <w:rsid w:val="00C8056F"/>
    <w:rsid w:val="00C81A49"/>
    <w:rsid w:val="00C86EE5"/>
    <w:rsid w:val="00CB750D"/>
    <w:rsid w:val="00CB7CDF"/>
    <w:rsid w:val="00CC3C55"/>
    <w:rsid w:val="00CC3DDD"/>
    <w:rsid w:val="00CC491D"/>
    <w:rsid w:val="00CC51F6"/>
    <w:rsid w:val="00CC52E3"/>
    <w:rsid w:val="00CD2D13"/>
    <w:rsid w:val="00CD759E"/>
    <w:rsid w:val="00CF3CAA"/>
    <w:rsid w:val="00D01726"/>
    <w:rsid w:val="00D16568"/>
    <w:rsid w:val="00D17115"/>
    <w:rsid w:val="00D25D69"/>
    <w:rsid w:val="00D436F5"/>
    <w:rsid w:val="00D57AEE"/>
    <w:rsid w:val="00D6471A"/>
    <w:rsid w:val="00D660E5"/>
    <w:rsid w:val="00D71DEC"/>
    <w:rsid w:val="00D743EA"/>
    <w:rsid w:val="00D81C1D"/>
    <w:rsid w:val="00D85454"/>
    <w:rsid w:val="00D86648"/>
    <w:rsid w:val="00D903E4"/>
    <w:rsid w:val="00DA22D1"/>
    <w:rsid w:val="00DA3611"/>
    <w:rsid w:val="00DA7289"/>
    <w:rsid w:val="00DB4F65"/>
    <w:rsid w:val="00DD6769"/>
    <w:rsid w:val="00DD7D39"/>
    <w:rsid w:val="00DE144C"/>
    <w:rsid w:val="00E019C6"/>
    <w:rsid w:val="00E22714"/>
    <w:rsid w:val="00E23465"/>
    <w:rsid w:val="00E31A7B"/>
    <w:rsid w:val="00E32480"/>
    <w:rsid w:val="00E5240D"/>
    <w:rsid w:val="00E544F0"/>
    <w:rsid w:val="00E71DCC"/>
    <w:rsid w:val="00E734F2"/>
    <w:rsid w:val="00E82471"/>
    <w:rsid w:val="00E911BC"/>
    <w:rsid w:val="00EB2994"/>
    <w:rsid w:val="00EC149D"/>
    <w:rsid w:val="00ED5F91"/>
    <w:rsid w:val="00ED67DD"/>
    <w:rsid w:val="00EE0476"/>
    <w:rsid w:val="00EE5988"/>
    <w:rsid w:val="00F10C9E"/>
    <w:rsid w:val="00F13CE4"/>
    <w:rsid w:val="00F14A09"/>
    <w:rsid w:val="00F22B01"/>
    <w:rsid w:val="00F32186"/>
    <w:rsid w:val="00F3447A"/>
    <w:rsid w:val="00F45BA8"/>
    <w:rsid w:val="00F507FB"/>
    <w:rsid w:val="00F533AD"/>
    <w:rsid w:val="00F5644A"/>
    <w:rsid w:val="00F7167F"/>
    <w:rsid w:val="00F71F31"/>
    <w:rsid w:val="00F7369D"/>
    <w:rsid w:val="00F80059"/>
    <w:rsid w:val="00F812C6"/>
    <w:rsid w:val="00F91E84"/>
    <w:rsid w:val="00FA4CA4"/>
    <w:rsid w:val="00FA5F49"/>
    <w:rsid w:val="00FA6198"/>
    <w:rsid w:val="00FA7260"/>
    <w:rsid w:val="00FC0650"/>
    <w:rsid w:val="00FC3C5F"/>
    <w:rsid w:val="00FC7BF3"/>
    <w:rsid w:val="00FD235D"/>
    <w:rsid w:val="00FD3C65"/>
    <w:rsid w:val="00FD7FCA"/>
    <w:rsid w:val="00FE0C1C"/>
    <w:rsid w:val="00FE17CA"/>
    <w:rsid w:val="00FE1932"/>
    <w:rsid w:val="00FE1A74"/>
    <w:rsid w:val="00FE36D2"/>
    <w:rsid w:val="00FE4ACB"/>
    <w:rsid w:val="00FF5630"/>
    <w:rsid w:val="01391B68"/>
    <w:rsid w:val="02F703B0"/>
    <w:rsid w:val="07DC0ED5"/>
    <w:rsid w:val="0904785D"/>
    <w:rsid w:val="09573966"/>
    <w:rsid w:val="0A781AE7"/>
    <w:rsid w:val="0CCA0314"/>
    <w:rsid w:val="0D975F7E"/>
    <w:rsid w:val="12995D7D"/>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4F68AC"/>
    <w:rsid w:val="2FBE527A"/>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D4D2D74"/>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7CE2BEC"/>
    <w:rsid w:val="7AC757F1"/>
    <w:rsid w:val="7BA8006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autoRedefine/>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autoRedefine/>
    <w:semiHidden/>
    <w:unhideWhenUsed/>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ind w:firstLine="420" w:firstLineChars="200"/>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spacing w:beforeLines="0" w:afterLines="0" w:line="300" w:lineRule="auto"/>
      <w:ind w:firstLine="404" w:firstLineChars="200"/>
      <w:outlineLvl w:val="2"/>
    </w:pPr>
    <w:rPr>
      <w:rFonts w:ascii="Times New Roman" w:hAnsi="Times New Roman"/>
      <w:spacing w:val="-4"/>
      <w:szCs w:val="21"/>
    </w:rPr>
  </w:style>
  <w:style w:type="paragraph" w:customStyle="1" w:styleId="61">
    <w:name w:val="章标题"/>
    <w:next w:val="58"/>
    <w:link w:val="278"/>
    <w:autoRedefine/>
    <w:qFormat/>
    <w:uiPriority w:val="0"/>
    <w:pPr>
      <w:spacing w:before="156" w:beforeLines="50" w:after="156" w:afterLines="50" w:line="360" w:lineRule="auto"/>
      <w:ind w:firstLine="420" w:firstLineChars="200"/>
      <w:jc w:val="both"/>
      <w:outlineLvl w:val="1"/>
    </w:pPr>
    <w:rPr>
      <w:rFonts w:cs="Times New Roman" w:asciiTheme="minorEastAsia" w:hAnsiTheme="minorEastAsia" w:eastAsiaTheme="minorEastAsia"/>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1"/>
      </w:numPr>
      <w:tabs>
        <w:tab w:val="left" w:pos="6405"/>
      </w:tabs>
      <w:spacing w:after="200"/>
    </w:pPr>
    <w:rPr>
      <w:sz w:val="21"/>
    </w:rPr>
  </w:style>
  <w:style w:type="paragraph" w:customStyle="1" w:styleId="66">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ind w:firstLine="420" w:firstLineChars="200"/>
      <w:outlineLvl w:val="5"/>
    </w:pPr>
  </w:style>
  <w:style w:type="paragraph" w:customStyle="1" w:styleId="71">
    <w:name w:val="三级条标题"/>
    <w:basedOn w:val="59"/>
    <w:next w:val="58"/>
    <w:link w:val="281"/>
    <w:autoRedefine/>
    <w:qFormat/>
    <w:uiPriority w:val="0"/>
    <w:pPr>
      <w:ind w:firstLine="420" w:firstLineChars="200"/>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ind w:firstLine="420" w:firstLineChars="200"/>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spacing w:line="240" w:lineRule="auto"/>
      <w:ind w:left="454" w:firstLine="0" w:firstLineChars="0"/>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cs="Times New Roman" w:asciiTheme="minorEastAsia" w:hAnsiTheme="minorEastAsia" w:eastAsiaTheme="minorEastAsia"/>
      <w:sz w:val="21"/>
    </w:rPr>
  </w:style>
  <w:style w:type="character" w:customStyle="1" w:styleId="279">
    <w:name w:val="一级条标题 Char"/>
    <w:link w:val="60"/>
    <w:autoRedefine/>
    <w:qFormat/>
    <w:uiPriority w:val="0"/>
    <w:rPr>
      <w:rFonts w:ascii="Times New Roman" w:hAnsi="Times New Roman" w:cs="Times New Roman" w:eastAsiaTheme="minorEastAsia"/>
      <w:spacing w:val="-4"/>
      <w:sz w:val="21"/>
      <w:szCs w:val="21"/>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宋体" w:cs="Times New Roman"/>
      <w:b/>
      <w:bCs/>
      <w:kern w:val="44"/>
      <w:sz w:val="44"/>
      <w:szCs w:val="44"/>
    </w:rPr>
  </w:style>
  <w:style w:type="character" w:customStyle="1" w:styleId="306">
    <w:name w:val="标题 2 Char"/>
    <w:basedOn w:val="43"/>
    <w:link w:val="3"/>
    <w:autoRedefine/>
    <w:qFormat/>
    <w:uiPriority w:val="0"/>
    <w:rPr>
      <w:rFonts w:ascii="Arial" w:hAnsi="Arial" w:eastAsia="黑体" w:cs="Times New Roman"/>
      <w:b/>
      <w:bCs/>
      <w:kern w:val="2"/>
      <w:sz w:val="32"/>
      <w:szCs w:val="32"/>
    </w:rPr>
  </w:style>
  <w:style w:type="character" w:customStyle="1" w:styleId="307">
    <w:name w:val="标题 3 Char"/>
    <w:basedOn w:val="43"/>
    <w:link w:val="4"/>
    <w:autoRedefine/>
    <w:qFormat/>
    <w:uiPriority w:val="0"/>
    <w:rPr>
      <w:rFonts w:ascii="Times New Roman" w:hAnsi="Times New Roman" w:eastAsia="宋体" w:cs="Times New Roman"/>
      <w:b/>
      <w:bCs/>
      <w:kern w:val="2"/>
      <w:sz w:val="32"/>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0">
    <w:name w:val="Placeholder Text"/>
    <w:basedOn w:val="43"/>
    <w:autoRedefine/>
    <w:semiHidden/>
    <w:uiPriority w:val="99"/>
    <w:rPr>
      <w:color w:val="808080"/>
    </w:rPr>
  </w:style>
  <w:style w:type="table" w:customStyle="1" w:styleId="3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2B8EC-8EE2-4BE3-8393-85AE5AAAE9EC}">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12</Pages>
  <Words>1024</Words>
  <Characters>5838</Characters>
  <Lines>48</Lines>
  <Paragraphs>13</Paragraphs>
  <TotalTime>6</TotalTime>
  <ScaleCrop>false</ScaleCrop>
  <LinksUpToDate>false</LinksUpToDate>
  <CharactersWithSpaces>6849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2024-05-15T06:45:00Z</dcterms:created>
  <dc:creator>标准李瑞山9585</dc:creator>
  <cp:lastModifiedBy>喆@瑶爸</cp:lastModifiedBy>
  <cp:lastPrinted>2016-10-20T04:13:00Z</cp:lastPrinted>
  <dcterms:modified xsi:type="dcterms:W3CDTF">2024-05-15T08:47:22Z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7CC6B53A8B674E13988B212B17AB9464_13</vt:lpwstr>
  </property>
</Properties>
</file>