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2：</w:t>
      </w:r>
    </w:p>
    <w:p>
      <w:pPr>
        <w:spacing w:after="156" w:afterLines="5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《有色重金属冶炼渣回收的铁精粉》标准修订调研表</w:t>
      </w:r>
    </w:p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（生产单位）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（盖章）  </w:t>
      </w:r>
      <w:r>
        <w:rPr>
          <w:rFonts w:asciiTheme="minorEastAsia" w:hAnsiTheme="minorEastAsia" w:eastAsiaTheme="minorEastAsia"/>
          <w:sz w:val="24"/>
          <w:szCs w:val="24"/>
        </w:rPr>
        <w:t>日期：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年   月   日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；联系电话：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；邮箱：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1、贵单位拥有哪些种类的有色重金属冶炼生产线（可多选，请打勾）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□铜      □铅       □锌      □镍       □钴 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2、贵单位冶炼渣有哪些？分别源自哪些工序或设备？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冶炼渣名称：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铜熔炼渣        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，源自：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闪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速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炉       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；（示例）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冶炼渣名称：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铜转炼渣       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，源自：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转炉         </w:t>
      </w:r>
      <w:r>
        <w:rPr>
          <w:rFonts w:hint="eastAsia" w:asciiTheme="minorEastAsia" w:hAnsiTheme="minorEastAsia" w:eastAsia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；（示例）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冶炼渣名称：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，源自：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冶炼渣名称：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，源自：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冶炼渣名称：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，源自：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冶炼渣名称：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，源自：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3、贵单位冶炼渣如何处理？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1276"/>
        <w:gridCol w:w="17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冶炼渣名称</w:t>
            </w:r>
          </w:p>
        </w:tc>
        <w:tc>
          <w:tcPr>
            <w:tcW w:w="3118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简述处理工艺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产品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产品用途</w:t>
            </w: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（示例）铜转炼渣</w:t>
            </w:r>
          </w:p>
        </w:tc>
        <w:tc>
          <w:tcPr>
            <w:tcW w:w="3118" w:type="dxa"/>
            <w:vMerge w:val="restart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将转炉渣进行三段一闭路破碎，两段球磨，初、精扫三级浮选，得到的精矿浆、尾矿浆分别通过浓缩机、陶瓷过滤机脱水后得到铜渣精矿和铜渣尾矿；再将铜渣尾矿磁选，选矿后得到铁精粉和渣尾矿。</w:t>
            </w:r>
          </w:p>
        </w:tc>
        <w:tc>
          <w:tcPr>
            <w:tcW w:w="1276" w:type="dxa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铜渣精矿</w:t>
            </w:r>
          </w:p>
        </w:tc>
        <w:tc>
          <w:tcPr>
            <w:tcW w:w="1701" w:type="dxa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返炉回收铜</w:t>
            </w:r>
          </w:p>
        </w:tc>
        <w:tc>
          <w:tcPr>
            <w:tcW w:w="901" w:type="dxa"/>
            <w:vMerge w:val="restart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铁精粉</w:t>
            </w:r>
          </w:p>
        </w:tc>
        <w:tc>
          <w:tcPr>
            <w:tcW w:w="1701" w:type="dxa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钢铁配料</w:t>
            </w:r>
          </w:p>
        </w:tc>
        <w:tc>
          <w:tcPr>
            <w:tcW w:w="901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渣尾矿</w:t>
            </w:r>
          </w:p>
        </w:tc>
        <w:tc>
          <w:tcPr>
            <w:tcW w:w="1701" w:type="dxa"/>
          </w:tcPr>
          <w:p>
            <w:pP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水泥添加剂</w:t>
            </w:r>
          </w:p>
        </w:tc>
        <w:tc>
          <w:tcPr>
            <w:tcW w:w="901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color w:val="81C688" w:themeColor="background1" w:themeShade="B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4、贵单位近三年用于销售的铁精粉、渣尾矿（砂）产量情况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种类\年产量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2021年（t）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2022年（t）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2023年（t）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铁精粉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渣尾矿（砂）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b/>
          <w:sz w:val="22"/>
          <w:szCs w:val="24"/>
        </w:rPr>
        <w:t>5、贵单位（统计近三年）用于销售的铁精粉在不同全铁含量区间的分布情况</w:t>
      </w:r>
      <w:r>
        <w:rPr>
          <w:rFonts w:asciiTheme="minorEastAsia" w:hAnsiTheme="minorEastAsia" w:eastAsiaTheme="minorEastAsia"/>
          <w:sz w:val="22"/>
          <w:szCs w:val="24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1）铜冶炼渣回收的铁精粉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725"/>
        <w:gridCol w:w="17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restar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全铁含量范围（TFe单位:%）</w:t>
            </w:r>
          </w:p>
        </w:tc>
        <w:tc>
          <w:tcPr>
            <w:tcW w:w="3033" w:type="pct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各品位区间的量占每年总量的比例（%）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continue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2021年</w:t>
            </w: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2022年</w:t>
            </w: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46≤TFe ＜50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50≤TFe ＜53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53≤TFe ＜56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TFe ≥56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2）铅冶炼渣回收的铁精粉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725"/>
        <w:gridCol w:w="17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restar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全铁含量范围（TFe单位:%）</w:t>
            </w:r>
          </w:p>
        </w:tc>
        <w:tc>
          <w:tcPr>
            <w:tcW w:w="3033" w:type="pct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各品位区间的量占每年总量的比例（%）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continue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2021年</w:t>
            </w: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2022年</w:t>
            </w: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46≤TFe ＜50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50≤TFe ＜53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53≤TFe ＜56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TFe ≥56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3）锌冶炼渣回收的铁精粉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725"/>
        <w:gridCol w:w="17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restar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全铁含量范围（TFe单位:%）</w:t>
            </w:r>
          </w:p>
        </w:tc>
        <w:tc>
          <w:tcPr>
            <w:tcW w:w="3033" w:type="pct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各品位区间的量占每年总量的比例（%）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continue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2021年</w:t>
            </w: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2022年</w:t>
            </w: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60≤TFe ＜63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63≤TFe ＜65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65≤TFe ＜67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67≤TFe ＜70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TFe ≥70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4）镍、钴冶炼渣回收的铁精粉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725"/>
        <w:gridCol w:w="17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restar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全铁含量范围（TFe单位:%）</w:t>
            </w:r>
          </w:p>
        </w:tc>
        <w:tc>
          <w:tcPr>
            <w:tcW w:w="3033" w:type="pct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各品位区间的量占每年总量的比例（%）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  <w:vMerge w:val="continue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2021年</w:t>
            </w: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2022年</w:t>
            </w: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50≤TFe ＜53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53≤TFe ＜55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bookmarkStart w:id="1" w:name="_GoBack" w:colFirst="0" w:colLast="0"/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TFe ≥55</w:t>
            </w:r>
          </w:p>
        </w:tc>
        <w:tc>
          <w:tcPr>
            <w:tcW w:w="1012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spacing w:line="48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5、2023年以来，贵单位铁精粉（不同全铁含量区间）的水分及杂质含量情况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1）铜冶炼渣回收的铁精粉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680"/>
        <w:gridCol w:w="680"/>
        <w:gridCol w:w="567"/>
        <w:gridCol w:w="720"/>
        <w:gridCol w:w="585"/>
        <w:gridCol w:w="720"/>
        <w:gridCol w:w="720"/>
        <w:gridCol w:w="557"/>
        <w:gridCol w:w="570"/>
        <w:gridCol w:w="571"/>
        <w:gridCol w:w="5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TFe区间（%）</w:t>
            </w:r>
          </w:p>
        </w:tc>
        <w:tc>
          <w:tcPr>
            <w:tcW w:w="416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水分及杂质成分，%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水分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SiO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8-13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0.2-0.5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0.03-0.06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19-26.5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1.78-2.81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0.12-0.35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0.3-0.6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2.8-4.6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10.23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23.82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2.43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0.19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0.38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3.1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46≤TFe ＜50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 ≥50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2）铅冶炼渣回收的铁精粉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680"/>
        <w:gridCol w:w="680"/>
        <w:gridCol w:w="567"/>
        <w:gridCol w:w="720"/>
        <w:gridCol w:w="585"/>
        <w:gridCol w:w="720"/>
        <w:gridCol w:w="720"/>
        <w:gridCol w:w="557"/>
        <w:gridCol w:w="570"/>
        <w:gridCol w:w="571"/>
        <w:gridCol w:w="5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TFe区间（%）</w:t>
            </w:r>
          </w:p>
        </w:tc>
        <w:tc>
          <w:tcPr>
            <w:tcW w:w="416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水分及杂质成分，%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水分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SiO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8-13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0.2-0.5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0.03-0.06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19-26.5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1.78-2.81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0.12-0.35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0.3-0.6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2.8-4.6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0.1-0.5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10.23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23.82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2.43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0.19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0.38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3.12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46≤TFe ＜50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 ≥50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3）锌冶炼渣回收的铁精粉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680"/>
        <w:gridCol w:w="680"/>
        <w:gridCol w:w="567"/>
        <w:gridCol w:w="720"/>
        <w:gridCol w:w="585"/>
        <w:gridCol w:w="720"/>
        <w:gridCol w:w="720"/>
        <w:gridCol w:w="557"/>
        <w:gridCol w:w="570"/>
        <w:gridCol w:w="571"/>
        <w:gridCol w:w="5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TFe区间（%）</w:t>
            </w:r>
          </w:p>
        </w:tc>
        <w:tc>
          <w:tcPr>
            <w:tcW w:w="416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水分及杂质成分，%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水分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SiO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8-13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0.2-0.5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0.03-0.06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3-8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1.78-2.81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0.12-0.35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0.6-2.1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0.8-1.6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10.23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5.25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2.43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0.19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1.33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1.15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60≤TFe ＜65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65≤TFe ＜70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 ≥70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4）镍、钴冶炼渣回收的铁精粉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4"/>
        <w:gridCol w:w="609"/>
        <w:gridCol w:w="609"/>
        <w:gridCol w:w="540"/>
        <w:gridCol w:w="720"/>
        <w:gridCol w:w="481"/>
        <w:gridCol w:w="720"/>
        <w:gridCol w:w="720"/>
        <w:gridCol w:w="540"/>
        <w:gridCol w:w="721"/>
        <w:gridCol w:w="721"/>
        <w:gridCol w:w="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TFe区间（%）</w:t>
            </w:r>
          </w:p>
        </w:tc>
        <w:tc>
          <w:tcPr>
            <w:tcW w:w="416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水分及杂质成分，%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水分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SiO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12-22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0.2-0.5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0.03-0.06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4-12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1.78-2.81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0.12-0.35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0.3-0.6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0.03-0.31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0.01-0.13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0.01-0.1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18.65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7.27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2.43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0.19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0.38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1.56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0.08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0.04/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50≤TFe ＜53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53≤TFe ＜55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TFe ≥55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正常范围值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平均值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贵单位对本次标准修订是否有其他意见和建议？若有，请简述。</w:t>
      </w:r>
    </w:p>
    <w:p>
      <w:pPr>
        <w:widowControl w:val="0"/>
        <w:numPr>
          <w:numId w:val="0"/>
        </w:numPr>
        <w:spacing w:line="48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widowControl w:val="0"/>
        <w:numPr>
          <w:numId w:val="0"/>
        </w:numPr>
        <w:spacing w:line="48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FE87A"/>
    <w:multiLevelType w:val="singleLevel"/>
    <w:tmpl w:val="18CFE87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FiYzEyMGYxNjdhN2I2ODlmY2E1MmZjYThkZWYifQ=="/>
  </w:docVars>
  <w:rsids>
    <w:rsidRoot w:val="00172A27"/>
    <w:rsid w:val="00012F84"/>
    <w:rsid w:val="00034CFE"/>
    <w:rsid w:val="0004599B"/>
    <w:rsid w:val="000964BD"/>
    <w:rsid w:val="000A26E9"/>
    <w:rsid w:val="000C0B46"/>
    <w:rsid w:val="000C5388"/>
    <w:rsid w:val="000E2A5B"/>
    <w:rsid w:val="000E5A0A"/>
    <w:rsid w:val="000F0216"/>
    <w:rsid w:val="001077ED"/>
    <w:rsid w:val="00113631"/>
    <w:rsid w:val="00115915"/>
    <w:rsid w:val="00125B43"/>
    <w:rsid w:val="001333CA"/>
    <w:rsid w:val="001334D9"/>
    <w:rsid w:val="001454A1"/>
    <w:rsid w:val="0014602D"/>
    <w:rsid w:val="00151C50"/>
    <w:rsid w:val="0016325C"/>
    <w:rsid w:val="00172A27"/>
    <w:rsid w:val="00176E76"/>
    <w:rsid w:val="001776E7"/>
    <w:rsid w:val="0018491A"/>
    <w:rsid w:val="0019256F"/>
    <w:rsid w:val="00194C7D"/>
    <w:rsid w:val="001C31A9"/>
    <w:rsid w:val="001C42A4"/>
    <w:rsid w:val="001E0FF8"/>
    <w:rsid w:val="001E2085"/>
    <w:rsid w:val="00216C2B"/>
    <w:rsid w:val="00225029"/>
    <w:rsid w:val="00233026"/>
    <w:rsid w:val="002348E0"/>
    <w:rsid w:val="00235FF6"/>
    <w:rsid w:val="00237156"/>
    <w:rsid w:val="00240911"/>
    <w:rsid w:val="00241809"/>
    <w:rsid w:val="002602D0"/>
    <w:rsid w:val="00263E1F"/>
    <w:rsid w:val="002740FF"/>
    <w:rsid w:val="002B5984"/>
    <w:rsid w:val="002C0C77"/>
    <w:rsid w:val="002C0E7F"/>
    <w:rsid w:val="002E3CC6"/>
    <w:rsid w:val="0035655D"/>
    <w:rsid w:val="003664CA"/>
    <w:rsid w:val="003725DD"/>
    <w:rsid w:val="00374192"/>
    <w:rsid w:val="00377586"/>
    <w:rsid w:val="00397110"/>
    <w:rsid w:val="003B5836"/>
    <w:rsid w:val="003D78F6"/>
    <w:rsid w:val="003D7DCF"/>
    <w:rsid w:val="00400D0E"/>
    <w:rsid w:val="0041370F"/>
    <w:rsid w:val="0041451B"/>
    <w:rsid w:val="004476EC"/>
    <w:rsid w:val="00464A62"/>
    <w:rsid w:val="004724E4"/>
    <w:rsid w:val="0049240E"/>
    <w:rsid w:val="00512AFB"/>
    <w:rsid w:val="00530029"/>
    <w:rsid w:val="0053483E"/>
    <w:rsid w:val="00535211"/>
    <w:rsid w:val="005420A3"/>
    <w:rsid w:val="00551891"/>
    <w:rsid w:val="00557BDE"/>
    <w:rsid w:val="00565C3C"/>
    <w:rsid w:val="00581322"/>
    <w:rsid w:val="00584128"/>
    <w:rsid w:val="005D4C44"/>
    <w:rsid w:val="005F1D2F"/>
    <w:rsid w:val="0061755C"/>
    <w:rsid w:val="00617665"/>
    <w:rsid w:val="0064450B"/>
    <w:rsid w:val="0066629B"/>
    <w:rsid w:val="006843C2"/>
    <w:rsid w:val="006872F5"/>
    <w:rsid w:val="00690B0D"/>
    <w:rsid w:val="00691259"/>
    <w:rsid w:val="006E2C1E"/>
    <w:rsid w:val="006F013A"/>
    <w:rsid w:val="006F65F7"/>
    <w:rsid w:val="006F7ACD"/>
    <w:rsid w:val="006F7D3C"/>
    <w:rsid w:val="00710C49"/>
    <w:rsid w:val="007301A3"/>
    <w:rsid w:val="0073217B"/>
    <w:rsid w:val="007609A5"/>
    <w:rsid w:val="007631C0"/>
    <w:rsid w:val="00771312"/>
    <w:rsid w:val="00775191"/>
    <w:rsid w:val="007A4AE6"/>
    <w:rsid w:val="007A6A12"/>
    <w:rsid w:val="007B43AF"/>
    <w:rsid w:val="007E1E87"/>
    <w:rsid w:val="007F300B"/>
    <w:rsid w:val="007F4C0B"/>
    <w:rsid w:val="0080180D"/>
    <w:rsid w:val="008152DE"/>
    <w:rsid w:val="00815C49"/>
    <w:rsid w:val="00821775"/>
    <w:rsid w:val="00821DD0"/>
    <w:rsid w:val="008637E1"/>
    <w:rsid w:val="008B0646"/>
    <w:rsid w:val="008B72AB"/>
    <w:rsid w:val="008C0D07"/>
    <w:rsid w:val="008E331D"/>
    <w:rsid w:val="0090477B"/>
    <w:rsid w:val="00906AC9"/>
    <w:rsid w:val="009172E3"/>
    <w:rsid w:val="00926ECA"/>
    <w:rsid w:val="00937258"/>
    <w:rsid w:val="00940ABE"/>
    <w:rsid w:val="00960A1B"/>
    <w:rsid w:val="009C1ADE"/>
    <w:rsid w:val="009D7E5B"/>
    <w:rsid w:val="009E39FD"/>
    <w:rsid w:val="00A04A36"/>
    <w:rsid w:val="00A26BF5"/>
    <w:rsid w:val="00A34F89"/>
    <w:rsid w:val="00A50BF1"/>
    <w:rsid w:val="00A67FAA"/>
    <w:rsid w:val="00A71BF1"/>
    <w:rsid w:val="00A93E5B"/>
    <w:rsid w:val="00AA62A3"/>
    <w:rsid w:val="00AD052E"/>
    <w:rsid w:val="00AD52B0"/>
    <w:rsid w:val="00AE2F65"/>
    <w:rsid w:val="00B006D1"/>
    <w:rsid w:val="00B02EBA"/>
    <w:rsid w:val="00B30B26"/>
    <w:rsid w:val="00B34082"/>
    <w:rsid w:val="00B353B8"/>
    <w:rsid w:val="00B64178"/>
    <w:rsid w:val="00B83E8F"/>
    <w:rsid w:val="00BB5BBB"/>
    <w:rsid w:val="00BB713F"/>
    <w:rsid w:val="00C01BE1"/>
    <w:rsid w:val="00C04FDB"/>
    <w:rsid w:val="00C0761B"/>
    <w:rsid w:val="00C30F92"/>
    <w:rsid w:val="00C4738A"/>
    <w:rsid w:val="00C94FCD"/>
    <w:rsid w:val="00CA7344"/>
    <w:rsid w:val="00CC0CCA"/>
    <w:rsid w:val="00CD3B8C"/>
    <w:rsid w:val="00CF6AB3"/>
    <w:rsid w:val="00D041F6"/>
    <w:rsid w:val="00D2152A"/>
    <w:rsid w:val="00D34BB4"/>
    <w:rsid w:val="00D469E4"/>
    <w:rsid w:val="00D53DFB"/>
    <w:rsid w:val="00D9516D"/>
    <w:rsid w:val="00DC18FE"/>
    <w:rsid w:val="00DD096D"/>
    <w:rsid w:val="00DE314A"/>
    <w:rsid w:val="00DE36B2"/>
    <w:rsid w:val="00DE470F"/>
    <w:rsid w:val="00DE49D8"/>
    <w:rsid w:val="00E131EC"/>
    <w:rsid w:val="00E235BB"/>
    <w:rsid w:val="00E3013A"/>
    <w:rsid w:val="00E377BF"/>
    <w:rsid w:val="00E9184F"/>
    <w:rsid w:val="00E95B8E"/>
    <w:rsid w:val="00EC5305"/>
    <w:rsid w:val="00ED596B"/>
    <w:rsid w:val="00EE41FB"/>
    <w:rsid w:val="00EE4E55"/>
    <w:rsid w:val="00EF2B47"/>
    <w:rsid w:val="00EF3821"/>
    <w:rsid w:val="00EF62F1"/>
    <w:rsid w:val="00F025A4"/>
    <w:rsid w:val="00F02FF2"/>
    <w:rsid w:val="00F35B9B"/>
    <w:rsid w:val="00F51E75"/>
    <w:rsid w:val="00F53272"/>
    <w:rsid w:val="00F67842"/>
    <w:rsid w:val="00F77E3A"/>
    <w:rsid w:val="00F904BA"/>
    <w:rsid w:val="00FA1340"/>
    <w:rsid w:val="00FB51ED"/>
    <w:rsid w:val="00FC284C"/>
    <w:rsid w:val="00FE7848"/>
    <w:rsid w:val="09044839"/>
    <w:rsid w:val="14ED2EFD"/>
    <w:rsid w:val="1BA91070"/>
    <w:rsid w:val="1D330677"/>
    <w:rsid w:val="221460CC"/>
    <w:rsid w:val="27FD20A3"/>
    <w:rsid w:val="306D44F7"/>
    <w:rsid w:val="342D3B6A"/>
    <w:rsid w:val="359C2C15"/>
    <w:rsid w:val="36105F48"/>
    <w:rsid w:val="36F070B5"/>
    <w:rsid w:val="45344EFF"/>
    <w:rsid w:val="4AAF2A61"/>
    <w:rsid w:val="558B6229"/>
    <w:rsid w:val="56E37F9F"/>
    <w:rsid w:val="57E7663E"/>
    <w:rsid w:val="593E7D98"/>
    <w:rsid w:val="5E8C6494"/>
    <w:rsid w:val="5EFA766B"/>
    <w:rsid w:val="602E7DBD"/>
    <w:rsid w:val="6815351A"/>
    <w:rsid w:val="695D45DE"/>
    <w:rsid w:val="6BD45B58"/>
    <w:rsid w:val="71D350CE"/>
    <w:rsid w:val="742743DD"/>
    <w:rsid w:val="743D1206"/>
    <w:rsid w:val="7A2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146F-EA30-490A-872C-5615C5555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1193</Words>
  <Characters>1733</Characters>
  <Lines>19</Lines>
  <Paragraphs>5</Paragraphs>
  <TotalTime>7</TotalTime>
  <ScaleCrop>false</ScaleCrop>
  <LinksUpToDate>false</LinksUpToDate>
  <CharactersWithSpaces>2034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2024-05-13T01:00:00Z</dcterms:created>
  <dc:creator>ID=huangxf</dc:creator>
  <cp:lastModifiedBy>ss</cp:lastModifiedBy>
  <cp:lastPrinted>2024-05-27T02:33:22Z</cp:lastPrinted>
  <dcterms:modified xsi:type="dcterms:W3CDTF">2024-05-27T02:33:27Z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F5F4A7D229A946C28B27451238FF22CF_13</vt:lpwstr>
  </property>
</Properties>
</file>