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Toc464728891"/>
      <w:r>
        <mc:AlternateContent>
          <mc:Choice Requires="wps">
            <w:drawing>
              <wp:anchor distT="0" distB="0" distL="114300" distR="114300" simplePos="0" relativeHeight="251659264" behindDoc="0" locked="1" layoutInCell="1" allowOverlap="1">
                <wp:simplePos x="0" y="0"/>
                <wp:positionH relativeFrom="margin">
                  <wp:posOffset>-217805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32"/>
                              <w:rPr>
                                <w:rFonts w:hAnsi="黑体" w:cs="黑体"/>
                                <w:sz w:val="44"/>
                                <w:szCs w:val="44"/>
                              </w:rPr>
                            </w:pPr>
                            <w:bookmarkStart w:id="71"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1"/>
                          <w:p>
                            <w:pPr>
                              <w:pStyle w:val="32"/>
                              <w:rPr>
                                <w:rFonts w:hAnsi="黑体" w:cs="黑体"/>
                                <w:szCs w:val="52"/>
                              </w:rPr>
                            </w:pPr>
                            <w:r>
                              <w:rPr>
                                <w:rFonts w:hAnsi="黑体" w:cs="黑体"/>
                                <w:kern w:val="2"/>
                                <w:sz w:val="44"/>
                                <w:szCs w:val="44"/>
                              </w:rPr>
                              <w:t>摆锤动态撕裂冲击试验机</w:t>
                            </w:r>
                            <w:r>
                              <w:rPr>
                                <w:rFonts w:hint="eastAsia" w:hAnsi="黑体" w:cs="黑体"/>
                                <w:kern w:val="2"/>
                                <w:sz w:val="44"/>
                                <w:szCs w:val="44"/>
                              </w:rPr>
                              <w:t>校准规范</w:t>
                            </w:r>
                          </w:p>
                          <w:p>
                            <w:pPr>
                              <w:pStyle w:val="32"/>
                              <w:rPr>
                                <w:rFonts w:hAnsi="黑体" w:cs="黑体"/>
                                <w:kern w:val="2"/>
                                <w:sz w:val="44"/>
                                <w:szCs w:val="44"/>
                              </w:rPr>
                            </w:pPr>
                            <w:r>
                              <w:rPr>
                                <w:rFonts w:hint="eastAsia" w:hAnsi="黑体" w:cs="黑体"/>
                                <w:kern w:val="2"/>
                                <w:sz w:val="44"/>
                                <w:szCs w:val="44"/>
                              </w:rPr>
                              <w:t>(编制说明)</w:t>
                            </w:r>
                          </w:p>
                        </w:txbxContent>
                      </wps:txbx>
                      <wps:bodyPr lIns="0" tIns="0" rIns="0" bIns="0" upright="1"/>
                    </wps:wsp>
                  </a:graphicData>
                </a:graphic>
              </wp:anchor>
            </w:drawing>
          </mc:Choice>
          <mc:Fallback>
            <w:pict>
              <v:rect id="文本框 4" o:spid="_x0000_s1026" o:spt="1" style="position:absolute;left:0pt;margin-left:-17.1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qkKkdgAAAALAQAADwAAAAAAAAABACAAAAAiAAAAZHJz&#10;L2Rvd25yZXYueG1sUEsBAhQAFAAAAAgAh07iQGP+WyjLAQAAkgMAAA4AAAAAAAAAAQAgAAAAJwEA&#10;AGRycy9lMm9Eb2MueG1sUEsFBgAAAAAGAAYAWQEAAGQFAAAAAA==&#10;">
                <v:fill on="t" focussize="0,0"/>
                <v:stroke on="f"/>
                <v:imagedata o:title=""/>
                <o:lock v:ext="edit" aspectratio="f"/>
                <v:textbox inset="0mm,0mm,0mm,0mm">
                  <w:txbxContent>
                    <w:p>
                      <w:pPr>
                        <w:pStyle w:val="32"/>
                        <w:rPr>
                          <w:rFonts w:hAnsi="黑体" w:cs="黑体"/>
                          <w:sz w:val="44"/>
                          <w:szCs w:val="44"/>
                        </w:rPr>
                      </w:pPr>
                      <w:bookmarkStart w:id="71"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1"/>
                    <w:p>
                      <w:pPr>
                        <w:pStyle w:val="32"/>
                        <w:rPr>
                          <w:rFonts w:hAnsi="黑体" w:cs="黑体"/>
                          <w:szCs w:val="52"/>
                        </w:rPr>
                      </w:pPr>
                      <w:r>
                        <w:rPr>
                          <w:rFonts w:hAnsi="黑体" w:cs="黑体"/>
                          <w:kern w:val="2"/>
                          <w:sz w:val="44"/>
                          <w:szCs w:val="44"/>
                        </w:rPr>
                        <w:t>摆锤动态撕裂冲击试验机</w:t>
                      </w:r>
                      <w:r>
                        <w:rPr>
                          <w:rFonts w:hint="eastAsia" w:hAnsi="黑体" w:cs="黑体"/>
                          <w:kern w:val="2"/>
                          <w:sz w:val="44"/>
                          <w:szCs w:val="44"/>
                        </w:rPr>
                        <w:t>校准规范</w:t>
                      </w:r>
                    </w:p>
                    <w:p>
                      <w:pPr>
                        <w:pStyle w:val="32"/>
                        <w:rPr>
                          <w:rFonts w:hAnsi="黑体" w:cs="黑体"/>
                          <w:kern w:val="2"/>
                          <w:sz w:val="44"/>
                          <w:szCs w:val="44"/>
                        </w:rPr>
                      </w:pPr>
                      <w:r>
                        <w:rPr>
                          <w:rFonts w:hint="eastAsia" w:hAnsi="黑体" w:cs="黑体"/>
                          <w:kern w:val="2"/>
                          <w:sz w:val="44"/>
                          <w:szCs w:val="44"/>
                        </w:rPr>
                        <w:t>(编制说明)</w:t>
                      </w:r>
                    </w:p>
                  </w:txbxContent>
                </v:textbox>
                <w10:anchorlock/>
              </v:rect>
            </w:pict>
          </mc:Fallback>
        </mc:AlternateContent>
      </w:r>
    </w:p>
    <w:p>
      <w:pPr>
        <w:ind w:left="0" w:leftChars="0" w:firstLine="0" w:firstLineChars="0"/>
        <w:rPr>
          <w:rFonts w:ascii="黑体" w:eastAsia="黑体"/>
          <w:kern w:val="0"/>
        </w:rPr>
      </w:pPr>
      <w:r>
        <w:br w:type="page"/>
      </w:r>
      <w:r>
        <mc:AlternateContent>
          <mc:Choice Requires="wps">
            <w:drawing>
              <wp:anchor distT="0" distB="0" distL="114300" distR="114300" simplePos="0" relativeHeight="251661312" behindDoc="0" locked="1" layoutInCell="1" allowOverlap="1">
                <wp:simplePos x="0" y="0"/>
                <wp:positionH relativeFrom="margin">
                  <wp:posOffset>-217805</wp:posOffset>
                </wp:positionH>
                <wp:positionV relativeFrom="margin">
                  <wp:posOffset>7559040</wp:posOffset>
                </wp:positionV>
                <wp:extent cx="6120130" cy="1544320"/>
                <wp:effectExtent l="0" t="0" r="0" b="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32"/>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摆锤动态撕裂冲击试验机校准规范</w:t>
                            </w:r>
                          </w:p>
                          <w:p>
                            <w:pPr>
                              <w:ind w:left="0" w:leftChars="0" w:firstLine="0" w:firstLineChars="0"/>
                              <w:jc w:val="center"/>
                              <w:rPr>
                                <w:rFonts w:hint="eastAsia" w:ascii="宋体" w:hAnsi="宋体" w:eastAsia="宋体" w:cs="宋体"/>
                                <w:spacing w:val="58"/>
                                <w:w w:val="120"/>
                                <w:kern w:val="2"/>
                                <w:sz w:val="28"/>
                                <w:szCs w:val="28"/>
                                <w:lang w:val="en-US" w:eastAsia="zh-CN" w:bidi="ar-SA"/>
                              </w:rPr>
                            </w:pPr>
                            <w:r>
                              <w:rPr>
                                <w:rFonts w:hint="eastAsia" w:ascii="宋体" w:hAnsi="宋体" w:eastAsia="宋体" w:cs="宋体"/>
                                <w:spacing w:val="58"/>
                                <w:w w:val="120"/>
                                <w:kern w:val="2"/>
                                <w:sz w:val="28"/>
                                <w:szCs w:val="28"/>
                                <w:lang w:val="en-US" w:eastAsia="zh-CN" w:bidi="ar-SA"/>
                              </w:rPr>
                              <w:t>编制组</w:t>
                            </w:r>
                          </w:p>
                          <w:p>
                            <w:pPr>
                              <w:pStyle w:val="32"/>
                              <w:rPr>
                                <w:rFonts w:hint="eastAsia" w:ascii="宋体" w:hAnsi="宋体" w:eastAsia="宋体" w:cs="宋体"/>
                                <w:spacing w:val="58"/>
                                <w:w w:val="120"/>
                                <w:kern w:val="2"/>
                                <w:sz w:val="28"/>
                                <w:szCs w:val="28"/>
                              </w:rPr>
                            </w:pPr>
                            <w:r>
                              <w:rPr>
                                <w:rFonts w:hint="eastAsia" w:ascii="宋体" w:hAnsi="宋体" w:eastAsia="宋体" w:cs="宋体"/>
                                <w:spacing w:val="58"/>
                                <w:w w:val="120"/>
                                <w:kern w:val="2"/>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7.1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TCoH2QAAAA0BAAAPAAAAAAAAAAEAIAAAACIAAABkcnMvZG93bnJldi54bWxQSwEC&#10;FAAUAAAACACHTuJAWDO0X7oBAACPAwAADgAAAAAAAAABACAAAAAoAQAAZHJzL2Uyb0RvYy54bWxQ&#10;SwUGAAAAAAYABgBZAQAAVAUAAAAA&#10;">
                <v:fill on="t" focussize="0,0"/>
                <v:stroke on="f"/>
                <v:imagedata o:title=""/>
                <o:lock v:ext="edit" aspectratio="f"/>
                <v:textbox inset="0mm,0mm,0mm,0mm">
                  <w:txbxContent>
                    <w:p>
                      <w:pPr>
                        <w:pStyle w:val="32"/>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摆锤动态撕裂冲击试验机校准规范</w:t>
                      </w:r>
                    </w:p>
                    <w:p>
                      <w:pPr>
                        <w:ind w:left="0" w:leftChars="0" w:firstLine="0" w:firstLineChars="0"/>
                        <w:jc w:val="center"/>
                        <w:rPr>
                          <w:rFonts w:hint="eastAsia" w:ascii="宋体" w:hAnsi="宋体" w:eastAsia="宋体" w:cs="宋体"/>
                          <w:spacing w:val="58"/>
                          <w:w w:val="120"/>
                          <w:kern w:val="2"/>
                          <w:sz w:val="28"/>
                          <w:szCs w:val="28"/>
                          <w:lang w:val="en-US" w:eastAsia="zh-CN" w:bidi="ar-SA"/>
                        </w:rPr>
                      </w:pPr>
                      <w:r>
                        <w:rPr>
                          <w:rFonts w:hint="eastAsia" w:ascii="宋体" w:hAnsi="宋体" w:eastAsia="宋体" w:cs="宋体"/>
                          <w:spacing w:val="58"/>
                          <w:w w:val="120"/>
                          <w:kern w:val="2"/>
                          <w:sz w:val="28"/>
                          <w:szCs w:val="28"/>
                          <w:lang w:val="en-US" w:eastAsia="zh-CN" w:bidi="ar-SA"/>
                        </w:rPr>
                        <w:t>编制组</w:t>
                      </w:r>
                    </w:p>
                    <w:p>
                      <w:pPr>
                        <w:pStyle w:val="32"/>
                        <w:rPr>
                          <w:rFonts w:hint="eastAsia" w:ascii="宋体" w:hAnsi="宋体" w:eastAsia="宋体" w:cs="宋体"/>
                          <w:spacing w:val="58"/>
                          <w:w w:val="120"/>
                          <w:kern w:val="2"/>
                          <w:sz w:val="28"/>
                          <w:szCs w:val="28"/>
                        </w:rPr>
                      </w:pPr>
                      <w:r>
                        <w:rPr>
                          <w:rFonts w:hint="eastAsia" w:ascii="宋体" w:hAnsi="宋体" w:eastAsia="宋体" w:cs="宋体"/>
                          <w:spacing w:val="58"/>
                          <w:w w:val="120"/>
                          <w:kern w:val="2"/>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-217805</wp:posOffset>
                </wp:positionH>
                <wp:positionV relativeFrom="margin">
                  <wp:posOffset>4848860</wp:posOffset>
                </wp:positionV>
                <wp:extent cx="5969000" cy="1779270"/>
                <wp:effectExtent l="0" t="0" r="0" b="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33"/>
                              <w:spacing w:before="600"/>
                              <w:rPr>
                                <w:rFonts w:ascii="黑体" w:hAnsi="黑体" w:eastAsia="黑体"/>
                                <w:sz w:val="36"/>
                                <w:szCs w:val="36"/>
                              </w:rPr>
                            </w:pPr>
                            <w:r>
                              <w:rPr>
                                <w:rFonts w:hint="eastAsia" w:ascii="黑体" w:hAnsi="黑体" w:eastAsia="黑体"/>
                                <w:sz w:val="36"/>
                                <w:szCs w:val="36"/>
                              </w:rPr>
                              <w:t>讨论稿</w:t>
                            </w:r>
                          </w:p>
                          <w:p>
                            <w:pPr>
                              <w:pStyle w:val="33"/>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4-06-12</w:t>
                            </w:r>
                          </w:p>
                        </w:txbxContent>
                      </wps:txbx>
                      <wps:bodyPr lIns="0" tIns="0" rIns="0" bIns="0" upright="1"/>
                    </wps:wsp>
                  </a:graphicData>
                </a:graphic>
              </wp:anchor>
            </w:drawing>
          </mc:Choice>
          <mc:Fallback>
            <w:pict>
              <v:rect id="文本框 5" o:spid="_x0000_s1026" o:spt="1" style="position:absolute;left:0pt;margin-left:-17.15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UnbLZAAAADAEAAA8AAAAAAAAAAQAgAAAAIgAAAGRy&#10;cy9kb3ducmV2LnhtbFBLAQIUABQAAAAIAIdO4kAxO8wgywEAAJIDAAAOAAAAAAAAAAEAIAAAACgB&#10;AABkcnMvZTJvRG9jLnhtbFBLBQYAAAAABgAGAFkBAABlBQAAAAA=&#10;">
                <v:fill on="t" focussize="0,0"/>
                <v:stroke on="f"/>
                <v:imagedata o:title=""/>
                <o:lock v:ext="edit" aspectratio="f"/>
                <v:textbox inset="0mm,0mm,0mm,0mm">
                  <w:txbxContent>
                    <w:p>
                      <w:pPr>
                        <w:pStyle w:val="33"/>
                        <w:spacing w:before="600"/>
                        <w:rPr>
                          <w:rFonts w:ascii="黑体" w:hAnsi="黑体" w:eastAsia="黑体"/>
                          <w:sz w:val="36"/>
                          <w:szCs w:val="36"/>
                        </w:rPr>
                      </w:pPr>
                      <w:r>
                        <w:rPr>
                          <w:rFonts w:hint="eastAsia" w:ascii="黑体" w:hAnsi="黑体" w:eastAsia="黑体"/>
                          <w:sz w:val="36"/>
                          <w:szCs w:val="36"/>
                        </w:rPr>
                        <w:t>讨论稿</w:t>
                      </w:r>
                    </w:p>
                    <w:p>
                      <w:pPr>
                        <w:pStyle w:val="33"/>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4-06-12</w:t>
                      </w:r>
                    </w:p>
                  </w:txbxContent>
                </v:textbox>
                <w10:anchorlock/>
              </v:rect>
            </w:pict>
          </mc:Fallback>
        </mc:AlternateContent>
      </w:r>
    </w:p>
    <w:p>
      <w:pPr>
        <w:pStyle w:val="19"/>
        <w:tabs>
          <w:tab w:val="left" w:pos="426"/>
        </w:tabs>
        <w:spacing w:before="0" w:after="0"/>
        <w:rPr>
          <w:sz w:val="28"/>
          <w:szCs w:val="28"/>
        </w:rPr>
      </w:pPr>
      <w:r>
        <w:rPr>
          <w:rFonts w:hint="eastAsia"/>
          <w:sz w:val="28"/>
          <w:szCs w:val="28"/>
        </w:rPr>
        <w:t>《</w:t>
      </w:r>
      <w:r>
        <w:rPr>
          <w:sz w:val="28"/>
          <w:szCs w:val="28"/>
        </w:rPr>
        <w:t>摆锤动态撕裂冲击试验机</w:t>
      </w:r>
      <w:r>
        <w:rPr>
          <w:rFonts w:hint="eastAsia"/>
          <w:sz w:val="28"/>
          <w:szCs w:val="28"/>
        </w:rPr>
        <w:t>校准规范》</w:t>
      </w:r>
    </w:p>
    <w:p>
      <w:pPr>
        <w:pStyle w:val="19"/>
        <w:tabs>
          <w:tab w:val="left" w:pos="426"/>
        </w:tabs>
        <w:spacing w:before="0" w:after="0"/>
        <w:rPr>
          <w:sz w:val="28"/>
          <w:szCs w:val="28"/>
        </w:rPr>
      </w:pPr>
      <w:r>
        <w:rPr>
          <w:rFonts w:hint="eastAsia"/>
          <w:sz w:val="28"/>
          <w:szCs w:val="28"/>
        </w:rPr>
        <w:t>行业计量技术规范编制说明</w:t>
      </w:r>
    </w:p>
    <w:p>
      <w:pPr>
        <w:pStyle w:val="19"/>
        <w:tabs>
          <w:tab w:val="left" w:pos="426"/>
        </w:tabs>
        <w:spacing w:before="312" w:beforeLines="100" w:after="312" w:afterLines="100"/>
        <w:jc w:val="left"/>
      </w:pPr>
      <w:r>
        <w:rPr>
          <w:rFonts w:hint="eastAsia"/>
        </w:rPr>
        <w:t>一、工作简况</w:t>
      </w:r>
      <w:bookmarkEnd w:id="0"/>
    </w:p>
    <w:p>
      <w:pPr>
        <w:pStyle w:val="13"/>
        <w:numPr>
          <w:ilvl w:val="0"/>
          <w:numId w:val="0"/>
        </w:numPr>
        <w:spacing w:before="156" w:after="156" w:line="300" w:lineRule="auto"/>
        <w:contextualSpacing/>
      </w:pPr>
      <w:bookmarkStart w:id="1" w:name="_Toc456592524"/>
      <w:bookmarkStart w:id="2" w:name="_Toc464728892"/>
      <w:r>
        <w:rPr>
          <w:rFonts w:hint="eastAsia"/>
        </w:rPr>
        <w:t>1立项目的</w:t>
      </w:r>
      <w:bookmarkEnd w:id="1"/>
      <w:bookmarkEnd w:id="2"/>
    </w:p>
    <w:p>
      <w:bookmarkStart w:id="3" w:name="_Toc464728896"/>
      <w:r>
        <w:t>摆锤动态撕裂冲击试验机是金属材料动态撕裂性能测试的常用设备，具有能量高、效率高、低碳环保、适用范围广等诸多优点，被广泛用于深海舰艇、航空航天、高速铁路、装备制造等领域。在这些领域装备中应用的金属中厚板材均要求对材料的动态撕裂能（DT能）进行测试。</w:t>
      </w:r>
    </w:p>
    <w:p>
      <w:pPr>
        <w:rPr>
          <w:szCs w:val="24"/>
        </w:rPr>
      </w:pPr>
      <w:r>
        <w:rPr>
          <w:szCs w:val="24"/>
        </w:rPr>
        <w:t>目前国内金属材料动态撕裂试验方法有GB/T 5482-2007 金属材料动态撕裂冲击试验方法、铁路行业TB/T 2985-2000金属材料的动态撕裂试验方法。其中GB/T 5482-2007修改采用</w:t>
      </w:r>
      <w:r>
        <w:rPr>
          <w:szCs w:val="24"/>
        </w:rPr>
        <w:fldChar w:fldCharType="begin"/>
      </w:r>
      <w:r>
        <w:instrText xml:space="preserve"> HYPERLINK "https://www.baidu.com/link?url=uJ97k2hn5Atn9aKgi1GmdrdN4aTSwthcJzlCQS3WAV4Lf8x-rJJyBMojazVdtq0YemFAcJsrDHT0_ET1icEmEK&amp;wd=&amp;eqid=c2cd613c000010490000000661decac4" \t "_blank" </w:instrText>
      </w:r>
      <w:r>
        <w:rPr>
          <w:szCs w:val="24"/>
        </w:rPr>
        <w:fldChar w:fldCharType="separate"/>
      </w:r>
      <w:r>
        <w:rPr>
          <w:szCs w:val="24"/>
        </w:rPr>
        <w:t>ASTM E604-83</w:t>
      </w:r>
      <w:r>
        <w:rPr>
          <w:szCs w:val="24"/>
        </w:rPr>
        <w:fldChar w:fldCharType="end"/>
      </w:r>
      <w:r>
        <w:rPr>
          <w:szCs w:val="24"/>
        </w:rPr>
        <w:t>金属材料动态撕裂试验的标准试验方法，TB/T 2985-2000等效采用</w:t>
      </w:r>
      <w:r>
        <w:rPr>
          <w:szCs w:val="24"/>
        </w:rPr>
        <w:fldChar w:fldCharType="begin"/>
      </w:r>
      <w:r>
        <w:instrText xml:space="preserve"> HYPERLINK "https://www.baidu.com/link?url=uJ97k2hn5Atn9aKgi1GmdrdN4aTSwthcJzlCQS3WAV4Lf8x-rJJyBMojazVdtq0YemFAcJsrDHT0_ET1icEmEK&amp;wd=&amp;eqid=c2cd613c000010490000000661decac4" \t "_blank" </w:instrText>
      </w:r>
      <w:r>
        <w:rPr>
          <w:szCs w:val="24"/>
        </w:rPr>
        <w:fldChar w:fldCharType="separate"/>
      </w:r>
      <w:r>
        <w:rPr>
          <w:szCs w:val="24"/>
        </w:rPr>
        <w:t>ASTM E604-</w:t>
      </w:r>
      <w:r>
        <w:rPr>
          <w:rFonts w:hint="eastAsia"/>
          <w:szCs w:val="24"/>
          <w:lang w:val="en-US" w:eastAsia="zh-CN"/>
        </w:rPr>
        <w:t>1</w:t>
      </w:r>
      <w:r>
        <w:rPr>
          <w:szCs w:val="24"/>
        </w:rPr>
        <w:fldChar w:fldCharType="end"/>
      </w:r>
      <w:r>
        <w:rPr>
          <w:rFonts w:hint="eastAsia"/>
          <w:szCs w:val="24"/>
          <w:lang w:val="en-US" w:eastAsia="zh-CN"/>
        </w:rPr>
        <w:t>8</w:t>
      </w:r>
      <w:r>
        <w:rPr>
          <w:szCs w:val="24"/>
        </w:rPr>
        <w:t>。GB/T 5482和TB/T 2985方法中均对动态撕裂冲击试验机的计量技术指标提出了明确的要求。</w:t>
      </w:r>
    </w:p>
    <w:p>
      <w:r>
        <w:t>摆锤动态撕裂冲击试验机作为检测设备，如果不对其进行溯源，将无法保证试验机量值的准确性，从而影响材料测试性能结果的准确性、可靠性，进而影响到产品质量，会造成误判，存在合格产品判废、不合格产品成为合格产品的潜在风险，影响到产品质量的稳定可靠性，严重制约我国战略性新兴产业和原材料工业发展；不合格产品存在造成重大质量事故的风险，有可能会造成巨大的经济损失。</w:t>
      </w:r>
    </w:p>
    <w:p>
      <w:r>
        <w:t>目前国内无摆锤动态撕裂冲击试验机校准规范，查阅资料亦未见摆锤动态撕裂冲击试验机校准方面的研究。这就造成目前摆锤动态撕裂冲击试验机的一部分技术指标需要参考JJG 145-2007摆锤式冲击试验机检定规程进行溯源，由于JJG 145-2007在测量范围、结构、设计参数、计量性能要求、校准项目、校准方法、计量标准器及配套设备与摆锤动态撕裂冲击试验机存在差异，因此另外一部分技术指标需要通过内部自校进行溯源。因此，需要对摆锤动态撕裂冲击试验机校准方法进行研究，建立国家统一的校准规范，从计量基准基础保证材料及制品测试结果的准确性，进而保障产品质量的稳定性。</w:t>
      </w:r>
    </w:p>
    <w:p>
      <w:r>
        <w:t>据不完全统计，摆锤动态撕裂冲击试验机已经在深海舰艇、航空航天、高速铁路、装备制造等领域广泛应用，总量约在万台以上，因此更有必要加强计量管理和进一步规范摆锤动态撕裂冲击试验机的校准工作程序，制定摆锤动态撕裂冲击试验机国家校准规范势在必行。该规范的制定能够合理有效地完善我国在摆锤动态撕裂冲击试验机校准工作方面的不足，对具体校准方法和技术指标进行细化和补充，为保证我国动态撕裂冲击试验机的量值准确可靠奠定了技术基础。</w:t>
      </w:r>
    </w:p>
    <w:p>
      <w:pPr>
        <w:pStyle w:val="13"/>
        <w:numPr>
          <w:ilvl w:val="0"/>
          <w:numId w:val="0"/>
        </w:numPr>
        <w:spacing w:before="156" w:after="156" w:line="300" w:lineRule="auto"/>
        <w:contextualSpacing/>
      </w:pPr>
      <w:r>
        <w:rPr>
          <w:rFonts w:hint="eastAsia"/>
        </w:rPr>
        <w:t>2任务来源</w:t>
      </w:r>
      <w:bookmarkEnd w:id="3"/>
    </w:p>
    <w:p>
      <w:r>
        <w:t>为保证我国</w:t>
      </w:r>
      <w:r>
        <w:rPr>
          <w:szCs w:val="24"/>
        </w:rPr>
        <w:t>摆锤动态撕裂冲击试验机</w:t>
      </w:r>
      <w:r>
        <w:t>的量值准确、可靠，适应我国有色金属行业的快速发展和满足国内外市场的需要，工业和信息化部以工信厅下达了《工业和信息化部办公厅关于印发2023年行业计量技术规范制修订计划的通知》</w:t>
      </w:r>
      <w:r>
        <w:rPr>
          <w:bCs/>
        </w:rPr>
        <w:t>（工信厅科函［2023］476号）</w:t>
      </w:r>
      <w:r>
        <w:t>，其计划项目代号为：JJFZ（有色金属）012-2023，按计划要求，本校准规范应于2025年完成。</w:t>
      </w:r>
      <w:r>
        <w:rPr>
          <w:rFonts w:eastAsiaTheme="minorEastAsia"/>
          <w:sz w:val="24"/>
        </w:rPr>
        <w:t xml:space="preserve"> </w:t>
      </w:r>
    </w:p>
    <w:p>
      <w:pPr>
        <w:pStyle w:val="12"/>
        <w:rPr>
          <w:rFonts w:hint="eastAsia"/>
        </w:rPr>
      </w:pPr>
    </w:p>
    <w:p>
      <w:pPr>
        <w:pStyle w:val="12"/>
      </w:pPr>
      <w:r>
        <w:t>3承担单位情况</w:t>
      </w:r>
    </w:p>
    <w:p>
      <w:pPr>
        <w:pStyle w:val="10"/>
        <w:rPr>
          <w:b w:val="0"/>
          <w:bCs w:val="0"/>
        </w:rPr>
      </w:pPr>
      <w:r>
        <w:rPr>
          <w:b w:val="0"/>
          <w:bCs w:val="0"/>
        </w:rPr>
        <w:t>3.1 主编单位简介</w:t>
      </w:r>
    </w:p>
    <w:p>
      <w: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
        <w:t>近10年起草有色金属国家/行业规范共80余项、发表论文120余篇、授权专利30余项。先后荣获中国有色金属工业一等奖、二等奖20余次。</w:t>
      </w:r>
    </w:p>
    <w:p>
      <w:r>
        <w:t>本单位积极组织编制组各次工作会议，开展相关的校准，有效组织参编单位多次对规范的各版《征求意见稿》进行认真的讨论和审议，提出大量有益的意见和建议，在编制组中发挥了牵头作用。</w:t>
      </w:r>
    </w:p>
    <w:p>
      <w:pPr>
        <w:pStyle w:val="10"/>
        <w:keepNext w:val="0"/>
        <w:keepLines w:val="0"/>
        <w:pageBreakBefore w:val="0"/>
        <w:widowControl/>
        <w:kinsoku/>
        <w:wordWrap/>
        <w:overflowPunct/>
        <w:topLinePunct w:val="0"/>
        <w:autoSpaceDE w:val="0"/>
        <w:autoSpaceDN w:val="0"/>
        <w:bidi w:val="0"/>
        <w:adjustRightInd w:val="0"/>
        <w:snapToGrid w:val="0"/>
        <w:spacing w:line="360" w:lineRule="auto"/>
        <w:textAlignment w:val="auto"/>
      </w:pPr>
      <w:bookmarkStart w:id="4" w:name="_Toc462884357"/>
      <w:bookmarkStart w:id="5" w:name="_Toc464728913"/>
      <w:r>
        <w:t>3.2 成员单位简介</w:t>
      </w:r>
    </w:p>
    <w:p>
      <w:pPr>
        <w:pStyle w:val="10"/>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lang w:val="en-US" w:eastAsia="zh-CN"/>
        </w:rPr>
      </w:pPr>
      <w:r>
        <w:t>3.2</w:t>
      </w:r>
      <w:r>
        <w:rPr>
          <w:rFonts w:hint="eastAsia"/>
          <w:lang w:val="en-US" w:eastAsia="zh-CN"/>
        </w:rPr>
        <w:t xml:space="preserve">.1 </w:t>
      </w:r>
      <w:r>
        <w:t>中国石油集团工程材料研究院有限公司</w:t>
      </w:r>
    </w:p>
    <w:p>
      <w:pPr>
        <w:pStyle w:val="5"/>
        <w:widowControl/>
        <w:shd w:val="clear" w:color="auto" w:fill="FFFFFF"/>
        <w:spacing w:beforeAutospacing="0" w:after="100" w:afterAutospacing="0" w:line="300" w:lineRule="auto"/>
        <w:ind w:firstLine="420" w:firstLineChars="200"/>
        <w:jc w:val="both"/>
        <w:rPr>
          <w:rFonts w:ascii="Times New Roman" w:hAnsi="Times New Roman"/>
          <w:color w:val="333333"/>
          <w:sz w:val="21"/>
          <w:szCs w:val="21"/>
        </w:rPr>
      </w:pPr>
      <w:r>
        <w:rPr>
          <w:rFonts w:ascii="Times New Roman" w:hAnsi="Times New Roman"/>
          <w:color w:val="333333"/>
          <w:sz w:val="21"/>
          <w:szCs w:val="21"/>
          <w:shd w:val="clear" w:color="auto" w:fill="FFFFFF"/>
        </w:rPr>
        <w:t>中国石油集团工程材料研究院有限公司是中国石油天然气集团有限公司的直属研究院，院本部坐落于古城西安高新技术产业开发区，是我国在石油管及装备材料领域唯一从事科学研究、质量标准、成果转化“三位一体”的权威科研机构，也是石油石化行业（涵盖油气开发、管道储运、炼油化工、工程技术、装备制造、工程建设、新能源等领域）唯一从事工程材料的科技创新中心。工程材料研究院以建设世界一流研究院为目标，致力于打造科技创新、质量标准、成果转化“三个平台”，构建成果、技术、创效、人才“四大高地”，努力建设精干高效、独具特色的高质量科技创新体系，矢志成为国际石油管及装备材料技术引领者和先进工程材料原创技术策源地。</w:t>
      </w:r>
    </w:p>
    <w:p>
      <w:pPr>
        <w:pStyle w:val="5"/>
        <w:widowControl/>
        <w:shd w:val="clear" w:color="auto" w:fill="FFFFFF"/>
        <w:spacing w:beforeAutospacing="0" w:after="100" w:afterAutospacing="0" w:line="300" w:lineRule="auto"/>
        <w:ind w:firstLine="420" w:firstLineChars="200"/>
        <w:jc w:val="both"/>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在为国家和石油行业做出重要成绩的同时，工程材料研究院也得到了长足发展，在资质、装备、人才、技术等方面具有独特优势，成为国内一流、国际知名的研究院。获得全国重点实验室和国家市场监管重点实验室、国家质检中心、国际标准化机构SC2副主席单位和国行标秘书处等43项重要机构、资质和授权；建立了金属和非金属、微观分析和全尺寸模拟的国际先进水平的试验研究装备体系。同时，构建和完善石油管材标准体系，包括国家、行业、企业和团体标准，成为ISO/TC67/SC2副主席单位和SC5中方技术归口单位，制修订一批国际标准，增强了在ISO等国际标准组织的话语权。</w:t>
      </w:r>
    </w:p>
    <w:p>
      <w:pPr>
        <w:spacing w:line="360" w:lineRule="auto"/>
        <w:ind w:left="0" w:leftChars="0" w:firstLine="420" w:firstLineChars="200"/>
        <w:contextualSpacing/>
        <w:jc w:val="left"/>
        <w:rPr>
          <w:rFonts w:hint="eastAsia"/>
          <w:szCs w:val="21"/>
        </w:rPr>
      </w:pPr>
      <w:r>
        <w:rPr>
          <w:rFonts w:hint="eastAsia"/>
          <w:szCs w:val="21"/>
        </w:rPr>
        <w:t>该单位积极参加编制工作，开展相关的</w:t>
      </w:r>
      <w:r>
        <w:rPr>
          <w:rFonts w:hint="eastAsia"/>
          <w:szCs w:val="21"/>
          <w:lang w:val="en-US" w:eastAsia="zh-CN"/>
        </w:rPr>
        <w:t>资料收集工作</w:t>
      </w:r>
      <w:r>
        <w:rPr>
          <w:rFonts w:hint="eastAsia"/>
          <w:szCs w:val="21"/>
        </w:rPr>
        <w:t>，提供</w:t>
      </w:r>
      <w:r>
        <w:rPr>
          <w:rFonts w:hint="eastAsia"/>
          <w:szCs w:val="21"/>
          <w:lang w:val="en-US" w:eastAsia="zh-CN"/>
        </w:rPr>
        <w:t>宝贵</w:t>
      </w:r>
      <w:r>
        <w:rPr>
          <w:rFonts w:hint="eastAsia"/>
          <w:szCs w:val="21"/>
        </w:rPr>
        <w:t>意见。</w:t>
      </w:r>
    </w:p>
    <w:p>
      <w:pPr>
        <w:pStyle w:val="10"/>
        <w:keepNext w:val="0"/>
        <w:keepLines w:val="0"/>
        <w:pageBreakBefore w:val="0"/>
        <w:widowControl/>
        <w:kinsoku/>
        <w:wordWrap/>
        <w:overflowPunct/>
        <w:topLinePunct w:val="0"/>
        <w:autoSpaceDE w:val="0"/>
        <w:autoSpaceDN w:val="0"/>
        <w:bidi w:val="0"/>
        <w:adjustRightInd w:val="0"/>
        <w:snapToGrid w:val="0"/>
        <w:spacing w:line="360" w:lineRule="auto"/>
        <w:textAlignment w:val="auto"/>
      </w:pPr>
    </w:p>
    <w:p>
      <w:pPr>
        <w:pStyle w:val="10"/>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ascii="Times New Roman" w:hAnsi="Times New Roman"/>
          <w:color w:val="333333"/>
          <w:sz w:val="21"/>
          <w:szCs w:val="21"/>
          <w:shd w:val="clear" w:color="auto" w:fill="FFFFFF"/>
        </w:rPr>
      </w:pPr>
      <w:r>
        <w:t>3.2</w:t>
      </w:r>
      <w:r>
        <w:rPr>
          <w:rFonts w:hint="eastAsia"/>
          <w:lang w:val="en-US" w:eastAsia="zh-CN"/>
        </w:rPr>
        <w:t xml:space="preserve">.2 </w:t>
      </w:r>
      <w:r>
        <w:rPr>
          <w:rFonts w:ascii="Times New Roman" w:hAnsi="Times New Roman"/>
          <w:color w:val="333333"/>
          <w:sz w:val="21"/>
          <w:szCs w:val="21"/>
          <w:shd w:val="clear" w:color="auto" w:fill="FFFFFF"/>
        </w:rPr>
        <w:t>西安建筑科技大学</w:t>
      </w:r>
    </w:p>
    <w:p>
      <w:pPr>
        <w:pStyle w:val="5"/>
        <w:widowControl/>
        <w:shd w:val="clear" w:color="auto" w:fill="FFFFFF"/>
        <w:spacing w:beforeAutospacing="0" w:after="100" w:afterAutospacing="0" w:line="300" w:lineRule="auto"/>
        <w:ind w:firstLine="420" w:firstLineChars="200"/>
        <w:jc w:val="both"/>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西安建筑科技大学坐落于历史文化名城西安，现有雁塔、草堂两个校区和一个大学科技园区。学校办学历史悠久、底蕴深厚，最早可追溯到始建于1895年的天津北洋西学学堂，1956年全国高等院校院系调整时，由原东北工学院、西北工学院、青岛工学院和苏南工业专科学校的土木、建筑、市政系（科）整建制合并而成，积淀了我国近代高等教育史上最早的一批土木、建筑、环境类系（科），时名“西安建筑工程学院”，是新中国西北地区第一所本科学制的建筑类高等学府，我国著名的土木、建筑“老八校”之一，原冶金工业部直属重点大学。1959年和1963年，学校先后易名为“西安冶金学院”“西安冶金建筑学院”；1994年3月8日，经原国家教委批准，更名为“西安建筑科技大学”。1998年，学校划转陕西省人民政府管理。现为“国家建设高水平大学项目”和“中西部高校基础能力建设工程”实施院校、陕西省、教育部与住房和城乡建设部共建高校。</w:t>
      </w:r>
    </w:p>
    <w:p>
      <w:pPr>
        <w:pStyle w:val="5"/>
        <w:widowControl/>
        <w:shd w:val="clear" w:color="auto" w:fill="FFFFFF"/>
        <w:spacing w:beforeAutospacing="0" w:after="100" w:afterAutospacing="0" w:line="300" w:lineRule="auto"/>
        <w:ind w:firstLine="420" w:firstLineChars="200"/>
        <w:jc w:val="both"/>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2010年以来，学校先后荣获国家技术发明二等奖2项，国家科技进步二等奖9项。累计获国家教学成果奖10项，国家优秀教材奖3项，“何梁何利基金科学与技术进步奖”1项，入选“中国高等学校十大科技进展”1项，科学探索奖1项，获首届全国创新争先奖状。在国家重大教育教学改革中，学校先后入选国家“卓越工程师教育培养计划”实施学校、“研究生专业学位教育综合改革试点单位”和“国家高水平大学公派研究生项目平台和优秀本科生国际交流项目实施院校”；入选“全国深化创新创业教育改革示范高校”、“工程硕士教育创新院校”和首批“国家级创新创业学院建设单位”；入选教育部首届“全国毕业生就业典型经验高校”，入选教育部“全国国防教育特色学校”。学校学生在竞赛活动中屡创佳绩，在第八届中国国际“互联网+”大学生创新创业大赛中获金奖1项；在第十七届“挑战杯”全国大学生课外学术科技作品竞赛中获特等奖1项，摘得全国“优胜杯”；在第十二届“挑战杯”中国大学生创业计划竞赛中获金奖3项，摘得全国“优胜杯”；在第六届全国大学生艺术展演中获一等奖3项；在第27届国际建协UIA大学生建筑设计竞赛中获全球最高奖；此外在全国大学生数学建模竞赛、大学生英语竞赛、大学生结构设计竞赛、大学生先进成图、电子商务“创新、创意及创业”挑战赛、高校BIM毕业设计创新大赛、高校数字艺术设计大赛、金相技能大赛、三维数字化大赛等多项竞赛中屡获最高奖项。</w:t>
      </w:r>
    </w:p>
    <w:p>
      <w:pPr>
        <w:spacing w:line="360" w:lineRule="auto"/>
        <w:ind w:left="0" w:leftChars="0" w:firstLine="420" w:firstLineChars="200"/>
        <w:contextualSpacing/>
        <w:jc w:val="left"/>
        <w:rPr>
          <w:rFonts w:hint="eastAsia"/>
          <w:szCs w:val="21"/>
        </w:rPr>
      </w:pPr>
      <w:r>
        <w:rPr>
          <w:rFonts w:hint="eastAsia"/>
          <w:szCs w:val="21"/>
        </w:rPr>
        <w:t>该单位积极参加编制工作，开展相关的</w:t>
      </w:r>
      <w:r>
        <w:rPr>
          <w:rFonts w:hint="eastAsia"/>
          <w:szCs w:val="21"/>
          <w:lang w:val="en-US" w:eastAsia="zh-CN"/>
        </w:rPr>
        <w:t>资料收集工作</w:t>
      </w:r>
      <w:r>
        <w:rPr>
          <w:rFonts w:hint="eastAsia"/>
          <w:szCs w:val="21"/>
        </w:rPr>
        <w:t>，提供</w:t>
      </w:r>
      <w:r>
        <w:rPr>
          <w:rFonts w:hint="eastAsia"/>
          <w:szCs w:val="21"/>
          <w:lang w:val="en-US" w:eastAsia="zh-CN"/>
        </w:rPr>
        <w:t>宝贵</w:t>
      </w:r>
      <w:r>
        <w:rPr>
          <w:rFonts w:hint="eastAsia"/>
          <w:szCs w:val="21"/>
        </w:rPr>
        <w:t>意见。</w:t>
      </w:r>
    </w:p>
    <w:p>
      <w:pPr>
        <w:pStyle w:val="10"/>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szCs w:val="21"/>
        </w:rPr>
      </w:pPr>
      <w:r>
        <w:t>3.2</w:t>
      </w:r>
      <w:r>
        <w:rPr>
          <w:rFonts w:hint="eastAsia"/>
          <w:lang w:val="en-US" w:eastAsia="zh-CN"/>
        </w:rPr>
        <w:t xml:space="preserve">.3 </w:t>
      </w:r>
      <w:r>
        <w:rPr>
          <w:rFonts w:ascii="Times New Roman" w:hAnsi="Times New Roman"/>
          <w:color w:val="333333"/>
          <w:sz w:val="21"/>
          <w:szCs w:val="21"/>
          <w:shd w:val="clear" w:color="auto" w:fill="FFFFFF"/>
        </w:rPr>
        <w:t>湖南湘投金天钛业科技股份有限公司</w:t>
      </w:r>
    </w:p>
    <w:p>
      <w:pPr>
        <w:pStyle w:val="5"/>
        <w:widowControl/>
        <w:shd w:val="clear" w:color="auto" w:fill="FFFFFF"/>
        <w:spacing w:beforeAutospacing="0" w:after="100" w:afterAutospacing="0" w:line="300" w:lineRule="auto"/>
        <w:ind w:firstLine="420" w:firstLineChars="200"/>
        <w:jc w:val="both"/>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湖南湘投金天钛业科技股份有限公司控股股东为湖南湘投控股集团全资子公司湖南湘投金天科技集团有限责任公司，是一家从事钛及钛合金材料及零部件研发、生产、销售为一体的高新技术企业，公司注册资本3.7亿元人民币，位于常德经济技术开发区，占地450亩，是湖南省高端装备特种钛合金工程技术研究中心、企业技术中心、湖南省工业品牌培育示范企业、博士后科研工作站等授牌单位。</w:t>
      </w:r>
    </w:p>
    <w:p>
      <w:pPr>
        <w:pStyle w:val="5"/>
        <w:widowControl/>
        <w:shd w:val="clear" w:color="auto" w:fill="FFFFFF"/>
        <w:spacing w:beforeAutospacing="0" w:after="100" w:afterAutospacing="0" w:line="300" w:lineRule="auto"/>
        <w:ind w:firstLine="420" w:firstLineChars="200"/>
        <w:jc w:val="both"/>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公司始终以“瞄准国家战略目标，打造高端装备钛合金材料先进制造平台与人才集聚创新高地”为发展方向，按照“高起点、专业化、高端化”的发展思路，本着“以人才为根本、客户需求为导向、创新驱动为动能、产品质量为生命”经营理念，拥有国际先进的钛合金材料生产线与检测实验室，以及国内两用市场准入资质、AS9100认证、Nadcap认证、CNAS认证等资格认证，通过开展产学研用合作与积极培育自主创新体系建设，研制生产20余种牌号钛及钛合金棒材、锻坯、零部件，授权国家发明权利30项，参与制定国家与行业标准17项，产品广泛应用于航空航天、海洋舰船、车辆、医疗器械等领域，是中国高端装备钛合金材料与零部件主要供应商之一。</w:t>
      </w:r>
    </w:p>
    <w:p>
      <w:pPr>
        <w:pStyle w:val="5"/>
        <w:widowControl/>
        <w:shd w:val="clear" w:color="auto" w:fill="FFFFFF"/>
        <w:spacing w:beforeAutospacing="0" w:after="100" w:afterAutospacing="0" w:line="300" w:lineRule="auto"/>
        <w:ind w:firstLine="420" w:firstLineChars="200"/>
        <w:jc w:val="both"/>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公司聚焦战略性、创新性高端钛合金产品的研制，建有“国家级博士后科研工作站”、“湖南省企业技术中心”、“湖南省高端装备特种钛合金工程技术研究中心”。公司已形成较完整的研发体系及研发队伍，拥有一支60人的专业化创新研发团队开展技术研发工作，保障公司技术和产品布局适应行业技术发展趋势。截至目前，公司已获得56项专利，其中发明专利31项。同时，公司参与制定了14项国家标准和3项行业标准，并先后获得了湖南省国防科学技术进步二等奖（2014年）、湖南省科学技术进步一等奖（2020年）和中国有色金属工业科学技术奖一等奖（2020年）等荣誉。</w:t>
      </w:r>
    </w:p>
    <w:p>
      <w:pPr>
        <w:spacing w:line="360" w:lineRule="auto"/>
        <w:ind w:left="0" w:leftChars="0" w:firstLine="420" w:firstLineChars="200"/>
        <w:contextualSpacing/>
        <w:jc w:val="left"/>
        <w:rPr>
          <w:rFonts w:hint="eastAsia" w:ascii="Times New Roman" w:hAnsi="Times New Roman" w:cs="Times New Roman" w:eastAsiaTheme="minorEastAsia"/>
          <w:color w:val="333333"/>
          <w:kern w:val="0"/>
          <w:sz w:val="21"/>
          <w:szCs w:val="21"/>
          <w:shd w:val="clear" w:color="auto" w:fill="FFFFFF"/>
          <w:lang w:val="en-US" w:eastAsia="zh-CN" w:bidi="ar-SA"/>
        </w:rPr>
      </w:pPr>
      <w:r>
        <w:rPr>
          <w:rFonts w:hint="eastAsia" w:ascii="Times New Roman" w:hAnsi="Times New Roman" w:cs="Times New Roman" w:eastAsiaTheme="minorEastAsia"/>
          <w:color w:val="333333"/>
          <w:kern w:val="0"/>
          <w:sz w:val="21"/>
          <w:szCs w:val="21"/>
          <w:shd w:val="clear" w:color="auto" w:fill="FFFFFF"/>
          <w:lang w:val="en-US" w:eastAsia="zh-CN" w:bidi="ar-SA"/>
        </w:rPr>
        <w:t>该单位积极参加编制工作，开展相关的资料收集工作，提供宝贵意见。</w:t>
      </w:r>
    </w:p>
    <w:p>
      <w:pPr>
        <w:pStyle w:val="13"/>
        <w:numPr>
          <w:ilvl w:val="0"/>
          <w:numId w:val="0"/>
        </w:numPr>
        <w:spacing w:before="156" w:after="156" w:line="300" w:lineRule="auto"/>
        <w:contextualSpacing/>
      </w:pPr>
      <w:r>
        <w:rPr>
          <w:rFonts w:hint="eastAsia"/>
        </w:rPr>
        <w:t>4主要工作过程</w:t>
      </w:r>
      <w:bookmarkEnd w:id="4"/>
      <w:bookmarkEnd w:id="5"/>
    </w:p>
    <w:p>
      <w:bookmarkStart w:id="6" w:name="_Toc464728924"/>
      <w:r>
        <w:rPr>
          <w:rFonts w:hint="eastAsia"/>
        </w:rPr>
        <w:t>西安汉唐分析检测有限公司接到有色金属行业计量技术委员会转发下达的制定任务后，成立了计量规范编制组，参编单位有</w:t>
      </w:r>
      <w:r>
        <w:rPr>
          <w:rFonts w:eastAsiaTheme="minorEastAsia"/>
          <w:color w:val="333333"/>
          <w:shd w:val="clear" w:color="auto" w:fill="FFFFFF"/>
        </w:rPr>
        <w:t>中国石油集团工程材料研究院有限公司、西安建筑科技大学、湖南湘投金天钛业科技股份有限公司等。编制组</w:t>
      </w:r>
      <w:r>
        <w:rPr>
          <w:rFonts w:hint="eastAsia"/>
        </w:rPr>
        <w:t>对计量技术规范编写工作进行了部署和分工，制定了制定原则及计划工作。本项目主要工作过程经过了以下几个阶段：</w:t>
      </w:r>
    </w:p>
    <w:p>
      <w:r>
        <w:t>1）202</w:t>
      </w:r>
      <w:r>
        <w:rPr>
          <w:rFonts w:hint="eastAsia"/>
        </w:rPr>
        <w:t>3</w:t>
      </w:r>
      <w:r>
        <w:t>年</w:t>
      </w:r>
      <w:r>
        <w:rPr>
          <w:rFonts w:hint="eastAsia"/>
        </w:rPr>
        <w:t>12</w:t>
      </w:r>
      <w:r>
        <w:t>月成立了计量规范编制组，明确编制组成员各自的工作内容及任务，对被校对象的使用单位进行了校准需求调研，收集相关资料。</w:t>
      </w:r>
    </w:p>
    <w:p>
      <w:r>
        <w:t>2）2024年</w:t>
      </w:r>
      <w:r>
        <w:rPr>
          <w:rFonts w:hint="eastAsia"/>
        </w:rPr>
        <w:t>1</w:t>
      </w:r>
      <w:r>
        <w:t>月~202</w:t>
      </w:r>
      <w:r>
        <w:rPr>
          <w:rFonts w:hint="eastAsia"/>
        </w:rPr>
        <w:t>4</w:t>
      </w:r>
      <w:r>
        <w:t>年</w:t>
      </w:r>
      <w:r>
        <w:rPr>
          <w:rFonts w:hint="eastAsia"/>
        </w:rPr>
        <w:t>6</w:t>
      </w:r>
      <w:r>
        <w:t>月编制组成员对校准规范中的计量特性及校准方法进行了讨论，确定了校准项目及方法，在202</w:t>
      </w:r>
      <w:r>
        <w:rPr>
          <w:rFonts w:hint="eastAsia"/>
        </w:rPr>
        <w:t>4</w:t>
      </w:r>
      <w:r>
        <w:t>年</w:t>
      </w:r>
      <w:r>
        <w:rPr>
          <w:rFonts w:hint="eastAsia"/>
        </w:rPr>
        <w:t>6</w:t>
      </w:r>
      <w:r>
        <w:t>月形成了校准规范讨论稿。</w:t>
      </w:r>
    </w:p>
    <w:p>
      <w:pPr>
        <w:pStyle w:val="19"/>
        <w:tabs>
          <w:tab w:val="left" w:pos="426"/>
        </w:tabs>
        <w:spacing w:before="312" w:beforeLines="100" w:after="312" w:afterLines="100"/>
        <w:jc w:val="left"/>
      </w:pPr>
      <w:r>
        <w:rPr>
          <w:rFonts w:hint="eastAsia"/>
        </w:rPr>
        <w:t>二、编制原则和</w:t>
      </w:r>
      <w:bookmarkEnd w:id="6"/>
      <w:r>
        <w:rPr>
          <w:rFonts w:hint="eastAsia"/>
        </w:rPr>
        <w:t>依据</w:t>
      </w:r>
    </w:p>
    <w:p>
      <w:pPr>
        <w:pStyle w:val="20"/>
        <w:numPr>
          <w:ilvl w:val="0"/>
          <w:numId w:val="0"/>
        </w:numPr>
        <w:wordWrap/>
        <w:spacing w:beforeLines="0" w:after="156" w:line="360" w:lineRule="auto"/>
      </w:pPr>
      <w:bookmarkStart w:id="7" w:name="_Toc464728925"/>
      <w:r>
        <w:rPr>
          <w:rFonts w:hint="eastAsia"/>
        </w:rPr>
        <w:t>1规范编制原则</w:t>
      </w:r>
      <w:bookmarkEnd w:id="7"/>
    </w:p>
    <w:p>
      <w:bookmarkStart w:id="8" w:name="_Toc464728926"/>
      <w:r>
        <w:rPr>
          <w:rFonts w:hint="eastAsia"/>
        </w:rPr>
        <w:t>1）本规范是以</w:t>
      </w:r>
      <w:r>
        <w:t>JJF 1071-2010</w:t>
      </w:r>
      <w:r>
        <w:rPr>
          <w:rFonts w:hint="eastAsia"/>
        </w:rPr>
        <w:t>《国家计量校准规范编写规则》、JJF 1001-2011《通用计量术语及定义》和JJF 1059.1-2012《测量不确定度评定与表示》为基础性系列规范进行编写。</w:t>
      </w:r>
    </w:p>
    <w:p>
      <w:pPr>
        <w:rPr>
          <w:rFonts w:hint="eastAsia"/>
        </w:rPr>
      </w:pPr>
      <w:r>
        <w:rPr>
          <w:rFonts w:hint="eastAsia"/>
        </w:rPr>
        <w:t xml:space="preserve">2）先进性：本规范对摆锤动态撕裂冲击试验机的结构进行分析研究，提出了摆锤动态撕裂冲击试验机的关键计量特性，同时，规范基于GB/T </w:t>
      </w:r>
      <w:r>
        <w:rPr>
          <w:rFonts w:hint="eastAsia"/>
          <w:lang w:val="en-US" w:eastAsia="zh-CN"/>
        </w:rPr>
        <w:t>5482金属材料动态撕裂试验方法</w:t>
      </w:r>
      <w:r>
        <w:rPr>
          <w:rFonts w:hint="eastAsia"/>
        </w:rPr>
        <w:t>和</w:t>
      </w:r>
      <w:r>
        <w:rPr>
          <w:rFonts w:hint="eastAsia"/>
          <w:lang w:val="en-US" w:eastAsia="zh-CN"/>
        </w:rPr>
        <w:t>T</w:t>
      </w:r>
      <w:r>
        <w:rPr>
          <w:rFonts w:hint="eastAsia"/>
        </w:rPr>
        <w:t xml:space="preserve">B/T </w:t>
      </w:r>
      <w:r>
        <w:rPr>
          <w:rFonts w:hint="eastAsia"/>
          <w:lang w:val="en-US" w:eastAsia="zh-CN"/>
        </w:rPr>
        <w:t>2985金属材料的动态撕裂试验方法</w:t>
      </w:r>
      <w:r>
        <w:rPr>
          <w:rFonts w:hint="eastAsia"/>
        </w:rPr>
        <w:t>等相关内容，对相应计量标准做出要求，解决了目前摆锤动态撕裂冲击试验机无校准规范的问题。</w:t>
      </w:r>
    </w:p>
    <w:p>
      <w:pPr>
        <w:rPr>
          <w:rFonts w:hint="eastAsia"/>
        </w:rPr>
      </w:pPr>
      <w:r>
        <w:rPr>
          <w:rFonts w:hint="eastAsia"/>
        </w:rPr>
        <w:t>3）创新性：本规范对摆锤动态撕裂冲击试验机的</w:t>
      </w:r>
      <w:r>
        <w:rPr>
          <w:rFonts w:hint="eastAsia"/>
          <w:lang w:val="en-US" w:eastAsia="zh-CN"/>
        </w:rPr>
        <w:t>摆锤两个侧面与支座之间的间隙、动态撕裂功值的误差、支座圆弧半径</w:t>
      </w:r>
      <w:r>
        <w:rPr>
          <w:rFonts w:hint="eastAsia"/>
        </w:rPr>
        <w:t>进行了明确的要求，提高了摆锤动态撕裂冲击试验机的计量准确性。</w:t>
      </w:r>
      <w:bookmarkEnd w:id="8"/>
      <w:bookmarkStart w:id="9" w:name="_Toc193860027"/>
      <w:bookmarkStart w:id="10" w:name="_Toc23837_WPSOffice_Level1"/>
      <w:bookmarkStart w:id="11" w:name="_Toc193860177"/>
      <w:bookmarkStart w:id="12" w:name="_Toc500258929"/>
      <w:bookmarkStart w:id="13" w:name="_Toc193860208"/>
      <w:bookmarkStart w:id="14" w:name="_Toc464728964"/>
    </w:p>
    <w:p>
      <w:pPr>
        <w:pStyle w:val="20"/>
        <w:numPr>
          <w:ilvl w:val="0"/>
          <w:numId w:val="0"/>
        </w:numPr>
        <w:wordWrap/>
        <w:spacing w:beforeLines="0" w:after="156" w:line="360" w:lineRule="auto"/>
      </w:pPr>
      <w:r>
        <w:rPr>
          <w:rFonts w:hint="eastAsia"/>
        </w:rPr>
        <w:t>2制定规范主要内容的论据</w:t>
      </w:r>
    </w:p>
    <w:p>
      <w:pPr>
        <w:pStyle w:val="13"/>
        <w:numPr>
          <w:ilvl w:val="0"/>
          <w:numId w:val="0"/>
        </w:numPr>
        <w:spacing w:beforeLines="0" w:afterLines="0" w:line="360" w:lineRule="auto"/>
        <w:rPr>
          <w:rFonts w:ascii="Times New Roman"/>
          <w:szCs w:val="21"/>
        </w:rPr>
      </w:pPr>
      <w:r>
        <w:rPr>
          <w:rFonts w:hint="eastAsia" w:ascii="Times New Roman"/>
          <w:szCs w:val="21"/>
        </w:rPr>
        <w:t>2.1 范围</w:t>
      </w:r>
      <w:bookmarkEnd w:id="9"/>
      <w:bookmarkEnd w:id="10"/>
      <w:bookmarkEnd w:id="11"/>
      <w:bookmarkEnd w:id="12"/>
      <w:bookmarkEnd w:id="13"/>
    </w:p>
    <w:p>
      <w:pPr>
        <w:rPr>
          <w:rFonts w:hint="eastAsia"/>
        </w:rPr>
      </w:pPr>
      <w:bookmarkStart w:id="15" w:name="_Toc193860209"/>
      <w:bookmarkStart w:id="16" w:name="_Toc193860178"/>
      <w:bookmarkStart w:id="17" w:name="_Toc193860028"/>
      <w:bookmarkStart w:id="18" w:name="_Toc500258930"/>
      <w:bookmarkStart w:id="19" w:name="_Toc7848_WPSOffice_Level1"/>
      <w:r>
        <w:rPr>
          <w:rFonts w:hint="eastAsia"/>
        </w:rPr>
        <w:t>本规范适用于</w:t>
      </w:r>
      <w:r>
        <w:rPr>
          <w:rFonts w:hint="eastAsia"/>
          <w:lang w:val="en-US" w:eastAsia="zh-CN"/>
        </w:rPr>
        <w:t>摆锤动态撕裂冲击试验机</w:t>
      </w:r>
      <w:r>
        <w:rPr>
          <w:rFonts w:hint="eastAsia"/>
        </w:rPr>
        <w:t>（以下简称</w:t>
      </w:r>
      <w:r>
        <w:rPr>
          <w:rFonts w:hint="eastAsia"/>
          <w:lang w:val="en-US" w:eastAsia="zh-CN"/>
        </w:rPr>
        <w:t>冲击试验机</w:t>
      </w:r>
      <w:r>
        <w:rPr>
          <w:rFonts w:hint="eastAsia"/>
        </w:rPr>
        <w:t>）的校准。</w:t>
      </w:r>
    </w:p>
    <w:p>
      <w:pPr>
        <w:pStyle w:val="13"/>
        <w:numPr>
          <w:ilvl w:val="0"/>
          <w:numId w:val="0"/>
        </w:numPr>
        <w:spacing w:beforeLines="0" w:afterLines="0" w:line="360" w:lineRule="auto"/>
        <w:rPr>
          <w:rFonts w:ascii="Times New Roman"/>
          <w:szCs w:val="21"/>
        </w:rPr>
      </w:pPr>
      <w:r>
        <w:rPr>
          <w:rFonts w:ascii="Times New Roman"/>
          <w:szCs w:val="21"/>
        </w:rPr>
        <w:t>2</w:t>
      </w:r>
      <w:r>
        <w:rPr>
          <w:rFonts w:hint="eastAsia" w:ascii="Times New Roman"/>
          <w:szCs w:val="21"/>
        </w:rPr>
        <w:t>.2 引用文</w:t>
      </w:r>
      <w:bookmarkEnd w:id="15"/>
      <w:bookmarkEnd w:id="16"/>
      <w:bookmarkEnd w:id="17"/>
      <w:r>
        <w:rPr>
          <w:rFonts w:hint="eastAsia" w:ascii="Times New Roman"/>
          <w:szCs w:val="21"/>
        </w:rPr>
        <w:t>件</w:t>
      </w:r>
      <w:bookmarkEnd w:id="18"/>
      <w:bookmarkEnd w:id="19"/>
    </w:p>
    <w:p>
      <w:pPr>
        <w:rPr>
          <w:rFonts w:hint="eastAsia"/>
        </w:rPr>
      </w:pPr>
      <w:bookmarkStart w:id="20" w:name="_Toc193860030"/>
      <w:bookmarkStart w:id="21" w:name="_Toc193860211"/>
      <w:bookmarkStart w:id="22" w:name="_Toc193860180"/>
      <w:bookmarkStart w:id="23" w:name="_Toc193619097"/>
      <w:bookmarkStart w:id="24" w:name="_Toc13054_WPSOffice_Level1"/>
      <w:bookmarkStart w:id="25" w:name="_Toc500258937"/>
      <w:bookmarkStart w:id="26" w:name="_Toc193618952"/>
      <w:bookmarkStart w:id="27" w:name="_Toc193619055"/>
      <w:r>
        <w:rPr>
          <w:rFonts w:hint="eastAsia"/>
        </w:rPr>
        <w:t xml:space="preserve">GB/T </w:t>
      </w:r>
      <w:r>
        <w:rPr>
          <w:rFonts w:hint="eastAsia"/>
          <w:lang w:val="en-US" w:eastAsia="zh-CN"/>
        </w:rPr>
        <w:t>5482-2007</w:t>
      </w:r>
      <w:r>
        <w:rPr>
          <w:rFonts w:hint="eastAsia"/>
        </w:rPr>
        <w:t xml:space="preserve"> </w:t>
      </w:r>
      <w:r>
        <w:rPr>
          <w:rFonts w:hint="eastAsia"/>
          <w:lang w:val="en-US" w:eastAsia="zh-CN"/>
        </w:rPr>
        <w:t>金属材料动态撕裂试验方法</w:t>
      </w:r>
    </w:p>
    <w:p>
      <w:r>
        <w:rPr>
          <w:rFonts w:hint="eastAsia"/>
          <w:lang w:val="en-US" w:eastAsia="zh-CN"/>
        </w:rPr>
        <w:t>T</w:t>
      </w:r>
      <w:r>
        <w:rPr>
          <w:rFonts w:hint="eastAsia"/>
        </w:rPr>
        <w:t xml:space="preserve">B/T </w:t>
      </w:r>
      <w:r>
        <w:rPr>
          <w:rFonts w:hint="eastAsia"/>
          <w:lang w:val="en-US" w:eastAsia="zh-CN"/>
        </w:rPr>
        <w:t>2985-2000</w:t>
      </w:r>
      <w:r>
        <w:rPr>
          <w:rFonts w:hint="eastAsia"/>
        </w:rPr>
        <w:t xml:space="preserve"> </w:t>
      </w:r>
      <w:r>
        <w:rPr>
          <w:rFonts w:hint="eastAsia"/>
          <w:lang w:val="en-US" w:eastAsia="zh-CN"/>
        </w:rPr>
        <w:t>金属材料的动态撕裂试验方法</w:t>
      </w:r>
    </w:p>
    <w:p>
      <w:pPr>
        <w:rPr>
          <w:rFonts w:hint="default"/>
          <w:lang w:val="en-US" w:eastAsia="zh-CN"/>
        </w:rPr>
      </w:pPr>
      <w:r>
        <w:rPr>
          <w:rFonts w:hint="default"/>
          <w:lang w:val="en-US" w:eastAsia="zh-CN"/>
        </w:rPr>
        <w:t>ASTM E604-18</w:t>
      </w:r>
      <w:r>
        <w:rPr>
          <w:rFonts w:hint="eastAsia"/>
          <w:lang w:val="en-US" w:eastAsia="zh-CN"/>
        </w:rPr>
        <w:t xml:space="preserve"> 金属材料动态撕裂试验的标准试验方法(</w:t>
      </w:r>
      <w:r>
        <w:rPr>
          <w:rFonts w:hint="default"/>
          <w:lang w:val="en-US" w:eastAsia="zh-CN"/>
        </w:rPr>
        <w:t>Standard Test Method for Dynamic Tear Testing of Metallic Materials</w:t>
      </w:r>
      <w:r>
        <w:rPr>
          <w:rFonts w:hint="eastAsia"/>
          <w:lang w:val="en-US" w:eastAsia="zh-CN"/>
        </w:rPr>
        <w:t>)</w:t>
      </w:r>
    </w:p>
    <w:p>
      <w:pPr>
        <w:pStyle w:val="13"/>
        <w:numPr>
          <w:ilvl w:val="0"/>
          <w:numId w:val="0"/>
        </w:numPr>
        <w:spacing w:beforeLines="0" w:afterLines="0" w:line="360" w:lineRule="auto"/>
        <w:rPr>
          <w:rFonts w:ascii="Times New Roman"/>
          <w:szCs w:val="21"/>
        </w:rPr>
      </w:pPr>
      <w:r>
        <w:rPr>
          <w:rFonts w:hint="eastAsia" w:ascii="Times New Roman"/>
          <w:szCs w:val="21"/>
        </w:rPr>
        <w:t>2.3 概述</w:t>
      </w:r>
      <w:bookmarkEnd w:id="20"/>
      <w:bookmarkEnd w:id="21"/>
      <w:bookmarkEnd w:id="22"/>
      <w:bookmarkEnd w:id="23"/>
      <w:bookmarkEnd w:id="24"/>
      <w:bookmarkEnd w:id="25"/>
      <w:bookmarkEnd w:id="26"/>
      <w:bookmarkEnd w:id="27"/>
    </w:p>
    <w:p>
      <w:pPr>
        <w:rPr>
          <w:rFonts w:hint="eastAsia" w:ascii="Times New Roman"/>
          <w:szCs w:val="21"/>
        </w:rPr>
      </w:pPr>
      <w:bookmarkStart w:id="28" w:name="_Toc193860181"/>
      <w:bookmarkStart w:id="29" w:name="_Toc193619098"/>
      <w:bookmarkStart w:id="30" w:name="_Toc193618953"/>
      <w:bookmarkStart w:id="31" w:name="_Toc500258938"/>
      <w:bookmarkStart w:id="32" w:name="_Toc193619056"/>
      <w:bookmarkStart w:id="33" w:name="_Toc193860212"/>
      <w:bookmarkStart w:id="34" w:name="_Toc193860031"/>
      <w:bookmarkStart w:id="35" w:name="_Toc19851_WPSOffice_Level1"/>
      <w:r>
        <w:rPr>
          <w:rFonts w:hint="eastAsia"/>
        </w:rPr>
        <w:t>摆锤动态撕裂冲击试验机是金属材料动态撕裂性能测试的常用设备，一般由</w:t>
      </w:r>
      <w:r>
        <w:rPr>
          <w:rFonts w:hint="eastAsia"/>
          <w:lang w:val="en-US" w:eastAsia="zh-CN"/>
        </w:rPr>
        <w:t>基座</w:t>
      </w:r>
      <w:r>
        <w:rPr>
          <w:rFonts w:hint="eastAsia"/>
        </w:rPr>
        <w:t>、</w:t>
      </w:r>
      <w:r>
        <w:rPr>
          <w:rFonts w:hint="eastAsia"/>
          <w:lang w:val="en-US" w:eastAsia="zh-CN"/>
        </w:rPr>
        <w:t>支座</w:t>
      </w:r>
      <w:r>
        <w:rPr>
          <w:rFonts w:hint="eastAsia"/>
        </w:rPr>
        <w:t>、</w:t>
      </w:r>
      <w:r>
        <w:rPr>
          <w:rFonts w:hint="eastAsia"/>
          <w:lang w:val="en-US" w:eastAsia="zh-CN"/>
        </w:rPr>
        <w:t>摆锤</w:t>
      </w:r>
      <w:r>
        <w:rPr>
          <w:rFonts w:hint="eastAsia"/>
        </w:rPr>
        <w:t>、</w:t>
      </w:r>
      <w:r>
        <w:rPr>
          <w:rFonts w:hint="eastAsia"/>
          <w:lang w:val="en-US" w:eastAsia="zh-CN"/>
        </w:rPr>
        <w:t>显示装置等</w:t>
      </w:r>
      <w:r>
        <w:rPr>
          <w:rFonts w:hint="eastAsia"/>
        </w:rPr>
        <w:t>部分组成。</w:t>
      </w:r>
    </w:p>
    <w:p>
      <w:pPr>
        <w:pStyle w:val="13"/>
        <w:numPr>
          <w:ilvl w:val="0"/>
          <w:numId w:val="0"/>
        </w:numPr>
        <w:spacing w:before="156" w:afterLines="0" w:line="360" w:lineRule="auto"/>
        <w:rPr>
          <w:rFonts w:ascii="Times New Roman"/>
          <w:szCs w:val="21"/>
        </w:rPr>
      </w:pPr>
      <w:r>
        <w:rPr>
          <w:rFonts w:hint="eastAsia" w:ascii="Times New Roman"/>
          <w:szCs w:val="21"/>
        </w:rPr>
        <w:t>2.4 计量特性</w:t>
      </w:r>
      <w:bookmarkEnd w:id="28"/>
      <w:bookmarkEnd w:id="29"/>
      <w:bookmarkEnd w:id="30"/>
      <w:bookmarkEnd w:id="31"/>
      <w:bookmarkEnd w:id="32"/>
      <w:bookmarkEnd w:id="33"/>
      <w:bookmarkEnd w:id="34"/>
      <w:bookmarkEnd w:id="35"/>
    </w:p>
    <w:p>
      <w:pPr>
        <w:rPr>
          <w:rFonts w:hint="eastAsia"/>
        </w:rPr>
      </w:pPr>
      <w:bookmarkStart w:id="36" w:name="_Toc25829_WPSOffice_Level1"/>
      <w:r>
        <w:rPr>
          <w:rFonts w:hint="default"/>
        </w:rPr>
        <w:t>计量特性主要包试验机机架</w:t>
      </w:r>
      <w:r>
        <w:rPr>
          <w:rFonts w:hint="default"/>
          <w:lang w:eastAsia="zh-CN"/>
        </w:rPr>
        <w:t>：</w:t>
      </w:r>
      <w:r>
        <w:rPr>
          <w:rFonts w:hint="default"/>
        </w:rPr>
        <w:t>摆锤自由悬挂时，冲击刀刃与试样侧面的距离应小于5mm</w:t>
      </w:r>
      <w:r>
        <w:rPr>
          <w:rFonts w:hint="default"/>
          <w:lang w:eastAsia="zh-CN"/>
        </w:rPr>
        <w:t>；</w:t>
      </w:r>
      <w:r>
        <w:rPr>
          <w:rFonts w:hint="default"/>
        </w:rPr>
        <w:t>摆锤两个侧面与支座之间的间隙应不小于51mm</w:t>
      </w:r>
      <w:r>
        <w:rPr>
          <w:rFonts w:hint="default"/>
          <w:lang w:eastAsia="zh-CN"/>
        </w:rPr>
        <w:t>；</w:t>
      </w:r>
      <w:r>
        <w:rPr>
          <w:rFonts w:hint="default"/>
        </w:rPr>
        <w:t>冲击刀中心线的运动平面，应通过支座跨距的中点，偏差不应超过0.8mm</w:t>
      </w:r>
      <w:r>
        <w:rPr>
          <w:rFonts w:hint="default"/>
          <w:lang w:eastAsia="zh-CN"/>
        </w:rPr>
        <w:t>；</w:t>
      </w:r>
      <w:r>
        <w:rPr>
          <w:rFonts w:hint="default"/>
        </w:rPr>
        <w:t>冲击刀刃应垂直于试样的纵轴，其偏差不大于0.01rad</w:t>
      </w:r>
      <w:r>
        <w:rPr>
          <w:rFonts w:hint="default"/>
          <w:lang w:eastAsia="zh-CN"/>
        </w:rPr>
        <w:t>；</w:t>
      </w:r>
      <w:r>
        <w:rPr>
          <w:rFonts w:hint="default"/>
        </w:rPr>
        <w:t>冲击刀刃与试样侧面的平行度不得大于0.005rad</w:t>
      </w:r>
      <w:r>
        <w:rPr>
          <w:rFonts w:hint="default"/>
          <w:lang w:eastAsia="zh-CN"/>
        </w:rPr>
        <w:t>；</w:t>
      </w:r>
      <w:r>
        <w:rPr>
          <w:rFonts w:hint="default"/>
        </w:rPr>
        <w:t>摆轴轴向间隙应不超过0.75mm</w:t>
      </w:r>
      <w:r>
        <w:rPr>
          <w:rFonts w:hint="default"/>
          <w:lang w:eastAsia="zh-CN"/>
        </w:rPr>
        <w:t>；</w:t>
      </w:r>
      <w:r>
        <w:rPr>
          <w:rFonts w:hint="default"/>
        </w:rPr>
        <w:t>摆轴轴承处的径向间隙应不超过0.075mm。摆锤</w:t>
      </w:r>
      <w:r>
        <w:rPr>
          <w:rFonts w:hint="default"/>
          <w:lang w:eastAsia="zh-CN"/>
        </w:rPr>
        <w:t>：</w:t>
      </w:r>
      <w:r>
        <w:rPr>
          <w:rFonts w:hint="default"/>
        </w:rPr>
        <w:t>试验机势能因摩擦和空气阻力造成的损失不应超过原势能的2.0%</w:t>
      </w:r>
      <w:r>
        <w:rPr>
          <w:rFonts w:hint="default"/>
          <w:lang w:eastAsia="zh-CN"/>
        </w:rPr>
        <w:t>；</w:t>
      </w:r>
      <w:r>
        <w:rPr>
          <w:rFonts w:hint="default"/>
        </w:rPr>
        <w:t>试验机摆轴中心至打击中心的距离应与摆轴中心至试样中心的距离一致，允许偏差为1%</w:t>
      </w:r>
      <w:r>
        <w:rPr>
          <w:rFonts w:hint="default"/>
          <w:lang w:eastAsia="zh-CN"/>
        </w:rPr>
        <w:t>；</w:t>
      </w:r>
      <w:r>
        <w:rPr>
          <w:rFonts w:hint="default"/>
        </w:rPr>
        <w:t>摆锤的重量误差或由下落高度的误差造成的动态撕裂功值的误差应不超过1%</w:t>
      </w:r>
      <w:r>
        <w:rPr>
          <w:rFonts w:hint="default"/>
          <w:lang w:eastAsia="zh-CN"/>
        </w:rPr>
        <w:t>；</w:t>
      </w:r>
      <w:r>
        <w:rPr>
          <w:rFonts w:hint="default"/>
        </w:rPr>
        <w:t>打击瞬间摆锤的冲击速度应为4.0m/s～8.5m/s</w:t>
      </w:r>
      <w:r>
        <w:rPr>
          <w:rFonts w:hint="default"/>
          <w:lang w:eastAsia="zh-CN"/>
        </w:rPr>
        <w:t>；</w:t>
      </w:r>
      <w:r>
        <w:rPr>
          <w:rFonts w:hint="default"/>
        </w:rPr>
        <w:t>冲击刀圆弧半径12.7mm±0.8mm或38mm±0.5mm，冲击刀夹角30°±1°</w:t>
      </w:r>
      <w:r>
        <w:rPr>
          <w:rFonts w:hint="default"/>
          <w:lang w:eastAsia="zh-CN"/>
        </w:rPr>
        <w:t>。</w:t>
      </w:r>
      <w:r>
        <w:rPr>
          <w:rFonts w:hint="eastAsia"/>
        </w:rPr>
        <w:t>支座</w:t>
      </w:r>
      <w:r>
        <w:rPr>
          <w:rFonts w:hint="eastAsia"/>
          <w:lang w:eastAsia="zh-CN"/>
        </w:rPr>
        <w:t>：</w:t>
      </w:r>
      <w:r>
        <w:rPr>
          <w:rFonts w:hint="eastAsia"/>
        </w:rPr>
        <w:t>支座的垂直支撑面应垂直于水平支撑面，偏差不大于0.025rad</w:t>
      </w:r>
      <w:r>
        <w:rPr>
          <w:rFonts w:hint="eastAsia"/>
          <w:lang w:eastAsia="zh-CN"/>
        </w:rPr>
        <w:t>；</w:t>
      </w:r>
      <w:r>
        <w:rPr>
          <w:rFonts w:hint="eastAsia"/>
        </w:rPr>
        <w:t>支座的垂直支撑面、水平支撑面的左右面应在同一平面上，偏差不大于0.13mm。</w:t>
      </w:r>
    </w:p>
    <w:p>
      <w:pPr>
        <w:pStyle w:val="13"/>
        <w:numPr>
          <w:ilvl w:val="0"/>
          <w:numId w:val="0"/>
        </w:numPr>
        <w:spacing w:before="156" w:after="156" w:line="360" w:lineRule="auto"/>
        <w:rPr>
          <w:rFonts w:ascii="Times New Roman"/>
          <w:szCs w:val="21"/>
        </w:rPr>
      </w:pPr>
      <w:r>
        <w:rPr>
          <w:rFonts w:hint="eastAsia" w:ascii="Times New Roman"/>
          <w:szCs w:val="21"/>
        </w:rPr>
        <w:t>2.</w:t>
      </w:r>
      <w:r>
        <w:rPr>
          <w:rFonts w:ascii="Times New Roman"/>
          <w:szCs w:val="21"/>
        </w:rPr>
        <w:t>5</w:t>
      </w:r>
      <w:r>
        <w:rPr>
          <w:rFonts w:hint="eastAsia" w:ascii="Times New Roman"/>
          <w:szCs w:val="21"/>
        </w:rPr>
        <w:t xml:space="preserve"> 校准条件</w:t>
      </w:r>
      <w:bookmarkEnd w:id="36"/>
      <w:bookmarkStart w:id="37" w:name="_Toc500258942"/>
      <w:bookmarkStart w:id="38" w:name="_Toc193860033"/>
      <w:bookmarkStart w:id="39" w:name="_Toc193860214"/>
      <w:bookmarkStart w:id="40" w:name="_Toc193860183"/>
    </w:p>
    <w:bookmarkEnd w:id="37"/>
    <w:bookmarkEnd w:id="38"/>
    <w:bookmarkEnd w:id="39"/>
    <w:bookmarkEnd w:id="40"/>
    <w:p>
      <w:bookmarkStart w:id="41" w:name="_Toc193618955"/>
      <w:bookmarkStart w:id="42" w:name="_Toc193619058"/>
      <w:bookmarkStart w:id="43" w:name="_Toc500258944"/>
      <w:bookmarkStart w:id="44" w:name="_Toc193860216"/>
      <w:bookmarkStart w:id="45" w:name="_Toc2741_WPSOffice_Level1"/>
      <w:bookmarkStart w:id="46" w:name="_Toc193860185"/>
      <w:bookmarkStart w:id="47" w:name="_Toc193860035"/>
      <w:bookmarkStart w:id="48" w:name="_Toc193619100"/>
      <w:r>
        <w:t>校准前，实验室环境条件环境温度：（10~35）℃，相对湿度：不大于80%，试验周围无腐蚀性介质，并且附近无影响试验结果的振源。</w:t>
      </w:r>
    </w:p>
    <w:p>
      <w:pPr>
        <w:pStyle w:val="13"/>
        <w:numPr>
          <w:ilvl w:val="0"/>
          <w:numId w:val="0"/>
        </w:numPr>
        <w:spacing w:before="156" w:after="156" w:line="360" w:lineRule="auto"/>
        <w:rPr>
          <w:rFonts w:hint="eastAsia" w:ascii="Times New Roman"/>
          <w:szCs w:val="21"/>
        </w:rPr>
      </w:pPr>
      <w:r>
        <w:rPr>
          <w:rFonts w:hint="eastAsia" w:ascii="Times New Roman"/>
          <w:szCs w:val="21"/>
        </w:rPr>
        <w:t>2.</w:t>
      </w:r>
      <w:r>
        <w:rPr>
          <w:rFonts w:ascii="Times New Roman"/>
          <w:szCs w:val="21"/>
        </w:rPr>
        <w:t>6</w:t>
      </w:r>
      <w:r>
        <w:rPr>
          <w:rFonts w:hint="eastAsia" w:ascii="Times New Roman"/>
          <w:szCs w:val="21"/>
        </w:rPr>
        <w:t xml:space="preserve"> 校准项目和校准方法</w:t>
      </w:r>
      <w:bookmarkEnd w:id="41"/>
      <w:bookmarkEnd w:id="42"/>
      <w:bookmarkEnd w:id="43"/>
      <w:bookmarkEnd w:id="44"/>
      <w:bookmarkEnd w:id="45"/>
      <w:bookmarkEnd w:id="46"/>
      <w:bookmarkEnd w:id="47"/>
      <w:bookmarkEnd w:id="48"/>
    </w:p>
    <w:p>
      <w:pPr>
        <w:ind w:left="0" w:leftChars="0" w:firstLine="0" w:firstLineChars="0"/>
        <w:rPr>
          <w:rFonts w:hint="default" w:eastAsia="宋体"/>
          <w:lang w:val="en-US" w:eastAsia="zh-CN"/>
        </w:rPr>
      </w:pPr>
      <w:r>
        <w:rPr>
          <w:rFonts w:hint="eastAsia"/>
          <w:lang w:val="en-US" w:eastAsia="zh-CN"/>
        </w:rPr>
        <w:t>2.6</w:t>
      </w:r>
      <w:r>
        <w:rPr>
          <w:rFonts w:hint="eastAsia"/>
        </w:rPr>
        <w:t>.1</w:t>
      </w:r>
      <w:r>
        <w:rPr>
          <w:rFonts w:hint="eastAsia"/>
          <w:lang w:val="en-US" w:eastAsia="zh-CN"/>
        </w:rPr>
        <w:t>校准项目</w:t>
      </w:r>
      <w:bookmarkStart w:id="49" w:name="_Toc500258945"/>
      <w:bookmarkStart w:id="50" w:name="_Toc22718_WPSOffice_Level2"/>
      <w:bookmarkStart w:id="51" w:name="_Toc193618956"/>
      <w:bookmarkStart w:id="52" w:name="_Toc193860188"/>
      <w:bookmarkStart w:id="53" w:name="_Toc193860219"/>
      <w:bookmarkStart w:id="54" w:name="_Toc193619059"/>
      <w:bookmarkStart w:id="55" w:name="_Toc193860038"/>
      <w:bookmarkStart w:id="56" w:name="_Toc193619101"/>
      <w:bookmarkStart w:id="57" w:name="_Toc25466_WPSOffice_Level1"/>
      <w:bookmarkStart w:id="58" w:name="_Toc500258947"/>
      <w:r>
        <w:rPr>
          <w:rFonts w:hint="eastAsia"/>
          <w:lang w:val="en-US" w:eastAsia="zh-CN"/>
        </w:rPr>
        <w:t>：</w:t>
      </w:r>
      <w:r>
        <w:rPr>
          <w:rFonts w:hint="default"/>
        </w:rPr>
        <w:t>试验机机架</w:t>
      </w:r>
      <w:r>
        <w:rPr>
          <w:rFonts w:hint="eastAsia"/>
          <w:lang w:eastAsia="zh-CN"/>
        </w:rPr>
        <w:t>、</w:t>
      </w:r>
      <w:r>
        <w:rPr>
          <w:rFonts w:hint="default"/>
        </w:rPr>
        <w:t>摆锤</w:t>
      </w:r>
      <w:r>
        <w:rPr>
          <w:rFonts w:hint="eastAsia"/>
          <w:lang w:eastAsia="zh-CN"/>
        </w:rPr>
        <w:t>、</w:t>
      </w:r>
      <w:r>
        <w:rPr>
          <w:rFonts w:hint="eastAsia"/>
        </w:rPr>
        <w:t>支座</w:t>
      </w:r>
      <w:r>
        <w:rPr>
          <w:rFonts w:hint="eastAsia"/>
          <w:lang w:val="en-US" w:eastAsia="zh-CN"/>
        </w:rPr>
        <w:t>相关尺寸</w:t>
      </w:r>
    </w:p>
    <w:p>
      <w:pPr>
        <w:ind w:left="0" w:leftChars="0" w:firstLine="0" w:firstLineChars="0"/>
        <w:rPr>
          <w:rFonts w:hint="eastAsia"/>
        </w:rPr>
      </w:pPr>
      <w:bookmarkStart w:id="59" w:name="_Hlk37534244"/>
      <w:r>
        <w:rPr>
          <w:rFonts w:hint="eastAsia"/>
          <w:lang w:val="en-US" w:eastAsia="zh-CN"/>
        </w:rPr>
        <w:t>2.6</w:t>
      </w:r>
      <w:r>
        <w:rPr>
          <w:rFonts w:hint="eastAsia"/>
        </w:rPr>
        <w:t>.</w:t>
      </w:r>
      <w:r>
        <w:rPr>
          <w:rFonts w:hint="eastAsia"/>
          <w:lang w:val="en-US" w:eastAsia="zh-CN"/>
        </w:rPr>
        <w:t>2</w:t>
      </w:r>
      <w:r>
        <w:rPr>
          <w:rFonts w:hint="eastAsia"/>
        </w:rPr>
        <w:t>通用技术要求检查</w:t>
      </w:r>
      <w:r>
        <w:rPr>
          <w:rFonts w:hint="eastAsia"/>
          <w:lang w:eastAsia="zh-CN"/>
        </w:rPr>
        <w:t>：</w:t>
      </w:r>
      <w:r>
        <w:rPr>
          <w:rFonts w:hint="eastAsia"/>
        </w:rPr>
        <w:t>采用目测和手动方式进行检查。</w:t>
      </w:r>
    </w:p>
    <w:p>
      <w:pPr>
        <w:ind w:left="0" w:leftChars="0" w:firstLine="0" w:firstLineChars="0"/>
        <w:rPr>
          <w:rFonts w:hint="eastAsia"/>
        </w:rPr>
      </w:pPr>
      <w:r>
        <w:rPr>
          <w:rFonts w:hint="eastAsia"/>
          <w:lang w:val="en-US" w:eastAsia="zh-CN"/>
        </w:rPr>
        <w:t>2.6</w:t>
      </w:r>
      <w:r>
        <w:rPr>
          <w:rFonts w:hint="eastAsia"/>
        </w:rPr>
        <w:t>.</w:t>
      </w:r>
      <w:r>
        <w:rPr>
          <w:rFonts w:hint="eastAsia"/>
          <w:lang w:val="en-US" w:eastAsia="zh-CN"/>
        </w:rPr>
        <w:t>3</w:t>
      </w:r>
      <w:r>
        <w:rPr>
          <w:rFonts w:hint="eastAsia"/>
        </w:rPr>
        <w:t>冲击刀与试样间隙</w:t>
      </w:r>
      <w:r>
        <w:rPr>
          <w:rFonts w:hint="eastAsia"/>
          <w:lang w:eastAsia="zh-CN"/>
        </w:rPr>
        <w:t>：</w:t>
      </w:r>
      <w:r>
        <w:rPr>
          <w:rFonts w:hint="eastAsia"/>
        </w:rPr>
        <w:t>在摆锤自由悬挂时，将40mm×45mm（或120mm×125mm或160mm×165mm或200mm×205mm）的矩形试样，分别以40mm（或120mm、160mm、200mm）和45mm（或125mm、165mm、205mm）截面尺寸方向放在支座上，检查冲击刀刃与试样间隙。</w:t>
      </w:r>
    </w:p>
    <w:p>
      <w:pPr>
        <w:ind w:left="0" w:leftChars="0" w:firstLine="0" w:firstLineChars="0"/>
        <w:rPr>
          <w:rFonts w:hint="eastAsia"/>
        </w:rPr>
      </w:pPr>
      <w:r>
        <w:rPr>
          <w:rFonts w:hint="eastAsia"/>
          <w:lang w:val="en-US" w:eastAsia="zh-CN"/>
        </w:rPr>
        <w:t>2.6</w:t>
      </w:r>
      <w:r>
        <w:rPr>
          <w:rFonts w:hint="eastAsia"/>
        </w:rPr>
        <w:t>.</w:t>
      </w:r>
      <w:r>
        <w:rPr>
          <w:rFonts w:hint="eastAsia"/>
          <w:lang w:val="en-US" w:eastAsia="zh-CN"/>
        </w:rPr>
        <w:t>4</w:t>
      </w:r>
      <w:r>
        <w:rPr>
          <w:rFonts w:hint="eastAsia"/>
        </w:rPr>
        <w:t>摆锤两个侧面与支座之间的间隙</w:t>
      </w:r>
      <w:r>
        <w:rPr>
          <w:rFonts w:hint="eastAsia"/>
          <w:lang w:eastAsia="zh-CN"/>
        </w:rPr>
        <w:t>：</w:t>
      </w:r>
      <w:r>
        <w:rPr>
          <w:rFonts w:hint="eastAsia"/>
        </w:rPr>
        <w:t>采用深度卡尺进行直接测量。</w:t>
      </w:r>
    </w:p>
    <w:p>
      <w:pPr>
        <w:ind w:left="0" w:leftChars="0" w:firstLine="0" w:firstLineChars="0"/>
        <w:rPr>
          <w:rFonts w:hint="eastAsia"/>
        </w:rPr>
      </w:pPr>
      <w:r>
        <w:rPr>
          <w:rFonts w:hint="eastAsia"/>
          <w:lang w:val="en-US" w:eastAsia="zh-CN"/>
        </w:rPr>
        <w:t>2.6</w:t>
      </w:r>
      <w:r>
        <w:rPr>
          <w:rFonts w:hint="eastAsia"/>
        </w:rPr>
        <w:t>.</w:t>
      </w:r>
      <w:r>
        <w:rPr>
          <w:rFonts w:hint="eastAsia"/>
          <w:lang w:val="en-US" w:eastAsia="zh-CN"/>
        </w:rPr>
        <w:t>5</w:t>
      </w:r>
      <w:r>
        <w:rPr>
          <w:rFonts w:hint="eastAsia"/>
        </w:rPr>
        <w:t>冲击刀的中心与支座跨距的中心差</w:t>
      </w:r>
      <w:r>
        <w:rPr>
          <w:rFonts w:hint="eastAsia"/>
          <w:lang w:eastAsia="zh-CN"/>
        </w:rPr>
        <w:t>：</w:t>
      </w:r>
      <w:r>
        <w:rPr>
          <w:rFonts w:hint="eastAsia"/>
        </w:rPr>
        <w:t>将标准试样缺口背面粘贴复写纸，将试样在支座之间对正后，由摆锤冲击刀刃轻击标准试样，用游标卡尺测量试样上冲击刀痕迹中心线与缺口顶端之间的距离。</w:t>
      </w:r>
    </w:p>
    <w:p>
      <w:pPr>
        <w:ind w:left="0" w:leftChars="0" w:firstLine="0" w:firstLineChars="0"/>
        <w:rPr>
          <w:rFonts w:hint="eastAsia"/>
        </w:rPr>
      </w:pPr>
      <w:r>
        <w:rPr>
          <w:rFonts w:hint="eastAsia"/>
          <w:lang w:val="en-US" w:eastAsia="zh-CN"/>
        </w:rPr>
        <w:t>2.6</w:t>
      </w:r>
      <w:r>
        <w:rPr>
          <w:rFonts w:hint="eastAsia"/>
        </w:rPr>
        <w:t>.</w:t>
      </w:r>
      <w:r>
        <w:rPr>
          <w:rFonts w:hint="eastAsia"/>
          <w:lang w:val="en-US" w:eastAsia="zh-CN"/>
        </w:rPr>
        <w:t>6</w:t>
      </w:r>
      <w:r>
        <w:rPr>
          <w:rFonts w:hint="eastAsia"/>
        </w:rPr>
        <w:t>冲击刀刃与试样纵轴的垂直度</w:t>
      </w:r>
      <w:r>
        <w:rPr>
          <w:rFonts w:hint="eastAsia"/>
          <w:lang w:eastAsia="zh-CN"/>
        </w:rPr>
        <w:t>：</w:t>
      </w:r>
      <w:r>
        <w:rPr>
          <w:rFonts w:hint="eastAsia"/>
        </w:rPr>
        <w:t>将标准试样缺口背面粘贴复写纸，将试样在支座之间对正后，由摆锤冲击刀刃轻击标准试样，用影像仪测量标准试样上冲击刀痕迹中心线与试样纵轴的夹角。</w:t>
      </w:r>
    </w:p>
    <w:p>
      <w:pPr>
        <w:ind w:left="0" w:leftChars="0" w:firstLine="0" w:firstLineChars="0"/>
        <w:rPr>
          <w:rFonts w:hint="eastAsia"/>
        </w:rPr>
      </w:pPr>
      <w:r>
        <w:rPr>
          <w:rFonts w:hint="eastAsia"/>
          <w:lang w:val="en-US" w:eastAsia="zh-CN"/>
        </w:rPr>
        <w:t>2.6</w:t>
      </w:r>
      <w:r>
        <w:rPr>
          <w:rFonts w:hint="eastAsia"/>
        </w:rPr>
        <w:t>.</w:t>
      </w:r>
      <w:r>
        <w:rPr>
          <w:rFonts w:hint="eastAsia"/>
          <w:lang w:val="en-US" w:eastAsia="zh-CN"/>
        </w:rPr>
        <w:t>7</w:t>
      </w:r>
      <w:r>
        <w:rPr>
          <w:rFonts w:hint="eastAsia"/>
        </w:rPr>
        <w:t>冲击刀刃与试样侧面的平行度</w:t>
      </w:r>
      <w:r>
        <w:rPr>
          <w:rFonts w:hint="eastAsia"/>
          <w:lang w:eastAsia="zh-CN"/>
        </w:rPr>
        <w:t>：</w:t>
      </w:r>
      <w:r>
        <w:rPr>
          <w:rFonts w:hint="eastAsia"/>
        </w:rPr>
        <w:t>采用标准试样与冲击刀刃接触，通过直角尺、塞尺、象限测量仪等校准。</w:t>
      </w:r>
    </w:p>
    <w:p>
      <w:pPr>
        <w:ind w:left="0" w:leftChars="0" w:firstLine="0" w:firstLineChars="0"/>
        <w:rPr>
          <w:rFonts w:hint="eastAsia"/>
        </w:rPr>
      </w:pPr>
      <w:r>
        <w:rPr>
          <w:rFonts w:hint="eastAsia"/>
          <w:lang w:val="en-US" w:eastAsia="zh-CN"/>
        </w:rPr>
        <w:t>2.6</w:t>
      </w:r>
      <w:r>
        <w:rPr>
          <w:rFonts w:hint="eastAsia"/>
        </w:rPr>
        <w:t>.</w:t>
      </w:r>
      <w:r>
        <w:rPr>
          <w:rFonts w:hint="eastAsia"/>
          <w:lang w:val="en-US" w:eastAsia="zh-CN"/>
        </w:rPr>
        <w:t>8</w:t>
      </w:r>
      <w:r>
        <w:rPr>
          <w:rFonts w:hint="eastAsia"/>
        </w:rPr>
        <w:t>支座的垂直支撑面与水平支撑面的垂直度</w:t>
      </w:r>
      <w:r>
        <w:rPr>
          <w:rFonts w:hint="eastAsia"/>
          <w:lang w:eastAsia="zh-CN"/>
        </w:rPr>
        <w:t>：</w:t>
      </w:r>
      <w:r>
        <w:rPr>
          <w:rFonts w:hint="eastAsia"/>
        </w:rPr>
        <w:t>采用直角尺、塞尺、象限测量仪等校准。</w:t>
      </w:r>
    </w:p>
    <w:p>
      <w:pPr>
        <w:ind w:left="0" w:leftChars="0" w:firstLine="0" w:firstLineChars="0"/>
        <w:rPr>
          <w:rFonts w:hint="eastAsia"/>
        </w:rPr>
      </w:pPr>
      <w:r>
        <w:rPr>
          <w:rFonts w:hint="eastAsia"/>
          <w:lang w:val="en-US" w:eastAsia="zh-CN"/>
        </w:rPr>
        <w:t>2.6</w:t>
      </w:r>
      <w:r>
        <w:rPr>
          <w:rFonts w:hint="eastAsia"/>
        </w:rPr>
        <w:t>.</w:t>
      </w:r>
      <w:r>
        <w:rPr>
          <w:rFonts w:hint="eastAsia"/>
          <w:lang w:val="en-US" w:eastAsia="zh-CN"/>
        </w:rPr>
        <w:t>9</w:t>
      </w:r>
      <w:r>
        <w:rPr>
          <w:rFonts w:hint="eastAsia"/>
        </w:rPr>
        <w:t>支座的垂直支撑面、水平支撑面的的左右面的平行度</w:t>
      </w:r>
      <w:r>
        <w:rPr>
          <w:rFonts w:hint="eastAsia"/>
          <w:lang w:eastAsia="zh-CN"/>
        </w:rPr>
        <w:t>：</w:t>
      </w:r>
      <w:r>
        <w:rPr>
          <w:rFonts w:hint="eastAsia"/>
        </w:rPr>
        <w:t>采用水平仪、塞尺、象限测量仪等进行校准。</w:t>
      </w:r>
    </w:p>
    <w:p>
      <w:pPr>
        <w:ind w:left="0" w:leftChars="0" w:firstLine="0" w:firstLineChars="0"/>
        <w:rPr>
          <w:rFonts w:hint="eastAsia"/>
        </w:rPr>
      </w:pPr>
      <w:r>
        <w:rPr>
          <w:rFonts w:hint="eastAsia"/>
          <w:lang w:val="en-US" w:eastAsia="zh-CN"/>
        </w:rPr>
        <w:t>2.6</w:t>
      </w:r>
      <w:r>
        <w:rPr>
          <w:rFonts w:hint="eastAsia"/>
        </w:rPr>
        <w:t>.1</w:t>
      </w:r>
      <w:r>
        <w:rPr>
          <w:rFonts w:hint="eastAsia"/>
          <w:lang w:val="en-US" w:eastAsia="zh-CN"/>
        </w:rPr>
        <w:t>0</w:t>
      </w:r>
      <w:r>
        <w:rPr>
          <w:rFonts w:hint="eastAsia"/>
        </w:rPr>
        <w:t>摆轴轴向、径向间隙的校准</w:t>
      </w:r>
      <w:r>
        <w:rPr>
          <w:rFonts w:hint="eastAsia"/>
          <w:lang w:eastAsia="zh-CN"/>
        </w:rPr>
        <w:t>：</w:t>
      </w:r>
      <w:r>
        <w:rPr>
          <w:rFonts w:hint="eastAsia"/>
        </w:rPr>
        <w:t>将打击点推力块置于试样支座中间，使冲击刀紧卧其Ｖ型槽口内，将装好百分表的磁性表架置于主机架上适当位置，当百分表垂直对准冲击刀刃时，用于测量摆轴的轴向间隙；当百分表垂直对准摆轴上方中心处时，测</w:t>
      </w:r>
      <w:bookmarkStart w:id="72" w:name="_GoBack"/>
      <w:bookmarkEnd w:id="72"/>
      <w:r>
        <w:rPr>
          <w:rFonts w:hint="eastAsia"/>
        </w:rPr>
        <w:t>量摆轴的径向间隙；将测力传感器对准打击点推力块中心，施加相当于摆锤有效重量4%的横向力，记录百分表最大示值，作为测量结果。</w:t>
      </w:r>
    </w:p>
    <w:p>
      <w:pPr>
        <w:ind w:left="0" w:leftChars="0" w:firstLine="0" w:firstLineChars="0"/>
        <w:rPr>
          <w:rFonts w:hint="eastAsia"/>
        </w:rPr>
      </w:pPr>
      <w:r>
        <w:rPr>
          <w:rFonts w:hint="eastAsia"/>
          <w:lang w:val="en-US" w:eastAsia="zh-CN"/>
        </w:rPr>
        <w:t>2.6</w:t>
      </w:r>
      <w:r>
        <w:rPr>
          <w:rFonts w:hint="eastAsia"/>
        </w:rPr>
        <w:t>.1</w:t>
      </w:r>
      <w:r>
        <w:rPr>
          <w:rFonts w:hint="eastAsia"/>
          <w:lang w:val="en-US" w:eastAsia="zh-CN"/>
        </w:rPr>
        <w:t>1</w:t>
      </w:r>
      <w:r>
        <w:rPr>
          <w:rFonts w:hint="eastAsia"/>
        </w:rPr>
        <w:t>摩擦和空气阻力损失</w:t>
      </w:r>
      <w:r>
        <w:rPr>
          <w:rFonts w:hint="eastAsia"/>
          <w:lang w:eastAsia="zh-CN"/>
        </w:rPr>
        <w:t>：</w:t>
      </w:r>
      <w:r>
        <w:rPr>
          <w:rFonts w:hint="eastAsia"/>
        </w:rPr>
        <w:t>摩擦和空气阻力损失为摆锤开始位置时的势能与摆锤完成一次无试样时的摆动后的势能之差。测量完成后，补偿摩擦和空气阻力损失，使摆锤无试样释放时指示出零势能。</w:t>
      </w:r>
    </w:p>
    <w:p>
      <w:pPr>
        <w:ind w:left="0" w:leftChars="0" w:firstLine="0" w:firstLineChars="0"/>
        <w:rPr>
          <w:rFonts w:hint="eastAsia"/>
        </w:rPr>
      </w:pPr>
      <w:r>
        <w:rPr>
          <w:rFonts w:hint="eastAsia"/>
          <w:lang w:val="en-US" w:eastAsia="zh-CN"/>
        </w:rPr>
        <w:t>2.6</w:t>
      </w:r>
      <w:r>
        <w:rPr>
          <w:rFonts w:hint="eastAsia"/>
        </w:rPr>
        <w:t>.1</w:t>
      </w:r>
      <w:r>
        <w:rPr>
          <w:rFonts w:hint="eastAsia"/>
          <w:lang w:val="en-US" w:eastAsia="zh-CN"/>
        </w:rPr>
        <w:t>2</w:t>
      </w:r>
      <w:r>
        <w:rPr>
          <w:rFonts w:hint="eastAsia"/>
        </w:rPr>
        <w:t>摆轴到打击中心的距离</w:t>
      </w:r>
      <w:r>
        <w:rPr>
          <w:rFonts w:hint="eastAsia"/>
          <w:lang w:eastAsia="zh-CN"/>
        </w:rPr>
        <w:t>：</w:t>
      </w:r>
      <w:r>
        <w:rPr>
          <w:rFonts w:hint="eastAsia"/>
        </w:rPr>
        <w:t>使用分度值不大于0.2s的电子秒表或其他计时器，将摆锤提起，提起至总角度不大于15°位置释放，记录摆锤往返摆动100次的时间t，重复测量3次计算摆动时间平均值</w:t>
      </w:r>
      <m:oMath>
        <m:bar>
          <m:barPr>
            <m:pos m:val="top"/>
            <m:ctrlPr>
              <w:rPr>
                <w:rFonts w:hint="eastAsia" w:ascii="Cambria Math" w:hAnsi="Cambria Math"/>
              </w:rPr>
            </m:ctrlPr>
          </m:barPr>
          <m:e>
            <m:r>
              <m:rPr>
                <m:sty m:val="p"/>
              </m:rPr>
              <w:rPr>
                <w:rFonts w:hint="eastAsia" w:ascii="Cambria Math" w:hAnsi="Cambria Math"/>
              </w:rPr>
              <m:t>t</m:t>
            </m:r>
            <m:ctrlPr>
              <w:rPr>
                <w:rFonts w:hint="eastAsia" w:ascii="Cambria Math" w:hAnsi="Cambria Math"/>
              </w:rPr>
            </m:ctrlPr>
          </m:e>
        </m:bar>
      </m:oMath>
      <w:r>
        <w:rPr>
          <w:rFonts w:hint="eastAsia"/>
        </w:rPr>
        <w:t>，按计算</w:t>
      </w:r>
      <w:r>
        <w:rPr>
          <w:rFonts w:hint="eastAsia"/>
          <w:lang w:val="en-US" w:eastAsia="zh-CN"/>
        </w:rPr>
        <w:t>公式计算</w:t>
      </w:r>
      <w:r>
        <w:rPr>
          <w:rFonts w:hint="eastAsia"/>
        </w:rPr>
        <w:t>摆轴到打击中心的距离。</w:t>
      </w:r>
    </w:p>
    <w:p>
      <w:pPr>
        <w:ind w:left="0" w:leftChars="0" w:firstLine="0" w:firstLineChars="0"/>
        <w:rPr>
          <w:rFonts w:hint="eastAsia"/>
        </w:rPr>
      </w:pPr>
      <w:r>
        <w:rPr>
          <w:rFonts w:hint="eastAsia"/>
          <w:lang w:val="en-US" w:eastAsia="zh-CN"/>
        </w:rPr>
        <w:t>2.6</w:t>
      </w:r>
      <w:r>
        <w:rPr>
          <w:rFonts w:hint="eastAsia"/>
        </w:rPr>
        <w:t>.1</w:t>
      </w:r>
      <w:r>
        <w:rPr>
          <w:rFonts w:hint="eastAsia"/>
          <w:lang w:val="en-US" w:eastAsia="zh-CN"/>
        </w:rPr>
        <w:t>3</w:t>
      </w:r>
      <w:r>
        <w:rPr>
          <w:rFonts w:hint="eastAsia"/>
        </w:rPr>
        <w:t>势能</w:t>
      </w:r>
      <w:r>
        <w:rPr>
          <w:rFonts w:hint="eastAsia"/>
          <w:lang w:eastAsia="zh-CN"/>
        </w:rPr>
        <w:t>：</w:t>
      </w:r>
      <w:r>
        <w:rPr>
          <w:rFonts w:hint="eastAsia"/>
        </w:rPr>
        <w:t>在某一个最能与测力传感器起作用的一点上将摆锤支在水平位置（离静止位置90°±1°），测出摆锤质量，操作时务必使承载支撑和称重支撑处的摩擦力减至最小，测定力臂长度（即摆轴中心与通过支撑点的垂直线之间的水平距离），按照计算</w:t>
      </w:r>
      <w:r>
        <w:rPr>
          <w:rFonts w:hint="eastAsia"/>
          <w:lang w:val="en-US" w:eastAsia="zh-CN"/>
        </w:rPr>
        <w:t>公式</w:t>
      </w:r>
      <w:r>
        <w:rPr>
          <w:rFonts w:hint="eastAsia"/>
        </w:rPr>
        <w:t>进行势能计算。</w:t>
      </w:r>
    </w:p>
    <w:p>
      <w:pPr>
        <w:ind w:left="0" w:leftChars="0" w:firstLine="0" w:firstLineChars="0"/>
        <w:rPr>
          <w:rFonts w:hint="eastAsia"/>
        </w:rPr>
      </w:pPr>
      <w:r>
        <w:rPr>
          <w:rFonts w:hint="eastAsia"/>
          <w:lang w:val="en-US" w:eastAsia="zh-CN"/>
        </w:rPr>
        <w:t>2.6</w:t>
      </w:r>
      <w:r>
        <w:rPr>
          <w:rFonts w:hint="eastAsia"/>
        </w:rPr>
        <w:t>.1</w:t>
      </w:r>
      <w:r>
        <w:rPr>
          <w:rFonts w:hint="eastAsia"/>
          <w:lang w:val="en-US" w:eastAsia="zh-CN"/>
        </w:rPr>
        <w:t>4</w:t>
      </w:r>
      <w:r>
        <w:rPr>
          <w:rFonts w:hint="eastAsia"/>
        </w:rPr>
        <w:t>动态撕裂能示值误差的校准</w:t>
      </w:r>
      <w:r>
        <w:rPr>
          <w:rFonts w:hint="eastAsia"/>
          <w:lang w:eastAsia="zh-CN"/>
        </w:rPr>
        <w:t>：</w:t>
      </w:r>
      <w:r>
        <w:rPr>
          <w:rFonts w:hint="eastAsia"/>
        </w:rPr>
        <w:t>同样用倾角仪或冲击试验机检定仪（具有角度测量功能）测量摆锤不同位置的仰角，进行指示能量与动态撕裂能示值误差的校准。校准范围选择试验机度盘标称能量的10%~80%，不少于5点，抬起摆锤使指针分别指示要求校准的各分度标记，然后测量升角α，按计算</w:t>
      </w:r>
      <w:r>
        <w:rPr>
          <w:rFonts w:hint="eastAsia"/>
          <w:lang w:val="en-US" w:eastAsia="zh-CN"/>
        </w:rPr>
        <w:t>公式</w:t>
      </w:r>
      <w:r>
        <w:rPr>
          <w:rFonts w:hint="eastAsia"/>
        </w:rPr>
        <w:t>计算动态撕裂能。</w:t>
      </w:r>
    </w:p>
    <w:p>
      <w:pPr>
        <w:ind w:left="0" w:leftChars="0" w:firstLine="0" w:firstLineChars="0"/>
        <w:rPr>
          <w:rFonts w:hint="eastAsia"/>
        </w:rPr>
      </w:pPr>
      <w:r>
        <w:rPr>
          <w:rFonts w:hint="eastAsia"/>
          <w:lang w:val="en-US" w:eastAsia="zh-CN"/>
        </w:rPr>
        <w:t>2.6</w:t>
      </w:r>
      <w:r>
        <w:rPr>
          <w:rFonts w:hint="eastAsia"/>
        </w:rPr>
        <w:t>.1</w:t>
      </w:r>
      <w:r>
        <w:rPr>
          <w:rFonts w:hint="eastAsia"/>
          <w:lang w:val="en-US" w:eastAsia="zh-CN"/>
        </w:rPr>
        <w:t>5</w:t>
      </w:r>
      <w:r>
        <w:rPr>
          <w:rFonts w:hint="eastAsia"/>
        </w:rPr>
        <w:t>摆锤的冲击速度</w:t>
      </w:r>
    </w:p>
    <w:p>
      <w:pPr>
        <w:rPr>
          <w:rFonts w:hint="eastAsia"/>
        </w:rPr>
      </w:pPr>
      <w:r>
        <w:rPr>
          <w:rFonts w:hint="eastAsia"/>
        </w:rPr>
        <w:t>①考虑摩擦和空气阻力损失时，采用瞬时速度测量仪测量打击瞬间摆锤的冲击速度。</w:t>
      </w:r>
    </w:p>
    <w:p>
      <w:pPr>
        <w:rPr>
          <w:rFonts w:hint="eastAsia"/>
        </w:rPr>
      </w:pPr>
      <w:r>
        <w:rPr>
          <w:rFonts w:hint="eastAsia"/>
        </w:rPr>
        <w:t>②不考虑摩擦时，打击瞬间摆锤的冲击速度</w:t>
      </w:r>
      <m:oMath>
        <m:r>
          <m:rPr>
            <m:sty m:val="p"/>
          </m:rPr>
          <w:rPr>
            <w:rFonts w:hint="eastAsia" w:ascii="Cambria Math" w:hAnsi="Cambria Math"/>
          </w:rPr>
          <m:t>θ</m:t>
        </m:r>
      </m:oMath>
      <w:r>
        <w:rPr>
          <w:rFonts w:hint="eastAsia"/>
        </w:rPr>
        <w:t>按下式计算：</w:t>
      </w:r>
    </w:p>
    <w:p>
      <w:pPr>
        <w:ind w:left="0" w:leftChars="0" w:firstLine="0" w:firstLineChars="0"/>
        <w:rPr>
          <w:rFonts w:hint="eastAsia"/>
        </w:rPr>
      </w:pPr>
      <w:r>
        <w:rPr>
          <w:rFonts w:hint="eastAsia"/>
          <w:lang w:val="en-US" w:eastAsia="zh-CN"/>
        </w:rPr>
        <w:t>2.6</w:t>
      </w:r>
      <w:r>
        <w:rPr>
          <w:rFonts w:hint="eastAsia"/>
        </w:rPr>
        <w:t>.1</w:t>
      </w:r>
      <w:r>
        <w:rPr>
          <w:rFonts w:hint="eastAsia"/>
          <w:lang w:val="en-US" w:eastAsia="zh-CN"/>
        </w:rPr>
        <w:t>6</w:t>
      </w:r>
      <w:r>
        <w:rPr>
          <w:rFonts w:hint="eastAsia"/>
        </w:rPr>
        <w:t>冲击刀刃、支座尺寸</w:t>
      </w:r>
      <w:r>
        <w:rPr>
          <w:rFonts w:hint="eastAsia"/>
          <w:lang w:eastAsia="zh-CN"/>
        </w:rPr>
        <w:t>：</w:t>
      </w:r>
      <w:r>
        <w:rPr>
          <w:rFonts w:hint="eastAsia"/>
        </w:rPr>
        <w:t>采用游标卡尺、万能角度尺、半径样板或数显半径测量仪等校准。</w:t>
      </w:r>
    </w:p>
    <w:p>
      <w:pPr>
        <w:ind w:left="0" w:leftChars="0" w:firstLine="0" w:firstLineChars="0"/>
        <w:rPr>
          <w:rFonts w:hint="eastAsia"/>
        </w:rPr>
      </w:pPr>
      <w:r>
        <w:rPr>
          <w:rFonts w:hint="eastAsia"/>
          <w:lang w:val="en-US" w:eastAsia="zh-CN"/>
        </w:rPr>
        <w:t>2.6</w:t>
      </w:r>
      <w:r>
        <w:rPr>
          <w:rFonts w:hint="eastAsia"/>
        </w:rPr>
        <w:t>.1</w:t>
      </w:r>
      <w:r>
        <w:rPr>
          <w:rFonts w:hint="eastAsia"/>
          <w:lang w:val="en-US" w:eastAsia="zh-CN"/>
        </w:rPr>
        <w:t>7</w:t>
      </w:r>
      <w:r>
        <w:rPr>
          <w:rFonts w:hint="eastAsia"/>
        </w:rPr>
        <w:t>双摆锤试验机校准方法与单摆锤试验机相同。</w:t>
      </w:r>
      <w:bookmarkEnd w:id="59"/>
    </w:p>
    <w:bookmarkEnd w:id="49"/>
    <w:bookmarkEnd w:id="50"/>
    <w:p>
      <w:pPr>
        <w:pStyle w:val="13"/>
        <w:numPr>
          <w:ilvl w:val="0"/>
          <w:numId w:val="0"/>
        </w:numPr>
        <w:spacing w:before="156" w:after="156"/>
        <w:rPr>
          <w:rFonts w:ascii="Times New Roman"/>
          <w:szCs w:val="21"/>
        </w:rPr>
      </w:pPr>
      <w:r>
        <w:rPr>
          <w:rFonts w:hint="eastAsia" w:ascii="Times New Roman"/>
          <w:szCs w:val="21"/>
        </w:rPr>
        <w:t>2.</w:t>
      </w:r>
      <w:r>
        <w:rPr>
          <w:rFonts w:ascii="Times New Roman"/>
          <w:szCs w:val="21"/>
        </w:rPr>
        <w:t>7</w:t>
      </w:r>
      <w:r>
        <w:rPr>
          <w:rFonts w:hint="eastAsia" w:ascii="Times New Roman"/>
          <w:szCs w:val="21"/>
        </w:rPr>
        <w:t xml:space="preserve"> 校准结果</w:t>
      </w:r>
      <w:bookmarkEnd w:id="51"/>
      <w:bookmarkEnd w:id="52"/>
      <w:bookmarkEnd w:id="53"/>
      <w:bookmarkEnd w:id="54"/>
      <w:bookmarkEnd w:id="55"/>
      <w:bookmarkEnd w:id="56"/>
      <w:r>
        <w:rPr>
          <w:rFonts w:hint="eastAsia" w:ascii="Times New Roman"/>
          <w:szCs w:val="21"/>
        </w:rPr>
        <w:t>表达</w:t>
      </w:r>
      <w:bookmarkEnd w:id="57"/>
      <w:bookmarkEnd w:id="58"/>
    </w:p>
    <w:p>
      <w:bookmarkStart w:id="60" w:name="_Toc5529"/>
      <w:bookmarkStart w:id="61" w:name="_Toc193860040"/>
      <w:bookmarkStart w:id="62" w:name="_Toc193860220"/>
      <w:bookmarkStart w:id="63" w:name="_Toc193860189"/>
      <w:bookmarkStart w:id="64" w:name="_Toc14803_WPSOffice_Level1"/>
      <w:bookmarkStart w:id="65" w:name="_Toc193860041"/>
      <w:r>
        <w:rPr>
          <w:rFonts w:hint="eastAsia"/>
        </w:rPr>
        <w:t>根据实验室环境要求、校准项目校准结果、测量不确定度评定结果等，按照推荐的校准报告格式，出具校准证书。</w:t>
      </w:r>
    </w:p>
    <w:p>
      <w:pPr>
        <w:pStyle w:val="13"/>
        <w:numPr>
          <w:ilvl w:val="0"/>
          <w:numId w:val="0"/>
        </w:numPr>
        <w:spacing w:before="156" w:after="156"/>
        <w:rPr>
          <w:rFonts w:ascii="Times New Roman"/>
          <w:szCs w:val="21"/>
        </w:rPr>
      </w:pPr>
      <w:r>
        <w:rPr>
          <w:rFonts w:hint="eastAsia" w:ascii="Times New Roman"/>
          <w:szCs w:val="21"/>
        </w:rPr>
        <w:t>2.</w:t>
      </w:r>
      <w:r>
        <w:rPr>
          <w:rFonts w:ascii="Times New Roman"/>
          <w:szCs w:val="21"/>
        </w:rPr>
        <w:t>8</w:t>
      </w:r>
      <w:r>
        <w:rPr>
          <w:rFonts w:hint="eastAsia" w:ascii="Times New Roman"/>
          <w:szCs w:val="21"/>
        </w:rPr>
        <w:t xml:space="preserve"> 复校</w:t>
      </w:r>
      <w:bookmarkEnd w:id="60"/>
      <w:bookmarkEnd w:id="61"/>
      <w:bookmarkEnd w:id="62"/>
      <w:bookmarkEnd w:id="63"/>
      <w:bookmarkEnd w:id="64"/>
      <w:r>
        <w:rPr>
          <w:rFonts w:hint="eastAsia" w:ascii="Times New Roman"/>
          <w:szCs w:val="21"/>
        </w:rPr>
        <w:t>时间间隔</w:t>
      </w:r>
    </w:p>
    <w:bookmarkEnd w:id="65"/>
    <w:p>
      <w:r>
        <w:rPr>
          <w:rFonts w:hint="eastAsia"/>
        </w:rPr>
        <w:t>建议复校时间间隔为</w:t>
      </w:r>
      <w:r>
        <w:t>1</w:t>
      </w:r>
      <w:r>
        <w:rPr>
          <w:rFonts w:hint="eastAsia"/>
        </w:rPr>
        <w:t>年。</w:t>
      </w:r>
      <w:r>
        <w:rPr>
          <w:rFonts w:hint="eastAsia"/>
          <w:lang w:val="en-US" w:eastAsia="zh-CN"/>
        </w:rPr>
        <w:t>冲击</w:t>
      </w:r>
      <w:r>
        <w:rPr>
          <w:rFonts w:hint="eastAsia"/>
        </w:rPr>
        <w:t>试验机使用频繁时应适当缩短周期，在使用过程中</w:t>
      </w:r>
      <w:r>
        <w:rPr>
          <w:rFonts w:hint="eastAsia"/>
          <w:lang w:val="en-US" w:eastAsia="zh-CN"/>
        </w:rPr>
        <w:t>冲击</w:t>
      </w:r>
      <w:r>
        <w:rPr>
          <w:rFonts w:hint="eastAsia"/>
        </w:rPr>
        <w:t>试验机经过修理、更换重要部件的应重新校准。</w:t>
      </w:r>
    </w:p>
    <w:p>
      <w:pPr>
        <w:pStyle w:val="13"/>
        <w:numPr>
          <w:ilvl w:val="0"/>
          <w:numId w:val="0"/>
        </w:numPr>
        <w:spacing w:before="156" w:after="156"/>
        <w:rPr>
          <w:rFonts w:ascii="Times New Roman"/>
          <w:szCs w:val="21"/>
        </w:rPr>
      </w:pPr>
      <w:r>
        <w:rPr>
          <w:rFonts w:hint="eastAsia" w:ascii="Times New Roman"/>
          <w:szCs w:val="21"/>
        </w:rPr>
        <w:t>2.9 附录</w:t>
      </w:r>
    </w:p>
    <w:bookmarkEnd w:id="14"/>
    <w:p>
      <w:bookmarkStart w:id="66" w:name="_Toc464728965"/>
      <w:r>
        <w:rPr>
          <w:rFonts w:hint="eastAsia"/>
        </w:rPr>
        <w:t>附录主要包含校准原始记、录参考格式、校准证书内页参考格式、</w:t>
      </w:r>
      <w:r>
        <w:rPr>
          <w:rFonts w:hint="eastAsia"/>
          <w:lang w:val="en-US" w:eastAsia="zh-CN"/>
        </w:rPr>
        <w:t>冲击试验机能量</w:t>
      </w:r>
      <w:r>
        <w:rPr>
          <w:rFonts w:hint="eastAsia"/>
        </w:rPr>
        <w:t>示值误差测量结果不确定度评定示例</w:t>
      </w:r>
      <w:r>
        <w:rPr>
          <w:rFonts w:hint="eastAsia"/>
          <w:lang w:val="en-US" w:eastAsia="zh-CN"/>
        </w:rPr>
        <w:t>三</w:t>
      </w:r>
      <w:r>
        <w:rPr>
          <w:rFonts w:hint="eastAsia"/>
        </w:rPr>
        <w:t>部分。</w:t>
      </w:r>
    </w:p>
    <w:p>
      <w:pPr>
        <w:pStyle w:val="13"/>
        <w:numPr>
          <w:ilvl w:val="0"/>
          <w:numId w:val="0"/>
        </w:numPr>
        <w:spacing w:before="156" w:after="156"/>
        <w:rPr>
          <w:rFonts w:ascii="Times New Roman"/>
          <w:szCs w:val="21"/>
        </w:rPr>
      </w:pPr>
      <w:r>
        <w:rPr>
          <w:rFonts w:hint="eastAsia" w:ascii="Times New Roman"/>
          <w:szCs w:val="21"/>
        </w:rPr>
        <w:t>三、规范水平分析</w:t>
      </w:r>
      <w:bookmarkEnd w:id="66"/>
    </w:p>
    <w:p>
      <w:r>
        <w:t>3.1</w:t>
      </w:r>
      <w:r>
        <w:rPr>
          <w:rFonts w:hint="eastAsia"/>
        </w:rPr>
        <w:t>采用国际标准及国外先进规范的程度</w:t>
      </w:r>
    </w:p>
    <w:p>
      <w:r>
        <w:rPr>
          <w:rFonts w:hint="eastAsia"/>
        </w:rPr>
        <w:t>摆锤动态撕裂冲击试验机是金属材料动态撕裂性能测试的常用设备，据查，目前国内外没有针对摆锤动态撕裂</w:t>
      </w:r>
      <w:r>
        <w:rPr>
          <w:rFonts w:hint="eastAsia"/>
          <w:lang w:val="en-US" w:eastAsia="zh-CN"/>
        </w:rPr>
        <w:t>冲击</w:t>
      </w:r>
      <w:r>
        <w:rPr>
          <w:rFonts w:hint="eastAsia"/>
        </w:rPr>
        <w:t>试验机的校准规范，计量检测机构也未开展该类仪器的检定校准。</w:t>
      </w:r>
    </w:p>
    <w:p>
      <w:r>
        <w:t>3.2</w:t>
      </w:r>
      <w:r>
        <w:rPr>
          <w:rFonts w:hint="eastAsia"/>
        </w:rPr>
        <w:t>与国际及国外同类标准水平的对比分析</w:t>
      </w:r>
    </w:p>
    <w:p>
      <w:r>
        <w:rPr>
          <w:rFonts w:hint="eastAsia"/>
        </w:rPr>
        <w:t>目前国外没有相关技术规范，本规范水平达到国外先进水平。</w:t>
      </w:r>
    </w:p>
    <w:p>
      <w:pPr>
        <w:pStyle w:val="19"/>
        <w:tabs>
          <w:tab w:val="left" w:pos="426"/>
        </w:tabs>
        <w:spacing w:before="312" w:beforeLines="100" w:after="312" w:afterLines="100"/>
        <w:jc w:val="left"/>
      </w:pPr>
      <w:r>
        <w:rPr>
          <w:rFonts w:hint="eastAsia" w:hAnsi="宋体"/>
          <w:bCs/>
          <w:szCs w:val="21"/>
        </w:rPr>
        <w:t>四、与有关的现行法律、法规和强制性国家标准的关系</w:t>
      </w:r>
    </w:p>
    <w:p>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19"/>
        <w:tabs>
          <w:tab w:val="left" w:pos="426"/>
        </w:tabs>
        <w:spacing w:before="312" w:beforeLines="100" w:after="312" w:afterLines="100"/>
        <w:jc w:val="left"/>
      </w:pPr>
      <w:bookmarkStart w:id="67" w:name="_Toc464728973"/>
      <w:r>
        <w:rPr>
          <w:rFonts w:hint="eastAsia"/>
        </w:rPr>
        <w:t>五、规范中涉及的专利或知识产权说明</w:t>
      </w:r>
      <w:bookmarkEnd w:id="67"/>
    </w:p>
    <w:p>
      <w:pPr>
        <w:pStyle w:val="10"/>
      </w:pPr>
      <w:bookmarkStart w:id="68" w:name="_Toc464728974"/>
      <w:r>
        <w:rPr>
          <w:rFonts w:hint="eastAsia"/>
        </w:rPr>
        <w:t>（无）</w:t>
      </w:r>
    </w:p>
    <w:p>
      <w:pPr>
        <w:pStyle w:val="19"/>
        <w:tabs>
          <w:tab w:val="left" w:pos="426"/>
        </w:tabs>
        <w:spacing w:before="312" w:beforeLines="100" w:after="312" w:afterLines="100"/>
        <w:jc w:val="left"/>
      </w:pPr>
      <w:r>
        <w:rPr>
          <w:rFonts w:hint="eastAsia"/>
        </w:rPr>
        <w:t>六、重大分歧意见的处理经过和依据</w:t>
      </w:r>
      <w:bookmarkEnd w:id="68"/>
    </w:p>
    <w:p>
      <w:pPr>
        <w:pStyle w:val="10"/>
      </w:pPr>
      <w:r>
        <w:rPr>
          <w:rFonts w:hint="eastAsia"/>
        </w:rPr>
        <w:t>（无）</w:t>
      </w:r>
    </w:p>
    <w:p>
      <w:pPr>
        <w:pStyle w:val="19"/>
        <w:tabs>
          <w:tab w:val="left" w:pos="426"/>
        </w:tabs>
        <w:spacing w:before="312" w:beforeLines="100" w:after="312" w:afterLines="100"/>
        <w:jc w:val="left"/>
      </w:pPr>
      <w:r>
        <w:rPr>
          <w:rFonts w:hint="eastAsia"/>
        </w:rPr>
        <w:t>七、规范作为强制性或推荐性国家（或行业）标准的建议</w:t>
      </w:r>
    </w:p>
    <w:p>
      <w:r>
        <w:rPr>
          <w:rFonts w:hint="eastAsia"/>
        </w:rPr>
        <w:t>建议本规范作为推荐性行业计量技术规范，供相关行业参考采用。</w:t>
      </w:r>
    </w:p>
    <w:p>
      <w:pPr>
        <w:pStyle w:val="19"/>
        <w:tabs>
          <w:tab w:val="left" w:pos="426"/>
        </w:tabs>
        <w:spacing w:before="312" w:beforeLines="100" w:after="312" w:afterLines="100"/>
        <w:jc w:val="left"/>
      </w:pPr>
      <w:bookmarkStart w:id="69" w:name="_Toc464728976"/>
      <w:r>
        <w:rPr>
          <w:rFonts w:hint="eastAsia"/>
        </w:rPr>
        <w:t>八、贯彻规范的要求和措施建议</w:t>
      </w:r>
      <w:bookmarkEnd w:id="69"/>
    </w:p>
    <w:p>
      <w:bookmarkStart w:id="70" w:name="_Toc464728977"/>
      <w:r>
        <w:rPr>
          <w:rFonts w:hint="eastAsia"/>
        </w:rPr>
        <w:t>本规范发布后，中国有色金属行业协会和有色金属行业计量技术委员会应加强本规范的宣传力度，促进摆锤动态撕裂</w:t>
      </w:r>
      <w:r>
        <w:rPr>
          <w:rFonts w:hint="eastAsia"/>
          <w:lang w:val="en-US" w:eastAsia="zh-CN"/>
        </w:rPr>
        <w:t>冲击</w:t>
      </w:r>
      <w:r>
        <w:rPr>
          <w:rFonts w:hint="eastAsia"/>
        </w:rPr>
        <w:t>试验机生产厂家按照设备使用情况合理选用校准规范，以促进我国企业的技术进步和产品质量上档次，提高我国产品在国际国内市场的竞争能力。</w:t>
      </w:r>
    </w:p>
    <w:p>
      <w:pPr>
        <w:pStyle w:val="19"/>
        <w:tabs>
          <w:tab w:val="left" w:pos="426"/>
        </w:tabs>
        <w:spacing w:before="312" w:beforeLines="100" w:after="312" w:afterLines="100"/>
        <w:jc w:val="left"/>
      </w:pPr>
      <w:r>
        <w:rPr>
          <w:rFonts w:hint="eastAsia"/>
        </w:rPr>
        <w:t>九、废止现行有关规范的建议</w:t>
      </w:r>
      <w:bookmarkEnd w:id="70"/>
    </w:p>
    <w:p>
      <w:pPr>
        <w:pStyle w:val="10"/>
      </w:pPr>
      <w:r>
        <w:rPr>
          <w:rFonts w:hint="eastAsia"/>
        </w:rPr>
        <w:t>（无）。</w:t>
      </w:r>
    </w:p>
    <w:p>
      <w:pPr>
        <w:pStyle w:val="19"/>
        <w:tabs>
          <w:tab w:val="left" w:pos="426"/>
        </w:tabs>
        <w:spacing w:before="312" w:beforeLines="100" w:after="312" w:afterLines="100"/>
        <w:jc w:val="left"/>
      </w:pPr>
      <w:r>
        <w:rPr>
          <w:rFonts w:hint="eastAsia"/>
        </w:rPr>
        <w:t>十、预期效果</w:t>
      </w:r>
    </w:p>
    <w:p>
      <w:r>
        <w:rPr>
          <w:rFonts w:hint="eastAsia"/>
          <w:lang w:val="en-US" w:eastAsia="zh-CN"/>
        </w:rPr>
        <w:t>摆锤动态撕裂冲击试验机</w:t>
      </w:r>
      <w:r>
        <w:rPr>
          <w:rFonts w:hint="eastAsia"/>
        </w:rPr>
        <w:t>校准规范的缺乏，已经无法满足日益增长的应用需求，本规范的制定，具有极大的经济效益和社会效益，填补了有色金属行业领域校准空白，对</w:t>
      </w:r>
      <w:r>
        <w:rPr>
          <w:rFonts w:hint="eastAsia"/>
          <w:lang w:val="en-US" w:eastAsia="zh-CN"/>
        </w:rPr>
        <w:t>摆锤动态撕裂冲击试验机</w:t>
      </w:r>
      <w:r>
        <w:rPr>
          <w:rFonts w:hint="eastAsia"/>
        </w:rPr>
        <w:t>在行业中应用提供了技术支撑，市场发展和政府急需程度非常高。</w:t>
      </w:r>
    </w:p>
    <w:p>
      <w:pPr>
        <w:pStyle w:val="19"/>
        <w:tabs>
          <w:tab w:val="left" w:pos="426"/>
        </w:tabs>
        <w:spacing w:before="312" w:beforeLines="100" w:after="312" w:afterLines="100"/>
        <w:jc w:val="left"/>
      </w:pPr>
      <w:r>
        <w:rPr>
          <w:rFonts w:hint="eastAsia" w:hAnsi="宋体"/>
          <w:bCs/>
          <w:szCs w:val="21"/>
        </w:rPr>
        <w:t>十一、其他应予说明的事项</w:t>
      </w:r>
    </w:p>
    <w:p>
      <w:pPr>
        <w:pStyle w:val="10"/>
      </w:pPr>
      <w:r>
        <w:rPr>
          <w:rFonts w:hint="eastAsia"/>
        </w:rPr>
        <w:t>（无）。</w:t>
      </w:r>
    </w:p>
    <w:p>
      <w:pPr>
        <w:pStyle w:val="10"/>
        <w:jc w:val="right"/>
        <w:rPr>
          <w:rFonts w:eastAsia="方正行楷简体"/>
          <w:bCs/>
        </w:rPr>
      </w:pPr>
      <w:r>
        <w:rPr>
          <w:rFonts w:eastAsia="黑体"/>
          <w:bCs/>
        </w:rPr>
        <w:t xml:space="preserve">  </w:t>
      </w:r>
      <w:r>
        <w:rPr>
          <w:rFonts w:hint="eastAsia" w:eastAsia="黑体"/>
          <w:bCs/>
        </w:rPr>
        <w:t xml:space="preserve">  </w:t>
      </w:r>
      <w:r>
        <w:rPr>
          <w:rFonts w:eastAsia="方正行楷简体"/>
          <w:bCs/>
        </w:rPr>
        <w:t>《</w:t>
      </w:r>
      <w:r>
        <w:rPr>
          <w:rFonts w:hint="eastAsia"/>
          <w:lang w:val="en-US" w:eastAsia="zh-CN"/>
        </w:rPr>
        <w:t>摆锤动态撕裂冲击试验机</w:t>
      </w:r>
      <w:r>
        <w:rPr>
          <w:rFonts w:hint="eastAsia"/>
        </w:rPr>
        <w:t>校准规范</w:t>
      </w:r>
      <w:r>
        <w:rPr>
          <w:rFonts w:eastAsia="方正行楷简体"/>
          <w:bCs/>
        </w:rPr>
        <w:t xml:space="preserve">》编制组  </w:t>
      </w:r>
    </w:p>
    <w:p>
      <w:pPr>
        <w:pStyle w:val="10"/>
        <w:ind w:firstLine="630" w:firstLineChars="300"/>
        <w:jc w:val="right"/>
      </w:pPr>
      <w:r>
        <w:t>202</w:t>
      </w:r>
      <w:r>
        <w:rPr>
          <w:rFonts w:hint="eastAsia"/>
        </w:rPr>
        <w:t>4</w:t>
      </w:r>
      <w:r>
        <w:t>年</w:t>
      </w:r>
      <w:r>
        <w:rPr>
          <w:rFonts w:hint="eastAsia"/>
          <w:lang w:val="en-US" w:eastAsia="zh-CN"/>
        </w:rPr>
        <w:t>6</w:t>
      </w:r>
      <w:r>
        <w:t>月</w:t>
      </w:r>
      <w:r>
        <w:rPr>
          <w:rFonts w:hint="eastAsia"/>
          <w:lang w:val="en-US" w:eastAsia="zh-CN"/>
        </w:rPr>
        <w:t>1</w:t>
      </w:r>
      <w:r>
        <w:rPr>
          <w:rFonts w:hint="eastAsia"/>
        </w:rPr>
        <w:t>2日</w:t>
      </w:r>
    </w:p>
    <w:p/>
    <w:sectPr>
      <w:footerReference r:id="rId6" w:type="first"/>
      <w:headerReference r:id="rId5" w:type="default"/>
      <w:pgSz w:w="11907" w:h="16839"/>
      <w:pgMar w:top="1418" w:right="1134" w:bottom="1134" w:left="1418" w:header="1418" w:footer="851" w:gutter="0"/>
      <w:pgNumType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upperLetter"/>
      <w:pStyle w:val="1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0"/>
      <w:lvlText w:val="（%2）"/>
      <w:lvlJc w:val="left"/>
      <w:pPr>
        <w:ind w:left="0" w:firstLine="0"/>
      </w:pPr>
      <w:rPr>
        <w:rFonts w:hint="default"/>
        <w:b w:val="0"/>
        <w:i w:val="0"/>
        <w:spacing w:val="0"/>
        <w:w w:val="100"/>
        <w:kern w:val="21"/>
        <w:sz w:val="21"/>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4"/>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pStyle w:val="2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25"/>
    <w:multiLevelType w:val="multilevel"/>
    <w:tmpl w:val="00000025"/>
    <w:lvl w:ilvl="0" w:tentative="0">
      <w:start w:val="1"/>
      <w:numFmt w:val="none"/>
      <w:pStyle w:val="15"/>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DE6161"/>
    <w:rsid w:val="00004583"/>
    <w:rsid w:val="00013E2C"/>
    <w:rsid w:val="00016538"/>
    <w:rsid w:val="00094FC6"/>
    <w:rsid w:val="000B2597"/>
    <w:rsid w:val="001D68A9"/>
    <w:rsid w:val="001F4B1C"/>
    <w:rsid w:val="00213CEB"/>
    <w:rsid w:val="002143E6"/>
    <w:rsid w:val="00220741"/>
    <w:rsid w:val="00250277"/>
    <w:rsid w:val="003050A4"/>
    <w:rsid w:val="00352F82"/>
    <w:rsid w:val="00376663"/>
    <w:rsid w:val="003812C0"/>
    <w:rsid w:val="003C17A2"/>
    <w:rsid w:val="00493B2A"/>
    <w:rsid w:val="0049595A"/>
    <w:rsid w:val="004A007E"/>
    <w:rsid w:val="00571463"/>
    <w:rsid w:val="00591F13"/>
    <w:rsid w:val="005B524A"/>
    <w:rsid w:val="005B66CE"/>
    <w:rsid w:val="005E1B6A"/>
    <w:rsid w:val="005F3AB3"/>
    <w:rsid w:val="00611D06"/>
    <w:rsid w:val="00694491"/>
    <w:rsid w:val="006B7C5D"/>
    <w:rsid w:val="007110C3"/>
    <w:rsid w:val="00730484"/>
    <w:rsid w:val="007E4EA0"/>
    <w:rsid w:val="0080382E"/>
    <w:rsid w:val="008141D5"/>
    <w:rsid w:val="00825B82"/>
    <w:rsid w:val="00826359"/>
    <w:rsid w:val="008322BB"/>
    <w:rsid w:val="008434B0"/>
    <w:rsid w:val="009B391F"/>
    <w:rsid w:val="009F5343"/>
    <w:rsid w:val="00A51D95"/>
    <w:rsid w:val="00AA6C16"/>
    <w:rsid w:val="00AD3D89"/>
    <w:rsid w:val="00B17950"/>
    <w:rsid w:val="00B3573E"/>
    <w:rsid w:val="00BF689B"/>
    <w:rsid w:val="00C06F25"/>
    <w:rsid w:val="00C54CE5"/>
    <w:rsid w:val="00DE6161"/>
    <w:rsid w:val="00DF7EC9"/>
    <w:rsid w:val="00ED6662"/>
    <w:rsid w:val="00F03449"/>
    <w:rsid w:val="00F76E44"/>
    <w:rsid w:val="00FB5A2B"/>
    <w:rsid w:val="00FF2645"/>
    <w:rsid w:val="01B31904"/>
    <w:rsid w:val="02881CFA"/>
    <w:rsid w:val="02C848FD"/>
    <w:rsid w:val="047D23AB"/>
    <w:rsid w:val="04EB042F"/>
    <w:rsid w:val="051A51EF"/>
    <w:rsid w:val="054D733B"/>
    <w:rsid w:val="05A14F91"/>
    <w:rsid w:val="05AB7BBE"/>
    <w:rsid w:val="05E31870"/>
    <w:rsid w:val="06111843"/>
    <w:rsid w:val="0636392C"/>
    <w:rsid w:val="063F6C84"/>
    <w:rsid w:val="06705A8C"/>
    <w:rsid w:val="06F50773"/>
    <w:rsid w:val="070313B7"/>
    <w:rsid w:val="07F7533D"/>
    <w:rsid w:val="080261BB"/>
    <w:rsid w:val="082A2E23"/>
    <w:rsid w:val="084A631B"/>
    <w:rsid w:val="08BC0A60"/>
    <w:rsid w:val="08CD3A99"/>
    <w:rsid w:val="08F4119D"/>
    <w:rsid w:val="08F63846"/>
    <w:rsid w:val="09385C0D"/>
    <w:rsid w:val="0A375EC4"/>
    <w:rsid w:val="0A4707FD"/>
    <w:rsid w:val="0A6C5040"/>
    <w:rsid w:val="0AA3355A"/>
    <w:rsid w:val="0B022976"/>
    <w:rsid w:val="0B1526A9"/>
    <w:rsid w:val="0B1A078B"/>
    <w:rsid w:val="0B74325A"/>
    <w:rsid w:val="0BCB580A"/>
    <w:rsid w:val="0BD936D7"/>
    <w:rsid w:val="0C3C77C2"/>
    <w:rsid w:val="0C62191E"/>
    <w:rsid w:val="0C743400"/>
    <w:rsid w:val="0C8D2074"/>
    <w:rsid w:val="0CF85DDF"/>
    <w:rsid w:val="0D921D8F"/>
    <w:rsid w:val="0DB37F58"/>
    <w:rsid w:val="0DBD6D6F"/>
    <w:rsid w:val="0F037752"/>
    <w:rsid w:val="0F7C3528"/>
    <w:rsid w:val="0FB104C7"/>
    <w:rsid w:val="104F3F68"/>
    <w:rsid w:val="10545A22"/>
    <w:rsid w:val="10580902"/>
    <w:rsid w:val="10593038"/>
    <w:rsid w:val="10B95885"/>
    <w:rsid w:val="10E612BA"/>
    <w:rsid w:val="10F92125"/>
    <w:rsid w:val="110A4333"/>
    <w:rsid w:val="11531836"/>
    <w:rsid w:val="118E6D12"/>
    <w:rsid w:val="12B46304"/>
    <w:rsid w:val="138F09C8"/>
    <w:rsid w:val="13AE07D9"/>
    <w:rsid w:val="140A08FA"/>
    <w:rsid w:val="14131750"/>
    <w:rsid w:val="14496F20"/>
    <w:rsid w:val="14EA24B1"/>
    <w:rsid w:val="161E224A"/>
    <w:rsid w:val="16E3365C"/>
    <w:rsid w:val="172A4DE7"/>
    <w:rsid w:val="17C632CD"/>
    <w:rsid w:val="18CD0F84"/>
    <w:rsid w:val="196B7742"/>
    <w:rsid w:val="198B58C0"/>
    <w:rsid w:val="19EC45DA"/>
    <w:rsid w:val="1A253F8B"/>
    <w:rsid w:val="1A4978EF"/>
    <w:rsid w:val="1B6805D3"/>
    <w:rsid w:val="1B6C0BC3"/>
    <w:rsid w:val="1BE37A4A"/>
    <w:rsid w:val="1BFD6F6E"/>
    <w:rsid w:val="1C3404B6"/>
    <w:rsid w:val="1C593030"/>
    <w:rsid w:val="1D526E45"/>
    <w:rsid w:val="1E560BB7"/>
    <w:rsid w:val="1E8C11BC"/>
    <w:rsid w:val="1EE461C3"/>
    <w:rsid w:val="1F5141DF"/>
    <w:rsid w:val="1F7436CB"/>
    <w:rsid w:val="1FDA1374"/>
    <w:rsid w:val="20BB2F53"/>
    <w:rsid w:val="21E03A6E"/>
    <w:rsid w:val="22363B65"/>
    <w:rsid w:val="22DF73CD"/>
    <w:rsid w:val="235B27CC"/>
    <w:rsid w:val="23622057"/>
    <w:rsid w:val="23A651D6"/>
    <w:rsid w:val="240E0533"/>
    <w:rsid w:val="24371ADE"/>
    <w:rsid w:val="245060A9"/>
    <w:rsid w:val="246758CC"/>
    <w:rsid w:val="24D10F97"/>
    <w:rsid w:val="2604714B"/>
    <w:rsid w:val="26196B81"/>
    <w:rsid w:val="26E74B7D"/>
    <w:rsid w:val="274D178F"/>
    <w:rsid w:val="27DA4607"/>
    <w:rsid w:val="283A6E54"/>
    <w:rsid w:val="28786B3B"/>
    <w:rsid w:val="2879797C"/>
    <w:rsid w:val="288F53F1"/>
    <w:rsid w:val="28B430AA"/>
    <w:rsid w:val="29F00112"/>
    <w:rsid w:val="29F83E6F"/>
    <w:rsid w:val="2A2C0A1E"/>
    <w:rsid w:val="2A994305"/>
    <w:rsid w:val="2B406E77"/>
    <w:rsid w:val="2BB74622"/>
    <w:rsid w:val="2BCE7FDF"/>
    <w:rsid w:val="2C0C5A6D"/>
    <w:rsid w:val="2C1520B2"/>
    <w:rsid w:val="2C275941"/>
    <w:rsid w:val="2C9F3729"/>
    <w:rsid w:val="2D2307FE"/>
    <w:rsid w:val="2D426ED6"/>
    <w:rsid w:val="2D450775"/>
    <w:rsid w:val="2D4B565F"/>
    <w:rsid w:val="2D5D4BB3"/>
    <w:rsid w:val="2D8F7C42"/>
    <w:rsid w:val="2DC225D6"/>
    <w:rsid w:val="2DFB7085"/>
    <w:rsid w:val="2E187C37"/>
    <w:rsid w:val="2EA527B2"/>
    <w:rsid w:val="2EC15BD9"/>
    <w:rsid w:val="2F78726D"/>
    <w:rsid w:val="2F835584"/>
    <w:rsid w:val="300F0BC6"/>
    <w:rsid w:val="302866BB"/>
    <w:rsid w:val="303A5ACB"/>
    <w:rsid w:val="30565A03"/>
    <w:rsid w:val="30801AC4"/>
    <w:rsid w:val="308726CA"/>
    <w:rsid w:val="311C7380"/>
    <w:rsid w:val="314E571E"/>
    <w:rsid w:val="31AB491E"/>
    <w:rsid w:val="31D076BB"/>
    <w:rsid w:val="325925CC"/>
    <w:rsid w:val="334D461D"/>
    <w:rsid w:val="335C6818"/>
    <w:rsid w:val="33A61841"/>
    <w:rsid w:val="34951FE2"/>
    <w:rsid w:val="34AE6BFF"/>
    <w:rsid w:val="34BB30CA"/>
    <w:rsid w:val="34CE54F3"/>
    <w:rsid w:val="34E22D4D"/>
    <w:rsid w:val="357A41C8"/>
    <w:rsid w:val="36625EF3"/>
    <w:rsid w:val="368F12A6"/>
    <w:rsid w:val="36C02C1A"/>
    <w:rsid w:val="372B4B9D"/>
    <w:rsid w:val="380B25BB"/>
    <w:rsid w:val="38331607"/>
    <w:rsid w:val="38997BC6"/>
    <w:rsid w:val="38A34780"/>
    <w:rsid w:val="3A6352C9"/>
    <w:rsid w:val="3AD2116E"/>
    <w:rsid w:val="3B0B397B"/>
    <w:rsid w:val="3B4C2CCE"/>
    <w:rsid w:val="3B8C4EF8"/>
    <w:rsid w:val="3C215F09"/>
    <w:rsid w:val="3CA436CF"/>
    <w:rsid w:val="3D044D8F"/>
    <w:rsid w:val="3D324146"/>
    <w:rsid w:val="3DBF00CF"/>
    <w:rsid w:val="3DDC4C55"/>
    <w:rsid w:val="3E810EE1"/>
    <w:rsid w:val="3F1E4B9D"/>
    <w:rsid w:val="3F1E711F"/>
    <w:rsid w:val="3FCA3C1E"/>
    <w:rsid w:val="403A074B"/>
    <w:rsid w:val="40CB6D8B"/>
    <w:rsid w:val="40DD2DBA"/>
    <w:rsid w:val="40FB02AC"/>
    <w:rsid w:val="40FD2F23"/>
    <w:rsid w:val="410C4B8E"/>
    <w:rsid w:val="41650F8E"/>
    <w:rsid w:val="41872CB2"/>
    <w:rsid w:val="41CB6B40"/>
    <w:rsid w:val="4223632C"/>
    <w:rsid w:val="422B0688"/>
    <w:rsid w:val="42402E61"/>
    <w:rsid w:val="42A47894"/>
    <w:rsid w:val="42EA346B"/>
    <w:rsid w:val="4315253F"/>
    <w:rsid w:val="43AA7FCB"/>
    <w:rsid w:val="43C1210D"/>
    <w:rsid w:val="44330ECF"/>
    <w:rsid w:val="445F1CC4"/>
    <w:rsid w:val="44966139"/>
    <w:rsid w:val="450D357A"/>
    <w:rsid w:val="4528655A"/>
    <w:rsid w:val="45BB117C"/>
    <w:rsid w:val="45FB6D58"/>
    <w:rsid w:val="46F52356"/>
    <w:rsid w:val="472C0F7B"/>
    <w:rsid w:val="47C671CC"/>
    <w:rsid w:val="47DC187E"/>
    <w:rsid w:val="47E52357"/>
    <w:rsid w:val="48114B6A"/>
    <w:rsid w:val="48897310"/>
    <w:rsid w:val="48F549A5"/>
    <w:rsid w:val="49437E06"/>
    <w:rsid w:val="498F5AF0"/>
    <w:rsid w:val="4A404346"/>
    <w:rsid w:val="4A9106FD"/>
    <w:rsid w:val="4AB12B4E"/>
    <w:rsid w:val="4B7C299C"/>
    <w:rsid w:val="4BC30D8B"/>
    <w:rsid w:val="4CE76CFB"/>
    <w:rsid w:val="4D7E765F"/>
    <w:rsid w:val="4D7F314C"/>
    <w:rsid w:val="4F361873"/>
    <w:rsid w:val="4F846A83"/>
    <w:rsid w:val="4FE94B38"/>
    <w:rsid w:val="509A13A5"/>
    <w:rsid w:val="51256043"/>
    <w:rsid w:val="52943551"/>
    <w:rsid w:val="53057EDB"/>
    <w:rsid w:val="53590226"/>
    <w:rsid w:val="539A35D5"/>
    <w:rsid w:val="543F741C"/>
    <w:rsid w:val="54F93047"/>
    <w:rsid w:val="554F18E1"/>
    <w:rsid w:val="55D83684"/>
    <w:rsid w:val="56051FA0"/>
    <w:rsid w:val="5610220C"/>
    <w:rsid w:val="562C39D0"/>
    <w:rsid w:val="56F24C1A"/>
    <w:rsid w:val="572D17AE"/>
    <w:rsid w:val="575A3906"/>
    <w:rsid w:val="578B032B"/>
    <w:rsid w:val="585A7499"/>
    <w:rsid w:val="587A5276"/>
    <w:rsid w:val="59E7033A"/>
    <w:rsid w:val="5ABF4E13"/>
    <w:rsid w:val="5AF96577"/>
    <w:rsid w:val="5AFF6AD5"/>
    <w:rsid w:val="5C3F26AF"/>
    <w:rsid w:val="5D261179"/>
    <w:rsid w:val="5D7A76E4"/>
    <w:rsid w:val="5DC10EA2"/>
    <w:rsid w:val="5DDD2180"/>
    <w:rsid w:val="5E473A9D"/>
    <w:rsid w:val="5E5F4751"/>
    <w:rsid w:val="5EBE53E1"/>
    <w:rsid w:val="5EDA221B"/>
    <w:rsid w:val="5FED43A5"/>
    <w:rsid w:val="6014175D"/>
    <w:rsid w:val="611F03B9"/>
    <w:rsid w:val="61BC3E5A"/>
    <w:rsid w:val="61BF394A"/>
    <w:rsid w:val="6223212B"/>
    <w:rsid w:val="623E6F65"/>
    <w:rsid w:val="62EE44E7"/>
    <w:rsid w:val="62FB16BE"/>
    <w:rsid w:val="631D6B7A"/>
    <w:rsid w:val="63BA6ABF"/>
    <w:rsid w:val="63CD05A1"/>
    <w:rsid w:val="649305A2"/>
    <w:rsid w:val="64A532CB"/>
    <w:rsid w:val="652069E4"/>
    <w:rsid w:val="656A1E1F"/>
    <w:rsid w:val="665E3732"/>
    <w:rsid w:val="66755689"/>
    <w:rsid w:val="66CF4630"/>
    <w:rsid w:val="66F34E5F"/>
    <w:rsid w:val="672A3055"/>
    <w:rsid w:val="673D5A3D"/>
    <w:rsid w:val="67917B37"/>
    <w:rsid w:val="68BD5EFB"/>
    <w:rsid w:val="68D67EF7"/>
    <w:rsid w:val="68FE11FC"/>
    <w:rsid w:val="694D12C6"/>
    <w:rsid w:val="694D7A8E"/>
    <w:rsid w:val="69653029"/>
    <w:rsid w:val="69966AFB"/>
    <w:rsid w:val="69A2602B"/>
    <w:rsid w:val="69D63F27"/>
    <w:rsid w:val="6A033E82"/>
    <w:rsid w:val="6A222860"/>
    <w:rsid w:val="6B4707D4"/>
    <w:rsid w:val="6B7E03D2"/>
    <w:rsid w:val="6B8754D9"/>
    <w:rsid w:val="6BE66CF2"/>
    <w:rsid w:val="6CB17718"/>
    <w:rsid w:val="6CB52B4C"/>
    <w:rsid w:val="6D0C4E81"/>
    <w:rsid w:val="6D2D3E5E"/>
    <w:rsid w:val="6F975655"/>
    <w:rsid w:val="704F233D"/>
    <w:rsid w:val="70A73F27"/>
    <w:rsid w:val="70F97E5D"/>
    <w:rsid w:val="71351A13"/>
    <w:rsid w:val="7174517E"/>
    <w:rsid w:val="72123C88"/>
    <w:rsid w:val="72D2286B"/>
    <w:rsid w:val="73090EC9"/>
    <w:rsid w:val="736E51D0"/>
    <w:rsid w:val="73FA4A43"/>
    <w:rsid w:val="74235FBB"/>
    <w:rsid w:val="74312486"/>
    <w:rsid w:val="74AA2238"/>
    <w:rsid w:val="75096F5F"/>
    <w:rsid w:val="75EC5ECA"/>
    <w:rsid w:val="76154B68"/>
    <w:rsid w:val="76CF1D63"/>
    <w:rsid w:val="773B361B"/>
    <w:rsid w:val="779F3BAA"/>
    <w:rsid w:val="77B67FC3"/>
    <w:rsid w:val="77B84C6C"/>
    <w:rsid w:val="77BF23F7"/>
    <w:rsid w:val="78616420"/>
    <w:rsid w:val="78994A9D"/>
    <w:rsid w:val="79053EE1"/>
    <w:rsid w:val="796C2955"/>
    <w:rsid w:val="79C21DD2"/>
    <w:rsid w:val="7A0D6A93"/>
    <w:rsid w:val="7A102E0B"/>
    <w:rsid w:val="7A107396"/>
    <w:rsid w:val="7A3004E2"/>
    <w:rsid w:val="7A6A66F1"/>
    <w:rsid w:val="7AB91D09"/>
    <w:rsid w:val="7AE364A4"/>
    <w:rsid w:val="7B762E74"/>
    <w:rsid w:val="7D2C7C8E"/>
    <w:rsid w:val="7D450D50"/>
    <w:rsid w:val="7DF818E3"/>
    <w:rsid w:val="7DFD787D"/>
    <w:rsid w:val="7E4021D2"/>
    <w:rsid w:val="7F3D43D5"/>
    <w:rsid w:val="7F4F4108"/>
    <w:rsid w:val="7F8518D8"/>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contextualSpacing/>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31"/>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ind w:right="210" w:rightChars="100"/>
      <w:jc w:val="right"/>
    </w:pPr>
    <w:rPr>
      <w:sz w:val="18"/>
      <w:szCs w:val="18"/>
    </w:rPr>
  </w:style>
  <w:style w:type="paragraph" w:styleId="4">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240" w:lineRule="auto"/>
      <w:ind w:firstLine="0" w:firstLineChars="0"/>
      <w:contextualSpacing w:val="0"/>
    </w:pPr>
    <w:rPr>
      <w:rFonts w:asciiTheme="minorHAnsi" w:hAnsiTheme="minorHAnsi" w:eastAsiaTheme="minorEastAsia"/>
      <w:kern w:val="0"/>
      <w:sz w:val="24"/>
      <w:szCs w:val="24"/>
    </w:rPr>
  </w:style>
  <w:style w:type="character" w:styleId="8">
    <w:name w:val="page number"/>
    <w:qFormat/>
    <w:uiPriority w:val="0"/>
    <w:rPr>
      <w:rFonts w:ascii="Times New Roman" w:hAnsi="Times New Roman" w:eastAsia="宋体"/>
      <w:sz w:val="18"/>
    </w:rPr>
  </w:style>
  <w:style w:type="character" w:customStyle="1" w:styleId="9">
    <w:name w:val="页脚 Char"/>
    <w:basedOn w:val="7"/>
    <w:link w:val="3"/>
    <w:qFormat/>
    <w:uiPriority w:val="0"/>
    <w:rPr>
      <w:rFonts w:ascii="Times New Roman" w:hAnsi="Times New Roman" w:eastAsia="宋体" w:cs="Times New Roman"/>
      <w:sz w:val="18"/>
      <w:szCs w:val="18"/>
    </w:rPr>
  </w:style>
  <w:style w:type="paragraph" w:customStyle="1" w:styleId="10">
    <w:name w:val="段"/>
    <w:link w:val="27"/>
    <w:qFormat/>
    <w:uiPriority w:val="0"/>
    <w:pPr>
      <w:autoSpaceDE w:val="0"/>
      <w:autoSpaceDN w:val="0"/>
      <w:adjustRightInd w:val="0"/>
      <w:snapToGrid w:val="0"/>
      <w:jc w:val="both"/>
    </w:pPr>
    <w:rPr>
      <w:rFonts w:ascii="Times New Roman" w:hAnsi="Times New Roman" w:eastAsia="宋体" w:cs="Times New Roman"/>
      <w:sz w:val="21"/>
      <w:lang w:val="en-US" w:eastAsia="zh-CN" w:bidi="ar-SA"/>
    </w:rPr>
  </w:style>
  <w:style w:type="paragraph" w:customStyle="1" w:styleId="11">
    <w:name w:val="二级条标题"/>
    <w:basedOn w:val="12"/>
    <w:next w:val="10"/>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12">
    <w:name w:val="一级条标题"/>
    <w:basedOn w:val="13"/>
    <w:next w:val="10"/>
    <w:link w:val="29"/>
    <w:qFormat/>
    <w:uiPriority w:val="0"/>
    <w:pPr>
      <w:numPr>
        <w:ilvl w:val="0"/>
        <w:numId w:val="0"/>
      </w:numPr>
      <w:spacing w:before="156" w:after="156" w:line="300" w:lineRule="auto"/>
      <w:contextualSpacing/>
      <w:outlineLvl w:val="2"/>
    </w:pPr>
    <w:rPr>
      <w:rFonts w:ascii="Times New Roman"/>
      <w:spacing w:val="-4"/>
      <w:szCs w:val="24"/>
    </w:rPr>
  </w:style>
  <w:style w:type="paragraph" w:customStyle="1" w:styleId="13">
    <w:name w:val="章标题"/>
    <w:next w:val="10"/>
    <w:link w:val="2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4">
    <w:name w:val="附录标识"/>
    <w:basedOn w:val="15"/>
    <w:qFormat/>
    <w:uiPriority w:val="0"/>
    <w:pPr>
      <w:numPr>
        <w:ilvl w:val="0"/>
        <w:numId w:val="2"/>
      </w:numPr>
      <w:tabs>
        <w:tab w:val="left" w:pos="6405"/>
      </w:tabs>
      <w:spacing w:after="200"/>
    </w:pPr>
    <w:rPr>
      <w:sz w:val="21"/>
    </w:rPr>
  </w:style>
  <w:style w:type="paragraph" w:customStyle="1" w:styleId="1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四级条标题"/>
    <w:basedOn w:val="17"/>
    <w:next w:val="10"/>
    <w:qFormat/>
    <w:uiPriority w:val="0"/>
    <w:pPr>
      <w:numPr>
        <w:ilvl w:val="5"/>
      </w:numPr>
      <w:outlineLvl w:val="5"/>
    </w:pPr>
  </w:style>
  <w:style w:type="paragraph" w:customStyle="1" w:styleId="17">
    <w:name w:val="三级条标题"/>
    <w:basedOn w:val="11"/>
    <w:next w:val="10"/>
    <w:qFormat/>
    <w:uiPriority w:val="0"/>
    <w:pPr>
      <w:numPr>
        <w:ilvl w:val="4"/>
      </w:numPr>
      <w:outlineLvl w:val="4"/>
    </w:pPr>
  </w:style>
  <w:style w:type="paragraph" w:customStyle="1" w:styleId="1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
    <w:name w:val="参考文献、索引标题"/>
    <w:basedOn w:val="15"/>
    <w:next w:val="1"/>
    <w:qFormat/>
    <w:uiPriority w:val="0"/>
    <w:pPr>
      <w:numPr>
        <w:numId w:val="0"/>
      </w:numPr>
      <w:spacing w:after="200"/>
    </w:pPr>
    <w:rPr>
      <w:sz w:val="21"/>
    </w:rPr>
  </w:style>
  <w:style w:type="paragraph" w:customStyle="1" w:styleId="20">
    <w:name w:val="附录章标题"/>
    <w:next w:val="10"/>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1">
    <w:name w:val="五级条标题"/>
    <w:basedOn w:val="16"/>
    <w:next w:val="10"/>
    <w:qFormat/>
    <w:uiPriority w:val="0"/>
    <w:pPr>
      <w:numPr>
        <w:ilvl w:val="6"/>
      </w:numPr>
      <w:outlineLvl w:val="6"/>
    </w:pPr>
  </w:style>
  <w:style w:type="paragraph" w:customStyle="1" w:styleId="22">
    <w:name w:val="附录五级条标题"/>
    <w:basedOn w:val="23"/>
    <w:next w:val="10"/>
    <w:qFormat/>
    <w:uiPriority w:val="0"/>
    <w:pPr>
      <w:numPr>
        <w:ilvl w:val="6"/>
      </w:numPr>
      <w:outlineLvl w:val="6"/>
    </w:pPr>
  </w:style>
  <w:style w:type="paragraph" w:customStyle="1" w:styleId="23">
    <w:name w:val="附录四级条标题"/>
    <w:basedOn w:val="24"/>
    <w:next w:val="10"/>
    <w:qFormat/>
    <w:uiPriority w:val="0"/>
    <w:pPr>
      <w:numPr>
        <w:ilvl w:val="5"/>
      </w:numPr>
      <w:outlineLvl w:val="5"/>
    </w:pPr>
  </w:style>
  <w:style w:type="paragraph" w:customStyle="1" w:styleId="24">
    <w:name w:val="附录三级条标题"/>
    <w:basedOn w:val="25"/>
    <w:next w:val="10"/>
    <w:qFormat/>
    <w:uiPriority w:val="0"/>
    <w:pPr>
      <w:numPr>
        <w:ilvl w:val="4"/>
      </w:numPr>
      <w:outlineLvl w:val="4"/>
    </w:pPr>
  </w:style>
  <w:style w:type="paragraph" w:customStyle="1" w:styleId="25">
    <w:name w:val="附录二级条标题"/>
    <w:basedOn w:val="26"/>
    <w:next w:val="10"/>
    <w:qFormat/>
    <w:uiPriority w:val="0"/>
    <w:pPr>
      <w:numPr>
        <w:ilvl w:val="3"/>
      </w:numPr>
      <w:outlineLvl w:val="3"/>
    </w:pPr>
  </w:style>
  <w:style w:type="paragraph" w:customStyle="1" w:styleId="26">
    <w:name w:val="附录一级条标题"/>
    <w:basedOn w:val="20"/>
    <w:next w:val="10"/>
    <w:qFormat/>
    <w:uiPriority w:val="0"/>
    <w:pPr>
      <w:numPr>
        <w:ilvl w:val="2"/>
      </w:numPr>
      <w:autoSpaceDN w:val="0"/>
      <w:spacing w:beforeLines="0" w:afterLines="0"/>
      <w:outlineLvl w:val="2"/>
    </w:pPr>
  </w:style>
  <w:style w:type="character" w:customStyle="1" w:styleId="27">
    <w:name w:val="段 Char"/>
    <w:link w:val="10"/>
    <w:qFormat/>
    <w:uiPriority w:val="0"/>
    <w:rPr>
      <w:rFonts w:ascii="Times New Roman" w:hAnsi="Times New Roman" w:eastAsia="宋体" w:cs="Times New Roman"/>
      <w:sz w:val="21"/>
    </w:rPr>
  </w:style>
  <w:style w:type="character" w:customStyle="1" w:styleId="28">
    <w:name w:val="章标题 Char"/>
    <w:link w:val="13"/>
    <w:qFormat/>
    <w:uiPriority w:val="0"/>
    <w:rPr>
      <w:rFonts w:ascii="黑体" w:hAnsi="Times New Roman" w:eastAsia="黑体" w:cs="Times New Roman"/>
      <w:kern w:val="0"/>
      <w:szCs w:val="20"/>
    </w:rPr>
  </w:style>
  <w:style w:type="character" w:customStyle="1" w:styleId="29">
    <w:name w:val="一级条标题 Char"/>
    <w:link w:val="12"/>
    <w:qFormat/>
    <w:uiPriority w:val="0"/>
    <w:rPr>
      <w:rFonts w:ascii="Times New Roman" w:hAnsi="Times New Roman" w:eastAsia="黑体" w:cs="Times New Roman"/>
      <w:spacing w:val="-4"/>
      <w:sz w:val="21"/>
      <w:szCs w:val="24"/>
    </w:rPr>
  </w:style>
  <w:style w:type="character" w:customStyle="1" w:styleId="30">
    <w:name w:val="页眉 Char"/>
    <w:basedOn w:val="7"/>
    <w:link w:val="4"/>
    <w:qFormat/>
    <w:uiPriority w:val="99"/>
    <w:rPr>
      <w:rFonts w:ascii="Times New Roman" w:hAnsi="Times New Roman" w:eastAsia="宋体" w:cs="Times New Roman"/>
      <w:sz w:val="18"/>
      <w:szCs w:val="18"/>
    </w:rPr>
  </w:style>
  <w:style w:type="character" w:customStyle="1" w:styleId="31">
    <w:name w:val="批注框文本 Char"/>
    <w:basedOn w:val="7"/>
    <w:link w:val="2"/>
    <w:semiHidden/>
    <w:qFormat/>
    <w:uiPriority w:val="99"/>
    <w:rPr>
      <w:rFonts w:ascii="Times New Roman" w:hAnsi="Times New Roman" w:eastAsia="宋体" w:cs="Times New Roman"/>
      <w:sz w:val="18"/>
      <w:szCs w:val="18"/>
    </w:rPr>
  </w:style>
  <w:style w:type="paragraph" w:customStyle="1" w:styleId="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
    <w:name w:val="其他发布部门"/>
    <w:basedOn w:val="1"/>
    <w:qFormat/>
    <w:uiPriority w:val="0"/>
    <w:pPr>
      <w:widowControl/>
      <w:spacing w:line="0" w:lineRule="atLeast"/>
      <w:jc w:val="center"/>
    </w:pPr>
    <w:rPr>
      <w:rFonts w:ascii="黑体" w:eastAsia="黑体"/>
      <w:spacing w:val="20"/>
      <w:w w:val="135"/>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528D7-DF53-4264-AFB2-EFFBC949BA40}">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9</Pages>
  <Words>7319</Words>
  <Characters>7967</Characters>
  <Lines>52</Lines>
  <Paragraphs>14</Paragraphs>
  <TotalTime>2</TotalTime>
  <ScaleCrop>false</ScaleCrop>
  <LinksUpToDate>false</LinksUpToDate>
  <CharactersWithSpaces>8019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2024-01-06T05:30:00Z</dcterms:created>
  <dc:creator>dell</dc:creator>
  <cp:lastModifiedBy>喆@瑶爸</cp:lastModifiedBy>
  <cp:lastPrinted>2024-01-06T05:42:00Z</cp:lastPrinted>
  <dcterms:modified xsi:type="dcterms:W3CDTF">2024-06-14T03:01:39Z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94908E19DB9C429FB474E79BC55CEC8D_12</vt:lpwstr>
  </property>
</Properties>
</file>