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r>
        <w:rPr>
          <w:rFonts w:ascii="黑体" w:eastAsia="黑体"/>
          <w:bCs/>
          <w:sz w:val="24"/>
          <w:highlight w:val="none"/>
        </w:rPr>
        <w:t>JJF</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3</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3</w:t>
      </w:r>
      <w:r>
        <w:rPr>
          <w:rFonts w:hint="eastAsia" w:ascii="黑体" w:eastAsia="黑体"/>
          <w:bCs/>
          <w:sz w:val="24"/>
          <w:highlight w:val="none"/>
          <w:lang w:val="en-GB"/>
        </w:rPr>
        <w:t>《</w:t>
      </w:r>
      <w:r>
        <w:rPr>
          <w:rFonts w:hint="eastAsia" w:ascii="黑体" w:eastAsia="黑体"/>
          <w:bCs/>
          <w:sz w:val="24"/>
          <w:highlight w:val="none"/>
          <w:lang w:val="en-US" w:eastAsia="zh-CN"/>
        </w:rPr>
        <w:t>电极式盐水比重计</w:t>
      </w:r>
      <w:r>
        <w:rPr>
          <w:rFonts w:hint="eastAsia" w:ascii="黑体" w:eastAsia="黑体"/>
          <w:bCs/>
          <w:sz w:val="24"/>
          <w:highlight w:val="none"/>
        </w:rPr>
        <w:t>校准规范》</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spacing w:line="360" w:lineRule="auto"/>
        <w:rPr>
          <w:bCs/>
          <w:highlight w:val="none"/>
        </w:rPr>
      </w:pPr>
      <w:r>
        <w:rPr>
          <w:rFonts w:hint="eastAsia"/>
          <w:bCs/>
          <w:highlight w:val="none"/>
        </w:rPr>
        <w:t>一、工作简况</w:t>
      </w:r>
    </w:p>
    <w:p>
      <w:pPr>
        <w:spacing w:line="360" w:lineRule="auto"/>
        <w:rPr>
          <w:rFonts w:hint="eastAsia" w:ascii="黑体" w:eastAsia="黑体"/>
          <w:bCs/>
          <w:szCs w:val="21"/>
          <w:highlight w:val="none"/>
          <w:lang w:val="en-US" w:eastAsia="zh-CN"/>
        </w:rPr>
      </w:pPr>
      <w:r>
        <w:rPr>
          <w:rFonts w:hint="eastAsia" w:ascii="黑体" w:eastAsia="黑体"/>
          <w:bCs/>
          <w:szCs w:val="21"/>
          <w:highlight w:val="none"/>
          <w:lang w:val="en-US" w:eastAsia="zh-CN"/>
        </w:rPr>
        <w:t>1 立项目的</w:t>
      </w:r>
    </w:p>
    <w:p>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电极式</w:t>
      </w:r>
      <w:bookmarkStart w:id="0" w:name="_GoBack"/>
      <w:bookmarkEnd w:id="0"/>
      <w:r>
        <w:rPr>
          <w:rFonts w:hint="eastAsia" w:ascii="Times New Roman" w:hAnsi="宋体" w:eastAsia="宋体" w:cs="Times New Roman"/>
          <w:bCs/>
          <w:color w:val="auto"/>
          <w:kern w:val="2"/>
          <w:sz w:val="21"/>
          <w:szCs w:val="21"/>
          <w:highlight w:val="none"/>
          <w:lang w:val="en-US" w:eastAsia="zh-CN" w:bidi="ar-SA"/>
        </w:rPr>
        <w:t xml:space="preserve">盐水比重计是进行盐雾试验必不可少的仪器之一。盐雾试验是利用盐雾试验箱模拟盐雾环境条件来测试金属材料耐腐蚀性能的试验。盐雾试验箱通过压缩空气使盐溶液形成盐雾，所以盐溶液的比重直接影响实验结果，需用盐水比重计测量盐溶液相对于4℃蒸馏水的比重。       </w:t>
      </w:r>
    </w:p>
    <w:p>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目前，国内没有校准规范对盐水比重计的校准进行规定，需要起草校准规范统一盐水比重计的校准，规范校准程序，确保校准结果的准确性，利于产品性能评价以及产品质量提升，利于盐雾试验设备的研发与推广应用。</w:t>
      </w:r>
    </w:p>
    <w:p>
      <w:pPr>
        <w:spacing w:line="360" w:lineRule="auto"/>
        <w:ind w:left="0" w:leftChars="0" w:firstLine="420" w:firstLineChars="200"/>
        <w:rPr>
          <w:rFonts w:hint="eastAsia" w:ascii="Times New Roman" w:hAnsi="宋体" w:eastAsia="宋体" w:cs="Times New Roman"/>
          <w:bCs/>
          <w:color w:val="auto"/>
          <w:kern w:val="2"/>
          <w:sz w:val="21"/>
          <w:szCs w:val="21"/>
          <w:highlight w:val="none"/>
          <w:lang w:val="en-US" w:eastAsia="zh-CN" w:bidi="ar-SA"/>
        </w:rPr>
      </w:pPr>
      <w:r>
        <w:rPr>
          <w:rFonts w:hint="eastAsia" w:ascii="Times New Roman" w:hAnsi="宋体" w:eastAsia="宋体" w:cs="Times New Roman"/>
          <w:bCs/>
          <w:color w:val="auto"/>
          <w:kern w:val="2"/>
          <w:sz w:val="21"/>
          <w:szCs w:val="21"/>
          <w:highlight w:val="none"/>
          <w:lang w:val="en-US" w:eastAsia="zh-CN" w:bidi="ar-SA"/>
        </w:rPr>
        <w:t>因此，为指导、有效开展电极式盐水比重计的现场校准工作，</w:t>
      </w:r>
      <w:r>
        <w:rPr>
          <w:rFonts w:hint="eastAsia" w:hAnsi="宋体" w:cs="Times New Roman"/>
          <w:bCs/>
          <w:color w:val="auto"/>
          <w:kern w:val="2"/>
          <w:sz w:val="21"/>
          <w:szCs w:val="21"/>
          <w:highlight w:val="none"/>
          <w:lang w:val="en-US" w:eastAsia="zh-CN" w:bidi="ar-SA"/>
        </w:rPr>
        <w:t>特立项</w:t>
      </w:r>
      <w:r>
        <w:rPr>
          <w:rFonts w:hint="eastAsia" w:ascii="Times New Roman" w:hAnsi="宋体" w:eastAsia="宋体" w:cs="Times New Roman"/>
          <w:bCs/>
          <w:color w:val="auto"/>
          <w:kern w:val="2"/>
          <w:sz w:val="21"/>
          <w:szCs w:val="21"/>
          <w:highlight w:val="none"/>
          <w:lang w:val="en-US" w:eastAsia="zh-CN" w:bidi="ar-SA"/>
        </w:rPr>
        <w:t>编制《电极式盐水比重计校准规范》。</w:t>
      </w:r>
    </w:p>
    <w:p>
      <w:pPr>
        <w:spacing w:line="360" w:lineRule="auto"/>
        <w:rPr>
          <w:rFonts w:ascii="黑体" w:eastAsia="黑体"/>
          <w:bCs/>
          <w:szCs w:val="21"/>
          <w:highlight w:val="none"/>
        </w:rPr>
      </w:pPr>
      <w:r>
        <w:rPr>
          <w:rFonts w:hint="eastAsia" w:ascii="黑体" w:eastAsia="黑体"/>
          <w:bCs/>
          <w:szCs w:val="21"/>
          <w:highlight w:val="none"/>
          <w:lang w:val="en-US" w:eastAsia="zh-CN"/>
        </w:rPr>
        <w:t xml:space="preserve">2 </w:t>
      </w:r>
      <w:r>
        <w:rPr>
          <w:rFonts w:hint="eastAsia" w:ascii="黑体" w:hAnsi="宋体" w:eastAsia="黑体"/>
          <w:bCs/>
          <w:szCs w:val="21"/>
          <w:highlight w:val="none"/>
        </w:rPr>
        <w:t>任务来源</w:t>
      </w:r>
    </w:p>
    <w:p>
      <w:pPr>
        <w:pStyle w:val="11"/>
        <w:spacing w:after="0" w:line="360" w:lineRule="auto"/>
        <w:ind w:firstLine="420" w:firstLineChars="200"/>
        <w:rPr>
          <w:rFonts w:hAnsi="宋体"/>
          <w:bCs/>
          <w:color w:val="auto"/>
          <w:szCs w:val="21"/>
          <w:highlight w:val="none"/>
        </w:rPr>
      </w:pPr>
      <w:r>
        <w:rPr>
          <w:rFonts w:hint="eastAsia" w:hAnsi="宋体"/>
          <w:bCs/>
          <w:szCs w:val="21"/>
          <w:highlight w:val="none"/>
        </w:rPr>
        <w:t>根据工业和信息化部《关于印</w:t>
      </w:r>
      <w:r>
        <w:rPr>
          <w:rFonts w:hint="eastAsia" w:hAnsi="宋体"/>
          <w:bCs/>
          <w:color w:val="auto"/>
          <w:szCs w:val="21"/>
          <w:highlight w:val="none"/>
        </w:rPr>
        <w:t>发202</w:t>
      </w:r>
      <w:r>
        <w:rPr>
          <w:rFonts w:hint="eastAsia" w:hAnsi="宋体"/>
          <w:bCs/>
          <w:color w:val="auto"/>
          <w:szCs w:val="21"/>
          <w:highlight w:val="none"/>
          <w:lang w:val="en-US" w:eastAsia="zh-CN"/>
        </w:rPr>
        <w:t>3</w:t>
      </w:r>
      <w:r>
        <w:rPr>
          <w:rFonts w:hint="eastAsia" w:hAnsi="宋体"/>
          <w:bCs/>
          <w:color w:val="auto"/>
          <w:szCs w:val="21"/>
          <w:highlight w:val="none"/>
        </w:rPr>
        <w:t>年行业计量技术规范制修订计划的通知》（工厅科［202</w:t>
      </w:r>
      <w:r>
        <w:rPr>
          <w:rFonts w:hint="eastAsia" w:hAnsi="宋体"/>
          <w:bCs/>
          <w:color w:val="auto"/>
          <w:szCs w:val="21"/>
          <w:highlight w:val="none"/>
          <w:lang w:val="en-US" w:eastAsia="zh-CN"/>
        </w:rPr>
        <w:t>3</w:t>
      </w:r>
      <w:r>
        <w:rPr>
          <w:rFonts w:hint="eastAsia" w:hAnsi="宋体"/>
          <w:bCs/>
          <w:color w:val="auto"/>
          <w:szCs w:val="21"/>
          <w:highlight w:val="none"/>
        </w:rPr>
        <w:t>］</w:t>
      </w:r>
      <w:r>
        <w:rPr>
          <w:rFonts w:hint="eastAsia" w:hAnsi="宋体"/>
          <w:bCs/>
          <w:color w:val="auto"/>
          <w:szCs w:val="21"/>
          <w:highlight w:val="none"/>
          <w:lang w:val="en-US" w:eastAsia="zh-CN"/>
        </w:rPr>
        <w:t>476</w:t>
      </w:r>
      <w:r>
        <w:rPr>
          <w:rFonts w:hint="eastAsia" w:hAnsi="宋体"/>
          <w:bCs/>
          <w:color w:val="auto"/>
          <w:szCs w:val="21"/>
          <w:highlight w:val="none"/>
        </w:rPr>
        <w:t>号）文的要求，行业计量技术规范《</w:t>
      </w:r>
      <w:r>
        <w:rPr>
          <w:rFonts w:hint="eastAsia" w:hAnsi="宋体"/>
          <w:bCs/>
          <w:color w:val="auto"/>
          <w:szCs w:val="21"/>
          <w:highlight w:val="none"/>
          <w:lang w:eastAsia="zh-CN"/>
        </w:rPr>
        <w:t>电极式盐水比重计校准规范</w:t>
      </w:r>
      <w:r>
        <w:rPr>
          <w:rFonts w:hint="eastAsia" w:hAnsi="宋体"/>
          <w:bCs/>
          <w:color w:val="auto"/>
          <w:szCs w:val="21"/>
          <w:highlight w:val="none"/>
        </w:rPr>
        <w:t>》由</w:t>
      </w:r>
      <w:r>
        <w:rPr>
          <w:rFonts w:hint="eastAsia" w:hAnsi="宋体"/>
          <w:bCs/>
          <w:color w:val="auto"/>
          <w:szCs w:val="21"/>
          <w:highlight w:val="none"/>
          <w:lang w:val="en-US" w:eastAsia="zh-CN"/>
        </w:rPr>
        <w:t>西南铝业（集团）有限责任公司</w:t>
      </w:r>
      <w:r>
        <w:rPr>
          <w:rFonts w:hint="eastAsia" w:hAnsi="宋体"/>
          <w:bCs/>
          <w:color w:val="auto"/>
          <w:szCs w:val="21"/>
          <w:highlight w:val="none"/>
        </w:rPr>
        <w:t>负责起草。该项目计划编号为</w:t>
      </w:r>
      <w:r>
        <w:rPr>
          <w:rFonts w:hAnsi="宋体"/>
          <w:bCs/>
          <w:color w:val="auto"/>
          <w:szCs w:val="21"/>
          <w:highlight w:val="none"/>
        </w:rPr>
        <w:t>JJF</w:t>
      </w:r>
      <w:r>
        <w:rPr>
          <w:rFonts w:hint="eastAsia" w:hAnsi="宋体"/>
          <w:bCs/>
          <w:color w:val="auto"/>
          <w:szCs w:val="21"/>
          <w:highlight w:val="none"/>
          <w:lang w:val="en-US" w:eastAsia="zh-CN"/>
        </w:rPr>
        <w:t>Z</w:t>
      </w:r>
      <w:r>
        <w:rPr>
          <w:rFonts w:hint="eastAsia" w:hAnsi="宋体"/>
          <w:bCs/>
          <w:color w:val="auto"/>
          <w:szCs w:val="21"/>
          <w:highlight w:val="none"/>
        </w:rPr>
        <w:t>（有色金属）0</w:t>
      </w:r>
      <w:r>
        <w:rPr>
          <w:rFonts w:hAnsi="宋体"/>
          <w:bCs/>
          <w:color w:val="auto"/>
          <w:szCs w:val="21"/>
          <w:highlight w:val="none"/>
        </w:rPr>
        <w:t>0</w:t>
      </w:r>
      <w:r>
        <w:rPr>
          <w:rFonts w:hint="eastAsia" w:hAnsi="宋体"/>
          <w:bCs/>
          <w:color w:val="auto"/>
          <w:szCs w:val="21"/>
          <w:highlight w:val="none"/>
          <w:lang w:val="en-US" w:eastAsia="zh-CN"/>
        </w:rPr>
        <w:t>3</w:t>
      </w:r>
      <w:r>
        <w:rPr>
          <w:rFonts w:hint="eastAsia" w:hAnsi="宋体"/>
          <w:bCs/>
          <w:color w:val="auto"/>
          <w:szCs w:val="21"/>
          <w:highlight w:val="none"/>
        </w:rPr>
        <w:t>-2</w:t>
      </w:r>
      <w:r>
        <w:rPr>
          <w:rFonts w:hAnsi="宋体"/>
          <w:bCs/>
          <w:color w:val="auto"/>
          <w:szCs w:val="21"/>
          <w:highlight w:val="none"/>
        </w:rPr>
        <w:t>02</w:t>
      </w:r>
      <w:r>
        <w:rPr>
          <w:rFonts w:hint="eastAsia" w:hAnsi="宋体"/>
          <w:bCs/>
          <w:color w:val="auto"/>
          <w:szCs w:val="21"/>
          <w:highlight w:val="none"/>
          <w:lang w:val="en-US" w:eastAsia="zh-CN"/>
        </w:rPr>
        <w:t>3</w:t>
      </w:r>
      <w:r>
        <w:rPr>
          <w:rFonts w:hint="eastAsia" w:hAnsi="宋体"/>
          <w:bCs/>
          <w:color w:val="auto"/>
          <w:szCs w:val="21"/>
          <w:highlight w:val="none"/>
        </w:rPr>
        <w:t>。按计划要求，本计量规范应于</w:t>
      </w:r>
      <w:r>
        <w:rPr>
          <w:rFonts w:hAnsi="宋体"/>
          <w:bCs/>
          <w:color w:val="auto"/>
          <w:szCs w:val="21"/>
          <w:highlight w:val="none"/>
        </w:rPr>
        <w:t>202</w:t>
      </w:r>
      <w:r>
        <w:rPr>
          <w:rFonts w:hint="eastAsia" w:hAnsi="宋体"/>
          <w:bCs/>
          <w:color w:val="auto"/>
          <w:szCs w:val="21"/>
          <w:highlight w:val="none"/>
          <w:lang w:val="en-US" w:eastAsia="zh-CN"/>
        </w:rPr>
        <w:t>5</w:t>
      </w:r>
      <w:r>
        <w:rPr>
          <w:rFonts w:hint="eastAsia" w:hAnsi="宋体"/>
          <w:bCs/>
          <w:color w:val="auto"/>
          <w:szCs w:val="21"/>
          <w:highlight w:val="none"/>
        </w:rPr>
        <w:t>年完成。</w:t>
      </w:r>
    </w:p>
    <w:p>
      <w:pPr>
        <w:pStyle w:val="11"/>
        <w:spacing w:after="0" w:line="360" w:lineRule="auto"/>
        <w:rPr>
          <w:rFonts w:ascii="黑体" w:hAnsi="宋体" w:eastAsia="黑体"/>
          <w:bCs/>
          <w:color w:val="auto"/>
          <w:szCs w:val="21"/>
          <w:highlight w:val="none"/>
        </w:rPr>
      </w:pPr>
      <w:r>
        <w:rPr>
          <w:rFonts w:hint="eastAsia" w:ascii="黑体" w:hAnsi="宋体" w:eastAsia="黑体"/>
          <w:bCs/>
          <w:color w:val="auto"/>
          <w:szCs w:val="21"/>
          <w:highlight w:val="none"/>
          <w:lang w:val="en-US" w:eastAsia="zh-CN"/>
        </w:rPr>
        <w:t xml:space="preserve">3 </w:t>
      </w:r>
      <w:r>
        <w:rPr>
          <w:rFonts w:hint="eastAsia" w:ascii="黑体" w:hAnsi="宋体" w:eastAsia="黑体"/>
          <w:bCs/>
          <w:color w:val="auto"/>
          <w:szCs w:val="21"/>
          <w:highlight w:val="none"/>
        </w:rPr>
        <w:t>承担单位情况</w:t>
      </w:r>
    </w:p>
    <w:p>
      <w:pPr>
        <w:spacing w:line="360" w:lineRule="auto"/>
        <w:ind w:left="0" w:leftChars="0" w:firstLine="0" w:firstLineChars="0"/>
        <w:rPr>
          <w:rFonts w:hint="default" w:eastAsia="宋体"/>
          <w:bCs/>
          <w:color w:val="auto"/>
          <w:highlight w:val="none"/>
          <w:lang w:val="en-US" w:eastAsia="zh-CN"/>
        </w:rPr>
      </w:pPr>
      <w:r>
        <w:rPr>
          <w:rFonts w:hint="eastAsia"/>
          <w:bCs/>
          <w:color w:val="auto"/>
          <w:highlight w:val="none"/>
          <w:lang w:val="en-US" w:eastAsia="zh-CN"/>
        </w:rPr>
        <w:t>3.1 主编单位简介</w:t>
      </w:r>
    </w:p>
    <w:p>
      <w:pPr>
        <w:spacing w:line="360" w:lineRule="auto"/>
        <w:ind w:firstLine="420" w:firstLineChars="200"/>
        <w:rPr>
          <w:rFonts w:hint="eastAsia"/>
          <w:bCs/>
          <w:color w:val="auto"/>
          <w:highlight w:val="none"/>
          <w:lang w:val="en-US" w:eastAsia="zh-CN"/>
        </w:rPr>
      </w:pPr>
      <w:r>
        <w:rPr>
          <w:rFonts w:hint="eastAsia"/>
          <w:bCs/>
          <w:color w:val="auto"/>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color w:val="auto"/>
          <w:highlight w:val="none"/>
          <w:lang w:eastAsia="zh-CN"/>
        </w:rPr>
        <w:t>西南铝建有校准实验室与检测实验室，均通过了</w:t>
      </w:r>
      <w:r>
        <w:rPr>
          <w:rFonts w:hint="eastAsia"/>
          <w:bCs/>
          <w:color w:val="auto"/>
          <w:highlight w:val="none"/>
          <w:lang w:val="en-US" w:eastAsia="zh-CN"/>
        </w:rPr>
        <w:t>CNAS认可，具备对酸度计、电导率仪的CNAS校准能力。西南铝累计申请专利722件，其中授权发明专利249件、授权实用新型专利473件，主持和参与国家、行业标准277项。</w:t>
      </w:r>
    </w:p>
    <w:p>
      <w:pPr>
        <w:spacing w:line="360" w:lineRule="auto"/>
        <w:ind w:left="0" w:leftChars="0" w:firstLine="0" w:firstLineChars="0"/>
        <w:rPr>
          <w:rFonts w:hint="default"/>
          <w:bCs/>
          <w:color w:val="auto"/>
          <w:highlight w:val="none"/>
          <w:lang w:val="en-US" w:eastAsia="zh-CN"/>
        </w:rPr>
      </w:pPr>
      <w:r>
        <w:rPr>
          <w:rFonts w:hint="eastAsia"/>
          <w:bCs/>
          <w:color w:val="auto"/>
          <w:highlight w:val="none"/>
          <w:lang w:val="en-US" w:eastAsia="zh-CN"/>
        </w:rPr>
        <w:t>3.2 成员单位简介</w:t>
      </w:r>
    </w:p>
    <w:p>
      <w:pPr>
        <w:spacing w:line="360" w:lineRule="auto"/>
        <w:ind w:firstLine="420" w:firstLineChars="200"/>
        <w:rPr>
          <w:rFonts w:hint="eastAsia"/>
          <w:bCs/>
          <w:color w:val="auto"/>
          <w:lang w:val="en-US" w:eastAsia="zh-CN"/>
        </w:rPr>
      </w:pPr>
      <w:r>
        <w:rPr>
          <w:rFonts w:hint="eastAsia"/>
          <w:bCs/>
          <w:color w:val="auto"/>
          <w:lang w:val="en-US" w:eastAsia="zh-CN"/>
        </w:rPr>
        <w:t>有色金属技术经济研究院有限责任公司成立于1983年3月，是中央所属242家转制科研院所之一，于1999年7月由国家全额拨款科研事业单位转制为科技型企业，变更为现名称。隶属于中国有色金属工业协会（以下简称“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有色金属行业计量技术委员会是有色金属技术经济研究院有限责任公司下属机构，负责有色金属金属行业计量技术规范制修订工作。该机构旨在充分发挥有色金属行业生产、科研、教学、质量检验和计量器具生产诸方面计量专家的作用，更好地开展有色金属行业的量值溯源、规范制修订、能力验证和提高计量标准建设与完善计量技术及其管理体系等工作。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20余项，在研40余项。</w:t>
      </w:r>
    </w:p>
    <w:p>
      <w:pPr>
        <w:spacing w:line="360" w:lineRule="auto"/>
        <w:ind w:firstLine="420" w:firstLineChars="200"/>
        <w:rPr>
          <w:rFonts w:hint="eastAsia"/>
          <w:bCs/>
          <w:color w:val="auto"/>
          <w:lang w:val="en-US" w:eastAsia="zh-CN"/>
        </w:rPr>
      </w:pPr>
      <w:r>
        <w:rPr>
          <w:rFonts w:hint="eastAsia"/>
          <w:bCs/>
          <w:color w:val="auto"/>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中铝材料应用研究院有限公司是中国高端制造直属的核心研究院，现有员工165人，其中科研人员134人，“千人计划”专家4人，高级以上职称41人，硕士88人，博士41人。试验检验中心（北京、苏州各设一个）为国家CNAS认可机构，具备开展有色金属材料研究和应用技术开发的基本硬件条件。累计承担科研项目98项，其中国家级项目3项，省部级项目4项。</w:t>
      </w:r>
    </w:p>
    <w:p>
      <w:pPr>
        <w:pStyle w:val="11"/>
        <w:spacing w:after="0" w:line="360" w:lineRule="auto"/>
        <w:rPr>
          <w:rFonts w:ascii="黑体" w:eastAsia="黑体"/>
          <w:bCs/>
          <w:color w:val="auto"/>
          <w:szCs w:val="21"/>
          <w:highlight w:val="none"/>
        </w:rPr>
      </w:pPr>
      <w:r>
        <w:rPr>
          <w:rFonts w:ascii="黑体" w:eastAsia="黑体"/>
          <w:bCs/>
          <w:color w:val="auto"/>
          <w:szCs w:val="21"/>
          <w:highlight w:val="none"/>
        </w:rPr>
        <w:t>1.3</w:t>
      </w:r>
      <w:r>
        <w:rPr>
          <w:rFonts w:hint="eastAsia" w:ascii="黑体" w:hAnsi="宋体" w:eastAsia="黑体"/>
          <w:bCs/>
          <w:color w:val="auto"/>
          <w:szCs w:val="21"/>
          <w:highlight w:val="none"/>
        </w:rPr>
        <w:t>主要工作过程</w:t>
      </w:r>
    </w:p>
    <w:p>
      <w:pPr>
        <w:spacing w:line="360" w:lineRule="auto"/>
        <w:ind w:firstLine="420" w:firstLineChars="200"/>
        <w:rPr>
          <w:rFonts w:hint="eastAsia"/>
          <w:bCs/>
          <w:color w:val="auto"/>
          <w:highlight w:val="none"/>
          <w:lang w:val="en-US" w:eastAsia="zh-CN"/>
        </w:rPr>
      </w:pPr>
      <w:r>
        <w:rPr>
          <w:rFonts w:hint="eastAsia"/>
          <w:bCs/>
          <w:color w:val="auto"/>
          <w:highlight w:val="none"/>
          <w:lang w:val="en-US" w:eastAsia="zh-CN"/>
        </w:rPr>
        <w:t>西南铝业（集团）有限责任公司计量</w:t>
      </w:r>
      <w:r>
        <w:rPr>
          <w:rFonts w:hint="eastAsia"/>
          <w:bCs/>
          <w:color w:val="auto"/>
          <w:highlight w:val="none"/>
        </w:rPr>
        <w:t>检测中心接到有色金属行业计量技术委员会转发下达的制定任务后，成立了计量规范编</w:t>
      </w:r>
      <w:r>
        <w:rPr>
          <w:rFonts w:hint="eastAsia"/>
          <w:bCs/>
          <w:color w:val="auto"/>
          <w:highlight w:val="none"/>
          <w:lang w:val="en-US" w:eastAsia="zh-CN"/>
        </w:rPr>
        <w:t>制组，成员有有色金属技术经济研究院有限责任公司、中铝材料应用研究院有限公司、东北轻合金有限公司、山东南山铝业股份有限公司、国标（北京）检验认证有限公司、西安汉唐分析检测有限公司、广东省科学院工业分析检测中心等。对计量技术规范编写工作进行了部署和分工，制定了制定原则及计划工作。本项目主要工作过程经过了以下几个阶段：</w:t>
      </w:r>
    </w:p>
    <w:p>
      <w:pPr>
        <w:spacing w:line="360" w:lineRule="auto"/>
        <w:ind w:firstLine="210" w:firstLineChars="100"/>
        <w:rPr>
          <w:bCs/>
          <w:color w:val="auto"/>
          <w:highlight w:val="none"/>
        </w:rPr>
      </w:pPr>
      <w:r>
        <w:rPr>
          <w:bCs/>
          <w:color w:val="auto"/>
          <w:highlight w:val="none"/>
        </w:rPr>
        <w:t>1</w:t>
      </w:r>
      <w:r>
        <w:rPr>
          <w:rFonts w:hint="eastAsia"/>
          <w:bCs/>
          <w:color w:val="auto"/>
          <w:highlight w:val="none"/>
        </w:rPr>
        <w:t>）</w:t>
      </w:r>
      <w:r>
        <w:rPr>
          <w:bCs/>
          <w:color w:val="auto"/>
          <w:highlight w:val="none"/>
        </w:rPr>
        <w:t>20</w:t>
      </w:r>
      <w:r>
        <w:rPr>
          <w:rFonts w:hint="eastAsia"/>
          <w:bCs/>
          <w:color w:val="auto"/>
          <w:highlight w:val="none"/>
        </w:rPr>
        <w:t>2</w:t>
      </w:r>
      <w:r>
        <w:rPr>
          <w:rFonts w:hint="eastAsia"/>
          <w:bCs/>
          <w:color w:val="auto"/>
          <w:highlight w:val="none"/>
          <w:lang w:val="en-US" w:eastAsia="zh-CN"/>
        </w:rPr>
        <w:t>3</w:t>
      </w:r>
      <w:r>
        <w:rPr>
          <w:rFonts w:hint="eastAsia"/>
          <w:bCs/>
          <w:color w:val="auto"/>
          <w:highlight w:val="none"/>
        </w:rPr>
        <w:t>年</w:t>
      </w:r>
      <w:r>
        <w:rPr>
          <w:rFonts w:hint="eastAsia"/>
          <w:bCs/>
          <w:color w:val="auto"/>
          <w:highlight w:val="none"/>
          <w:lang w:val="en-US" w:eastAsia="zh-CN"/>
        </w:rPr>
        <w:t>7</w:t>
      </w:r>
      <w:r>
        <w:rPr>
          <w:rFonts w:hint="eastAsia"/>
          <w:bCs/>
          <w:color w:val="auto"/>
          <w:highlight w:val="none"/>
        </w:rPr>
        <w:t>月成立</w:t>
      </w:r>
      <w:r>
        <w:rPr>
          <w:rFonts w:hint="eastAsia"/>
          <w:bCs/>
          <w:color w:val="auto"/>
          <w:highlight w:val="none"/>
          <w:lang w:eastAsia="zh-CN"/>
        </w:rPr>
        <w:t>了</w:t>
      </w:r>
      <w:r>
        <w:rPr>
          <w:rFonts w:hint="eastAsia"/>
          <w:bCs/>
          <w:color w:val="auto"/>
          <w:highlight w:val="none"/>
        </w:rPr>
        <w:t>计量规范编制组，明确了编制组</w:t>
      </w:r>
      <w:r>
        <w:rPr>
          <w:rFonts w:hint="eastAsia"/>
          <w:bCs/>
          <w:color w:val="auto"/>
          <w:highlight w:val="none"/>
          <w:lang w:eastAsia="zh-CN"/>
        </w:rPr>
        <w:t>成员</w:t>
      </w:r>
      <w:r>
        <w:rPr>
          <w:rFonts w:hint="eastAsia"/>
          <w:bCs/>
          <w:color w:val="auto"/>
          <w:highlight w:val="none"/>
        </w:rPr>
        <w:t>各自的工作内容和任务。</w:t>
      </w:r>
    </w:p>
    <w:p>
      <w:pPr>
        <w:spacing w:line="360" w:lineRule="auto"/>
        <w:ind w:firstLine="210" w:firstLineChars="100"/>
        <w:rPr>
          <w:rFonts w:hint="eastAsia"/>
          <w:bCs/>
          <w:color w:val="auto"/>
          <w:highlight w:val="none"/>
        </w:rPr>
      </w:pPr>
      <w:r>
        <w:rPr>
          <w:bCs/>
          <w:color w:val="auto"/>
          <w:highlight w:val="none"/>
        </w:rPr>
        <w:t>2</w:t>
      </w:r>
      <w:r>
        <w:rPr>
          <w:rFonts w:hint="eastAsia"/>
          <w:bCs/>
          <w:color w:val="auto"/>
          <w:highlight w:val="none"/>
        </w:rPr>
        <w:t>）</w:t>
      </w:r>
      <w:r>
        <w:rPr>
          <w:bCs/>
          <w:color w:val="auto"/>
          <w:highlight w:val="none"/>
        </w:rPr>
        <w:t>20</w:t>
      </w:r>
      <w:r>
        <w:rPr>
          <w:rFonts w:hint="eastAsia"/>
          <w:bCs/>
          <w:color w:val="auto"/>
          <w:highlight w:val="none"/>
        </w:rPr>
        <w:t>2</w:t>
      </w:r>
      <w:r>
        <w:rPr>
          <w:rFonts w:hint="eastAsia"/>
          <w:bCs/>
          <w:color w:val="auto"/>
          <w:highlight w:val="none"/>
          <w:lang w:val="en-US" w:eastAsia="zh-CN"/>
        </w:rPr>
        <w:t>3</w:t>
      </w:r>
      <w:r>
        <w:rPr>
          <w:rFonts w:hint="eastAsia"/>
          <w:bCs/>
          <w:color w:val="auto"/>
          <w:highlight w:val="none"/>
        </w:rPr>
        <w:t>年</w:t>
      </w:r>
      <w:r>
        <w:rPr>
          <w:rFonts w:hint="eastAsia"/>
          <w:bCs/>
          <w:color w:val="auto"/>
          <w:highlight w:val="none"/>
          <w:lang w:val="en-US" w:eastAsia="zh-CN"/>
        </w:rPr>
        <w:t>8</w:t>
      </w:r>
      <w:r>
        <w:rPr>
          <w:rFonts w:hint="eastAsia"/>
          <w:bCs/>
          <w:color w:val="auto"/>
          <w:highlight w:val="none"/>
        </w:rPr>
        <w:t>月</w:t>
      </w:r>
      <w:r>
        <w:rPr>
          <w:rFonts w:hint="eastAsia"/>
          <w:bCs/>
          <w:color w:val="auto"/>
          <w:highlight w:val="none"/>
          <w:lang w:val="en-US" w:eastAsia="zh-CN"/>
        </w:rPr>
        <w:t>～2023年5月</w:t>
      </w:r>
      <w:r>
        <w:rPr>
          <w:rFonts w:hint="eastAsia"/>
          <w:bCs/>
          <w:color w:val="auto"/>
          <w:highlight w:val="none"/>
        </w:rPr>
        <w:t>计量规范编制组成员对有</w:t>
      </w:r>
      <w:r>
        <w:rPr>
          <w:rFonts w:hint="eastAsia"/>
          <w:bCs/>
          <w:color w:val="auto"/>
          <w:highlight w:val="none"/>
          <w:lang w:eastAsia="zh-CN"/>
        </w:rPr>
        <w:t>电极式盐水比重计校准规范</w:t>
      </w:r>
      <w:r>
        <w:rPr>
          <w:rFonts w:hint="eastAsia"/>
          <w:bCs/>
          <w:color w:val="auto"/>
          <w:highlight w:val="none"/>
        </w:rPr>
        <w:t>中的计量特性及校准方法进行了讨论，确定了校准项目和方法，在</w:t>
      </w:r>
      <w:r>
        <w:rPr>
          <w:bCs/>
          <w:color w:val="auto"/>
          <w:highlight w:val="none"/>
        </w:rPr>
        <w:t>202</w:t>
      </w:r>
      <w:r>
        <w:rPr>
          <w:rFonts w:hint="eastAsia"/>
          <w:bCs/>
          <w:color w:val="auto"/>
          <w:highlight w:val="none"/>
          <w:lang w:val="en-US" w:eastAsia="zh-CN"/>
        </w:rPr>
        <w:t>3</w:t>
      </w:r>
      <w:r>
        <w:rPr>
          <w:rFonts w:hint="eastAsia"/>
          <w:bCs/>
          <w:color w:val="auto"/>
          <w:highlight w:val="none"/>
        </w:rPr>
        <w:t>年</w:t>
      </w:r>
      <w:r>
        <w:rPr>
          <w:rFonts w:hint="eastAsia"/>
          <w:bCs/>
          <w:color w:val="auto"/>
          <w:highlight w:val="none"/>
          <w:lang w:val="en-US" w:eastAsia="zh-CN"/>
        </w:rPr>
        <w:t>6</w:t>
      </w:r>
      <w:r>
        <w:rPr>
          <w:rFonts w:hint="eastAsia"/>
          <w:bCs/>
          <w:color w:val="auto"/>
          <w:highlight w:val="none"/>
        </w:rPr>
        <w:t>月形成了计量规范讨论稿。</w:t>
      </w:r>
    </w:p>
    <w:p>
      <w:pPr>
        <w:spacing w:line="360" w:lineRule="auto"/>
        <w:rPr>
          <w:rFonts w:ascii="黑体" w:eastAsia="黑体"/>
          <w:bCs/>
          <w:color w:val="auto"/>
          <w:szCs w:val="21"/>
          <w:highlight w:val="none"/>
        </w:rPr>
      </w:pPr>
      <w:r>
        <w:rPr>
          <w:rFonts w:hint="eastAsia"/>
          <w:bCs/>
          <w:color w:val="auto"/>
          <w:szCs w:val="21"/>
          <w:highlight w:val="none"/>
        </w:rPr>
        <w:t>二、</w:t>
      </w:r>
      <w:r>
        <w:rPr>
          <w:rFonts w:hint="eastAsia" w:ascii="黑体" w:hAnsi="宋体" w:eastAsia="黑体"/>
          <w:bCs/>
          <w:color w:val="auto"/>
          <w:szCs w:val="21"/>
          <w:highlight w:val="none"/>
        </w:rPr>
        <w:t>编制原则和依据</w:t>
      </w:r>
    </w:p>
    <w:p>
      <w:pPr>
        <w:pStyle w:val="11"/>
        <w:spacing w:after="0" w:line="360" w:lineRule="auto"/>
        <w:rPr>
          <w:rFonts w:ascii="黑体" w:eastAsia="黑体"/>
          <w:bCs/>
          <w:color w:val="auto"/>
          <w:szCs w:val="21"/>
          <w:highlight w:val="none"/>
        </w:rPr>
      </w:pPr>
      <w:r>
        <w:rPr>
          <w:rFonts w:ascii="黑体" w:eastAsia="黑体"/>
          <w:bCs/>
          <w:color w:val="auto"/>
          <w:szCs w:val="21"/>
          <w:highlight w:val="none"/>
        </w:rPr>
        <w:t>2.1</w:t>
      </w:r>
      <w:r>
        <w:rPr>
          <w:rFonts w:hint="eastAsia" w:ascii="黑体" w:hAnsi="宋体" w:eastAsia="黑体"/>
          <w:bCs/>
          <w:color w:val="auto"/>
          <w:szCs w:val="21"/>
          <w:highlight w:val="none"/>
        </w:rPr>
        <w:t>规范编制原则</w:t>
      </w:r>
    </w:p>
    <w:p>
      <w:pPr>
        <w:spacing w:line="360" w:lineRule="auto"/>
        <w:ind w:firstLine="435"/>
        <w:rPr>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w:t>
      </w:r>
      <w:r>
        <w:rPr>
          <w:rFonts w:hint="eastAsia" w:hAnsi="宋体"/>
          <w:bCs/>
          <w:color w:val="auto"/>
          <w:szCs w:val="21"/>
          <w:highlight w:val="none"/>
        </w:rPr>
        <w:t>该规范按照</w:t>
      </w:r>
      <w:r>
        <w:rPr>
          <w:bCs/>
          <w:color w:val="auto"/>
          <w:szCs w:val="21"/>
          <w:highlight w:val="none"/>
        </w:rPr>
        <w:t>JJF 1071-2010</w:t>
      </w:r>
      <w:r>
        <w:rPr>
          <w:rFonts w:hint="eastAsia" w:hAnsi="宋体"/>
          <w:bCs/>
          <w:color w:val="auto"/>
          <w:szCs w:val="21"/>
          <w:highlight w:val="none"/>
        </w:rPr>
        <w:t>《国家计量校准规范编写规则》、</w:t>
      </w:r>
      <w:r>
        <w:rPr>
          <w:bCs/>
          <w:color w:val="auto"/>
          <w:szCs w:val="21"/>
          <w:highlight w:val="none"/>
        </w:rPr>
        <w:t>JJF 1001—2011</w:t>
      </w:r>
      <w:r>
        <w:rPr>
          <w:rFonts w:hint="eastAsia" w:hAnsi="宋体"/>
          <w:bCs/>
          <w:color w:val="auto"/>
          <w:szCs w:val="21"/>
          <w:highlight w:val="none"/>
        </w:rPr>
        <w:t>《通用计量术语及定义》和</w:t>
      </w:r>
      <w:r>
        <w:rPr>
          <w:bCs/>
          <w:color w:val="auto"/>
          <w:szCs w:val="21"/>
          <w:highlight w:val="none"/>
        </w:rPr>
        <w:t>JJF 1059.1—2012</w:t>
      </w:r>
      <w:r>
        <w:rPr>
          <w:rFonts w:hint="eastAsia" w:hAnsi="宋体"/>
          <w:bCs/>
          <w:color w:val="auto"/>
          <w:szCs w:val="21"/>
          <w:highlight w:val="none"/>
        </w:rPr>
        <w:t>《测量不确定度评定与表示》编写。</w:t>
      </w:r>
    </w:p>
    <w:p>
      <w:pPr>
        <w:spacing w:line="360" w:lineRule="auto"/>
        <w:ind w:firstLine="420" w:firstLineChars="200"/>
        <w:rPr>
          <w:rFonts w:hint="eastAsia" w:ascii="宋体" w:hAnsi="宋体"/>
          <w:bCs/>
          <w:color w:val="auto"/>
          <w:szCs w:val="21"/>
          <w:highlight w:val="none"/>
        </w:rPr>
      </w:pPr>
      <w:r>
        <w:rPr>
          <w:bCs/>
          <w:color w:val="auto"/>
          <w:szCs w:val="21"/>
          <w:highlight w:val="none"/>
        </w:rPr>
        <w:t>2</w:t>
      </w:r>
      <w:r>
        <w:rPr>
          <w:rFonts w:hint="eastAsia" w:hAnsi="宋体"/>
          <w:bCs/>
          <w:color w:val="auto"/>
          <w:szCs w:val="21"/>
          <w:highlight w:val="none"/>
        </w:rPr>
        <w:t>）先进性：</w:t>
      </w:r>
      <w:r>
        <w:rPr>
          <w:rFonts w:hint="eastAsia" w:hAnsi="宋体"/>
          <w:bCs/>
          <w:color w:val="auto"/>
          <w:szCs w:val="21"/>
          <w:highlight w:val="none"/>
          <w:lang w:val="en-US" w:eastAsia="zh-CN"/>
        </w:rPr>
        <w:t>本</w:t>
      </w:r>
      <w:r>
        <w:rPr>
          <w:rFonts w:hint="eastAsia" w:hAnsi="宋体"/>
          <w:bCs/>
          <w:color w:val="auto"/>
          <w:szCs w:val="21"/>
          <w:highlight w:val="none"/>
        </w:rPr>
        <w:t>规范对</w:t>
      </w:r>
      <w:r>
        <w:rPr>
          <w:rFonts w:hint="eastAsia" w:hAnsi="宋体"/>
          <w:bCs/>
          <w:color w:val="auto"/>
          <w:szCs w:val="21"/>
          <w:highlight w:val="none"/>
          <w:lang w:val="en-US" w:eastAsia="zh-CN"/>
        </w:rPr>
        <w:t>校准</w:t>
      </w:r>
      <w:r>
        <w:rPr>
          <w:rFonts w:hint="eastAsia" w:hAnsi="宋体"/>
          <w:bCs/>
          <w:color w:val="auto"/>
          <w:szCs w:val="21"/>
          <w:highlight w:val="none"/>
          <w:lang w:eastAsia="zh-CN"/>
        </w:rPr>
        <w:t>电极式盐水比重计</w:t>
      </w:r>
      <w:r>
        <w:rPr>
          <w:rFonts w:hint="eastAsia" w:hAnsi="宋体"/>
          <w:bCs/>
          <w:color w:val="auto"/>
          <w:szCs w:val="21"/>
          <w:highlight w:val="none"/>
          <w:lang w:val="en-US" w:eastAsia="zh-CN"/>
        </w:rPr>
        <w:t>的</w:t>
      </w:r>
      <w:r>
        <w:rPr>
          <w:rFonts w:hint="eastAsia" w:hAnsi="宋体"/>
          <w:bCs/>
          <w:color w:val="auto"/>
          <w:szCs w:val="21"/>
          <w:highlight w:val="none"/>
        </w:rPr>
        <w:t>标准</w:t>
      </w:r>
      <w:r>
        <w:rPr>
          <w:rFonts w:hint="eastAsia" w:hAnsi="宋体"/>
          <w:bCs/>
          <w:color w:val="auto"/>
          <w:szCs w:val="21"/>
          <w:highlight w:val="none"/>
          <w:lang w:val="en-US" w:eastAsia="zh-CN"/>
        </w:rPr>
        <w:t>溶液的选用及配制方法</w:t>
      </w:r>
      <w:r>
        <w:rPr>
          <w:rFonts w:hint="eastAsia" w:hAnsi="宋体"/>
          <w:bCs/>
          <w:color w:val="auto"/>
          <w:szCs w:val="21"/>
          <w:highlight w:val="none"/>
          <w:lang w:eastAsia="zh-CN"/>
        </w:rPr>
        <w:t>，</w:t>
      </w:r>
      <w:r>
        <w:rPr>
          <w:rFonts w:hint="eastAsia" w:hAnsi="宋体"/>
          <w:bCs/>
          <w:color w:val="auto"/>
          <w:szCs w:val="21"/>
          <w:highlight w:val="none"/>
          <w:lang w:val="en-US" w:eastAsia="zh-CN"/>
        </w:rPr>
        <w:t>对</w:t>
      </w:r>
      <w:r>
        <w:rPr>
          <w:rFonts w:hint="eastAsia" w:hAnsi="宋体"/>
          <w:bCs/>
          <w:color w:val="auto"/>
          <w:szCs w:val="21"/>
          <w:highlight w:val="none"/>
          <w:lang w:eastAsia="zh-CN"/>
        </w:rPr>
        <w:t>电极式盐水比重计</w:t>
      </w:r>
      <w:r>
        <w:rPr>
          <w:rFonts w:hint="eastAsia" w:hAnsi="宋体"/>
          <w:bCs/>
          <w:color w:val="auto"/>
          <w:szCs w:val="21"/>
          <w:highlight w:val="none"/>
          <w:lang w:val="en-US" w:eastAsia="zh-CN"/>
        </w:rPr>
        <w:t>计量特性的校准方法</w:t>
      </w:r>
      <w:r>
        <w:rPr>
          <w:rFonts w:hint="eastAsia" w:hAnsi="宋体"/>
          <w:bCs/>
          <w:color w:val="auto"/>
          <w:szCs w:val="21"/>
          <w:highlight w:val="none"/>
        </w:rPr>
        <w:t>进行了详细描述</w:t>
      </w:r>
      <w:r>
        <w:rPr>
          <w:rFonts w:hint="eastAsia" w:hAnsi="宋体"/>
          <w:bCs/>
          <w:color w:val="auto"/>
          <w:szCs w:val="21"/>
          <w:highlight w:val="none"/>
          <w:lang w:eastAsia="zh-CN"/>
        </w:rPr>
        <w:t>，</w:t>
      </w:r>
      <w:r>
        <w:rPr>
          <w:rFonts w:hint="eastAsia" w:hAnsi="宋体"/>
          <w:bCs/>
          <w:color w:val="auto"/>
          <w:szCs w:val="21"/>
          <w:highlight w:val="none"/>
        </w:rPr>
        <w:t>本规范填补了国内对</w:t>
      </w:r>
      <w:r>
        <w:rPr>
          <w:rFonts w:hint="eastAsia" w:hAnsi="宋体"/>
          <w:bCs/>
          <w:color w:val="auto"/>
          <w:szCs w:val="21"/>
          <w:highlight w:val="none"/>
          <w:lang w:eastAsia="zh-CN"/>
        </w:rPr>
        <w:t>电极式盐水比重计</w:t>
      </w:r>
      <w:r>
        <w:rPr>
          <w:rFonts w:hint="eastAsia" w:hAnsi="宋体"/>
          <w:bCs/>
          <w:color w:val="auto"/>
          <w:szCs w:val="21"/>
          <w:highlight w:val="none"/>
        </w:rPr>
        <w:t>无校准规范的空白</w:t>
      </w:r>
      <w:r>
        <w:rPr>
          <w:rFonts w:hint="eastAsia" w:ascii="宋体" w:hAnsi="宋体"/>
          <w:bCs/>
          <w:color w:val="auto"/>
          <w:szCs w:val="21"/>
          <w:highlight w:val="none"/>
        </w:rPr>
        <w:t>。</w:t>
      </w:r>
    </w:p>
    <w:p>
      <w:pPr>
        <w:spacing w:line="360" w:lineRule="auto"/>
        <w:ind w:firstLine="420" w:firstLineChars="200"/>
        <w:rPr>
          <w:rFonts w:hint="default" w:ascii="宋体"/>
          <w:bCs/>
          <w:color w:val="auto"/>
          <w:szCs w:val="21"/>
          <w:highlight w:val="none"/>
          <w:lang w:val="en-US"/>
        </w:rPr>
      </w:pPr>
      <w:r>
        <w:rPr>
          <w:rFonts w:ascii="宋体" w:hAnsi="宋体"/>
          <w:bCs/>
          <w:color w:val="auto"/>
          <w:szCs w:val="21"/>
          <w:highlight w:val="none"/>
        </w:rPr>
        <w:t>3</w:t>
      </w:r>
      <w:r>
        <w:rPr>
          <w:rFonts w:hint="eastAsia" w:ascii="宋体" w:hAnsi="宋体"/>
          <w:bCs/>
          <w:color w:val="auto"/>
          <w:szCs w:val="21"/>
          <w:highlight w:val="none"/>
        </w:rPr>
        <w:t>）创新性：</w:t>
      </w:r>
      <w:r>
        <w:rPr>
          <w:rFonts w:hint="eastAsia" w:ascii="宋体" w:hAnsi="宋体"/>
          <w:bCs/>
          <w:color w:val="auto"/>
          <w:szCs w:val="21"/>
          <w:highlight w:val="none"/>
          <w:lang w:val="en-US" w:eastAsia="zh-CN"/>
        </w:rPr>
        <w:t>对电极式盐水比重计的校准方法和误差计算方法进行了详细的描述；对校准标准装置进行了详细的规定，对校准点也明确列出规定。</w:t>
      </w:r>
    </w:p>
    <w:p>
      <w:pPr>
        <w:spacing w:line="360" w:lineRule="auto"/>
        <w:rPr>
          <w:rFonts w:ascii="黑体" w:hAnsi="宋体" w:eastAsia="黑体"/>
          <w:bCs/>
          <w:color w:val="auto"/>
          <w:szCs w:val="21"/>
          <w:highlight w:val="none"/>
        </w:rPr>
      </w:pPr>
      <w:r>
        <w:rPr>
          <w:rFonts w:ascii="黑体" w:eastAsia="黑体"/>
          <w:bCs/>
          <w:color w:val="auto"/>
          <w:szCs w:val="21"/>
          <w:highlight w:val="none"/>
        </w:rPr>
        <w:t>2.2</w:t>
      </w:r>
      <w:r>
        <w:rPr>
          <w:rFonts w:hint="eastAsia" w:ascii="黑体" w:hAnsi="宋体" w:eastAsia="黑体"/>
          <w:bCs/>
          <w:color w:val="auto"/>
          <w:szCs w:val="21"/>
          <w:highlight w:val="none"/>
        </w:rPr>
        <w:t>制定规范主要内容的论据</w:t>
      </w:r>
    </w:p>
    <w:p>
      <w:pPr>
        <w:spacing w:line="360" w:lineRule="auto"/>
        <w:rPr>
          <w:rFonts w:ascii="黑体" w:hAnsi="黑体" w:eastAsia="黑体"/>
          <w:bCs/>
          <w:color w:val="auto"/>
          <w:szCs w:val="21"/>
          <w:highlight w:val="none"/>
        </w:rPr>
      </w:pPr>
      <w:r>
        <w:rPr>
          <w:rFonts w:ascii="黑体" w:hAnsi="黑体" w:eastAsia="黑体"/>
          <w:bCs/>
          <w:color w:val="auto"/>
          <w:szCs w:val="21"/>
          <w:highlight w:val="none"/>
        </w:rPr>
        <w:t>2.2.1</w:t>
      </w:r>
      <w:r>
        <w:rPr>
          <w:rFonts w:hint="eastAsia" w:ascii="黑体" w:hAnsi="黑体" w:eastAsia="黑体"/>
          <w:bCs/>
          <w:color w:val="auto"/>
          <w:szCs w:val="21"/>
          <w:highlight w:val="none"/>
        </w:rPr>
        <w:t>范围</w:t>
      </w:r>
    </w:p>
    <w:p>
      <w:pPr>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本规范适用于测量范围（1.000～1.099）电极式盐水比重计（以下简称“盐水比重计”）的首次校准、后续校准和使用中检查。其他范围的电极式盐水比重计也可参照本规范进行校准。</w:t>
      </w:r>
    </w:p>
    <w:p>
      <w:pPr>
        <w:spacing w:line="360" w:lineRule="auto"/>
        <w:rPr>
          <w:rFonts w:ascii="黑体" w:hAnsi="宋体" w:eastAsia="黑体"/>
          <w:bCs/>
          <w:szCs w:val="21"/>
          <w:highlight w:val="none"/>
        </w:rPr>
      </w:pPr>
      <w:r>
        <w:rPr>
          <w:rFonts w:ascii="黑体" w:hAnsi="宋体" w:eastAsia="黑体"/>
          <w:bCs/>
          <w:szCs w:val="21"/>
          <w:highlight w:val="none"/>
        </w:rPr>
        <w:t>2.2.2</w:t>
      </w:r>
      <w:r>
        <w:rPr>
          <w:rFonts w:ascii="黑体" w:eastAsia="黑体"/>
          <w:bCs/>
          <w:szCs w:val="21"/>
          <w:highlight w:val="none"/>
        </w:rPr>
        <w:t xml:space="preserve"> </w:t>
      </w:r>
      <w:r>
        <w:rPr>
          <w:rFonts w:hint="eastAsia" w:ascii="黑体" w:hAnsi="宋体" w:eastAsia="黑体"/>
          <w:bCs/>
          <w:szCs w:val="21"/>
          <w:highlight w:val="none"/>
        </w:rPr>
        <w:t>引用文件</w:t>
      </w:r>
    </w:p>
    <w:p>
      <w:pPr>
        <w:adjustRightInd w:val="0"/>
        <w:snapToGrid w:val="0"/>
        <w:spacing w:line="360" w:lineRule="auto"/>
        <w:ind w:firstLine="210" w:firstLineChars="100"/>
        <w:rPr>
          <w:rFonts w:hint="eastAsia" w:hAnsi="宋体"/>
          <w:bCs/>
          <w:szCs w:val="21"/>
          <w:highlight w:val="none"/>
          <w:lang w:val="en-US" w:eastAsia="zh-CN"/>
        </w:rPr>
      </w:pPr>
      <w:r>
        <w:rPr>
          <w:rFonts w:hint="eastAsia"/>
          <w:bCs/>
          <w:szCs w:val="21"/>
          <w:highlight w:val="none"/>
        </w:rPr>
        <w:t xml:space="preserve"> </w:t>
      </w:r>
      <w:r>
        <w:rPr>
          <w:bCs/>
          <w:szCs w:val="21"/>
          <w:highlight w:val="none"/>
        </w:rPr>
        <w:t xml:space="preserve"> </w:t>
      </w:r>
      <w:r>
        <w:rPr>
          <w:rFonts w:hint="eastAsia" w:hAnsi="宋体"/>
          <w:bCs/>
          <w:szCs w:val="21"/>
          <w:highlight w:val="none"/>
        </w:rPr>
        <w:t>本规范没有引用文件</w:t>
      </w:r>
      <w:r>
        <w:rPr>
          <w:rFonts w:hint="eastAsia" w:hAnsi="宋体"/>
          <w:bCs/>
          <w:szCs w:val="21"/>
          <w:highlight w:val="none"/>
          <w:lang w:val="en-US" w:eastAsia="zh-CN"/>
        </w:rPr>
        <w:t>。</w:t>
      </w:r>
    </w:p>
    <w:p>
      <w:pPr>
        <w:spacing w:line="360" w:lineRule="auto"/>
        <w:rPr>
          <w:rFonts w:hint="default" w:ascii="黑体" w:hAnsi="宋体" w:eastAsia="黑体"/>
          <w:bCs/>
          <w:szCs w:val="21"/>
          <w:highlight w:val="none"/>
          <w:lang w:val="en-US" w:eastAsia="zh-CN"/>
        </w:rPr>
      </w:pPr>
      <w:r>
        <w:rPr>
          <w:rFonts w:ascii="黑体" w:hAnsi="宋体" w:eastAsia="黑体"/>
          <w:bCs/>
          <w:szCs w:val="21"/>
          <w:highlight w:val="none"/>
        </w:rPr>
        <w:t>2.2.</w:t>
      </w:r>
      <w:r>
        <w:rPr>
          <w:rFonts w:hint="eastAsia" w:ascii="黑体" w:hAnsi="宋体" w:eastAsia="黑体"/>
          <w:bCs/>
          <w:szCs w:val="21"/>
          <w:highlight w:val="none"/>
          <w:lang w:val="en-US" w:eastAsia="zh-CN"/>
        </w:rPr>
        <w:t>3</w:t>
      </w:r>
      <w:r>
        <w:rPr>
          <w:rFonts w:ascii="黑体" w:eastAsia="黑体"/>
          <w:bCs/>
          <w:szCs w:val="21"/>
          <w:highlight w:val="none"/>
        </w:rPr>
        <w:t xml:space="preserve"> </w:t>
      </w:r>
      <w:r>
        <w:rPr>
          <w:rFonts w:hint="eastAsia" w:ascii="黑体" w:hAnsi="宋体" w:eastAsia="黑体"/>
          <w:bCs/>
          <w:szCs w:val="21"/>
          <w:highlight w:val="none"/>
          <w:lang w:val="en-US" w:eastAsia="zh-CN"/>
        </w:rPr>
        <w:t>术语和定义</w:t>
      </w:r>
    </w:p>
    <w:p>
      <w:pPr>
        <w:adjustRightInd w:val="0"/>
        <w:snapToGrid w:val="0"/>
        <w:spacing w:line="360" w:lineRule="auto"/>
        <w:rPr>
          <w:rFonts w:hint="eastAsia"/>
          <w:bCs/>
          <w:szCs w:val="21"/>
          <w:highlight w:val="none"/>
          <w:lang w:val="en-US" w:eastAsia="zh-CN"/>
        </w:rPr>
      </w:pPr>
      <w:r>
        <w:rPr>
          <w:rFonts w:hint="eastAsia"/>
          <w:bCs/>
          <w:szCs w:val="21"/>
          <w:highlight w:val="none"/>
          <w:lang w:val="en-US" w:eastAsia="zh-CN"/>
        </w:rPr>
        <w:t>2.3.1.1比重 proportion</w:t>
      </w:r>
    </w:p>
    <w:p>
      <w:pPr>
        <w:adjustRightInd w:val="0"/>
        <w:snapToGrid w:val="0"/>
        <w:spacing w:line="360" w:lineRule="auto"/>
        <w:ind w:firstLine="420" w:firstLineChars="200"/>
        <w:rPr>
          <w:rFonts w:hint="eastAsia"/>
          <w:bCs/>
          <w:szCs w:val="21"/>
          <w:highlight w:val="none"/>
          <w:lang w:val="en-US" w:eastAsia="zh-CN"/>
        </w:rPr>
      </w:pPr>
      <w:r>
        <w:rPr>
          <w:rFonts w:hint="eastAsia"/>
          <w:bCs/>
          <w:szCs w:val="21"/>
          <w:highlight w:val="none"/>
          <w:lang w:val="en-US" w:eastAsia="zh-CN"/>
        </w:rPr>
        <w:t>比重也称</w:t>
      </w:r>
      <w:r>
        <w:rPr>
          <w:rFonts w:hint="eastAsia"/>
          <w:bCs/>
          <w:szCs w:val="21"/>
          <w:highlight w:val="none"/>
          <w:lang w:val="en-US" w:eastAsia="zh-CN"/>
        </w:rPr>
        <w:fldChar w:fldCharType="begin"/>
      </w:r>
      <w:r>
        <w:rPr>
          <w:rFonts w:hint="eastAsia"/>
          <w:bCs/>
          <w:szCs w:val="21"/>
          <w:highlight w:val="none"/>
          <w:lang w:val="en-US" w:eastAsia="zh-CN"/>
        </w:rPr>
        <w:instrText xml:space="preserve"> HYPERLINK "https://baike.so.com/doc/2751462-2903816.html" \t "https://baike.so.com/doc/_blank" </w:instrText>
      </w:r>
      <w:r>
        <w:rPr>
          <w:rFonts w:hint="eastAsia"/>
          <w:bCs/>
          <w:szCs w:val="21"/>
          <w:highlight w:val="none"/>
          <w:lang w:val="en-US" w:eastAsia="zh-CN"/>
        </w:rPr>
        <w:fldChar w:fldCharType="separate"/>
      </w:r>
      <w:r>
        <w:rPr>
          <w:rFonts w:hint="eastAsia"/>
          <w:bCs/>
          <w:szCs w:val="21"/>
          <w:highlight w:val="none"/>
          <w:lang w:val="en-US" w:eastAsia="zh-CN"/>
        </w:rPr>
        <w:t>相对密度</w:t>
      </w:r>
      <w:r>
        <w:rPr>
          <w:rFonts w:hint="eastAsia"/>
          <w:bCs/>
          <w:szCs w:val="21"/>
          <w:highlight w:val="none"/>
          <w:lang w:val="en-US" w:eastAsia="zh-CN"/>
        </w:rPr>
        <w:fldChar w:fldCharType="end"/>
      </w:r>
      <w:r>
        <w:rPr>
          <w:rFonts w:hint="eastAsia"/>
          <w:bCs/>
          <w:szCs w:val="21"/>
          <w:highlight w:val="none"/>
          <w:lang w:val="en-US" w:eastAsia="zh-CN"/>
        </w:rPr>
        <w:t>，固体/液体比重是该物质的密度与在标准大气压，3.98℃时纯H2O下的密度(999.972 kg/m3)的比值。</w:t>
      </w:r>
      <w:r>
        <w:rPr>
          <w:rFonts w:hint="eastAsia"/>
          <w:bCs/>
          <w:szCs w:val="21"/>
          <w:highlight w:val="none"/>
        </w:rPr>
        <w:t>比重是</w:t>
      </w:r>
      <w:r>
        <w:rPr>
          <w:rFonts w:hint="eastAsia"/>
          <w:bCs/>
          <w:szCs w:val="21"/>
          <w:highlight w:val="none"/>
        </w:rPr>
        <w:fldChar w:fldCharType="begin"/>
      </w:r>
      <w:r>
        <w:rPr>
          <w:rFonts w:hint="eastAsia"/>
          <w:bCs/>
          <w:szCs w:val="21"/>
          <w:highlight w:val="none"/>
        </w:rPr>
        <w:instrText xml:space="preserve"> HYPERLINK "https://baike.so.com/doc/2137879-2262009.html" \t "https://baike.so.com/doc/_blank" </w:instrText>
      </w:r>
      <w:r>
        <w:rPr>
          <w:rFonts w:hint="eastAsia"/>
          <w:bCs/>
          <w:szCs w:val="21"/>
          <w:highlight w:val="none"/>
        </w:rPr>
        <w:fldChar w:fldCharType="separate"/>
      </w:r>
      <w:r>
        <w:rPr>
          <w:rFonts w:hint="eastAsia"/>
          <w:bCs/>
          <w:szCs w:val="21"/>
          <w:highlight w:val="none"/>
        </w:rPr>
        <w:t>无量纲量</w:t>
      </w:r>
      <w:r>
        <w:rPr>
          <w:rFonts w:hint="eastAsia"/>
          <w:bCs/>
          <w:szCs w:val="21"/>
          <w:highlight w:val="none"/>
        </w:rPr>
        <w:fldChar w:fldCharType="end"/>
      </w:r>
      <w:r>
        <w:rPr>
          <w:rFonts w:hint="eastAsia"/>
          <w:bCs/>
          <w:szCs w:val="21"/>
          <w:highlight w:val="none"/>
        </w:rPr>
        <w:t>,即比重是无单位的值</w:t>
      </w:r>
      <w:r>
        <w:rPr>
          <w:rFonts w:hint="eastAsia"/>
          <w:bCs/>
          <w:szCs w:val="21"/>
          <w:highlight w:val="none"/>
          <w:lang w:eastAsia="zh-CN"/>
        </w:rPr>
        <w:t>。</w:t>
      </w:r>
    </w:p>
    <w:p>
      <w:pPr>
        <w:adjustRightInd w:val="0"/>
        <w:snapToGrid w:val="0"/>
        <w:spacing w:line="360" w:lineRule="auto"/>
        <w:rPr>
          <w:rFonts w:hint="eastAsia"/>
          <w:bCs/>
          <w:szCs w:val="21"/>
          <w:highlight w:val="none"/>
          <w:lang w:val="en-US" w:eastAsia="zh-CN"/>
        </w:rPr>
      </w:pPr>
      <w:r>
        <w:rPr>
          <w:rFonts w:hint="eastAsia"/>
          <w:bCs/>
          <w:szCs w:val="21"/>
          <w:highlight w:val="none"/>
          <w:lang w:val="en-US" w:eastAsia="zh-CN"/>
        </w:rPr>
        <w:t>2.3.1.2盐度 sailinity</w:t>
      </w:r>
    </w:p>
    <w:p>
      <w:pPr>
        <w:adjustRightInd w:val="0"/>
        <w:snapToGrid w:val="0"/>
        <w:spacing w:line="360" w:lineRule="auto"/>
        <w:ind w:firstLine="210" w:firstLineChars="100"/>
        <w:rPr>
          <w:rFonts w:hint="default"/>
          <w:bCs/>
          <w:szCs w:val="21"/>
          <w:highlight w:val="none"/>
          <w:lang w:val="en-US" w:eastAsia="zh-CN"/>
        </w:rPr>
      </w:pPr>
      <w:r>
        <w:rPr>
          <w:rFonts w:hint="eastAsia"/>
          <w:bCs/>
          <w:szCs w:val="21"/>
          <w:highlight w:val="none"/>
          <w:lang w:val="en-US" w:eastAsia="zh-CN"/>
        </w:rPr>
        <w:t>表征海水中溶解盐类多少的量。</w:t>
      </w:r>
    </w:p>
    <w:p>
      <w:pPr>
        <w:adjustRightInd w:val="0"/>
        <w:snapToGrid w:val="0"/>
        <w:spacing w:line="360" w:lineRule="auto"/>
        <w:rPr>
          <w:rFonts w:hint="default" w:hAnsi="宋体"/>
          <w:bCs/>
          <w:szCs w:val="21"/>
          <w:highlight w:val="none"/>
          <w:lang w:val="en-US" w:eastAsia="zh-CN"/>
        </w:rPr>
      </w:pPr>
      <w:r>
        <w:rPr>
          <w:rFonts w:hint="eastAsia"/>
          <w:bCs/>
          <w:szCs w:val="21"/>
          <w:highlight w:val="none"/>
          <w:lang w:val="en-US" w:eastAsia="zh-CN"/>
        </w:rPr>
        <w:t xml:space="preserve"> 注：盐度有绝对盐度和实用盐度之分。如无特殊说明，盐度一般指实用盐度。</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hint="eastAsia" w:ascii="黑体" w:hAnsi="宋体" w:eastAsia="黑体"/>
          <w:bCs/>
          <w:szCs w:val="21"/>
          <w:highlight w:val="none"/>
          <w:lang w:val="en-US" w:eastAsia="zh-CN"/>
        </w:rPr>
        <w:t>4</w:t>
      </w:r>
      <w:r>
        <w:rPr>
          <w:rFonts w:ascii="黑体" w:eastAsia="黑体"/>
          <w:bCs/>
          <w:szCs w:val="21"/>
          <w:highlight w:val="none"/>
        </w:rPr>
        <w:t xml:space="preserve"> </w:t>
      </w:r>
      <w:r>
        <w:rPr>
          <w:rFonts w:hint="eastAsia" w:ascii="黑体" w:hAnsi="宋体" w:eastAsia="黑体"/>
          <w:bCs/>
          <w:szCs w:val="21"/>
          <w:highlight w:val="none"/>
        </w:rPr>
        <w:t>概述</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盐水比重计用于快速测定含盐（氯化钠）溶液重量分百比浓度的一种仪器，广泛应用于制盐、食品、饮料等工业部门及农业生产和科研中，通常由传感器、测量电路和数据处理装置组成。</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hint="eastAsia" w:ascii="黑体" w:hAnsi="宋体" w:eastAsia="黑体"/>
          <w:bCs/>
          <w:szCs w:val="21"/>
          <w:highlight w:val="none"/>
          <w:lang w:val="en-US" w:eastAsia="zh-CN"/>
        </w:rPr>
        <w:t>5</w:t>
      </w:r>
      <w:r>
        <w:rPr>
          <w:rFonts w:ascii="黑体" w:eastAsia="黑体"/>
          <w:bCs/>
          <w:szCs w:val="21"/>
          <w:highlight w:val="none"/>
        </w:rPr>
        <w:t xml:space="preserve"> </w:t>
      </w:r>
      <w:r>
        <w:rPr>
          <w:rFonts w:hint="eastAsia" w:ascii="黑体" w:hAnsi="宋体" w:eastAsia="黑体"/>
          <w:bCs/>
          <w:szCs w:val="21"/>
          <w:highlight w:val="none"/>
        </w:rPr>
        <w:t>计量特性</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仪表的计量特性主要为示值误差、</w:t>
      </w:r>
      <w:r>
        <w:rPr>
          <w:rFonts w:hint="eastAsia" w:hAnsi="宋体" w:cs="Times New Roman"/>
          <w:bCs/>
          <w:szCs w:val="21"/>
          <w:highlight w:val="none"/>
          <w:lang w:val="en-US" w:eastAsia="zh-CN"/>
        </w:rPr>
        <w:t>测量重复性</w:t>
      </w:r>
      <w:r>
        <w:rPr>
          <w:rFonts w:hint="eastAsia" w:ascii="Times New Roman" w:hAnsi="宋体" w:cs="Times New Roman"/>
          <w:bCs/>
          <w:szCs w:val="21"/>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hint="eastAsia" w:ascii="黑体" w:hAnsi="宋体" w:eastAsia="黑体"/>
          <w:bCs/>
          <w:szCs w:val="21"/>
          <w:highlight w:val="none"/>
          <w:lang w:val="en-US" w:eastAsia="zh-CN"/>
        </w:rPr>
        <w:t>6</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Style w:val="43"/>
          <w:rFonts w:hint="eastAsia"/>
          <w:highlight w:val="none"/>
          <w:lang w:val="en-US" w:eastAsia="zh-CN"/>
        </w:rPr>
      </w:pPr>
      <w:r>
        <w:rPr>
          <w:rFonts w:hint="eastAsia"/>
          <w:bCs/>
          <w:highlight w:val="none"/>
          <w:lang w:val="en-US" w:eastAsia="zh-CN"/>
        </w:rPr>
        <w:t>校准条件包括校准用计量标准、配套设备、校准环境条件和通用技术要求，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rPr>
          <w:rFonts w:ascii="黑体" w:hAnsi="宋体" w:eastAsia="黑体"/>
          <w:bCs/>
          <w:szCs w:val="21"/>
          <w:highlight w:val="none"/>
        </w:rPr>
      </w:pPr>
      <w:r>
        <w:rPr>
          <w:rFonts w:ascii="黑体" w:hAnsi="宋体" w:eastAsia="黑体"/>
          <w:bCs/>
          <w:szCs w:val="21"/>
          <w:highlight w:val="none"/>
        </w:rPr>
        <w:t>2.2.6</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1）关于校准项目</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校准项目：示值误差、测量重复性。</w:t>
      </w:r>
    </w:p>
    <w:p>
      <w:pPr>
        <w:numPr>
          <w:ilvl w:val="0"/>
          <w:numId w:val="2"/>
        </w:num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关于校准方法</w:t>
      </w:r>
    </w:p>
    <w:p>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hAnsi="宋体" w:cs="Times New Roman"/>
          <w:bCs/>
          <w:szCs w:val="21"/>
          <w:highlight w:val="none"/>
          <w:lang w:val="en-US" w:eastAsia="zh-CN"/>
        </w:rPr>
        <w:t>规范对电极式盐水比重计的校准点的选择、校准用标准溶液的选用及配制方法进行了分别描述，规范对电极式盐水比重计计量特性示值误差、测量重复性的校准方法进行了详细描述，给出了相应的示值误差、测量重复性计算公式。规范能较好地指导校准人员对电极式盐水比重计进行校准，具有较强的可操作性。</w:t>
      </w:r>
    </w:p>
    <w:p>
      <w:pPr>
        <w:spacing w:line="360" w:lineRule="auto"/>
        <w:rPr>
          <w:rFonts w:ascii="黑体" w:hAnsi="宋体" w:eastAsia="黑体"/>
          <w:bCs/>
          <w:szCs w:val="21"/>
          <w:highlight w:val="none"/>
        </w:rPr>
      </w:pPr>
      <w:r>
        <w:rPr>
          <w:rFonts w:ascii="黑体" w:hAnsi="宋体" w:eastAsia="黑体"/>
          <w:bCs/>
          <w:szCs w:val="21"/>
          <w:highlight w:val="none"/>
        </w:rPr>
        <w:t xml:space="preserve">2.2.7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2.2.8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给出了最长12个月复校时间间隔的建议。但客户可根据使用情况自主决定复校时间间隔。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hint="eastAsia" w:ascii="黑体" w:hAnsi="宋体" w:eastAsia="黑体"/>
          <w:bCs/>
          <w:szCs w:val="21"/>
          <w:highlight w:val="none"/>
          <w:lang w:val="en-US" w:eastAsia="zh-CN"/>
        </w:rPr>
        <w:t>9</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设置了5个附录，便于校准时参考和规范化。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电极式盐水比重计校准记录参考格式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电极式盐水比重计校准证书内页参考格式</w:t>
      </w:r>
    </w:p>
    <w:p>
      <w:pPr>
        <w:adjustRightInd w:val="0"/>
        <w:snapToGrid w:val="0"/>
        <w:spacing w:line="360" w:lineRule="auto"/>
        <w:ind w:firstLine="420" w:firstLineChars="200"/>
        <w:rPr>
          <w:rFonts w:hint="default"/>
          <w:bCs/>
          <w:highlight w:val="none"/>
          <w:lang w:val="en-US" w:eastAsia="zh-CN"/>
        </w:rPr>
      </w:pPr>
      <w:r>
        <w:rPr>
          <w:rFonts w:hint="eastAsia"/>
          <w:bCs/>
          <w:highlight w:val="none"/>
          <w:lang w:val="en-US" w:eastAsia="zh-CN"/>
        </w:rPr>
        <w:t>附录C 海水比重与盐度换算表</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附录D 电极式盐水比重计标准溶液配制方法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附录E 电极式盐水比重计示值误差测量结果的不确定度评定示例</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本规范填补了国内对电极式盐水比重计无校准规范的空白，规范对电极式盐水比重计计量特性的校准，校准用标准溶液的选用和配制方法进行了详细描述，可操作性强，水平达到国内领先。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建议本规范作为推荐性行业计量技术规范，供相关行业参考采用。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bCs/>
          <w:highlight w:val="none"/>
          <w:lang w:val="en-US" w:eastAsia="zh-CN"/>
        </w:rPr>
        <w:t>电极式盐水比重计的校准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对电极式盐水比重计的评价有了统一标准，能很好地用于指导生产</w:t>
      </w:r>
      <w:r>
        <w:rPr>
          <w:rFonts w:hint="eastAsia" w:ascii="宋体" w:eastAsia="方正行楷简体"/>
          <w:bCs/>
          <w:kern w:val="0"/>
          <w:szCs w:val="21"/>
          <w:highlight w:val="none"/>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val="en-US" w:eastAsia="zh-CN"/>
        </w:rPr>
        <w:t>电极式盐水比重计</w:t>
      </w:r>
      <w:r>
        <w:rPr>
          <w:rFonts w:hint="eastAsia" w:asciiTheme="minorEastAsia" w:hAnsiTheme="minorEastAsia" w:eastAsiaTheme="minorEastAsia" w:cstheme="minorEastAsia"/>
          <w:bCs/>
          <w:sz w:val="21"/>
          <w:szCs w:val="21"/>
          <w:highlight w:val="none"/>
          <w:lang w:eastAsia="zh-CN"/>
        </w:rPr>
        <w:t>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202</w:t>
      </w:r>
      <w:r>
        <w:rPr>
          <w:rFonts w:hint="eastAsia" w:asciiTheme="minorEastAsia" w:hAnsiTheme="minorEastAsia" w:eastAsiaTheme="minorEastAsia" w:cstheme="minorEastAsia"/>
          <w:bCs/>
          <w:highlight w:val="none"/>
          <w:lang w:val="en-US" w:eastAsia="zh-CN"/>
        </w:rPr>
        <w:t>4</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6</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5</w:t>
      </w:r>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0271F"/>
    <w:multiLevelType w:val="singleLevel"/>
    <w:tmpl w:val="A130271F"/>
    <w:lvl w:ilvl="0" w:tentative="0">
      <w:start w:val="2"/>
      <w:numFmt w:val="decimal"/>
      <w:suff w:val="nothing"/>
      <w:lvlText w:val="%1）"/>
      <w:lvlJc w:val="left"/>
    </w:lvl>
  </w:abstractNum>
  <w:abstractNum w:abstractNumId="1">
    <w:nsid w:val="6CEA2025"/>
    <w:multiLevelType w:val="multilevel"/>
    <w:tmpl w:val="6CEA2025"/>
    <w:lvl w:ilvl="0" w:tentative="0">
      <w:start w:val="1"/>
      <w:numFmt w:val="none"/>
      <w:pStyle w:val="30"/>
      <w:suff w:val="nothing"/>
      <w:lvlText w:val="%1"/>
      <w:lvlJc w:val="left"/>
      <w:rPr>
        <w:rFonts w:hint="default" w:ascii="Times New Roman" w:hAnsi="Times New Roman" w:cs="Times New Roman"/>
        <w:b/>
        <w:i w:val="0"/>
        <w:sz w:val="21"/>
      </w:rPr>
    </w:lvl>
    <w:lvl w:ilvl="1" w:tentative="0">
      <w:start w:val="1"/>
      <w:numFmt w:val="decimal"/>
      <w:pStyle w:val="31"/>
      <w:suff w:val="nothing"/>
      <w:lvlText w:val="%1%2　"/>
      <w:lvlJc w:val="left"/>
      <w:rPr>
        <w:rFonts w:hint="eastAsia" w:ascii="黑体" w:hAnsi="Times New Roman" w:eastAsia="黑体" w:cs="Times New Roman"/>
        <w:b w:val="0"/>
        <w:i w:val="0"/>
        <w:sz w:val="21"/>
      </w:rPr>
    </w:lvl>
    <w:lvl w:ilvl="2" w:tentative="0">
      <w:start w:val="1"/>
      <w:numFmt w:val="decimal"/>
      <w:pStyle w:val="32"/>
      <w:suff w:val="nothing"/>
      <w:lvlText w:val="%1%2.%3　"/>
      <w:lvlJc w:val="left"/>
      <w:rPr>
        <w:rFonts w:hint="eastAsia" w:ascii="黑体" w:hAnsi="Times New Roman" w:eastAsia="黑体" w:cs="Times New Roman"/>
        <w:b w:val="0"/>
        <w:i w:val="0"/>
        <w:sz w:val="21"/>
      </w:rPr>
    </w:lvl>
    <w:lvl w:ilvl="3" w:tentative="0">
      <w:start w:val="1"/>
      <w:numFmt w:val="decimal"/>
      <w:pStyle w:val="33"/>
      <w:suff w:val="nothing"/>
      <w:lvlText w:val="%1%2.%3.%4　"/>
      <w:lvlJc w:val="left"/>
      <w:rPr>
        <w:rFonts w:hint="eastAsia" w:ascii="黑体" w:hAnsi="Times New Roman" w:eastAsia="黑体" w:cs="Times New Roman"/>
        <w:b w:val="0"/>
        <w:i w:val="0"/>
        <w:sz w:val="21"/>
      </w:rPr>
    </w:lvl>
    <w:lvl w:ilvl="4" w:tentative="0">
      <w:start w:val="1"/>
      <w:numFmt w:val="decimal"/>
      <w:pStyle w:val="34"/>
      <w:suff w:val="nothing"/>
      <w:lvlText w:val="%1%2.%3.%4.%5　"/>
      <w:lvlJc w:val="left"/>
      <w:rPr>
        <w:rFonts w:hint="eastAsia" w:ascii="黑体" w:hAnsi="Times New Roman" w:eastAsia="黑体" w:cs="Times New Roman"/>
        <w:b w:val="0"/>
        <w:i w:val="0"/>
        <w:sz w:val="21"/>
      </w:rPr>
    </w:lvl>
    <w:lvl w:ilvl="5" w:tentative="0">
      <w:start w:val="1"/>
      <w:numFmt w:val="decimal"/>
      <w:pStyle w:val="35"/>
      <w:suff w:val="nothing"/>
      <w:lvlText w:val="%1%2.%3.%4.%5.%6　"/>
      <w:lvlJc w:val="left"/>
      <w:rPr>
        <w:rFonts w:hint="eastAsia" w:ascii="黑体" w:hAnsi="Times New Roman" w:eastAsia="黑体" w:cs="Times New Roman"/>
        <w:b w:val="0"/>
        <w:i w:val="0"/>
        <w:sz w:val="21"/>
      </w:rPr>
    </w:lvl>
    <w:lvl w:ilvl="6" w:tentative="0">
      <w:start w:val="1"/>
      <w:numFmt w:val="decimal"/>
      <w:pStyle w:val="3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OTJmODU5YWUzMjM1NTQyNDNhOTAwMjg5ZDRh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39906BD"/>
    <w:rsid w:val="04953539"/>
    <w:rsid w:val="052C6AB8"/>
    <w:rsid w:val="054363E9"/>
    <w:rsid w:val="09402D37"/>
    <w:rsid w:val="0B887DA5"/>
    <w:rsid w:val="0DB103FD"/>
    <w:rsid w:val="0DB62202"/>
    <w:rsid w:val="0F046843"/>
    <w:rsid w:val="0F4960E8"/>
    <w:rsid w:val="0FD961E1"/>
    <w:rsid w:val="102B2027"/>
    <w:rsid w:val="11580B6C"/>
    <w:rsid w:val="126E7A09"/>
    <w:rsid w:val="14251CC4"/>
    <w:rsid w:val="154C457C"/>
    <w:rsid w:val="163F2D2D"/>
    <w:rsid w:val="168D2F97"/>
    <w:rsid w:val="181878E8"/>
    <w:rsid w:val="185C1918"/>
    <w:rsid w:val="196656B5"/>
    <w:rsid w:val="19D813C6"/>
    <w:rsid w:val="1A7B17FC"/>
    <w:rsid w:val="1B3E222D"/>
    <w:rsid w:val="1C955416"/>
    <w:rsid w:val="1DFD3AB5"/>
    <w:rsid w:val="1E1E7305"/>
    <w:rsid w:val="236269FD"/>
    <w:rsid w:val="24500F51"/>
    <w:rsid w:val="264362D5"/>
    <w:rsid w:val="2B6A69EA"/>
    <w:rsid w:val="2F3F109E"/>
    <w:rsid w:val="30204B81"/>
    <w:rsid w:val="31D30F8D"/>
    <w:rsid w:val="32CF2B4C"/>
    <w:rsid w:val="33A855B9"/>
    <w:rsid w:val="33F80747"/>
    <w:rsid w:val="3400143C"/>
    <w:rsid w:val="34915439"/>
    <w:rsid w:val="36070A65"/>
    <w:rsid w:val="36294EFF"/>
    <w:rsid w:val="366B4F50"/>
    <w:rsid w:val="36814FE8"/>
    <w:rsid w:val="3A6A7A9F"/>
    <w:rsid w:val="3B4B3584"/>
    <w:rsid w:val="3C2D4B77"/>
    <w:rsid w:val="3D540C00"/>
    <w:rsid w:val="3FFB769C"/>
    <w:rsid w:val="424972B2"/>
    <w:rsid w:val="42CD2859"/>
    <w:rsid w:val="46057311"/>
    <w:rsid w:val="461756FA"/>
    <w:rsid w:val="46E43C6C"/>
    <w:rsid w:val="49ED573E"/>
    <w:rsid w:val="50F90BE2"/>
    <w:rsid w:val="519E65DF"/>
    <w:rsid w:val="51C34A47"/>
    <w:rsid w:val="55BF234C"/>
    <w:rsid w:val="55CC27F2"/>
    <w:rsid w:val="57415D20"/>
    <w:rsid w:val="588B31DD"/>
    <w:rsid w:val="5A8913F1"/>
    <w:rsid w:val="5AF97D15"/>
    <w:rsid w:val="5B9F2DFD"/>
    <w:rsid w:val="5BBE3B49"/>
    <w:rsid w:val="5C155CCB"/>
    <w:rsid w:val="5C486802"/>
    <w:rsid w:val="5E361946"/>
    <w:rsid w:val="613C71BD"/>
    <w:rsid w:val="62C244A7"/>
    <w:rsid w:val="635C4B8E"/>
    <w:rsid w:val="6388107B"/>
    <w:rsid w:val="645D0E2E"/>
    <w:rsid w:val="655463FB"/>
    <w:rsid w:val="66471C44"/>
    <w:rsid w:val="69893755"/>
    <w:rsid w:val="6AD2505B"/>
    <w:rsid w:val="6C0D48EE"/>
    <w:rsid w:val="6C687BC5"/>
    <w:rsid w:val="6C715A3C"/>
    <w:rsid w:val="6D4C46B2"/>
    <w:rsid w:val="6D4F6A9B"/>
    <w:rsid w:val="6FE72B43"/>
    <w:rsid w:val="74145A7A"/>
    <w:rsid w:val="75411574"/>
    <w:rsid w:val="76657642"/>
    <w:rsid w:val="77266CAE"/>
    <w:rsid w:val="7A5E69CB"/>
    <w:rsid w:val="7B2E32FA"/>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1"/>
    <w:qFormat/>
    <w:uiPriority w:val="99"/>
    <w:pPr>
      <w:spacing w:after="120"/>
    </w:pPr>
  </w:style>
  <w:style w:type="paragraph" w:styleId="5">
    <w:name w:val="Body Text Indent"/>
    <w:basedOn w:val="1"/>
    <w:link w:val="39"/>
    <w:qFormat/>
    <w:uiPriority w:val="99"/>
    <w:pPr>
      <w:spacing w:after="120"/>
      <w:ind w:left="420" w:leftChars="200"/>
    </w:pPr>
  </w:style>
  <w:style w:type="paragraph" w:styleId="6">
    <w:name w:val="Date"/>
    <w:basedOn w:val="1"/>
    <w:next w:val="1"/>
    <w:link w:val="21"/>
    <w:qFormat/>
    <w:uiPriority w:val="99"/>
    <w:pPr>
      <w:ind w:left="100" w:leftChars="2500"/>
    </w:pPr>
  </w:style>
  <w:style w:type="paragraph" w:styleId="7">
    <w:name w:val="Body Text Indent 2"/>
    <w:basedOn w:val="1"/>
    <w:link w:val="38"/>
    <w:qFormat/>
    <w:uiPriority w:val="99"/>
    <w:pPr>
      <w:spacing w:after="120" w:line="480" w:lineRule="auto"/>
      <w:ind w:left="420" w:leftChars="200"/>
    </w:pPr>
  </w:style>
  <w:style w:type="paragraph" w:styleId="8">
    <w:name w:val="Balloon Text"/>
    <w:basedOn w:val="1"/>
    <w:link w:val="22"/>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5"/>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2"/>
    <w:qFormat/>
    <w:uiPriority w:val="99"/>
    <w:pPr>
      <w:ind w:firstLine="420" w:firstLineChars="100"/>
    </w:pPr>
  </w:style>
  <w:style w:type="paragraph" w:styleId="14">
    <w:name w:val="Body Text First Indent 2"/>
    <w:basedOn w:val="5"/>
    <w:link w:val="40"/>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Hyperlink"/>
    <w:qFormat/>
    <w:uiPriority w:val="99"/>
    <w:rPr>
      <w:rFonts w:ascii="Times New Roman" w:hAnsi="Times New Roman" w:eastAsia="宋体"/>
      <w:color w:val="auto"/>
      <w:spacing w:val="0"/>
      <w:w w:val="100"/>
      <w:position w:val="0"/>
      <w:sz w:val="21"/>
      <w:u w:val="none"/>
      <w:vertAlign w:val="baseline"/>
    </w:rPr>
  </w:style>
  <w:style w:type="character" w:styleId="19">
    <w:name w:val="annotation reference"/>
    <w:basedOn w:val="17"/>
    <w:semiHidden/>
    <w:qFormat/>
    <w:uiPriority w:val="99"/>
    <w:rPr>
      <w:rFonts w:cs="Times New Roman"/>
      <w:sz w:val="21"/>
      <w:szCs w:val="21"/>
    </w:rPr>
  </w:style>
  <w:style w:type="character" w:customStyle="1" w:styleId="20">
    <w:name w:val="标题 2 字符"/>
    <w:basedOn w:val="17"/>
    <w:link w:val="2"/>
    <w:qFormat/>
    <w:locked/>
    <w:uiPriority w:val="99"/>
    <w:rPr>
      <w:rFonts w:ascii="Arial" w:hAnsi="Arial" w:eastAsia="黑体" w:cs="Times New Roman"/>
      <w:b/>
      <w:bCs/>
      <w:kern w:val="2"/>
      <w:sz w:val="32"/>
      <w:szCs w:val="32"/>
    </w:rPr>
  </w:style>
  <w:style w:type="character" w:customStyle="1" w:styleId="21">
    <w:name w:val="日期 字符"/>
    <w:basedOn w:val="17"/>
    <w:link w:val="6"/>
    <w:qFormat/>
    <w:locked/>
    <w:uiPriority w:val="99"/>
    <w:rPr>
      <w:rFonts w:cs="Times New Roman"/>
      <w:kern w:val="2"/>
      <w:sz w:val="24"/>
      <w:szCs w:val="24"/>
    </w:rPr>
  </w:style>
  <w:style w:type="character" w:customStyle="1" w:styleId="22">
    <w:name w:val="批注框文本 字符"/>
    <w:basedOn w:val="17"/>
    <w:link w:val="8"/>
    <w:qFormat/>
    <w:locked/>
    <w:uiPriority w:val="99"/>
    <w:rPr>
      <w:rFonts w:cs="Times New Roman"/>
      <w:kern w:val="2"/>
      <w:sz w:val="18"/>
      <w:szCs w:val="18"/>
    </w:rPr>
  </w:style>
  <w:style w:type="character" w:customStyle="1" w:styleId="23">
    <w:name w:val="页脚 字符"/>
    <w:basedOn w:val="17"/>
    <w:link w:val="9"/>
    <w:qFormat/>
    <w:locked/>
    <w:uiPriority w:val="99"/>
    <w:rPr>
      <w:rFonts w:cs="Times New Roman"/>
      <w:kern w:val="2"/>
      <w:sz w:val="18"/>
      <w:szCs w:val="18"/>
    </w:rPr>
  </w:style>
  <w:style w:type="character" w:customStyle="1" w:styleId="24">
    <w:name w:val="页眉 字符"/>
    <w:basedOn w:val="17"/>
    <w:link w:val="10"/>
    <w:semiHidden/>
    <w:qFormat/>
    <w:locked/>
    <w:uiPriority w:val="99"/>
    <w:rPr>
      <w:rFonts w:cs="Times New Roman"/>
      <w:sz w:val="18"/>
      <w:szCs w:val="18"/>
    </w:rPr>
  </w:style>
  <w:style w:type="character" w:customStyle="1" w:styleId="25">
    <w:name w:val="正文文本 2 字符"/>
    <w:basedOn w:val="17"/>
    <w:link w:val="11"/>
    <w:semiHidden/>
    <w:qFormat/>
    <w:locked/>
    <w:uiPriority w:val="99"/>
    <w:rPr>
      <w:rFonts w:cs="Times New Roman"/>
      <w:sz w:val="24"/>
      <w:szCs w:val="24"/>
    </w:rPr>
  </w:style>
  <w:style w:type="paragraph" w:customStyle="1" w:styleId="26">
    <w:name w:val="段"/>
    <w:link w:val="2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段 Char"/>
    <w:basedOn w:val="17"/>
    <w:link w:val="26"/>
    <w:qFormat/>
    <w:locked/>
    <w:uiPriority w:val="99"/>
    <w:rPr>
      <w:rFonts w:ascii="宋体" w:cs="Times New Roman"/>
      <w:sz w:val="21"/>
      <w:lang w:val="en-US" w:eastAsia="zh-CN" w:bidi="ar-SA"/>
    </w:rPr>
  </w:style>
  <w:style w:type="character" w:styleId="28">
    <w:name w:val="Placeholder Text"/>
    <w:basedOn w:val="17"/>
    <w:semiHidden/>
    <w:qFormat/>
    <w:uiPriority w:val="99"/>
    <w:rPr>
      <w:rFonts w:cs="Times New Roman"/>
      <w:color w:val="808080"/>
    </w:rPr>
  </w:style>
  <w:style w:type="paragraph" w:styleId="29">
    <w:name w:val="List Paragraph"/>
    <w:basedOn w:val="1"/>
    <w:qFormat/>
    <w:uiPriority w:val="99"/>
    <w:pPr>
      <w:ind w:firstLine="420" w:firstLineChars="200"/>
    </w:pPr>
  </w:style>
  <w:style w:type="paragraph" w:customStyle="1" w:styleId="30">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章标题"/>
    <w:next w:val="26"/>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2">
    <w:name w:val="一级条标题"/>
    <w:basedOn w:val="31"/>
    <w:next w:val="26"/>
    <w:link w:val="37"/>
    <w:qFormat/>
    <w:uiPriority w:val="99"/>
    <w:pPr>
      <w:numPr>
        <w:ilvl w:val="2"/>
      </w:numPr>
      <w:spacing w:beforeLines="0" w:afterLines="0"/>
      <w:outlineLvl w:val="2"/>
    </w:pPr>
    <w:rPr>
      <w:sz w:val="21"/>
    </w:rPr>
  </w:style>
  <w:style w:type="paragraph" w:customStyle="1" w:styleId="33">
    <w:name w:val="二级条标题"/>
    <w:basedOn w:val="32"/>
    <w:next w:val="26"/>
    <w:qFormat/>
    <w:uiPriority w:val="99"/>
    <w:pPr>
      <w:numPr>
        <w:ilvl w:val="3"/>
      </w:numPr>
      <w:ind w:left="2310" w:hanging="420"/>
      <w:outlineLvl w:val="3"/>
    </w:pPr>
  </w:style>
  <w:style w:type="paragraph" w:customStyle="1" w:styleId="34">
    <w:name w:val="三级条标题"/>
    <w:basedOn w:val="33"/>
    <w:next w:val="26"/>
    <w:qFormat/>
    <w:uiPriority w:val="99"/>
    <w:pPr>
      <w:numPr>
        <w:ilvl w:val="4"/>
      </w:numPr>
      <w:ind w:left="2730"/>
      <w:outlineLvl w:val="4"/>
    </w:pPr>
  </w:style>
  <w:style w:type="paragraph" w:customStyle="1" w:styleId="35">
    <w:name w:val="四级条标题"/>
    <w:basedOn w:val="34"/>
    <w:next w:val="26"/>
    <w:qFormat/>
    <w:uiPriority w:val="99"/>
    <w:pPr>
      <w:numPr>
        <w:ilvl w:val="5"/>
      </w:numPr>
      <w:ind w:left="3150"/>
      <w:outlineLvl w:val="5"/>
    </w:pPr>
  </w:style>
  <w:style w:type="paragraph" w:customStyle="1" w:styleId="36">
    <w:name w:val="五级条标题"/>
    <w:basedOn w:val="35"/>
    <w:next w:val="26"/>
    <w:qFormat/>
    <w:uiPriority w:val="99"/>
    <w:pPr>
      <w:numPr>
        <w:ilvl w:val="6"/>
      </w:numPr>
      <w:ind w:left="3570"/>
      <w:outlineLvl w:val="6"/>
    </w:pPr>
  </w:style>
  <w:style w:type="character" w:customStyle="1" w:styleId="37">
    <w:name w:val="一级条标题 Char"/>
    <w:link w:val="32"/>
    <w:qFormat/>
    <w:locked/>
    <w:uiPriority w:val="99"/>
    <w:rPr>
      <w:rFonts w:ascii="黑体" w:eastAsia="黑体"/>
      <w:sz w:val="21"/>
      <w:lang w:val="en-US" w:eastAsia="zh-CN"/>
    </w:rPr>
  </w:style>
  <w:style w:type="character" w:customStyle="1" w:styleId="38">
    <w:name w:val="正文文本缩进 2 字符"/>
    <w:basedOn w:val="17"/>
    <w:link w:val="7"/>
    <w:semiHidden/>
    <w:qFormat/>
    <w:locked/>
    <w:uiPriority w:val="99"/>
    <w:rPr>
      <w:rFonts w:cs="Times New Roman"/>
      <w:sz w:val="24"/>
      <w:szCs w:val="24"/>
    </w:rPr>
  </w:style>
  <w:style w:type="character" w:customStyle="1" w:styleId="39">
    <w:name w:val="正文文本缩进 字符"/>
    <w:basedOn w:val="17"/>
    <w:link w:val="5"/>
    <w:semiHidden/>
    <w:qFormat/>
    <w:locked/>
    <w:uiPriority w:val="99"/>
    <w:rPr>
      <w:rFonts w:cs="Times New Roman"/>
      <w:sz w:val="24"/>
      <w:szCs w:val="24"/>
    </w:rPr>
  </w:style>
  <w:style w:type="character" w:customStyle="1" w:styleId="40">
    <w:name w:val="正文文本首行缩进 2 字符"/>
    <w:basedOn w:val="39"/>
    <w:link w:val="14"/>
    <w:semiHidden/>
    <w:qFormat/>
    <w:locked/>
    <w:uiPriority w:val="99"/>
    <w:rPr>
      <w:rFonts w:cs="Times New Roman"/>
      <w:sz w:val="24"/>
      <w:szCs w:val="24"/>
    </w:rPr>
  </w:style>
  <w:style w:type="character" w:customStyle="1" w:styleId="41">
    <w:name w:val="正文文本 字符"/>
    <w:basedOn w:val="17"/>
    <w:link w:val="4"/>
    <w:semiHidden/>
    <w:qFormat/>
    <w:locked/>
    <w:uiPriority w:val="99"/>
    <w:rPr>
      <w:rFonts w:cs="Times New Roman"/>
      <w:sz w:val="24"/>
      <w:szCs w:val="24"/>
    </w:rPr>
  </w:style>
  <w:style w:type="character" w:customStyle="1" w:styleId="42">
    <w:name w:val="正文文本首行缩进 字符"/>
    <w:basedOn w:val="41"/>
    <w:link w:val="13"/>
    <w:semiHidden/>
    <w:qFormat/>
    <w:locked/>
    <w:uiPriority w:val="99"/>
    <w:rPr>
      <w:rFonts w:cs="Times New Roman"/>
      <w:sz w:val="24"/>
      <w:szCs w:val="24"/>
    </w:rPr>
  </w:style>
  <w:style w:type="character" w:customStyle="1" w:styleId="43">
    <w:name w:val="图题及表格"/>
    <w:basedOn w:val="17"/>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4780</Words>
  <Characters>5155</Characters>
  <Lines>3</Lines>
  <Paragraphs>8</Paragraphs>
  <TotalTime>1</TotalTime>
  <ScaleCrop>false</ScaleCrop>
  <LinksUpToDate>false</LinksUpToDate>
  <CharactersWithSpaces>5204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龍影隨風</cp:lastModifiedBy>
  <cp:lastPrinted>2013-05-26T06:25:00Z</cp:lastPrinted>
  <dcterms:modified xsi:type="dcterms:W3CDTF">2024-06-07T07:59:12Z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7CCB4B6944374B8A83D0B17626C178EF_13</vt:lpwstr>
  </property>
</Properties>
</file>