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Toc464728891"/>
      <w:r>
        <mc:AlternateContent>
          <mc:Choice Requires="wps">
            <w:drawing>
              <wp:anchor distT="0" distB="0" distL="114300" distR="114300" simplePos="0" relativeHeight="251659264" behindDoc="0" locked="1" layoutInCell="1" allowOverlap="1">
                <wp:simplePos x="0" y="0"/>
                <wp:positionH relativeFrom="margin">
                  <wp:posOffset>-217805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34"/>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34"/>
                              <w:rPr>
                                <w:rFonts w:hAnsi="黑体" w:cs="黑体"/>
                                <w:szCs w:val="52"/>
                              </w:rPr>
                            </w:pPr>
                            <w:r>
                              <w:rPr>
                                <w:rFonts w:hint="eastAsia" w:hAnsi="黑体" w:cs="黑体"/>
                                <w:kern w:val="2"/>
                                <w:sz w:val="44"/>
                                <w:szCs w:val="44"/>
                              </w:rPr>
                              <w:t>平面双轴试验系统校准规范</w:t>
                            </w:r>
                          </w:p>
                          <w:p>
                            <w:pPr>
                              <w:pStyle w:val="34"/>
                              <w:rPr>
                                <w:rFonts w:hAnsi="黑体" w:cs="黑体"/>
                                <w:kern w:val="2"/>
                                <w:sz w:val="44"/>
                                <w:szCs w:val="44"/>
                              </w:rPr>
                            </w:pPr>
                            <w:r>
                              <w:rPr>
                                <w:rFonts w:hint="eastAsia" w:hAnsi="黑体" w:cs="黑体"/>
                                <w:kern w:val="2"/>
                                <w:sz w:val="44"/>
                                <w:szCs w:val="44"/>
                              </w:rPr>
                              <w:t>(编制说明)</w:t>
                            </w:r>
                          </w:p>
                        </w:txbxContent>
                      </wps:txbx>
                      <wps:bodyPr lIns="0" tIns="0" rIns="0" bIns="0" upright="1"/>
                    </wps:wsp>
                  </a:graphicData>
                </a:graphic>
              </wp:anchor>
            </w:drawing>
          </mc:Choice>
          <mc:Fallback>
            <w:pict>
              <v:rect id="文本框 4" o:spid="_x0000_s1026" o:spt="1" style="position:absolute;left:0pt;margin-left:-17.1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hqkKkdgAAAAL&#10;AQAADwAAAGRycy9kb3ducmV2LnhtbE2Py07DQAxF90j8w8hI7NrJo5Q2xOmCh7omgNhOE5MJzCPK&#10;TNrA12NWZWfLR9fnlrvZGnGkMfTeIaTLBAS5xre96xBeX54WGxAhKtcq4x0hfFOAXXV5Uaqi9Sf3&#10;TMc6doJDXCgUgo5xKKQMjSarwtIP5Pj24UerIq9jJ9tRnTjcGpklyVpa1Tv+oNVA95qar3qyCPv0&#10;4XH4lD+12ptI05ueG/M+I15fpckdiEhzPMPwp8/qULHTwU+uDcIgLPJVzihCtsp5YGKbbW9AHBDW&#10;6eYWZFXK/x2qX1BLAwQUAAAACACHTuJAY/5bKMsBAACSAwAADgAAAGRycy9lMm9Eb2MueG1srVNL&#10;btswEN0X6B0I7mv5U6SpYDmLGi4KFG2ApAegKFIiwB+GtCVfoL1BV91033P5HB1SstMmmyyiBTXD&#10;Gb6Z94Zc3wxGk4OAoJyt6GI2p0RY7hpl24p+u9+9uaYkRGYbpp0VFT2KQG82r1+te1+KpeucbgQQ&#10;BLGh7H1Fuxh9WRSBd8KwMHNeWAxKB4ZFdKEtGmA9ohtdLOfzq6J30HhwXISAu9sxSCdEeA6gk1Jx&#10;sXV8b4SNIyoIzSJSCp3ygW5yt1IKHr9KGUQkuqLINOYVi6Bdp7XYrFnZAvOd4lML7DktPOJkmLJY&#10;9AK1ZZGRPagnUEZxcMHJOOPOFCORrAiyWMwfaXPXMS8yF5Q6+Ivo4eVg+ZfDLRDVVHRFiWUGB376&#10;+eP068/p93fyNsnT+1Bi1p2/hckLaCaugwST/siCDFnS40VSMUTCcfNqgbxWqDbH2HJ1vXr3Pote&#10;PBz3EOJH4QxJRkUBZ5alZIfPIWJJTD2npGrBadXslNbZgbb+oIEcGM53l7/UMx75L03blGxdOjaG&#10;006RqI1kkhWHepgY1q45oiz6k0Wp07U5G3A26rOx96DaDvte5MIJCEeVW5iuVboL//q58MNT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qkKkdgAAAALAQAADwAAAAAAAAABACAAAAAiAAAAZHJz&#10;L2Rvd25yZXYueG1sUEsBAhQAFAAAAAgAh07iQGP+WyjLAQAAkgMAAA4AAAAAAAAAAQAgAAAAJwEA&#10;AGRycy9lMm9Eb2MueG1sUEsFBgAAAAAGAAYAWQEAAGQFAAAAAA==&#10;">
                <v:fill on="t" focussize="0,0"/>
                <v:stroke on="f"/>
                <v:imagedata o:title=""/>
                <o:lock v:ext="edit" aspectratio="f"/>
                <v:textbox inset="0mm,0mm,0mm,0mm">
                  <w:txbxContent>
                    <w:p>
                      <w:pPr>
                        <w:pStyle w:val="34"/>
                        <w:rPr>
                          <w:rFonts w:hAnsi="黑体" w:cs="黑体"/>
                          <w:sz w:val="44"/>
                          <w:szCs w:val="44"/>
                        </w:rPr>
                      </w:pPr>
                      <w:bookmarkStart w:id="71"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34"/>
                        <w:rPr>
                          <w:rFonts w:hAnsi="黑体" w:cs="黑体"/>
                          <w:szCs w:val="52"/>
                        </w:rPr>
                      </w:pPr>
                      <w:r>
                        <w:rPr>
                          <w:rFonts w:hint="eastAsia" w:hAnsi="黑体" w:cs="黑体"/>
                          <w:kern w:val="2"/>
                          <w:sz w:val="44"/>
                          <w:szCs w:val="44"/>
                        </w:rPr>
                        <w:t>平面双轴试验系统校准规范</w:t>
                      </w:r>
                    </w:p>
                    <w:p>
                      <w:pPr>
                        <w:pStyle w:val="34"/>
                        <w:rPr>
                          <w:rFonts w:hAnsi="黑体" w:cs="黑体"/>
                          <w:kern w:val="2"/>
                          <w:sz w:val="44"/>
                          <w:szCs w:val="44"/>
                        </w:rPr>
                      </w:pPr>
                      <w:r>
                        <w:rPr>
                          <w:rFonts w:hint="eastAsia" w:hAnsi="黑体" w:cs="黑体"/>
                          <w:kern w:val="2"/>
                          <w:sz w:val="44"/>
                          <w:szCs w:val="44"/>
                        </w:rPr>
                        <w:t>(编制说明)</w:t>
                      </w:r>
                    </w:p>
                  </w:txbxContent>
                </v:textbox>
                <w10:anchorlock/>
              </v:rect>
            </w:pict>
          </mc:Fallback>
        </mc:AlternateContent>
      </w:r>
    </w:p>
    <w:p>
      <w:pPr>
        <w:ind w:firstLine="0" w:firstLineChars="0"/>
        <w:rPr>
          <w:rFonts w:ascii="黑体" w:eastAsia="黑体"/>
          <w:kern w:val="0"/>
        </w:rPr>
      </w:pPr>
      <w:r>
        <w:br w:type="page"/>
      </w:r>
      <w:r>
        <mc:AlternateContent>
          <mc:Choice Requires="wps">
            <w:drawing>
              <wp:anchor distT="0" distB="0" distL="114300" distR="114300" simplePos="0" relativeHeight="251661312" behindDoc="0" locked="1" layoutInCell="1" allowOverlap="1">
                <wp:simplePos x="0" y="0"/>
                <wp:positionH relativeFrom="margin">
                  <wp:posOffset>-217805</wp:posOffset>
                </wp:positionH>
                <wp:positionV relativeFrom="margin">
                  <wp:posOffset>7559040</wp:posOffset>
                </wp:positionV>
                <wp:extent cx="6120130" cy="1544320"/>
                <wp:effectExtent l="0" t="0" r="0" b="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3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平面双轴试验系统校准规范</w:t>
                            </w:r>
                          </w:p>
                          <w:p>
                            <w:pPr>
                              <w:ind w:firstLine="0" w:firstLineChars="0"/>
                              <w:jc w:val="center"/>
                              <w:rPr>
                                <w:rFonts w:ascii="宋体" w:hAnsi="宋体" w:cs="宋体"/>
                                <w:spacing w:val="58"/>
                                <w:w w:val="120"/>
                                <w:sz w:val="28"/>
                                <w:szCs w:val="28"/>
                              </w:rPr>
                            </w:pPr>
                            <w:r>
                              <w:rPr>
                                <w:rFonts w:hint="eastAsia" w:ascii="宋体" w:hAnsi="宋体" w:cs="宋体"/>
                                <w:spacing w:val="58"/>
                                <w:w w:val="120"/>
                                <w:sz w:val="28"/>
                                <w:szCs w:val="28"/>
                              </w:rPr>
                              <w:t>编制组</w:t>
                            </w:r>
                          </w:p>
                          <w:p>
                            <w:pPr>
                              <w:pStyle w:val="36"/>
                              <w:ind w:firstLine="1048"/>
                              <w:rPr>
                                <w:rFonts w:hint="eastAsia" w:ascii="宋体" w:hAnsi="宋体" w:eastAsia="宋体" w:cs="宋体"/>
                                <w:spacing w:val="58"/>
                                <w:w w:val="120"/>
                                <w:kern w:val="2"/>
                                <w:sz w:val="28"/>
                                <w:szCs w:val="28"/>
                                <w:lang w:val="en-US" w:eastAsia="zh-CN" w:bidi="ar-SA"/>
                              </w:rPr>
                            </w:pPr>
                            <w:r>
                              <w:rPr>
                                <w:rFonts w:hint="eastAsia" w:ascii="宋体" w:hAnsi="宋体" w:eastAsia="宋体" w:cs="宋体"/>
                                <w:spacing w:val="58"/>
                                <w:w w:val="120"/>
                                <w:kern w:val="2"/>
                                <w:sz w:val="28"/>
                                <w:szCs w:val="28"/>
                                <w:lang w:val="en-US" w:eastAsia="zh-CN" w:bidi="ar-SA"/>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7.1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EwqB9kAAAAN&#10;AQAADwAAAGRycy9kb3ducmV2LnhtbE2Py07DMBBF90j8gzVI7Fo7TahIiNMFD3VNCmLrxkMc8COK&#10;nTbw9QwrWM7coztn6t3iLDvhFIfgJWRrAQx9F/Tgewkvh6fVLbCYlNfKBo8SvjDCrrm8qFWlw9k/&#10;46lNPaMSHyslwaQ0VpzHzqBTcR1G9JS9h8mpROPUcz2pM5U7yzdCbLlTg6cLRo14b7D7bGcnYZ89&#10;PI4f/LtVe5twfjVLZ98WKa+vMnEHLOGS/mD41Sd1aMjpGGavI7MSVnmRE0pBVooCGCHlprwBdqRV&#10;kedb4E3N/3/R/ABQSwMEFAAAAAgAh07iQFgztF+6AQAAjwMAAA4AAABkcnMvZTJvRG9jLnhtbK1T&#10;TW/bMAy9D9h/EHRvFKddNxhxemiQYcCwFWj3A2RZsgXoC5QSO/9+lOykW3fpYT7YpEg98j3S24fJ&#10;GnKSELV3Da1Wa0qkE77Trm/or5fDzRdKYuKu48Y72dCzjPRh9/HDdgy13PjBm04CQRAX6zE0dEgp&#10;1IxFMUjL48oH6TCoPFie0IWedcBHRLeGbdbrezZ66AJ4IWPE0/0cpAsivAfQK6WF3HtxtNKlGRWk&#10;4QkpxUGHSHelW6WkSD+VijIR01Bkmsobi6Dd5jfbbXndAw+DFksL/D0tvOFkuXZY9Aq154mTI+h/&#10;oKwW4KNXaSW8ZTORogiyqNZvtHkeeJCFC0odw1X0+P9gxY/TExDd4SZQ4rjFgSt7ADQ+Z23GEGtM&#10;eQ5PsHgRzUx0UmDzFymQqeh5vuopp0QEHt5XSOoWpRYYqz7d3d1uiuLs9XqAmL5Kb0k2Ggo4sKIj&#10;P32PCUti6iUlV4ve6O6gjSkO9O2jAXLiONxDeXLPeOWvNONysvP52hzOJyxTm8lkK03ttDBsfXdG&#10;Tcw3hzrnnbkYcDHai3EMoPsB+65K4QyEcyotLDuVF+FPvxR+/Y9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TCoH2QAAAA0BAAAPAAAAAAAAAAEAIAAAACIAAABkcnMvZG93bnJldi54bWxQSwEC&#10;FAAUAAAACACHTuJAWDO0X7oBAACPAwAADgAAAAAAAAABACAAAAAoAQAAZHJzL2Uyb0RvYy54bWxQ&#10;SwUGAAAAAAYABgBZAQAAVAUAAAAA&#10;">
                <v:fill on="t" focussize="0,0"/>
                <v:stroke on="f"/>
                <v:imagedata o:title=""/>
                <o:lock v:ext="edit" aspectratio="f"/>
                <v:textbox inset="0mm,0mm,0mm,0mm">
                  <w:txbxContent>
                    <w:p>
                      <w:pPr>
                        <w:pStyle w:val="3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平面双轴试验系统校准规范</w:t>
                      </w:r>
                    </w:p>
                    <w:p>
                      <w:pPr>
                        <w:ind w:firstLine="0" w:firstLineChars="0"/>
                        <w:jc w:val="center"/>
                        <w:rPr>
                          <w:rFonts w:ascii="宋体" w:hAnsi="宋体" w:cs="宋体"/>
                          <w:spacing w:val="58"/>
                          <w:w w:val="120"/>
                          <w:sz w:val="28"/>
                          <w:szCs w:val="28"/>
                        </w:rPr>
                      </w:pPr>
                      <w:r>
                        <w:rPr>
                          <w:rFonts w:hint="eastAsia" w:ascii="宋体" w:hAnsi="宋体" w:cs="宋体"/>
                          <w:spacing w:val="58"/>
                          <w:w w:val="120"/>
                          <w:sz w:val="28"/>
                          <w:szCs w:val="28"/>
                        </w:rPr>
                        <w:t>编制组</w:t>
                      </w:r>
                    </w:p>
                    <w:p>
                      <w:pPr>
                        <w:pStyle w:val="36"/>
                        <w:ind w:firstLine="1048"/>
                        <w:rPr>
                          <w:rFonts w:hint="eastAsia" w:ascii="宋体" w:hAnsi="宋体" w:eastAsia="宋体" w:cs="宋体"/>
                          <w:spacing w:val="58"/>
                          <w:w w:val="120"/>
                          <w:kern w:val="2"/>
                          <w:sz w:val="28"/>
                          <w:szCs w:val="28"/>
                          <w:lang w:val="en-US" w:eastAsia="zh-CN" w:bidi="ar-SA"/>
                        </w:rPr>
                      </w:pPr>
                      <w:r>
                        <w:rPr>
                          <w:rFonts w:hint="eastAsia" w:ascii="宋体" w:hAnsi="宋体" w:eastAsia="宋体" w:cs="宋体"/>
                          <w:spacing w:val="58"/>
                          <w:w w:val="120"/>
                          <w:kern w:val="2"/>
                          <w:sz w:val="28"/>
                          <w:szCs w:val="28"/>
                          <w:lang w:val="en-US" w:eastAsia="zh-CN" w:bidi="ar-SA"/>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-217805</wp:posOffset>
                </wp:positionH>
                <wp:positionV relativeFrom="margin">
                  <wp:posOffset>4848860</wp:posOffset>
                </wp:positionV>
                <wp:extent cx="5969000" cy="1779270"/>
                <wp:effectExtent l="0" t="0" r="0" b="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35"/>
                              <w:spacing w:before="600"/>
                              <w:rPr>
                                <w:rFonts w:ascii="黑体" w:hAnsi="黑体" w:eastAsia="黑体"/>
                                <w:sz w:val="36"/>
                                <w:szCs w:val="36"/>
                              </w:rPr>
                            </w:pPr>
                            <w:r>
                              <w:rPr>
                                <w:rFonts w:hint="eastAsia" w:ascii="黑体" w:hAnsi="黑体" w:eastAsia="黑体"/>
                                <w:sz w:val="36"/>
                                <w:szCs w:val="36"/>
                              </w:rPr>
                              <w:t>讨论稿</w:t>
                            </w:r>
                          </w:p>
                          <w:p>
                            <w:pPr>
                              <w:pStyle w:val="35"/>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4-06-12</w:t>
                            </w:r>
                          </w:p>
                        </w:txbxContent>
                      </wps:txbx>
                      <wps:bodyPr lIns="0" tIns="0" rIns="0" bIns="0" upright="1"/>
                    </wps:wsp>
                  </a:graphicData>
                </a:graphic>
              </wp:anchor>
            </w:drawing>
          </mc:Choice>
          <mc:Fallback>
            <w:pict>
              <v:rect id="文本框 5" o:spid="_x0000_s1026" o:spt="1" style="position:absolute;left:0pt;margin-left:-17.15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S9SdstkAAAAM&#10;AQAADwAAAGRycy9kb3ducmV2LnhtbE2Py07DMBBF90j8gzVI7Fo7pKRtiNMFD3VNALF142kc8COK&#10;nTbw9QwrWI7u0b1nqt3sLDvhGPvgJWRLAQx9G3TvOwmvL0+LDbCYlNfKBo8SvjDCrr68qFSpw9k/&#10;46lJHaMSH0slwaQ0lJzH1qBTcRkG9JQdw+hUonPsuB7Vmcqd5TdCFNyp3tOCUQPeG2w/m8lJ2GcP&#10;j8MH/27U3iac3szc2vdZyuurTNwBSzinPxh+9UkdanI6hMnryKyERb7KCZWwLvICGBFbcbsGdiBU&#10;rPIN8Lri/5+ofwBQSwMEFAAAAAgAh07iQDE7zCDLAQAAkgMAAA4AAABkcnMvZTJvRG9jLnhtbK1T&#10;S27bMBDdF8gdCO5ryQYS14LlLGo4KFC0AdIcgKIoiQB/GNKWfIH2Bl11033P5XN0SMnOp5ssqgU1&#10;wxm+mfeGXN8OWpGDAC+tKel8llMiDLe1NG1JH7/t3n+gxAdmaqasESU9Ck9vN1fv1r0rxMJ2VtUC&#10;CIIYX/SupF0IrsgyzzuhmZ9ZJwwGGwuaBXShzWpgPaJrlS3y/CbrLdQOLBfe4+52DNIJEd4CaJtG&#10;crG1fK+FCSMqCMUCUvKddJ5uUrdNI3j42jReBKJKikxDWrEI2lVcs82aFS0w10k+tcDe0sIrTppJ&#10;g0UvUFsWGNmD/AdKSw7W2ybMuNXZSCQpgizm+SttHjrmROKCUnt3Ed3/P1j+5XAPRNYlXVBimMaB&#10;n37+OP36c/r9nVxHeXrnC8x6cPcweR7NyHVoQMc/siBDkvR4kVQMgXDcvF7drPIc1eYYmy+Xq8Uy&#10;iZ49HXfgw52wmkSjpIAzS1Kyw2cfsCSmnlNiNW+VrHdSqeRAW31UQA4M57tLX+wZj7xIUyYmGxuP&#10;jeG4k0VqI5lohaEaJoaVrY8oi/pkUOp4bc4GnI3qbOwdyLbDvuepcATCUaUWpmsV78JzPxV+ekq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UnbLZAAAADAEAAA8AAAAAAAAAAQAgAAAAIgAAAGRy&#10;cy9kb3ducmV2LnhtbFBLAQIUABQAAAAIAIdO4kAxO8wgywEAAJIDAAAOAAAAAAAAAAEAIAAAACgB&#10;AABkcnMvZTJvRG9jLnhtbFBLBQYAAAAABgAGAFkBAABlBQAAAAA=&#10;">
                <v:fill on="t" focussize="0,0"/>
                <v:stroke on="f"/>
                <v:imagedata o:title=""/>
                <o:lock v:ext="edit" aspectratio="f"/>
                <v:textbox inset="0mm,0mm,0mm,0mm">
                  <w:txbxContent>
                    <w:p>
                      <w:pPr>
                        <w:pStyle w:val="35"/>
                        <w:spacing w:before="600"/>
                        <w:rPr>
                          <w:rFonts w:ascii="黑体" w:hAnsi="黑体" w:eastAsia="黑体"/>
                          <w:sz w:val="36"/>
                          <w:szCs w:val="36"/>
                        </w:rPr>
                      </w:pPr>
                      <w:r>
                        <w:rPr>
                          <w:rFonts w:hint="eastAsia" w:ascii="黑体" w:hAnsi="黑体" w:eastAsia="黑体"/>
                          <w:sz w:val="36"/>
                          <w:szCs w:val="36"/>
                        </w:rPr>
                        <w:t>讨论稿</w:t>
                      </w:r>
                    </w:p>
                    <w:p>
                      <w:pPr>
                        <w:pStyle w:val="35"/>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4-06-12</w:t>
                      </w:r>
                    </w:p>
                  </w:txbxContent>
                </v:textbox>
                <w10:anchorlock/>
              </v:rect>
            </w:pict>
          </mc:Fallback>
        </mc:AlternateContent>
      </w:r>
    </w:p>
    <w:p>
      <w:pPr>
        <w:pStyle w:val="21"/>
        <w:tabs>
          <w:tab w:val="left" w:pos="426"/>
        </w:tabs>
        <w:spacing w:before="0" w:after="0"/>
        <w:rPr>
          <w:sz w:val="28"/>
          <w:szCs w:val="28"/>
        </w:rPr>
      </w:pPr>
      <w:bookmarkStart w:id="72" w:name="_GoBack"/>
      <w:bookmarkEnd w:id="72"/>
      <w:r>
        <w:rPr>
          <w:rFonts w:hint="eastAsia"/>
          <w:sz w:val="28"/>
          <w:szCs w:val="28"/>
        </w:rPr>
        <w:t>《</w:t>
      </w:r>
      <w:r>
        <w:rPr>
          <w:sz w:val="28"/>
          <w:szCs w:val="28"/>
        </w:rPr>
        <w:t>平面双轴试验系统</w:t>
      </w:r>
      <w:r>
        <w:rPr>
          <w:rFonts w:hint="eastAsia"/>
          <w:sz w:val="28"/>
          <w:szCs w:val="28"/>
        </w:rPr>
        <w:t>校准规范》</w:t>
      </w:r>
    </w:p>
    <w:p>
      <w:pPr>
        <w:pStyle w:val="21"/>
        <w:tabs>
          <w:tab w:val="left" w:pos="426"/>
        </w:tabs>
        <w:spacing w:before="0" w:after="0"/>
        <w:rPr>
          <w:sz w:val="28"/>
          <w:szCs w:val="28"/>
        </w:rPr>
      </w:pPr>
      <w:r>
        <w:rPr>
          <w:rFonts w:hint="eastAsia"/>
          <w:sz w:val="28"/>
          <w:szCs w:val="28"/>
        </w:rPr>
        <w:t>行业计量技术规范编制说明</w:t>
      </w:r>
    </w:p>
    <w:p>
      <w:pPr>
        <w:pStyle w:val="21"/>
        <w:tabs>
          <w:tab w:val="left" w:pos="426"/>
        </w:tabs>
        <w:spacing w:before="312" w:beforeLines="100" w:after="312" w:afterLines="100"/>
        <w:jc w:val="left"/>
      </w:pPr>
      <w:r>
        <w:rPr>
          <w:rFonts w:hint="eastAsia"/>
        </w:rPr>
        <w:t>一、工作简况</w:t>
      </w:r>
      <w:bookmarkEnd w:id="0"/>
    </w:p>
    <w:p>
      <w:pPr>
        <w:pStyle w:val="15"/>
        <w:numPr>
          <w:ilvl w:val="0"/>
          <w:numId w:val="0"/>
        </w:numPr>
        <w:spacing w:before="156" w:after="156" w:line="300" w:lineRule="auto"/>
        <w:contextualSpacing/>
      </w:pPr>
      <w:bookmarkStart w:id="1" w:name="_Toc464728892"/>
      <w:bookmarkStart w:id="2" w:name="_Toc456592524"/>
      <w:r>
        <w:rPr>
          <w:rFonts w:hint="eastAsia"/>
        </w:rPr>
        <w:t>1立项目的</w:t>
      </w:r>
      <w:bookmarkEnd w:id="1"/>
      <w:bookmarkEnd w:id="2"/>
    </w:p>
    <w:p>
      <w:bookmarkStart w:id="3" w:name="_Toc464728896"/>
      <w:r>
        <w:rPr>
          <w:rFonts w:hint="eastAsia"/>
        </w:rPr>
        <w:t>平面双轴试验系统作为有色金属材料力学性能测试的关键设备，其性能对测试结果有着显著影响。为了确保平面波双轴试验系统性能准确可靠，需要对其关键参数进行校准，完成量值溯源。但目前国内外针对平面双轴试验系统尚未出台统一的检定规程或校准规范，大部分企业参照电子万能试验机或疲劳试验机检定规程进行校准，但因平面双轴试验系统结构与常规试验机有差异，导致目前存在校准方法不统一、校准参数不全面、技术指标不明确等问题，无法保证平面双轴试验系统校准结果的准确性，严重制约我国有色金属行业的发展。</w:t>
      </w:r>
    </w:p>
    <w:p>
      <w:r>
        <w:rPr>
          <w:rFonts w:hint="eastAsia"/>
        </w:rPr>
        <w:t>平面双轴试验系统校准规范望能开展对平面双轴试验系统的校准工作，确保校准结果的准确性及可靠性，完成平面双轴试验系统的溯源工作，进一步促进有色金属材料及相关产业的发展，实现相关企业产品结构优化调整，为产业链提供保障。</w:t>
      </w:r>
    </w:p>
    <w:p>
      <w:r>
        <w:rPr>
          <w:rFonts w:hint="eastAsia"/>
        </w:rPr>
        <w:t>目前，国家及行业尚未有平面双轴试验系统的检定规程及校准规范。</w:t>
      </w:r>
    </w:p>
    <w:p>
      <w:pPr>
        <w:pStyle w:val="15"/>
        <w:numPr>
          <w:ilvl w:val="0"/>
          <w:numId w:val="0"/>
        </w:numPr>
        <w:spacing w:before="156" w:after="156" w:line="300" w:lineRule="auto"/>
        <w:contextualSpacing/>
      </w:pPr>
      <w:r>
        <w:rPr>
          <w:rFonts w:hint="eastAsia"/>
        </w:rPr>
        <w:t>2任务来源</w:t>
      </w:r>
      <w:bookmarkEnd w:id="3"/>
    </w:p>
    <w:p>
      <w:r>
        <w:t>为保证我国</w:t>
      </w:r>
      <w:r>
        <w:rPr>
          <w:rFonts w:hint="eastAsia"/>
        </w:rPr>
        <w:t>平面双轴试验系统</w:t>
      </w:r>
      <w:r>
        <w:t>的量值准确、可靠，适应我国有色金属行业的快速发展和满足国内外市场的需要，工业和信息化部以工信厅下达了《工业和信息化部办公厅关于印发2023年行业计量技术规范制修订计划的通知》</w:t>
      </w:r>
      <w:r>
        <w:rPr>
          <w:bCs/>
        </w:rPr>
        <w:t>（工信厅科函［2023］476号）</w:t>
      </w:r>
      <w:r>
        <w:t>，其计划项目代号为：JJFZ（有色金属）01</w:t>
      </w:r>
      <w:r>
        <w:rPr>
          <w:rFonts w:hint="eastAsia"/>
        </w:rPr>
        <w:t>8</w:t>
      </w:r>
      <w:r>
        <w:t>-2023，按计划要求，本校准规范应于2025年完成。</w:t>
      </w:r>
      <w:r>
        <w:rPr>
          <w:rFonts w:eastAsiaTheme="minorEastAsia"/>
          <w:sz w:val="24"/>
        </w:rPr>
        <w:t xml:space="preserve"> </w:t>
      </w:r>
    </w:p>
    <w:p>
      <w:pPr>
        <w:pStyle w:val="14"/>
      </w:pPr>
      <w:r>
        <w:t>3承担单位情况</w:t>
      </w:r>
    </w:p>
    <w:p>
      <w:pPr>
        <w:pStyle w:val="12"/>
        <w:keepNext w:val="0"/>
        <w:keepLines w:val="0"/>
        <w:pageBreakBefore w:val="0"/>
        <w:kinsoku/>
        <w:wordWrap/>
        <w:overflowPunct/>
        <w:topLinePunct w:val="0"/>
        <w:bidi w:val="0"/>
        <w:spacing w:line="360" w:lineRule="auto"/>
        <w:textAlignment w:val="auto"/>
      </w:pPr>
      <w:r>
        <w:t>3.1 主编单位简介</w:t>
      </w:r>
    </w:p>
    <w:p>
      <w: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
        <w:t>近10年起草有色金属国家/行业规范共80余项、发表论文120余篇、授权专利30余项。先后荣获中国有色金属工业一等奖、二等奖20余次。</w:t>
      </w:r>
    </w:p>
    <w:p>
      <w:r>
        <w:t>本单位积极组织编制组各次工作会议，开展相关的校准，有效组织参编单位多次对规范的各版《征求意见稿》进行认真的讨论和审议，提出大量有益的意见和建议，在编制组中发挥了牵头作用。</w:t>
      </w:r>
    </w:p>
    <w:p>
      <w:pPr>
        <w:pStyle w:val="12"/>
        <w:keepNext w:val="0"/>
        <w:keepLines w:val="0"/>
        <w:pageBreakBefore w:val="0"/>
        <w:kinsoku/>
        <w:wordWrap/>
        <w:overflowPunct/>
        <w:topLinePunct w:val="0"/>
        <w:bidi w:val="0"/>
        <w:spacing w:line="360" w:lineRule="auto"/>
        <w:textAlignment w:val="auto"/>
        <w:rPr>
          <w:rFonts w:hint="default"/>
        </w:rPr>
      </w:pPr>
      <w:bookmarkStart w:id="4" w:name="_Toc462884357"/>
      <w:bookmarkStart w:id="5" w:name="_Toc464728913"/>
      <w:r>
        <w:rPr>
          <w:rFonts w:hint="default"/>
        </w:rPr>
        <w:t>3.2 成员单位简介</w:t>
      </w:r>
    </w:p>
    <w:p>
      <w:pPr>
        <w:pStyle w:val="12"/>
        <w:keepNext w:val="0"/>
        <w:keepLines w:val="0"/>
        <w:pageBreakBefore w:val="0"/>
        <w:kinsoku/>
        <w:wordWrap/>
        <w:overflowPunct/>
        <w:topLinePunct w:val="0"/>
        <w:bidi w:val="0"/>
        <w:spacing w:line="360" w:lineRule="auto"/>
        <w:textAlignment w:val="auto"/>
        <w:rPr>
          <w:rFonts w:hint="default"/>
          <w:lang w:val="en-US" w:eastAsia="zh-CN"/>
        </w:rPr>
      </w:pPr>
      <w:r>
        <w:rPr>
          <w:rFonts w:hint="default"/>
        </w:rPr>
        <w:t>3.2</w:t>
      </w:r>
      <w:r>
        <w:rPr>
          <w:rFonts w:hint="default"/>
          <w:lang w:val="en-US" w:eastAsia="zh-CN"/>
        </w:rPr>
        <w:t xml:space="preserve">.1 </w:t>
      </w:r>
      <w:r>
        <w:rPr>
          <w:rFonts w:hint="default"/>
        </w:rPr>
        <w:t>中国船舶集团有限公司第七二五研究所</w:t>
      </w:r>
    </w:p>
    <w:p>
      <w:r>
        <w:t>中国船舶集团有限公司第七二五研究所</w:t>
      </w:r>
      <w:r>
        <w:rPr>
          <w:rFonts w:hint="eastAsia"/>
          <w:lang w:eastAsia="zh-CN"/>
        </w:rPr>
        <w:t>（</w:t>
      </w:r>
      <w:r>
        <w:t>以下简称“七二五所”</w:t>
      </w:r>
      <w:r>
        <w:rPr>
          <w:rFonts w:hint="eastAsia"/>
          <w:lang w:eastAsia="zh-CN"/>
        </w:rPr>
        <w:t>）</w:t>
      </w:r>
      <w:r>
        <w:t>成立于1961年，隶属中国船舶集团有限公司，专业从事舰船材料与工艺及应用性研究</w:t>
      </w:r>
      <w:r>
        <w:rPr>
          <w:rFonts w:hint="eastAsia"/>
          <w:lang w:eastAsia="zh-CN"/>
        </w:rPr>
        <w:t>。</w:t>
      </w:r>
      <w:r>
        <w:rPr>
          <w:rFonts w:hint="eastAsia"/>
        </w:rPr>
        <w:t>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rPr>
          <w:rFonts w:hint="default"/>
        </w:rPr>
      </w:pPr>
      <w:r>
        <w:rPr>
          <w:rFonts w:hint="eastAsia"/>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rPr>
          <w:rFonts w:hint="eastAsia"/>
        </w:rPr>
      </w:pPr>
      <w:r>
        <w:rPr>
          <w:rFonts w:hint="eastAsia"/>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单位奖)”、“首届中国质量奖提名奖”、“第十七届全国质量奖”、国家“守合同重信用”企业等荣誉称号。</w:t>
      </w:r>
    </w:p>
    <w:p>
      <w:pPr>
        <w:keepNext w:val="0"/>
        <w:keepLines w:val="0"/>
        <w:pageBreakBefore w:val="0"/>
        <w:kinsoku/>
        <w:wordWrap/>
        <w:overflowPunct/>
        <w:topLinePunct w:val="0"/>
        <w:bidi w:val="0"/>
        <w:spacing w:line="360" w:lineRule="auto"/>
        <w:ind w:firstLine="420" w:firstLineChars="200"/>
        <w:contextualSpacing/>
        <w:jc w:val="left"/>
        <w:textAlignment w:val="auto"/>
        <w:rPr>
          <w:rFonts w:hint="eastAsia"/>
          <w:szCs w:val="21"/>
        </w:rPr>
      </w:pPr>
      <w:r>
        <w:rPr>
          <w:rFonts w:hint="eastAsia"/>
          <w:szCs w:val="21"/>
        </w:rPr>
        <w:t>该单位积极参加编制工作，开展相关的</w:t>
      </w:r>
      <w:r>
        <w:rPr>
          <w:rFonts w:hint="eastAsia"/>
          <w:szCs w:val="21"/>
          <w:lang w:val="en-US" w:eastAsia="zh-CN"/>
        </w:rPr>
        <w:t>资料收集工作</w:t>
      </w:r>
      <w:r>
        <w:rPr>
          <w:rFonts w:hint="eastAsia"/>
          <w:szCs w:val="21"/>
        </w:rPr>
        <w:t>，提供</w:t>
      </w:r>
      <w:r>
        <w:rPr>
          <w:rFonts w:hint="eastAsia"/>
          <w:szCs w:val="21"/>
          <w:lang w:val="en-US" w:eastAsia="zh-CN"/>
        </w:rPr>
        <w:t>宝贵</w:t>
      </w:r>
      <w:r>
        <w:rPr>
          <w:rFonts w:hint="eastAsia"/>
          <w:szCs w:val="21"/>
        </w:rPr>
        <w:t>意见。</w:t>
      </w:r>
    </w:p>
    <w:p>
      <w:pPr>
        <w:pStyle w:val="12"/>
        <w:keepNext w:val="0"/>
        <w:keepLines w:val="0"/>
        <w:pageBreakBefore w:val="0"/>
        <w:kinsoku/>
        <w:wordWrap/>
        <w:overflowPunct/>
        <w:topLinePunct w:val="0"/>
        <w:bidi w:val="0"/>
        <w:spacing w:line="360" w:lineRule="auto"/>
        <w:textAlignment w:val="auto"/>
        <w:rPr>
          <w:rFonts w:hint="eastAsia"/>
        </w:rPr>
      </w:pPr>
      <w:r>
        <w:rPr>
          <w:rFonts w:hint="default"/>
        </w:rPr>
        <w:t>3.2</w:t>
      </w:r>
      <w:r>
        <w:rPr>
          <w:rFonts w:hint="eastAsia"/>
          <w:lang w:val="en-US" w:eastAsia="zh-CN"/>
        </w:rPr>
        <w:t xml:space="preserve">.2 </w:t>
      </w:r>
      <w:r>
        <w:rPr>
          <w:rFonts w:hint="default"/>
        </w:rPr>
        <w:t>新疆湘润新材料科技有限公司</w:t>
      </w:r>
    </w:p>
    <w:p>
      <w:r>
        <w:t>新疆湘润新材料科技有限公司（以下简称公司）成立于2016年7月8日，</w:t>
      </w:r>
      <w:r>
        <w:rPr>
          <w:rFonts w:hint="eastAsia"/>
        </w:rPr>
        <w:t>主要从事</w:t>
      </w:r>
      <w:r>
        <w:t>金属材料及制品的生产、销售、技术咨询、技术服务；货物与技术的进出口业务；经过多年专业水平和成熟技术积累，目前在有色金属行业具有很大影响力</w:t>
      </w:r>
      <w:r>
        <w:rPr>
          <w:rFonts w:hint="eastAsia"/>
          <w:lang w:eastAsia="zh-CN"/>
        </w:rPr>
        <w:t>，</w:t>
      </w:r>
      <w:r>
        <w:t>为湖南五江轻化集团在西北地区投资设立的集研发、生产于一体的大型钛及钛合金新材料高新技术产业公司，拥有国内一流、国际先进的钛及钛合金生产装置、检测技术和一流的人才队伍。公司项目总投资76亿，主要产品包括海绵钛、钛及钛合金铸锭、带材、板材、锻材、棒材、复合材等，是国内首家“钛矿-海绵钛-钛加工材-钛制品”的钛全产业链公司。公司将建成年产5万吨钛材加工基地，目前一期已实现2.5万吨海绵钛，1万吨钛加工材，2万吨钛复合带材的生产能力。</w:t>
      </w:r>
    </w:p>
    <w:p>
      <w:pPr>
        <w:spacing w:line="360" w:lineRule="auto"/>
        <w:ind w:left="0" w:leftChars="0" w:firstLine="420" w:firstLineChars="200"/>
        <w:contextualSpacing/>
        <w:jc w:val="left"/>
        <w:rPr>
          <w:rFonts w:hint="eastAsia"/>
          <w:szCs w:val="21"/>
        </w:rPr>
      </w:pPr>
      <w:r>
        <w:rPr>
          <w:rFonts w:hint="eastAsia"/>
          <w:szCs w:val="21"/>
        </w:rPr>
        <w:t>该单位积极参加编制工作，开展相关的</w:t>
      </w:r>
      <w:r>
        <w:rPr>
          <w:rFonts w:hint="eastAsia"/>
          <w:szCs w:val="21"/>
          <w:lang w:val="en-US" w:eastAsia="zh-CN"/>
        </w:rPr>
        <w:t>资料收集工作</w:t>
      </w:r>
      <w:r>
        <w:rPr>
          <w:rFonts w:hint="eastAsia"/>
          <w:szCs w:val="21"/>
        </w:rPr>
        <w:t>，提供</w:t>
      </w:r>
      <w:r>
        <w:rPr>
          <w:rFonts w:hint="eastAsia"/>
          <w:szCs w:val="21"/>
          <w:lang w:val="en-US" w:eastAsia="zh-CN"/>
        </w:rPr>
        <w:t>宝贵</w:t>
      </w:r>
      <w:r>
        <w:rPr>
          <w:rFonts w:hint="eastAsia"/>
          <w:szCs w:val="21"/>
        </w:rPr>
        <w:t>意见。</w:t>
      </w:r>
    </w:p>
    <w:p>
      <w:pPr>
        <w:pStyle w:val="15"/>
        <w:numPr>
          <w:ilvl w:val="0"/>
          <w:numId w:val="0"/>
        </w:numPr>
        <w:spacing w:before="156" w:after="156" w:line="300" w:lineRule="auto"/>
        <w:contextualSpacing/>
      </w:pPr>
      <w:r>
        <w:rPr>
          <w:rFonts w:hint="eastAsia"/>
        </w:rPr>
        <w:t>4主要工作过程</w:t>
      </w:r>
      <w:bookmarkEnd w:id="4"/>
      <w:bookmarkEnd w:id="5"/>
    </w:p>
    <w:p>
      <w:bookmarkStart w:id="6" w:name="_Toc464728924"/>
      <w:r>
        <w:rPr>
          <w:rFonts w:hint="eastAsia"/>
        </w:rPr>
        <w:t>西安汉唐分析检测有限公司接到有色金属行业计量技术委员会转发下达的制定任务后，成立了计量规范编制组，参编单位有</w:t>
      </w:r>
      <w:r>
        <w:t>中国船舶集团有限公司第七二五研究所</w:t>
      </w:r>
      <w:r>
        <w:rPr>
          <w:rFonts w:eastAsiaTheme="minorEastAsia"/>
          <w:color w:val="333333"/>
          <w:shd w:val="clear" w:color="auto" w:fill="FFFFFF"/>
        </w:rPr>
        <w:t>、</w:t>
      </w:r>
      <w:r>
        <w:rPr>
          <w:rFonts w:hint="default"/>
        </w:rPr>
        <w:t>新疆湘润新材料科技有限公司</w:t>
      </w:r>
      <w:r>
        <w:rPr>
          <w:rFonts w:eastAsiaTheme="minorEastAsia"/>
          <w:color w:val="333333"/>
          <w:shd w:val="clear" w:color="auto" w:fill="FFFFFF"/>
        </w:rPr>
        <w:t>等。编制组</w:t>
      </w:r>
      <w:r>
        <w:rPr>
          <w:rFonts w:hint="eastAsia"/>
        </w:rPr>
        <w:t>对计量技术规范编写工作进行了部署和分工，制定了制定原则及计划工作。本项目主要工作过程经过了以下几个阶段：</w:t>
      </w:r>
    </w:p>
    <w:p>
      <w:r>
        <w:t>1）202</w:t>
      </w:r>
      <w:r>
        <w:rPr>
          <w:rFonts w:hint="eastAsia"/>
        </w:rPr>
        <w:t>3</w:t>
      </w:r>
      <w:r>
        <w:t>年</w:t>
      </w:r>
      <w:r>
        <w:rPr>
          <w:rFonts w:hint="eastAsia"/>
        </w:rPr>
        <w:t>12</w:t>
      </w:r>
      <w:r>
        <w:t>月成立了计量规范编制组，明确编制组成员各自的工作内容及任务，对被校对象的使用单位进行了校准需求调研，收集相关资料。</w:t>
      </w:r>
    </w:p>
    <w:p>
      <w:r>
        <w:t>2）2024年</w:t>
      </w:r>
      <w:r>
        <w:rPr>
          <w:rFonts w:hint="eastAsia"/>
        </w:rPr>
        <w:t>1</w:t>
      </w:r>
      <w:r>
        <w:t>月~202</w:t>
      </w:r>
      <w:r>
        <w:rPr>
          <w:rFonts w:hint="eastAsia"/>
        </w:rPr>
        <w:t>4</w:t>
      </w:r>
      <w:r>
        <w:t>年</w:t>
      </w:r>
      <w:r>
        <w:rPr>
          <w:rFonts w:hint="eastAsia"/>
        </w:rPr>
        <w:t>6</w:t>
      </w:r>
      <w:r>
        <w:t>月编制组成员对校准规范中的计量特性及校准方法进行了讨论，确定了校准项目及方法，在202</w:t>
      </w:r>
      <w:r>
        <w:rPr>
          <w:rFonts w:hint="eastAsia"/>
        </w:rPr>
        <w:t>4</w:t>
      </w:r>
      <w:r>
        <w:t>年</w:t>
      </w:r>
      <w:r>
        <w:rPr>
          <w:rFonts w:hint="eastAsia"/>
        </w:rPr>
        <w:t>6</w:t>
      </w:r>
      <w:r>
        <w:t>月形成了校准规范讨论稿。</w:t>
      </w:r>
    </w:p>
    <w:p>
      <w:pPr>
        <w:pStyle w:val="21"/>
        <w:tabs>
          <w:tab w:val="left" w:pos="426"/>
        </w:tabs>
        <w:spacing w:before="312" w:beforeLines="100" w:after="312" w:afterLines="100"/>
        <w:jc w:val="left"/>
      </w:pPr>
      <w:r>
        <w:rPr>
          <w:rFonts w:hint="eastAsia"/>
        </w:rPr>
        <w:t>二、编制原则和</w:t>
      </w:r>
      <w:bookmarkEnd w:id="6"/>
      <w:r>
        <w:rPr>
          <w:rFonts w:hint="eastAsia"/>
        </w:rPr>
        <w:t>依据</w:t>
      </w:r>
    </w:p>
    <w:p>
      <w:pPr>
        <w:pStyle w:val="22"/>
        <w:numPr>
          <w:ilvl w:val="0"/>
          <w:numId w:val="0"/>
        </w:numPr>
        <w:wordWrap/>
        <w:spacing w:beforeLines="0" w:after="156" w:line="360" w:lineRule="auto"/>
      </w:pPr>
      <w:bookmarkStart w:id="7" w:name="_Toc464728925"/>
      <w:r>
        <w:rPr>
          <w:rFonts w:hint="eastAsia"/>
        </w:rPr>
        <w:t>1规范编制原则</w:t>
      </w:r>
      <w:bookmarkEnd w:id="7"/>
    </w:p>
    <w:p>
      <w:bookmarkStart w:id="8" w:name="_Toc464728926"/>
      <w:r>
        <w:rPr>
          <w:rFonts w:hint="eastAsia"/>
        </w:rPr>
        <w:t>1）本规范是以</w:t>
      </w:r>
      <w:r>
        <w:t>JJF 1071-2010</w:t>
      </w:r>
      <w:r>
        <w:rPr>
          <w:rFonts w:hint="eastAsia"/>
        </w:rPr>
        <w:t>《国家计量校准规范编写规则》、JJF 1001-2011《通用计量术语及定义》和JJF 1059.1-2012《测量不确定度评定与表示》为基础性系列规范进行编写。</w:t>
      </w:r>
    </w:p>
    <w:p>
      <w:pPr>
        <w:rPr>
          <w:rFonts w:hint="eastAsia" w:ascii="Times New Roman" w:hAnsi="Times New Roman" w:cs="Times New Roman"/>
        </w:rPr>
      </w:pPr>
      <w:r>
        <w:rPr>
          <w:rFonts w:hint="eastAsia" w:ascii="Times New Roman" w:hAnsi="Times New Roman" w:cs="Times New Roman"/>
        </w:rPr>
        <w:t xml:space="preserve">2）先进性：本规范对平面双轴试验系统的结构进行分析研究，提出了平面双轴试验系统的关键计量特性，同时，规范基于GB/T </w:t>
      </w:r>
      <w:r>
        <w:rPr>
          <w:rFonts w:hint="eastAsia" w:ascii="Times New Roman" w:hAnsi="Times New Roman" w:cs="Times New Roman"/>
          <w:lang w:val="en-US" w:eastAsia="zh-CN"/>
        </w:rPr>
        <w:t>25917单轴疲劳试验系统 第一部分：动态力校准</w:t>
      </w:r>
      <w:r>
        <w:rPr>
          <w:rFonts w:hint="eastAsia" w:ascii="Times New Roman" w:hAnsi="Times New Roman" w:cs="Times New Roman"/>
        </w:rPr>
        <w:t>和</w:t>
      </w:r>
      <w:r>
        <w:rPr>
          <w:rFonts w:hint="eastAsia" w:ascii="Times New Roman" w:hAnsi="Times New Roman" w:cs="Times New Roman"/>
          <w:lang w:val="en-US" w:eastAsia="zh-CN"/>
        </w:rPr>
        <w:t>JJG 475电子万能试验机</w:t>
      </w:r>
      <w:r>
        <w:rPr>
          <w:rFonts w:hint="eastAsia" w:ascii="Times New Roman" w:hAnsi="Times New Roman" w:cs="Times New Roman"/>
        </w:rPr>
        <w:t>等相关内容，对相应计量标准做出要求，解决了目前平面双轴试验系统无校准规范的问题。</w:t>
      </w:r>
    </w:p>
    <w:p>
      <w:pPr>
        <w:rPr>
          <w:rFonts w:hint="eastAsia" w:ascii="Times New Roman" w:hAnsi="Times New Roman" w:cs="Times New Roman"/>
        </w:rPr>
      </w:pPr>
      <w:r>
        <w:rPr>
          <w:rFonts w:hint="eastAsia" w:ascii="Times New Roman" w:hAnsi="Times New Roman" w:cs="Times New Roman"/>
        </w:rPr>
        <w:t>3）创新性：本规范对平面双轴试验系统的伺服作动系统</w:t>
      </w:r>
      <w:r>
        <w:rPr>
          <w:rFonts w:hint="default" w:ascii="Times New Roman" w:hAnsi="Times New Roman" w:cs="Times New Roman"/>
          <w:lang w:val="en-US" w:eastAsia="zh-CN"/>
        </w:rPr>
        <w:t>作动筒位移</w:t>
      </w:r>
      <w:r>
        <w:rPr>
          <w:rFonts w:hint="eastAsia" w:ascii="Times New Roman" w:hAnsi="Times New Roman" w:cs="Times New Roman"/>
          <w:lang w:val="en-US" w:eastAsia="zh-CN"/>
        </w:rPr>
        <w:t>、速度</w:t>
      </w:r>
      <w:r>
        <w:rPr>
          <w:rFonts w:hint="eastAsia" w:ascii="Times New Roman" w:hAnsi="Times New Roman" w:cs="Times New Roman"/>
        </w:rPr>
        <w:t>进行了明确的要求，提高了平面双轴试验系统的计量准确性。</w:t>
      </w:r>
      <w:bookmarkEnd w:id="8"/>
      <w:bookmarkStart w:id="9" w:name="_Toc193860027"/>
      <w:bookmarkStart w:id="10" w:name="_Toc193860177"/>
      <w:bookmarkStart w:id="11" w:name="_Toc500258929"/>
      <w:bookmarkStart w:id="12" w:name="_Toc23837_WPSOffice_Level1"/>
      <w:bookmarkStart w:id="13" w:name="_Toc193860208"/>
      <w:bookmarkStart w:id="14" w:name="_Toc464728964"/>
    </w:p>
    <w:p>
      <w:pPr>
        <w:pStyle w:val="22"/>
        <w:numPr>
          <w:ilvl w:val="0"/>
          <w:numId w:val="0"/>
        </w:numPr>
        <w:wordWrap/>
        <w:spacing w:beforeLines="0" w:after="156" w:line="360" w:lineRule="auto"/>
      </w:pPr>
      <w:r>
        <w:rPr>
          <w:rFonts w:hint="eastAsia"/>
        </w:rPr>
        <w:t>2制定规范主要内容的论据</w:t>
      </w:r>
    </w:p>
    <w:p>
      <w:pPr>
        <w:pStyle w:val="15"/>
        <w:numPr>
          <w:ilvl w:val="0"/>
          <w:numId w:val="0"/>
        </w:numPr>
        <w:spacing w:beforeLines="0" w:afterLines="0" w:line="360" w:lineRule="auto"/>
        <w:rPr>
          <w:rFonts w:ascii="Times New Roman"/>
          <w:szCs w:val="21"/>
        </w:rPr>
      </w:pPr>
      <w:r>
        <w:rPr>
          <w:rFonts w:hint="eastAsia" w:ascii="Times New Roman"/>
          <w:szCs w:val="21"/>
        </w:rPr>
        <w:t>2.1 范围</w:t>
      </w:r>
      <w:bookmarkEnd w:id="9"/>
      <w:bookmarkEnd w:id="10"/>
      <w:bookmarkEnd w:id="11"/>
      <w:bookmarkEnd w:id="12"/>
      <w:bookmarkEnd w:id="13"/>
    </w:p>
    <w:p>
      <w:bookmarkStart w:id="15" w:name="_Toc193860178"/>
      <w:bookmarkStart w:id="16" w:name="_Toc193860209"/>
      <w:bookmarkStart w:id="17" w:name="_Toc193860028"/>
      <w:bookmarkStart w:id="18" w:name="_Toc500258930"/>
      <w:bookmarkStart w:id="19" w:name="_Toc7848_WPSOffice_Level1"/>
      <w:r>
        <w:rPr>
          <w:rFonts w:hint="eastAsia"/>
        </w:rPr>
        <w:t>本规范适用于</w:t>
      </w:r>
      <w:r>
        <w:rPr>
          <w:rFonts w:hint="eastAsia" w:ascii="Times New Roman" w:hAnsi="Times New Roman" w:cs="Times New Roman"/>
        </w:rPr>
        <w:t>平面双轴试验系统</w:t>
      </w:r>
      <w:r>
        <w:rPr>
          <w:rFonts w:hint="eastAsia"/>
        </w:rPr>
        <w:t>（以下简称</w:t>
      </w:r>
      <w:r>
        <w:rPr>
          <w:rFonts w:hint="eastAsia"/>
          <w:lang w:val="en-US" w:eastAsia="zh-CN"/>
        </w:rPr>
        <w:t>试验系统</w:t>
      </w:r>
      <w:r>
        <w:rPr>
          <w:rFonts w:hint="eastAsia"/>
        </w:rPr>
        <w:t>）的校准。</w:t>
      </w:r>
    </w:p>
    <w:p>
      <w:pPr>
        <w:pStyle w:val="15"/>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.2 引用文</w:t>
      </w:r>
      <w:bookmarkEnd w:id="15"/>
      <w:bookmarkEnd w:id="16"/>
      <w:bookmarkEnd w:id="17"/>
      <w:r>
        <w:rPr>
          <w:rFonts w:hint="eastAsia" w:ascii="Times New Roman"/>
          <w:szCs w:val="21"/>
        </w:rPr>
        <w:t>件</w:t>
      </w:r>
      <w:bookmarkEnd w:id="18"/>
      <w:bookmarkEnd w:id="19"/>
    </w:p>
    <w:p>
      <w:pPr>
        <w:rPr>
          <w:rFonts w:hint="default" w:ascii="Times New Roman" w:hAnsi="Times New Roman" w:cs="Times New Roman"/>
          <w:lang w:val="en-US" w:eastAsia="zh-CN"/>
        </w:rPr>
      </w:pPr>
      <w:bookmarkStart w:id="20" w:name="_Toc193860180"/>
      <w:bookmarkStart w:id="21" w:name="_Toc193860211"/>
      <w:bookmarkStart w:id="22" w:name="_Toc193619055"/>
      <w:bookmarkStart w:id="23" w:name="_Toc13054_WPSOffice_Level1"/>
      <w:bookmarkStart w:id="24" w:name="_Toc193619097"/>
      <w:bookmarkStart w:id="25" w:name="_Toc500258937"/>
      <w:bookmarkStart w:id="26" w:name="_Toc193618952"/>
      <w:bookmarkStart w:id="27" w:name="_Toc193860030"/>
      <w:r>
        <w:rPr>
          <w:rFonts w:hint="eastAsia" w:ascii="Times New Roman" w:hAnsi="Times New Roman" w:cs="Times New Roman"/>
        </w:rPr>
        <w:t>GB/T 16825.1-20</w:t>
      </w:r>
      <w:r>
        <w:rPr>
          <w:rFonts w:hint="eastAsia" w:ascii="Times New Roman" w:hAnsi="Times New Roman" w:cs="Times New Roman"/>
          <w:lang w:val="en-US" w:eastAsia="zh-CN"/>
        </w:rPr>
        <w:t>2</w:t>
      </w:r>
      <w:r>
        <w:rPr>
          <w:rFonts w:hint="eastAsia" w:ascii="Times New Roman" w:hAnsi="Times New Roman" w:cs="Times New Roman"/>
        </w:rPr>
        <w:t>2 静力单轴试验机的检验</w:t>
      </w:r>
      <w:r>
        <w:rPr>
          <w:rFonts w:hint="eastAsia" w:ascii="Times New Roman" w:hAnsi="Times New Roman" w:cs="Times New Roman"/>
          <w:lang w:val="en-US" w:eastAsia="zh-CN"/>
        </w:rPr>
        <w:t>与校准 第1部分：拉力和（压力）试验机 测力系统的检验与校准</w:t>
      </w:r>
    </w:p>
    <w:p>
      <w:pPr>
        <w:rPr>
          <w:rFonts w:hint="eastAsia" w:ascii="Times New Roman" w:hAnsi="Times New Roman" w:cs="Times New Roman"/>
        </w:rPr>
      </w:pPr>
      <w:r>
        <w:rPr>
          <w:rFonts w:hint="eastAsia" w:ascii="Times New Roman" w:hAnsi="Times New Roman" w:cs="Times New Roman"/>
        </w:rPr>
        <w:t>GB/T 3075-20</w:t>
      </w:r>
      <w:r>
        <w:rPr>
          <w:rFonts w:hint="eastAsia" w:ascii="Times New Roman" w:hAnsi="Times New Roman" w:cs="Times New Roman"/>
          <w:lang w:val="en-US" w:eastAsia="zh-CN"/>
        </w:rPr>
        <w:t>21</w:t>
      </w:r>
      <w:r>
        <w:rPr>
          <w:rFonts w:hint="eastAsia" w:ascii="Times New Roman" w:hAnsi="Times New Roman" w:cs="Times New Roman"/>
        </w:rPr>
        <w:t xml:space="preserve"> 金属材料</w:t>
      </w:r>
      <w:r>
        <w:rPr>
          <w:rFonts w:hint="eastAsia" w:ascii="Times New Roman" w:hAnsi="Times New Roman" w:cs="Times New Roman"/>
          <w:lang w:val="en-US" w:eastAsia="zh-CN"/>
        </w:rPr>
        <w:t xml:space="preserve"> </w:t>
      </w:r>
      <w:r>
        <w:rPr>
          <w:rFonts w:hint="eastAsia" w:ascii="Times New Roman" w:hAnsi="Times New Roman" w:cs="Times New Roman"/>
        </w:rPr>
        <w:t>疲劳试验</w:t>
      </w:r>
      <w:r>
        <w:rPr>
          <w:rFonts w:hint="eastAsia" w:ascii="Times New Roman" w:hAnsi="Times New Roman" w:cs="Times New Roman"/>
          <w:lang w:val="en-US" w:eastAsia="zh-CN"/>
        </w:rPr>
        <w:t xml:space="preserve"> </w:t>
      </w:r>
      <w:r>
        <w:rPr>
          <w:rFonts w:hint="eastAsia" w:ascii="Times New Roman" w:hAnsi="Times New Roman" w:cs="Times New Roman"/>
        </w:rPr>
        <w:t>轴向力控制方法</w:t>
      </w:r>
    </w:p>
    <w:p>
      <w:pPr>
        <w:rPr>
          <w:rFonts w:hint="default" w:ascii="Times New Roman" w:hAnsi="Times New Roman" w:cs="Times New Roman"/>
          <w:lang w:val="en-US" w:eastAsia="zh-CN"/>
        </w:rPr>
      </w:pPr>
      <w:bookmarkStart w:id="28" w:name="_Hlk37535606"/>
      <w:r>
        <w:rPr>
          <w:rFonts w:hint="eastAsia" w:ascii="Times New Roman" w:hAnsi="Times New Roman" w:cs="Times New Roman"/>
        </w:rPr>
        <w:t xml:space="preserve">GB/T </w:t>
      </w:r>
      <w:r>
        <w:rPr>
          <w:rFonts w:hint="eastAsia" w:ascii="Times New Roman" w:hAnsi="Times New Roman" w:cs="Times New Roman"/>
          <w:lang w:val="en-US" w:eastAsia="zh-CN"/>
        </w:rPr>
        <w:t>25917</w:t>
      </w:r>
      <w:r>
        <w:rPr>
          <w:rFonts w:hint="eastAsia" w:ascii="Times New Roman" w:hAnsi="Times New Roman" w:cs="Times New Roman"/>
        </w:rPr>
        <w:t>.1-20</w:t>
      </w:r>
      <w:r>
        <w:rPr>
          <w:rFonts w:hint="eastAsia" w:ascii="Times New Roman" w:hAnsi="Times New Roman" w:cs="Times New Roman"/>
          <w:lang w:val="en-US" w:eastAsia="zh-CN"/>
        </w:rPr>
        <w:t>19</w:t>
      </w:r>
      <w:r>
        <w:rPr>
          <w:rFonts w:hint="eastAsia" w:ascii="Times New Roman" w:hAnsi="Times New Roman" w:cs="Times New Roman"/>
        </w:rPr>
        <w:t xml:space="preserve"> </w:t>
      </w:r>
      <w:r>
        <w:rPr>
          <w:rFonts w:hint="eastAsia" w:ascii="Times New Roman" w:hAnsi="Times New Roman" w:cs="Times New Roman"/>
          <w:lang w:val="en-US" w:eastAsia="zh-CN"/>
        </w:rPr>
        <w:t>单轴疲劳试验系统 第一部分：动态力校准</w:t>
      </w:r>
    </w:p>
    <w:p>
      <w:pPr>
        <w:rPr>
          <w:rFonts w:hint="eastAsia" w:ascii="Times New Roman" w:hAnsi="Times New Roman" w:cs="Times New Roman"/>
          <w:lang w:val="en-US" w:eastAsia="zh-CN"/>
        </w:rPr>
      </w:pPr>
      <w:r>
        <w:rPr>
          <w:rFonts w:hint="eastAsia" w:ascii="Times New Roman" w:hAnsi="Times New Roman" w:cs="Times New Roman"/>
          <w:lang w:val="en-US" w:eastAsia="zh-CN"/>
        </w:rPr>
        <w:t>JJG 475-2008</w:t>
      </w:r>
      <w:r>
        <w:rPr>
          <w:rFonts w:hint="eastAsia" w:ascii="Times New Roman" w:hAnsi="Times New Roman" w:cs="Times New Roman"/>
        </w:rPr>
        <w:t xml:space="preserve"> </w:t>
      </w:r>
      <w:r>
        <w:rPr>
          <w:rFonts w:hint="eastAsia" w:ascii="Times New Roman" w:hAnsi="Times New Roman" w:cs="Times New Roman"/>
          <w:lang w:val="en-US" w:eastAsia="zh-CN"/>
        </w:rPr>
        <w:t>电子式万能试验机</w:t>
      </w:r>
    </w:p>
    <w:p>
      <w:pPr>
        <w:rPr>
          <w:rFonts w:hint="eastAsia"/>
        </w:rPr>
      </w:pPr>
      <w:r>
        <w:rPr>
          <w:rFonts w:hint="eastAsia" w:ascii="Times New Roman" w:hAnsi="Times New Roman" w:cs="Times New Roman"/>
          <w:lang w:val="en-US" w:eastAsia="zh-CN"/>
        </w:rPr>
        <w:t>JJG 556-2011</w:t>
      </w:r>
      <w:r>
        <w:rPr>
          <w:rFonts w:hint="eastAsia" w:ascii="Times New Roman" w:hAnsi="Times New Roman" w:cs="Times New Roman"/>
        </w:rPr>
        <w:t xml:space="preserve"> </w:t>
      </w:r>
      <w:r>
        <w:rPr>
          <w:rFonts w:hint="eastAsia" w:ascii="Times New Roman" w:hAnsi="Times New Roman" w:cs="Times New Roman"/>
          <w:lang w:val="en-US" w:eastAsia="zh-CN"/>
        </w:rPr>
        <w:t>轴向加力疲劳试验机</w:t>
      </w:r>
      <w:bookmarkEnd w:id="28"/>
    </w:p>
    <w:p>
      <w:pPr>
        <w:pStyle w:val="15"/>
        <w:numPr>
          <w:ilvl w:val="0"/>
          <w:numId w:val="0"/>
        </w:numPr>
        <w:spacing w:beforeLines="0" w:afterLines="0" w:line="360" w:lineRule="auto"/>
        <w:rPr>
          <w:rFonts w:ascii="Times New Roman"/>
          <w:szCs w:val="21"/>
        </w:rPr>
      </w:pPr>
      <w:r>
        <w:rPr>
          <w:rFonts w:hint="eastAsia" w:ascii="Times New Roman"/>
          <w:szCs w:val="21"/>
        </w:rPr>
        <w:t>2.3 概述</w:t>
      </w:r>
      <w:bookmarkEnd w:id="20"/>
      <w:bookmarkEnd w:id="21"/>
      <w:bookmarkEnd w:id="22"/>
      <w:bookmarkEnd w:id="23"/>
      <w:bookmarkEnd w:id="24"/>
      <w:bookmarkEnd w:id="25"/>
      <w:bookmarkEnd w:id="26"/>
      <w:bookmarkEnd w:id="27"/>
    </w:p>
    <w:p>
      <w:pPr>
        <w:rPr>
          <w:rFonts w:hint="eastAsia" w:ascii="Times New Roman" w:hAnsi="Times New Roman" w:cs="Times New Roman"/>
        </w:rPr>
      </w:pPr>
      <w:bookmarkStart w:id="29" w:name="_Toc193619098"/>
      <w:bookmarkStart w:id="30" w:name="_Toc193860181"/>
      <w:bookmarkStart w:id="31" w:name="_Toc19851_WPSOffice_Level1"/>
      <w:bookmarkStart w:id="32" w:name="_Toc193618953"/>
      <w:bookmarkStart w:id="33" w:name="_Toc500258938"/>
      <w:bookmarkStart w:id="34" w:name="_Toc193619056"/>
      <w:bookmarkStart w:id="35" w:name="_Toc193860212"/>
      <w:bookmarkStart w:id="36" w:name="_Toc193860031"/>
      <w:r>
        <w:rPr>
          <w:rFonts w:hint="eastAsia" w:ascii="Times New Roman" w:hAnsi="Times New Roman" w:cs="Times New Roman"/>
        </w:rPr>
        <w:t>平面双轴试验系统是指采用电液伺服的激振方式，通过控制</w:t>
      </w:r>
      <w:r>
        <w:rPr>
          <w:rFonts w:hint="eastAsia" w:ascii="Times New Roman" w:hAnsi="Times New Roman" w:cs="Times New Roman"/>
          <w:lang w:val="en-US" w:eastAsia="zh-CN"/>
        </w:rPr>
        <w:t>伺服作动</w:t>
      </w:r>
      <w:r>
        <w:rPr>
          <w:rFonts w:hint="eastAsia" w:ascii="Times New Roman" w:hAnsi="Times New Roman" w:cs="Times New Roman"/>
        </w:rPr>
        <w:t>系统</w:t>
      </w:r>
      <w:r>
        <w:rPr>
          <w:rFonts w:hint="eastAsia" w:ascii="Times New Roman" w:hAnsi="Times New Roman" w:cs="Times New Roman"/>
          <w:lang w:eastAsia="zh-CN"/>
        </w:rPr>
        <w:t>，</w:t>
      </w:r>
      <w:r>
        <w:rPr>
          <w:rFonts w:hint="eastAsia" w:ascii="Times New Roman" w:hAnsi="Times New Roman" w:cs="Times New Roman"/>
        </w:rPr>
        <w:t>可对材料各同向性和异向性进行分析，实现双轴载荷加载的力学</w:t>
      </w:r>
      <w:r>
        <w:rPr>
          <w:rFonts w:hint="eastAsia" w:ascii="Times New Roman" w:hAnsi="Times New Roman" w:cs="Times New Roman"/>
          <w:lang w:val="en-US" w:eastAsia="zh-CN"/>
        </w:rPr>
        <w:t>性能测试</w:t>
      </w:r>
      <w:r>
        <w:rPr>
          <w:rFonts w:hint="eastAsia" w:ascii="Times New Roman" w:hAnsi="Times New Roman" w:cs="Times New Roman"/>
        </w:rPr>
        <w:t>设备。平面双轴试验系统广泛应金属材料双轴载荷测试、非金属材料双轴载荷测试。一般由控制系统、数据采集系统、伺服作动系统、液压夹具以及应变测量装置等</w:t>
      </w:r>
      <w:r>
        <w:rPr>
          <w:rFonts w:hint="eastAsia" w:ascii="Times New Roman" w:hAnsi="Times New Roman" w:cs="Times New Roman"/>
          <w:lang w:val="en-US" w:eastAsia="zh-CN"/>
        </w:rPr>
        <w:t>部分</w:t>
      </w:r>
      <w:r>
        <w:rPr>
          <w:rFonts w:hint="eastAsia" w:ascii="Times New Roman" w:hAnsi="Times New Roman" w:cs="Times New Roman"/>
        </w:rPr>
        <w:t>组成。</w:t>
      </w:r>
    </w:p>
    <w:p>
      <w:pPr>
        <w:pStyle w:val="15"/>
        <w:numPr>
          <w:ilvl w:val="0"/>
          <w:numId w:val="0"/>
        </w:numPr>
        <w:spacing w:before="156" w:afterLines="0" w:line="360" w:lineRule="auto"/>
        <w:rPr>
          <w:rFonts w:ascii="Times New Roman"/>
          <w:szCs w:val="21"/>
        </w:rPr>
      </w:pPr>
      <w:r>
        <w:rPr>
          <w:rFonts w:hint="eastAsia" w:ascii="Times New Roman"/>
          <w:szCs w:val="21"/>
        </w:rPr>
        <w:t>2.4 计量特性</w:t>
      </w:r>
      <w:bookmarkEnd w:id="29"/>
      <w:bookmarkEnd w:id="30"/>
      <w:bookmarkEnd w:id="31"/>
      <w:bookmarkEnd w:id="32"/>
      <w:bookmarkEnd w:id="33"/>
      <w:bookmarkEnd w:id="34"/>
      <w:bookmarkEnd w:id="35"/>
      <w:bookmarkEnd w:id="36"/>
    </w:p>
    <w:p>
      <w:pPr>
        <w:jc w:val="both"/>
        <w:rPr>
          <w:rFonts w:hint="eastAsia" w:ascii="Times New Roman" w:hAnsi="Times New Roman" w:cs="Times New Roman"/>
        </w:rPr>
      </w:pPr>
      <w:bookmarkStart w:id="37" w:name="_Toc25829_WPSOffice_Level1"/>
      <w:r>
        <w:rPr>
          <w:rFonts w:hint="eastAsia" w:ascii="Times New Roman" w:hAnsi="Times New Roman" w:cs="Times New Roman"/>
          <w:lang w:val="en-US" w:eastAsia="zh-CN"/>
        </w:rPr>
        <w:t>试验系统计量特性见表1。</w:t>
      </w:r>
    </w:p>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表1 试验系统计量特性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353"/>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序号</w:t>
            </w:r>
          </w:p>
        </w:tc>
        <w:tc>
          <w:tcPr>
            <w:tcW w:w="4353"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w:t>
            </w:r>
          </w:p>
        </w:tc>
        <w:tc>
          <w:tcPr>
            <w:tcW w:w="4353"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受力同轴度</w:t>
            </w:r>
          </w:p>
        </w:tc>
        <w:tc>
          <w:tcPr>
            <w:tcW w:w="4353"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零点漂移</w:t>
            </w:r>
          </w:p>
        </w:tc>
        <w:tc>
          <w:tcPr>
            <w:tcW w:w="4353"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相对分辨力</w:t>
            </w:r>
          </w:p>
        </w:tc>
        <w:tc>
          <w:tcPr>
            <w:tcW w:w="4353"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回零差</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静态力示值相对误差</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静态力示值重复性</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静态力示值进回程相对误差</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循环力范围示值相对误差</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循环力范围示值重复性</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循环力峰值示值相对误差</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循环力峰值示值重复性</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12</w:t>
            </w:r>
          </w:p>
        </w:tc>
        <w:tc>
          <w:tcPr>
            <w:tcW w:w="4353"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rPr>
              <w:t>伺服作动系统</w:t>
            </w:r>
            <w:r>
              <w:rPr>
                <w:rFonts w:hint="default" w:ascii="Times New Roman" w:hAnsi="Times New Roman" w:cs="Times New Roman"/>
                <w:sz w:val="21"/>
                <w:szCs w:val="21"/>
                <w:lang w:val="en-US" w:eastAsia="zh-CN"/>
              </w:rPr>
              <w:t>作动筒位移</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0.5</w:t>
            </w: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13</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rPr>
              <w:t>伺服作动系统</w:t>
            </w:r>
            <w:r>
              <w:rPr>
                <w:rFonts w:hint="default" w:ascii="Times New Roman" w:hAnsi="Times New Roman" w:cs="Times New Roman"/>
                <w:sz w:val="21"/>
                <w:szCs w:val="21"/>
                <w:lang w:val="en-US" w:eastAsia="zh-CN"/>
              </w:rPr>
              <w:t>作动筒速度</w:t>
            </w:r>
          </w:p>
        </w:tc>
        <w:tc>
          <w:tcPr>
            <w:tcW w:w="4353" w:type="dxa"/>
            <w:vAlign w:val="center"/>
          </w:tcPr>
          <w:p>
            <w:pPr>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3"/>
            <w:vAlign w:val="center"/>
          </w:tcPr>
          <w:p>
            <w:pPr>
              <w:ind w:left="0" w:leftChars="0" w:firstLine="0" w:firstLine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注：</w:t>
            </w:r>
            <w:r>
              <w:rPr>
                <w:rFonts w:hint="eastAsia" w:ascii="Times New Roman" w:hAnsi="Times New Roman" w:cs="Times New Roman"/>
                <w:sz w:val="21"/>
                <w:szCs w:val="21"/>
              </w:rPr>
              <w:t>*为</w:t>
            </w:r>
            <w:r>
              <w:rPr>
                <w:rFonts w:hint="eastAsia" w:ascii="Times New Roman" w:hAnsi="Times New Roman" w:cs="Times New Roman"/>
                <w:sz w:val="21"/>
                <w:szCs w:val="21"/>
                <w:lang w:val="en-US" w:eastAsia="zh-CN"/>
              </w:rPr>
              <w:t>试验系统同轴度的</w:t>
            </w:r>
            <w:r>
              <w:rPr>
                <w:rFonts w:hint="eastAsia" w:ascii="Times New Roman" w:hAnsi="Times New Roman" w:cs="Times New Roman"/>
                <w:sz w:val="21"/>
                <w:szCs w:val="21"/>
              </w:rPr>
              <w:t>最低要求，实际</w:t>
            </w:r>
            <w:r>
              <w:rPr>
                <w:rFonts w:hint="eastAsia" w:ascii="Times New Roman" w:hAnsi="Times New Roman" w:cs="Times New Roman"/>
                <w:sz w:val="21"/>
                <w:szCs w:val="21"/>
                <w:lang w:val="en-US" w:eastAsia="zh-CN"/>
              </w:rPr>
              <w:t>校准</w:t>
            </w:r>
            <w:r>
              <w:rPr>
                <w:rFonts w:hint="eastAsia" w:ascii="Times New Roman" w:hAnsi="Times New Roman" w:cs="Times New Roman"/>
                <w:sz w:val="21"/>
                <w:szCs w:val="21"/>
              </w:rPr>
              <w:t>时应根据试验方法要求的不同，按用户需要确定此项目指标，</w:t>
            </w:r>
            <w:r>
              <w:rPr>
                <w:rFonts w:hint="eastAsia" w:ascii="Times New Roman" w:hAnsi="Times New Roman" w:cs="Times New Roman"/>
                <w:sz w:val="21"/>
                <w:szCs w:val="21"/>
                <w:lang w:val="en-US" w:eastAsia="zh-CN"/>
              </w:rPr>
              <w:t>可选择5%</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w:t>
            </w:r>
          </w:p>
        </w:tc>
      </w:tr>
    </w:tbl>
    <w:p>
      <w:pPr>
        <w:pStyle w:val="15"/>
        <w:numPr>
          <w:ilvl w:val="0"/>
          <w:numId w:val="0"/>
        </w:numPr>
        <w:spacing w:before="156" w:after="156" w:line="360" w:lineRule="auto"/>
        <w:rPr>
          <w:rFonts w:ascii="Times New Roman"/>
          <w:szCs w:val="21"/>
        </w:rPr>
      </w:pPr>
      <w:r>
        <w:rPr>
          <w:rFonts w:hint="eastAsia" w:ascii="Times New Roman"/>
          <w:szCs w:val="21"/>
        </w:rPr>
        <w:t>2.</w:t>
      </w:r>
      <w:r>
        <w:rPr>
          <w:rFonts w:ascii="Times New Roman"/>
          <w:szCs w:val="21"/>
        </w:rPr>
        <w:t>5</w:t>
      </w:r>
      <w:r>
        <w:rPr>
          <w:rFonts w:hint="eastAsia" w:ascii="Times New Roman"/>
          <w:szCs w:val="21"/>
        </w:rPr>
        <w:t xml:space="preserve"> 校准条件</w:t>
      </w:r>
      <w:bookmarkEnd w:id="37"/>
      <w:bookmarkStart w:id="38" w:name="_Toc193860033"/>
      <w:bookmarkStart w:id="39" w:name="_Toc193860183"/>
      <w:bookmarkStart w:id="40" w:name="_Toc193860214"/>
      <w:bookmarkStart w:id="41" w:name="_Toc500258942"/>
    </w:p>
    <w:bookmarkEnd w:id="38"/>
    <w:bookmarkEnd w:id="39"/>
    <w:bookmarkEnd w:id="40"/>
    <w:bookmarkEnd w:id="41"/>
    <w:p>
      <w:pPr>
        <w:rPr>
          <w:rFonts w:hint="eastAsia" w:ascii="Times New Roman" w:hAnsi="Times New Roman" w:cs="Times New Roman"/>
        </w:rPr>
      </w:pPr>
      <w:bookmarkStart w:id="42" w:name="_Toc193860035"/>
      <w:bookmarkStart w:id="43" w:name="_Toc193619058"/>
      <w:bookmarkStart w:id="44" w:name="_Toc193860216"/>
      <w:bookmarkStart w:id="45" w:name="_Toc193619100"/>
      <w:bookmarkStart w:id="46" w:name="_Toc193860185"/>
      <w:bookmarkStart w:id="47" w:name="_Toc500258944"/>
      <w:bookmarkStart w:id="48" w:name="_Toc2741_WPSOffice_Level1"/>
      <w:bookmarkStart w:id="49" w:name="_Toc193618955"/>
      <w:r>
        <w:rPr>
          <w:rFonts w:hint="eastAsia" w:ascii="Times New Roman" w:hAnsi="Times New Roman" w:cs="Times New Roman"/>
        </w:rPr>
        <w:t>校准温度范围应为（20±10）℃，相对湿度不大于80%，温度波动不大于2℃/h。</w:t>
      </w:r>
    </w:p>
    <w:p>
      <w:pPr>
        <w:pStyle w:val="15"/>
        <w:numPr>
          <w:ilvl w:val="0"/>
          <w:numId w:val="0"/>
        </w:numPr>
        <w:spacing w:before="156" w:after="156" w:line="360" w:lineRule="auto"/>
        <w:rPr>
          <w:rFonts w:ascii="Times New Roman"/>
          <w:szCs w:val="21"/>
        </w:rPr>
      </w:pPr>
      <w:r>
        <w:rPr>
          <w:rFonts w:hint="eastAsia" w:ascii="Times New Roman"/>
          <w:szCs w:val="21"/>
        </w:rPr>
        <w:t>2.</w:t>
      </w:r>
      <w:r>
        <w:rPr>
          <w:rFonts w:ascii="Times New Roman"/>
          <w:szCs w:val="21"/>
        </w:rPr>
        <w:t>6</w:t>
      </w:r>
      <w:r>
        <w:rPr>
          <w:rFonts w:hint="eastAsia" w:ascii="Times New Roman"/>
          <w:szCs w:val="21"/>
        </w:rPr>
        <w:t xml:space="preserve"> 校准项目和校准方法</w:t>
      </w:r>
      <w:bookmarkEnd w:id="42"/>
      <w:bookmarkEnd w:id="43"/>
      <w:bookmarkEnd w:id="44"/>
      <w:bookmarkEnd w:id="45"/>
      <w:bookmarkEnd w:id="46"/>
      <w:bookmarkEnd w:id="47"/>
      <w:bookmarkEnd w:id="48"/>
      <w:bookmarkEnd w:id="49"/>
    </w:p>
    <w:p>
      <w:pPr>
        <w:ind w:left="0" w:leftChars="0" w:firstLine="0" w:firstLineChars="0"/>
        <w:rPr>
          <w:rFonts w:hint="eastAsia" w:ascii="Times New Roman" w:hAnsi="Times New Roman" w:cs="Times New Roman"/>
        </w:rPr>
      </w:pPr>
      <w:bookmarkStart w:id="50" w:name="_Toc500258945"/>
      <w:bookmarkStart w:id="51" w:name="_Toc22718_WPSOffice_Level2"/>
      <w:bookmarkStart w:id="52" w:name="_Toc193860038"/>
      <w:bookmarkStart w:id="53" w:name="_Toc193619059"/>
      <w:bookmarkStart w:id="54" w:name="_Toc193860188"/>
      <w:bookmarkStart w:id="55" w:name="_Toc193619101"/>
      <w:bookmarkStart w:id="56" w:name="_Toc193618956"/>
      <w:bookmarkStart w:id="57" w:name="_Toc193860219"/>
      <w:bookmarkStart w:id="58" w:name="_Toc500258947"/>
      <w:bookmarkStart w:id="59" w:name="_Toc25466_WPSOffice_Level1"/>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.1通用技术要求检查</w:t>
      </w:r>
    </w:p>
    <w:p>
      <w:pPr>
        <w:rPr>
          <w:rFonts w:hint="eastAsia" w:ascii="Times New Roman" w:hAnsi="Times New Roman" w:cs="Times New Roman"/>
        </w:rPr>
      </w:pPr>
      <w:r>
        <w:rPr>
          <w:rFonts w:hint="eastAsia" w:ascii="Times New Roman" w:hAnsi="Times New Roman" w:cs="Times New Roman"/>
        </w:rPr>
        <w:t>采用目测和手动方式进行检查。</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2受力同轴度</w:t>
      </w:r>
    </w:p>
    <w:p>
      <w:pPr>
        <w:rPr>
          <w:rFonts w:hint="eastAsia" w:ascii="Times New Roman" w:hAnsi="Times New Roman" w:cs="Times New Roman"/>
        </w:rPr>
      </w:pPr>
      <w:r>
        <w:rPr>
          <w:rFonts w:hint="eastAsia" w:ascii="Times New Roman" w:hAnsi="Times New Roman" w:cs="Times New Roman"/>
          <w:lang w:val="en-US" w:eastAsia="zh-CN"/>
        </w:rPr>
        <w:t>首先校准</w:t>
      </w:r>
      <w:r>
        <w:rPr>
          <w:rFonts w:hint="eastAsia" w:ascii="Times New Roman" w:hAnsi="Times New Roman" w:cs="Times New Roman"/>
        </w:rPr>
        <w:t>上</w:t>
      </w:r>
      <w:r>
        <w:rPr>
          <w:rFonts w:hint="eastAsia" w:ascii="Times New Roman" w:hAnsi="Times New Roman" w:cs="Times New Roman"/>
          <w:lang w:eastAsia="zh-CN"/>
        </w:rPr>
        <w:t>、</w:t>
      </w:r>
      <w:r>
        <w:rPr>
          <w:rFonts w:hint="eastAsia" w:ascii="Times New Roman" w:hAnsi="Times New Roman" w:cs="Times New Roman"/>
        </w:rPr>
        <w:t>下夹头的受力同轴度</w:t>
      </w:r>
      <w:r>
        <w:rPr>
          <w:rFonts w:hint="eastAsia" w:ascii="Times New Roman" w:hAnsi="Times New Roman" w:cs="Times New Roman"/>
          <w:lang w:eastAsia="zh-CN"/>
        </w:rPr>
        <w:t>，</w:t>
      </w:r>
      <w:r>
        <w:rPr>
          <w:rFonts w:hint="eastAsia" w:ascii="Times New Roman" w:hAnsi="Times New Roman" w:cs="Times New Roman"/>
          <w:lang w:val="en-US" w:eastAsia="zh-CN"/>
        </w:rPr>
        <w:t>将同轴度校验棒安装并调整合适位置后，</w:t>
      </w:r>
      <w:r>
        <w:rPr>
          <w:rFonts w:hint="eastAsia" w:ascii="Times New Roman" w:hAnsi="Times New Roman" w:cs="Times New Roman"/>
        </w:rPr>
        <w:t>对</w:t>
      </w:r>
      <w:r>
        <w:rPr>
          <w:rFonts w:hint="eastAsia" w:ascii="Times New Roman" w:hAnsi="Times New Roman" w:cs="Times New Roman"/>
          <w:lang w:val="en-US" w:eastAsia="zh-CN"/>
        </w:rPr>
        <w:t>同轴度校验棒</w:t>
      </w:r>
      <w:r>
        <w:rPr>
          <w:rFonts w:hint="eastAsia" w:ascii="Times New Roman" w:hAnsi="Times New Roman" w:cs="Times New Roman"/>
        </w:rPr>
        <w:t>施加试验</w:t>
      </w:r>
      <w:r>
        <w:rPr>
          <w:rFonts w:hint="eastAsia" w:ascii="Times New Roman" w:hAnsi="Times New Roman" w:cs="Times New Roman"/>
          <w:lang w:val="en-US" w:eastAsia="zh-CN"/>
        </w:rPr>
        <w:t>系统</w:t>
      </w:r>
      <w:r>
        <w:rPr>
          <w:rFonts w:hint="eastAsia" w:ascii="Times New Roman" w:hAnsi="Times New Roman" w:cs="Times New Roman"/>
        </w:rPr>
        <w:t>最大力的1%的力</w:t>
      </w:r>
      <w:r>
        <w:rPr>
          <w:rFonts w:hint="eastAsia" w:ascii="Times New Roman" w:hAnsi="Times New Roman" w:cs="Times New Roman"/>
          <w:lang w:eastAsia="zh-CN"/>
        </w:rPr>
        <w:t>，</w:t>
      </w:r>
      <w:r>
        <w:rPr>
          <w:rFonts w:hint="eastAsia" w:ascii="Times New Roman" w:hAnsi="Times New Roman" w:cs="Times New Roman"/>
        </w:rPr>
        <w:t>此时将</w:t>
      </w:r>
      <w:r>
        <w:rPr>
          <w:rFonts w:hint="eastAsia" w:ascii="Times New Roman" w:hAnsi="Times New Roman" w:cs="Times New Roman"/>
          <w:lang w:val="en-US" w:eastAsia="zh-CN"/>
        </w:rPr>
        <w:t>同轴度测试仪</w:t>
      </w:r>
      <w:r>
        <w:rPr>
          <w:rFonts w:hint="eastAsia" w:ascii="Times New Roman" w:hAnsi="Times New Roman" w:cs="Times New Roman"/>
        </w:rPr>
        <w:t>清零</w:t>
      </w:r>
      <w:r>
        <w:rPr>
          <w:rFonts w:hint="eastAsia" w:ascii="Times New Roman" w:hAnsi="Times New Roman" w:cs="Times New Roman"/>
          <w:lang w:eastAsia="zh-CN"/>
        </w:rPr>
        <w:t>，</w:t>
      </w:r>
      <w:r>
        <w:rPr>
          <w:rFonts w:hint="eastAsia" w:ascii="Times New Roman" w:hAnsi="Times New Roman" w:cs="Times New Roman"/>
        </w:rPr>
        <w:t>施加力至试验</w:t>
      </w:r>
      <w:r>
        <w:rPr>
          <w:rFonts w:hint="eastAsia" w:ascii="Times New Roman" w:hAnsi="Times New Roman" w:cs="Times New Roman"/>
          <w:lang w:val="en-US" w:eastAsia="zh-CN"/>
        </w:rPr>
        <w:t>系统</w:t>
      </w:r>
      <w:r>
        <w:rPr>
          <w:rFonts w:hint="eastAsia" w:ascii="Times New Roman" w:hAnsi="Times New Roman" w:cs="Times New Roman"/>
        </w:rPr>
        <w:t>最大力的10%</w:t>
      </w:r>
      <w:r>
        <w:rPr>
          <w:rFonts w:hint="eastAsia" w:ascii="Times New Roman" w:hAnsi="Times New Roman" w:cs="Times New Roman"/>
          <w:lang w:eastAsia="zh-CN"/>
        </w:rPr>
        <w:t>，</w:t>
      </w:r>
      <w:r>
        <w:rPr>
          <w:rFonts w:hint="eastAsia" w:ascii="Times New Roman" w:hAnsi="Times New Roman" w:cs="Times New Roman"/>
        </w:rPr>
        <w:t>对</w:t>
      </w:r>
      <w:r>
        <w:rPr>
          <w:rFonts w:hint="eastAsia" w:ascii="Times New Roman" w:hAnsi="Times New Roman" w:cs="Times New Roman"/>
          <w:lang w:val="en-US" w:eastAsia="zh-CN"/>
        </w:rPr>
        <w:t>同轴度校验棒</w:t>
      </w:r>
      <w:r>
        <w:rPr>
          <w:rFonts w:hint="eastAsia" w:ascii="Times New Roman" w:hAnsi="Times New Roman" w:cs="Times New Roman"/>
        </w:rPr>
        <w:t>进行</w:t>
      </w:r>
      <w:r>
        <w:rPr>
          <w:rFonts w:hint="eastAsia" w:ascii="Times New Roman" w:hAnsi="Times New Roman" w:cs="Times New Roman"/>
          <w:lang w:val="en-US" w:eastAsia="zh-CN"/>
        </w:rPr>
        <w:t>至少2次</w:t>
      </w:r>
      <w:r>
        <w:rPr>
          <w:rFonts w:hint="eastAsia" w:ascii="Times New Roman" w:hAnsi="Times New Roman" w:cs="Times New Roman"/>
        </w:rPr>
        <w:t>预拉</w:t>
      </w:r>
      <w:r>
        <w:rPr>
          <w:rFonts w:hint="eastAsia" w:ascii="Times New Roman" w:hAnsi="Times New Roman" w:cs="Times New Roman"/>
          <w:lang w:eastAsia="zh-CN"/>
        </w:rPr>
        <w:t>。</w:t>
      </w:r>
      <w:r>
        <w:rPr>
          <w:rFonts w:hint="eastAsia" w:ascii="Times New Roman" w:hAnsi="Times New Roman" w:cs="Times New Roman"/>
          <w:lang w:val="en-US" w:eastAsia="zh-CN"/>
        </w:rPr>
        <w:t>预拉完成后，对同轴度校验棒施加试验机最大力的1%的力，</w:t>
      </w:r>
      <w:r>
        <w:rPr>
          <w:rFonts w:hint="eastAsia" w:ascii="Times New Roman" w:hAnsi="Times New Roman" w:cs="Times New Roman"/>
        </w:rPr>
        <w:t>此时将</w:t>
      </w:r>
      <w:r>
        <w:rPr>
          <w:rFonts w:hint="eastAsia" w:ascii="Times New Roman" w:hAnsi="Times New Roman" w:cs="Times New Roman"/>
          <w:lang w:val="en-US" w:eastAsia="zh-CN"/>
        </w:rPr>
        <w:t>同轴度测试仪</w:t>
      </w:r>
      <w:r>
        <w:rPr>
          <w:rFonts w:hint="eastAsia" w:ascii="Times New Roman" w:hAnsi="Times New Roman" w:cs="Times New Roman"/>
        </w:rPr>
        <w:t>清零</w:t>
      </w:r>
      <w:r>
        <w:rPr>
          <w:rFonts w:hint="eastAsia" w:ascii="Times New Roman" w:hAnsi="Times New Roman" w:cs="Times New Roman"/>
          <w:lang w:eastAsia="zh-CN"/>
        </w:rPr>
        <w:t>，</w:t>
      </w:r>
      <w:r>
        <w:rPr>
          <w:rFonts w:hint="eastAsia" w:ascii="Times New Roman" w:hAnsi="Times New Roman" w:cs="Times New Roman"/>
          <w:lang w:val="en-US" w:eastAsia="zh-CN"/>
        </w:rPr>
        <w:t>再缓慢以递增方式施加力至试验系统最大力的4%、6%、8%、10%点，逐点读取并记录同轴度测试仪上的同轴度数值。</w:t>
      </w:r>
      <w:r>
        <w:rPr>
          <w:rFonts w:hint="eastAsia" w:ascii="Times New Roman" w:hAnsi="Times New Roman" w:cs="Times New Roman"/>
        </w:rPr>
        <w:t>上</w:t>
      </w:r>
      <w:r>
        <w:rPr>
          <w:rFonts w:hint="eastAsia" w:ascii="Times New Roman" w:hAnsi="Times New Roman" w:cs="Times New Roman"/>
          <w:lang w:eastAsia="zh-CN"/>
        </w:rPr>
        <w:t>、</w:t>
      </w:r>
      <w:r>
        <w:rPr>
          <w:rFonts w:hint="eastAsia" w:ascii="Times New Roman" w:hAnsi="Times New Roman" w:cs="Times New Roman"/>
        </w:rPr>
        <w:t>下夹头的受力同轴度</w:t>
      </w:r>
      <w:r>
        <w:rPr>
          <w:rFonts w:hint="eastAsia" w:ascii="Times New Roman" w:hAnsi="Times New Roman" w:cs="Times New Roman"/>
          <w:lang w:val="en-US" w:eastAsia="zh-CN"/>
        </w:rPr>
        <w:t>校准完成后，用同样方法校准左、右夹头的受力同轴度。</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3零点漂移</w:t>
      </w:r>
    </w:p>
    <w:p>
      <w:pPr>
        <w:rPr>
          <w:rFonts w:hint="eastAsia" w:ascii="Times New Roman" w:hAnsi="Times New Roman" w:cs="Times New Roman"/>
          <w:lang w:val="en-US" w:eastAsia="zh-CN"/>
        </w:rPr>
      </w:pPr>
      <w:r>
        <w:rPr>
          <w:rFonts w:hint="eastAsia" w:ascii="Times New Roman" w:hAnsi="Times New Roman" w:cs="Times New Roman"/>
        </w:rPr>
        <w:t>试验</w:t>
      </w:r>
      <w:r>
        <w:rPr>
          <w:rFonts w:hint="eastAsia" w:ascii="Times New Roman" w:hAnsi="Times New Roman" w:cs="Times New Roman"/>
          <w:lang w:val="en-US" w:eastAsia="zh-CN"/>
        </w:rPr>
        <w:t>系统开机</w:t>
      </w:r>
      <w:r>
        <w:rPr>
          <w:rFonts w:hint="eastAsia" w:ascii="Times New Roman" w:hAnsi="Times New Roman" w:cs="Times New Roman"/>
        </w:rPr>
        <w:t>预热后，调整零点，观察并记录15 min内试验</w:t>
      </w:r>
      <w:r>
        <w:rPr>
          <w:rFonts w:hint="eastAsia" w:ascii="Times New Roman" w:hAnsi="Times New Roman" w:cs="Times New Roman"/>
          <w:lang w:val="en-US" w:eastAsia="zh-CN"/>
        </w:rPr>
        <w:t>系统</w:t>
      </w:r>
      <w:r>
        <w:rPr>
          <w:rFonts w:hint="eastAsia" w:ascii="Times New Roman" w:hAnsi="Times New Roman" w:cs="Times New Roman"/>
        </w:rPr>
        <w:t>零点的变化。按公式</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eastAsia" w:ascii="Times New Roman" w:hAnsi="Times New Roman" w:cs="Times New Roman"/>
        </w:rPr>
        <w:t>计算零</w:t>
      </w:r>
      <w:r>
        <w:rPr>
          <w:rFonts w:hint="eastAsia" w:ascii="Times New Roman" w:hAnsi="Times New Roman" w:cs="Times New Roman"/>
          <w:lang w:val="en-US" w:eastAsia="zh-CN"/>
        </w:rPr>
        <w:t>点漂移</w:t>
      </w:r>
      <w:r>
        <w:rPr>
          <w:rFonts w:hint="eastAsia" w:ascii="Times New Roman" w:hAnsi="Times New Roman" w:cs="Times New Roman"/>
          <w:i/>
          <w:iCs/>
          <w:lang w:val="en-US" w:eastAsia="zh-CN"/>
        </w:rPr>
        <w:t>Z</w:t>
      </w:r>
      <w:r>
        <w:rPr>
          <w:rFonts w:hint="eastAsia" w:ascii="Times New Roman" w:hAnsi="Times New Roman" w:cs="Times New Roman"/>
          <w:vertAlign w:val="subscript"/>
          <w:lang w:val="en-US" w:eastAsia="zh-CN"/>
        </w:rPr>
        <w:t>d</w:t>
      </w:r>
      <w:r>
        <w:rPr>
          <w:rFonts w:hint="eastAsia" w:ascii="Times New Roman" w:hAnsi="Times New Roman" w:cs="Times New Roman"/>
          <w:lang w:val="en-US" w:eastAsia="zh-CN"/>
        </w:rPr>
        <w:t>。</w:t>
      </w:r>
    </w:p>
    <w:p>
      <w:pPr>
        <w:ind w:left="0" w:leftChars="0" w:firstLine="0" w:firstLineChars="0"/>
        <w:jc w:val="right"/>
        <w:rPr>
          <w:rFonts w:hint="eastAsia" w:ascii="Times New Roman" w:hAnsi="Times New Roman" w:cs="Times New Roman"/>
        </w:rPr>
      </w:pPr>
      <w:r>
        <w:rPr>
          <w:rFonts w:hint="default" w:ascii="Times New Roman" w:hAnsi="Times New Roman" w:cs="Times New Roman"/>
          <w:lang w:val="en-US" w:eastAsia="zh-CN"/>
        </w:rPr>
        <w:object>
          <v:shape id="_x0000_i1025" o:spt="75" type="#_x0000_t75" style="height:34pt;width:83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Times New Roman" w:hAnsi="Times New Roman" w:cs="Times New Roman"/>
          <w:lang w:val="en-US" w:eastAsia="zh-CN"/>
        </w:rPr>
        <w:t xml:space="preserve">                                 （1）</w:t>
      </w:r>
    </w:p>
    <w:p>
      <w:p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4相对分辨力</w:t>
      </w:r>
    </w:p>
    <w:p>
      <w:pPr>
        <w:rPr>
          <w:rFonts w:hint="eastAsia" w:ascii="Times New Roman" w:hAnsi="Times New Roman" w:cs="Times New Roman"/>
          <w:lang w:eastAsia="zh-CN"/>
        </w:rPr>
      </w:pPr>
      <w:r>
        <w:rPr>
          <w:rFonts w:hint="eastAsia" w:ascii="Times New Roman" w:hAnsi="Times New Roman" w:cs="Times New Roman"/>
        </w:rPr>
        <w:t>试验</w:t>
      </w:r>
      <w:r>
        <w:rPr>
          <w:rFonts w:hint="eastAsia" w:ascii="Times New Roman" w:hAnsi="Times New Roman" w:cs="Times New Roman"/>
          <w:lang w:val="en-US" w:eastAsia="zh-CN"/>
        </w:rPr>
        <w:t>系统</w:t>
      </w:r>
      <w:r>
        <w:rPr>
          <w:rFonts w:hint="eastAsia" w:ascii="Times New Roman" w:hAnsi="Times New Roman" w:cs="Times New Roman"/>
        </w:rPr>
        <w:t>的力指示装置的相对分辨力</w:t>
      </w:r>
      <w:r>
        <w:rPr>
          <w:rFonts w:hint="eastAsia" w:ascii="Times New Roman" w:hAnsi="Times New Roman" w:cs="Times New Roman"/>
          <w:i/>
          <w:iCs/>
          <w:lang w:val="en-US" w:eastAsia="zh-CN"/>
        </w:rPr>
        <w:t>a</w:t>
      </w:r>
      <w:r>
        <w:rPr>
          <w:rFonts w:hint="eastAsia" w:ascii="Times New Roman" w:hAnsi="Times New Roman" w:cs="Times New Roman"/>
        </w:rPr>
        <w:t>由公式</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计算</w:t>
      </w:r>
      <w:r>
        <w:rPr>
          <w:rFonts w:hint="eastAsia" w:ascii="Times New Roman" w:hAnsi="Times New Roman" w:cs="Times New Roman"/>
          <w:lang w:eastAsia="zh-CN"/>
        </w:rPr>
        <w:t>。</w:t>
      </w:r>
    </w:p>
    <w:p>
      <w:pPr>
        <w:ind w:left="0" w:leftChars="0" w:firstLine="0" w:firstLineChars="0"/>
        <w:jc w:val="right"/>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object>
          <v:shape id="_x0000_i1026" o:spt="75" type="#_x0000_t75" style="height:34pt;width:72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Times New Roman" w:hAnsi="Times New Roman" w:cs="Times New Roman"/>
          <w:lang w:val="en-US" w:eastAsia="zh-CN"/>
        </w:rPr>
        <w:t xml:space="preserve">                                 （2）</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5回零差</w:t>
      </w:r>
    </w:p>
    <w:p>
      <w:pPr>
        <w:rPr>
          <w:rFonts w:hint="eastAsia" w:ascii="Times New Roman" w:hAnsi="Times New Roman" w:cs="Times New Roman"/>
          <w:lang w:eastAsia="zh-CN"/>
        </w:rPr>
      </w:pPr>
      <w:r>
        <w:rPr>
          <w:rFonts w:hint="eastAsia" w:ascii="Times New Roman" w:hAnsi="Times New Roman" w:cs="Times New Roman"/>
        </w:rPr>
        <w:t>试验</w:t>
      </w:r>
      <w:r>
        <w:rPr>
          <w:rFonts w:hint="eastAsia" w:ascii="Times New Roman" w:hAnsi="Times New Roman" w:cs="Times New Roman"/>
          <w:lang w:val="en-US" w:eastAsia="zh-CN"/>
        </w:rPr>
        <w:t>系统</w:t>
      </w:r>
      <w:r>
        <w:rPr>
          <w:rFonts w:hint="eastAsia" w:ascii="Times New Roman" w:hAnsi="Times New Roman" w:cs="Times New Roman"/>
        </w:rPr>
        <w:t>的</w:t>
      </w:r>
      <w:r>
        <w:rPr>
          <w:rFonts w:hint="eastAsia" w:ascii="Times New Roman" w:hAnsi="Times New Roman" w:cs="Times New Roman"/>
          <w:lang w:val="en-US" w:eastAsia="zh-CN"/>
        </w:rPr>
        <w:t>回零差</w:t>
      </w:r>
      <w:r>
        <w:rPr>
          <w:rFonts w:hint="eastAsia" w:ascii="Times New Roman" w:hAnsi="Times New Roman" w:cs="Times New Roman"/>
          <w:i/>
          <w:iCs/>
          <w:lang w:val="en-US" w:eastAsia="zh-CN"/>
        </w:rPr>
        <w:t>f</w:t>
      </w:r>
      <w:r>
        <w:rPr>
          <w:rFonts w:hint="eastAsia" w:ascii="Times New Roman" w:hAnsi="Times New Roman" w:cs="Times New Roman"/>
          <w:vertAlign w:val="subscript"/>
          <w:lang w:val="en-US" w:eastAsia="zh-CN"/>
        </w:rPr>
        <w:t>0</w:t>
      </w:r>
      <w:r>
        <w:rPr>
          <w:rFonts w:hint="eastAsia" w:ascii="Times New Roman" w:hAnsi="Times New Roman" w:cs="Times New Roman"/>
        </w:rPr>
        <w:t>由公式</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rPr>
        <w:t>计算</w:t>
      </w:r>
      <w:r>
        <w:rPr>
          <w:rFonts w:hint="eastAsia" w:ascii="Times New Roman" w:hAnsi="Times New Roman" w:cs="Times New Roman"/>
          <w:lang w:eastAsia="zh-CN"/>
        </w:rPr>
        <w:t>。</w:t>
      </w:r>
    </w:p>
    <w:p>
      <w:pPr>
        <w:tabs>
          <w:tab w:val="left" w:pos="390"/>
        </w:tabs>
        <w:ind w:left="0" w:leftChars="0" w:firstLine="0" w:firstLineChars="0"/>
        <w:jc w:val="right"/>
        <w:rPr>
          <w:rFonts w:hint="eastAsia" w:ascii="Times New Roman" w:hAnsi="Times New Roman" w:cs="Times New Roman"/>
          <w:lang w:val="en-US" w:eastAsia="zh-CN"/>
        </w:rPr>
      </w:pPr>
      <w:r>
        <w:rPr>
          <w:rFonts w:hint="default" w:ascii="Times New Roman" w:hAnsi="Times New Roman" w:cs="Times New Roman"/>
          <w:lang w:val="en-US" w:eastAsia="zh-CN"/>
        </w:rPr>
        <w:object>
          <v:shape id="_x0000_i1027" o:spt="75" type="#_x0000_t75" style="height:34pt;width:72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Times New Roman" w:hAnsi="Times New Roman" w:cs="Times New Roman"/>
          <w:lang w:val="en-US" w:eastAsia="zh-CN"/>
        </w:rPr>
        <w:t xml:space="preserve">                                  （3）</w:t>
      </w:r>
    </w:p>
    <w:p>
      <w:p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6静态力</w:t>
      </w:r>
    </w:p>
    <w:p>
      <w:pPr>
        <w:rPr>
          <w:rFonts w:hint="eastAsia" w:ascii="Times New Roman" w:hAnsi="Times New Roman" w:cs="Times New Roman"/>
          <w:lang w:val="en-US" w:eastAsia="zh-CN"/>
        </w:rPr>
      </w:pPr>
      <w:r>
        <w:rPr>
          <w:rFonts w:hint="eastAsia" w:ascii="Times New Roman" w:hAnsi="Times New Roman" w:cs="Times New Roman"/>
          <w:lang w:val="en-US" w:eastAsia="zh-CN"/>
        </w:rPr>
        <w:t>在试验系统</w:t>
      </w:r>
      <w:r>
        <w:rPr>
          <w:rFonts w:hint="default" w:ascii="Times New Roman" w:hAnsi="Times New Roman" w:cs="Times New Roman"/>
          <w:lang w:val="en-US" w:eastAsia="zh-CN"/>
        </w:rPr>
        <w:t>满量程的20%～100%范围内，可选择20%</w:t>
      </w:r>
      <w:r>
        <w:rPr>
          <w:rFonts w:hint="eastAsia" w:ascii="Times New Roman" w:hAnsi="Times New Roman" w:cs="Times New Roman"/>
          <w:lang w:val="en-US" w:eastAsia="zh-CN"/>
        </w:rPr>
        <w:t>、</w:t>
      </w:r>
      <w:r>
        <w:rPr>
          <w:rFonts w:hint="default" w:ascii="Times New Roman" w:hAnsi="Times New Roman" w:cs="Times New Roman"/>
          <w:lang w:val="en-US" w:eastAsia="zh-CN"/>
        </w:rPr>
        <w:t>40%</w:t>
      </w:r>
      <w:r>
        <w:rPr>
          <w:rFonts w:hint="eastAsia" w:ascii="Times New Roman" w:hAnsi="Times New Roman" w:cs="Times New Roman"/>
          <w:lang w:val="en-US" w:eastAsia="zh-CN"/>
        </w:rPr>
        <w:t>、</w:t>
      </w:r>
      <w:r>
        <w:rPr>
          <w:rFonts w:hint="default" w:ascii="Times New Roman" w:hAnsi="Times New Roman" w:cs="Times New Roman"/>
          <w:lang w:val="en-US" w:eastAsia="zh-CN"/>
        </w:rPr>
        <w:t>60%</w:t>
      </w:r>
      <w:r>
        <w:rPr>
          <w:rFonts w:hint="eastAsia" w:ascii="Times New Roman" w:hAnsi="Times New Roman" w:cs="Times New Roman"/>
          <w:lang w:val="en-US" w:eastAsia="zh-CN"/>
        </w:rPr>
        <w:t>、</w:t>
      </w:r>
      <w:r>
        <w:rPr>
          <w:rFonts w:hint="default" w:ascii="Times New Roman" w:hAnsi="Times New Roman" w:cs="Times New Roman"/>
          <w:lang w:val="en-US" w:eastAsia="zh-CN"/>
        </w:rPr>
        <w:t>80%</w:t>
      </w:r>
      <w:r>
        <w:rPr>
          <w:rFonts w:hint="eastAsia" w:ascii="Times New Roman" w:hAnsi="Times New Roman" w:cs="Times New Roman"/>
          <w:lang w:val="en-US" w:eastAsia="zh-CN"/>
        </w:rPr>
        <w:t>、</w:t>
      </w:r>
      <w:r>
        <w:rPr>
          <w:rFonts w:hint="default" w:ascii="Times New Roman" w:hAnsi="Times New Roman" w:cs="Times New Roman"/>
          <w:lang w:val="en-US" w:eastAsia="zh-CN"/>
        </w:rPr>
        <w:t>100%等作为</w:t>
      </w:r>
      <w:r>
        <w:rPr>
          <w:rFonts w:hint="eastAsia" w:ascii="Times New Roman" w:hAnsi="Times New Roman" w:cs="Times New Roman"/>
          <w:lang w:val="en-US" w:eastAsia="zh-CN"/>
        </w:rPr>
        <w:t>校准</w:t>
      </w:r>
      <w:r>
        <w:rPr>
          <w:rFonts w:hint="default" w:ascii="Times New Roman" w:hAnsi="Times New Roman" w:cs="Times New Roman"/>
          <w:lang w:val="en-US" w:eastAsia="zh-CN"/>
        </w:rPr>
        <w:t>点</w:t>
      </w:r>
      <w:r>
        <w:rPr>
          <w:rFonts w:hint="eastAsia" w:ascii="Times New Roman" w:hAnsi="Times New Roman" w:cs="Times New Roman"/>
          <w:lang w:val="en-US" w:eastAsia="zh-CN"/>
        </w:rPr>
        <w:t>，</w:t>
      </w:r>
      <w:r>
        <w:rPr>
          <w:rFonts w:hint="default" w:ascii="Times New Roman" w:hAnsi="Times New Roman" w:cs="Times New Roman"/>
          <w:lang w:val="en-US" w:eastAsia="zh-CN"/>
        </w:rPr>
        <w:t>对于测量下限值小于20%满量程的试验</w:t>
      </w:r>
      <w:r>
        <w:rPr>
          <w:rFonts w:hint="eastAsia" w:ascii="Times New Roman" w:hAnsi="Times New Roman" w:cs="Times New Roman"/>
          <w:lang w:val="en-US" w:eastAsia="zh-CN"/>
        </w:rPr>
        <w:t>系统</w:t>
      </w:r>
      <w:r>
        <w:rPr>
          <w:rFonts w:hint="default" w:ascii="Times New Roman" w:hAnsi="Times New Roman" w:cs="Times New Roman"/>
          <w:lang w:val="en-US" w:eastAsia="zh-CN"/>
        </w:rPr>
        <w:t>，应选择10%</w:t>
      </w:r>
      <w:r>
        <w:rPr>
          <w:rFonts w:hint="eastAsia" w:ascii="Times New Roman" w:hAnsi="Times New Roman" w:cs="Times New Roman"/>
          <w:lang w:val="en-US" w:eastAsia="zh-CN"/>
        </w:rPr>
        <w:t>、</w:t>
      </w: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2%作为</w:t>
      </w:r>
      <w:r>
        <w:rPr>
          <w:rFonts w:hint="eastAsia" w:ascii="Times New Roman" w:hAnsi="Times New Roman" w:cs="Times New Roman"/>
          <w:lang w:val="en-US" w:eastAsia="zh-CN"/>
        </w:rPr>
        <w:t>校准点</w:t>
      </w:r>
      <w:r>
        <w:rPr>
          <w:rFonts w:hint="default" w:ascii="Times New Roman" w:hAnsi="Times New Roman" w:cs="Times New Roman"/>
          <w:lang w:val="en-US" w:eastAsia="zh-CN"/>
        </w:rPr>
        <w:t>。试验</w:t>
      </w:r>
      <w:r>
        <w:rPr>
          <w:rFonts w:hint="eastAsia" w:ascii="Times New Roman" w:hAnsi="Times New Roman" w:cs="Times New Roman"/>
          <w:lang w:val="en-US" w:eastAsia="zh-CN"/>
        </w:rPr>
        <w:t>系统</w:t>
      </w:r>
      <w:r>
        <w:rPr>
          <w:rFonts w:hint="default" w:ascii="Times New Roman" w:hAnsi="Times New Roman" w:cs="Times New Roman"/>
          <w:lang w:val="en-US" w:eastAsia="zh-CN"/>
        </w:rPr>
        <w:t>的测量下限应不小于满量程值的2%</w:t>
      </w:r>
      <w:r>
        <w:rPr>
          <w:rFonts w:hint="eastAsia" w:ascii="Times New Roman" w:hAnsi="Times New Roman" w:cs="Times New Roman"/>
          <w:lang w:val="en-US" w:eastAsia="zh-CN"/>
        </w:rPr>
        <w:t>。</w:t>
      </w:r>
    </w:p>
    <w:p>
      <w:pPr>
        <w:rPr>
          <w:rFonts w:hint="default" w:ascii="Times New Roman" w:hAnsi="Times New Roman" w:cs="Times New Roman"/>
          <w:lang w:val="en-US" w:eastAsia="zh-CN"/>
        </w:rPr>
      </w:pPr>
      <w:r>
        <w:rPr>
          <w:rFonts w:hint="eastAsia" w:ascii="Times New Roman" w:hAnsi="Times New Roman" w:cs="Times New Roman"/>
          <w:lang w:val="en-US" w:eastAsia="zh-CN"/>
        </w:rPr>
        <w:t>首先将标准测力仪安装在上、下夹头，并调整至合适位置，放置足够的时间，使其达到稳定的温度。校准前应调好零点，校准时加卸力应平稳、缓慢。缓慢预加量程上限的最大力3次，并卸回至零负荷。逐级递增施加力，校准进程，逐级递减卸除力，校准回程。重复此过程至少3次。然后将标准测力仪安装在左、右夹头，重复上述过程。</w:t>
      </w:r>
    </w:p>
    <w:p>
      <w:pPr>
        <w:ind w:left="0" w:leftChars="0" w:firstLine="0" w:firstLineChars="0"/>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7循环力</w:t>
      </w:r>
    </w:p>
    <w:p>
      <w:pPr>
        <w:rPr>
          <w:rFonts w:hint="eastAsia" w:ascii="Times New Roman" w:hAnsi="Times New Roman" w:cs="Times New Roman"/>
          <w:lang w:val="en-US" w:eastAsia="zh-CN"/>
        </w:rPr>
      </w:pPr>
      <w:r>
        <w:rPr>
          <w:rFonts w:hint="default" w:ascii="Times New Roman" w:hAnsi="Times New Roman" w:cs="Times New Roman"/>
          <w:lang w:val="en-US" w:eastAsia="zh-CN"/>
        </w:rPr>
        <w:t>首先选择循环力级，</w:t>
      </w:r>
      <w:r>
        <w:rPr>
          <w:rFonts w:hint="eastAsia" w:ascii="Times New Roman" w:hAnsi="Times New Roman" w:cs="Times New Roman"/>
          <w:lang w:val="en-US" w:eastAsia="zh-CN"/>
        </w:rPr>
        <w:t>选择合适的</w:t>
      </w:r>
      <w:r>
        <w:rPr>
          <w:rFonts w:hint="default" w:ascii="Times New Roman" w:hAnsi="Times New Roman" w:cs="Times New Roman"/>
          <w:lang w:val="en-US" w:eastAsia="zh-CN"/>
        </w:rPr>
        <w:t>平均循环力比和循环力范围比，对平均力级和循环力级进行校准。也可以仅在一个平均循环力下进行循环力的校准，此时，</w:t>
      </w:r>
      <w:r>
        <w:rPr>
          <w:rFonts w:hint="default" w:ascii="Times New Roman" w:hAnsi="Times New Roman" w:cs="Times New Roman"/>
          <w:i/>
          <w:iCs/>
          <w:lang w:val="en-US" w:eastAsia="zh-CN"/>
        </w:rPr>
        <w:t>F</w:t>
      </w:r>
      <w:r>
        <w:rPr>
          <w:rFonts w:hint="default" w:ascii="Times New Roman" w:hAnsi="Times New Roman" w:cs="Times New Roman"/>
          <w:vertAlign w:val="subscript"/>
          <w:lang w:val="en-US" w:eastAsia="zh-CN"/>
        </w:rPr>
        <w:t>m</w:t>
      </w:r>
      <w:r>
        <w:rPr>
          <w:rFonts w:hint="default" w:ascii="Times New Roman" w:hAnsi="Times New Roman" w:cs="Times New Roman"/>
          <w:lang w:val="en-US" w:eastAsia="zh-CN"/>
        </w:rPr>
        <w:t>/</w:t>
      </w:r>
      <w:r>
        <w:rPr>
          <w:rFonts w:hint="default" w:ascii="Times New Roman" w:hAnsi="Times New Roman" w:cs="Times New Roman"/>
          <w:i/>
          <w:iCs/>
          <w:lang w:val="en-US" w:eastAsia="zh-CN"/>
        </w:rPr>
        <w:t>F</w:t>
      </w:r>
      <w:r>
        <w:rPr>
          <w:rFonts w:hint="default" w:ascii="Times New Roman" w:hAnsi="Times New Roman" w:cs="Times New Roman"/>
          <w:vertAlign w:val="subscript"/>
          <w:lang w:val="en-US" w:eastAsia="zh-CN"/>
        </w:rPr>
        <w:t>max</w:t>
      </w:r>
      <w:r>
        <w:rPr>
          <w:rFonts w:hint="default" w:ascii="Times New Roman" w:hAnsi="Times New Roman" w:cs="Times New Roman"/>
          <w:lang w:val="en-US" w:eastAsia="zh-CN"/>
        </w:rPr>
        <w:t>=0。</w:t>
      </w:r>
      <w:r>
        <w:rPr>
          <w:rFonts w:hint="eastAsia" w:ascii="Times New Roman" w:hAnsi="Times New Roman" w:cs="Times New Roman"/>
          <w:lang w:val="en-US" w:eastAsia="zh-CN"/>
        </w:rPr>
        <w:t>然后进行频率的选择，若试验系统仅使用几个特定的工作频率（离散的），则循环力仅在这几个特定的工作频率下校准；若试验系统在一个变化的频率范围内使用，则选取3个频率（包括该频率范围的下限和上限）作为循环力的校准频率。也可以根据客户要求的频率进行校准。对循环力校准装置的采样频率进行设置，其采样频率至少为校准频率的50倍。逐个频率、逐个力级地施加循环力。每个频率和力级下，在指示装置的示值稳定后，读取10个连续循环周期的循环力峰值示值和循环力谷值示值，并按公式计算各个频率及循环力级下的循环力范围平均值和循环力峰值平均值。以试验系统力指示装置为准，在力校准装置上进行读数，按照公式计算试验系统循环力范围示值相对误差、循环力范围示值重复性、循环力峰值示值相对误差和循环力峰值示值重复性。</w:t>
      </w:r>
    </w:p>
    <w:p>
      <w:p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8</w:t>
      </w:r>
      <w:r>
        <w:rPr>
          <w:rFonts w:hint="eastAsia" w:ascii="Times New Roman" w:hAnsi="Times New Roman" w:cs="Times New Roman"/>
        </w:rPr>
        <w:t>伺服作动系统</w:t>
      </w:r>
      <w:r>
        <w:rPr>
          <w:rFonts w:hint="default" w:ascii="Times New Roman" w:hAnsi="Times New Roman" w:cs="Times New Roman"/>
          <w:lang w:val="en-US" w:eastAsia="zh-CN"/>
        </w:rPr>
        <w:t>作动筒位移</w:t>
      </w:r>
    </w:p>
    <w:p>
      <w:pPr>
        <w:rPr>
          <w:rFonts w:hint="eastAsia" w:ascii="Times New Roman" w:hAnsi="Times New Roman" w:cs="Times New Roman"/>
          <w:lang w:val="en-US" w:eastAsia="zh-CN"/>
        </w:rPr>
      </w:pPr>
      <w:r>
        <w:rPr>
          <w:rFonts w:hint="eastAsia" w:ascii="Times New Roman" w:hAnsi="Times New Roman" w:cs="Times New Roman"/>
          <w:lang w:val="en-US" w:eastAsia="zh-CN"/>
        </w:rPr>
        <w:t>使用磁性表座将数显千分表固定在试验系统合适的位置，调整数显千分表使其触头表面与试验系统中和作动筒相连接的夹头表面接触，根据作动筒行程，在其行程范围内均匀选择3点进行校准，每点校准3次。调整磁性表座和千分表位置，分别完成上、下夹头和左、右夹头位移的校准。</w:t>
      </w:r>
    </w:p>
    <w:p>
      <w:p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lang w:val="en-US" w:eastAsia="zh-CN"/>
        </w:rPr>
        <w:t>9</w:t>
      </w:r>
      <w:r>
        <w:rPr>
          <w:rFonts w:hint="eastAsia" w:ascii="Times New Roman" w:hAnsi="Times New Roman" w:cs="Times New Roman"/>
        </w:rPr>
        <w:t>伺服作动系统</w:t>
      </w:r>
      <w:r>
        <w:rPr>
          <w:rFonts w:hint="default" w:ascii="Times New Roman" w:hAnsi="Times New Roman" w:cs="Times New Roman"/>
          <w:lang w:val="en-US" w:eastAsia="zh-CN"/>
        </w:rPr>
        <w:t>作动筒</w:t>
      </w:r>
      <w:r>
        <w:rPr>
          <w:rFonts w:hint="eastAsia" w:ascii="Times New Roman" w:hAnsi="Times New Roman" w:cs="Times New Roman"/>
          <w:lang w:val="en-US" w:eastAsia="zh-CN"/>
        </w:rPr>
        <w:t>速度</w:t>
      </w:r>
    </w:p>
    <w:p>
      <w:pPr>
        <w:rPr>
          <w:rFonts w:hint="eastAsia"/>
        </w:rPr>
      </w:pPr>
      <w:r>
        <w:rPr>
          <w:rFonts w:hint="eastAsia" w:ascii="Times New Roman" w:hAnsi="Times New Roman" w:cs="Times New Roman"/>
          <w:lang w:val="en-US" w:eastAsia="zh-CN"/>
        </w:rPr>
        <w:t>在校准</w:t>
      </w:r>
      <w:r>
        <w:rPr>
          <w:rFonts w:hint="eastAsia" w:ascii="Times New Roman" w:hAnsi="Times New Roman" w:cs="Times New Roman"/>
        </w:rPr>
        <w:t>伺服作动系统</w:t>
      </w:r>
      <w:r>
        <w:rPr>
          <w:rFonts w:hint="default" w:ascii="Times New Roman" w:hAnsi="Times New Roman" w:cs="Times New Roman"/>
          <w:lang w:val="en-US" w:eastAsia="zh-CN"/>
        </w:rPr>
        <w:t>作动筒</w:t>
      </w:r>
      <w:r>
        <w:rPr>
          <w:rFonts w:hint="eastAsia" w:ascii="Times New Roman" w:hAnsi="Times New Roman" w:cs="Times New Roman"/>
          <w:lang w:val="en-US" w:eastAsia="zh-CN"/>
        </w:rPr>
        <w:t>位移的基础上配合电子秒表，完成</w:t>
      </w:r>
      <w:r>
        <w:rPr>
          <w:rFonts w:hint="eastAsia" w:ascii="Times New Roman" w:hAnsi="Times New Roman" w:cs="Times New Roman"/>
        </w:rPr>
        <w:t>伺服作动系统</w:t>
      </w:r>
      <w:r>
        <w:rPr>
          <w:rFonts w:hint="default" w:ascii="Times New Roman" w:hAnsi="Times New Roman" w:cs="Times New Roman"/>
          <w:lang w:val="en-US" w:eastAsia="zh-CN"/>
        </w:rPr>
        <w:t>作动筒</w:t>
      </w:r>
      <w:r>
        <w:rPr>
          <w:rFonts w:hint="eastAsia" w:ascii="Times New Roman" w:hAnsi="Times New Roman" w:cs="Times New Roman"/>
          <w:lang w:val="en-US" w:eastAsia="zh-CN"/>
        </w:rPr>
        <w:t>速度的校准。</w:t>
      </w:r>
    </w:p>
    <w:bookmarkEnd w:id="50"/>
    <w:bookmarkEnd w:id="51"/>
    <w:p>
      <w:pPr>
        <w:pStyle w:val="15"/>
        <w:numPr>
          <w:ilvl w:val="0"/>
          <w:numId w:val="0"/>
        </w:numPr>
        <w:spacing w:before="156" w:after="156"/>
        <w:rPr>
          <w:rFonts w:ascii="Times New Roman"/>
          <w:szCs w:val="21"/>
        </w:rPr>
      </w:pPr>
      <w:r>
        <w:rPr>
          <w:rFonts w:hint="eastAsia" w:ascii="Times New Roman"/>
          <w:szCs w:val="21"/>
        </w:rPr>
        <w:t>2.</w:t>
      </w:r>
      <w:r>
        <w:rPr>
          <w:rFonts w:ascii="Times New Roman"/>
          <w:szCs w:val="21"/>
        </w:rPr>
        <w:t>7</w:t>
      </w:r>
      <w:r>
        <w:rPr>
          <w:rFonts w:hint="eastAsia" w:ascii="Times New Roman"/>
          <w:szCs w:val="21"/>
        </w:rPr>
        <w:t xml:space="preserve"> 校准结果</w:t>
      </w:r>
      <w:bookmarkEnd w:id="52"/>
      <w:bookmarkEnd w:id="53"/>
      <w:bookmarkEnd w:id="54"/>
      <w:bookmarkEnd w:id="55"/>
      <w:bookmarkEnd w:id="56"/>
      <w:bookmarkEnd w:id="57"/>
      <w:r>
        <w:rPr>
          <w:rFonts w:hint="eastAsia" w:ascii="Times New Roman"/>
          <w:szCs w:val="21"/>
        </w:rPr>
        <w:t>表达</w:t>
      </w:r>
      <w:bookmarkEnd w:id="58"/>
      <w:bookmarkEnd w:id="59"/>
    </w:p>
    <w:p>
      <w:bookmarkStart w:id="60" w:name="_Toc193860220"/>
      <w:bookmarkStart w:id="61" w:name="_Toc193860189"/>
      <w:bookmarkStart w:id="62" w:name="_Toc193860040"/>
      <w:bookmarkStart w:id="63" w:name="_Toc14803_WPSOffice_Level1"/>
      <w:bookmarkStart w:id="64" w:name="_Toc5529"/>
      <w:bookmarkStart w:id="65" w:name="_Toc193860041"/>
      <w:r>
        <w:rPr>
          <w:rFonts w:hint="eastAsia"/>
        </w:rPr>
        <w:t>根据实验室环境要求、校准项目校准结果、测量不确定度评定结果等，按照推荐的校准报告格式，出具校准证书。</w:t>
      </w:r>
    </w:p>
    <w:p>
      <w:pPr>
        <w:pStyle w:val="15"/>
        <w:numPr>
          <w:ilvl w:val="0"/>
          <w:numId w:val="0"/>
        </w:numPr>
        <w:spacing w:before="156" w:after="156"/>
        <w:rPr>
          <w:rFonts w:ascii="Times New Roman"/>
          <w:szCs w:val="21"/>
        </w:rPr>
      </w:pPr>
      <w:r>
        <w:rPr>
          <w:rFonts w:hint="eastAsia" w:ascii="Times New Roman"/>
          <w:szCs w:val="21"/>
        </w:rPr>
        <w:t>2.</w:t>
      </w:r>
      <w:r>
        <w:rPr>
          <w:rFonts w:ascii="Times New Roman"/>
          <w:szCs w:val="21"/>
        </w:rPr>
        <w:t>8</w:t>
      </w:r>
      <w:r>
        <w:rPr>
          <w:rFonts w:hint="eastAsia" w:ascii="Times New Roman"/>
          <w:szCs w:val="21"/>
        </w:rPr>
        <w:t xml:space="preserve"> 复校</w:t>
      </w:r>
      <w:bookmarkEnd w:id="60"/>
      <w:bookmarkEnd w:id="61"/>
      <w:bookmarkEnd w:id="62"/>
      <w:bookmarkEnd w:id="63"/>
      <w:bookmarkEnd w:id="64"/>
      <w:r>
        <w:rPr>
          <w:rFonts w:hint="eastAsia" w:ascii="Times New Roman"/>
          <w:szCs w:val="21"/>
        </w:rPr>
        <w:t>时间间隔</w:t>
      </w:r>
    </w:p>
    <w:bookmarkEnd w:id="65"/>
    <w:p>
      <w:r>
        <w:rPr>
          <w:rFonts w:hint="eastAsia"/>
        </w:rPr>
        <w:t>建议复校时间间隔为</w:t>
      </w:r>
      <w:r>
        <w:t>1</w:t>
      </w:r>
      <w:r>
        <w:rPr>
          <w:rFonts w:hint="eastAsia"/>
        </w:rPr>
        <w:t>年</w:t>
      </w:r>
      <w:r>
        <w:rPr>
          <w:rFonts w:hint="eastAsia"/>
          <w:lang w:eastAsia="zh-CN"/>
        </w:rPr>
        <w:t>。</w:t>
      </w:r>
      <w:r>
        <w:rPr>
          <w:rFonts w:hint="eastAsia"/>
          <w:lang w:val="en-US" w:eastAsia="zh-CN"/>
        </w:rPr>
        <w:t>试验系统</w:t>
      </w:r>
      <w:r>
        <w:rPr>
          <w:rFonts w:hint="eastAsia"/>
        </w:rPr>
        <w:t>使用频繁时应适当缩短周期，在使用过程中</w:t>
      </w:r>
      <w:r>
        <w:rPr>
          <w:rFonts w:hint="eastAsia"/>
          <w:lang w:val="en-US" w:eastAsia="zh-CN"/>
        </w:rPr>
        <w:t>试验系统</w:t>
      </w:r>
      <w:r>
        <w:rPr>
          <w:rFonts w:hint="eastAsia"/>
        </w:rPr>
        <w:t>经过修理、更换重要部件的应重新校准。</w:t>
      </w:r>
    </w:p>
    <w:p>
      <w:pPr>
        <w:pStyle w:val="15"/>
        <w:numPr>
          <w:ilvl w:val="0"/>
          <w:numId w:val="0"/>
        </w:numPr>
        <w:spacing w:before="156" w:after="156"/>
        <w:rPr>
          <w:rFonts w:ascii="Times New Roman"/>
          <w:szCs w:val="21"/>
        </w:rPr>
      </w:pPr>
      <w:r>
        <w:rPr>
          <w:rFonts w:hint="eastAsia" w:ascii="Times New Roman"/>
          <w:szCs w:val="21"/>
        </w:rPr>
        <w:t>2.9 附录</w:t>
      </w:r>
    </w:p>
    <w:bookmarkEnd w:id="14"/>
    <w:p>
      <w:bookmarkStart w:id="66" w:name="_Toc464728965"/>
      <w:r>
        <w:rPr>
          <w:rFonts w:hint="eastAsia"/>
        </w:rPr>
        <w:t>附录主要包含校准原始记、录参考格式、校准证书内页参考格式、</w:t>
      </w:r>
      <w:r>
        <w:rPr>
          <w:rFonts w:hint="eastAsia" w:ascii="Times New Roman" w:hAnsi="Times New Roman" w:cs="Times New Roman"/>
        </w:rPr>
        <w:t>平面双轴试验系统</w:t>
      </w:r>
      <w:r>
        <w:rPr>
          <w:rFonts w:hint="eastAsia"/>
          <w:lang w:val="en-US" w:eastAsia="zh-CN"/>
        </w:rPr>
        <w:t>力值</w:t>
      </w:r>
      <w:r>
        <w:rPr>
          <w:rFonts w:hint="eastAsia"/>
        </w:rPr>
        <w:t>示值误差测量结果不确定度评定示例</w:t>
      </w:r>
      <w:r>
        <w:rPr>
          <w:rFonts w:hint="eastAsia"/>
          <w:lang w:val="en-US" w:eastAsia="zh-CN"/>
        </w:rPr>
        <w:t>三</w:t>
      </w:r>
      <w:r>
        <w:rPr>
          <w:rFonts w:hint="eastAsia"/>
        </w:rPr>
        <w:t>部分。</w:t>
      </w:r>
    </w:p>
    <w:p>
      <w:pPr>
        <w:pStyle w:val="15"/>
        <w:numPr>
          <w:ilvl w:val="0"/>
          <w:numId w:val="0"/>
        </w:numPr>
        <w:spacing w:before="156" w:after="156"/>
        <w:rPr>
          <w:rFonts w:ascii="Times New Roman"/>
          <w:szCs w:val="21"/>
        </w:rPr>
      </w:pPr>
      <w:r>
        <w:rPr>
          <w:rFonts w:hint="eastAsia" w:ascii="Times New Roman"/>
          <w:szCs w:val="21"/>
        </w:rPr>
        <w:t>三、规范水平分析</w:t>
      </w:r>
      <w:bookmarkEnd w:id="66"/>
    </w:p>
    <w:p>
      <w:r>
        <w:t>3.1</w:t>
      </w:r>
      <w:r>
        <w:rPr>
          <w:rFonts w:hint="eastAsia"/>
        </w:rPr>
        <w:t>采用国际标准及国外先进规范的程度</w:t>
      </w:r>
    </w:p>
    <w:p>
      <w:r>
        <w:rPr>
          <w:rFonts w:hint="eastAsia" w:eastAsia="方正行楷简体"/>
          <w:bCs/>
          <w:lang w:val="en-US" w:eastAsia="zh-CN"/>
        </w:rPr>
        <w:t>平面双轴试验系统</w:t>
      </w:r>
      <w:r>
        <w:rPr>
          <w:rFonts w:hint="eastAsia"/>
        </w:rPr>
        <w:t>是专门用于校准或核查金属材料的</w:t>
      </w:r>
      <w:r>
        <w:rPr>
          <w:rFonts w:hint="eastAsia" w:ascii="Times New Roman" w:hAnsi="Times New Roman" w:cs="Times New Roman"/>
        </w:rPr>
        <w:t>各同向性和异向</w:t>
      </w:r>
      <w:r>
        <w:rPr>
          <w:rFonts w:hint="eastAsia" w:ascii="Times New Roman" w:hAnsi="Times New Roman" w:cs="Times New Roman"/>
          <w:lang w:val="en-US" w:eastAsia="zh-CN"/>
        </w:rPr>
        <w:t>性</w:t>
      </w:r>
      <w:r>
        <w:rPr>
          <w:rFonts w:hint="eastAsia"/>
        </w:rPr>
        <w:t>的专用设备，据查，目前国内外没有针对</w:t>
      </w:r>
      <w:r>
        <w:rPr>
          <w:rFonts w:hint="eastAsia" w:eastAsia="方正行楷简体"/>
          <w:bCs/>
          <w:lang w:val="en-US" w:eastAsia="zh-CN"/>
        </w:rPr>
        <w:t>平面双轴试验系统</w:t>
      </w:r>
      <w:r>
        <w:rPr>
          <w:rFonts w:hint="eastAsia"/>
        </w:rPr>
        <w:t>的校准规范，计量检测机构也未开展该类仪器的检定校准</w:t>
      </w:r>
      <w:r>
        <w:rPr>
          <w:rFonts w:hint="eastAsia"/>
          <w:lang w:val="en-US" w:eastAsia="zh-CN"/>
        </w:rPr>
        <w:t>工作</w:t>
      </w:r>
      <w:r>
        <w:rPr>
          <w:rFonts w:hint="eastAsia"/>
        </w:rPr>
        <w:t>。</w:t>
      </w:r>
    </w:p>
    <w:p>
      <w:r>
        <w:t>3.2</w:t>
      </w:r>
      <w:r>
        <w:rPr>
          <w:rFonts w:hint="eastAsia"/>
        </w:rPr>
        <w:t>与国际及国外同类标准水平的对比分析</w:t>
      </w:r>
    </w:p>
    <w:p>
      <w:r>
        <w:rPr>
          <w:rFonts w:hint="eastAsia"/>
        </w:rPr>
        <w:t>目前国外没有相关技术规范，本规范水平达到国外先进水平。</w:t>
      </w:r>
    </w:p>
    <w:p>
      <w:pPr>
        <w:pStyle w:val="21"/>
        <w:tabs>
          <w:tab w:val="left" w:pos="426"/>
        </w:tabs>
        <w:spacing w:before="312" w:beforeLines="100" w:after="312" w:afterLines="100"/>
        <w:jc w:val="left"/>
      </w:pPr>
      <w:r>
        <w:rPr>
          <w:rFonts w:hint="eastAsia" w:hAnsi="宋体"/>
          <w:bCs/>
          <w:szCs w:val="21"/>
        </w:rPr>
        <w:t>四、与有关的现行法律、法规和强制性国家标准的关系</w:t>
      </w:r>
    </w:p>
    <w:p>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21"/>
        <w:tabs>
          <w:tab w:val="left" w:pos="426"/>
        </w:tabs>
        <w:spacing w:before="312" w:beforeLines="100" w:after="312" w:afterLines="100"/>
        <w:jc w:val="left"/>
      </w:pPr>
      <w:bookmarkStart w:id="67" w:name="_Toc464728973"/>
      <w:r>
        <w:rPr>
          <w:rFonts w:hint="eastAsia"/>
        </w:rPr>
        <w:t>五、规范中涉及的专利或知识产权说明</w:t>
      </w:r>
      <w:bookmarkEnd w:id="67"/>
    </w:p>
    <w:p>
      <w:pPr>
        <w:pStyle w:val="12"/>
      </w:pPr>
      <w:bookmarkStart w:id="68" w:name="_Toc464728974"/>
      <w:r>
        <w:rPr>
          <w:rFonts w:hint="eastAsia"/>
        </w:rPr>
        <w:t>（无）</w:t>
      </w:r>
    </w:p>
    <w:p>
      <w:pPr>
        <w:pStyle w:val="21"/>
        <w:tabs>
          <w:tab w:val="left" w:pos="426"/>
        </w:tabs>
        <w:spacing w:before="312" w:beforeLines="100" w:after="312" w:afterLines="100"/>
        <w:jc w:val="left"/>
      </w:pPr>
      <w:r>
        <w:rPr>
          <w:rFonts w:hint="eastAsia"/>
        </w:rPr>
        <w:t>六、重大分歧意见的处理经过和依据</w:t>
      </w:r>
      <w:bookmarkEnd w:id="68"/>
    </w:p>
    <w:p>
      <w:pPr>
        <w:pStyle w:val="12"/>
      </w:pPr>
      <w:r>
        <w:rPr>
          <w:rFonts w:hint="eastAsia"/>
        </w:rPr>
        <w:t>（无）</w:t>
      </w:r>
    </w:p>
    <w:p>
      <w:pPr>
        <w:pStyle w:val="21"/>
        <w:tabs>
          <w:tab w:val="left" w:pos="426"/>
        </w:tabs>
        <w:spacing w:before="312" w:beforeLines="100" w:after="312" w:afterLines="100"/>
        <w:jc w:val="left"/>
      </w:pPr>
      <w:r>
        <w:rPr>
          <w:rFonts w:hint="eastAsia"/>
        </w:rPr>
        <w:t>七、规范作为强制性或推荐性国家（或行业）标准的建议</w:t>
      </w:r>
    </w:p>
    <w:p>
      <w:r>
        <w:rPr>
          <w:rFonts w:hint="eastAsia"/>
        </w:rPr>
        <w:t>建议本规范作为推荐性行业计量技术规范，供相关行业参考采用。</w:t>
      </w:r>
    </w:p>
    <w:p>
      <w:pPr>
        <w:pStyle w:val="21"/>
        <w:tabs>
          <w:tab w:val="left" w:pos="426"/>
        </w:tabs>
        <w:spacing w:before="312" w:beforeLines="100" w:after="312" w:afterLines="100"/>
        <w:jc w:val="left"/>
      </w:pPr>
      <w:bookmarkStart w:id="69" w:name="_Toc464728976"/>
      <w:r>
        <w:rPr>
          <w:rFonts w:hint="eastAsia"/>
        </w:rPr>
        <w:t>八、贯彻规范的要求和措施建议</w:t>
      </w:r>
      <w:bookmarkEnd w:id="69"/>
    </w:p>
    <w:p>
      <w:bookmarkStart w:id="70" w:name="_Toc464728977"/>
      <w:r>
        <w:rPr>
          <w:rFonts w:hint="eastAsia"/>
        </w:rPr>
        <w:t>本规范发布后，中国有色金属行业协会和有色金属行业计量技术委员会应加强本规范的宣传力度，促进</w:t>
      </w:r>
      <w:r>
        <w:rPr>
          <w:rFonts w:hint="eastAsia" w:eastAsia="方正行楷简体"/>
          <w:bCs/>
          <w:lang w:val="en-US" w:eastAsia="zh-CN"/>
        </w:rPr>
        <w:t>平面双轴试验系统</w:t>
      </w:r>
      <w:r>
        <w:rPr>
          <w:rFonts w:hint="eastAsia"/>
        </w:rPr>
        <w:t>生产厂家按照设备使用情况合理选用校准规范，以促进我国企业的技术进步和产品质量上档次，提高我国产品在国际国内市场的竞争能力。</w:t>
      </w:r>
    </w:p>
    <w:p>
      <w:pPr>
        <w:pStyle w:val="21"/>
        <w:tabs>
          <w:tab w:val="left" w:pos="426"/>
        </w:tabs>
        <w:spacing w:before="312" w:beforeLines="100" w:after="312" w:afterLines="100"/>
        <w:jc w:val="left"/>
      </w:pPr>
      <w:r>
        <w:rPr>
          <w:rFonts w:hint="eastAsia"/>
        </w:rPr>
        <w:t>九、废止现行有关规范的建议</w:t>
      </w:r>
      <w:bookmarkEnd w:id="70"/>
    </w:p>
    <w:p>
      <w:pPr>
        <w:pStyle w:val="12"/>
      </w:pPr>
      <w:r>
        <w:rPr>
          <w:rFonts w:hint="eastAsia"/>
        </w:rPr>
        <w:t>（无）。</w:t>
      </w:r>
    </w:p>
    <w:p>
      <w:pPr>
        <w:pStyle w:val="21"/>
        <w:tabs>
          <w:tab w:val="left" w:pos="426"/>
        </w:tabs>
        <w:spacing w:before="312" w:beforeLines="100" w:after="312" w:afterLines="100"/>
        <w:jc w:val="left"/>
      </w:pPr>
      <w:r>
        <w:rPr>
          <w:rFonts w:hint="eastAsia"/>
        </w:rPr>
        <w:t>十、预期效果</w:t>
      </w:r>
    </w:p>
    <w:p>
      <w:r>
        <w:rPr>
          <w:rFonts w:hint="eastAsia" w:eastAsia="方正行楷简体"/>
          <w:bCs/>
          <w:lang w:val="en-US" w:eastAsia="zh-CN"/>
        </w:rPr>
        <w:t>平面双轴试验系统</w:t>
      </w:r>
      <w:r>
        <w:rPr>
          <w:rFonts w:hint="eastAsia"/>
        </w:rPr>
        <w:t>校准规范的缺乏，已经无法满足日益增长的应用需求，本规范的制定，具有极大的经济效益和社会效益，填补了有色金属行业领域校准空白，对</w:t>
      </w:r>
      <w:r>
        <w:rPr>
          <w:rFonts w:hint="eastAsia" w:eastAsia="方正行楷简体"/>
          <w:bCs/>
          <w:lang w:val="en-US" w:eastAsia="zh-CN"/>
        </w:rPr>
        <w:t>平面双轴试验系统</w:t>
      </w:r>
      <w:r>
        <w:rPr>
          <w:rFonts w:hint="eastAsia"/>
        </w:rPr>
        <w:t>在行业中应用提供了技术支撑，市场发展和政府急需程度非常高。</w:t>
      </w:r>
    </w:p>
    <w:p>
      <w:pPr>
        <w:pStyle w:val="21"/>
        <w:tabs>
          <w:tab w:val="left" w:pos="426"/>
        </w:tabs>
        <w:spacing w:before="312" w:beforeLines="100" w:after="312" w:afterLines="100"/>
        <w:jc w:val="left"/>
      </w:pPr>
      <w:r>
        <w:rPr>
          <w:rFonts w:hint="eastAsia" w:hAnsi="宋体"/>
          <w:bCs/>
          <w:szCs w:val="21"/>
        </w:rPr>
        <w:t>十一、其他应予说明的事项</w:t>
      </w:r>
    </w:p>
    <w:p>
      <w:pPr>
        <w:pStyle w:val="12"/>
      </w:pPr>
      <w:r>
        <w:rPr>
          <w:rFonts w:hint="eastAsia"/>
        </w:rPr>
        <w:t>（无）。</w:t>
      </w:r>
    </w:p>
    <w:p>
      <w:pPr>
        <w:pStyle w:val="12"/>
        <w:jc w:val="right"/>
        <w:rPr>
          <w:rFonts w:eastAsia="方正行楷简体"/>
          <w:bCs/>
        </w:rPr>
      </w:pPr>
      <w:r>
        <w:rPr>
          <w:rFonts w:eastAsia="黑体"/>
          <w:bCs/>
        </w:rPr>
        <w:t xml:space="preserve">  </w:t>
      </w:r>
      <w:r>
        <w:rPr>
          <w:rFonts w:hint="eastAsia" w:eastAsia="黑体"/>
          <w:bCs/>
        </w:rPr>
        <w:t xml:space="preserve">  </w:t>
      </w:r>
      <w:r>
        <w:rPr>
          <w:rFonts w:eastAsia="方正行楷简体"/>
          <w:bCs/>
        </w:rPr>
        <w:t>《</w:t>
      </w:r>
      <w:r>
        <w:rPr>
          <w:rFonts w:hint="eastAsia" w:eastAsia="方正行楷简体"/>
          <w:bCs/>
          <w:lang w:val="en-US" w:eastAsia="zh-CN"/>
        </w:rPr>
        <w:t>平面双轴试验系统</w:t>
      </w:r>
      <w:r>
        <w:rPr>
          <w:rFonts w:hint="eastAsia"/>
        </w:rPr>
        <w:t>校准规范</w:t>
      </w:r>
      <w:r>
        <w:rPr>
          <w:rFonts w:eastAsia="方正行楷简体"/>
          <w:bCs/>
        </w:rPr>
        <w:t xml:space="preserve">》编制组  </w:t>
      </w:r>
    </w:p>
    <w:p>
      <w:pPr>
        <w:pStyle w:val="12"/>
        <w:ind w:firstLine="630" w:firstLineChars="300"/>
        <w:jc w:val="right"/>
      </w:pPr>
      <w:r>
        <w:t>202</w:t>
      </w:r>
      <w:r>
        <w:rPr>
          <w:rFonts w:hint="eastAsia"/>
        </w:rPr>
        <w:t>4</w:t>
      </w:r>
      <w:r>
        <w:t>年</w:t>
      </w:r>
      <w:r>
        <w:rPr>
          <w:rFonts w:hint="eastAsia"/>
        </w:rPr>
        <w:t>6</w:t>
      </w:r>
      <w:r>
        <w:t>月</w:t>
      </w:r>
      <w:r>
        <w:rPr>
          <w:rFonts w:hint="eastAsia"/>
        </w:rPr>
        <w:t>12日</w:t>
      </w:r>
    </w:p>
    <w:p/>
    <w:sectPr>
      <w:headerReference r:id="rId7" w:type="first"/>
      <w:footerReference r:id="rId10" w:type="first"/>
      <w:headerReference r:id="rId5" w:type="default"/>
      <w:footerReference r:id="rId8" w:type="default"/>
      <w:headerReference r:id="rId6" w:type="even"/>
      <w:footerReference r:id="rId9" w:type="even"/>
      <w:pgSz w:w="11907" w:h="16839"/>
      <w:pgMar w:top="1418" w:right="1134" w:bottom="1134" w:left="1418" w:header="1418" w:footer="851"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numPr>
        <w:ilvl w:val="1"/>
        <w:numId w:val="0"/>
      </w:numPr>
      <w:adjustRightInd w:val="0"/>
      <w:snapToGrid w:val="0"/>
      <w:spacing w:beforeLines="0" w:after="120"/>
      <w:outlineLvl w:val="9"/>
      <w:rPr>
        <w:rFonts w:ascii="Times New Roman" w:eastAsia="宋体"/>
        <w:kern w:val="2"/>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16"/>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2"/>
      <w:lvlText w:val="（%2）"/>
      <w:lvlJc w:val="left"/>
      <w:pPr>
        <w:ind w:left="0" w:firstLine="0"/>
      </w:pPr>
      <w:rPr>
        <w:rFonts w:hint="default"/>
        <w:b w:val="0"/>
        <w:i w:val="0"/>
        <w:spacing w:val="0"/>
        <w:w w:val="100"/>
        <w:kern w:val="21"/>
        <w:sz w:val="21"/>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27"/>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pStyle w:val="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25"/>
    <w:multiLevelType w:val="multilevel"/>
    <w:tmpl w:val="00000025"/>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DE6161"/>
    <w:rsid w:val="00004583"/>
    <w:rsid w:val="00013E2C"/>
    <w:rsid w:val="00016538"/>
    <w:rsid w:val="00094FC6"/>
    <w:rsid w:val="000B2597"/>
    <w:rsid w:val="001D68A9"/>
    <w:rsid w:val="001F4B1C"/>
    <w:rsid w:val="00213CEB"/>
    <w:rsid w:val="002143E6"/>
    <w:rsid w:val="00220741"/>
    <w:rsid w:val="00250277"/>
    <w:rsid w:val="0026267D"/>
    <w:rsid w:val="00284E11"/>
    <w:rsid w:val="003050A4"/>
    <w:rsid w:val="00322324"/>
    <w:rsid w:val="00352F82"/>
    <w:rsid w:val="00376663"/>
    <w:rsid w:val="003812C0"/>
    <w:rsid w:val="003C17A2"/>
    <w:rsid w:val="00493B2A"/>
    <w:rsid w:val="0049595A"/>
    <w:rsid w:val="004A007E"/>
    <w:rsid w:val="00571463"/>
    <w:rsid w:val="00591F13"/>
    <w:rsid w:val="0059466A"/>
    <w:rsid w:val="005B524A"/>
    <w:rsid w:val="005B66CE"/>
    <w:rsid w:val="005D5174"/>
    <w:rsid w:val="005E1B6A"/>
    <w:rsid w:val="005F3AB3"/>
    <w:rsid w:val="00611D06"/>
    <w:rsid w:val="00694491"/>
    <w:rsid w:val="006B7C5D"/>
    <w:rsid w:val="007110C3"/>
    <w:rsid w:val="00730484"/>
    <w:rsid w:val="00736E35"/>
    <w:rsid w:val="00762C79"/>
    <w:rsid w:val="007E4EA0"/>
    <w:rsid w:val="0080382E"/>
    <w:rsid w:val="008141D5"/>
    <w:rsid w:val="00825B82"/>
    <w:rsid w:val="00826359"/>
    <w:rsid w:val="008322BB"/>
    <w:rsid w:val="008434B0"/>
    <w:rsid w:val="009B391F"/>
    <w:rsid w:val="009F2BA3"/>
    <w:rsid w:val="009F5343"/>
    <w:rsid w:val="00A51D95"/>
    <w:rsid w:val="00AA6C16"/>
    <w:rsid w:val="00AD3D89"/>
    <w:rsid w:val="00B17950"/>
    <w:rsid w:val="00B3573E"/>
    <w:rsid w:val="00BF689B"/>
    <w:rsid w:val="00C06F25"/>
    <w:rsid w:val="00C54CE5"/>
    <w:rsid w:val="00D73223"/>
    <w:rsid w:val="00DE6161"/>
    <w:rsid w:val="00DF7EC9"/>
    <w:rsid w:val="00E5444D"/>
    <w:rsid w:val="00ED6662"/>
    <w:rsid w:val="00F03449"/>
    <w:rsid w:val="00F76E44"/>
    <w:rsid w:val="00FB5A2B"/>
    <w:rsid w:val="00FF2645"/>
    <w:rsid w:val="013C690E"/>
    <w:rsid w:val="01AC75F0"/>
    <w:rsid w:val="01B31904"/>
    <w:rsid w:val="02881CFA"/>
    <w:rsid w:val="02C848FD"/>
    <w:rsid w:val="031418F0"/>
    <w:rsid w:val="03D64DF8"/>
    <w:rsid w:val="03DF1A46"/>
    <w:rsid w:val="03E157B9"/>
    <w:rsid w:val="047D23AB"/>
    <w:rsid w:val="04EB042F"/>
    <w:rsid w:val="05145BD8"/>
    <w:rsid w:val="051A51EF"/>
    <w:rsid w:val="054D733B"/>
    <w:rsid w:val="05A14F91"/>
    <w:rsid w:val="05AB7BBE"/>
    <w:rsid w:val="05D610DF"/>
    <w:rsid w:val="05E31870"/>
    <w:rsid w:val="06111843"/>
    <w:rsid w:val="0636392C"/>
    <w:rsid w:val="063F6C84"/>
    <w:rsid w:val="06705A8C"/>
    <w:rsid w:val="06F50773"/>
    <w:rsid w:val="070313B7"/>
    <w:rsid w:val="07F7533D"/>
    <w:rsid w:val="080261BB"/>
    <w:rsid w:val="082A2E23"/>
    <w:rsid w:val="084A631B"/>
    <w:rsid w:val="0865499C"/>
    <w:rsid w:val="08CD3A99"/>
    <w:rsid w:val="08D37B58"/>
    <w:rsid w:val="08F4119D"/>
    <w:rsid w:val="09385C0D"/>
    <w:rsid w:val="0A375EC4"/>
    <w:rsid w:val="0A3D797F"/>
    <w:rsid w:val="0A6C5040"/>
    <w:rsid w:val="0AA3355A"/>
    <w:rsid w:val="0B022976"/>
    <w:rsid w:val="0B1526A9"/>
    <w:rsid w:val="0B1A078B"/>
    <w:rsid w:val="0B74325A"/>
    <w:rsid w:val="0BCB580A"/>
    <w:rsid w:val="0BD936D7"/>
    <w:rsid w:val="0C0369A6"/>
    <w:rsid w:val="0C3C77C2"/>
    <w:rsid w:val="0C62191E"/>
    <w:rsid w:val="0C743400"/>
    <w:rsid w:val="0C8D2074"/>
    <w:rsid w:val="0CF85DDF"/>
    <w:rsid w:val="0D921D8F"/>
    <w:rsid w:val="0DB37F58"/>
    <w:rsid w:val="0DBD6D6F"/>
    <w:rsid w:val="0ED14B39"/>
    <w:rsid w:val="0F037752"/>
    <w:rsid w:val="0F135152"/>
    <w:rsid w:val="0F7C3528"/>
    <w:rsid w:val="104F3F68"/>
    <w:rsid w:val="10545A22"/>
    <w:rsid w:val="10580902"/>
    <w:rsid w:val="10593038"/>
    <w:rsid w:val="10E612BA"/>
    <w:rsid w:val="10EF12A7"/>
    <w:rsid w:val="10F92125"/>
    <w:rsid w:val="110A4333"/>
    <w:rsid w:val="11531836"/>
    <w:rsid w:val="118E6D12"/>
    <w:rsid w:val="11C646FD"/>
    <w:rsid w:val="12475AF2"/>
    <w:rsid w:val="12B46304"/>
    <w:rsid w:val="138F09C8"/>
    <w:rsid w:val="13AE07D9"/>
    <w:rsid w:val="13FA68E0"/>
    <w:rsid w:val="14131750"/>
    <w:rsid w:val="14496F20"/>
    <w:rsid w:val="14E37374"/>
    <w:rsid w:val="14EA24B1"/>
    <w:rsid w:val="14F72E20"/>
    <w:rsid w:val="15233C15"/>
    <w:rsid w:val="15A46C74"/>
    <w:rsid w:val="161E224A"/>
    <w:rsid w:val="16E3365C"/>
    <w:rsid w:val="16FA09A5"/>
    <w:rsid w:val="172A4DE7"/>
    <w:rsid w:val="17982698"/>
    <w:rsid w:val="17C632CD"/>
    <w:rsid w:val="18CD0F84"/>
    <w:rsid w:val="196B7742"/>
    <w:rsid w:val="198B58C0"/>
    <w:rsid w:val="19EC45DA"/>
    <w:rsid w:val="1A253F8B"/>
    <w:rsid w:val="1A361CF4"/>
    <w:rsid w:val="1A4978EF"/>
    <w:rsid w:val="1AB05F4B"/>
    <w:rsid w:val="1AB71087"/>
    <w:rsid w:val="1B1E1106"/>
    <w:rsid w:val="1B6805D3"/>
    <w:rsid w:val="1BE37A4A"/>
    <w:rsid w:val="1BFD6F6E"/>
    <w:rsid w:val="1C3404B6"/>
    <w:rsid w:val="1C593030"/>
    <w:rsid w:val="1D526E45"/>
    <w:rsid w:val="1D903E12"/>
    <w:rsid w:val="1E193E07"/>
    <w:rsid w:val="1E560BB7"/>
    <w:rsid w:val="1E6A4663"/>
    <w:rsid w:val="1E796654"/>
    <w:rsid w:val="1E8C11BC"/>
    <w:rsid w:val="1EE461C3"/>
    <w:rsid w:val="1F5141DF"/>
    <w:rsid w:val="1F645556"/>
    <w:rsid w:val="1F7436CB"/>
    <w:rsid w:val="1FDA1374"/>
    <w:rsid w:val="20A7394C"/>
    <w:rsid w:val="20BB2F53"/>
    <w:rsid w:val="21D03C55"/>
    <w:rsid w:val="21E03A6E"/>
    <w:rsid w:val="22363B65"/>
    <w:rsid w:val="22DF73CD"/>
    <w:rsid w:val="235B27CC"/>
    <w:rsid w:val="23622057"/>
    <w:rsid w:val="23A651D6"/>
    <w:rsid w:val="240E0533"/>
    <w:rsid w:val="24371ADE"/>
    <w:rsid w:val="245060A9"/>
    <w:rsid w:val="246758CC"/>
    <w:rsid w:val="24D10F97"/>
    <w:rsid w:val="254E083A"/>
    <w:rsid w:val="259A582D"/>
    <w:rsid w:val="2604714B"/>
    <w:rsid w:val="26196B81"/>
    <w:rsid w:val="26BE379D"/>
    <w:rsid w:val="26E74B7D"/>
    <w:rsid w:val="27373E99"/>
    <w:rsid w:val="274D178F"/>
    <w:rsid w:val="27DA4607"/>
    <w:rsid w:val="283A6E54"/>
    <w:rsid w:val="286B1703"/>
    <w:rsid w:val="28786B3B"/>
    <w:rsid w:val="2879797C"/>
    <w:rsid w:val="288F53F1"/>
    <w:rsid w:val="28B430AA"/>
    <w:rsid w:val="29534671"/>
    <w:rsid w:val="29F00112"/>
    <w:rsid w:val="29F83E6F"/>
    <w:rsid w:val="2A0E67EA"/>
    <w:rsid w:val="2A110088"/>
    <w:rsid w:val="2A2C0A1E"/>
    <w:rsid w:val="2A994305"/>
    <w:rsid w:val="2ADC0696"/>
    <w:rsid w:val="2BB74622"/>
    <w:rsid w:val="2BCE7FDF"/>
    <w:rsid w:val="2BE01D10"/>
    <w:rsid w:val="2C0C5A6D"/>
    <w:rsid w:val="2C1520B2"/>
    <w:rsid w:val="2C275941"/>
    <w:rsid w:val="2C3D33B6"/>
    <w:rsid w:val="2C9F3729"/>
    <w:rsid w:val="2CCD473A"/>
    <w:rsid w:val="2D426ED6"/>
    <w:rsid w:val="2D4B565F"/>
    <w:rsid w:val="2D924F64"/>
    <w:rsid w:val="2DC225D6"/>
    <w:rsid w:val="2DD03901"/>
    <w:rsid w:val="2DFB7085"/>
    <w:rsid w:val="2E187C37"/>
    <w:rsid w:val="2EA527B2"/>
    <w:rsid w:val="2EC15BD9"/>
    <w:rsid w:val="2F78726D"/>
    <w:rsid w:val="2F835584"/>
    <w:rsid w:val="2F9B28CE"/>
    <w:rsid w:val="300F0BC6"/>
    <w:rsid w:val="302866BB"/>
    <w:rsid w:val="303A5ACB"/>
    <w:rsid w:val="30565A03"/>
    <w:rsid w:val="30801AC4"/>
    <w:rsid w:val="308726CA"/>
    <w:rsid w:val="311C7380"/>
    <w:rsid w:val="314E571E"/>
    <w:rsid w:val="31AB491E"/>
    <w:rsid w:val="31D076BB"/>
    <w:rsid w:val="325925CC"/>
    <w:rsid w:val="335C6818"/>
    <w:rsid w:val="33A61841"/>
    <w:rsid w:val="34313801"/>
    <w:rsid w:val="34951FE2"/>
    <w:rsid w:val="34AE6BFF"/>
    <w:rsid w:val="34BB30CA"/>
    <w:rsid w:val="34BE0E27"/>
    <w:rsid w:val="34E22D4D"/>
    <w:rsid w:val="35213875"/>
    <w:rsid w:val="357A41C8"/>
    <w:rsid w:val="357C6CFE"/>
    <w:rsid w:val="35F47C37"/>
    <w:rsid w:val="368F12A6"/>
    <w:rsid w:val="36C02C1A"/>
    <w:rsid w:val="372B4B9D"/>
    <w:rsid w:val="38331607"/>
    <w:rsid w:val="38997BC6"/>
    <w:rsid w:val="38A34780"/>
    <w:rsid w:val="39072D82"/>
    <w:rsid w:val="397C3770"/>
    <w:rsid w:val="3A2160C5"/>
    <w:rsid w:val="3A6352C9"/>
    <w:rsid w:val="3AD2116E"/>
    <w:rsid w:val="3B0B397B"/>
    <w:rsid w:val="3B4C2CCE"/>
    <w:rsid w:val="3B585B17"/>
    <w:rsid w:val="3C215F09"/>
    <w:rsid w:val="3C296894"/>
    <w:rsid w:val="3CA436CF"/>
    <w:rsid w:val="3D044D8F"/>
    <w:rsid w:val="3D324146"/>
    <w:rsid w:val="3DDC4C55"/>
    <w:rsid w:val="3DE74CCB"/>
    <w:rsid w:val="3E810EE1"/>
    <w:rsid w:val="3ED850D3"/>
    <w:rsid w:val="3F1E4B9D"/>
    <w:rsid w:val="3F1E711F"/>
    <w:rsid w:val="3F6A406B"/>
    <w:rsid w:val="3FCA3C1E"/>
    <w:rsid w:val="40015D7F"/>
    <w:rsid w:val="403A074B"/>
    <w:rsid w:val="40FB02AC"/>
    <w:rsid w:val="40FD2F23"/>
    <w:rsid w:val="410C4B8E"/>
    <w:rsid w:val="41872CB2"/>
    <w:rsid w:val="419378A9"/>
    <w:rsid w:val="41CB6B40"/>
    <w:rsid w:val="4223632C"/>
    <w:rsid w:val="422B0688"/>
    <w:rsid w:val="42402E61"/>
    <w:rsid w:val="42A47894"/>
    <w:rsid w:val="42EA346B"/>
    <w:rsid w:val="4315253F"/>
    <w:rsid w:val="4323451C"/>
    <w:rsid w:val="43AA7FCB"/>
    <w:rsid w:val="43C1210D"/>
    <w:rsid w:val="445F1CC4"/>
    <w:rsid w:val="4475773A"/>
    <w:rsid w:val="44966139"/>
    <w:rsid w:val="450D357A"/>
    <w:rsid w:val="4528655A"/>
    <w:rsid w:val="456357E4"/>
    <w:rsid w:val="45BB117C"/>
    <w:rsid w:val="45C2075D"/>
    <w:rsid w:val="45FB6D58"/>
    <w:rsid w:val="466229CE"/>
    <w:rsid w:val="46F52356"/>
    <w:rsid w:val="472C0F7B"/>
    <w:rsid w:val="47C671CC"/>
    <w:rsid w:val="47DC187E"/>
    <w:rsid w:val="47E52357"/>
    <w:rsid w:val="48114B6A"/>
    <w:rsid w:val="487A3570"/>
    <w:rsid w:val="48897310"/>
    <w:rsid w:val="48F549A5"/>
    <w:rsid w:val="49437E06"/>
    <w:rsid w:val="498F5AF0"/>
    <w:rsid w:val="49A308A5"/>
    <w:rsid w:val="4A3C27E7"/>
    <w:rsid w:val="4A9106FD"/>
    <w:rsid w:val="4AB12B4E"/>
    <w:rsid w:val="4B7C299C"/>
    <w:rsid w:val="4BC30D8B"/>
    <w:rsid w:val="4D7E765F"/>
    <w:rsid w:val="4D7F314C"/>
    <w:rsid w:val="4DDC4386"/>
    <w:rsid w:val="4F361873"/>
    <w:rsid w:val="4F846A83"/>
    <w:rsid w:val="4FE94B38"/>
    <w:rsid w:val="505E5526"/>
    <w:rsid w:val="509A13A5"/>
    <w:rsid w:val="51256043"/>
    <w:rsid w:val="516D07AA"/>
    <w:rsid w:val="528A2602"/>
    <w:rsid w:val="52943551"/>
    <w:rsid w:val="53057EDB"/>
    <w:rsid w:val="53590226"/>
    <w:rsid w:val="539A35D5"/>
    <w:rsid w:val="543F741C"/>
    <w:rsid w:val="54422A66"/>
    <w:rsid w:val="54A83213"/>
    <w:rsid w:val="54F93047"/>
    <w:rsid w:val="554F18E1"/>
    <w:rsid w:val="554F7B33"/>
    <w:rsid w:val="55B17EA6"/>
    <w:rsid w:val="55D83684"/>
    <w:rsid w:val="56051FA0"/>
    <w:rsid w:val="5610220C"/>
    <w:rsid w:val="56462CE4"/>
    <w:rsid w:val="564D4072"/>
    <w:rsid w:val="567E1D1F"/>
    <w:rsid w:val="56F24C1A"/>
    <w:rsid w:val="572D17AE"/>
    <w:rsid w:val="575A3906"/>
    <w:rsid w:val="578B032B"/>
    <w:rsid w:val="5847188A"/>
    <w:rsid w:val="587A5276"/>
    <w:rsid w:val="59941FB8"/>
    <w:rsid w:val="59E7033A"/>
    <w:rsid w:val="59EA607C"/>
    <w:rsid w:val="5ABF4E13"/>
    <w:rsid w:val="5AF96577"/>
    <w:rsid w:val="5AFF6AD5"/>
    <w:rsid w:val="5D261179"/>
    <w:rsid w:val="5D303DA6"/>
    <w:rsid w:val="5D7A76E4"/>
    <w:rsid w:val="5DC10EA2"/>
    <w:rsid w:val="5E473A9D"/>
    <w:rsid w:val="5E5F4751"/>
    <w:rsid w:val="5EBE53E1"/>
    <w:rsid w:val="5EDA221B"/>
    <w:rsid w:val="5F8A1E93"/>
    <w:rsid w:val="5FC1162D"/>
    <w:rsid w:val="5FED43A5"/>
    <w:rsid w:val="6014175D"/>
    <w:rsid w:val="605B738C"/>
    <w:rsid w:val="60BF3C01"/>
    <w:rsid w:val="60EC092C"/>
    <w:rsid w:val="611F03B9"/>
    <w:rsid w:val="61223E44"/>
    <w:rsid w:val="61A82AA5"/>
    <w:rsid w:val="61BC3E5A"/>
    <w:rsid w:val="61BF394A"/>
    <w:rsid w:val="6223212B"/>
    <w:rsid w:val="623E6F65"/>
    <w:rsid w:val="626D784A"/>
    <w:rsid w:val="62EE44E7"/>
    <w:rsid w:val="62FB16BE"/>
    <w:rsid w:val="631D6B7A"/>
    <w:rsid w:val="63D74F7B"/>
    <w:rsid w:val="64A532CB"/>
    <w:rsid w:val="652069E4"/>
    <w:rsid w:val="656A1E1F"/>
    <w:rsid w:val="66083B12"/>
    <w:rsid w:val="665E3732"/>
    <w:rsid w:val="66755689"/>
    <w:rsid w:val="66CF4630"/>
    <w:rsid w:val="66F34E5F"/>
    <w:rsid w:val="672A3055"/>
    <w:rsid w:val="68703BF0"/>
    <w:rsid w:val="68BD5EFB"/>
    <w:rsid w:val="68D67EF7"/>
    <w:rsid w:val="68FE11FC"/>
    <w:rsid w:val="694D12C6"/>
    <w:rsid w:val="694D7A8E"/>
    <w:rsid w:val="69653029"/>
    <w:rsid w:val="69966AFB"/>
    <w:rsid w:val="69A2602B"/>
    <w:rsid w:val="69D63F27"/>
    <w:rsid w:val="6A222860"/>
    <w:rsid w:val="6B4707D4"/>
    <w:rsid w:val="6B7E03D2"/>
    <w:rsid w:val="6B8754D9"/>
    <w:rsid w:val="6CB17718"/>
    <w:rsid w:val="6CB52B4C"/>
    <w:rsid w:val="6D0C4E81"/>
    <w:rsid w:val="6D2D3E5E"/>
    <w:rsid w:val="6DC32B61"/>
    <w:rsid w:val="6E6164B5"/>
    <w:rsid w:val="6F975655"/>
    <w:rsid w:val="6FC85C67"/>
    <w:rsid w:val="70031191"/>
    <w:rsid w:val="704F233D"/>
    <w:rsid w:val="70A73F27"/>
    <w:rsid w:val="70F97E5D"/>
    <w:rsid w:val="71351A13"/>
    <w:rsid w:val="7174517E"/>
    <w:rsid w:val="72123C88"/>
    <w:rsid w:val="72BF37AA"/>
    <w:rsid w:val="72D2286B"/>
    <w:rsid w:val="73010267"/>
    <w:rsid w:val="73090EC9"/>
    <w:rsid w:val="736E51D0"/>
    <w:rsid w:val="73FA4A43"/>
    <w:rsid w:val="74235FBB"/>
    <w:rsid w:val="74312486"/>
    <w:rsid w:val="744F5002"/>
    <w:rsid w:val="74AA2238"/>
    <w:rsid w:val="75096F5F"/>
    <w:rsid w:val="75587EE6"/>
    <w:rsid w:val="75EC5ECA"/>
    <w:rsid w:val="76CF1D63"/>
    <w:rsid w:val="77387FCF"/>
    <w:rsid w:val="773B361B"/>
    <w:rsid w:val="779F3BAA"/>
    <w:rsid w:val="77B67FC3"/>
    <w:rsid w:val="77B84C6C"/>
    <w:rsid w:val="77BF23F7"/>
    <w:rsid w:val="78616420"/>
    <w:rsid w:val="78994A9D"/>
    <w:rsid w:val="79053EE1"/>
    <w:rsid w:val="796C2955"/>
    <w:rsid w:val="79C21DD2"/>
    <w:rsid w:val="7A0D6A93"/>
    <w:rsid w:val="7A102E0B"/>
    <w:rsid w:val="7A107396"/>
    <w:rsid w:val="7A3004E2"/>
    <w:rsid w:val="7A4F53D5"/>
    <w:rsid w:val="7A6A66F1"/>
    <w:rsid w:val="7AB91D09"/>
    <w:rsid w:val="7AE364A4"/>
    <w:rsid w:val="7B762E74"/>
    <w:rsid w:val="7BCE0F02"/>
    <w:rsid w:val="7CC227B8"/>
    <w:rsid w:val="7D2439C3"/>
    <w:rsid w:val="7D2C7C8E"/>
    <w:rsid w:val="7D450D50"/>
    <w:rsid w:val="7DDD367E"/>
    <w:rsid w:val="7DF818E3"/>
    <w:rsid w:val="7DFD787D"/>
    <w:rsid w:val="7E4021D2"/>
    <w:rsid w:val="7E924469"/>
    <w:rsid w:val="7F4F4108"/>
    <w:rsid w:val="7F8518D8"/>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contextualSpacing/>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37"/>
    <w:qFormat/>
    <w:uiPriority w:val="0"/>
    <w:pPr>
      <w:spacing w:line="240" w:lineRule="auto"/>
      <w:ind w:firstLine="600"/>
      <w:contextualSpacing w:val="0"/>
    </w:pPr>
    <w:rPr>
      <w:rFonts w:ascii="Calibri" w:hAnsi="Calibri" w:cs="黑体" w:eastAsiaTheme="minorEastAsia"/>
      <w:sz w:val="30"/>
      <w:szCs w:val="30"/>
    </w:rPr>
  </w:style>
  <w:style w:type="paragraph" w:styleId="3">
    <w:name w:val="Balloon Text"/>
    <w:basedOn w:val="1"/>
    <w:link w:val="33"/>
    <w:semiHidden/>
    <w:unhideWhenUsed/>
    <w:uiPriority w:val="99"/>
    <w:rPr>
      <w:sz w:val="18"/>
      <w:szCs w:val="18"/>
    </w:rPr>
  </w:style>
  <w:style w:type="paragraph" w:styleId="4">
    <w:name w:val="footer"/>
    <w:basedOn w:val="1"/>
    <w:link w:val="11"/>
    <w:qFormat/>
    <w:uiPriority w:val="0"/>
    <w:pPr>
      <w:tabs>
        <w:tab w:val="center" w:pos="4153"/>
        <w:tab w:val="right" w:pos="8306"/>
      </w:tabs>
      <w:snapToGrid w:val="0"/>
      <w:ind w:right="210" w:rightChars="100"/>
      <w:jc w:val="right"/>
    </w:pPr>
    <w:rPr>
      <w:sz w:val="18"/>
      <w:szCs w:val="18"/>
    </w:rPr>
  </w:style>
  <w:style w:type="paragraph" w:styleId="5">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240" w:lineRule="auto"/>
      <w:ind w:firstLine="0" w:firstLineChars="0"/>
      <w:contextualSpacing w:val="0"/>
    </w:pPr>
    <w:rPr>
      <w:rFonts w:asciiTheme="minorHAnsi" w:hAnsiTheme="minorHAnsi" w:eastAsiaTheme="minorEastAsia"/>
      <w:kern w:val="0"/>
      <w:sz w:val="24"/>
      <w:szCs w:val="24"/>
    </w:rPr>
  </w:style>
  <w:style w:type="table" w:styleId="8">
    <w:name w:val="Table Grid"/>
    <w:basedOn w:val="7"/>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qFormat/>
    <w:uiPriority w:val="0"/>
    <w:rPr>
      <w:rFonts w:ascii="Times New Roman" w:hAnsi="Times New Roman" w:eastAsia="宋体"/>
      <w:sz w:val="18"/>
    </w:rPr>
  </w:style>
  <w:style w:type="character" w:customStyle="1" w:styleId="11">
    <w:name w:val="页脚 Char"/>
    <w:basedOn w:val="9"/>
    <w:link w:val="4"/>
    <w:qFormat/>
    <w:uiPriority w:val="0"/>
    <w:rPr>
      <w:rFonts w:ascii="Times New Roman" w:hAnsi="Times New Roman" w:eastAsia="宋体" w:cs="Times New Roman"/>
      <w:sz w:val="18"/>
      <w:szCs w:val="18"/>
    </w:rPr>
  </w:style>
  <w:style w:type="paragraph" w:customStyle="1" w:styleId="12">
    <w:name w:val="段"/>
    <w:link w:val="29"/>
    <w:qFormat/>
    <w:uiPriority w:val="0"/>
    <w:pPr>
      <w:autoSpaceDE w:val="0"/>
      <w:autoSpaceDN w:val="0"/>
      <w:adjustRightInd w:val="0"/>
      <w:snapToGrid w:val="0"/>
      <w:jc w:val="both"/>
    </w:pPr>
    <w:rPr>
      <w:rFonts w:ascii="Times New Roman" w:hAnsi="Times New Roman" w:eastAsia="宋体" w:cs="Times New Roman"/>
      <w:sz w:val="21"/>
      <w:lang w:val="en-US" w:eastAsia="zh-CN" w:bidi="ar-SA"/>
    </w:rPr>
  </w:style>
  <w:style w:type="paragraph" w:customStyle="1" w:styleId="13">
    <w:name w:val="二级条标题"/>
    <w:basedOn w:val="14"/>
    <w:next w:val="12"/>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14">
    <w:name w:val="一级条标题"/>
    <w:basedOn w:val="15"/>
    <w:next w:val="12"/>
    <w:link w:val="31"/>
    <w:qFormat/>
    <w:uiPriority w:val="0"/>
    <w:pPr>
      <w:numPr>
        <w:ilvl w:val="0"/>
        <w:numId w:val="0"/>
      </w:numPr>
      <w:spacing w:before="156" w:after="156" w:line="300" w:lineRule="auto"/>
      <w:contextualSpacing/>
      <w:outlineLvl w:val="2"/>
    </w:pPr>
    <w:rPr>
      <w:rFonts w:ascii="Times New Roman"/>
      <w:spacing w:val="-4"/>
      <w:szCs w:val="24"/>
    </w:rPr>
  </w:style>
  <w:style w:type="paragraph" w:customStyle="1" w:styleId="15">
    <w:name w:val="章标题"/>
    <w:next w:val="12"/>
    <w:link w:val="3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6">
    <w:name w:val="附录标识"/>
    <w:basedOn w:val="17"/>
    <w:qFormat/>
    <w:uiPriority w:val="0"/>
    <w:pPr>
      <w:numPr>
        <w:ilvl w:val="0"/>
        <w:numId w:val="2"/>
      </w:numPr>
      <w:tabs>
        <w:tab w:val="left" w:pos="6405"/>
      </w:tabs>
      <w:spacing w:after="200"/>
    </w:pPr>
    <w:rPr>
      <w:sz w:val="21"/>
    </w:rPr>
  </w:style>
  <w:style w:type="paragraph" w:customStyle="1" w:styleId="1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四级条标题"/>
    <w:basedOn w:val="19"/>
    <w:next w:val="12"/>
    <w:qFormat/>
    <w:uiPriority w:val="0"/>
    <w:pPr>
      <w:numPr>
        <w:ilvl w:val="5"/>
      </w:numPr>
      <w:outlineLvl w:val="5"/>
    </w:pPr>
  </w:style>
  <w:style w:type="paragraph" w:customStyle="1" w:styleId="19">
    <w:name w:val="三级条标题"/>
    <w:basedOn w:val="13"/>
    <w:next w:val="12"/>
    <w:qFormat/>
    <w:uiPriority w:val="0"/>
    <w:pPr>
      <w:numPr>
        <w:ilvl w:val="4"/>
      </w:numPr>
      <w:outlineLvl w:val="4"/>
    </w:pPr>
  </w:style>
  <w:style w:type="paragraph" w:customStyle="1" w:styleId="2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1">
    <w:name w:val="参考文献、索引标题"/>
    <w:basedOn w:val="17"/>
    <w:next w:val="1"/>
    <w:qFormat/>
    <w:uiPriority w:val="0"/>
    <w:pPr>
      <w:numPr>
        <w:numId w:val="0"/>
      </w:numPr>
      <w:spacing w:after="200"/>
    </w:pPr>
    <w:rPr>
      <w:sz w:val="21"/>
    </w:rPr>
  </w:style>
  <w:style w:type="paragraph" w:customStyle="1" w:styleId="22">
    <w:name w:val="附录章标题"/>
    <w:next w:val="12"/>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3">
    <w:name w:val="五级条标题"/>
    <w:basedOn w:val="18"/>
    <w:next w:val="12"/>
    <w:qFormat/>
    <w:uiPriority w:val="0"/>
    <w:pPr>
      <w:numPr>
        <w:ilvl w:val="6"/>
      </w:numPr>
      <w:outlineLvl w:val="6"/>
    </w:pPr>
  </w:style>
  <w:style w:type="paragraph" w:customStyle="1" w:styleId="24">
    <w:name w:val="附录五级条标题"/>
    <w:basedOn w:val="25"/>
    <w:next w:val="12"/>
    <w:qFormat/>
    <w:uiPriority w:val="0"/>
    <w:pPr>
      <w:numPr>
        <w:ilvl w:val="6"/>
      </w:numPr>
      <w:outlineLvl w:val="6"/>
    </w:pPr>
  </w:style>
  <w:style w:type="paragraph" w:customStyle="1" w:styleId="25">
    <w:name w:val="附录四级条标题"/>
    <w:basedOn w:val="26"/>
    <w:next w:val="12"/>
    <w:qFormat/>
    <w:uiPriority w:val="0"/>
    <w:pPr>
      <w:numPr>
        <w:ilvl w:val="5"/>
      </w:numPr>
      <w:outlineLvl w:val="5"/>
    </w:pPr>
  </w:style>
  <w:style w:type="paragraph" w:customStyle="1" w:styleId="26">
    <w:name w:val="附录三级条标题"/>
    <w:basedOn w:val="27"/>
    <w:next w:val="12"/>
    <w:qFormat/>
    <w:uiPriority w:val="0"/>
    <w:pPr>
      <w:numPr>
        <w:ilvl w:val="4"/>
      </w:numPr>
      <w:outlineLvl w:val="4"/>
    </w:pPr>
  </w:style>
  <w:style w:type="paragraph" w:customStyle="1" w:styleId="27">
    <w:name w:val="附录二级条标题"/>
    <w:basedOn w:val="28"/>
    <w:next w:val="12"/>
    <w:qFormat/>
    <w:uiPriority w:val="0"/>
    <w:pPr>
      <w:numPr>
        <w:ilvl w:val="3"/>
      </w:numPr>
      <w:outlineLvl w:val="3"/>
    </w:pPr>
  </w:style>
  <w:style w:type="paragraph" w:customStyle="1" w:styleId="28">
    <w:name w:val="附录一级条标题"/>
    <w:basedOn w:val="22"/>
    <w:next w:val="12"/>
    <w:qFormat/>
    <w:uiPriority w:val="0"/>
    <w:pPr>
      <w:numPr>
        <w:ilvl w:val="2"/>
      </w:numPr>
      <w:autoSpaceDN w:val="0"/>
      <w:spacing w:beforeLines="0" w:afterLines="0"/>
      <w:outlineLvl w:val="2"/>
    </w:pPr>
  </w:style>
  <w:style w:type="character" w:customStyle="1" w:styleId="29">
    <w:name w:val="段 Char"/>
    <w:link w:val="12"/>
    <w:qFormat/>
    <w:uiPriority w:val="0"/>
    <w:rPr>
      <w:rFonts w:ascii="Times New Roman" w:hAnsi="Times New Roman" w:eastAsia="宋体" w:cs="Times New Roman"/>
      <w:sz w:val="21"/>
    </w:rPr>
  </w:style>
  <w:style w:type="character" w:customStyle="1" w:styleId="30">
    <w:name w:val="章标题 Char"/>
    <w:link w:val="15"/>
    <w:qFormat/>
    <w:uiPriority w:val="0"/>
    <w:rPr>
      <w:rFonts w:ascii="黑体" w:hAnsi="Times New Roman" w:eastAsia="黑体" w:cs="Times New Roman"/>
      <w:kern w:val="0"/>
      <w:szCs w:val="20"/>
    </w:rPr>
  </w:style>
  <w:style w:type="character" w:customStyle="1" w:styleId="31">
    <w:name w:val="一级条标题 Char"/>
    <w:link w:val="14"/>
    <w:qFormat/>
    <w:uiPriority w:val="0"/>
    <w:rPr>
      <w:rFonts w:ascii="Times New Roman" w:hAnsi="Times New Roman" w:eastAsia="黑体" w:cs="Times New Roman"/>
      <w:spacing w:val="-4"/>
      <w:sz w:val="21"/>
      <w:szCs w:val="24"/>
    </w:rPr>
  </w:style>
  <w:style w:type="character" w:customStyle="1" w:styleId="32">
    <w:name w:val="页眉 Char"/>
    <w:basedOn w:val="9"/>
    <w:link w:val="5"/>
    <w:qFormat/>
    <w:uiPriority w:val="99"/>
    <w:rPr>
      <w:rFonts w:ascii="Times New Roman" w:hAnsi="Times New Roman" w:eastAsia="宋体" w:cs="Times New Roman"/>
      <w:sz w:val="18"/>
      <w:szCs w:val="18"/>
    </w:rPr>
  </w:style>
  <w:style w:type="character" w:customStyle="1" w:styleId="33">
    <w:name w:val="批注框文本 Char"/>
    <w:basedOn w:val="9"/>
    <w:link w:val="3"/>
    <w:semiHidden/>
    <w:qFormat/>
    <w:uiPriority w:val="99"/>
    <w:rPr>
      <w:rFonts w:ascii="Times New Roman" w:hAnsi="Times New Roman" w:eastAsia="宋体" w:cs="Times New Roman"/>
      <w:sz w:val="18"/>
      <w:szCs w:val="18"/>
    </w:rPr>
  </w:style>
  <w:style w:type="paragraph" w:customStyle="1" w:styleId="3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
    <w:name w:val="其他发布部门"/>
    <w:basedOn w:val="1"/>
    <w:qFormat/>
    <w:uiPriority w:val="0"/>
    <w:pPr>
      <w:widowControl/>
      <w:spacing w:line="0" w:lineRule="atLeast"/>
      <w:jc w:val="center"/>
    </w:pPr>
    <w:rPr>
      <w:rFonts w:ascii="黑体" w:eastAsia="黑体"/>
      <w:spacing w:val="20"/>
      <w:w w:val="135"/>
      <w:kern w:val="0"/>
      <w:sz w:val="36"/>
      <w:szCs w:val="20"/>
    </w:rPr>
  </w:style>
  <w:style w:type="character" w:customStyle="1" w:styleId="37">
    <w:name w:val="正文文本缩进 2 Char"/>
    <w:basedOn w:val="9"/>
    <w:link w:val="2"/>
    <w:qFormat/>
    <w:uiPriority w:val="0"/>
    <w:rPr>
      <w:rFonts w:cs="黑体" w:eastAsiaTheme="minorEastAsia"/>
      <w:kern w:val="2"/>
      <w:sz w:val="30"/>
      <w:szCs w:val="30"/>
    </w:rPr>
  </w:style>
  <w:style w:type="paragraph" w:customStyle="1" w:styleId="3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40DED-0882-4602-9119-042BE879354B}">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8</Pages>
  <Words>5404</Words>
  <Characters>5756</Characters>
  <Lines>45</Lines>
  <Paragraphs>12</Paragraphs>
  <TotalTime>0</TotalTime>
  <ScaleCrop>false</ScaleCrop>
  <LinksUpToDate>false</LinksUpToDate>
  <CharactersWithSpaces>5933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2024-01-06T05:30:00Z</dcterms:created>
  <dc:creator>dell</dc:creator>
  <cp:lastModifiedBy>喆@瑶爸</cp:lastModifiedBy>
  <cp:lastPrinted>2024-01-06T05:42:00Z</cp:lastPrinted>
  <dcterms:modified xsi:type="dcterms:W3CDTF">2024-06-14T03:02:10Z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94908E19DB9C429FB474E79BC55CEC8D_12</vt:lpwstr>
  </property>
</Properties>
</file>