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adjustRightInd w:val="0"/>
        <w:snapToGrid w:val="0"/>
        <w:spacing w:before="0" w:line="360" w:lineRule="auto"/>
        <w:rPr>
          <w:rFonts w:asciiTheme="minorEastAsia" w:hAnsiTheme="minorEastAsia" w:eastAsiaTheme="minorEastAsia"/>
          <w:b/>
          <w:sz w:val="44"/>
          <w:szCs w:val="44"/>
        </w:rPr>
      </w:pPr>
    </w:p>
    <w:p>
      <w:pPr>
        <w:pStyle w:val="29"/>
        <w:adjustRightInd w:val="0"/>
        <w:snapToGrid w:val="0"/>
        <w:spacing w:before="0" w:line="360" w:lineRule="auto"/>
        <w:rPr>
          <w:rFonts w:asciiTheme="minorEastAsia" w:hAnsiTheme="minorEastAsia" w:eastAsiaTheme="minorEastAsia"/>
          <w:b/>
          <w:sz w:val="44"/>
          <w:szCs w:val="44"/>
        </w:rPr>
      </w:pPr>
    </w:p>
    <w:p>
      <w:pPr>
        <w:pStyle w:val="29"/>
        <w:adjustRightInd w:val="0"/>
        <w:snapToGrid w:val="0"/>
        <w:spacing w:before="0" w:line="360" w:lineRule="auto"/>
        <w:rPr>
          <w:rFonts w:hAnsi="宋体" w:cs="宋体"/>
          <w:b/>
          <w:sz w:val="44"/>
          <w:szCs w:val="44"/>
        </w:rPr>
      </w:pPr>
      <w:r>
        <w:rPr>
          <w:rFonts w:hint="eastAsia" w:hAnsi="宋体"/>
          <w:b/>
          <w:sz w:val="44"/>
          <w:szCs w:val="44"/>
        </w:rPr>
        <w:t>温室气体</w:t>
      </w:r>
      <w:r>
        <w:rPr>
          <w:rFonts w:hint="eastAsia" w:hAnsi="宋体" w:cs="宋体"/>
          <w:b/>
          <w:sz w:val="44"/>
          <w:szCs w:val="44"/>
        </w:rPr>
        <w:t xml:space="preserve">排放核算与报告要求 </w:t>
      </w:r>
    </w:p>
    <w:p>
      <w:pPr>
        <w:pStyle w:val="29"/>
        <w:adjustRightInd w:val="0"/>
        <w:snapToGrid w:val="0"/>
        <w:spacing w:before="0" w:line="360" w:lineRule="auto"/>
        <w:rPr>
          <w:rFonts w:hAnsi="宋体" w:cs="宋体"/>
          <w:b/>
          <w:sz w:val="44"/>
          <w:szCs w:val="44"/>
        </w:rPr>
      </w:pPr>
      <w:r>
        <w:rPr>
          <w:rFonts w:hint="eastAsia" w:hAnsi="宋体" w:cs="宋体"/>
          <w:b/>
          <w:sz w:val="44"/>
          <w:szCs w:val="44"/>
        </w:rPr>
        <w:t>第XX部分：铜冶炼企业</w:t>
      </w:r>
    </w:p>
    <w:p>
      <w:pPr>
        <w:pStyle w:val="29"/>
        <w:adjustRightInd w:val="0"/>
        <w:snapToGrid w:val="0"/>
        <w:spacing w:before="0" w:line="360" w:lineRule="auto"/>
        <w:rPr>
          <w:rFonts w:hAnsi="宋体"/>
          <w:b/>
          <w:sz w:val="32"/>
          <w:szCs w:val="32"/>
        </w:rPr>
      </w:pPr>
      <w:r>
        <w:rPr>
          <w:rFonts w:hint="eastAsia" w:hAnsi="宋体"/>
          <w:b/>
          <w:sz w:val="32"/>
          <w:szCs w:val="32"/>
        </w:rPr>
        <w:t>编制说明</w:t>
      </w:r>
    </w:p>
    <w:p>
      <w:pPr>
        <w:pStyle w:val="29"/>
        <w:adjustRightInd w:val="0"/>
        <w:snapToGrid w:val="0"/>
        <w:spacing w:before="0" w:line="360" w:lineRule="auto"/>
        <w:rPr>
          <w:rFonts w:hAnsi="宋体"/>
          <w:b/>
          <w:sz w:val="32"/>
          <w:szCs w:val="32"/>
        </w:rPr>
      </w:pPr>
      <w:r>
        <w:rPr>
          <w:rFonts w:hint="eastAsia" w:hAnsi="宋体"/>
          <w:b/>
          <w:sz w:val="32"/>
          <w:szCs w:val="32"/>
        </w:rPr>
        <w:t>(</w:t>
      </w:r>
      <w:r>
        <w:rPr>
          <w:rFonts w:hint="eastAsia" w:hAnsi="宋体"/>
          <w:b/>
          <w:sz w:val="32"/>
          <w:szCs w:val="32"/>
          <w:lang w:val="en-US" w:eastAsia="zh-CN"/>
        </w:rPr>
        <w:t>预审</w:t>
      </w:r>
      <w:r>
        <w:rPr>
          <w:rFonts w:hint="eastAsia" w:hAnsi="宋体"/>
          <w:b/>
          <w:sz w:val="32"/>
          <w:szCs w:val="32"/>
        </w:rPr>
        <w:t>稿)</w:t>
      </w:r>
    </w:p>
    <w:p>
      <w:pPr>
        <w:pStyle w:val="29"/>
        <w:adjustRightInd w:val="0"/>
        <w:snapToGrid w:val="0"/>
        <w:spacing w:before="0" w:line="360" w:lineRule="auto"/>
        <w:rPr>
          <w:rFonts w:hAnsi="宋体"/>
          <w:b/>
          <w:sz w:val="32"/>
          <w:szCs w:val="32"/>
        </w:rPr>
      </w:pPr>
    </w:p>
    <w:p>
      <w:pPr>
        <w:pStyle w:val="29"/>
        <w:adjustRightInd w:val="0"/>
        <w:snapToGrid w:val="0"/>
        <w:spacing w:before="0" w:line="360" w:lineRule="auto"/>
        <w:rPr>
          <w:rFonts w:hAnsi="宋体"/>
          <w:b/>
          <w:sz w:val="32"/>
          <w:szCs w:val="32"/>
        </w:rPr>
      </w:pPr>
    </w:p>
    <w:p>
      <w:pPr>
        <w:pStyle w:val="29"/>
        <w:adjustRightInd w:val="0"/>
        <w:snapToGrid w:val="0"/>
        <w:spacing w:before="0" w:line="360" w:lineRule="auto"/>
        <w:rPr>
          <w:rFonts w:hAnsi="宋体"/>
          <w:sz w:val="52"/>
          <w:szCs w:val="52"/>
        </w:rPr>
      </w:pPr>
    </w:p>
    <w:p>
      <w:pPr>
        <w:pStyle w:val="29"/>
        <w:adjustRightInd w:val="0"/>
        <w:snapToGrid w:val="0"/>
        <w:spacing w:before="0" w:line="360" w:lineRule="auto"/>
        <w:rPr>
          <w:rFonts w:hAnsi="宋体"/>
          <w:sz w:val="52"/>
          <w:szCs w:val="52"/>
        </w:rPr>
      </w:pPr>
    </w:p>
    <w:p>
      <w:pPr>
        <w:pStyle w:val="29"/>
        <w:adjustRightInd w:val="0"/>
        <w:snapToGrid w:val="0"/>
        <w:spacing w:before="0" w:line="360" w:lineRule="auto"/>
        <w:rPr>
          <w:rFonts w:hAnsi="宋体"/>
          <w:sz w:val="52"/>
          <w:szCs w:val="52"/>
        </w:rPr>
      </w:pPr>
    </w:p>
    <w:p>
      <w:pPr>
        <w:pStyle w:val="29"/>
        <w:adjustRightInd w:val="0"/>
        <w:snapToGrid w:val="0"/>
        <w:spacing w:before="0" w:line="360" w:lineRule="auto"/>
        <w:rPr>
          <w:rFonts w:hAnsi="宋体"/>
          <w:sz w:val="52"/>
          <w:szCs w:val="52"/>
        </w:rPr>
      </w:pPr>
    </w:p>
    <w:p>
      <w:pPr>
        <w:pStyle w:val="29"/>
        <w:adjustRightInd w:val="0"/>
        <w:snapToGrid w:val="0"/>
        <w:spacing w:before="0" w:line="360" w:lineRule="auto"/>
        <w:jc w:val="left"/>
        <w:rPr>
          <w:rFonts w:hAnsi="宋体"/>
          <w:sz w:val="52"/>
          <w:szCs w:val="52"/>
        </w:rPr>
      </w:pPr>
    </w:p>
    <w:p>
      <w:pPr>
        <w:pStyle w:val="29"/>
        <w:adjustRightInd w:val="0"/>
        <w:snapToGrid w:val="0"/>
        <w:spacing w:before="0" w:line="360" w:lineRule="auto"/>
        <w:rPr>
          <w:rFonts w:hAnsi="宋体"/>
          <w:sz w:val="32"/>
          <w:szCs w:val="32"/>
        </w:rPr>
      </w:pPr>
      <w:r>
        <w:rPr>
          <w:rFonts w:hint="eastAsia" w:hAnsi="宋体"/>
          <w:sz w:val="32"/>
          <w:szCs w:val="32"/>
        </w:rPr>
        <w:t>江西铜业股份有限公司标准工作组</w:t>
      </w:r>
    </w:p>
    <w:p>
      <w:pPr>
        <w:spacing w:beforeLines="50" w:afterLines="50" w:line="360" w:lineRule="auto"/>
        <w:jc w:val="center"/>
        <w:rPr>
          <w:rFonts w:ascii="宋体" w:hAnsi="宋体" w:eastAsia="宋体"/>
          <w:sz w:val="32"/>
          <w:szCs w:val="32"/>
        </w:rPr>
      </w:pPr>
      <w:r>
        <w:rPr>
          <w:rFonts w:ascii="宋体" w:hAnsi="宋体" w:eastAsia="宋体"/>
          <w:sz w:val="32"/>
          <w:szCs w:val="32"/>
        </w:rPr>
        <w:t>20</w:t>
      </w:r>
      <w:r>
        <w:rPr>
          <w:rFonts w:hint="eastAsia" w:ascii="宋体" w:hAnsi="宋体" w:eastAsia="宋体"/>
          <w:sz w:val="32"/>
          <w:szCs w:val="32"/>
        </w:rPr>
        <w:t>24年4月</w:t>
      </w:r>
    </w:p>
    <w:p>
      <w:pPr>
        <w:pStyle w:val="4"/>
        <w:spacing w:line="360" w:lineRule="auto"/>
        <w:ind w:left="220"/>
      </w:pPr>
      <w:r>
        <w:br w:type="page"/>
      </w:r>
    </w:p>
    <w:p>
      <w:pPr>
        <w:pStyle w:val="29"/>
        <w:adjustRightInd w:val="0"/>
        <w:spacing w:before="0" w:line="360" w:lineRule="auto"/>
        <w:rPr>
          <w:rFonts w:cs="宋体" w:asciiTheme="minorEastAsia" w:hAnsiTheme="minorEastAsia" w:eastAsiaTheme="minorEastAsia"/>
          <w:b/>
          <w:sz w:val="32"/>
          <w:szCs w:val="32"/>
        </w:rPr>
      </w:pPr>
      <w:r>
        <w:rPr>
          <w:rFonts w:hint="eastAsia" w:asciiTheme="minorEastAsia" w:hAnsiTheme="minorEastAsia" w:eastAsiaTheme="minorEastAsia"/>
          <w:b/>
          <w:sz w:val="32"/>
          <w:szCs w:val="32"/>
        </w:rPr>
        <w:t>《温室气体</w:t>
      </w:r>
      <w:r>
        <w:rPr>
          <w:rFonts w:hint="eastAsia" w:cs="宋体" w:asciiTheme="minorEastAsia" w:hAnsiTheme="minorEastAsia" w:eastAsiaTheme="minorEastAsia"/>
          <w:b/>
          <w:sz w:val="32"/>
          <w:szCs w:val="32"/>
        </w:rPr>
        <w:t>排放核算与报告要求 第XX部分：铜冶炼企业</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预审</w:t>
      </w:r>
      <w:bookmarkStart w:id="14" w:name="_GoBack"/>
      <w:bookmarkEnd w:id="14"/>
      <w:r>
        <w:rPr>
          <w:rFonts w:hint="eastAsia" w:asciiTheme="minorEastAsia" w:hAnsiTheme="minorEastAsia" w:eastAsiaTheme="minorEastAsia"/>
          <w:b/>
          <w:sz w:val="32"/>
          <w:szCs w:val="32"/>
        </w:rPr>
        <w:t>稿）》</w:t>
      </w:r>
    </w:p>
    <w:p>
      <w:pPr>
        <w:pStyle w:val="29"/>
        <w:adjustRightInd w:val="0"/>
        <w:spacing w:before="0" w:line="36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编制说明</w:t>
      </w:r>
    </w:p>
    <w:p>
      <w:pPr>
        <w:snapToGrid/>
        <w:spacing w:after="0" w:line="360" w:lineRule="auto"/>
        <w:outlineLvl w:val="0"/>
        <w:rPr>
          <w:rFonts w:hint="eastAsia" w:ascii="黑体" w:hAnsi="黑体" w:eastAsia="黑体"/>
          <w:bCs/>
          <w:kern w:val="44"/>
          <w:sz w:val="21"/>
          <w:szCs w:val="21"/>
        </w:rPr>
      </w:pPr>
      <w:r>
        <w:rPr>
          <w:rFonts w:hint="eastAsia" w:ascii="黑体" w:hAnsi="黑体" w:eastAsia="黑体"/>
          <w:bCs/>
          <w:kern w:val="44"/>
          <w:sz w:val="21"/>
          <w:szCs w:val="21"/>
        </w:rPr>
        <w:t>1工作简况</w:t>
      </w:r>
    </w:p>
    <w:p>
      <w:pPr>
        <w:snapToGrid/>
        <w:spacing w:afterLines="50" w:line="360" w:lineRule="auto"/>
        <w:outlineLvl w:val="1"/>
        <w:rPr>
          <w:rFonts w:ascii="黑体" w:hAnsi="黑体" w:eastAsia="黑体"/>
          <w:bCs/>
          <w:kern w:val="44"/>
          <w:sz w:val="21"/>
          <w:szCs w:val="21"/>
        </w:rPr>
      </w:pPr>
      <w:r>
        <w:rPr>
          <w:rFonts w:hint="eastAsia" w:ascii="黑体" w:hAnsi="黑体" w:eastAsia="黑体"/>
          <w:bCs/>
          <w:kern w:val="44"/>
          <w:sz w:val="21"/>
          <w:szCs w:val="21"/>
        </w:rPr>
        <w:t>1.1</w:t>
      </w:r>
      <w:r>
        <w:rPr>
          <w:rFonts w:hint="eastAsia" w:ascii="黑体" w:hAnsi="黑体"/>
          <w:sz w:val="21"/>
          <w:szCs w:val="21"/>
        </w:rPr>
        <w:t>任务来源</w:t>
      </w:r>
    </w:p>
    <w:p>
      <w:pPr>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推进有色金属行业实现碳达峰、碳中和的目标和愿景，积极完善有色金属工业节能与绿色标准化工作体系，充分发挥标准的引领、门槛、规范和倒逼作用，促进有色金属行业绿色、低碳、高质量发展，全国有色金属标准化技术委员会制定了《有色金属行业绿色低碳标准化三年行动计划（2021-2023）》，其中第13项《铜冶炼企业温室气体排放核算与报告要求》被列入计划，并由全国有色金属标准化技术委员会归口。2022年4月通过有色金属低碳标准计划项目论证，由江西铜业股份有限公司牵头开展预研工作。2023年12月29日，国家标准化管理委员会发布《国家标准化管理委员会关于下达碳达峰碳中和国家标准专项计划及相关标准外文版计划的通知》（国标委发</w:t>
      </w:r>
      <w:r>
        <w:rPr>
          <w:rFonts w:asciiTheme="minorEastAsia" w:hAnsiTheme="minorEastAsia" w:eastAsiaTheme="minorEastAsia"/>
          <w:sz w:val="21"/>
          <w:szCs w:val="21"/>
        </w:rPr>
        <w:t>[</w:t>
      </w:r>
      <w:r>
        <w:rPr>
          <w:rFonts w:hint="eastAsia" w:asciiTheme="minorEastAsia" w:hAnsiTheme="minorEastAsia" w:eastAsiaTheme="minorEastAsia"/>
          <w:sz w:val="21"/>
          <w:szCs w:val="21"/>
        </w:rPr>
        <w:t>2023</w:t>
      </w:r>
      <w:r>
        <w:rPr>
          <w:rFonts w:asciiTheme="minorEastAsia" w:hAnsiTheme="minorEastAsia" w:eastAsiaTheme="minorEastAsia"/>
          <w:sz w:val="21"/>
          <w:szCs w:val="21"/>
        </w:rPr>
        <w:t>]</w:t>
      </w:r>
      <w:r>
        <w:rPr>
          <w:rFonts w:hint="eastAsia" w:asciiTheme="minorEastAsia" w:hAnsiTheme="minorEastAsia" w:eastAsiaTheme="minorEastAsia"/>
          <w:sz w:val="21"/>
          <w:szCs w:val="21"/>
        </w:rPr>
        <w:t>67号），该项目更名为</w:t>
      </w:r>
      <w:r>
        <w:rPr>
          <w:rFonts w:asciiTheme="minorEastAsia" w:hAnsiTheme="minorEastAsia" w:eastAsiaTheme="minorEastAsia"/>
          <w:sz w:val="21"/>
          <w:szCs w:val="21"/>
        </w:rPr>
        <w:t>《碳排放核算与报告要求 第XX部分：铜冶炼企业》</w:t>
      </w:r>
      <w:r>
        <w:rPr>
          <w:rFonts w:hint="eastAsia" w:asciiTheme="minorEastAsia" w:hAnsiTheme="minorEastAsia" w:eastAsiaTheme="minorEastAsia"/>
          <w:sz w:val="21"/>
          <w:szCs w:val="21"/>
        </w:rPr>
        <w:t>被列入计划（计划号：</w:t>
      </w:r>
      <w:r>
        <w:rPr>
          <w:rFonts w:asciiTheme="minorEastAsia" w:hAnsiTheme="minorEastAsia" w:eastAsiaTheme="minorEastAsia"/>
          <w:sz w:val="21"/>
          <w:szCs w:val="21"/>
        </w:rPr>
        <w:t>20232552-T-610</w:t>
      </w:r>
      <w:r>
        <w:rPr>
          <w:rFonts w:hint="eastAsia" w:asciiTheme="minorEastAsia" w:hAnsiTheme="minorEastAsia" w:eastAsiaTheme="minorEastAsia"/>
          <w:sz w:val="21"/>
          <w:szCs w:val="21"/>
        </w:rPr>
        <w:t>），项目周期为18个月。</w:t>
      </w:r>
    </w:p>
    <w:p>
      <w:pPr>
        <w:spacing w:afterLines="50" w:line="360" w:lineRule="auto"/>
        <w:outlineLvl w:val="2"/>
        <w:rPr>
          <w:rFonts w:hint="eastAsia" w:ascii="微软雅黑" w:hAnsi="微软雅黑" w:cs="Times New Roman"/>
          <w:bCs/>
          <w:sz w:val="21"/>
          <w:szCs w:val="21"/>
        </w:rPr>
      </w:pPr>
      <w:r>
        <w:rPr>
          <w:rFonts w:ascii="微软雅黑" w:hAnsi="微软雅黑" w:cs="Times New Roman"/>
          <w:bCs/>
          <w:sz w:val="21"/>
          <w:szCs w:val="21"/>
        </w:rPr>
        <w:t>1.2目的和意义</w:t>
      </w:r>
    </w:p>
    <w:p>
      <w:pPr>
        <w:spacing w:after="0" w:line="360" w:lineRule="auto"/>
        <w:ind w:firstLine="420" w:firstLineChars="2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为深入贯彻落实《中共中央国务院关于完整准确全面贯彻新发展理念做好碳达峰碳中和工作的意见》、《国家标准化发展纲要》、《“十四五”推动高质量发展的国家标准体系建设规划》、《2023年全国标准化工作要点》、《2023年国家标准立项指南》、《2030年前碳达峰行动方案》、《“十四五”工业绿色发展规划》的工作部署，提升产业标准化水平、完善绿色发展标准化保障等部署要求，推动标准化工程和行动的落地，抓紧健全碳达峰、碳中和标准体系，同时为进一步深化国家供给侧结构性改革，我国《“十四五”节能减排综合工作方案》、《“十四五”原材料工业发展规划（2021-2025年）》、《“十四五”智能制造发展规划》等政策的实施及环保法律制度进一步的完善对有色金属行业绿色发展要求越来越高，产业优化重组和行业集中度将会进一步加大和提升。</w:t>
      </w:r>
      <w:r>
        <w:rPr>
          <w:rFonts w:asciiTheme="minorEastAsia" w:hAnsiTheme="minorEastAsia" w:eastAsiaTheme="minorEastAsia"/>
          <w:bCs/>
          <w:kern w:val="44"/>
          <w:sz w:val="21"/>
          <w:szCs w:val="21"/>
        </w:rPr>
        <w:t>制定和实施《温室气体排放核算与报告要求 第XX部分：</w:t>
      </w:r>
      <w:r>
        <w:rPr>
          <w:rFonts w:hint="eastAsia" w:asciiTheme="minorEastAsia" w:hAnsiTheme="minorEastAsia" w:eastAsiaTheme="minorEastAsia"/>
          <w:bCs/>
          <w:kern w:val="44"/>
          <w:sz w:val="21"/>
          <w:szCs w:val="21"/>
        </w:rPr>
        <w:t>铜</w:t>
      </w:r>
      <w:r>
        <w:rPr>
          <w:rFonts w:asciiTheme="minorEastAsia" w:hAnsiTheme="minorEastAsia" w:eastAsiaTheme="minorEastAsia"/>
          <w:bCs/>
          <w:kern w:val="44"/>
          <w:sz w:val="21"/>
          <w:szCs w:val="21"/>
        </w:rPr>
        <w:t>冶炼企业》</w:t>
      </w:r>
      <w:r>
        <w:rPr>
          <w:rFonts w:hint="eastAsia" w:cs="宋体" w:asciiTheme="minorEastAsia" w:hAnsiTheme="minorEastAsia" w:eastAsiaTheme="minorEastAsia"/>
          <w:sz w:val="21"/>
          <w:szCs w:val="21"/>
        </w:rPr>
        <w:t>可以帮助铜冶炼企业加强对企业温室气体排放更加精确的了解与管理，促进企业碳减排；保障碳交易中铜冶炼企业的权益，促进碳交易的公平性，为规范碳市场提供基础保障；同时也为主管部门建立并实施重点企业温室气体报告制度奠定基础，为掌握重点企业温室气体排放情况，制定相关政策提供支撑。</w:t>
      </w:r>
      <w:bookmarkStart w:id="0" w:name="_Toc110463621"/>
      <w:bookmarkStart w:id="1" w:name="_Toc109980015"/>
    </w:p>
    <w:p>
      <w:pPr>
        <w:spacing w:afterLines="50" w:line="360" w:lineRule="auto"/>
        <w:outlineLvl w:val="1"/>
        <w:rPr>
          <w:rFonts w:hint="eastAsia" w:ascii="微软雅黑" w:hAnsi="微软雅黑" w:cs="Times New Roman"/>
          <w:sz w:val="21"/>
          <w:szCs w:val="21"/>
        </w:rPr>
      </w:pPr>
      <w:r>
        <w:rPr>
          <w:rFonts w:ascii="微软雅黑" w:hAnsi="微软雅黑" w:cs="Times New Roman"/>
          <w:sz w:val="21"/>
          <w:szCs w:val="21"/>
        </w:rPr>
        <w:t>1.3主要参加单位和工作成员所作的工作</w:t>
      </w:r>
      <w:bookmarkEnd w:id="0"/>
      <w:bookmarkEnd w:id="1"/>
    </w:p>
    <w:p>
      <w:pPr>
        <w:pStyle w:val="5"/>
        <w:snapToGrid w:val="0"/>
        <w:spacing w:after="0" w:line="360" w:lineRule="auto"/>
        <w:ind w:firstLine="420" w:firstLineChars="200"/>
        <w:rPr>
          <w:rFonts w:ascii="Times New Roman" w:hAnsi="Times New Roman" w:cs="Times New Roman" w:eastAsiaTheme="minorEastAsia"/>
          <w:szCs w:val="24"/>
        </w:rPr>
      </w:pPr>
      <w:r>
        <w:rPr>
          <w:rFonts w:ascii="Times New Roman" w:hAnsi="Times New Roman" w:cs="Times New Roman" w:eastAsiaTheme="minorEastAsia"/>
          <w:szCs w:val="24"/>
        </w:rPr>
        <w:t>本项目任务明确后，组成了由</w:t>
      </w:r>
      <w:r>
        <w:rPr>
          <w:rFonts w:hint="eastAsia" w:ascii="Times New Roman" w:hAnsi="Times New Roman" w:cs="Times New Roman" w:eastAsiaTheme="minorEastAsia"/>
          <w:szCs w:val="24"/>
        </w:rPr>
        <w:t>江西铜业股份有限公司</w:t>
      </w:r>
      <w:r>
        <w:rPr>
          <w:rFonts w:ascii="Times New Roman" w:hAnsi="Times New Roman" w:cs="Times New Roman" w:eastAsiaTheme="minorEastAsia"/>
          <w:szCs w:val="24"/>
        </w:rPr>
        <w:t>牵头的标准起草组，并对起草任务进行了落实，确定了起草人，拟定了该标准的工作计划。具体分工为：</w:t>
      </w:r>
    </w:p>
    <w:p>
      <w:pPr>
        <w:pStyle w:val="5"/>
        <w:numPr>
          <w:ilvl w:val="0"/>
          <w:numId w:val="1"/>
        </w:numPr>
        <w:snapToGrid w:val="0"/>
        <w:spacing w:after="0" w:line="360" w:lineRule="auto"/>
        <w:ind w:firstLine="420" w:firstLineChars="200"/>
        <w:rPr>
          <w:rFonts w:ascii="Times New Roman" w:hAnsi="Times New Roman" w:cs="Times New Roman" w:eastAsiaTheme="minorEastAsia"/>
          <w:szCs w:val="24"/>
        </w:rPr>
      </w:pPr>
      <w:r>
        <w:rPr>
          <w:rFonts w:ascii="Times New Roman" w:hAnsi="Times New Roman" w:cs="Times New Roman" w:eastAsiaTheme="minorEastAsia"/>
          <w:szCs w:val="24"/>
        </w:rPr>
        <w:t>负责单位：</w:t>
      </w:r>
      <w:r>
        <w:rPr>
          <w:rFonts w:hint="eastAsia" w:ascii="Times New Roman" w:hAnsi="Times New Roman" w:cs="Times New Roman" w:eastAsiaTheme="minorEastAsia"/>
          <w:szCs w:val="24"/>
        </w:rPr>
        <w:t>江西铜业股份有限公司</w:t>
      </w:r>
    </w:p>
    <w:p>
      <w:pPr>
        <w:pStyle w:val="5"/>
        <w:numPr>
          <w:ilvl w:val="0"/>
          <w:numId w:val="1"/>
        </w:numPr>
        <w:snapToGrid w:val="0"/>
        <w:spacing w:after="0" w:line="360" w:lineRule="auto"/>
        <w:ind w:firstLine="420" w:firstLineChars="200"/>
        <w:rPr>
          <w:rFonts w:hint="eastAsia" w:ascii="Times New Roman" w:hAnsi="Times New Roman" w:cs="Times New Roman" w:eastAsiaTheme="minorEastAsia"/>
          <w:szCs w:val="24"/>
        </w:rPr>
      </w:pPr>
      <w:r>
        <w:rPr>
          <w:rFonts w:ascii="Times New Roman" w:hAnsi="Times New Roman" w:cs="Times New Roman" w:eastAsiaTheme="minorEastAsia"/>
          <w:szCs w:val="24"/>
        </w:rPr>
        <w:t>参加单位：</w:t>
      </w:r>
      <w:r>
        <w:rPr>
          <w:rFonts w:hint="eastAsia" w:ascii="Times New Roman" w:hAnsi="Times New Roman" w:cs="Times New Roman" w:eastAsiaTheme="minorEastAsia"/>
          <w:szCs w:val="24"/>
        </w:rPr>
        <w:t>中国有色金属工业协会、有研资源环境技术研究院（北京）有限公司、铜陵有色金属集团有限公司、紫金矿业集团股份有限公司、云南铜业股份有限公司、金川集团股份有限公司、大冶有色金属集团控股有限公司、宁波金田铜业（集团）股份有限公司、江西格林循环产业股份有限公司、矿冶科技集团有限公司、葫芦岛锌业股份有限公司、山东中金岭南铜业有限责任公司、中国恩菲工程技术有限公司、国际铜业协会（美国）北京代表处、江西省检验检测认证总院计量科学研究院。</w:t>
      </w:r>
    </w:p>
    <w:p>
      <w:pPr>
        <w:spacing w:afterLines="50" w:line="360" w:lineRule="auto"/>
        <w:outlineLvl w:val="2"/>
        <w:rPr>
          <w:rFonts w:hint="eastAsia" w:ascii="微软雅黑" w:hAnsi="微软雅黑" w:cs="Times New Roman"/>
          <w:sz w:val="21"/>
          <w:szCs w:val="21"/>
        </w:rPr>
      </w:pPr>
      <w:r>
        <w:rPr>
          <w:rFonts w:hint="eastAsia" w:ascii="微软雅黑" w:hAnsi="微软雅黑" w:cs="Times New Roman"/>
          <w:sz w:val="21"/>
          <w:szCs w:val="21"/>
        </w:rPr>
        <w:t>1.3.1主要参加单位情况</w:t>
      </w:r>
    </w:p>
    <w:p>
      <w:pPr>
        <w:spacing w:after="0" w:line="360" w:lineRule="auto"/>
        <w:ind w:firstLine="420" w:firstLineChars="20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主编</w:t>
      </w:r>
      <w:r>
        <w:rPr>
          <w:rFonts w:cs="Times New Roman" w:asciiTheme="minorEastAsia" w:hAnsiTheme="minorEastAsia" w:eastAsiaTheme="minorEastAsia"/>
          <w:sz w:val="21"/>
          <w:szCs w:val="21"/>
        </w:rPr>
        <w:t>单位</w:t>
      </w:r>
      <w:r>
        <w:rPr>
          <w:rFonts w:hint="eastAsia" w:cs="Times New Roman" w:asciiTheme="minorEastAsia" w:hAnsiTheme="minorEastAsia" w:eastAsiaTheme="minorEastAsia"/>
          <w:sz w:val="21"/>
          <w:szCs w:val="21"/>
        </w:rPr>
        <w:t>江西铜业股份有限公司</w:t>
      </w:r>
      <w:r>
        <w:rPr>
          <w:rFonts w:cs="Times New Roman" w:asciiTheme="minorEastAsia" w:hAnsiTheme="minorEastAsia" w:eastAsiaTheme="minorEastAsia"/>
          <w:sz w:val="21"/>
          <w:szCs w:val="21"/>
        </w:rPr>
        <w:t>是</w:t>
      </w:r>
      <w:r>
        <w:rPr>
          <w:rFonts w:hint="eastAsia" w:cs="Times New Roman" w:asciiTheme="minorEastAsia" w:hAnsiTheme="minorEastAsia" w:eastAsiaTheme="minorEastAsia"/>
          <w:sz w:val="21"/>
          <w:szCs w:val="21"/>
        </w:rPr>
        <w:t>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以及财务公司、金瑞期货公司、国际贸易公司、物流公司等增值服务体系。</w:t>
      </w:r>
      <w:r>
        <w:rPr>
          <w:rFonts w:cs="Times New Roman" w:asciiTheme="minorEastAsia" w:hAnsiTheme="minorEastAsia" w:eastAsiaTheme="minorEastAsia"/>
          <w:sz w:val="21"/>
          <w:szCs w:val="21"/>
        </w:rPr>
        <w:t>已编制有大量</w:t>
      </w:r>
      <w:r>
        <w:rPr>
          <w:rFonts w:hint="eastAsia" w:cs="Times New Roman" w:asciiTheme="minorEastAsia" w:hAnsiTheme="minorEastAsia" w:eastAsiaTheme="minorEastAsia"/>
          <w:sz w:val="21"/>
          <w:szCs w:val="21"/>
        </w:rPr>
        <w:t>铜</w:t>
      </w:r>
      <w:r>
        <w:rPr>
          <w:rFonts w:cs="Times New Roman" w:asciiTheme="minorEastAsia" w:hAnsiTheme="minorEastAsia" w:eastAsiaTheme="minorEastAsia"/>
          <w:sz w:val="21"/>
          <w:szCs w:val="21"/>
        </w:rPr>
        <w:t>冶炼行业相关的标准规范文件，如</w:t>
      </w:r>
      <w:r>
        <w:rPr>
          <w:rFonts w:hint="eastAsia" w:cs="Times New Roman" w:asciiTheme="minorEastAsia" w:hAnsiTheme="minorEastAsia" w:eastAsiaTheme="minorEastAsia"/>
          <w:sz w:val="21"/>
          <w:szCs w:val="21"/>
        </w:rPr>
        <w:t>GB/T 467-2010《阴极铜》及英文版、GB/T 18916.18-2015《取水定额第18部分:铜治炼生产》、GB25323《有色重金属冶炼企业产品能源消耗限额》（铜冶炼部分）、</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绿色设计产品评价技术规范 阴极铜</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绿色设计产品评价技术规范 金锭</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绿色设计产品评价技术规范 银锭</w:t>
      </w:r>
      <w:r>
        <w:rPr>
          <w:rFonts w:cs="Times New Roman" w:asciiTheme="minorEastAsia" w:hAnsiTheme="minorEastAsia" w:eastAsiaTheme="minorEastAsia"/>
          <w:sz w:val="21"/>
          <w:szCs w:val="21"/>
        </w:rPr>
        <w:t>》等多项冶炼标准，具有较强的标准编制基础和能力。</w:t>
      </w:r>
    </w:p>
    <w:p>
      <w:pPr>
        <w:spacing w:afterLines="50" w:line="360" w:lineRule="auto"/>
        <w:rPr>
          <w:rFonts w:ascii="微软雅黑" w:hAnsi="微软雅黑" w:cs="Times New Roman"/>
          <w:sz w:val="21"/>
          <w:szCs w:val="21"/>
        </w:rPr>
      </w:pPr>
      <w:r>
        <w:rPr>
          <w:rFonts w:hint="eastAsia" w:ascii="微软雅黑" w:hAnsi="微软雅黑" w:cs="Times New Roman"/>
          <w:sz w:val="21"/>
          <w:szCs w:val="21"/>
        </w:rPr>
        <w:t>1.3.2</w:t>
      </w:r>
      <w:r>
        <w:rPr>
          <w:rFonts w:hint="eastAsia" w:ascii="微软雅黑" w:hAnsi="微软雅黑"/>
          <w:sz w:val="21"/>
          <w:szCs w:val="21"/>
        </w:rPr>
        <w:t>主要工作成员及其分工</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本文件主要工作成员及其分工见表1</w:t>
      </w:r>
    </w:p>
    <w:p>
      <w:pPr>
        <w:spacing w:after="0" w:line="360" w:lineRule="auto"/>
        <w:jc w:val="center"/>
        <w:rPr>
          <w:rFonts w:asciiTheme="minorEastAsia" w:hAnsiTheme="minorEastAsia" w:eastAsiaTheme="minorEastAsia"/>
          <w:b/>
          <w:sz w:val="21"/>
          <w:szCs w:val="21"/>
        </w:rPr>
      </w:pPr>
      <w:bookmarkStart w:id="2" w:name="_Toc109980016"/>
      <w:r>
        <w:rPr>
          <w:rFonts w:hint="eastAsia" w:asciiTheme="minorEastAsia" w:hAnsiTheme="minorEastAsia" w:eastAsiaTheme="minorEastAsia"/>
          <w:b/>
          <w:sz w:val="21"/>
          <w:szCs w:val="21"/>
        </w:rPr>
        <w:t xml:space="preserve">表1  </w:t>
      </w:r>
      <w:bookmarkEnd w:id="2"/>
      <w:r>
        <w:rPr>
          <w:rFonts w:hint="eastAsia" w:asciiTheme="minorEastAsia" w:hAnsiTheme="minorEastAsia" w:eastAsiaTheme="minorEastAsia"/>
          <w:b/>
          <w:sz w:val="21"/>
          <w:szCs w:val="21"/>
        </w:rPr>
        <w:t>主要工作成员及其分工</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1242" w:type="dxa"/>
            <w:shd w:val="clear" w:color="auto" w:fill="C6D9F0" w:themeFill="text2" w:themeFillTint="33"/>
            <w:vAlign w:val="center"/>
          </w:tcPr>
          <w:p>
            <w:pPr>
              <w:spacing w:after="0" w:line="360" w:lineRule="auto"/>
              <w:jc w:val="center"/>
              <w:rPr>
                <w:rFonts w:asciiTheme="minorEastAsia" w:hAnsiTheme="minorEastAsia" w:eastAsiaTheme="minorEastAsia"/>
                <w:sz w:val="21"/>
                <w:szCs w:val="21"/>
              </w:rPr>
            </w:pPr>
            <w:bookmarkStart w:id="3" w:name="_Toc109980017"/>
            <w:r>
              <w:rPr>
                <w:rFonts w:hint="eastAsia" w:asciiTheme="minorEastAsia" w:hAnsiTheme="minorEastAsia" w:eastAsiaTheme="minorEastAsia"/>
                <w:sz w:val="21"/>
                <w:szCs w:val="21"/>
              </w:rPr>
              <w:t>姓名</w:t>
            </w:r>
            <w:bookmarkEnd w:id="3"/>
          </w:p>
        </w:tc>
        <w:tc>
          <w:tcPr>
            <w:tcW w:w="2694" w:type="dxa"/>
            <w:shd w:val="clear" w:color="auto" w:fill="C6D9F0" w:themeFill="text2" w:themeFillTint="33"/>
            <w:vAlign w:val="center"/>
          </w:tcPr>
          <w:p>
            <w:pPr>
              <w:spacing w:after="0" w:line="360" w:lineRule="auto"/>
              <w:jc w:val="center"/>
              <w:rPr>
                <w:rFonts w:asciiTheme="minorEastAsia" w:hAnsiTheme="minorEastAsia" w:eastAsiaTheme="minorEastAsia"/>
                <w:sz w:val="21"/>
                <w:szCs w:val="21"/>
              </w:rPr>
            </w:pPr>
            <w:bookmarkStart w:id="4" w:name="_Toc109980018"/>
            <w:r>
              <w:rPr>
                <w:rFonts w:hint="eastAsia" w:asciiTheme="minorEastAsia" w:hAnsiTheme="minorEastAsia" w:eastAsiaTheme="minorEastAsia"/>
                <w:sz w:val="21"/>
                <w:szCs w:val="21"/>
              </w:rPr>
              <w:t>所在单位</w:t>
            </w:r>
            <w:bookmarkEnd w:id="4"/>
          </w:p>
        </w:tc>
        <w:tc>
          <w:tcPr>
            <w:tcW w:w="4536" w:type="dxa"/>
            <w:shd w:val="clear" w:color="auto" w:fill="C6D9F0" w:themeFill="text2" w:themeFillTint="33"/>
            <w:vAlign w:val="center"/>
          </w:tcPr>
          <w:p>
            <w:pPr>
              <w:spacing w:after="0" w:line="360" w:lineRule="auto"/>
              <w:jc w:val="center"/>
              <w:rPr>
                <w:rFonts w:asciiTheme="minorEastAsia" w:hAnsiTheme="minorEastAsia" w:eastAsiaTheme="minorEastAsia"/>
                <w:sz w:val="21"/>
                <w:szCs w:val="21"/>
              </w:rPr>
            </w:pPr>
            <w:bookmarkStart w:id="5" w:name="_Toc109980019"/>
            <w:r>
              <w:rPr>
                <w:rFonts w:hint="eastAsia" w:asciiTheme="minorEastAsia" w:hAnsiTheme="minorEastAsia" w:eastAsiaTheme="minorEastAsia"/>
                <w:sz w:val="21"/>
                <w:szCs w:val="21"/>
              </w:rPr>
              <w:t>分工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苏发龙</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负责标准</w:t>
            </w:r>
            <w:r>
              <w:rPr>
                <w:rFonts w:hint="eastAsia" w:asciiTheme="minorEastAsia" w:hAnsiTheme="minorEastAsia" w:eastAsiaTheme="minorEastAsia"/>
                <w:sz w:val="21"/>
                <w:szCs w:val="21"/>
              </w:rPr>
              <w:t>制</w:t>
            </w:r>
            <w:r>
              <w:rPr>
                <w:rFonts w:asciiTheme="minorEastAsia" w:hAnsiTheme="minorEastAsia" w:eastAsiaTheme="minorEastAsia"/>
                <w:sz w:val="21"/>
                <w:szCs w:val="21"/>
              </w:rPr>
              <w:t>定的组织工作</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张鹏洲</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负责标准制</w:t>
            </w:r>
            <w:r>
              <w:rPr>
                <w:rFonts w:asciiTheme="minorEastAsia" w:hAnsiTheme="minorEastAsia" w:eastAsiaTheme="minorEastAsia"/>
                <w:sz w:val="21"/>
                <w:szCs w:val="21"/>
              </w:rPr>
              <w:t>定</w:t>
            </w:r>
            <w:r>
              <w:rPr>
                <w:rFonts w:hint="eastAsia" w:asciiTheme="minorEastAsia" w:hAnsiTheme="minorEastAsia" w:eastAsiaTheme="minorEastAsia"/>
                <w:sz w:val="21"/>
                <w:szCs w:val="21"/>
              </w:rPr>
              <w:t>工作计划的审定，组织标准技术指标、编制说明的讨论、研究。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赵大华</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负责全程参与标准文本和标准编制说明的编制、讨论，就核算边界确定、核算方法等提供专业指导。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敖煜</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草拟标准文本，编制调研函，参加完成各阶段标准资料的编制。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陈婕</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草拟编制说明，负责标准修订过程的日常协调工作，参加完成各阶段标准资料的编制。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王立刚</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对标准提供技术支持。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刘松林</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对标准提供技术支持。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叶舒琪</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全程参与标准文本和标准编制说明的编制、讨论。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黄先丁</w:t>
            </w:r>
          </w:p>
        </w:tc>
        <w:tc>
          <w:tcPr>
            <w:tcW w:w="2694" w:type="dxa"/>
            <w:vAlign w:val="center"/>
          </w:tcPr>
          <w:p>
            <w:pPr>
              <w:spacing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江西铜业股份有限公司</w:t>
            </w:r>
          </w:p>
        </w:tc>
        <w:tc>
          <w:tcPr>
            <w:tcW w:w="4536" w:type="dxa"/>
            <w:vAlign w:val="center"/>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参与标准文本和标准编制说明的编制、讨论。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有研资源环境技术研究院（北京）有限</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有研资源环境技术研究院（北京）有限</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中国有色金属工业协会</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中国有色金属工业协会</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铜陵有色金属集团有限公司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铜陵有色金属集团有限公司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有研科技集团有限公司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有研科技集团有限公司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紫金矿业集团股份有限公司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紫金矿业集团股份有限公司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云南铜业股份有限公司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云南铜业股份有限公司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金川集团股份有限公司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金川集团股份有限公司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大冶有色金属集团有限公司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大冶有色金属集团有限公司</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宁波金田铜业（集团）股份</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p>
        </w:tc>
        <w:tc>
          <w:tcPr>
            <w:tcW w:w="2694" w:type="dxa"/>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宁波金田铜业（集团）股份</w:t>
            </w:r>
          </w:p>
        </w:tc>
        <w:tc>
          <w:tcPr>
            <w:tcW w:w="4536" w:type="dxa"/>
            <w:tcBorders>
              <w:top w:val="nil"/>
              <w:left w:val="nil"/>
              <w:bottom w:val="single" w:color="auto" w:sz="4" w:space="0"/>
              <w:right w:val="single" w:color="auto" w:sz="4" w:space="0"/>
            </w:tcBorders>
            <w:shd w:val="clear" w:color="auto" w:fill="auto"/>
            <w:noWrap/>
          </w:tcPr>
          <w:p>
            <w:pPr>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提供标准起草意见/建议及单位数据，配合做好调研工作</w:t>
            </w:r>
          </w:p>
        </w:tc>
      </w:tr>
    </w:tbl>
    <w:p>
      <w:pPr>
        <w:pStyle w:val="13"/>
      </w:pPr>
      <w:r>
        <w:t>1.4起草过程</w:t>
      </w:r>
    </w:p>
    <w:p>
      <w:pPr>
        <w:pStyle w:val="5"/>
        <w:spacing w:afterLines="50" w:line="360" w:lineRule="auto"/>
        <w:outlineLvl w:val="2"/>
        <w:rPr>
          <w:rFonts w:ascii="微软雅黑" w:hAnsi="微软雅黑" w:eastAsia="微软雅黑" w:cs="Times New Roman"/>
          <w:bCs/>
          <w:szCs w:val="21"/>
        </w:rPr>
      </w:pPr>
      <w:r>
        <w:rPr>
          <w:rFonts w:ascii="微软雅黑" w:hAnsi="微软雅黑" w:eastAsia="微软雅黑" w:cs="Times New Roman"/>
          <w:bCs/>
          <w:szCs w:val="21"/>
        </w:rPr>
        <w:t>1.4.1预研阶段</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2021年11月，在全国有色金属标准化技术委员会组织召开的《全国有色标准化技术委员会智能制造标准化工作组、低碳标准化工作组成立大会暨项目论证会议》视频会议上，进行了预研讨论。</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2022年4月，根据线上会议意见，江西铜业股份有限公司修改完善标准申报材料，并于2022年5月初提交至全国有色金属标准化技术委员会。</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2022年6月至2023年3月，工作组开展标准起草和研究工作，该项目拟申报国家标准并更名为《温室气体排放核算与报告要求 第XX部分：铜冶炼企业》，并根据国家标准申报要求完善申报材料。</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2023年4月，全国有色金属标准化技术委员会低碳标准工作组在广西南宁组织开展了《温室气体排放核算与报告要求 第XX部分：铜冶炼企业》（以下简称标准）第一次集中讨论。</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2023年4月至9月，标准工作组针对南宁会议讨论意见修改完善了标准草案。</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2023年10月，全国有色金属标准化技术委员会低碳标准工作组在湖北黄石组织开展了标准第二次集中讨论，针对标准核算边界、排放因子等进行重点研究讨论，并形成会议纪要。</w:t>
      </w:r>
    </w:p>
    <w:p>
      <w:pPr>
        <w:widowControl w:val="0"/>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2023年12月29日，国家标准化管理委员会发布《国家标准化管理委员会关于下达碳达峰碳中和国家标准专项计划及相关标准外文版计划的通知》（国标委发</w:t>
      </w:r>
      <w:r>
        <w:rPr>
          <w:rFonts w:asciiTheme="minorEastAsia" w:hAnsiTheme="minorEastAsia" w:eastAsiaTheme="minorEastAsia"/>
          <w:sz w:val="21"/>
          <w:szCs w:val="21"/>
        </w:rPr>
        <w:t>[</w:t>
      </w:r>
      <w:r>
        <w:rPr>
          <w:rFonts w:hint="eastAsia" w:asciiTheme="minorEastAsia" w:hAnsiTheme="minorEastAsia" w:eastAsiaTheme="minorEastAsia"/>
          <w:sz w:val="21"/>
          <w:szCs w:val="21"/>
        </w:rPr>
        <w:t>2023</w:t>
      </w:r>
      <w:r>
        <w:rPr>
          <w:rFonts w:asciiTheme="minorEastAsia" w:hAnsiTheme="minorEastAsia" w:eastAsiaTheme="minorEastAsia"/>
          <w:sz w:val="21"/>
          <w:szCs w:val="21"/>
        </w:rPr>
        <w:t>]</w:t>
      </w:r>
      <w:r>
        <w:rPr>
          <w:rFonts w:hint="eastAsia" w:asciiTheme="minorEastAsia" w:hAnsiTheme="minorEastAsia" w:eastAsiaTheme="minorEastAsia"/>
          <w:sz w:val="21"/>
          <w:szCs w:val="21"/>
        </w:rPr>
        <w:t>67号），本标准被列入计划（计划号：</w:t>
      </w:r>
      <w:r>
        <w:rPr>
          <w:rFonts w:asciiTheme="minorEastAsia" w:hAnsiTheme="minorEastAsia" w:eastAsiaTheme="minorEastAsia"/>
          <w:sz w:val="21"/>
          <w:szCs w:val="21"/>
        </w:rPr>
        <w:t>20232552-T-610</w:t>
      </w:r>
      <w:r>
        <w:rPr>
          <w:rFonts w:hint="eastAsia" w:asciiTheme="minorEastAsia" w:hAnsiTheme="minorEastAsia" w:eastAsiaTheme="minorEastAsia"/>
          <w:sz w:val="21"/>
          <w:szCs w:val="21"/>
        </w:rPr>
        <w:t>），项目周期为18个月。</w:t>
      </w:r>
    </w:p>
    <w:p>
      <w:pPr>
        <w:widowControl w:val="0"/>
        <w:spacing w:afterLines="50" w:line="360" w:lineRule="auto"/>
        <w:rPr>
          <w:rFonts w:ascii="微软雅黑" w:hAnsi="微软雅黑"/>
          <w:sz w:val="21"/>
          <w:szCs w:val="21"/>
        </w:rPr>
      </w:pPr>
      <w:r>
        <w:rPr>
          <w:rFonts w:ascii="微软雅黑" w:hAnsi="微软雅黑" w:cs="Times New Roman"/>
          <w:bCs/>
          <w:sz w:val="21"/>
          <w:szCs w:val="21"/>
        </w:rPr>
        <w:t>1.4.</w:t>
      </w:r>
      <w:r>
        <w:rPr>
          <w:rFonts w:hint="eastAsia" w:ascii="微软雅黑" w:hAnsi="微软雅黑" w:cs="Times New Roman"/>
          <w:bCs/>
          <w:sz w:val="21"/>
          <w:szCs w:val="21"/>
        </w:rPr>
        <w:t>2</w:t>
      </w:r>
      <w:r>
        <w:rPr>
          <w:rFonts w:hint="eastAsia" w:ascii="微软雅黑" w:hAnsi="微软雅黑"/>
          <w:sz w:val="21"/>
          <w:szCs w:val="21"/>
        </w:rPr>
        <w:t>编制阶段</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2024年1月至4月，标准工作组针对黄石会议讨论意见，并充分借鉴其他温室气体排放核算标准修改完善了标准草案。</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2024年4月全国有色金属标准化技术委员会低碳标准工作组在江西南昌组织开展标准第三次集中讨论，会上重点介绍了标准主要内容并听取专家意见，会后进一步完善标准相关内容，形成征求意见稿，加快推进标准制订进程。</w:t>
      </w:r>
    </w:p>
    <w:p>
      <w:pPr>
        <w:widowControl w:val="0"/>
        <w:spacing w:afterLines="50" w:line="360" w:lineRule="auto"/>
        <w:rPr>
          <w:rFonts w:ascii="微软雅黑" w:hAnsi="微软雅黑"/>
          <w:sz w:val="21"/>
          <w:szCs w:val="21"/>
        </w:rPr>
      </w:pPr>
      <w:r>
        <w:rPr>
          <w:rFonts w:ascii="微软雅黑" w:hAnsi="微软雅黑" w:cs="Times New Roman"/>
          <w:bCs/>
          <w:sz w:val="21"/>
          <w:szCs w:val="21"/>
        </w:rPr>
        <w:t>1.4.</w:t>
      </w:r>
      <w:r>
        <w:rPr>
          <w:rFonts w:hint="eastAsia" w:ascii="微软雅黑" w:hAnsi="微软雅黑" w:cs="Times New Roman"/>
          <w:bCs/>
          <w:sz w:val="21"/>
          <w:szCs w:val="21"/>
        </w:rPr>
        <w:t>3</w:t>
      </w:r>
      <w:r>
        <w:rPr>
          <w:rFonts w:hint="eastAsia" w:ascii="微软雅黑" w:hAnsi="微软雅黑"/>
          <w:sz w:val="21"/>
          <w:szCs w:val="21"/>
        </w:rPr>
        <w:t>调研阶段</w:t>
      </w:r>
    </w:p>
    <w:p>
      <w:pPr>
        <w:widowControl w:val="0"/>
        <w:spacing w:afterLines="50" w:line="360" w:lineRule="auto"/>
        <w:rPr>
          <w:rFonts w:ascii="微软雅黑" w:hAnsi="微软雅黑"/>
          <w:sz w:val="21"/>
          <w:szCs w:val="21"/>
        </w:rPr>
      </w:pPr>
      <w:r>
        <w:rPr>
          <w:rFonts w:ascii="微软雅黑" w:hAnsi="微软雅黑" w:cs="Times New Roman"/>
          <w:bCs/>
          <w:sz w:val="21"/>
          <w:szCs w:val="21"/>
        </w:rPr>
        <w:t>1.4.</w:t>
      </w:r>
      <w:r>
        <w:rPr>
          <w:rFonts w:hint="eastAsia" w:ascii="微软雅黑" w:hAnsi="微软雅黑" w:cs="Times New Roman"/>
          <w:bCs/>
          <w:sz w:val="21"/>
          <w:szCs w:val="21"/>
        </w:rPr>
        <w:t>4</w:t>
      </w:r>
      <w:r>
        <w:rPr>
          <w:rFonts w:hint="eastAsia" w:ascii="微软雅黑" w:hAnsi="微软雅黑"/>
          <w:sz w:val="21"/>
          <w:szCs w:val="21"/>
        </w:rPr>
        <w:t>意见征集阶段</w:t>
      </w:r>
    </w:p>
    <w:p>
      <w:pPr>
        <w:pStyle w:val="13"/>
      </w:pPr>
      <w:r>
        <w:rPr>
          <w:rFonts w:hint="eastAsia"/>
        </w:rPr>
        <w:t>2</w:t>
      </w:r>
      <w:r>
        <w:t>编制原则</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标准的编制原则和编制依据如下：</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（1）本标准按照 GB/T</w:t>
      </w:r>
      <w:r>
        <w:rPr>
          <w:rFonts w:hint="eastAsia" w:cs="Times New Roman" w:asciiTheme="minorEastAsia" w:hAnsiTheme="minorEastAsia" w:eastAsiaTheme="minorEastAsia"/>
          <w:sz w:val="21"/>
          <w:szCs w:val="21"/>
        </w:rPr>
        <w:t xml:space="preserve"> </w:t>
      </w:r>
      <w:r>
        <w:rPr>
          <w:rFonts w:cs="Times New Roman" w:asciiTheme="minorEastAsia" w:hAnsiTheme="minorEastAsia" w:eastAsiaTheme="minorEastAsia"/>
          <w:sz w:val="21"/>
          <w:szCs w:val="21"/>
        </w:rPr>
        <w:t>1.1-2020《标准化工作导则 第 1 部分：标准化文件的结构和起草规则》的规定起草；</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（2）查阅相关标准和调研国内外</w:t>
      </w:r>
      <w:r>
        <w:rPr>
          <w:rFonts w:hint="eastAsia" w:cs="Times New Roman" w:asciiTheme="minorEastAsia" w:hAnsiTheme="minorEastAsia" w:eastAsiaTheme="minorEastAsia"/>
          <w:sz w:val="21"/>
          <w:szCs w:val="21"/>
        </w:rPr>
        <w:t>铜</w:t>
      </w:r>
      <w:r>
        <w:rPr>
          <w:rFonts w:cs="Times New Roman" w:asciiTheme="minorEastAsia" w:hAnsiTheme="minorEastAsia" w:eastAsiaTheme="minorEastAsia"/>
          <w:sz w:val="21"/>
          <w:szCs w:val="21"/>
        </w:rPr>
        <w:t>冶炼企业的实际生产情况；</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（3）根据国内</w:t>
      </w:r>
      <w:r>
        <w:rPr>
          <w:rFonts w:hint="eastAsia" w:cs="Times New Roman" w:asciiTheme="minorEastAsia" w:hAnsiTheme="minorEastAsia" w:eastAsiaTheme="minorEastAsia"/>
          <w:sz w:val="21"/>
          <w:szCs w:val="21"/>
        </w:rPr>
        <w:t>铜</w:t>
      </w:r>
      <w:r>
        <w:rPr>
          <w:rFonts w:cs="Times New Roman" w:asciiTheme="minorEastAsia" w:hAnsiTheme="minorEastAsia" w:eastAsiaTheme="minorEastAsia"/>
          <w:sz w:val="21"/>
          <w:szCs w:val="21"/>
        </w:rPr>
        <w:t>冶炼行业的特点及实际用能情况，力求做到标准的合理与实用。</w:t>
      </w:r>
    </w:p>
    <w:p>
      <w:pPr>
        <w:pStyle w:val="13"/>
        <w:rPr>
          <w:bCs/>
          <w:kern w:val="44"/>
          <w:sz w:val="28"/>
          <w:szCs w:val="28"/>
        </w:rPr>
      </w:pPr>
      <w:bookmarkStart w:id="6" w:name="_Toc110463624"/>
      <w:bookmarkStart w:id="7" w:name="_Toc109980026"/>
      <w:r>
        <w:rPr>
          <w:rFonts w:hint="eastAsia"/>
        </w:rPr>
        <w:t>3</w:t>
      </w:r>
      <w:r>
        <w:t>、标准主要技术内容的确定依据及主要试验和验证情况分析</w:t>
      </w:r>
      <w:bookmarkEnd w:id="6"/>
      <w:bookmarkEnd w:id="7"/>
    </w:p>
    <w:p>
      <w:pPr>
        <w:widowControl w:val="0"/>
        <w:snapToGrid/>
        <w:spacing w:afterLines="50" w:line="360" w:lineRule="auto"/>
        <w:outlineLvl w:val="1"/>
        <w:rPr>
          <w:rFonts w:ascii="微软雅黑" w:hAnsi="微软雅黑"/>
          <w:bCs/>
          <w:kern w:val="44"/>
          <w:sz w:val="21"/>
          <w:szCs w:val="21"/>
        </w:rPr>
      </w:pPr>
      <w:bookmarkStart w:id="8" w:name="_Toc110463625"/>
      <w:r>
        <w:rPr>
          <w:rFonts w:hint="eastAsia" w:ascii="微软雅黑" w:hAnsi="微软雅黑"/>
          <w:bCs/>
          <w:kern w:val="44"/>
          <w:sz w:val="21"/>
          <w:szCs w:val="21"/>
        </w:rPr>
        <w:t>3.1</w:t>
      </w:r>
      <w:bookmarkEnd w:id="8"/>
      <w:r>
        <w:rPr>
          <w:rFonts w:hint="eastAsia" w:ascii="微软雅黑" w:hAnsi="微软雅黑"/>
          <w:bCs/>
          <w:kern w:val="44"/>
          <w:sz w:val="21"/>
          <w:szCs w:val="21"/>
        </w:rPr>
        <w:t>主要技术内容</w:t>
      </w:r>
    </w:p>
    <w:p>
      <w:pPr>
        <w:pStyle w:val="4"/>
        <w:keepNext w:val="0"/>
        <w:keepLines w:val="0"/>
        <w:widowControl w:val="0"/>
        <w:spacing w:afterLines="50" w:line="360" w:lineRule="auto"/>
        <w:ind w:left="0" w:leftChars="0"/>
        <w:rPr>
          <w:rFonts w:ascii="微软雅黑" w:hAnsi="微软雅黑"/>
          <w:sz w:val="21"/>
          <w:szCs w:val="21"/>
        </w:rPr>
      </w:pPr>
      <w:bookmarkStart w:id="9" w:name="_Toc110463626"/>
      <w:r>
        <w:rPr>
          <w:rFonts w:hint="eastAsia" w:ascii="微软雅黑" w:hAnsi="微软雅黑"/>
          <w:sz w:val="21"/>
          <w:szCs w:val="21"/>
        </w:rPr>
        <w:t>3.1.1范围</w:t>
      </w:r>
      <w:bookmarkEnd w:id="9"/>
    </w:p>
    <w:p>
      <w:pPr>
        <w:widowControl w:val="0"/>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通过调研我国铜冶炼企业以火法冶炼为主，湿法冶炼占比不足1%，本标准规定的范围仅包含铜冶炼企业火法冶炼温室气体排放指标的统计范围、核算方法与报告要求。</w:t>
      </w:r>
    </w:p>
    <w:p>
      <w:pPr>
        <w:widowControl w:val="0"/>
        <w:spacing w:afterLines="50" w:line="360" w:lineRule="auto"/>
        <w:outlineLvl w:val="2"/>
        <w:rPr>
          <w:rFonts w:hint="eastAsia" w:ascii="微软雅黑" w:hAnsi="微软雅黑"/>
          <w:color w:val="000000"/>
          <w:sz w:val="21"/>
          <w:szCs w:val="21"/>
        </w:rPr>
      </w:pPr>
      <w:r>
        <w:rPr>
          <w:rFonts w:hint="eastAsia" w:ascii="微软雅黑" w:hAnsi="微软雅黑"/>
          <w:sz w:val="21"/>
          <w:szCs w:val="21"/>
        </w:rPr>
        <w:t>3.1.2</w:t>
      </w:r>
      <w:r>
        <w:rPr>
          <w:rFonts w:hint="eastAsia" w:ascii="微软雅黑" w:hAnsi="微软雅黑"/>
          <w:color w:val="000000"/>
          <w:sz w:val="21"/>
          <w:szCs w:val="21"/>
        </w:rPr>
        <w:t>规范性引用文件</w:t>
      </w:r>
    </w:p>
    <w:p>
      <w:pPr>
        <w:widowControl w:val="0"/>
        <w:spacing w:after="0" w:line="360" w:lineRule="auto"/>
        <w:ind w:firstLine="420" w:firstLineChars="200"/>
        <w:outlineLvl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列出了本标准涉及的国家标准和行业标准，以及相应的适用版本。</w:t>
      </w:r>
    </w:p>
    <w:p>
      <w:pPr>
        <w:widowControl w:val="0"/>
        <w:spacing w:afterLines="50" w:line="360" w:lineRule="auto"/>
        <w:outlineLvl w:val="2"/>
        <w:rPr>
          <w:rFonts w:hint="eastAsia" w:ascii="微软雅黑" w:hAnsi="微软雅黑"/>
          <w:color w:val="000000"/>
          <w:sz w:val="21"/>
          <w:szCs w:val="21"/>
        </w:rPr>
      </w:pPr>
      <w:r>
        <w:rPr>
          <w:rFonts w:hint="eastAsia" w:ascii="微软雅黑" w:hAnsi="微软雅黑"/>
          <w:sz w:val="21"/>
          <w:szCs w:val="21"/>
        </w:rPr>
        <w:t>3.1.3</w:t>
      </w:r>
      <w:r>
        <w:rPr>
          <w:rFonts w:hint="eastAsia" w:ascii="微软雅黑" w:hAnsi="微软雅黑"/>
          <w:color w:val="000000"/>
          <w:sz w:val="21"/>
          <w:szCs w:val="21"/>
        </w:rPr>
        <w:t>术语和定义</w:t>
      </w:r>
    </w:p>
    <w:p>
      <w:pPr>
        <w:widowControl w:val="0"/>
        <w:spacing w:after="0"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规定了 12 个主要术语，主要参考《工业企业温室气体排放核算和报告通则》和《碳排放核算与报告要求 第14部分：其他有色金属冶炼和压延加工企业》标准中的规范用语。</w:t>
      </w:r>
    </w:p>
    <w:p>
      <w:pPr>
        <w:pStyle w:val="4"/>
        <w:keepNext w:val="0"/>
        <w:keepLines w:val="0"/>
        <w:widowControl w:val="0"/>
        <w:spacing w:afterLines="50" w:line="360" w:lineRule="auto"/>
        <w:ind w:left="0" w:leftChars="0"/>
        <w:rPr>
          <w:rFonts w:hint="eastAsia" w:ascii="微软雅黑" w:hAnsi="微软雅黑"/>
          <w:sz w:val="21"/>
          <w:szCs w:val="21"/>
        </w:rPr>
      </w:pPr>
      <w:r>
        <w:rPr>
          <w:rFonts w:hint="eastAsia" w:ascii="微软雅黑" w:hAnsi="微软雅黑"/>
          <w:sz w:val="21"/>
          <w:szCs w:val="21"/>
        </w:rPr>
        <w:t>3.1.4</w:t>
      </w:r>
      <w:r>
        <w:rPr>
          <w:rFonts w:hint="eastAsia" w:ascii="微软雅黑" w:hAnsi="微软雅黑" w:cs="Times New Roman"/>
          <w:bCs w:val="0"/>
          <w:color w:val="000000"/>
          <w:sz w:val="21"/>
          <w:szCs w:val="21"/>
        </w:rPr>
        <w:t xml:space="preserve"> </w:t>
      </w:r>
      <w:r>
        <w:rPr>
          <w:rFonts w:hint="eastAsia" w:ascii="微软雅黑" w:hAnsi="微软雅黑"/>
          <w:sz w:val="21"/>
          <w:szCs w:val="21"/>
        </w:rPr>
        <w:t>核算边界</w:t>
      </w:r>
    </w:p>
    <w:p>
      <w:pPr>
        <w:pStyle w:val="4"/>
        <w:keepNext w:val="0"/>
        <w:keepLines w:val="0"/>
        <w:widowControl w:val="0"/>
        <w:spacing w:afterLines="50" w:line="360" w:lineRule="auto"/>
        <w:ind w:left="0" w:leftChars="0"/>
        <w:rPr>
          <w:rFonts w:ascii="微软雅黑" w:hAnsi="微软雅黑"/>
          <w:sz w:val="21"/>
          <w:szCs w:val="21"/>
        </w:rPr>
      </w:pPr>
      <w:r>
        <w:rPr>
          <w:rFonts w:hint="eastAsia" w:ascii="微软雅黑" w:hAnsi="微软雅黑"/>
          <w:sz w:val="21"/>
          <w:szCs w:val="21"/>
        </w:rPr>
        <w:t>3.1.4.1总则</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hint="eastAsia" w:asciiTheme="minorEastAsia" w:hAnsiTheme="minorEastAsia" w:eastAsiaTheme="minorEastAsia"/>
          <w:sz w:val="21"/>
          <w:szCs w:val="21"/>
        </w:rPr>
        <w:t>本标准明确了报告主体应以企业法人或视同法人的独立核算单位为边界，核算和报告其生产系统产生的温室气体排放。</w:t>
      </w:r>
      <w:r>
        <w:rPr>
          <w:rFonts w:hint="eastAsia" w:ascii="Times New Roman" w:hAnsi="Times New Roman" w:cs="Times New Roman" w:eastAsiaTheme="minorEastAsia"/>
          <w:sz w:val="21"/>
          <w:szCs w:val="21"/>
        </w:rPr>
        <w:t>铜</w:t>
      </w:r>
      <w:r>
        <w:rPr>
          <w:rFonts w:ascii="Times New Roman" w:hAnsi="Times New Roman" w:cs="Times New Roman" w:eastAsiaTheme="minorEastAsia"/>
          <w:sz w:val="21"/>
          <w:szCs w:val="21"/>
        </w:rPr>
        <w:t>冶炼企业生产系统包括主要生产系统、辅助生产系统及附属生产系统。</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铜精矿冶炼工艺的</w:t>
      </w:r>
      <w:r>
        <w:rPr>
          <w:rFonts w:ascii="Times New Roman" w:hAnsi="Times New Roman" w:cs="Times New Roman" w:eastAsiaTheme="minorEastAsia"/>
          <w:sz w:val="21"/>
          <w:szCs w:val="21"/>
        </w:rPr>
        <w:t>主要生产系统包括</w:t>
      </w:r>
      <w:r>
        <w:rPr>
          <w:rFonts w:hint="eastAsia" w:ascii="Times New Roman" w:hAnsi="Times New Roman" w:cs="Times New Roman" w:eastAsiaTheme="minorEastAsia"/>
          <w:sz w:val="21"/>
          <w:szCs w:val="21"/>
        </w:rPr>
        <w:t>粗铜工序</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阳极铜工序和阴极铜工序</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粗杂铜冶炼工艺的</w:t>
      </w:r>
      <w:r>
        <w:rPr>
          <w:rFonts w:ascii="Times New Roman" w:hAnsi="Times New Roman" w:cs="Times New Roman" w:eastAsiaTheme="minorEastAsia"/>
          <w:sz w:val="21"/>
          <w:szCs w:val="21"/>
        </w:rPr>
        <w:t>主要生产系统包括</w:t>
      </w:r>
      <w:r>
        <w:rPr>
          <w:rFonts w:hint="eastAsia" w:ascii="Times New Roman" w:hAnsi="Times New Roman" w:cs="Times New Roman" w:eastAsiaTheme="minorEastAsia"/>
          <w:sz w:val="21"/>
          <w:szCs w:val="21"/>
        </w:rPr>
        <w:t>阳极铜工序和阴极铜工序。</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辅助生产系统包括法人边界内包含的</w:t>
      </w:r>
      <w:r>
        <w:rPr>
          <w:rFonts w:hint="eastAsia" w:ascii="Times New Roman" w:hAnsi="Times New Roman" w:cs="Times New Roman" w:eastAsiaTheme="minorEastAsia"/>
          <w:sz w:val="21"/>
          <w:szCs w:val="21"/>
        </w:rPr>
        <w:t>动力、供电、供水、化验、机修、库房、运输、</w:t>
      </w:r>
      <w:r>
        <w:rPr>
          <w:rFonts w:ascii="Times New Roman" w:hAnsi="Times New Roman" w:cs="Times New Roman" w:eastAsiaTheme="minorEastAsia"/>
          <w:sz w:val="21"/>
          <w:szCs w:val="21"/>
        </w:rPr>
        <w:t>环保设施等。</w:t>
      </w:r>
      <w:r>
        <w:rPr>
          <w:rFonts w:hint="eastAsia" w:ascii="Times New Roman" w:hAnsi="Times New Roman" w:cs="Times New Roman" w:eastAsiaTheme="minorEastAsia"/>
          <w:sz w:val="21"/>
          <w:szCs w:val="21"/>
        </w:rPr>
        <w:t>如果有外包耗能工质、三废处理厂等外包工序，则应在报告主体基本信息和其他报告信息中说明。</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附属生产系统包括厂区行政办公、职工食堂、职工宿舍和车间浴室</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保健站等。</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hint="eastAsia" w:asciiTheme="minorEastAsia" w:hAnsiTheme="minorEastAsia" w:eastAsiaTheme="minorEastAsia"/>
          <w:sz w:val="21"/>
          <w:szCs w:val="21"/>
        </w:rPr>
        <w:t>本标准明确了</w:t>
      </w:r>
      <w:r>
        <w:rPr>
          <w:rFonts w:hint="eastAsia" w:ascii="Times New Roman" w:hAnsi="Times New Roman" w:cs="Times New Roman" w:eastAsiaTheme="minorEastAsia"/>
          <w:sz w:val="21"/>
          <w:szCs w:val="21"/>
        </w:rPr>
        <w:t>绿色电力使用不进行扣减，应单独报告。</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报告主体除铜冶炼外还存在其他产品（如硫酸、稀贵金属等）生产活动应参考其他相关行业的企业温室气体排放核算和报告要求进行核算并汇总报告。</w:t>
      </w:r>
    </w:p>
    <w:p>
      <w:pPr>
        <w:widowControl w:val="0"/>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硫酸生产工艺温室气体排放核算方法，按照GB/T 3215.X执行。</w:t>
      </w:r>
    </w:p>
    <w:p>
      <w:pPr>
        <w:widowControl w:val="0"/>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三氧化二砷、硫酸铜、铼酸铵等化工产品生产工艺温室气体排放核算方法，按照GB/T 3215.10执行。</w:t>
      </w:r>
    </w:p>
    <w:p>
      <w:pPr>
        <w:widowControl w:val="0"/>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金锭、银锭、海绵钯、海绵铂等其他有色金属产品生产工艺温室气体排放核算方法，按照GB/T 3215.14执行。</w:t>
      </w:r>
    </w:p>
    <w:p>
      <w:pPr>
        <w:widowControl w:val="0"/>
        <w:spacing w:after="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渣精矿生产工艺温室气体排放核算方法，按照XXXX执行。</w:t>
      </w:r>
    </w:p>
    <w:p>
      <w:pPr>
        <w:pStyle w:val="4"/>
        <w:keepNext w:val="0"/>
        <w:keepLines w:val="0"/>
        <w:widowControl w:val="0"/>
        <w:spacing w:afterLines="50" w:line="360" w:lineRule="auto"/>
        <w:ind w:left="0" w:leftChars="0"/>
        <w:rPr>
          <w:rFonts w:hint="eastAsia" w:ascii="微软雅黑" w:hAnsi="微软雅黑"/>
          <w:sz w:val="21"/>
          <w:szCs w:val="21"/>
        </w:rPr>
      </w:pPr>
      <w:r>
        <w:rPr>
          <w:rFonts w:hint="eastAsia" w:ascii="微软雅黑" w:hAnsi="微软雅黑"/>
          <w:sz w:val="21"/>
          <w:szCs w:val="21"/>
        </w:rPr>
        <w:t>3.1.4.2工序核算边界</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序核算边界按企业边界中的主要生产系统进行划分，辅助生产系统温室气体排放量应分摊计入各工序，附属生产系统不分摊计算，外包的耗能工质、三废处理等不纳入工序核算边界，但应进行单独报告，方便铜冶炼企业</w:t>
      </w:r>
      <w:r>
        <w:rPr>
          <w:rFonts w:asciiTheme="minorEastAsia" w:hAnsiTheme="minorEastAsia" w:eastAsiaTheme="minorEastAsia"/>
          <w:sz w:val="21"/>
          <w:szCs w:val="21"/>
        </w:rPr>
        <w:t>相同工序</w:t>
      </w:r>
      <w:r>
        <w:rPr>
          <w:rFonts w:hint="eastAsia" w:asciiTheme="minorEastAsia" w:hAnsiTheme="minorEastAsia" w:eastAsiaTheme="minorEastAsia"/>
          <w:sz w:val="21"/>
          <w:szCs w:val="21"/>
        </w:rPr>
        <w:t>间碳</w:t>
      </w:r>
      <w:r>
        <w:rPr>
          <w:rFonts w:asciiTheme="minorEastAsia" w:hAnsiTheme="minorEastAsia" w:eastAsiaTheme="minorEastAsia"/>
          <w:sz w:val="21"/>
          <w:szCs w:val="21"/>
        </w:rPr>
        <w:t>排放的横向比较</w:t>
      </w:r>
      <w:r>
        <w:rPr>
          <w:rFonts w:hint="eastAsia" w:asciiTheme="minorEastAsia" w:hAnsiTheme="minorEastAsia" w:eastAsiaTheme="minorEastAsia"/>
          <w:sz w:val="21"/>
          <w:szCs w:val="21"/>
        </w:rPr>
        <w:t>。</w:t>
      </w:r>
    </w:p>
    <w:p>
      <w:pPr>
        <w:widowControl w:val="0"/>
        <w:spacing w:afterLines="50" w:line="360" w:lineRule="auto"/>
        <w:outlineLvl w:val="2"/>
        <w:rPr>
          <w:rFonts w:hint="eastAsia" w:ascii="微软雅黑" w:hAnsi="微软雅黑"/>
          <w:color w:val="000000"/>
          <w:sz w:val="21"/>
          <w:szCs w:val="21"/>
        </w:rPr>
      </w:pPr>
      <w:r>
        <w:rPr>
          <w:rFonts w:hint="eastAsia" w:ascii="微软雅黑" w:hAnsi="微软雅黑"/>
          <w:sz w:val="21"/>
          <w:szCs w:val="21"/>
        </w:rPr>
        <w:t>3.1.5</w:t>
      </w:r>
      <w:r>
        <w:rPr>
          <w:rFonts w:hint="eastAsia" w:ascii="微软雅黑" w:hAnsi="微软雅黑"/>
          <w:color w:val="000000"/>
          <w:sz w:val="21"/>
          <w:szCs w:val="21"/>
        </w:rPr>
        <w:t>计量与监测要求</w:t>
      </w:r>
    </w:p>
    <w:p>
      <w:pPr>
        <w:widowControl w:val="0"/>
        <w:spacing w:after="0" w:line="360" w:lineRule="auto"/>
        <w:ind w:firstLine="420" w:firstLineChars="200"/>
        <w:outlineLvl w:val="2"/>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本标准对企业温室气体排放计量与监测提出了具体的管理要求，一是要求企业根据排放源逐个对计量参数类型及计量方法进行识别，避免遗漏；二是明确了核算碳排放时涉及的化石燃料消耗量和低位发热量、能源作为原材料消耗量、过程排放所涉及的碳酸盐等消耗量和纯度、购入和输出的电力和热力对应的排放等的计量和监测频次及器具的要求；三是明确计量与监测管理的要求，包括规范能源计量器具的检定校准，确保计量器具依法计量检定或校准合格后使用，建立计量器具档案，确保企业使用的计量器具在有效的检定/校准周期内等。</w:t>
      </w:r>
    </w:p>
    <w:p>
      <w:pPr>
        <w:widowControl w:val="0"/>
        <w:spacing w:afterLines="50" w:line="360" w:lineRule="auto"/>
        <w:outlineLvl w:val="2"/>
        <w:rPr>
          <w:rFonts w:hint="eastAsia" w:ascii="黑体" w:hAnsi="黑体" w:eastAsia="黑体"/>
          <w:color w:val="000000"/>
        </w:rPr>
      </w:pPr>
      <w:r>
        <w:rPr>
          <w:rFonts w:hint="eastAsia" w:ascii="微软雅黑" w:hAnsi="微软雅黑"/>
          <w:sz w:val="21"/>
          <w:szCs w:val="21"/>
        </w:rPr>
        <w:t>3.1.6</w:t>
      </w:r>
      <w:r>
        <w:rPr>
          <w:rFonts w:hint="eastAsia" w:ascii="黑体" w:hAnsi="黑体" w:eastAsia="黑体"/>
          <w:color w:val="000000"/>
        </w:rPr>
        <w:t>核算步骤和核算方法</w:t>
      </w:r>
    </w:p>
    <w:p>
      <w:pPr>
        <w:pStyle w:val="4"/>
        <w:keepNext w:val="0"/>
        <w:keepLines w:val="0"/>
        <w:widowControl w:val="0"/>
        <w:spacing w:afterLines="50" w:line="360" w:lineRule="auto"/>
        <w:ind w:left="0" w:leftChars="0"/>
        <w:rPr>
          <w:rFonts w:ascii="微软雅黑" w:hAnsi="微软雅黑"/>
          <w:sz w:val="21"/>
          <w:szCs w:val="21"/>
        </w:rPr>
      </w:pPr>
      <w:r>
        <w:rPr>
          <w:rFonts w:hint="eastAsia" w:ascii="微软雅黑" w:hAnsi="微软雅黑"/>
          <w:sz w:val="21"/>
          <w:szCs w:val="21"/>
        </w:rPr>
        <w:t>3.1.6.1 识别排放源</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通过调研统计出火法冶炼各工序排放源</w:t>
      </w:r>
    </w:p>
    <w:p>
      <w:pPr>
        <w:widowControl w:val="0"/>
        <w:adjustRightInd/>
        <w:spacing w:line="360" w:lineRule="auto"/>
        <w:jc w:val="center"/>
        <w:rPr>
          <w:rFonts w:ascii="黑体" w:hAnsi="黑体" w:eastAsia="黑体"/>
          <w:color w:val="000000"/>
        </w:rPr>
      </w:pPr>
      <w:r>
        <w:rPr>
          <w:rFonts w:hint="eastAsia" w:ascii="黑体" w:hAnsi="黑体" w:eastAsia="黑体"/>
          <w:color w:val="000000"/>
        </w:rPr>
        <w:t>表1火法冶炼各工序排放源</w:t>
      </w:r>
    </w:p>
    <w:tbl>
      <w:tblPr>
        <w:tblStyle w:val="15"/>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626"/>
        <w:gridCol w:w="1985"/>
        <w:gridCol w:w="1209"/>
        <w:gridCol w:w="181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工艺</w:t>
            </w:r>
          </w:p>
        </w:tc>
        <w:tc>
          <w:tcPr>
            <w:tcW w:w="1626"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工序</w:t>
            </w:r>
          </w:p>
        </w:tc>
        <w:tc>
          <w:tcPr>
            <w:tcW w:w="1985"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燃料燃烧排放</w:t>
            </w:r>
          </w:p>
        </w:tc>
        <w:tc>
          <w:tcPr>
            <w:tcW w:w="1209"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过程排放</w:t>
            </w:r>
          </w:p>
        </w:tc>
        <w:tc>
          <w:tcPr>
            <w:tcW w:w="1813"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购入和输出热力产生的排放</w:t>
            </w:r>
          </w:p>
        </w:tc>
        <w:tc>
          <w:tcPr>
            <w:tcW w:w="1730" w:type="dxa"/>
            <w:vAlign w:val="center"/>
          </w:tcPr>
          <w:p>
            <w:pPr>
              <w:widowControl w:val="0"/>
              <w:adjustRightInd/>
              <w:spacing w:after="0" w:line="360" w:lineRule="auto"/>
              <w:jc w:val="center"/>
              <w:rPr>
                <w:rFonts w:asciiTheme="minorEastAsia" w:hAnsiTheme="minorEastAsia" w:eastAsiaTheme="minorEastAsia"/>
                <w:b/>
                <w:color w:val="000000"/>
                <w:kern w:val="2"/>
                <w:sz w:val="24"/>
                <w:szCs w:val="24"/>
              </w:rPr>
            </w:pPr>
            <w:r>
              <w:rPr>
                <w:rFonts w:hint="eastAsia" w:asciiTheme="minorEastAsia" w:hAnsiTheme="minorEastAsia" w:eastAsiaTheme="minorEastAsia"/>
                <w:b/>
                <w:color w:val="000000"/>
                <w:kern w:val="2"/>
                <w:sz w:val="24"/>
                <w:szCs w:val="24"/>
              </w:rPr>
              <w:t>购入和输出电力产生的排放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铜精矿冶炼工艺</w:t>
            </w:r>
          </w:p>
        </w:tc>
        <w:tc>
          <w:tcPr>
            <w:tcW w:w="1626"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粗铜工序(铜精矿-粗铜)</w:t>
            </w:r>
          </w:p>
        </w:tc>
        <w:tc>
          <w:tcPr>
            <w:tcW w:w="1985" w:type="dxa"/>
            <w:vAlign w:val="center"/>
          </w:tcPr>
          <w:p>
            <w:pPr>
              <w:widowControl w:val="0"/>
              <w:adjustRightInd/>
              <w:spacing w:after="0" w:line="360" w:lineRule="auto"/>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重油、柴油、天然气、煤、煤气</w:t>
            </w:r>
          </w:p>
        </w:tc>
        <w:tc>
          <w:tcPr>
            <w:tcW w:w="1209"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碳酸盐</w:t>
            </w:r>
          </w:p>
        </w:tc>
        <w:tc>
          <w:tcPr>
            <w:tcW w:w="1813"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蒸汽</w:t>
            </w:r>
          </w:p>
        </w:tc>
        <w:tc>
          <w:tcPr>
            <w:tcW w:w="1730"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p>
        </w:tc>
        <w:tc>
          <w:tcPr>
            <w:tcW w:w="1626"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阳极铜工序(粗铜-阳极铜)</w:t>
            </w:r>
          </w:p>
        </w:tc>
        <w:tc>
          <w:tcPr>
            <w:tcW w:w="1985"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重油、柴油、天然气、炭粉、焦碳</w:t>
            </w:r>
          </w:p>
        </w:tc>
        <w:tc>
          <w:tcPr>
            <w:tcW w:w="1209"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w:t>
            </w:r>
          </w:p>
        </w:tc>
        <w:tc>
          <w:tcPr>
            <w:tcW w:w="1813"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蒸汽</w:t>
            </w:r>
          </w:p>
        </w:tc>
        <w:tc>
          <w:tcPr>
            <w:tcW w:w="1730"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p>
        </w:tc>
        <w:tc>
          <w:tcPr>
            <w:tcW w:w="1626"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阴极铜工序(阳极铜-阴极铜)</w:t>
            </w:r>
          </w:p>
        </w:tc>
        <w:tc>
          <w:tcPr>
            <w:tcW w:w="1985"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柴油</w:t>
            </w:r>
          </w:p>
        </w:tc>
        <w:tc>
          <w:tcPr>
            <w:tcW w:w="1209"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w:t>
            </w:r>
          </w:p>
        </w:tc>
        <w:tc>
          <w:tcPr>
            <w:tcW w:w="1813"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蒸汽</w:t>
            </w:r>
          </w:p>
        </w:tc>
        <w:tc>
          <w:tcPr>
            <w:tcW w:w="1730"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杂铜冶炼工艺</w:t>
            </w:r>
          </w:p>
        </w:tc>
        <w:tc>
          <w:tcPr>
            <w:tcW w:w="1626"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阳极铜工序（杂铜-阳极铜)</w:t>
            </w:r>
          </w:p>
        </w:tc>
        <w:tc>
          <w:tcPr>
            <w:tcW w:w="1985"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重油、柴油、天然气、煤、焦碳</w:t>
            </w:r>
          </w:p>
        </w:tc>
        <w:tc>
          <w:tcPr>
            <w:tcW w:w="1209"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w:t>
            </w:r>
          </w:p>
        </w:tc>
        <w:tc>
          <w:tcPr>
            <w:tcW w:w="1813"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蒸汽</w:t>
            </w:r>
          </w:p>
        </w:tc>
        <w:tc>
          <w:tcPr>
            <w:tcW w:w="1730"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tcPr>
          <w:p>
            <w:pPr>
              <w:widowControl w:val="0"/>
              <w:adjustRightInd/>
              <w:spacing w:after="0" w:line="360" w:lineRule="auto"/>
              <w:jc w:val="center"/>
              <w:rPr>
                <w:rFonts w:asciiTheme="minorEastAsia" w:hAnsiTheme="minorEastAsia" w:eastAsiaTheme="minorEastAsia"/>
                <w:color w:val="000000" w:themeColor="text1"/>
                <w:kern w:val="2"/>
                <w:sz w:val="24"/>
                <w:szCs w:val="24"/>
              </w:rPr>
            </w:pPr>
          </w:p>
        </w:tc>
        <w:tc>
          <w:tcPr>
            <w:tcW w:w="1626"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阴极铜工序(阳极铜-阴极铜)</w:t>
            </w:r>
          </w:p>
        </w:tc>
        <w:tc>
          <w:tcPr>
            <w:tcW w:w="1985"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柴油</w:t>
            </w:r>
          </w:p>
        </w:tc>
        <w:tc>
          <w:tcPr>
            <w:tcW w:w="1209" w:type="dxa"/>
            <w:vAlign w:val="center"/>
          </w:tcPr>
          <w:p>
            <w:pPr>
              <w:widowControl w:val="0"/>
              <w:adjustRightInd/>
              <w:spacing w:after="0" w:line="360" w:lineRule="auto"/>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w:t>
            </w:r>
          </w:p>
        </w:tc>
        <w:tc>
          <w:tcPr>
            <w:tcW w:w="1813" w:type="dxa"/>
            <w:vAlign w:val="center"/>
          </w:tcPr>
          <w:p>
            <w:pPr>
              <w:widowControl w:val="0"/>
              <w:adjustRightInd/>
              <w:spacing w:after="0" w:line="360" w:lineRule="auto"/>
              <w:ind w:firstLine="210"/>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蒸汽</w:t>
            </w:r>
          </w:p>
        </w:tc>
        <w:tc>
          <w:tcPr>
            <w:tcW w:w="1730" w:type="dxa"/>
            <w:vAlign w:val="center"/>
          </w:tcPr>
          <w:p>
            <w:pPr>
              <w:widowControl w:val="0"/>
              <w:adjustRightInd/>
              <w:spacing w:after="0" w:line="360" w:lineRule="auto"/>
              <w:ind w:firstLine="210"/>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电力</w:t>
            </w:r>
          </w:p>
        </w:tc>
      </w:tr>
    </w:tbl>
    <w:p>
      <w:pPr>
        <w:widowControl w:val="0"/>
        <w:spacing w:afterLines="50" w:line="360" w:lineRule="auto"/>
        <w:outlineLvl w:val="3"/>
        <w:rPr>
          <w:rFonts w:hint="eastAsia" w:ascii="微软雅黑" w:hAnsi="微软雅黑"/>
          <w:color w:val="000000"/>
          <w:sz w:val="21"/>
          <w:szCs w:val="21"/>
        </w:rPr>
      </w:pPr>
      <w:r>
        <w:rPr>
          <w:rFonts w:hint="eastAsia" w:ascii="微软雅黑" w:hAnsi="微软雅黑"/>
          <w:sz w:val="21"/>
          <w:szCs w:val="21"/>
        </w:rPr>
        <w:t>3.1.6.2企业温室气体</w:t>
      </w:r>
      <w:r>
        <w:rPr>
          <w:rFonts w:hint="eastAsia" w:ascii="微软雅黑" w:hAnsi="微软雅黑"/>
          <w:color w:val="000000"/>
          <w:sz w:val="21"/>
          <w:szCs w:val="21"/>
        </w:rPr>
        <w:t>核算方法</w:t>
      </w:r>
    </w:p>
    <w:p>
      <w:pPr>
        <w:pStyle w:val="22"/>
        <w:widowControl w:val="0"/>
        <w:numPr>
          <w:ilvl w:val="0"/>
          <w:numId w:val="2"/>
        </w:numPr>
        <w:spacing w:afterLines="50" w:line="360" w:lineRule="auto"/>
        <w:ind w:left="420" w:firstLineChars="0"/>
        <w:rPr>
          <w:rFonts w:hint="eastAsia" w:ascii="微软雅黑" w:hAnsi="微软雅黑"/>
          <w:color w:val="000000"/>
          <w:sz w:val="21"/>
          <w:szCs w:val="21"/>
        </w:rPr>
      </w:pPr>
      <w:r>
        <w:rPr>
          <w:rFonts w:hint="eastAsia" w:ascii="微软雅黑" w:hAnsi="微软雅黑"/>
          <w:color w:val="000000"/>
          <w:sz w:val="21"/>
          <w:szCs w:val="21"/>
        </w:rPr>
        <w:t>总量计算</w:t>
      </w:r>
    </w:p>
    <w:p>
      <w:pPr>
        <w:widowControl w:val="0"/>
        <w:spacing w:after="0"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企业温室气体排放总量按核算边界内所有燃料燃烧量、能源作为原材料用途所产生的排放量、过程消耗量及企业购入的电力和热力所对应的二氧化碳排放量之和，同时扣除输出的电力和热力所对应的二氧化碳排放量计算。</w:t>
      </w:r>
    </w:p>
    <w:p>
      <w:pPr>
        <w:pStyle w:val="22"/>
        <w:widowControl w:val="0"/>
        <w:numPr>
          <w:ilvl w:val="0"/>
          <w:numId w:val="2"/>
        </w:numPr>
        <w:spacing w:afterLines="50" w:line="360" w:lineRule="auto"/>
        <w:ind w:left="420" w:firstLineChars="0"/>
        <w:rPr>
          <w:rFonts w:hint="eastAsia" w:ascii="微软雅黑" w:hAnsi="微软雅黑"/>
          <w:color w:val="000000"/>
          <w:sz w:val="21"/>
          <w:szCs w:val="21"/>
        </w:rPr>
      </w:pPr>
      <w:r>
        <w:rPr>
          <w:rFonts w:hint="eastAsia" w:ascii="微软雅黑" w:hAnsi="微软雅黑"/>
          <w:color w:val="000000"/>
          <w:sz w:val="21"/>
          <w:szCs w:val="21"/>
        </w:rPr>
        <w:t>燃料燃烧排放</w:t>
      </w:r>
    </w:p>
    <w:p>
      <w:pPr>
        <w:pStyle w:val="22"/>
        <w:widowControl w:val="0"/>
        <w:spacing w:after="0" w:line="36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化石燃料燃烧排放一般发生在主要生产系统和辅助生产系统中，铜冶炼企业所涉及的燃料燃烧排放是指重油、柴油、天然气、煤、煤气、炭粉等化石燃料在各种类型的固定或移动的燃烧设备（如闪速炉、转炉等）中与氧气发生氧化过程产生的二氧化碳。对于企业外购的化石燃料，只计算这些化石燃料在本企业燃烧所产生的温室气体排放，生产这些化石燃料的过程中（如天然气液化、煤制品加工等）产生的温室气体排放不纳入核算范围。</w:t>
      </w:r>
    </w:p>
    <w:p>
      <w:pPr>
        <w:pStyle w:val="22"/>
        <w:widowControl w:val="0"/>
        <w:spacing w:after="0" w:line="36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阳极炉精炼过程中，天然气既有作为还原剂用途的排放，又有作为燃料燃烧的排放，但无法计算各部分的使用量，且排放因子相同，因此不做区分，全部按照燃料燃烧排放计算。</w:t>
      </w:r>
    </w:p>
    <w:p>
      <w:pPr>
        <w:pStyle w:val="22"/>
        <w:widowControl w:val="0"/>
        <w:numPr>
          <w:ilvl w:val="0"/>
          <w:numId w:val="2"/>
        </w:numPr>
        <w:spacing w:afterLines="50" w:line="360" w:lineRule="auto"/>
        <w:ind w:left="420" w:firstLineChars="0"/>
        <w:rPr>
          <w:rFonts w:hint="eastAsia" w:ascii="微软雅黑" w:hAnsi="微软雅黑"/>
          <w:color w:val="000000"/>
          <w:sz w:val="21"/>
          <w:szCs w:val="21"/>
        </w:rPr>
      </w:pPr>
      <w:r>
        <w:rPr>
          <w:rFonts w:hint="eastAsia" w:ascii="微软雅黑" w:hAnsi="微软雅黑"/>
          <w:color w:val="000000"/>
          <w:sz w:val="21"/>
          <w:szCs w:val="21"/>
        </w:rPr>
        <w:t>过程排放</w:t>
      </w:r>
    </w:p>
    <w:p>
      <w:pPr>
        <w:pStyle w:val="22"/>
        <w:widowControl w:val="0"/>
        <w:spacing w:after="0" w:line="360" w:lineRule="auto"/>
        <w:rPr>
          <w:rFonts w:hint="eastAsia"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铜冶炼企业所涉及的过程排放主要是由于碳酸盐的分解及铜精矿中主要碳酸盐分解产生的二氧化碳。</w:t>
      </w:r>
    </w:p>
    <w:p>
      <w:pPr>
        <w:pStyle w:val="22"/>
        <w:widowControl w:val="0"/>
        <w:spacing w:after="0" w:line="360" w:lineRule="auto"/>
        <w:rPr>
          <w:rFonts w:hint="eastAsia"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目前企业内部化验室大部分无法进行物相分析，无法准确计算出精矿中碳酸盐含量，但据数据显示精矿中的碳酸盐主要以碳酸钙的形式存在，通过分析其氧化物的含量乘以</w:t>
      </w:r>
      <m:oMath>
        <m:sSub>
          <m:sSubPr>
            <m:ctrlPr>
              <w:rPr>
                <w:rFonts w:ascii="Cambria Math" w:hAnsiTheme="minorEastAsia" w:eastAsiaTheme="minorEastAsia"/>
                <w:i/>
                <w:sz w:val="21"/>
                <w:szCs w:val="21"/>
              </w:rPr>
            </m:ctrlPr>
          </m:sSubPr>
          <m:e>
            <m:r>
              <m:rPr/>
              <w:rPr>
                <w:rFonts w:ascii="Cambria Math" w:hAnsi="Cambria Math" w:eastAsiaTheme="minorEastAsia"/>
                <w:sz w:val="21"/>
                <w:szCs w:val="21"/>
              </w:rPr>
              <m:t>CaCO</m:t>
            </m:r>
            <m:ctrlPr>
              <w:rPr>
                <w:rFonts w:ascii="Cambria Math" w:hAnsiTheme="minorEastAsia" w:eastAsiaTheme="minorEastAsia"/>
                <w:i/>
                <w:sz w:val="21"/>
                <w:szCs w:val="21"/>
              </w:rPr>
            </m:ctrlPr>
          </m:e>
          <m:sub>
            <m:r>
              <m:rPr/>
              <w:rPr>
                <w:rFonts w:ascii="Cambria Math" w:hAnsiTheme="minorEastAsia" w:eastAsiaTheme="minorEastAsia"/>
                <w:sz w:val="21"/>
                <w:szCs w:val="21"/>
              </w:rPr>
              <m:t>3</m:t>
            </m:r>
            <m:ctrlPr>
              <w:rPr>
                <w:rFonts w:ascii="Cambria Math" w:hAnsiTheme="minorEastAsia" w:eastAsiaTheme="minorEastAsia"/>
                <w:i/>
                <w:sz w:val="21"/>
                <w:szCs w:val="21"/>
              </w:rPr>
            </m:ctrlPr>
          </m:sub>
        </m:sSub>
      </m:oMath>
      <w:r>
        <w:rPr>
          <w:rFonts w:hint="eastAsia" w:asciiTheme="minorEastAsia" w:hAnsiTheme="minorEastAsia" w:eastAsiaTheme="minorEastAsia"/>
          <w:sz w:val="21"/>
          <w:szCs w:val="21"/>
        </w:rPr>
        <w:t>的</w:t>
      </w:r>
      <w:r>
        <w:rPr>
          <w:rFonts w:asciiTheme="minorEastAsia" w:hAnsiTheme="minorEastAsia" w:eastAsiaTheme="minorEastAsia"/>
          <w:sz w:val="21"/>
          <w:szCs w:val="21"/>
        </w:rPr>
        <w:t>相对分子量与</w:t>
      </w:r>
      <m:oMath>
        <m:r>
          <m:rPr/>
          <w:rPr>
            <w:rFonts w:hint="eastAsia" w:ascii="Cambria Math" w:hAnsi="Cambria Math" w:eastAsiaTheme="minorEastAsia"/>
            <w:sz w:val="21"/>
            <w:szCs w:val="21"/>
          </w:rPr>
          <m:t>CaO</m:t>
        </m:r>
      </m:oMath>
      <w:r>
        <w:rPr>
          <w:rFonts w:hint="eastAsia" w:asciiTheme="minorEastAsia" w:hAnsiTheme="minorEastAsia" w:eastAsiaTheme="minorEastAsia"/>
          <w:sz w:val="21"/>
          <w:szCs w:val="21"/>
        </w:rPr>
        <w:t>的相对分子量的比值，可以得到碳酸钙的占比，从而得到碳酸钙的消耗量</w:t>
      </w:r>
      <w:r>
        <w:rPr>
          <w:rFonts w:hint="eastAsia" w:hAnsi="宋体"/>
        </w:rPr>
        <w:t>。</w:t>
      </w:r>
    </w:p>
    <w:p>
      <w:pPr>
        <w:pStyle w:val="22"/>
        <w:widowControl w:val="0"/>
        <w:numPr>
          <w:ilvl w:val="0"/>
          <w:numId w:val="2"/>
        </w:numPr>
        <w:spacing w:afterLines="50" w:line="360" w:lineRule="auto"/>
        <w:ind w:left="420" w:firstLineChars="0"/>
        <w:rPr>
          <w:rFonts w:ascii="微软雅黑" w:hAnsi="微软雅黑"/>
          <w:color w:val="000000"/>
          <w:sz w:val="21"/>
          <w:szCs w:val="21"/>
        </w:rPr>
      </w:pPr>
      <w:r>
        <w:rPr>
          <w:rFonts w:hint="eastAsia" w:ascii="微软雅黑" w:hAnsi="微软雅黑"/>
          <w:color w:val="000000"/>
          <w:sz w:val="21"/>
          <w:szCs w:val="21"/>
        </w:rPr>
        <w:t>能源作为原材料用途的排放</w:t>
      </w:r>
    </w:p>
    <w:p>
      <w:pPr>
        <w:pStyle w:val="33"/>
        <w:spacing w:line="360" w:lineRule="auto"/>
        <w:ind w:firstLine="420"/>
        <w:rPr>
          <w:rFonts w:hint="eastAsia"/>
        </w:rPr>
      </w:pPr>
      <w:r>
        <w:t>铜冶炼企业所涉及的能源作为原材料用途的排放为部分企业使用电极糊作为电极材料消耗导致的温室气体排放。电极糊为混合材质其排放因子</w:t>
      </w:r>
      <w:r>
        <w:rPr>
          <w:rFonts w:hint="eastAsia"/>
        </w:rPr>
        <w:t>参见附录B表所提供的缺省值。</w:t>
      </w:r>
    </w:p>
    <w:p>
      <w:pPr>
        <w:pStyle w:val="22"/>
        <w:widowControl w:val="0"/>
        <w:numPr>
          <w:ilvl w:val="0"/>
          <w:numId w:val="2"/>
        </w:numPr>
        <w:spacing w:afterLines="50" w:line="360" w:lineRule="auto"/>
        <w:ind w:left="420" w:firstLineChars="0"/>
        <w:rPr>
          <w:rFonts w:hint="eastAsia" w:ascii="微软雅黑" w:hAnsi="微软雅黑"/>
          <w:color w:val="000000"/>
          <w:sz w:val="21"/>
          <w:szCs w:val="21"/>
        </w:rPr>
      </w:pPr>
      <w:r>
        <w:rPr>
          <w:rFonts w:hint="eastAsia" w:ascii="微软雅黑" w:hAnsi="微软雅黑"/>
          <w:color w:val="000000"/>
          <w:sz w:val="21"/>
          <w:szCs w:val="21"/>
        </w:rPr>
        <w:t>购入和输出的电力产生的排放</w:t>
      </w:r>
    </w:p>
    <w:p>
      <w:pPr>
        <w:pStyle w:val="22"/>
        <w:widowControl w:val="0"/>
        <w:spacing w:after="0"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铜冶炼企业消费和输出的电力所对应的生产环节产生的二氧化碳排放，均采用国家主管部门最近年份公布的全国统一的电网平均CO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排放因子进行计算，不对使用的绿证电力进行扣减。</w:t>
      </w:r>
    </w:p>
    <w:p>
      <w:pPr>
        <w:pStyle w:val="22"/>
        <w:widowControl w:val="0"/>
        <w:numPr>
          <w:ilvl w:val="0"/>
          <w:numId w:val="2"/>
        </w:numPr>
        <w:spacing w:afterLines="50" w:line="360" w:lineRule="auto"/>
        <w:ind w:left="420" w:firstLineChars="0"/>
        <w:rPr>
          <w:rFonts w:hint="eastAsia" w:ascii="微软雅黑" w:hAnsi="微软雅黑"/>
          <w:color w:val="000000"/>
          <w:sz w:val="21"/>
          <w:szCs w:val="21"/>
        </w:rPr>
      </w:pPr>
      <w:r>
        <w:rPr>
          <w:rFonts w:hint="eastAsia" w:ascii="微软雅黑" w:hAnsi="微软雅黑"/>
          <w:color w:val="000000"/>
          <w:sz w:val="21"/>
          <w:szCs w:val="21"/>
        </w:rPr>
        <w:t>购入和输出的热力产生的排放</w:t>
      </w:r>
    </w:p>
    <w:p>
      <w:pPr>
        <w:pStyle w:val="22"/>
        <w:widowControl w:val="0"/>
        <w:spacing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铜冶炼企业消费和输出的热力所对应的生产环节产生的二氧化碳排放，热力排放因子优先采用供热单位的实测值，也可按推荐值0.11 tC0</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/GJ计算。</w:t>
      </w:r>
    </w:p>
    <w:p>
      <w:pPr>
        <w:widowControl w:val="0"/>
        <w:spacing w:afterLines="50" w:line="360" w:lineRule="auto"/>
        <w:outlineLvl w:val="2"/>
        <w:rPr>
          <w:rFonts w:hint="eastAsia" w:ascii="微软雅黑" w:hAnsi="微软雅黑"/>
          <w:color w:val="000000"/>
          <w:sz w:val="21"/>
          <w:szCs w:val="21"/>
        </w:rPr>
      </w:pPr>
      <w:r>
        <w:rPr>
          <w:rFonts w:hint="eastAsia" w:ascii="微软雅黑" w:hAnsi="微软雅黑"/>
          <w:sz w:val="21"/>
          <w:szCs w:val="21"/>
        </w:rPr>
        <w:t>3.1.6.3各工序温室气体</w:t>
      </w:r>
      <w:r>
        <w:rPr>
          <w:rFonts w:hint="eastAsia" w:ascii="微软雅黑" w:hAnsi="微软雅黑"/>
          <w:color w:val="000000"/>
          <w:sz w:val="21"/>
          <w:szCs w:val="21"/>
        </w:rPr>
        <w:t>核算方法</w:t>
      </w:r>
    </w:p>
    <w:p>
      <w:pPr>
        <w:pStyle w:val="22"/>
        <w:widowControl w:val="0"/>
        <w:numPr>
          <w:ilvl w:val="0"/>
          <w:numId w:val="3"/>
        </w:numPr>
        <w:spacing w:afterLines="50" w:line="360" w:lineRule="auto"/>
        <w:ind w:firstLineChars="0"/>
        <w:outlineLvl w:val="2"/>
        <w:rPr>
          <w:rFonts w:hint="eastAsia" w:ascii="微软雅黑" w:hAnsi="微软雅黑"/>
          <w:color w:val="000000"/>
          <w:sz w:val="21"/>
          <w:szCs w:val="21"/>
        </w:rPr>
      </w:pPr>
      <w:r>
        <w:rPr>
          <w:rFonts w:hint="eastAsia" w:ascii="微软雅黑" w:hAnsi="微软雅黑"/>
          <w:color w:val="000000"/>
          <w:sz w:val="21"/>
          <w:szCs w:val="21"/>
        </w:rPr>
        <w:t>粗铜工序</w:t>
      </w:r>
    </w:p>
    <w:p>
      <w:pPr>
        <w:pStyle w:val="22"/>
        <w:widowControl w:val="0"/>
        <w:spacing w:after="0" w:line="360" w:lineRule="auto"/>
        <w:rPr>
          <w:rFonts w:hint="eastAsia" w:ascii="微软雅黑" w:hAnsi="微软雅黑"/>
          <w:color w:val="000000"/>
          <w:sz w:val="21"/>
          <w:szCs w:val="21"/>
        </w:rPr>
      </w:pPr>
      <w:r>
        <w:rPr>
          <w:rFonts w:hint="eastAsia" w:asciiTheme="minorEastAsia" w:hAnsiTheme="minorEastAsia" w:eastAsiaTheme="minorEastAsia"/>
          <w:color w:val="000000"/>
          <w:sz w:val="21"/>
          <w:szCs w:val="21"/>
        </w:rPr>
        <w:t>粗铜工序温室气体排放总量按核算边界内所有燃料燃烧量、能源作为原材料用途所产生的排放量、过程消耗量及企业购入的电力和热力所对应的二氧化碳排放量之和计算。</w:t>
      </w:r>
    </w:p>
    <w:p>
      <w:pPr>
        <w:pStyle w:val="22"/>
        <w:widowControl w:val="0"/>
        <w:numPr>
          <w:ilvl w:val="0"/>
          <w:numId w:val="3"/>
        </w:numPr>
        <w:spacing w:afterLines="50" w:line="360" w:lineRule="auto"/>
        <w:ind w:firstLineChars="0"/>
        <w:outlineLvl w:val="2"/>
        <w:rPr>
          <w:rFonts w:hint="eastAsia" w:ascii="微软雅黑" w:hAnsi="微软雅黑"/>
          <w:color w:val="000000"/>
          <w:sz w:val="21"/>
          <w:szCs w:val="21"/>
        </w:rPr>
      </w:pPr>
      <w:r>
        <w:rPr>
          <w:rFonts w:hint="eastAsia" w:ascii="微软雅黑" w:hAnsi="微软雅黑"/>
          <w:color w:val="000000"/>
          <w:sz w:val="21"/>
          <w:szCs w:val="21"/>
        </w:rPr>
        <w:t>阳极铜工序</w:t>
      </w:r>
    </w:p>
    <w:p>
      <w:pPr>
        <w:pStyle w:val="22"/>
        <w:widowControl w:val="0"/>
        <w:spacing w:after="0" w:line="36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阳极铜工序温室气体排放总量按核算边界内所有燃料燃烧量、能源作为原材料用途所产生的排放量及企业购入的电力和热力所对应的二氧化碳排放量之和计算。</w:t>
      </w:r>
    </w:p>
    <w:p>
      <w:pPr>
        <w:pStyle w:val="22"/>
        <w:widowControl w:val="0"/>
        <w:numPr>
          <w:ilvl w:val="0"/>
          <w:numId w:val="3"/>
        </w:numPr>
        <w:spacing w:afterLines="50" w:line="360" w:lineRule="auto"/>
        <w:ind w:firstLineChars="0"/>
        <w:outlineLvl w:val="2"/>
        <w:rPr>
          <w:rFonts w:hint="eastAsia" w:ascii="微软雅黑" w:hAnsi="微软雅黑"/>
          <w:color w:val="000000"/>
          <w:sz w:val="21"/>
          <w:szCs w:val="21"/>
        </w:rPr>
      </w:pPr>
      <w:r>
        <w:rPr>
          <w:rFonts w:hint="eastAsia" w:ascii="微软雅黑" w:hAnsi="微软雅黑"/>
          <w:color w:val="000000"/>
          <w:sz w:val="21"/>
          <w:szCs w:val="21"/>
        </w:rPr>
        <w:t>阴极铜工序</w:t>
      </w:r>
    </w:p>
    <w:p>
      <w:pPr>
        <w:widowControl w:val="0"/>
        <w:spacing w:after="0" w:line="360" w:lineRule="auto"/>
        <w:ind w:firstLine="420" w:firstLineChars="200"/>
        <w:outlineLvl w:val="2"/>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阴极铜工序温室气体排放总量按核算边界内所有燃料燃烧量及企业购入的电力和热力所对应的二氧化碳排放量之和计算。</w:t>
      </w:r>
    </w:p>
    <w:p>
      <w:pPr>
        <w:widowControl w:val="0"/>
        <w:spacing w:afterLines="50" w:line="360" w:lineRule="auto"/>
        <w:outlineLvl w:val="2"/>
        <w:rPr>
          <w:rFonts w:hint="eastAsia" w:ascii="微软雅黑" w:hAnsi="微软雅黑"/>
          <w:color w:val="000000"/>
          <w:sz w:val="21"/>
          <w:szCs w:val="21"/>
        </w:rPr>
      </w:pPr>
      <w:r>
        <w:rPr>
          <w:rFonts w:hint="eastAsia" w:ascii="微软雅黑" w:hAnsi="微软雅黑"/>
          <w:sz w:val="21"/>
          <w:szCs w:val="21"/>
        </w:rPr>
        <w:t>3.1.7数据质量管理</w:t>
      </w:r>
    </w:p>
    <w:p>
      <w:pPr>
        <w:widowControl w:val="0"/>
        <w:spacing w:after="0" w:line="360" w:lineRule="auto"/>
        <w:ind w:firstLine="420" w:firstLineChars="200"/>
        <w:outlineLvl w:val="2"/>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无</w:t>
      </w:r>
    </w:p>
    <w:p>
      <w:pPr>
        <w:widowControl w:val="0"/>
        <w:spacing w:afterLines="50" w:line="360" w:lineRule="auto"/>
        <w:outlineLvl w:val="2"/>
        <w:rPr>
          <w:rFonts w:hint="eastAsia" w:ascii="微软雅黑" w:hAnsi="微软雅黑"/>
          <w:sz w:val="21"/>
          <w:szCs w:val="21"/>
        </w:rPr>
      </w:pPr>
      <w:r>
        <w:rPr>
          <w:rFonts w:hint="eastAsia" w:ascii="微软雅黑" w:hAnsi="微软雅黑"/>
          <w:sz w:val="21"/>
          <w:szCs w:val="21"/>
        </w:rPr>
        <w:t>3.1.8报告内容和格式</w:t>
      </w:r>
    </w:p>
    <w:p>
      <w:pPr>
        <w:widowControl w:val="0"/>
        <w:spacing w:after="0" w:line="360" w:lineRule="auto"/>
        <w:ind w:firstLine="420" w:firstLineChars="200"/>
        <w:outlineLvl w:val="2"/>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无</w:t>
      </w:r>
    </w:p>
    <w:p>
      <w:pPr>
        <w:pStyle w:val="4"/>
        <w:keepNext w:val="0"/>
        <w:keepLines w:val="0"/>
        <w:widowControl w:val="0"/>
        <w:spacing w:afterLines="50" w:line="360" w:lineRule="auto"/>
        <w:ind w:left="0" w:leftChars="0"/>
        <w:rPr>
          <w:rFonts w:hint="eastAsia" w:ascii="微软雅黑" w:hAnsi="微软雅黑"/>
          <w:sz w:val="21"/>
          <w:szCs w:val="21"/>
        </w:rPr>
      </w:pPr>
      <w:r>
        <w:rPr>
          <w:rFonts w:hint="eastAsia" w:ascii="微软雅黑" w:hAnsi="微软雅黑"/>
          <w:sz w:val="21"/>
          <w:szCs w:val="21"/>
        </w:rPr>
        <w:t>3.1.9附录A</w:t>
      </w:r>
    </w:p>
    <w:p>
      <w:pPr>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给出了铜冶炼企业火法冶炼温室气体排放核算边界示意图，并对各工序进行划分，标示了各工序的核算边界。</w:t>
      </w:r>
    </w:p>
    <w:p>
      <w:pPr>
        <w:pStyle w:val="4"/>
        <w:keepNext w:val="0"/>
        <w:keepLines w:val="0"/>
        <w:widowControl w:val="0"/>
        <w:spacing w:afterLines="50" w:line="360" w:lineRule="auto"/>
        <w:ind w:left="0" w:leftChars="0"/>
        <w:rPr>
          <w:rFonts w:ascii="微软雅黑" w:hAnsi="微软雅黑"/>
          <w:sz w:val="21"/>
          <w:szCs w:val="21"/>
        </w:rPr>
      </w:pPr>
      <w:r>
        <w:rPr>
          <w:rFonts w:hint="eastAsia" w:ascii="微软雅黑" w:hAnsi="微软雅黑"/>
          <w:sz w:val="21"/>
          <w:szCs w:val="21"/>
        </w:rPr>
        <w:t>3.1.10附录B</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铜冶炼温室气体报告中，除给出《报告主体年温室气体排放量汇总表》模板，同时给出《报告主体各工序年温室气体排放量汇总表》供铜冶炼企业选择报告。</w:t>
      </w:r>
    </w:p>
    <w:p>
      <w:pPr>
        <w:pStyle w:val="4"/>
        <w:keepNext w:val="0"/>
        <w:keepLines w:val="0"/>
        <w:widowControl w:val="0"/>
        <w:spacing w:afterLines="50" w:line="360" w:lineRule="auto"/>
        <w:ind w:left="0" w:leftChars="0"/>
        <w:rPr>
          <w:rFonts w:ascii="微软雅黑" w:hAnsi="微软雅黑"/>
          <w:sz w:val="21"/>
          <w:szCs w:val="21"/>
        </w:rPr>
      </w:pPr>
      <w:r>
        <w:rPr>
          <w:rFonts w:hint="eastAsia" w:ascii="微软雅黑" w:hAnsi="微软雅黑"/>
          <w:sz w:val="21"/>
          <w:szCs w:val="21"/>
        </w:rPr>
        <w:t>3.1.11附录C</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统一取值，针对标准中提及或可能存在的燃料品种，通过对《中国能源统计年鉴</w:t>
      </w:r>
      <w:r>
        <w:rPr>
          <w:rFonts w:asciiTheme="minorEastAsia" w:hAnsiTheme="minorEastAsia" w:eastAsiaTheme="minorEastAsia"/>
          <w:sz w:val="21"/>
          <w:szCs w:val="21"/>
        </w:rPr>
        <w:t xml:space="preserve"> 2021</w:t>
      </w:r>
      <w:r>
        <w:rPr>
          <w:rFonts w:hint="eastAsia" w:asciiTheme="minorEastAsia" w:hAnsiTheme="minorEastAsia" w:eastAsiaTheme="minorEastAsia"/>
          <w:sz w:val="21"/>
          <w:szCs w:val="21"/>
        </w:rPr>
        <w:t>》、《省级温室气体清单指南(试行)》、《IPCC国家温室气体清单指南》</w:t>
      </w:r>
      <w:r>
        <w:rPr>
          <w:rFonts w:asciiTheme="minorEastAsia" w:hAnsiTheme="minorEastAsia" w:eastAsiaTheme="minorEastAsia"/>
          <w:sz w:val="21"/>
          <w:szCs w:val="21"/>
        </w:rPr>
        <w:t>2006版及2019修订版</w:t>
      </w:r>
      <w:r>
        <w:rPr>
          <w:rFonts w:hint="eastAsia" w:asciiTheme="minorEastAsia" w:hAnsiTheme="minorEastAsia" w:eastAsiaTheme="minorEastAsia"/>
          <w:sz w:val="21"/>
          <w:szCs w:val="21"/>
        </w:rPr>
        <w:t>、中国温室气体清单研究》(2005)等文献的查找，给出了低位发热量、单位热值含碳量、燃料碳氧化率的值，可能出现过程排放的物料和其他排放因子给给出了排放因子参照值。</w:t>
      </w:r>
    </w:p>
    <w:p>
      <w:pPr>
        <w:widowControl w:val="0"/>
        <w:snapToGrid/>
        <w:spacing w:afterLines="50" w:line="360" w:lineRule="auto"/>
        <w:rPr>
          <w:rFonts w:ascii="微软雅黑" w:hAnsi="微软雅黑"/>
          <w:bCs/>
          <w:kern w:val="44"/>
          <w:sz w:val="21"/>
          <w:szCs w:val="21"/>
        </w:rPr>
      </w:pPr>
      <w:r>
        <w:rPr>
          <w:rFonts w:hint="eastAsia" w:ascii="微软雅黑" w:hAnsi="微软雅黑"/>
          <w:bCs/>
          <w:kern w:val="44"/>
          <w:sz w:val="21"/>
          <w:szCs w:val="21"/>
        </w:rPr>
        <w:t>3.2主要试验（获验证）情况分析</w:t>
      </w:r>
    </w:p>
    <w:p>
      <w:pPr>
        <w:widowControl w:val="0"/>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验证工作：</w:t>
      </w:r>
    </w:p>
    <w:p>
      <w:pPr>
        <w:widowControl w:val="0"/>
        <w:numPr>
          <w:ilvl w:val="0"/>
          <w:numId w:val="4"/>
        </w:numPr>
        <w:spacing w:after="0" w:line="360" w:lineRule="auto"/>
        <w:ind w:left="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铜湿法冶炼排放量有多少，是否有必要纳入；</w:t>
      </w:r>
    </w:p>
    <w:p>
      <w:pPr>
        <w:widowControl w:val="0"/>
        <w:numPr>
          <w:ilvl w:val="0"/>
          <w:numId w:val="4"/>
        </w:numPr>
        <w:spacing w:after="0" w:line="360" w:lineRule="auto"/>
        <w:ind w:left="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精矿碳酸盐产生的二氧化碳排放直接用CaO的质量分数进行换算</w:t>
      </w:r>
      <w:r>
        <w:rPr>
          <w:rFonts w:hint="eastAsia" w:asciiTheme="minorEastAsia" w:hAnsiTheme="minorEastAsia" w:eastAsiaTheme="minorEastAsia"/>
          <w:sz w:val="21"/>
          <w:szCs w:val="21"/>
        </w:rPr>
        <w:t>；</w:t>
      </w:r>
    </w:p>
    <w:p>
      <w:pPr>
        <w:widowControl w:val="0"/>
        <w:numPr>
          <w:ilvl w:val="0"/>
          <w:numId w:val="4"/>
        </w:numPr>
        <w:spacing w:after="0" w:line="360" w:lineRule="auto"/>
        <w:ind w:left="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电极糊产生的温室气体排放量有多大，是否可以忽略不计</w:t>
      </w:r>
      <w:r>
        <w:rPr>
          <w:rFonts w:hint="eastAsia" w:asciiTheme="minorEastAsia" w:hAnsiTheme="minorEastAsia" w:eastAsiaTheme="minorEastAsia"/>
          <w:sz w:val="21"/>
          <w:szCs w:val="21"/>
        </w:rPr>
        <w:t>；</w:t>
      </w:r>
    </w:p>
    <w:p>
      <w:pPr>
        <w:widowControl w:val="0"/>
        <w:snapToGrid/>
        <w:spacing w:after="0" w:line="360" w:lineRule="auto"/>
        <w:rPr>
          <w:rFonts w:hint="eastAsia" w:ascii="黑体" w:hAnsi="黑体" w:eastAsia="黑体"/>
          <w:bCs/>
          <w:kern w:val="44"/>
          <w:sz w:val="21"/>
          <w:szCs w:val="21"/>
        </w:rPr>
      </w:pPr>
      <w:r>
        <w:rPr>
          <w:rFonts w:hint="eastAsia" w:ascii="黑体" w:hAnsi="黑体" w:eastAsia="黑体"/>
          <w:bCs/>
          <w:kern w:val="44"/>
          <w:sz w:val="21"/>
          <w:szCs w:val="21"/>
        </w:rPr>
        <w:t>4预期达到的经济效果</w:t>
      </w:r>
    </w:p>
    <w:p>
      <w:pPr>
        <w:widowControl w:val="0"/>
        <w:spacing w:afterLines="50" w:line="360" w:lineRule="auto"/>
        <w:rPr>
          <w:rFonts w:hint="eastAsia" w:ascii="微软雅黑" w:hAnsi="微软雅黑" w:cs="Times New Roman"/>
          <w:sz w:val="21"/>
          <w:szCs w:val="21"/>
        </w:rPr>
      </w:pPr>
      <w:r>
        <w:rPr>
          <w:rFonts w:hint="eastAsia" w:ascii="微软雅黑" w:hAnsi="微软雅黑" w:cs="Times New Roman"/>
          <w:sz w:val="21"/>
          <w:szCs w:val="21"/>
        </w:rPr>
        <w:t>4.1</w:t>
      </w:r>
      <w:r>
        <w:rPr>
          <w:rFonts w:ascii="微软雅黑" w:hAnsi="微软雅黑" w:cs="Times New Roman"/>
          <w:sz w:val="21"/>
          <w:szCs w:val="21"/>
        </w:rPr>
        <w:t>经济效益：</w:t>
      </w:r>
    </w:p>
    <w:p>
      <w:pPr>
        <w:widowControl w:val="0"/>
        <w:spacing w:after="0" w:line="360" w:lineRule="auto"/>
        <w:ind w:firstLine="420" w:firstLineChars="20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本标准的实施有利于推进经济社会发展实现全面绿色转型、推动</w:t>
      </w:r>
      <w:r>
        <w:rPr>
          <w:rFonts w:hint="eastAsia" w:ascii="Times New Roman" w:hAnsi="Times New Roman" w:cs="Times New Roman" w:eastAsiaTheme="minorEastAsia"/>
          <w:sz w:val="21"/>
          <w:szCs w:val="21"/>
        </w:rPr>
        <w:t>铜</w:t>
      </w:r>
      <w:r>
        <w:rPr>
          <w:rFonts w:ascii="Times New Roman" w:hAnsi="Times New Roman" w:cs="Times New Roman" w:eastAsiaTheme="minorEastAsia"/>
          <w:sz w:val="21"/>
          <w:szCs w:val="21"/>
        </w:rPr>
        <w:t>冶炼行业产业结构优化升级，实现节能减排，深化能源体制机制改革。同时有助于企业实现节能降碳技术创新，领先于行业标准，提供企业核心竞争力。可为企业参与国内温室气体排放交易做好准备，指导企业强化碳排放管理，保护碳资产，为参与全国碳交易和碳金融市场，获得新的利润增长点奠定基础。可为企业识别有效且成本可控的减排机会，可以更好的帮助企业确定在节能减排和技术升级上的投入，提升企业运营效率，节约企业生产成本。</w:t>
      </w:r>
    </w:p>
    <w:p>
      <w:pPr>
        <w:widowControl w:val="0"/>
        <w:spacing w:afterLines="50" w:line="360" w:lineRule="auto"/>
        <w:rPr>
          <w:rFonts w:hint="eastAsia" w:ascii="微软雅黑" w:hAnsi="微软雅黑" w:cs="Times New Roman"/>
          <w:sz w:val="21"/>
          <w:szCs w:val="21"/>
        </w:rPr>
      </w:pPr>
      <w:r>
        <w:rPr>
          <w:rFonts w:hint="eastAsia" w:ascii="微软雅黑" w:hAnsi="微软雅黑" w:cs="Times New Roman"/>
          <w:sz w:val="21"/>
          <w:szCs w:val="21"/>
        </w:rPr>
        <w:t>4.2</w:t>
      </w:r>
      <w:r>
        <w:rPr>
          <w:rFonts w:ascii="微软雅黑" w:hAnsi="微软雅黑" w:cs="Times New Roman"/>
          <w:sz w:val="21"/>
          <w:szCs w:val="21"/>
        </w:rPr>
        <w:t>社会效益：</w:t>
      </w:r>
    </w:p>
    <w:p>
      <w:pPr>
        <w:pStyle w:val="5"/>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本标准的实施为企业积极响应国家或地方对于碳减排的相关政策要求，树立行业标杆，体现社会责任感，树立良好的商业形象，吸引投资者、消费者及员工，从而有利用企业的长期可持续发展。为</w:t>
      </w:r>
      <w:r>
        <w:rPr>
          <w:rFonts w:hint="eastAsia" w:ascii="Times New Roman" w:hAnsi="Times New Roman" w:cs="Times New Roman" w:eastAsiaTheme="minorEastAsia"/>
          <w:szCs w:val="21"/>
        </w:rPr>
        <w:t>铜</w:t>
      </w:r>
      <w:r>
        <w:rPr>
          <w:rFonts w:ascii="Times New Roman" w:hAnsi="Times New Roman" w:cs="Times New Roman" w:eastAsiaTheme="minorEastAsia"/>
          <w:szCs w:val="21"/>
        </w:rPr>
        <w:t>冶炼企业摸清家底，充分了解自身碳排放状况，提前掌握自身的主动权。对于控排企业来说，可争取有利配额，保护“碳排放基准线”，规避未来的履约风险。促进企业减少碳排放，实现节约能源资源，有效应对绿色低碳转型可能伴随的经济、社会风险，确保安全降碳，从而进一步提升国际社会责任及提高国际社会形象。</w:t>
      </w:r>
    </w:p>
    <w:p>
      <w:pPr>
        <w:widowControl w:val="0"/>
        <w:spacing w:afterLines="50" w:line="360" w:lineRule="auto"/>
        <w:rPr>
          <w:rFonts w:hint="eastAsia" w:ascii="微软雅黑" w:hAnsi="微软雅黑" w:cs="Times New Roman"/>
          <w:sz w:val="21"/>
          <w:szCs w:val="21"/>
        </w:rPr>
      </w:pPr>
      <w:r>
        <w:rPr>
          <w:rFonts w:hint="eastAsia" w:ascii="微软雅黑" w:hAnsi="微软雅黑" w:cs="Times New Roman"/>
          <w:sz w:val="21"/>
          <w:szCs w:val="21"/>
        </w:rPr>
        <w:t>4.3生态效益</w:t>
      </w:r>
      <w:r>
        <w:rPr>
          <w:rFonts w:ascii="微软雅黑" w:hAnsi="微软雅黑" w:cs="Times New Roman"/>
          <w:sz w:val="21"/>
          <w:szCs w:val="21"/>
        </w:rPr>
        <w:t>：</w:t>
      </w:r>
    </w:p>
    <w:p>
      <w:pPr>
        <w:pStyle w:val="5"/>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本标准的实施可促进企业通过植树造林增加森林碳汇，实现履行社会责任、削减碳排放，树立企业的正面形象的同时可以大大提升生态效益。其次，通过践行“绿水青山就是金山银山”的生态文明发展理念，可以引导企业正确实现碳减排，从源头削减能源和原材料的消耗，节约自然资源，降低污染物的排放，极大的保护生态环境。</w:t>
      </w:r>
    </w:p>
    <w:p>
      <w:pPr>
        <w:pStyle w:val="13"/>
      </w:pPr>
      <w:r>
        <w:rPr>
          <w:rFonts w:hint="eastAsia"/>
        </w:rPr>
        <w:t>5</w:t>
      </w:r>
      <w:r>
        <w:t>与国际、国外同类标准技术内容的对比情况</w:t>
      </w:r>
    </w:p>
    <w:p>
      <w:pPr>
        <w:widowControl w:val="0"/>
        <w:spacing w:after="0" w:line="360" w:lineRule="auto"/>
        <w:ind w:firstLine="420" w:firstLineChars="200"/>
        <w:rPr>
          <w:rFonts w:hint="eastAsia" w:cs="Times New Roman" w:asciiTheme="minorEastAsia" w:hAnsiTheme="minorEastAsia" w:eastAsiaTheme="minorEastAsia"/>
          <w:sz w:val="21"/>
          <w:szCs w:val="21"/>
        </w:rPr>
      </w:pPr>
      <w:r>
        <w:rPr>
          <w:rFonts w:cs="Times New Roman" w:asciiTheme="minorEastAsia" w:hAnsiTheme="minorEastAsia" w:eastAsiaTheme="minorEastAsia"/>
          <w:sz w:val="21"/>
          <w:szCs w:val="21"/>
        </w:rPr>
        <w:t>本标准与《温室气体排放核算与报告要求  第XX部分：其他有色金属冶炼和压延加工业企业》标准的不同之处</w:t>
      </w:r>
      <w:r>
        <w:rPr>
          <w:rFonts w:hint="eastAsia" w:cs="Times New Roman" w:asciiTheme="minorEastAsia" w:hAnsiTheme="minorEastAsia" w:eastAsiaTheme="minorEastAsia"/>
          <w:sz w:val="21"/>
          <w:szCs w:val="21"/>
        </w:rPr>
        <w:t>：</w:t>
      </w:r>
    </w:p>
    <w:p>
      <w:pPr>
        <w:pStyle w:val="22"/>
        <w:widowControl w:val="0"/>
        <w:numPr>
          <w:ilvl w:val="0"/>
          <w:numId w:val="5"/>
        </w:numPr>
        <w:spacing w:after="0" w:line="360" w:lineRule="auto"/>
        <w:ind w:left="420" w:firstLineChars="0"/>
        <w:rPr>
          <w:rFonts w:hint="eastAsia" w:asciiTheme="minorEastAsia" w:hAnsiTheme="minorEastAsia" w:eastAsiaTheme="minorEastAsia"/>
          <w:bCs/>
          <w:kern w:val="44"/>
          <w:sz w:val="21"/>
          <w:szCs w:val="21"/>
        </w:rPr>
      </w:pPr>
      <w:r>
        <w:rPr>
          <w:rFonts w:hint="eastAsia" w:asciiTheme="minorEastAsia" w:hAnsiTheme="minorEastAsia" w:eastAsiaTheme="minorEastAsia"/>
          <w:bCs/>
          <w:kern w:val="44"/>
          <w:sz w:val="21"/>
          <w:szCs w:val="21"/>
        </w:rPr>
        <w:t>明确了铜冶炼企业仅火法冶炼适用。</w:t>
      </w:r>
    </w:p>
    <w:p>
      <w:pPr>
        <w:pStyle w:val="22"/>
        <w:widowControl w:val="0"/>
        <w:numPr>
          <w:ilvl w:val="0"/>
          <w:numId w:val="5"/>
        </w:numPr>
        <w:spacing w:after="0" w:line="360" w:lineRule="auto"/>
        <w:ind w:left="420" w:firstLineChars="0"/>
        <w:rPr>
          <w:rFonts w:hint="eastAsia" w:asciiTheme="minorEastAsia" w:hAnsiTheme="minorEastAsia" w:eastAsiaTheme="minorEastAsia"/>
          <w:bCs/>
          <w:kern w:val="44"/>
          <w:sz w:val="21"/>
          <w:szCs w:val="21"/>
        </w:rPr>
      </w:pPr>
      <w:r>
        <w:rPr>
          <w:rFonts w:hint="eastAsia" w:asciiTheme="minorEastAsia" w:hAnsiTheme="minorEastAsia" w:eastAsiaTheme="minorEastAsia"/>
          <w:sz w:val="21"/>
          <w:szCs w:val="21"/>
        </w:rPr>
        <w:t>更新了火法冶炼温室气体排放核算边界示意图，并对各工序进行划分，标示了各工序的核算边界。</w:t>
      </w:r>
    </w:p>
    <w:p>
      <w:pPr>
        <w:pStyle w:val="22"/>
        <w:widowControl w:val="0"/>
        <w:numPr>
          <w:ilvl w:val="0"/>
          <w:numId w:val="5"/>
        </w:numPr>
        <w:spacing w:after="0" w:line="360" w:lineRule="auto"/>
        <w:ind w:left="420" w:firstLineChars="0"/>
        <w:rPr>
          <w:rFonts w:hint="eastAsia" w:asciiTheme="minorEastAsia" w:hAnsiTheme="minorEastAsia" w:eastAsiaTheme="minorEastAsia"/>
          <w:bCs/>
          <w:kern w:val="44"/>
          <w:sz w:val="21"/>
          <w:szCs w:val="21"/>
        </w:rPr>
      </w:pPr>
      <w:r>
        <w:rPr>
          <w:rFonts w:hint="eastAsia" w:asciiTheme="minorEastAsia" w:hAnsiTheme="minorEastAsia" w:eastAsiaTheme="minorEastAsia"/>
          <w:sz w:val="21"/>
          <w:szCs w:val="21"/>
        </w:rPr>
        <w:t>对核算边界进行重新定义，新增工艺核算边界，便于铜行业内横向比较。</w:t>
      </w:r>
    </w:p>
    <w:p>
      <w:pPr>
        <w:pStyle w:val="22"/>
        <w:widowControl w:val="0"/>
        <w:numPr>
          <w:ilvl w:val="0"/>
          <w:numId w:val="5"/>
        </w:numPr>
        <w:spacing w:after="0" w:line="360" w:lineRule="auto"/>
        <w:ind w:left="420" w:firstLineChars="0"/>
        <w:rPr>
          <w:rFonts w:hint="eastAsia" w:asciiTheme="minorEastAsia" w:hAnsiTheme="minorEastAsia" w:eastAsiaTheme="minorEastAsia"/>
          <w:bCs/>
          <w:kern w:val="44"/>
          <w:sz w:val="21"/>
          <w:szCs w:val="21"/>
        </w:rPr>
      </w:pPr>
      <w:r>
        <w:rPr>
          <w:rFonts w:asciiTheme="minorEastAsia" w:hAnsiTheme="minorEastAsia" w:eastAsiaTheme="minorEastAsia"/>
          <w:bCs/>
          <w:kern w:val="44"/>
          <w:sz w:val="21"/>
          <w:szCs w:val="21"/>
        </w:rPr>
        <w:t>明确碳酸盐及电极糊的计算方法</w:t>
      </w:r>
      <w:r>
        <w:rPr>
          <w:rFonts w:hint="eastAsia" w:asciiTheme="minorEastAsia" w:hAnsiTheme="minorEastAsia" w:eastAsiaTheme="minorEastAsia"/>
          <w:bCs/>
          <w:kern w:val="44"/>
          <w:sz w:val="21"/>
          <w:szCs w:val="21"/>
        </w:rPr>
        <w:t>。</w:t>
      </w:r>
    </w:p>
    <w:p>
      <w:pPr>
        <w:pStyle w:val="22"/>
        <w:widowControl w:val="0"/>
        <w:numPr>
          <w:ilvl w:val="0"/>
          <w:numId w:val="5"/>
        </w:numPr>
        <w:spacing w:after="0" w:line="360" w:lineRule="auto"/>
        <w:ind w:left="420" w:firstLineChars="0"/>
        <w:rPr>
          <w:rFonts w:hint="eastAsia" w:asciiTheme="minorEastAsia" w:hAnsiTheme="minorEastAsia" w:eastAsiaTheme="minorEastAsia"/>
          <w:bCs/>
          <w:kern w:val="44"/>
          <w:sz w:val="21"/>
          <w:szCs w:val="21"/>
        </w:rPr>
      </w:pPr>
      <w:r>
        <w:rPr>
          <w:rFonts w:hint="eastAsia" w:asciiTheme="minorEastAsia" w:hAnsiTheme="minorEastAsia" w:eastAsiaTheme="minorEastAsia"/>
          <w:bCs/>
          <w:kern w:val="44"/>
          <w:sz w:val="21"/>
          <w:szCs w:val="21"/>
        </w:rPr>
        <w:t>明确购入和输出电力的排放因子，及绿电单独报告但不进行扣减。</w:t>
      </w:r>
    </w:p>
    <w:p>
      <w:pPr>
        <w:pStyle w:val="22"/>
        <w:widowControl w:val="0"/>
        <w:numPr>
          <w:ilvl w:val="0"/>
          <w:numId w:val="5"/>
        </w:numPr>
        <w:spacing w:after="0" w:line="360" w:lineRule="auto"/>
        <w:ind w:left="420" w:firstLineChars="0"/>
        <w:rPr>
          <w:rFonts w:asciiTheme="minorEastAsia" w:hAnsiTheme="minorEastAsia" w:eastAsiaTheme="minorEastAsia"/>
          <w:bCs/>
          <w:kern w:val="44"/>
          <w:sz w:val="21"/>
          <w:szCs w:val="21"/>
        </w:rPr>
      </w:pPr>
      <w:r>
        <w:rPr>
          <w:rFonts w:hint="eastAsia" w:asciiTheme="minorEastAsia" w:hAnsiTheme="minorEastAsia" w:eastAsiaTheme="minorEastAsia"/>
          <w:bCs/>
          <w:kern w:val="44"/>
          <w:sz w:val="21"/>
          <w:szCs w:val="21"/>
        </w:rPr>
        <w:t>更新了排放因子缺省值。</w:t>
      </w:r>
    </w:p>
    <w:p>
      <w:pPr>
        <w:pStyle w:val="13"/>
      </w:pPr>
      <w:r>
        <w:rPr>
          <w:rFonts w:hint="eastAsia"/>
        </w:rPr>
        <w:t>6</w:t>
      </w:r>
      <w:r>
        <w:t>以国际、国外标准为基础的起草情况，以及是否合规引用或者采用国际、国外标准，并说明未采用国际、国外标准的原因</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本</w:t>
      </w:r>
      <w:r>
        <w:rPr>
          <w:rFonts w:hint="eastAsia" w:cs="Times New Roman" w:asciiTheme="minorEastAsia" w:hAnsiTheme="minorEastAsia" w:eastAsiaTheme="minorEastAsia"/>
          <w:sz w:val="21"/>
          <w:szCs w:val="21"/>
        </w:rPr>
        <w:t>标准</w:t>
      </w:r>
      <w:r>
        <w:rPr>
          <w:rFonts w:cs="Times New Roman" w:asciiTheme="minorEastAsia" w:hAnsiTheme="minorEastAsia" w:eastAsiaTheme="minorEastAsia"/>
          <w:sz w:val="21"/>
          <w:szCs w:val="21"/>
        </w:rPr>
        <w:t>参考了相关国际标准，</w:t>
      </w:r>
      <w:r>
        <w:rPr>
          <w:rFonts w:hint="eastAsia" w:cs="Times New Roman" w:asciiTheme="minorEastAsia" w:hAnsiTheme="minorEastAsia" w:eastAsiaTheme="minorEastAsia"/>
          <w:sz w:val="21"/>
          <w:szCs w:val="21"/>
        </w:rPr>
        <w:t>但是未</w:t>
      </w:r>
      <w:r>
        <w:rPr>
          <w:rFonts w:cs="Times New Roman" w:asciiTheme="minorEastAsia" w:hAnsiTheme="minorEastAsia" w:eastAsiaTheme="minorEastAsia"/>
          <w:sz w:val="21"/>
          <w:szCs w:val="21"/>
        </w:rPr>
        <w:t>以国际标准为基础起草。</w:t>
      </w:r>
    </w:p>
    <w:p>
      <w:pPr>
        <w:pStyle w:val="13"/>
      </w:pPr>
      <w:r>
        <w:rPr>
          <w:rFonts w:hint="eastAsia"/>
        </w:rPr>
        <w:t>7</w:t>
      </w:r>
      <w:r>
        <w:t>与有关法律、行政法规及相关标准的关系</w:t>
      </w:r>
    </w:p>
    <w:p>
      <w:pPr>
        <w:widowControl w:val="0"/>
        <w:snapToGrid/>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本标准的编制遵循了现行相关法律和法规。</w:t>
      </w:r>
    </w:p>
    <w:p>
      <w:pPr>
        <w:widowControl w:val="0"/>
        <w:snapToGrid/>
        <w:spacing w:after="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国家标准：本标准属于 GB/T 32151《温室气体排放核算与报告要求》系列</w:t>
      </w:r>
    </w:p>
    <w:p>
      <w:pPr>
        <w:spacing w:after="0" w:line="360" w:lineRule="auto"/>
        <w:ind w:firstLine="420" w:firstLineChars="200"/>
        <w:rPr>
          <w:rFonts w:ascii="Times New Roman" w:hAnsi="Times New Roman" w:cs="Times New Roman"/>
          <w:szCs w:val="21"/>
        </w:rPr>
      </w:pPr>
      <w:r>
        <w:rPr>
          <w:rFonts w:hint="eastAsia" w:asciiTheme="minorEastAsia" w:hAnsiTheme="minorEastAsia" w:eastAsiaTheme="minorEastAsia"/>
          <w:sz w:val="21"/>
          <w:szCs w:val="21"/>
        </w:rPr>
        <w:t>相关指南：生态环境部发布的相关指南在操作的可行性上对本标准的编制具有借鉴性意义</w:t>
      </w:r>
    </w:p>
    <w:p>
      <w:pPr>
        <w:pStyle w:val="13"/>
      </w:pPr>
      <w:r>
        <w:rPr>
          <w:rFonts w:hint="eastAsia"/>
        </w:rPr>
        <w:t>8</w:t>
      </w:r>
      <w:r>
        <w:t>重大分歧意见的处理经过和依据</w:t>
      </w:r>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本标准未有重大分歧意见。</w:t>
      </w:r>
    </w:p>
    <w:p>
      <w:pPr>
        <w:pStyle w:val="13"/>
      </w:pPr>
      <w:r>
        <w:rPr>
          <w:rFonts w:hint="eastAsia"/>
        </w:rPr>
        <w:t>9</w:t>
      </w:r>
      <w:r>
        <w:t>涉及专利的情况说明</w:t>
      </w:r>
    </w:p>
    <w:p>
      <w:pPr>
        <w:pStyle w:val="5"/>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本标准不涉及专利问题。</w:t>
      </w:r>
    </w:p>
    <w:p>
      <w:pPr>
        <w:spacing w:beforeLines="50" w:afterLines="50" w:line="360" w:lineRule="auto"/>
        <w:rPr>
          <w:rFonts w:ascii="黑体" w:hAnsi="黑体" w:eastAsia="黑体" w:cs="Times New Roman"/>
          <w:bCs/>
          <w:szCs w:val="21"/>
        </w:rPr>
      </w:pPr>
      <w:bookmarkStart w:id="10" w:name="_Toc15989"/>
      <w:r>
        <w:rPr>
          <w:rFonts w:hint="eastAsia" w:ascii="黑体" w:hAnsi="黑体" w:eastAsia="黑体" w:cs="Times New Roman"/>
          <w:bCs/>
          <w:szCs w:val="21"/>
        </w:rPr>
        <w:t>10</w:t>
      </w:r>
      <w:r>
        <w:rPr>
          <w:rFonts w:ascii="黑体" w:hAnsi="黑体" w:eastAsia="黑体" w:cs="Times New Roman"/>
          <w:bCs/>
          <w:szCs w:val="21"/>
        </w:rPr>
        <w:t>实施国家标准的要求，以及组织措施、技术措施、过渡期和实施日期的建议等措施建议；</w:t>
      </w:r>
      <w:bookmarkEnd w:id="10"/>
    </w:p>
    <w:p>
      <w:pPr>
        <w:spacing w:after="0" w:line="360" w:lineRule="auto"/>
        <w:ind w:firstLine="420" w:firstLineChars="200"/>
        <w:rPr>
          <w:rFonts w:cs="Times New Roman" w:asciiTheme="minorEastAsia" w:hAnsiTheme="minorEastAsia" w:eastAsiaTheme="minorEastAsia"/>
          <w:sz w:val="21"/>
          <w:szCs w:val="21"/>
        </w:rPr>
      </w:pPr>
      <w:bookmarkStart w:id="11" w:name="_Toc15588"/>
      <w:r>
        <w:rPr>
          <w:rFonts w:hint="eastAsia" w:cs="Times New Roman" w:asciiTheme="minorEastAsia" w:hAnsiTheme="minorEastAsia" w:eastAsiaTheme="minorEastAsia"/>
          <w:sz w:val="21"/>
          <w:szCs w:val="21"/>
        </w:rPr>
        <w:t>无</w:t>
      </w:r>
      <w:r>
        <w:rPr>
          <w:rFonts w:cs="Times New Roman" w:asciiTheme="minorEastAsia" w:hAnsiTheme="minorEastAsia" w:eastAsiaTheme="minorEastAsia"/>
          <w:sz w:val="21"/>
          <w:szCs w:val="21"/>
        </w:rPr>
        <w:t>。</w:t>
      </w:r>
    </w:p>
    <w:p>
      <w:pPr>
        <w:widowControl w:val="0"/>
        <w:adjustRightInd/>
        <w:snapToGrid/>
        <w:spacing w:after="0" w:line="360" w:lineRule="auto"/>
        <w:jc w:val="both"/>
        <w:rPr>
          <w:rFonts w:ascii="黑体" w:hAnsi="黑体" w:eastAsia="黑体" w:cs="Times New Roman"/>
          <w:bCs/>
          <w:sz w:val="21"/>
          <w:szCs w:val="21"/>
        </w:rPr>
      </w:pPr>
      <w:r>
        <w:rPr>
          <w:rFonts w:hint="eastAsia" w:ascii="黑体" w:hAnsi="黑体" w:eastAsia="黑体" w:cs="Times New Roman"/>
          <w:bCs/>
          <w:sz w:val="21"/>
          <w:szCs w:val="21"/>
        </w:rPr>
        <w:t>11</w:t>
      </w:r>
      <w:r>
        <w:rPr>
          <w:rFonts w:ascii="黑体" w:hAnsi="黑体" w:eastAsia="黑体" w:cs="Times New Roman"/>
          <w:bCs/>
          <w:sz w:val="21"/>
          <w:szCs w:val="21"/>
        </w:rPr>
        <w:t>贯彻标准的要求和措施建议</w:t>
      </w:r>
      <w:bookmarkEnd w:id="11"/>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无。</w:t>
      </w:r>
    </w:p>
    <w:p>
      <w:pPr>
        <w:spacing w:after="0" w:line="360" w:lineRule="auto"/>
        <w:rPr>
          <w:rFonts w:ascii="黑体" w:hAnsi="黑体" w:eastAsia="黑体" w:cs="Times New Roman"/>
          <w:bCs/>
          <w:sz w:val="21"/>
          <w:szCs w:val="21"/>
        </w:rPr>
      </w:pPr>
      <w:bookmarkStart w:id="12" w:name="_Toc7802"/>
      <w:r>
        <w:rPr>
          <w:rFonts w:hint="eastAsia" w:ascii="黑体" w:hAnsi="黑体" w:eastAsia="黑体" w:cs="Times New Roman"/>
          <w:bCs/>
          <w:sz w:val="21"/>
          <w:szCs w:val="21"/>
        </w:rPr>
        <w:t>12</w:t>
      </w:r>
      <w:r>
        <w:rPr>
          <w:rFonts w:ascii="黑体" w:hAnsi="黑体" w:eastAsia="黑体" w:cs="Times New Roman"/>
          <w:bCs/>
          <w:sz w:val="21"/>
          <w:szCs w:val="21"/>
        </w:rPr>
        <w:t>废止现行有关标准的建议</w:t>
      </w:r>
      <w:bookmarkEnd w:id="12"/>
    </w:p>
    <w:p>
      <w:pPr>
        <w:spacing w:after="0" w:line="360" w:lineRule="auto"/>
        <w:ind w:firstLine="420" w:firstLine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无。</w:t>
      </w:r>
    </w:p>
    <w:p>
      <w:pPr>
        <w:spacing w:after="0" w:line="360" w:lineRule="auto"/>
        <w:rPr>
          <w:rFonts w:ascii="黑体" w:hAnsi="黑体" w:eastAsia="黑体" w:cs="Times New Roman"/>
          <w:bCs/>
          <w:sz w:val="21"/>
          <w:szCs w:val="21"/>
        </w:rPr>
      </w:pPr>
      <w:bookmarkStart w:id="13" w:name="_Toc22451"/>
      <w:r>
        <w:rPr>
          <w:rFonts w:hint="eastAsia" w:ascii="黑体" w:hAnsi="黑体" w:eastAsia="黑体" w:cs="Times New Roman"/>
          <w:bCs/>
          <w:sz w:val="21"/>
          <w:szCs w:val="21"/>
        </w:rPr>
        <w:t>13</w:t>
      </w:r>
      <w:r>
        <w:rPr>
          <w:rFonts w:ascii="黑体" w:hAnsi="黑体" w:eastAsia="黑体" w:cs="Times New Roman"/>
          <w:bCs/>
          <w:sz w:val="21"/>
          <w:szCs w:val="21"/>
        </w:rPr>
        <w:t>其他应当说明的事项。</w:t>
      </w:r>
      <w:bookmarkEnd w:id="13"/>
    </w:p>
    <w:p>
      <w:pPr>
        <w:spacing w:after="0" w:line="360" w:lineRule="auto"/>
        <w:ind w:firstLine="420" w:firstLineChars="200"/>
        <w:outlineLvl w:val="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无。</w:t>
      </w:r>
    </w:p>
    <w:p>
      <w:pPr>
        <w:widowControl w:val="0"/>
        <w:spacing w:after="0" w:line="360" w:lineRule="auto"/>
        <w:rPr>
          <w:rFonts w:asciiTheme="minorEastAsia" w:hAnsiTheme="minorEastAsia" w:eastAsiaTheme="minorEastAsia"/>
          <w:szCs w:val="24"/>
          <w:highlight w:val="yellow"/>
        </w:rPr>
      </w:pPr>
    </w:p>
    <w:sectPr>
      <w:headerReference r:id="rId4" w:type="default"/>
      <w:footerReference r:id="rId5"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275893"/>
    </w:sdtPr>
    <w:sdtContent>
      <w:p>
        <w:pPr>
          <w:pStyle w:val="9"/>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916FC"/>
    <w:multiLevelType w:val="singleLevel"/>
    <w:tmpl w:val="C28916FC"/>
    <w:lvl w:ilvl="0" w:tentative="0">
      <w:start w:val="1"/>
      <w:numFmt w:val="decimal"/>
      <w:suff w:val="nothing"/>
      <w:lvlText w:val="（%1）"/>
      <w:lvlJc w:val="left"/>
    </w:lvl>
  </w:abstractNum>
  <w:abstractNum w:abstractNumId="1">
    <w:nsid w:val="C82E0E72"/>
    <w:multiLevelType w:val="singleLevel"/>
    <w:tmpl w:val="C82E0E72"/>
    <w:lvl w:ilvl="0" w:tentative="0">
      <w:start w:val="1"/>
      <w:numFmt w:val="lowerLetter"/>
      <w:lvlText w:val="%1)"/>
      <w:lvlJc w:val="left"/>
      <w:pPr>
        <w:ind w:left="2405" w:hanging="420"/>
      </w:pPr>
    </w:lvl>
  </w:abstractNum>
  <w:abstractNum w:abstractNumId="2">
    <w:nsid w:val="28503306"/>
    <w:multiLevelType w:val="multilevel"/>
    <w:tmpl w:val="2850330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AEA1E37"/>
    <w:multiLevelType w:val="multilevel"/>
    <w:tmpl w:val="2AEA1E3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9172A3B"/>
    <w:multiLevelType w:val="multilevel"/>
    <w:tmpl w:val="49172A3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zRmMzVkZGU0NjcxMDNjYzQ1MWE0YmZjNzAwY2I0MDYifQ=="/>
    <w:docVar w:name="KSO_WPS_MARK_KEY" w:val="2f40944f-a4ff-4e4c-a740-27215803e76e"/>
  </w:docVars>
  <w:rsids>
    <w:rsidRoot w:val="00D31D50"/>
    <w:rsid w:val="00000974"/>
    <w:rsid w:val="000056B9"/>
    <w:rsid w:val="00010F2B"/>
    <w:rsid w:val="000225FB"/>
    <w:rsid w:val="00031435"/>
    <w:rsid w:val="00031DB2"/>
    <w:rsid w:val="00032F66"/>
    <w:rsid w:val="000378DF"/>
    <w:rsid w:val="00043DAB"/>
    <w:rsid w:val="00053E05"/>
    <w:rsid w:val="000578F2"/>
    <w:rsid w:val="00061532"/>
    <w:rsid w:val="0006262D"/>
    <w:rsid w:val="00062ABE"/>
    <w:rsid w:val="000641B3"/>
    <w:rsid w:val="0006439C"/>
    <w:rsid w:val="00064DCE"/>
    <w:rsid w:val="00064E48"/>
    <w:rsid w:val="00073713"/>
    <w:rsid w:val="00080F79"/>
    <w:rsid w:val="000814F5"/>
    <w:rsid w:val="00083740"/>
    <w:rsid w:val="00085538"/>
    <w:rsid w:val="00091305"/>
    <w:rsid w:val="00091647"/>
    <w:rsid w:val="000943D9"/>
    <w:rsid w:val="00097BB7"/>
    <w:rsid w:val="000A0DF8"/>
    <w:rsid w:val="000A2089"/>
    <w:rsid w:val="000A424F"/>
    <w:rsid w:val="000A4C04"/>
    <w:rsid w:val="000B07BB"/>
    <w:rsid w:val="000B160F"/>
    <w:rsid w:val="000B19B0"/>
    <w:rsid w:val="000B3B8A"/>
    <w:rsid w:val="000B3ED2"/>
    <w:rsid w:val="000C2648"/>
    <w:rsid w:val="000C5C71"/>
    <w:rsid w:val="000D0B48"/>
    <w:rsid w:val="000D2C06"/>
    <w:rsid w:val="000D2E25"/>
    <w:rsid w:val="000D3D9B"/>
    <w:rsid w:val="000D6235"/>
    <w:rsid w:val="000D7235"/>
    <w:rsid w:val="000D7C2D"/>
    <w:rsid w:val="000E628F"/>
    <w:rsid w:val="000E75DB"/>
    <w:rsid w:val="000F5019"/>
    <w:rsid w:val="00100E6C"/>
    <w:rsid w:val="00102DDF"/>
    <w:rsid w:val="00103F91"/>
    <w:rsid w:val="00104355"/>
    <w:rsid w:val="0010719B"/>
    <w:rsid w:val="00110E0D"/>
    <w:rsid w:val="00111318"/>
    <w:rsid w:val="00120611"/>
    <w:rsid w:val="00120A25"/>
    <w:rsid w:val="00133DB7"/>
    <w:rsid w:val="001352AB"/>
    <w:rsid w:val="001451DE"/>
    <w:rsid w:val="00150F9A"/>
    <w:rsid w:val="001520C0"/>
    <w:rsid w:val="001558DC"/>
    <w:rsid w:val="001564F9"/>
    <w:rsid w:val="00156862"/>
    <w:rsid w:val="001635B1"/>
    <w:rsid w:val="001671D9"/>
    <w:rsid w:val="001679DD"/>
    <w:rsid w:val="00167D23"/>
    <w:rsid w:val="00171D5D"/>
    <w:rsid w:val="001728E8"/>
    <w:rsid w:val="001740AB"/>
    <w:rsid w:val="00176596"/>
    <w:rsid w:val="001767F8"/>
    <w:rsid w:val="00182303"/>
    <w:rsid w:val="00183208"/>
    <w:rsid w:val="00183933"/>
    <w:rsid w:val="0018767C"/>
    <w:rsid w:val="001903F0"/>
    <w:rsid w:val="00191B24"/>
    <w:rsid w:val="0019642A"/>
    <w:rsid w:val="001A0815"/>
    <w:rsid w:val="001A3146"/>
    <w:rsid w:val="001A40E8"/>
    <w:rsid w:val="001A43F3"/>
    <w:rsid w:val="001A5549"/>
    <w:rsid w:val="001B17FB"/>
    <w:rsid w:val="001C588C"/>
    <w:rsid w:val="001D1845"/>
    <w:rsid w:val="001D448F"/>
    <w:rsid w:val="001D51AE"/>
    <w:rsid w:val="001D588C"/>
    <w:rsid w:val="001E0CC6"/>
    <w:rsid w:val="001E5ECE"/>
    <w:rsid w:val="001F2123"/>
    <w:rsid w:val="001F218B"/>
    <w:rsid w:val="002033B0"/>
    <w:rsid w:val="00203DCF"/>
    <w:rsid w:val="00205CFB"/>
    <w:rsid w:val="00206DD1"/>
    <w:rsid w:val="00210451"/>
    <w:rsid w:val="00214C97"/>
    <w:rsid w:val="002151C3"/>
    <w:rsid w:val="00220F9C"/>
    <w:rsid w:val="0022297D"/>
    <w:rsid w:val="00235C72"/>
    <w:rsid w:val="0024176B"/>
    <w:rsid w:val="00243144"/>
    <w:rsid w:val="0024523F"/>
    <w:rsid w:val="002473EB"/>
    <w:rsid w:val="00250871"/>
    <w:rsid w:val="002530BB"/>
    <w:rsid w:val="0025432F"/>
    <w:rsid w:val="0026336A"/>
    <w:rsid w:val="00263683"/>
    <w:rsid w:val="0026489A"/>
    <w:rsid w:val="00265A25"/>
    <w:rsid w:val="00271545"/>
    <w:rsid w:val="00276707"/>
    <w:rsid w:val="00277F16"/>
    <w:rsid w:val="00280900"/>
    <w:rsid w:val="00282FF8"/>
    <w:rsid w:val="00283A80"/>
    <w:rsid w:val="002841C4"/>
    <w:rsid w:val="002842B0"/>
    <w:rsid w:val="00287D08"/>
    <w:rsid w:val="002912ED"/>
    <w:rsid w:val="00292AB7"/>
    <w:rsid w:val="00293669"/>
    <w:rsid w:val="002A0B30"/>
    <w:rsid w:val="002B1DCA"/>
    <w:rsid w:val="002B6500"/>
    <w:rsid w:val="002B7F65"/>
    <w:rsid w:val="002C22D9"/>
    <w:rsid w:val="002D0760"/>
    <w:rsid w:val="002D313B"/>
    <w:rsid w:val="002E14EC"/>
    <w:rsid w:val="002E1580"/>
    <w:rsid w:val="002E3975"/>
    <w:rsid w:val="002E4338"/>
    <w:rsid w:val="002E5140"/>
    <w:rsid w:val="002F79BA"/>
    <w:rsid w:val="003016A6"/>
    <w:rsid w:val="00301FEE"/>
    <w:rsid w:val="00302CEB"/>
    <w:rsid w:val="003062BB"/>
    <w:rsid w:val="003107A2"/>
    <w:rsid w:val="00310B8A"/>
    <w:rsid w:val="00322FA2"/>
    <w:rsid w:val="00323B43"/>
    <w:rsid w:val="00341423"/>
    <w:rsid w:val="00343E4F"/>
    <w:rsid w:val="0034403B"/>
    <w:rsid w:val="00344ABB"/>
    <w:rsid w:val="003467E4"/>
    <w:rsid w:val="00347325"/>
    <w:rsid w:val="003479C6"/>
    <w:rsid w:val="00350E66"/>
    <w:rsid w:val="0035246E"/>
    <w:rsid w:val="00352B00"/>
    <w:rsid w:val="00355472"/>
    <w:rsid w:val="00362460"/>
    <w:rsid w:val="00374C96"/>
    <w:rsid w:val="003753E8"/>
    <w:rsid w:val="00377B0F"/>
    <w:rsid w:val="00382F5F"/>
    <w:rsid w:val="0038529C"/>
    <w:rsid w:val="00391640"/>
    <w:rsid w:val="003924F9"/>
    <w:rsid w:val="00392641"/>
    <w:rsid w:val="003A0D0D"/>
    <w:rsid w:val="003A13C6"/>
    <w:rsid w:val="003A4EEF"/>
    <w:rsid w:val="003A7ADE"/>
    <w:rsid w:val="003C4829"/>
    <w:rsid w:val="003C63C8"/>
    <w:rsid w:val="003D055F"/>
    <w:rsid w:val="003D2901"/>
    <w:rsid w:val="003D37D8"/>
    <w:rsid w:val="003D4A59"/>
    <w:rsid w:val="003E2FA0"/>
    <w:rsid w:val="003E5EBC"/>
    <w:rsid w:val="003F090F"/>
    <w:rsid w:val="003F2D41"/>
    <w:rsid w:val="003F4DB7"/>
    <w:rsid w:val="003F59C7"/>
    <w:rsid w:val="00403502"/>
    <w:rsid w:val="00412EED"/>
    <w:rsid w:val="0041312D"/>
    <w:rsid w:val="004157BB"/>
    <w:rsid w:val="00415F01"/>
    <w:rsid w:val="004211CA"/>
    <w:rsid w:val="00423DC8"/>
    <w:rsid w:val="00424ED0"/>
    <w:rsid w:val="00426133"/>
    <w:rsid w:val="00432F09"/>
    <w:rsid w:val="004358AB"/>
    <w:rsid w:val="0043703B"/>
    <w:rsid w:val="0044445C"/>
    <w:rsid w:val="00456F51"/>
    <w:rsid w:val="00460DFD"/>
    <w:rsid w:val="004651FA"/>
    <w:rsid w:val="00467CFA"/>
    <w:rsid w:val="004700A9"/>
    <w:rsid w:val="00474C60"/>
    <w:rsid w:val="00481578"/>
    <w:rsid w:val="00481BFA"/>
    <w:rsid w:val="00483147"/>
    <w:rsid w:val="00483F9B"/>
    <w:rsid w:val="004864A0"/>
    <w:rsid w:val="00493EE3"/>
    <w:rsid w:val="004A4770"/>
    <w:rsid w:val="004A68C9"/>
    <w:rsid w:val="004A7AFB"/>
    <w:rsid w:val="004B0159"/>
    <w:rsid w:val="004B17C9"/>
    <w:rsid w:val="004B33D4"/>
    <w:rsid w:val="004B603F"/>
    <w:rsid w:val="004B6B29"/>
    <w:rsid w:val="004C0218"/>
    <w:rsid w:val="004C0A44"/>
    <w:rsid w:val="004D652F"/>
    <w:rsid w:val="004D716E"/>
    <w:rsid w:val="004E02C2"/>
    <w:rsid w:val="004E390A"/>
    <w:rsid w:val="004F7D43"/>
    <w:rsid w:val="0051048C"/>
    <w:rsid w:val="00513E6E"/>
    <w:rsid w:val="005156BA"/>
    <w:rsid w:val="005167E0"/>
    <w:rsid w:val="005203F4"/>
    <w:rsid w:val="00522416"/>
    <w:rsid w:val="00524F02"/>
    <w:rsid w:val="00526FDC"/>
    <w:rsid w:val="005274E9"/>
    <w:rsid w:val="00530A79"/>
    <w:rsid w:val="00530ACD"/>
    <w:rsid w:val="005330C4"/>
    <w:rsid w:val="0054124F"/>
    <w:rsid w:val="0054130B"/>
    <w:rsid w:val="0054794A"/>
    <w:rsid w:val="00547A43"/>
    <w:rsid w:val="00551385"/>
    <w:rsid w:val="00571216"/>
    <w:rsid w:val="00580CF8"/>
    <w:rsid w:val="00584714"/>
    <w:rsid w:val="00587BDA"/>
    <w:rsid w:val="00590D4C"/>
    <w:rsid w:val="0059639D"/>
    <w:rsid w:val="005A1DFD"/>
    <w:rsid w:val="005A6335"/>
    <w:rsid w:val="005B434D"/>
    <w:rsid w:val="005B44B0"/>
    <w:rsid w:val="005B6D6F"/>
    <w:rsid w:val="005C21B3"/>
    <w:rsid w:val="005C2709"/>
    <w:rsid w:val="005C3E5B"/>
    <w:rsid w:val="005C63BC"/>
    <w:rsid w:val="005D1ACB"/>
    <w:rsid w:val="005D2AED"/>
    <w:rsid w:val="005D64F4"/>
    <w:rsid w:val="005E269E"/>
    <w:rsid w:val="005E28DC"/>
    <w:rsid w:val="005E2CF3"/>
    <w:rsid w:val="005E4C5F"/>
    <w:rsid w:val="005E7BA3"/>
    <w:rsid w:val="005F48A4"/>
    <w:rsid w:val="005F76AA"/>
    <w:rsid w:val="00602D4F"/>
    <w:rsid w:val="00602E1A"/>
    <w:rsid w:val="006037C9"/>
    <w:rsid w:val="0061014F"/>
    <w:rsid w:val="006115A0"/>
    <w:rsid w:val="00612402"/>
    <w:rsid w:val="006137BD"/>
    <w:rsid w:val="00616670"/>
    <w:rsid w:val="006173B1"/>
    <w:rsid w:val="006301E4"/>
    <w:rsid w:val="00633258"/>
    <w:rsid w:val="00634FE4"/>
    <w:rsid w:val="00641BC7"/>
    <w:rsid w:val="00643110"/>
    <w:rsid w:val="00646971"/>
    <w:rsid w:val="0065040F"/>
    <w:rsid w:val="00652213"/>
    <w:rsid w:val="00657B66"/>
    <w:rsid w:val="00660A69"/>
    <w:rsid w:val="00662711"/>
    <w:rsid w:val="00665F5E"/>
    <w:rsid w:val="00666969"/>
    <w:rsid w:val="00673AEF"/>
    <w:rsid w:val="0068038F"/>
    <w:rsid w:val="00681376"/>
    <w:rsid w:val="00682B9B"/>
    <w:rsid w:val="00684426"/>
    <w:rsid w:val="00684581"/>
    <w:rsid w:val="0068610F"/>
    <w:rsid w:val="0068673F"/>
    <w:rsid w:val="006876E7"/>
    <w:rsid w:val="0069530C"/>
    <w:rsid w:val="00697225"/>
    <w:rsid w:val="00697E7E"/>
    <w:rsid w:val="006A1494"/>
    <w:rsid w:val="006A1A83"/>
    <w:rsid w:val="006A656D"/>
    <w:rsid w:val="006A71CF"/>
    <w:rsid w:val="006B5A60"/>
    <w:rsid w:val="006B5C37"/>
    <w:rsid w:val="006B6305"/>
    <w:rsid w:val="006C04BF"/>
    <w:rsid w:val="006C04CA"/>
    <w:rsid w:val="006C7E3E"/>
    <w:rsid w:val="006D5A2E"/>
    <w:rsid w:val="006E17FF"/>
    <w:rsid w:val="006F1173"/>
    <w:rsid w:val="006F7378"/>
    <w:rsid w:val="00701671"/>
    <w:rsid w:val="00703615"/>
    <w:rsid w:val="00706E3A"/>
    <w:rsid w:val="00715D5C"/>
    <w:rsid w:val="007207E1"/>
    <w:rsid w:val="00721A16"/>
    <w:rsid w:val="00722AD9"/>
    <w:rsid w:val="00724123"/>
    <w:rsid w:val="007256F5"/>
    <w:rsid w:val="00726FC6"/>
    <w:rsid w:val="007308A0"/>
    <w:rsid w:val="0073126E"/>
    <w:rsid w:val="007346BF"/>
    <w:rsid w:val="0073502C"/>
    <w:rsid w:val="0073544E"/>
    <w:rsid w:val="00742256"/>
    <w:rsid w:val="0074606A"/>
    <w:rsid w:val="00762289"/>
    <w:rsid w:val="00770E15"/>
    <w:rsid w:val="00771D99"/>
    <w:rsid w:val="007723B0"/>
    <w:rsid w:val="007752AA"/>
    <w:rsid w:val="007800F4"/>
    <w:rsid w:val="00786DE6"/>
    <w:rsid w:val="007879FD"/>
    <w:rsid w:val="007909B6"/>
    <w:rsid w:val="007945A1"/>
    <w:rsid w:val="00794E7B"/>
    <w:rsid w:val="0079715A"/>
    <w:rsid w:val="007A64C7"/>
    <w:rsid w:val="007B0E35"/>
    <w:rsid w:val="007B1472"/>
    <w:rsid w:val="007B28E2"/>
    <w:rsid w:val="007B46D8"/>
    <w:rsid w:val="007B4D31"/>
    <w:rsid w:val="007B4F75"/>
    <w:rsid w:val="007B52C8"/>
    <w:rsid w:val="007B7460"/>
    <w:rsid w:val="007B762F"/>
    <w:rsid w:val="007C0B67"/>
    <w:rsid w:val="007C0FB4"/>
    <w:rsid w:val="007C20A5"/>
    <w:rsid w:val="007C517F"/>
    <w:rsid w:val="007C59AC"/>
    <w:rsid w:val="007D00EC"/>
    <w:rsid w:val="007D6D45"/>
    <w:rsid w:val="007E3174"/>
    <w:rsid w:val="007F3068"/>
    <w:rsid w:val="008008B8"/>
    <w:rsid w:val="00802A9C"/>
    <w:rsid w:val="008050A4"/>
    <w:rsid w:val="008139FA"/>
    <w:rsid w:val="00814D3E"/>
    <w:rsid w:val="008236A7"/>
    <w:rsid w:val="0082467C"/>
    <w:rsid w:val="00832A71"/>
    <w:rsid w:val="008335E3"/>
    <w:rsid w:val="0083763F"/>
    <w:rsid w:val="0084113D"/>
    <w:rsid w:val="00841882"/>
    <w:rsid w:val="00841A18"/>
    <w:rsid w:val="00842248"/>
    <w:rsid w:val="00843F49"/>
    <w:rsid w:val="00851F17"/>
    <w:rsid w:val="00854E24"/>
    <w:rsid w:val="008606F5"/>
    <w:rsid w:val="008613BE"/>
    <w:rsid w:val="0086221E"/>
    <w:rsid w:val="00863B99"/>
    <w:rsid w:val="0086579F"/>
    <w:rsid w:val="00867341"/>
    <w:rsid w:val="008723D8"/>
    <w:rsid w:val="00872E9F"/>
    <w:rsid w:val="00876363"/>
    <w:rsid w:val="00876DE9"/>
    <w:rsid w:val="00882D96"/>
    <w:rsid w:val="00883E79"/>
    <w:rsid w:val="00884849"/>
    <w:rsid w:val="00884AFA"/>
    <w:rsid w:val="00884CBD"/>
    <w:rsid w:val="00886D9A"/>
    <w:rsid w:val="0089157C"/>
    <w:rsid w:val="0089285B"/>
    <w:rsid w:val="00893896"/>
    <w:rsid w:val="00895C94"/>
    <w:rsid w:val="00895D0B"/>
    <w:rsid w:val="00896846"/>
    <w:rsid w:val="00896CC1"/>
    <w:rsid w:val="00897FEB"/>
    <w:rsid w:val="008A4713"/>
    <w:rsid w:val="008A68F3"/>
    <w:rsid w:val="008A69C9"/>
    <w:rsid w:val="008B3FEF"/>
    <w:rsid w:val="008B6000"/>
    <w:rsid w:val="008B7726"/>
    <w:rsid w:val="008C1907"/>
    <w:rsid w:val="008C60E2"/>
    <w:rsid w:val="008D3EC8"/>
    <w:rsid w:val="008D3F35"/>
    <w:rsid w:val="008D5ABD"/>
    <w:rsid w:val="008F02C9"/>
    <w:rsid w:val="008F1124"/>
    <w:rsid w:val="008F1C60"/>
    <w:rsid w:val="008F5338"/>
    <w:rsid w:val="00900081"/>
    <w:rsid w:val="009016E6"/>
    <w:rsid w:val="00901B4B"/>
    <w:rsid w:val="00902287"/>
    <w:rsid w:val="0090316E"/>
    <w:rsid w:val="009064FD"/>
    <w:rsid w:val="0090743F"/>
    <w:rsid w:val="00911030"/>
    <w:rsid w:val="00920D83"/>
    <w:rsid w:val="009219BC"/>
    <w:rsid w:val="00923811"/>
    <w:rsid w:val="00927510"/>
    <w:rsid w:val="00927560"/>
    <w:rsid w:val="00930242"/>
    <w:rsid w:val="0093052A"/>
    <w:rsid w:val="00931683"/>
    <w:rsid w:val="00932433"/>
    <w:rsid w:val="00937EA1"/>
    <w:rsid w:val="00937FA4"/>
    <w:rsid w:val="00943C51"/>
    <w:rsid w:val="00951222"/>
    <w:rsid w:val="009524DB"/>
    <w:rsid w:val="00952A7A"/>
    <w:rsid w:val="0095340B"/>
    <w:rsid w:val="00954638"/>
    <w:rsid w:val="00960AF6"/>
    <w:rsid w:val="0096126E"/>
    <w:rsid w:val="00963C39"/>
    <w:rsid w:val="009667C0"/>
    <w:rsid w:val="00970E6E"/>
    <w:rsid w:val="0097196E"/>
    <w:rsid w:val="0097383D"/>
    <w:rsid w:val="00982575"/>
    <w:rsid w:val="00983F7E"/>
    <w:rsid w:val="00984020"/>
    <w:rsid w:val="009879F1"/>
    <w:rsid w:val="00987CA8"/>
    <w:rsid w:val="00991505"/>
    <w:rsid w:val="00992754"/>
    <w:rsid w:val="0099458B"/>
    <w:rsid w:val="009A0187"/>
    <w:rsid w:val="009A083D"/>
    <w:rsid w:val="009C11A3"/>
    <w:rsid w:val="009C4CED"/>
    <w:rsid w:val="009C5D41"/>
    <w:rsid w:val="009D09C6"/>
    <w:rsid w:val="009D1AC6"/>
    <w:rsid w:val="009D1CA0"/>
    <w:rsid w:val="009D4C6E"/>
    <w:rsid w:val="009D4E64"/>
    <w:rsid w:val="009D5A21"/>
    <w:rsid w:val="009D5E0B"/>
    <w:rsid w:val="009E12CA"/>
    <w:rsid w:val="009E1CFE"/>
    <w:rsid w:val="009E30D7"/>
    <w:rsid w:val="009E54FD"/>
    <w:rsid w:val="009F1D60"/>
    <w:rsid w:val="009F4BBD"/>
    <w:rsid w:val="009F7D53"/>
    <w:rsid w:val="00A000ED"/>
    <w:rsid w:val="00A05359"/>
    <w:rsid w:val="00A06302"/>
    <w:rsid w:val="00A137BF"/>
    <w:rsid w:val="00A156E4"/>
    <w:rsid w:val="00A3248B"/>
    <w:rsid w:val="00A33849"/>
    <w:rsid w:val="00A3638C"/>
    <w:rsid w:val="00A405AD"/>
    <w:rsid w:val="00A42165"/>
    <w:rsid w:val="00A43FFA"/>
    <w:rsid w:val="00A44273"/>
    <w:rsid w:val="00A476D1"/>
    <w:rsid w:val="00A53A3F"/>
    <w:rsid w:val="00A54C78"/>
    <w:rsid w:val="00A642CA"/>
    <w:rsid w:val="00A6612A"/>
    <w:rsid w:val="00A70F89"/>
    <w:rsid w:val="00A73E30"/>
    <w:rsid w:val="00A76500"/>
    <w:rsid w:val="00A837B0"/>
    <w:rsid w:val="00A83F2D"/>
    <w:rsid w:val="00A85451"/>
    <w:rsid w:val="00A91AA4"/>
    <w:rsid w:val="00A927DB"/>
    <w:rsid w:val="00AB12C2"/>
    <w:rsid w:val="00AB3817"/>
    <w:rsid w:val="00AB4242"/>
    <w:rsid w:val="00AB6F5B"/>
    <w:rsid w:val="00AB7BE6"/>
    <w:rsid w:val="00AD2E89"/>
    <w:rsid w:val="00AE40EF"/>
    <w:rsid w:val="00AE461A"/>
    <w:rsid w:val="00AE508D"/>
    <w:rsid w:val="00AE5577"/>
    <w:rsid w:val="00AF3673"/>
    <w:rsid w:val="00AF6C3C"/>
    <w:rsid w:val="00B00C63"/>
    <w:rsid w:val="00B01221"/>
    <w:rsid w:val="00B05746"/>
    <w:rsid w:val="00B10D2C"/>
    <w:rsid w:val="00B14F91"/>
    <w:rsid w:val="00B20A30"/>
    <w:rsid w:val="00B20A4E"/>
    <w:rsid w:val="00B2574D"/>
    <w:rsid w:val="00B26330"/>
    <w:rsid w:val="00B32678"/>
    <w:rsid w:val="00B33AD1"/>
    <w:rsid w:val="00B44567"/>
    <w:rsid w:val="00B44EF7"/>
    <w:rsid w:val="00B45E38"/>
    <w:rsid w:val="00B464F1"/>
    <w:rsid w:val="00B475E7"/>
    <w:rsid w:val="00B47E44"/>
    <w:rsid w:val="00B52C47"/>
    <w:rsid w:val="00B565FC"/>
    <w:rsid w:val="00B56618"/>
    <w:rsid w:val="00B570B4"/>
    <w:rsid w:val="00B617E4"/>
    <w:rsid w:val="00B621A1"/>
    <w:rsid w:val="00B634F5"/>
    <w:rsid w:val="00B671E4"/>
    <w:rsid w:val="00B749FB"/>
    <w:rsid w:val="00B756E8"/>
    <w:rsid w:val="00B80D04"/>
    <w:rsid w:val="00B84CFF"/>
    <w:rsid w:val="00B84ED6"/>
    <w:rsid w:val="00B85A09"/>
    <w:rsid w:val="00B9365E"/>
    <w:rsid w:val="00BA5163"/>
    <w:rsid w:val="00BB2ECD"/>
    <w:rsid w:val="00BB3734"/>
    <w:rsid w:val="00BB3BC0"/>
    <w:rsid w:val="00BC00EC"/>
    <w:rsid w:val="00BD08B9"/>
    <w:rsid w:val="00BD2782"/>
    <w:rsid w:val="00BD2784"/>
    <w:rsid w:val="00BE008D"/>
    <w:rsid w:val="00BE0770"/>
    <w:rsid w:val="00BE44ED"/>
    <w:rsid w:val="00BF060C"/>
    <w:rsid w:val="00BF2A06"/>
    <w:rsid w:val="00BF5BD6"/>
    <w:rsid w:val="00C02A62"/>
    <w:rsid w:val="00C05CB0"/>
    <w:rsid w:val="00C0751F"/>
    <w:rsid w:val="00C10586"/>
    <w:rsid w:val="00C12286"/>
    <w:rsid w:val="00C12810"/>
    <w:rsid w:val="00C13E17"/>
    <w:rsid w:val="00C16518"/>
    <w:rsid w:val="00C205EC"/>
    <w:rsid w:val="00C3063B"/>
    <w:rsid w:val="00C40AA3"/>
    <w:rsid w:val="00C41009"/>
    <w:rsid w:val="00C412CD"/>
    <w:rsid w:val="00C416E6"/>
    <w:rsid w:val="00C450E2"/>
    <w:rsid w:val="00C46A73"/>
    <w:rsid w:val="00C514C7"/>
    <w:rsid w:val="00C51EB4"/>
    <w:rsid w:val="00C545BD"/>
    <w:rsid w:val="00C552F1"/>
    <w:rsid w:val="00C560AD"/>
    <w:rsid w:val="00C570F9"/>
    <w:rsid w:val="00C576A5"/>
    <w:rsid w:val="00C605C7"/>
    <w:rsid w:val="00C60A18"/>
    <w:rsid w:val="00C627BC"/>
    <w:rsid w:val="00C62853"/>
    <w:rsid w:val="00C63ABA"/>
    <w:rsid w:val="00C66853"/>
    <w:rsid w:val="00C67DC5"/>
    <w:rsid w:val="00C70A58"/>
    <w:rsid w:val="00C736BE"/>
    <w:rsid w:val="00C756D4"/>
    <w:rsid w:val="00C77C89"/>
    <w:rsid w:val="00C81380"/>
    <w:rsid w:val="00C85570"/>
    <w:rsid w:val="00C92E8E"/>
    <w:rsid w:val="00C9643B"/>
    <w:rsid w:val="00C96736"/>
    <w:rsid w:val="00CA447D"/>
    <w:rsid w:val="00CA506A"/>
    <w:rsid w:val="00CB06A6"/>
    <w:rsid w:val="00CB1622"/>
    <w:rsid w:val="00CB2734"/>
    <w:rsid w:val="00CB2D09"/>
    <w:rsid w:val="00CB5C80"/>
    <w:rsid w:val="00CC568C"/>
    <w:rsid w:val="00CC6BC6"/>
    <w:rsid w:val="00CD1F2C"/>
    <w:rsid w:val="00CD42C3"/>
    <w:rsid w:val="00CF340C"/>
    <w:rsid w:val="00CF415B"/>
    <w:rsid w:val="00CF64A5"/>
    <w:rsid w:val="00D021B4"/>
    <w:rsid w:val="00D022E1"/>
    <w:rsid w:val="00D059E0"/>
    <w:rsid w:val="00D07652"/>
    <w:rsid w:val="00D246C1"/>
    <w:rsid w:val="00D24AE3"/>
    <w:rsid w:val="00D31D50"/>
    <w:rsid w:val="00D33580"/>
    <w:rsid w:val="00D4088B"/>
    <w:rsid w:val="00D442F4"/>
    <w:rsid w:val="00D55959"/>
    <w:rsid w:val="00D60282"/>
    <w:rsid w:val="00D709DA"/>
    <w:rsid w:val="00D70E80"/>
    <w:rsid w:val="00D71ED7"/>
    <w:rsid w:val="00D75637"/>
    <w:rsid w:val="00D760F3"/>
    <w:rsid w:val="00D86052"/>
    <w:rsid w:val="00D94B3D"/>
    <w:rsid w:val="00D97975"/>
    <w:rsid w:val="00DA33E9"/>
    <w:rsid w:val="00DA5266"/>
    <w:rsid w:val="00DB2A7C"/>
    <w:rsid w:val="00DB42FB"/>
    <w:rsid w:val="00DB5803"/>
    <w:rsid w:val="00DB6ADF"/>
    <w:rsid w:val="00DC4716"/>
    <w:rsid w:val="00DC4B11"/>
    <w:rsid w:val="00DD137C"/>
    <w:rsid w:val="00DD3FEF"/>
    <w:rsid w:val="00DD4824"/>
    <w:rsid w:val="00DD5BCD"/>
    <w:rsid w:val="00DD6972"/>
    <w:rsid w:val="00DD7025"/>
    <w:rsid w:val="00DE0C5A"/>
    <w:rsid w:val="00DE3D2B"/>
    <w:rsid w:val="00DE5AD9"/>
    <w:rsid w:val="00DE6DBA"/>
    <w:rsid w:val="00DF2199"/>
    <w:rsid w:val="00DF2AD1"/>
    <w:rsid w:val="00DF4870"/>
    <w:rsid w:val="00E02A4D"/>
    <w:rsid w:val="00E043D9"/>
    <w:rsid w:val="00E07CDD"/>
    <w:rsid w:val="00E10877"/>
    <w:rsid w:val="00E108C7"/>
    <w:rsid w:val="00E10E90"/>
    <w:rsid w:val="00E10F84"/>
    <w:rsid w:val="00E126E6"/>
    <w:rsid w:val="00E15665"/>
    <w:rsid w:val="00E21CA8"/>
    <w:rsid w:val="00E22B6E"/>
    <w:rsid w:val="00E2437F"/>
    <w:rsid w:val="00E27909"/>
    <w:rsid w:val="00E30E3D"/>
    <w:rsid w:val="00E40D81"/>
    <w:rsid w:val="00E42190"/>
    <w:rsid w:val="00E45DBF"/>
    <w:rsid w:val="00E5104D"/>
    <w:rsid w:val="00E62EAA"/>
    <w:rsid w:val="00E662D7"/>
    <w:rsid w:val="00E6662B"/>
    <w:rsid w:val="00E7438E"/>
    <w:rsid w:val="00E83626"/>
    <w:rsid w:val="00E83EE6"/>
    <w:rsid w:val="00E84448"/>
    <w:rsid w:val="00E84D01"/>
    <w:rsid w:val="00E85E83"/>
    <w:rsid w:val="00E908D2"/>
    <w:rsid w:val="00E90F17"/>
    <w:rsid w:val="00E97617"/>
    <w:rsid w:val="00EA109C"/>
    <w:rsid w:val="00EA1550"/>
    <w:rsid w:val="00EA53FE"/>
    <w:rsid w:val="00EA5620"/>
    <w:rsid w:val="00EA5A01"/>
    <w:rsid w:val="00EA7167"/>
    <w:rsid w:val="00EB0E13"/>
    <w:rsid w:val="00EB329B"/>
    <w:rsid w:val="00EB6A41"/>
    <w:rsid w:val="00EC0052"/>
    <w:rsid w:val="00EC3466"/>
    <w:rsid w:val="00EC4D9D"/>
    <w:rsid w:val="00EC5B6E"/>
    <w:rsid w:val="00EC60F1"/>
    <w:rsid w:val="00ED5124"/>
    <w:rsid w:val="00EE4BB3"/>
    <w:rsid w:val="00EE5F13"/>
    <w:rsid w:val="00EF5FE5"/>
    <w:rsid w:val="00EF6575"/>
    <w:rsid w:val="00F01C73"/>
    <w:rsid w:val="00F026CC"/>
    <w:rsid w:val="00F11B22"/>
    <w:rsid w:val="00F11D19"/>
    <w:rsid w:val="00F16B01"/>
    <w:rsid w:val="00F2516C"/>
    <w:rsid w:val="00F320E3"/>
    <w:rsid w:val="00F37496"/>
    <w:rsid w:val="00F37776"/>
    <w:rsid w:val="00F401E3"/>
    <w:rsid w:val="00F46AD9"/>
    <w:rsid w:val="00F50086"/>
    <w:rsid w:val="00F5060B"/>
    <w:rsid w:val="00F51A5E"/>
    <w:rsid w:val="00F572A7"/>
    <w:rsid w:val="00F67772"/>
    <w:rsid w:val="00F711FA"/>
    <w:rsid w:val="00F72FA0"/>
    <w:rsid w:val="00F7534E"/>
    <w:rsid w:val="00F76931"/>
    <w:rsid w:val="00F80E89"/>
    <w:rsid w:val="00F860F8"/>
    <w:rsid w:val="00F901C5"/>
    <w:rsid w:val="00F950E8"/>
    <w:rsid w:val="00FA4A6F"/>
    <w:rsid w:val="00FB0497"/>
    <w:rsid w:val="00FB21E7"/>
    <w:rsid w:val="00FB3082"/>
    <w:rsid w:val="00FB6183"/>
    <w:rsid w:val="00FC20EB"/>
    <w:rsid w:val="00FC7345"/>
    <w:rsid w:val="00FE5F3D"/>
    <w:rsid w:val="00FE7F13"/>
    <w:rsid w:val="00FF04DC"/>
    <w:rsid w:val="00FF09E0"/>
    <w:rsid w:val="00FF0F1C"/>
    <w:rsid w:val="00FF1896"/>
    <w:rsid w:val="055E32F7"/>
    <w:rsid w:val="063B1D9A"/>
    <w:rsid w:val="0A3D5547"/>
    <w:rsid w:val="13F45A3B"/>
    <w:rsid w:val="1DBA6E81"/>
    <w:rsid w:val="2A9F2506"/>
    <w:rsid w:val="2DBD23A6"/>
    <w:rsid w:val="3D1145C3"/>
    <w:rsid w:val="437879AF"/>
    <w:rsid w:val="43FE1D61"/>
    <w:rsid w:val="4AA54E42"/>
    <w:rsid w:val="50A17253"/>
    <w:rsid w:val="54744F8E"/>
    <w:rsid w:val="6AE037DE"/>
    <w:rsid w:val="6B616389"/>
    <w:rsid w:val="6BF23145"/>
    <w:rsid w:val="738F17C1"/>
    <w:rsid w:val="741B2CA5"/>
    <w:rsid w:val="7D6F5542"/>
    <w:rsid w:val="7E1F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keepLines/>
      <w:spacing w:after="0"/>
      <w:outlineLvl w:val="0"/>
    </w:pPr>
    <w:rPr>
      <w:b/>
      <w:bCs/>
      <w:kern w:val="44"/>
      <w:sz w:val="30"/>
      <w:szCs w:val="44"/>
    </w:rPr>
  </w:style>
  <w:style w:type="paragraph" w:styleId="3">
    <w:name w:val="heading 2"/>
    <w:basedOn w:val="1"/>
    <w:next w:val="1"/>
    <w:link w:val="21"/>
    <w:qFormat/>
    <w:uiPriority w:val="0"/>
    <w:pPr>
      <w:keepNext/>
      <w:keepLines/>
      <w:widowControl w:val="0"/>
      <w:adjustRightInd/>
      <w:snapToGrid/>
      <w:spacing w:after="0"/>
      <w:ind w:left="100" w:leftChars="100"/>
      <w:jc w:val="both"/>
      <w:outlineLvl w:val="1"/>
    </w:pPr>
    <w:rPr>
      <w:rFonts w:ascii="Arial" w:hAnsi="Arial" w:eastAsia="黑体" w:cs="Times New Roman"/>
      <w:bCs/>
      <w:kern w:val="2"/>
      <w:sz w:val="28"/>
      <w:szCs w:val="32"/>
    </w:rPr>
  </w:style>
  <w:style w:type="paragraph" w:styleId="4">
    <w:name w:val="heading 3"/>
    <w:basedOn w:val="1"/>
    <w:next w:val="1"/>
    <w:link w:val="28"/>
    <w:unhideWhenUsed/>
    <w:qFormat/>
    <w:uiPriority w:val="0"/>
    <w:pPr>
      <w:keepNext/>
      <w:keepLines/>
      <w:spacing w:after="0"/>
      <w:ind w:left="100" w:leftChars="100"/>
      <w:outlineLvl w:val="2"/>
    </w:pPr>
    <w:rPr>
      <w:bCs/>
      <w:sz w:val="28"/>
      <w:szCs w:val="32"/>
    </w:rPr>
  </w:style>
  <w:style w:type="character" w:default="1" w:styleId="16">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6"/>
    <w:autoRedefine/>
    <w:unhideWhenUsed/>
    <w:qFormat/>
    <w:uiPriority w:val="99"/>
    <w:pPr>
      <w:widowControl w:val="0"/>
      <w:adjustRightInd/>
      <w:snapToGrid/>
      <w:spacing w:after="120"/>
      <w:jc w:val="both"/>
    </w:pPr>
    <w:rPr>
      <w:rFonts w:eastAsia="仿宋_GB2312" w:asciiTheme="minorHAnsi" w:hAnsiTheme="minorHAnsi"/>
      <w:kern w:val="2"/>
      <w:sz w:val="21"/>
    </w:rPr>
  </w:style>
  <w:style w:type="paragraph" w:styleId="6">
    <w:name w:val="toc 3"/>
    <w:basedOn w:val="1"/>
    <w:next w:val="1"/>
    <w:unhideWhenUsed/>
    <w:qFormat/>
    <w:uiPriority w:val="39"/>
    <w:pPr>
      <w:ind w:left="840" w:leftChars="4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7"/>
    <w:autoRedefine/>
    <w:semiHidden/>
    <w:unhideWhenUsed/>
    <w:qFormat/>
    <w:uiPriority w:val="99"/>
    <w:pPr>
      <w:spacing w:after="0"/>
    </w:pPr>
    <w:rPr>
      <w:sz w:val="18"/>
      <w:szCs w:val="18"/>
    </w:rPr>
  </w:style>
  <w:style w:type="paragraph" w:styleId="9">
    <w:name w:val="footer"/>
    <w:basedOn w:val="1"/>
    <w:link w:val="20"/>
    <w:autoRedefine/>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tabs>
        <w:tab w:val="right" w:leader="dot" w:pos="8296"/>
      </w:tabs>
      <w:spacing w:after="0" w:line="240" w:lineRule="atLeast"/>
    </w:pPr>
  </w:style>
  <w:style w:type="paragraph" w:styleId="12">
    <w:name w:val="toc 2"/>
    <w:basedOn w:val="1"/>
    <w:next w:val="1"/>
    <w:unhideWhenUsed/>
    <w:qFormat/>
    <w:uiPriority w:val="39"/>
    <w:pPr>
      <w:tabs>
        <w:tab w:val="right" w:leader="dot" w:pos="8296"/>
      </w:tabs>
      <w:spacing w:after="0"/>
      <w:ind w:left="440" w:leftChars="200"/>
    </w:pPr>
  </w:style>
  <w:style w:type="paragraph" w:styleId="13">
    <w:name w:val="Normal (Web)"/>
    <w:basedOn w:val="1"/>
    <w:autoRedefine/>
    <w:qFormat/>
    <w:uiPriority w:val="0"/>
    <w:pPr>
      <w:adjustRightInd/>
      <w:snapToGrid/>
      <w:spacing w:after="0" w:line="360" w:lineRule="auto"/>
      <w:jc w:val="both"/>
      <w:outlineLvl w:val="0"/>
    </w:pPr>
    <w:rPr>
      <w:rFonts w:ascii="黑体" w:hAnsi="黑体" w:eastAsia="黑体" w:cs="Times New Roman"/>
      <w:sz w:val="21"/>
      <w:szCs w:val="21"/>
    </w:rPr>
  </w:style>
  <w:style w:type="table" w:styleId="15">
    <w:name w:val="Table Grid"/>
    <w:basedOn w:val="14"/>
    <w:qFormat/>
    <w:uiPriority w:val="0"/>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unhideWhenUsed/>
    <w:qFormat/>
    <w:uiPriority w:val="99"/>
    <w:rPr>
      <w:color w:val="0000FF" w:themeColor="hyperlink"/>
      <w:u w:val="single"/>
    </w:rPr>
  </w:style>
  <w:style w:type="character" w:customStyle="1" w:styleId="19">
    <w:name w:val="页眉 Char"/>
    <w:basedOn w:val="16"/>
    <w:link w:val="10"/>
    <w:qFormat/>
    <w:uiPriority w:val="99"/>
    <w:rPr>
      <w:rFonts w:ascii="Tahoma" w:hAnsi="Tahoma"/>
      <w:sz w:val="18"/>
      <w:szCs w:val="18"/>
    </w:rPr>
  </w:style>
  <w:style w:type="character" w:customStyle="1" w:styleId="20">
    <w:name w:val="页脚 Char"/>
    <w:basedOn w:val="16"/>
    <w:link w:val="9"/>
    <w:autoRedefine/>
    <w:qFormat/>
    <w:uiPriority w:val="99"/>
    <w:rPr>
      <w:rFonts w:ascii="Tahoma" w:hAnsi="Tahoma"/>
      <w:sz w:val="18"/>
      <w:szCs w:val="18"/>
    </w:rPr>
  </w:style>
  <w:style w:type="character" w:customStyle="1" w:styleId="21">
    <w:name w:val="标题 2 Char"/>
    <w:basedOn w:val="16"/>
    <w:link w:val="3"/>
    <w:qFormat/>
    <w:uiPriority w:val="0"/>
    <w:rPr>
      <w:rFonts w:ascii="Arial" w:hAnsi="Arial" w:eastAsia="黑体" w:cs="Times New Roman"/>
      <w:bCs/>
      <w:kern w:val="2"/>
      <w:sz w:val="28"/>
      <w:szCs w:val="32"/>
    </w:rPr>
  </w:style>
  <w:style w:type="paragraph" w:styleId="22">
    <w:name w:val="List Paragraph"/>
    <w:basedOn w:val="1"/>
    <w:qFormat/>
    <w:uiPriority w:val="99"/>
    <w:pPr>
      <w:ind w:firstLine="420" w:firstLineChars="200"/>
    </w:pPr>
  </w:style>
  <w:style w:type="character" w:customStyle="1" w:styleId="23">
    <w:name w:val="日期 Char"/>
    <w:basedOn w:val="16"/>
    <w:link w:val="7"/>
    <w:semiHidden/>
    <w:qFormat/>
    <w:uiPriority w:val="99"/>
    <w:rPr>
      <w:rFonts w:ascii="Tahoma" w:hAnsi="Tahoma"/>
    </w:rPr>
  </w:style>
  <w:style w:type="paragraph" w:styleId="24">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25">
    <w:name w:val="标题 1 Char"/>
    <w:basedOn w:val="16"/>
    <w:link w:val="2"/>
    <w:qFormat/>
    <w:uiPriority w:val="0"/>
    <w:rPr>
      <w:rFonts w:ascii="Tahoma" w:hAnsi="Tahoma"/>
      <w:b/>
      <w:bCs/>
      <w:kern w:val="44"/>
      <w:sz w:val="30"/>
      <w:szCs w:val="44"/>
    </w:rPr>
  </w:style>
  <w:style w:type="paragraph" w:customStyle="1" w:styleId="26">
    <w:name w:val="TOC 标题1"/>
    <w:basedOn w:val="2"/>
    <w:next w:val="1"/>
    <w:autoRedefine/>
    <w:semiHidden/>
    <w:unhideWhenUsed/>
    <w:qFormat/>
    <w:uiPriority w:val="39"/>
    <w:pPr>
      <w:adjustRightInd/>
      <w:snapToGrid/>
      <w:spacing w:before="480" w:line="276" w:lineRule="auto"/>
      <w:outlineLvl w:val="9"/>
    </w:pPr>
    <w:rPr>
      <w:rFonts w:asciiTheme="majorHAnsi" w:hAnsiTheme="majorHAnsi" w:eastAsiaTheme="majorEastAsia" w:cstheme="majorBidi"/>
      <w:color w:val="366091" w:themeColor="accent1" w:themeShade="BF"/>
      <w:kern w:val="0"/>
      <w:szCs w:val="28"/>
    </w:rPr>
  </w:style>
  <w:style w:type="character" w:customStyle="1" w:styleId="27">
    <w:name w:val="批注框文本 Char"/>
    <w:basedOn w:val="16"/>
    <w:link w:val="8"/>
    <w:semiHidden/>
    <w:qFormat/>
    <w:uiPriority w:val="99"/>
    <w:rPr>
      <w:rFonts w:ascii="Tahoma" w:hAnsi="Tahoma"/>
      <w:sz w:val="18"/>
      <w:szCs w:val="18"/>
    </w:rPr>
  </w:style>
  <w:style w:type="character" w:customStyle="1" w:styleId="28">
    <w:name w:val="标题 3 Char"/>
    <w:basedOn w:val="16"/>
    <w:link w:val="4"/>
    <w:qFormat/>
    <w:uiPriority w:val="0"/>
    <w:rPr>
      <w:rFonts w:ascii="Tahoma" w:hAnsi="Tahoma"/>
      <w:bCs/>
      <w:sz w:val="28"/>
      <w:szCs w:val="32"/>
    </w:rPr>
  </w:style>
  <w:style w:type="paragraph" w:customStyle="1" w:styleId="2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0">
    <w:name w:val="样式 标准正文 + 首行缩进:  2 字符"/>
    <w:basedOn w:val="1"/>
    <w:qFormat/>
    <w:uiPriority w:val="0"/>
    <w:pPr>
      <w:widowControl w:val="0"/>
      <w:snapToGrid/>
      <w:spacing w:after="0" w:line="360" w:lineRule="auto"/>
      <w:ind w:firstLine="200" w:firstLineChars="200"/>
    </w:pPr>
    <w:rPr>
      <w:rFonts w:ascii="Times New Roman" w:hAnsi="Times New Roman" w:eastAsia="宋体" w:cs="宋体"/>
      <w:spacing w:val="-4"/>
      <w:kern w:val="21"/>
      <w:sz w:val="24"/>
      <w:szCs w:val="20"/>
    </w:rPr>
  </w:style>
  <w:style w:type="character" w:customStyle="1" w:styleId="31">
    <w:name w:val="表中文字"/>
    <w:qFormat/>
    <w:uiPriority w:val="0"/>
    <w:rPr>
      <w:rFonts w:hint="eastAsia" w:ascii="宋体" w:hAnsi="宋体" w:eastAsia="宋体"/>
      <w:sz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段"/>
    <w:link w:val="3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段 Char"/>
    <w:basedOn w:val="16"/>
    <w:link w:val="33"/>
    <w:qFormat/>
    <w:uiPriority w:val="0"/>
    <w:rPr>
      <w:rFonts w:ascii="宋体" w:hAnsi="Times New Roman" w:eastAsia="宋体" w:cs="Times New Roman"/>
      <w:sz w:val="21"/>
      <w:szCs w:val="20"/>
    </w:rPr>
  </w:style>
  <w:style w:type="character" w:customStyle="1" w:styleId="35">
    <w:name w:val="text-tag"/>
    <w:basedOn w:val="16"/>
    <w:qFormat/>
    <w:uiPriority w:val="0"/>
  </w:style>
  <w:style w:type="character" w:customStyle="1" w:styleId="36">
    <w:name w:val="正文文本 Char"/>
    <w:basedOn w:val="16"/>
    <w:link w:val="5"/>
    <w:uiPriority w:val="99"/>
    <w:rPr>
      <w:rFonts w:eastAsia="仿宋_GB2312"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39F93F-232B-40DC-9423-FF60C8EAA69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1216</Words>
  <Characters>6937</Characters>
  <Lines>57</Lines>
  <Paragraphs>16</Paragraphs>
  <TotalTime>495</TotalTime>
  <ScaleCrop>false</ScaleCrop>
  <LinksUpToDate>false</LinksUpToDate>
  <CharactersWithSpaces>8137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2021-08-23T07:25:00Z</dcterms:created>
  <dc:creator>asus</dc:creator>
  <cp:lastModifiedBy>卢梦遥</cp:lastModifiedBy>
  <cp:lastPrinted>2023-10-15T13:35:00Z</cp:lastPrinted>
  <dcterms:modified xsi:type="dcterms:W3CDTF">2024-06-28T08:48:42Z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3A5A22367FA64A67B5DEDC9FAA889AA1</vt:lpwstr>
  </property>
</Properties>
</file>