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 xml:space="preserve">1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标准征求意见稿意见汇总处理表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标准项目名称：再生铜及铜合金棒线材</w:t>
      </w:r>
      <w:r>
        <w:rPr>
          <w:rFonts w:hint="eastAsia"/>
          <w:szCs w:val="21"/>
        </w:rPr>
        <w:t xml:space="preserve">                         </w:t>
      </w:r>
      <w:r>
        <w:rPr>
          <w:rFonts w:hint="eastAsia"/>
          <w:szCs w:val="21"/>
        </w:rPr>
        <w:t>共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页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页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标准项目负责起草单位：宁波金田铜业（集团）股份有限公司</w:t>
      </w:r>
      <w:r>
        <w:rPr>
          <w:rFonts w:hint="eastAsia"/>
          <w:szCs w:val="21"/>
        </w:rPr>
        <w:t xml:space="preserve">   2024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日填写</w:t>
      </w: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00"/>
        <w:gridCol w:w="4125"/>
        <w:gridCol w:w="1701"/>
        <w:gridCol w:w="850"/>
        <w:gridCol w:w="1396"/>
      </w:tblGrid>
      <w:tr>
        <w:trPr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标准章条编号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意见内容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提出单位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处理</w:t>
            </w:r>
          </w:p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意见</w:t>
            </w:r>
          </w:p>
        </w:tc>
        <w:tc>
          <w:tcPr>
            <w:tcW w:w="13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备 注</w:t>
            </w:r>
          </w:p>
        </w:tc>
      </w:tr>
      <w:tr>
        <w:trPr>
          <w:trHeight w:val="284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前言</w:t>
            </w:r>
          </w:p>
        </w:tc>
        <w:tc>
          <w:tcPr>
            <w:tcW w:w="4125" w:type="dxa"/>
            <w:vAlign w:val="center"/>
          </w:tcPr>
          <w:p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增加“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请注意本文件的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某些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内容可能涉及专利。本文件的发布机构不承担识别专利的责任。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”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中铝洛阳铜加工有限公司、江西耐乐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采纳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已修改</w:t>
            </w:r>
          </w:p>
        </w:tc>
      </w:tr>
      <w:tr>
        <w:trPr>
          <w:trHeight w:val="580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25" w:type="dxa"/>
            <w:vAlign w:val="center"/>
          </w:tcPr>
          <w:p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前言内容比较多，应按规范要求编写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江西耐乐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采纳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已修改</w:t>
            </w:r>
          </w:p>
        </w:tc>
      </w:tr>
      <w:tr>
        <w:trPr>
          <w:trHeight w:val="580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00" w:type="dxa"/>
            <w:vMerge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25" w:type="dxa"/>
            <w:vAlign w:val="center"/>
          </w:tcPr>
          <w:p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第二段的GB/T26301-2010应为GB/T26311-2010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芜湖恒鑫铜业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采纳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已修改</w:t>
            </w:r>
          </w:p>
        </w:tc>
      </w:tr>
      <w:tr>
        <w:trPr>
          <w:trHeight w:val="284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 范围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“本文件规定了....产品分类、技术要求...”改为“本文件规定了....分类和标记、再循环材料比例要求及核算方法、...”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中铝洛阳铜加工有限公司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采纳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已修改</w:t>
            </w:r>
          </w:p>
        </w:tc>
      </w:tr>
      <w:tr>
        <w:trPr>
          <w:trHeight w:val="284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3.1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“消费材前材料”修改为“消费前材料”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中色正锐（山东）铜来有限公司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采纳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已修改</w:t>
            </w:r>
          </w:p>
        </w:tc>
      </w:tr>
      <w:tr>
        <w:trPr>
          <w:trHeight w:val="284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3.1</w:t>
            </w:r>
          </w:p>
        </w:tc>
        <w:tc>
          <w:tcPr>
            <w:tcW w:w="4125" w:type="dxa"/>
            <w:vAlign w:val="center"/>
          </w:tcPr>
          <w:p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再循环材料定义来源，由“ISO14021:2016”更改为“GB/T 24021-2024”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中铝洛铜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采纳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已修改</w:t>
            </w:r>
          </w:p>
        </w:tc>
      </w:tr>
      <w:tr>
        <w:trPr>
          <w:trHeight w:val="284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4.1</w:t>
            </w:r>
          </w:p>
        </w:tc>
        <w:tc>
          <w:tcPr>
            <w:tcW w:w="4125" w:type="dxa"/>
            <w:vAlign w:val="center"/>
          </w:tcPr>
          <w:p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表1中的“mm”单独一行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中铝洛阳铜加工有限公司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采纳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已修改</w:t>
            </w:r>
          </w:p>
        </w:tc>
      </w:tr>
      <w:tr>
        <w:trPr>
          <w:trHeight w:val="284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900" w:type="dxa"/>
            <w:vMerge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25" w:type="dxa"/>
            <w:vAlign w:val="center"/>
          </w:tcPr>
          <w:p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表1中H62、H65直径对边长建议调整为1.0-80mm；锡青铜建议范围调整为20-150mm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芜湖恒鑫铜业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不采纳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因产销量少，暂不调整</w:t>
            </w:r>
          </w:p>
        </w:tc>
      </w:tr>
      <w:tr>
        <w:trPr>
          <w:trHeight w:val="284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4.2</w:t>
            </w:r>
          </w:p>
        </w:tc>
        <w:tc>
          <w:tcPr>
            <w:tcW w:w="4125" w:type="dxa"/>
            <w:vAlign w:val="center"/>
          </w:tcPr>
          <w:p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标记示例说明a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长对边距写成方棒对边距或矩形棒长对边距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宁波博威合金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采纳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会议讨论</w:t>
            </w:r>
          </w:p>
        </w:tc>
      </w:tr>
      <w:tr>
        <w:trPr>
          <w:trHeight w:val="284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125" w:type="dxa"/>
            <w:vAlign w:val="center"/>
          </w:tcPr>
          <w:p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“再循环材料比例要求及核算”单独成为一章内容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重标委会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采纳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已修改</w:t>
            </w:r>
          </w:p>
        </w:tc>
      </w:tr>
      <w:tr>
        <w:trPr>
          <w:trHeight w:val="284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6.3</w:t>
            </w:r>
          </w:p>
        </w:tc>
        <w:tc>
          <w:tcPr>
            <w:tcW w:w="4125" w:type="dxa"/>
            <w:vAlign w:val="center"/>
          </w:tcPr>
          <w:p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外形尺寸及其允许偏差，更改为“符合YS/T 759、YS/T 649、GB/T 4423、GB/T 21652规定”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宁波博威合金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采纳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已修改</w:t>
            </w:r>
          </w:p>
        </w:tc>
      </w:tr>
      <w:tr>
        <w:trPr>
          <w:trHeight w:val="284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6.6.3</w:t>
            </w:r>
          </w:p>
        </w:tc>
        <w:tc>
          <w:tcPr>
            <w:tcW w:w="4125" w:type="dxa"/>
            <w:vAlign w:val="center"/>
          </w:tcPr>
          <w:p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增加了内部质量超声波探伤检验质量要求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广东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华鸿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采纳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已修改</w:t>
            </w:r>
          </w:p>
        </w:tc>
      </w:tr>
      <w:tr>
        <w:trPr>
          <w:trHeight w:val="284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表5</w:t>
            </w:r>
          </w:p>
        </w:tc>
        <w:tc>
          <w:tcPr>
            <w:tcW w:w="4125" w:type="dxa"/>
            <w:vAlign w:val="center"/>
          </w:tcPr>
          <w:p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增加HPb61-3、HPb59-2.8牌号的断后伸长率数据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中铝洛铜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采纳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已修改</w:t>
            </w:r>
          </w:p>
        </w:tc>
      </w:tr>
      <w:tr>
        <w:trPr>
          <w:trHeight w:val="284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7.3.1</w:t>
            </w:r>
          </w:p>
        </w:tc>
        <w:tc>
          <w:tcPr>
            <w:tcW w:w="4125" w:type="dxa"/>
            <w:vAlign w:val="center"/>
          </w:tcPr>
          <w:p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更改了棒材拉伸试样方法，由GB/T228.1更改为GB/T 34505-2017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中铝洛铜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采纳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已修改</w:t>
            </w:r>
          </w:p>
        </w:tc>
      </w:tr>
      <w:tr>
        <w:trPr>
          <w:trHeight w:val="284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8.5.4</w:t>
            </w:r>
          </w:p>
        </w:tc>
        <w:tc>
          <w:tcPr>
            <w:tcW w:w="4125" w:type="dxa"/>
            <w:vAlign w:val="center"/>
          </w:tcPr>
          <w:p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内部质量的判定：建议断口和探伤分，如果逐根探伤，则按根判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中铝洛阳铜加工有限公司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采纳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已修改</w:t>
            </w:r>
          </w:p>
        </w:tc>
      </w:tr>
      <w:tr>
        <w:trPr>
          <w:trHeight w:val="284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9.2</w:t>
            </w:r>
          </w:p>
        </w:tc>
        <w:tc>
          <w:tcPr>
            <w:tcW w:w="4125" w:type="dxa"/>
            <w:vAlign w:val="center"/>
          </w:tcPr>
          <w:p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随行文件中产品特点增加“再循环材料比例”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重标委会/江西耐乐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采纳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已修改</w:t>
            </w:r>
          </w:p>
        </w:tc>
      </w:tr>
      <w:tr>
        <w:trPr>
          <w:trHeight w:val="284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增减“残余应力（有需要时注明）”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中铝洛阳铜加工有限公司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采纳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已修改</w:t>
            </w:r>
          </w:p>
        </w:tc>
      </w:tr>
      <w:tr>
        <w:trPr>
          <w:trHeight w:val="284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A.2.2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表A.2中，建议补充再生铅锭消费前材料主要来源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中铝洛阳铜加工有限公司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采纳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会上讨论</w:t>
            </w:r>
          </w:p>
        </w:tc>
      </w:tr>
      <w:tr>
        <w:trPr>
          <w:trHeight w:val="284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A.4</w:t>
            </w:r>
          </w:p>
        </w:tc>
        <w:tc>
          <w:tcPr>
            <w:tcW w:w="4125" w:type="dxa"/>
            <w:vAlign w:val="center"/>
          </w:tcPr>
          <w:p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公式A.1，建议按公式格式写，字母均为斜体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中铝洛阳铜加工有限公司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采纳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已修改</w:t>
            </w:r>
          </w:p>
        </w:tc>
      </w:tr>
      <w:tr>
        <w:trPr>
          <w:trHeight w:val="284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25" w:type="dxa"/>
            <w:vAlign w:val="center"/>
          </w:tcPr>
          <w:p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反馈无意见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安徽鑫科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>
        <w:trPr>
          <w:trHeight w:val="284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25" w:type="dxa"/>
            <w:vAlign w:val="center"/>
          </w:tcPr>
          <w:p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反馈无意见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江西铜业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>
        <w:trPr>
          <w:trHeight w:val="284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25" w:type="dxa"/>
            <w:vAlign w:val="center"/>
          </w:tcPr>
          <w:p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反馈无意见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楚江合金铜材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>
        <w:trPr>
          <w:trHeight w:val="284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25" w:type="dxa"/>
            <w:vAlign w:val="center"/>
          </w:tcPr>
          <w:p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反馈无意见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宁波兴业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>
        <w:trPr>
          <w:trHeight w:val="284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25" w:type="dxa"/>
            <w:vAlign w:val="center"/>
          </w:tcPr>
          <w:p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反馈无意见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宁波兴敖达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>
      <w:pPr>
        <w:spacing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说明：①发送《征求意见稿》的单位数：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个；</w:t>
      </w:r>
    </w:p>
    <w:p>
      <w:pPr>
        <w:spacing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 ②</w:t>
      </w:r>
      <w:r>
        <w:rPr>
          <w:rFonts w:hint="eastAsia"/>
          <w:szCs w:val="21"/>
        </w:rPr>
        <w:t>收到《征求意见稿》后，回函的单位数：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个；</w:t>
      </w:r>
    </w:p>
    <w:p>
      <w:pPr>
        <w:spacing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 ③</w:t>
      </w:r>
      <w:r>
        <w:rPr>
          <w:rFonts w:hint="eastAsia"/>
          <w:szCs w:val="21"/>
        </w:rPr>
        <w:t>收到《征求意见稿》后，回函并有建议或意见的单位数：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个</w:t>
      </w:r>
    </w:p>
    <w:p>
      <w:pPr>
        <w:spacing w:line="360" w:lineRule="auto"/>
        <w:ind w:leftChars="200" w:left="420"/>
      </w:pPr>
      <w:r>
        <w:rPr>
          <w:rFonts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 ④</w:t>
      </w:r>
      <w:r>
        <w:rPr>
          <w:rFonts w:hint="eastAsia"/>
          <w:szCs w:val="21"/>
        </w:rPr>
        <w:t>没有回函的单位数：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个。</w:t>
      </w:r>
    </w:p>
    <w:sect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 First Indent"/>
    <w:basedOn w:val="a5"/>
    <w:pPr>
      <w:tabs>
        <w:tab w:val="left" w:pos="2400"/>
      </w:tabs>
      <w:adjustRightInd w:val="0"/>
      <w:spacing w:beforeLines="50" w:after="0" w:line="240" w:lineRule="exact"/>
      <w:textAlignment w:val="baseline"/>
    </w:pPr>
    <w:rPr>
      <w:rFonts w:ascii="黑体" w:eastAsia="黑体" w:hAnsi="宋体"/>
      <w:kern w:val="0"/>
      <w:szCs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5">
    <w:name w:val="Body Text"/>
    <w:basedOn w:val="a"/>
    <w:pPr>
      <w:spacing w:after="120"/>
    </w:p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semiHidden/>
    <w:pPr>
      <w:adjustRightInd w:val="0"/>
      <w:snapToGrid w:val="0"/>
      <w:spacing w:line="400" w:lineRule="exact"/>
      <w:jc w:val="left"/>
      <w:textAlignment w:val="baseline"/>
    </w:pPr>
    <w:rPr>
      <w:rFonts w:ascii="黑体" w:eastAsia="黑体" w:hAnsi="宋体"/>
      <w:smallCaps/>
      <w:kern w:val="0"/>
      <w:szCs w:val="21"/>
    </w:rPr>
  </w:style>
  <w:style w:type="paragraph" w:styleId="a7">
    <w:name w:val="Body Text Indent"/>
    <w:basedOn w:val="a"/>
    <w:pPr>
      <w:spacing w:after="120"/>
      <w:ind w:leftChars="200" w:left="420"/>
    </w:pPr>
  </w:style>
  <w:style w:type="paragraph" w:styleId="a8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Pr>
      <w:kern w:val="2"/>
      <w:sz w:val="18"/>
      <w:szCs w:val="18"/>
    </w:rPr>
  </w:style>
  <w:style w:type="paragraph" w:styleId="a9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C4DE6-F41E-402C-9E5B-B4B19041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208</Words>
  <Characters>1186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Microsoft</Company>
  <LinksUpToDate>false</LinksUpToDate>
  <CharactersWithSpaces>1392</CharactersWithSpaces>
  <SharedDoc>false</SharedDoc>
  <HLinks>
    <vt:vector size="6" baseType="variant">
      <vt:variant>
        <vt:i4>4325398</vt:i4>
      </vt:variant>
      <vt:variant>
        <vt:i4>0</vt:i4>
      </vt:variant>
      <vt:variant>
        <vt:i4>0</vt:i4>
      </vt:variant>
      <vt:variant>
        <vt:i4>5</vt:i4>
      </vt:variant>
      <vt:variant>
        <vt:lpwstr>mailto:zhao_wanhua@163.com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subject/>
  <dc:creator>裘桂群</dc:creator>
  <cp:keywords/>
  <dc:description/>
  <cp:lastModifiedBy>裘桂群</cp:lastModifiedBy>
  <cp:revision>42</cp:revision>
  <dcterms:created xsi:type="dcterms:W3CDTF">2021-09-10T00:43:00Z</dcterms:created>
  <dcterms:modified xsi:type="dcterms:W3CDTF">2024-07-08T03:30:00Z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