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8"/>
        <w:sectPr>
          <w:headerReference r:id="rId4" w:type="first"/>
          <w:headerReference r:id="rId3" w:type="even"/>
          <w:footerReference r:id="rId5" w:type="even"/>
          <w:pgSz w:w="11907" w:h="16839"/>
          <w:pgMar w:top="567" w:right="851" w:bottom="1361" w:left="1418" w:header="0" w:footer="0" w:gutter="0"/>
          <w:pgNumType w:start="1"/>
          <w:cols w:space="0" w:num="1"/>
          <w:docGrid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8670290</wp:posOffset>
                </wp:positionV>
                <wp:extent cx="6121400" cy="635"/>
                <wp:effectExtent l="0" t="0" r="12700" b="18415"/>
                <wp:wrapNone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3pt;margin-top:682.7pt;height:0.05pt;width:482pt;z-index:251667456;mso-width-relative:page;mso-height-relative:page;" filled="f" stroked="t" coordsize="21600,21600" o:gfxdata="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WM01raAAAADAEAAA8AAAAAAAAAAQAgAAAA&#10;IgAAAGRycy9kb3ducmV2LnhtbFBLAQIUABQAAAAIAIdO4kAlB2Lb0AEAALEDAAAOAAAAAAAAAAEA&#10;IAAAACkBAABkcnMvZTJvRG9jLnhtbFBLBQYAAAAABgAGAFkBAABr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2272665</wp:posOffset>
                </wp:positionV>
                <wp:extent cx="6121400" cy="0"/>
                <wp:effectExtent l="0" t="0" r="0" b="0"/>
                <wp:wrapNone/>
                <wp:docPr id="10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0.1pt;margin-top:178.95pt;height:0pt;width:482pt;z-index:251666432;mso-width-relative:page;mso-height-relative:page;" filled="f" stroked="t" coordsize="21600,21600" o:gfxdata="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UkmBLWAAAACQEAAA8AAAAAAAAAAQAgAAAAIgAAAGRy&#10;cy9kb3ducmV2LnhtbFBLAQIUABQAAAAIAIdO4kCyZio6zgEAAK8DAAAOAAAAAAAAAAEAIAAAACU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8724900</wp:posOffset>
                </wp:positionV>
                <wp:extent cx="6120130" cy="1022985"/>
                <wp:effectExtent l="0" t="0" r="0" b="0"/>
                <wp:wrapNone/>
                <wp:docPr id="9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5"/>
                              <w:spacing w:line="0" w:lineRule="atLeast"/>
                              <w:ind w:firstLine="433" w:firstLineChars="100"/>
                              <w:rPr>
                                <w:rStyle w:val="50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2"/>
                              </w:rPr>
                              <w:t>国家市场监督管理总局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w w:val="135"/>
                                <w:sz w:val="32"/>
                              </w:rPr>
                              <w:t>中国国家标准化管理委员会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Style w:val="50"/>
                                <w:rFonts w:hint="eastAsia"/>
                                <w:position w:val="18"/>
                                <w:sz w:val="32"/>
                              </w:rPr>
                              <w:t>发布</w:t>
                            </w:r>
                          </w:p>
                          <w:p>
                            <w:pPr>
                              <w:pStyle w:val="104"/>
                            </w:pP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687pt;height:80.55pt;width:481.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HQ9H2QAAAAoBAAAPAAAA&#10;AAAAAAEAIAAAACIAAABkcnMvZG93bnJldi54bWxQSwECFAAUAAAACACHTuJA9+DePRQCAAA6BA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5"/>
                        <w:spacing w:line="0" w:lineRule="atLeast"/>
                        <w:ind w:firstLine="433" w:firstLineChars="100"/>
                        <w:rPr>
                          <w:rStyle w:val="50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  <w:sz w:val="32"/>
                        </w:rPr>
                        <w:t>国家市场监督管理总局</w:t>
                      </w:r>
                    </w:p>
                    <w:p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  <w:b/>
                          <w:spacing w:val="10"/>
                          <w:w w:val="135"/>
                          <w:sz w:val="32"/>
                        </w:rPr>
                        <w:t>中国国家标准化管理委员会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Style w:val="50"/>
                          <w:rFonts w:hint="eastAsia"/>
                          <w:position w:val="18"/>
                          <w:sz w:val="32"/>
                        </w:rPr>
                        <w:t>发布</w:t>
                      </w:r>
                    </w:p>
                    <w:p>
                      <w:pPr>
                        <w:pStyle w:val="104"/>
                      </w:pP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8343900</wp:posOffset>
                </wp:positionV>
                <wp:extent cx="2019300" cy="447675"/>
                <wp:effectExtent l="0" t="0" r="0" b="0"/>
                <wp:wrapNone/>
                <wp:docPr id="8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9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X-XX-XX实施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57pt;height:35.25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Q1pzNoAAAANAQAADwAA&#10;AAAAAAABACAAAAAiAAAAZHJzL2Rvd25yZXYueG1sUEsBAhQAFAAAAAgAh07iQOxjatIUAgAAOQQA&#10;AA4AAAAAAAAAAQAgAAAAKQEAAGRycy9lMm9Eb2MueG1sUEsFBgAAAAAGAAYAWQEAAK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9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X-XX-XX实施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2540</wp:posOffset>
                </wp:positionH>
                <wp:positionV relativeFrom="margin">
                  <wp:posOffset>8286750</wp:posOffset>
                </wp:positionV>
                <wp:extent cx="2019300" cy="514985"/>
                <wp:effectExtent l="19050" t="19050" r="0" b="0"/>
                <wp:wrapNone/>
                <wp:docPr id="7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0000">
                          <a:off x="0" y="0"/>
                          <a:ext cx="201930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0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X-XX-XX发布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.2pt;margin-top:652.5pt;height:40.55pt;width:159pt;mso-position-horizontal-relative:margin;mso-position-vertical-relative:margin;rotation:65536f;z-index:251664384;mso-width-relative:page;mso-height-relative:page;" fillcolor="#FFFFFF" filled="t" stroked="f" coordsize="21600,21600" o:gfxdata="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Cj5dq1wAAAAoB&#10;AAAPAAAAAAAAAAEAIAAAACIAAABkcnMvZG93bnJldi54bWxQSwECFAAUAAAACACHTuJAJJlX/BwC&#10;AABFBAAADgAAAAAAAAABACAAAAAmAQAAZHJzL2Uyb0RvYy54bWxQSwUGAAAAAAYABgBZAQAAtAUA&#10;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X-XX-XX发布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0"/>
                <wp:wrapNone/>
                <wp:docPr id="6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黑体" w:hAnsi="黑体" w:eastAsia="黑体"/>
                                <w:b/>
                                <w:kern w:val="0"/>
                                <w:sz w:val="52"/>
                                <w:szCs w:val="52"/>
                              </w:rPr>
                            </w:pPr>
                            <w:bookmarkStart w:id="4" w:name="_Hlk117778382"/>
                            <w:r>
                              <w:rPr>
                                <w:rFonts w:hint="eastAsia" w:ascii="黑体" w:hAnsi="黑体" w:eastAsia="黑体"/>
                                <w:b/>
                                <w:kern w:val="0"/>
                                <w:sz w:val="52"/>
                                <w:szCs w:val="52"/>
                              </w:rPr>
                              <w:t>LED用稀土荧光粉试验方法</w:t>
                            </w:r>
                          </w:p>
                          <w:bookmarkEnd w:id="4"/>
                          <w:p>
                            <w:pPr>
                              <w:pStyle w:val="83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部分：高温高湿性能的测定</w:t>
                            </w:r>
                          </w:p>
                          <w:p>
                            <w:pPr>
                              <w:pStyle w:val="5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Test method of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rare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earth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  <w:bCs/>
                                <w:szCs w:val="28"/>
                              </w:rPr>
                              <w:t>hosphors for LED</w:t>
                            </w:r>
                            <w:r>
                              <w:rPr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art</w:t>
                            </w:r>
                            <w:r>
                              <w:rPr>
                                <w:szCs w:val="28"/>
                              </w:rPr>
                              <w:t xml:space="preserve"> 9: Determination of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high temperature and high humidity</w:t>
                            </w:r>
                            <w:r>
                              <w:rPr>
                                <w:szCs w:val="28"/>
                              </w:rPr>
                              <w:t xml:space="preserve"> property</w:t>
                            </w:r>
                          </w:p>
                          <w:p>
                            <w:pPr>
                              <w:pStyle w:val="89"/>
                            </w:pPr>
                          </w:p>
                          <w:p>
                            <w:pPr>
                              <w:pStyle w:val="91"/>
                            </w:pPr>
                          </w:p>
                          <w:p>
                            <w:pPr>
                              <w:pStyle w:val="7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FefcdgAAAAJAQAADwAA&#10;AAAAAAABACAAAAAiAAAAZHJzL2Rvd25yZXYueG1sUEsBAhQAFAAAAAgAh07iQPi4mCMWAgAAOgQA&#10;AA4AAAAAAAAAAQAgAAAAJwEAAGRycy9lMm9Eb2MueG1sUEsFBgAAAAAGAAYAWQEAAK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黑体" w:hAnsi="黑体" w:eastAsia="黑体"/>
                          <w:b/>
                          <w:kern w:val="0"/>
                          <w:sz w:val="52"/>
                          <w:szCs w:val="52"/>
                        </w:rPr>
                      </w:pPr>
                      <w:bookmarkStart w:id="4" w:name="_Hlk117778382"/>
                      <w:r>
                        <w:rPr>
                          <w:rFonts w:hint="eastAsia" w:ascii="黑体" w:hAnsi="黑体" w:eastAsia="黑体"/>
                          <w:b/>
                          <w:kern w:val="0"/>
                          <w:sz w:val="52"/>
                          <w:szCs w:val="52"/>
                        </w:rPr>
                        <w:t>LED用稀土荧光粉试验方法</w:t>
                      </w:r>
                    </w:p>
                    <w:bookmarkEnd w:id="4"/>
                    <w:p>
                      <w:pPr>
                        <w:pStyle w:val="83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部分：高温高湿性能的测定</w:t>
                      </w:r>
                    </w:p>
                    <w:p>
                      <w:pPr>
                        <w:pStyle w:val="5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Test method of </w:t>
                      </w:r>
                      <w:r>
                        <w:rPr>
                          <w:rFonts w:hint="eastAsia"/>
                          <w:szCs w:val="28"/>
                        </w:rPr>
                        <w:t>rare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earth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Cs w:val="28"/>
                        </w:rPr>
                        <w:t>p</w:t>
                      </w:r>
                      <w:r>
                        <w:rPr>
                          <w:rFonts w:eastAsia="Times New Roman"/>
                          <w:bCs/>
                          <w:szCs w:val="28"/>
                        </w:rPr>
                        <w:t>hosphors for LED</w:t>
                      </w:r>
                      <w:r>
                        <w:rPr>
                          <w:szCs w:val="28"/>
                        </w:rPr>
                        <w:br w:type="textWrapping"/>
                      </w:r>
                      <w:r>
                        <w:rPr>
                          <w:szCs w:val="28"/>
                        </w:rPr>
                        <w:t>P</w:t>
                      </w:r>
                      <w:r>
                        <w:rPr>
                          <w:rFonts w:hint="eastAsia"/>
                          <w:szCs w:val="28"/>
                        </w:rPr>
                        <w:t>art</w:t>
                      </w:r>
                      <w:r>
                        <w:rPr>
                          <w:szCs w:val="28"/>
                        </w:rPr>
                        <w:t xml:space="preserve"> 9: Determination of </w:t>
                      </w:r>
                      <w:r>
                        <w:rPr>
                          <w:rFonts w:hint="eastAsia"/>
                          <w:szCs w:val="21"/>
                        </w:rPr>
                        <w:t>high temperature and high humidity</w:t>
                      </w:r>
                      <w:r>
                        <w:rPr>
                          <w:szCs w:val="28"/>
                        </w:rPr>
                        <w:t xml:space="preserve"> property</w:t>
                      </w:r>
                    </w:p>
                    <w:p>
                      <w:pPr>
                        <w:pStyle w:val="89"/>
                      </w:pPr>
                    </w:p>
                    <w:p>
                      <w:pPr>
                        <w:pStyle w:val="91"/>
                      </w:pPr>
                    </w:p>
                    <w:p>
                      <w:pPr>
                        <w:pStyle w:val="7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0" b="0"/>
                <wp:wrapNone/>
                <wp:docPr id="5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0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GB/T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2</w:t>
                            </w: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3595-20X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X</w:t>
                            </w:r>
                          </w:p>
                          <w:p>
                            <w:pPr>
                              <w:pStyle w:val="113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代替</w:t>
                            </w:r>
                            <w:r>
                              <w:rPr>
                                <w:rFonts w:hint="eastAsia" w:ascii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GB/T 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23595.4-2009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56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AaT72AAAAAgBAAAPAAAA&#10;AAAAAAEAIAAAACIAAABkcnMvZG93bnJldi54bWxQSwECFAAUAAAACACHTuJAEFbr2BUCAAA5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0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GB/T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2</w:t>
                      </w: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3595-20X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X</w:t>
                      </w:r>
                    </w:p>
                    <w:p>
                      <w:pPr>
                        <w:pStyle w:val="113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代替</w:t>
                      </w:r>
                      <w:r>
                        <w:rPr>
                          <w:rFonts w:hint="eastAsia" w:ascii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GB/T </w:t>
                      </w:r>
                      <w:r>
                        <w:rPr>
                          <w:rFonts w:ascii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23595.4-2009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4542155</wp:posOffset>
                </wp:positionH>
                <wp:positionV relativeFrom="margin">
                  <wp:posOffset>107315</wp:posOffset>
                </wp:positionV>
                <wp:extent cx="1182370" cy="720090"/>
                <wp:effectExtent l="0" t="0" r="0" b="0"/>
                <wp:wrapNone/>
                <wp:docPr id="4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9"/>
                            </w:pPr>
                            <w:r>
                              <w:drawing>
                                <wp:inline distT="0" distB="0" distL="0" distR="0">
                                  <wp:extent cx="1181100" cy="609600"/>
                                  <wp:effectExtent l="0" t="0" r="0" b="0"/>
                                  <wp:docPr id="49" name="Picture 1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Picture 1" descr="图片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357.65pt;margin-top:8.45pt;height:56.7pt;width:93.1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/yUUjZAAAACgEAAA8AAAAA&#10;AAAAAQAgAAAAIgAAAGRycy9kb3ducmV2LnhtbFBLAQIUABQAAAAIAIdO4kBuv50/EwIAADkEAAAO&#10;AAAAAAAAAAEAIAAAACgBAABkcnMvZTJvRG9jLnhtbFBLBQYAAAAABgAGAFkBAAC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9"/>
                      </w:pPr>
                      <w:r>
                        <w:drawing>
                          <wp:inline distT="0" distB="0" distL="0" distR="0">
                            <wp:extent cx="1181100" cy="609600"/>
                            <wp:effectExtent l="0" t="0" r="0" b="0"/>
                            <wp:docPr id="49" name="Picture 1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Picture 1" descr="图片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0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  <w:p>
                            <w:pPr>
                              <w:pStyle w:val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DkcF1wAAAAgBAAAPAAAAAAAA&#10;AAEAIAAAACIAAABkcnMvZG93bnJldi54bWxQSwECFAAUAAAACACHTuJA2lA5MhMCAAA5BAAADgAA&#10;AAAAAAABACAAAAAm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0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  <w:p>
                      <w:pPr>
                        <w:pStyle w:val="1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0"/>
                <wp:wrapNone/>
                <wp:docPr id="2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2"/>
                            </w:pPr>
                            <w:r>
                              <w:rPr>
                                <w:rFonts w:hint="eastAsia"/>
                              </w:rPr>
                              <w:t>ICS 77.120.99</w:t>
                            </w:r>
                          </w:p>
                          <w:p>
                            <w:pPr>
                              <w:pStyle w:val="92"/>
                            </w:pPr>
                            <w:r>
                              <w:rPr>
                                <w:rFonts w:hint="eastAsia"/>
                              </w:rPr>
                              <w:t>H 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ezL4NMAAAAFAQAADwAAAAAAAAAB&#10;ACAAAAAiAAAAZHJzL2Rvd25yZXYueG1sUEsBAhQAFAAAAAgAh07iQOaYDfcVAgAAOQQAAA4AAAAA&#10;AAAAAQAgAAAAIg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2"/>
                      </w:pPr>
                      <w:r>
                        <w:rPr>
                          <w:rFonts w:hint="eastAsia"/>
                        </w:rPr>
                        <w:t>ICS 77.120.99</w:t>
                      </w:r>
                    </w:p>
                    <w:p>
                      <w:pPr>
                        <w:pStyle w:val="92"/>
                      </w:pPr>
                      <w:r>
                        <w:rPr>
                          <w:rFonts w:hint="eastAsia"/>
                        </w:rPr>
                        <w:t>H 65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>IIS</w:t>
      </w:r>
    </w:p>
    <w:bookmarkEnd w:id="0"/>
    <w:p>
      <w:pPr>
        <w:pStyle w:val="74"/>
        <w:rPr>
          <w:rFonts w:ascii="Times New Roman" w:eastAsia="宋体"/>
        </w:rPr>
      </w:pPr>
      <w:bookmarkStart w:id="1" w:name="SectionMark2"/>
      <w:r>
        <w:rPr>
          <w:rFonts w:ascii="Times New Roman" w:eastAsia="宋体"/>
        </w:rPr>
        <w:t>前    言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  <w:lang w:val="en-US" w:eastAsia="zh-CN"/>
        </w:rPr>
        <w:t>文件</w:t>
      </w:r>
      <w:r>
        <w:rPr>
          <w:szCs w:val="21"/>
        </w:rPr>
        <w:t>按照GB/T 1.1-2020</w:t>
      </w:r>
      <w:r>
        <w:rPr>
          <w:rFonts w:hint="eastAsia"/>
          <w:szCs w:val="21"/>
        </w:rPr>
        <w:t>《标准化工作导则 第一部分：标准化文件的结构和起草规则》的规定起草。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  <w:lang w:eastAsia="zh-CN"/>
        </w:rPr>
        <w:t>文件</w:t>
      </w:r>
      <w:r>
        <w:rPr>
          <w:szCs w:val="21"/>
        </w:rPr>
        <w:t>代替GBT 23595</w:t>
      </w:r>
      <w:r>
        <w:rPr>
          <w:rFonts w:hint="eastAsia"/>
          <w:szCs w:val="21"/>
        </w:rPr>
        <w:t>.</w:t>
      </w:r>
      <w:r>
        <w:rPr>
          <w:szCs w:val="21"/>
        </w:rPr>
        <w:t>4-2009《白光LED灯用稀土黄色荧光粉试验方法</w:t>
      </w:r>
      <w:r>
        <w:rPr>
          <w:rFonts w:hint="eastAsia"/>
          <w:szCs w:val="21"/>
        </w:rPr>
        <w:t>:第</w:t>
      </w:r>
      <w:r>
        <w:rPr>
          <w:szCs w:val="21"/>
        </w:rPr>
        <w:t>4</w:t>
      </w:r>
      <w:r>
        <w:rPr>
          <w:rFonts w:hint="eastAsia"/>
          <w:szCs w:val="21"/>
        </w:rPr>
        <w:t>部分：热稳定性的测定</w:t>
      </w:r>
      <w:r>
        <w:rPr>
          <w:szCs w:val="21"/>
        </w:rPr>
        <w:t>》。</w:t>
      </w:r>
    </w:p>
    <w:p>
      <w:pPr>
        <w:spacing w:line="240" w:lineRule="auto"/>
        <w:ind w:firstLine="0" w:firstLineChars="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本文件代替GBT 23595.4-2009《白光LED灯用稀土黄色荧光粉试验方法:第4部分：热稳定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性的测定》，与GBT 23595.4-2009相比，除结构调整和编辑性改动外，主要技术变化如下</w:t>
      </w:r>
      <w:r>
        <w:rPr>
          <w:szCs w:val="21"/>
        </w:rPr>
        <w:t>：</w:t>
      </w:r>
    </w:p>
    <w:p>
      <w:pPr>
        <w:spacing w:line="400" w:lineRule="exact"/>
        <w:ind w:left="420" w:leftChars="200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修改了</w:t>
      </w:r>
      <w:r>
        <w:rPr>
          <w:rFonts w:hint="eastAsia"/>
          <w:szCs w:val="21"/>
          <w:lang w:eastAsia="zh-CN"/>
        </w:rPr>
        <w:t>文件</w:t>
      </w:r>
      <w:r>
        <w:rPr>
          <w:rFonts w:hint="eastAsia"/>
          <w:szCs w:val="21"/>
        </w:rPr>
        <w:t>名称；</w:t>
      </w:r>
    </w:p>
    <w:p>
      <w:pPr>
        <w:spacing w:line="400" w:lineRule="exact"/>
        <w:ind w:left="420" w:leftChars="200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修改了</w:t>
      </w:r>
      <w:r>
        <w:rPr>
          <w:rFonts w:hint="eastAsia"/>
          <w:szCs w:val="21"/>
          <w:lang w:eastAsia="zh-CN"/>
        </w:rPr>
        <w:t>文件</w:t>
      </w:r>
      <w:r>
        <w:rPr>
          <w:rFonts w:hint="eastAsia"/>
          <w:szCs w:val="21"/>
        </w:rPr>
        <w:t>适用范围，扩展了荧光粉激发波长范围、增加了湿度测试（详见第1部分，2</w:t>
      </w:r>
      <w:r>
        <w:rPr>
          <w:szCs w:val="21"/>
        </w:rPr>
        <w:t>009</w:t>
      </w:r>
      <w:r>
        <w:rPr>
          <w:rFonts w:hint="eastAsia"/>
          <w:szCs w:val="21"/>
        </w:rPr>
        <w:t>年版的第1部分）；</w:t>
      </w:r>
    </w:p>
    <w:p>
      <w:pPr>
        <w:tabs>
          <w:tab w:val="left" w:pos="2977"/>
        </w:tabs>
        <w:spacing w:line="400" w:lineRule="exact"/>
        <w:ind w:left="420" w:leftChars="200"/>
        <w:rPr>
          <w:szCs w:val="21"/>
        </w:rPr>
      </w:pPr>
      <w:r>
        <w:rPr>
          <w:rFonts w:hint="eastAsia"/>
          <w:szCs w:val="21"/>
        </w:rPr>
        <w:t>——增加了</w:t>
      </w:r>
      <w:r>
        <w:rPr>
          <w:szCs w:val="21"/>
        </w:rPr>
        <w:t>2 规范性引用文件</w:t>
      </w:r>
      <w:r>
        <w:rPr>
          <w:rFonts w:hint="eastAsia"/>
          <w:szCs w:val="21"/>
        </w:rPr>
        <w:t>；</w:t>
      </w:r>
    </w:p>
    <w:p>
      <w:pPr>
        <w:tabs>
          <w:tab w:val="left" w:pos="2977"/>
        </w:tabs>
        <w:spacing w:line="400" w:lineRule="exact"/>
        <w:ind w:left="420" w:leftChars="200"/>
        <w:rPr>
          <w:szCs w:val="21"/>
        </w:rPr>
      </w:pPr>
      <w:r>
        <w:rPr>
          <w:rFonts w:hint="eastAsia"/>
          <w:szCs w:val="21"/>
        </w:rPr>
        <w:t>——增加了</w:t>
      </w:r>
      <w:r>
        <w:rPr>
          <w:szCs w:val="21"/>
        </w:rPr>
        <w:t>3 术语和定义</w:t>
      </w:r>
      <w:r>
        <w:rPr>
          <w:rFonts w:hint="eastAsia"/>
          <w:szCs w:val="21"/>
        </w:rPr>
        <w:t>；</w:t>
      </w:r>
    </w:p>
    <w:p>
      <w:pPr>
        <w:tabs>
          <w:tab w:val="left" w:pos="2977"/>
        </w:tabs>
        <w:spacing w:line="400" w:lineRule="exact"/>
        <w:ind w:left="420" w:leftChars="200"/>
        <w:rPr>
          <w:szCs w:val="21"/>
        </w:rPr>
      </w:pPr>
      <w:r>
        <w:rPr>
          <w:rFonts w:hint="eastAsia"/>
          <w:szCs w:val="21"/>
        </w:rPr>
        <w:t>——修改了方法原理（测试条件由1</w:t>
      </w:r>
      <w:r>
        <w:rPr>
          <w:szCs w:val="21"/>
        </w:rPr>
        <w:t>80</w:t>
      </w:r>
      <w:r>
        <w:rPr>
          <w:rFonts w:hint="eastAsia"/>
          <w:szCs w:val="21"/>
        </w:rPr>
        <w:t>℃的温度测试修改为8</w:t>
      </w:r>
      <w:r>
        <w:rPr>
          <w:szCs w:val="21"/>
        </w:rPr>
        <w:t>5</w:t>
      </w:r>
      <w:r>
        <w:rPr>
          <w:rFonts w:hint="eastAsia"/>
          <w:szCs w:val="21"/>
        </w:rPr>
        <w:t>℃温度和8</w:t>
      </w:r>
      <w:r>
        <w:rPr>
          <w:szCs w:val="21"/>
        </w:rPr>
        <w:t>5</w:t>
      </w:r>
      <w:r>
        <w:rPr>
          <w:rFonts w:hint="eastAsia"/>
          <w:szCs w:val="21"/>
        </w:rPr>
        <w:t>%相对湿度的温度湿度测试，存储处理时间由8</w:t>
      </w:r>
      <w:r>
        <w:rPr>
          <w:szCs w:val="21"/>
        </w:rPr>
        <w:t>h</w:t>
      </w:r>
      <w:r>
        <w:rPr>
          <w:rFonts w:hint="eastAsia"/>
          <w:szCs w:val="21"/>
        </w:rPr>
        <w:t>改为1</w:t>
      </w:r>
      <w:r>
        <w:rPr>
          <w:szCs w:val="21"/>
        </w:rPr>
        <w:t>000h</w:t>
      </w:r>
      <w:r>
        <w:rPr>
          <w:rFonts w:hint="eastAsia"/>
          <w:szCs w:val="21"/>
        </w:rPr>
        <w:t>，详见第4部分，2</w:t>
      </w:r>
      <w:r>
        <w:rPr>
          <w:szCs w:val="21"/>
        </w:rPr>
        <w:t>009</w:t>
      </w:r>
      <w:r>
        <w:rPr>
          <w:rFonts w:hint="eastAsia"/>
          <w:szCs w:val="21"/>
        </w:rPr>
        <w:t>版的第2部分）；</w:t>
      </w:r>
    </w:p>
    <w:p>
      <w:pPr>
        <w:tabs>
          <w:tab w:val="left" w:pos="2977"/>
        </w:tabs>
        <w:spacing w:line="400" w:lineRule="exact"/>
        <w:ind w:left="420" w:leftChars="200"/>
      </w:pPr>
      <w:r>
        <w:rPr>
          <w:rFonts w:hint="eastAsia"/>
          <w:szCs w:val="21"/>
        </w:rPr>
        <w:t>——修改了仪器与装置，增加了</w:t>
      </w:r>
      <w:r>
        <w:t>恒温恒湿试验烘箱</w:t>
      </w:r>
      <w:r>
        <w:rPr>
          <w:rFonts w:hint="eastAsia"/>
        </w:rPr>
        <w:t>、删除了称量瓶，修改干燥器为培养皿，修改了相对亮度测定仪技术指标，激发源波长由4</w:t>
      </w:r>
      <w:r>
        <w:t xml:space="preserve">60 </w:t>
      </w:r>
      <w:r>
        <w:rPr>
          <w:rFonts w:hint="eastAsia"/>
        </w:rPr>
        <w:t>nm修改为4</w:t>
      </w:r>
      <w:r>
        <w:t>00</w:t>
      </w:r>
      <w:r>
        <w:rPr>
          <w:rFonts w:hint="eastAsia"/>
        </w:rPr>
        <w:t>-</w:t>
      </w:r>
      <w:r>
        <w:t xml:space="preserve">460 </w:t>
      </w:r>
      <w:r>
        <w:rPr>
          <w:rFonts w:hint="eastAsia"/>
        </w:rPr>
        <w:t>nm。（详见第5部分，</w:t>
      </w:r>
      <w:r>
        <w:rPr>
          <w:rFonts w:hint="eastAsia"/>
          <w:szCs w:val="21"/>
        </w:rPr>
        <w:t>2</w:t>
      </w:r>
      <w:r>
        <w:rPr>
          <w:szCs w:val="21"/>
        </w:rPr>
        <w:t>009</w:t>
      </w:r>
      <w:r>
        <w:rPr>
          <w:rFonts w:hint="eastAsia"/>
          <w:szCs w:val="21"/>
        </w:rPr>
        <w:t>版的第</w:t>
      </w:r>
      <w:r>
        <w:rPr>
          <w:szCs w:val="21"/>
        </w:rPr>
        <w:t>3</w:t>
      </w:r>
      <w:r>
        <w:rPr>
          <w:rFonts w:hint="eastAsia"/>
          <w:szCs w:val="21"/>
        </w:rPr>
        <w:t>部分</w:t>
      </w:r>
      <w:r>
        <w:rPr>
          <w:rFonts w:hint="eastAsia"/>
        </w:rPr>
        <w:t>）；</w:t>
      </w:r>
    </w:p>
    <w:p>
      <w:pPr>
        <w:tabs>
          <w:tab w:val="left" w:pos="2977"/>
        </w:tabs>
        <w:spacing w:line="400" w:lineRule="exact"/>
        <w:ind w:left="420" w:leftChars="200"/>
        <w:rPr>
          <w:szCs w:val="21"/>
        </w:rPr>
      </w:pPr>
      <w:r>
        <w:rPr>
          <w:rFonts w:hint="eastAsia"/>
          <w:szCs w:val="21"/>
        </w:rPr>
        <w:t>——修改了测定步骤（详见第</w:t>
      </w:r>
      <w:r>
        <w:t>6</w:t>
      </w:r>
      <w:r>
        <w:rPr>
          <w:rFonts w:hint="eastAsia"/>
        </w:rPr>
        <w:t>部分，</w:t>
      </w:r>
      <w:r>
        <w:rPr>
          <w:rFonts w:hint="eastAsia"/>
          <w:szCs w:val="21"/>
        </w:rPr>
        <w:t>2</w:t>
      </w:r>
      <w:r>
        <w:rPr>
          <w:szCs w:val="21"/>
        </w:rPr>
        <w:t>009</w:t>
      </w:r>
      <w:r>
        <w:rPr>
          <w:rFonts w:hint="eastAsia"/>
          <w:szCs w:val="21"/>
        </w:rPr>
        <w:t>版的第</w:t>
      </w:r>
      <w:r>
        <w:rPr>
          <w:szCs w:val="21"/>
        </w:rPr>
        <w:t>4</w:t>
      </w:r>
      <w:r>
        <w:rPr>
          <w:rFonts w:hint="eastAsia"/>
          <w:szCs w:val="21"/>
        </w:rPr>
        <w:t>部分）；</w:t>
      </w:r>
    </w:p>
    <w:p>
      <w:pPr>
        <w:tabs>
          <w:tab w:val="left" w:pos="2977"/>
        </w:tabs>
        <w:spacing w:line="400" w:lineRule="exact"/>
        <w:ind w:left="420" w:leftChars="200"/>
        <w:rPr>
          <w:szCs w:val="21"/>
        </w:rPr>
      </w:pPr>
      <w:r>
        <w:rPr>
          <w:rFonts w:hint="eastAsia"/>
          <w:szCs w:val="21"/>
        </w:rPr>
        <w:t>——修改了</w:t>
      </w:r>
      <w:r>
        <w:rPr>
          <w:szCs w:val="21"/>
        </w:rPr>
        <w:t>测试结果表述</w:t>
      </w:r>
      <w:r>
        <w:rPr>
          <w:rFonts w:hint="eastAsia"/>
          <w:szCs w:val="21"/>
        </w:rPr>
        <w:t>（详见第</w:t>
      </w:r>
      <w:r>
        <w:rPr>
          <w:szCs w:val="21"/>
        </w:rPr>
        <w:t>7</w:t>
      </w:r>
      <w:r>
        <w:rPr>
          <w:rFonts w:hint="eastAsia"/>
          <w:szCs w:val="21"/>
        </w:rPr>
        <w:t>部分，2</w:t>
      </w:r>
      <w:r>
        <w:rPr>
          <w:szCs w:val="21"/>
        </w:rPr>
        <w:t>009</w:t>
      </w:r>
      <w:r>
        <w:rPr>
          <w:rFonts w:hint="eastAsia"/>
          <w:szCs w:val="21"/>
        </w:rPr>
        <w:t>版的第</w:t>
      </w:r>
      <w:r>
        <w:rPr>
          <w:szCs w:val="21"/>
        </w:rPr>
        <w:t>5</w:t>
      </w:r>
      <w:r>
        <w:rPr>
          <w:rFonts w:hint="eastAsia"/>
          <w:szCs w:val="21"/>
        </w:rPr>
        <w:t>部分）；</w:t>
      </w:r>
    </w:p>
    <w:p>
      <w:pPr>
        <w:tabs>
          <w:tab w:val="left" w:pos="2977"/>
        </w:tabs>
        <w:spacing w:line="400" w:lineRule="exact"/>
        <w:ind w:left="420" w:leftChars="200"/>
        <w:rPr>
          <w:szCs w:val="21"/>
        </w:rPr>
      </w:pPr>
      <w:r>
        <w:rPr>
          <w:rFonts w:hint="eastAsia"/>
          <w:szCs w:val="21"/>
        </w:rPr>
        <w:t>——修改了精密度（详见第</w:t>
      </w:r>
      <w:r>
        <w:rPr>
          <w:szCs w:val="21"/>
        </w:rPr>
        <w:t>8</w:t>
      </w:r>
      <w:r>
        <w:rPr>
          <w:rFonts w:hint="eastAsia"/>
          <w:szCs w:val="21"/>
        </w:rPr>
        <w:t>部分，2</w:t>
      </w:r>
      <w:r>
        <w:rPr>
          <w:szCs w:val="21"/>
        </w:rPr>
        <w:t>009</w:t>
      </w:r>
      <w:r>
        <w:rPr>
          <w:rFonts w:hint="eastAsia"/>
          <w:szCs w:val="21"/>
        </w:rPr>
        <w:t>版的第</w:t>
      </w:r>
      <w:r>
        <w:rPr>
          <w:szCs w:val="21"/>
        </w:rPr>
        <w:t>6</w:t>
      </w:r>
      <w:r>
        <w:rPr>
          <w:rFonts w:hint="eastAsia"/>
          <w:szCs w:val="21"/>
        </w:rPr>
        <w:t>部分）；</w:t>
      </w:r>
    </w:p>
    <w:p>
      <w:pPr>
        <w:tabs>
          <w:tab w:val="left" w:pos="2977"/>
        </w:tabs>
        <w:spacing w:line="400" w:lineRule="exact"/>
        <w:ind w:left="420" w:leftChars="200"/>
        <w:rPr>
          <w:szCs w:val="21"/>
        </w:rPr>
      </w:pPr>
      <w:r>
        <w:rPr>
          <w:rFonts w:hint="eastAsia"/>
          <w:szCs w:val="21"/>
        </w:rPr>
        <w:t>——增加了测试报告要求（详见第</w:t>
      </w:r>
      <w:r>
        <w:rPr>
          <w:szCs w:val="21"/>
        </w:rPr>
        <w:t>9</w:t>
      </w:r>
      <w:r>
        <w:rPr>
          <w:rFonts w:hint="eastAsia"/>
          <w:szCs w:val="21"/>
        </w:rPr>
        <w:t>部分）。</w:t>
      </w:r>
    </w:p>
    <w:p>
      <w:pPr>
        <w:spacing w:line="400" w:lineRule="exact"/>
        <w:ind w:left="840" w:leftChars="200" w:hanging="420" w:hangingChars="20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  <w:lang w:eastAsia="zh-CN"/>
        </w:rPr>
        <w:t>文件</w:t>
      </w:r>
      <w:r>
        <w:rPr>
          <w:szCs w:val="21"/>
        </w:rPr>
        <w:t>由全国稀土标准化技术委员会（SAC/TC 229）提出并归口。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  <w:lang w:eastAsia="zh-CN"/>
        </w:rPr>
        <w:t>文件</w:t>
      </w:r>
      <w:r>
        <w:rPr>
          <w:szCs w:val="21"/>
        </w:rPr>
        <w:t>起草单位：</w:t>
      </w:r>
      <w:r>
        <w:rPr>
          <w:rFonts w:hint="eastAsia"/>
          <w:szCs w:val="21"/>
        </w:rPr>
        <w:t>有研稀土新材料股份有限公司、</w:t>
      </w:r>
      <w:r>
        <w:rPr>
          <w:rFonts w:hint="eastAsia"/>
        </w:rPr>
        <w:t>有研稀土高技术有限公司、江门市科恒实业股份有限公司、江苏博睿光电股份有限公司、江西理工大学、包头稀土新材料技术研发中心、包头稀土研究院。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  <w:lang w:eastAsia="zh-CN"/>
        </w:rPr>
        <w:t>文件</w:t>
      </w:r>
      <w:r>
        <w:rPr>
          <w:szCs w:val="21"/>
        </w:rPr>
        <w:t>主要起草人：</w:t>
      </w:r>
    </w:p>
    <w:p>
      <w:pPr>
        <w:jc w:val="both"/>
        <w:rPr>
          <w:rFonts w:hint="eastAsia"/>
          <w:szCs w:val="21"/>
        </w:rPr>
      </w:pPr>
      <w:r>
        <w:rPr>
          <w:rFonts w:hint="eastAsia"/>
          <w:szCs w:val="21"/>
        </w:rPr>
        <w:t>本文件及其所代替文件的历次版本发布情况为：</w:t>
      </w:r>
    </w:p>
    <w:p>
      <w:pPr>
        <w:ind w:firstLine="420" w:firstLineChars="200"/>
        <w:jc w:val="both"/>
        <w:rPr>
          <w:szCs w:val="21"/>
        </w:rPr>
      </w:pPr>
      <w:r>
        <w:rPr>
          <w:rFonts w:hint="eastAsia"/>
          <w:szCs w:val="21"/>
        </w:rPr>
        <w:t>——2009年首次发布为GB/T 23595.4-2009。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——本次为第二次修订。</w:t>
      </w:r>
    </w:p>
    <w:p>
      <w:pPr>
        <w:autoSpaceDE w:val="0"/>
        <w:autoSpaceDN w:val="0"/>
        <w:adjustRightInd w:val="0"/>
        <w:jc w:val="center"/>
        <w:rPr>
          <w:szCs w:val="21"/>
        </w:rPr>
      </w:pPr>
      <w:r>
        <w:rPr>
          <w:szCs w:val="21"/>
        </w:rPr>
        <w:br w:type="page"/>
      </w:r>
    </w:p>
    <w:bookmarkEnd w:id="1"/>
    <w:p>
      <w:pPr>
        <w:autoSpaceDE w:val="0"/>
        <w:autoSpaceDN w:val="0"/>
        <w:adjustRightInd w:val="0"/>
        <w:jc w:val="center"/>
        <w:rPr>
          <w:rFonts w:ascii="Times New Roman" w:hAnsi="Times New Roman" w:eastAsia="黑体"/>
          <w:b/>
          <w:kern w:val="0"/>
          <w:sz w:val="36"/>
          <w:szCs w:val="36"/>
        </w:rPr>
      </w:pPr>
      <w:r>
        <w:rPr>
          <w:rFonts w:hint="default" w:ascii="Times New Roman" w:hAnsi="Times New Roman" w:eastAsia="黑体"/>
          <w:b/>
          <w:kern w:val="0"/>
          <w:sz w:val="36"/>
          <w:szCs w:val="36"/>
        </w:rPr>
        <w:t>LED用稀土荧光粉试验方法</w:t>
      </w:r>
    </w:p>
    <w:p>
      <w:pPr>
        <w:pStyle w:val="83"/>
        <w:rPr>
          <w:rFonts w:ascii="Times New Roman"/>
          <w:sz w:val="36"/>
          <w:szCs w:val="13"/>
        </w:rPr>
      </w:pPr>
      <w:r>
        <w:rPr>
          <w:rFonts w:hint="default" w:ascii="Times New Roman"/>
          <w:sz w:val="36"/>
          <w:szCs w:val="13"/>
        </w:rPr>
        <w:t>第</w:t>
      </w:r>
      <w:r>
        <w:rPr>
          <w:rFonts w:ascii="Times New Roman"/>
          <w:sz w:val="36"/>
          <w:szCs w:val="13"/>
        </w:rPr>
        <w:t>4</w:t>
      </w:r>
      <w:r>
        <w:rPr>
          <w:rFonts w:hint="default" w:ascii="Times New Roman"/>
          <w:sz w:val="36"/>
          <w:szCs w:val="13"/>
        </w:rPr>
        <w:t>部分：高温高湿性能的测定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ascii="Times New Roman" w:hAnsi="Times New Roman" w:eastAsia="黑体"/>
          <w:kern w:val="0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1 范围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本</w:t>
      </w:r>
      <w:r>
        <w:rPr>
          <w:rFonts w:hint="eastAsia"/>
          <w:kern w:val="0"/>
          <w:szCs w:val="21"/>
          <w:lang w:eastAsia="zh-CN"/>
        </w:rPr>
        <w:t>文件</w:t>
      </w:r>
      <w:r>
        <w:rPr>
          <w:kern w:val="0"/>
          <w:szCs w:val="21"/>
        </w:rPr>
        <w:t>规定了350 nm~480 nm</w:t>
      </w:r>
      <w:r>
        <w:rPr>
          <w:rFonts w:hint="eastAsia"/>
          <w:kern w:val="0"/>
          <w:szCs w:val="21"/>
        </w:rPr>
        <w:t>紫外光到</w:t>
      </w:r>
      <w:r>
        <w:rPr>
          <w:kern w:val="0"/>
          <w:szCs w:val="21"/>
        </w:rPr>
        <w:t>蓝光激发</w:t>
      </w:r>
      <w:r>
        <w:rPr>
          <w:rFonts w:hint="eastAsia"/>
          <w:kern w:val="0"/>
          <w:szCs w:val="21"/>
        </w:rPr>
        <w:t>LED用稀土荧光粉高温高湿性能</w:t>
      </w:r>
      <w:r>
        <w:rPr>
          <w:kern w:val="0"/>
          <w:szCs w:val="21"/>
        </w:rPr>
        <w:t>的试验方法。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本</w:t>
      </w:r>
      <w:r>
        <w:rPr>
          <w:rFonts w:hint="eastAsia"/>
          <w:kern w:val="0"/>
          <w:szCs w:val="21"/>
          <w:lang w:eastAsia="zh-CN"/>
        </w:rPr>
        <w:t>文件</w:t>
      </w:r>
      <w:r>
        <w:rPr>
          <w:kern w:val="0"/>
          <w:szCs w:val="21"/>
        </w:rPr>
        <w:t>适用于350 nm~480 nm</w:t>
      </w:r>
      <w:r>
        <w:rPr>
          <w:rFonts w:hint="eastAsia"/>
          <w:kern w:val="0"/>
          <w:szCs w:val="21"/>
        </w:rPr>
        <w:t>紫外光到</w:t>
      </w:r>
      <w:r>
        <w:rPr>
          <w:kern w:val="0"/>
          <w:szCs w:val="21"/>
        </w:rPr>
        <w:t>蓝光激发</w:t>
      </w:r>
      <w:r>
        <w:rPr>
          <w:rFonts w:hint="eastAsia"/>
          <w:kern w:val="0"/>
          <w:szCs w:val="21"/>
        </w:rPr>
        <w:t>LED用稀土荧光粉高温高湿性能</w:t>
      </w:r>
      <w:r>
        <w:rPr>
          <w:kern w:val="0"/>
          <w:szCs w:val="21"/>
        </w:rPr>
        <w:t>的测定。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ascii="Times New Roman" w:hAnsi="Times New Roman" w:eastAsia="黑体"/>
          <w:kern w:val="0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2 规范性引用文件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szCs w:val="21"/>
          <w:shd w:val="clear" w:color="auto" w:fill="FFFFFF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adjustRightInd w:val="0"/>
        <w:snapToGrid w:val="0"/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GB</w:t>
      </w:r>
      <w:r>
        <w:rPr>
          <w:szCs w:val="21"/>
        </w:rPr>
        <w:t>/</w:t>
      </w:r>
      <w:r>
        <w:rPr>
          <w:rFonts w:hint="eastAsia"/>
          <w:szCs w:val="21"/>
        </w:rPr>
        <w:t>T 5838 荧光粉名词术语</w:t>
      </w:r>
    </w:p>
    <w:p>
      <w:pPr>
        <w:adjustRightInd w:val="0"/>
        <w:snapToGrid w:val="0"/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GB</w:t>
      </w:r>
      <w:r>
        <w:rPr>
          <w:szCs w:val="21"/>
        </w:rPr>
        <w:t>/</w:t>
      </w:r>
      <w:r>
        <w:rPr>
          <w:rFonts w:hint="eastAsia"/>
          <w:szCs w:val="21"/>
        </w:rPr>
        <w:t>T 8170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数值修约规则与极限数值的表示和判定</w:t>
      </w:r>
    </w:p>
    <w:p>
      <w:pPr>
        <w:adjustRightInd w:val="0"/>
        <w:snapToGrid w:val="0"/>
        <w:spacing w:line="276" w:lineRule="auto"/>
        <w:ind w:firstLine="420" w:firstLineChars="200"/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t>GB/T 24982</w:t>
      </w:r>
      <w:r>
        <w:fldChar w:fldCharType="end"/>
      </w:r>
      <w:r>
        <w:rPr>
          <w:szCs w:val="21"/>
        </w:rPr>
        <w:t xml:space="preserve"> 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t>白光LED用石榴石结构铝酸盐系列荧光粉</w:t>
      </w:r>
      <w:r>
        <w:fldChar w:fldCharType="end"/>
      </w:r>
    </w:p>
    <w:p>
      <w:pPr>
        <w:adjustRightInd w:val="0"/>
        <w:snapToGrid w:val="0"/>
        <w:spacing w:line="320" w:lineRule="exact"/>
        <w:ind w:firstLine="420" w:firstLineChars="200"/>
        <w:rPr>
          <w:rFonts w:ascii="Times New Roman" w:hAnsi="Times New Roman" w:cs="Times New Roman"/>
          <w:color w:val="616161"/>
          <w:kern w:val="0"/>
          <w:szCs w:val="21"/>
        </w:rPr>
      </w:pPr>
      <w:r>
        <w:rPr>
          <w:rFonts w:hint="eastAsia"/>
          <w:szCs w:val="21"/>
        </w:rPr>
        <w:t>CIE</w:t>
      </w:r>
      <w:r>
        <w:rPr>
          <w:szCs w:val="21"/>
        </w:rPr>
        <w:t>-1931</w:t>
      </w:r>
      <w:r>
        <w:rPr>
          <w:rFonts w:hint="eastAsia"/>
          <w:szCs w:val="21"/>
        </w:rPr>
        <w:t>标准色度观察者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ascii="Times New Roman" w:hAnsi="Times New Roman" w:eastAsia="黑体"/>
          <w:kern w:val="0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3</w:t>
      </w:r>
      <w:r>
        <w:rPr>
          <w:rFonts w:eastAsia="黑体"/>
          <w:kern w:val="0"/>
          <w:szCs w:val="21"/>
        </w:rPr>
        <w:t xml:space="preserve"> </w:t>
      </w:r>
      <w:r>
        <w:rPr>
          <w:rFonts w:ascii="Times New Roman" w:hAnsi="Times New Roman" w:eastAsia="黑体"/>
          <w:kern w:val="0"/>
          <w:szCs w:val="21"/>
        </w:rPr>
        <w:t>术语和定义</w:t>
      </w:r>
    </w:p>
    <w:p>
      <w:pPr>
        <w:adjustRightInd w:val="0"/>
        <w:snapToGrid w:val="0"/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GB/T 5838确立的以及</w:t>
      </w:r>
      <w:r>
        <w:rPr>
          <w:rFonts w:hint="eastAsia"/>
          <w:szCs w:val="21"/>
        </w:rPr>
        <w:t>下</w:t>
      </w:r>
      <w:r>
        <w:rPr>
          <w:szCs w:val="21"/>
        </w:rPr>
        <w:t>列术语和定义适用于本</w:t>
      </w:r>
      <w:r>
        <w:rPr>
          <w:rFonts w:hint="eastAsia"/>
          <w:szCs w:val="21"/>
          <w:lang w:eastAsia="zh-CN"/>
        </w:rPr>
        <w:t>文件</w:t>
      </w:r>
      <w:r>
        <w:rPr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276" w:lineRule="auto"/>
        <w:jc w:val="left"/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</w:t>
      </w:r>
      <w:r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napToGrid w:val="0"/>
        <w:spacing w:line="320" w:lineRule="exact"/>
        <w:ind w:firstLine="420" w:firstLineChars="200"/>
        <w:jc w:val="left"/>
        <w:rPr>
          <w:rFonts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相对亮度 </w:t>
      </w:r>
      <w:r>
        <w:rPr>
          <w:rFonts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relative brightness</w:t>
      </w:r>
    </w:p>
    <w:p>
      <w:pPr>
        <w:autoSpaceDE w:val="0"/>
        <w:autoSpaceDN w:val="0"/>
        <w:adjustRightInd w:val="0"/>
        <w:snapToGrid w:val="0"/>
        <w:spacing w:line="320" w:lineRule="exact"/>
        <w:ind w:firstLine="420" w:firstLineChars="200"/>
        <w:jc w:val="left"/>
        <w:rPr>
          <w:rFonts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Br</w:t>
      </w:r>
    </w:p>
    <w:p>
      <w:pPr>
        <w:adjustRightInd w:val="0"/>
        <w:snapToGrid w:val="0"/>
        <w:spacing w:line="32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在规定的激发条件下，荧光粉试样与对应的标准荧光粉的亮度之比。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276" w:lineRule="auto"/>
        <w:jc w:val="left"/>
        <w:rPr>
          <w:rFonts w:ascii="Times New Roman" w:hAnsi="Times New Roman"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3.2 </w:t>
      </w:r>
    </w:p>
    <w:p>
      <w:pPr>
        <w:autoSpaceDE w:val="0"/>
        <w:autoSpaceDN w:val="0"/>
        <w:adjustRightInd w:val="0"/>
        <w:snapToGrid w:val="0"/>
        <w:spacing w:line="276" w:lineRule="auto"/>
        <w:ind w:firstLine="420" w:firstLineChars="200"/>
        <w:jc w:val="left"/>
        <w:rPr>
          <w:rFonts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色品坐标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chromaticity coordinate</w:t>
      </w:r>
    </w:p>
    <w:p>
      <w:pPr>
        <w:adjustRightInd w:val="0"/>
        <w:snapToGrid w:val="0"/>
        <w:spacing w:line="320" w:lineRule="exact"/>
        <w:ind w:right="-239" w:rightChars="-114" w:firstLine="420" w:firstLineChars="200"/>
        <w:rPr>
          <w:szCs w:val="21"/>
        </w:rPr>
      </w:pPr>
      <w:r>
        <w:rPr>
          <w:szCs w:val="21"/>
        </w:rPr>
        <w:t>用来表征</w:t>
      </w:r>
      <w:r>
        <w:rPr>
          <w:rFonts w:hint="eastAsia"/>
          <w:szCs w:val="21"/>
        </w:rPr>
        <w:t>荧光粉被激发后发光颜色</w:t>
      </w:r>
      <w:r>
        <w:rPr>
          <w:szCs w:val="21"/>
        </w:rPr>
        <w:t>的一组参数</w:t>
      </w:r>
      <w:r>
        <w:rPr>
          <w:rFonts w:hint="eastAsia"/>
          <w:szCs w:val="21"/>
        </w:rPr>
        <w:t>，根据</w:t>
      </w:r>
      <w:r>
        <w:rPr>
          <w:szCs w:val="21"/>
        </w:rPr>
        <w:t>CIE-1931</w:t>
      </w:r>
      <w:r>
        <w:rPr>
          <w:rFonts w:hint="eastAsia"/>
          <w:szCs w:val="21"/>
        </w:rPr>
        <w:t>标准色度观察者规则计算获得。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276" w:lineRule="auto"/>
        <w:jc w:val="left"/>
        <w:rPr>
          <w:rFonts w:ascii="Times New Roman" w:hAnsi="Times New Roman"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3.3 </w:t>
      </w:r>
    </w:p>
    <w:p>
      <w:pPr>
        <w:adjustRightInd w:val="0"/>
        <w:snapToGrid w:val="0"/>
        <w:spacing w:line="320" w:lineRule="exact"/>
        <w:ind w:firstLine="420" w:firstLineChars="200"/>
        <w:rPr>
          <w:szCs w:val="21"/>
        </w:rPr>
      </w:pPr>
      <w:r>
        <w:rPr>
          <w:rFonts w:hint="default" w:ascii="Times New Roman" w:hAnsi="Times New Roman" w:eastAsia="黑体"/>
          <w:szCs w:val="21"/>
        </w:rPr>
        <w:t>高温高湿测试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high temperature and high humidity</w:t>
      </w:r>
    </w:p>
    <w:p>
      <w:pPr>
        <w:adjustRightInd w:val="0"/>
        <w:snapToGrid w:val="0"/>
        <w:spacing w:line="32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荧光粉在</w:t>
      </w:r>
      <w:r>
        <w:rPr>
          <w:szCs w:val="21"/>
        </w:rPr>
        <w:t xml:space="preserve">85 </w:t>
      </w:r>
      <w:r>
        <w:rPr>
          <w:rFonts w:hint="eastAsia"/>
          <w:szCs w:val="21"/>
        </w:rPr>
        <w:t>℃，</w:t>
      </w:r>
      <w:r>
        <w:rPr>
          <w:szCs w:val="21"/>
        </w:rPr>
        <w:t>85%</w:t>
      </w:r>
      <w:r>
        <w:rPr>
          <w:rFonts w:hint="eastAsia"/>
          <w:szCs w:val="21"/>
        </w:rPr>
        <w:t>相对湿度条件下存储</w:t>
      </w:r>
      <w:r>
        <w:rPr>
          <w:szCs w:val="21"/>
        </w:rPr>
        <w:t>1000 h</w:t>
      </w:r>
      <w:r>
        <w:rPr>
          <w:rFonts w:hint="eastAsia"/>
          <w:szCs w:val="21"/>
        </w:rPr>
        <w:t>后性能的变化情况，主要是其色品坐标和亮度的变化情况。</w:t>
      </w:r>
    </w:p>
    <w:p>
      <w:pPr>
        <w:adjustRightInd w:val="0"/>
        <w:snapToGrid w:val="0"/>
        <w:spacing w:line="320" w:lineRule="exact"/>
        <w:ind w:firstLine="360" w:firstLineChars="200"/>
        <w:rPr>
          <w:rFonts w:ascii="Times New Roman" w:hAnsi="Times New Roman" w:eastAsia="黑体" w:cs="Times New Roman"/>
          <w:sz w:val="18"/>
          <w:szCs w:val="18"/>
        </w:rPr>
      </w:pPr>
      <w:r>
        <w:rPr>
          <w:rFonts w:hint="default" w:ascii="Times New Roman" w:hAnsi="Times New Roman" w:eastAsia="黑体" w:cs="Times New Roman"/>
          <w:sz w:val="18"/>
          <w:szCs w:val="18"/>
        </w:rPr>
        <w:t>注：本文件中包含相对亮度变化值Δ</w:t>
      </w:r>
      <w:r>
        <w:rPr>
          <w:rFonts w:ascii="Times New Roman" w:hAnsi="Times New Roman" w:eastAsia="黑体" w:cs="Times New Roman"/>
          <w:sz w:val="18"/>
          <w:szCs w:val="18"/>
        </w:rPr>
        <w:t>B</w:t>
      </w:r>
      <w:r>
        <w:rPr>
          <w:rFonts w:ascii="Times New Roman" w:hAnsi="Times New Roman" w:eastAsia="黑体" w:cs="Times New Roman"/>
          <w:sz w:val="18"/>
          <w:szCs w:val="18"/>
          <w:vertAlign w:val="subscript"/>
        </w:rPr>
        <w:t>d</w:t>
      </w:r>
      <w:r>
        <w:rPr>
          <w:rFonts w:hint="default" w:ascii="Times New Roman" w:hAnsi="Times New Roman" w:eastAsia="黑体" w:cs="Times New Roman"/>
          <w:sz w:val="18"/>
          <w:szCs w:val="18"/>
        </w:rPr>
        <w:t>，以及色品坐标的变化值Δ</w:t>
      </w:r>
      <w:r>
        <w:rPr>
          <w:rFonts w:ascii="Times New Roman" w:hAnsi="Times New Roman" w:eastAsia="黑体" w:cs="Times New Roman"/>
          <w:sz w:val="18"/>
          <w:szCs w:val="18"/>
        </w:rPr>
        <w:t>x</w:t>
      </w:r>
      <w:r>
        <w:rPr>
          <w:rFonts w:ascii="Times New Roman" w:hAnsi="Times New Roman" w:eastAsia="黑体" w:cs="Times New Roman"/>
          <w:sz w:val="18"/>
          <w:szCs w:val="18"/>
          <w:vertAlign w:val="subscript"/>
        </w:rPr>
        <w:t>d</w:t>
      </w:r>
      <w:r>
        <w:rPr>
          <w:rFonts w:hint="default" w:ascii="Times New Roman" w:hAnsi="Times New Roman" w:eastAsia="黑体" w:cs="Times New Roman"/>
          <w:sz w:val="18"/>
          <w:szCs w:val="18"/>
        </w:rPr>
        <w:t>、Δ</w:t>
      </w:r>
      <w:r>
        <w:rPr>
          <w:rFonts w:ascii="Times New Roman" w:hAnsi="Times New Roman" w:eastAsia="黑体" w:cs="Times New Roman"/>
          <w:sz w:val="18"/>
          <w:szCs w:val="18"/>
        </w:rPr>
        <w:t>y</w:t>
      </w:r>
      <w:r>
        <w:rPr>
          <w:rFonts w:ascii="Times New Roman" w:hAnsi="Times New Roman" w:eastAsia="黑体" w:cs="Times New Roman"/>
          <w:sz w:val="18"/>
          <w:szCs w:val="18"/>
          <w:vertAlign w:val="subscript"/>
        </w:rPr>
        <w:t>d</w:t>
      </w:r>
      <w:r>
        <w:rPr>
          <w:rFonts w:hint="default" w:ascii="Times New Roman" w:hAnsi="Times New Roman" w:eastAsia="黑体" w:cs="Times New Roman"/>
          <w:sz w:val="18"/>
          <w:szCs w:val="18"/>
        </w:rPr>
        <w:t>。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ascii="Times New Roman" w:hAnsi="Times New Roman" w:eastAsia="黑体"/>
          <w:kern w:val="0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4 方法原理</w:t>
      </w:r>
    </w:p>
    <w:p>
      <w:pPr>
        <w:spacing w:line="320" w:lineRule="exact"/>
        <w:ind w:firstLine="420" w:firstLineChars="200"/>
      </w:pPr>
      <w:r>
        <w:t>将恒温恒湿试验烘箱的温度和相对湿度设置至85</w:t>
      </w:r>
      <w:r>
        <w:rPr>
          <w:rFonts w:hint="eastAsia"/>
        </w:rPr>
        <w:t>±1</w:t>
      </w:r>
      <w:r>
        <w:t xml:space="preserve"> </w:t>
      </w:r>
      <w:r>
        <w:rPr>
          <w:rFonts w:hint="default" w:ascii="Times New Roman" w:hAnsi="Times New Roman" w:cs="Times New Roman"/>
        </w:rPr>
        <w:t>℃</w:t>
      </w:r>
      <w:r>
        <w:rPr>
          <w:rFonts w:hint="eastAsia"/>
        </w:rPr>
        <w:t>和</w:t>
      </w:r>
      <w:r>
        <w:t>85</w:t>
      </w:r>
      <w:r>
        <w:rPr>
          <w:rFonts w:hint="eastAsia"/>
        </w:rPr>
        <w:t>±</w:t>
      </w:r>
      <w:r>
        <w:t>2%，待温度和相对湿度达到设定值时，放入</w:t>
      </w:r>
      <w:r>
        <w:rPr>
          <w:rFonts w:hint="eastAsia"/>
        </w:rPr>
        <w:t>荧光粉</w:t>
      </w:r>
      <w:r>
        <w:t>样品，储存1000h，随即取出，</w:t>
      </w:r>
      <w:r>
        <w:rPr>
          <w:rFonts w:hint="eastAsia"/>
        </w:rPr>
        <w:t>烘干并处理为粉末状</w:t>
      </w:r>
      <w:r>
        <w:t>。对恒温恒湿处理过的样品和未处理过的样品进行相对亮度、色品坐标或其</w:t>
      </w:r>
      <w:r>
        <w:rPr>
          <w:rFonts w:hint="eastAsia"/>
        </w:rPr>
        <w:t>它</w:t>
      </w:r>
      <w:r>
        <w:t>有关性能的</w:t>
      </w:r>
      <w:r>
        <w:rPr>
          <w:rFonts w:hint="eastAsia"/>
        </w:rPr>
        <w:t>测</w:t>
      </w:r>
      <w:r>
        <w:t>定，用两者之间</w:t>
      </w:r>
      <w:r>
        <w:rPr>
          <w:rFonts w:hint="eastAsia"/>
        </w:rPr>
        <w:t>变化</w:t>
      </w:r>
      <w:r>
        <w:t>来表示所试验的</w:t>
      </w:r>
      <w:r>
        <w:rPr>
          <w:rFonts w:hint="eastAsia"/>
        </w:rPr>
        <w:t>荧光粉</w:t>
      </w:r>
      <w:r>
        <w:t>的</w:t>
      </w:r>
      <w:r>
        <w:rPr>
          <w:rFonts w:hint="eastAsia"/>
        </w:rPr>
        <w:t>高温高湿稳定性</w:t>
      </w:r>
      <w:r>
        <w:t>。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ascii="Times New Roman" w:hAnsi="Times New Roman" w:eastAsia="黑体"/>
          <w:kern w:val="0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5 仪器</w:t>
      </w:r>
      <w:r>
        <w:rPr>
          <w:rFonts w:hint="default" w:ascii="Times New Roman" w:hAnsi="Times New Roman" w:eastAsia="黑体"/>
          <w:kern w:val="0"/>
          <w:szCs w:val="21"/>
        </w:rPr>
        <w:t>与装置</w:t>
      </w:r>
    </w:p>
    <w:p>
      <w:pPr>
        <w:spacing w:line="320" w:lineRule="exact"/>
        <w:rPr>
          <w:szCs w:val="21"/>
        </w:rPr>
      </w:pPr>
      <w:r>
        <w:rPr>
          <w:rFonts w:ascii="Times New Roman" w:hAnsi="Times New Roman" w:eastAsia="黑体"/>
          <w:kern w:val="0"/>
          <w:szCs w:val="21"/>
        </w:rPr>
        <w:t>5.1</w:t>
      </w:r>
      <w:r>
        <w:t>恒温恒湿试验烘箱</w:t>
      </w:r>
      <w:r>
        <w:rPr>
          <w:rFonts w:hint="eastAsia"/>
        </w:rPr>
        <w:t>：</w:t>
      </w:r>
      <w:r>
        <w:t>精度±</w:t>
      </w:r>
      <w:r>
        <w:rPr>
          <w:rFonts w:hint="eastAsia"/>
        </w:rPr>
        <w:t>1</w:t>
      </w:r>
      <w:r>
        <w:t xml:space="preserve"> ℃</w:t>
      </w:r>
      <w:r>
        <w:rPr>
          <w:rFonts w:hint="eastAsia"/>
        </w:rPr>
        <w:t>，</w:t>
      </w:r>
      <w:r>
        <w:rPr>
          <w:szCs w:val="21"/>
        </w:rPr>
        <w:t>±2% RH。</w:t>
      </w:r>
    </w:p>
    <w:p>
      <w:pPr>
        <w:spacing w:line="320" w:lineRule="exact"/>
        <w:rPr>
          <w:szCs w:val="21"/>
        </w:rPr>
      </w:pPr>
      <w:r>
        <w:rPr>
          <w:rFonts w:ascii="Times New Roman" w:hAnsi="Times New Roman" w:eastAsia="黑体"/>
          <w:kern w:val="0"/>
          <w:szCs w:val="21"/>
        </w:rPr>
        <w:t>5.2</w:t>
      </w:r>
      <w:r>
        <w:rPr>
          <w:szCs w:val="21"/>
        </w:rPr>
        <w:t>天平：精度±0.1 g。</w:t>
      </w:r>
    </w:p>
    <w:p>
      <w:pPr>
        <w:spacing w:line="320" w:lineRule="exact"/>
        <w:rPr>
          <w:szCs w:val="21"/>
        </w:rPr>
      </w:pPr>
      <w:r>
        <w:rPr>
          <w:rFonts w:ascii="Times New Roman" w:hAnsi="Times New Roman" w:eastAsia="黑体"/>
          <w:kern w:val="0"/>
          <w:szCs w:val="21"/>
        </w:rPr>
        <w:t>5.3</w:t>
      </w:r>
      <w:r>
        <w:rPr>
          <w:szCs w:val="21"/>
        </w:rPr>
        <w:t>培养皿：35×10 mm。</w:t>
      </w:r>
    </w:p>
    <w:p>
      <w:pPr>
        <w:spacing w:line="320" w:lineRule="exact"/>
        <w:rPr>
          <w:szCs w:val="21"/>
        </w:rPr>
      </w:pPr>
      <w:r>
        <w:rPr>
          <w:rFonts w:ascii="Times New Roman" w:hAnsi="Times New Roman" w:eastAsia="黑体"/>
          <w:kern w:val="0"/>
          <w:szCs w:val="21"/>
        </w:rPr>
        <w:t>5.4</w:t>
      </w:r>
      <w:r>
        <w:rPr>
          <w:rFonts w:hint="eastAsia"/>
          <w:szCs w:val="21"/>
        </w:rPr>
        <w:t>烘箱</w:t>
      </w:r>
      <w:r>
        <w:rPr>
          <w:szCs w:val="21"/>
        </w:rPr>
        <w:t xml:space="preserve">: </w:t>
      </w:r>
      <w:r>
        <w:rPr>
          <w:rFonts w:hint="eastAsia"/>
          <w:szCs w:val="21"/>
        </w:rPr>
        <w:t>最高工作温度为3</w:t>
      </w:r>
      <w:r>
        <w:rPr>
          <w:szCs w:val="21"/>
        </w:rPr>
        <w:t>00</w:t>
      </w:r>
      <w:r>
        <w:rPr>
          <w:rFonts w:hint="eastAsia"/>
          <w:szCs w:val="21"/>
        </w:rPr>
        <w:t>℃、精度</w:t>
      </w:r>
      <w:r>
        <w:rPr>
          <w:szCs w:val="21"/>
        </w:rPr>
        <w:t xml:space="preserve">±1 </w:t>
      </w:r>
      <w:r>
        <w:rPr>
          <w:rFonts w:hint="eastAsia"/>
          <w:szCs w:val="21"/>
        </w:rPr>
        <w:t>℃。</w:t>
      </w:r>
    </w:p>
    <w:p>
      <w:pPr>
        <w:spacing w:line="320" w:lineRule="exact"/>
        <w:rPr>
          <w:szCs w:val="21"/>
        </w:rPr>
      </w:pPr>
      <w:r>
        <w:rPr>
          <w:rFonts w:ascii="Times New Roman" w:hAnsi="Times New Roman" w:eastAsia="黑体"/>
          <w:kern w:val="0"/>
          <w:szCs w:val="21"/>
        </w:rPr>
        <w:t>5.5</w:t>
      </w:r>
      <w:r>
        <w:rPr>
          <w:rFonts w:hint="eastAsia"/>
          <w:szCs w:val="21"/>
        </w:rPr>
        <w:t>高精度快速光谱辐射计：</w:t>
      </w:r>
      <w:r>
        <w:rPr>
          <w:szCs w:val="21"/>
        </w:rPr>
        <w:t>采用</w:t>
      </w:r>
      <w:r>
        <w:rPr>
          <w:rFonts w:hint="eastAsia"/>
          <w:szCs w:val="21"/>
        </w:rPr>
        <w:t>4</w:t>
      </w:r>
      <w:r>
        <w:rPr>
          <w:szCs w:val="21"/>
        </w:rPr>
        <w:t>00</w:t>
      </w:r>
      <w:r>
        <w:rPr>
          <w:rFonts w:hint="eastAsia"/>
          <w:szCs w:val="21"/>
        </w:rPr>
        <w:t>-</w:t>
      </w:r>
      <w:r>
        <w:rPr>
          <w:szCs w:val="21"/>
        </w:rPr>
        <w:t>460 nm</w:t>
      </w:r>
      <w:r>
        <w:rPr>
          <w:rFonts w:hint="eastAsia"/>
          <w:szCs w:val="21"/>
        </w:rPr>
        <w:t>之间的</w:t>
      </w:r>
      <w:r>
        <w:rPr>
          <w:szCs w:val="21"/>
        </w:rPr>
        <w:t>准单色激发源、波长准确性</w:t>
      </w:r>
      <w:r>
        <w:rPr>
          <w:rFonts w:hint="eastAsia"/>
          <w:szCs w:val="21"/>
        </w:rPr>
        <w:t>0.2</w:t>
      </w:r>
      <w:r>
        <w:rPr>
          <w:szCs w:val="21"/>
        </w:rPr>
        <w:t xml:space="preserve"> nm</w:t>
      </w:r>
      <w:r>
        <w:rPr>
          <w:rFonts w:hint="eastAsia"/>
          <w:szCs w:val="21"/>
        </w:rPr>
        <w:t>，</w:t>
      </w:r>
      <w:r>
        <w:rPr>
          <w:szCs w:val="21"/>
        </w:rPr>
        <w:t>重复性</w:t>
      </w:r>
      <w:r>
        <w:rPr>
          <w:rFonts w:hint="eastAsia"/>
          <w:szCs w:val="21"/>
        </w:rPr>
        <w:t>0.1</w:t>
      </w:r>
      <w:r>
        <w:rPr>
          <w:szCs w:val="21"/>
        </w:rPr>
        <w:t xml:space="preserve"> nm</w:t>
      </w:r>
      <w:r>
        <w:rPr>
          <w:rFonts w:hint="eastAsia"/>
          <w:szCs w:val="21"/>
        </w:rPr>
        <w:t>，</w:t>
      </w:r>
      <w:r>
        <w:rPr>
          <w:szCs w:val="21"/>
        </w:rPr>
        <w:t>光谱范围 380 nm</w:t>
      </w:r>
      <w:r>
        <w:rPr>
          <w:rFonts w:eastAsia="MS Mincho"/>
          <w:szCs w:val="21"/>
        </w:rPr>
        <w:t>〜</w:t>
      </w:r>
      <w:r>
        <w:rPr>
          <w:szCs w:val="21"/>
        </w:rPr>
        <w:t>780 nm</w:t>
      </w:r>
      <w:r>
        <w:rPr>
          <w:rFonts w:hint="eastAsia"/>
          <w:szCs w:val="21"/>
        </w:rPr>
        <w:t>，相对亮度准确度</w:t>
      </w:r>
      <w:r>
        <w:rPr>
          <w:rFonts w:hint="eastAsia"/>
        </w:rPr>
        <w:t>±</w:t>
      </w:r>
      <w:r>
        <w:t>1%</w:t>
      </w:r>
      <w:r>
        <w:rPr>
          <w:rFonts w:hint="eastAsia"/>
        </w:rPr>
        <w:t>。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ascii="Times New Roman" w:hAnsi="Times New Roman" w:eastAsia="黑体"/>
          <w:kern w:val="0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6 测定步骤</w:t>
      </w:r>
    </w:p>
    <w:p>
      <w:pPr>
        <w:spacing w:line="276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6.1</w:t>
      </w:r>
      <w:r>
        <w:rPr>
          <w:rFonts w:ascii="Times New Roman" w:hAnsi="Times New Roman" w:eastAsia="黑体"/>
          <w:szCs w:val="21"/>
        </w:rPr>
        <w:t>仪器校正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参照仪器使用说明书进行仪器的校正。</w:t>
      </w:r>
    </w:p>
    <w:p>
      <w:pPr>
        <w:spacing w:line="276" w:lineRule="auto"/>
        <w:rPr>
          <w:rFonts w:ascii="Times New Roman" w:hAnsi="Times New Roman" w:eastAsia="黑体"/>
          <w:kern w:val="0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6.2测试</w:t>
      </w:r>
    </w:p>
    <w:p>
      <w:pPr>
        <w:spacing w:line="320" w:lineRule="exact"/>
      </w:pPr>
      <w:r>
        <w:rPr>
          <w:rFonts w:ascii="Times New Roman" w:hAnsi="Times New Roman" w:eastAsia="黑体"/>
          <w:kern w:val="0"/>
          <w:szCs w:val="21"/>
        </w:rPr>
        <w:t xml:space="preserve">6.2.1 </w:t>
      </w:r>
      <w:r>
        <w:t xml:space="preserve">开启电源，在水箱中加入足量的去离子水，设定恒温恒湿试验箱(5.1)的温度和相对湿度为85 </w:t>
      </w:r>
      <w:r>
        <w:rPr>
          <w:rFonts w:hint="default" w:ascii="Times New Roman" w:hAnsi="Times New Roman" w:cs="Times New Roman"/>
        </w:rPr>
        <w:t>℃</w:t>
      </w:r>
      <w:r>
        <w:t xml:space="preserve">和85% </w:t>
      </w:r>
      <w:r>
        <w:rPr>
          <w:rFonts w:hint="eastAsia"/>
        </w:rPr>
        <w:t>RH</w:t>
      </w:r>
      <w:r>
        <w:t>。恒温恒湿试验箱到达温度和相对湿度的设定值后，运行0.5 h。</w:t>
      </w:r>
    </w:p>
    <w:p>
      <w:pPr>
        <w:spacing w:line="320" w:lineRule="exact"/>
      </w:pPr>
      <w:r>
        <w:rPr>
          <w:rFonts w:ascii="Times New Roman" w:hAnsi="Times New Roman" w:eastAsia="黑体"/>
          <w:kern w:val="0"/>
          <w:szCs w:val="21"/>
        </w:rPr>
        <w:t xml:space="preserve">6.2.2 </w:t>
      </w:r>
      <w:r>
        <w:t>用天平(5.2)称取10 g样品放置在35×10 mm培养皿(5.3)内，并用滤纸覆盖。</w:t>
      </w:r>
    </w:p>
    <w:p>
      <w:pPr>
        <w:spacing w:line="320" w:lineRule="exact"/>
      </w:pPr>
      <w:r>
        <w:rPr>
          <w:rFonts w:ascii="Times New Roman" w:hAnsi="Times New Roman" w:eastAsia="黑体"/>
          <w:kern w:val="0"/>
          <w:szCs w:val="21"/>
        </w:rPr>
        <w:t xml:space="preserve">6.2.3 </w:t>
      </w:r>
      <w:r>
        <w:t>把培养皿（5.3）放在不锈钢架上烘箱中央，每次不得超过9培养皿。</w:t>
      </w:r>
    </w:p>
    <w:p>
      <w:pPr>
        <w:spacing w:line="320" w:lineRule="exact"/>
      </w:pPr>
      <w:r>
        <w:rPr>
          <w:rFonts w:ascii="Times New Roman" w:hAnsi="Times New Roman" w:eastAsia="黑体"/>
          <w:kern w:val="0"/>
          <w:szCs w:val="21"/>
        </w:rPr>
        <w:t xml:space="preserve">6.2.4 </w:t>
      </w:r>
      <w:r>
        <w:rPr>
          <w:rFonts w:hint="eastAsia"/>
        </w:rPr>
        <w:t>在此</w:t>
      </w:r>
      <w:r>
        <w:t>条件</w:t>
      </w:r>
      <w:r>
        <w:rPr>
          <w:rFonts w:hint="eastAsia"/>
        </w:rPr>
        <w:t>下存储</w:t>
      </w:r>
      <w:r>
        <w:t>1000 h后，取出培养皿，</w:t>
      </w:r>
      <w:r>
        <w:rPr>
          <w:rFonts w:hint="eastAsia"/>
        </w:rPr>
        <w:t>将原始样品与试验样品在</w:t>
      </w:r>
      <w:r>
        <w:t>60</w:t>
      </w:r>
      <w:r>
        <w:rPr>
          <w:rFonts w:hint="eastAsia"/>
        </w:rPr>
        <w:t xml:space="preserve"> ℃下烘箱中烘干</w:t>
      </w:r>
      <w:r>
        <w:t>48</w:t>
      </w:r>
      <w:r>
        <w:rPr>
          <w:rFonts w:hint="eastAsia"/>
        </w:rPr>
        <w:t xml:space="preserve"> </w:t>
      </w:r>
      <w:r>
        <w:t>h</w:t>
      </w:r>
      <w:r>
        <w:rPr>
          <w:rFonts w:hint="eastAsia"/>
        </w:rPr>
        <w:t>。</w:t>
      </w:r>
    </w:p>
    <w:p>
      <w:pPr>
        <w:spacing w:line="320" w:lineRule="exact"/>
      </w:pPr>
      <w:r>
        <w:rPr>
          <w:rFonts w:ascii="Times New Roman" w:hAnsi="Times New Roman" w:eastAsia="黑体"/>
          <w:kern w:val="0"/>
          <w:szCs w:val="21"/>
        </w:rPr>
        <w:t xml:space="preserve">6.2.5 </w:t>
      </w:r>
      <w:r>
        <w:rPr>
          <w:rFonts w:hint="eastAsia"/>
        </w:rPr>
        <w:t>原始样品与试验样品冷却至室温，</w:t>
      </w:r>
      <w:r>
        <w:t>测定其色品坐标、相对亮度。</w:t>
      </w:r>
    </w:p>
    <w:p>
      <w:pPr>
        <w:spacing w:line="320" w:lineRule="exact"/>
        <w:rPr>
          <w:szCs w:val="21"/>
        </w:rPr>
      </w:pPr>
      <w:r>
        <w:rPr>
          <w:rFonts w:ascii="Times New Roman" w:hAnsi="Times New Roman" w:eastAsia="黑体"/>
          <w:kern w:val="0"/>
          <w:szCs w:val="21"/>
        </w:rPr>
        <w:t xml:space="preserve">6.2.6 </w:t>
      </w:r>
      <w:r>
        <w:t>计算样品的热稳定性。</w:t>
      </w:r>
    </w:p>
    <w:p>
      <w:pPr>
        <w:autoSpaceDE w:val="0"/>
        <w:autoSpaceDN w:val="0"/>
        <w:adjustRightInd w:val="0"/>
        <w:snapToGrid w:val="0"/>
        <w:spacing w:before="240" w:beforeLines="100" w:after="240" w:afterLines="100" w:line="276" w:lineRule="auto"/>
        <w:jc w:val="left"/>
        <w:rPr>
          <w:rFonts w:ascii="Times New Roman" w:hAnsi="Times New Roman" w:eastAsia="黑体"/>
          <w:kern w:val="0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7 测试结果表述</w:t>
      </w:r>
    </w:p>
    <w:p>
      <w:pPr>
        <w:spacing w:line="320" w:lineRule="exact"/>
      </w:pPr>
      <w:r>
        <w:rPr>
          <w:rFonts w:ascii="Times New Roman" w:hAnsi="Times New Roman" w:eastAsia="黑体"/>
          <w:kern w:val="0"/>
          <w:szCs w:val="21"/>
        </w:rPr>
        <w:t>7.1</w:t>
      </w:r>
      <w:r>
        <w:t>相对亮度的热稳定性(</w:t>
      </w:r>
      <m:oMath>
        <m:r>
          <m:rPr>
            <m:nor/>
          </m:rPr>
          <w:rPr>
            <w:i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>)按公式</w:t>
      </w:r>
      <w:r>
        <w:rPr>
          <w:rFonts w:hint="eastAsia"/>
        </w:rPr>
        <w:t>（1）</w:t>
      </w:r>
      <w:r>
        <w:t>计算：</w:t>
      </w:r>
    </w:p>
    <w:p>
      <w:pPr>
        <w:spacing w:line="320" w:lineRule="exact"/>
        <w:ind w:firstLine="2415" w:firstLineChars="1150"/>
      </w:pPr>
      <m:oMath>
        <m:r>
          <m:rPr>
            <m:nor/>
          </m:rPr>
          <w:rPr>
            <w:i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nor/>
          </m:rPr>
          <w:rPr>
            <w:i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i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nor/>
                  </m:rPr>
                  <w:rPr>
                    <w:i/>
                  </w:rPr>
                  <m:t>d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>
                <m:nor/>
              </m:rPr>
              <w:rPr>
                <w:i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nor/>
                  </m:rPr>
                  <w:rPr>
                    <w:i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>
                <m:nor/>
              </m:rPr>
              <w:rPr>
                <w:i/>
              </w:rPr>
              <m:t>)</m:t>
            </m:r>
            <m:ctrlPr>
              <w:rPr>
                <w:rFonts w:ascii="Cambria Math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nor/>
                  </m:rPr>
                  <w:rPr>
                    <w:i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den>
        </m:f>
        <m:r>
          <m:rPr>
            <m:nor/>
          </m:rPr>
          <w:rPr>
            <w:i/>
          </w:rPr>
          <m:t>*100</m:t>
        </m:r>
      </m:oMath>
      <w:r>
        <w:tab/>
      </w:r>
      <w:r>
        <w:tab/>
      </w:r>
      <w:r>
        <w:tab/>
      </w:r>
      <w:r>
        <w:rPr>
          <w:rFonts w:hint="eastAsia"/>
        </w:rPr>
        <w:t>（1）</w:t>
      </w:r>
    </w:p>
    <w:p>
      <w:pPr>
        <w:spacing w:line="320" w:lineRule="exact"/>
      </w:pPr>
      <w:r>
        <w:t>式中：</w:t>
      </w:r>
    </w:p>
    <w:p>
      <w:pPr>
        <w:spacing w:line="320" w:lineRule="exact"/>
      </w:pPr>
      <m:oMath>
        <m:r>
          <m:rPr>
            <m:nor/>
          </m:rPr>
          <w:rPr>
            <w:i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>——相对亮度的</w:t>
      </w:r>
      <w:r>
        <w:rPr>
          <w:rFonts w:hint="eastAsia"/>
        </w:rPr>
        <w:t>高温高湿</w:t>
      </w:r>
      <w:r>
        <w:t>稳定性</w:t>
      </w:r>
      <w:r>
        <w:rPr>
          <w:rFonts w:hint="eastAsia"/>
        </w:rPr>
        <w:t>（</w:t>
      </w:r>
      <w:r>
        <w:t>％</w:t>
      </w:r>
      <w:r>
        <w:rPr>
          <w:rFonts w:hint="eastAsia"/>
        </w:rPr>
        <w:t>）；</w:t>
      </w:r>
    </w:p>
    <w:p>
      <w:pPr>
        <w:spacing w:line="320" w:lineRule="exac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>——</w:t>
      </w:r>
      <w:r>
        <w:rPr>
          <w:rFonts w:hint="eastAsia"/>
        </w:rPr>
        <w:t>未处理过的样品平行测量三次的相对亮度平均值（%）；</w:t>
      </w:r>
      <w:r>
        <w:t xml:space="preserve"> </w:t>
      </w:r>
    </w:p>
    <w:p>
      <w:pPr>
        <w:spacing w:line="320" w:lineRule="exac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>——</w:t>
      </w:r>
      <w:r>
        <w:rPr>
          <w:rFonts w:hint="eastAsia"/>
        </w:rPr>
        <w:t>高温高湿处理过的样品平行测量三次相对亮度（%）</w:t>
      </w:r>
      <w:r>
        <w:t xml:space="preserve">。 </w:t>
      </w:r>
    </w:p>
    <w:p>
      <w:pPr>
        <w:spacing w:line="320" w:lineRule="exact"/>
      </w:pPr>
      <w:r>
        <w:rPr>
          <w:rFonts w:ascii="Times New Roman" w:hAnsi="Times New Roman" w:eastAsia="黑体"/>
          <w:kern w:val="0"/>
          <w:szCs w:val="21"/>
        </w:rPr>
        <w:t>7.2</w:t>
      </w:r>
      <w:r>
        <w:t>色品坐标的</w:t>
      </w:r>
      <w:r>
        <w:rPr>
          <w:rFonts w:hint="eastAsia"/>
        </w:rPr>
        <w:t>高温高湿</w:t>
      </w:r>
      <w:r>
        <w:t>稳定性(</w:t>
      </w:r>
      <m:oMath>
        <m:r>
          <m:rPr>
            <m:nor/>
            <m:sty m:val="p"/>
          </m:rPr>
          <m:t>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  <m:sty m:val="p"/>
              </m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sub>
        </m:sSub>
      </m:oMath>
      <w:r>
        <w:t>和</w:t>
      </w:r>
      <m:oMath>
        <m:r>
          <m:rPr>
            <m:nor/>
            <m:sty m:val="p"/>
          </m:rPr>
          <m:t>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  <m:sty m:val="p"/>
              </m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</w:rPr>
            </m:ctrlPr>
          </m:sub>
        </m:sSub>
      </m:oMath>
      <w:r>
        <w:t>)分别按公式</w:t>
      </w:r>
      <w:r>
        <w:rPr>
          <w:rFonts w:hint="eastAsia"/>
        </w:rPr>
        <w:t>（2）</w:t>
      </w:r>
      <w:r>
        <w:t>和</w:t>
      </w:r>
      <w:r>
        <w:rPr>
          <w:rFonts w:hint="eastAsia"/>
        </w:rPr>
        <w:t>（3）</w:t>
      </w:r>
      <w:r>
        <w:t>计算：</w:t>
      </w:r>
    </w:p>
    <w:p>
      <w:pPr>
        <w:spacing w:line="320" w:lineRule="exact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hint="default" w:ascii="Cambria Math" w:hAnsi="Cambria Math"/>
              </w:rPr>
              <m:t>△</m:t>
            </m:r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nor/>
          </m:rPr>
          <w:rPr>
            <w:i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nor/>
          </m:rPr>
          <w:rPr>
            <w:i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ab/>
      </w:r>
      <w:r>
        <w:t xml:space="preserve">          </w:t>
      </w:r>
      <w:r>
        <w:rPr>
          <w:rFonts w:hint="eastAsia"/>
        </w:rPr>
        <w:t>（2）</w:t>
      </w:r>
    </w:p>
    <w:p>
      <w:pPr>
        <w:spacing w:line="320" w:lineRule="exact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hint="default" w:ascii="Cambria Math" w:hAnsi="Cambria Math"/>
              </w:rPr>
              <m:t>△</m:t>
            </m:r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nor/>
          </m:rPr>
          <w:rPr>
            <w:i/>
          </w:rPr>
          <m:t xml:space="preserve"> 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nor/>
          </m:rPr>
          <w:rPr>
            <w:i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ab/>
      </w:r>
      <w:r>
        <w:t xml:space="preserve">          </w:t>
      </w:r>
      <w:r>
        <w:rPr>
          <w:rFonts w:hint="eastAsia"/>
        </w:rPr>
        <w:t>（3）</w:t>
      </w:r>
    </w:p>
    <w:p>
      <w:pPr>
        <w:spacing w:line="320" w:lineRule="exact"/>
      </w:pPr>
      <w:r>
        <w:t>式中：</w:t>
      </w:r>
    </w:p>
    <w:p>
      <w:pPr>
        <w:spacing w:line="320" w:lineRule="exact"/>
      </w:pPr>
      <m:oMath>
        <m:r>
          <m:rPr>
            <m:nor/>
          </m:rPr>
          <w:rPr>
            <w:i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nor/>
          </m:rPr>
          <w:rPr>
            <w:i/>
          </w:rPr>
          <m:t>,∆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——色品坐标的</w:t>
      </w:r>
      <w:r>
        <w:rPr>
          <w:rFonts w:hint="eastAsia"/>
        </w:rPr>
        <w:t>高温高湿</w:t>
      </w:r>
      <w:r>
        <w:t xml:space="preserve">稳定性； </w:t>
      </w:r>
    </w:p>
    <w:p>
      <w:pPr>
        <w:spacing w:line="320" w:lineRule="exac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nor/>
          </m:rPr>
          <w:rPr>
            <w:i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——未处理过的样品的色品坐标； </w:t>
      </w:r>
    </w:p>
    <w:p>
      <w:pPr>
        <w:spacing w:line="320" w:lineRule="exac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nor/>
          </m:rPr>
          <w:rPr>
            <w:i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</m:rPr>
              <w:rPr>
                <w:i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>——</w:t>
      </w:r>
      <w:r>
        <w:rPr>
          <w:rFonts w:hint="eastAsia"/>
        </w:rPr>
        <w:t>高温高湿</w:t>
      </w:r>
      <w:r>
        <w:t>处理</w:t>
      </w:r>
      <w:r>
        <w:rPr>
          <w:rFonts w:hint="eastAsia"/>
        </w:rPr>
        <w:t>后</w:t>
      </w:r>
      <w:r>
        <w:t>的样品的色品坐标。</w:t>
      </w:r>
    </w:p>
    <w:p>
      <w:pPr>
        <w:autoSpaceDE w:val="0"/>
        <w:autoSpaceDN w:val="0"/>
        <w:adjustRightInd w:val="0"/>
        <w:spacing w:before="240" w:beforeLines="100" w:after="240" w:afterLines="100" w:line="320" w:lineRule="exact"/>
        <w:jc w:val="left"/>
        <w:rPr>
          <w:rFonts w:ascii="Times New Roman" w:hAnsi="Times New Roman" w:eastAsia="黑体"/>
          <w:kern w:val="0"/>
          <w:szCs w:val="21"/>
        </w:rPr>
      </w:pPr>
      <w:r>
        <w:rPr>
          <w:rFonts w:hint="default" w:ascii="Times New Roman" w:hAnsi="Times New Roman" w:eastAsia="黑体"/>
          <w:kern w:val="0"/>
          <w:szCs w:val="21"/>
        </w:rPr>
        <w:t>8</w:t>
      </w:r>
      <w:r>
        <w:rPr>
          <w:rFonts w:ascii="Times New Roman" w:hAnsi="Times New Roman" w:eastAsia="黑体"/>
          <w:kern w:val="0"/>
          <w:szCs w:val="21"/>
        </w:rPr>
        <w:t xml:space="preserve"> </w:t>
      </w:r>
      <w:r>
        <w:rPr>
          <w:rFonts w:hint="default" w:ascii="Times New Roman" w:hAnsi="Times New Roman" w:eastAsia="黑体"/>
          <w:kern w:val="0"/>
          <w:szCs w:val="21"/>
        </w:rPr>
        <w:t>精密度</w:t>
      </w:r>
      <w:r>
        <w:rPr>
          <w:rFonts w:ascii="Times New Roman" w:hAnsi="Times New Roman" w:eastAsia="黑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before="120" w:beforeLines="50" w:after="120" w:afterLines="50" w:line="320" w:lineRule="exact"/>
        <w:jc w:val="left"/>
        <w:rPr>
          <w:rFonts w:ascii="Times New Roman" w:hAnsi="Times New Roman" w:eastAsia="黑体"/>
          <w:kern w:val="0"/>
          <w:szCs w:val="21"/>
        </w:rPr>
      </w:pPr>
      <w:r>
        <w:rPr>
          <w:rFonts w:hint="default" w:ascii="Times New Roman" w:hAnsi="Times New Roman" w:eastAsia="黑体"/>
          <w:kern w:val="0"/>
          <w:szCs w:val="21"/>
        </w:rPr>
        <w:t>8</w:t>
      </w:r>
      <w:r>
        <w:rPr>
          <w:rFonts w:ascii="Times New Roman" w:hAnsi="Times New Roman" w:eastAsia="黑体"/>
          <w:kern w:val="0"/>
          <w:szCs w:val="21"/>
        </w:rPr>
        <w:t xml:space="preserve">.1 </w:t>
      </w:r>
      <w:r>
        <w:rPr>
          <w:rFonts w:hint="default" w:ascii="Times New Roman" w:hAnsi="Times New Roman" w:eastAsia="黑体"/>
          <w:kern w:val="0"/>
          <w:szCs w:val="21"/>
        </w:rPr>
        <w:t>重复性</w:t>
      </w:r>
    </w:p>
    <w:p>
      <w:pPr>
        <w:pStyle w:val="132"/>
        <w:autoSpaceDE w:val="0"/>
        <w:autoSpaceDN w:val="0"/>
        <w:adjustRightInd w:val="0"/>
        <w:spacing w:before="120" w:beforeLines="50" w:after="120" w:afterLines="50" w:line="320" w:lineRule="exact"/>
        <w:ind w:left="120"/>
        <w:jc w:val="left"/>
        <w:rPr>
          <w:rFonts w:ascii="Times New Roman" w:hAnsi="Times New Roman"/>
          <w:kern w:val="0"/>
          <w:szCs w:val="21"/>
        </w:rPr>
      </w:pPr>
      <w:r>
        <w:rPr>
          <w:rFonts w:hint="default" w:ascii="Times New Roman" w:hAnsi="Times New Roman"/>
          <w:kern w:val="0"/>
          <w:szCs w:val="21"/>
        </w:rPr>
        <w:t>在重复性条件下获得的两次独立测试结果的测定值，在以下给出的平均值范围内，两次测试结果的绝对差值超过重复性限（</w:t>
      </w:r>
      <w:r>
        <w:rPr>
          <w:rFonts w:ascii="Times New Roman" w:hAnsi="Times New Roman"/>
          <w:kern w:val="0"/>
          <w:szCs w:val="21"/>
        </w:rPr>
        <w:t>r</w:t>
      </w:r>
      <w:r>
        <w:rPr>
          <w:rFonts w:hint="default" w:ascii="Times New Roman" w:hAnsi="Times New Roman"/>
          <w:kern w:val="0"/>
          <w:szCs w:val="21"/>
        </w:rPr>
        <w:t>）的情况不超过</w:t>
      </w:r>
      <w:r>
        <w:rPr>
          <w:rFonts w:ascii="Times New Roman" w:hAnsi="Times New Roman"/>
          <w:kern w:val="0"/>
          <w:szCs w:val="21"/>
        </w:rPr>
        <w:t>5%</w:t>
      </w:r>
      <w:r>
        <w:rPr>
          <w:rFonts w:hint="default" w:ascii="Times New Roman" w:hAnsi="Times New Roman"/>
          <w:kern w:val="0"/>
          <w:szCs w:val="21"/>
        </w:rPr>
        <w:t>，重复性限</w:t>
      </w:r>
      <w:r>
        <w:rPr>
          <w:rFonts w:ascii="Times New Roman" w:hAnsi="Times New Roman"/>
          <w:kern w:val="0"/>
          <w:szCs w:val="21"/>
        </w:rPr>
        <w:t>(r)</w:t>
      </w:r>
      <w:r>
        <w:rPr>
          <w:rFonts w:hint="default" w:ascii="Times New Roman" w:hAnsi="Times New Roman"/>
          <w:kern w:val="0"/>
          <w:szCs w:val="21"/>
        </w:rPr>
        <w:t>按表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hint="default" w:ascii="Times New Roman" w:hAnsi="Times New Roman"/>
          <w:kern w:val="0"/>
          <w:szCs w:val="21"/>
        </w:rPr>
        <w:t>数据采用线性内插法求得。</w:t>
      </w:r>
    </w:p>
    <w:p>
      <w:pPr>
        <w:spacing w:before="120" w:beforeLines="50" w:after="120" w:afterLines="50"/>
        <w:ind w:firstLine="420" w:firstLineChars="200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表1</w:t>
      </w:r>
    </w:p>
    <w:tbl>
      <w:tblPr>
        <w:tblStyle w:val="3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2884"/>
        <w:gridCol w:w="2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9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61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Times New Roman"/>
                <w:color w:val="000000"/>
                <w:kern w:val="0"/>
                <w:sz w:val="18"/>
                <w:szCs w:val="18"/>
              </w:rPr>
              <w:t>重复性限（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69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hAnsi="Times New Roman"/>
              </w:rPr>
              <w:t>1.31</w:t>
            </w:r>
          </w:p>
        </w:tc>
        <w:tc>
          <w:tcPr>
            <w:tcW w:w="161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9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:oMath/>
              </w:rPr>
            </w:pPr>
            <m:oMathPara>
              <m:oMath>
                <m:r>
                  <m:rPr>
                    <m:nor/>
                  </m:rPr>
                  <w:rPr>
                    <w:i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69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hAnsi="Times New Roman"/>
              </w:rPr>
              <w:t>0.0017</w:t>
            </w:r>
          </w:p>
        </w:tc>
        <w:tc>
          <w:tcPr>
            <w:tcW w:w="161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69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:oMath/>
              </w:rPr>
            </w:pPr>
            <m:oMathPara>
              <m:oMath>
                <m:r>
                  <m:rPr>
                    <m:nor/>
                  </m:rPr>
                  <w:rPr>
                    <w:i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69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hAnsi="Times New Roman"/>
              </w:rPr>
              <w:t>0.0013</w:t>
            </w:r>
          </w:p>
        </w:tc>
        <w:tc>
          <w:tcPr>
            <w:tcW w:w="161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2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7" w:type="pct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Times New Roman"/>
                <w:color w:val="000000"/>
                <w:kern w:val="0"/>
                <w:sz w:val="18"/>
                <w:szCs w:val="18"/>
              </w:rPr>
              <w:t>注：重复性限</w:t>
            </w:r>
            <w:r>
              <w:rPr>
                <w:color w:val="000000"/>
                <w:kern w:val="0"/>
                <w:sz w:val="18"/>
                <w:szCs w:val="18"/>
              </w:rPr>
              <w:t>(r)</w:t>
            </w:r>
            <w:r>
              <w:rPr>
                <w:rFonts w:hAnsi="Times New Roman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color w:val="000000"/>
                <w:kern w:val="0"/>
                <w:sz w:val="18"/>
                <w:szCs w:val="18"/>
              </w:rPr>
              <w:t>2.8×Sr</w:t>
            </w:r>
            <w:r>
              <w:rPr>
                <w:rFonts w:hAnsi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color w:val="000000"/>
                <w:kern w:val="0"/>
                <w:sz w:val="18"/>
                <w:szCs w:val="18"/>
              </w:rPr>
              <w:t>Sr</w:t>
            </w:r>
            <w:r>
              <w:rPr>
                <w:rFonts w:hAnsi="Times New Roman"/>
                <w:color w:val="000000"/>
                <w:kern w:val="0"/>
                <w:sz w:val="18"/>
                <w:szCs w:val="18"/>
              </w:rPr>
              <w:t>为重复性标准差。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120" w:beforeLines="50" w:after="120" w:afterLines="50" w:line="320" w:lineRule="exact"/>
        <w:jc w:val="left"/>
        <w:rPr>
          <w:rFonts w:ascii="Times New Roman" w:hAnsi="Times New Roman" w:eastAsia="黑体"/>
          <w:kern w:val="0"/>
          <w:szCs w:val="21"/>
        </w:rPr>
      </w:pPr>
      <w:r>
        <w:rPr>
          <w:rFonts w:hint="default" w:ascii="Times New Roman" w:hAnsi="Times New Roman" w:eastAsia="黑体"/>
          <w:kern w:val="0"/>
          <w:szCs w:val="21"/>
        </w:rPr>
        <w:t>8</w:t>
      </w:r>
      <w:r>
        <w:rPr>
          <w:rFonts w:ascii="Times New Roman" w:hAnsi="Times New Roman" w:eastAsia="黑体"/>
          <w:kern w:val="0"/>
          <w:szCs w:val="21"/>
        </w:rPr>
        <w:t xml:space="preserve">.2 </w:t>
      </w:r>
      <w:r>
        <w:rPr>
          <w:rFonts w:hint="default" w:ascii="Times New Roman" w:hAnsi="Times New Roman" w:eastAsia="黑体"/>
          <w:kern w:val="0"/>
          <w:szCs w:val="21"/>
        </w:rPr>
        <w:t>相对</w:t>
      </w:r>
      <w:r>
        <w:rPr>
          <w:rFonts w:hint="default" w:ascii="Times New Roman" w:hAnsi="Times New Roman" w:eastAsia="黑体"/>
          <w:kern w:val="0"/>
          <w:szCs w:val="21"/>
        </w:rPr>
        <w:t>允许差</w:t>
      </w:r>
    </w:p>
    <w:p>
      <w:pPr>
        <w:pStyle w:val="132"/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left="0" w:firstLine="0" w:firstLineChars="0"/>
        <w:jc w:val="left"/>
        <w:rPr>
          <w:rFonts w:ascii="Times New Roman" w:hAnsi="Times New Roman" w:eastAsia="黑体"/>
          <w:kern w:val="0"/>
          <w:szCs w:val="21"/>
        </w:rPr>
      </w:pPr>
      <w:r>
        <w:rPr>
          <w:rFonts w:hint="default" w:ascii="Times New Roman" w:hAnsi="Times New Roman"/>
          <w:kern w:val="0"/>
          <w:szCs w:val="21"/>
        </w:rPr>
        <w:t>实验室间相对亮度测试数据</w:t>
      </w:r>
      <w:r>
        <w:rPr>
          <w:rFonts w:hint="default" w:ascii="Times New Roman" w:hAnsi="Times New Roman"/>
          <w:kern w:val="0"/>
          <w:szCs w:val="21"/>
        </w:rPr>
        <w:t>相对</w:t>
      </w:r>
      <w:r>
        <w:rPr>
          <w:rFonts w:hint="default" w:ascii="Times New Roman" w:hAnsi="Times New Roman"/>
          <w:kern w:val="0"/>
          <w:szCs w:val="21"/>
        </w:rPr>
        <w:t>允许差不超过</w:t>
      </w:r>
      <w:r>
        <w:rPr>
          <w:rFonts w:hint="default" w:ascii="Times New Roman" w:hAnsi="Times New Roman"/>
          <w:kern w:val="0"/>
          <w:szCs w:val="21"/>
        </w:rPr>
        <w:t>不超过28%</w:t>
      </w:r>
      <w:r>
        <w:rPr>
          <w:rFonts w:hint="default" w:ascii="Times New Roman" w:hAnsi="Times New Roman"/>
          <w:kern w:val="0"/>
          <w:szCs w:val="21"/>
        </w:rPr>
        <w:t>，色品坐标</w:t>
      </w:r>
      <w:r>
        <w:rPr>
          <w:rFonts w:hint="default" w:ascii="Times New Roman" w:hAnsi="Times New Roman"/>
          <w:kern w:val="0"/>
          <w:szCs w:val="21"/>
        </w:rPr>
        <w:t>相对允许差不超过50%。</w:t>
      </w:r>
      <w:bookmarkStart w:id="2" w:name="_Hlk118461122"/>
      <w:r>
        <w:rPr>
          <w:rFonts w:hint="default" w:ascii="Times New Roman" w:hAnsi="Times New Roman" w:eastAsia="黑体"/>
          <w:kern w:val="0"/>
          <w:szCs w:val="21"/>
        </w:rPr>
        <w:t>9</w:t>
      </w:r>
      <w:r>
        <w:rPr>
          <w:rFonts w:ascii="Times New Roman" w:hAnsi="Times New Roman" w:eastAsia="黑体"/>
          <w:kern w:val="0"/>
          <w:szCs w:val="21"/>
        </w:rPr>
        <w:t xml:space="preserve"> </w:t>
      </w:r>
      <w:r>
        <w:rPr>
          <w:rFonts w:hint="default" w:ascii="Times New Roman" w:hAnsi="Times New Roman" w:eastAsia="黑体"/>
          <w:kern w:val="0"/>
          <w:szCs w:val="21"/>
        </w:rPr>
        <w:t>测试报告要求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kern w:val="0"/>
          <w:szCs w:val="21"/>
        </w:rPr>
      </w:pPr>
      <w:r>
        <w:rPr>
          <w:rFonts w:hint="default" w:hAnsi="Times New Roman"/>
          <w:kern w:val="0"/>
          <w:szCs w:val="21"/>
        </w:rPr>
        <w:t>测试报告内容包括：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kern w:val="0"/>
          <w:szCs w:val="21"/>
        </w:rPr>
      </w:pPr>
      <w:r>
        <w:rPr>
          <w:rFonts w:hint="default" w:hAnsi="Times New Roman"/>
          <w:kern w:val="0"/>
          <w:szCs w:val="21"/>
        </w:rPr>
        <w:t>测试日期和测试人员；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kern w:val="0"/>
          <w:szCs w:val="21"/>
        </w:rPr>
      </w:pPr>
      <w:r>
        <w:rPr>
          <w:rFonts w:hint="default" w:hAnsi="Times New Roman"/>
          <w:kern w:val="0"/>
          <w:szCs w:val="21"/>
        </w:rPr>
        <w:t>样品名称；</w:t>
      </w:r>
      <w:bookmarkStart w:id="5" w:name="_GoBack"/>
      <w:bookmarkEnd w:id="5"/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kern w:val="0"/>
          <w:szCs w:val="21"/>
        </w:rPr>
      </w:pPr>
      <w:r>
        <w:rPr>
          <w:rFonts w:hint="default" w:hAnsi="Times New Roman"/>
          <w:kern w:val="0"/>
          <w:szCs w:val="21"/>
        </w:rPr>
        <w:t>测试设备及其型号；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kern w:val="0"/>
          <w:szCs w:val="21"/>
        </w:rPr>
      </w:pPr>
      <w:r>
        <w:rPr>
          <w:rFonts w:hint="default" w:hAnsi="Times New Roman"/>
          <w:kern w:val="0"/>
          <w:szCs w:val="21"/>
        </w:rPr>
        <w:t>测试环境温度和湿度。</w:t>
      </w:r>
    </w:p>
    <w:bookmarkEnd w:id="2"/>
    <w:p>
      <w:p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rFonts w:hAnsi="Times New Roman"/>
          <w:kern w:val="0"/>
          <w:szCs w:val="21"/>
        </w:rPr>
      </w:pPr>
      <w:bookmarkStart w:id="3" w:name="_Hlk118461135"/>
    </w:p>
    <w:p>
      <w:p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rFonts w:hAnsi="Times New Roman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before="120" w:beforeLines="50" w:after="120" w:afterLines="50" w:line="320" w:lineRule="exact"/>
        <w:ind w:firstLine="420" w:firstLineChars="200"/>
        <w:jc w:val="left"/>
        <w:rPr>
          <w:rFonts w:hAnsi="Times New Roman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62865</wp:posOffset>
                </wp:positionV>
                <wp:extent cx="2019300" cy="635"/>
                <wp:effectExtent l="0" t="0" r="0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9.8pt;margin-top:4.95pt;height:0.05pt;width:159pt;z-index:251668480;mso-width-relative:page;mso-height-relative:page;" filled="f" stroked="t" coordsize="21600,21600" o:gfxdata="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4XSztQAAAAIAQAADwAAAAAAAAABACAAAAAiAAAAZHJzL2Rvd25yZXYueG1sUEsBAhQA&#10;FAAAAAgAh07iQO31Kmv2AQAA8wMAAA4AAAAAAAAAAQAgAAAAI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3"/>
    <w:p>
      <w:pPr>
        <w:spacing w:line="320" w:lineRule="exact"/>
        <w:rPr>
          <w:kern w:val="0"/>
          <w:szCs w:val="21"/>
        </w:rPr>
      </w:pPr>
    </w:p>
    <w:sectPr>
      <w:pgSz w:w="11907" w:h="16839"/>
      <w:pgMar w:top="1440" w:right="1800" w:bottom="1440" w:left="1800" w:header="851" w:footer="851" w:gutter="0"/>
      <w:pgNumType w:fmt="upperRoman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9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separate"/>
    </w:r>
    <w:r>
      <w:rPr>
        <w:rStyle w:val="37"/>
      </w:rPr>
      <w:t>II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1"/>
      <w:tabs>
        <w:tab w:val="clear" w:pos="4154"/>
        <w:tab w:val="clear" w:pos="8306"/>
      </w:tabs>
      <w:jc w:val="right"/>
      <w:rPr>
        <w:rFonts w:ascii="黑体" w:eastAsia="黑体"/>
      </w:rPr>
    </w:pPr>
    <w:r>
      <w:rPr>
        <w:rFonts w:hint="eastAsia" w:ascii="黑体" w:eastAsia="黑体"/>
      </w:rPr>
      <w:t>GB/T 24982—201×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8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517EA"/>
    <w:multiLevelType w:val="singleLevel"/>
    <w:tmpl w:val="BCE517E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pStyle w:val="110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1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0000000D"/>
    <w:multiLevelType w:val="multilevel"/>
    <w:tmpl w:val="0000000D"/>
    <w:lvl w:ilvl="0" w:tentative="0">
      <w:start w:val="1"/>
      <w:numFmt w:val="none"/>
      <w:pStyle w:val="82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none"/>
      <w:pStyle w:val="85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F"/>
    <w:multiLevelType w:val="multilevel"/>
    <w:tmpl w:val="0000000F"/>
    <w:lvl w:ilvl="0" w:tentative="0">
      <w:start w:val="1"/>
      <w:numFmt w:val="decimal"/>
      <w:pStyle w:val="11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00000011"/>
    <w:multiLevelType w:val="multilevel"/>
    <w:tmpl w:val="00000011"/>
    <w:lvl w:ilvl="0" w:tentative="0">
      <w:start w:val="1"/>
      <w:numFmt w:val="decimal"/>
      <w:pStyle w:val="9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upperLetter"/>
      <w:pStyle w:val="9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6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00000013"/>
    <w:multiLevelType w:val="multilevel"/>
    <w:tmpl w:val="00000013"/>
    <w:lvl w:ilvl="0" w:tentative="0">
      <w:start w:val="1"/>
      <w:numFmt w:val="none"/>
      <w:pStyle w:val="7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8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6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00000014"/>
    <w:multiLevelType w:val="multilevel"/>
    <w:tmpl w:val="00000014"/>
    <w:lvl w:ilvl="0" w:tentative="0">
      <w:start w:val="1"/>
      <w:numFmt w:val="none"/>
      <w:pStyle w:val="56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15"/>
    <w:multiLevelType w:val="multilevel"/>
    <w:tmpl w:val="00000015"/>
    <w:lvl w:ilvl="0" w:tentative="0">
      <w:start w:val="1"/>
      <w:numFmt w:val="none"/>
      <w:pStyle w:val="73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5ZjE0MDA3MTc1YTVlN2RiZGVkODJiMzk1MjhhYmEifQ=="/>
  </w:docVars>
  <w:rsids>
    <w:rsidRoot w:val="00172A27"/>
    <w:rsid w:val="000042F7"/>
    <w:rsid w:val="000072DD"/>
    <w:rsid w:val="000107B2"/>
    <w:rsid w:val="0001447C"/>
    <w:rsid w:val="00014519"/>
    <w:rsid w:val="00016296"/>
    <w:rsid w:val="0001689D"/>
    <w:rsid w:val="0001794A"/>
    <w:rsid w:val="000252E6"/>
    <w:rsid w:val="00026BDC"/>
    <w:rsid w:val="00027E18"/>
    <w:rsid w:val="00030CF8"/>
    <w:rsid w:val="00033C5F"/>
    <w:rsid w:val="00034439"/>
    <w:rsid w:val="00037784"/>
    <w:rsid w:val="000443BF"/>
    <w:rsid w:val="00046E45"/>
    <w:rsid w:val="00052428"/>
    <w:rsid w:val="00055DD0"/>
    <w:rsid w:val="00056B0D"/>
    <w:rsid w:val="00057E63"/>
    <w:rsid w:val="000629C0"/>
    <w:rsid w:val="00073037"/>
    <w:rsid w:val="00074220"/>
    <w:rsid w:val="000771B2"/>
    <w:rsid w:val="00077E79"/>
    <w:rsid w:val="00080097"/>
    <w:rsid w:val="000800BE"/>
    <w:rsid w:val="000809A6"/>
    <w:rsid w:val="00081B4E"/>
    <w:rsid w:val="00085BDC"/>
    <w:rsid w:val="00085DD4"/>
    <w:rsid w:val="000862ED"/>
    <w:rsid w:val="00087277"/>
    <w:rsid w:val="0009012F"/>
    <w:rsid w:val="00093E98"/>
    <w:rsid w:val="000A23F4"/>
    <w:rsid w:val="000A77B2"/>
    <w:rsid w:val="000B173C"/>
    <w:rsid w:val="000B4962"/>
    <w:rsid w:val="000B4C16"/>
    <w:rsid w:val="000B5B6C"/>
    <w:rsid w:val="000B6E4D"/>
    <w:rsid w:val="000C2B43"/>
    <w:rsid w:val="000C3087"/>
    <w:rsid w:val="000C5FFB"/>
    <w:rsid w:val="000D279B"/>
    <w:rsid w:val="000D3939"/>
    <w:rsid w:val="000D55D7"/>
    <w:rsid w:val="000E1622"/>
    <w:rsid w:val="000E4FB9"/>
    <w:rsid w:val="000F0EB9"/>
    <w:rsid w:val="000F27C3"/>
    <w:rsid w:val="000F6D32"/>
    <w:rsid w:val="001010FB"/>
    <w:rsid w:val="0010598B"/>
    <w:rsid w:val="00110BB3"/>
    <w:rsid w:val="001124B4"/>
    <w:rsid w:val="001209DF"/>
    <w:rsid w:val="0012573A"/>
    <w:rsid w:val="0012596B"/>
    <w:rsid w:val="00126E09"/>
    <w:rsid w:val="001270F3"/>
    <w:rsid w:val="00130F92"/>
    <w:rsid w:val="00131D5D"/>
    <w:rsid w:val="00134B6C"/>
    <w:rsid w:val="00134F52"/>
    <w:rsid w:val="00137A27"/>
    <w:rsid w:val="001421CB"/>
    <w:rsid w:val="00144465"/>
    <w:rsid w:val="00145734"/>
    <w:rsid w:val="00147A0F"/>
    <w:rsid w:val="00154A45"/>
    <w:rsid w:val="00161FBE"/>
    <w:rsid w:val="00164C46"/>
    <w:rsid w:val="00166B1F"/>
    <w:rsid w:val="001711EA"/>
    <w:rsid w:val="00171403"/>
    <w:rsid w:val="00172A27"/>
    <w:rsid w:val="001743B6"/>
    <w:rsid w:val="001868F6"/>
    <w:rsid w:val="00186D33"/>
    <w:rsid w:val="0019410F"/>
    <w:rsid w:val="00194D5B"/>
    <w:rsid w:val="001965E7"/>
    <w:rsid w:val="00197182"/>
    <w:rsid w:val="001A2858"/>
    <w:rsid w:val="001A2B81"/>
    <w:rsid w:val="001A3FD8"/>
    <w:rsid w:val="001A5FDB"/>
    <w:rsid w:val="001A7760"/>
    <w:rsid w:val="001B37BF"/>
    <w:rsid w:val="001B5C6F"/>
    <w:rsid w:val="001D478D"/>
    <w:rsid w:val="001E5483"/>
    <w:rsid w:val="001E58F3"/>
    <w:rsid w:val="001E7FEE"/>
    <w:rsid w:val="001F4B17"/>
    <w:rsid w:val="002044CA"/>
    <w:rsid w:val="00205692"/>
    <w:rsid w:val="00211A87"/>
    <w:rsid w:val="0021252C"/>
    <w:rsid w:val="00214B22"/>
    <w:rsid w:val="002221C3"/>
    <w:rsid w:val="00223A9F"/>
    <w:rsid w:val="002246CB"/>
    <w:rsid w:val="002266F0"/>
    <w:rsid w:val="002279A3"/>
    <w:rsid w:val="00231726"/>
    <w:rsid w:val="0023567A"/>
    <w:rsid w:val="00237C0E"/>
    <w:rsid w:val="00237F0B"/>
    <w:rsid w:val="0024153B"/>
    <w:rsid w:val="002428E8"/>
    <w:rsid w:val="00242E90"/>
    <w:rsid w:val="00247D78"/>
    <w:rsid w:val="002509B0"/>
    <w:rsid w:val="002553C7"/>
    <w:rsid w:val="002635BC"/>
    <w:rsid w:val="00266124"/>
    <w:rsid w:val="00267455"/>
    <w:rsid w:val="00272ABF"/>
    <w:rsid w:val="0027365C"/>
    <w:rsid w:val="00281F4C"/>
    <w:rsid w:val="00287000"/>
    <w:rsid w:val="002946EC"/>
    <w:rsid w:val="002960A6"/>
    <w:rsid w:val="002A395E"/>
    <w:rsid w:val="002A4153"/>
    <w:rsid w:val="002A44E2"/>
    <w:rsid w:val="002A59CD"/>
    <w:rsid w:val="002C13A9"/>
    <w:rsid w:val="002C684E"/>
    <w:rsid w:val="002C7ABA"/>
    <w:rsid w:val="002D206D"/>
    <w:rsid w:val="002D26D4"/>
    <w:rsid w:val="002E025F"/>
    <w:rsid w:val="002E18DD"/>
    <w:rsid w:val="002E2769"/>
    <w:rsid w:val="002E3AC6"/>
    <w:rsid w:val="002F69CF"/>
    <w:rsid w:val="002F7EA7"/>
    <w:rsid w:val="00311F05"/>
    <w:rsid w:val="00315CAD"/>
    <w:rsid w:val="00320E2E"/>
    <w:rsid w:val="00325D0E"/>
    <w:rsid w:val="00330854"/>
    <w:rsid w:val="00334630"/>
    <w:rsid w:val="00334BED"/>
    <w:rsid w:val="00335B22"/>
    <w:rsid w:val="00336F89"/>
    <w:rsid w:val="00340A3F"/>
    <w:rsid w:val="00342C9B"/>
    <w:rsid w:val="00343529"/>
    <w:rsid w:val="00346037"/>
    <w:rsid w:val="00346209"/>
    <w:rsid w:val="00347184"/>
    <w:rsid w:val="00357061"/>
    <w:rsid w:val="00361988"/>
    <w:rsid w:val="00362EED"/>
    <w:rsid w:val="00365632"/>
    <w:rsid w:val="003728E7"/>
    <w:rsid w:val="00373C5C"/>
    <w:rsid w:val="00376E13"/>
    <w:rsid w:val="0038019C"/>
    <w:rsid w:val="00381BA4"/>
    <w:rsid w:val="003850F2"/>
    <w:rsid w:val="003857AE"/>
    <w:rsid w:val="0038666F"/>
    <w:rsid w:val="0039043B"/>
    <w:rsid w:val="00391CF6"/>
    <w:rsid w:val="0039207F"/>
    <w:rsid w:val="0039370D"/>
    <w:rsid w:val="00397C1C"/>
    <w:rsid w:val="003A1D7D"/>
    <w:rsid w:val="003A40E8"/>
    <w:rsid w:val="003A4D69"/>
    <w:rsid w:val="003A5712"/>
    <w:rsid w:val="003A748E"/>
    <w:rsid w:val="003B6D36"/>
    <w:rsid w:val="003C00CA"/>
    <w:rsid w:val="003C3516"/>
    <w:rsid w:val="003C3B3D"/>
    <w:rsid w:val="003C6B42"/>
    <w:rsid w:val="003D00C5"/>
    <w:rsid w:val="003D021B"/>
    <w:rsid w:val="003D0D60"/>
    <w:rsid w:val="003D3654"/>
    <w:rsid w:val="003D51B3"/>
    <w:rsid w:val="003E1259"/>
    <w:rsid w:val="003E4A94"/>
    <w:rsid w:val="003E5D5D"/>
    <w:rsid w:val="003E7D15"/>
    <w:rsid w:val="003F12B2"/>
    <w:rsid w:val="00400DED"/>
    <w:rsid w:val="0040708E"/>
    <w:rsid w:val="00407935"/>
    <w:rsid w:val="004107CB"/>
    <w:rsid w:val="00412A66"/>
    <w:rsid w:val="00413D89"/>
    <w:rsid w:val="00417AFC"/>
    <w:rsid w:val="00424BDF"/>
    <w:rsid w:val="00426F41"/>
    <w:rsid w:val="004278D4"/>
    <w:rsid w:val="00440F0C"/>
    <w:rsid w:val="00443D91"/>
    <w:rsid w:val="00454F4F"/>
    <w:rsid w:val="004551AC"/>
    <w:rsid w:val="00455506"/>
    <w:rsid w:val="00457E93"/>
    <w:rsid w:val="00465CB8"/>
    <w:rsid w:val="00467131"/>
    <w:rsid w:val="0047381A"/>
    <w:rsid w:val="0048005E"/>
    <w:rsid w:val="00482B76"/>
    <w:rsid w:val="00484D5A"/>
    <w:rsid w:val="0048652E"/>
    <w:rsid w:val="00487617"/>
    <w:rsid w:val="00490378"/>
    <w:rsid w:val="00490C8A"/>
    <w:rsid w:val="004949B5"/>
    <w:rsid w:val="004A04AF"/>
    <w:rsid w:val="004A4C87"/>
    <w:rsid w:val="004B0588"/>
    <w:rsid w:val="004B4064"/>
    <w:rsid w:val="004C0E65"/>
    <w:rsid w:val="004C4D23"/>
    <w:rsid w:val="004C4FAE"/>
    <w:rsid w:val="004C7D26"/>
    <w:rsid w:val="004D0876"/>
    <w:rsid w:val="004D3A46"/>
    <w:rsid w:val="004D42AC"/>
    <w:rsid w:val="004D460C"/>
    <w:rsid w:val="004D4B0A"/>
    <w:rsid w:val="004E2B16"/>
    <w:rsid w:val="004E4FB9"/>
    <w:rsid w:val="004E6606"/>
    <w:rsid w:val="004E77F2"/>
    <w:rsid w:val="004F36D9"/>
    <w:rsid w:val="004F52DD"/>
    <w:rsid w:val="004F6242"/>
    <w:rsid w:val="00501ADB"/>
    <w:rsid w:val="005046D9"/>
    <w:rsid w:val="0051214F"/>
    <w:rsid w:val="00515CA3"/>
    <w:rsid w:val="005222AD"/>
    <w:rsid w:val="005243CF"/>
    <w:rsid w:val="00525165"/>
    <w:rsid w:val="005258BD"/>
    <w:rsid w:val="00532177"/>
    <w:rsid w:val="00532BC4"/>
    <w:rsid w:val="00533185"/>
    <w:rsid w:val="0053559C"/>
    <w:rsid w:val="005433BA"/>
    <w:rsid w:val="00546FCE"/>
    <w:rsid w:val="00550679"/>
    <w:rsid w:val="00553986"/>
    <w:rsid w:val="005558CD"/>
    <w:rsid w:val="00560373"/>
    <w:rsid w:val="00561183"/>
    <w:rsid w:val="00562AE7"/>
    <w:rsid w:val="00570E65"/>
    <w:rsid w:val="00573E58"/>
    <w:rsid w:val="005766A6"/>
    <w:rsid w:val="00584508"/>
    <w:rsid w:val="00587C73"/>
    <w:rsid w:val="00593476"/>
    <w:rsid w:val="005946B7"/>
    <w:rsid w:val="005A3198"/>
    <w:rsid w:val="005A4833"/>
    <w:rsid w:val="005A4E7B"/>
    <w:rsid w:val="005B2742"/>
    <w:rsid w:val="005B3AB9"/>
    <w:rsid w:val="005C0BC1"/>
    <w:rsid w:val="005C2BC6"/>
    <w:rsid w:val="005C4369"/>
    <w:rsid w:val="005C6B8B"/>
    <w:rsid w:val="005D296D"/>
    <w:rsid w:val="005D2DFF"/>
    <w:rsid w:val="005E1448"/>
    <w:rsid w:val="005E1AE4"/>
    <w:rsid w:val="005E3FB8"/>
    <w:rsid w:val="005E611A"/>
    <w:rsid w:val="005F2055"/>
    <w:rsid w:val="005F2D7E"/>
    <w:rsid w:val="005F3284"/>
    <w:rsid w:val="005F4188"/>
    <w:rsid w:val="006010A7"/>
    <w:rsid w:val="00601C5F"/>
    <w:rsid w:val="00602F4D"/>
    <w:rsid w:val="006033D0"/>
    <w:rsid w:val="00604185"/>
    <w:rsid w:val="00606583"/>
    <w:rsid w:val="00607F73"/>
    <w:rsid w:val="00613430"/>
    <w:rsid w:val="00617210"/>
    <w:rsid w:val="006217E3"/>
    <w:rsid w:val="00621CDC"/>
    <w:rsid w:val="00621F65"/>
    <w:rsid w:val="00630428"/>
    <w:rsid w:val="00633C31"/>
    <w:rsid w:val="00635E19"/>
    <w:rsid w:val="00637734"/>
    <w:rsid w:val="006536CC"/>
    <w:rsid w:val="0065757D"/>
    <w:rsid w:val="0066230A"/>
    <w:rsid w:val="006632AE"/>
    <w:rsid w:val="00672FFD"/>
    <w:rsid w:val="00674D72"/>
    <w:rsid w:val="006774EE"/>
    <w:rsid w:val="00682906"/>
    <w:rsid w:val="00683226"/>
    <w:rsid w:val="00684665"/>
    <w:rsid w:val="00685BB9"/>
    <w:rsid w:val="00686382"/>
    <w:rsid w:val="00686D71"/>
    <w:rsid w:val="00692354"/>
    <w:rsid w:val="00692531"/>
    <w:rsid w:val="0069483D"/>
    <w:rsid w:val="00694FEF"/>
    <w:rsid w:val="006952A9"/>
    <w:rsid w:val="006A019A"/>
    <w:rsid w:val="006A4537"/>
    <w:rsid w:val="006A50FC"/>
    <w:rsid w:val="006A5E82"/>
    <w:rsid w:val="006B0DEB"/>
    <w:rsid w:val="006B15A7"/>
    <w:rsid w:val="006B3355"/>
    <w:rsid w:val="006C00BD"/>
    <w:rsid w:val="006C36A6"/>
    <w:rsid w:val="006D2656"/>
    <w:rsid w:val="006D6173"/>
    <w:rsid w:val="006D64B0"/>
    <w:rsid w:val="006E7053"/>
    <w:rsid w:val="006E73B6"/>
    <w:rsid w:val="006F1CAF"/>
    <w:rsid w:val="006F58A8"/>
    <w:rsid w:val="006F6F3C"/>
    <w:rsid w:val="006F71E8"/>
    <w:rsid w:val="006F7202"/>
    <w:rsid w:val="00701178"/>
    <w:rsid w:val="00707007"/>
    <w:rsid w:val="00707DA9"/>
    <w:rsid w:val="007230DD"/>
    <w:rsid w:val="007259C1"/>
    <w:rsid w:val="007262FB"/>
    <w:rsid w:val="007272A0"/>
    <w:rsid w:val="00730760"/>
    <w:rsid w:val="0073105F"/>
    <w:rsid w:val="00737691"/>
    <w:rsid w:val="007408E3"/>
    <w:rsid w:val="007427B5"/>
    <w:rsid w:val="00742A2F"/>
    <w:rsid w:val="0074650F"/>
    <w:rsid w:val="00751B25"/>
    <w:rsid w:val="00751D6F"/>
    <w:rsid w:val="007567A7"/>
    <w:rsid w:val="00756FD1"/>
    <w:rsid w:val="00763229"/>
    <w:rsid w:val="007641CB"/>
    <w:rsid w:val="00771FF2"/>
    <w:rsid w:val="00773640"/>
    <w:rsid w:val="007743A2"/>
    <w:rsid w:val="00777981"/>
    <w:rsid w:val="00780B2C"/>
    <w:rsid w:val="00783361"/>
    <w:rsid w:val="00783CB3"/>
    <w:rsid w:val="00784C2A"/>
    <w:rsid w:val="007867E5"/>
    <w:rsid w:val="00790287"/>
    <w:rsid w:val="007931B3"/>
    <w:rsid w:val="00796E96"/>
    <w:rsid w:val="00797E89"/>
    <w:rsid w:val="007A0BBE"/>
    <w:rsid w:val="007A34C2"/>
    <w:rsid w:val="007A44D7"/>
    <w:rsid w:val="007B28DB"/>
    <w:rsid w:val="007B2DA1"/>
    <w:rsid w:val="007B3049"/>
    <w:rsid w:val="007B583D"/>
    <w:rsid w:val="007B67A4"/>
    <w:rsid w:val="007C4211"/>
    <w:rsid w:val="007C4216"/>
    <w:rsid w:val="007D1EF8"/>
    <w:rsid w:val="007D3E76"/>
    <w:rsid w:val="007D6CE8"/>
    <w:rsid w:val="007D7A61"/>
    <w:rsid w:val="007E2A42"/>
    <w:rsid w:val="007E41FB"/>
    <w:rsid w:val="007F1AFB"/>
    <w:rsid w:val="007F3C55"/>
    <w:rsid w:val="007F517E"/>
    <w:rsid w:val="0080071F"/>
    <w:rsid w:val="00805981"/>
    <w:rsid w:val="00807D3C"/>
    <w:rsid w:val="00807DC3"/>
    <w:rsid w:val="008102E6"/>
    <w:rsid w:val="00811894"/>
    <w:rsid w:val="00811A92"/>
    <w:rsid w:val="00812B37"/>
    <w:rsid w:val="00812EFC"/>
    <w:rsid w:val="00820CC6"/>
    <w:rsid w:val="00823436"/>
    <w:rsid w:val="00833DB8"/>
    <w:rsid w:val="00835073"/>
    <w:rsid w:val="00836897"/>
    <w:rsid w:val="008417F5"/>
    <w:rsid w:val="00850680"/>
    <w:rsid w:val="00854149"/>
    <w:rsid w:val="0085725D"/>
    <w:rsid w:val="0086009E"/>
    <w:rsid w:val="00860168"/>
    <w:rsid w:val="00860231"/>
    <w:rsid w:val="00860593"/>
    <w:rsid w:val="0086104C"/>
    <w:rsid w:val="00861BEA"/>
    <w:rsid w:val="00867FFA"/>
    <w:rsid w:val="008706DB"/>
    <w:rsid w:val="00874535"/>
    <w:rsid w:val="00875655"/>
    <w:rsid w:val="00876CB9"/>
    <w:rsid w:val="008770CA"/>
    <w:rsid w:val="00877E95"/>
    <w:rsid w:val="0088059F"/>
    <w:rsid w:val="00890BEF"/>
    <w:rsid w:val="00892ACC"/>
    <w:rsid w:val="00895740"/>
    <w:rsid w:val="008A1345"/>
    <w:rsid w:val="008A1B0D"/>
    <w:rsid w:val="008A6248"/>
    <w:rsid w:val="008B1F93"/>
    <w:rsid w:val="008B2E5C"/>
    <w:rsid w:val="008B4B6F"/>
    <w:rsid w:val="008B7F7B"/>
    <w:rsid w:val="008C7D3F"/>
    <w:rsid w:val="008D0AF2"/>
    <w:rsid w:val="008D45FA"/>
    <w:rsid w:val="008D58AB"/>
    <w:rsid w:val="008D58F8"/>
    <w:rsid w:val="008D6607"/>
    <w:rsid w:val="008D6FD7"/>
    <w:rsid w:val="008E02AE"/>
    <w:rsid w:val="008E33FD"/>
    <w:rsid w:val="008F018B"/>
    <w:rsid w:val="008F133A"/>
    <w:rsid w:val="008F1CA7"/>
    <w:rsid w:val="008F1CDD"/>
    <w:rsid w:val="008F35E2"/>
    <w:rsid w:val="008F6177"/>
    <w:rsid w:val="008F741C"/>
    <w:rsid w:val="008F7AFF"/>
    <w:rsid w:val="00902AB2"/>
    <w:rsid w:val="00904629"/>
    <w:rsid w:val="00906213"/>
    <w:rsid w:val="00906773"/>
    <w:rsid w:val="00912524"/>
    <w:rsid w:val="00913A22"/>
    <w:rsid w:val="00913B9E"/>
    <w:rsid w:val="00913FA6"/>
    <w:rsid w:val="00915B9D"/>
    <w:rsid w:val="00917370"/>
    <w:rsid w:val="009213A9"/>
    <w:rsid w:val="0093137A"/>
    <w:rsid w:val="00936853"/>
    <w:rsid w:val="00937650"/>
    <w:rsid w:val="00942E55"/>
    <w:rsid w:val="00950DBF"/>
    <w:rsid w:val="009551D8"/>
    <w:rsid w:val="00957CB8"/>
    <w:rsid w:val="009625F5"/>
    <w:rsid w:val="0096649E"/>
    <w:rsid w:val="00966C6C"/>
    <w:rsid w:val="0097075C"/>
    <w:rsid w:val="00971294"/>
    <w:rsid w:val="00973885"/>
    <w:rsid w:val="00973C83"/>
    <w:rsid w:val="00975C59"/>
    <w:rsid w:val="00976107"/>
    <w:rsid w:val="00976247"/>
    <w:rsid w:val="009804B5"/>
    <w:rsid w:val="00981015"/>
    <w:rsid w:val="00983965"/>
    <w:rsid w:val="00987E3A"/>
    <w:rsid w:val="00990FEA"/>
    <w:rsid w:val="009931CA"/>
    <w:rsid w:val="009953EF"/>
    <w:rsid w:val="00995BD2"/>
    <w:rsid w:val="00997E41"/>
    <w:rsid w:val="009A0C07"/>
    <w:rsid w:val="009A574F"/>
    <w:rsid w:val="009A7807"/>
    <w:rsid w:val="009B2B74"/>
    <w:rsid w:val="009C181B"/>
    <w:rsid w:val="009C480A"/>
    <w:rsid w:val="009D1927"/>
    <w:rsid w:val="009D2B83"/>
    <w:rsid w:val="009E108F"/>
    <w:rsid w:val="009E15AB"/>
    <w:rsid w:val="009E18C3"/>
    <w:rsid w:val="009E3F1F"/>
    <w:rsid w:val="009E44E1"/>
    <w:rsid w:val="009E4F96"/>
    <w:rsid w:val="009F008C"/>
    <w:rsid w:val="009F30C9"/>
    <w:rsid w:val="00A058E1"/>
    <w:rsid w:val="00A06CE4"/>
    <w:rsid w:val="00A123B3"/>
    <w:rsid w:val="00A1262D"/>
    <w:rsid w:val="00A13209"/>
    <w:rsid w:val="00A17809"/>
    <w:rsid w:val="00A21869"/>
    <w:rsid w:val="00A27FC4"/>
    <w:rsid w:val="00A355CD"/>
    <w:rsid w:val="00A44878"/>
    <w:rsid w:val="00A45746"/>
    <w:rsid w:val="00A46CF8"/>
    <w:rsid w:val="00A47C29"/>
    <w:rsid w:val="00A52B52"/>
    <w:rsid w:val="00A5394D"/>
    <w:rsid w:val="00A6072D"/>
    <w:rsid w:val="00A60A40"/>
    <w:rsid w:val="00A60D10"/>
    <w:rsid w:val="00A67CE0"/>
    <w:rsid w:val="00A7237A"/>
    <w:rsid w:val="00A759CA"/>
    <w:rsid w:val="00A80E33"/>
    <w:rsid w:val="00A81CF7"/>
    <w:rsid w:val="00A8211E"/>
    <w:rsid w:val="00A842F7"/>
    <w:rsid w:val="00A871BC"/>
    <w:rsid w:val="00A937F5"/>
    <w:rsid w:val="00A939CB"/>
    <w:rsid w:val="00A9606E"/>
    <w:rsid w:val="00AA06F8"/>
    <w:rsid w:val="00AA090E"/>
    <w:rsid w:val="00AA0A67"/>
    <w:rsid w:val="00AA411E"/>
    <w:rsid w:val="00AA57F2"/>
    <w:rsid w:val="00AA593B"/>
    <w:rsid w:val="00AA7B06"/>
    <w:rsid w:val="00AB104A"/>
    <w:rsid w:val="00AB1344"/>
    <w:rsid w:val="00AB272D"/>
    <w:rsid w:val="00AB6190"/>
    <w:rsid w:val="00AB7041"/>
    <w:rsid w:val="00AC0A72"/>
    <w:rsid w:val="00AC319D"/>
    <w:rsid w:val="00AD02BB"/>
    <w:rsid w:val="00AD0E52"/>
    <w:rsid w:val="00AD11DD"/>
    <w:rsid w:val="00AD1254"/>
    <w:rsid w:val="00AD6931"/>
    <w:rsid w:val="00AE3124"/>
    <w:rsid w:val="00AE670E"/>
    <w:rsid w:val="00AE718D"/>
    <w:rsid w:val="00AE7689"/>
    <w:rsid w:val="00B015DB"/>
    <w:rsid w:val="00B01E49"/>
    <w:rsid w:val="00B01FE9"/>
    <w:rsid w:val="00B0661B"/>
    <w:rsid w:val="00B13075"/>
    <w:rsid w:val="00B13BCF"/>
    <w:rsid w:val="00B1774F"/>
    <w:rsid w:val="00B25034"/>
    <w:rsid w:val="00B26154"/>
    <w:rsid w:val="00B27DEB"/>
    <w:rsid w:val="00B33D50"/>
    <w:rsid w:val="00B3610D"/>
    <w:rsid w:val="00B372F0"/>
    <w:rsid w:val="00B42B74"/>
    <w:rsid w:val="00B462D2"/>
    <w:rsid w:val="00B64060"/>
    <w:rsid w:val="00B65251"/>
    <w:rsid w:val="00B700A5"/>
    <w:rsid w:val="00B72CB9"/>
    <w:rsid w:val="00B730DD"/>
    <w:rsid w:val="00B7644D"/>
    <w:rsid w:val="00B778A2"/>
    <w:rsid w:val="00B83C26"/>
    <w:rsid w:val="00B87BC9"/>
    <w:rsid w:val="00B915CD"/>
    <w:rsid w:val="00B921EE"/>
    <w:rsid w:val="00B92617"/>
    <w:rsid w:val="00B94F60"/>
    <w:rsid w:val="00B959DF"/>
    <w:rsid w:val="00BA3691"/>
    <w:rsid w:val="00BA3CDD"/>
    <w:rsid w:val="00BA4F90"/>
    <w:rsid w:val="00BB22BA"/>
    <w:rsid w:val="00BB2BBC"/>
    <w:rsid w:val="00BB485C"/>
    <w:rsid w:val="00BB67B8"/>
    <w:rsid w:val="00BB7C07"/>
    <w:rsid w:val="00BC0430"/>
    <w:rsid w:val="00BC16EB"/>
    <w:rsid w:val="00BC17EA"/>
    <w:rsid w:val="00BC1D29"/>
    <w:rsid w:val="00BC49DF"/>
    <w:rsid w:val="00BD30F0"/>
    <w:rsid w:val="00BD358D"/>
    <w:rsid w:val="00BD7655"/>
    <w:rsid w:val="00BE2172"/>
    <w:rsid w:val="00BE24FE"/>
    <w:rsid w:val="00BE28B7"/>
    <w:rsid w:val="00BE4ACB"/>
    <w:rsid w:val="00BE7546"/>
    <w:rsid w:val="00BF2980"/>
    <w:rsid w:val="00BF2B6B"/>
    <w:rsid w:val="00BF789A"/>
    <w:rsid w:val="00C01DF3"/>
    <w:rsid w:val="00C05042"/>
    <w:rsid w:val="00C0711A"/>
    <w:rsid w:val="00C10EDA"/>
    <w:rsid w:val="00C119CE"/>
    <w:rsid w:val="00C11C2A"/>
    <w:rsid w:val="00C12927"/>
    <w:rsid w:val="00C16394"/>
    <w:rsid w:val="00C16BD6"/>
    <w:rsid w:val="00C210AD"/>
    <w:rsid w:val="00C22CE0"/>
    <w:rsid w:val="00C231C6"/>
    <w:rsid w:val="00C27138"/>
    <w:rsid w:val="00C27D76"/>
    <w:rsid w:val="00C27F11"/>
    <w:rsid w:val="00C312C7"/>
    <w:rsid w:val="00C35CA4"/>
    <w:rsid w:val="00C403CD"/>
    <w:rsid w:val="00C41C13"/>
    <w:rsid w:val="00C4270A"/>
    <w:rsid w:val="00C43CAF"/>
    <w:rsid w:val="00C43DC9"/>
    <w:rsid w:val="00C54D37"/>
    <w:rsid w:val="00C575E5"/>
    <w:rsid w:val="00C61ED7"/>
    <w:rsid w:val="00C642C5"/>
    <w:rsid w:val="00C64BE2"/>
    <w:rsid w:val="00C720D2"/>
    <w:rsid w:val="00C724B4"/>
    <w:rsid w:val="00C84D94"/>
    <w:rsid w:val="00C85472"/>
    <w:rsid w:val="00C92536"/>
    <w:rsid w:val="00CA1A04"/>
    <w:rsid w:val="00CA4404"/>
    <w:rsid w:val="00CA4E85"/>
    <w:rsid w:val="00CA64F1"/>
    <w:rsid w:val="00CA66CB"/>
    <w:rsid w:val="00CA7968"/>
    <w:rsid w:val="00CA7D7B"/>
    <w:rsid w:val="00CB35EF"/>
    <w:rsid w:val="00CB6770"/>
    <w:rsid w:val="00CC03D8"/>
    <w:rsid w:val="00CC25A2"/>
    <w:rsid w:val="00CC5D10"/>
    <w:rsid w:val="00CD67D0"/>
    <w:rsid w:val="00CD6AEB"/>
    <w:rsid w:val="00CE33F4"/>
    <w:rsid w:val="00CE7D62"/>
    <w:rsid w:val="00CF18EB"/>
    <w:rsid w:val="00CF1AA9"/>
    <w:rsid w:val="00CF4517"/>
    <w:rsid w:val="00CF6508"/>
    <w:rsid w:val="00D10E85"/>
    <w:rsid w:val="00D146B0"/>
    <w:rsid w:val="00D14AC4"/>
    <w:rsid w:val="00D15B9A"/>
    <w:rsid w:val="00D15FB2"/>
    <w:rsid w:val="00D25E4D"/>
    <w:rsid w:val="00D25F0F"/>
    <w:rsid w:val="00D2778E"/>
    <w:rsid w:val="00D27A01"/>
    <w:rsid w:val="00D34DF4"/>
    <w:rsid w:val="00D4128E"/>
    <w:rsid w:val="00D447AC"/>
    <w:rsid w:val="00D47500"/>
    <w:rsid w:val="00D50563"/>
    <w:rsid w:val="00D54914"/>
    <w:rsid w:val="00D55941"/>
    <w:rsid w:val="00D55D8D"/>
    <w:rsid w:val="00D6126F"/>
    <w:rsid w:val="00D6231F"/>
    <w:rsid w:val="00D65AB1"/>
    <w:rsid w:val="00D65AF8"/>
    <w:rsid w:val="00D66571"/>
    <w:rsid w:val="00D665DB"/>
    <w:rsid w:val="00D67C0B"/>
    <w:rsid w:val="00D70486"/>
    <w:rsid w:val="00D720AD"/>
    <w:rsid w:val="00D7316D"/>
    <w:rsid w:val="00D73B34"/>
    <w:rsid w:val="00D75203"/>
    <w:rsid w:val="00D8140F"/>
    <w:rsid w:val="00D82EBD"/>
    <w:rsid w:val="00D83D85"/>
    <w:rsid w:val="00D907F1"/>
    <w:rsid w:val="00D919F9"/>
    <w:rsid w:val="00D9251E"/>
    <w:rsid w:val="00D939D3"/>
    <w:rsid w:val="00DA040A"/>
    <w:rsid w:val="00DA4855"/>
    <w:rsid w:val="00DB156E"/>
    <w:rsid w:val="00DC6F33"/>
    <w:rsid w:val="00DC6F6F"/>
    <w:rsid w:val="00DC7531"/>
    <w:rsid w:val="00DD0BB3"/>
    <w:rsid w:val="00DD1012"/>
    <w:rsid w:val="00DD28EA"/>
    <w:rsid w:val="00DD5B7B"/>
    <w:rsid w:val="00DE2722"/>
    <w:rsid w:val="00DE4462"/>
    <w:rsid w:val="00DF6D98"/>
    <w:rsid w:val="00E001DB"/>
    <w:rsid w:val="00E15260"/>
    <w:rsid w:val="00E153F0"/>
    <w:rsid w:val="00E2112F"/>
    <w:rsid w:val="00E2362E"/>
    <w:rsid w:val="00E25A77"/>
    <w:rsid w:val="00E2702F"/>
    <w:rsid w:val="00E35E20"/>
    <w:rsid w:val="00E36D9A"/>
    <w:rsid w:val="00E51573"/>
    <w:rsid w:val="00E5239B"/>
    <w:rsid w:val="00E56A37"/>
    <w:rsid w:val="00E60762"/>
    <w:rsid w:val="00E6213D"/>
    <w:rsid w:val="00E64EE7"/>
    <w:rsid w:val="00E70A3F"/>
    <w:rsid w:val="00E7477F"/>
    <w:rsid w:val="00E81212"/>
    <w:rsid w:val="00E8179F"/>
    <w:rsid w:val="00E821BF"/>
    <w:rsid w:val="00E82A89"/>
    <w:rsid w:val="00E84BA6"/>
    <w:rsid w:val="00E8596F"/>
    <w:rsid w:val="00E93639"/>
    <w:rsid w:val="00E937F4"/>
    <w:rsid w:val="00E94A59"/>
    <w:rsid w:val="00E957E6"/>
    <w:rsid w:val="00EA04CD"/>
    <w:rsid w:val="00EA0759"/>
    <w:rsid w:val="00EB0241"/>
    <w:rsid w:val="00EB1D0C"/>
    <w:rsid w:val="00EB3234"/>
    <w:rsid w:val="00EB46F8"/>
    <w:rsid w:val="00EC08E5"/>
    <w:rsid w:val="00EC3CCA"/>
    <w:rsid w:val="00EC4906"/>
    <w:rsid w:val="00ED1F25"/>
    <w:rsid w:val="00ED3AC2"/>
    <w:rsid w:val="00ED44A4"/>
    <w:rsid w:val="00ED6734"/>
    <w:rsid w:val="00EE2947"/>
    <w:rsid w:val="00EE6E07"/>
    <w:rsid w:val="00F03E22"/>
    <w:rsid w:val="00F1021F"/>
    <w:rsid w:val="00F10E7B"/>
    <w:rsid w:val="00F1255B"/>
    <w:rsid w:val="00F14D46"/>
    <w:rsid w:val="00F201F4"/>
    <w:rsid w:val="00F26F18"/>
    <w:rsid w:val="00F300F9"/>
    <w:rsid w:val="00F326D3"/>
    <w:rsid w:val="00F32F5D"/>
    <w:rsid w:val="00F34E7C"/>
    <w:rsid w:val="00F37911"/>
    <w:rsid w:val="00F55B92"/>
    <w:rsid w:val="00F57761"/>
    <w:rsid w:val="00F57FC9"/>
    <w:rsid w:val="00F645D2"/>
    <w:rsid w:val="00F70DB9"/>
    <w:rsid w:val="00F740A8"/>
    <w:rsid w:val="00F7616C"/>
    <w:rsid w:val="00F77958"/>
    <w:rsid w:val="00F8172F"/>
    <w:rsid w:val="00F81AD4"/>
    <w:rsid w:val="00F84D0D"/>
    <w:rsid w:val="00F87C25"/>
    <w:rsid w:val="00F93EB6"/>
    <w:rsid w:val="00F96D88"/>
    <w:rsid w:val="00F975E3"/>
    <w:rsid w:val="00FA05AD"/>
    <w:rsid w:val="00FA0684"/>
    <w:rsid w:val="00FB3AE8"/>
    <w:rsid w:val="00FB4508"/>
    <w:rsid w:val="00FC1D19"/>
    <w:rsid w:val="00FC3EFC"/>
    <w:rsid w:val="00FC705B"/>
    <w:rsid w:val="00FD48CA"/>
    <w:rsid w:val="00FE3063"/>
    <w:rsid w:val="00FE3AAB"/>
    <w:rsid w:val="00FE7FC0"/>
    <w:rsid w:val="00FF03EA"/>
    <w:rsid w:val="00FF1CEA"/>
    <w:rsid w:val="00FF286B"/>
    <w:rsid w:val="00FF2D45"/>
    <w:rsid w:val="00FF3375"/>
    <w:rsid w:val="00FF66F9"/>
    <w:rsid w:val="00FF6FD0"/>
    <w:rsid w:val="01437220"/>
    <w:rsid w:val="0313544C"/>
    <w:rsid w:val="0320478A"/>
    <w:rsid w:val="069468A4"/>
    <w:rsid w:val="095A5B83"/>
    <w:rsid w:val="099948FD"/>
    <w:rsid w:val="0A4800D1"/>
    <w:rsid w:val="0FAD60D6"/>
    <w:rsid w:val="10817E99"/>
    <w:rsid w:val="12131B92"/>
    <w:rsid w:val="127656ED"/>
    <w:rsid w:val="14102F35"/>
    <w:rsid w:val="1B5B0982"/>
    <w:rsid w:val="20633783"/>
    <w:rsid w:val="20AB2536"/>
    <w:rsid w:val="22D16A5E"/>
    <w:rsid w:val="247D728E"/>
    <w:rsid w:val="27367074"/>
    <w:rsid w:val="2F7B1283"/>
    <w:rsid w:val="301D32E3"/>
    <w:rsid w:val="30762D9B"/>
    <w:rsid w:val="320E7C6F"/>
    <w:rsid w:val="34F0546A"/>
    <w:rsid w:val="373F3530"/>
    <w:rsid w:val="38E075A3"/>
    <w:rsid w:val="3A5F2B53"/>
    <w:rsid w:val="3E502AD5"/>
    <w:rsid w:val="421A678E"/>
    <w:rsid w:val="488F1214"/>
    <w:rsid w:val="4C697C72"/>
    <w:rsid w:val="4F381A8F"/>
    <w:rsid w:val="523E6CC4"/>
    <w:rsid w:val="525D5C4C"/>
    <w:rsid w:val="53A92F5C"/>
    <w:rsid w:val="5BE01FE7"/>
    <w:rsid w:val="5FE6384F"/>
    <w:rsid w:val="609D0103"/>
    <w:rsid w:val="62411979"/>
    <w:rsid w:val="69441411"/>
    <w:rsid w:val="6D4517FD"/>
    <w:rsid w:val="732D2E0A"/>
    <w:rsid w:val="7766706E"/>
    <w:rsid w:val="77D95B0B"/>
    <w:rsid w:val="7F87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autoRedefine/>
    <w:qFormat/>
    <w:uiPriority w:val="0"/>
  </w:style>
  <w:style w:type="paragraph" w:styleId="12">
    <w:name w:val="toc 6"/>
    <w:basedOn w:val="13"/>
    <w:next w:val="1"/>
    <w:autoRedefine/>
    <w:qFormat/>
    <w:uiPriority w:val="0"/>
  </w:style>
  <w:style w:type="paragraph" w:styleId="13">
    <w:name w:val="toc 5"/>
    <w:basedOn w:val="14"/>
    <w:next w:val="1"/>
    <w:autoRedefine/>
    <w:qFormat/>
    <w:uiPriority w:val="0"/>
  </w:style>
  <w:style w:type="paragraph" w:styleId="14">
    <w:name w:val="toc 4"/>
    <w:basedOn w:val="15"/>
    <w:next w:val="1"/>
    <w:autoRedefine/>
    <w:qFormat/>
    <w:uiPriority w:val="0"/>
  </w:style>
  <w:style w:type="paragraph" w:styleId="15">
    <w:name w:val="toc 3"/>
    <w:basedOn w:val="16"/>
    <w:next w:val="1"/>
    <w:autoRedefine/>
    <w:qFormat/>
    <w:uiPriority w:val="0"/>
  </w:style>
  <w:style w:type="paragraph" w:styleId="16">
    <w:name w:val="toc 2"/>
    <w:basedOn w:val="17"/>
    <w:next w:val="1"/>
    <w:autoRedefine/>
    <w:qFormat/>
    <w:uiPriority w:val="0"/>
  </w:style>
  <w:style w:type="paragraph" w:styleId="17">
    <w:name w:val="toc 1"/>
    <w:next w:val="1"/>
    <w:autoRedefine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Document Map"/>
    <w:basedOn w:val="1"/>
    <w:link w:val="118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9">
    <w:name w:val="annotation text"/>
    <w:basedOn w:val="1"/>
    <w:link w:val="119"/>
    <w:autoRedefine/>
    <w:semiHidden/>
    <w:unhideWhenUsed/>
    <w:qFormat/>
    <w:uiPriority w:val="99"/>
    <w:pPr>
      <w:jc w:val="left"/>
    </w:pPr>
  </w:style>
  <w:style w:type="paragraph" w:styleId="20">
    <w:name w:val="Body Text"/>
    <w:basedOn w:val="1"/>
    <w:link w:val="124"/>
    <w:autoRedefine/>
    <w:qFormat/>
    <w:uiPriority w:val="99"/>
    <w:pPr>
      <w:jc w:val="left"/>
    </w:pPr>
    <w:rPr>
      <w:rFonts w:ascii="宋体" w:cs="宋体"/>
      <w:kern w:val="0"/>
      <w:sz w:val="20"/>
      <w:szCs w:val="20"/>
      <w:lang w:val="zh-CN"/>
    </w:rPr>
  </w:style>
  <w:style w:type="paragraph" w:styleId="21">
    <w:name w:val="HTML Address"/>
    <w:basedOn w:val="1"/>
    <w:autoRedefine/>
    <w:qFormat/>
    <w:uiPriority w:val="0"/>
    <w:rPr>
      <w:i/>
      <w:iCs/>
    </w:rPr>
  </w:style>
  <w:style w:type="paragraph" w:styleId="22">
    <w:name w:val="Plain Text"/>
    <w:basedOn w:val="1"/>
    <w:link w:val="115"/>
    <w:autoRedefine/>
    <w:qFormat/>
    <w:uiPriority w:val="0"/>
    <w:rPr>
      <w:rFonts w:ascii="宋体" w:hAnsi="Courier New"/>
      <w:szCs w:val="20"/>
    </w:rPr>
  </w:style>
  <w:style w:type="paragraph" w:styleId="23">
    <w:name w:val="toc 8"/>
    <w:basedOn w:val="11"/>
    <w:next w:val="1"/>
    <w:autoRedefine/>
    <w:qFormat/>
    <w:uiPriority w:val="0"/>
  </w:style>
  <w:style w:type="paragraph" w:styleId="24">
    <w:name w:val="Date"/>
    <w:basedOn w:val="1"/>
    <w:next w:val="1"/>
    <w:link w:val="121"/>
    <w:autoRedefine/>
    <w:semiHidden/>
    <w:unhideWhenUsed/>
    <w:qFormat/>
    <w:uiPriority w:val="99"/>
    <w:pPr>
      <w:ind w:left="100" w:leftChars="2500"/>
    </w:pPr>
  </w:style>
  <w:style w:type="paragraph" w:styleId="25">
    <w:name w:val="Balloon Text"/>
    <w:basedOn w:val="1"/>
    <w:link w:val="114"/>
    <w:autoRedefine/>
    <w:semiHidden/>
    <w:unhideWhenUsed/>
    <w:qFormat/>
    <w:uiPriority w:val="99"/>
    <w:rPr>
      <w:sz w:val="18"/>
      <w:szCs w:val="18"/>
    </w:rPr>
  </w:style>
  <w:style w:type="paragraph" w:styleId="26">
    <w:name w:val="footer"/>
    <w:basedOn w:val="1"/>
    <w:link w:val="53"/>
    <w:autoRedefine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7">
    <w:name w:val="header"/>
    <w:basedOn w:val="1"/>
    <w:link w:val="5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29">
    <w:name w:val="toc 9"/>
    <w:basedOn w:val="23"/>
    <w:next w:val="1"/>
    <w:autoRedefine/>
    <w:qFormat/>
    <w:uiPriority w:val="0"/>
  </w:style>
  <w:style w:type="paragraph" w:styleId="30">
    <w:name w:val="HTML Preformatted"/>
    <w:basedOn w:val="1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3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3">
    <w:name w:val="annotation subject"/>
    <w:basedOn w:val="19"/>
    <w:next w:val="19"/>
    <w:link w:val="120"/>
    <w:autoRedefine/>
    <w:semiHidden/>
    <w:unhideWhenUsed/>
    <w:qFormat/>
    <w:uiPriority w:val="99"/>
    <w:rPr>
      <w:b/>
      <w:bCs/>
    </w:rPr>
  </w:style>
  <w:style w:type="table" w:styleId="35">
    <w:name w:val="Table Grid"/>
    <w:basedOn w:val="34"/>
    <w:autoRedefine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7">
    <w:name w:val="page number"/>
    <w:autoRedefine/>
    <w:qFormat/>
    <w:uiPriority w:val="0"/>
    <w:rPr>
      <w:rFonts w:ascii="Times New Roman" w:hAnsi="Times New Roman" w:eastAsia="宋体"/>
      <w:sz w:val="18"/>
    </w:rPr>
  </w:style>
  <w:style w:type="character" w:styleId="38">
    <w:name w:val="HTML Definition"/>
    <w:autoRedefine/>
    <w:qFormat/>
    <w:uiPriority w:val="0"/>
    <w:rPr>
      <w:i/>
      <w:iCs/>
    </w:rPr>
  </w:style>
  <w:style w:type="character" w:styleId="39">
    <w:name w:val="HTML Typewriter"/>
    <w:autoRedefine/>
    <w:qFormat/>
    <w:uiPriority w:val="0"/>
    <w:rPr>
      <w:rFonts w:ascii="Courier New" w:hAnsi="Courier New"/>
      <w:sz w:val="20"/>
      <w:szCs w:val="20"/>
    </w:rPr>
  </w:style>
  <w:style w:type="character" w:styleId="40">
    <w:name w:val="HTML Acronym"/>
    <w:basedOn w:val="36"/>
    <w:autoRedefine/>
    <w:qFormat/>
    <w:uiPriority w:val="0"/>
  </w:style>
  <w:style w:type="character" w:styleId="41">
    <w:name w:val="HTML Variable"/>
    <w:qFormat/>
    <w:uiPriority w:val="0"/>
    <w:rPr>
      <w:i/>
      <w:iCs/>
    </w:rPr>
  </w:style>
  <w:style w:type="character" w:styleId="42">
    <w:name w:val="Hyperlink"/>
    <w:autoRedefine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3">
    <w:name w:val="HTML Code"/>
    <w:autoRedefine/>
    <w:qFormat/>
    <w:uiPriority w:val="0"/>
    <w:rPr>
      <w:rFonts w:ascii="Courier New" w:hAnsi="Courier New"/>
      <w:sz w:val="20"/>
      <w:szCs w:val="20"/>
    </w:rPr>
  </w:style>
  <w:style w:type="character" w:styleId="44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styleId="45">
    <w:name w:val="HTML Cite"/>
    <w:autoRedefine/>
    <w:qFormat/>
    <w:uiPriority w:val="0"/>
    <w:rPr>
      <w:i/>
      <w:iCs/>
    </w:rPr>
  </w:style>
  <w:style w:type="character" w:styleId="46">
    <w:name w:val="footnote reference"/>
    <w:autoRedefine/>
    <w:qFormat/>
    <w:uiPriority w:val="0"/>
    <w:rPr>
      <w:vertAlign w:val="superscript"/>
    </w:rPr>
  </w:style>
  <w:style w:type="character" w:styleId="47">
    <w:name w:val="HTML Keyboard"/>
    <w:autoRedefine/>
    <w:qFormat/>
    <w:uiPriority w:val="0"/>
    <w:rPr>
      <w:rFonts w:ascii="Courier New" w:hAnsi="Courier New"/>
      <w:sz w:val="20"/>
      <w:szCs w:val="20"/>
    </w:rPr>
  </w:style>
  <w:style w:type="character" w:styleId="48">
    <w:name w:val="HTML Sample"/>
    <w:autoRedefine/>
    <w:qFormat/>
    <w:uiPriority w:val="0"/>
    <w:rPr>
      <w:rFonts w:ascii="Courier New" w:hAnsi="Courier New"/>
    </w:rPr>
  </w:style>
  <w:style w:type="character" w:customStyle="1" w:styleId="49">
    <w:name w:val="个人答复风格"/>
    <w:autoRedefine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0">
    <w:name w:val="发布"/>
    <w:autoRedefine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51">
    <w:name w:val="个人撰写风格"/>
    <w:autoRedefine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2">
    <w:name w:val="style11"/>
    <w:autoRedefine/>
    <w:qFormat/>
    <w:uiPriority w:val="0"/>
    <w:rPr>
      <w:sz w:val="27"/>
      <w:szCs w:val="27"/>
    </w:rPr>
  </w:style>
  <w:style w:type="character" w:customStyle="1" w:styleId="53">
    <w:name w:val="页脚 字符"/>
    <w:link w:val="26"/>
    <w:autoRedefine/>
    <w:qFormat/>
    <w:uiPriority w:val="99"/>
    <w:rPr>
      <w:kern w:val="2"/>
      <w:sz w:val="18"/>
      <w:szCs w:val="18"/>
    </w:rPr>
  </w:style>
  <w:style w:type="character" w:customStyle="1" w:styleId="54">
    <w:name w:val="页眉 字符"/>
    <w:link w:val="27"/>
    <w:autoRedefine/>
    <w:qFormat/>
    <w:uiPriority w:val="99"/>
    <w:rPr>
      <w:kern w:val="2"/>
      <w:sz w:val="18"/>
      <w:szCs w:val="18"/>
    </w:rPr>
  </w:style>
  <w:style w:type="paragraph" w:customStyle="1" w:styleId="55">
    <w:name w:val="四级无标题条"/>
    <w:basedOn w:val="1"/>
    <w:autoRedefine/>
    <w:qFormat/>
    <w:uiPriority w:val="0"/>
    <w:pPr>
      <w:numPr>
        <w:ilvl w:val="5"/>
        <w:numId w:val="1"/>
      </w:numPr>
    </w:pPr>
  </w:style>
  <w:style w:type="paragraph" w:customStyle="1" w:styleId="56">
    <w:name w:val="注："/>
    <w:next w:val="57"/>
    <w:autoRedefine/>
    <w:qFormat/>
    <w:uiPriority w:val="0"/>
    <w:pPr>
      <w:widowControl w:val="0"/>
      <w:numPr>
        <w:ilvl w:val="0"/>
        <w:numId w:val="2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7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9">
    <w:name w:val="实施日期"/>
    <w:basedOn w:val="60"/>
    <w:autoRedefine/>
    <w:qFormat/>
    <w:uiPriority w:val="0"/>
    <w:pPr>
      <w:jc w:val="right"/>
    </w:pPr>
  </w:style>
  <w:style w:type="paragraph" w:customStyle="1" w:styleId="60">
    <w:name w:val="发布日期"/>
    <w:autoRedefine/>
    <w:qFormat/>
    <w:uiPriority w:val="0"/>
    <w:pPr>
      <w:jc w:val="both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1">
    <w:name w:val="附录二级条标题"/>
    <w:basedOn w:val="62"/>
    <w:next w:val="57"/>
    <w:autoRedefine/>
    <w:qFormat/>
    <w:uiPriority w:val="0"/>
    <w:pPr>
      <w:numPr>
        <w:ilvl w:val="3"/>
      </w:numPr>
      <w:outlineLvl w:val="3"/>
    </w:pPr>
  </w:style>
  <w:style w:type="paragraph" w:customStyle="1" w:styleId="62">
    <w:name w:val="附录一级条标题"/>
    <w:basedOn w:val="63"/>
    <w:next w:val="57"/>
    <w:autoRedefine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63">
    <w:name w:val="附录章标题"/>
    <w:next w:val="57"/>
    <w:autoRedefine/>
    <w:qFormat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4">
    <w:name w:val="字母编号列项（一级）"/>
    <w:autoRedefine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三级条标题"/>
    <w:basedOn w:val="66"/>
    <w:next w:val="57"/>
    <w:autoRedefine/>
    <w:qFormat/>
    <w:uiPriority w:val="0"/>
    <w:pPr>
      <w:numPr>
        <w:ilvl w:val="4"/>
      </w:numPr>
      <w:outlineLvl w:val="4"/>
    </w:pPr>
  </w:style>
  <w:style w:type="paragraph" w:customStyle="1" w:styleId="66">
    <w:name w:val="二级条标题"/>
    <w:basedOn w:val="67"/>
    <w:next w:val="57"/>
    <w:autoRedefine/>
    <w:qFormat/>
    <w:uiPriority w:val="0"/>
    <w:pPr>
      <w:numPr>
        <w:ilvl w:val="3"/>
      </w:numPr>
      <w:outlineLvl w:val="3"/>
    </w:pPr>
  </w:style>
  <w:style w:type="paragraph" w:customStyle="1" w:styleId="67">
    <w:name w:val="一级条标题"/>
    <w:basedOn w:val="68"/>
    <w:next w:val="57"/>
    <w:autoRedefine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68">
    <w:name w:val="章标题"/>
    <w:next w:val="57"/>
    <w:autoRedefine/>
    <w:qFormat/>
    <w:uiPriority w:val="0"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9">
    <w:name w:val="标准标志"/>
    <w:next w:val="1"/>
    <w:autoRedefine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70">
    <w:name w:val="封面标准号2"/>
    <w:basedOn w:val="71"/>
    <w:autoRedefine/>
    <w:qFormat/>
    <w:uiPriority w:val="0"/>
    <w:pPr>
      <w:adjustRightInd w:val="0"/>
      <w:spacing w:before="357" w:line="280" w:lineRule="exact"/>
    </w:pPr>
  </w:style>
  <w:style w:type="paragraph" w:customStyle="1" w:styleId="71">
    <w:name w:val="封面标准号1"/>
    <w:autoRedefine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2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列项——"/>
    <w:autoRedefine/>
    <w:qFormat/>
    <w:uiPriority w:val="0"/>
    <w:pPr>
      <w:widowControl w:val="0"/>
      <w:numPr>
        <w:ilvl w:val="0"/>
        <w:numId w:val="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前言、引言标题"/>
    <w:next w:val="1"/>
    <w:autoRedefine/>
    <w:qFormat/>
    <w:uiPriority w:val="0"/>
    <w:pPr>
      <w:numPr>
        <w:ilvl w:val="0"/>
        <w:numId w:val="4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5">
    <w:name w:val="附录表标题"/>
    <w:next w:val="57"/>
    <w:autoRedefine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6">
    <w:name w:val="无标题条"/>
    <w:next w:val="57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7">
    <w:name w:val="四级条标题"/>
    <w:basedOn w:val="65"/>
    <w:next w:val="57"/>
    <w:autoRedefine/>
    <w:qFormat/>
    <w:uiPriority w:val="0"/>
    <w:pPr>
      <w:numPr>
        <w:ilvl w:val="5"/>
      </w:numPr>
      <w:outlineLvl w:val="5"/>
    </w:pPr>
  </w:style>
  <w:style w:type="paragraph" w:customStyle="1" w:styleId="78">
    <w:name w:val="标准书眉一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9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0">
    <w:name w:val="标准称谓"/>
    <w:next w:val="1"/>
    <w:autoRedefine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81">
    <w:name w:val="标准书眉_偶数页"/>
    <w:basedOn w:val="79"/>
    <w:next w:val="1"/>
    <w:autoRedefine/>
    <w:qFormat/>
    <w:uiPriority w:val="0"/>
    <w:pPr>
      <w:jc w:val="left"/>
    </w:pPr>
  </w:style>
  <w:style w:type="paragraph" w:customStyle="1" w:styleId="82">
    <w:name w:val="列项·"/>
    <w:autoRedefine/>
    <w:qFormat/>
    <w:uiPriority w:val="0"/>
    <w:pPr>
      <w:numPr>
        <w:ilvl w:val="0"/>
        <w:numId w:val="6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封面标准名称"/>
    <w:autoRedefine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4">
    <w:name w:val="附录三级条标题"/>
    <w:basedOn w:val="61"/>
    <w:next w:val="57"/>
    <w:autoRedefine/>
    <w:qFormat/>
    <w:uiPriority w:val="0"/>
    <w:pPr>
      <w:numPr>
        <w:ilvl w:val="4"/>
      </w:numPr>
      <w:outlineLvl w:val="4"/>
    </w:pPr>
  </w:style>
  <w:style w:type="paragraph" w:customStyle="1" w:styleId="85">
    <w:name w:val="示例"/>
    <w:next w:val="57"/>
    <w:autoRedefine/>
    <w:qFormat/>
    <w:uiPriority w:val="0"/>
    <w:pPr>
      <w:numPr>
        <w:ilvl w:val="0"/>
        <w:numId w:val="7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6">
    <w:name w:val="数字编号列项（二级）"/>
    <w:autoRedefine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7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8">
    <w:name w:val="图表脚注"/>
    <w:next w:val="57"/>
    <w:autoRedefine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9">
    <w:name w:val="封面一致性程度标识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90">
    <w:name w:val="附录标识"/>
    <w:basedOn w:val="74"/>
    <w:autoRedefine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91">
    <w:name w:val="封面标准文稿类别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92">
    <w:name w:val="文献分类号"/>
    <w:autoRedefine/>
    <w:qFormat/>
    <w:uiPriority w:val="0"/>
    <w:pPr>
      <w:widowControl w:val="0"/>
      <w:jc w:val="both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3">
    <w:name w:val="正文表标题"/>
    <w:next w:val="57"/>
    <w:autoRedefine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4">
    <w:name w:val="附录四级条标题"/>
    <w:basedOn w:val="84"/>
    <w:next w:val="57"/>
    <w:autoRedefine/>
    <w:qFormat/>
    <w:uiPriority w:val="0"/>
    <w:pPr>
      <w:numPr>
        <w:ilvl w:val="5"/>
      </w:numPr>
      <w:outlineLvl w:val="5"/>
    </w:pPr>
  </w:style>
  <w:style w:type="paragraph" w:customStyle="1" w:styleId="95">
    <w:name w:val="一级无标题条"/>
    <w:basedOn w:val="1"/>
    <w:autoRedefine/>
    <w:qFormat/>
    <w:uiPriority w:val="0"/>
    <w:pPr>
      <w:numPr>
        <w:ilvl w:val="2"/>
        <w:numId w:val="1"/>
      </w:numPr>
    </w:pPr>
  </w:style>
  <w:style w:type="paragraph" w:customStyle="1" w:styleId="96">
    <w:name w:val="五级无标题条"/>
    <w:basedOn w:val="1"/>
    <w:autoRedefine/>
    <w:qFormat/>
    <w:uiPriority w:val="0"/>
    <w:pPr>
      <w:numPr>
        <w:ilvl w:val="6"/>
        <w:numId w:val="1"/>
      </w:numPr>
    </w:pPr>
  </w:style>
  <w:style w:type="paragraph" w:customStyle="1" w:styleId="97">
    <w:name w:val="附录图标题"/>
    <w:next w:val="57"/>
    <w:autoRedefine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8">
    <w:name w:val="封面正文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9">
    <w:name w:val="标准书脚_偶数页"/>
    <w:autoRedefine/>
    <w:qFormat/>
    <w:uiPriority w:val="0"/>
    <w:pPr>
      <w:spacing w:before="120"/>
      <w:jc w:val="both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0">
    <w:name w:val="目次、索引正文"/>
    <w:autoRedefine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三级无标题条"/>
    <w:basedOn w:val="1"/>
    <w:autoRedefine/>
    <w:qFormat/>
    <w:uiPriority w:val="0"/>
    <w:pPr>
      <w:numPr>
        <w:ilvl w:val="4"/>
        <w:numId w:val="1"/>
      </w:numPr>
    </w:pPr>
  </w:style>
  <w:style w:type="paragraph" w:customStyle="1" w:styleId="102">
    <w:name w:val="条文脚注"/>
    <w:basedOn w:val="28"/>
    <w:autoRedefine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03">
    <w:name w:val="附录五级条标题"/>
    <w:basedOn w:val="94"/>
    <w:next w:val="57"/>
    <w:autoRedefine/>
    <w:qFormat/>
    <w:uiPriority w:val="0"/>
    <w:pPr>
      <w:numPr>
        <w:ilvl w:val="6"/>
      </w:numPr>
      <w:outlineLvl w:val="6"/>
    </w:pPr>
  </w:style>
  <w:style w:type="paragraph" w:customStyle="1" w:styleId="104">
    <w:name w:val="其他发布部门"/>
    <w:basedOn w:val="105"/>
    <w:autoRedefine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05">
    <w:name w:val="发布部门"/>
    <w:next w:val="57"/>
    <w:autoRedefine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06">
    <w:name w:val="五级条标题"/>
    <w:basedOn w:val="77"/>
    <w:next w:val="57"/>
    <w:autoRedefine/>
    <w:qFormat/>
    <w:uiPriority w:val="0"/>
    <w:pPr>
      <w:numPr>
        <w:ilvl w:val="6"/>
      </w:numPr>
      <w:outlineLvl w:val="6"/>
    </w:pPr>
  </w:style>
  <w:style w:type="paragraph" w:customStyle="1" w:styleId="107">
    <w:name w:val="目次、标准名称标题"/>
    <w:basedOn w:val="74"/>
    <w:next w:val="57"/>
    <w:autoRedefine/>
    <w:qFormat/>
    <w:uiPriority w:val="0"/>
    <w:pPr>
      <w:numPr>
        <w:numId w:val="0"/>
      </w:numPr>
      <w:spacing w:line="460" w:lineRule="exact"/>
    </w:pPr>
  </w:style>
  <w:style w:type="paragraph" w:customStyle="1" w:styleId="108">
    <w:name w:val="其他标准称谓"/>
    <w:autoRedefine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09">
    <w:name w:val="参考文献、索引标题"/>
    <w:basedOn w:val="74"/>
    <w:next w:val="1"/>
    <w:autoRedefine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110">
    <w:name w:val="注×："/>
    <w:autoRedefine/>
    <w:qFormat/>
    <w:uiPriority w:val="0"/>
    <w:pPr>
      <w:widowControl w:val="0"/>
      <w:numPr>
        <w:ilvl w:val="0"/>
        <w:numId w:val="9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1">
    <w:name w:val="二级无标题条"/>
    <w:basedOn w:val="1"/>
    <w:autoRedefine/>
    <w:qFormat/>
    <w:uiPriority w:val="0"/>
    <w:pPr>
      <w:numPr>
        <w:ilvl w:val="3"/>
        <w:numId w:val="1"/>
      </w:numPr>
    </w:pPr>
  </w:style>
  <w:style w:type="paragraph" w:customStyle="1" w:styleId="112">
    <w:name w:val="正文图标题"/>
    <w:next w:val="57"/>
    <w:autoRedefine/>
    <w:qFormat/>
    <w:uiPriority w:val="0"/>
    <w:pPr>
      <w:numPr>
        <w:ilvl w:val="0"/>
        <w:numId w:val="10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封面标准代替信息"/>
    <w:basedOn w:val="70"/>
    <w:autoRedefine/>
    <w:qFormat/>
    <w:uiPriority w:val="0"/>
    <w:pPr>
      <w:spacing w:before="57"/>
    </w:pPr>
    <w:rPr>
      <w:rFonts w:ascii="宋体"/>
      <w:sz w:val="21"/>
    </w:rPr>
  </w:style>
  <w:style w:type="character" w:customStyle="1" w:styleId="114">
    <w:name w:val="批注框文本 字符"/>
    <w:link w:val="25"/>
    <w:autoRedefine/>
    <w:semiHidden/>
    <w:qFormat/>
    <w:uiPriority w:val="99"/>
    <w:rPr>
      <w:kern w:val="2"/>
      <w:sz w:val="18"/>
      <w:szCs w:val="18"/>
    </w:rPr>
  </w:style>
  <w:style w:type="character" w:customStyle="1" w:styleId="115">
    <w:name w:val="纯文本 字符"/>
    <w:link w:val="22"/>
    <w:autoRedefine/>
    <w:qFormat/>
    <w:uiPriority w:val="0"/>
    <w:rPr>
      <w:rFonts w:ascii="宋体" w:hAnsi="Courier New"/>
      <w:kern w:val="2"/>
      <w:sz w:val="21"/>
    </w:rPr>
  </w:style>
  <w:style w:type="paragraph" w:customStyle="1" w:styleId="116">
    <w:name w:val="修订1"/>
    <w:autoRedefine/>
    <w:hidden/>
    <w:semiHidden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">
    <w:name w:val="标准文件_段"/>
    <w:autoRedefine/>
    <w:qFormat/>
    <w:uiPriority w:val="0"/>
    <w:pPr>
      <w:widowControl w:val="0"/>
      <w:autoSpaceDE w:val="0"/>
      <w:autoSpaceDN w:val="0"/>
      <w:adjustRightInd w:val="0"/>
      <w:snapToGrid w:val="0"/>
      <w:spacing w:line="320" w:lineRule="exact"/>
      <w:jc w:val="center"/>
    </w:pPr>
    <w:rPr>
      <w:rFonts w:ascii="黑体" w:hAnsi="宋体" w:eastAsia="黑体" w:cs="Times New Roman"/>
      <w:color w:val="0000CC"/>
      <w:spacing w:val="2"/>
      <w:sz w:val="21"/>
      <w:szCs w:val="21"/>
      <w:lang w:val="en-US" w:eastAsia="zh-CN" w:bidi="ar-SA"/>
    </w:rPr>
  </w:style>
  <w:style w:type="character" w:customStyle="1" w:styleId="118">
    <w:name w:val="文档结构图 字符"/>
    <w:link w:val="18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19">
    <w:name w:val="批注文字 字符"/>
    <w:link w:val="19"/>
    <w:autoRedefine/>
    <w:semiHidden/>
    <w:qFormat/>
    <w:uiPriority w:val="99"/>
    <w:rPr>
      <w:kern w:val="2"/>
      <w:sz w:val="21"/>
      <w:szCs w:val="24"/>
    </w:rPr>
  </w:style>
  <w:style w:type="character" w:customStyle="1" w:styleId="120">
    <w:name w:val="批注主题 字符"/>
    <w:link w:val="33"/>
    <w:autoRedefine/>
    <w:semiHidden/>
    <w:qFormat/>
    <w:uiPriority w:val="99"/>
    <w:rPr>
      <w:b/>
      <w:bCs/>
      <w:kern w:val="2"/>
      <w:sz w:val="21"/>
      <w:szCs w:val="24"/>
    </w:rPr>
  </w:style>
  <w:style w:type="character" w:customStyle="1" w:styleId="121">
    <w:name w:val="日期 字符"/>
    <w:basedOn w:val="36"/>
    <w:link w:val="24"/>
    <w:autoRedefine/>
    <w:semiHidden/>
    <w:qFormat/>
    <w:uiPriority w:val="99"/>
    <w:rPr>
      <w:kern w:val="2"/>
      <w:sz w:val="21"/>
      <w:szCs w:val="24"/>
    </w:rPr>
  </w:style>
  <w:style w:type="character" w:styleId="122">
    <w:name w:val="Placeholder Text"/>
    <w:basedOn w:val="36"/>
    <w:autoRedefine/>
    <w:semiHidden/>
    <w:qFormat/>
    <w:uiPriority w:val="99"/>
    <w:rPr>
      <w:color w:val="808080"/>
    </w:rPr>
  </w:style>
  <w:style w:type="paragraph" w:customStyle="1" w:styleId="123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4">
    <w:name w:val="正文文本 字符1"/>
    <w:basedOn w:val="36"/>
    <w:link w:val="20"/>
    <w:autoRedefine/>
    <w:qFormat/>
    <w:uiPriority w:val="99"/>
    <w:rPr>
      <w:rFonts w:ascii="宋体" w:cs="宋体"/>
      <w:lang w:val="zh-CN"/>
    </w:rPr>
  </w:style>
  <w:style w:type="character" w:customStyle="1" w:styleId="125">
    <w:name w:val="正文文本 字符"/>
    <w:basedOn w:val="36"/>
    <w:autoRedefine/>
    <w:semiHidden/>
    <w:qFormat/>
    <w:uiPriority w:val="99"/>
    <w:rPr>
      <w:kern w:val="2"/>
      <w:sz w:val="21"/>
      <w:szCs w:val="24"/>
    </w:rPr>
  </w:style>
  <w:style w:type="character" w:customStyle="1" w:styleId="126">
    <w:name w:val="正文文本 (2)_"/>
    <w:basedOn w:val="36"/>
    <w:link w:val="127"/>
    <w:autoRedefine/>
    <w:qFormat/>
    <w:uiPriority w:val="99"/>
  </w:style>
  <w:style w:type="paragraph" w:customStyle="1" w:styleId="127">
    <w:name w:val="正文文本 (2)"/>
    <w:basedOn w:val="1"/>
    <w:link w:val="126"/>
    <w:autoRedefine/>
    <w:qFormat/>
    <w:uiPriority w:val="99"/>
    <w:pPr>
      <w:spacing w:line="317" w:lineRule="exact"/>
      <w:jc w:val="left"/>
    </w:pPr>
    <w:rPr>
      <w:kern w:val="0"/>
      <w:sz w:val="20"/>
      <w:szCs w:val="20"/>
    </w:rPr>
  </w:style>
  <w:style w:type="character" w:customStyle="1" w:styleId="128">
    <w:name w:val="标题 #1_"/>
    <w:basedOn w:val="36"/>
    <w:link w:val="129"/>
    <w:autoRedefine/>
    <w:qFormat/>
    <w:uiPriority w:val="99"/>
    <w:rPr>
      <w:rFonts w:ascii="Arial" w:hAnsi="Arial" w:cs="Arial"/>
      <w:color w:val="F6533C"/>
      <w:sz w:val="26"/>
      <w:szCs w:val="26"/>
      <w:lang w:val="zh-CN"/>
    </w:rPr>
  </w:style>
  <w:style w:type="paragraph" w:customStyle="1" w:styleId="129">
    <w:name w:val="标题 #1"/>
    <w:basedOn w:val="1"/>
    <w:link w:val="128"/>
    <w:autoRedefine/>
    <w:qFormat/>
    <w:uiPriority w:val="99"/>
    <w:pPr>
      <w:jc w:val="left"/>
      <w:outlineLvl w:val="0"/>
    </w:pPr>
    <w:rPr>
      <w:rFonts w:ascii="Arial" w:hAnsi="Arial" w:cs="Arial"/>
      <w:color w:val="F6533C"/>
      <w:kern w:val="0"/>
      <w:sz w:val="26"/>
      <w:szCs w:val="26"/>
      <w:lang w:val="zh-CN"/>
    </w:rPr>
  </w:style>
  <w:style w:type="character" w:customStyle="1" w:styleId="130">
    <w:name w:val="正文文本 (4)_"/>
    <w:basedOn w:val="36"/>
    <w:link w:val="131"/>
    <w:autoRedefine/>
    <w:qFormat/>
    <w:uiPriority w:val="99"/>
  </w:style>
  <w:style w:type="paragraph" w:customStyle="1" w:styleId="131">
    <w:name w:val="正文文本 (4)"/>
    <w:basedOn w:val="1"/>
    <w:link w:val="130"/>
    <w:autoRedefine/>
    <w:qFormat/>
    <w:uiPriority w:val="99"/>
    <w:pPr>
      <w:spacing w:line="322" w:lineRule="auto"/>
      <w:jc w:val="right"/>
    </w:pPr>
    <w:rPr>
      <w:kern w:val="0"/>
      <w:sz w:val="20"/>
      <w:szCs w:val="20"/>
    </w:rPr>
  </w:style>
  <w:style w:type="paragraph" w:styleId="13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63E515-B128-40FC-98CE-1966C6AE31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中国标准研究中心</Company>
  <Pages>5</Pages>
  <Words>431</Words>
  <Characters>2459</Characters>
  <Lines>20</Lines>
  <Paragraphs>5</Paragraphs>
  <TotalTime>0</TotalTime>
  <ScaleCrop>false</ScaleCrop>
  <LinksUpToDate>false</LinksUpToDate>
  <CharactersWithSpaces>2885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2024-06-07T04:28:00Z</dcterms:created>
  <dc:creator>gsd</dc:creator>
  <cp:lastModifiedBy>陈晓霞</cp:lastModifiedBy>
  <cp:lastPrinted>2019-05-28T08:01:00Z</cp:lastPrinted>
  <dcterms:modified xsi:type="dcterms:W3CDTF">2024-06-07T06:37:39Z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2125569A47914DD1B28DED9D58974F37_12</vt:lpwstr>
  </property>
</Properties>
</file>