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b/>
          <w:bCs/>
          <w:color w:val="000000"/>
          <w:sz w:val="28"/>
          <w:szCs w:val="28"/>
        </w:rPr>
      </w:pPr>
      <w:r>
        <w:rPr>
          <w:b/>
          <w:bCs/>
          <w:color w:val="000000"/>
          <w:sz w:val="28"/>
          <w:szCs w:val="28"/>
        </w:rPr>
        <w:t>国家标准</w:t>
      </w:r>
    </w:p>
    <w:p>
      <w:pPr>
        <w:spacing w:line="360" w:lineRule="exact"/>
        <w:jc w:val="center"/>
        <w:rPr>
          <w:b/>
          <w:color w:val="000000"/>
          <w:sz w:val="28"/>
          <w:szCs w:val="28"/>
        </w:rPr>
      </w:pPr>
      <w:r>
        <w:rPr>
          <w:b/>
          <w:color w:val="000000"/>
          <w:sz w:val="28"/>
          <w:szCs w:val="28"/>
        </w:rPr>
        <w:t>《LED用稀土荧光粉试验方法 第1部分：光谱性能的测定》</w:t>
      </w:r>
    </w:p>
    <w:p>
      <w:pPr>
        <w:spacing w:line="360" w:lineRule="exact"/>
        <w:jc w:val="center"/>
        <w:rPr>
          <w:b/>
          <w:color w:val="000000"/>
          <w:sz w:val="28"/>
          <w:szCs w:val="28"/>
        </w:rPr>
      </w:pPr>
      <w:r>
        <w:rPr>
          <w:b/>
          <w:color w:val="000000"/>
          <w:sz w:val="28"/>
          <w:szCs w:val="28"/>
        </w:rPr>
        <w:t>编制说明</w:t>
      </w:r>
    </w:p>
    <w:p>
      <w:pPr>
        <w:spacing w:line="400" w:lineRule="exact"/>
        <w:jc w:val="center"/>
        <w:rPr>
          <w:b/>
          <w:color w:val="000000"/>
          <w:sz w:val="28"/>
          <w:szCs w:val="28"/>
        </w:rPr>
      </w:pPr>
    </w:p>
    <w:p>
      <w:pPr>
        <w:spacing w:line="500" w:lineRule="exact"/>
        <w:rPr>
          <w:b/>
          <w:bCs/>
          <w:color w:val="000000"/>
          <w:sz w:val="24"/>
        </w:rPr>
      </w:pPr>
      <w:r>
        <w:rPr>
          <w:b/>
          <w:bCs/>
          <w:color w:val="000000"/>
          <w:sz w:val="24"/>
        </w:rPr>
        <w:t>1. 工作简况</w:t>
      </w:r>
    </w:p>
    <w:p>
      <w:pPr>
        <w:spacing w:line="500" w:lineRule="exact"/>
        <w:rPr>
          <w:rStyle w:val="17"/>
          <w:b/>
          <w:bCs/>
          <w:color w:val="000000"/>
          <w:sz w:val="24"/>
        </w:rPr>
      </w:pPr>
      <w:r>
        <w:rPr>
          <w:rStyle w:val="17"/>
          <w:b/>
          <w:bCs/>
          <w:color w:val="000000"/>
          <w:sz w:val="24"/>
        </w:rPr>
        <w:t>1.1 任务来源</w:t>
      </w:r>
    </w:p>
    <w:p>
      <w:pPr>
        <w:spacing w:line="500" w:lineRule="exact"/>
        <w:ind w:firstLine="420"/>
        <w:rPr>
          <w:rStyle w:val="17"/>
          <w:color w:val="000000"/>
          <w:sz w:val="24"/>
        </w:rPr>
      </w:pPr>
      <w:r>
        <w:rPr>
          <w:rStyle w:val="17"/>
          <w:color w:val="000000"/>
          <w:sz w:val="24"/>
        </w:rPr>
        <w:t>根据全国稀土标准化技术委员会2022年标准制修订工作安排，《LED用稀土荧光粉试验方法 第1部分：光谱性能的测定》（计划号</w:t>
      </w:r>
      <w:r>
        <w:rPr>
          <w:rStyle w:val="17"/>
          <w:rFonts w:hint="eastAsia"/>
          <w:color w:val="000000"/>
          <w:sz w:val="24"/>
        </w:rPr>
        <w:t>20231392-T-469</w:t>
      </w:r>
      <w:r>
        <w:rPr>
          <w:rStyle w:val="17"/>
          <w:color w:val="000000"/>
          <w:sz w:val="24"/>
        </w:rPr>
        <w:t>）由全国稀土标准化技术委员会会归口，由研稀土新材料股份有限公司（以下简称“有研稀土”）牵头起草。</w:t>
      </w:r>
    </w:p>
    <w:p>
      <w:pPr>
        <w:spacing w:line="500" w:lineRule="exact"/>
        <w:rPr>
          <w:b/>
          <w:bCs/>
          <w:color w:val="000000"/>
          <w:sz w:val="24"/>
        </w:rPr>
      </w:pPr>
      <w:r>
        <w:rPr>
          <w:b/>
          <w:bCs/>
          <w:color w:val="000000"/>
          <w:sz w:val="24"/>
        </w:rPr>
        <w:t>1.2 牵头单位及任务分工</w:t>
      </w:r>
    </w:p>
    <w:p>
      <w:pPr>
        <w:spacing w:line="500" w:lineRule="exact"/>
        <w:ind w:firstLine="420"/>
        <w:rPr>
          <w:rStyle w:val="17"/>
          <w:color w:val="000000"/>
          <w:sz w:val="24"/>
        </w:rPr>
      </w:pPr>
      <w:r>
        <w:rPr>
          <w:rStyle w:val="17"/>
          <w:color w:val="000000"/>
          <w:sz w:val="24"/>
        </w:rPr>
        <w:t>本标准主要由</w:t>
      </w:r>
      <w:r>
        <w:rPr>
          <w:color w:val="000000"/>
          <w:sz w:val="24"/>
        </w:rPr>
        <w:t>有研稀土</w:t>
      </w:r>
      <w:r>
        <w:rPr>
          <w:rStyle w:val="17"/>
          <w:color w:val="000000"/>
          <w:sz w:val="24"/>
        </w:rPr>
        <w:t>起草，进行前期调研、信息收集、产品归类及测试，编制预审稿；</w:t>
      </w:r>
      <w:r>
        <w:rPr>
          <w:color w:val="000000"/>
          <w:sz w:val="24"/>
        </w:rPr>
        <w:t>参与单位有中国科学院海西研究院厦门稀土材料研究所、包头稀土研究院、天津包钢稀土研究院有限责任公司、江苏博睿光电股份有限公司、江门市科恒实业股份有限公司、有研稀土高技术有限公司、广东省科学院资源利用与稀土开发研究，</w:t>
      </w:r>
      <w:r>
        <w:rPr>
          <w:rStyle w:val="17"/>
          <w:color w:val="000000"/>
          <w:sz w:val="24"/>
        </w:rPr>
        <w:t>涵盖了国内稀土荧光粉生产优势单位，提供各单位有关稀土荧光粉产品生产情况、技术指标及产品的应用情况，</w:t>
      </w:r>
      <w:r>
        <w:rPr>
          <w:color w:val="000000"/>
          <w:sz w:val="24"/>
        </w:rPr>
        <w:t>参与单位协作编制，提供调研资料、产品标准方面的咨询意见和技术指导</w:t>
      </w:r>
      <w:r>
        <w:rPr>
          <w:rStyle w:val="17"/>
          <w:color w:val="000000"/>
          <w:sz w:val="24"/>
        </w:rPr>
        <w:t>。</w:t>
      </w:r>
    </w:p>
    <w:p>
      <w:pPr>
        <w:spacing w:line="500" w:lineRule="exact"/>
        <w:rPr>
          <w:b/>
          <w:bCs/>
          <w:color w:val="000000"/>
          <w:sz w:val="24"/>
        </w:rPr>
      </w:pPr>
      <w:r>
        <w:rPr>
          <w:b/>
          <w:bCs/>
          <w:color w:val="000000"/>
          <w:sz w:val="24"/>
        </w:rPr>
        <w:t>1.3 编制过程</w:t>
      </w:r>
    </w:p>
    <w:p>
      <w:pPr>
        <w:spacing w:line="500" w:lineRule="exact"/>
        <w:ind w:firstLine="420"/>
        <w:rPr>
          <w:color w:val="000000"/>
          <w:sz w:val="24"/>
        </w:rPr>
      </w:pPr>
      <w:r>
        <w:rPr>
          <w:color w:val="000000"/>
          <w:sz w:val="24"/>
        </w:rPr>
        <w:t>2023年12月1日《LED用稀土荧光粉试验方法 第1部分：光谱性能的测定》国标正式批准立项（计划号</w:t>
      </w:r>
      <w:r>
        <w:rPr>
          <w:rFonts w:hint="eastAsia"/>
          <w:color w:val="000000"/>
          <w:sz w:val="24"/>
        </w:rPr>
        <w:t>20231392-T-469</w:t>
      </w:r>
      <w:r>
        <w:rPr>
          <w:color w:val="000000"/>
          <w:sz w:val="24"/>
        </w:rPr>
        <w:t>）。有研稀土根据公司在LED用荧光粉领域的研发和市场信息积累，对当前LED用稀土荧光粉的光谱测试方法进行了深入的调研、总结和分析，计划下达后，标委会组织成立标准起草工作组，并于2024年1月组织起草组成员和技术专家进行讨论，进行任务落实，结合国内外LED用稀土荧光粉光谱性能及测试方法，制定了《LED用稀土荧光粉试验方法 第1部分：光谱性能的测定》（草案）。并于2024年2月-6月期间由牵头单位有研稀土提供样品，所有单位进行测试验证工作，经过数据整理分析，以及根据各家单位提供的意见进行修改制定了《LED用稀土荧光粉试验方法 第1部分：光谱性能的测定》（预审稿）。</w:t>
      </w:r>
    </w:p>
    <w:p>
      <w:pPr>
        <w:spacing w:line="500" w:lineRule="exact"/>
        <w:rPr>
          <w:b/>
          <w:bCs/>
          <w:color w:val="000000"/>
          <w:sz w:val="24"/>
        </w:rPr>
      </w:pPr>
      <w:r>
        <w:rPr>
          <w:b/>
          <w:bCs/>
          <w:color w:val="000000"/>
          <w:sz w:val="24"/>
        </w:rPr>
        <w:t>2. 标准编制原则和主要内容的确定</w:t>
      </w:r>
    </w:p>
    <w:p>
      <w:pPr>
        <w:spacing w:line="500" w:lineRule="exact"/>
        <w:rPr>
          <w:b/>
          <w:bCs/>
          <w:color w:val="000000"/>
          <w:sz w:val="24"/>
        </w:rPr>
      </w:pPr>
      <w:r>
        <w:rPr>
          <w:b/>
          <w:bCs/>
          <w:color w:val="000000"/>
          <w:sz w:val="24"/>
        </w:rPr>
        <w:t>2.1编制原则</w:t>
      </w:r>
    </w:p>
    <w:p>
      <w:pPr>
        <w:spacing w:line="500" w:lineRule="exact"/>
        <w:ind w:firstLine="420"/>
        <w:rPr>
          <w:color w:val="000000"/>
          <w:sz w:val="24"/>
        </w:rPr>
      </w:pPr>
      <w:r>
        <w:rPr>
          <w:color w:val="000000"/>
          <w:sz w:val="24"/>
        </w:rPr>
        <w:t>标准负责起草单位在任务落实会上广泛地征求了与会专家和代表的意见，确定了制定方案；确定了标准起草原则、主要内容框架和依据：</w:t>
      </w:r>
    </w:p>
    <w:p>
      <w:pPr>
        <w:spacing w:line="500" w:lineRule="exact"/>
        <w:ind w:firstLine="420"/>
        <w:rPr>
          <w:color w:val="000000"/>
          <w:sz w:val="24"/>
        </w:rPr>
      </w:pPr>
      <w:r>
        <w:rPr>
          <w:color w:val="000000"/>
          <w:sz w:val="24"/>
        </w:rPr>
        <w:t>依据国家相关的法律、法规；</w:t>
      </w:r>
    </w:p>
    <w:p>
      <w:pPr>
        <w:spacing w:line="500" w:lineRule="exact"/>
        <w:ind w:firstLine="420"/>
        <w:rPr>
          <w:color w:val="000000"/>
          <w:sz w:val="24"/>
        </w:rPr>
      </w:pPr>
      <w:r>
        <w:rPr>
          <w:color w:val="000000"/>
          <w:sz w:val="24"/>
        </w:rPr>
        <w:t>查询相关标准和收集国内外客户的相关技术要求，积极向相关国际标准、世界领头企业的技术标准要求靠拢，做到标准的先进性；</w:t>
      </w:r>
    </w:p>
    <w:p>
      <w:pPr>
        <w:spacing w:line="500" w:lineRule="exact"/>
        <w:ind w:firstLine="420"/>
        <w:rPr>
          <w:color w:val="000000"/>
          <w:sz w:val="24"/>
        </w:rPr>
      </w:pPr>
      <w:r>
        <w:rPr>
          <w:color w:val="000000"/>
          <w:sz w:val="24"/>
        </w:rPr>
        <w:t>根据目前国内稀土荧光粉的具体情况，结合用户的要求及应用技术的发展趋势，力求做到标准的合理性、实用性，与时俱进；</w:t>
      </w:r>
    </w:p>
    <w:p>
      <w:pPr>
        <w:spacing w:line="500" w:lineRule="exact"/>
        <w:ind w:firstLine="420"/>
        <w:rPr>
          <w:color w:val="000000"/>
          <w:sz w:val="24"/>
        </w:rPr>
      </w:pPr>
      <w:r>
        <w:rPr>
          <w:color w:val="000000"/>
          <w:sz w:val="24"/>
        </w:rPr>
        <w:t>该</w:t>
      </w:r>
      <w:r>
        <w:rPr>
          <w:rFonts w:hint="eastAsia"/>
          <w:color w:val="000000"/>
          <w:sz w:val="24"/>
        </w:rPr>
        <w:t>文件</w:t>
      </w:r>
      <w:r>
        <w:rPr>
          <w:color w:val="000000"/>
          <w:sz w:val="24"/>
        </w:rPr>
        <w:t xml:space="preserve">是根原GB/T 23595.1-2009的修订标准，编制组按照GB/T 1.1-2020《标准化工作导则 第一部分：标准化文件的结构和起草规则》的规定起草，并在准编制过程中考虑了已经颁布实施的多个LED荧光粉标准，如GB/T 5838 荧光粉名词术语、GB/T 8170 数值修约规则与极限数值的表示和判定、GB/T 24982 </w:t>
      </w:r>
      <w:r>
        <w:fldChar w:fldCharType="begin"/>
      </w:r>
      <w:r>
        <w:instrText xml:space="preserve"> HYPERLINK "javascript:void(0)" </w:instrText>
      </w:r>
      <w:r>
        <w:fldChar w:fldCharType="separate"/>
      </w:r>
      <w:r>
        <w:rPr>
          <w:color w:val="000000"/>
          <w:sz w:val="24"/>
        </w:rPr>
        <w:t>白光LED用石榴石结构铝酸盐系列荧光粉</w:t>
      </w:r>
      <w:r>
        <w:rPr>
          <w:color w:val="000000"/>
          <w:sz w:val="24"/>
        </w:rPr>
        <w:fldChar w:fldCharType="end"/>
      </w:r>
      <w:r>
        <w:rPr>
          <w:color w:val="000000"/>
          <w:sz w:val="24"/>
        </w:rPr>
        <w:t>，在原标准GB/T 23595.1-2009测试原理基本不变的情况，综合考虑LED用荧光粉体系的扩展以及测试仪器的精度升级等，结合参与单位的意见和测试结果以及产品下游对LED用荧光粉的测试要求，修改了标准适用范围、仪器技术指标、测试精密度参数等内容。</w:t>
      </w:r>
    </w:p>
    <w:p>
      <w:pPr>
        <w:spacing w:line="500" w:lineRule="exact"/>
        <w:rPr>
          <w:b/>
          <w:bCs/>
          <w:color w:val="000000"/>
          <w:sz w:val="24"/>
        </w:rPr>
      </w:pPr>
      <w:r>
        <w:rPr>
          <w:b/>
          <w:bCs/>
          <w:color w:val="000000"/>
          <w:sz w:val="24"/>
        </w:rPr>
        <w:t>2.2主要内容</w:t>
      </w:r>
    </w:p>
    <w:p>
      <w:pPr>
        <w:spacing w:line="500" w:lineRule="exact"/>
        <w:rPr>
          <w:b/>
          <w:bCs/>
          <w:color w:val="000000"/>
          <w:sz w:val="24"/>
        </w:rPr>
      </w:pPr>
      <w:r>
        <w:rPr>
          <w:b/>
          <w:bCs/>
          <w:color w:val="000000"/>
          <w:sz w:val="24"/>
        </w:rPr>
        <w:t>2.2.1适用范围</w:t>
      </w:r>
    </w:p>
    <w:p>
      <w:pPr>
        <w:spacing w:line="500" w:lineRule="exact"/>
        <w:ind w:firstLine="420"/>
        <w:rPr>
          <w:color w:val="000000"/>
          <w:sz w:val="24"/>
        </w:rPr>
      </w:pPr>
      <w:r>
        <w:rPr>
          <w:color w:val="000000"/>
          <w:sz w:val="24"/>
        </w:rPr>
        <w:t>本</w:t>
      </w:r>
      <w:r>
        <w:rPr>
          <w:rFonts w:hint="eastAsia"/>
          <w:color w:val="000000"/>
          <w:sz w:val="24"/>
          <w:lang w:val="en-US" w:eastAsia="zh-CN"/>
        </w:rPr>
        <w:t>文件</w:t>
      </w:r>
      <w:r>
        <w:rPr>
          <w:color w:val="000000"/>
          <w:sz w:val="24"/>
        </w:rPr>
        <w:t>规定了350 nm~480 nm紫外光到蓝光激发LED用稀土荧光粉光谱性能的试验方法。</w:t>
      </w:r>
    </w:p>
    <w:p>
      <w:pPr>
        <w:spacing w:line="500" w:lineRule="exact"/>
        <w:ind w:firstLine="420"/>
        <w:rPr>
          <w:color w:val="000000"/>
          <w:sz w:val="24"/>
        </w:rPr>
      </w:pPr>
      <w:r>
        <w:rPr>
          <w:color w:val="000000"/>
          <w:sz w:val="24"/>
        </w:rPr>
        <w:t>本</w:t>
      </w:r>
      <w:r>
        <w:rPr>
          <w:rFonts w:hint="eastAsia"/>
          <w:color w:val="000000"/>
          <w:sz w:val="24"/>
          <w:lang w:val="en-US" w:eastAsia="zh-CN"/>
        </w:rPr>
        <w:t>文件</w:t>
      </w:r>
      <w:r>
        <w:rPr>
          <w:color w:val="000000"/>
          <w:sz w:val="24"/>
        </w:rPr>
        <w:t>适用于350 nm~480 nm紫外光到蓝光激发LED用稀土荧光粉光谱性能的测定。</w:t>
      </w:r>
    </w:p>
    <w:p>
      <w:pPr>
        <w:spacing w:line="500" w:lineRule="exact"/>
        <w:rPr>
          <w:b/>
          <w:bCs/>
          <w:color w:val="000000"/>
          <w:sz w:val="24"/>
        </w:rPr>
      </w:pPr>
      <w:r>
        <w:rPr>
          <w:b/>
          <w:bCs/>
          <w:color w:val="000000"/>
          <w:sz w:val="24"/>
        </w:rPr>
        <w:t>2.2.2标准名称</w:t>
      </w:r>
    </w:p>
    <w:p>
      <w:pPr>
        <w:spacing w:line="500" w:lineRule="exact"/>
        <w:ind w:firstLine="420"/>
        <w:rPr>
          <w:color w:val="000000"/>
          <w:sz w:val="24"/>
        </w:rPr>
      </w:pPr>
      <w:r>
        <w:rPr>
          <w:color w:val="000000"/>
          <w:sz w:val="24"/>
        </w:rPr>
        <w:t>标准名称为《LED用稀土荧光粉试验方法 第1部分：光谱性能的测定》。</w:t>
      </w:r>
    </w:p>
    <w:p>
      <w:pPr>
        <w:spacing w:line="500" w:lineRule="exact"/>
        <w:rPr>
          <w:b/>
          <w:bCs/>
          <w:color w:val="000000"/>
          <w:sz w:val="24"/>
        </w:rPr>
      </w:pPr>
      <w:r>
        <w:rPr>
          <w:b/>
          <w:bCs/>
          <w:color w:val="000000"/>
          <w:sz w:val="24"/>
        </w:rPr>
        <w:t>2.2.3标准内容</w:t>
      </w:r>
    </w:p>
    <w:p>
      <w:pPr>
        <w:spacing w:line="500" w:lineRule="exact"/>
        <w:ind w:firstLine="420"/>
        <w:rPr>
          <w:color w:val="000000"/>
          <w:sz w:val="24"/>
        </w:rPr>
      </w:pPr>
      <w:r>
        <w:rPr>
          <w:color w:val="000000"/>
          <w:sz w:val="24"/>
        </w:rPr>
        <w:t>本标准按照GB/T 1.1-2020《标准化工作导则 第一部分：标准化文件的结构和起草规则》的规定起草。</w:t>
      </w:r>
    </w:p>
    <w:p>
      <w:pPr>
        <w:spacing w:line="500" w:lineRule="exact"/>
        <w:ind w:firstLine="420"/>
        <w:rPr>
          <w:color w:val="000000"/>
          <w:sz w:val="24"/>
        </w:rPr>
      </w:pPr>
      <w:r>
        <w:rPr>
          <w:color w:val="000000"/>
          <w:sz w:val="24"/>
        </w:rPr>
        <w:t>本标准代替GBT 23595.1-2009《白光LED灯用稀土黄色荧光粉试验方法:第1部分：光谱性能的测定》。</w:t>
      </w:r>
    </w:p>
    <w:p>
      <w:pPr>
        <w:spacing w:line="500" w:lineRule="exact"/>
        <w:ind w:firstLine="420"/>
        <w:rPr>
          <w:color w:val="000000"/>
          <w:sz w:val="24"/>
        </w:rPr>
      </w:pPr>
      <w:r>
        <w:rPr>
          <w:color w:val="000000"/>
          <w:sz w:val="24"/>
        </w:rPr>
        <w:t>本标准与GBT 23595.1-2009相比，除编辑性修改外主要技术变化如下：</w:t>
      </w:r>
    </w:p>
    <w:p>
      <w:pPr>
        <w:spacing w:line="500" w:lineRule="exact"/>
        <w:ind w:firstLine="420"/>
        <w:rPr>
          <w:color w:val="000000"/>
          <w:sz w:val="24"/>
        </w:rPr>
      </w:pPr>
      <w:r>
        <w:rPr>
          <w:color w:val="000000"/>
          <w:sz w:val="24"/>
        </w:rPr>
        <w:t>——修改了标准名称；</w:t>
      </w:r>
    </w:p>
    <w:p>
      <w:pPr>
        <w:spacing w:line="500" w:lineRule="exact"/>
        <w:ind w:firstLine="420"/>
        <w:rPr>
          <w:color w:val="000000"/>
          <w:sz w:val="24"/>
        </w:rPr>
      </w:pPr>
      <w:r>
        <w:rPr>
          <w:color w:val="000000"/>
          <w:sz w:val="24"/>
        </w:rPr>
        <w:t>——修改了标准适用范围，扩展了荧光粉激发波长范围（详见第1部分，2009年版的第1部分）；</w:t>
      </w:r>
    </w:p>
    <w:p>
      <w:pPr>
        <w:spacing w:line="500" w:lineRule="exact"/>
        <w:ind w:firstLine="420"/>
        <w:rPr>
          <w:color w:val="000000"/>
          <w:sz w:val="24"/>
        </w:rPr>
      </w:pPr>
      <w:r>
        <w:rPr>
          <w:color w:val="000000"/>
          <w:sz w:val="24"/>
        </w:rPr>
        <w:t>——增加了2 规范性引用文件；</w:t>
      </w:r>
    </w:p>
    <w:p>
      <w:pPr>
        <w:spacing w:line="500" w:lineRule="exact"/>
        <w:ind w:firstLine="420"/>
        <w:rPr>
          <w:color w:val="000000"/>
          <w:sz w:val="24"/>
        </w:rPr>
      </w:pPr>
      <w:r>
        <w:rPr>
          <w:color w:val="000000"/>
          <w:sz w:val="24"/>
        </w:rPr>
        <w:t>——增加了3 术语和定义；</w:t>
      </w:r>
    </w:p>
    <w:p>
      <w:pPr>
        <w:spacing w:line="500" w:lineRule="exact"/>
        <w:ind w:firstLine="420"/>
        <w:rPr>
          <w:color w:val="000000"/>
          <w:sz w:val="24"/>
        </w:rPr>
      </w:pPr>
      <w:r>
        <w:rPr>
          <w:color w:val="000000"/>
          <w:sz w:val="24"/>
        </w:rPr>
        <w:t>——修改了仪器技术指标（荧光分光光度计精度由±0.5nm修改为±0.3nm，详见5.1，2009年版的3.1）；</w:t>
      </w:r>
    </w:p>
    <w:p>
      <w:pPr>
        <w:spacing w:line="500" w:lineRule="exact"/>
        <w:ind w:firstLine="420"/>
        <w:rPr>
          <w:color w:val="000000"/>
          <w:sz w:val="24"/>
        </w:rPr>
      </w:pPr>
      <w:r>
        <w:rPr>
          <w:color w:val="000000"/>
          <w:sz w:val="24"/>
        </w:rPr>
        <w:t>——删除了激发光谱峰值波长；</w:t>
      </w:r>
    </w:p>
    <w:p>
      <w:pPr>
        <w:spacing w:line="500" w:lineRule="exact"/>
        <w:ind w:firstLine="420"/>
        <w:rPr>
          <w:color w:val="000000"/>
          <w:sz w:val="24"/>
        </w:rPr>
      </w:pPr>
      <w:r>
        <w:rPr>
          <w:color w:val="000000"/>
          <w:sz w:val="24"/>
        </w:rPr>
        <w:t xml:space="preserve">——修改了发射光谱主峰波长（修改为发射峰值波长，详见6.2.2和6.2.4，2009年版的4.2.2和4.2.4）； </w:t>
      </w:r>
    </w:p>
    <w:p>
      <w:pPr>
        <w:spacing w:line="500" w:lineRule="exact"/>
        <w:ind w:firstLine="420"/>
        <w:rPr>
          <w:color w:val="000000"/>
          <w:sz w:val="24"/>
        </w:rPr>
      </w:pPr>
      <w:r>
        <w:rPr>
          <w:color w:val="000000"/>
          <w:sz w:val="24"/>
        </w:rPr>
        <w:t>——修改了测试精密度参数（缩小了激发光谱峰值波长和发射光谱峰值波长的重复性限和允许误差，详见8.1和8.2，2009版的6.1和6.2）。</w:t>
      </w:r>
    </w:p>
    <w:p>
      <w:pPr>
        <w:spacing w:line="500" w:lineRule="exact"/>
        <w:ind w:firstLine="420"/>
        <w:rPr>
          <w:color w:val="000000"/>
          <w:sz w:val="24"/>
        </w:rPr>
      </w:pPr>
      <w:r>
        <w:rPr>
          <w:color w:val="000000"/>
          <w:sz w:val="24"/>
        </w:rPr>
        <w:t>——增加了测试报告要求（详见第9部分）</w:t>
      </w:r>
    </w:p>
    <w:p>
      <w:pPr>
        <w:spacing w:line="500" w:lineRule="exact"/>
        <w:rPr>
          <w:rStyle w:val="17"/>
          <w:b/>
          <w:color w:val="000000"/>
          <w:sz w:val="24"/>
        </w:rPr>
      </w:pPr>
      <w:r>
        <w:rPr>
          <w:rStyle w:val="17"/>
          <w:b/>
          <w:color w:val="000000"/>
          <w:sz w:val="24"/>
        </w:rPr>
        <w:t>3. 技术经济论证，预期的经济效果</w:t>
      </w:r>
    </w:p>
    <w:p>
      <w:pPr>
        <w:spacing w:line="500" w:lineRule="exact"/>
        <w:rPr>
          <w:rStyle w:val="17"/>
          <w:b/>
          <w:color w:val="000000"/>
          <w:sz w:val="24"/>
        </w:rPr>
      </w:pPr>
      <w:r>
        <w:rPr>
          <w:rStyle w:val="17"/>
          <w:b/>
          <w:color w:val="000000"/>
          <w:sz w:val="24"/>
        </w:rPr>
        <w:t>3.1主要的试验（或验证）的分析、综述报告</w:t>
      </w:r>
    </w:p>
    <w:p>
      <w:pPr>
        <w:spacing w:line="500" w:lineRule="exact"/>
        <w:ind w:firstLine="420"/>
        <w:rPr>
          <w:color w:val="000000"/>
          <w:sz w:val="24"/>
        </w:rPr>
      </w:pPr>
      <w:r>
        <w:rPr>
          <w:color w:val="000000"/>
          <w:sz w:val="24"/>
        </w:rPr>
        <w:t>为了论证本文件的测试方法和精密度参数，由有研稀土提供了石榴石黄粉、黄绿粉、氮化物红粉以及硅酸绿粉体系的样品到各家参与单位进行测试，各家单位分别提供了试验报告和精密度数据，并通过数据计算出各个实验室的平均值、相对标准偏差和重复性限，用以对本文件测试方法准确性和重复性的规定。</w:t>
      </w:r>
      <w:r>
        <w:rPr>
          <w:rFonts w:hint="eastAsia"/>
          <w:color w:val="000000"/>
          <w:sz w:val="24"/>
        </w:rPr>
        <w:t>共得到试验报告和精密度测试报告各</w:t>
      </w:r>
      <w:r>
        <w:rPr>
          <w:color w:val="FF0000"/>
          <w:sz w:val="24"/>
        </w:rPr>
        <w:t>7</w:t>
      </w:r>
      <w:r>
        <w:rPr>
          <w:rFonts w:hint="eastAsia"/>
          <w:color w:val="000000"/>
          <w:sz w:val="24"/>
        </w:rPr>
        <w:t>份。</w:t>
      </w:r>
    </w:p>
    <w:p>
      <w:pPr>
        <w:numPr>
          <w:ilvl w:val="0"/>
          <w:numId w:val="2"/>
        </w:numPr>
        <w:spacing w:line="500" w:lineRule="exact"/>
        <w:ind w:firstLine="420"/>
        <w:rPr>
          <w:color w:val="000000"/>
          <w:sz w:val="24"/>
        </w:rPr>
      </w:pPr>
      <w:bookmarkStart w:id="0" w:name="_Hlk168492053"/>
      <w:r>
        <w:rPr>
          <w:rFonts w:hint="eastAsia"/>
          <w:color w:val="000000"/>
          <w:sz w:val="24"/>
        </w:rPr>
        <w:t>有研稀土样品-有研稀土新材料股份有限公司精密度测试</w:t>
      </w:r>
    </w:p>
    <w:p>
      <w:pPr>
        <w:numPr>
          <w:ilvl w:val="0"/>
          <w:numId w:val="2"/>
        </w:numPr>
        <w:spacing w:line="500" w:lineRule="exact"/>
        <w:ind w:firstLine="420"/>
        <w:rPr>
          <w:color w:val="000000"/>
          <w:sz w:val="24"/>
        </w:rPr>
      </w:pPr>
      <w:r>
        <w:rPr>
          <w:rFonts w:hint="eastAsia"/>
          <w:color w:val="000000"/>
          <w:sz w:val="24"/>
        </w:rPr>
        <w:t>有研稀土样品-有研稀土新材料股份有限公司试验报告</w:t>
      </w:r>
    </w:p>
    <w:p>
      <w:pPr>
        <w:numPr>
          <w:ilvl w:val="0"/>
          <w:numId w:val="2"/>
        </w:numPr>
        <w:spacing w:line="500" w:lineRule="exact"/>
        <w:ind w:firstLine="420"/>
        <w:rPr>
          <w:color w:val="000000"/>
          <w:sz w:val="24"/>
        </w:rPr>
      </w:pPr>
      <w:r>
        <w:rPr>
          <w:rFonts w:hint="eastAsia"/>
          <w:color w:val="000000"/>
          <w:sz w:val="24"/>
        </w:rPr>
        <w:t>有研稀土样品-江门科恒实业股份有限公司精密度测试</w:t>
      </w:r>
    </w:p>
    <w:p>
      <w:pPr>
        <w:numPr>
          <w:ilvl w:val="0"/>
          <w:numId w:val="2"/>
        </w:numPr>
        <w:spacing w:line="500" w:lineRule="exact"/>
        <w:ind w:firstLine="420"/>
        <w:rPr>
          <w:color w:val="000000"/>
          <w:sz w:val="24"/>
        </w:rPr>
      </w:pPr>
      <w:r>
        <w:rPr>
          <w:rFonts w:hint="eastAsia"/>
          <w:color w:val="000000"/>
          <w:sz w:val="24"/>
        </w:rPr>
        <w:t>有研稀土样品-江门科恒实业股份有限公司试验报告</w:t>
      </w:r>
    </w:p>
    <w:p>
      <w:pPr>
        <w:numPr>
          <w:ilvl w:val="0"/>
          <w:numId w:val="2"/>
        </w:numPr>
        <w:spacing w:line="500" w:lineRule="exact"/>
        <w:ind w:firstLine="420"/>
        <w:rPr>
          <w:color w:val="000000"/>
          <w:sz w:val="24"/>
        </w:rPr>
      </w:pPr>
      <w:r>
        <w:rPr>
          <w:rFonts w:hint="eastAsia"/>
          <w:color w:val="000000"/>
          <w:sz w:val="24"/>
        </w:rPr>
        <w:t>有研稀土样品-</w:t>
      </w:r>
      <w:r>
        <w:rPr>
          <w:color w:val="000000"/>
          <w:sz w:val="24"/>
        </w:rPr>
        <w:t>江苏博睿光电股份有限公司</w:t>
      </w:r>
      <w:r>
        <w:rPr>
          <w:rFonts w:hint="eastAsia"/>
          <w:color w:val="000000"/>
          <w:sz w:val="24"/>
        </w:rPr>
        <w:t>精密度测试</w:t>
      </w:r>
    </w:p>
    <w:p>
      <w:pPr>
        <w:numPr>
          <w:ilvl w:val="0"/>
          <w:numId w:val="2"/>
        </w:numPr>
        <w:spacing w:line="500" w:lineRule="exact"/>
        <w:ind w:firstLine="420"/>
        <w:rPr>
          <w:color w:val="000000"/>
          <w:sz w:val="24"/>
        </w:rPr>
      </w:pPr>
      <w:r>
        <w:rPr>
          <w:rFonts w:hint="eastAsia"/>
          <w:color w:val="000000"/>
          <w:sz w:val="24"/>
        </w:rPr>
        <w:t>有研稀土样品-</w:t>
      </w:r>
      <w:r>
        <w:rPr>
          <w:color w:val="000000"/>
          <w:sz w:val="24"/>
        </w:rPr>
        <w:t>江苏博睿光电股份有限公司</w:t>
      </w:r>
      <w:r>
        <w:rPr>
          <w:rFonts w:hint="eastAsia"/>
          <w:color w:val="000000"/>
          <w:sz w:val="24"/>
        </w:rPr>
        <w:t>试验报告</w:t>
      </w:r>
    </w:p>
    <w:p>
      <w:pPr>
        <w:numPr>
          <w:ilvl w:val="0"/>
          <w:numId w:val="2"/>
        </w:numPr>
        <w:spacing w:line="500" w:lineRule="exact"/>
        <w:ind w:firstLine="420"/>
        <w:rPr>
          <w:color w:val="000000"/>
          <w:sz w:val="24"/>
        </w:rPr>
      </w:pPr>
      <w:r>
        <w:rPr>
          <w:rFonts w:hint="eastAsia"/>
          <w:color w:val="000000"/>
          <w:sz w:val="24"/>
        </w:rPr>
        <w:t>有研稀土样品-</w:t>
      </w:r>
      <w:r>
        <w:rPr>
          <w:color w:val="000000"/>
          <w:sz w:val="24"/>
        </w:rPr>
        <w:t>包头稀土研究院</w:t>
      </w:r>
      <w:r>
        <w:rPr>
          <w:rFonts w:hint="eastAsia"/>
          <w:color w:val="000000"/>
          <w:sz w:val="24"/>
        </w:rPr>
        <w:t>精密度测试</w:t>
      </w:r>
    </w:p>
    <w:p>
      <w:pPr>
        <w:numPr>
          <w:ilvl w:val="0"/>
          <w:numId w:val="2"/>
        </w:numPr>
        <w:spacing w:line="500" w:lineRule="exact"/>
        <w:ind w:firstLine="420"/>
        <w:rPr>
          <w:color w:val="000000"/>
          <w:sz w:val="24"/>
        </w:rPr>
      </w:pPr>
      <w:r>
        <w:rPr>
          <w:rFonts w:hint="eastAsia"/>
          <w:color w:val="000000"/>
          <w:sz w:val="24"/>
        </w:rPr>
        <w:t>有研稀土样品-</w:t>
      </w:r>
      <w:r>
        <w:rPr>
          <w:color w:val="000000"/>
          <w:sz w:val="24"/>
        </w:rPr>
        <w:t>包头稀土研究院</w:t>
      </w:r>
      <w:r>
        <w:rPr>
          <w:rFonts w:hint="eastAsia"/>
          <w:color w:val="000000"/>
          <w:sz w:val="24"/>
        </w:rPr>
        <w:t>试验报告</w:t>
      </w:r>
    </w:p>
    <w:p>
      <w:pPr>
        <w:numPr>
          <w:ilvl w:val="0"/>
          <w:numId w:val="2"/>
        </w:numPr>
        <w:spacing w:line="500" w:lineRule="exact"/>
        <w:ind w:firstLine="420"/>
        <w:rPr>
          <w:color w:val="000000"/>
          <w:sz w:val="24"/>
        </w:rPr>
      </w:pPr>
      <w:r>
        <w:rPr>
          <w:rFonts w:hint="eastAsia"/>
          <w:color w:val="000000"/>
          <w:sz w:val="24"/>
        </w:rPr>
        <w:t>有研稀土样品-</w:t>
      </w:r>
      <w:r>
        <w:rPr>
          <w:color w:val="000000"/>
          <w:sz w:val="24"/>
        </w:rPr>
        <w:t>中国科学院海西研究院厦门稀土材料研究所</w:t>
      </w:r>
      <w:r>
        <w:rPr>
          <w:rFonts w:hint="eastAsia"/>
          <w:color w:val="000000"/>
          <w:sz w:val="24"/>
        </w:rPr>
        <w:t>精密度测试</w:t>
      </w:r>
    </w:p>
    <w:p>
      <w:pPr>
        <w:numPr>
          <w:ilvl w:val="0"/>
          <w:numId w:val="2"/>
        </w:numPr>
        <w:spacing w:line="500" w:lineRule="exact"/>
        <w:ind w:firstLine="420"/>
        <w:rPr>
          <w:color w:val="000000"/>
          <w:sz w:val="24"/>
        </w:rPr>
      </w:pPr>
      <w:r>
        <w:rPr>
          <w:rFonts w:hint="eastAsia"/>
          <w:color w:val="000000"/>
          <w:sz w:val="24"/>
        </w:rPr>
        <w:t>有研稀土样品-</w:t>
      </w:r>
      <w:r>
        <w:rPr>
          <w:color w:val="000000"/>
          <w:sz w:val="24"/>
        </w:rPr>
        <w:t>中国科学院海西研究院厦门稀土材料研究所</w:t>
      </w:r>
      <w:r>
        <w:rPr>
          <w:rFonts w:hint="eastAsia"/>
          <w:color w:val="000000"/>
          <w:sz w:val="24"/>
        </w:rPr>
        <w:t>试验报告</w:t>
      </w:r>
    </w:p>
    <w:p>
      <w:pPr>
        <w:numPr>
          <w:ilvl w:val="0"/>
          <w:numId w:val="2"/>
        </w:numPr>
        <w:spacing w:line="500" w:lineRule="exact"/>
        <w:ind w:firstLine="420"/>
        <w:rPr>
          <w:color w:val="000000"/>
          <w:sz w:val="24"/>
        </w:rPr>
      </w:pPr>
      <w:r>
        <w:rPr>
          <w:rFonts w:hint="eastAsia"/>
          <w:color w:val="000000"/>
          <w:sz w:val="24"/>
        </w:rPr>
        <w:t>有研稀土样品-</w:t>
      </w:r>
      <w:r>
        <w:rPr>
          <w:color w:val="000000"/>
          <w:sz w:val="24"/>
        </w:rPr>
        <w:t>天津包钢稀土研究院有限责任公司</w:t>
      </w:r>
      <w:r>
        <w:rPr>
          <w:rFonts w:hint="eastAsia"/>
          <w:color w:val="000000"/>
          <w:sz w:val="24"/>
        </w:rPr>
        <w:t>精密度测试</w:t>
      </w:r>
    </w:p>
    <w:p>
      <w:pPr>
        <w:numPr>
          <w:ilvl w:val="0"/>
          <w:numId w:val="2"/>
        </w:numPr>
        <w:spacing w:line="500" w:lineRule="exact"/>
        <w:ind w:firstLine="420"/>
        <w:rPr>
          <w:color w:val="000000"/>
          <w:sz w:val="24"/>
        </w:rPr>
      </w:pPr>
      <w:r>
        <w:rPr>
          <w:rFonts w:hint="eastAsia"/>
          <w:color w:val="000000"/>
          <w:sz w:val="24"/>
        </w:rPr>
        <w:t>有研稀土样品-</w:t>
      </w:r>
      <w:r>
        <w:rPr>
          <w:color w:val="000000"/>
          <w:sz w:val="24"/>
        </w:rPr>
        <w:t>天津包钢稀土研究院有限责任公司</w:t>
      </w:r>
      <w:r>
        <w:rPr>
          <w:rFonts w:hint="eastAsia"/>
          <w:color w:val="000000"/>
          <w:sz w:val="24"/>
        </w:rPr>
        <w:t>试验报告</w:t>
      </w:r>
    </w:p>
    <w:p>
      <w:pPr>
        <w:numPr>
          <w:ilvl w:val="0"/>
          <w:numId w:val="2"/>
        </w:numPr>
        <w:spacing w:line="500" w:lineRule="exact"/>
        <w:ind w:firstLine="420"/>
        <w:rPr>
          <w:color w:val="000000"/>
          <w:sz w:val="24"/>
        </w:rPr>
      </w:pPr>
      <w:r>
        <w:rPr>
          <w:rFonts w:hint="eastAsia"/>
          <w:color w:val="000000"/>
          <w:sz w:val="24"/>
        </w:rPr>
        <w:t>有研稀土样品-广东省科学研究院资源利用与稀土开发研究所精密度测试</w:t>
      </w:r>
    </w:p>
    <w:p>
      <w:pPr>
        <w:numPr>
          <w:ilvl w:val="0"/>
          <w:numId w:val="2"/>
        </w:numPr>
        <w:spacing w:line="500" w:lineRule="exact"/>
        <w:ind w:firstLine="420"/>
        <w:rPr>
          <w:color w:val="000000"/>
          <w:sz w:val="24"/>
        </w:rPr>
      </w:pPr>
      <w:r>
        <w:rPr>
          <w:rFonts w:hint="eastAsia"/>
          <w:color w:val="000000"/>
          <w:sz w:val="24"/>
        </w:rPr>
        <w:t>有研稀土样品-广东省科学研究院资源利用与稀土开发研究所试验报告</w:t>
      </w:r>
    </w:p>
    <w:bookmarkEnd w:id="0"/>
    <w:p>
      <w:pPr>
        <w:spacing w:line="500" w:lineRule="exact"/>
        <w:rPr>
          <w:b/>
          <w:sz w:val="24"/>
        </w:rPr>
      </w:pPr>
      <w:r>
        <w:rPr>
          <w:b/>
          <w:sz w:val="24"/>
        </w:rPr>
        <w:t>3.2技术经济论证，预期的经济效果</w:t>
      </w:r>
      <w:bookmarkStart w:id="1" w:name="_GoBack"/>
      <w:bookmarkEnd w:id="1"/>
    </w:p>
    <w:p>
      <w:pPr>
        <w:spacing w:line="500" w:lineRule="exact"/>
        <w:ind w:firstLine="420"/>
        <w:rPr>
          <w:color w:val="000000"/>
          <w:sz w:val="24"/>
        </w:rPr>
      </w:pPr>
      <w:r>
        <w:rPr>
          <w:color w:val="000000"/>
          <w:sz w:val="24"/>
        </w:rPr>
        <w:t>半导体照明（白光LED）具有高效、节能和长寿命等优点，是我国重点发展的战略性新型产业，2023年我国半导体照明整体规模超6700亿元，是高效照明和液晶显示背光源主流技术， 2023年LED照明渗透率超60%，年节电超3000亿度，相当于3个三峡大坝年发电量。稀土荧光粉作为白光LED光源的配套核心材料直接决定了器件的显色性、光效等关键性能。近年来，我国LED稀土荧光粉从2016年的200吨左右迅速增长至到2023年765吨，产值达到数亿元，国产化率达到已达到80%以上。目前LED稀土荧光粉包括石榴石结构铝酸盐系列荧光粉、氮化物红色荧光粉、硅酸盐黄绿色荧光粉和塞隆绿色荧光粉等商用主流LED荧光粉，其中前两种主要用于白光LED照明、后两种主要用于液晶显示LED背光。</w:t>
      </w:r>
    </w:p>
    <w:p>
      <w:pPr>
        <w:spacing w:line="500" w:lineRule="exact"/>
        <w:ind w:firstLine="420"/>
        <w:rPr>
          <w:color w:val="000000"/>
          <w:sz w:val="24"/>
        </w:rPr>
      </w:pPr>
      <w:r>
        <w:rPr>
          <w:color w:val="000000"/>
          <w:sz w:val="24"/>
        </w:rPr>
        <w:t>现行《白光LED用稀土黄色荧光粉试验方法 第1部分：光谱性能的测试》（GB/T 23595.1-2009）国家标准制定和颁布时，石榴石结构铝酸盐系列荧光粉主要体系为钇铝石榴石YAG:Ce黄色荧光粉，主要用于显色指数Ra＜70的普通LED照明。经过十几年的技术发展，石榴石结构铝酸盐/氮化物/硅酸盐/塞隆氮氧化物等LED用稀土荧光粉的技术与产品已近成熟，应用场景的细化对荧光粉光谱性能测试提出了更高的要求。普通显色、高显色与类太阳光LED照明和普通色域、广色域显示等细化应用场景将现有商用主流LED荧光粉按照发射波长划分形成多个牌号，特别是3-5nm波长测试误差对下游LED封装客户造成较大使用困扰。加之目前光谱性能测试装备精度也在不断提高，在光谱测试仪器方面，包括国内远方和美国Horiba、英国爱丁堡，日本日立等均对已有荧光光谱测试仪器进行测试精度和误差的升级，荧光粉样品的检测速度、测量范围、稳定性及测量精度等显著提升。同时下游客户会依照光谱性能筛选荧光粉组合，对生产厂商提供的荧光粉产品的激发和发射峰值波长提出更高精度要求，现有国标测试误差难以满足需求，因此，通过修订此试验方法标准有助于指导和规范我国LED稀土荧光粉的生产和销售，加速推动我国半导体照明产业的快速健康发展；有助于完善我国关键战略型稀土材料标准体系建设，推动建设制造强国、质量强国。</w:t>
      </w:r>
    </w:p>
    <w:p>
      <w:pPr>
        <w:spacing w:line="500" w:lineRule="exact"/>
        <w:rPr>
          <w:b/>
          <w:bCs/>
          <w:color w:val="000000"/>
          <w:sz w:val="24"/>
        </w:rPr>
      </w:pPr>
      <w:r>
        <w:rPr>
          <w:b/>
          <w:bCs/>
          <w:color w:val="000000"/>
          <w:sz w:val="24"/>
        </w:rPr>
        <w:t>4. 与国际标准、国外同类标准水平的对比情况</w:t>
      </w:r>
    </w:p>
    <w:p>
      <w:pPr>
        <w:spacing w:line="500" w:lineRule="exact"/>
        <w:ind w:firstLine="420"/>
        <w:rPr>
          <w:color w:val="000000"/>
          <w:sz w:val="24"/>
        </w:rPr>
      </w:pPr>
      <w:r>
        <w:rPr>
          <w:color w:val="000000"/>
          <w:sz w:val="24"/>
        </w:rPr>
        <w:t>经查询，国际上只有LED灯具的标准，并无LED用稀土荧光粉测试方法相关标准。</w:t>
      </w:r>
    </w:p>
    <w:p>
      <w:pPr>
        <w:spacing w:line="500" w:lineRule="exact"/>
        <w:rPr>
          <w:b/>
          <w:bCs/>
          <w:color w:val="000000"/>
          <w:sz w:val="24"/>
        </w:rPr>
      </w:pPr>
      <w:r>
        <w:rPr>
          <w:b/>
          <w:bCs/>
          <w:color w:val="000000"/>
          <w:sz w:val="24"/>
        </w:rPr>
        <w:t>5. 与国内有关现行法律、法规和强制性标准的关系</w:t>
      </w:r>
    </w:p>
    <w:p>
      <w:pPr>
        <w:spacing w:line="500" w:lineRule="exact"/>
        <w:ind w:firstLine="420"/>
        <w:rPr>
          <w:color w:val="000000"/>
          <w:sz w:val="24"/>
        </w:rPr>
      </w:pPr>
      <w:r>
        <w:rPr>
          <w:color w:val="000000"/>
          <w:sz w:val="24"/>
        </w:rPr>
        <w:t>该标准符合国家有关法律、法规的要求，与现行国家强制性标准协调一致。</w:t>
      </w:r>
    </w:p>
    <w:p>
      <w:pPr>
        <w:spacing w:line="500" w:lineRule="exact"/>
        <w:rPr>
          <w:b/>
          <w:bCs/>
          <w:color w:val="000000"/>
          <w:sz w:val="24"/>
        </w:rPr>
      </w:pPr>
      <w:r>
        <w:rPr>
          <w:b/>
          <w:bCs/>
          <w:color w:val="000000"/>
          <w:sz w:val="24"/>
        </w:rPr>
        <w:t>6. 重大分歧意见的处理经过和依据</w:t>
      </w:r>
    </w:p>
    <w:p>
      <w:pPr>
        <w:spacing w:line="500" w:lineRule="exact"/>
        <w:ind w:firstLine="420"/>
        <w:rPr>
          <w:color w:val="000000"/>
          <w:sz w:val="24"/>
        </w:rPr>
      </w:pPr>
      <w:r>
        <w:rPr>
          <w:color w:val="000000"/>
          <w:sz w:val="24"/>
        </w:rPr>
        <w:t>本标准暂时未遇到重大分歧意见。</w:t>
      </w:r>
    </w:p>
    <w:p>
      <w:pPr>
        <w:spacing w:line="500" w:lineRule="exact"/>
        <w:rPr>
          <w:b/>
          <w:bCs/>
          <w:color w:val="000000"/>
          <w:sz w:val="24"/>
        </w:rPr>
      </w:pPr>
      <w:r>
        <w:rPr>
          <w:b/>
          <w:bCs/>
          <w:color w:val="000000"/>
          <w:sz w:val="24"/>
        </w:rPr>
        <w:t>7.专利情况说明</w:t>
      </w:r>
    </w:p>
    <w:p>
      <w:pPr>
        <w:spacing w:line="500" w:lineRule="exact"/>
        <w:ind w:firstLine="420"/>
        <w:rPr>
          <w:color w:val="000000"/>
          <w:sz w:val="24"/>
        </w:rPr>
      </w:pPr>
      <w:r>
        <w:rPr>
          <w:color w:val="000000"/>
          <w:sz w:val="24"/>
        </w:rPr>
        <w:t>本标准暂时未涉及专利。</w:t>
      </w:r>
    </w:p>
    <w:p>
      <w:pPr>
        <w:spacing w:line="500" w:lineRule="exact"/>
        <w:ind w:firstLine="420"/>
        <w:rPr>
          <w:color w:val="000000"/>
          <w:sz w:val="24"/>
        </w:rPr>
      </w:pPr>
    </w:p>
    <w:p>
      <w:pPr>
        <w:spacing w:line="460" w:lineRule="exact"/>
        <w:ind w:firstLine="420"/>
        <w:jc w:val="right"/>
        <w:rPr>
          <w:color w:val="000000"/>
          <w:sz w:val="24"/>
        </w:rPr>
      </w:pPr>
      <w:r>
        <w:rPr>
          <w:color w:val="000000"/>
          <w:sz w:val="24"/>
        </w:rPr>
        <w:t>标准编制工作组</w:t>
      </w:r>
    </w:p>
    <w:p>
      <w:pPr>
        <w:spacing w:line="460" w:lineRule="exact"/>
        <w:ind w:firstLine="420"/>
        <w:jc w:val="right"/>
        <w:rPr>
          <w:color w:val="000000"/>
        </w:rPr>
      </w:pPr>
      <w:r>
        <w:rPr>
          <w:color w:val="000000"/>
        </w:rPr>
        <w:t>2024年6月10日</w:t>
      </w:r>
    </w:p>
    <w:sectPr>
      <w:headerReference r:id="rId3" w:type="default"/>
      <w:footerReference r:id="rId4" w:type="default"/>
      <w:pgSz w:w="11906" w:h="16838"/>
      <w:pgMar w:top="1418" w:right="130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E6A0"/>
    <w:multiLevelType w:val="singleLevel"/>
    <w:tmpl w:val="9BDDE6A0"/>
    <w:lvl w:ilvl="0" w:tentative="0">
      <w:start w:val="1"/>
      <w:numFmt w:val="decimal"/>
      <w:suff w:val="nothing"/>
      <w:lvlText w:val="（%1）"/>
      <w:lvlJc w:val="left"/>
    </w:lvl>
  </w:abstractNum>
  <w:abstractNum w:abstractNumId="1">
    <w:nsid w:val="44C50F90"/>
    <w:multiLevelType w:val="multilevel"/>
    <w:tmpl w:val="44C50F90"/>
    <w:lvl w:ilvl="0" w:tentative="0">
      <w:start w:val="1"/>
      <w:numFmt w:val="lowerLetter"/>
      <w:pStyle w:val="23"/>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2"/>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4"/>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I5ZjE0MDA3MTc1YTVlN2RiZGVkODJiMzk1MjhhYmEifQ=="/>
  </w:docVars>
  <w:rsids>
    <w:rsidRoot w:val="00A83303"/>
    <w:rsid w:val="000131DA"/>
    <w:rsid w:val="00014A9C"/>
    <w:rsid w:val="00032600"/>
    <w:rsid w:val="000368A2"/>
    <w:rsid w:val="00037385"/>
    <w:rsid w:val="000417FB"/>
    <w:rsid w:val="000452A3"/>
    <w:rsid w:val="00057AD8"/>
    <w:rsid w:val="00060772"/>
    <w:rsid w:val="000627E1"/>
    <w:rsid w:val="00071CB1"/>
    <w:rsid w:val="00072094"/>
    <w:rsid w:val="00073C0D"/>
    <w:rsid w:val="0007609A"/>
    <w:rsid w:val="00086890"/>
    <w:rsid w:val="0008777E"/>
    <w:rsid w:val="000A7243"/>
    <w:rsid w:val="000B460E"/>
    <w:rsid w:val="000B4A22"/>
    <w:rsid w:val="000C0C51"/>
    <w:rsid w:val="000C1276"/>
    <w:rsid w:val="000D3D41"/>
    <w:rsid w:val="000D4714"/>
    <w:rsid w:val="000D49FC"/>
    <w:rsid w:val="000D4FB5"/>
    <w:rsid w:val="000E2A21"/>
    <w:rsid w:val="000E4466"/>
    <w:rsid w:val="000E5E73"/>
    <w:rsid w:val="000E6E0B"/>
    <w:rsid w:val="000F589F"/>
    <w:rsid w:val="0010216C"/>
    <w:rsid w:val="00106E54"/>
    <w:rsid w:val="00113140"/>
    <w:rsid w:val="00113491"/>
    <w:rsid w:val="00116823"/>
    <w:rsid w:val="00117CD6"/>
    <w:rsid w:val="00117E92"/>
    <w:rsid w:val="00130517"/>
    <w:rsid w:val="001371C2"/>
    <w:rsid w:val="00141C65"/>
    <w:rsid w:val="00147946"/>
    <w:rsid w:val="00147B71"/>
    <w:rsid w:val="0015370D"/>
    <w:rsid w:val="001728FD"/>
    <w:rsid w:val="00174F76"/>
    <w:rsid w:val="001770FB"/>
    <w:rsid w:val="00180751"/>
    <w:rsid w:val="00181EF2"/>
    <w:rsid w:val="00190A44"/>
    <w:rsid w:val="001A1FED"/>
    <w:rsid w:val="001A28C4"/>
    <w:rsid w:val="001B21E9"/>
    <w:rsid w:val="001C1214"/>
    <w:rsid w:val="001C1A28"/>
    <w:rsid w:val="001C3841"/>
    <w:rsid w:val="001C5B46"/>
    <w:rsid w:val="001E313F"/>
    <w:rsid w:val="001F17F7"/>
    <w:rsid w:val="001F40B9"/>
    <w:rsid w:val="001F4FDE"/>
    <w:rsid w:val="001F6705"/>
    <w:rsid w:val="001F6E41"/>
    <w:rsid w:val="00206D99"/>
    <w:rsid w:val="002107AA"/>
    <w:rsid w:val="00212EBE"/>
    <w:rsid w:val="002134F8"/>
    <w:rsid w:val="00213E70"/>
    <w:rsid w:val="00214006"/>
    <w:rsid w:val="00217464"/>
    <w:rsid w:val="002252D0"/>
    <w:rsid w:val="00230FC3"/>
    <w:rsid w:val="00234EC9"/>
    <w:rsid w:val="00245664"/>
    <w:rsid w:val="00254E63"/>
    <w:rsid w:val="00257ECB"/>
    <w:rsid w:val="00260D6C"/>
    <w:rsid w:val="00260FF5"/>
    <w:rsid w:val="00261E7D"/>
    <w:rsid w:val="002638C4"/>
    <w:rsid w:val="00265296"/>
    <w:rsid w:val="00275ADA"/>
    <w:rsid w:val="00286743"/>
    <w:rsid w:val="00287A80"/>
    <w:rsid w:val="002A3736"/>
    <w:rsid w:val="002A5B79"/>
    <w:rsid w:val="002B030E"/>
    <w:rsid w:val="002B1D0F"/>
    <w:rsid w:val="002B2284"/>
    <w:rsid w:val="002C3902"/>
    <w:rsid w:val="002C4031"/>
    <w:rsid w:val="002C77E6"/>
    <w:rsid w:val="002C7E89"/>
    <w:rsid w:val="002D1BE5"/>
    <w:rsid w:val="002F1B12"/>
    <w:rsid w:val="00302455"/>
    <w:rsid w:val="0030258F"/>
    <w:rsid w:val="00303404"/>
    <w:rsid w:val="00310E7A"/>
    <w:rsid w:val="003143CF"/>
    <w:rsid w:val="00330DAC"/>
    <w:rsid w:val="00331089"/>
    <w:rsid w:val="00331AD8"/>
    <w:rsid w:val="00332BC3"/>
    <w:rsid w:val="00337B1D"/>
    <w:rsid w:val="00342493"/>
    <w:rsid w:val="00351893"/>
    <w:rsid w:val="003609D6"/>
    <w:rsid w:val="0036178D"/>
    <w:rsid w:val="00376688"/>
    <w:rsid w:val="00385FA5"/>
    <w:rsid w:val="00387EB5"/>
    <w:rsid w:val="00390EB1"/>
    <w:rsid w:val="003A1A82"/>
    <w:rsid w:val="003A3C41"/>
    <w:rsid w:val="003A4FC6"/>
    <w:rsid w:val="003C5F49"/>
    <w:rsid w:val="003D4328"/>
    <w:rsid w:val="003E18E1"/>
    <w:rsid w:val="003F73E3"/>
    <w:rsid w:val="00402A9E"/>
    <w:rsid w:val="004050F6"/>
    <w:rsid w:val="0041384B"/>
    <w:rsid w:val="004144A1"/>
    <w:rsid w:val="00414624"/>
    <w:rsid w:val="00416F28"/>
    <w:rsid w:val="00417E88"/>
    <w:rsid w:val="00422770"/>
    <w:rsid w:val="00422D56"/>
    <w:rsid w:val="00424C27"/>
    <w:rsid w:val="00433996"/>
    <w:rsid w:val="0043481C"/>
    <w:rsid w:val="004351B4"/>
    <w:rsid w:val="00435643"/>
    <w:rsid w:val="00445518"/>
    <w:rsid w:val="0045794F"/>
    <w:rsid w:val="004676C2"/>
    <w:rsid w:val="00471107"/>
    <w:rsid w:val="00472DFA"/>
    <w:rsid w:val="004777B7"/>
    <w:rsid w:val="0048694A"/>
    <w:rsid w:val="00490387"/>
    <w:rsid w:val="00490958"/>
    <w:rsid w:val="00490B8B"/>
    <w:rsid w:val="00495938"/>
    <w:rsid w:val="00496D47"/>
    <w:rsid w:val="004B3E99"/>
    <w:rsid w:val="004B4647"/>
    <w:rsid w:val="004B4701"/>
    <w:rsid w:val="004B6CFF"/>
    <w:rsid w:val="004B6F3A"/>
    <w:rsid w:val="004C0FD9"/>
    <w:rsid w:val="004C3034"/>
    <w:rsid w:val="004C7EDF"/>
    <w:rsid w:val="004E48D8"/>
    <w:rsid w:val="00510D48"/>
    <w:rsid w:val="00512816"/>
    <w:rsid w:val="00520A5F"/>
    <w:rsid w:val="00522026"/>
    <w:rsid w:val="0052247B"/>
    <w:rsid w:val="00523CB8"/>
    <w:rsid w:val="00526742"/>
    <w:rsid w:val="00527B06"/>
    <w:rsid w:val="00531FE2"/>
    <w:rsid w:val="005340DB"/>
    <w:rsid w:val="0053756E"/>
    <w:rsid w:val="00537F7B"/>
    <w:rsid w:val="00543CE3"/>
    <w:rsid w:val="00556A27"/>
    <w:rsid w:val="0056104C"/>
    <w:rsid w:val="00562374"/>
    <w:rsid w:val="005639B9"/>
    <w:rsid w:val="00566F97"/>
    <w:rsid w:val="0057682C"/>
    <w:rsid w:val="00580AF9"/>
    <w:rsid w:val="00583D9B"/>
    <w:rsid w:val="0059217D"/>
    <w:rsid w:val="00593124"/>
    <w:rsid w:val="005A25F5"/>
    <w:rsid w:val="005A5B7B"/>
    <w:rsid w:val="005B42EA"/>
    <w:rsid w:val="005B6FD5"/>
    <w:rsid w:val="005C6C7D"/>
    <w:rsid w:val="005D3DF5"/>
    <w:rsid w:val="005D57B9"/>
    <w:rsid w:val="005E6D5A"/>
    <w:rsid w:val="005F0ECE"/>
    <w:rsid w:val="005F2A78"/>
    <w:rsid w:val="00606DCA"/>
    <w:rsid w:val="00606FE9"/>
    <w:rsid w:val="00613208"/>
    <w:rsid w:val="006159B2"/>
    <w:rsid w:val="00624B71"/>
    <w:rsid w:val="00633256"/>
    <w:rsid w:val="006356E8"/>
    <w:rsid w:val="00644DBA"/>
    <w:rsid w:val="00645FF1"/>
    <w:rsid w:val="00647636"/>
    <w:rsid w:val="00654026"/>
    <w:rsid w:val="0065570B"/>
    <w:rsid w:val="00660157"/>
    <w:rsid w:val="006654D4"/>
    <w:rsid w:val="006801AA"/>
    <w:rsid w:val="006859BF"/>
    <w:rsid w:val="0068669E"/>
    <w:rsid w:val="00686E9A"/>
    <w:rsid w:val="00687979"/>
    <w:rsid w:val="00693301"/>
    <w:rsid w:val="006954A5"/>
    <w:rsid w:val="006975A1"/>
    <w:rsid w:val="00697CFD"/>
    <w:rsid w:val="006A0251"/>
    <w:rsid w:val="006A4F91"/>
    <w:rsid w:val="006A6B4D"/>
    <w:rsid w:val="006A7E21"/>
    <w:rsid w:val="006B57B7"/>
    <w:rsid w:val="006C4B0A"/>
    <w:rsid w:val="006D11F6"/>
    <w:rsid w:val="006D13CB"/>
    <w:rsid w:val="006D7329"/>
    <w:rsid w:val="006E0D47"/>
    <w:rsid w:val="006E2689"/>
    <w:rsid w:val="006E3F27"/>
    <w:rsid w:val="006E404D"/>
    <w:rsid w:val="006E6BAD"/>
    <w:rsid w:val="006F24B7"/>
    <w:rsid w:val="006F46E9"/>
    <w:rsid w:val="007122C2"/>
    <w:rsid w:val="0071627C"/>
    <w:rsid w:val="0071654B"/>
    <w:rsid w:val="00717E9A"/>
    <w:rsid w:val="0072325F"/>
    <w:rsid w:val="007273F6"/>
    <w:rsid w:val="00736C3A"/>
    <w:rsid w:val="00741568"/>
    <w:rsid w:val="0074307A"/>
    <w:rsid w:val="0074735F"/>
    <w:rsid w:val="00751E02"/>
    <w:rsid w:val="00752818"/>
    <w:rsid w:val="00752B39"/>
    <w:rsid w:val="007570E8"/>
    <w:rsid w:val="00762BA9"/>
    <w:rsid w:val="00762FFD"/>
    <w:rsid w:val="00763DA1"/>
    <w:rsid w:val="00764E5D"/>
    <w:rsid w:val="007772D2"/>
    <w:rsid w:val="00777C71"/>
    <w:rsid w:val="007904CC"/>
    <w:rsid w:val="0079077D"/>
    <w:rsid w:val="007952F0"/>
    <w:rsid w:val="007A0602"/>
    <w:rsid w:val="007A1119"/>
    <w:rsid w:val="007A2EE9"/>
    <w:rsid w:val="007A7D01"/>
    <w:rsid w:val="007D063C"/>
    <w:rsid w:val="007D3DE7"/>
    <w:rsid w:val="007D52F6"/>
    <w:rsid w:val="007D6995"/>
    <w:rsid w:val="007D6D11"/>
    <w:rsid w:val="007D6F4A"/>
    <w:rsid w:val="007E1869"/>
    <w:rsid w:val="007F1A11"/>
    <w:rsid w:val="007F4FCD"/>
    <w:rsid w:val="007F6551"/>
    <w:rsid w:val="007F6F3E"/>
    <w:rsid w:val="007F7DC8"/>
    <w:rsid w:val="00800F2C"/>
    <w:rsid w:val="008026BF"/>
    <w:rsid w:val="00802F46"/>
    <w:rsid w:val="00805A51"/>
    <w:rsid w:val="0081347D"/>
    <w:rsid w:val="008176BF"/>
    <w:rsid w:val="00822B0B"/>
    <w:rsid w:val="00825E2A"/>
    <w:rsid w:val="00827EC2"/>
    <w:rsid w:val="00834D5F"/>
    <w:rsid w:val="00843635"/>
    <w:rsid w:val="00854D32"/>
    <w:rsid w:val="00857BBA"/>
    <w:rsid w:val="008617BC"/>
    <w:rsid w:val="008743BC"/>
    <w:rsid w:val="00876D1A"/>
    <w:rsid w:val="00881EA0"/>
    <w:rsid w:val="00884505"/>
    <w:rsid w:val="008A6B06"/>
    <w:rsid w:val="008B50CD"/>
    <w:rsid w:val="008B74AC"/>
    <w:rsid w:val="008C76A3"/>
    <w:rsid w:val="008C7EBE"/>
    <w:rsid w:val="008D4FD7"/>
    <w:rsid w:val="008D622A"/>
    <w:rsid w:val="008E41BE"/>
    <w:rsid w:val="008E42E7"/>
    <w:rsid w:val="008F4C5D"/>
    <w:rsid w:val="00901DE2"/>
    <w:rsid w:val="009038CA"/>
    <w:rsid w:val="00905522"/>
    <w:rsid w:val="00910F5C"/>
    <w:rsid w:val="00914B2F"/>
    <w:rsid w:val="00922CE3"/>
    <w:rsid w:val="009241CF"/>
    <w:rsid w:val="00925C74"/>
    <w:rsid w:val="00931467"/>
    <w:rsid w:val="00940F48"/>
    <w:rsid w:val="00943797"/>
    <w:rsid w:val="0095180E"/>
    <w:rsid w:val="009552D5"/>
    <w:rsid w:val="00965A63"/>
    <w:rsid w:val="00971C3A"/>
    <w:rsid w:val="0097217B"/>
    <w:rsid w:val="009726AE"/>
    <w:rsid w:val="00993408"/>
    <w:rsid w:val="009B0579"/>
    <w:rsid w:val="009C0036"/>
    <w:rsid w:val="009C1908"/>
    <w:rsid w:val="009C24EE"/>
    <w:rsid w:val="009D1E9F"/>
    <w:rsid w:val="009E1536"/>
    <w:rsid w:val="009E6021"/>
    <w:rsid w:val="009E765C"/>
    <w:rsid w:val="009F0C0A"/>
    <w:rsid w:val="009F5321"/>
    <w:rsid w:val="009F6B97"/>
    <w:rsid w:val="00A15C6F"/>
    <w:rsid w:val="00A16BA1"/>
    <w:rsid w:val="00A16FDB"/>
    <w:rsid w:val="00A21E98"/>
    <w:rsid w:val="00A2518C"/>
    <w:rsid w:val="00A32B50"/>
    <w:rsid w:val="00A33A8B"/>
    <w:rsid w:val="00A35986"/>
    <w:rsid w:val="00A4036C"/>
    <w:rsid w:val="00A414CB"/>
    <w:rsid w:val="00A426FE"/>
    <w:rsid w:val="00A4291E"/>
    <w:rsid w:val="00A433D6"/>
    <w:rsid w:val="00A43C45"/>
    <w:rsid w:val="00A462A7"/>
    <w:rsid w:val="00A47008"/>
    <w:rsid w:val="00A515CF"/>
    <w:rsid w:val="00A5713C"/>
    <w:rsid w:val="00A575A3"/>
    <w:rsid w:val="00A60B91"/>
    <w:rsid w:val="00A74042"/>
    <w:rsid w:val="00A74161"/>
    <w:rsid w:val="00A76BC3"/>
    <w:rsid w:val="00A83303"/>
    <w:rsid w:val="00A83B6B"/>
    <w:rsid w:val="00A92111"/>
    <w:rsid w:val="00A94C21"/>
    <w:rsid w:val="00AB0860"/>
    <w:rsid w:val="00AB0B77"/>
    <w:rsid w:val="00AC2436"/>
    <w:rsid w:val="00AC640A"/>
    <w:rsid w:val="00AC6D70"/>
    <w:rsid w:val="00AD264F"/>
    <w:rsid w:val="00AD3770"/>
    <w:rsid w:val="00AD3772"/>
    <w:rsid w:val="00AE649E"/>
    <w:rsid w:val="00AF115A"/>
    <w:rsid w:val="00B01C18"/>
    <w:rsid w:val="00B01F8A"/>
    <w:rsid w:val="00B04815"/>
    <w:rsid w:val="00B10B47"/>
    <w:rsid w:val="00B144C6"/>
    <w:rsid w:val="00B15389"/>
    <w:rsid w:val="00B23E23"/>
    <w:rsid w:val="00B25687"/>
    <w:rsid w:val="00B277EA"/>
    <w:rsid w:val="00B30726"/>
    <w:rsid w:val="00B328F7"/>
    <w:rsid w:val="00B34333"/>
    <w:rsid w:val="00B41589"/>
    <w:rsid w:val="00B43902"/>
    <w:rsid w:val="00B44F41"/>
    <w:rsid w:val="00B452B2"/>
    <w:rsid w:val="00B61AF7"/>
    <w:rsid w:val="00B6413E"/>
    <w:rsid w:val="00B647DD"/>
    <w:rsid w:val="00B652FC"/>
    <w:rsid w:val="00B708F0"/>
    <w:rsid w:val="00B730E6"/>
    <w:rsid w:val="00B75B49"/>
    <w:rsid w:val="00B8184B"/>
    <w:rsid w:val="00B82D78"/>
    <w:rsid w:val="00B9283F"/>
    <w:rsid w:val="00B94668"/>
    <w:rsid w:val="00BA0673"/>
    <w:rsid w:val="00BA2F62"/>
    <w:rsid w:val="00BB04B8"/>
    <w:rsid w:val="00BB4AD0"/>
    <w:rsid w:val="00BB50E4"/>
    <w:rsid w:val="00BC1E02"/>
    <w:rsid w:val="00BC71F5"/>
    <w:rsid w:val="00BD0FED"/>
    <w:rsid w:val="00BE39A1"/>
    <w:rsid w:val="00BE3C33"/>
    <w:rsid w:val="00BF1096"/>
    <w:rsid w:val="00BF5417"/>
    <w:rsid w:val="00C07228"/>
    <w:rsid w:val="00C1070B"/>
    <w:rsid w:val="00C13ADB"/>
    <w:rsid w:val="00C14F6F"/>
    <w:rsid w:val="00C16824"/>
    <w:rsid w:val="00C21F32"/>
    <w:rsid w:val="00C25973"/>
    <w:rsid w:val="00C3363C"/>
    <w:rsid w:val="00C37764"/>
    <w:rsid w:val="00C51F5B"/>
    <w:rsid w:val="00C54961"/>
    <w:rsid w:val="00C60E79"/>
    <w:rsid w:val="00C61551"/>
    <w:rsid w:val="00C708CC"/>
    <w:rsid w:val="00C7468B"/>
    <w:rsid w:val="00C751C1"/>
    <w:rsid w:val="00C75573"/>
    <w:rsid w:val="00C8125D"/>
    <w:rsid w:val="00C854D4"/>
    <w:rsid w:val="00C85C42"/>
    <w:rsid w:val="00C8618D"/>
    <w:rsid w:val="00CA38BA"/>
    <w:rsid w:val="00CA6244"/>
    <w:rsid w:val="00CA7344"/>
    <w:rsid w:val="00CA7639"/>
    <w:rsid w:val="00CB0860"/>
    <w:rsid w:val="00CB38CA"/>
    <w:rsid w:val="00CB74A1"/>
    <w:rsid w:val="00CC4EBB"/>
    <w:rsid w:val="00CC51FA"/>
    <w:rsid w:val="00CC6F47"/>
    <w:rsid w:val="00CC6F68"/>
    <w:rsid w:val="00CC7275"/>
    <w:rsid w:val="00CD0470"/>
    <w:rsid w:val="00CD0A4B"/>
    <w:rsid w:val="00CD2868"/>
    <w:rsid w:val="00CD40B8"/>
    <w:rsid w:val="00CD7A63"/>
    <w:rsid w:val="00CD7CF2"/>
    <w:rsid w:val="00CE2654"/>
    <w:rsid w:val="00CF2089"/>
    <w:rsid w:val="00CF6295"/>
    <w:rsid w:val="00D0422C"/>
    <w:rsid w:val="00D079B3"/>
    <w:rsid w:val="00D12A5E"/>
    <w:rsid w:val="00D12B05"/>
    <w:rsid w:val="00D13571"/>
    <w:rsid w:val="00D16C00"/>
    <w:rsid w:val="00D31AFA"/>
    <w:rsid w:val="00D35BD6"/>
    <w:rsid w:val="00D37A43"/>
    <w:rsid w:val="00D409CC"/>
    <w:rsid w:val="00D42792"/>
    <w:rsid w:val="00D42D63"/>
    <w:rsid w:val="00D436A6"/>
    <w:rsid w:val="00D57408"/>
    <w:rsid w:val="00D639B4"/>
    <w:rsid w:val="00D64173"/>
    <w:rsid w:val="00D700ED"/>
    <w:rsid w:val="00D71D10"/>
    <w:rsid w:val="00D7366F"/>
    <w:rsid w:val="00D73F15"/>
    <w:rsid w:val="00D757B9"/>
    <w:rsid w:val="00D85927"/>
    <w:rsid w:val="00D86BA7"/>
    <w:rsid w:val="00D9045A"/>
    <w:rsid w:val="00D904CE"/>
    <w:rsid w:val="00DA40A7"/>
    <w:rsid w:val="00DA5A4F"/>
    <w:rsid w:val="00DB46DC"/>
    <w:rsid w:val="00DD0211"/>
    <w:rsid w:val="00DD2DFA"/>
    <w:rsid w:val="00DE0F87"/>
    <w:rsid w:val="00DF1F58"/>
    <w:rsid w:val="00DF3152"/>
    <w:rsid w:val="00DF6D3E"/>
    <w:rsid w:val="00DF71C7"/>
    <w:rsid w:val="00E02A68"/>
    <w:rsid w:val="00E05B16"/>
    <w:rsid w:val="00E14C78"/>
    <w:rsid w:val="00E166CB"/>
    <w:rsid w:val="00E203BD"/>
    <w:rsid w:val="00E23BFD"/>
    <w:rsid w:val="00E3247C"/>
    <w:rsid w:val="00E32DF7"/>
    <w:rsid w:val="00E3703A"/>
    <w:rsid w:val="00E47719"/>
    <w:rsid w:val="00E5500E"/>
    <w:rsid w:val="00E655E1"/>
    <w:rsid w:val="00E8490D"/>
    <w:rsid w:val="00E96772"/>
    <w:rsid w:val="00EA178C"/>
    <w:rsid w:val="00EA2C5C"/>
    <w:rsid w:val="00EB1CE8"/>
    <w:rsid w:val="00EB488D"/>
    <w:rsid w:val="00EB5741"/>
    <w:rsid w:val="00EB6A7D"/>
    <w:rsid w:val="00EC55CD"/>
    <w:rsid w:val="00EC749A"/>
    <w:rsid w:val="00ED2DE5"/>
    <w:rsid w:val="00ED5681"/>
    <w:rsid w:val="00ED5B0B"/>
    <w:rsid w:val="00EF0DF2"/>
    <w:rsid w:val="00EF6D93"/>
    <w:rsid w:val="00F015D3"/>
    <w:rsid w:val="00F017C0"/>
    <w:rsid w:val="00F07D74"/>
    <w:rsid w:val="00F1390E"/>
    <w:rsid w:val="00F30BDE"/>
    <w:rsid w:val="00F37518"/>
    <w:rsid w:val="00F42AB7"/>
    <w:rsid w:val="00F46D8C"/>
    <w:rsid w:val="00F62C54"/>
    <w:rsid w:val="00F6592C"/>
    <w:rsid w:val="00F66C53"/>
    <w:rsid w:val="00F67B99"/>
    <w:rsid w:val="00F71A6C"/>
    <w:rsid w:val="00F74D8C"/>
    <w:rsid w:val="00F7555F"/>
    <w:rsid w:val="00F76925"/>
    <w:rsid w:val="00F817C8"/>
    <w:rsid w:val="00F821F1"/>
    <w:rsid w:val="00F82367"/>
    <w:rsid w:val="00F87BF8"/>
    <w:rsid w:val="00F87F7C"/>
    <w:rsid w:val="00F94962"/>
    <w:rsid w:val="00F96C73"/>
    <w:rsid w:val="00FA2B7B"/>
    <w:rsid w:val="00FA4291"/>
    <w:rsid w:val="00FB06C1"/>
    <w:rsid w:val="00FB5A44"/>
    <w:rsid w:val="00FC469D"/>
    <w:rsid w:val="00FD042B"/>
    <w:rsid w:val="00FE3947"/>
    <w:rsid w:val="00FE477E"/>
    <w:rsid w:val="00FF0C75"/>
    <w:rsid w:val="01011432"/>
    <w:rsid w:val="02427F54"/>
    <w:rsid w:val="02FE3E7B"/>
    <w:rsid w:val="037B196F"/>
    <w:rsid w:val="04742EC9"/>
    <w:rsid w:val="07131EBF"/>
    <w:rsid w:val="0A1407E3"/>
    <w:rsid w:val="0D916B49"/>
    <w:rsid w:val="0E5D73F6"/>
    <w:rsid w:val="10EA7EE0"/>
    <w:rsid w:val="12A72E86"/>
    <w:rsid w:val="13021765"/>
    <w:rsid w:val="13E470BD"/>
    <w:rsid w:val="14952165"/>
    <w:rsid w:val="1666200B"/>
    <w:rsid w:val="17E664D0"/>
    <w:rsid w:val="180A5BB5"/>
    <w:rsid w:val="182863DB"/>
    <w:rsid w:val="19DA5B8C"/>
    <w:rsid w:val="1C497FD9"/>
    <w:rsid w:val="1CDD0B4D"/>
    <w:rsid w:val="1EF86D03"/>
    <w:rsid w:val="20214451"/>
    <w:rsid w:val="20621A95"/>
    <w:rsid w:val="21091F3B"/>
    <w:rsid w:val="23492A98"/>
    <w:rsid w:val="23A06FEE"/>
    <w:rsid w:val="23D83E1C"/>
    <w:rsid w:val="25302162"/>
    <w:rsid w:val="254F31EF"/>
    <w:rsid w:val="25C8235F"/>
    <w:rsid w:val="27B7233D"/>
    <w:rsid w:val="281F026C"/>
    <w:rsid w:val="28270CB9"/>
    <w:rsid w:val="29192782"/>
    <w:rsid w:val="295E4204"/>
    <w:rsid w:val="29C7308E"/>
    <w:rsid w:val="2AF27EBA"/>
    <w:rsid w:val="2EA72D69"/>
    <w:rsid w:val="2F6F7D2B"/>
    <w:rsid w:val="308D1307"/>
    <w:rsid w:val="312E2823"/>
    <w:rsid w:val="36294F8D"/>
    <w:rsid w:val="367E6AA5"/>
    <w:rsid w:val="38390ED6"/>
    <w:rsid w:val="3E74421A"/>
    <w:rsid w:val="3FF83AE9"/>
    <w:rsid w:val="44D21016"/>
    <w:rsid w:val="499846A4"/>
    <w:rsid w:val="49BA174B"/>
    <w:rsid w:val="4B814C16"/>
    <w:rsid w:val="4D5D520F"/>
    <w:rsid w:val="4E056EFF"/>
    <w:rsid w:val="51180B8E"/>
    <w:rsid w:val="520B6E54"/>
    <w:rsid w:val="53B51901"/>
    <w:rsid w:val="54600D53"/>
    <w:rsid w:val="54B81D72"/>
    <w:rsid w:val="55BF0815"/>
    <w:rsid w:val="55C378D7"/>
    <w:rsid w:val="56535A10"/>
    <w:rsid w:val="5AB937C9"/>
    <w:rsid w:val="5F942C6F"/>
    <w:rsid w:val="621E5376"/>
    <w:rsid w:val="653F5AD8"/>
    <w:rsid w:val="68DA1B72"/>
    <w:rsid w:val="6A270BD0"/>
    <w:rsid w:val="6CC36FBB"/>
    <w:rsid w:val="703674CE"/>
    <w:rsid w:val="737A1DC7"/>
    <w:rsid w:val="7B2A3D31"/>
    <w:rsid w:val="7C6D24C9"/>
    <w:rsid w:val="7D3B25C7"/>
    <w:rsid w:val="7D8E70AB"/>
    <w:rsid w:val="7EF95B73"/>
    <w:rsid w:val="7FE707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autoRedefine/>
    <w:qFormat/>
    <w:uiPriority w:val="99"/>
    <w:pPr>
      <w:ind w:firstLine="240"/>
    </w:pPr>
    <w:rPr>
      <w:sz w:val="24"/>
    </w:rPr>
  </w:style>
  <w:style w:type="paragraph" w:styleId="3">
    <w:name w:val="Plain Text"/>
    <w:basedOn w:val="1"/>
    <w:link w:val="11"/>
    <w:autoRedefine/>
    <w:qFormat/>
    <w:uiPriority w:val="99"/>
    <w:rPr>
      <w:rFonts w:ascii="宋体" w:hAnsi="Courier New"/>
      <w:szCs w:val="20"/>
    </w:rPr>
  </w:style>
  <w:style w:type="paragraph" w:styleId="4">
    <w:name w:val="Date"/>
    <w:basedOn w:val="1"/>
    <w:next w:val="1"/>
    <w:link w:val="10"/>
    <w:autoRedefine/>
    <w:qFormat/>
    <w:uiPriority w:val="99"/>
    <w:pPr>
      <w:ind w:left="100" w:leftChars="2500"/>
    </w:pPr>
    <w:rPr>
      <w:sz w:val="2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0">
    <w:name w:val="日期 字符"/>
    <w:link w:val="4"/>
    <w:autoRedefine/>
    <w:semiHidden/>
    <w:qFormat/>
    <w:uiPriority w:val="99"/>
    <w:rPr>
      <w:szCs w:val="24"/>
    </w:rPr>
  </w:style>
  <w:style w:type="character" w:customStyle="1" w:styleId="11">
    <w:name w:val="纯文本 字符"/>
    <w:link w:val="3"/>
    <w:autoRedefine/>
    <w:semiHidden/>
    <w:qFormat/>
    <w:uiPriority w:val="99"/>
    <w:rPr>
      <w:rFonts w:ascii="宋体" w:hAnsi="Courier New" w:cs="Courier New"/>
      <w:szCs w:val="21"/>
    </w:rPr>
  </w:style>
  <w:style w:type="paragraph" w:customStyle="1" w:styleId="12">
    <w:name w:val="封面标准英文名称"/>
    <w:autoRedefine/>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
    <w:name w:val="章标题"/>
    <w:next w:val="1"/>
    <w:autoRedefine/>
    <w:qFormat/>
    <w:uiPriority w:val="99"/>
    <w:pPr>
      <w:tabs>
        <w:tab w:val="left" w:pos="360"/>
      </w:tabs>
      <w:spacing w:beforeLines="50" w:afterLines="50"/>
      <w:jc w:val="both"/>
      <w:outlineLvl w:val="1"/>
    </w:pPr>
    <w:rPr>
      <w:rFonts w:ascii="黑体" w:hAnsi="Times New Roman" w:eastAsia="黑体" w:cs="Times New Roman"/>
      <w:sz w:val="21"/>
      <w:lang w:val="en-US" w:eastAsia="zh-CN" w:bidi="ar-SA"/>
    </w:rPr>
  </w:style>
  <w:style w:type="character" w:customStyle="1" w:styleId="14">
    <w:name w:val="正文文本缩进 字符"/>
    <w:link w:val="2"/>
    <w:autoRedefine/>
    <w:semiHidden/>
    <w:qFormat/>
    <w:uiPriority w:val="99"/>
    <w:rPr>
      <w:szCs w:val="24"/>
    </w:rPr>
  </w:style>
  <w:style w:type="paragraph" w:customStyle="1" w:styleId="15">
    <w:name w:val="目次、标准名称标题"/>
    <w:basedOn w:val="1"/>
    <w:next w:val="1"/>
    <w:autoRedefine/>
    <w:qFormat/>
    <w:uiPriority w:val="99"/>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Char Char Char Char Char Char Char Char Char Char Char Char Char Char Char Char Char Char Char Char Char Char Char Char Char Char Char Char Char Char Char Char Char Char Char Char Char Char Char Char"/>
    <w:basedOn w:val="1"/>
    <w:autoRedefine/>
    <w:qFormat/>
    <w:uiPriority w:val="99"/>
    <w:rPr>
      <w:sz w:val="24"/>
    </w:rPr>
  </w:style>
  <w:style w:type="character" w:customStyle="1" w:styleId="17">
    <w:name w:val="标题1"/>
    <w:autoRedefine/>
    <w:qFormat/>
    <w:uiPriority w:val="99"/>
    <w:rPr>
      <w:rFonts w:cs="Times New Roman"/>
    </w:rPr>
  </w:style>
  <w:style w:type="character" w:customStyle="1" w:styleId="18">
    <w:name w:val="页眉 字符"/>
    <w:link w:val="6"/>
    <w:autoRedefine/>
    <w:semiHidden/>
    <w:qFormat/>
    <w:uiPriority w:val="99"/>
    <w:rPr>
      <w:sz w:val="18"/>
      <w:szCs w:val="18"/>
    </w:rPr>
  </w:style>
  <w:style w:type="character" w:customStyle="1" w:styleId="19">
    <w:name w:val="页脚 字符"/>
    <w:link w:val="5"/>
    <w:autoRedefine/>
    <w:qFormat/>
    <w:locked/>
    <w:uiPriority w:val="99"/>
    <w:rPr>
      <w:rFonts w:cs="Times New Roman"/>
      <w:kern w:val="2"/>
      <w:sz w:val="18"/>
      <w:szCs w:val="18"/>
    </w:rPr>
  </w:style>
  <w:style w:type="paragraph" w:customStyle="1" w:styleId="20">
    <w:name w:val="段"/>
    <w:link w:val="21"/>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w:link w:val="20"/>
    <w:autoRedefine/>
    <w:qFormat/>
    <w:locked/>
    <w:uiPriority w:val="99"/>
    <w:rPr>
      <w:rFonts w:ascii="宋体" w:cs="Times New Roman"/>
      <w:sz w:val="21"/>
      <w:lang w:val="en-US" w:eastAsia="zh-CN" w:bidi="ar-SA"/>
    </w:rPr>
  </w:style>
  <w:style w:type="paragraph" w:customStyle="1" w:styleId="22">
    <w:name w:val="数字编号列项（二级）"/>
    <w:autoRedefine/>
    <w:qFormat/>
    <w:uiPriority w:val="99"/>
    <w:pPr>
      <w:numPr>
        <w:ilvl w:val="1"/>
        <w:numId w:val="1"/>
      </w:numPr>
      <w:ind w:firstLine="200" w:firstLineChars="200"/>
      <w:jc w:val="both"/>
    </w:pPr>
    <w:rPr>
      <w:rFonts w:ascii="宋体" w:hAnsi="Times New Roman" w:eastAsia="宋体" w:cs="Times New Roman"/>
      <w:sz w:val="21"/>
      <w:lang w:val="en-US" w:eastAsia="zh-CN" w:bidi="ar-SA"/>
    </w:rPr>
  </w:style>
  <w:style w:type="paragraph" w:customStyle="1" w:styleId="23">
    <w:name w:val="字母编号列项（一级）"/>
    <w:autoRedefine/>
    <w:qFormat/>
    <w:uiPriority w:val="99"/>
    <w:pPr>
      <w:numPr>
        <w:ilvl w:val="0"/>
        <w:numId w:val="1"/>
      </w:numPr>
      <w:ind w:firstLine="0"/>
      <w:jc w:val="both"/>
    </w:pPr>
    <w:rPr>
      <w:rFonts w:ascii="宋体" w:hAnsi="Times New Roman" w:eastAsia="宋体" w:cs="Times New Roman"/>
      <w:sz w:val="21"/>
      <w:lang w:val="en-US" w:eastAsia="zh-CN" w:bidi="ar-SA"/>
    </w:rPr>
  </w:style>
  <w:style w:type="paragraph" w:customStyle="1" w:styleId="24">
    <w:name w:val="编号列项（三级）"/>
    <w:autoRedefine/>
    <w:qFormat/>
    <w:uiPriority w:val="99"/>
    <w:pPr>
      <w:numPr>
        <w:ilvl w:val="2"/>
        <w:numId w:val="1"/>
      </w:numPr>
      <w:ind w:firstLine="200" w:firstLineChars="200"/>
      <w:jc w:val="both"/>
    </w:pPr>
    <w:rPr>
      <w:rFonts w:ascii="宋体" w:hAnsi="Times New Roman" w:eastAsia="宋体" w:cs="Times New Roman"/>
      <w:sz w:val="21"/>
      <w:lang w:val="en-US" w:eastAsia="zh-CN" w:bidi="ar-SA"/>
    </w:rPr>
  </w:style>
  <w:style w:type="paragraph" w:customStyle="1" w:styleId="25">
    <w:name w:val="注：（正文）"/>
    <w:basedOn w:val="1"/>
    <w:next w:val="20"/>
    <w:autoRedefine/>
    <w:qFormat/>
    <w:uiPriority w:val="99"/>
    <w:pPr>
      <w:autoSpaceDE w:val="0"/>
      <w:autoSpaceDN w:val="0"/>
      <w:ind w:left="726" w:hanging="363" w:firstLineChars="200"/>
    </w:pPr>
    <w:rPr>
      <w:rFonts w:ascii="宋体"/>
      <w:kern w:val="0"/>
      <w:sz w:val="18"/>
      <w:szCs w:val="18"/>
    </w:rPr>
  </w:style>
  <w:style w:type="paragraph" w:styleId="26">
    <w:name w:val="List Paragraph"/>
    <w:basedOn w:val="1"/>
    <w:autoRedefine/>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CREM</Company>
  <Pages>5</Pages>
  <Words>546</Words>
  <Characters>3114</Characters>
  <Lines>25</Lines>
  <Paragraphs>7</Paragraphs>
  <TotalTime>8</TotalTime>
  <ScaleCrop>false</ScaleCrop>
  <LinksUpToDate>false</LinksUpToDate>
  <CharactersWithSpaces>3653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2014-04-03T13:53:00Z</dcterms:created>
  <dc:creator>hongwai</dc:creator>
  <cp:lastModifiedBy>陈晓霞</cp:lastModifiedBy>
  <cp:lastPrinted>2007-06-11T07:34:00Z</cp:lastPrinted>
  <dcterms:modified xsi:type="dcterms:W3CDTF">2024-06-07T06:24:33Z</dcterms:modified>
  <dc:title>硅中代位碳原子含量</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AA6AF6D5C89E436AB5CE0A06065EA037_12</vt:lpwstr>
  </property>
</Properties>
</file>