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6BE66">
      <w:pPr>
        <w:spacing w:line="360" w:lineRule="auto"/>
        <w:jc w:val="center"/>
        <w:rPr>
          <w:b/>
          <w:color w:val="auto"/>
          <w:sz w:val="30"/>
        </w:rPr>
      </w:pPr>
      <w:r>
        <w:rPr>
          <w:rFonts w:hint="eastAsia"/>
          <w:b/>
          <w:color w:val="auto"/>
          <w:sz w:val="30"/>
          <w:lang w:val="en-US" w:eastAsia="zh-CN"/>
        </w:rPr>
        <w:t>三碘化铑</w:t>
      </w:r>
      <w:r>
        <w:rPr>
          <w:rFonts w:hint="eastAsia"/>
          <w:b/>
          <w:color w:val="auto"/>
          <w:sz w:val="30"/>
        </w:rPr>
        <w:t>行业标准</w:t>
      </w:r>
    </w:p>
    <w:p w14:paraId="0CFF99D3">
      <w:pPr>
        <w:spacing w:line="360" w:lineRule="auto"/>
        <w:jc w:val="center"/>
        <w:rPr>
          <w:b/>
          <w:color w:val="auto"/>
          <w:sz w:val="30"/>
        </w:rPr>
      </w:pPr>
      <w:r>
        <w:rPr>
          <w:rFonts w:hint="eastAsia"/>
          <w:b/>
          <w:color w:val="auto"/>
          <w:sz w:val="30"/>
        </w:rPr>
        <w:t>编制说明</w:t>
      </w:r>
    </w:p>
    <w:p w14:paraId="3B222CD9">
      <w:pPr>
        <w:pStyle w:val="14"/>
        <w:numPr>
          <w:ilvl w:val="0"/>
          <w:numId w:val="1"/>
        </w:numPr>
        <w:ind w:firstLineChars="0"/>
        <w:rPr>
          <w:rFonts w:ascii="宋体" w:hAnsi="宋体"/>
          <w:b/>
          <w:color w:val="auto"/>
          <w:sz w:val="24"/>
        </w:rPr>
      </w:pPr>
      <w:r>
        <w:rPr>
          <w:rFonts w:hint="eastAsia" w:ascii="宋体" w:hAnsi="宋体"/>
          <w:b/>
          <w:color w:val="auto"/>
          <w:sz w:val="24"/>
        </w:rPr>
        <w:t>工作简况</w:t>
      </w:r>
    </w:p>
    <w:p w14:paraId="60EEBCB5">
      <w:pPr>
        <w:rPr>
          <w:rFonts w:ascii="宋体" w:hAnsi="宋体"/>
          <w:b/>
          <w:color w:val="auto"/>
          <w:sz w:val="24"/>
        </w:rPr>
      </w:pPr>
      <w:r>
        <w:rPr>
          <w:rFonts w:hint="eastAsia" w:ascii="宋体" w:hAnsi="宋体"/>
          <w:b/>
          <w:color w:val="auto"/>
          <w:sz w:val="24"/>
        </w:rPr>
        <w:t>（一）任务来源</w:t>
      </w:r>
    </w:p>
    <w:p w14:paraId="2675EB73">
      <w:pPr>
        <w:rPr>
          <w:rFonts w:hint="eastAsia" w:ascii="宋体" w:hAnsi="Times New Roman" w:eastAsia="宋体" w:cs="Times New Roman"/>
          <w:color w:val="auto"/>
          <w:kern w:val="0"/>
          <w:sz w:val="24"/>
          <w:szCs w:val="24"/>
          <w:lang w:val="en-US" w:eastAsia="zh-CN" w:bidi="ar-SA"/>
        </w:rPr>
      </w:pPr>
      <w:r>
        <w:rPr>
          <w:rFonts w:hint="eastAsia" w:ascii="宋体" w:hAnsi="宋体"/>
          <w:b/>
          <w:color w:val="auto"/>
          <w:sz w:val="24"/>
        </w:rPr>
        <w:t>1.1计划批准文件名称、文</w:t>
      </w:r>
      <w:r>
        <w:rPr>
          <w:rFonts w:hint="eastAsia" w:ascii="宋体" w:hAnsi="Times New Roman" w:eastAsia="宋体" w:cs="Times New Roman"/>
          <w:color w:val="auto"/>
          <w:kern w:val="0"/>
          <w:sz w:val="24"/>
          <w:szCs w:val="24"/>
          <w:lang w:val="en-US" w:eastAsia="zh-CN" w:bidi="ar-SA"/>
        </w:rPr>
        <w:t>号及项目编号、项目名称、计划完成年限、项目名称更改说明、编制组成员（单位）</w:t>
      </w:r>
    </w:p>
    <w:p w14:paraId="32E11E2A">
      <w:pPr>
        <w:ind w:firstLine="480" w:firstLineChars="200"/>
        <w:rPr>
          <w:rFonts w:hint="eastAsia" w:ascii="宋体" w:hAnsi="Times New Roman" w:eastAsia="宋体" w:cs="Times New Roman"/>
          <w:color w:val="auto"/>
          <w:kern w:val="0"/>
          <w:sz w:val="24"/>
          <w:szCs w:val="24"/>
          <w:lang w:val="en-US" w:eastAsia="zh-CN" w:bidi="ar-SA"/>
        </w:rPr>
      </w:pPr>
      <w:r>
        <w:rPr>
          <w:rFonts w:hint="eastAsia" w:ascii="宋体" w:hAnsi="Times New Roman" w:eastAsia="宋体" w:cs="Times New Roman"/>
          <w:color w:val="auto"/>
          <w:kern w:val="0"/>
          <w:sz w:val="24"/>
          <w:szCs w:val="24"/>
          <w:lang w:val="en-US" w:eastAsia="zh-CN" w:bidi="ar-SA"/>
        </w:rPr>
        <w:t>根据工业和信息化部[2023]291号文</w:t>
      </w:r>
      <w:r>
        <w:rPr>
          <w:rFonts w:hint="eastAsia" w:ascii="宋体" w:cs="Times New Roman"/>
          <w:color w:val="auto"/>
          <w:kern w:val="0"/>
          <w:sz w:val="24"/>
          <w:szCs w:val="24"/>
          <w:lang w:val="en-US" w:eastAsia="zh-CN" w:bidi="ar-SA"/>
        </w:rPr>
        <w:t>，</w:t>
      </w:r>
      <w:r>
        <w:rPr>
          <w:rFonts w:hint="eastAsia" w:ascii="宋体" w:hAnsi="Times New Roman" w:eastAsia="宋体" w:cs="Times New Roman"/>
          <w:color w:val="auto"/>
          <w:kern w:val="0"/>
          <w:sz w:val="24"/>
          <w:szCs w:val="24"/>
          <w:lang w:val="en-US" w:eastAsia="zh-CN" w:bidi="ar-SA"/>
        </w:rPr>
        <w:t>工业和信息化部办公厅关于印发2023年第三批行业标准制修订和外文版项目计划，有色金属行业标准《三碘化铑》</w:t>
      </w:r>
      <w:r>
        <w:rPr>
          <w:rFonts w:hint="eastAsia" w:ascii="宋体" w:cs="Times New Roman"/>
          <w:color w:val="auto"/>
          <w:kern w:val="0"/>
          <w:sz w:val="24"/>
          <w:szCs w:val="24"/>
          <w:lang w:val="en-US" w:eastAsia="zh-CN" w:bidi="ar-SA"/>
        </w:rPr>
        <w:t>修订</w:t>
      </w:r>
      <w:r>
        <w:rPr>
          <w:rFonts w:hint="eastAsia" w:ascii="宋体" w:hAnsi="Times New Roman" w:eastAsia="宋体" w:cs="Times New Roman"/>
          <w:color w:val="auto"/>
          <w:kern w:val="0"/>
          <w:sz w:val="24"/>
          <w:szCs w:val="24"/>
          <w:lang w:val="en-US" w:eastAsia="zh-CN" w:bidi="ar-SA"/>
        </w:rPr>
        <w:t>项目由全国有色金属标准化技术委员会归口，主要起草单位为贵研化学材料（云南）有限公司，项目计划编号：工信厅科函〔2023〕291号2023-1533T-YS，项目周期为18个月，完成年限为202</w:t>
      </w:r>
      <w:r>
        <w:rPr>
          <w:rFonts w:hint="eastAsia" w:ascii="宋体" w:cs="Times New Roman"/>
          <w:color w:val="auto"/>
          <w:kern w:val="0"/>
          <w:sz w:val="24"/>
          <w:szCs w:val="24"/>
          <w:lang w:val="en-US" w:eastAsia="zh-CN" w:bidi="ar-SA"/>
        </w:rPr>
        <w:t>3</w:t>
      </w:r>
      <w:r>
        <w:rPr>
          <w:rFonts w:hint="eastAsia" w:ascii="宋体" w:hAnsi="Times New Roman" w:eastAsia="宋体" w:cs="Times New Roman"/>
          <w:color w:val="auto"/>
          <w:kern w:val="0"/>
          <w:sz w:val="24"/>
          <w:szCs w:val="24"/>
          <w:lang w:val="en-US" w:eastAsia="zh-CN" w:bidi="ar-SA"/>
        </w:rPr>
        <w:t>年</w:t>
      </w:r>
      <w:r>
        <w:rPr>
          <w:rFonts w:hint="eastAsia" w:ascii="宋体" w:cs="Times New Roman"/>
          <w:color w:val="auto"/>
          <w:kern w:val="0"/>
          <w:sz w:val="24"/>
          <w:szCs w:val="24"/>
          <w:lang w:val="en-US" w:eastAsia="zh-CN" w:bidi="ar-SA"/>
        </w:rPr>
        <w:t>10</w:t>
      </w:r>
      <w:r>
        <w:rPr>
          <w:rFonts w:hint="eastAsia" w:ascii="宋体" w:hAnsi="Times New Roman" w:eastAsia="宋体" w:cs="Times New Roman"/>
          <w:color w:val="auto"/>
          <w:kern w:val="0"/>
          <w:sz w:val="24"/>
          <w:szCs w:val="24"/>
          <w:lang w:val="en-US" w:eastAsia="zh-CN" w:bidi="ar-SA"/>
        </w:rPr>
        <w:t>月至202</w:t>
      </w:r>
      <w:r>
        <w:rPr>
          <w:rFonts w:hint="eastAsia" w:ascii="宋体" w:cs="Times New Roman"/>
          <w:color w:val="auto"/>
          <w:kern w:val="0"/>
          <w:sz w:val="24"/>
          <w:szCs w:val="24"/>
          <w:lang w:val="en-US" w:eastAsia="zh-CN" w:bidi="ar-SA"/>
        </w:rPr>
        <w:t>5</w:t>
      </w:r>
      <w:r>
        <w:rPr>
          <w:rFonts w:hint="eastAsia" w:ascii="宋体" w:hAnsi="Times New Roman" w:eastAsia="宋体" w:cs="Times New Roman"/>
          <w:color w:val="auto"/>
          <w:kern w:val="0"/>
          <w:sz w:val="24"/>
          <w:szCs w:val="24"/>
          <w:lang w:val="en-US" w:eastAsia="zh-CN" w:bidi="ar-SA"/>
        </w:rPr>
        <w:t>年</w:t>
      </w:r>
      <w:r>
        <w:rPr>
          <w:rFonts w:hint="eastAsia" w:ascii="宋体" w:cs="Times New Roman"/>
          <w:color w:val="auto"/>
          <w:kern w:val="0"/>
          <w:sz w:val="24"/>
          <w:szCs w:val="24"/>
          <w:lang w:val="en-US" w:eastAsia="zh-CN" w:bidi="ar-SA"/>
        </w:rPr>
        <w:t>6</w:t>
      </w:r>
      <w:r>
        <w:rPr>
          <w:rFonts w:hint="eastAsia" w:ascii="宋体" w:hAnsi="Times New Roman" w:eastAsia="宋体" w:cs="Times New Roman"/>
          <w:color w:val="auto"/>
          <w:kern w:val="0"/>
          <w:sz w:val="24"/>
          <w:szCs w:val="24"/>
          <w:lang w:val="en-US" w:eastAsia="zh-CN" w:bidi="ar-SA"/>
        </w:rPr>
        <w:t>月</w:t>
      </w:r>
    </w:p>
    <w:p w14:paraId="79145C0C">
      <w:pPr>
        <w:pStyle w:val="15"/>
        <w:numPr>
          <w:ilvl w:val="0"/>
          <w:numId w:val="2"/>
        </w:numPr>
        <w:spacing w:line="360" w:lineRule="auto"/>
        <w:ind w:firstLine="480" w:firstLineChars="0"/>
        <w:rPr>
          <w:rFonts w:hint="eastAsia" w:ascii="宋体" w:hAnsi="宋体" w:eastAsia="宋体" w:cs="宋体"/>
          <w:color w:val="auto"/>
          <w:kern w:val="0"/>
          <w:sz w:val="24"/>
          <w:szCs w:val="24"/>
          <w:lang w:val="en-US" w:eastAsia="zh-CN" w:bidi="ar-SA"/>
        </w:rPr>
      </w:pPr>
      <w:bookmarkStart w:id="0" w:name="_Hlk139277173"/>
      <w:r>
        <w:rPr>
          <w:rFonts w:hint="eastAsia" w:ascii="宋体" w:hAnsi="宋体" w:eastAsia="宋体" w:cs="宋体"/>
          <w:color w:val="auto"/>
          <w:kern w:val="0"/>
          <w:sz w:val="24"/>
          <w:szCs w:val="24"/>
          <w:lang w:val="en-US" w:eastAsia="zh-CN" w:bidi="ar-SA"/>
        </w:rPr>
        <w:t>标准原来由贵研铂业股份有限公司参与起草，因业务发展需要，贵研铂业股份有限公司已更名为</w:t>
      </w:r>
      <w:bookmarkStart w:id="1" w:name="_Hlk156837157"/>
      <w:r>
        <w:rPr>
          <w:rFonts w:hint="eastAsia" w:ascii="宋体" w:hAnsi="宋体" w:eastAsia="宋体" w:cs="宋体"/>
          <w:color w:val="auto"/>
          <w:kern w:val="0"/>
          <w:sz w:val="24"/>
          <w:szCs w:val="24"/>
          <w:lang w:val="en-US" w:eastAsia="zh-CN" w:bidi="ar-SA"/>
        </w:rPr>
        <w:t>云南省贵金属新材料控股集团股份有限公司</w:t>
      </w:r>
      <w:bookmarkEnd w:id="1"/>
      <w:r>
        <w:rPr>
          <w:rFonts w:hint="eastAsia" w:ascii="宋体" w:hAnsi="宋体" w:eastAsia="宋体" w:cs="宋体"/>
          <w:color w:val="auto"/>
          <w:kern w:val="0"/>
          <w:sz w:val="24"/>
          <w:szCs w:val="24"/>
          <w:lang w:val="en-US" w:eastAsia="zh-CN" w:bidi="ar-SA"/>
        </w:rPr>
        <w:t>，更名事宜于 2023 年12月8日通过上市公司股东大会审议，2023 年12月12日完成工商变更，并取得新的营业执照。</w:t>
      </w:r>
    </w:p>
    <w:p w14:paraId="2E315C58">
      <w:pPr>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准起草单位为：贵研化学材料（云南）有限公司、云南省贵金属新材料控股集团股份有限公司、云南贵金属实验室有限公司、贵研资源（易门）有限公司、昆明贵金属研究所、浙江微通催化新材料有限公司、西安凯立新材料股份有限公司、陕西瑞科新材料股份有限公司、有色金属技术经济研究院有限责任公司、有研亿金新材料有限公司、山东有研国晶辉新材料有限公司。</w:t>
      </w:r>
    </w:p>
    <w:bookmarkEnd w:id="0"/>
    <w:p w14:paraId="0ED72417">
      <w:pPr>
        <w:pStyle w:val="15"/>
        <w:spacing w:line="360" w:lineRule="auto"/>
        <w:ind w:left="480" w:firstLine="0" w:firstLineChars="0"/>
        <w:rPr>
          <w:rFonts w:hint="eastAsia"/>
          <w:color w:val="auto"/>
          <w:sz w:val="24"/>
          <w:szCs w:val="24"/>
        </w:rPr>
      </w:pPr>
    </w:p>
    <w:p w14:paraId="559222D1">
      <w:pPr>
        <w:rPr>
          <w:rFonts w:ascii="宋体" w:hAnsi="宋体"/>
          <w:b/>
          <w:color w:val="auto"/>
          <w:sz w:val="24"/>
        </w:rPr>
      </w:pPr>
      <w:r>
        <w:rPr>
          <w:rFonts w:hint="eastAsia" w:ascii="宋体" w:hAnsi="宋体"/>
          <w:b/>
          <w:color w:val="auto"/>
          <w:sz w:val="24"/>
        </w:rPr>
        <w:t>（二）主要参加单位和工作成员及其所做的工作</w:t>
      </w:r>
    </w:p>
    <w:p w14:paraId="61C8E5EA">
      <w:pPr>
        <w:rPr>
          <w:b/>
          <w:color w:val="auto"/>
          <w:sz w:val="24"/>
        </w:rPr>
      </w:pPr>
      <w:r>
        <w:rPr>
          <w:rFonts w:hint="eastAsia"/>
          <w:b/>
          <w:color w:val="auto"/>
          <w:sz w:val="24"/>
        </w:rPr>
        <w:t>2.1 主要参加单位情况</w:t>
      </w:r>
    </w:p>
    <w:p w14:paraId="35D3B36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标准主起草单位贵研化学材料（云南）有限公司简称贵研化学，是</w:t>
      </w:r>
      <w:r>
        <w:rPr>
          <w:rFonts w:hint="eastAsia"/>
          <w:color w:val="auto"/>
          <w:sz w:val="24"/>
        </w:rPr>
        <w:t>云南省贵金属新材料控股集团股份有限公司</w:t>
      </w:r>
      <w:r>
        <w:rPr>
          <w:rFonts w:hint="eastAsia" w:ascii="宋体" w:hAnsi="宋体" w:cs="宋体"/>
          <w:color w:val="auto"/>
          <w:kern w:val="0"/>
          <w:sz w:val="24"/>
        </w:rPr>
        <w:t>的全资子公司，搬迁至昆明马金铺贵金属新材料产业园区，建设了最先进的贵金属化学品生产线，主要从事贵金属基础化合物、催化剂前驱体化合物、均相催化剂的研发及生产工作，有各类研发人员、工程技术人员和管理人员1</w:t>
      </w:r>
      <w:r>
        <w:rPr>
          <w:rFonts w:hint="eastAsia" w:ascii="宋体" w:hAnsi="宋体" w:cs="宋体"/>
          <w:color w:val="auto"/>
          <w:kern w:val="0"/>
          <w:sz w:val="24"/>
          <w:lang w:val="en-US" w:eastAsia="zh-CN"/>
        </w:rPr>
        <w:t>3</w:t>
      </w:r>
      <w:r>
        <w:rPr>
          <w:rFonts w:hint="eastAsia" w:ascii="宋体" w:hAnsi="宋体" w:cs="宋体"/>
          <w:color w:val="auto"/>
          <w:kern w:val="0"/>
          <w:sz w:val="24"/>
        </w:rPr>
        <w:t>0余人，是目前我国铂族金属化合物的主要生产基地，产品用户遍布全国各行各业上百家企业，部分产品出口到日韩及欧美国家。</w:t>
      </w:r>
      <w:r>
        <w:rPr>
          <w:rFonts w:hint="eastAsia"/>
          <w:color w:val="auto"/>
          <w:sz w:val="24"/>
        </w:rPr>
        <w:t>云南省贵金属新材料控股集团股份有限公司</w:t>
      </w:r>
      <w:r>
        <w:rPr>
          <w:rFonts w:hint="eastAsia"/>
          <w:color w:val="auto"/>
          <w:sz w:val="24"/>
          <w:lang w:val="en-US" w:eastAsia="zh-CN"/>
        </w:rPr>
        <w:t>原料的名称为</w:t>
      </w:r>
      <w:r>
        <w:rPr>
          <w:rFonts w:hint="eastAsia" w:ascii="宋体" w:hAnsi="宋体" w:cs="宋体"/>
          <w:color w:val="auto"/>
          <w:kern w:val="0"/>
          <w:sz w:val="24"/>
        </w:rPr>
        <w:t>贵研铂业股份有限公司</w:t>
      </w:r>
      <w:r>
        <w:rPr>
          <w:rFonts w:hint="eastAsia" w:ascii="宋体" w:hAnsi="宋体" w:cs="宋体"/>
          <w:color w:val="auto"/>
          <w:kern w:val="0"/>
          <w:sz w:val="24"/>
          <w:lang w:eastAsia="zh-CN"/>
        </w:rPr>
        <w:t>，</w:t>
      </w:r>
      <w:r>
        <w:rPr>
          <w:rFonts w:hint="eastAsia" w:ascii="宋体" w:hAnsi="宋体" w:cs="宋体"/>
          <w:color w:val="auto"/>
          <w:kern w:val="0"/>
          <w:sz w:val="24"/>
        </w:rPr>
        <w:t>是</w:t>
      </w:r>
      <w:r>
        <w:rPr>
          <w:rFonts w:hint="eastAsia" w:ascii="宋体" w:hAnsi="宋体" w:cs="宋体"/>
          <w:color w:val="auto"/>
          <w:kern w:val="0"/>
          <w:sz w:val="24"/>
          <w:lang w:val="en-US" w:eastAsia="zh-CN"/>
        </w:rPr>
        <w:t>由</w:t>
      </w:r>
      <w:r>
        <w:rPr>
          <w:rFonts w:hint="eastAsia" w:ascii="宋体" w:hAnsi="宋体" w:cs="宋体"/>
          <w:color w:val="auto"/>
          <w:kern w:val="0"/>
          <w:sz w:val="24"/>
        </w:rPr>
        <w:t>中国唯一从事贵金属多学科领域综合性研究开发机构昆明贵金属研究所发起成立的高新技术企业，于2003年在上海证券交易所上市。公司以标准引领行业发展，持续保持贵金属领域标准制(修)订的优势地位，截至202</w:t>
      </w:r>
      <w:r>
        <w:rPr>
          <w:rFonts w:hint="eastAsia" w:ascii="宋体" w:hAnsi="宋体" w:cs="宋体"/>
          <w:color w:val="auto"/>
          <w:kern w:val="0"/>
          <w:sz w:val="24"/>
          <w:lang w:val="en-US" w:eastAsia="zh-CN"/>
        </w:rPr>
        <w:t>3</w:t>
      </w:r>
      <w:r>
        <w:rPr>
          <w:rFonts w:hint="eastAsia" w:ascii="宋体" w:hAnsi="宋体" w:cs="宋体"/>
          <w:color w:val="auto"/>
          <w:kern w:val="0"/>
          <w:sz w:val="24"/>
        </w:rPr>
        <w:t>年末，主持和参与制订、修订国家标准、国家军用标准、行业标准200多项，具备良好的工作基础。</w:t>
      </w:r>
    </w:p>
    <w:p w14:paraId="3DD230FB">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其他参与编制的单位负责提供用户调研数据，产品分析检测数据，及对标准稿件的意见建议，一起合作完成标准的编制，使标准更具有广泛性、适用性、准确性、代表性。</w:t>
      </w:r>
    </w:p>
    <w:p w14:paraId="0C2CD8F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编制组在标准起草任务落实后，积极组织相关人员查阅和检索国内外有关该产品的技术标准和资料，同时积极开展生产同行及用户的走访调研工作，收集现场实测数据，征求客户使用意见，确定厂家对产品的性能要求及杂质含量允许范围，组织分析检测部门进行相关技术指标的检测分析研究工作，制定科学可靠的检测方法，最后在结合生产实际的基础上完成了本标准草案的编制工作。</w:t>
      </w:r>
    </w:p>
    <w:p w14:paraId="7549927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其它</w:t>
      </w:r>
      <w:r>
        <w:rPr>
          <w:rFonts w:hint="eastAsia" w:ascii="宋体" w:hAnsi="宋体" w:cs="宋体"/>
          <w:color w:val="auto"/>
          <w:kern w:val="0"/>
          <w:sz w:val="24"/>
          <w:lang w:val="en-US" w:eastAsia="zh-CN"/>
        </w:rPr>
        <w:t>参与</w:t>
      </w:r>
      <w:r>
        <w:rPr>
          <w:rFonts w:hint="eastAsia" w:ascii="宋体" w:hAnsi="宋体" w:cs="宋体"/>
          <w:color w:val="auto"/>
          <w:kern w:val="0"/>
          <w:sz w:val="24"/>
        </w:rPr>
        <w:t>编制单位为标准的编制提供了一些有益的建议，为标准技术要求部分提供了有力保障。</w:t>
      </w:r>
    </w:p>
    <w:p w14:paraId="76663F6C">
      <w:pPr>
        <w:spacing w:line="360" w:lineRule="auto"/>
        <w:ind w:firstLine="480" w:firstLineChars="200"/>
        <w:rPr>
          <w:rFonts w:ascii="宋体" w:hAnsi="宋体" w:cs="宋体"/>
          <w:color w:val="auto"/>
          <w:kern w:val="0"/>
          <w:sz w:val="24"/>
        </w:rPr>
      </w:pPr>
    </w:p>
    <w:p w14:paraId="3F3F7D2A">
      <w:pPr>
        <w:rPr>
          <w:b/>
          <w:color w:val="auto"/>
          <w:sz w:val="24"/>
        </w:rPr>
      </w:pPr>
      <w:r>
        <w:rPr>
          <w:rFonts w:hint="eastAsia"/>
          <w:b/>
          <w:color w:val="auto"/>
          <w:sz w:val="24"/>
        </w:rPr>
        <w:t>2.2标准起草主要工作成员所负责的工作情况</w:t>
      </w:r>
    </w:p>
    <w:p w14:paraId="64203CCC">
      <w:pPr>
        <w:pStyle w:val="7"/>
        <w:spacing w:before="0" w:beforeAutospacing="0" w:after="0" w:afterAutospacing="0" w:line="360" w:lineRule="auto"/>
        <w:ind w:firstLine="480" w:firstLineChars="200"/>
        <w:rPr>
          <w:color w:val="auto"/>
        </w:rPr>
      </w:pPr>
      <w:r>
        <w:rPr>
          <w:rFonts w:hint="eastAsia"/>
          <w:color w:val="auto"/>
        </w:rPr>
        <w:t>标准主要起草人均为高级工程师、工程师，且长期从事贵金属化合物的研发及生产工作，先后参与制定了贵金属化合物产品的国家标准或行业标准十余项，曾获中国有色金属行业协会的多项标准奖励，经验丰富，实践能力强。标准起草人及工作职责见表一。</w:t>
      </w:r>
    </w:p>
    <w:p w14:paraId="7F74C49C">
      <w:pPr>
        <w:ind w:firstLine="2400" w:firstLineChars="1000"/>
        <w:rPr>
          <w:color w:val="auto"/>
          <w:sz w:val="24"/>
        </w:rPr>
      </w:pPr>
      <w:r>
        <w:rPr>
          <w:rFonts w:hint="eastAsia"/>
          <w:color w:val="auto"/>
          <w:sz w:val="24"/>
        </w:rPr>
        <w:t>表一 主要起草人及工作职责</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BA3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008280A">
            <w:pPr>
              <w:rPr>
                <w:rFonts w:ascii="Calibri" w:hAnsi="Calibri"/>
                <w:color w:val="auto"/>
                <w:kern w:val="0"/>
                <w:sz w:val="24"/>
              </w:rPr>
            </w:pPr>
            <w:r>
              <w:rPr>
                <w:rFonts w:hint="eastAsia" w:ascii="Calibri" w:hAnsi="Calibri"/>
                <w:color w:val="auto"/>
                <w:kern w:val="0"/>
                <w:sz w:val="24"/>
              </w:rPr>
              <w:t>起草人</w:t>
            </w:r>
          </w:p>
        </w:tc>
        <w:tc>
          <w:tcPr>
            <w:tcW w:w="4261" w:type="dxa"/>
          </w:tcPr>
          <w:p w14:paraId="5EAAEEA6">
            <w:pPr>
              <w:rPr>
                <w:rFonts w:ascii="Calibri" w:hAnsi="Calibri"/>
                <w:color w:val="auto"/>
                <w:kern w:val="0"/>
                <w:sz w:val="24"/>
              </w:rPr>
            </w:pPr>
            <w:r>
              <w:rPr>
                <w:rFonts w:hint="eastAsia" w:ascii="Calibri" w:hAnsi="Calibri"/>
                <w:color w:val="auto"/>
                <w:kern w:val="0"/>
                <w:sz w:val="24"/>
              </w:rPr>
              <w:t>工作职责</w:t>
            </w:r>
          </w:p>
        </w:tc>
      </w:tr>
      <w:tr w14:paraId="1ED7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1461949">
            <w:pPr>
              <w:rPr>
                <w:rFonts w:hint="default" w:ascii="Calibri" w:hAnsi="Calibri" w:eastAsia="宋体"/>
                <w:color w:val="auto"/>
                <w:kern w:val="0"/>
                <w:sz w:val="24"/>
                <w:lang w:val="en-US" w:eastAsia="zh-CN"/>
              </w:rPr>
            </w:pPr>
            <w:r>
              <w:rPr>
                <w:rFonts w:hint="eastAsia" w:ascii="Calibri" w:hAnsi="Calibri"/>
                <w:color w:val="auto"/>
                <w:kern w:val="0"/>
                <w:sz w:val="24"/>
                <w:lang w:val="en-US" w:eastAsia="zh-CN"/>
              </w:rPr>
              <w:t>刘桂华</w:t>
            </w:r>
          </w:p>
        </w:tc>
        <w:tc>
          <w:tcPr>
            <w:tcW w:w="4261" w:type="dxa"/>
          </w:tcPr>
          <w:p w14:paraId="30957051">
            <w:pPr>
              <w:rPr>
                <w:rFonts w:ascii="Calibri" w:hAnsi="Calibri"/>
                <w:color w:val="auto"/>
                <w:kern w:val="0"/>
                <w:sz w:val="24"/>
              </w:rPr>
            </w:pPr>
            <w:r>
              <w:rPr>
                <w:rFonts w:hint="eastAsia" w:ascii="Calibri" w:hAnsi="Calibri"/>
                <w:color w:val="auto"/>
                <w:kern w:val="0"/>
                <w:sz w:val="24"/>
              </w:rPr>
              <w:t>主要负责人，负责标准的编写</w:t>
            </w:r>
            <w:r>
              <w:rPr>
                <w:rFonts w:hint="eastAsia" w:ascii="Calibri" w:hAnsi="Calibri"/>
                <w:color w:val="auto"/>
                <w:kern w:val="0"/>
                <w:sz w:val="24"/>
                <w:lang w:eastAsia="zh-CN"/>
              </w:rPr>
              <w:t>、</w:t>
            </w:r>
            <w:r>
              <w:rPr>
                <w:rFonts w:hint="eastAsia" w:ascii="Calibri" w:hAnsi="Calibri"/>
                <w:color w:val="auto"/>
                <w:kern w:val="0"/>
                <w:sz w:val="24"/>
              </w:rPr>
              <w:t>组织协调工作。</w:t>
            </w:r>
          </w:p>
        </w:tc>
      </w:tr>
      <w:tr w14:paraId="589A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94C41B1">
            <w:pPr>
              <w:rPr>
                <w:rFonts w:hint="default" w:ascii="Calibri" w:hAnsi="Calibri" w:eastAsia="宋体"/>
                <w:color w:val="auto"/>
                <w:kern w:val="0"/>
                <w:sz w:val="24"/>
                <w:lang w:val="en-US" w:eastAsia="zh-CN"/>
              </w:rPr>
            </w:pPr>
            <w:r>
              <w:rPr>
                <w:rFonts w:hint="eastAsia" w:ascii="Calibri" w:hAnsi="Calibri"/>
                <w:color w:val="auto"/>
                <w:kern w:val="0"/>
                <w:sz w:val="24"/>
                <w:lang w:val="en-US" w:eastAsia="zh-CN"/>
              </w:rPr>
              <w:t>侯文明</w:t>
            </w:r>
            <w:r>
              <w:rPr>
                <w:rFonts w:hint="eastAsia" w:ascii="Calibri" w:hAnsi="Calibri"/>
                <w:color w:val="auto"/>
                <w:kern w:val="0"/>
                <w:sz w:val="24"/>
              </w:rPr>
              <w:t>、戴云生</w:t>
            </w:r>
            <w:r>
              <w:rPr>
                <w:rFonts w:hint="eastAsia" w:ascii="Calibri" w:hAnsi="Calibri"/>
                <w:color w:val="auto"/>
                <w:kern w:val="0"/>
                <w:sz w:val="24"/>
                <w:lang w:eastAsia="zh-CN"/>
              </w:rPr>
              <w:t>、</w:t>
            </w:r>
            <w:r>
              <w:rPr>
                <w:rFonts w:hint="eastAsia" w:ascii="Calibri" w:hAnsi="Calibri"/>
                <w:color w:val="auto"/>
                <w:kern w:val="0"/>
                <w:sz w:val="24"/>
                <w:lang w:val="en-US" w:eastAsia="zh-CN"/>
              </w:rPr>
              <w:t>左川</w:t>
            </w:r>
          </w:p>
        </w:tc>
        <w:tc>
          <w:tcPr>
            <w:tcW w:w="4261" w:type="dxa"/>
          </w:tcPr>
          <w:p w14:paraId="7B6F57EB">
            <w:pPr>
              <w:rPr>
                <w:rFonts w:hint="default" w:ascii="Calibri" w:hAnsi="Calibri" w:eastAsia="宋体"/>
                <w:color w:val="auto"/>
                <w:kern w:val="0"/>
                <w:sz w:val="24"/>
                <w:lang w:val="en-US" w:eastAsia="zh-CN"/>
              </w:rPr>
            </w:pPr>
            <w:r>
              <w:rPr>
                <w:rFonts w:hint="eastAsia" w:ascii="Calibri" w:hAnsi="Calibri"/>
                <w:color w:val="auto"/>
                <w:kern w:val="0"/>
                <w:sz w:val="24"/>
                <w:lang w:val="en-US" w:eastAsia="zh-CN"/>
              </w:rPr>
              <w:t>产品策划及指导</w:t>
            </w:r>
          </w:p>
        </w:tc>
      </w:tr>
      <w:tr w14:paraId="18C2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D35F10E">
            <w:pPr>
              <w:rPr>
                <w:rFonts w:hint="default" w:ascii="Calibri" w:hAnsi="Calibri" w:eastAsia="宋体"/>
                <w:color w:val="auto"/>
                <w:kern w:val="0"/>
                <w:sz w:val="24"/>
                <w:lang w:val="en-US" w:eastAsia="zh-CN"/>
              </w:rPr>
            </w:pPr>
            <w:r>
              <w:rPr>
                <w:rFonts w:hint="eastAsia" w:ascii="Calibri" w:hAnsi="Calibri"/>
                <w:color w:val="auto"/>
                <w:kern w:val="0"/>
                <w:sz w:val="24"/>
              </w:rPr>
              <w:t>雷怀东</w:t>
            </w:r>
            <w:r>
              <w:rPr>
                <w:rFonts w:hint="eastAsia" w:ascii="Calibri" w:hAnsi="Calibri"/>
                <w:color w:val="auto"/>
                <w:kern w:val="0"/>
                <w:sz w:val="24"/>
                <w:lang w:eastAsia="zh-CN"/>
              </w:rPr>
              <w:t>、</w:t>
            </w:r>
            <w:r>
              <w:rPr>
                <w:rFonts w:hint="eastAsia" w:ascii="Calibri" w:hAnsi="Calibri"/>
                <w:color w:val="auto"/>
                <w:kern w:val="0"/>
                <w:sz w:val="24"/>
                <w:lang w:val="en-US" w:eastAsia="zh-CN"/>
              </w:rPr>
              <w:t>廖锦阳</w:t>
            </w:r>
          </w:p>
        </w:tc>
        <w:tc>
          <w:tcPr>
            <w:tcW w:w="4261" w:type="dxa"/>
          </w:tcPr>
          <w:p w14:paraId="355E5617">
            <w:pPr>
              <w:rPr>
                <w:rFonts w:hint="default" w:ascii="Calibri" w:hAnsi="Calibri" w:eastAsia="宋体"/>
                <w:color w:val="auto"/>
                <w:kern w:val="0"/>
                <w:sz w:val="24"/>
                <w:lang w:val="en-US" w:eastAsia="zh-CN"/>
              </w:rPr>
            </w:pPr>
            <w:r>
              <w:rPr>
                <w:rFonts w:hint="eastAsia" w:ascii="Calibri" w:hAnsi="Calibri"/>
                <w:color w:val="auto"/>
                <w:kern w:val="0"/>
                <w:sz w:val="24"/>
              </w:rPr>
              <w:t>客户调研工作</w:t>
            </w:r>
            <w:r>
              <w:rPr>
                <w:rFonts w:hint="eastAsia" w:ascii="Calibri" w:hAnsi="Calibri"/>
                <w:color w:val="auto"/>
                <w:kern w:val="0"/>
                <w:sz w:val="24"/>
                <w:lang w:val="en-US" w:eastAsia="zh-CN"/>
              </w:rPr>
              <w:t>及产品销售</w:t>
            </w:r>
          </w:p>
        </w:tc>
      </w:tr>
      <w:tr w14:paraId="5102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62B9F8A">
            <w:pPr>
              <w:rPr>
                <w:rFonts w:hint="default" w:ascii="Calibri" w:hAnsi="Calibri" w:eastAsia="宋体"/>
                <w:color w:val="auto"/>
                <w:kern w:val="0"/>
                <w:sz w:val="24"/>
                <w:lang w:val="en-US" w:eastAsia="zh-CN"/>
              </w:rPr>
            </w:pPr>
            <w:r>
              <w:rPr>
                <w:rFonts w:hint="eastAsia" w:ascii="Calibri" w:hAnsi="Calibri"/>
                <w:color w:val="auto"/>
                <w:kern w:val="0"/>
                <w:sz w:val="24"/>
                <w:lang w:val="en-US" w:eastAsia="zh-CN"/>
              </w:rPr>
              <w:t>杨军</w:t>
            </w:r>
            <w:r>
              <w:rPr>
                <w:rFonts w:hint="eastAsia" w:ascii="Calibri" w:hAnsi="Calibri"/>
                <w:color w:val="auto"/>
                <w:kern w:val="0"/>
                <w:sz w:val="24"/>
              </w:rPr>
              <w:t>、</w:t>
            </w:r>
            <w:r>
              <w:rPr>
                <w:rFonts w:hint="eastAsia" w:ascii="Calibri" w:hAnsi="Calibri"/>
                <w:color w:val="auto"/>
                <w:kern w:val="0"/>
                <w:sz w:val="24"/>
                <w:lang w:val="en-US" w:eastAsia="zh-CN"/>
              </w:rPr>
              <w:t>徐兴成</w:t>
            </w:r>
            <w:r>
              <w:rPr>
                <w:rFonts w:hint="eastAsia" w:ascii="Calibri" w:hAnsi="Calibri"/>
                <w:color w:val="auto"/>
                <w:kern w:val="0"/>
                <w:sz w:val="24"/>
              </w:rPr>
              <w:t>、</w:t>
            </w:r>
            <w:r>
              <w:rPr>
                <w:rFonts w:hint="eastAsia" w:ascii="Calibri" w:hAnsi="Calibri"/>
                <w:color w:val="auto"/>
                <w:kern w:val="0"/>
                <w:sz w:val="24"/>
                <w:lang w:val="en-US" w:eastAsia="zh-CN"/>
              </w:rPr>
              <w:t>许明明</w:t>
            </w:r>
            <w:r>
              <w:rPr>
                <w:rFonts w:hint="eastAsia" w:ascii="Calibri" w:hAnsi="Calibri"/>
                <w:color w:val="auto"/>
                <w:kern w:val="0"/>
                <w:sz w:val="24"/>
              </w:rPr>
              <w:t>、</w:t>
            </w:r>
            <w:r>
              <w:rPr>
                <w:rFonts w:hint="eastAsia" w:ascii="Calibri" w:hAnsi="Calibri"/>
                <w:color w:val="auto"/>
                <w:kern w:val="0"/>
                <w:sz w:val="24"/>
                <w:lang w:val="en-US" w:eastAsia="zh-CN"/>
              </w:rPr>
              <w:t>岳昊东、李昌昊</w:t>
            </w:r>
            <w:r>
              <w:rPr>
                <w:rFonts w:hint="eastAsia" w:ascii="Calibri" w:hAnsi="Calibri"/>
                <w:color w:val="auto"/>
                <w:kern w:val="0"/>
                <w:sz w:val="24"/>
              </w:rPr>
              <w:t>、</w:t>
            </w:r>
            <w:r>
              <w:rPr>
                <w:rFonts w:hint="eastAsia" w:ascii="Calibri" w:hAnsi="Calibri"/>
                <w:color w:val="auto"/>
                <w:kern w:val="0"/>
                <w:sz w:val="24"/>
                <w:lang w:val="en-US" w:eastAsia="zh-CN"/>
              </w:rPr>
              <w:t>刘盛虎、陶乔平、奚菊芳、冯璐</w:t>
            </w:r>
          </w:p>
        </w:tc>
        <w:tc>
          <w:tcPr>
            <w:tcW w:w="4261" w:type="dxa"/>
          </w:tcPr>
          <w:p w14:paraId="4DF40E44">
            <w:pPr>
              <w:rPr>
                <w:rFonts w:hint="default" w:ascii="Calibri" w:hAnsi="Calibri" w:eastAsia="宋体"/>
                <w:color w:val="auto"/>
                <w:kern w:val="0"/>
                <w:sz w:val="24"/>
                <w:lang w:val="en-US" w:eastAsia="zh-CN"/>
              </w:rPr>
            </w:pPr>
            <w:r>
              <w:rPr>
                <w:rFonts w:hint="eastAsia" w:ascii="Calibri" w:hAnsi="Calibri"/>
                <w:color w:val="auto"/>
                <w:kern w:val="0"/>
                <w:sz w:val="24"/>
              </w:rPr>
              <w:t>产品生产</w:t>
            </w:r>
            <w:r>
              <w:rPr>
                <w:rFonts w:hint="eastAsia" w:ascii="Calibri" w:hAnsi="Calibri"/>
                <w:color w:val="auto"/>
                <w:kern w:val="0"/>
                <w:sz w:val="24"/>
                <w:lang w:eastAsia="zh-CN"/>
              </w:rPr>
              <w:t>、</w:t>
            </w:r>
            <w:r>
              <w:rPr>
                <w:rFonts w:hint="eastAsia" w:ascii="Calibri" w:hAnsi="Calibri"/>
                <w:color w:val="auto"/>
                <w:kern w:val="0"/>
                <w:sz w:val="24"/>
              </w:rPr>
              <w:t>试验数据积累</w:t>
            </w:r>
            <w:r>
              <w:rPr>
                <w:rFonts w:hint="eastAsia" w:ascii="Calibri" w:hAnsi="Calibri"/>
                <w:color w:val="auto"/>
                <w:kern w:val="0"/>
                <w:sz w:val="24"/>
                <w:lang w:eastAsia="zh-CN"/>
              </w:rPr>
              <w:t>、</w:t>
            </w:r>
            <w:r>
              <w:rPr>
                <w:rFonts w:hint="eastAsia" w:ascii="Calibri" w:hAnsi="Calibri"/>
                <w:color w:val="auto"/>
                <w:kern w:val="0"/>
                <w:sz w:val="24"/>
                <w:lang w:val="en-US" w:eastAsia="zh-CN"/>
              </w:rPr>
              <w:t>稿件标准化修改</w:t>
            </w:r>
          </w:p>
        </w:tc>
      </w:tr>
      <w:tr w14:paraId="7D9E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658C886">
            <w:pPr>
              <w:rPr>
                <w:rFonts w:hint="default" w:ascii="Calibri" w:hAnsi="Calibri" w:eastAsia="宋体"/>
                <w:color w:val="auto"/>
                <w:kern w:val="0"/>
                <w:sz w:val="24"/>
                <w:lang w:val="en-US" w:eastAsia="zh-CN"/>
              </w:rPr>
            </w:pPr>
            <w:r>
              <w:rPr>
                <w:rFonts w:hint="eastAsia" w:ascii="Calibri" w:hAnsi="Calibri"/>
                <w:color w:val="auto"/>
                <w:kern w:val="0"/>
                <w:sz w:val="24"/>
                <w:lang w:val="en-US" w:eastAsia="zh-CN"/>
              </w:rPr>
              <w:t>李玲、吴春艳、孟凡强</w:t>
            </w:r>
          </w:p>
        </w:tc>
        <w:tc>
          <w:tcPr>
            <w:tcW w:w="4261" w:type="dxa"/>
          </w:tcPr>
          <w:p w14:paraId="54E106F9">
            <w:pPr>
              <w:rPr>
                <w:rFonts w:ascii="Calibri" w:hAnsi="Calibri"/>
                <w:color w:val="auto"/>
                <w:kern w:val="0"/>
                <w:sz w:val="24"/>
              </w:rPr>
            </w:pPr>
            <w:r>
              <w:rPr>
                <w:rFonts w:hint="eastAsia" w:ascii="Calibri" w:hAnsi="Calibri"/>
                <w:color w:val="auto"/>
                <w:kern w:val="0"/>
                <w:sz w:val="24"/>
              </w:rPr>
              <w:t>产品分析检测方法研究</w:t>
            </w:r>
          </w:p>
        </w:tc>
      </w:tr>
      <w:tr w14:paraId="46FA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35E19C9">
            <w:pPr>
              <w:rPr>
                <w:rFonts w:ascii="Calibri" w:hAnsi="Calibri"/>
                <w:color w:val="auto"/>
                <w:kern w:val="0"/>
                <w:sz w:val="24"/>
              </w:rPr>
            </w:pPr>
            <w:r>
              <w:rPr>
                <w:rFonts w:hint="eastAsia" w:ascii="Calibri" w:hAnsi="Calibri"/>
                <w:color w:val="auto"/>
                <w:kern w:val="0"/>
                <w:sz w:val="24"/>
              </w:rPr>
              <w:t>朱武勋</w:t>
            </w:r>
          </w:p>
        </w:tc>
        <w:tc>
          <w:tcPr>
            <w:tcW w:w="4261" w:type="dxa"/>
          </w:tcPr>
          <w:p w14:paraId="293F7064">
            <w:pPr>
              <w:rPr>
                <w:rFonts w:ascii="Calibri" w:hAnsi="Calibri"/>
                <w:color w:val="auto"/>
                <w:kern w:val="0"/>
                <w:sz w:val="24"/>
              </w:rPr>
            </w:pPr>
            <w:r>
              <w:rPr>
                <w:rFonts w:hint="eastAsia" w:ascii="Calibri" w:hAnsi="Calibri"/>
                <w:color w:val="auto"/>
                <w:kern w:val="0"/>
                <w:sz w:val="24"/>
              </w:rPr>
              <w:t>组织协调工作</w:t>
            </w:r>
          </w:p>
        </w:tc>
      </w:tr>
    </w:tbl>
    <w:p w14:paraId="236CAE99">
      <w:pPr>
        <w:rPr>
          <w:color w:val="auto"/>
          <w:sz w:val="24"/>
        </w:rPr>
      </w:pPr>
    </w:p>
    <w:p w14:paraId="6F568F53">
      <w:pPr>
        <w:rPr>
          <w:rFonts w:ascii="黑体" w:hAnsi="黑体" w:eastAsia="黑体" w:cs="黑体"/>
          <w:bCs/>
          <w:color w:val="auto"/>
          <w:sz w:val="28"/>
          <w:szCs w:val="28"/>
        </w:rPr>
      </w:pPr>
      <w:r>
        <w:rPr>
          <w:rFonts w:hint="eastAsia" w:ascii="黑体" w:hAnsi="黑体" w:eastAsia="黑体" w:cs="黑体"/>
          <w:bCs/>
          <w:color w:val="auto"/>
          <w:sz w:val="28"/>
          <w:szCs w:val="28"/>
        </w:rPr>
        <w:t>(三）主要工作过程</w:t>
      </w:r>
    </w:p>
    <w:p w14:paraId="739B2E87">
      <w:pPr>
        <w:rPr>
          <w:rFonts w:ascii="黑体" w:hAnsi="黑体" w:eastAsia="黑体" w:cs="黑体"/>
          <w:bCs/>
          <w:color w:val="auto"/>
          <w:sz w:val="28"/>
          <w:szCs w:val="28"/>
        </w:rPr>
      </w:pPr>
      <w:r>
        <w:rPr>
          <w:rFonts w:hint="eastAsia" w:ascii="黑体" w:hAnsi="黑体" w:eastAsia="黑体" w:cs="黑体"/>
          <w:bCs/>
          <w:color w:val="auto"/>
          <w:sz w:val="28"/>
          <w:szCs w:val="28"/>
        </w:rPr>
        <w:t>1 项目确定阶段</w:t>
      </w:r>
    </w:p>
    <w:p w14:paraId="4D3E68FD">
      <w:pPr>
        <w:spacing w:after="160"/>
        <w:ind w:firstLine="480" w:firstLineChars="200"/>
        <w:rPr>
          <w:rFonts w:hint="eastAsia"/>
          <w:color w:val="auto"/>
          <w:sz w:val="24"/>
          <w:lang w:val="en-US" w:eastAsia="zh-CN"/>
        </w:rPr>
      </w:pPr>
      <w:r>
        <w:rPr>
          <w:color w:val="auto"/>
          <w:sz w:val="24"/>
        </w:rPr>
        <w:t>贵研</w:t>
      </w:r>
      <w:r>
        <w:rPr>
          <w:rFonts w:hint="eastAsia"/>
          <w:color w:val="auto"/>
          <w:sz w:val="24"/>
        </w:rPr>
        <w:t>化学材料（云南）</w:t>
      </w:r>
      <w:r>
        <w:rPr>
          <w:color w:val="auto"/>
          <w:sz w:val="24"/>
        </w:rPr>
        <w:t>有限公司</w:t>
      </w:r>
      <w:r>
        <w:rPr>
          <w:rFonts w:hint="eastAsia"/>
          <w:color w:val="auto"/>
          <w:sz w:val="24"/>
          <w:lang w:val="en-US" w:eastAsia="zh-CN"/>
        </w:rPr>
        <w:t>在生产、销售三碘化铑过程中，接触到不同的用户，随着用户对三碘化铑使用经验的积累和使用水平的提高，提出了原先制定的三碘化铑技术指标未涵盖的要求，接到全国有色金属标准化技术委员会关于开展有色金属行业标准复审工作的通知后，积极提交申请对该标准申请进行修订，修订的理由充分，复审意见为同意修订。</w:t>
      </w:r>
    </w:p>
    <w:p w14:paraId="5C1DE855">
      <w:pPr>
        <w:spacing w:after="160"/>
        <w:ind w:firstLine="480" w:firstLineChars="200"/>
        <w:rPr>
          <w:color w:val="auto"/>
          <w:sz w:val="24"/>
        </w:rPr>
      </w:pPr>
      <w:r>
        <w:rPr>
          <w:rFonts w:hint="eastAsia"/>
          <w:color w:val="auto"/>
          <w:sz w:val="24"/>
          <w:lang w:val="en-US" w:eastAsia="zh-CN"/>
        </w:rPr>
        <w:t>编制</w:t>
      </w:r>
      <w:r>
        <w:rPr>
          <w:color w:val="auto"/>
          <w:sz w:val="24"/>
        </w:rPr>
        <w:t>组</w:t>
      </w:r>
      <w:r>
        <w:rPr>
          <w:rFonts w:hint="eastAsia"/>
          <w:color w:val="auto"/>
          <w:sz w:val="24"/>
          <w:lang w:val="en-US" w:eastAsia="zh-CN"/>
        </w:rPr>
        <w:t>认真</w:t>
      </w:r>
      <w:r>
        <w:rPr>
          <w:color w:val="auto"/>
          <w:sz w:val="24"/>
        </w:rPr>
        <w:t>查阅和检索了国内外有关技术标准和资料，</w:t>
      </w:r>
      <w:r>
        <w:rPr>
          <w:rFonts w:hint="eastAsia"/>
          <w:color w:val="auto"/>
          <w:sz w:val="24"/>
          <w:lang w:val="en-US" w:eastAsia="zh-CN"/>
        </w:rPr>
        <w:t>组织起草单位一起讨论各家产品的指标和用户要求，</w:t>
      </w:r>
      <w:r>
        <w:rPr>
          <w:color w:val="auto"/>
          <w:sz w:val="24"/>
        </w:rPr>
        <w:t>并</w:t>
      </w:r>
      <w:r>
        <w:rPr>
          <w:rFonts w:hint="eastAsia"/>
          <w:color w:val="auto"/>
          <w:sz w:val="24"/>
          <w:lang w:val="en-US" w:eastAsia="zh-CN"/>
        </w:rPr>
        <w:t>广泛的</w:t>
      </w:r>
      <w:r>
        <w:rPr>
          <w:color w:val="auto"/>
          <w:sz w:val="24"/>
        </w:rPr>
        <w:t>征求了使用企业的意见，作为建立本</w:t>
      </w:r>
      <w:r>
        <w:rPr>
          <w:rFonts w:hint="eastAsia"/>
          <w:color w:val="auto"/>
          <w:sz w:val="24"/>
          <w:lang w:val="en-US" w:eastAsia="zh-CN"/>
        </w:rPr>
        <w:t>标准</w:t>
      </w:r>
      <w:r>
        <w:rPr>
          <w:color w:val="auto"/>
          <w:sz w:val="24"/>
        </w:rPr>
        <w:t>技术</w:t>
      </w:r>
      <w:r>
        <w:rPr>
          <w:rFonts w:hint="eastAsia"/>
          <w:color w:val="auto"/>
          <w:sz w:val="24"/>
          <w:lang w:val="en-US" w:eastAsia="zh-CN"/>
        </w:rPr>
        <w:t>指标</w:t>
      </w:r>
      <w:r>
        <w:rPr>
          <w:color w:val="auto"/>
          <w:sz w:val="24"/>
        </w:rPr>
        <w:t>的依据，也考虑</w:t>
      </w:r>
      <w:r>
        <w:rPr>
          <w:rFonts w:hint="eastAsia"/>
          <w:color w:val="auto"/>
          <w:sz w:val="24"/>
          <w:lang w:val="en-US" w:eastAsia="zh-CN"/>
        </w:rPr>
        <w:t>到</w:t>
      </w:r>
      <w:r>
        <w:rPr>
          <w:color w:val="auto"/>
          <w:sz w:val="24"/>
        </w:rPr>
        <w:t>国内</w:t>
      </w:r>
      <w:r>
        <w:rPr>
          <w:rFonts w:hint="eastAsia"/>
          <w:color w:val="auto"/>
          <w:sz w:val="24"/>
          <w:lang w:val="en-US" w:eastAsia="zh-CN"/>
        </w:rPr>
        <w:t>各</w:t>
      </w:r>
      <w:r>
        <w:rPr>
          <w:color w:val="auto"/>
          <w:sz w:val="24"/>
        </w:rPr>
        <w:t>生产厂家实际</w:t>
      </w:r>
      <w:r>
        <w:rPr>
          <w:rFonts w:hint="eastAsia"/>
          <w:color w:val="auto"/>
          <w:sz w:val="24"/>
          <w:lang w:val="en-US" w:eastAsia="zh-CN"/>
        </w:rPr>
        <w:t>情况</w:t>
      </w:r>
      <w:r>
        <w:rPr>
          <w:color w:val="auto"/>
          <w:sz w:val="24"/>
        </w:rPr>
        <w:t>和分析水平等</w:t>
      </w:r>
      <w:r>
        <w:rPr>
          <w:rFonts w:hint="eastAsia"/>
          <w:color w:val="auto"/>
          <w:sz w:val="24"/>
          <w:lang w:val="en-US" w:eastAsia="zh-CN"/>
        </w:rPr>
        <w:t>因素</w:t>
      </w:r>
      <w:r>
        <w:rPr>
          <w:color w:val="auto"/>
          <w:sz w:val="24"/>
        </w:rPr>
        <w:t>，主要进行</w:t>
      </w:r>
      <w:r>
        <w:rPr>
          <w:rFonts w:hint="eastAsia"/>
          <w:color w:val="auto"/>
          <w:sz w:val="24"/>
          <w:lang w:val="en-US" w:eastAsia="zh-CN"/>
        </w:rPr>
        <w:t>了</w:t>
      </w:r>
      <w:r>
        <w:rPr>
          <w:color w:val="auto"/>
          <w:sz w:val="24"/>
        </w:rPr>
        <w:t>如下工作：</w:t>
      </w:r>
    </w:p>
    <w:p w14:paraId="38DF760F">
      <w:pPr>
        <w:spacing w:after="160"/>
        <w:ind w:firstLine="480" w:firstLineChars="200"/>
        <w:rPr>
          <w:color w:val="auto"/>
          <w:sz w:val="24"/>
        </w:rPr>
      </w:pPr>
      <w:r>
        <w:rPr>
          <w:color w:val="auto"/>
          <w:sz w:val="24"/>
        </w:rPr>
        <w:t>1）确立《</w:t>
      </w:r>
      <w:r>
        <w:rPr>
          <w:rFonts w:hint="eastAsia"/>
          <w:color w:val="auto"/>
          <w:kern w:val="0"/>
          <w:sz w:val="24"/>
          <w:lang w:val="en-US" w:eastAsia="zh-CN"/>
        </w:rPr>
        <w:t>三碘化铑</w:t>
      </w:r>
      <w:r>
        <w:rPr>
          <w:color w:val="auto"/>
          <w:sz w:val="24"/>
        </w:rPr>
        <w:t>》标准</w:t>
      </w:r>
      <w:r>
        <w:rPr>
          <w:rFonts w:hint="eastAsia"/>
          <w:color w:val="auto"/>
          <w:sz w:val="24"/>
        </w:rPr>
        <w:t>制定</w:t>
      </w:r>
      <w:r>
        <w:rPr>
          <w:color w:val="auto"/>
          <w:sz w:val="24"/>
        </w:rPr>
        <w:t>遵循的基本原则；</w:t>
      </w:r>
    </w:p>
    <w:p w14:paraId="307B0600">
      <w:pPr>
        <w:spacing w:after="160"/>
        <w:ind w:firstLine="480" w:firstLineChars="200"/>
        <w:rPr>
          <w:color w:val="auto"/>
          <w:sz w:val="24"/>
        </w:rPr>
      </w:pPr>
      <w:r>
        <w:rPr>
          <w:color w:val="auto"/>
          <w:sz w:val="24"/>
        </w:rPr>
        <w:t>2）对生产、使用厂家进行调研</w:t>
      </w:r>
      <w:r>
        <w:rPr>
          <w:rFonts w:hint="eastAsia"/>
          <w:color w:val="auto"/>
          <w:sz w:val="24"/>
          <w:lang w:eastAsia="zh-CN"/>
        </w:rPr>
        <w:t>，</w:t>
      </w:r>
      <w:r>
        <w:rPr>
          <w:color w:val="auto"/>
          <w:sz w:val="24"/>
        </w:rPr>
        <w:t>收集</w:t>
      </w:r>
      <w:r>
        <w:rPr>
          <w:rFonts w:hint="eastAsia"/>
          <w:color w:val="auto"/>
          <w:sz w:val="24"/>
          <w:lang w:val="en-US" w:eastAsia="zh-CN"/>
        </w:rPr>
        <w:t>数据、信息</w:t>
      </w:r>
      <w:r>
        <w:rPr>
          <w:color w:val="auto"/>
          <w:sz w:val="24"/>
        </w:rPr>
        <w:t>；</w:t>
      </w:r>
    </w:p>
    <w:p w14:paraId="7A3D987E">
      <w:pPr>
        <w:spacing w:after="160"/>
        <w:ind w:firstLine="480" w:firstLineChars="200"/>
        <w:rPr>
          <w:color w:val="auto"/>
          <w:sz w:val="24"/>
        </w:rPr>
      </w:pPr>
      <w:r>
        <w:rPr>
          <w:color w:val="auto"/>
          <w:sz w:val="24"/>
        </w:rPr>
        <w:t>3）查阅相关标准；</w:t>
      </w:r>
    </w:p>
    <w:p w14:paraId="10FEE056">
      <w:pPr>
        <w:spacing w:after="160"/>
        <w:ind w:firstLine="480" w:firstLineChars="200"/>
        <w:rPr>
          <w:color w:val="auto"/>
          <w:sz w:val="24"/>
        </w:rPr>
      </w:pPr>
      <w:r>
        <w:rPr>
          <w:color w:val="auto"/>
          <w:sz w:val="24"/>
        </w:rPr>
        <w:t>4）确定产品主要技术内容；</w:t>
      </w:r>
    </w:p>
    <w:p w14:paraId="177C263E">
      <w:pPr>
        <w:spacing w:after="160"/>
        <w:ind w:firstLine="480" w:firstLineChars="200"/>
        <w:rPr>
          <w:color w:val="auto"/>
          <w:sz w:val="24"/>
        </w:rPr>
      </w:pPr>
      <w:r>
        <w:rPr>
          <w:color w:val="auto"/>
          <w:sz w:val="24"/>
        </w:rPr>
        <w:t>5）确定</w:t>
      </w:r>
      <w:r>
        <w:rPr>
          <w:rFonts w:hint="eastAsia"/>
          <w:color w:val="auto"/>
          <w:sz w:val="24"/>
        </w:rPr>
        <w:t>技术要求的</w:t>
      </w:r>
      <w:r>
        <w:rPr>
          <w:color w:val="auto"/>
          <w:sz w:val="24"/>
        </w:rPr>
        <w:t>分析方法；</w:t>
      </w:r>
    </w:p>
    <w:p w14:paraId="7E7469F2">
      <w:pPr>
        <w:spacing w:line="360" w:lineRule="auto"/>
        <w:ind w:firstLine="480" w:firstLineChars="200"/>
        <w:rPr>
          <w:color w:val="auto"/>
          <w:sz w:val="24"/>
        </w:rPr>
      </w:pPr>
      <w:r>
        <w:rPr>
          <w:color w:val="auto"/>
          <w:sz w:val="24"/>
        </w:rPr>
        <w:t>6）根据测试数据确定技术指标取值范围</w:t>
      </w:r>
    </w:p>
    <w:p w14:paraId="08077733">
      <w:pPr>
        <w:spacing w:line="360" w:lineRule="auto"/>
        <w:rPr>
          <w:rFonts w:ascii="黑体" w:hAnsi="黑体" w:eastAsia="黑体" w:cs="黑体"/>
          <w:bCs/>
          <w:color w:val="auto"/>
          <w:sz w:val="28"/>
          <w:szCs w:val="28"/>
        </w:rPr>
      </w:pPr>
      <w:r>
        <w:rPr>
          <w:rFonts w:hint="eastAsia" w:ascii="黑体" w:hAnsi="黑体" w:eastAsia="黑体" w:cs="黑体"/>
          <w:bCs/>
          <w:color w:val="auto"/>
          <w:sz w:val="28"/>
          <w:szCs w:val="28"/>
        </w:rPr>
        <w:t>2 立项阶段</w:t>
      </w:r>
    </w:p>
    <w:p w14:paraId="268FD55C">
      <w:pPr>
        <w:spacing w:line="360" w:lineRule="auto"/>
        <w:ind w:firstLine="480" w:firstLineChars="200"/>
        <w:rPr>
          <w:rFonts w:hint="eastAsia"/>
          <w:color w:val="auto"/>
          <w:kern w:val="0"/>
          <w:sz w:val="24"/>
        </w:rPr>
      </w:pPr>
      <w:r>
        <w:rPr>
          <w:rFonts w:hint="eastAsia"/>
          <w:color w:val="auto"/>
          <w:kern w:val="0"/>
          <w:sz w:val="24"/>
        </w:rPr>
        <w:t>20</w:t>
      </w:r>
      <w:r>
        <w:rPr>
          <w:color w:val="auto"/>
          <w:kern w:val="0"/>
          <w:sz w:val="24"/>
        </w:rPr>
        <w:t>2</w:t>
      </w:r>
      <w:r>
        <w:rPr>
          <w:rFonts w:hint="eastAsia"/>
          <w:color w:val="auto"/>
          <w:kern w:val="0"/>
          <w:sz w:val="24"/>
          <w:lang w:val="en-US" w:eastAsia="zh-CN"/>
        </w:rPr>
        <w:t>3</w:t>
      </w:r>
      <w:r>
        <w:rPr>
          <w:rFonts w:hint="eastAsia"/>
          <w:color w:val="auto"/>
          <w:kern w:val="0"/>
          <w:sz w:val="24"/>
        </w:rPr>
        <w:t>年</w:t>
      </w:r>
      <w:r>
        <w:rPr>
          <w:rFonts w:hint="eastAsia"/>
          <w:color w:val="auto"/>
          <w:kern w:val="0"/>
          <w:sz w:val="24"/>
          <w:lang w:val="en-US" w:eastAsia="zh-CN"/>
        </w:rPr>
        <w:t>9</w:t>
      </w:r>
      <w:r>
        <w:rPr>
          <w:rFonts w:hint="eastAsia"/>
          <w:color w:val="auto"/>
          <w:kern w:val="0"/>
          <w:sz w:val="24"/>
        </w:rPr>
        <w:t>月，</w:t>
      </w:r>
      <w:r>
        <w:rPr>
          <w:color w:val="auto"/>
          <w:kern w:val="0"/>
          <w:sz w:val="24"/>
        </w:rPr>
        <w:t>贵研</w:t>
      </w:r>
      <w:r>
        <w:rPr>
          <w:rFonts w:hint="eastAsia"/>
          <w:color w:val="auto"/>
          <w:kern w:val="0"/>
          <w:sz w:val="24"/>
          <w:lang w:val="en-US" w:eastAsia="zh-CN"/>
        </w:rPr>
        <w:t>化学材料（云南）</w:t>
      </w:r>
      <w:r>
        <w:rPr>
          <w:color w:val="auto"/>
          <w:kern w:val="0"/>
          <w:sz w:val="24"/>
        </w:rPr>
        <w:t>有限公司</w:t>
      </w:r>
      <w:r>
        <w:rPr>
          <w:rFonts w:hint="eastAsia"/>
          <w:color w:val="auto"/>
          <w:kern w:val="0"/>
          <w:sz w:val="24"/>
        </w:rPr>
        <w:t>向全体委员会议提交了《</w:t>
      </w:r>
      <w:r>
        <w:rPr>
          <w:rFonts w:hint="eastAsia"/>
          <w:color w:val="auto"/>
          <w:kern w:val="0"/>
          <w:sz w:val="24"/>
          <w:lang w:val="en-US" w:eastAsia="zh-CN"/>
        </w:rPr>
        <w:t>三碘化铑</w:t>
      </w:r>
      <w:r>
        <w:rPr>
          <w:rFonts w:hint="eastAsia"/>
          <w:color w:val="auto"/>
          <w:kern w:val="0"/>
          <w:sz w:val="24"/>
        </w:rPr>
        <w:t>》标准</w:t>
      </w:r>
      <w:r>
        <w:rPr>
          <w:rFonts w:hint="eastAsia"/>
          <w:color w:val="auto"/>
          <w:kern w:val="0"/>
          <w:sz w:val="24"/>
          <w:lang w:val="en-US" w:eastAsia="zh-CN"/>
        </w:rPr>
        <w:t>修订的</w:t>
      </w:r>
      <w:r>
        <w:rPr>
          <w:rFonts w:hint="eastAsia"/>
          <w:color w:val="auto"/>
          <w:kern w:val="0"/>
          <w:sz w:val="24"/>
        </w:rPr>
        <w:t>项目建议书、标准草案</w:t>
      </w:r>
      <w:r>
        <w:rPr>
          <w:rFonts w:hint="eastAsia"/>
          <w:color w:val="auto"/>
          <w:kern w:val="0"/>
          <w:sz w:val="24"/>
          <w:lang w:val="en-US" w:eastAsia="zh-CN"/>
        </w:rPr>
        <w:t>稿</w:t>
      </w:r>
      <w:r>
        <w:rPr>
          <w:rFonts w:hint="eastAsia"/>
          <w:color w:val="auto"/>
          <w:kern w:val="0"/>
          <w:sz w:val="24"/>
        </w:rPr>
        <w:t>及标准立项说明等材料，全体委员会议论证结论为同意行业标准</w:t>
      </w:r>
      <w:r>
        <w:rPr>
          <w:rFonts w:hint="eastAsia"/>
          <w:color w:val="auto"/>
          <w:kern w:val="0"/>
          <w:sz w:val="24"/>
          <w:lang w:val="en-US" w:eastAsia="zh-CN"/>
        </w:rPr>
        <w:t>修订</w:t>
      </w:r>
      <w:r>
        <w:rPr>
          <w:rFonts w:hint="eastAsia"/>
          <w:color w:val="auto"/>
          <w:kern w:val="0"/>
          <w:sz w:val="24"/>
        </w:rPr>
        <w:t>，由秘书处组织委员投票，投票通过后报国标委，并挂网向社会公开征求意见。</w:t>
      </w:r>
    </w:p>
    <w:p w14:paraId="2A7B1B88">
      <w:pPr>
        <w:spacing w:line="360" w:lineRule="auto"/>
        <w:ind w:firstLine="480" w:firstLineChars="200"/>
        <w:rPr>
          <w:rFonts w:hint="default"/>
          <w:color w:val="auto"/>
          <w:kern w:val="0"/>
          <w:sz w:val="24"/>
          <w:lang w:val="en-US" w:eastAsia="zh-CN"/>
        </w:rPr>
      </w:pPr>
      <w:r>
        <w:rPr>
          <w:rFonts w:hint="eastAsia"/>
          <w:color w:val="auto"/>
          <w:kern w:val="0"/>
          <w:sz w:val="24"/>
          <w:lang w:val="en-US" w:eastAsia="zh-CN"/>
        </w:rPr>
        <w:t>2023年10月</w:t>
      </w:r>
      <w:bookmarkStart w:id="8" w:name="_GoBack"/>
      <w:bookmarkEnd w:id="8"/>
      <w:r>
        <w:rPr>
          <w:rFonts w:hint="eastAsia"/>
          <w:color w:val="auto"/>
          <w:kern w:val="0"/>
          <w:sz w:val="24"/>
          <w:lang w:val="en-US" w:eastAsia="zh-CN"/>
        </w:rPr>
        <w:t>工信部下达了第三批行业标准修订计划，《三碘化铑》标准修订的计划号为工信厅科函〔2023〕291号2023-1533T-YS，项目周期为18个月，技术归口单位为全国有色金属标准化技术委员会。主要起草单位：贵研化学材料（云南）有限公司， 贵研铂业股份有限公司，云南贵金属实验室有限公司，贵研资源 （易门）有限公司，昆明贵金属 研究所，浙江微通催化新材料有 限公司，西安凯立新材料股份有 限公司，陕西瑞科新材料股份有 限公司，有色金属技术经济研究 院有限责任公司，有研亿金新材料有限公司。</w:t>
      </w:r>
    </w:p>
    <w:p w14:paraId="3A8C7498">
      <w:pPr>
        <w:spacing w:line="360" w:lineRule="auto"/>
        <w:rPr>
          <w:rFonts w:ascii="黑体" w:hAnsi="黑体" w:eastAsia="黑体" w:cs="黑体"/>
          <w:bCs/>
          <w:color w:val="auto"/>
          <w:sz w:val="28"/>
          <w:szCs w:val="28"/>
        </w:rPr>
      </w:pPr>
      <w:r>
        <w:rPr>
          <w:rFonts w:hint="eastAsia" w:ascii="黑体" w:hAnsi="黑体" w:eastAsia="黑体" w:cs="黑体"/>
          <w:bCs/>
          <w:color w:val="auto"/>
          <w:sz w:val="28"/>
          <w:szCs w:val="28"/>
        </w:rPr>
        <w:t>3 起草阶段</w:t>
      </w:r>
    </w:p>
    <w:p w14:paraId="42F435B3">
      <w:pPr>
        <w:rPr>
          <w:b/>
          <w:color w:val="auto"/>
          <w:kern w:val="0"/>
          <w:sz w:val="24"/>
        </w:rPr>
      </w:pPr>
      <w:r>
        <w:rPr>
          <w:b/>
          <w:color w:val="auto"/>
          <w:kern w:val="0"/>
          <w:sz w:val="24"/>
        </w:rPr>
        <w:t>3.</w:t>
      </w:r>
      <w:r>
        <w:rPr>
          <w:rFonts w:hint="eastAsia"/>
          <w:b/>
          <w:color w:val="auto"/>
          <w:kern w:val="0"/>
          <w:sz w:val="24"/>
        </w:rPr>
        <w:t>1召开标准进度汇报及进度协调会</w:t>
      </w:r>
    </w:p>
    <w:p w14:paraId="09A60227">
      <w:pPr>
        <w:spacing w:line="360" w:lineRule="auto"/>
        <w:ind w:firstLine="480" w:firstLineChars="200"/>
        <w:rPr>
          <w:rFonts w:hint="eastAsia"/>
          <w:color w:val="auto"/>
          <w:kern w:val="0"/>
          <w:sz w:val="24"/>
          <w:lang w:val="en-US" w:eastAsia="zh-CN"/>
        </w:rPr>
      </w:pPr>
      <w:r>
        <w:rPr>
          <w:rFonts w:hint="eastAsia"/>
          <w:color w:val="auto"/>
          <w:kern w:val="0"/>
          <w:sz w:val="24"/>
          <w:lang w:val="en-US" w:eastAsia="zh-CN"/>
        </w:rPr>
        <w:t>2023年12月全国有色金属标准化技术委员会在四川成都召开了有色金属标准工作会议，进行三碘化铑标准修订任务落实，</w:t>
      </w:r>
      <w:r>
        <w:rPr>
          <w:rFonts w:hint="eastAsia"/>
          <w:color w:val="auto"/>
          <w:sz w:val="24"/>
        </w:rPr>
        <w:t>根据与会专家及企业代表认真研究和讨论，</w:t>
      </w:r>
      <w:r>
        <w:rPr>
          <w:rFonts w:hint="eastAsia"/>
          <w:color w:val="auto"/>
          <w:kern w:val="0"/>
          <w:sz w:val="24"/>
          <w:lang w:val="en-US" w:eastAsia="zh-CN"/>
        </w:rPr>
        <w:t>确定了标准修订的牵头单位为贵研化学材料（云南）有限公司，其它编制组单位为：</w:t>
      </w:r>
      <w:bookmarkStart w:id="2" w:name="_Hlk139281187"/>
      <w:r>
        <w:rPr>
          <w:rFonts w:hint="eastAsia"/>
          <w:color w:val="auto"/>
          <w:kern w:val="0"/>
          <w:sz w:val="24"/>
          <w:lang w:val="en-US" w:eastAsia="zh-CN"/>
        </w:rPr>
        <w:t>云南省贵金属新材料股份有限公司、云南贵金属实验室有限公司、贵研资源（易门）有限公司、昆明贵金属研究所、浙江微通催化新材料有限公司、西安凯立新材料股份有限公司、陕西瑞科新材料股份有限公司、有色金属技术经济研究院有限责任公司、有研亿金新材料有限公司等。</w:t>
      </w:r>
    </w:p>
    <w:bookmarkEnd w:id="2"/>
    <w:p w14:paraId="65496514">
      <w:pPr>
        <w:tabs>
          <w:tab w:val="left" w:pos="312"/>
        </w:tabs>
        <w:spacing w:line="360" w:lineRule="auto"/>
        <w:ind w:firstLine="480" w:firstLineChars="200"/>
        <w:rPr>
          <w:color w:val="auto"/>
          <w:sz w:val="24"/>
        </w:rPr>
      </w:pPr>
      <w:r>
        <w:rPr>
          <w:rFonts w:hint="eastAsia"/>
          <w:color w:val="auto"/>
          <w:sz w:val="24"/>
        </w:rPr>
        <w:t>根据此次会议精神，贵研</w:t>
      </w:r>
      <w:r>
        <w:rPr>
          <w:rFonts w:hint="eastAsia"/>
          <w:color w:val="auto"/>
          <w:sz w:val="24"/>
          <w:lang w:val="en-US" w:eastAsia="zh-CN"/>
        </w:rPr>
        <w:t>化学材料（云南）</w:t>
      </w:r>
      <w:r>
        <w:rPr>
          <w:rFonts w:hint="eastAsia"/>
          <w:color w:val="auto"/>
          <w:sz w:val="24"/>
        </w:rPr>
        <w:t>有限公司于20</w:t>
      </w:r>
      <w:r>
        <w:rPr>
          <w:color w:val="auto"/>
          <w:sz w:val="24"/>
        </w:rPr>
        <w:t>2</w:t>
      </w:r>
      <w:r>
        <w:rPr>
          <w:rFonts w:hint="eastAsia"/>
          <w:color w:val="auto"/>
          <w:sz w:val="24"/>
          <w:lang w:val="en-US" w:eastAsia="zh-CN"/>
        </w:rPr>
        <w:t>4</w:t>
      </w:r>
      <w:r>
        <w:rPr>
          <w:rFonts w:hint="eastAsia"/>
          <w:color w:val="auto"/>
          <w:sz w:val="24"/>
        </w:rPr>
        <w:t>年</w:t>
      </w:r>
      <w:r>
        <w:rPr>
          <w:rFonts w:hint="eastAsia"/>
          <w:color w:val="auto"/>
          <w:sz w:val="24"/>
          <w:lang w:val="en-US" w:eastAsia="zh-CN"/>
        </w:rPr>
        <w:t>1</w:t>
      </w:r>
      <w:r>
        <w:rPr>
          <w:rFonts w:hint="eastAsia"/>
          <w:color w:val="auto"/>
          <w:sz w:val="24"/>
        </w:rPr>
        <w:t>月组织《</w:t>
      </w:r>
      <w:r>
        <w:rPr>
          <w:rFonts w:hint="eastAsia"/>
          <w:color w:val="auto"/>
          <w:sz w:val="24"/>
          <w:lang w:val="en-US" w:eastAsia="zh-CN"/>
        </w:rPr>
        <w:t>三碘化铑</w:t>
      </w:r>
      <w:r>
        <w:rPr>
          <w:rFonts w:hint="eastAsia"/>
          <w:color w:val="auto"/>
          <w:sz w:val="24"/>
        </w:rPr>
        <w:t>》标准</w:t>
      </w:r>
      <w:r>
        <w:rPr>
          <w:rFonts w:hint="eastAsia"/>
          <w:color w:val="auto"/>
          <w:sz w:val="24"/>
          <w:lang w:val="en-US" w:eastAsia="zh-CN"/>
        </w:rPr>
        <w:t>修订</w:t>
      </w:r>
      <w:r>
        <w:rPr>
          <w:rFonts w:hint="eastAsia"/>
          <w:color w:val="auto"/>
          <w:sz w:val="24"/>
        </w:rPr>
        <w:t>小组相关技术人员主要进行如下工作：</w:t>
      </w:r>
    </w:p>
    <w:p w14:paraId="1347A949">
      <w:pPr>
        <w:tabs>
          <w:tab w:val="left" w:pos="312"/>
        </w:tabs>
        <w:spacing w:line="360" w:lineRule="auto"/>
        <w:ind w:firstLine="480" w:firstLineChars="200"/>
        <w:rPr>
          <w:color w:val="auto"/>
          <w:sz w:val="24"/>
        </w:rPr>
      </w:pPr>
      <w:r>
        <w:rPr>
          <w:color w:val="auto"/>
          <w:sz w:val="24"/>
        </w:rPr>
        <w:t>1</w:t>
      </w:r>
      <w:r>
        <w:rPr>
          <w:rFonts w:hint="eastAsia"/>
          <w:color w:val="auto"/>
          <w:sz w:val="24"/>
        </w:rPr>
        <w:t>）</w:t>
      </w:r>
      <w:r>
        <w:rPr>
          <w:rFonts w:hint="eastAsia" w:ascii="宋体" w:hAnsi="宋体"/>
          <w:color w:val="auto"/>
          <w:sz w:val="24"/>
        </w:rPr>
        <w:t>组织小组成员查阅和检索国内外有关该产品技术标准和资料；</w:t>
      </w:r>
    </w:p>
    <w:p w14:paraId="38689ED1">
      <w:pPr>
        <w:numPr>
          <w:ilvl w:val="0"/>
          <w:numId w:val="3"/>
        </w:numPr>
        <w:spacing w:line="360" w:lineRule="auto"/>
        <w:ind w:firstLine="480" w:firstLineChars="200"/>
        <w:rPr>
          <w:color w:val="auto"/>
          <w:sz w:val="24"/>
        </w:rPr>
      </w:pPr>
      <w:r>
        <w:rPr>
          <w:rFonts w:hint="eastAsia"/>
          <w:color w:val="auto"/>
          <w:sz w:val="24"/>
        </w:rPr>
        <w:t>标准起草成员开展同行和用户调研；</w:t>
      </w:r>
    </w:p>
    <w:p w14:paraId="6151FFA4">
      <w:pPr>
        <w:spacing w:line="360" w:lineRule="auto"/>
        <w:ind w:firstLine="480" w:firstLineChars="200"/>
        <w:rPr>
          <w:color w:val="auto"/>
          <w:sz w:val="24"/>
        </w:rPr>
      </w:pPr>
      <w:r>
        <w:rPr>
          <w:rFonts w:hint="eastAsia"/>
          <w:color w:val="auto"/>
          <w:sz w:val="24"/>
        </w:rPr>
        <w:t>202</w:t>
      </w:r>
      <w:r>
        <w:rPr>
          <w:rFonts w:hint="eastAsia"/>
          <w:color w:val="auto"/>
          <w:sz w:val="24"/>
          <w:lang w:val="en-US" w:eastAsia="zh-CN"/>
        </w:rPr>
        <w:t>4</w:t>
      </w:r>
      <w:r>
        <w:rPr>
          <w:rFonts w:hint="eastAsia"/>
          <w:color w:val="auto"/>
          <w:sz w:val="24"/>
        </w:rPr>
        <w:t>年</w:t>
      </w:r>
      <w:r>
        <w:rPr>
          <w:rFonts w:hint="eastAsia"/>
          <w:color w:val="auto"/>
          <w:sz w:val="24"/>
          <w:lang w:val="en-US" w:eastAsia="zh-CN"/>
        </w:rPr>
        <w:t>2</w:t>
      </w:r>
      <w:r>
        <w:rPr>
          <w:rFonts w:hint="eastAsia"/>
          <w:color w:val="auto"/>
          <w:sz w:val="24"/>
        </w:rPr>
        <w:t>月至</w:t>
      </w:r>
      <w:r>
        <w:rPr>
          <w:rFonts w:hint="eastAsia"/>
          <w:color w:val="auto"/>
          <w:sz w:val="24"/>
          <w:lang w:val="en-US" w:eastAsia="zh-CN"/>
        </w:rPr>
        <w:t>7</w:t>
      </w:r>
      <w:r>
        <w:rPr>
          <w:rFonts w:hint="eastAsia"/>
          <w:color w:val="auto"/>
          <w:sz w:val="24"/>
        </w:rPr>
        <w:t>月，</w:t>
      </w:r>
      <w:r>
        <w:rPr>
          <w:rFonts w:hint="eastAsia"/>
          <w:color w:val="auto"/>
          <w:sz w:val="24"/>
          <w:lang w:val="en-US" w:eastAsia="zh-CN"/>
        </w:rPr>
        <w:t>通过电话、微信、电子邮件、现场走访等方式调研了国内使用三碘化铑的用户</w:t>
      </w:r>
      <w:r>
        <w:rPr>
          <w:rFonts w:hint="eastAsia"/>
          <w:color w:val="auto"/>
          <w:sz w:val="24"/>
        </w:rPr>
        <w:t>，</w:t>
      </w:r>
      <w:r>
        <w:rPr>
          <w:rFonts w:hint="eastAsia"/>
          <w:color w:val="auto"/>
          <w:sz w:val="24"/>
          <w:lang w:val="en-US" w:eastAsia="zh-CN"/>
        </w:rPr>
        <w:t>部分用户直接邀请到本公司座谈，询问用户对</w:t>
      </w:r>
      <w:r>
        <w:rPr>
          <w:rFonts w:hint="eastAsia"/>
          <w:color w:val="auto"/>
          <w:sz w:val="24"/>
        </w:rPr>
        <w:t>产品的使用情况</w:t>
      </w:r>
      <w:r>
        <w:rPr>
          <w:rFonts w:hint="eastAsia"/>
          <w:color w:val="auto"/>
          <w:sz w:val="24"/>
          <w:lang w:eastAsia="zh-CN"/>
        </w:rPr>
        <w:t>、</w:t>
      </w:r>
      <w:r>
        <w:rPr>
          <w:rFonts w:hint="eastAsia"/>
          <w:color w:val="auto"/>
          <w:sz w:val="24"/>
          <w:lang w:val="en-US" w:eastAsia="zh-CN"/>
        </w:rPr>
        <w:t>产品在使用中存在的问题、产品的技术指标及分析检验结果</w:t>
      </w:r>
      <w:r>
        <w:rPr>
          <w:rFonts w:hint="eastAsia"/>
          <w:color w:val="auto"/>
          <w:sz w:val="24"/>
        </w:rPr>
        <w:t>等方面的信息，用户提出了很多有益的意见，这些</w:t>
      </w:r>
      <w:r>
        <w:rPr>
          <w:rFonts w:hint="eastAsia"/>
          <w:color w:val="auto"/>
          <w:sz w:val="24"/>
          <w:lang w:val="en-US" w:eastAsia="zh-CN"/>
        </w:rPr>
        <w:t>意见</w:t>
      </w:r>
      <w:r>
        <w:rPr>
          <w:rFonts w:hint="eastAsia"/>
          <w:color w:val="auto"/>
          <w:sz w:val="24"/>
        </w:rPr>
        <w:t>帮助编制小组更好地了解用户的需求，合理的制定出标准的技术要求，提高用户对标准的满意度</w:t>
      </w:r>
      <w:r>
        <w:rPr>
          <w:rFonts w:hint="eastAsia" w:ascii="宋体" w:hAnsi="宋体"/>
          <w:color w:val="auto"/>
          <w:sz w:val="24"/>
        </w:rPr>
        <w:t>。</w:t>
      </w:r>
    </w:p>
    <w:p w14:paraId="00E0B27C">
      <w:pPr>
        <w:spacing w:line="360" w:lineRule="auto"/>
        <w:ind w:firstLine="480" w:firstLineChars="200"/>
        <w:rPr>
          <w:rFonts w:ascii="宋体" w:hAnsi="宋体"/>
          <w:color w:val="auto"/>
          <w:sz w:val="24"/>
        </w:rPr>
      </w:pPr>
      <w:r>
        <w:rPr>
          <w:rFonts w:hint="eastAsia" w:ascii="宋体" w:hAnsi="宋体"/>
          <w:color w:val="auto"/>
          <w:sz w:val="24"/>
        </w:rPr>
        <w:t>同时组织人员查阅和检索国内外有关该产品技术标准和资料，市场及</w:t>
      </w:r>
      <w:r>
        <w:rPr>
          <w:rFonts w:hint="eastAsia" w:ascii="宋体" w:hAnsi="宋体"/>
          <w:color w:val="auto"/>
          <w:sz w:val="24"/>
          <w:lang w:val="en-US" w:eastAsia="zh-CN"/>
        </w:rPr>
        <w:t>销售</w:t>
      </w:r>
      <w:r>
        <w:rPr>
          <w:rFonts w:hint="eastAsia" w:ascii="宋体" w:hAnsi="宋体"/>
          <w:color w:val="auto"/>
          <w:sz w:val="24"/>
        </w:rPr>
        <w:t>人员开展对用户的走访调研工作，确定了不同厂家对杂质元素的要求及杂质含量允许的范围，相关技术指标见表二:</w:t>
      </w:r>
    </w:p>
    <w:p w14:paraId="1C5868C0">
      <w:pPr>
        <w:spacing w:line="360" w:lineRule="auto"/>
        <w:ind w:firstLine="2400" w:firstLineChars="1000"/>
        <w:rPr>
          <w:color w:val="auto"/>
          <w:sz w:val="24"/>
        </w:rPr>
      </w:pPr>
      <w:r>
        <w:rPr>
          <w:rFonts w:hint="eastAsia"/>
          <w:color w:val="auto"/>
          <w:sz w:val="24"/>
        </w:rPr>
        <w:t>表二 不同使用厂家技术要求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311"/>
        <w:gridCol w:w="1408"/>
        <w:gridCol w:w="1417"/>
        <w:gridCol w:w="1560"/>
        <w:gridCol w:w="1614"/>
      </w:tblGrid>
      <w:tr w14:paraId="7D1E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11" w:type="pct"/>
            <w:vMerge w:val="restart"/>
            <w:vAlign w:val="center"/>
          </w:tcPr>
          <w:p w14:paraId="188EB248">
            <w:pPr>
              <w:jc w:val="center"/>
              <w:rPr>
                <w:rFonts w:ascii="Calibri" w:hAnsi="Calibri" w:eastAsiaTheme="minorEastAsia"/>
                <w:color w:val="auto"/>
                <w:kern w:val="0"/>
                <w:sz w:val="20"/>
              </w:rPr>
            </w:pPr>
          </w:p>
          <w:p w14:paraId="0952DB35">
            <w:pPr>
              <w:jc w:val="center"/>
              <w:rPr>
                <w:rFonts w:ascii="宋体" w:hAnsi="宋体"/>
                <w:color w:val="auto"/>
                <w:kern w:val="0"/>
                <w:sz w:val="24"/>
              </w:rPr>
            </w:pPr>
            <w:r>
              <w:rPr>
                <w:rFonts w:hint="eastAsia" w:ascii="Calibri" w:hAnsi="Calibri" w:eastAsia="PMingLiU"/>
                <w:color w:val="auto"/>
                <w:kern w:val="0"/>
                <w:sz w:val="20"/>
                <w:lang w:eastAsia="zh-TW"/>
              </w:rPr>
              <w:t>指标项目</w:t>
            </w:r>
          </w:p>
        </w:tc>
        <w:tc>
          <w:tcPr>
            <w:tcW w:w="4288" w:type="pct"/>
            <w:gridSpan w:val="5"/>
            <w:vAlign w:val="center"/>
          </w:tcPr>
          <w:p w14:paraId="430EB061">
            <w:pPr>
              <w:spacing w:line="360" w:lineRule="auto"/>
              <w:jc w:val="center"/>
              <w:rPr>
                <w:rFonts w:ascii="宋体" w:hAnsi="宋体"/>
                <w:color w:val="auto"/>
                <w:kern w:val="0"/>
                <w:sz w:val="24"/>
              </w:rPr>
            </w:pPr>
            <w:r>
              <w:rPr>
                <w:rFonts w:hint="eastAsia" w:ascii="Calibri" w:hAnsi="Calibri" w:eastAsia="PMingLiU"/>
                <w:color w:val="auto"/>
                <w:kern w:val="0"/>
                <w:sz w:val="20"/>
                <w:lang w:eastAsia="zh-TW"/>
              </w:rPr>
              <w:t>技术指标</w:t>
            </w:r>
          </w:p>
        </w:tc>
      </w:tr>
      <w:tr w14:paraId="3F53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Merge w:val="continue"/>
            <w:vAlign w:val="center"/>
          </w:tcPr>
          <w:p w14:paraId="52A0F92E">
            <w:pPr>
              <w:jc w:val="center"/>
              <w:rPr>
                <w:rFonts w:ascii="Calibri" w:hAnsi="Calibri" w:eastAsia="PMingLiU"/>
                <w:color w:val="auto"/>
                <w:kern w:val="0"/>
                <w:sz w:val="20"/>
                <w:lang w:eastAsia="zh-TW"/>
              </w:rPr>
            </w:pPr>
          </w:p>
        </w:tc>
        <w:tc>
          <w:tcPr>
            <w:tcW w:w="769" w:type="pct"/>
            <w:vAlign w:val="center"/>
          </w:tcPr>
          <w:p w14:paraId="0D1D4BF9">
            <w:pPr>
              <w:jc w:val="center"/>
              <w:rPr>
                <w:rFonts w:ascii="Calibri" w:hAnsi="Calibri"/>
                <w:color w:val="auto"/>
                <w:kern w:val="0"/>
                <w:sz w:val="20"/>
              </w:rPr>
            </w:pPr>
            <w:r>
              <w:rPr>
                <w:rFonts w:hint="eastAsia" w:asciiTheme="minorEastAsia" w:hAnsiTheme="minorEastAsia" w:eastAsiaTheme="minorEastAsia"/>
                <w:color w:val="auto"/>
                <w:kern w:val="0"/>
                <w:sz w:val="20"/>
              </w:rPr>
              <w:t>A用户</w:t>
            </w:r>
          </w:p>
        </w:tc>
        <w:tc>
          <w:tcPr>
            <w:tcW w:w="826" w:type="pct"/>
            <w:vAlign w:val="center"/>
          </w:tcPr>
          <w:p w14:paraId="08F5592A">
            <w:pPr>
              <w:jc w:val="center"/>
              <w:rPr>
                <w:rFonts w:ascii="Calibri" w:hAnsi="Calibri"/>
                <w:color w:val="auto"/>
                <w:kern w:val="0"/>
                <w:sz w:val="20"/>
              </w:rPr>
            </w:pPr>
            <w:r>
              <w:rPr>
                <w:rFonts w:hint="eastAsia" w:asciiTheme="minorEastAsia" w:hAnsiTheme="minorEastAsia" w:eastAsiaTheme="minorEastAsia"/>
                <w:color w:val="auto"/>
                <w:kern w:val="0"/>
                <w:sz w:val="20"/>
              </w:rPr>
              <w:t>B用户</w:t>
            </w:r>
          </w:p>
        </w:tc>
        <w:tc>
          <w:tcPr>
            <w:tcW w:w="831" w:type="pct"/>
            <w:vAlign w:val="center"/>
          </w:tcPr>
          <w:p w14:paraId="5AB183A4">
            <w:pPr>
              <w:spacing w:line="36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C用户</w:t>
            </w:r>
          </w:p>
        </w:tc>
        <w:tc>
          <w:tcPr>
            <w:tcW w:w="915" w:type="pct"/>
            <w:vAlign w:val="center"/>
          </w:tcPr>
          <w:p w14:paraId="3BE0789D">
            <w:pPr>
              <w:spacing w:line="36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D用户</w:t>
            </w:r>
          </w:p>
        </w:tc>
        <w:tc>
          <w:tcPr>
            <w:tcW w:w="946" w:type="pct"/>
            <w:vAlign w:val="center"/>
          </w:tcPr>
          <w:p w14:paraId="4BD61AAF">
            <w:pPr>
              <w:spacing w:line="36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E用户</w:t>
            </w:r>
          </w:p>
        </w:tc>
      </w:tr>
      <w:tr w14:paraId="5C9B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Align w:val="center"/>
          </w:tcPr>
          <w:p w14:paraId="464A2FB8">
            <w:pPr>
              <w:jc w:val="center"/>
              <w:rPr>
                <w:rFonts w:ascii="Calibri" w:hAnsi="Calibri"/>
                <w:color w:val="auto"/>
                <w:kern w:val="0"/>
                <w:sz w:val="18"/>
                <w:szCs w:val="18"/>
              </w:rPr>
            </w:pPr>
            <w:r>
              <w:rPr>
                <w:rFonts w:hint="eastAsia" w:ascii="Calibri" w:hAnsi="Calibri"/>
                <w:color w:val="auto"/>
                <w:kern w:val="0"/>
                <w:sz w:val="18"/>
                <w:szCs w:val="18"/>
              </w:rPr>
              <w:t>Rh</w:t>
            </w:r>
          </w:p>
        </w:tc>
        <w:tc>
          <w:tcPr>
            <w:tcW w:w="769" w:type="pct"/>
            <w:vAlign w:val="center"/>
          </w:tcPr>
          <w:p w14:paraId="0F118459">
            <w:pPr>
              <w:tabs>
                <w:tab w:val="left" w:pos="465"/>
                <w:tab w:val="center" w:pos="882"/>
              </w:tabs>
              <w:jc w:val="center"/>
              <w:rPr>
                <w:rFonts w:ascii="宋体" w:hAnsi="宋体"/>
                <w:color w:val="auto"/>
                <w:kern w:val="0"/>
                <w:sz w:val="18"/>
                <w:szCs w:val="18"/>
              </w:rPr>
            </w:pPr>
            <w:r>
              <w:rPr>
                <w:rFonts w:hint="eastAsia" w:ascii="宋体" w:hAnsi="宋体"/>
                <w:color w:val="auto"/>
                <w:kern w:val="0"/>
                <w:sz w:val="18"/>
                <w:szCs w:val="18"/>
                <w:lang w:val="en-US" w:eastAsia="zh-CN"/>
              </w:rPr>
              <w:t>19</w:t>
            </w:r>
            <w:r>
              <w:rPr>
                <w:rFonts w:hint="eastAsia" w:ascii="宋体" w:hAnsi="宋体"/>
                <w:color w:val="auto"/>
                <w:kern w:val="0"/>
                <w:sz w:val="18"/>
                <w:szCs w:val="18"/>
              </w:rPr>
              <w:t>.0～</w:t>
            </w:r>
            <w:r>
              <w:rPr>
                <w:rFonts w:hint="eastAsia" w:ascii="宋体" w:hAnsi="宋体"/>
                <w:color w:val="auto"/>
                <w:kern w:val="0"/>
                <w:sz w:val="18"/>
                <w:szCs w:val="18"/>
                <w:lang w:val="en-US" w:eastAsia="zh-CN"/>
              </w:rPr>
              <w:t>19</w:t>
            </w:r>
            <w:r>
              <w:rPr>
                <w:rFonts w:hint="eastAsia" w:ascii="宋体" w:hAnsi="宋体"/>
                <w:color w:val="auto"/>
                <w:kern w:val="0"/>
                <w:sz w:val="18"/>
                <w:szCs w:val="18"/>
              </w:rPr>
              <w:t>.</w:t>
            </w:r>
            <w:r>
              <w:rPr>
                <w:rFonts w:hint="eastAsia" w:ascii="宋体" w:hAnsi="宋体"/>
                <w:color w:val="auto"/>
                <w:kern w:val="0"/>
                <w:sz w:val="18"/>
                <w:szCs w:val="18"/>
                <w:lang w:val="en-US" w:eastAsia="zh-CN"/>
              </w:rPr>
              <w:t>5</w:t>
            </w:r>
            <w:r>
              <w:rPr>
                <w:rFonts w:ascii="宋体" w:hAnsi="宋体"/>
                <w:color w:val="auto"/>
                <w:kern w:val="0"/>
                <w:sz w:val="18"/>
                <w:szCs w:val="18"/>
              </w:rPr>
              <w:t>0</w:t>
            </w:r>
            <w:r>
              <w:rPr>
                <w:rFonts w:hint="eastAsia" w:ascii="宋体" w:hAnsi="宋体"/>
                <w:color w:val="auto"/>
                <w:kern w:val="0"/>
                <w:sz w:val="18"/>
                <w:szCs w:val="18"/>
              </w:rPr>
              <w:t>%</w:t>
            </w:r>
          </w:p>
          <w:p w14:paraId="3B6F2B4D">
            <w:pPr>
              <w:tabs>
                <w:tab w:val="left" w:pos="465"/>
                <w:tab w:val="center" w:pos="882"/>
              </w:tabs>
              <w:jc w:val="center"/>
              <w:rPr>
                <w:rFonts w:ascii="Calibri" w:hAnsi="Calibri"/>
                <w:color w:val="auto"/>
                <w:kern w:val="0"/>
                <w:sz w:val="18"/>
                <w:szCs w:val="18"/>
              </w:rPr>
            </w:pPr>
            <w:r>
              <w:rPr>
                <w:rFonts w:hint="eastAsia" w:ascii="Calibri" w:hAnsi="Calibri"/>
                <w:color w:val="auto"/>
                <w:kern w:val="0"/>
                <w:sz w:val="18"/>
                <w:szCs w:val="18"/>
              </w:rPr>
              <w:t>Wt%</w:t>
            </w:r>
          </w:p>
        </w:tc>
        <w:tc>
          <w:tcPr>
            <w:tcW w:w="826" w:type="pct"/>
            <w:vAlign w:val="center"/>
          </w:tcPr>
          <w:p w14:paraId="5D3160DA">
            <w:pPr>
              <w:tabs>
                <w:tab w:val="left" w:pos="465"/>
                <w:tab w:val="center" w:pos="882"/>
              </w:tabs>
              <w:jc w:val="center"/>
              <w:rPr>
                <w:rFonts w:ascii="Calibri" w:hAnsi="Calibri"/>
                <w:color w:val="auto"/>
                <w:kern w:val="0"/>
                <w:sz w:val="18"/>
                <w:szCs w:val="18"/>
              </w:rPr>
            </w:pPr>
            <w:r>
              <w:rPr>
                <w:rFonts w:hint="eastAsia" w:ascii="宋体" w:hAnsi="宋体"/>
                <w:color w:val="auto"/>
                <w:kern w:val="0"/>
                <w:sz w:val="18"/>
                <w:szCs w:val="18"/>
                <w:lang w:val="en-US" w:eastAsia="zh-CN"/>
              </w:rPr>
              <w:t>20</w:t>
            </w:r>
            <w:r>
              <w:rPr>
                <w:rFonts w:hint="eastAsia" w:ascii="宋体" w:hAnsi="宋体"/>
                <w:color w:val="auto"/>
                <w:kern w:val="0"/>
                <w:sz w:val="18"/>
                <w:szCs w:val="18"/>
              </w:rPr>
              <w:t>.</w:t>
            </w:r>
            <w:r>
              <w:rPr>
                <w:rFonts w:hint="eastAsia" w:ascii="宋体" w:hAnsi="宋体"/>
                <w:color w:val="auto"/>
                <w:kern w:val="0"/>
                <w:sz w:val="18"/>
                <w:szCs w:val="18"/>
                <w:lang w:val="en-US" w:eastAsia="zh-CN"/>
              </w:rPr>
              <w:t>0</w:t>
            </w:r>
            <w:r>
              <w:rPr>
                <w:rFonts w:hint="eastAsia" w:ascii="宋体" w:hAnsi="宋体"/>
                <w:color w:val="auto"/>
                <w:kern w:val="0"/>
                <w:sz w:val="18"/>
                <w:szCs w:val="18"/>
              </w:rPr>
              <w:t>±0.</w:t>
            </w:r>
            <w:r>
              <w:rPr>
                <w:rFonts w:ascii="宋体" w:hAnsi="宋体"/>
                <w:color w:val="auto"/>
                <w:kern w:val="0"/>
                <w:sz w:val="18"/>
                <w:szCs w:val="18"/>
              </w:rPr>
              <w:t>3</w:t>
            </w:r>
            <w:r>
              <w:rPr>
                <w:rFonts w:hint="eastAsia" w:ascii="宋体" w:hAnsi="宋体"/>
                <w:color w:val="auto"/>
                <w:kern w:val="0"/>
                <w:sz w:val="18"/>
                <w:szCs w:val="18"/>
              </w:rPr>
              <w:t>%</w:t>
            </w:r>
          </w:p>
          <w:p w14:paraId="49C43767">
            <w:pPr>
              <w:tabs>
                <w:tab w:val="left" w:pos="465"/>
                <w:tab w:val="center" w:pos="882"/>
              </w:tabs>
              <w:jc w:val="center"/>
              <w:rPr>
                <w:rFonts w:ascii="Calibri" w:hAnsi="Calibri"/>
                <w:color w:val="auto"/>
                <w:kern w:val="0"/>
                <w:sz w:val="18"/>
                <w:szCs w:val="18"/>
              </w:rPr>
            </w:pPr>
            <w:r>
              <w:rPr>
                <w:rFonts w:hint="eastAsia" w:ascii="Calibri" w:hAnsi="Calibri"/>
                <w:color w:val="auto"/>
                <w:kern w:val="0"/>
                <w:sz w:val="18"/>
                <w:szCs w:val="18"/>
              </w:rPr>
              <w:t>Wt%</w:t>
            </w:r>
          </w:p>
        </w:tc>
        <w:tc>
          <w:tcPr>
            <w:tcW w:w="831" w:type="pct"/>
            <w:vAlign w:val="center"/>
          </w:tcPr>
          <w:p w14:paraId="6301EE3B">
            <w:pPr>
              <w:tabs>
                <w:tab w:val="left" w:pos="465"/>
                <w:tab w:val="center" w:pos="882"/>
              </w:tabs>
              <w:jc w:val="center"/>
              <w:rPr>
                <w:rFonts w:ascii="Calibri" w:hAnsi="Calibri"/>
                <w:color w:val="auto"/>
                <w:kern w:val="0"/>
                <w:sz w:val="18"/>
                <w:szCs w:val="18"/>
              </w:rPr>
            </w:pPr>
            <w:r>
              <w:rPr>
                <w:rFonts w:hint="eastAsia" w:ascii="宋体" w:hAnsi="宋体"/>
                <w:color w:val="auto"/>
                <w:kern w:val="0"/>
                <w:sz w:val="18"/>
                <w:szCs w:val="18"/>
              </w:rPr>
              <w:t>&gt;</w:t>
            </w:r>
            <w:r>
              <w:rPr>
                <w:rFonts w:hint="eastAsia" w:ascii="宋体" w:hAnsi="宋体"/>
                <w:color w:val="auto"/>
                <w:kern w:val="0"/>
                <w:sz w:val="18"/>
                <w:szCs w:val="18"/>
                <w:lang w:val="en-US" w:eastAsia="zh-CN"/>
              </w:rPr>
              <w:t>20</w:t>
            </w:r>
            <w:r>
              <w:rPr>
                <w:rFonts w:hint="eastAsia" w:ascii="宋体" w:hAnsi="宋体"/>
                <w:color w:val="auto"/>
                <w:kern w:val="0"/>
                <w:sz w:val="18"/>
                <w:szCs w:val="18"/>
              </w:rPr>
              <w:t>.0%</w:t>
            </w:r>
          </w:p>
          <w:p w14:paraId="2DC98948">
            <w:pPr>
              <w:tabs>
                <w:tab w:val="left" w:pos="465"/>
                <w:tab w:val="center" w:pos="882"/>
              </w:tabs>
              <w:jc w:val="center"/>
              <w:rPr>
                <w:rFonts w:ascii="Calibri" w:hAnsi="Calibri"/>
                <w:color w:val="auto"/>
                <w:kern w:val="0"/>
                <w:sz w:val="18"/>
                <w:szCs w:val="18"/>
              </w:rPr>
            </w:pPr>
            <w:r>
              <w:rPr>
                <w:rFonts w:hint="eastAsia" w:ascii="Calibri" w:hAnsi="Calibri"/>
                <w:color w:val="auto"/>
                <w:kern w:val="0"/>
                <w:sz w:val="18"/>
                <w:szCs w:val="18"/>
              </w:rPr>
              <w:t>Wt%</w:t>
            </w:r>
          </w:p>
        </w:tc>
        <w:tc>
          <w:tcPr>
            <w:tcW w:w="915" w:type="pct"/>
            <w:vAlign w:val="center"/>
          </w:tcPr>
          <w:p w14:paraId="03FC5443">
            <w:pPr>
              <w:tabs>
                <w:tab w:val="left" w:pos="465"/>
                <w:tab w:val="center" w:pos="882"/>
              </w:tabs>
              <w:jc w:val="center"/>
              <w:rPr>
                <w:rFonts w:hint="default" w:ascii="Calibri" w:hAnsi="Calibri"/>
                <w:color w:val="auto"/>
                <w:kern w:val="0"/>
                <w:sz w:val="18"/>
                <w:szCs w:val="18"/>
                <w:lang w:val="en-US"/>
              </w:rPr>
            </w:pPr>
            <w:r>
              <w:rPr>
                <w:rFonts w:hint="eastAsia" w:ascii="宋体" w:hAnsi="宋体"/>
                <w:color w:val="auto"/>
                <w:kern w:val="0"/>
                <w:sz w:val="18"/>
                <w:szCs w:val="18"/>
                <w:lang w:val="en-US" w:eastAsia="zh-CN"/>
              </w:rPr>
              <w:t>＞18.5%</w:t>
            </w:r>
          </w:p>
          <w:p w14:paraId="78ABC2E4">
            <w:pPr>
              <w:tabs>
                <w:tab w:val="left" w:pos="465"/>
                <w:tab w:val="center" w:pos="882"/>
              </w:tabs>
              <w:jc w:val="center"/>
              <w:rPr>
                <w:rFonts w:ascii="Calibri" w:hAnsi="Calibri"/>
                <w:color w:val="auto"/>
                <w:kern w:val="0"/>
                <w:sz w:val="18"/>
                <w:szCs w:val="18"/>
              </w:rPr>
            </w:pPr>
            <w:r>
              <w:rPr>
                <w:rFonts w:hint="eastAsia" w:ascii="Calibri" w:hAnsi="Calibri"/>
                <w:color w:val="auto"/>
                <w:kern w:val="0"/>
                <w:sz w:val="18"/>
                <w:szCs w:val="18"/>
              </w:rPr>
              <w:t>Wt%</w:t>
            </w:r>
          </w:p>
        </w:tc>
        <w:tc>
          <w:tcPr>
            <w:tcW w:w="946" w:type="pct"/>
            <w:vAlign w:val="center"/>
          </w:tcPr>
          <w:p w14:paraId="5EACC6DB">
            <w:pPr>
              <w:tabs>
                <w:tab w:val="left" w:pos="465"/>
                <w:tab w:val="center" w:pos="882"/>
              </w:tabs>
              <w:jc w:val="center"/>
              <w:rPr>
                <w:rFonts w:ascii="Calibri" w:hAnsi="Calibri"/>
                <w:color w:val="auto"/>
                <w:kern w:val="0"/>
                <w:sz w:val="18"/>
                <w:szCs w:val="18"/>
              </w:rPr>
            </w:pPr>
            <w:r>
              <w:rPr>
                <w:rFonts w:hint="eastAsia" w:ascii="宋体" w:hAnsi="宋体"/>
                <w:color w:val="auto"/>
                <w:kern w:val="0"/>
                <w:sz w:val="18"/>
                <w:szCs w:val="18"/>
                <w:lang w:val="en-US" w:eastAsia="zh-CN"/>
              </w:rPr>
              <w:t>21</w:t>
            </w:r>
            <w:r>
              <w:rPr>
                <w:rFonts w:hint="eastAsia" w:ascii="宋体" w:hAnsi="宋体"/>
                <w:color w:val="auto"/>
                <w:kern w:val="0"/>
                <w:sz w:val="18"/>
                <w:szCs w:val="18"/>
              </w:rPr>
              <w:t>±0.</w:t>
            </w:r>
            <w:r>
              <w:rPr>
                <w:rFonts w:hint="eastAsia" w:ascii="宋体" w:hAnsi="宋体"/>
                <w:color w:val="auto"/>
                <w:kern w:val="0"/>
                <w:sz w:val="18"/>
                <w:szCs w:val="18"/>
                <w:lang w:val="en-US" w:eastAsia="zh-CN"/>
              </w:rPr>
              <w:t>3</w:t>
            </w:r>
            <w:r>
              <w:rPr>
                <w:rFonts w:hint="eastAsia" w:ascii="宋体" w:hAnsi="宋体"/>
                <w:color w:val="auto"/>
                <w:kern w:val="0"/>
                <w:sz w:val="18"/>
                <w:szCs w:val="18"/>
              </w:rPr>
              <w:t>%</w:t>
            </w:r>
          </w:p>
          <w:p w14:paraId="0FD12136">
            <w:pPr>
              <w:tabs>
                <w:tab w:val="left" w:pos="465"/>
                <w:tab w:val="center" w:pos="882"/>
              </w:tabs>
              <w:jc w:val="center"/>
              <w:rPr>
                <w:rFonts w:ascii="Calibri" w:hAnsi="Calibri"/>
                <w:color w:val="auto"/>
                <w:kern w:val="0"/>
                <w:sz w:val="18"/>
                <w:szCs w:val="18"/>
              </w:rPr>
            </w:pPr>
            <w:r>
              <w:rPr>
                <w:rFonts w:hint="eastAsia" w:ascii="Calibri" w:hAnsi="Calibri"/>
                <w:color w:val="auto"/>
                <w:kern w:val="0"/>
                <w:sz w:val="18"/>
                <w:szCs w:val="18"/>
              </w:rPr>
              <w:t>Wt%</w:t>
            </w:r>
          </w:p>
        </w:tc>
      </w:tr>
      <w:tr w14:paraId="1401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Align w:val="center"/>
          </w:tcPr>
          <w:p w14:paraId="72E35F8F">
            <w:pPr>
              <w:jc w:val="center"/>
              <w:rPr>
                <w:rFonts w:ascii="Calibri" w:hAnsi="Calibri"/>
                <w:color w:val="auto"/>
                <w:kern w:val="0"/>
                <w:sz w:val="18"/>
                <w:szCs w:val="18"/>
              </w:rPr>
            </w:pPr>
            <w:r>
              <w:rPr>
                <w:rFonts w:hint="eastAsia" w:ascii="Calibri" w:hAnsi="Calibri"/>
                <w:color w:val="auto"/>
                <w:kern w:val="0"/>
                <w:sz w:val="18"/>
                <w:szCs w:val="18"/>
              </w:rPr>
              <w:t>Ag</w:t>
            </w:r>
          </w:p>
        </w:tc>
        <w:tc>
          <w:tcPr>
            <w:tcW w:w="769" w:type="pct"/>
            <w:vAlign w:val="center"/>
          </w:tcPr>
          <w:p w14:paraId="4F49EA84">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1</w:t>
            </w:r>
            <w:r>
              <w:rPr>
                <w:rFonts w:hint="eastAsia" w:ascii="Calibri" w:hAnsi="Calibri"/>
                <w:color w:val="auto"/>
                <w:kern w:val="0"/>
                <w:sz w:val="18"/>
                <w:szCs w:val="18"/>
              </w:rPr>
              <w:t>%    Wt%</w:t>
            </w:r>
          </w:p>
        </w:tc>
        <w:tc>
          <w:tcPr>
            <w:tcW w:w="826" w:type="pct"/>
            <w:vAlign w:val="center"/>
          </w:tcPr>
          <w:p w14:paraId="3163F3EC">
            <w:pPr>
              <w:jc w:val="center"/>
              <w:rPr>
                <w:rFonts w:ascii="Calibri" w:hAnsi="Calibri"/>
                <w:color w:val="auto"/>
                <w:kern w:val="0"/>
                <w:sz w:val="18"/>
                <w:szCs w:val="18"/>
              </w:rPr>
            </w:pPr>
            <w:r>
              <w:rPr>
                <w:rFonts w:hint="eastAsia" w:ascii="Calibri" w:hAnsi="Calibri"/>
                <w:color w:val="auto"/>
                <w:kern w:val="0"/>
                <w:sz w:val="18"/>
                <w:szCs w:val="18"/>
              </w:rPr>
              <w:t>&lt;0.005%    Wt%</w:t>
            </w:r>
          </w:p>
        </w:tc>
        <w:tc>
          <w:tcPr>
            <w:tcW w:w="831" w:type="pct"/>
            <w:vAlign w:val="center"/>
          </w:tcPr>
          <w:p w14:paraId="1D6A1181">
            <w:pPr>
              <w:jc w:val="center"/>
              <w:rPr>
                <w:rFonts w:ascii="Calibri" w:hAnsi="Calibri"/>
                <w:color w:val="auto"/>
                <w:kern w:val="0"/>
                <w:sz w:val="18"/>
                <w:szCs w:val="18"/>
              </w:rPr>
            </w:pPr>
            <w:r>
              <w:rPr>
                <w:rFonts w:hint="eastAsia" w:ascii="Calibri" w:hAnsi="Calibri"/>
                <w:color w:val="auto"/>
                <w:kern w:val="0"/>
                <w:sz w:val="18"/>
                <w:szCs w:val="18"/>
              </w:rPr>
              <w:t>&lt;0.00</w:t>
            </w:r>
            <w:r>
              <w:rPr>
                <w:rFonts w:ascii="Calibri" w:hAnsi="Calibri"/>
                <w:color w:val="auto"/>
                <w:kern w:val="0"/>
                <w:sz w:val="18"/>
                <w:szCs w:val="18"/>
              </w:rPr>
              <w:t>5</w:t>
            </w:r>
            <w:r>
              <w:rPr>
                <w:rFonts w:hint="eastAsia" w:ascii="Calibri" w:hAnsi="Calibri"/>
                <w:color w:val="auto"/>
                <w:kern w:val="0"/>
                <w:sz w:val="18"/>
                <w:szCs w:val="18"/>
              </w:rPr>
              <w:t>%    Wt%</w:t>
            </w:r>
          </w:p>
        </w:tc>
        <w:tc>
          <w:tcPr>
            <w:tcW w:w="915" w:type="pct"/>
            <w:vAlign w:val="center"/>
          </w:tcPr>
          <w:p w14:paraId="493C6198">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1</w:t>
            </w:r>
            <w:r>
              <w:rPr>
                <w:rFonts w:hint="eastAsia" w:ascii="Calibri" w:hAnsi="Calibri"/>
                <w:color w:val="auto"/>
                <w:kern w:val="0"/>
                <w:sz w:val="18"/>
                <w:szCs w:val="18"/>
              </w:rPr>
              <w:t>%    Wt%</w:t>
            </w:r>
          </w:p>
        </w:tc>
        <w:tc>
          <w:tcPr>
            <w:tcW w:w="946" w:type="pct"/>
            <w:vAlign w:val="center"/>
          </w:tcPr>
          <w:p w14:paraId="1BBD6F82">
            <w:pPr>
              <w:jc w:val="center"/>
              <w:rPr>
                <w:rFonts w:ascii="Calibri" w:hAnsi="Calibri"/>
                <w:color w:val="auto"/>
                <w:kern w:val="0"/>
                <w:sz w:val="18"/>
                <w:szCs w:val="18"/>
              </w:rPr>
            </w:pPr>
            <w:r>
              <w:rPr>
                <w:rFonts w:hint="eastAsia" w:ascii="Calibri" w:hAnsi="Calibri"/>
                <w:color w:val="auto"/>
                <w:kern w:val="0"/>
                <w:sz w:val="18"/>
                <w:szCs w:val="18"/>
              </w:rPr>
              <w:t xml:space="preserve">&lt;0.005%    </w:t>
            </w:r>
          </w:p>
          <w:p w14:paraId="25D21283">
            <w:pPr>
              <w:jc w:val="center"/>
              <w:rPr>
                <w:rFonts w:ascii="Calibri" w:hAnsi="Calibri"/>
                <w:color w:val="auto"/>
                <w:kern w:val="0"/>
                <w:sz w:val="18"/>
                <w:szCs w:val="18"/>
              </w:rPr>
            </w:pPr>
            <w:r>
              <w:rPr>
                <w:rFonts w:hint="eastAsia" w:ascii="Calibri" w:hAnsi="Calibri"/>
                <w:color w:val="auto"/>
                <w:kern w:val="0"/>
                <w:sz w:val="18"/>
                <w:szCs w:val="18"/>
              </w:rPr>
              <w:t>Wt%</w:t>
            </w:r>
          </w:p>
        </w:tc>
      </w:tr>
      <w:tr w14:paraId="7629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Align w:val="center"/>
          </w:tcPr>
          <w:p w14:paraId="3A28639B">
            <w:pPr>
              <w:jc w:val="center"/>
              <w:rPr>
                <w:rFonts w:ascii="Calibri" w:hAnsi="Calibri"/>
                <w:color w:val="auto"/>
                <w:kern w:val="0"/>
                <w:sz w:val="18"/>
                <w:szCs w:val="18"/>
              </w:rPr>
            </w:pPr>
            <w:r>
              <w:rPr>
                <w:rFonts w:hint="eastAsia" w:ascii="Calibri" w:hAnsi="Calibri"/>
                <w:color w:val="auto"/>
                <w:kern w:val="0"/>
                <w:sz w:val="18"/>
                <w:szCs w:val="18"/>
              </w:rPr>
              <w:t>Au</w:t>
            </w:r>
          </w:p>
        </w:tc>
        <w:tc>
          <w:tcPr>
            <w:tcW w:w="769" w:type="pct"/>
            <w:vAlign w:val="center"/>
          </w:tcPr>
          <w:p w14:paraId="2F90410F">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1</w:t>
            </w:r>
            <w:r>
              <w:rPr>
                <w:rFonts w:hint="eastAsia" w:ascii="Calibri" w:hAnsi="Calibri"/>
                <w:color w:val="auto"/>
                <w:kern w:val="0"/>
                <w:sz w:val="18"/>
                <w:szCs w:val="18"/>
              </w:rPr>
              <w:t>%    Wt%</w:t>
            </w:r>
          </w:p>
        </w:tc>
        <w:tc>
          <w:tcPr>
            <w:tcW w:w="826" w:type="pct"/>
            <w:vAlign w:val="center"/>
          </w:tcPr>
          <w:p w14:paraId="5F62E147">
            <w:pPr>
              <w:jc w:val="center"/>
              <w:rPr>
                <w:rFonts w:ascii="Calibri" w:hAnsi="Calibri"/>
                <w:color w:val="auto"/>
                <w:kern w:val="0"/>
                <w:sz w:val="18"/>
                <w:szCs w:val="18"/>
              </w:rPr>
            </w:pPr>
            <w:r>
              <w:rPr>
                <w:rFonts w:hint="eastAsia" w:ascii="Calibri" w:hAnsi="Calibri"/>
                <w:color w:val="auto"/>
                <w:kern w:val="0"/>
                <w:sz w:val="18"/>
                <w:szCs w:val="18"/>
              </w:rPr>
              <w:t>&lt;0.005%    Wt%</w:t>
            </w:r>
          </w:p>
        </w:tc>
        <w:tc>
          <w:tcPr>
            <w:tcW w:w="831" w:type="pct"/>
            <w:vAlign w:val="center"/>
          </w:tcPr>
          <w:p w14:paraId="62C4153C">
            <w:pPr>
              <w:jc w:val="center"/>
              <w:rPr>
                <w:rFonts w:ascii="Calibri" w:hAnsi="Calibri"/>
                <w:color w:val="auto"/>
                <w:kern w:val="0"/>
                <w:sz w:val="18"/>
                <w:szCs w:val="18"/>
              </w:rPr>
            </w:pPr>
            <w:r>
              <w:rPr>
                <w:rFonts w:hint="eastAsia" w:ascii="Calibri" w:hAnsi="Calibri"/>
                <w:color w:val="auto"/>
                <w:kern w:val="0"/>
                <w:sz w:val="18"/>
                <w:szCs w:val="18"/>
              </w:rPr>
              <w:t>&lt;0.005%    Wt%</w:t>
            </w:r>
          </w:p>
        </w:tc>
        <w:tc>
          <w:tcPr>
            <w:tcW w:w="915" w:type="pct"/>
            <w:vAlign w:val="center"/>
          </w:tcPr>
          <w:p w14:paraId="6E37A3D7">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1</w:t>
            </w:r>
            <w:r>
              <w:rPr>
                <w:rFonts w:hint="eastAsia" w:ascii="Calibri" w:hAnsi="Calibri"/>
                <w:color w:val="auto"/>
                <w:kern w:val="0"/>
                <w:sz w:val="18"/>
                <w:szCs w:val="18"/>
              </w:rPr>
              <w:t>%    Wt%</w:t>
            </w:r>
          </w:p>
        </w:tc>
        <w:tc>
          <w:tcPr>
            <w:tcW w:w="946" w:type="pct"/>
            <w:vAlign w:val="center"/>
          </w:tcPr>
          <w:p w14:paraId="7C0D54E6">
            <w:pPr>
              <w:jc w:val="center"/>
              <w:rPr>
                <w:rFonts w:ascii="Calibri" w:hAnsi="Calibri"/>
                <w:color w:val="auto"/>
                <w:kern w:val="0"/>
                <w:sz w:val="18"/>
                <w:szCs w:val="18"/>
              </w:rPr>
            </w:pPr>
            <w:r>
              <w:rPr>
                <w:rFonts w:hint="eastAsia" w:ascii="Calibri" w:hAnsi="Calibri"/>
                <w:color w:val="auto"/>
                <w:kern w:val="0"/>
                <w:sz w:val="18"/>
                <w:szCs w:val="18"/>
              </w:rPr>
              <w:t xml:space="preserve">&lt;0.005%   </w:t>
            </w:r>
          </w:p>
          <w:p w14:paraId="190C9D8F">
            <w:pPr>
              <w:jc w:val="center"/>
              <w:rPr>
                <w:rFonts w:ascii="Calibri" w:hAnsi="Calibri"/>
                <w:color w:val="auto"/>
                <w:kern w:val="0"/>
                <w:sz w:val="18"/>
                <w:szCs w:val="18"/>
              </w:rPr>
            </w:pPr>
            <w:r>
              <w:rPr>
                <w:rFonts w:hint="eastAsia" w:ascii="Calibri" w:hAnsi="Calibri"/>
                <w:color w:val="auto"/>
                <w:kern w:val="0"/>
                <w:sz w:val="18"/>
                <w:szCs w:val="18"/>
              </w:rPr>
              <w:t xml:space="preserve"> Wt%</w:t>
            </w:r>
          </w:p>
        </w:tc>
      </w:tr>
      <w:tr w14:paraId="5994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Align w:val="center"/>
          </w:tcPr>
          <w:p w14:paraId="1D1DDB53">
            <w:pPr>
              <w:jc w:val="center"/>
              <w:rPr>
                <w:rFonts w:ascii="Calibri" w:hAnsi="Calibri"/>
                <w:color w:val="auto"/>
                <w:kern w:val="0"/>
                <w:sz w:val="18"/>
                <w:szCs w:val="18"/>
              </w:rPr>
            </w:pPr>
            <w:r>
              <w:rPr>
                <w:rFonts w:hint="eastAsia" w:ascii="Calibri" w:hAnsi="Calibri"/>
                <w:color w:val="auto"/>
                <w:kern w:val="0"/>
                <w:sz w:val="18"/>
                <w:szCs w:val="18"/>
              </w:rPr>
              <w:t>Pd</w:t>
            </w:r>
          </w:p>
        </w:tc>
        <w:tc>
          <w:tcPr>
            <w:tcW w:w="769" w:type="pct"/>
            <w:vAlign w:val="center"/>
          </w:tcPr>
          <w:p w14:paraId="244F4BDD">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1</w:t>
            </w:r>
            <w:r>
              <w:rPr>
                <w:rFonts w:hint="eastAsia" w:ascii="Calibri" w:hAnsi="Calibri"/>
                <w:color w:val="auto"/>
                <w:kern w:val="0"/>
                <w:sz w:val="18"/>
                <w:szCs w:val="18"/>
              </w:rPr>
              <w:t>%    Wt%</w:t>
            </w:r>
          </w:p>
        </w:tc>
        <w:tc>
          <w:tcPr>
            <w:tcW w:w="826" w:type="pct"/>
            <w:vAlign w:val="center"/>
          </w:tcPr>
          <w:p w14:paraId="6EFAF26F">
            <w:pPr>
              <w:jc w:val="center"/>
              <w:rPr>
                <w:rFonts w:ascii="Calibri" w:hAnsi="Calibri"/>
                <w:color w:val="auto"/>
                <w:kern w:val="0"/>
                <w:sz w:val="18"/>
                <w:szCs w:val="18"/>
              </w:rPr>
            </w:pPr>
            <w:r>
              <w:rPr>
                <w:rFonts w:hint="eastAsia" w:ascii="Calibri" w:hAnsi="Calibri"/>
                <w:color w:val="auto"/>
                <w:kern w:val="0"/>
                <w:sz w:val="18"/>
                <w:szCs w:val="18"/>
              </w:rPr>
              <w:t>&lt;0.005%    Wt%</w:t>
            </w:r>
          </w:p>
        </w:tc>
        <w:tc>
          <w:tcPr>
            <w:tcW w:w="831" w:type="pct"/>
            <w:vAlign w:val="center"/>
          </w:tcPr>
          <w:p w14:paraId="7D00DBC3">
            <w:pPr>
              <w:jc w:val="center"/>
              <w:rPr>
                <w:rFonts w:ascii="Calibri" w:hAnsi="Calibri"/>
                <w:color w:val="auto"/>
                <w:kern w:val="0"/>
                <w:sz w:val="18"/>
                <w:szCs w:val="18"/>
              </w:rPr>
            </w:pPr>
            <w:r>
              <w:rPr>
                <w:rFonts w:hint="eastAsia" w:ascii="Calibri" w:hAnsi="Calibri"/>
                <w:color w:val="auto"/>
                <w:kern w:val="0"/>
                <w:sz w:val="18"/>
                <w:szCs w:val="18"/>
              </w:rPr>
              <w:t>&lt;0.005%    Wt%</w:t>
            </w:r>
          </w:p>
        </w:tc>
        <w:tc>
          <w:tcPr>
            <w:tcW w:w="915" w:type="pct"/>
            <w:vAlign w:val="center"/>
          </w:tcPr>
          <w:p w14:paraId="542DDACD">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1</w:t>
            </w:r>
            <w:r>
              <w:rPr>
                <w:rFonts w:hint="eastAsia" w:ascii="Calibri" w:hAnsi="Calibri"/>
                <w:color w:val="auto"/>
                <w:kern w:val="0"/>
                <w:sz w:val="18"/>
                <w:szCs w:val="18"/>
              </w:rPr>
              <w:t>%    Wt%</w:t>
            </w:r>
          </w:p>
        </w:tc>
        <w:tc>
          <w:tcPr>
            <w:tcW w:w="946" w:type="pct"/>
            <w:vAlign w:val="center"/>
          </w:tcPr>
          <w:p w14:paraId="7EE85FEF">
            <w:pPr>
              <w:jc w:val="center"/>
              <w:rPr>
                <w:rFonts w:ascii="Calibri" w:hAnsi="Calibri"/>
                <w:color w:val="auto"/>
                <w:kern w:val="0"/>
                <w:sz w:val="18"/>
                <w:szCs w:val="18"/>
              </w:rPr>
            </w:pPr>
            <w:r>
              <w:rPr>
                <w:rFonts w:hint="eastAsia" w:ascii="Calibri" w:hAnsi="Calibri"/>
                <w:color w:val="auto"/>
                <w:kern w:val="0"/>
                <w:sz w:val="18"/>
                <w:szCs w:val="18"/>
              </w:rPr>
              <w:t xml:space="preserve">&lt;0.005%   </w:t>
            </w:r>
          </w:p>
          <w:p w14:paraId="16759B8B">
            <w:pPr>
              <w:jc w:val="center"/>
              <w:rPr>
                <w:rFonts w:ascii="Calibri" w:hAnsi="Calibri"/>
                <w:color w:val="auto"/>
                <w:kern w:val="0"/>
                <w:sz w:val="18"/>
                <w:szCs w:val="18"/>
              </w:rPr>
            </w:pPr>
            <w:r>
              <w:rPr>
                <w:rFonts w:hint="eastAsia" w:ascii="Calibri" w:hAnsi="Calibri"/>
                <w:color w:val="auto"/>
                <w:kern w:val="0"/>
                <w:sz w:val="18"/>
                <w:szCs w:val="18"/>
              </w:rPr>
              <w:t xml:space="preserve"> Wt%</w:t>
            </w:r>
          </w:p>
        </w:tc>
      </w:tr>
      <w:tr w14:paraId="4C2C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Align w:val="center"/>
          </w:tcPr>
          <w:p w14:paraId="29A37CCD">
            <w:pPr>
              <w:jc w:val="center"/>
              <w:rPr>
                <w:rFonts w:ascii="Calibri" w:hAnsi="Calibri"/>
                <w:color w:val="auto"/>
                <w:kern w:val="0"/>
                <w:sz w:val="18"/>
                <w:szCs w:val="18"/>
              </w:rPr>
            </w:pPr>
            <w:r>
              <w:rPr>
                <w:rFonts w:hint="eastAsia" w:ascii="Calibri" w:hAnsi="Calibri"/>
                <w:color w:val="auto"/>
                <w:kern w:val="0"/>
                <w:sz w:val="18"/>
                <w:szCs w:val="18"/>
              </w:rPr>
              <w:t>Pt</w:t>
            </w:r>
          </w:p>
        </w:tc>
        <w:tc>
          <w:tcPr>
            <w:tcW w:w="769" w:type="pct"/>
            <w:vAlign w:val="center"/>
          </w:tcPr>
          <w:p w14:paraId="237433AC">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1</w:t>
            </w:r>
            <w:r>
              <w:rPr>
                <w:rFonts w:hint="eastAsia" w:ascii="Calibri" w:hAnsi="Calibri"/>
                <w:color w:val="auto"/>
                <w:kern w:val="0"/>
                <w:sz w:val="18"/>
                <w:szCs w:val="18"/>
              </w:rPr>
              <w:t>%    Wt%</w:t>
            </w:r>
          </w:p>
        </w:tc>
        <w:tc>
          <w:tcPr>
            <w:tcW w:w="826" w:type="pct"/>
            <w:vAlign w:val="center"/>
          </w:tcPr>
          <w:p w14:paraId="5EC957B4">
            <w:pPr>
              <w:jc w:val="center"/>
              <w:rPr>
                <w:rFonts w:ascii="Calibri" w:hAnsi="Calibri"/>
                <w:color w:val="auto"/>
                <w:kern w:val="0"/>
                <w:sz w:val="18"/>
                <w:szCs w:val="18"/>
              </w:rPr>
            </w:pPr>
            <w:r>
              <w:rPr>
                <w:rFonts w:hint="eastAsia" w:ascii="Calibri" w:hAnsi="Calibri"/>
                <w:color w:val="auto"/>
                <w:kern w:val="0"/>
                <w:sz w:val="18"/>
                <w:szCs w:val="18"/>
              </w:rPr>
              <w:t>&lt;0.005%    Wt%</w:t>
            </w:r>
          </w:p>
        </w:tc>
        <w:tc>
          <w:tcPr>
            <w:tcW w:w="831" w:type="pct"/>
            <w:vAlign w:val="center"/>
          </w:tcPr>
          <w:p w14:paraId="5A6CC1E0">
            <w:pPr>
              <w:jc w:val="center"/>
              <w:rPr>
                <w:rFonts w:ascii="Calibri" w:hAnsi="Calibri"/>
                <w:color w:val="auto"/>
                <w:kern w:val="0"/>
                <w:sz w:val="18"/>
                <w:szCs w:val="18"/>
              </w:rPr>
            </w:pPr>
            <w:r>
              <w:rPr>
                <w:rFonts w:hint="eastAsia" w:ascii="Calibri" w:hAnsi="Calibri"/>
                <w:color w:val="auto"/>
                <w:kern w:val="0"/>
                <w:sz w:val="18"/>
                <w:szCs w:val="18"/>
              </w:rPr>
              <w:t>&lt;0.005%    Wt%</w:t>
            </w:r>
          </w:p>
        </w:tc>
        <w:tc>
          <w:tcPr>
            <w:tcW w:w="915" w:type="pct"/>
            <w:vAlign w:val="center"/>
          </w:tcPr>
          <w:p w14:paraId="05A1C79E">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1</w:t>
            </w:r>
            <w:r>
              <w:rPr>
                <w:rFonts w:hint="eastAsia" w:ascii="Calibri" w:hAnsi="Calibri"/>
                <w:color w:val="auto"/>
                <w:kern w:val="0"/>
                <w:sz w:val="18"/>
                <w:szCs w:val="18"/>
              </w:rPr>
              <w:t>%    Wt%</w:t>
            </w:r>
          </w:p>
        </w:tc>
        <w:tc>
          <w:tcPr>
            <w:tcW w:w="946" w:type="pct"/>
            <w:vAlign w:val="center"/>
          </w:tcPr>
          <w:p w14:paraId="156A621B">
            <w:pPr>
              <w:jc w:val="center"/>
              <w:rPr>
                <w:rFonts w:ascii="Calibri" w:hAnsi="Calibri"/>
                <w:color w:val="auto"/>
                <w:kern w:val="0"/>
                <w:sz w:val="18"/>
                <w:szCs w:val="18"/>
              </w:rPr>
            </w:pPr>
            <w:r>
              <w:rPr>
                <w:rFonts w:hint="eastAsia" w:ascii="Calibri" w:hAnsi="Calibri"/>
                <w:color w:val="auto"/>
                <w:kern w:val="0"/>
                <w:sz w:val="18"/>
                <w:szCs w:val="18"/>
              </w:rPr>
              <w:t>&lt;0.005%    Wt%</w:t>
            </w:r>
          </w:p>
        </w:tc>
      </w:tr>
      <w:tr w14:paraId="5FE3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Align w:val="center"/>
          </w:tcPr>
          <w:p w14:paraId="4913C52B">
            <w:pPr>
              <w:jc w:val="center"/>
              <w:rPr>
                <w:rFonts w:ascii="Calibri" w:hAnsi="Calibri"/>
                <w:color w:val="auto"/>
                <w:kern w:val="0"/>
                <w:sz w:val="18"/>
                <w:szCs w:val="18"/>
              </w:rPr>
            </w:pPr>
            <w:r>
              <w:rPr>
                <w:rFonts w:hint="eastAsia" w:ascii="Calibri" w:hAnsi="Calibri"/>
                <w:color w:val="auto"/>
                <w:kern w:val="0"/>
                <w:sz w:val="18"/>
                <w:szCs w:val="18"/>
              </w:rPr>
              <w:t>Ir</w:t>
            </w:r>
          </w:p>
        </w:tc>
        <w:tc>
          <w:tcPr>
            <w:tcW w:w="769" w:type="pct"/>
            <w:vAlign w:val="center"/>
          </w:tcPr>
          <w:p w14:paraId="7C0316BC">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1</w:t>
            </w:r>
            <w:r>
              <w:rPr>
                <w:rFonts w:hint="eastAsia" w:ascii="Calibri" w:hAnsi="Calibri"/>
                <w:color w:val="auto"/>
                <w:kern w:val="0"/>
                <w:sz w:val="18"/>
                <w:szCs w:val="18"/>
              </w:rPr>
              <w:t>%    Wt%</w:t>
            </w:r>
          </w:p>
        </w:tc>
        <w:tc>
          <w:tcPr>
            <w:tcW w:w="826" w:type="pct"/>
            <w:vAlign w:val="center"/>
          </w:tcPr>
          <w:p w14:paraId="6AD41588">
            <w:pPr>
              <w:jc w:val="center"/>
              <w:rPr>
                <w:rFonts w:ascii="Calibri" w:hAnsi="Calibri"/>
                <w:color w:val="auto"/>
                <w:kern w:val="0"/>
                <w:sz w:val="18"/>
                <w:szCs w:val="18"/>
              </w:rPr>
            </w:pPr>
            <w:r>
              <w:rPr>
                <w:rFonts w:hint="eastAsia" w:ascii="Calibri" w:hAnsi="Calibri"/>
                <w:color w:val="auto"/>
                <w:kern w:val="0"/>
                <w:sz w:val="18"/>
                <w:szCs w:val="18"/>
              </w:rPr>
              <w:t>&lt;0.005%    Wt%</w:t>
            </w:r>
          </w:p>
        </w:tc>
        <w:tc>
          <w:tcPr>
            <w:tcW w:w="831" w:type="pct"/>
            <w:vAlign w:val="center"/>
          </w:tcPr>
          <w:p w14:paraId="00123FE6">
            <w:pPr>
              <w:jc w:val="center"/>
              <w:rPr>
                <w:rFonts w:ascii="Calibri" w:hAnsi="Calibri"/>
                <w:color w:val="auto"/>
                <w:kern w:val="0"/>
                <w:sz w:val="18"/>
                <w:szCs w:val="18"/>
              </w:rPr>
            </w:pPr>
            <w:r>
              <w:rPr>
                <w:rFonts w:hint="eastAsia" w:ascii="Calibri" w:hAnsi="Calibri"/>
                <w:color w:val="auto"/>
                <w:kern w:val="0"/>
                <w:sz w:val="18"/>
                <w:szCs w:val="18"/>
              </w:rPr>
              <w:t>&lt;0.00</w:t>
            </w:r>
            <w:r>
              <w:rPr>
                <w:rFonts w:ascii="Calibri" w:hAnsi="Calibri"/>
                <w:color w:val="auto"/>
                <w:kern w:val="0"/>
                <w:sz w:val="18"/>
                <w:szCs w:val="18"/>
              </w:rPr>
              <w:t>5</w:t>
            </w:r>
            <w:r>
              <w:rPr>
                <w:rFonts w:hint="eastAsia" w:ascii="Calibri" w:hAnsi="Calibri"/>
                <w:color w:val="auto"/>
                <w:kern w:val="0"/>
                <w:sz w:val="18"/>
                <w:szCs w:val="18"/>
              </w:rPr>
              <w:t>%    Wt%</w:t>
            </w:r>
          </w:p>
        </w:tc>
        <w:tc>
          <w:tcPr>
            <w:tcW w:w="915" w:type="pct"/>
            <w:vAlign w:val="center"/>
          </w:tcPr>
          <w:p w14:paraId="53FED561">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1</w:t>
            </w:r>
            <w:r>
              <w:rPr>
                <w:rFonts w:hint="eastAsia" w:ascii="Calibri" w:hAnsi="Calibri"/>
                <w:color w:val="auto"/>
                <w:kern w:val="0"/>
                <w:sz w:val="18"/>
                <w:szCs w:val="18"/>
              </w:rPr>
              <w:t>%    Wt%</w:t>
            </w:r>
          </w:p>
        </w:tc>
        <w:tc>
          <w:tcPr>
            <w:tcW w:w="946" w:type="pct"/>
            <w:vAlign w:val="center"/>
          </w:tcPr>
          <w:p w14:paraId="7EE60B67">
            <w:pPr>
              <w:jc w:val="center"/>
              <w:rPr>
                <w:rFonts w:ascii="Calibri" w:hAnsi="Calibri"/>
                <w:color w:val="auto"/>
                <w:kern w:val="0"/>
                <w:sz w:val="18"/>
                <w:szCs w:val="18"/>
              </w:rPr>
            </w:pPr>
            <w:r>
              <w:rPr>
                <w:rFonts w:hint="eastAsia" w:ascii="Calibri" w:hAnsi="Calibri"/>
                <w:color w:val="auto"/>
                <w:kern w:val="0"/>
                <w:sz w:val="18"/>
                <w:szCs w:val="18"/>
              </w:rPr>
              <w:t>&lt;0.005%    Wt%</w:t>
            </w:r>
          </w:p>
        </w:tc>
      </w:tr>
      <w:tr w14:paraId="044A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Align w:val="center"/>
          </w:tcPr>
          <w:p w14:paraId="1E18C3EC">
            <w:pPr>
              <w:jc w:val="center"/>
              <w:rPr>
                <w:rFonts w:ascii="Calibri" w:hAnsi="Calibri"/>
                <w:color w:val="auto"/>
                <w:kern w:val="0"/>
                <w:sz w:val="18"/>
                <w:szCs w:val="18"/>
              </w:rPr>
            </w:pPr>
            <w:r>
              <w:rPr>
                <w:rFonts w:hint="eastAsia" w:ascii="Calibri" w:hAnsi="Calibri"/>
                <w:color w:val="auto"/>
                <w:kern w:val="0"/>
                <w:sz w:val="18"/>
                <w:szCs w:val="18"/>
              </w:rPr>
              <w:t>Pb</w:t>
            </w:r>
          </w:p>
        </w:tc>
        <w:tc>
          <w:tcPr>
            <w:tcW w:w="769" w:type="pct"/>
            <w:vAlign w:val="center"/>
          </w:tcPr>
          <w:p w14:paraId="6CF97803">
            <w:pPr>
              <w:jc w:val="center"/>
              <w:rPr>
                <w:rFonts w:ascii="Calibri" w:hAnsi="Calibri"/>
                <w:color w:val="auto"/>
                <w:kern w:val="0"/>
                <w:sz w:val="18"/>
                <w:szCs w:val="18"/>
              </w:rPr>
            </w:pPr>
            <w:r>
              <w:rPr>
                <w:rFonts w:hint="eastAsia" w:ascii="Calibri" w:hAnsi="Calibri"/>
                <w:color w:val="auto"/>
                <w:kern w:val="0"/>
                <w:sz w:val="18"/>
                <w:szCs w:val="18"/>
              </w:rPr>
              <w:t>&lt;0.0005%    Wt%</w:t>
            </w:r>
          </w:p>
        </w:tc>
        <w:tc>
          <w:tcPr>
            <w:tcW w:w="826" w:type="pct"/>
            <w:vAlign w:val="center"/>
          </w:tcPr>
          <w:p w14:paraId="25F6FE14">
            <w:pPr>
              <w:jc w:val="center"/>
              <w:rPr>
                <w:rFonts w:ascii="Calibri" w:hAnsi="Calibri"/>
                <w:color w:val="auto"/>
                <w:kern w:val="0"/>
                <w:sz w:val="18"/>
                <w:szCs w:val="18"/>
              </w:rPr>
            </w:pPr>
            <w:r>
              <w:rPr>
                <w:rFonts w:hint="eastAsia" w:ascii="Calibri" w:hAnsi="Calibri"/>
                <w:color w:val="auto"/>
                <w:kern w:val="0"/>
                <w:sz w:val="18"/>
                <w:szCs w:val="18"/>
              </w:rPr>
              <w:t>&lt;0.00</w:t>
            </w:r>
            <w:r>
              <w:rPr>
                <w:rFonts w:hint="eastAsia" w:ascii="Calibri" w:hAnsi="Calibri"/>
                <w:color w:val="auto"/>
                <w:kern w:val="0"/>
                <w:sz w:val="18"/>
                <w:szCs w:val="18"/>
                <w:lang w:val="en-US" w:eastAsia="zh-CN"/>
              </w:rPr>
              <w:t>5</w:t>
            </w:r>
            <w:r>
              <w:rPr>
                <w:rFonts w:hint="eastAsia" w:ascii="Calibri" w:hAnsi="Calibri"/>
                <w:color w:val="auto"/>
                <w:kern w:val="0"/>
                <w:sz w:val="18"/>
                <w:szCs w:val="18"/>
              </w:rPr>
              <w:t>%    Wt%</w:t>
            </w:r>
          </w:p>
        </w:tc>
        <w:tc>
          <w:tcPr>
            <w:tcW w:w="831" w:type="pct"/>
            <w:vAlign w:val="center"/>
          </w:tcPr>
          <w:p w14:paraId="4A37A27B">
            <w:pPr>
              <w:jc w:val="center"/>
              <w:rPr>
                <w:rFonts w:ascii="Calibri" w:hAnsi="Calibri"/>
                <w:color w:val="auto"/>
                <w:kern w:val="0"/>
                <w:sz w:val="18"/>
                <w:szCs w:val="18"/>
              </w:rPr>
            </w:pPr>
            <w:r>
              <w:rPr>
                <w:rFonts w:hint="eastAsia" w:ascii="Calibri" w:hAnsi="Calibri"/>
                <w:color w:val="auto"/>
                <w:kern w:val="0"/>
                <w:sz w:val="18"/>
                <w:szCs w:val="18"/>
              </w:rPr>
              <w:t>&lt;0.005%    Wt%</w:t>
            </w:r>
          </w:p>
        </w:tc>
        <w:tc>
          <w:tcPr>
            <w:tcW w:w="915" w:type="pct"/>
            <w:vAlign w:val="center"/>
          </w:tcPr>
          <w:p w14:paraId="760F622F">
            <w:pPr>
              <w:jc w:val="center"/>
              <w:rPr>
                <w:rFonts w:ascii="Calibri" w:hAnsi="Calibri"/>
                <w:color w:val="auto"/>
                <w:kern w:val="0"/>
                <w:sz w:val="18"/>
                <w:szCs w:val="18"/>
              </w:rPr>
            </w:pPr>
            <w:r>
              <w:rPr>
                <w:rFonts w:hint="eastAsia" w:ascii="Calibri" w:hAnsi="Calibri"/>
                <w:color w:val="auto"/>
                <w:kern w:val="0"/>
                <w:sz w:val="18"/>
                <w:szCs w:val="18"/>
              </w:rPr>
              <w:t>&lt;0.0</w:t>
            </w:r>
            <w:r>
              <w:rPr>
                <w:rFonts w:ascii="Calibri" w:hAnsi="Calibri"/>
                <w:color w:val="auto"/>
                <w:kern w:val="0"/>
                <w:sz w:val="18"/>
                <w:szCs w:val="18"/>
              </w:rPr>
              <w:t>0</w:t>
            </w:r>
            <w:r>
              <w:rPr>
                <w:rFonts w:hint="eastAsia" w:ascii="Calibri" w:hAnsi="Calibri"/>
                <w:color w:val="auto"/>
                <w:kern w:val="0"/>
                <w:sz w:val="18"/>
                <w:szCs w:val="18"/>
              </w:rPr>
              <w:t>5%    Wt%</w:t>
            </w:r>
          </w:p>
        </w:tc>
        <w:tc>
          <w:tcPr>
            <w:tcW w:w="946" w:type="pct"/>
            <w:vAlign w:val="center"/>
          </w:tcPr>
          <w:p w14:paraId="1CEB47EF">
            <w:pPr>
              <w:jc w:val="center"/>
              <w:rPr>
                <w:rFonts w:ascii="Calibri" w:hAnsi="Calibri"/>
                <w:color w:val="auto"/>
                <w:kern w:val="0"/>
                <w:sz w:val="18"/>
                <w:szCs w:val="18"/>
              </w:rPr>
            </w:pPr>
            <w:r>
              <w:rPr>
                <w:rFonts w:hint="eastAsia" w:ascii="Calibri" w:hAnsi="Calibri"/>
                <w:color w:val="auto"/>
                <w:kern w:val="0"/>
                <w:sz w:val="18"/>
                <w:szCs w:val="18"/>
              </w:rPr>
              <w:t>&lt;0.00</w:t>
            </w:r>
            <w:r>
              <w:rPr>
                <w:rFonts w:hint="eastAsia" w:ascii="Calibri" w:hAnsi="Calibri"/>
                <w:color w:val="auto"/>
                <w:kern w:val="0"/>
                <w:sz w:val="18"/>
                <w:szCs w:val="18"/>
                <w:lang w:val="en-US" w:eastAsia="zh-CN"/>
              </w:rPr>
              <w:t>5</w:t>
            </w:r>
            <w:r>
              <w:rPr>
                <w:rFonts w:hint="eastAsia" w:ascii="Calibri" w:hAnsi="Calibri"/>
                <w:color w:val="auto"/>
                <w:kern w:val="0"/>
                <w:sz w:val="18"/>
                <w:szCs w:val="18"/>
              </w:rPr>
              <w:t xml:space="preserve">%   </w:t>
            </w:r>
          </w:p>
          <w:p w14:paraId="52BDA37B">
            <w:pPr>
              <w:jc w:val="center"/>
              <w:rPr>
                <w:rFonts w:ascii="Calibri" w:hAnsi="Calibri"/>
                <w:color w:val="auto"/>
                <w:kern w:val="0"/>
                <w:sz w:val="18"/>
                <w:szCs w:val="18"/>
              </w:rPr>
            </w:pPr>
            <w:r>
              <w:rPr>
                <w:rFonts w:hint="eastAsia" w:ascii="Calibri" w:hAnsi="Calibri"/>
                <w:color w:val="auto"/>
                <w:kern w:val="0"/>
                <w:sz w:val="18"/>
                <w:szCs w:val="18"/>
              </w:rPr>
              <w:t xml:space="preserve"> Wt%</w:t>
            </w:r>
          </w:p>
        </w:tc>
      </w:tr>
      <w:tr w14:paraId="2849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Align w:val="center"/>
          </w:tcPr>
          <w:p w14:paraId="351AF17C">
            <w:pPr>
              <w:jc w:val="center"/>
              <w:rPr>
                <w:rFonts w:ascii="Calibri" w:hAnsi="Calibri"/>
                <w:color w:val="auto"/>
                <w:kern w:val="0"/>
                <w:sz w:val="18"/>
                <w:szCs w:val="18"/>
              </w:rPr>
            </w:pPr>
            <w:r>
              <w:rPr>
                <w:rFonts w:hint="eastAsia" w:ascii="Calibri" w:hAnsi="Calibri"/>
                <w:color w:val="auto"/>
                <w:kern w:val="0"/>
                <w:sz w:val="18"/>
                <w:szCs w:val="18"/>
              </w:rPr>
              <w:t>Ni</w:t>
            </w:r>
          </w:p>
        </w:tc>
        <w:tc>
          <w:tcPr>
            <w:tcW w:w="769" w:type="pct"/>
            <w:vAlign w:val="center"/>
          </w:tcPr>
          <w:p w14:paraId="7634524E">
            <w:pPr>
              <w:jc w:val="center"/>
              <w:rPr>
                <w:rFonts w:ascii="Calibri" w:hAnsi="Calibri"/>
                <w:color w:val="auto"/>
                <w:kern w:val="0"/>
                <w:sz w:val="18"/>
                <w:szCs w:val="18"/>
              </w:rPr>
            </w:pPr>
            <w:r>
              <w:rPr>
                <w:rFonts w:hint="eastAsia" w:ascii="Calibri" w:hAnsi="Calibri"/>
                <w:color w:val="auto"/>
                <w:kern w:val="0"/>
                <w:sz w:val="18"/>
                <w:szCs w:val="18"/>
              </w:rPr>
              <w:t>&lt;0.005%    Wt%</w:t>
            </w:r>
          </w:p>
        </w:tc>
        <w:tc>
          <w:tcPr>
            <w:tcW w:w="826" w:type="pct"/>
            <w:vAlign w:val="center"/>
          </w:tcPr>
          <w:p w14:paraId="491E40E9">
            <w:pPr>
              <w:jc w:val="center"/>
              <w:rPr>
                <w:rFonts w:ascii="Calibri" w:hAnsi="Calibri"/>
                <w:color w:val="auto"/>
                <w:kern w:val="0"/>
                <w:sz w:val="18"/>
                <w:szCs w:val="18"/>
              </w:rPr>
            </w:pPr>
            <w:r>
              <w:rPr>
                <w:rFonts w:hint="eastAsia" w:ascii="Calibri" w:hAnsi="Calibri"/>
                <w:color w:val="auto"/>
                <w:kern w:val="0"/>
                <w:sz w:val="18"/>
                <w:szCs w:val="18"/>
              </w:rPr>
              <w:t>&lt;0.0</w:t>
            </w:r>
            <w:r>
              <w:rPr>
                <w:rFonts w:ascii="Calibri" w:hAnsi="Calibri"/>
                <w:color w:val="auto"/>
                <w:kern w:val="0"/>
                <w:sz w:val="18"/>
                <w:szCs w:val="18"/>
              </w:rPr>
              <w:t>1</w:t>
            </w:r>
            <w:r>
              <w:rPr>
                <w:rFonts w:hint="eastAsia" w:ascii="Calibri" w:hAnsi="Calibri"/>
                <w:color w:val="auto"/>
                <w:kern w:val="0"/>
                <w:sz w:val="18"/>
                <w:szCs w:val="18"/>
              </w:rPr>
              <w:t>%    Wt%</w:t>
            </w:r>
          </w:p>
        </w:tc>
        <w:tc>
          <w:tcPr>
            <w:tcW w:w="831" w:type="pct"/>
            <w:vAlign w:val="center"/>
          </w:tcPr>
          <w:p w14:paraId="52A1CF04">
            <w:pPr>
              <w:jc w:val="center"/>
              <w:rPr>
                <w:rFonts w:ascii="Calibri" w:hAnsi="Calibri"/>
                <w:color w:val="auto"/>
                <w:kern w:val="0"/>
                <w:sz w:val="18"/>
                <w:szCs w:val="18"/>
              </w:rPr>
            </w:pPr>
            <w:r>
              <w:rPr>
                <w:rFonts w:hint="eastAsia" w:ascii="Calibri" w:hAnsi="Calibri"/>
                <w:color w:val="auto"/>
                <w:kern w:val="0"/>
                <w:sz w:val="18"/>
                <w:szCs w:val="18"/>
              </w:rPr>
              <w:t>&lt;0.00</w:t>
            </w:r>
            <w:r>
              <w:rPr>
                <w:rFonts w:hint="eastAsia" w:ascii="Calibri" w:hAnsi="Calibri"/>
                <w:color w:val="auto"/>
                <w:kern w:val="0"/>
                <w:sz w:val="18"/>
                <w:szCs w:val="18"/>
                <w:lang w:val="en-US" w:eastAsia="zh-CN"/>
              </w:rPr>
              <w:t>5</w:t>
            </w:r>
            <w:r>
              <w:rPr>
                <w:rFonts w:hint="eastAsia" w:ascii="Calibri" w:hAnsi="Calibri"/>
                <w:color w:val="auto"/>
                <w:kern w:val="0"/>
                <w:sz w:val="18"/>
                <w:szCs w:val="18"/>
              </w:rPr>
              <w:t>%    Wt%</w:t>
            </w:r>
          </w:p>
        </w:tc>
        <w:tc>
          <w:tcPr>
            <w:tcW w:w="915" w:type="pct"/>
            <w:vAlign w:val="center"/>
          </w:tcPr>
          <w:p w14:paraId="1A5A5325">
            <w:pPr>
              <w:jc w:val="center"/>
              <w:rPr>
                <w:rFonts w:ascii="Calibri" w:hAnsi="Calibri"/>
                <w:color w:val="auto"/>
                <w:kern w:val="0"/>
                <w:sz w:val="18"/>
                <w:szCs w:val="18"/>
              </w:rPr>
            </w:pPr>
            <w:r>
              <w:rPr>
                <w:rFonts w:hint="eastAsia" w:ascii="Calibri" w:hAnsi="Calibri"/>
                <w:color w:val="auto"/>
                <w:kern w:val="0"/>
                <w:sz w:val="18"/>
                <w:szCs w:val="18"/>
              </w:rPr>
              <w:t>&lt;0.005%    Wt%</w:t>
            </w:r>
          </w:p>
        </w:tc>
        <w:tc>
          <w:tcPr>
            <w:tcW w:w="946" w:type="pct"/>
            <w:vAlign w:val="center"/>
          </w:tcPr>
          <w:p w14:paraId="7F4AF884">
            <w:pPr>
              <w:jc w:val="center"/>
              <w:rPr>
                <w:rFonts w:ascii="Calibri" w:hAnsi="Calibri"/>
                <w:color w:val="auto"/>
                <w:kern w:val="0"/>
                <w:sz w:val="18"/>
                <w:szCs w:val="18"/>
              </w:rPr>
            </w:pPr>
            <w:r>
              <w:rPr>
                <w:rFonts w:hint="eastAsia" w:ascii="Calibri" w:hAnsi="Calibri"/>
                <w:color w:val="auto"/>
                <w:kern w:val="0"/>
                <w:sz w:val="18"/>
                <w:szCs w:val="18"/>
              </w:rPr>
              <w:t xml:space="preserve">&lt;0.005%   </w:t>
            </w:r>
          </w:p>
          <w:p w14:paraId="4A9DF2D5">
            <w:pPr>
              <w:jc w:val="center"/>
              <w:rPr>
                <w:rFonts w:ascii="Calibri" w:hAnsi="Calibri"/>
                <w:color w:val="auto"/>
                <w:kern w:val="0"/>
                <w:sz w:val="18"/>
                <w:szCs w:val="18"/>
              </w:rPr>
            </w:pPr>
            <w:r>
              <w:rPr>
                <w:rFonts w:hint="eastAsia" w:ascii="Calibri" w:hAnsi="Calibri"/>
                <w:color w:val="auto"/>
                <w:kern w:val="0"/>
                <w:sz w:val="18"/>
                <w:szCs w:val="18"/>
              </w:rPr>
              <w:t xml:space="preserve"> Wt%</w:t>
            </w:r>
          </w:p>
        </w:tc>
      </w:tr>
      <w:tr w14:paraId="4477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Align w:val="center"/>
          </w:tcPr>
          <w:p w14:paraId="5EBC72A6">
            <w:pPr>
              <w:jc w:val="center"/>
              <w:rPr>
                <w:rFonts w:ascii="Calibri" w:hAnsi="Calibri"/>
                <w:color w:val="auto"/>
                <w:kern w:val="0"/>
                <w:sz w:val="18"/>
                <w:szCs w:val="18"/>
              </w:rPr>
            </w:pPr>
            <w:r>
              <w:rPr>
                <w:rFonts w:hint="eastAsia" w:ascii="Calibri" w:hAnsi="Calibri"/>
                <w:color w:val="auto"/>
                <w:kern w:val="0"/>
                <w:sz w:val="18"/>
                <w:szCs w:val="18"/>
              </w:rPr>
              <w:t>Cu</w:t>
            </w:r>
          </w:p>
        </w:tc>
        <w:tc>
          <w:tcPr>
            <w:tcW w:w="769" w:type="pct"/>
            <w:vAlign w:val="center"/>
          </w:tcPr>
          <w:p w14:paraId="4E8F40AC">
            <w:pPr>
              <w:jc w:val="center"/>
              <w:rPr>
                <w:rFonts w:ascii="Calibri" w:hAnsi="Calibri"/>
                <w:color w:val="auto"/>
                <w:kern w:val="0"/>
                <w:sz w:val="18"/>
                <w:szCs w:val="18"/>
              </w:rPr>
            </w:pPr>
            <w:r>
              <w:rPr>
                <w:rFonts w:hint="eastAsia" w:ascii="Calibri" w:hAnsi="Calibri"/>
                <w:color w:val="auto"/>
                <w:kern w:val="0"/>
                <w:sz w:val="18"/>
                <w:szCs w:val="18"/>
              </w:rPr>
              <w:t>&lt;0.005%    Wt%</w:t>
            </w:r>
          </w:p>
        </w:tc>
        <w:tc>
          <w:tcPr>
            <w:tcW w:w="826" w:type="pct"/>
            <w:vAlign w:val="center"/>
          </w:tcPr>
          <w:p w14:paraId="4107E057">
            <w:pPr>
              <w:jc w:val="center"/>
              <w:rPr>
                <w:rFonts w:ascii="Calibri" w:hAnsi="Calibri"/>
                <w:color w:val="auto"/>
                <w:kern w:val="0"/>
                <w:sz w:val="18"/>
                <w:szCs w:val="18"/>
              </w:rPr>
            </w:pPr>
            <w:r>
              <w:rPr>
                <w:rFonts w:hint="eastAsia" w:ascii="Calibri" w:hAnsi="Calibri"/>
                <w:color w:val="auto"/>
                <w:kern w:val="0"/>
                <w:sz w:val="18"/>
                <w:szCs w:val="18"/>
              </w:rPr>
              <w:t>&lt;0.005%    Wt%</w:t>
            </w:r>
          </w:p>
        </w:tc>
        <w:tc>
          <w:tcPr>
            <w:tcW w:w="831" w:type="pct"/>
            <w:vAlign w:val="center"/>
          </w:tcPr>
          <w:p w14:paraId="1BFE1A32">
            <w:pPr>
              <w:jc w:val="center"/>
              <w:rPr>
                <w:rFonts w:ascii="Calibri" w:hAnsi="Calibri"/>
                <w:color w:val="auto"/>
                <w:kern w:val="0"/>
                <w:sz w:val="18"/>
                <w:szCs w:val="18"/>
              </w:rPr>
            </w:pPr>
            <w:r>
              <w:rPr>
                <w:rFonts w:hint="eastAsia" w:ascii="Calibri" w:hAnsi="Calibri"/>
                <w:color w:val="auto"/>
                <w:kern w:val="0"/>
                <w:sz w:val="18"/>
                <w:szCs w:val="18"/>
              </w:rPr>
              <w:t>&lt;0.00</w:t>
            </w:r>
            <w:r>
              <w:rPr>
                <w:rFonts w:hint="eastAsia" w:ascii="Calibri" w:hAnsi="Calibri"/>
                <w:color w:val="auto"/>
                <w:kern w:val="0"/>
                <w:sz w:val="18"/>
                <w:szCs w:val="18"/>
                <w:lang w:val="en-US" w:eastAsia="zh-CN"/>
              </w:rPr>
              <w:t>5</w:t>
            </w:r>
            <w:r>
              <w:rPr>
                <w:rFonts w:hint="eastAsia" w:ascii="Calibri" w:hAnsi="Calibri"/>
                <w:color w:val="auto"/>
                <w:kern w:val="0"/>
                <w:sz w:val="18"/>
                <w:szCs w:val="18"/>
              </w:rPr>
              <w:t>%    Wt%</w:t>
            </w:r>
          </w:p>
        </w:tc>
        <w:tc>
          <w:tcPr>
            <w:tcW w:w="915" w:type="pct"/>
            <w:vAlign w:val="center"/>
          </w:tcPr>
          <w:p w14:paraId="1369914B">
            <w:pPr>
              <w:jc w:val="center"/>
              <w:rPr>
                <w:rFonts w:ascii="Calibri" w:hAnsi="Calibri"/>
                <w:color w:val="auto"/>
                <w:kern w:val="0"/>
                <w:sz w:val="18"/>
                <w:szCs w:val="18"/>
              </w:rPr>
            </w:pPr>
            <w:r>
              <w:rPr>
                <w:rFonts w:hint="eastAsia" w:ascii="Calibri" w:hAnsi="Calibri"/>
                <w:color w:val="auto"/>
                <w:kern w:val="0"/>
                <w:sz w:val="18"/>
                <w:szCs w:val="18"/>
              </w:rPr>
              <w:t>&lt;0.00</w:t>
            </w:r>
            <w:r>
              <w:rPr>
                <w:rFonts w:ascii="Calibri" w:hAnsi="Calibri"/>
                <w:color w:val="auto"/>
                <w:kern w:val="0"/>
                <w:sz w:val="18"/>
                <w:szCs w:val="18"/>
              </w:rPr>
              <w:t>5</w:t>
            </w:r>
            <w:r>
              <w:rPr>
                <w:rFonts w:hint="eastAsia" w:ascii="Calibri" w:hAnsi="Calibri"/>
                <w:color w:val="auto"/>
                <w:kern w:val="0"/>
                <w:sz w:val="18"/>
                <w:szCs w:val="18"/>
              </w:rPr>
              <w:t>%    Wt%</w:t>
            </w:r>
          </w:p>
        </w:tc>
        <w:tc>
          <w:tcPr>
            <w:tcW w:w="946" w:type="pct"/>
            <w:vAlign w:val="center"/>
          </w:tcPr>
          <w:p w14:paraId="7A2B4308">
            <w:pPr>
              <w:jc w:val="center"/>
              <w:rPr>
                <w:rFonts w:ascii="Calibri" w:hAnsi="Calibri"/>
                <w:color w:val="auto"/>
                <w:kern w:val="0"/>
                <w:sz w:val="18"/>
                <w:szCs w:val="18"/>
              </w:rPr>
            </w:pPr>
            <w:r>
              <w:rPr>
                <w:rFonts w:hint="eastAsia" w:ascii="Calibri" w:hAnsi="Calibri"/>
                <w:color w:val="auto"/>
                <w:kern w:val="0"/>
                <w:sz w:val="18"/>
                <w:szCs w:val="18"/>
              </w:rPr>
              <w:t xml:space="preserve">&lt;0.005%   </w:t>
            </w:r>
          </w:p>
          <w:p w14:paraId="0990A6A5">
            <w:pPr>
              <w:jc w:val="center"/>
              <w:rPr>
                <w:rFonts w:ascii="Calibri" w:hAnsi="Calibri"/>
                <w:color w:val="auto"/>
                <w:kern w:val="0"/>
                <w:sz w:val="18"/>
                <w:szCs w:val="18"/>
              </w:rPr>
            </w:pPr>
            <w:r>
              <w:rPr>
                <w:rFonts w:hint="eastAsia" w:ascii="Calibri" w:hAnsi="Calibri"/>
                <w:color w:val="auto"/>
                <w:kern w:val="0"/>
                <w:sz w:val="18"/>
                <w:szCs w:val="18"/>
              </w:rPr>
              <w:t xml:space="preserve"> Wt%</w:t>
            </w:r>
          </w:p>
        </w:tc>
      </w:tr>
      <w:tr w14:paraId="7FAE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Align w:val="center"/>
          </w:tcPr>
          <w:p w14:paraId="78CFAEFE">
            <w:pPr>
              <w:jc w:val="center"/>
              <w:rPr>
                <w:rFonts w:ascii="Calibri" w:hAnsi="Calibri"/>
                <w:color w:val="auto"/>
                <w:kern w:val="0"/>
                <w:sz w:val="18"/>
                <w:szCs w:val="18"/>
              </w:rPr>
            </w:pPr>
            <w:r>
              <w:rPr>
                <w:rFonts w:hint="eastAsia" w:ascii="Calibri" w:hAnsi="Calibri"/>
                <w:color w:val="auto"/>
                <w:kern w:val="0"/>
                <w:sz w:val="18"/>
                <w:szCs w:val="18"/>
              </w:rPr>
              <w:t>Fe</w:t>
            </w:r>
          </w:p>
        </w:tc>
        <w:tc>
          <w:tcPr>
            <w:tcW w:w="769" w:type="pct"/>
            <w:vAlign w:val="center"/>
          </w:tcPr>
          <w:p w14:paraId="03224C62">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1</w:t>
            </w:r>
            <w:r>
              <w:rPr>
                <w:rFonts w:hint="eastAsia" w:ascii="Calibri" w:hAnsi="Calibri"/>
                <w:color w:val="auto"/>
                <w:kern w:val="0"/>
                <w:sz w:val="18"/>
                <w:szCs w:val="18"/>
              </w:rPr>
              <w:t>%    Wt%</w:t>
            </w:r>
          </w:p>
        </w:tc>
        <w:tc>
          <w:tcPr>
            <w:tcW w:w="826" w:type="pct"/>
            <w:vAlign w:val="center"/>
          </w:tcPr>
          <w:p w14:paraId="290C8379">
            <w:pPr>
              <w:jc w:val="center"/>
              <w:rPr>
                <w:rFonts w:ascii="Calibri" w:hAnsi="Calibri"/>
                <w:color w:val="auto"/>
                <w:kern w:val="0"/>
                <w:sz w:val="18"/>
                <w:szCs w:val="18"/>
              </w:rPr>
            </w:pPr>
            <w:r>
              <w:rPr>
                <w:rFonts w:hint="eastAsia" w:ascii="Calibri" w:hAnsi="Calibri"/>
                <w:color w:val="auto"/>
                <w:kern w:val="0"/>
                <w:sz w:val="18"/>
                <w:szCs w:val="18"/>
              </w:rPr>
              <w:t>&lt;0.00</w:t>
            </w:r>
            <w:r>
              <w:rPr>
                <w:rFonts w:hint="eastAsia" w:ascii="Calibri" w:hAnsi="Calibri"/>
                <w:color w:val="auto"/>
                <w:kern w:val="0"/>
                <w:sz w:val="18"/>
                <w:szCs w:val="18"/>
                <w:lang w:val="en-US" w:eastAsia="zh-CN"/>
              </w:rPr>
              <w:t>5</w:t>
            </w:r>
            <w:r>
              <w:rPr>
                <w:rFonts w:hint="eastAsia" w:ascii="Calibri" w:hAnsi="Calibri"/>
                <w:color w:val="auto"/>
                <w:kern w:val="0"/>
                <w:sz w:val="18"/>
                <w:szCs w:val="18"/>
              </w:rPr>
              <w:t>%    Wt%</w:t>
            </w:r>
          </w:p>
        </w:tc>
        <w:tc>
          <w:tcPr>
            <w:tcW w:w="831" w:type="pct"/>
            <w:vAlign w:val="center"/>
          </w:tcPr>
          <w:p w14:paraId="4F3924AE">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05</w:t>
            </w:r>
            <w:r>
              <w:rPr>
                <w:rFonts w:hint="eastAsia" w:ascii="Calibri" w:hAnsi="Calibri"/>
                <w:color w:val="auto"/>
                <w:kern w:val="0"/>
                <w:sz w:val="18"/>
                <w:szCs w:val="18"/>
              </w:rPr>
              <w:t>%    Wt%</w:t>
            </w:r>
          </w:p>
        </w:tc>
        <w:tc>
          <w:tcPr>
            <w:tcW w:w="915" w:type="pct"/>
            <w:vAlign w:val="center"/>
          </w:tcPr>
          <w:p w14:paraId="5054B032">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05</w:t>
            </w:r>
            <w:r>
              <w:rPr>
                <w:rFonts w:hint="eastAsia" w:ascii="Calibri" w:hAnsi="Calibri"/>
                <w:color w:val="auto"/>
                <w:kern w:val="0"/>
                <w:sz w:val="18"/>
                <w:szCs w:val="18"/>
              </w:rPr>
              <w:t xml:space="preserve">%   </w:t>
            </w:r>
          </w:p>
          <w:p w14:paraId="6560D17E">
            <w:pPr>
              <w:jc w:val="center"/>
              <w:rPr>
                <w:rFonts w:ascii="Calibri" w:hAnsi="Calibri"/>
                <w:color w:val="auto"/>
                <w:kern w:val="0"/>
                <w:sz w:val="18"/>
                <w:szCs w:val="18"/>
              </w:rPr>
            </w:pPr>
            <w:r>
              <w:rPr>
                <w:rFonts w:hint="eastAsia" w:ascii="Calibri" w:hAnsi="Calibri"/>
                <w:color w:val="auto"/>
                <w:kern w:val="0"/>
                <w:sz w:val="18"/>
                <w:szCs w:val="18"/>
              </w:rPr>
              <w:t xml:space="preserve"> Wt%</w:t>
            </w:r>
          </w:p>
        </w:tc>
        <w:tc>
          <w:tcPr>
            <w:tcW w:w="946" w:type="pct"/>
            <w:vAlign w:val="center"/>
          </w:tcPr>
          <w:p w14:paraId="2D361ADF">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1</w:t>
            </w:r>
            <w:r>
              <w:rPr>
                <w:rFonts w:hint="eastAsia" w:ascii="Calibri" w:hAnsi="Calibri"/>
                <w:color w:val="auto"/>
                <w:kern w:val="0"/>
                <w:sz w:val="18"/>
                <w:szCs w:val="18"/>
              </w:rPr>
              <w:t xml:space="preserve">%    </w:t>
            </w:r>
          </w:p>
          <w:p w14:paraId="7B0A285E">
            <w:pPr>
              <w:jc w:val="center"/>
              <w:rPr>
                <w:rFonts w:ascii="Calibri" w:hAnsi="Calibri"/>
                <w:color w:val="auto"/>
                <w:kern w:val="0"/>
                <w:sz w:val="18"/>
                <w:szCs w:val="18"/>
              </w:rPr>
            </w:pPr>
            <w:r>
              <w:rPr>
                <w:rFonts w:hint="eastAsia" w:ascii="Calibri" w:hAnsi="Calibri"/>
                <w:color w:val="auto"/>
                <w:kern w:val="0"/>
                <w:sz w:val="18"/>
                <w:szCs w:val="18"/>
              </w:rPr>
              <w:t>Wt%</w:t>
            </w:r>
          </w:p>
        </w:tc>
      </w:tr>
      <w:tr w14:paraId="125D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Align w:val="center"/>
          </w:tcPr>
          <w:p w14:paraId="0AA1AFC5">
            <w:pPr>
              <w:jc w:val="center"/>
              <w:rPr>
                <w:rFonts w:ascii="Calibri" w:hAnsi="Calibri"/>
                <w:color w:val="auto"/>
                <w:kern w:val="0"/>
                <w:sz w:val="18"/>
                <w:szCs w:val="18"/>
              </w:rPr>
            </w:pPr>
            <w:r>
              <w:rPr>
                <w:rFonts w:hint="eastAsia" w:ascii="Calibri" w:hAnsi="Calibri"/>
                <w:color w:val="auto"/>
                <w:kern w:val="0"/>
                <w:sz w:val="18"/>
                <w:szCs w:val="18"/>
              </w:rPr>
              <w:t>Cr</w:t>
            </w:r>
          </w:p>
        </w:tc>
        <w:tc>
          <w:tcPr>
            <w:tcW w:w="769" w:type="pct"/>
            <w:vAlign w:val="center"/>
          </w:tcPr>
          <w:p w14:paraId="238A866F">
            <w:pPr>
              <w:jc w:val="center"/>
              <w:rPr>
                <w:rFonts w:ascii="Calibri" w:hAnsi="Calibri"/>
                <w:color w:val="auto"/>
                <w:kern w:val="0"/>
                <w:sz w:val="18"/>
                <w:szCs w:val="18"/>
              </w:rPr>
            </w:pPr>
            <w:r>
              <w:rPr>
                <w:rFonts w:hint="eastAsia" w:ascii="Calibri" w:hAnsi="Calibri"/>
                <w:color w:val="auto"/>
                <w:kern w:val="0"/>
                <w:sz w:val="18"/>
                <w:szCs w:val="18"/>
              </w:rPr>
              <w:t>&lt;0.00</w:t>
            </w:r>
            <w:r>
              <w:rPr>
                <w:rFonts w:hint="eastAsia" w:ascii="Calibri" w:hAnsi="Calibri"/>
                <w:color w:val="auto"/>
                <w:kern w:val="0"/>
                <w:sz w:val="18"/>
                <w:szCs w:val="18"/>
                <w:lang w:val="en-US" w:eastAsia="zh-CN"/>
              </w:rPr>
              <w:t>5</w:t>
            </w:r>
            <w:r>
              <w:rPr>
                <w:rFonts w:hint="eastAsia" w:ascii="Calibri" w:hAnsi="Calibri"/>
                <w:color w:val="auto"/>
                <w:kern w:val="0"/>
                <w:sz w:val="18"/>
                <w:szCs w:val="18"/>
              </w:rPr>
              <w:t>%    Wt%</w:t>
            </w:r>
          </w:p>
        </w:tc>
        <w:tc>
          <w:tcPr>
            <w:tcW w:w="826" w:type="pct"/>
            <w:vAlign w:val="center"/>
          </w:tcPr>
          <w:p w14:paraId="0744B45D">
            <w:pPr>
              <w:jc w:val="center"/>
              <w:rPr>
                <w:rFonts w:ascii="Calibri" w:hAnsi="Calibri"/>
                <w:color w:val="auto"/>
                <w:kern w:val="0"/>
                <w:sz w:val="18"/>
                <w:szCs w:val="18"/>
              </w:rPr>
            </w:pPr>
            <w:r>
              <w:rPr>
                <w:rFonts w:hint="eastAsia" w:ascii="Calibri" w:hAnsi="Calibri"/>
                <w:color w:val="auto"/>
                <w:kern w:val="0"/>
                <w:sz w:val="18"/>
                <w:szCs w:val="18"/>
              </w:rPr>
              <w:t>&lt;0.0</w:t>
            </w:r>
            <w:r>
              <w:rPr>
                <w:rFonts w:ascii="Calibri" w:hAnsi="Calibri"/>
                <w:color w:val="auto"/>
                <w:kern w:val="0"/>
                <w:sz w:val="18"/>
                <w:szCs w:val="18"/>
              </w:rPr>
              <w:t>0</w:t>
            </w:r>
            <w:r>
              <w:rPr>
                <w:rFonts w:hint="eastAsia" w:ascii="Calibri" w:hAnsi="Calibri"/>
                <w:color w:val="auto"/>
                <w:kern w:val="0"/>
                <w:sz w:val="18"/>
                <w:szCs w:val="18"/>
              </w:rPr>
              <w:t>5%    Wt%</w:t>
            </w:r>
          </w:p>
        </w:tc>
        <w:tc>
          <w:tcPr>
            <w:tcW w:w="831" w:type="pct"/>
            <w:vAlign w:val="center"/>
          </w:tcPr>
          <w:p w14:paraId="7588DB33">
            <w:pPr>
              <w:jc w:val="center"/>
              <w:rPr>
                <w:rFonts w:ascii="Calibri" w:hAnsi="Calibri"/>
                <w:color w:val="auto"/>
                <w:kern w:val="0"/>
                <w:sz w:val="18"/>
                <w:szCs w:val="18"/>
              </w:rPr>
            </w:pPr>
            <w:r>
              <w:rPr>
                <w:rFonts w:hint="eastAsia" w:ascii="Calibri" w:hAnsi="Calibri"/>
                <w:color w:val="auto"/>
                <w:kern w:val="0"/>
                <w:sz w:val="18"/>
                <w:szCs w:val="18"/>
              </w:rPr>
              <w:t>&lt;0.0</w:t>
            </w:r>
            <w:r>
              <w:rPr>
                <w:rFonts w:ascii="Calibri" w:hAnsi="Calibri"/>
                <w:color w:val="auto"/>
                <w:kern w:val="0"/>
                <w:sz w:val="18"/>
                <w:szCs w:val="18"/>
              </w:rPr>
              <w:t>0</w:t>
            </w:r>
            <w:r>
              <w:rPr>
                <w:rFonts w:hint="eastAsia" w:ascii="Calibri" w:hAnsi="Calibri"/>
                <w:color w:val="auto"/>
                <w:kern w:val="0"/>
                <w:sz w:val="18"/>
                <w:szCs w:val="18"/>
                <w:lang w:val="en-US" w:eastAsia="zh-CN"/>
              </w:rPr>
              <w:t>5</w:t>
            </w:r>
            <w:r>
              <w:rPr>
                <w:rFonts w:hint="eastAsia" w:ascii="Calibri" w:hAnsi="Calibri"/>
                <w:color w:val="auto"/>
                <w:kern w:val="0"/>
                <w:sz w:val="18"/>
                <w:szCs w:val="18"/>
              </w:rPr>
              <w:t>%    Wt%</w:t>
            </w:r>
          </w:p>
        </w:tc>
        <w:tc>
          <w:tcPr>
            <w:tcW w:w="915" w:type="pct"/>
            <w:vAlign w:val="center"/>
          </w:tcPr>
          <w:p w14:paraId="6F7B3F1A">
            <w:pPr>
              <w:jc w:val="center"/>
              <w:rPr>
                <w:rFonts w:ascii="Calibri" w:hAnsi="Calibri"/>
                <w:color w:val="auto"/>
                <w:kern w:val="0"/>
                <w:sz w:val="18"/>
                <w:szCs w:val="18"/>
              </w:rPr>
            </w:pPr>
            <w:r>
              <w:rPr>
                <w:rFonts w:hint="eastAsia" w:ascii="Calibri" w:hAnsi="Calibri"/>
                <w:color w:val="auto"/>
                <w:kern w:val="0"/>
                <w:sz w:val="18"/>
                <w:szCs w:val="18"/>
              </w:rPr>
              <w:t>&lt;0.0</w:t>
            </w:r>
            <w:r>
              <w:rPr>
                <w:rFonts w:hint="eastAsia" w:ascii="Calibri" w:hAnsi="Calibri"/>
                <w:color w:val="auto"/>
                <w:kern w:val="0"/>
                <w:sz w:val="18"/>
                <w:szCs w:val="18"/>
                <w:lang w:val="en-US" w:eastAsia="zh-CN"/>
              </w:rPr>
              <w:t>05</w:t>
            </w:r>
            <w:r>
              <w:rPr>
                <w:rFonts w:hint="eastAsia" w:ascii="Calibri" w:hAnsi="Calibri"/>
                <w:color w:val="auto"/>
                <w:kern w:val="0"/>
                <w:sz w:val="18"/>
                <w:szCs w:val="18"/>
              </w:rPr>
              <w:t xml:space="preserve">%   </w:t>
            </w:r>
          </w:p>
          <w:p w14:paraId="4BC1687E">
            <w:pPr>
              <w:jc w:val="center"/>
              <w:rPr>
                <w:rFonts w:ascii="Calibri" w:hAnsi="Calibri"/>
                <w:color w:val="auto"/>
                <w:kern w:val="0"/>
                <w:sz w:val="18"/>
                <w:szCs w:val="18"/>
              </w:rPr>
            </w:pPr>
            <w:r>
              <w:rPr>
                <w:rFonts w:hint="eastAsia" w:ascii="Calibri" w:hAnsi="Calibri"/>
                <w:color w:val="auto"/>
                <w:kern w:val="0"/>
                <w:sz w:val="18"/>
                <w:szCs w:val="18"/>
              </w:rPr>
              <w:t xml:space="preserve"> Wt%</w:t>
            </w:r>
          </w:p>
        </w:tc>
        <w:tc>
          <w:tcPr>
            <w:tcW w:w="946" w:type="pct"/>
            <w:vAlign w:val="center"/>
          </w:tcPr>
          <w:p w14:paraId="407E6EF7">
            <w:pPr>
              <w:jc w:val="center"/>
              <w:rPr>
                <w:rFonts w:ascii="Calibri" w:hAnsi="Calibri"/>
                <w:color w:val="auto"/>
                <w:kern w:val="0"/>
                <w:sz w:val="18"/>
                <w:szCs w:val="18"/>
              </w:rPr>
            </w:pPr>
            <w:r>
              <w:rPr>
                <w:rFonts w:hint="eastAsia" w:ascii="Calibri" w:hAnsi="Calibri"/>
                <w:color w:val="auto"/>
                <w:kern w:val="0"/>
                <w:sz w:val="18"/>
                <w:szCs w:val="18"/>
              </w:rPr>
              <w:t>&lt;0.0</w:t>
            </w:r>
            <w:r>
              <w:rPr>
                <w:rFonts w:ascii="Calibri" w:hAnsi="Calibri"/>
                <w:color w:val="auto"/>
                <w:kern w:val="0"/>
                <w:sz w:val="18"/>
                <w:szCs w:val="18"/>
              </w:rPr>
              <w:t>0</w:t>
            </w:r>
            <w:r>
              <w:rPr>
                <w:rFonts w:hint="eastAsia" w:ascii="Calibri" w:hAnsi="Calibri"/>
                <w:color w:val="auto"/>
                <w:kern w:val="0"/>
                <w:sz w:val="18"/>
                <w:szCs w:val="18"/>
              </w:rPr>
              <w:t xml:space="preserve">5%    </w:t>
            </w:r>
          </w:p>
          <w:p w14:paraId="1C29105C">
            <w:pPr>
              <w:jc w:val="center"/>
              <w:rPr>
                <w:rFonts w:ascii="Calibri" w:hAnsi="Calibri"/>
                <w:color w:val="auto"/>
                <w:kern w:val="0"/>
                <w:sz w:val="18"/>
                <w:szCs w:val="18"/>
              </w:rPr>
            </w:pPr>
            <w:r>
              <w:rPr>
                <w:rFonts w:hint="eastAsia" w:ascii="Calibri" w:hAnsi="Calibri"/>
                <w:color w:val="auto"/>
                <w:kern w:val="0"/>
                <w:sz w:val="18"/>
                <w:szCs w:val="18"/>
              </w:rPr>
              <w:t>Wt%</w:t>
            </w:r>
          </w:p>
        </w:tc>
      </w:tr>
      <w:tr w14:paraId="6079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Align w:val="center"/>
          </w:tcPr>
          <w:p w14:paraId="5D331F87">
            <w:pPr>
              <w:jc w:val="center"/>
              <w:rPr>
                <w:rFonts w:ascii="Calibri" w:hAnsi="Calibri"/>
                <w:color w:val="auto"/>
                <w:kern w:val="0"/>
                <w:sz w:val="18"/>
                <w:szCs w:val="18"/>
              </w:rPr>
            </w:pPr>
            <w:r>
              <w:rPr>
                <w:rFonts w:hint="eastAsia" w:ascii="Calibri" w:hAnsi="Calibri"/>
                <w:color w:val="auto"/>
                <w:kern w:val="0"/>
                <w:sz w:val="18"/>
                <w:szCs w:val="18"/>
              </w:rPr>
              <w:t>外观</w:t>
            </w:r>
          </w:p>
        </w:tc>
        <w:tc>
          <w:tcPr>
            <w:tcW w:w="769" w:type="pct"/>
            <w:vAlign w:val="center"/>
          </w:tcPr>
          <w:p w14:paraId="6C0AAF56">
            <w:pPr>
              <w:jc w:val="center"/>
              <w:rPr>
                <w:rFonts w:hint="default" w:ascii="Calibri" w:hAnsi="Calibri" w:eastAsia="宋体"/>
                <w:color w:val="auto"/>
                <w:kern w:val="0"/>
                <w:sz w:val="18"/>
                <w:szCs w:val="18"/>
                <w:lang w:val="en-US" w:eastAsia="zh-CN"/>
              </w:rPr>
            </w:pPr>
            <w:r>
              <w:rPr>
                <w:rFonts w:hint="eastAsia" w:ascii="Calibri" w:hAnsi="宋体"/>
                <w:color w:val="auto"/>
                <w:kern w:val="0"/>
                <w:sz w:val="20"/>
                <w:szCs w:val="21"/>
                <w:lang w:val="en-US" w:eastAsia="zh-CN"/>
              </w:rPr>
              <w:t>黑色粉末</w:t>
            </w:r>
          </w:p>
        </w:tc>
        <w:tc>
          <w:tcPr>
            <w:tcW w:w="826" w:type="pct"/>
            <w:vAlign w:val="center"/>
          </w:tcPr>
          <w:p w14:paraId="7492BEE0">
            <w:pPr>
              <w:jc w:val="center"/>
              <w:rPr>
                <w:rFonts w:ascii="Calibri" w:hAnsi="Calibri"/>
                <w:color w:val="auto"/>
                <w:kern w:val="0"/>
                <w:sz w:val="20"/>
              </w:rPr>
            </w:pPr>
            <w:r>
              <w:rPr>
                <w:rFonts w:hint="eastAsia" w:ascii="Calibri" w:hAnsi="宋体"/>
                <w:color w:val="auto"/>
                <w:kern w:val="0"/>
                <w:sz w:val="20"/>
                <w:szCs w:val="21"/>
                <w:lang w:val="en-US" w:eastAsia="zh-CN"/>
              </w:rPr>
              <w:t>黑色粉末</w:t>
            </w:r>
          </w:p>
        </w:tc>
        <w:tc>
          <w:tcPr>
            <w:tcW w:w="831" w:type="pct"/>
            <w:vAlign w:val="center"/>
          </w:tcPr>
          <w:p w14:paraId="74F0129A">
            <w:pPr>
              <w:jc w:val="center"/>
              <w:rPr>
                <w:rFonts w:ascii="Calibri" w:hAnsi="Calibri"/>
                <w:color w:val="auto"/>
                <w:kern w:val="0"/>
                <w:sz w:val="20"/>
              </w:rPr>
            </w:pPr>
            <w:r>
              <w:rPr>
                <w:rFonts w:hint="eastAsia" w:ascii="Calibri" w:hAnsi="宋体"/>
                <w:color w:val="auto"/>
                <w:kern w:val="0"/>
                <w:sz w:val="20"/>
                <w:szCs w:val="21"/>
                <w:lang w:val="en-US" w:eastAsia="zh-CN"/>
              </w:rPr>
              <w:t>黑色粉末</w:t>
            </w:r>
          </w:p>
        </w:tc>
        <w:tc>
          <w:tcPr>
            <w:tcW w:w="915" w:type="pct"/>
            <w:vAlign w:val="center"/>
          </w:tcPr>
          <w:p w14:paraId="39D9BEF3">
            <w:pPr>
              <w:jc w:val="center"/>
              <w:rPr>
                <w:rFonts w:ascii="Calibri" w:hAnsi="Calibri"/>
                <w:color w:val="auto"/>
                <w:kern w:val="0"/>
                <w:sz w:val="20"/>
              </w:rPr>
            </w:pPr>
            <w:r>
              <w:rPr>
                <w:rFonts w:hint="eastAsia" w:ascii="Calibri" w:hAnsi="宋体"/>
                <w:color w:val="auto"/>
                <w:kern w:val="0"/>
                <w:sz w:val="20"/>
                <w:szCs w:val="21"/>
                <w:lang w:val="en-US" w:eastAsia="zh-CN"/>
              </w:rPr>
              <w:t>黑色粉末</w:t>
            </w:r>
          </w:p>
        </w:tc>
        <w:tc>
          <w:tcPr>
            <w:tcW w:w="946" w:type="pct"/>
            <w:vAlign w:val="center"/>
          </w:tcPr>
          <w:p w14:paraId="1B9FE7CF">
            <w:pPr>
              <w:jc w:val="center"/>
              <w:rPr>
                <w:rFonts w:ascii="Calibri" w:hAnsi="Calibri"/>
                <w:color w:val="auto"/>
                <w:kern w:val="0"/>
                <w:sz w:val="20"/>
              </w:rPr>
            </w:pPr>
            <w:r>
              <w:rPr>
                <w:rFonts w:hint="eastAsia" w:ascii="Calibri" w:hAnsi="宋体"/>
                <w:color w:val="auto"/>
                <w:kern w:val="0"/>
                <w:sz w:val="20"/>
                <w:szCs w:val="21"/>
                <w:lang w:val="en-US" w:eastAsia="zh-CN"/>
              </w:rPr>
              <w:t>黑色粉末</w:t>
            </w:r>
          </w:p>
        </w:tc>
      </w:tr>
      <w:tr w14:paraId="611C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1" w:type="pct"/>
            <w:vAlign w:val="center"/>
          </w:tcPr>
          <w:p w14:paraId="2C96680B">
            <w:pPr>
              <w:jc w:val="center"/>
              <w:rPr>
                <w:rFonts w:ascii="Calibri" w:hAnsi="Calibri"/>
                <w:color w:val="auto"/>
                <w:kern w:val="0"/>
                <w:sz w:val="18"/>
                <w:szCs w:val="18"/>
              </w:rPr>
            </w:pPr>
            <w:r>
              <w:rPr>
                <w:rFonts w:hint="eastAsia" w:ascii="Calibri" w:hAnsi="Calibri"/>
                <w:color w:val="auto"/>
                <w:kern w:val="0"/>
                <w:sz w:val="18"/>
                <w:szCs w:val="18"/>
                <w:lang w:val="en-US" w:eastAsia="zh-CN"/>
              </w:rPr>
              <w:t>硝硫混酸</w:t>
            </w:r>
            <w:r>
              <w:rPr>
                <w:rFonts w:hint="eastAsia" w:ascii="Calibri" w:hAnsi="Calibri"/>
                <w:color w:val="auto"/>
                <w:kern w:val="0"/>
                <w:sz w:val="18"/>
                <w:szCs w:val="18"/>
              </w:rPr>
              <w:t>溶解</w:t>
            </w:r>
          </w:p>
        </w:tc>
        <w:tc>
          <w:tcPr>
            <w:tcW w:w="769" w:type="pct"/>
            <w:vAlign w:val="center"/>
          </w:tcPr>
          <w:p w14:paraId="15B1EC4E">
            <w:pPr>
              <w:jc w:val="center"/>
              <w:rPr>
                <w:rFonts w:ascii="Calibri" w:hAnsi="Calibri"/>
                <w:color w:val="auto"/>
                <w:kern w:val="0"/>
                <w:sz w:val="18"/>
                <w:szCs w:val="18"/>
              </w:rPr>
            </w:pPr>
            <w:r>
              <w:rPr>
                <w:rFonts w:hint="eastAsia" w:ascii="Calibri" w:hAnsi="宋体"/>
                <w:color w:val="auto"/>
                <w:kern w:val="0"/>
                <w:sz w:val="20"/>
                <w:szCs w:val="21"/>
              </w:rPr>
              <w:t>澄清透亮</w:t>
            </w:r>
          </w:p>
        </w:tc>
        <w:tc>
          <w:tcPr>
            <w:tcW w:w="826" w:type="pct"/>
            <w:vAlign w:val="center"/>
          </w:tcPr>
          <w:p w14:paraId="3989D934">
            <w:pPr>
              <w:jc w:val="center"/>
              <w:rPr>
                <w:rFonts w:ascii="Calibri" w:hAnsi="Calibri"/>
                <w:color w:val="auto"/>
                <w:kern w:val="0"/>
                <w:sz w:val="20"/>
              </w:rPr>
            </w:pPr>
            <w:r>
              <w:rPr>
                <w:rFonts w:hint="eastAsia" w:ascii="Calibri" w:hAnsi="宋体"/>
                <w:color w:val="auto"/>
                <w:kern w:val="0"/>
                <w:sz w:val="20"/>
                <w:szCs w:val="21"/>
              </w:rPr>
              <w:t>澄清透亮</w:t>
            </w:r>
          </w:p>
        </w:tc>
        <w:tc>
          <w:tcPr>
            <w:tcW w:w="831" w:type="pct"/>
            <w:vAlign w:val="center"/>
          </w:tcPr>
          <w:p w14:paraId="51D61C2F">
            <w:pPr>
              <w:jc w:val="center"/>
              <w:rPr>
                <w:rFonts w:ascii="Calibri" w:hAnsi="Calibri"/>
                <w:color w:val="auto"/>
                <w:kern w:val="0"/>
                <w:sz w:val="20"/>
              </w:rPr>
            </w:pPr>
            <w:r>
              <w:rPr>
                <w:rFonts w:hint="eastAsia" w:ascii="Calibri" w:hAnsi="宋体"/>
                <w:color w:val="auto"/>
                <w:kern w:val="0"/>
                <w:sz w:val="20"/>
                <w:szCs w:val="21"/>
              </w:rPr>
              <w:t>澄清透亮</w:t>
            </w:r>
          </w:p>
        </w:tc>
        <w:tc>
          <w:tcPr>
            <w:tcW w:w="915" w:type="pct"/>
            <w:vAlign w:val="center"/>
          </w:tcPr>
          <w:p w14:paraId="522CDB14">
            <w:pPr>
              <w:jc w:val="center"/>
              <w:rPr>
                <w:rFonts w:ascii="Calibri" w:hAnsi="Calibri"/>
                <w:color w:val="auto"/>
                <w:kern w:val="0"/>
                <w:sz w:val="20"/>
              </w:rPr>
            </w:pPr>
            <w:r>
              <w:rPr>
                <w:rFonts w:hint="eastAsia" w:ascii="Calibri" w:hAnsi="宋体"/>
                <w:color w:val="auto"/>
                <w:kern w:val="0"/>
                <w:sz w:val="20"/>
                <w:szCs w:val="21"/>
              </w:rPr>
              <w:t>澄清透亮</w:t>
            </w:r>
          </w:p>
        </w:tc>
        <w:tc>
          <w:tcPr>
            <w:tcW w:w="946" w:type="pct"/>
            <w:vAlign w:val="center"/>
          </w:tcPr>
          <w:p w14:paraId="44CD5B2E">
            <w:pPr>
              <w:jc w:val="center"/>
              <w:rPr>
                <w:rFonts w:ascii="Calibri" w:hAnsi="Calibri"/>
                <w:color w:val="auto"/>
                <w:kern w:val="0"/>
                <w:sz w:val="20"/>
              </w:rPr>
            </w:pPr>
            <w:r>
              <w:rPr>
                <w:rFonts w:hint="eastAsia" w:ascii="Calibri" w:hAnsi="宋体"/>
                <w:color w:val="auto"/>
                <w:kern w:val="0"/>
                <w:sz w:val="20"/>
                <w:szCs w:val="21"/>
              </w:rPr>
              <w:t>澄清透亮</w:t>
            </w:r>
          </w:p>
        </w:tc>
      </w:tr>
    </w:tbl>
    <w:p w14:paraId="2D2CF500">
      <w:pPr>
        <w:autoSpaceDE w:val="0"/>
        <w:autoSpaceDN w:val="0"/>
        <w:adjustRightInd w:val="0"/>
        <w:spacing w:line="360" w:lineRule="auto"/>
        <w:ind w:firstLine="480" w:firstLineChars="200"/>
        <w:rPr>
          <w:color w:val="auto"/>
          <w:sz w:val="24"/>
        </w:rPr>
      </w:pPr>
      <w:bookmarkStart w:id="3" w:name="_Hlk114129610"/>
      <w:r>
        <w:rPr>
          <w:rFonts w:hint="eastAsia"/>
          <w:color w:val="auto"/>
          <w:sz w:val="24"/>
        </w:rPr>
        <w:t>根据前期的调研及相关工作，广泛收集了与标准起草有关的资料并加以研究分析，综合考虑国内外的相关标准、科研成果、专利资料等，以及不同厂家生产情况及技术水平、生产经验、存在的问题、样品和分析数据的对比等情况。《</w:t>
      </w:r>
      <w:bookmarkStart w:id="4" w:name="_Hlk139281854"/>
      <w:r>
        <w:rPr>
          <w:rFonts w:hint="eastAsia"/>
          <w:color w:val="auto"/>
          <w:sz w:val="24"/>
          <w:lang w:val="en-US" w:eastAsia="zh-CN"/>
        </w:rPr>
        <w:t>三碘化铑</w:t>
      </w:r>
      <w:r>
        <w:rPr>
          <w:rFonts w:hint="eastAsia"/>
          <w:color w:val="auto"/>
          <w:sz w:val="24"/>
        </w:rPr>
        <w:t>》标准</w:t>
      </w:r>
      <w:bookmarkEnd w:id="3"/>
      <w:r>
        <w:rPr>
          <w:rFonts w:hint="eastAsia"/>
          <w:color w:val="auto"/>
          <w:sz w:val="24"/>
        </w:rPr>
        <w:t>的制定</w:t>
      </w:r>
      <w:bookmarkEnd w:id="4"/>
      <w:r>
        <w:rPr>
          <w:rFonts w:hint="eastAsia"/>
          <w:color w:val="auto"/>
          <w:sz w:val="24"/>
        </w:rPr>
        <w:t>依据主要来自于对相关应用企业的调研，并征求了使用企业的意见，作为建立本技术标准的依据，同时也考虑了国内厂家生产实际和分析水平等情况。</w:t>
      </w:r>
    </w:p>
    <w:p w14:paraId="754E9C72">
      <w:pPr>
        <w:rPr>
          <w:b/>
          <w:color w:val="auto"/>
          <w:sz w:val="28"/>
          <w:szCs w:val="28"/>
        </w:rPr>
      </w:pPr>
      <w:r>
        <w:rPr>
          <w:rFonts w:hint="eastAsia"/>
          <w:b/>
          <w:color w:val="auto"/>
          <w:sz w:val="28"/>
          <w:szCs w:val="28"/>
        </w:rPr>
        <w:t>4 征求意见阶段</w:t>
      </w:r>
    </w:p>
    <w:p w14:paraId="093200D2">
      <w:pPr>
        <w:rPr>
          <w:b/>
          <w:color w:val="auto"/>
          <w:sz w:val="28"/>
          <w:szCs w:val="28"/>
        </w:rPr>
      </w:pPr>
      <w:r>
        <w:rPr>
          <w:rFonts w:hint="eastAsia"/>
          <w:b/>
          <w:color w:val="auto"/>
          <w:sz w:val="28"/>
          <w:szCs w:val="28"/>
        </w:rPr>
        <w:t>4.1标准征求意见会议</w:t>
      </w:r>
    </w:p>
    <w:p w14:paraId="1F1D29F0">
      <w:pPr>
        <w:autoSpaceDE w:val="0"/>
        <w:autoSpaceDN w:val="0"/>
        <w:adjustRightInd w:val="0"/>
        <w:spacing w:line="360" w:lineRule="auto"/>
        <w:ind w:firstLine="480" w:firstLineChars="200"/>
        <w:rPr>
          <w:rFonts w:ascii="宋体" w:hAnsi="宋体" w:cs="宋体"/>
          <w:color w:val="auto"/>
          <w:kern w:val="0"/>
          <w:sz w:val="24"/>
        </w:rPr>
      </w:pPr>
      <w:r>
        <w:rPr>
          <w:rFonts w:hint="eastAsia"/>
          <w:color w:val="auto"/>
          <w:sz w:val="24"/>
        </w:rPr>
        <w:t>202</w:t>
      </w:r>
      <w:r>
        <w:rPr>
          <w:rFonts w:hint="eastAsia"/>
          <w:color w:val="auto"/>
          <w:sz w:val="24"/>
          <w:lang w:val="en-US" w:eastAsia="zh-CN"/>
        </w:rPr>
        <w:t>4</w:t>
      </w:r>
      <w:r>
        <w:rPr>
          <w:rFonts w:hint="eastAsia"/>
          <w:color w:val="auto"/>
          <w:sz w:val="24"/>
        </w:rPr>
        <w:t>年</w:t>
      </w:r>
      <w:r>
        <w:rPr>
          <w:rFonts w:hint="eastAsia"/>
          <w:color w:val="auto"/>
          <w:sz w:val="24"/>
          <w:lang w:val="en-US" w:eastAsia="zh-CN"/>
        </w:rPr>
        <w:t>8</w:t>
      </w:r>
      <w:r>
        <w:rPr>
          <w:rFonts w:hint="eastAsia"/>
          <w:color w:val="auto"/>
          <w:sz w:val="24"/>
        </w:rPr>
        <w:t>月2</w:t>
      </w:r>
      <w:r>
        <w:rPr>
          <w:rFonts w:hint="eastAsia"/>
          <w:color w:val="auto"/>
          <w:sz w:val="24"/>
          <w:lang w:val="en-US" w:eastAsia="zh-CN"/>
        </w:rPr>
        <w:t>8</w:t>
      </w:r>
      <w:r>
        <w:rPr>
          <w:rFonts w:hint="eastAsia"/>
          <w:color w:val="auto"/>
          <w:sz w:val="24"/>
        </w:rPr>
        <w:t>日～</w:t>
      </w:r>
      <w:r>
        <w:rPr>
          <w:rFonts w:hint="eastAsia"/>
          <w:color w:val="auto"/>
          <w:sz w:val="24"/>
          <w:lang w:val="en-US" w:eastAsia="zh-CN"/>
        </w:rPr>
        <w:t>8</w:t>
      </w:r>
      <w:r>
        <w:rPr>
          <w:rFonts w:hint="eastAsia"/>
          <w:color w:val="auto"/>
          <w:sz w:val="24"/>
        </w:rPr>
        <w:t>月</w:t>
      </w:r>
      <w:r>
        <w:rPr>
          <w:rFonts w:hint="eastAsia"/>
          <w:color w:val="auto"/>
          <w:sz w:val="24"/>
          <w:lang w:val="en-US" w:eastAsia="zh-CN"/>
        </w:rPr>
        <w:t>31</w:t>
      </w:r>
      <w:r>
        <w:rPr>
          <w:rFonts w:hint="eastAsia"/>
          <w:color w:val="auto"/>
          <w:sz w:val="24"/>
        </w:rPr>
        <w:t>日全国有色金属标准化技术委员会在浙江省宁波市召开GB/T 42793-2024《航空用铝合金板材通用技术规范》等17项标准宣贯会暨《电解镍》等68项有色金属标准工作会议</w:t>
      </w:r>
      <w:r>
        <w:rPr>
          <w:rFonts w:hint="eastAsia"/>
          <w:color w:val="auto"/>
          <w:sz w:val="24"/>
          <w:lang w:eastAsia="zh-CN"/>
        </w:rPr>
        <w:t>，</w:t>
      </w:r>
      <w:r>
        <w:rPr>
          <w:rFonts w:hint="eastAsia"/>
          <w:color w:val="auto"/>
          <w:sz w:val="24"/>
        </w:rPr>
        <w:t>会议</w:t>
      </w:r>
      <w:r>
        <w:rPr>
          <w:rFonts w:hint="eastAsia"/>
          <w:color w:val="auto"/>
          <w:sz w:val="24"/>
          <w:lang w:val="en-US" w:eastAsia="zh-CN"/>
        </w:rPr>
        <w:t>将</w:t>
      </w:r>
      <w:r>
        <w:rPr>
          <w:rFonts w:hint="eastAsia"/>
          <w:color w:val="auto"/>
          <w:sz w:val="24"/>
        </w:rPr>
        <w:t>对本标准的相关技术文件进行</w:t>
      </w:r>
      <w:r>
        <w:rPr>
          <w:rFonts w:hint="eastAsia"/>
          <w:color w:val="auto"/>
          <w:sz w:val="24"/>
          <w:lang w:val="en-US" w:eastAsia="zh-CN"/>
        </w:rPr>
        <w:t>预审</w:t>
      </w:r>
      <w:r>
        <w:rPr>
          <w:rFonts w:hint="eastAsia"/>
          <w:color w:val="auto"/>
          <w:sz w:val="24"/>
        </w:rPr>
        <w:t>，并安排后续工作。</w:t>
      </w:r>
      <w:r>
        <w:rPr>
          <w:rFonts w:hint="eastAsia"/>
          <w:color w:val="auto"/>
          <w:sz w:val="24"/>
          <w:lang w:val="en-US" w:eastAsia="zh-CN"/>
        </w:rPr>
        <w:t>届时，编制组将</w:t>
      </w:r>
      <w:r>
        <w:rPr>
          <w:rFonts w:hint="eastAsia"/>
          <w:color w:val="auto"/>
          <w:sz w:val="24"/>
        </w:rPr>
        <w:t>根据与会专家</w:t>
      </w:r>
      <w:r>
        <w:rPr>
          <w:rFonts w:hint="eastAsia" w:ascii="宋体" w:hAnsi="宋体" w:cs="宋体"/>
          <w:color w:val="auto"/>
          <w:kern w:val="0"/>
          <w:sz w:val="24"/>
        </w:rPr>
        <w:t>及</w:t>
      </w:r>
      <w:r>
        <w:rPr>
          <w:rFonts w:hint="eastAsia" w:ascii="宋体" w:hAnsi="宋体" w:cs="宋体"/>
          <w:color w:val="auto"/>
          <w:kern w:val="0"/>
          <w:sz w:val="24"/>
          <w:lang w:val="en-US" w:eastAsia="zh-CN"/>
        </w:rPr>
        <w:t>参会</w:t>
      </w:r>
      <w:r>
        <w:rPr>
          <w:rFonts w:hint="eastAsia" w:ascii="宋体" w:hAnsi="宋体" w:cs="宋体"/>
          <w:color w:val="auto"/>
          <w:kern w:val="0"/>
          <w:sz w:val="24"/>
        </w:rPr>
        <w:t>代表</w:t>
      </w:r>
      <w:r>
        <w:rPr>
          <w:rFonts w:hint="eastAsia" w:ascii="宋体" w:hAnsi="宋体" w:cs="宋体"/>
          <w:color w:val="auto"/>
          <w:kern w:val="0"/>
          <w:sz w:val="24"/>
          <w:lang w:val="en-US" w:eastAsia="zh-CN"/>
        </w:rPr>
        <w:t>提出的</w:t>
      </w:r>
      <w:r>
        <w:rPr>
          <w:rFonts w:hint="eastAsia" w:ascii="宋体" w:hAnsi="宋体" w:cs="宋体"/>
          <w:color w:val="auto"/>
          <w:kern w:val="0"/>
          <w:sz w:val="24"/>
        </w:rPr>
        <w:t>意见，</w:t>
      </w:r>
      <w:r>
        <w:rPr>
          <w:rFonts w:hint="eastAsia" w:ascii="宋体" w:hAnsi="宋体" w:cs="宋体"/>
          <w:color w:val="auto"/>
          <w:kern w:val="0"/>
          <w:sz w:val="24"/>
          <w:lang w:val="en-US" w:eastAsia="zh-CN"/>
        </w:rPr>
        <w:t>将对标准文本</w:t>
      </w:r>
      <w:r>
        <w:rPr>
          <w:rFonts w:hint="eastAsia" w:ascii="宋体" w:hAnsi="宋体" w:cs="宋体"/>
          <w:color w:val="auto"/>
          <w:kern w:val="0"/>
          <w:sz w:val="24"/>
        </w:rPr>
        <w:t>进行</w:t>
      </w:r>
      <w:r>
        <w:rPr>
          <w:rFonts w:hint="eastAsia" w:ascii="宋体" w:hAnsi="宋体" w:cs="宋体"/>
          <w:color w:val="auto"/>
          <w:kern w:val="0"/>
          <w:sz w:val="24"/>
          <w:lang w:val="en-US" w:eastAsia="zh-CN"/>
        </w:rPr>
        <w:t>认真</w:t>
      </w:r>
      <w:r>
        <w:rPr>
          <w:rFonts w:hint="eastAsia" w:ascii="宋体" w:hAnsi="宋体" w:cs="宋体"/>
          <w:color w:val="auto"/>
          <w:kern w:val="0"/>
          <w:sz w:val="24"/>
        </w:rPr>
        <w:t>修改。</w:t>
      </w:r>
    </w:p>
    <w:p w14:paraId="1C2DC886">
      <w:pPr>
        <w:autoSpaceDE w:val="0"/>
        <w:autoSpaceDN w:val="0"/>
        <w:adjustRightInd w:val="0"/>
        <w:spacing w:line="360" w:lineRule="auto"/>
        <w:ind w:firstLine="480" w:firstLineChars="200"/>
        <w:rPr>
          <w:color w:val="auto"/>
          <w:sz w:val="24"/>
        </w:rPr>
      </w:pPr>
    </w:p>
    <w:p w14:paraId="673ED19F">
      <w:pPr>
        <w:spacing w:line="360" w:lineRule="auto"/>
        <w:rPr>
          <w:b/>
          <w:color w:val="auto"/>
          <w:sz w:val="24"/>
        </w:rPr>
      </w:pPr>
      <w:r>
        <w:rPr>
          <w:rFonts w:hint="eastAsia"/>
          <w:b/>
          <w:color w:val="auto"/>
          <w:sz w:val="24"/>
        </w:rPr>
        <w:t>二、标准编制原则</w:t>
      </w:r>
    </w:p>
    <w:p w14:paraId="1DB9B7B9">
      <w:pPr>
        <w:spacing w:line="360" w:lineRule="auto"/>
        <w:ind w:firstLine="480" w:firstLineChars="200"/>
        <w:rPr>
          <w:bCs/>
          <w:sz w:val="24"/>
        </w:rPr>
      </w:pPr>
      <w:r>
        <w:rPr>
          <w:rFonts w:hint="eastAsia" w:ascii="宋体" w:hAnsi="宋体"/>
          <w:bCs/>
          <w:color w:val="auto"/>
          <w:sz w:val="24"/>
        </w:rPr>
        <w:t>本标准起草单位</w:t>
      </w:r>
      <w:r>
        <w:rPr>
          <w:rFonts w:hint="eastAsia" w:ascii="宋体" w:hAnsi="宋体"/>
          <w:color w:val="auto"/>
          <w:sz w:val="24"/>
        </w:rPr>
        <w:t>自接受修订任务后，成立了标准编制工作组负责收集整理相关资料</w:t>
      </w:r>
      <w:r>
        <w:rPr>
          <w:rFonts w:hint="eastAsia" w:ascii="宋体" w:hAnsi="宋体"/>
          <w:color w:val="auto"/>
          <w:sz w:val="24"/>
          <w:lang w:eastAsia="zh-CN"/>
        </w:rPr>
        <w:t>，</w:t>
      </w:r>
      <w:r>
        <w:rPr>
          <w:rFonts w:hint="eastAsia" w:ascii="宋体" w:hAnsi="宋体"/>
          <w:color w:val="auto"/>
          <w:sz w:val="24"/>
          <w:lang w:val="en-US" w:eastAsia="zh-CN"/>
        </w:rPr>
        <w:t>根据同行生产情况、</w:t>
      </w:r>
      <w:r>
        <w:rPr>
          <w:rFonts w:hint="eastAsia" w:ascii="宋体" w:hAnsi="宋体"/>
          <w:color w:val="auto"/>
          <w:sz w:val="24"/>
        </w:rPr>
        <w:t>市场需求及客户要求等信息，同时结合国家大政方针政策，未来发展趋势，本着科学发展、可持续发展的原则，</w:t>
      </w:r>
      <w:r>
        <w:rPr>
          <w:rFonts w:hint="eastAsia"/>
          <w:color w:val="auto"/>
          <w:sz w:val="24"/>
        </w:rPr>
        <w:t>以严谨、科学的态度对本标准修订进行了反复的讨论、修改，使之不断完善。</w:t>
      </w:r>
      <w:r>
        <w:rPr>
          <w:rFonts w:hint="eastAsia"/>
          <w:bCs/>
          <w:sz w:val="24"/>
        </w:rPr>
        <w:t>制定过程严格按照标准制定和修订的标准技术路线开展工作。</w:t>
      </w:r>
      <w:r>
        <w:rPr>
          <w:bCs/>
          <w:sz w:val="24"/>
        </w:rPr>
        <w:t>该标准的</w:t>
      </w:r>
      <w:r>
        <w:rPr>
          <w:rFonts w:hint="eastAsia"/>
          <w:bCs/>
          <w:sz w:val="24"/>
          <w:lang w:val="en-US" w:eastAsia="zh-CN"/>
        </w:rPr>
        <w:t>修订工作遵循</w:t>
      </w:r>
      <w:r>
        <w:rPr>
          <w:bCs/>
          <w:sz w:val="24"/>
        </w:rPr>
        <w:t>如下：</w:t>
      </w:r>
    </w:p>
    <w:p w14:paraId="7E61AA41">
      <w:pPr>
        <w:spacing w:line="360" w:lineRule="auto"/>
        <w:ind w:firstLine="480" w:firstLineChars="200"/>
        <w:rPr>
          <w:color w:val="auto"/>
          <w:sz w:val="24"/>
        </w:rPr>
      </w:pPr>
      <w:r>
        <w:rPr>
          <w:color w:val="auto"/>
          <w:sz w:val="24"/>
        </w:rPr>
        <w:t>1.科学性原则。标准必须符合科学、合理、先进的原则，确保标准内容科学、准确、可靠。</w:t>
      </w:r>
    </w:p>
    <w:p w14:paraId="0491901C">
      <w:pPr>
        <w:spacing w:line="360" w:lineRule="auto"/>
        <w:ind w:firstLine="480" w:firstLineChars="200"/>
        <w:rPr>
          <w:color w:val="auto"/>
          <w:sz w:val="24"/>
        </w:rPr>
      </w:pPr>
      <w:r>
        <w:rPr>
          <w:color w:val="auto"/>
          <w:sz w:val="24"/>
        </w:rPr>
        <w:t>2.公正性原则。标准编制必须遵循公正、公开、透明、公平的原则，维护各利益相关者的合法权益。</w:t>
      </w:r>
    </w:p>
    <w:p w14:paraId="65FBAB8D">
      <w:pPr>
        <w:spacing w:line="360" w:lineRule="auto"/>
        <w:ind w:firstLine="480" w:firstLineChars="200"/>
        <w:rPr>
          <w:color w:val="auto"/>
          <w:sz w:val="24"/>
        </w:rPr>
      </w:pPr>
      <w:r>
        <w:rPr>
          <w:color w:val="auto"/>
          <w:sz w:val="24"/>
        </w:rPr>
        <w:t>3.适用性原则。标准必须符合产品实际需求，具有实用性和适用性，能够满足产品设计、生产和使用的实际需求。</w:t>
      </w:r>
    </w:p>
    <w:p w14:paraId="0B3BFDDB">
      <w:pPr>
        <w:spacing w:line="360" w:lineRule="auto"/>
        <w:ind w:firstLine="480" w:firstLineChars="200"/>
        <w:rPr>
          <w:color w:val="auto"/>
          <w:sz w:val="24"/>
        </w:rPr>
      </w:pPr>
      <w:r>
        <w:rPr>
          <w:color w:val="auto"/>
          <w:sz w:val="24"/>
        </w:rPr>
        <w:t>4.可行性原则。标准必须具有可操作性和可实施性，能够被生产者和使用者接受和实施。</w:t>
      </w:r>
    </w:p>
    <w:p w14:paraId="388A4BFF">
      <w:pPr>
        <w:spacing w:line="360" w:lineRule="auto"/>
        <w:ind w:firstLine="480" w:firstLineChars="200"/>
        <w:rPr>
          <w:color w:val="auto"/>
          <w:sz w:val="24"/>
        </w:rPr>
      </w:pPr>
      <w:r>
        <w:rPr>
          <w:color w:val="auto"/>
          <w:sz w:val="24"/>
        </w:rPr>
        <w:t>5.技术先进性原则。标准必须体现技术先进性，促进技术创新和技术进步，提高产品质量和安全性。</w:t>
      </w:r>
    </w:p>
    <w:p w14:paraId="322D3B67">
      <w:pPr>
        <w:spacing w:line="360" w:lineRule="auto"/>
        <w:ind w:firstLine="480" w:firstLineChars="200"/>
        <w:rPr>
          <w:color w:val="auto"/>
          <w:sz w:val="24"/>
        </w:rPr>
      </w:pPr>
      <w:r>
        <w:rPr>
          <w:color w:val="auto"/>
          <w:sz w:val="24"/>
        </w:rPr>
        <w:t>6.协调性原则。标准必须符合国际和地区标准的协调性，避免相互冲突和重复，促进贸易自由化和技术交流。</w:t>
      </w:r>
    </w:p>
    <w:p w14:paraId="488AE32A">
      <w:pPr>
        <w:spacing w:line="360" w:lineRule="auto"/>
        <w:ind w:firstLine="480" w:firstLineChars="200"/>
        <w:rPr>
          <w:color w:val="auto"/>
          <w:sz w:val="24"/>
        </w:rPr>
      </w:pPr>
      <w:r>
        <w:rPr>
          <w:color w:val="auto"/>
          <w:sz w:val="24"/>
        </w:rPr>
        <w:t>7.法律法规遵循原则。标准必须遵循国家法律、法规和政策，维护国家利益和公共利益。</w:t>
      </w:r>
    </w:p>
    <w:p w14:paraId="7F30BFE1">
      <w:pPr>
        <w:spacing w:line="360" w:lineRule="auto"/>
        <w:ind w:firstLine="480" w:firstLineChars="200"/>
        <w:rPr>
          <w:color w:val="auto"/>
          <w:sz w:val="24"/>
        </w:rPr>
      </w:pPr>
      <w:r>
        <w:rPr>
          <w:color w:val="auto"/>
          <w:sz w:val="24"/>
        </w:rPr>
        <w:t>通过以上原则，</w:t>
      </w:r>
      <w:r>
        <w:rPr>
          <w:rFonts w:hint="eastAsia"/>
          <w:color w:val="auto"/>
          <w:sz w:val="24"/>
          <w:lang w:val="en-US" w:eastAsia="zh-CN"/>
        </w:rPr>
        <w:t>修订</w:t>
      </w:r>
      <w:r>
        <w:rPr>
          <w:color w:val="auto"/>
          <w:sz w:val="24"/>
        </w:rPr>
        <w:t>出</w:t>
      </w:r>
      <w:r>
        <w:rPr>
          <w:rFonts w:hint="eastAsia"/>
          <w:color w:val="auto"/>
          <w:sz w:val="24"/>
        </w:rPr>
        <w:t>满足</w:t>
      </w:r>
      <w:r>
        <w:rPr>
          <w:color w:val="auto"/>
          <w:sz w:val="24"/>
        </w:rPr>
        <w:t>实际需求的产品</w:t>
      </w:r>
      <w:r>
        <w:rPr>
          <w:rFonts w:hint="eastAsia"/>
          <w:color w:val="auto"/>
          <w:sz w:val="24"/>
        </w:rPr>
        <w:t>《</w:t>
      </w:r>
      <w:r>
        <w:rPr>
          <w:rFonts w:hint="eastAsia"/>
          <w:color w:val="auto"/>
          <w:sz w:val="24"/>
          <w:lang w:val="en-US" w:eastAsia="zh-CN"/>
        </w:rPr>
        <w:t>三碘化铑</w:t>
      </w:r>
      <w:r>
        <w:rPr>
          <w:rFonts w:hint="eastAsia"/>
          <w:color w:val="auto"/>
          <w:sz w:val="24"/>
        </w:rPr>
        <w:t>》标准</w:t>
      </w:r>
      <w:r>
        <w:rPr>
          <w:color w:val="auto"/>
          <w:sz w:val="24"/>
        </w:rPr>
        <w:t>，能够提高产品质量和安全性，保障消费者权益，促进产品贸易和技术交流。</w:t>
      </w:r>
    </w:p>
    <w:p w14:paraId="7750025E">
      <w:pPr>
        <w:spacing w:line="360" w:lineRule="auto"/>
        <w:rPr>
          <w:rFonts w:ascii="宋体" w:hAnsi="宋体"/>
          <w:color w:val="auto"/>
          <w:sz w:val="24"/>
        </w:rPr>
      </w:pPr>
    </w:p>
    <w:p w14:paraId="123D8D7C">
      <w:pPr>
        <w:spacing w:line="360" w:lineRule="auto"/>
        <w:rPr>
          <w:rFonts w:ascii="宋体" w:hAnsi="宋体"/>
          <w:color w:val="auto"/>
          <w:sz w:val="24"/>
          <w:highlight w:val="yellow"/>
        </w:rPr>
      </w:pPr>
      <w:r>
        <w:rPr>
          <w:rFonts w:hint="eastAsia"/>
          <w:b/>
          <w:color w:val="auto"/>
          <w:sz w:val="24"/>
        </w:rPr>
        <w:t>三、标准</w:t>
      </w:r>
      <w:r>
        <w:rPr>
          <w:rFonts w:hint="eastAsia"/>
          <w:b/>
          <w:color w:val="auto"/>
          <w:sz w:val="24"/>
          <w:lang w:val="en-US" w:eastAsia="zh-CN"/>
        </w:rPr>
        <w:t>修订的</w:t>
      </w:r>
      <w:r>
        <w:rPr>
          <w:rFonts w:hint="eastAsia"/>
          <w:b/>
          <w:color w:val="auto"/>
          <w:sz w:val="24"/>
        </w:rPr>
        <w:t>主要内容</w:t>
      </w:r>
      <w:r>
        <w:rPr>
          <w:rFonts w:hint="eastAsia"/>
          <w:b/>
          <w:color w:val="auto"/>
          <w:sz w:val="24"/>
          <w:lang w:val="en-US" w:eastAsia="zh-CN"/>
        </w:rPr>
        <w:t>和</w:t>
      </w:r>
      <w:r>
        <w:rPr>
          <w:rFonts w:hint="eastAsia"/>
          <w:b/>
          <w:color w:val="auto"/>
          <w:sz w:val="24"/>
        </w:rPr>
        <w:t>依据</w:t>
      </w:r>
      <w:r>
        <w:rPr>
          <w:rFonts w:hint="eastAsia"/>
          <w:b/>
          <w:color w:val="auto"/>
          <w:sz w:val="24"/>
          <w:lang w:eastAsia="zh-CN"/>
        </w:rPr>
        <w:t>，</w:t>
      </w:r>
      <w:r>
        <w:rPr>
          <w:rFonts w:hint="eastAsia"/>
          <w:b/>
          <w:color w:val="auto"/>
          <w:sz w:val="24"/>
          <w:lang w:val="en-US" w:eastAsia="zh-CN"/>
        </w:rPr>
        <w:t>以</w:t>
      </w:r>
      <w:r>
        <w:rPr>
          <w:rFonts w:hint="eastAsia"/>
          <w:b/>
          <w:color w:val="auto"/>
          <w:sz w:val="24"/>
        </w:rPr>
        <w:t>及主要试验和验证情况分析</w:t>
      </w:r>
    </w:p>
    <w:p w14:paraId="2C1C99C1">
      <w:pPr>
        <w:spacing w:line="360" w:lineRule="auto"/>
        <w:rPr>
          <w:rFonts w:ascii="宋体" w:hAnsi="宋体"/>
          <w:b/>
          <w:color w:val="auto"/>
          <w:sz w:val="24"/>
        </w:rPr>
      </w:pPr>
      <w:r>
        <w:rPr>
          <w:rFonts w:hint="eastAsia" w:ascii="宋体" w:hAnsi="宋体"/>
          <w:b/>
          <w:color w:val="auto"/>
          <w:sz w:val="24"/>
        </w:rPr>
        <w:t>1．本标准</w:t>
      </w:r>
      <w:r>
        <w:rPr>
          <w:rFonts w:hint="eastAsia" w:ascii="宋体" w:hAnsi="宋体"/>
          <w:b/>
          <w:color w:val="auto"/>
          <w:sz w:val="24"/>
          <w:lang w:val="en-US" w:eastAsia="zh-CN"/>
        </w:rPr>
        <w:t>修订的</w:t>
      </w:r>
      <w:r>
        <w:rPr>
          <w:rFonts w:hint="eastAsia"/>
          <w:b/>
          <w:color w:val="auto"/>
          <w:sz w:val="24"/>
        </w:rPr>
        <w:t>主要内容</w:t>
      </w:r>
      <w:r>
        <w:rPr>
          <w:rFonts w:hint="eastAsia"/>
          <w:b/>
          <w:color w:val="auto"/>
          <w:sz w:val="24"/>
          <w:lang w:val="en-US" w:eastAsia="zh-CN"/>
        </w:rPr>
        <w:t>及</w:t>
      </w:r>
      <w:r>
        <w:rPr>
          <w:rFonts w:hint="eastAsia"/>
          <w:b/>
          <w:color w:val="auto"/>
          <w:sz w:val="24"/>
        </w:rPr>
        <w:t>依据</w:t>
      </w:r>
    </w:p>
    <w:p w14:paraId="64DEEAF5">
      <w:pPr>
        <w:spacing w:line="360" w:lineRule="auto"/>
        <w:rPr>
          <w:rFonts w:hint="eastAsia" w:ascii="Times New Roman" w:hAnsi="Times New Roman" w:eastAsia="宋体" w:cs="Times New Roman"/>
          <w:color w:val="auto"/>
          <w:kern w:val="2"/>
          <w:sz w:val="24"/>
          <w:szCs w:val="24"/>
          <w:lang w:val="en-US" w:eastAsia="zh-CN" w:bidi="ar-SA"/>
        </w:rPr>
      </w:pPr>
      <w:bookmarkStart w:id="5" w:name="OLE_LINK7"/>
      <w:r>
        <w:rPr>
          <w:rFonts w:hint="eastAsia" w:ascii="宋体" w:hAnsi="宋体"/>
          <w:b/>
          <w:bCs/>
          <w:color w:val="auto"/>
          <w:sz w:val="24"/>
        </w:rPr>
        <w:t xml:space="preserve">1.1 </w:t>
      </w:r>
      <w:r>
        <w:rPr>
          <w:rFonts w:hint="eastAsia" w:ascii="Times New Roman" w:hAnsi="Times New Roman" w:eastAsia="宋体" w:cs="Times New Roman"/>
          <w:color w:val="auto"/>
          <w:kern w:val="2"/>
          <w:sz w:val="24"/>
          <w:szCs w:val="24"/>
          <w:lang w:val="en-US" w:eastAsia="zh-CN" w:bidi="ar-SA"/>
        </w:rPr>
        <w:t>增加了产品的标记。</w:t>
      </w:r>
    </w:p>
    <w:p w14:paraId="544A8D57">
      <w:pPr>
        <w:pStyle w:val="22"/>
        <w:numPr>
          <w:ilvl w:val="0"/>
          <w:numId w:val="0"/>
        </w:numPr>
        <w:ind w:leftChars="0"/>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lang w:val="en-US" w:eastAsia="zh-CN" w:bidi="ar-SA"/>
        </w:rPr>
        <w:t>标准正文第4章，增加了产品的标记。</w:t>
      </w:r>
    </w:p>
    <w:p w14:paraId="65713E38">
      <w:pPr>
        <w:pStyle w:val="22"/>
        <w:numPr>
          <w:ilvl w:val="0"/>
          <w:numId w:val="0"/>
        </w:numPr>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新修订的内容为：4 产品的标记 </w:t>
      </w:r>
    </w:p>
    <w:p w14:paraId="1FDAAC11">
      <w:pPr>
        <w:pStyle w:val="22"/>
        <w:numPr>
          <w:ilvl w:val="0"/>
          <w:numId w:val="0"/>
        </w:numPr>
        <w:ind w:firstLine="2400" w:firstLineChars="10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4.1 产品标记  </w:t>
      </w:r>
    </w:p>
    <w:p w14:paraId="0588A7B8">
      <w:pPr>
        <w:pStyle w:val="22"/>
        <w:numPr>
          <w:ilvl w:val="0"/>
          <w:numId w:val="0"/>
        </w:numPr>
        <w:ind w:firstLine="2400" w:firstLineChars="10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产品名称：三碘化铑 化学式：RhI3</w:t>
      </w:r>
    </w:p>
    <w:p w14:paraId="13224C44">
      <w:pPr>
        <w:pStyle w:val="15"/>
        <w:spacing w:line="360" w:lineRule="auto"/>
        <w:ind w:firstLine="2400" w:firstLineChars="10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产品标记为：YS</w:t>
      </w:r>
      <w:r>
        <w:rPr>
          <w:rFonts w:ascii="Times New Roman" w:hAnsi="Times New Roman" w:eastAsia="宋体" w:cs="Times New Roman"/>
          <w:color w:val="auto"/>
          <w:kern w:val="2"/>
          <w:sz w:val="24"/>
          <w:szCs w:val="24"/>
          <w:lang w:val="en-US" w:eastAsia="zh-CN" w:bidi="ar-SA"/>
        </w:rPr>
        <w:t xml:space="preserve">/T </w:t>
      </w:r>
      <w:r>
        <w:rPr>
          <w:rFonts w:hint="eastAsia" w:ascii="Times New Roman" w:hAnsi="Times New Roman" w:eastAsia="宋体" w:cs="Times New Roman"/>
          <w:color w:val="auto"/>
          <w:kern w:val="2"/>
          <w:sz w:val="24"/>
          <w:szCs w:val="24"/>
          <w:lang w:val="en-US" w:eastAsia="zh-CN" w:bidi="ar-SA"/>
        </w:rPr>
        <w:t>943</w:t>
      </w:r>
      <w:r>
        <w:rPr>
          <w:rFonts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RhI3</w:t>
      </w:r>
    </w:p>
    <w:p w14:paraId="43ACD97F">
      <w:pPr>
        <w:spacing w:line="360" w:lineRule="auto"/>
        <w:rPr>
          <w:rFonts w:hint="default" w:ascii="Times New Roman" w:hAnsi="Times New Roman" w:eastAsia="宋体" w:cs="Times New Roman"/>
          <w:color w:val="auto"/>
          <w:kern w:val="2"/>
          <w:sz w:val="24"/>
          <w:szCs w:val="24"/>
          <w:lang w:val="en-US" w:eastAsia="zh-CN" w:bidi="ar-SA"/>
        </w:rPr>
      </w:pPr>
    </w:p>
    <w:p w14:paraId="386F35E6">
      <w:pPr>
        <w:pStyle w:val="15"/>
        <w:spacing w:line="360" w:lineRule="auto"/>
        <w:ind w:firstLine="482"/>
        <w:rPr>
          <w:rFonts w:hint="default" w:ascii="Times New Roman"/>
          <w:color w:val="auto"/>
          <w:kern w:val="2"/>
          <w:sz w:val="24"/>
          <w:szCs w:val="24"/>
          <w:lang w:val="en-US"/>
        </w:rPr>
      </w:pPr>
      <w:r>
        <w:rPr>
          <w:rFonts w:hint="eastAsia"/>
          <w:b/>
          <w:bCs/>
          <w:color w:val="auto"/>
          <w:kern w:val="2"/>
          <w:sz w:val="24"/>
          <w:szCs w:val="24"/>
          <w:lang w:val="en-US" w:eastAsia="zh-CN"/>
        </w:rPr>
        <w:t>修订</w:t>
      </w:r>
      <w:r>
        <w:rPr>
          <w:rFonts w:hint="eastAsia"/>
          <w:b/>
          <w:bCs/>
          <w:color w:val="auto"/>
          <w:kern w:val="2"/>
          <w:sz w:val="24"/>
          <w:szCs w:val="24"/>
        </w:rPr>
        <w:t>依据</w:t>
      </w:r>
      <w:r>
        <w:rPr>
          <w:rFonts w:hint="eastAsia"/>
          <w:color w:val="auto"/>
          <w:kern w:val="2"/>
          <w:sz w:val="24"/>
          <w:szCs w:val="24"/>
        </w:rPr>
        <w:t>：</w:t>
      </w:r>
      <w:r>
        <w:rPr>
          <w:rFonts w:hint="eastAsia" w:ascii="Times New Roman"/>
          <w:color w:val="auto"/>
          <w:kern w:val="2"/>
          <w:sz w:val="24"/>
          <w:szCs w:val="24"/>
          <w:lang w:val="en-US" w:eastAsia="zh-CN"/>
        </w:rPr>
        <w:t>根据GB/T 1.1-2020版，分类和标记包括“产品类别的概述”和“产品标记的描述”两部分内容，“产品类别的概述”是方便用户选材而设，向需方具体介绍供方产品的型式、牌号或代号、状态、规格、性能等级、典型用途等</w:t>
      </w:r>
      <w:r>
        <w:rPr>
          <w:rFonts w:hint="eastAsia" w:ascii="Times New Roman"/>
          <w:color w:val="auto"/>
          <w:kern w:val="2"/>
          <w:sz w:val="24"/>
          <w:szCs w:val="24"/>
        </w:rPr>
        <w:t>。</w:t>
      </w:r>
      <w:r>
        <w:rPr>
          <w:rFonts w:hint="eastAsia" w:ascii="Times New Roman"/>
          <w:color w:val="auto"/>
          <w:kern w:val="2"/>
          <w:sz w:val="24"/>
          <w:szCs w:val="24"/>
          <w:lang w:val="en-US" w:eastAsia="zh-CN"/>
        </w:rPr>
        <w:t>“产品标记”是用于科技文献、订货、目录、展览等信息交流对该产品进行简捷快速说明（可反映产品类型、产品各个主要品性和标准编号等重要的字符串）。因三碘化铑就是一个简单固体产品，外观一致，含量变化不大，无需进行分类；而产品订货、展览、标准检索时，能够通过标记知道产品执行的标准，从而能快速了解到产品的信息。故在修订时增加了第4章产品标记。</w:t>
      </w:r>
    </w:p>
    <w:p w14:paraId="440D8042">
      <w:pPr>
        <w:pStyle w:val="4"/>
        <w:ind w:firstLine="0"/>
        <w:rPr>
          <w:rFonts w:ascii="宋体" w:hAnsi="宋体"/>
          <w:b/>
          <w:bCs/>
          <w:color w:val="auto"/>
        </w:rPr>
      </w:pPr>
    </w:p>
    <w:p w14:paraId="46BEFDCC">
      <w:pPr>
        <w:pStyle w:val="4"/>
        <w:ind w:firstLine="0"/>
        <w:rPr>
          <w:rFonts w:hint="eastAsia" w:ascii="等线" w:hAnsi="等线"/>
          <w:szCs w:val="21"/>
        </w:rPr>
      </w:pPr>
      <w:r>
        <w:rPr>
          <w:rFonts w:hint="eastAsia" w:ascii="宋体" w:hAnsi="宋体"/>
          <w:b/>
          <w:bCs/>
          <w:color w:val="auto"/>
        </w:rPr>
        <w:t xml:space="preserve">1.2 </w:t>
      </w:r>
      <w:r>
        <w:rPr>
          <w:rFonts w:hint="eastAsia" w:ascii="等线" w:hAnsi="等线"/>
          <w:szCs w:val="21"/>
        </w:rPr>
        <w:t>增加了产品</w:t>
      </w:r>
      <w:r>
        <w:rPr>
          <w:rFonts w:hint="eastAsia" w:ascii="等线" w:hAnsi="等线"/>
          <w:szCs w:val="21"/>
          <w:lang w:val="en-US" w:eastAsia="zh-CN"/>
        </w:rPr>
        <w:t>硝酸、硫酸混合酸</w:t>
      </w:r>
      <w:r>
        <w:rPr>
          <w:rFonts w:hint="eastAsia" w:ascii="等线" w:hAnsi="等线"/>
          <w:szCs w:val="21"/>
        </w:rPr>
        <w:t>溶解</w:t>
      </w:r>
      <w:r>
        <w:rPr>
          <w:rFonts w:hint="eastAsia" w:ascii="等线" w:hAnsi="等线"/>
          <w:szCs w:val="21"/>
          <w:lang w:val="en-US" w:eastAsia="zh-CN"/>
        </w:rPr>
        <w:t>性</w:t>
      </w:r>
      <w:r>
        <w:rPr>
          <w:rFonts w:hint="eastAsia" w:ascii="等线" w:hAnsi="等线"/>
          <w:szCs w:val="21"/>
        </w:rPr>
        <w:t>的要求</w:t>
      </w:r>
    </w:p>
    <w:p w14:paraId="598A3BC9">
      <w:pPr>
        <w:pStyle w:val="15"/>
        <w:spacing w:line="360" w:lineRule="auto"/>
        <w:ind w:firstLine="482"/>
        <w:rPr>
          <w:rFonts w:hint="eastAsia" w:ascii="Times New Roman"/>
          <w:color w:val="auto"/>
          <w:kern w:val="2"/>
          <w:sz w:val="24"/>
          <w:szCs w:val="24"/>
          <w:lang w:val="en-US" w:eastAsia="zh-CN"/>
        </w:rPr>
      </w:pPr>
      <w:r>
        <w:rPr>
          <w:rFonts w:hint="eastAsia" w:ascii="黑体" w:hAnsi="黑体" w:eastAsia="黑体" w:cs="Times New Roman"/>
          <w:bCs/>
          <w:kern w:val="2"/>
          <w:szCs w:val="21"/>
        </w:rPr>
        <w:t xml:space="preserve"> </w:t>
      </w:r>
      <w:r>
        <w:rPr>
          <w:rFonts w:hint="eastAsia" w:ascii="Times New Roman"/>
          <w:color w:val="auto"/>
          <w:kern w:val="2"/>
          <w:sz w:val="24"/>
          <w:szCs w:val="24"/>
          <w:lang w:val="en-US" w:eastAsia="zh-CN"/>
        </w:rPr>
        <w:t>硝酸、硫酸混合酸溶解性要求：产品硝硫混酸溶解后应澄清，无目视可见不溶物。</w:t>
      </w:r>
    </w:p>
    <w:p w14:paraId="7DE9BA47">
      <w:pPr>
        <w:pStyle w:val="15"/>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溶解试验：称取0.2g样品，量取10ML硝酸，5ML硫酸酸，于烧杯中煮沸至不再冒黄烟，溶液应澄清，无目视可见不溶物。</w:t>
      </w:r>
    </w:p>
    <w:p w14:paraId="27CAD45B">
      <w:pPr>
        <w:pStyle w:val="15"/>
        <w:spacing w:line="360" w:lineRule="auto"/>
        <w:ind w:firstLine="482"/>
        <w:rPr>
          <w:rFonts w:hint="eastAsia" w:ascii="Times New Roman"/>
          <w:color w:val="auto"/>
          <w:kern w:val="2"/>
          <w:sz w:val="24"/>
          <w:szCs w:val="24"/>
          <w:lang w:val="en-US" w:eastAsia="zh-CN"/>
        </w:rPr>
      </w:pPr>
    </w:p>
    <w:p w14:paraId="7C1A9532">
      <w:pPr>
        <w:pStyle w:val="15"/>
        <w:spacing w:line="360" w:lineRule="auto"/>
        <w:ind w:firstLine="482"/>
        <w:rPr>
          <w:rFonts w:hint="eastAsia" w:ascii="Times New Roman"/>
          <w:color w:val="auto"/>
          <w:kern w:val="2"/>
          <w:sz w:val="24"/>
          <w:szCs w:val="24"/>
          <w:lang w:val="en-US" w:eastAsia="zh-CN"/>
        </w:rPr>
      </w:pPr>
      <w:r>
        <w:rPr>
          <w:rFonts w:hint="eastAsia" w:ascii="Times New Roman"/>
          <w:b/>
          <w:bCs/>
          <w:color w:val="auto"/>
          <w:kern w:val="2"/>
          <w:sz w:val="24"/>
          <w:szCs w:val="24"/>
          <w:lang w:val="en-US" w:eastAsia="zh-CN"/>
        </w:rPr>
        <w:t>修订依据</w:t>
      </w:r>
      <w:r>
        <w:rPr>
          <w:rFonts w:hint="eastAsia" w:ascii="Times New Roman"/>
          <w:color w:val="auto"/>
          <w:kern w:val="2"/>
          <w:sz w:val="24"/>
          <w:szCs w:val="24"/>
          <w:lang w:val="en-US" w:eastAsia="zh-CN"/>
        </w:rPr>
        <w:t>：由于硝硫混酸的强氧化性，三碘化铑加入硝硫混酸后，破坏了碘-铑结合键，碘离子被氧化成为碘单质，混酸中的硝酸分解为NOx气体，碘单质升华和NOx化物加热时挥发，溶解完成后变成了硫酸铑溶液，硫酸铑溶液应是清亮的，肉眼不应看到有不溶物。若碘化铑品质不佳，硝硫混酸很难溶解完全，会有沉淀。故硝硫混酸溶解三碘化铑后的溶液有没有不溶物，可以定性的判断三碘化铑产品质量好坏。</w:t>
      </w:r>
    </w:p>
    <w:p w14:paraId="211ABB93">
      <w:pPr>
        <w:pStyle w:val="15"/>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三碘化铑主要用于甲醇羰基化制备醋酸、醋酐的催化剂，用户在用三碘化铑时，将三碘化铑在溶解釜中先溶成溶液，溶完后配成需要的浓度加入醋酸合成塔中，三碘化铑用硝硫混酸都难溶的话，把三碘化铑置于甲醇、醋酸中通CO溶解就更困难了，三碘化铑的溶解性好坏直接影响到催化剂参与反应的有效浓度，对醋酸的产率影响较大，直接影响到用户的经济效益。</w:t>
      </w:r>
    </w:p>
    <w:p w14:paraId="732AF31A">
      <w:pPr>
        <w:pStyle w:val="15"/>
        <w:spacing w:line="360" w:lineRule="auto"/>
        <w:ind w:firstLine="482"/>
        <w:rPr>
          <w:rFonts w:hint="default" w:ascii="Times New Roman"/>
          <w:color w:val="auto"/>
          <w:kern w:val="2"/>
          <w:sz w:val="24"/>
          <w:szCs w:val="24"/>
          <w:lang w:val="en-US" w:eastAsia="zh-CN"/>
        </w:rPr>
      </w:pPr>
      <w:r>
        <w:rPr>
          <w:rFonts w:hint="eastAsia" w:ascii="Times New Roman"/>
          <w:color w:val="auto"/>
          <w:kern w:val="2"/>
          <w:sz w:val="24"/>
          <w:szCs w:val="24"/>
          <w:lang w:val="en-US" w:eastAsia="zh-CN"/>
        </w:rPr>
        <w:t xml:space="preserve"> 本次修订增加了硝硫混酸溶解性，该指标也是定性判断三碘化铑质量好坏的重要指标，这是多年生产和客户使用反馈中得出的经验教训，故在此次修订标准之际增加了硝硫混酸溶解性指标。</w:t>
      </w:r>
    </w:p>
    <w:p w14:paraId="5A8F09E0">
      <w:pPr>
        <w:pStyle w:val="15"/>
        <w:spacing w:line="360" w:lineRule="auto"/>
        <w:ind w:firstLine="482"/>
        <w:rPr>
          <w:rFonts w:hint="eastAsia" w:ascii="Times New Roman"/>
          <w:color w:val="auto"/>
          <w:kern w:val="2"/>
          <w:sz w:val="24"/>
          <w:szCs w:val="24"/>
          <w:lang w:val="en-US" w:eastAsia="zh-CN"/>
        </w:rPr>
      </w:pPr>
    </w:p>
    <w:p w14:paraId="6A2307F9">
      <w:pPr>
        <w:pStyle w:val="15"/>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1.3更改了铑质量分数检测方法</w:t>
      </w:r>
    </w:p>
    <w:p w14:paraId="69923F6A">
      <w:pPr>
        <w:pStyle w:val="15"/>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铑质量分数的测定方法由YS/T 561《 贵金属合金化学分析方法 铂铑合金中铑量的测定》更改为GB/T 34609.1 《铑化合物化学分析方法  第1部分：铑量的测定 硝酸六氨合钴重量法》（见6.1.1，2013年版的4.1）；</w:t>
      </w:r>
    </w:p>
    <w:p w14:paraId="1DBADA4C">
      <w:pPr>
        <w:pStyle w:val="15"/>
        <w:spacing w:line="360" w:lineRule="auto"/>
        <w:ind w:firstLine="482"/>
        <w:rPr>
          <w:rFonts w:hint="eastAsia" w:ascii="Times New Roman"/>
          <w:color w:val="auto"/>
          <w:kern w:val="2"/>
          <w:sz w:val="24"/>
          <w:szCs w:val="24"/>
          <w:lang w:val="en-US" w:eastAsia="zh-CN"/>
        </w:rPr>
      </w:pPr>
      <w:r>
        <w:rPr>
          <w:rFonts w:hint="eastAsia" w:ascii="Times New Roman"/>
          <w:b/>
          <w:bCs/>
          <w:color w:val="auto"/>
          <w:kern w:val="2"/>
          <w:sz w:val="24"/>
          <w:szCs w:val="24"/>
          <w:lang w:val="en-US" w:eastAsia="zh-CN"/>
        </w:rPr>
        <w:t>修订依据</w:t>
      </w:r>
      <w:r>
        <w:rPr>
          <w:rFonts w:hint="eastAsia" w:ascii="Times New Roman"/>
          <w:color w:val="auto"/>
          <w:kern w:val="2"/>
          <w:sz w:val="24"/>
          <w:szCs w:val="24"/>
          <w:lang w:val="en-US" w:eastAsia="zh-CN"/>
        </w:rPr>
        <w:t>：YS/T 561《 贵金属合金化学分析方法 铂铑合金中铑量的测定》主要针对的铂铑合金中铑的分析方法，而三碘化铑作为化合物，分析处理方法和合金有差异，随着分析技术的进步，也出现了针对三碘化铑等铑化合物铑质量分数测定的方法，故本次修订时将三碘化铑中铑质量分数的测定方法更改为GB/T 34609.1 《铑化合物化学分析方法  第1部分：铑量的测定 硝酸六氨合钴重量法》。</w:t>
      </w:r>
    </w:p>
    <w:p w14:paraId="33C91CBB">
      <w:pPr>
        <w:pStyle w:val="15"/>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1.5更改了杂质元素质量分数检测方法。</w:t>
      </w:r>
    </w:p>
    <w:p w14:paraId="248FE483">
      <w:pPr>
        <w:pStyle w:val="15"/>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三碘化铑产品杂质元素质量分数的测定由GB/T 1421 《铑粉》更改为GB/T34609.2《铑化合物化学分析方法  第2部分：银、金、铂、钯、、铱、钌、铅、镍、铜、铁、锡、锌、镁、锰、铝、钙、钠、钾、铬、硅含量的测定 电感耦合等离子体发射光谱法》</w:t>
      </w:r>
    </w:p>
    <w:p w14:paraId="6D2FA208">
      <w:pPr>
        <w:pStyle w:val="15"/>
        <w:spacing w:line="360" w:lineRule="auto"/>
        <w:ind w:firstLine="482"/>
        <w:rPr>
          <w:rFonts w:hint="eastAsia" w:ascii="Times New Roman"/>
          <w:color w:val="auto"/>
          <w:kern w:val="2"/>
          <w:sz w:val="24"/>
          <w:szCs w:val="24"/>
          <w:lang w:val="en-US" w:eastAsia="zh-CN"/>
        </w:rPr>
      </w:pPr>
      <w:r>
        <w:rPr>
          <w:rFonts w:hint="eastAsia" w:ascii="Times New Roman"/>
          <w:b/>
          <w:bCs/>
          <w:color w:val="auto"/>
          <w:kern w:val="2"/>
          <w:sz w:val="24"/>
          <w:szCs w:val="24"/>
          <w:lang w:val="en-US" w:eastAsia="zh-CN"/>
        </w:rPr>
        <w:t>修订依据</w:t>
      </w:r>
      <w:r>
        <w:rPr>
          <w:rFonts w:hint="eastAsia" w:ascii="Times New Roman"/>
          <w:color w:val="auto"/>
          <w:kern w:val="2"/>
          <w:sz w:val="24"/>
          <w:szCs w:val="24"/>
          <w:lang w:val="en-US" w:eastAsia="zh-CN"/>
        </w:rPr>
        <w:t>：三碘化铑和铑粉不属于一类物质，处理分析有差异，随着分析技术的进步，分析经验的丰富，检测人员提出针对性更强的分析方法，方法安全可靠，操作简便，快速准确，适用性高，故本次修订时将三碘化铑杂质质量分数测定的方法进行了修订。</w:t>
      </w:r>
    </w:p>
    <w:p w14:paraId="63B43E56">
      <w:pPr>
        <w:pStyle w:val="15"/>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1.6修改了检查和验收要求</w:t>
      </w:r>
    </w:p>
    <w:p w14:paraId="0CFB6A2A">
      <w:pPr>
        <w:pStyle w:val="15"/>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增加了“如检验结果与本文件及订货单的规定不符时，应以书面形式向供方提出，由供需双方协商解决。属于对外观质量的异议，应在收到产品之日起3日内提出；属于化学成分和溶解性能的异议，应在收到产品之日起15日内提出”（见7.1.2）</w:t>
      </w:r>
    </w:p>
    <w:p w14:paraId="2EB21777">
      <w:pPr>
        <w:pStyle w:val="15"/>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 xml:space="preserve">修订依据：原标准中仅规定了“复验结果与本标准的规定不符时，应在收到产品之日起的1个月向供方提出，由供需双方协商解决。如需仲裁，取样应由供需双方共同进行”。验收规则中供需双方的职责定义比较模糊，修订为，“如检验结果与本文件及订货单的规定不符时，应以书面形式向供方提出，由供需双方协商解决。属于对外观质量的异议，应在收到产品之日起3日内提出；属于化学成分和溶解性能的异议，应在收到产品之日起15日内提出。如需仲裁，取样应由供需双方在需方共同取样或协商确定”修订后，检验规则更加规范，避免了后续验收环节带来不必要的纠纷。 </w:t>
      </w:r>
    </w:p>
    <w:p w14:paraId="19868C88">
      <w:pPr>
        <w:pStyle w:val="15"/>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1.7增加了检测结果取值按GB/T 8170 数值修约规则与极限数值的表示和判定的引用（见7.5.1）；</w:t>
      </w:r>
    </w:p>
    <w:p w14:paraId="2BE74818">
      <w:pPr>
        <w:pStyle w:val="15"/>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编制依据：该规范文件对数值修约规则与极限数值的表示和判定进行规范，参考引用国标文件，使得本文件更加规范。</w:t>
      </w:r>
    </w:p>
    <w:p w14:paraId="0CAD2C33">
      <w:pPr>
        <w:pStyle w:val="15"/>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1.8更改了标志，分为了产品标志和包装标志（见8.1，2013版的6.1）；</w:t>
      </w:r>
    </w:p>
    <w:p w14:paraId="75B7271E">
      <w:pPr>
        <w:pStyle w:val="15"/>
        <w:spacing w:line="360" w:lineRule="auto"/>
        <w:ind w:firstLine="482"/>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编制依据：根据最新的标准化工作导则编写要求，提高标准的规范性。</w:t>
      </w:r>
    </w:p>
    <w:p w14:paraId="1F3F6C08">
      <w:pPr>
        <w:pStyle w:val="4"/>
        <w:ind w:firstLine="0"/>
        <w:rPr>
          <w:color w:val="auto"/>
        </w:rPr>
      </w:pPr>
    </w:p>
    <w:bookmarkEnd w:id="5"/>
    <w:p w14:paraId="4D0BC680">
      <w:pPr>
        <w:spacing w:line="360" w:lineRule="auto"/>
        <w:rPr>
          <w:rFonts w:ascii="宋体" w:hAnsi="宋体"/>
          <w:b/>
          <w:color w:val="auto"/>
          <w:sz w:val="24"/>
        </w:rPr>
      </w:pPr>
      <w:bookmarkStart w:id="6" w:name="_Hlk97729905"/>
      <w:r>
        <w:rPr>
          <w:rFonts w:ascii="宋体" w:hAnsi="宋体"/>
          <w:b/>
          <w:color w:val="auto"/>
          <w:sz w:val="24"/>
        </w:rPr>
        <w:t>2</w:t>
      </w:r>
      <w:r>
        <w:rPr>
          <w:rFonts w:hint="eastAsia" w:ascii="宋体" w:hAnsi="宋体"/>
          <w:b/>
          <w:color w:val="auto"/>
          <w:sz w:val="24"/>
        </w:rPr>
        <w:t>.</w:t>
      </w:r>
      <w:r>
        <w:rPr>
          <w:rFonts w:hint="eastAsia"/>
          <w:b/>
          <w:color w:val="auto"/>
          <w:sz w:val="24"/>
        </w:rPr>
        <w:t xml:space="preserve"> 标准主要试验和验证情况</w:t>
      </w:r>
      <w:bookmarkEnd w:id="6"/>
    </w:p>
    <w:p w14:paraId="3A3BA3A2">
      <w:pPr>
        <w:spacing w:line="360" w:lineRule="auto"/>
        <w:ind w:firstLine="480" w:firstLineChars="200"/>
        <w:rPr>
          <w:rFonts w:ascii="宋体" w:hAnsi="宋体"/>
          <w:b/>
          <w:color w:val="auto"/>
          <w:sz w:val="24"/>
        </w:rPr>
      </w:pPr>
      <w:r>
        <w:rPr>
          <w:rFonts w:hint="eastAsia"/>
          <w:color w:val="auto"/>
          <w:sz w:val="24"/>
        </w:rPr>
        <w:t>根据调研情况及样品检测，市场上不同生产厂家生产的</w:t>
      </w:r>
      <w:r>
        <w:rPr>
          <w:rFonts w:hint="eastAsia"/>
          <w:color w:val="auto"/>
          <w:sz w:val="24"/>
          <w:lang w:eastAsia="zh-CN"/>
        </w:rPr>
        <w:t>三碘化铑</w:t>
      </w:r>
      <w:r>
        <w:rPr>
          <w:rFonts w:hint="eastAsia"/>
          <w:color w:val="auto"/>
          <w:sz w:val="24"/>
        </w:rPr>
        <w:t>技术指标检测结果见表四。</w:t>
      </w:r>
    </w:p>
    <w:p w14:paraId="497E54C8">
      <w:pPr>
        <w:pStyle w:val="14"/>
        <w:spacing w:line="360" w:lineRule="auto"/>
        <w:ind w:left="420" w:firstLine="2400" w:firstLineChars="1200"/>
        <w:rPr>
          <w:rFonts w:eastAsia="PMingLiU"/>
          <w:color w:val="auto"/>
          <w:kern w:val="0"/>
          <w:sz w:val="20"/>
          <w:lang w:eastAsia="zh-TW"/>
        </w:rPr>
      </w:pPr>
      <w:r>
        <w:rPr>
          <w:rFonts w:hint="eastAsia" w:eastAsia="PMingLiU"/>
          <w:color w:val="auto"/>
          <w:kern w:val="0"/>
          <w:sz w:val="20"/>
          <w:lang w:eastAsia="zh-TW"/>
        </w:rPr>
        <w:t>表</w:t>
      </w:r>
      <w:r>
        <w:rPr>
          <w:rFonts w:hint="eastAsia" w:asciiTheme="minorEastAsia" w:hAnsiTheme="minorEastAsia" w:eastAsiaTheme="minorEastAsia"/>
          <w:color w:val="auto"/>
          <w:kern w:val="0"/>
          <w:sz w:val="20"/>
        </w:rPr>
        <w:t xml:space="preserve">四 </w:t>
      </w:r>
      <w:r>
        <w:rPr>
          <w:rFonts w:hint="eastAsia" w:eastAsia="PMingLiU"/>
          <w:color w:val="auto"/>
          <w:kern w:val="0"/>
          <w:sz w:val="20"/>
          <w:lang w:eastAsia="zh-TW"/>
        </w:rPr>
        <w:t>不同生产厂家指标检验结果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2348"/>
        <w:gridCol w:w="2552"/>
        <w:gridCol w:w="2268"/>
      </w:tblGrid>
      <w:tr w14:paraId="1041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restart"/>
            <w:vAlign w:val="center"/>
          </w:tcPr>
          <w:p w14:paraId="23CAEAB7">
            <w:pPr>
              <w:jc w:val="center"/>
              <w:rPr>
                <w:rFonts w:ascii="Calibri" w:hAnsi="Calibri" w:eastAsiaTheme="minorEastAsia"/>
                <w:color w:val="auto"/>
                <w:kern w:val="0"/>
                <w:sz w:val="20"/>
              </w:rPr>
            </w:pPr>
          </w:p>
          <w:p w14:paraId="54872DD6">
            <w:pPr>
              <w:jc w:val="center"/>
              <w:rPr>
                <w:rFonts w:ascii="宋体" w:hAnsi="宋体"/>
                <w:color w:val="auto"/>
                <w:kern w:val="0"/>
                <w:sz w:val="24"/>
              </w:rPr>
            </w:pPr>
            <w:r>
              <w:rPr>
                <w:rFonts w:hint="eastAsia" w:ascii="Calibri" w:hAnsi="Calibri" w:eastAsia="PMingLiU"/>
                <w:color w:val="auto"/>
                <w:kern w:val="0"/>
                <w:sz w:val="20"/>
                <w:lang w:eastAsia="zh-TW"/>
              </w:rPr>
              <w:t>指标项目</w:t>
            </w:r>
          </w:p>
        </w:tc>
        <w:tc>
          <w:tcPr>
            <w:tcW w:w="7168" w:type="dxa"/>
            <w:gridSpan w:val="3"/>
            <w:vAlign w:val="center"/>
          </w:tcPr>
          <w:p w14:paraId="65A73A05">
            <w:pPr>
              <w:spacing w:line="360" w:lineRule="auto"/>
              <w:jc w:val="center"/>
              <w:rPr>
                <w:rFonts w:ascii="宋体" w:hAnsi="宋体" w:eastAsiaTheme="minorEastAsia"/>
                <w:color w:val="auto"/>
                <w:kern w:val="0"/>
                <w:sz w:val="24"/>
              </w:rPr>
            </w:pPr>
            <w:r>
              <w:rPr>
                <w:rFonts w:hint="eastAsia" w:asciiTheme="minorEastAsia" w:hAnsiTheme="minorEastAsia" w:eastAsiaTheme="minorEastAsia"/>
                <w:color w:val="auto"/>
                <w:kern w:val="0"/>
                <w:sz w:val="20"/>
              </w:rPr>
              <w:t>检验结果</w:t>
            </w:r>
          </w:p>
        </w:tc>
      </w:tr>
      <w:tr w14:paraId="5BD0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vAlign w:val="center"/>
          </w:tcPr>
          <w:p w14:paraId="63CD8AD2">
            <w:pPr>
              <w:jc w:val="center"/>
              <w:rPr>
                <w:rFonts w:ascii="Calibri" w:hAnsi="Calibri" w:eastAsia="PMingLiU"/>
                <w:color w:val="auto"/>
                <w:kern w:val="0"/>
                <w:sz w:val="20"/>
                <w:lang w:eastAsia="zh-TW"/>
              </w:rPr>
            </w:pPr>
          </w:p>
        </w:tc>
        <w:tc>
          <w:tcPr>
            <w:tcW w:w="2348" w:type="dxa"/>
            <w:vAlign w:val="center"/>
          </w:tcPr>
          <w:p w14:paraId="097CF675">
            <w:pPr>
              <w:jc w:val="center"/>
              <w:rPr>
                <w:rFonts w:ascii="Calibri" w:hAnsi="Calibri"/>
                <w:color w:val="auto"/>
                <w:kern w:val="0"/>
                <w:sz w:val="20"/>
              </w:rPr>
            </w:pPr>
            <w:r>
              <w:rPr>
                <w:rFonts w:hint="eastAsia" w:asciiTheme="minorEastAsia" w:hAnsiTheme="minorEastAsia" w:eastAsiaTheme="minorEastAsia"/>
                <w:color w:val="auto"/>
                <w:kern w:val="0"/>
                <w:sz w:val="20"/>
              </w:rPr>
              <w:t>A厂家</w:t>
            </w:r>
          </w:p>
        </w:tc>
        <w:tc>
          <w:tcPr>
            <w:tcW w:w="2552" w:type="dxa"/>
            <w:vAlign w:val="center"/>
          </w:tcPr>
          <w:p w14:paraId="7DDBE5B4">
            <w:pPr>
              <w:jc w:val="center"/>
              <w:rPr>
                <w:rFonts w:ascii="Calibri" w:hAnsi="Calibri"/>
                <w:color w:val="auto"/>
                <w:kern w:val="0"/>
                <w:sz w:val="20"/>
              </w:rPr>
            </w:pPr>
            <w:r>
              <w:rPr>
                <w:rFonts w:hint="eastAsia" w:asciiTheme="minorEastAsia" w:hAnsiTheme="minorEastAsia" w:eastAsiaTheme="minorEastAsia"/>
                <w:color w:val="auto"/>
                <w:kern w:val="0"/>
                <w:sz w:val="20"/>
              </w:rPr>
              <w:t>B厂家</w:t>
            </w:r>
          </w:p>
        </w:tc>
        <w:tc>
          <w:tcPr>
            <w:tcW w:w="2268" w:type="dxa"/>
            <w:vAlign w:val="center"/>
          </w:tcPr>
          <w:p w14:paraId="70335035">
            <w:pPr>
              <w:spacing w:line="36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C厂家</w:t>
            </w:r>
          </w:p>
        </w:tc>
      </w:tr>
      <w:tr w14:paraId="4E80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14:paraId="355B53B0">
            <w:pPr>
              <w:jc w:val="center"/>
              <w:rPr>
                <w:rFonts w:hint="eastAsia" w:ascii="Calibri" w:hAnsi="Calibri"/>
                <w:color w:val="auto"/>
                <w:kern w:val="0"/>
                <w:sz w:val="18"/>
                <w:szCs w:val="18"/>
              </w:rPr>
            </w:pPr>
            <w:r>
              <w:rPr>
                <w:rFonts w:hint="eastAsia" w:ascii="Calibri" w:hAnsi="Calibri"/>
                <w:color w:val="auto"/>
                <w:kern w:val="0"/>
                <w:sz w:val="18"/>
                <w:szCs w:val="18"/>
              </w:rPr>
              <w:t>Rh</w:t>
            </w:r>
          </w:p>
        </w:tc>
        <w:tc>
          <w:tcPr>
            <w:tcW w:w="2348" w:type="dxa"/>
            <w:vAlign w:val="center"/>
          </w:tcPr>
          <w:p w14:paraId="135C27C6">
            <w:pPr>
              <w:jc w:val="center"/>
              <w:rPr>
                <w:rFonts w:ascii="Calibri" w:hAnsi="Calibri"/>
                <w:color w:val="auto"/>
                <w:kern w:val="0"/>
                <w:sz w:val="18"/>
                <w:szCs w:val="18"/>
              </w:rPr>
            </w:pPr>
            <w:r>
              <w:rPr>
                <w:rFonts w:hint="eastAsia" w:ascii="Calibri" w:hAnsi="Calibri"/>
                <w:color w:val="auto"/>
                <w:kern w:val="0"/>
                <w:sz w:val="18"/>
                <w:szCs w:val="18"/>
                <w:lang w:val="en-US" w:eastAsia="zh-CN"/>
              </w:rPr>
              <w:t>18.7</w:t>
            </w:r>
            <w:r>
              <w:rPr>
                <w:rFonts w:hint="eastAsia" w:ascii="Calibri" w:hAnsi="Calibri"/>
                <w:color w:val="auto"/>
                <w:kern w:val="0"/>
                <w:sz w:val="18"/>
                <w:szCs w:val="18"/>
              </w:rPr>
              <w:t>%</w:t>
            </w:r>
          </w:p>
          <w:p w14:paraId="527C1AE4">
            <w:pPr>
              <w:jc w:val="center"/>
              <w:rPr>
                <w:rFonts w:hint="eastAsia" w:ascii="Calibri" w:hAnsi="Calibri"/>
                <w:color w:val="auto"/>
                <w:kern w:val="0"/>
                <w:sz w:val="18"/>
                <w:szCs w:val="18"/>
              </w:rPr>
            </w:pPr>
            <w:r>
              <w:rPr>
                <w:rFonts w:hint="eastAsia" w:ascii="Calibri" w:hAnsi="Calibri"/>
                <w:color w:val="auto"/>
                <w:kern w:val="0"/>
                <w:sz w:val="18"/>
                <w:szCs w:val="18"/>
              </w:rPr>
              <w:t>Wt%</w:t>
            </w:r>
          </w:p>
        </w:tc>
        <w:tc>
          <w:tcPr>
            <w:tcW w:w="2552" w:type="dxa"/>
            <w:vAlign w:val="center"/>
          </w:tcPr>
          <w:p w14:paraId="3719AC5E">
            <w:pPr>
              <w:jc w:val="center"/>
              <w:rPr>
                <w:rFonts w:ascii="Calibri" w:hAnsi="Calibri"/>
                <w:color w:val="auto"/>
                <w:kern w:val="0"/>
                <w:sz w:val="18"/>
                <w:szCs w:val="18"/>
              </w:rPr>
            </w:pPr>
            <w:r>
              <w:rPr>
                <w:rFonts w:hint="eastAsia" w:ascii="Calibri" w:hAnsi="Calibri"/>
                <w:color w:val="auto"/>
                <w:kern w:val="0"/>
                <w:sz w:val="18"/>
                <w:szCs w:val="18"/>
                <w:lang w:val="en-US" w:eastAsia="zh-CN"/>
              </w:rPr>
              <w:t>19.8</w:t>
            </w:r>
            <w:r>
              <w:rPr>
                <w:rFonts w:hint="eastAsia" w:ascii="Calibri" w:hAnsi="Calibri"/>
                <w:color w:val="auto"/>
                <w:kern w:val="0"/>
                <w:sz w:val="18"/>
                <w:szCs w:val="18"/>
              </w:rPr>
              <w:t>%</w:t>
            </w:r>
          </w:p>
          <w:p w14:paraId="0BFB228D">
            <w:pPr>
              <w:jc w:val="center"/>
              <w:rPr>
                <w:rFonts w:hint="eastAsia" w:ascii="Calibri" w:hAnsi="Calibri"/>
                <w:color w:val="auto"/>
                <w:kern w:val="0"/>
                <w:sz w:val="18"/>
                <w:szCs w:val="18"/>
              </w:rPr>
            </w:pPr>
            <w:r>
              <w:rPr>
                <w:rFonts w:hint="eastAsia" w:ascii="Calibri" w:hAnsi="Calibri"/>
                <w:color w:val="auto"/>
                <w:kern w:val="0"/>
                <w:sz w:val="18"/>
                <w:szCs w:val="18"/>
              </w:rPr>
              <w:t>Wt%</w:t>
            </w:r>
          </w:p>
        </w:tc>
        <w:tc>
          <w:tcPr>
            <w:tcW w:w="2268" w:type="dxa"/>
            <w:vAlign w:val="center"/>
          </w:tcPr>
          <w:p w14:paraId="7034F1DB">
            <w:pPr>
              <w:jc w:val="center"/>
              <w:rPr>
                <w:rFonts w:ascii="Calibri" w:hAnsi="Calibri"/>
                <w:color w:val="auto"/>
                <w:kern w:val="0"/>
                <w:sz w:val="18"/>
                <w:szCs w:val="18"/>
              </w:rPr>
            </w:pPr>
            <w:r>
              <w:rPr>
                <w:rFonts w:hint="eastAsia" w:ascii="Calibri" w:hAnsi="Calibri"/>
                <w:color w:val="auto"/>
                <w:kern w:val="0"/>
                <w:sz w:val="18"/>
                <w:szCs w:val="18"/>
                <w:lang w:val="en-US" w:eastAsia="zh-CN"/>
              </w:rPr>
              <w:t>21.2</w:t>
            </w:r>
            <w:r>
              <w:rPr>
                <w:rFonts w:hint="eastAsia" w:ascii="Calibri" w:hAnsi="Calibri"/>
                <w:color w:val="auto"/>
                <w:kern w:val="0"/>
                <w:sz w:val="18"/>
                <w:szCs w:val="18"/>
              </w:rPr>
              <w:t>%</w:t>
            </w:r>
          </w:p>
          <w:p w14:paraId="7C9033C0">
            <w:pPr>
              <w:jc w:val="center"/>
              <w:rPr>
                <w:rFonts w:hint="eastAsia" w:ascii="Calibri" w:hAnsi="Calibri"/>
                <w:color w:val="auto"/>
                <w:kern w:val="0"/>
                <w:sz w:val="18"/>
                <w:szCs w:val="18"/>
              </w:rPr>
            </w:pPr>
            <w:r>
              <w:rPr>
                <w:rFonts w:hint="eastAsia" w:ascii="Calibri" w:hAnsi="Calibri"/>
                <w:color w:val="auto"/>
                <w:kern w:val="0"/>
                <w:sz w:val="18"/>
                <w:szCs w:val="18"/>
              </w:rPr>
              <w:t>Wt%</w:t>
            </w:r>
          </w:p>
        </w:tc>
      </w:tr>
      <w:tr w14:paraId="2D66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14:paraId="2A2B4D23">
            <w:pPr>
              <w:jc w:val="center"/>
              <w:rPr>
                <w:rFonts w:ascii="Calibri" w:hAnsi="Calibri"/>
                <w:color w:val="auto"/>
                <w:kern w:val="0"/>
                <w:sz w:val="18"/>
                <w:szCs w:val="18"/>
              </w:rPr>
            </w:pPr>
            <w:r>
              <w:rPr>
                <w:rFonts w:hint="eastAsia" w:ascii="Calibri" w:hAnsi="Calibri"/>
                <w:color w:val="auto"/>
                <w:kern w:val="0"/>
                <w:sz w:val="18"/>
                <w:szCs w:val="18"/>
              </w:rPr>
              <w:t>Pt</w:t>
            </w:r>
          </w:p>
        </w:tc>
        <w:tc>
          <w:tcPr>
            <w:tcW w:w="2348" w:type="dxa"/>
            <w:vAlign w:val="center"/>
          </w:tcPr>
          <w:p w14:paraId="46896D78">
            <w:pPr>
              <w:jc w:val="center"/>
              <w:rPr>
                <w:rFonts w:ascii="Calibri" w:hAnsi="Calibri"/>
                <w:color w:val="auto"/>
                <w:kern w:val="0"/>
                <w:sz w:val="18"/>
                <w:szCs w:val="18"/>
              </w:rPr>
            </w:pPr>
            <w:r>
              <w:rPr>
                <w:rFonts w:hint="eastAsia" w:ascii="Calibri" w:hAnsi="Calibri"/>
                <w:color w:val="auto"/>
                <w:kern w:val="0"/>
                <w:sz w:val="18"/>
                <w:szCs w:val="18"/>
              </w:rPr>
              <w:t>&lt;0.005%</w:t>
            </w:r>
          </w:p>
          <w:p w14:paraId="5CF99881">
            <w:pPr>
              <w:jc w:val="center"/>
              <w:rPr>
                <w:rFonts w:ascii="Calibri" w:hAnsi="Calibri"/>
                <w:color w:val="auto"/>
                <w:kern w:val="0"/>
                <w:sz w:val="18"/>
                <w:szCs w:val="18"/>
              </w:rPr>
            </w:pPr>
            <w:r>
              <w:rPr>
                <w:rFonts w:hint="eastAsia" w:ascii="Calibri" w:hAnsi="Calibri"/>
                <w:color w:val="auto"/>
                <w:kern w:val="0"/>
                <w:sz w:val="18"/>
                <w:szCs w:val="18"/>
              </w:rPr>
              <w:t>Wt%</w:t>
            </w:r>
          </w:p>
        </w:tc>
        <w:tc>
          <w:tcPr>
            <w:tcW w:w="2552" w:type="dxa"/>
            <w:vAlign w:val="center"/>
          </w:tcPr>
          <w:p w14:paraId="4B5F2566">
            <w:pPr>
              <w:jc w:val="center"/>
              <w:rPr>
                <w:rFonts w:ascii="Calibri" w:hAnsi="Calibri"/>
                <w:color w:val="auto"/>
                <w:kern w:val="0"/>
                <w:sz w:val="18"/>
                <w:szCs w:val="18"/>
              </w:rPr>
            </w:pPr>
            <w:r>
              <w:rPr>
                <w:rFonts w:hint="eastAsia" w:ascii="Calibri" w:hAnsi="Calibri"/>
                <w:color w:val="auto"/>
                <w:kern w:val="0"/>
                <w:sz w:val="18"/>
                <w:szCs w:val="18"/>
              </w:rPr>
              <w:t>&lt;0.005%</w:t>
            </w:r>
          </w:p>
          <w:p w14:paraId="447BFBBC">
            <w:pPr>
              <w:jc w:val="center"/>
              <w:rPr>
                <w:rFonts w:ascii="Calibri" w:hAnsi="Calibri"/>
                <w:color w:val="auto"/>
                <w:kern w:val="0"/>
                <w:sz w:val="18"/>
                <w:szCs w:val="18"/>
              </w:rPr>
            </w:pPr>
            <w:r>
              <w:rPr>
                <w:rFonts w:hint="eastAsia" w:ascii="Calibri" w:hAnsi="Calibri"/>
                <w:color w:val="auto"/>
                <w:kern w:val="0"/>
                <w:sz w:val="18"/>
                <w:szCs w:val="18"/>
              </w:rPr>
              <w:t>Wt%</w:t>
            </w:r>
          </w:p>
        </w:tc>
        <w:tc>
          <w:tcPr>
            <w:tcW w:w="2268" w:type="dxa"/>
            <w:vAlign w:val="center"/>
          </w:tcPr>
          <w:p w14:paraId="2C8FA35B">
            <w:pPr>
              <w:jc w:val="center"/>
              <w:rPr>
                <w:rFonts w:ascii="Calibri" w:hAnsi="Calibri"/>
                <w:color w:val="auto"/>
                <w:kern w:val="0"/>
                <w:sz w:val="18"/>
                <w:szCs w:val="18"/>
              </w:rPr>
            </w:pPr>
            <w:r>
              <w:rPr>
                <w:rFonts w:hint="eastAsia" w:ascii="Calibri" w:hAnsi="Calibri"/>
                <w:color w:val="auto"/>
                <w:kern w:val="0"/>
                <w:sz w:val="18"/>
                <w:szCs w:val="18"/>
              </w:rPr>
              <w:t>&lt;0.005%</w:t>
            </w:r>
          </w:p>
          <w:p w14:paraId="791D6730">
            <w:pPr>
              <w:jc w:val="center"/>
              <w:rPr>
                <w:rFonts w:ascii="Calibri" w:hAnsi="Calibri"/>
                <w:color w:val="auto"/>
                <w:kern w:val="0"/>
                <w:sz w:val="18"/>
                <w:szCs w:val="18"/>
              </w:rPr>
            </w:pPr>
            <w:r>
              <w:rPr>
                <w:rFonts w:hint="eastAsia" w:ascii="Calibri" w:hAnsi="Calibri"/>
                <w:color w:val="auto"/>
                <w:kern w:val="0"/>
                <w:sz w:val="18"/>
                <w:szCs w:val="18"/>
              </w:rPr>
              <w:t>Wt%</w:t>
            </w:r>
          </w:p>
        </w:tc>
      </w:tr>
      <w:tr w14:paraId="14F9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14:paraId="1E217AA3">
            <w:pPr>
              <w:jc w:val="center"/>
              <w:rPr>
                <w:rFonts w:ascii="Calibri" w:hAnsi="Calibri"/>
                <w:color w:val="auto"/>
                <w:kern w:val="0"/>
                <w:sz w:val="18"/>
                <w:szCs w:val="18"/>
              </w:rPr>
            </w:pPr>
            <w:r>
              <w:rPr>
                <w:rFonts w:hint="eastAsia" w:ascii="Calibri" w:hAnsi="Calibri"/>
                <w:color w:val="auto"/>
                <w:kern w:val="0"/>
                <w:sz w:val="18"/>
                <w:szCs w:val="18"/>
              </w:rPr>
              <w:t>Ag</w:t>
            </w:r>
          </w:p>
        </w:tc>
        <w:tc>
          <w:tcPr>
            <w:tcW w:w="2348" w:type="dxa"/>
            <w:vAlign w:val="center"/>
          </w:tcPr>
          <w:p w14:paraId="720D7A30">
            <w:pPr>
              <w:jc w:val="center"/>
              <w:rPr>
                <w:rFonts w:ascii="Calibri" w:hAnsi="Calibri"/>
                <w:color w:val="auto"/>
                <w:kern w:val="0"/>
                <w:sz w:val="18"/>
                <w:szCs w:val="18"/>
              </w:rPr>
            </w:pPr>
            <w:r>
              <w:rPr>
                <w:rFonts w:hint="eastAsia" w:ascii="Calibri" w:hAnsi="Calibri"/>
                <w:color w:val="auto"/>
                <w:kern w:val="0"/>
                <w:sz w:val="18"/>
                <w:szCs w:val="18"/>
              </w:rPr>
              <w:t>&lt;0.005%</w:t>
            </w:r>
          </w:p>
          <w:p w14:paraId="2DA167CC">
            <w:pPr>
              <w:jc w:val="center"/>
              <w:rPr>
                <w:rFonts w:ascii="Calibri" w:hAnsi="Calibri"/>
                <w:color w:val="auto"/>
                <w:kern w:val="0"/>
                <w:sz w:val="18"/>
                <w:szCs w:val="18"/>
              </w:rPr>
            </w:pPr>
            <w:r>
              <w:rPr>
                <w:rFonts w:hint="eastAsia" w:ascii="Calibri" w:hAnsi="Calibri"/>
                <w:color w:val="auto"/>
                <w:kern w:val="0"/>
                <w:sz w:val="18"/>
                <w:szCs w:val="18"/>
              </w:rPr>
              <w:t>Wt%</w:t>
            </w:r>
          </w:p>
        </w:tc>
        <w:tc>
          <w:tcPr>
            <w:tcW w:w="2552" w:type="dxa"/>
            <w:vAlign w:val="center"/>
          </w:tcPr>
          <w:p w14:paraId="3D3E3B6E">
            <w:pPr>
              <w:jc w:val="center"/>
              <w:rPr>
                <w:rFonts w:ascii="Calibri" w:hAnsi="Calibri"/>
                <w:color w:val="auto"/>
                <w:kern w:val="0"/>
                <w:sz w:val="18"/>
                <w:szCs w:val="18"/>
              </w:rPr>
            </w:pPr>
            <w:r>
              <w:rPr>
                <w:rFonts w:hint="eastAsia" w:ascii="Calibri" w:hAnsi="Calibri"/>
                <w:color w:val="auto"/>
                <w:kern w:val="0"/>
                <w:sz w:val="18"/>
                <w:szCs w:val="18"/>
              </w:rPr>
              <w:t>&lt;0.005%</w:t>
            </w:r>
          </w:p>
          <w:p w14:paraId="3609E894">
            <w:pPr>
              <w:jc w:val="center"/>
              <w:rPr>
                <w:rFonts w:ascii="Calibri" w:hAnsi="Calibri"/>
                <w:color w:val="auto"/>
                <w:kern w:val="0"/>
                <w:sz w:val="18"/>
                <w:szCs w:val="18"/>
              </w:rPr>
            </w:pPr>
            <w:r>
              <w:rPr>
                <w:rFonts w:hint="eastAsia" w:ascii="Calibri" w:hAnsi="Calibri"/>
                <w:color w:val="auto"/>
                <w:kern w:val="0"/>
                <w:sz w:val="18"/>
                <w:szCs w:val="18"/>
              </w:rPr>
              <w:t>Wt%</w:t>
            </w:r>
          </w:p>
        </w:tc>
        <w:tc>
          <w:tcPr>
            <w:tcW w:w="2268" w:type="dxa"/>
            <w:vAlign w:val="center"/>
          </w:tcPr>
          <w:p w14:paraId="04529E6E">
            <w:pPr>
              <w:jc w:val="center"/>
              <w:rPr>
                <w:rFonts w:ascii="Calibri" w:hAnsi="Calibri"/>
                <w:color w:val="auto"/>
                <w:kern w:val="0"/>
                <w:sz w:val="18"/>
                <w:szCs w:val="18"/>
              </w:rPr>
            </w:pPr>
            <w:r>
              <w:rPr>
                <w:rFonts w:hint="eastAsia" w:ascii="Calibri" w:hAnsi="Calibri"/>
                <w:color w:val="auto"/>
                <w:kern w:val="0"/>
                <w:sz w:val="18"/>
                <w:szCs w:val="18"/>
              </w:rPr>
              <w:t>&lt;0.005%</w:t>
            </w:r>
          </w:p>
          <w:p w14:paraId="71D6DE04">
            <w:pPr>
              <w:jc w:val="center"/>
              <w:rPr>
                <w:rFonts w:ascii="Calibri" w:hAnsi="Calibri"/>
                <w:color w:val="auto"/>
                <w:kern w:val="0"/>
                <w:sz w:val="18"/>
                <w:szCs w:val="18"/>
              </w:rPr>
            </w:pPr>
            <w:r>
              <w:rPr>
                <w:rFonts w:hint="eastAsia" w:ascii="Calibri" w:hAnsi="Calibri"/>
                <w:color w:val="auto"/>
                <w:kern w:val="0"/>
                <w:sz w:val="18"/>
                <w:szCs w:val="18"/>
              </w:rPr>
              <w:t>Wt%</w:t>
            </w:r>
          </w:p>
        </w:tc>
      </w:tr>
      <w:tr w14:paraId="2E7C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14:paraId="3E14C1EA">
            <w:pPr>
              <w:jc w:val="center"/>
              <w:rPr>
                <w:rFonts w:ascii="Calibri" w:hAnsi="Calibri"/>
                <w:color w:val="auto"/>
                <w:kern w:val="0"/>
                <w:sz w:val="18"/>
                <w:szCs w:val="18"/>
              </w:rPr>
            </w:pPr>
            <w:r>
              <w:rPr>
                <w:rFonts w:hint="eastAsia" w:ascii="Calibri" w:hAnsi="Calibri"/>
                <w:color w:val="auto"/>
                <w:kern w:val="0"/>
                <w:sz w:val="18"/>
                <w:szCs w:val="18"/>
              </w:rPr>
              <w:t>Au</w:t>
            </w:r>
          </w:p>
        </w:tc>
        <w:tc>
          <w:tcPr>
            <w:tcW w:w="2348" w:type="dxa"/>
            <w:vAlign w:val="center"/>
          </w:tcPr>
          <w:p w14:paraId="32104D68">
            <w:pPr>
              <w:jc w:val="center"/>
              <w:rPr>
                <w:rFonts w:ascii="Calibri" w:hAnsi="Calibri"/>
                <w:color w:val="auto"/>
                <w:kern w:val="0"/>
                <w:sz w:val="18"/>
                <w:szCs w:val="18"/>
              </w:rPr>
            </w:pPr>
            <w:r>
              <w:rPr>
                <w:rFonts w:hint="eastAsia" w:ascii="Calibri" w:hAnsi="Calibri"/>
                <w:color w:val="auto"/>
                <w:kern w:val="0"/>
                <w:sz w:val="18"/>
                <w:szCs w:val="18"/>
              </w:rPr>
              <w:t>&lt;0.005%</w:t>
            </w:r>
          </w:p>
          <w:p w14:paraId="512CCD1C">
            <w:pPr>
              <w:jc w:val="center"/>
              <w:rPr>
                <w:rFonts w:ascii="Calibri" w:hAnsi="Calibri"/>
                <w:color w:val="auto"/>
                <w:kern w:val="0"/>
                <w:sz w:val="18"/>
                <w:szCs w:val="18"/>
              </w:rPr>
            </w:pPr>
            <w:r>
              <w:rPr>
                <w:rFonts w:hint="eastAsia" w:ascii="Calibri" w:hAnsi="Calibri"/>
                <w:color w:val="auto"/>
                <w:kern w:val="0"/>
                <w:sz w:val="18"/>
                <w:szCs w:val="18"/>
              </w:rPr>
              <w:t>Wt%</w:t>
            </w:r>
          </w:p>
        </w:tc>
        <w:tc>
          <w:tcPr>
            <w:tcW w:w="2552" w:type="dxa"/>
            <w:vAlign w:val="center"/>
          </w:tcPr>
          <w:p w14:paraId="25C82E0E">
            <w:pPr>
              <w:jc w:val="center"/>
              <w:rPr>
                <w:rFonts w:ascii="Calibri" w:hAnsi="Calibri"/>
                <w:color w:val="auto"/>
                <w:kern w:val="0"/>
                <w:sz w:val="18"/>
                <w:szCs w:val="18"/>
              </w:rPr>
            </w:pPr>
            <w:r>
              <w:rPr>
                <w:rFonts w:hint="eastAsia" w:ascii="Calibri" w:hAnsi="Calibri"/>
                <w:color w:val="auto"/>
                <w:kern w:val="0"/>
                <w:sz w:val="18"/>
                <w:szCs w:val="18"/>
              </w:rPr>
              <w:t>&lt;0.005%</w:t>
            </w:r>
          </w:p>
          <w:p w14:paraId="19DBCF76">
            <w:pPr>
              <w:jc w:val="center"/>
              <w:rPr>
                <w:rFonts w:ascii="Calibri" w:hAnsi="Calibri"/>
                <w:color w:val="auto"/>
                <w:kern w:val="0"/>
                <w:sz w:val="18"/>
                <w:szCs w:val="18"/>
              </w:rPr>
            </w:pPr>
            <w:r>
              <w:rPr>
                <w:rFonts w:hint="eastAsia" w:ascii="Calibri" w:hAnsi="Calibri"/>
                <w:color w:val="auto"/>
                <w:kern w:val="0"/>
                <w:sz w:val="18"/>
                <w:szCs w:val="18"/>
              </w:rPr>
              <w:t>Wt%</w:t>
            </w:r>
          </w:p>
        </w:tc>
        <w:tc>
          <w:tcPr>
            <w:tcW w:w="2268" w:type="dxa"/>
            <w:vAlign w:val="center"/>
          </w:tcPr>
          <w:p w14:paraId="25DA5333">
            <w:pPr>
              <w:jc w:val="center"/>
              <w:rPr>
                <w:rFonts w:ascii="Calibri" w:hAnsi="Calibri"/>
                <w:color w:val="auto"/>
                <w:kern w:val="0"/>
                <w:sz w:val="18"/>
                <w:szCs w:val="18"/>
              </w:rPr>
            </w:pPr>
            <w:r>
              <w:rPr>
                <w:rFonts w:hint="eastAsia" w:ascii="Calibri" w:hAnsi="Calibri"/>
                <w:color w:val="auto"/>
                <w:kern w:val="0"/>
                <w:sz w:val="18"/>
                <w:szCs w:val="18"/>
              </w:rPr>
              <w:t>&lt;0.005%</w:t>
            </w:r>
          </w:p>
          <w:p w14:paraId="0F9E39A8">
            <w:pPr>
              <w:jc w:val="center"/>
              <w:rPr>
                <w:rFonts w:ascii="Calibri" w:hAnsi="Calibri"/>
                <w:color w:val="auto"/>
                <w:kern w:val="0"/>
                <w:sz w:val="18"/>
                <w:szCs w:val="18"/>
              </w:rPr>
            </w:pPr>
            <w:r>
              <w:rPr>
                <w:rFonts w:hint="eastAsia" w:ascii="Calibri" w:hAnsi="Calibri"/>
                <w:color w:val="auto"/>
                <w:kern w:val="0"/>
                <w:sz w:val="18"/>
                <w:szCs w:val="18"/>
              </w:rPr>
              <w:t>Wt%</w:t>
            </w:r>
          </w:p>
        </w:tc>
      </w:tr>
      <w:tr w14:paraId="6622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14:paraId="3A5D1714">
            <w:pPr>
              <w:jc w:val="center"/>
              <w:rPr>
                <w:rFonts w:ascii="Calibri" w:hAnsi="Calibri"/>
                <w:color w:val="auto"/>
                <w:kern w:val="0"/>
                <w:sz w:val="18"/>
                <w:szCs w:val="18"/>
              </w:rPr>
            </w:pPr>
            <w:r>
              <w:rPr>
                <w:rFonts w:hint="eastAsia" w:ascii="Calibri" w:hAnsi="Calibri"/>
                <w:color w:val="auto"/>
                <w:kern w:val="0"/>
                <w:sz w:val="18"/>
                <w:szCs w:val="18"/>
              </w:rPr>
              <w:t>Pd</w:t>
            </w:r>
          </w:p>
        </w:tc>
        <w:tc>
          <w:tcPr>
            <w:tcW w:w="2348" w:type="dxa"/>
            <w:vAlign w:val="center"/>
          </w:tcPr>
          <w:p w14:paraId="110EBFC8">
            <w:pPr>
              <w:jc w:val="center"/>
              <w:rPr>
                <w:rFonts w:ascii="Calibri" w:hAnsi="Calibri"/>
                <w:color w:val="auto"/>
                <w:kern w:val="0"/>
                <w:sz w:val="18"/>
                <w:szCs w:val="18"/>
              </w:rPr>
            </w:pPr>
            <w:r>
              <w:rPr>
                <w:rFonts w:hint="eastAsia" w:ascii="Calibri" w:hAnsi="Calibri"/>
                <w:color w:val="auto"/>
                <w:kern w:val="0"/>
                <w:sz w:val="18"/>
                <w:szCs w:val="18"/>
              </w:rPr>
              <w:t>&lt;0.005%</w:t>
            </w:r>
          </w:p>
          <w:p w14:paraId="53312431">
            <w:pPr>
              <w:jc w:val="center"/>
              <w:rPr>
                <w:rFonts w:ascii="Calibri" w:hAnsi="Calibri"/>
                <w:color w:val="auto"/>
                <w:kern w:val="0"/>
                <w:sz w:val="18"/>
                <w:szCs w:val="18"/>
              </w:rPr>
            </w:pPr>
            <w:r>
              <w:rPr>
                <w:rFonts w:hint="eastAsia" w:ascii="Calibri" w:hAnsi="Calibri"/>
                <w:color w:val="auto"/>
                <w:kern w:val="0"/>
                <w:sz w:val="18"/>
                <w:szCs w:val="18"/>
              </w:rPr>
              <w:t>Wt%</w:t>
            </w:r>
          </w:p>
        </w:tc>
        <w:tc>
          <w:tcPr>
            <w:tcW w:w="2552" w:type="dxa"/>
            <w:vAlign w:val="center"/>
          </w:tcPr>
          <w:p w14:paraId="54997957">
            <w:pPr>
              <w:jc w:val="center"/>
              <w:rPr>
                <w:rFonts w:ascii="Calibri" w:hAnsi="Calibri"/>
                <w:color w:val="auto"/>
                <w:kern w:val="0"/>
                <w:sz w:val="18"/>
                <w:szCs w:val="18"/>
              </w:rPr>
            </w:pPr>
            <w:r>
              <w:rPr>
                <w:rFonts w:hint="eastAsia" w:ascii="Calibri" w:hAnsi="Calibri"/>
                <w:color w:val="auto"/>
                <w:kern w:val="0"/>
                <w:sz w:val="18"/>
                <w:szCs w:val="18"/>
              </w:rPr>
              <w:t>&lt;0.005%</w:t>
            </w:r>
          </w:p>
          <w:p w14:paraId="5944B1F0">
            <w:pPr>
              <w:jc w:val="center"/>
              <w:rPr>
                <w:rFonts w:ascii="Calibri" w:hAnsi="Calibri"/>
                <w:color w:val="auto"/>
                <w:kern w:val="0"/>
                <w:sz w:val="18"/>
                <w:szCs w:val="18"/>
              </w:rPr>
            </w:pPr>
            <w:r>
              <w:rPr>
                <w:rFonts w:hint="eastAsia" w:ascii="Calibri" w:hAnsi="Calibri"/>
                <w:color w:val="auto"/>
                <w:kern w:val="0"/>
                <w:sz w:val="18"/>
                <w:szCs w:val="18"/>
              </w:rPr>
              <w:t>Wt%</w:t>
            </w:r>
          </w:p>
        </w:tc>
        <w:tc>
          <w:tcPr>
            <w:tcW w:w="2268" w:type="dxa"/>
            <w:vAlign w:val="center"/>
          </w:tcPr>
          <w:p w14:paraId="1CE54F68">
            <w:pPr>
              <w:jc w:val="center"/>
              <w:rPr>
                <w:rFonts w:ascii="Calibri" w:hAnsi="Calibri"/>
                <w:color w:val="auto"/>
                <w:kern w:val="0"/>
                <w:sz w:val="18"/>
                <w:szCs w:val="18"/>
              </w:rPr>
            </w:pPr>
            <w:r>
              <w:rPr>
                <w:rFonts w:hint="eastAsia" w:ascii="Calibri" w:hAnsi="Calibri"/>
                <w:color w:val="auto"/>
                <w:kern w:val="0"/>
                <w:sz w:val="18"/>
                <w:szCs w:val="18"/>
              </w:rPr>
              <w:t>&lt;0.005%</w:t>
            </w:r>
          </w:p>
          <w:p w14:paraId="5F8A74E7">
            <w:pPr>
              <w:jc w:val="center"/>
              <w:rPr>
                <w:rFonts w:ascii="Calibri" w:hAnsi="Calibri"/>
                <w:color w:val="auto"/>
                <w:kern w:val="0"/>
                <w:sz w:val="18"/>
                <w:szCs w:val="18"/>
              </w:rPr>
            </w:pPr>
            <w:r>
              <w:rPr>
                <w:rFonts w:hint="eastAsia" w:ascii="Calibri" w:hAnsi="Calibri"/>
                <w:color w:val="auto"/>
                <w:kern w:val="0"/>
                <w:sz w:val="18"/>
                <w:szCs w:val="18"/>
              </w:rPr>
              <w:t>Wt%</w:t>
            </w:r>
          </w:p>
        </w:tc>
      </w:tr>
      <w:tr w14:paraId="2C0E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14:paraId="06EE5B7B">
            <w:pPr>
              <w:jc w:val="center"/>
              <w:rPr>
                <w:rFonts w:ascii="Calibri" w:hAnsi="Calibri"/>
                <w:color w:val="auto"/>
                <w:kern w:val="0"/>
                <w:sz w:val="18"/>
                <w:szCs w:val="18"/>
              </w:rPr>
            </w:pPr>
            <w:r>
              <w:rPr>
                <w:rFonts w:hint="eastAsia" w:ascii="Calibri" w:hAnsi="Calibri"/>
                <w:color w:val="auto"/>
                <w:kern w:val="0"/>
                <w:sz w:val="18"/>
                <w:szCs w:val="18"/>
              </w:rPr>
              <w:t>Ir</w:t>
            </w:r>
          </w:p>
        </w:tc>
        <w:tc>
          <w:tcPr>
            <w:tcW w:w="2348" w:type="dxa"/>
            <w:vAlign w:val="center"/>
          </w:tcPr>
          <w:p w14:paraId="7CE21036">
            <w:pPr>
              <w:jc w:val="center"/>
              <w:rPr>
                <w:rFonts w:ascii="Calibri" w:hAnsi="Calibri"/>
                <w:color w:val="auto"/>
                <w:kern w:val="0"/>
                <w:sz w:val="18"/>
                <w:szCs w:val="18"/>
              </w:rPr>
            </w:pPr>
            <w:r>
              <w:rPr>
                <w:rFonts w:hint="eastAsia" w:ascii="Calibri" w:hAnsi="Calibri"/>
                <w:color w:val="auto"/>
                <w:kern w:val="0"/>
                <w:sz w:val="18"/>
                <w:szCs w:val="18"/>
              </w:rPr>
              <w:t>&lt;0.005%</w:t>
            </w:r>
          </w:p>
          <w:p w14:paraId="01DC3853">
            <w:pPr>
              <w:jc w:val="center"/>
              <w:rPr>
                <w:rFonts w:ascii="Calibri" w:hAnsi="Calibri"/>
                <w:color w:val="auto"/>
                <w:kern w:val="0"/>
                <w:sz w:val="18"/>
                <w:szCs w:val="18"/>
              </w:rPr>
            </w:pPr>
            <w:r>
              <w:rPr>
                <w:rFonts w:hint="eastAsia" w:ascii="Calibri" w:hAnsi="Calibri"/>
                <w:color w:val="auto"/>
                <w:kern w:val="0"/>
                <w:sz w:val="18"/>
                <w:szCs w:val="18"/>
              </w:rPr>
              <w:t>Wt%</w:t>
            </w:r>
          </w:p>
        </w:tc>
        <w:tc>
          <w:tcPr>
            <w:tcW w:w="2552" w:type="dxa"/>
            <w:vAlign w:val="center"/>
          </w:tcPr>
          <w:p w14:paraId="557269F6">
            <w:pPr>
              <w:jc w:val="center"/>
              <w:rPr>
                <w:rFonts w:ascii="Calibri" w:hAnsi="Calibri"/>
                <w:color w:val="auto"/>
                <w:kern w:val="0"/>
                <w:sz w:val="18"/>
                <w:szCs w:val="18"/>
              </w:rPr>
            </w:pPr>
            <w:r>
              <w:rPr>
                <w:rFonts w:hint="eastAsia" w:ascii="Calibri" w:hAnsi="Calibri"/>
                <w:color w:val="auto"/>
                <w:kern w:val="0"/>
                <w:sz w:val="18"/>
                <w:szCs w:val="18"/>
              </w:rPr>
              <w:t>&lt;0.005%</w:t>
            </w:r>
          </w:p>
          <w:p w14:paraId="67D26C54">
            <w:pPr>
              <w:jc w:val="center"/>
              <w:rPr>
                <w:rFonts w:ascii="Calibri" w:hAnsi="Calibri"/>
                <w:color w:val="auto"/>
                <w:kern w:val="0"/>
                <w:sz w:val="18"/>
                <w:szCs w:val="18"/>
              </w:rPr>
            </w:pPr>
            <w:r>
              <w:rPr>
                <w:rFonts w:hint="eastAsia" w:ascii="Calibri" w:hAnsi="Calibri"/>
                <w:color w:val="auto"/>
                <w:kern w:val="0"/>
                <w:sz w:val="18"/>
                <w:szCs w:val="18"/>
              </w:rPr>
              <w:t>Wt%</w:t>
            </w:r>
          </w:p>
        </w:tc>
        <w:tc>
          <w:tcPr>
            <w:tcW w:w="2268" w:type="dxa"/>
            <w:vAlign w:val="center"/>
          </w:tcPr>
          <w:p w14:paraId="42BDE875">
            <w:pPr>
              <w:jc w:val="center"/>
              <w:rPr>
                <w:rFonts w:ascii="Calibri" w:hAnsi="Calibri"/>
                <w:color w:val="auto"/>
                <w:kern w:val="0"/>
                <w:sz w:val="18"/>
                <w:szCs w:val="18"/>
              </w:rPr>
            </w:pPr>
            <w:r>
              <w:rPr>
                <w:rFonts w:hint="eastAsia" w:ascii="Calibri" w:hAnsi="Calibri"/>
                <w:color w:val="auto"/>
                <w:kern w:val="0"/>
                <w:sz w:val="18"/>
                <w:szCs w:val="18"/>
              </w:rPr>
              <w:t>&lt;0.005%</w:t>
            </w:r>
          </w:p>
          <w:p w14:paraId="7849989C">
            <w:pPr>
              <w:jc w:val="center"/>
              <w:rPr>
                <w:rFonts w:ascii="Calibri" w:hAnsi="Calibri"/>
                <w:color w:val="auto"/>
                <w:kern w:val="0"/>
                <w:sz w:val="18"/>
                <w:szCs w:val="18"/>
              </w:rPr>
            </w:pPr>
            <w:r>
              <w:rPr>
                <w:rFonts w:hint="eastAsia" w:ascii="Calibri" w:hAnsi="Calibri"/>
                <w:color w:val="auto"/>
                <w:kern w:val="0"/>
                <w:sz w:val="18"/>
                <w:szCs w:val="18"/>
              </w:rPr>
              <w:t>Wt%</w:t>
            </w:r>
          </w:p>
        </w:tc>
      </w:tr>
      <w:tr w14:paraId="05B9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14:paraId="3CAAAC10">
            <w:pPr>
              <w:jc w:val="center"/>
              <w:rPr>
                <w:rFonts w:ascii="Calibri" w:hAnsi="Calibri"/>
                <w:color w:val="auto"/>
                <w:kern w:val="0"/>
                <w:sz w:val="18"/>
                <w:szCs w:val="18"/>
              </w:rPr>
            </w:pPr>
            <w:r>
              <w:rPr>
                <w:rFonts w:hint="eastAsia" w:ascii="Calibri" w:hAnsi="Calibri"/>
                <w:color w:val="auto"/>
                <w:kern w:val="0"/>
                <w:sz w:val="18"/>
                <w:szCs w:val="18"/>
              </w:rPr>
              <w:t>Pb</w:t>
            </w:r>
          </w:p>
        </w:tc>
        <w:tc>
          <w:tcPr>
            <w:tcW w:w="2348" w:type="dxa"/>
            <w:vAlign w:val="center"/>
          </w:tcPr>
          <w:p w14:paraId="45BE14DC">
            <w:pPr>
              <w:jc w:val="center"/>
              <w:rPr>
                <w:rFonts w:ascii="Calibri" w:hAnsi="Calibri"/>
                <w:color w:val="auto"/>
                <w:kern w:val="0"/>
                <w:sz w:val="18"/>
                <w:szCs w:val="18"/>
              </w:rPr>
            </w:pPr>
            <w:r>
              <w:rPr>
                <w:rFonts w:hint="eastAsia" w:ascii="Calibri" w:hAnsi="Calibri"/>
                <w:color w:val="auto"/>
                <w:kern w:val="0"/>
                <w:sz w:val="18"/>
                <w:szCs w:val="18"/>
              </w:rPr>
              <w:t>&lt;0.005%</w:t>
            </w:r>
          </w:p>
          <w:p w14:paraId="5D16AAF5">
            <w:pPr>
              <w:jc w:val="center"/>
              <w:rPr>
                <w:rFonts w:ascii="Calibri" w:hAnsi="Calibri"/>
                <w:color w:val="auto"/>
                <w:kern w:val="0"/>
                <w:sz w:val="18"/>
                <w:szCs w:val="18"/>
              </w:rPr>
            </w:pPr>
            <w:r>
              <w:rPr>
                <w:rFonts w:hint="eastAsia" w:ascii="Calibri" w:hAnsi="Calibri"/>
                <w:color w:val="auto"/>
                <w:kern w:val="0"/>
                <w:sz w:val="18"/>
                <w:szCs w:val="18"/>
              </w:rPr>
              <w:t>Wt%</w:t>
            </w:r>
          </w:p>
        </w:tc>
        <w:tc>
          <w:tcPr>
            <w:tcW w:w="2552" w:type="dxa"/>
            <w:vAlign w:val="center"/>
          </w:tcPr>
          <w:p w14:paraId="490F1E3B">
            <w:pPr>
              <w:jc w:val="center"/>
              <w:rPr>
                <w:rFonts w:ascii="Calibri" w:hAnsi="Calibri"/>
                <w:color w:val="auto"/>
                <w:kern w:val="0"/>
                <w:sz w:val="18"/>
                <w:szCs w:val="18"/>
              </w:rPr>
            </w:pPr>
            <w:r>
              <w:rPr>
                <w:rFonts w:hint="eastAsia" w:ascii="Calibri" w:hAnsi="Calibri"/>
                <w:color w:val="auto"/>
                <w:kern w:val="0"/>
                <w:sz w:val="18"/>
                <w:szCs w:val="18"/>
              </w:rPr>
              <w:t>&lt;0.005%</w:t>
            </w:r>
          </w:p>
          <w:p w14:paraId="796CFE87">
            <w:pPr>
              <w:jc w:val="center"/>
              <w:rPr>
                <w:rFonts w:ascii="Calibri" w:hAnsi="Calibri"/>
                <w:color w:val="auto"/>
                <w:kern w:val="0"/>
                <w:sz w:val="18"/>
                <w:szCs w:val="18"/>
              </w:rPr>
            </w:pPr>
            <w:r>
              <w:rPr>
                <w:rFonts w:hint="eastAsia" w:ascii="Calibri" w:hAnsi="Calibri"/>
                <w:color w:val="auto"/>
                <w:kern w:val="0"/>
                <w:sz w:val="18"/>
                <w:szCs w:val="18"/>
              </w:rPr>
              <w:t>Wt%</w:t>
            </w:r>
          </w:p>
        </w:tc>
        <w:tc>
          <w:tcPr>
            <w:tcW w:w="2268" w:type="dxa"/>
            <w:vAlign w:val="center"/>
          </w:tcPr>
          <w:p w14:paraId="77D87327">
            <w:pPr>
              <w:jc w:val="center"/>
              <w:rPr>
                <w:rFonts w:ascii="Calibri" w:hAnsi="Calibri"/>
                <w:color w:val="auto"/>
                <w:kern w:val="0"/>
                <w:sz w:val="18"/>
                <w:szCs w:val="18"/>
              </w:rPr>
            </w:pPr>
            <w:r>
              <w:rPr>
                <w:rFonts w:hint="eastAsia" w:ascii="Calibri" w:hAnsi="Calibri"/>
                <w:color w:val="auto"/>
                <w:kern w:val="0"/>
                <w:sz w:val="18"/>
                <w:szCs w:val="18"/>
              </w:rPr>
              <w:t>&lt;0.005%</w:t>
            </w:r>
          </w:p>
          <w:p w14:paraId="3F33C397">
            <w:pPr>
              <w:jc w:val="center"/>
              <w:rPr>
                <w:rFonts w:ascii="Calibri" w:hAnsi="Calibri"/>
                <w:color w:val="auto"/>
                <w:kern w:val="0"/>
                <w:sz w:val="18"/>
                <w:szCs w:val="18"/>
              </w:rPr>
            </w:pPr>
            <w:r>
              <w:rPr>
                <w:rFonts w:hint="eastAsia" w:ascii="Calibri" w:hAnsi="Calibri"/>
                <w:color w:val="auto"/>
                <w:kern w:val="0"/>
                <w:sz w:val="18"/>
                <w:szCs w:val="18"/>
              </w:rPr>
              <w:t>Wt%</w:t>
            </w:r>
          </w:p>
        </w:tc>
      </w:tr>
      <w:tr w14:paraId="0E98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14:paraId="7B38362C">
            <w:pPr>
              <w:jc w:val="center"/>
              <w:rPr>
                <w:rFonts w:ascii="Calibri" w:hAnsi="Calibri"/>
                <w:color w:val="auto"/>
                <w:kern w:val="0"/>
                <w:sz w:val="18"/>
                <w:szCs w:val="18"/>
              </w:rPr>
            </w:pPr>
            <w:r>
              <w:rPr>
                <w:rFonts w:hint="eastAsia" w:ascii="Calibri" w:hAnsi="Calibri"/>
                <w:color w:val="auto"/>
                <w:kern w:val="0"/>
                <w:sz w:val="18"/>
                <w:szCs w:val="18"/>
              </w:rPr>
              <w:t>Ni</w:t>
            </w:r>
          </w:p>
        </w:tc>
        <w:tc>
          <w:tcPr>
            <w:tcW w:w="2348" w:type="dxa"/>
            <w:vAlign w:val="center"/>
          </w:tcPr>
          <w:p w14:paraId="66F55E2F">
            <w:pPr>
              <w:jc w:val="center"/>
              <w:rPr>
                <w:rFonts w:ascii="Calibri" w:hAnsi="Calibri"/>
                <w:color w:val="auto"/>
                <w:kern w:val="0"/>
                <w:sz w:val="18"/>
                <w:szCs w:val="18"/>
              </w:rPr>
            </w:pPr>
            <w:r>
              <w:rPr>
                <w:rFonts w:hint="eastAsia" w:ascii="Calibri" w:hAnsi="Calibri"/>
                <w:color w:val="auto"/>
                <w:kern w:val="0"/>
                <w:sz w:val="18"/>
                <w:szCs w:val="18"/>
              </w:rPr>
              <w:t>&lt;0.005%</w:t>
            </w:r>
          </w:p>
          <w:p w14:paraId="13071B33">
            <w:pPr>
              <w:jc w:val="center"/>
              <w:rPr>
                <w:rFonts w:ascii="Calibri" w:hAnsi="Calibri"/>
                <w:color w:val="auto"/>
                <w:kern w:val="0"/>
                <w:sz w:val="18"/>
                <w:szCs w:val="18"/>
              </w:rPr>
            </w:pPr>
            <w:r>
              <w:rPr>
                <w:rFonts w:hint="eastAsia" w:ascii="Calibri" w:hAnsi="Calibri"/>
                <w:color w:val="auto"/>
                <w:kern w:val="0"/>
                <w:sz w:val="18"/>
                <w:szCs w:val="18"/>
              </w:rPr>
              <w:t>Wt%</w:t>
            </w:r>
          </w:p>
        </w:tc>
        <w:tc>
          <w:tcPr>
            <w:tcW w:w="2552" w:type="dxa"/>
            <w:vAlign w:val="center"/>
          </w:tcPr>
          <w:p w14:paraId="6C9C121D">
            <w:pPr>
              <w:jc w:val="center"/>
              <w:rPr>
                <w:rFonts w:ascii="Calibri" w:hAnsi="Calibri"/>
                <w:color w:val="auto"/>
                <w:kern w:val="0"/>
                <w:sz w:val="18"/>
                <w:szCs w:val="18"/>
              </w:rPr>
            </w:pPr>
            <w:r>
              <w:rPr>
                <w:rFonts w:hint="eastAsia" w:ascii="Calibri" w:hAnsi="Calibri"/>
                <w:color w:val="auto"/>
                <w:kern w:val="0"/>
                <w:sz w:val="18"/>
                <w:szCs w:val="18"/>
              </w:rPr>
              <w:t>&lt;0.005%</w:t>
            </w:r>
          </w:p>
          <w:p w14:paraId="4505DCA0">
            <w:pPr>
              <w:jc w:val="center"/>
              <w:rPr>
                <w:rFonts w:ascii="Calibri" w:hAnsi="Calibri"/>
                <w:color w:val="auto"/>
                <w:kern w:val="0"/>
                <w:sz w:val="18"/>
                <w:szCs w:val="18"/>
              </w:rPr>
            </w:pPr>
            <w:r>
              <w:rPr>
                <w:rFonts w:hint="eastAsia" w:ascii="Calibri" w:hAnsi="Calibri"/>
                <w:color w:val="auto"/>
                <w:kern w:val="0"/>
                <w:sz w:val="18"/>
                <w:szCs w:val="18"/>
              </w:rPr>
              <w:t>Wt%</w:t>
            </w:r>
          </w:p>
        </w:tc>
        <w:tc>
          <w:tcPr>
            <w:tcW w:w="2268" w:type="dxa"/>
            <w:vAlign w:val="center"/>
          </w:tcPr>
          <w:p w14:paraId="683C5AE4">
            <w:pPr>
              <w:jc w:val="center"/>
              <w:rPr>
                <w:rFonts w:ascii="Calibri" w:hAnsi="Calibri"/>
                <w:color w:val="auto"/>
                <w:kern w:val="0"/>
                <w:sz w:val="18"/>
                <w:szCs w:val="18"/>
              </w:rPr>
            </w:pPr>
            <w:r>
              <w:rPr>
                <w:rFonts w:hint="eastAsia" w:ascii="Calibri" w:hAnsi="Calibri"/>
                <w:color w:val="auto"/>
                <w:kern w:val="0"/>
                <w:sz w:val="18"/>
                <w:szCs w:val="18"/>
              </w:rPr>
              <w:t>&lt;0.005%</w:t>
            </w:r>
          </w:p>
          <w:p w14:paraId="47E7099D">
            <w:pPr>
              <w:jc w:val="center"/>
              <w:rPr>
                <w:rFonts w:ascii="Calibri" w:hAnsi="Calibri"/>
                <w:color w:val="auto"/>
                <w:kern w:val="0"/>
                <w:sz w:val="18"/>
                <w:szCs w:val="18"/>
              </w:rPr>
            </w:pPr>
            <w:r>
              <w:rPr>
                <w:rFonts w:hint="eastAsia" w:ascii="Calibri" w:hAnsi="Calibri"/>
                <w:color w:val="auto"/>
                <w:kern w:val="0"/>
                <w:sz w:val="18"/>
                <w:szCs w:val="18"/>
              </w:rPr>
              <w:t>Wt%</w:t>
            </w:r>
          </w:p>
        </w:tc>
      </w:tr>
      <w:tr w14:paraId="39BB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14:paraId="3239C88F">
            <w:pPr>
              <w:jc w:val="center"/>
              <w:rPr>
                <w:rFonts w:ascii="Calibri" w:hAnsi="Calibri"/>
                <w:color w:val="auto"/>
                <w:kern w:val="0"/>
                <w:sz w:val="18"/>
                <w:szCs w:val="18"/>
              </w:rPr>
            </w:pPr>
            <w:r>
              <w:rPr>
                <w:rFonts w:hint="eastAsia" w:ascii="Calibri" w:hAnsi="Calibri"/>
                <w:color w:val="auto"/>
                <w:kern w:val="0"/>
                <w:sz w:val="18"/>
                <w:szCs w:val="18"/>
              </w:rPr>
              <w:t>Cu</w:t>
            </w:r>
          </w:p>
        </w:tc>
        <w:tc>
          <w:tcPr>
            <w:tcW w:w="2348" w:type="dxa"/>
            <w:vAlign w:val="center"/>
          </w:tcPr>
          <w:p w14:paraId="7FC75AD0">
            <w:pPr>
              <w:jc w:val="center"/>
              <w:rPr>
                <w:rFonts w:ascii="Calibri" w:hAnsi="Calibri"/>
                <w:color w:val="auto"/>
                <w:kern w:val="0"/>
                <w:sz w:val="18"/>
                <w:szCs w:val="18"/>
              </w:rPr>
            </w:pPr>
            <w:r>
              <w:rPr>
                <w:rFonts w:hint="eastAsia" w:ascii="Calibri" w:hAnsi="Calibri"/>
                <w:color w:val="auto"/>
                <w:kern w:val="0"/>
                <w:sz w:val="18"/>
                <w:szCs w:val="18"/>
              </w:rPr>
              <w:t>&lt;0.005%</w:t>
            </w:r>
          </w:p>
          <w:p w14:paraId="02CB3C5F">
            <w:pPr>
              <w:jc w:val="center"/>
              <w:rPr>
                <w:rFonts w:ascii="Calibri" w:hAnsi="Calibri"/>
                <w:color w:val="auto"/>
                <w:kern w:val="0"/>
                <w:sz w:val="18"/>
                <w:szCs w:val="18"/>
              </w:rPr>
            </w:pPr>
            <w:r>
              <w:rPr>
                <w:rFonts w:hint="eastAsia" w:ascii="Calibri" w:hAnsi="Calibri"/>
                <w:color w:val="auto"/>
                <w:kern w:val="0"/>
                <w:sz w:val="18"/>
                <w:szCs w:val="18"/>
              </w:rPr>
              <w:t>Wt%</w:t>
            </w:r>
          </w:p>
        </w:tc>
        <w:tc>
          <w:tcPr>
            <w:tcW w:w="2552" w:type="dxa"/>
            <w:vAlign w:val="center"/>
          </w:tcPr>
          <w:p w14:paraId="7099358A">
            <w:pPr>
              <w:jc w:val="center"/>
              <w:rPr>
                <w:rFonts w:ascii="Calibri" w:hAnsi="Calibri"/>
                <w:color w:val="auto"/>
                <w:kern w:val="0"/>
                <w:sz w:val="18"/>
                <w:szCs w:val="18"/>
              </w:rPr>
            </w:pPr>
            <w:r>
              <w:rPr>
                <w:rFonts w:hint="eastAsia" w:ascii="Calibri" w:hAnsi="Calibri"/>
                <w:color w:val="auto"/>
                <w:kern w:val="0"/>
                <w:sz w:val="18"/>
                <w:szCs w:val="18"/>
              </w:rPr>
              <w:t>&lt;0.005%</w:t>
            </w:r>
          </w:p>
          <w:p w14:paraId="133435D1">
            <w:pPr>
              <w:jc w:val="center"/>
              <w:rPr>
                <w:rFonts w:ascii="Calibri" w:hAnsi="Calibri"/>
                <w:color w:val="auto"/>
                <w:kern w:val="0"/>
                <w:sz w:val="18"/>
                <w:szCs w:val="18"/>
              </w:rPr>
            </w:pPr>
            <w:r>
              <w:rPr>
                <w:rFonts w:hint="eastAsia" w:ascii="Calibri" w:hAnsi="Calibri"/>
                <w:color w:val="auto"/>
                <w:kern w:val="0"/>
                <w:sz w:val="18"/>
                <w:szCs w:val="18"/>
              </w:rPr>
              <w:t>Wt%</w:t>
            </w:r>
          </w:p>
        </w:tc>
        <w:tc>
          <w:tcPr>
            <w:tcW w:w="2268" w:type="dxa"/>
            <w:vAlign w:val="center"/>
          </w:tcPr>
          <w:p w14:paraId="6300570B">
            <w:pPr>
              <w:jc w:val="center"/>
              <w:rPr>
                <w:rFonts w:ascii="Calibri" w:hAnsi="Calibri"/>
                <w:color w:val="auto"/>
                <w:kern w:val="0"/>
                <w:sz w:val="18"/>
                <w:szCs w:val="18"/>
              </w:rPr>
            </w:pPr>
            <w:r>
              <w:rPr>
                <w:rFonts w:hint="eastAsia" w:ascii="Calibri" w:hAnsi="Calibri"/>
                <w:color w:val="auto"/>
                <w:kern w:val="0"/>
                <w:sz w:val="18"/>
                <w:szCs w:val="18"/>
              </w:rPr>
              <w:t>&lt;0.005%</w:t>
            </w:r>
          </w:p>
          <w:p w14:paraId="7D5BE0D3">
            <w:pPr>
              <w:jc w:val="center"/>
              <w:rPr>
                <w:rFonts w:ascii="Calibri" w:hAnsi="Calibri"/>
                <w:color w:val="auto"/>
                <w:kern w:val="0"/>
                <w:sz w:val="18"/>
                <w:szCs w:val="18"/>
              </w:rPr>
            </w:pPr>
            <w:r>
              <w:rPr>
                <w:rFonts w:hint="eastAsia" w:ascii="Calibri" w:hAnsi="Calibri"/>
                <w:color w:val="auto"/>
                <w:kern w:val="0"/>
                <w:sz w:val="18"/>
                <w:szCs w:val="18"/>
              </w:rPr>
              <w:t>Wt%</w:t>
            </w:r>
          </w:p>
        </w:tc>
      </w:tr>
      <w:tr w14:paraId="5E57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14:paraId="6A4EB19A">
            <w:pPr>
              <w:jc w:val="center"/>
              <w:rPr>
                <w:rFonts w:ascii="Calibri" w:hAnsi="Calibri"/>
                <w:color w:val="auto"/>
                <w:kern w:val="0"/>
                <w:sz w:val="18"/>
                <w:szCs w:val="18"/>
              </w:rPr>
            </w:pPr>
            <w:r>
              <w:rPr>
                <w:rFonts w:hint="eastAsia" w:ascii="Calibri" w:hAnsi="Calibri"/>
                <w:color w:val="auto"/>
                <w:kern w:val="0"/>
                <w:sz w:val="18"/>
                <w:szCs w:val="18"/>
              </w:rPr>
              <w:t>Fe</w:t>
            </w:r>
          </w:p>
        </w:tc>
        <w:tc>
          <w:tcPr>
            <w:tcW w:w="2348" w:type="dxa"/>
            <w:vAlign w:val="center"/>
          </w:tcPr>
          <w:p w14:paraId="5FBAE32D">
            <w:pPr>
              <w:jc w:val="center"/>
              <w:rPr>
                <w:rFonts w:ascii="Calibri" w:hAnsi="Calibri"/>
                <w:color w:val="auto"/>
                <w:kern w:val="0"/>
                <w:sz w:val="18"/>
                <w:szCs w:val="18"/>
              </w:rPr>
            </w:pPr>
            <w:r>
              <w:rPr>
                <w:rFonts w:hint="eastAsia" w:ascii="Calibri" w:hAnsi="Calibri"/>
                <w:color w:val="auto"/>
                <w:kern w:val="0"/>
                <w:sz w:val="18"/>
                <w:szCs w:val="18"/>
              </w:rPr>
              <w:t>&lt;0.005%</w:t>
            </w:r>
          </w:p>
          <w:p w14:paraId="0C1A7927">
            <w:pPr>
              <w:jc w:val="center"/>
              <w:rPr>
                <w:rFonts w:ascii="Calibri" w:hAnsi="Calibri"/>
                <w:color w:val="auto"/>
                <w:kern w:val="0"/>
                <w:sz w:val="18"/>
                <w:szCs w:val="18"/>
              </w:rPr>
            </w:pPr>
            <w:r>
              <w:rPr>
                <w:rFonts w:hint="eastAsia" w:ascii="Calibri" w:hAnsi="Calibri"/>
                <w:color w:val="auto"/>
                <w:kern w:val="0"/>
                <w:sz w:val="18"/>
                <w:szCs w:val="18"/>
              </w:rPr>
              <w:t>Wt%</w:t>
            </w:r>
          </w:p>
        </w:tc>
        <w:tc>
          <w:tcPr>
            <w:tcW w:w="2552" w:type="dxa"/>
            <w:vAlign w:val="center"/>
          </w:tcPr>
          <w:p w14:paraId="3B484EE0">
            <w:pPr>
              <w:jc w:val="center"/>
              <w:rPr>
                <w:rFonts w:ascii="Calibri" w:hAnsi="Calibri"/>
                <w:color w:val="auto"/>
                <w:kern w:val="0"/>
                <w:sz w:val="18"/>
                <w:szCs w:val="18"/>
              </w:rPr>
            </w:pPr>
            <w:r>
              <w:rPr>
                <w:rFonts w:hint="eastAsia" w:ascii="Calibri" w:hAnsi="Calibri"/>
                <w:color w:val="auto"/>
                <w:kern w:val="0"/>
                <w:sz w:val="18"/>
                <w:szCs w:val="18"/>
              </w:rPr>
              <w:t>&lt;0.005%</w:t>
            </w:r>
          </w:p>
          <w:p w14:paraId="1FCC7994">
            <w:pPr>
              <w:jc w:val="center"/>
              <w:rPr>
                <w:rFonts w:ascii="Calibri" w:hAnsi="Calibri"/>
                <w:color w:val="auto"/>
                <w:kern w:val="0"/>
                <w:sz w:val="18"/>
                <w:szCs w:val="18"/>
              </w:rPr>
            </w:pPr>
            <w:r>
              <w:rPr>
                <w:rFonts w:hint="eastAsia" w:ascii="Calibri" w:hAnsi="Calibri"/>
                <w:color w:val="auto"/>
                <w:kern w:val="0"/>
                <w:sz w:val="18"/>
                <w:szCs w:val="18"/>
              </w:rPr>
              <w:t>Wt%</w:t>
            </w:r>
          </w:p>
        </w:tc>
        <w:tc>
          <w:tcPr>
            <w:tcW w:w="2268" w:type="dxa"/>
            <w:vAlign w:val="center"/>
          </w:tcPr>
          <w:p w14:paraId="5EB15D6E">
            <w:pPr>
              <w:jc w:val="center"/>
              <w:rPr>
                <w:rFonts w:ascii="Calibri" w:hAnsi="Calibri"/>
                <w:color w:val="auto"/>
                <w:kern w:val="0"/>
                <w:sz w:val="18"/>
                <w:szCs w:val="18"/>
              </w:rPr>
            </w:pPr>
            <w:r>
              <w:rPr>
                <w:rFonts w:hint="eastAsia" w:ascii="Calibri" w:hAnsi="Calibri"/>
                <w:color w:val="auto"/>
                <w:kern w:val="0"/>
                <w:sz w:val="18"/>
                <w:szCs w:val="18"/>
              </w:rPr>
              <w:t>&lt;0.005%</w:t>
            </w:r>
          </w:p>
          <w:p w14:paraId="34BEBDA1">
            <w:pPr>
              <w:jc w:val="center"/>
              <w:rPr>
                <w:rFonts w:ascii="Calibri" w:hAnsi="Calibri"/>
                <w:color w:val="auto"/>
                <w:kern w:val="0"/>
                <w:sz w:val="18"/>
                <w:szCs w:val="18"/>
              </w:rPr>
            </w:pPr>
            <w:r>
              <w:rPr>
                <w:rFonts w:hint="eastAsia" w:ascii="Calibri" w:hAnsi="Calibri"/>
                <w:color w:val="auto"/>
                <w:kern w:val="0"/>
                <w:sz w:val="18"/>
                <w:szCs w:val="18"/>
              </w:rPr>
              <w:t>Wt%</w:t>
            </w:r>
          </w:p>
        </w:tc>
      </w:tr>
      <w:tr w14:paraId="7B1F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14:paraId="1675C097">
            <w:pPr>
              <w:jc w:val="center"/>
              <w:rPr>
                <w:rFonts w:ascii="Calibri" w:hAnsi="Calibri"/>
                <w:color w:val="auto"/>
                <w:kern w:val="0"/>
                <w:sz w:val="18"/>
                <w:szCs w:val="18"/>
              </w:rPr>
            </w:pPr>
            <w:r>
              <w:rPr>
                <w:rFonts w:hint="eastAsia" w:ascii="Calibri" w:hAnsi="Calibri"/>
                <w:color w:val="auto"/>
                <w:kern w:val="0"/>
                <w:sz w:val="18"/>
                <w:szCs w:val="18"/>
              </w:rPr>
              <w:t>Cr</w:t>
            </w:r>
          </w:p>
        </w:tc>
        <w:tc>
          <w:tcPr>
            <w:tcW w:w="2348" w:type="dxa"/>
            <w:vAlign w:val="center"/>
          </w:tcPr>
          <w:p w14:paraId="65571EA0">
            <w:pPr>
              <w:jc w:val="center"/>
              <w:rPr>
                <w:rFonts w:ascii="Calibri" w:hAnsi="Calibri"/>
                <w:color w:val="auto"/>
                <w:kern w:val="0"/>
                <w:sz w:val="18"/>
                <w:szCs w:val="18"/>
              </w:rPr>
            </w:pPr>
            <w:r>
              <w:rPr>
                <w:rFonts w:hint="eastAsia" w:ascii="Calibri" w:hAnsi="Calibri"/>
                <w:color w:val="auto"/>
                <w:kern w:val="0"/>
                <w:sz w:val="18"/>
                <w:szCs w:val="18"/>
              </w:rPr>
              <w:t>&lt;0.005%</w:t>
            </w:r>
          </w:p>
          <w:p w14:paraId="588A5162">
            <w:pPr>
              <w:jc w:val="center"/>
              <w:rPr>
                <w:rFonts w:ascii="Calibri" w:hAnsi="Calibri"/>
                <w:color w:val="auto"/>
                <w:kern w:val="0"/>
                <w:sz w:val="18"/>
                <w:szCs w:val="18"/>
              </w:rPr>
            </w:pPr>
            <w:r>
              <w:rPr>
                <w:rFonts w:hint="eastAsia" w:ascii="Calibri" w:hAnsi="Calibri"/>
                <w:color w:val="auto"/>
                <w:kern w:val="0"/>
                <w:sz w:val="18"/>
                <w:szCs w:val="18"/>
              </w:rPr>
              <w:t>Wt%</w:t>
            </w:r>
          </w:p>
        </w:tc>
        <w:tc>
          <w:tcPr>
            <w:tcW w:w="2552" w:type="dxa"/>
            <w:vAlign w:val="center"/>
          </w:tcPr>
          <w:p w14:paraId="0E05EEE8">
            <w:pPr>
              <w:jc w:val="center"/>
              <w:rPr>
                <w:rFonts w:ascii="Calibri" w:hAnsi="Calibri"/>
                <w:color w:val="auto"/>
                <w:kern w:val="0"/>
                <w:sz w:val="18"/>
                <w:szCs w:val="18"/>
              </w:rPr>
            </w:pPr>
            <w:r>
              <w:rPr>
                <w:rFonts w:hint="eastAsia" w:ascii="Calibri" w:hAnsi="Calibri"/>
                <w:color w:val="auto"/>
                <w:kern w:val="0"/>
                <w:sz w:val="18"/>
                <w:szCs w:val="18"/>
              </w:rPr>
              <w:t>&lt;0.005%</w:t>
            </w:r>
          </w:p>
          <w:p w14:paraId="723B94EC">
            <w:pPr>
              <w:jc w:val="center"/>
              <w:rPr>
                <w:rFonts w:ascii="Calibri" w:hAnsi="Calibri"/>
                <w:color w:val="auto"/>
                <w:kern w:val="0"/>
                <w:sz w:val="18"/>
                <w:szCs w:val="18"/>
              </w:rPr>
            </w:pPr>
            <w:r>
              <w:rPr>
                <w:rFonts w:hint="eastAsia" w:ascii="Calibri" w:hAnsi="Calibri"/>
                <w:color w:val="auto"/>
                <w:kern w:val="0"/>
                <w:sz w:val="18"/>
                <w:szCs w:val="18"/>
              </w:rPr>
              <w:t>Wt%</w:t>
            </w:r>
          </w:p>
        </w:tc>
        <w:tc>
          <w:tcPr>
            <w:tcW w:w="2268" w:type="dxa"/>
            <w:vAlign w:val="center"/>
          </w:tcPr>
          <w:p w14:paraId="2109B49B">
            <w:pPr>
              <w:jc w:val="center"/>
              <w:rPr>
                <w:rFonts w:ascii="Calibri" w:hAnsi="Calibri"/>
                <w:color w:val="auto"/>
                <w:kern w:val="0"/>
                <w:sz w:val="18"/>
                <w:szCs w:val="18"/>
              </w:rPr>
            </w:pPr>
            <w:r>
              <w:rPr>
                <w:rFonts w:hint="eastAsia" w:ascii="Calibri" w:hAnsi="Calibri"/>
                <w:color w:val="auto"/>
                <w:kern w:val="0"/>
                <w:sz w:val="18"/>
                <w:szCs w:val="18"/>
              </w:rPr>
              <w:t>&lt;0.005%</w:t>
            </w:r>
          </w:p>
          <w:p w14:paraId="16429F4C">
            <w:pPr>
              <w:jc w:val="center"/>
              <w:rPr>
                <w:rFonts w:ascii="Calibri" w:hAnsi="Calibri"/>
                <w:color w:val="auto"/>
                <w:kern w:val="0"/>
                <w:sz w:val="18"/>
                <w:szCs w:val="18"/>
              </w:rPr>
            </w:pPr>
            <w:r>
              <w:rPr>
                <w:rFonts w:hint="eastAsia" w:ascii="Calibri" w:hAnsi="Calibri"/>
                <w:color w:val="auto"/>
                <w:kern w:val="0"/>
                <w:sz w:val="18"/>
                <w:szCs w:val="18"/>
              </w:rPr>
              <w:t>Wt%</w:t>
            </w:r>
          </w:p>
        </w:tc>
      </w:tr>
      <w:tr w14:paraId="17D7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14:paraId="56F06771">
            <w:pPr>
              <w:jc w:val="center"/>
              <w:rPr>
                <w:rFonts w:ascii="Calibri" w:hAnsi="Calibri"/>
                <w:color w:val="auto"/>
                <w:kern w:val="0"/>
                <w:sz w:val="18"/>
                <w:szCs w:val="18"/>
              </w:rPr>
            </w:pPr>
            <w:r>
              <w:rPr>
                <w:rFonts w:hint="eastAsia" w:ascii="Calibri" w:hAnsi="Calibri"/>
                <w:color w:val="auto"/>
                <w:kern w:val="0"/>
                <w:sz w:val="18"/>
                <w:szCs w:val="18"/>
              </w:rPr>
              <w:t>外观</w:t>
            </w:r>
          </w:p>
        </w:tc>
        <w:tc>
          <w:tcPr>
            <w:tcW w:w="2348" w:type="dxa"/>
            <w:vAlign w:val="center"/>
          </w:tcPr>
          <w:p w14:paraId="6D8B44CE">
            <w:pPr>
              <w:jc w:val="center"/>
              <w:rPr>
                <w:rFonts w:ascii="Calibri" w:hAnsi="Calibri"/>
                <w:color w:val="auto"/>
                <w:kern w:val="0"/>
                <w:sz w:val="18"/>
                <w:szCs w:val="18"/>
              </w:rPr>
            </w:pPr>
            <w:r>
              <w:rPr>
                <w:rFonts w:hint="eastAsia" w:ascii="Calibri" w:hAnsi="宋体"/>
                <w:color w:val="auto"/>
                <w:kern w:val="0"/>
                <w:sz w:val="18"/>
                <w:szCs w:val="18"/>
                <w:lang w:val="en-US" w:eastAsia="zh-CN"/>
              </w:rPr>
              <w:t>黑色</w:t>
            </w:r>
            <w:r>
              <w:rPr>
                <w:rFonts w:hint="eastAsia" w:ascii="Calibri" w:hAnsi="宋体"/>
                <w:color w:val="auto"/>
                <w:kern w:val="0"/>
                <w:sz w:val="18"/>
                <w:szCs w:val="18"/>
              </w:rPr>
              <w:t>粉末</w:t>
            </w:r>
          </w:p>
        </w:tc>
        <w:tc>
          <w:tcPr>
            <w:tcW w:w="2552" w:type="dxa"/>
          </w:tcPr>
          <w:p w14:paraId="1EFD6416">
            <w:pPr>
              <w:jc w:val="center"/>
              <w:rPr>
                <w:rFonts w:ascii="Calibri" w:hAnsi="Calibri"/>
                <w:color w:val="auto"/>
                <w:kern w:val="0"/>
                <w:sz w:val="20"/>
              </w:rPr>
            </w:pPr>
            <w:r>
              <w:rPr>
                <w:rFonts w:hint="eastAsia" w:ascii="Calibri" w:hAnsi="宋体"/>
                <w:color w:val="auto"/>
                <w:kern w:val="0"/>
                <w:sz w:val="18"/>
                <w:szCs w:val="18"/>
                <w:lang w:val="en-US" w:eastAsia="zh-CN"/>
              </w:rPr>
              <w:t>黑色</w:t>
            </w:r>
            <w:r>
              <w:rPr>
                <w:rFonts w:hint="eastAsia" w:ascii="Calibri" w:hAnsi="宋体"/>
                <w:color w:val="auto"/>
                <w:kern w:val="0"/>
                <w:sz w:val="18"/>
                <w:szCs w:val="18"/>
              </w:rPr>
              <w:t>粉末</w:t>
            </w:r>
          </w:p>
        </w:tc>
        <w:tc>
          <w:tcPr>
            <w:tcW w:w="2268" w:type="dxa"/>
          </w:tcPr>
          <w:p w14:paraId="1D142716">
            <w:pPr>
              <w:jc w:val="center"/>
              <w:rPr>
                <w:rFonts w:ascii="Calibri" w:hAnsi="Calibri"/>
                <w:color w:val="auto"/>
                <w:kern w:val="0"/>
                <w:sz w:val="20"/>
              </w:rPr>
            </w:pPr>
            <w:r>
              <w:rPr>
                <w:rFonts w:hint="eastAsia" w:ascii="Calibri" w:hAnsi="宋体"/>
                <w:color w:val="auto"/>
                <w:kern w:val="0"/>
                <w:sz w:val="18"/>
                <w:szCs w:val="18"/>
                <w:lang w:val="en-US" w:eastAsia="zh-CN"/>
              </w:rPr>
              <w:t>黑色</w:t>
            </w:r>
            <w:r>
              <w:rPr>
                <w:rFonts w:hint="eastAsia" w:ascii="Calibri" w:hAnsi="宋体"/>
                <w:color w:val="auto"/>
                <w:kern w:val="0"/>
                <w:sz w:val="18"/>
                <w:szCs w:val="18"/>
              </w:rPr>
              <w:t>粉末</w:t>
            </w:r>
          </w:p>
        </w:tc>
      </w:tr>
      <w:tr w14:paraId="5F5E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14:paraId="157F51E3">
            <w:pPr>
              <w:jc w:val="center"/>
              <w:rPr>
                <w:rFonts w:ascii="Calibri" w:hAnsi="Calibri"/>
                <w:color w:val="auto"/>
                <w:kern w:val="0"/>
                <w:sz w:val="18"/>
                <w:szCs w:val="18"/>
              </w:rPr>
            </w:pPr>
            <w:r>
              <w:rPr>
                <w:rFonts w:hint="eastAsia" w:ascii="Calibri" w:hAnsi="Calibri"/>
                <w:color w:val="auto"/>
                <w:kern w:val="0"/>
                <w:sz w:val="18"/>
                <w:szCs w:val="18"/>
              </w:rPr>
              <w:t>溶解性</w:t>
            </w:r>
          </w:p>
        </w:tc>
        <w:tc>
          <w:tcPr>
            <w:tcW w:w="2348" w:type="dxa"/>
            <w:vAlign w:val="center"/>
          </w:tcPr>
          <w:p w14:paraId="3D984867">
            <w:pPr>
              <w:jc w:val="center"/>
              <w:rPr>
                <w:rFonts w:ascii="Calibri" w:hAnsi="Calibri"/>
                <w:color w:val="auto"/>
                <w:kern w:val="0"/>
                <w:sz w:val="20"/>
              </w:rPr>
            </w:pPr>
            <w:r>
              <w:rPr>
                <w:rFonts w:hint="eastAsia" w:ascii="Calibri" w:hAnsi="宋体"/>
                <w:color w:val="auto"/>
                <w:kern w:val="0"/>
                <w:sz w:val="20"/>
                <w:szCs w:val="21"/>
              </w:rPr>
              <w:t>澄清透亮</w:t>
            </w:r>
          </w:p>
        </w:tc>
        <w:tc>
          <w:tcPr>
            <w:tcW w:w="2552" w:type="dxa"/>
            <w:vAlign w:val="center"/>
          </w:tcPr>
          <w:p w14:paraId="435BF7D5">
            <w:pPr>
              <w:jc w:val="center"/>
              <w:rPr>
                <w:rFonts w:ascii="Calibri" w:hAnsi="Calibri"/>
                <w:color w:val="auto"/>
                <w:kern w:val="0"/>
                <w:sz w:val="20"/>
              </w:rPr>
            </w:pPr>
            <w:r>
              <w:rPr>
                <w:rFonts w:hint="eastAsia" w:ascii="Calibri" w:hAnsi="宋体"/>
                <w:color w:val="auto"/>
                <w:kern w:val="0"/>
                <w:sz w:val="20"/>
                <w:szCs w:val="21"/>
              </w:rPr>
              <w:t>澄清透亮</w:t>
            </w:r>
          </w:p>
        </w:tc>
        <w:tc>
          <w:tcPr>
            <w:tcW w:w="2268" w:type="dxa"/>
            <w:vAlign w:val="center"/>
          </w:tcPr>
          <w:p w14:paraId="51A6E686">
            <w:pPr>
              <w:jc w:val="center"/>
              <w:rPr>
                <w:rFonts w:ascii="Calibri" w:hAnsi="Calibri"/>
                <w:color w:val="auto"/>
                <w:kern w:val="0"/>
                <w:sz w:val="20"/>
              </w:rPr>
            </w:pPr>
            <w:r>
              <w:rPr>
                <w:rFonts w:hint="eastAsia" w:ascii="Calibri" w:hAnsi="宋体"/>
                <w:color w:val="auto"/>
                <w:kern w:val="0"/>
                <w:sz w:val="20"/>
                <w:szCs w:val="21"/>
              </w:rPr>
              <w:t>澄清透亮</w:t>
            </w:r>
          </w:p>
        </w:tc>
      </w:tr>
    </w:tbl>
    <w:p w14:paraId="49BD81CE">
      <w:pPr>
        <w:spacing w:line="360" w:lineRule="auto"/>
        <w:ind w:firstLine="480"/>
        <w:rPr>
          <w:bCs/>
          <w:color w:val="auto"/>
          <w:sz w:val="24"/>
        </w:rPr>
      </w:pPr>
      <w:r>
        <w:rPr>
          <w:rFonts w:hint="eastAsia"/>
          <w:bCs/>
          <w:color w:val="auto"/>
          <w:sz w:val="24"/>
        </w:rPr>
        <w:t>根据以上验证情况可知，本标准规定的各项技术指标是符合生产实际的，既能体现不同生产厂家的最新生产技术水平，又能起到规范生产的作用，对促进</w:t>
      </w:r>
      <w:r>
        <w:rPr>
          <w:rFonts w:hint="eastAsia"/>
          <w:bCs/>
          <w:color w:val="auto"/>
          <w:sz w:val="24"/>
          <w:lang w:eastAsia="zh-CN"/>
        </w:rPr>
        <w:t>三碘化铑</w:t>
      </w:r>
      <w:r>
        <w:rPr>
          <w:rFonts w:hint="eastAsia"/>
          <w:bCs/>
          <w:color w:val="auto"/>
          <w:sz w:val="24"/>
        </w:rPr>
        <w:t>生产行业的进步具有重要意义。</w:t>
      </w:r>
    </w:p>
    <w:p w14:paraId="346F3ACE">
      <w:pPr>
        <w:spacing w:line="360" w:lineRule="auto"/>
        <w:ind w:firstLine="480"/>
        <w:rPr>
          <w:bCs/>
          <w:color w:val="auto"/>
          <w:sz w:val="24"/>
        </w:rPr>
      </w:pPr>
    </w:p>
    <w:p w14:paraId="6BF26455">
      <w:pPr>
        <w:spacing w:line="360" w:lineRule="auto"/>
        <w:rPr>
          <w:rFonts w:ascii="宋体" w:hAnsi="宋体"/>
          <w:color w:val="auto"/>
          <w:sz w:val="24"/>
        </w:rPr>
      </w:pPr>
      <w:r>
        <w:rPr>
          <w:rFonts w:hint="eastAsia"/>
          <w:b/>
          <w:color w:val="auto"/>
          <w:sz w:val="24"/>
        </w:rPr>
        <w:t>四、标准中涉及专利的情况</w:t>
      </w:r>
    </w:p>
    <w:p w14:paraId="53B0E233">
      <w:pPr>
        <w:ind w:firstLine="480" w:firstLineChars="200"/>
        <w:rPr>
          <w:color w:val="auto"/>
          <w:sz w:val="24"/>
        </w:rPr>
      </w:pPr>
      <w:r>
        <w:rPr>
          <w:rFonts w:hint="eastAsia"/>
          <w:color w:val="auto"/>
          <w:sz w:val="24"/>
        </w:rPr>
        <w:t>本标准不涉及专利问题。</w:t>
      </w:r>
    </w:p>
    <w:p w14:paraId="7D27D4B7">
      <w:pPr>
        <w:ind w:firstLine="480" w:firstLineChars="200"/>
        <w:rPr>
          <w:color w:val="auto"/>
          <w:sz w:val="24"/>
        </w:rPr>
      </w:pPr>
    </w:p>
    <w:p w14:paraId="6233FA57">
      <w:pPr>
        <w:spacing w:line="360" w:lineRule="auto"/>
        <w:rPr>
          <w:rFonts w:ascii="宋体" w:hAnsi="宋体"/>
          <w:color w:val="auto"/>
          <w:sz w:val="24"/>
        </w:rPr>
      </w:pPr>
      <w:r>
        <w:rPr>
          <w:rFonts w:hint="eastAsia"/>
          <w:b/>
          <w:color w:val="auto"/>
          <w:sz w:val="24"/>
        </w:rPr>
        <w:t>五、预期达到的社会效益等情况</w:t>
      </w:r>
    </w:p>
    <w:p w14:paraId="5B379FA7">
      <w:pPr>
        <w:spacing w:line="360" w:lineRule="auto"/>
        <w:ind w:firstLine="480"/>
        <w:rPr>
          <w:rFonts w:hint="eastAsia"/>
          <w:bCs/>
          <w:color w:val="auto"/>
          <w:sz w:val="24"/>
        </w:rPr>
      </w:pPr>
      <w:r>
        <w:rPr>
          <w:rFonts w:hint="eastAsia"/>
          <w:bCs/>
          <w:color w:val="auto"/>
          <w:sz w:val="24"/>
        </w:rPr>
        <w:t>5.1 项目的必要性简述</w:t>
      </w:r>
    </w:p>
    <w:p w14:paraId="5C726AB1">
      <w:pPr>
        <w:ind w:firstLine="480" w:firstLineChars="200"/>
        <w:rPr>
          <w:rFonts w:hint="default" w:ascii="宋体" w:hAnsi="Times New Roman" w:eastAsia="宋体" w:cs="Times New Roman"/>
          <w:color w:val="auto"/>
          <w:kern w:val="0"/>
          <w:sz w:val="24"/>
          <w:szCs w:val="24"/>
          <w:lang w:val="en-US" w:eastAsia="zh-CN" w:bidi="ar-SA"/>
        </w:rPr>
      </w:pPr>
      <w:r>
        <w:rPr>
          <w:rFonts w:hint="eastAsia"/>
          <w:bCs/>
          <w:color w:val="auto"/>
          <w:sz w:val="24"/>
          <w:lang w:val="en-US" w:eastAsia="zh-CN"/>
        </w:rPr>
        <w:t>甲醇</w:t>
      </w:r>
      <w:r>
        <w:rPr>
          <w:rFonts w:hint="eastAsia"/>
          <w:bCs/>
          <w:color w:val="auto"/>
          <w:sz w:val="24"/>
        </w:rPr>
        <w:t>羰基化</w:t>
      </w:r>
      <w:r>
        <w:rPr>
          <w:rFonts w:hint="eastAsia"/>
          <w:bCs/>
          <w:color w:val="auto"/>
          <w:sz w:val="24"/>
          <w:lang w:val="en-US" w:eastAsia="zh-CN"/>
        </w:rPr>
        <w:t>合成醋酸有很多种类的催化剂，第一代为钴、第二代为镍，由于反应条件苛刻，逐步开发出第三代铑催化剂，筛选出比较合适的铑催化剂为醋酸铑和三碘化铑，由于</w:t>
      </w:r>
      <w:r>
        <w:rPr>
          <w:rFonts w:hint="eastAsia" w:ascii="宋体" w:hAnsi="Times New Roman" w:eastAsia="宋体" w:cs="Times New Roman"/>
          <w:color w:val="auto"/>
          <w:kern w:val="0"/>
          <w:sz w:val="24"/>
          <w:szCs w:val="24"/>
          <w:lang w:val="en-US" w:eastAsia="zh-CN" w:bidi="ar-SA"/>
        </w:rPr>
        <w:t>三碘化铑具有高选择性、高转化率、副产物少、反应条件温和等特点，</w:t>
      </w:r>
      <w:r>
        <w:rPr>
          <w:rFonts w:hint="eastAsia" w:ascii="宋体" w:cs="Times New Roman"/>
          <w:color w:val="auto"/>
          <w:kern w:val="0"/>
          <w:sz w:val="24"/>
          <w:szCs w:val="24"/>
          <w:lang w:val="en-US" w:eastAsia="zh-CN" w:bidi="ar-SA"/>
        </w:rPr>
        <w:t>且合成相对较醋酸铑简单，易于规模化生产，</w:t>
      </w:r>
      <w:r>
        <w:rPr>
          <w:rFonts w:hint="eastAsia" w:ascii="宋体" w:hAnsi="Times New Roman" w:eastAsia="宋体" w:cs="Times New Roman"/>
          <w:color w:val="auto"/>
          <w:kern w:val="0"/>
          <w:sz w:val="24"/>
          <w:szCs w:val="24"/>
          <w:lang w:val="en-US" w:eastAsia="zh-CN" w:bidi="ar-SA"/>
        </w:rPr>
        <w:t>被广泛用于在</w:t>
      </w:r>
      <w:r>
        <w:rPr>
          <w:rFonts w:hint="eastAsia" w:ascii="宋体" w:cs="Times New Roman"/>
          <w:color w:val="auto"/>
          <w:kern w:val="0"/>
          <w:sz w:val="24"/>
          <w:szCs w:val="24"/>
          <w:lang w:val="en-US" w:eastAsia="zh-CN" w:bidi="ar-SA"/>
        </w:rPr>
        <w:t>甲醇</w:t>
      </w:r>
      <w:r>
        <w:rPr>
          <w:rFonts w:hint="eastAsia" w:ascii="宋体" w:hAnsi="Times New Roman" w:eastAsia="宋体" w:cs="Times New Roman"/>
          <w:color w:val="auto"/>
          <w:kern w:val="0"/>
          <w:sz w:val="24"/>
          <w:szCs w:val="24"/>
          <w:lang w:val="en-US" w:eastAsia="zh-CN" w:bidi="ar-SA"/>
        </w:rPr>
        <w:t>羰基化生产</w:t>
      </w:r>
      <w:r>
        <w:rPr>
          <w:rFonts w:hint="eastAsia" w:ascii="宋体" w:cs="Times New Roman"/>
          <w:color w:val="auto"/>
          <w:kern w:val="0"/>
          <w:sz w:val="24"/>
          <w:szCs w:val="24"/>
          <w:lang w:val="en-US" w:eastAsia="zh-CN" w:bidi="ar-SA"/>
        </w:rPr>
        <w:t>醋酸</w:t>
      </w:r>
      <w:r>
        <w:rPr>
          <w:rFonts w:hint="eastAsia" w:ascii="宋体" w:hAnsi="Times New Roman" w:eastAsia="宋体" w:cs="Times New Roman"/>
          <w:color w:val="auto"/>
          <w:kern w:val="0"/>
          <w:sz w:val="24"/>
          <w:szCs w:val="24"/>
          <w:lang w:val="en-US" w:eastAsia="zh-CN" w:bidi="ar-SA"/>
        </w:rPr>
        <w:t>的</w:t>
      </w:r>
      <w:r>
        <w:rPr>
          <w:rFonts w:hint="eastAsia" w:ascii="宋体" w:cs="Times New Roman"/>
          <w:color w:val="auto"/>
          <w:kern w:val="0"/>
          <w:sz w:val="24"/>
          <w:szCs w:val="24"/>
          <w:lang w:val="en-US" w:eastAsia="zh-CN" w:bidi="ar-SA"/>
        </w:rPr>
        <w:t>产业</w:t>
      </w:r>
      <w:r>
        <w:rPr>
          <w:rFonts w:hint="eastAsia" w:ascii="宋体" w:hAnsi="Times New Roman" w:eastAsia="宋体" w:cs="Times New Roman"/>
          <w:color w:val="auto"/>
          <w:kern w:val="0"/>
          <w:sz w:val="24"/>
          <w:szCs w:val="24"/>
          <w:lang w:val="en-US" w:eastAsia="zh-CN" w:bidi="ar-SA"/>
        </w:rPr>
        <w:t>上。醋酸作为较基本的化工材料，广泛应用于</w:t>
      </w:r>
      <w:r>
        <w:rPr>
          <w:rFonts w:hint="default" w:ascii="宋体" w:hAnsi="Times New Roman" w:eastAsia="宋体" w:cs="Times New Roman"/>
          <w:color w:val="auto"/>
          <w:kern w:val="0"/>
          <w:sz w:val="24"/>
          <w:szCs w:val="24"/>
          <w:lang w:val="en-US" w:eastAsia="zh-CN" w:bidi="ar-SA"/>
        </w:rPr>
        <w:t>主要用于醋酸乙烯、醋酐、醋酸纤维、醋酸酯和金属醋酸盐等，也用作农药、医药和染料等工业的溶剂和原料，在照相药品制造、织物印染和橡胶工业中都有广泛用途。它在</w:t>
      </w:r>
    </w:p>
    <w:p w14:paraId="02CE8DB5">
      <w:pPr>
        <w:rPr>
          <w:rFonts w:hint="default" w:ascii="宋体" w:hAnsi="Times New Roman" w:eastAsia="宋体" w:cs="Times New Roman"/>
          <w:color w:val="auto"/>
          <w:kern w:val="0"/>
          <w:sz w:val="24"/>
          <w:szCs w:val="24"/>
          <w:lang w:val="en-US" w:eastAsia="zh-CN" w:bidi="ar-SA"/>
        </w:rPr>
      </w:pPr>
      <w:r>
        <w:rPr>
          <w:rFonts w:hint="default" w:ascii="宋体" w:hAnsi="Times New Roman" w:eastAsia="宋体" w:cs="Times New Roman"/>
          <w:color w:val="auto"/>
          <w:kern w:val="0"/>
          <w:sz w:val="24"/>
          <w:szCs w:val="24"/>
          <w:lang w:val="en-US" w:eastAsia="zh-CN" w:bidi="ar-SA"/>
        </w:rPr>
        <w:t>有机化学工业中处于重要地位。</w:t>
      </w:r>
    </w:p>
    <w:p w14:paraId="6E3A011A">
      <w:pPr>
        <w:ind w:firstLine="480" w:firstLineChars="200"/>
        <w:rPr>
          <w:rFonts w:hint="eastAsia" w:ascii="宋体" w:hAnsi="Times New Roman" w:eastAsia="宋体" w:cs="Times New Roman"/>
          <w:color w:val="auto"/>
          <w:kern w:val="0"/>
          <w:sz w:val="24"/>
          <w:szCs w:val="24"/>
          <w:lang w:val="en-US" w:eastAsia="zh-CN" w:bidi="ar-SA"/>
        </w:rPr>
      </w:pPr>
      <w:r>
        <w:rPr>
          <w:rFonts w:hint="eastAsia" w:ascii="宋体" w:hAnsi="Times New Roman" w:eastAsia="宋体" w:cs="Times New Roman"/>
          <w:color w:val="auto"/>
          <w:kern w:val="0"/>
          <w:sz w:val="24"/>
          <w:szCs w:val="24"/>
          <w:lang w:val="en-US" w:eastAsia="zh-CN" w:bidi="ar-SA"/>
        </w:rPr>
        <w:t>目前我国醋酸、醋酐产业正处于蓬勃发展阶段，</w:t>
      </w:r>
      <w:r>
        <w:rPr>
          <w:rFonts w:hint="eastAsia" w:ascii="宋体" w:cs="Times New Roman"/>
          <w:color w:val="auto"/>
          <w:kern w:val="0"/>
          <w:sz w:val="24"/>
          <w:szCs w:val="24"/>
          <w:lang w:val="en-US" w:eastAsia="zh-CN" w:bidi="ar-SA"/>
        </w:rPr>
        <w:t>据调研，国内三碘化铑的需求量约10吨/年，</w:t>
      </w:r>
      <w:r>
        <w:rPr>
          <w:rFonts w:hint="eastAsia" w:ascii="宋体" w:hAnsi="Times New Roman" w:eastAsia="宋体" w:cs="Times New Roman"/>
          <w:color w:val="auto"/>
          <w:kern w:val="0"/>
          <w:sz w:val="24"/>
          <w:szCs w:val="24"/>
          <w:lang w:val="en-US" w:eastAsia="zh-CN" w:bidi="ar-SA"/>
        </w:rPr>
        <w:t>随着</w:t>
      </w:r>
      <w:r>
        <w:rPr>
          <w:rFonts w:hint="eastAsia" w:ascii="宋体" w:cs="Times New Roman"/>
          <w:color w:val="auto"/>
          <w:kern w:val="0"/>
          <w:sz w:val="24"/>
          <w:szCs w:val="24"/>
          <w:lang w:val="en-US" w:eastAsia="zh-CN" w:bidi="ar-SA"/>
        </w:rPr>
        <w:t>双碳政策的执行，</w:t>
      </w:r>
      <w:r>
        <w:rPr>
          <w:rFonts w:hint="eastAsia" w:ascii="宋体" w:hAnsi="Times New Roman" w:eastAsia="宋体" w:cs="Times New Roman"/>
          <w:color w:val="auto"/>
          <w:kern w:val="0"/>
          <w:sz w:val="24"/>
          <w:szCs w:val="24"/>
          <w:lang w:val="en-US" w:eastAsia="zh-CN" w:bidi="ar-SA"/>
        </w:rPr>
        <w:t>煤化工和石油化工行业</w:t>
      </w:r>
      <w:r>
        <w:rPr>
          <w:rFonts w:hint="eastAsia" w:ascii="宋体" w:cs="Times New Roman"/>
          <w:color w:val="auto"/>
          <w:kern w:val="0"/>
          <w:sz w:val="24"/>
          <w:szCs w:val="24"/>
          <w:lang w:val="en-US" w:eastAsia="zh-CN" w:bidi="ar-SA"/>
        </w:rPr>
        <w:t>必将面临将碳排放的压力，不得不进行产业升级，必须将要排放的CO转化为含碳产品，有机合成中，含CO可以与醇反应，生成羧酸，CO和H与烯烃反应，生成醛，醛水解生成醇，将要排放的气体转化为经济价值更高的产品</w:t>
      </w:r>
      <w:r>
        <w:rPr>
          <w:rFonts w:hint="eastAsia" w:ascii="宋体" w:hAnsi="Times New Roman" w:eastAsia="宋体" w:cs="Times New Roman"/>
          <w:color w:val="auto"/>
          <w:kern w:val="0"/>
          <w:sz w:val="24"/>
          <w:szCs w:val="24"/>
          <w:lang w:val="en-US" w:eastAsia="zh-CN" w:bidi="ar-SA"/>
        </w:rPr>
        <w:t>，</w:t>
      </w:r>
      <w:r>
        <w:rPr>
          <w:rFonts w:hint="eastAsia" w:ascii="宋体" w:cs="Times New Roman"/>
          <w:color w:val="auto"/>
          <w:kern w:val="0"/>
          <w:sz w:val="24"/>
          <w:szCs w:val="24"/>
          <w:lang w:val="en-US" w:eastAsia="zh-CN" w:bidi="ar-SA"/>
        </w:rPr>
        <w:t>同时也减少了碳排放。</w:t>
      </w:r>
      <w:r>
        <w:rPr>
          <w:rFonts w:hint="eastAsia" w:ascii="宋体" w:hAnsi="Times New Roman" w:eastAsia="宋体" w:cs="Times New Roman"/>
          <w:color w:val="auto"/>
          <w:kern w:val="0"/>
          <w:sz w:val="24"/>
          <w:szCs w:val="24"/>
          <w:lang w:val="en-US" w:eastAsia="zh-CN" w:bidi="ar-SA"/>
        </w:rPr>
        <w:t>三碘化铑作为甲醇羰基化生产醋酸最</w:t>
      </w:r>
      <w:r>
        <w:rPr>
          <w:rFonts w:hint="eastAsia" w:ascii="宋体" w:cs="Times New Roman"/>
          <w:color w:val="auto"/>
          <w:kern w:val="0"/>
          <w:sz w:val="24"/>
          <w:szCs w:val="24"/>
          <w:lang w:val="en-US" w:eastAsia="zh-CN" w:bidi="ar-SA"/>
        </w:rPr>
        <w:t>合适</w:t>
      </w:r>
      <w:r>
        <w:rPr>
          <w:rFonts w:hint="eastAsia" w:ascii="宋体" w:hAnsi="Times New Roman" w:eastAsia="宋体" w:cs="Times New Roman"/>
          <w:color w:val="auto"/>
          <w:kern w:val="0"/>
          <w:sz w:val="24"/>
          <w:szCs w:val="24"/>
          <w:lang w:val="en-US" w:eastAsia="zh-CN" w:bidi="ar-SA"/>
        </w:rPr>
        <w:t>的催化剂，</w:t>
      </w:r>
      <w:r>
        <w:rPr>
          <w:rFonts w:hint="eastAsia" w:ascii="宋体" w:cs="Times New Roman"/>
          <w:color w:val="auto"/>
          <w:kern w:val="0"/>
          <w:sz w:val="24"/>
          <w:szCs w:val="24"/>
          <w:lang w:val="en-US" w:eastAsia="zh-CN" w:bidi="ar-SA"/>
        </w:rPr>
        <w:t>对促进醋酸行业的发，</w:t>
      </w:r>
      <w:r>
        <w:rPr>
          <w:rFonts w:hint="eastAsia" w:ascii="宋体" w:hAnsi="Times New Roman" w:eastAsia="宋体" w:cs="Times New Roman"/>
          <w:color w:val="auto"/>
          <w:kern w:val="0"/>
          <w:sz w:val="24"/>
          <w:szCs w:val="24"/>
          <w:lang w:val="en-US" w:eastAsia="zh-CN" w:bidi="ar-SA"/>
        </w:rPr>
        <w:t>振兴我国民族产业具有重要意义，也</w:t>
      </w:r>
      <w:r>
        <w:rPr>
          <w:rFonts w:hint="eastAsia" w:ascii="宋体" w:cs="Times New Roman"/>
          <w:color w:val="auto"/>
          <w:kern w:val="0"/>
          <w:sz w:val="24"/>
          <w:szCs w:val="24"/>
          <w:lang w:val="en-US" w:eastAsia="zh-CN" w:bidi="ar-SA"/>
        </w:rPr>
        <w:t>与国家的双碳政策相</w:t>
      </w:r>
      <w:r>
        <w:rPr>
          <w:rFonts w:hint="eastAsia" w:ascii="宋体" w:hAnsi="Times New Roman" w:eastAsia="宋体" w:cs="Times New Roman"/>
          <w:color w:val="auto"/>
          <w:kern w:val="0"/>
          <w:sz w:val="24"/>
          <w:szCs w:val="24"/>
          <w:lang w:val="en-US" w:eastAsia="zh-CN" w:bidi="ar-SA"/>
        </w:rPr>
        <w:t>符合。三碘化铑黑色粉末，不溶于水，可溶于热的</w:t>
      </w:r>
      <w:r>
        <w:rPr>
          <w:rFonts w:hint="eastAsia" w:ascii="宋体" w:cs="Times New Roman"/>
          <w:color w:val="auto"/>
          <w:kern w:val="0"/>
          <w:sz w:val="24"/>
          <w:szCs w:val="24"/>
          <w:lang w:val="en-US" w:eastAsia="zh-CN" w:bidi="ar-SA"/>
        </w:rPr>
        <w:t>硝硫混酸。</w:t>
      </w:r>
      <w:r>
        <w:rPr>
          <w:rFonts w:hint="eastAsia" w:ascii="宋体" w:hAnsi="Times New Roman" w:eastAsia="宋体" w:cs="Times New Roman"/>
          <w:color w:val="auto"/>
          <w:kern w:val="0"/>
          <w:sz w:val="24"/>
          <w:szCs w:val="24"/>
          <w:lang w:val="en-US" w:eastAsia="zh-CN" w:bidi="ar-SA"/>
        </w:rPr>
        <w:t>原有三碘化铑行业标准（标准号：YS/T 941-2013）规定了三碘化铑的要求、试验方法、检验规则和标志、包装、运输、贮存及订货单内容，但限于产品标准修订时的认知及产业发展水平，原有标准对技术指标及检测方法等方面的规定已经不能与现有水平相适应，且易于产生不必要的纠纷。随着</w:t>
      </w:r>
      <w:r>
        <w:rPr>
          <w:rFonts w:hint="eastAsia" w:ascii="宋体" w:cs="Times New Roman"/>
          <w:color w:val="auto"/>
          <w:kern w:val="0"/>
          <w:sz w:val="24"/>
          <w:szCs w:val="24"/>
          <w:lang w:val="en-US" w:eastAsia="zh-CN" w:bidi="ar-SA"/>
        </w:rPr>
        <w:t>对产品性能了解的深入和对产品使用水平的提高，且</w:t>
      </w:r>
      <w:r>
        <w:rPr>
          <w:rFonts w:hint="eastAsia" w:ascii="宋体" w:hAnsi="Times New Roman" w:eastAsia="宋体" w:cs="Times New Roman"/>
          <w:color w:val="auto"/>
          <w:kern w:val="0"/>
          <w:sz w:val="24"/>
          <w:szCs w:val="24"/>
          <w:lang w:val="en-US" w:eastAsia="zh-CN" w:bidi="ar-SA"/>
        </w:rPr>
        <w:t>相关检测设备与检测技术的不断更新进步，原有</w:t>
      </w:r>
      <w:r>
        <w:rPr>
          <w:rFonts w:hint="eastAsia" w:ascii="宋体" w:cs="Times New Roman"/>
          <w:color w:val="auto"/>
          <w:kern w:val="0"/>
          <w:sz w:val="24"/>
          <w:szCs w:val="24"/>
          <w:lang w:val="en-US" w:eastAsia="zh-CN" w:bidi="ar-SA"/>
        </w:rPr>
        <w:t>的技术指标和</w:t>
      </w:r>
      <w:r>
        <w:rPr>
          <w:rFonts w:hint="eastAsia" w:ascii="宋体" w:hAnsi="Times New Roman" w:eastAsia="宋体" w:cs="Times New Roman"/>
          <w:color w:val="auto"/>
          <w:kern w:val="0"/>
          <w:sz w:val="24"/>
          <w:szCs w:val="24"/>
          <w:lang w:val="en-US" w:eastAsia="zh-CN" w:bidi="ar-SA"/>
        </w:rPr>
        <w:t>检测方面的相关规定需要进一步的改进。同时，随着三碘化铑应用领域的日益广泛以及应用水平的不断发展进步，对三碘化铑的质量要求也越来越高，为保证产品质量及更好满足产品使用要求，建立三碘化铑新的技术指标是很有必要的，同时也要求检测方法</w:t>
      </w:r>
      <w:r>
        <w:rPr>
          <w:rFonts w:hint="eastAsia" w:ascii="宋体" w:cs="Times New Roman"/>
          <w:color w:val="auto"/>
          <w:kern w:val="0"/>
          <w:sz w:val="24"/>
          <w:szCs w:val="24"/>
          <w:lang w:val="en-US" w:eastAsia="zh-CN" w:bidi="ar-SA"/>
        </w:rPr>
        <w:t>操作简捷快速</w:t>
      </w:r>
      <w:r>
        <w:rPr>
          <w:rFonts w:hint="eastAsia" w:ascii="宋体" w:hAnsi="Times New Roman" w:eastAsia="宋体" w:cs="Times New Roman"/>
          <w:color w:val="auto"/>
          <w:kern w:val="0"/>
          <w:sz w:val="24"/>
          <w:szCs w:val="24"/>
          <w:lang w:val="en-US" w:eastAsia="zh-CN" w:bidi="ar-SA"/>
        </w:rPr>
        <w:t>，检测结果精确可信。为更好满足产品使用要求</w:t>
      </w:r>
      <w:r>
        <w:rPr>
          <w:rFonts w:hint="eastAsia" w:ascii="宋体" w:cs="Times New Roman"/>
          <w:color w:val="auto"/>
          <w:kern w:val="0"/>
          <w:sz w:val="24"/>
          <w:szCs w:val="24"/>
          <w:lang w:val="en-US" w:eastAsia="zh-CN" w:bidi="ar-SA"/>
        </w:rPr>
        <w:t>、</w:t>
      </w:r>
      <w:r>
        <w:rPr>
          <w:rFonts w:hint="eastAsia" w:ascii="宋体" w:hAnsi="Times New Roman" w:eastAsia="宋体" w:cs="Times New Roman"/>
          <w:color w:val="auto"/>
          <w:kern w:val="0"/>
          <w:sz w:val="24"/>
          <w:szCs w:val="24"/>
          <w:lang w:val="en-US" w:eastAsia="zh-CN" w:bidi="ar-SA"/>
        </w:rPr>
        <w:t>规范生产</w:t>
      </w:r>
      <w:r>
        <w:rPr>
          <w:rFonts w:hint="eastAsia" w:ascii="宋体" w:cs="Times New Roman"/>
          <w:color w:val="auto"/>
          <w:kern w:val="0"/>
          <w:sz w:val="24"/>
          <w:szCs w:val="24"/>
          <w:lang w:val="en-US" w:eastAsia="zh-CN" w:bidi="ar-SA"/>
        </w:rPr>
        <w:t>、</w:t>
      </w:r>
      <w:r>
        <w:rPr>
          <w:rFonts w:hint="eastAsia" w:ascii="宋体" w:hAnsi="Times New Roman" w:eastAsia="宋体" w:cs="Times New Roman"/>
          <w:color w:val="auto"/>
          <w:kern w:val="0"/>
          <w:sz w:val="24"/>
          <w:szCs w:val="24"/>
          <w:lang w:val="en-US" w:eastAsia="zh-CN" w:bidi="ar-SA"/>
        </w:rPr>
        <w:t>保证质量</w:t>
      </w:r>
      <w:r>
        <w:rPr>
          <w:rFonts w:hint="eastAsia" w:ascii="宋体" w:cs="Times New Roman"/>
          <w:color w:val="auto"/>
          <w:kern w:val="0"/>
          <w:sz w:val="24"/>
          <w:szCs w:val="24"/>
          <w:lang w:val="en-US" w:eastAsia="zh-CN" w:bidi="ar-SA"/>
        </w:rPr>
        <w:t>、平衡各相关方的需求、保障各方的利益和</w:t>
      </w:r>
      <w:r>
        <w:rPr>
          <w:rFonts w:hint="eastAsia" w:ascii="宋体" w:hAnsi="Times New Roman" w:eastAsia="宋体" w:cs="Times New Roman"/>
          <w:color w:val="auto"/>
          <w:kern w:val="0"/>
          <w:sz w:val="24"/>
          <w:szCs w:val="24"/>
          <w:lang w:val="en-US" w:eastAsia="zh-CN" w:bidi="ar-SA"/>
        </w:rPr>
        <w:t>促进行业</w:t>
      </w:r>
      <w:r>
        <w:rPr>
          <w:rFonts w:hint="eastAsia" w:ascii="宋体" w:cs="Times New Roman"/>
          <w:color w:val="auto"/>
          <w:kern w:val="0"/>
          <w:sz w:val="24"/>
          <w:szCs w:val="24"/>
          <w:lang w:val="en-US" w:eastAsia="zh-CN" w:bidi="ar-SA"/>
        </w:rPr>
        <w:t>的</w:t>
      </w:r>
      <w:r>
        <w:rPr>
          <w:rFonts w:hint="eastAsia" w:ascii="宋体" w:hAnsi="Times New Roman" w:eastAsia="宋体" w:cs="Times New Roman"/>
          <w:color w:val="auto"/>
          <w:kern w:val="0"/>
          <w:sz w:val="24"/>
          <w:szCs w:val="24"/>
          <w:lang w:val="en-US" w:eastAsia="zh-CN" w:bidi="ar-SA"/>
        </w:rPr>
        <w:t>进步，尽快修订此产品标准显得极为重要。</w:t>
      </w:r>
    </w:p>
    <w:p w14:paraId="13D1D833">
      <w:pPr>
        <w:ind w:firstLine="480" w:firstLineChars="200"/>
        <w:rPr>
          <w:rFonts w:hint="eastAsia" w:ascii="宋体" w:hAnsi="Times New Roman" w:eastAsia="宋体" w:cs="Times New Roman"/>
          <w:color w:val="auto"/>
          <w:kern w:val="0"/>
          <w:sz w:val="24"/>
          <w:szCs w:val="24"/>
          <w:lang w:val="en-US" w:eastAsia="zh-CN" w:bidi="ar-SA"/>
        </w:rPr>
      </w:pPr>
    </w:p>
    <w:p w14:paraId="534EB5AE">
      <w:pPr>
        <w:ind w:firstLine="480" w:firstLineChars="200"/>
        <w:rPr>
          <w:rFonts w:hint="eastAsia" w:ascii="宋体" w:hAnsi="Times New Roman" w:eastAsia="宋体" w:cs="Times New Roman"/>
          <w:color w:val="auto"/>
          <w:kern w:val="0"/>
          <w:sz w:val="24"/>
          <w:szCs w:val="24"/>
          <w:lang w:val="en-US" w:eastAsia="zh-CN" w:bidi="ar-SA"/>
        </w:rPr>
      </w:pPr>
      <w:r>
        <w:rPr>
          <w:rFonts w:hint="eastAsia" w:ascii="宋体" w:hAnsi="Times New Roman" w:eastAsia="宋体" w:cs="Times New Roman"/>
          <w:color w:val="auto"/>
          <w:kern w:val="0"/>
          <w:sz w:val="24"/>
          <w:szCs w:val="24"/>
          <w:lang w:val="en-US" w:eastAsia="zh-CN" w:bidi="ar-SA"/>
        </w:rPr>
        <w:t>5.2 项目的可行性简述</w:t>
      </w:r>
    </w:p>
    <w:p w14:paraId="195ED883">
      <w:pPr>
        <w:ind w:firstLine="480" w:firstLineChars="200"/>
        <w:rPr>
          <w:rFonts w:hint="eastAsia" w:ascii="宋体" w:hAnsi="Times New Roman" w:eastAsia="宋体" w:cs="Times New Roman"/>
          <w:color w:val="auto"/>
          <w:kern w:val="0"/>
          <w:sz w:val="24"/>
          <w:szCs w:val="24"/>
          <w:lang w:val="en-US" w:eastAsia="zh-CN" w:bidi="ar-SA"/>
        </w:rPr>
      </w:pPr>
      <w:bookmarkStart w:id="7" w:name="_Hlk139282272"/>
      <w:r>
        <w:rPr>
          <w:rFonts w:hint="eastAsia" w:ascii="宋体" w:hAnsi="Times New Roman" w:eastAsia="宋体" w:cs="Times New Roman"/>
          <w:color w:val="auto"/>
          <w:kern w:val="0"/>
          <w:sz w:val="24"/>
          <w:szCs w:val="24"/>
          <w:lang w:val="en-US" w:eastAsia="zh-CN" w:bidi="ar-SA"/>
        </w:rPr>
        <w:t>贵研化学材料（云南）有限公司</w:t>
      </w:r>
      <w:bookmarkEnd w:id="7"/>
      <w:r>
        <w:rPr>
          <w:rFonts w:hint="eastAsia" w:ascii="宋体" w:hAnsi="Times New Roman" w:eastAsia="宋体" w:cs="Times New Roman"/>
          <w:color w:val="auto"/>
          <w:kern w:val="0"/>
          <w:sz w:val="24"/>
          <w:szCs w:val="24"/>
          <w:lang w:val="en-US" w:eastAsia="zh-CN" w:bidi="ar-SA"/>
        </w:rPr>
        <w:t>是由贵研铂业股份有限公司全资控股的一家子公司，其前身是贵研铂业股份有限公司环境材料事业部。是集贵金属系列功能材料研发、制造、销售于一体的高新技术企业，有各类工程技术和管理人员160余人，是我国目前铂族金属化合物的主要生产基地，产品用户遍布全国各行各业上百家企业。贵研化学材料（云南）有限公司近年来积极研究开发，逐步掌握了多种新型前驱体贵金属化合物的生产制备技术，推向市场的</w:t>
      </w:r>
      <w:r>
        <w:rPr>
          <w:rFonts w:hint="eastAsia" w:ascii="宋体" w:cs="Times New Roman"/>
          <w:color w:val="auto"/>
          <w:kern w:val="0"/>
          <w:sz w:val="24"/>
          <w:szCs w:val="24"/>
          <w:lang w:val="en-US" w:eastAsia="zh-CN" w:bidi="ar-SA"/>
        </w:rPr>
        <w:t>三碘化铑</w:t>
      </w:r>
      <w:r>
        <w:rPr>
          <w:rFonts w:hint="eastAsia" w:ascii="宋体" w:hAnsi="Times New Roman" w:eastAsia="宋体" w:cs="Times New Roman"/>
          <w:color w:val="auto"/>
          <w:kern w:val="0"/>
          <w:sz w:val="24"/>
          <w:szCs w:val="24"/>
          <w:lang w:val="en-US" w:eastAsia="zh-CN" w:bidi="ar-SA"/>
        </w:rPr>
        <w:t>等产品已被部分厂家使用，效果良好。相关研发技术人员近年来对</w:t>
      </w:r>
      <w:r>
        <w:rPr>
          <w:rFonts w:hint="eastAsia" w:ascii="宋体" w:cs="Times New Roman"/>
          <w:color w:val="auto"/>
          <w:kern w:val="0"/>
          <w:sz w:val="24"/>
          <w:szCs w:val="24"/>
          <w:lang w:val="en-US" w:eastAsia="zh-CN" w:bidi="ar-SA"/>
        </w:rPr>
        <w:t>三碘化铑</w:t>
      </w:r>
      <w:r>
        <w:rPr>
          <w:rFonts w:hint="eastAsia" w:ascii="宋体" w:hAnsi="Times New Roman" w:eastAsia="宋体" w:cs="Times New Roman"/>
          <w:color w:val="auto"/>
          <w:kern w:val="0"/>
          <w:sz w:val="24"/>
          <w:szCs w:val="24"/>
          <w:lang w:val="en-US" w:eastAsia="zh-CN" w:bidi="ar-SA"/>
        </w:rPr>
        <w:t>的生产工艺研究较为深入，解决了一系列合成难点，明确了保证产品质量的关键工艺控制点，合成工艺成熟，产品质量稳定，已建立完整生产线，能进行大批量生产，且制定了该产品的作业指导书，规定了内控标准，相关项目检测方法及手段较为成熟，为后续标准的制定及实施提供了坚实的技术保障，且可提供必要的经费支持。</w:t>
      </w:r>
    </w:p>
    <w:p w14:paraId="0E02BBC8">
      <w:pPr>
        <w:ind w:firstLine="480" w:firstLineChars="200"/>
        <w:rPr>
          <w:rFonts w:hint="eastAsia" w:ascii="宋体" w:hAnsi="Times New Roman" w:eastAsia="宋体" w:cs="Times New Roman"/>
          <w:color w:val="auto"/>
          <w:kern w:val="0"/>
          <w:sz w:val="24"/>
          <w:szCs w:val="24"/>
          <w:lang w:val="en-US" w:eastAsia="zh-CN" w:bidi="ar-SA"/>
        </w:rPr>
      </w:pPr>
    </w:p>
    <w:p w14:paraId="13FA5A04">
      <w:pPr>
        <w:ind w:firstLine="480" w:firstLineChars="200"/>
        <w:rPr>
          <w:rFonts w:hint="eastAsia" w:ascii="宋体" w:hAnsi="Times New Roman" w:eastAsia="宋体" w:cs="Times New Roman"/>
          <w:color w:val="auto"/>
          <w:kern w:val="0"/>
          <w:sz w:val="24"/>
          <w:szCs w:val="24"/>
          <w:lang w:val="en-US" w:eastAsia="zh-CN" w:bidi="ar-SA"/>
        </w:rPr>
      </w:pPr>
    </w:p>
    <w:p w14:paraId="4D8F27BB">
      <w:pPr>
        <w:ind w:firstLine="480" w:firstLineChars="200"/>
        <w:rPr>
          <w:rFonts w:hint="eastAsia" w:ascii="宋体" w:hAnsi="Times New Roman" w:eastAsia="宋体" w:cs="Times New Roman"/>
          <w:color w:val="auto"/>
          <w:kern w:val="0"/>
          <w:sz w:val="24"/>
          <w:szCs w:val="24"/>
          <w:lang w:val="en-US" w:eastAsia="zh-CN" w:bidi="ar-SA"/>
        </w:rPr>
      </w:pPr>
      <w:r>
        <w:rPr>
          <w:rFonts w:hint="eastAsia" w:ascii="宋体" w:hAnsi="Times New Roman" w:eastAsia="宋体" w:cs="Times New Roman"/>
          <w:color w:val="auto"/>
          <w:kern w:val="0"/>
          <w:sz w:val="24"/>
          <w:szCs w:val="24"/>
          <w:lang w:val="en-US" w:eastAsia="zh-CN" w:bidi="ar-SA"/>
        </w:rPr>
        <w:t>5.3 标准的先进性、创新性、标准实施后预期产生的经济效益和社会效益</w:t>
      </w:r>
    </w:p>
    <w:p w14:paraId="73EF7D1E">
      <w:pPr>
        <w:ind w:firstLine="480" w:firstLineChars="200"/>
        <w:rPr>
          <w:rFonts w:hint="eastAsia" w:ascii="宋体" w:hAnsi="Times New Roman" w:eastAsia="宋体" w:cs="Times New Roman"/>
          <w:color w:val="auto"/>
          <w:kern w:val="0"/>
          <w:sz w:val="24"/>
          <w:szCs w:val="24"/>
          <w:lang w:val="en-US" w:eastAsia="zh-CN" w:bidi="ar-SA"/>
        </w:rPr>
      </w:pPr>
      <w:r>
        <w:rPr>
          <w:rFonts w:hint="eastAsia" w:ascii="宋体" w:hAnsi="Times New Roman" w:eastAsia="宋体" w:cs="Times New Roman"/>
          <w:color w:val="auto"/>
          <w:kern w:val="0"/>
          <w:sz w:val="24"/>
          <w:szCs w:val="24"/>
          <w:lang w:val="en-US" w:eastAsia="zh-CN" w:bidi="ar-SA"/>
        </w:rPr>
        <w:t>修订定本产品的行业标准，规范产品技术要求，有利于用户了解产品规格、性能等技术指标，从而正确使用产品，对于三碘化铑在醋酸行业推广应用具有重大意义，同时也也有利于规范市场，提高产品竞争力。通过三碘化铑行业标准的修订并实施，将进一步促进三碘化铑在醋酸行业中的应用，同时对提高产品质量，促进三碘化铑生产行业技术进步具有重要意义，</w:t>
      </w:r>
      <w:r>
        <w:rPr>
          <w:rFonts w:hint="eastAsia" w:ascii="宋体" w:cs="Times New Roman"/>
          <w:color w:val="auto"/>
          <w:kern w:val="0"/>
          <w:sz w:val="24"/>
          <w:szCs w:val="24"/>
          <w:lang w:val="en-US" w:eastAsia="zh-CN" w:bidi="ar-SA"/>
        </w:rPr>
        <w:t>同时也将要排放的CO气体转化利用，符合国家的双碳目标，</w:t>
      </w:r>
      <w:r>
        <w:rPr>
          <w:rFonts w:hint="eastAsia" w:ascii="宋体" w:hAnsi="Times New Roman" w:eastAsia="宋体" w:cs="Times New Roman"/>
          <w:color w:val="auto"/>
          <w:kern w:val="0"/>
          <w:sz w:val="24"/>
          <w:szCs w:val="24"/>
          <w:lang w:val="en-US" w:eastAsia="zh-CN" w:bidi="ar-SA"/>
        </w:rPr>
        <w:t>必将产生巨大的经济效益和社会效益。</w:t>
      </w:r>
    </w:p>
    <w:p w14:paraId="04440C61">
      <w:pPr>
        <w:ind w:firstLine="480" w:firstLineChars="200"/>
        <w:rPr>
          <w:rFonts w:hint="eastAsia" w:ascii="宋体" w:hAnsi="Times New Roman" w:eastAsia="宋体" w:cs="Times New Roman"/>
          <w:color w:val="auto"/>
          <w:kern w:val="0"/>
          <w:sz w:val="24"/>
          <w:szCs w:val="24"/>
          <w:lang w:val="en-US" w:eastAsia="zh-CN" w:bidi="ar-SA"/>
        </w:rPr>
      </w:pPr>
      <w:r>
        <w:rPr>
          <w:rFonts w:hint="eastAsia" w:ascii="宋体" w:hAnsi="Times New Roman" w:eastAsia="宋体" w:cs="Times New Roman"/>
          <w:color w:val="auto"/>
          <w:kern w:val="0"/>
          <w:sz w:val="24"/>
          <w:szCs w:val="24"/>
          <w:lang w:val="en-US" w:eastAsia="zh-CN" w:bidi="ar-SA"/>
        </w:rPr>
        <w:t>六、采用国际标准和国外先进标准的情况</w:t>
      </w:r>
    </w:p>
    <w:p w14:paraId="022DD739">
      <w:pPr>
        <w:ind w:firstLine="480" w:firstLineChars="200"/>
        <w:rPr>
          <w:rFonts w:hint="eastAsia" w:ascii="宋体" w:hAnsi="Times New Roman" w:eastAsia="宋体" w:cs="Times New Roman"/>
          <w:color w:val="auto"/>
          <w:kern w:val="0"/>
          <w:sz w:val="24"/>
          <w:szCs w:val="24"/>
          <w:lang w:val="en-US" w:eastAsia="zh-CN" w:bidi="ar-SA"/>
        </w:rPr>
      </w:pPr>
      <w:r>
        <w:rPr>
          <w:rFonts w:hint="eastAsia" w:ascii="宋体" w:hAnsi="Times New Roman" w:eastAsia="宋体" w:cs="Times New Roman"/>
          <w:color w:val="auto"/>
          <w:kern w:val="0"/>
          <w:sz w:val="24"/>
          <w:szCs w:val="24"/>
          <w:lang w:val="en-US" w:eastAsia="zh-CN" w:bidi="ar-SA"/>
        </w:rPr>
        <w:t xml:space="preserve">  无采用国际标准和国外先进标准的情况。</w:t>
      </w:r>
    </w:p>
    <w:p w14:paraId="10E5D502">
      <w:pPr>
        <w:ind w:firstLine="480" w:firstLineChars="200"/>
        <w:rPr>
          <w:rFonts w:hint="eastAsia" w:ascii="宋体" w:hAnsi="Times New Roman" w:eastAsia="宋体" w:cs="Times New Roman"/>
          <w:color w:val="auto"/>
          <w:kern w:val="0"/>
          <w:sz w:val="24"/>
          <w:szCs w:val="24"/>
          <w:lang w:val="en-US" w:eastAsia="zh-CN" w:bidi="ar-SA"/>
        </w:rPr>
      </w:pPr>
    </w:p>
    <w:p w14:paraId="1FDCAD9F">
      <w:pPr>
        <w:ind w:firstLine="480" w:firstLineChars="200"/>
        <w:rPr>
          <w:rFonts w:hint="eastAsia" w:ascii="宋体" w:hAnsi="Times New Roman" w:eastAsia="宋体" w:cs="Times New Roman"/>
          <w:color w:val="auto"/>
          <w:kern w:val="0"/>
          <w:sz w:val="24"/>
          <w:szCs w:val="24"/>
          <w:lang w:val="en-US" w:eastAsia="zh-CN" w:bidi="ar-SA"/>
        </w:rPr>
      </w:pPr>
      <w:r>
        <w:rPr>
          <w:rFonts w:hint="eastAsia" w:ascii="宋体" w:hAnsi="Times New Roman" w:eastAsia="宋体" w:cs="Times New Roman"/>
          <w:color w:val="auto"/>
          <w:kern w:val="0"/>
          <w:sz w:val="24"/>
          <w:szCs w:val="24"/>
          <w:lang w:val="en-US" w:eastAsia="zh-CN" w:bidi="ar-SA"/>
        </w:rPr>
        <w:t>七、与现行相关法律、法规、规章及相关标准，特别是强制性国家标准的协调配套情况</w:t>
      </w:r>
    </w:p>
    <w:p w14:paraId="76ED17A3">
      <w:pPr>
        <w:ind w:firstLine="480" w:firstLineChars="200"/>
        <w:rPr>
          <w:rFonts w:hint="eastAsia" w:ascii="宋体" w:hAnsi="Times New Roman" w:eastAsia="宋体" w:cs="Times New Roman"/>
          <w:color w:val="auto"/>
          <w:kern w:val="0"/>
          <w:sz w:val="24"/>
          <w:szCs w:val="24"/>
          <w:lang w:val="en-US" w:eastAsia="zh-CN" w:bidi="ar-SA"/>
        </w:rPr>
      </w:pPr>
      <w:r>
        <w:rPr>
          <w:rFonts w:hint="eastAsia" w:ascii="宋体" w:hAnsi="Times New Roman" w:eastAsia="宋体" w:cs="Times New Roman"/>
          <w:color w:val="auto"/>
          <w:kern w:val="0"/>
          <w:sz w:val="24"/>
          <w:szCs w:val="24"/>
          <w:lang w:val="en-US" w:eastAsia="zh-CN" w:bidi="ar-SA"/>
        </w:rPr>
        <w:t>本标准属于其它有色金属标准体系“贵金属”类产品标准。标修订时，考虑到与国际标准和规范接轨，在规范性引用文件上按照我国标准体系进行了调整和编辑，并引用我国国家标准的最新版本，在标准的技术要求、试验方法、检验规则、标志、包装、运输和贮存等方面与国内相关标准协调一致；新制定的《</w:t>
      </w:r>
      <w:r>
        <w:rPr>
          <w:rFonts w:hint="eastAsia" w:ascii="宋体" w:cs="Times New Roman"/>
          <w:color w:val="auto"/>
          <w:kern w:val="0"/>
          <w:sz w:val="24"/>
          <w:szCs w:val="24"/>
          <w:lang w:val="en-US" w:eastAsia="zh-CN" w:bidi="ar-SA"/>
        </w:rPr>
        <w:t>三碘化铑</w:t>
      </w:r>
      <w:r>
        <w:rPr>
          <w:rFonts w:hint="eastAsia" w:ascii="宋体" w:hAnsi="Times New Roman" w:eastAsia="宋体" w:cs="Times New Roman"/>
          <w:color w:val="auto"/>
          <w:kern w:val="0"/>
          <w:sz w:val="24"/>
          <w:szCs w:val="24"/>
          <w:lang w:val="en-US" w:eastAsia="zh-CN" w:bidi="ar-SA"/>
        </w:rPr>
        <w:t>》标准条文精炼表达清楚，技术要求全面、准确、科学、合理；标准的格式和表达方式等方面完全执行了现行的国家标准和有关法规，符合GB/T 1.1的有关要求。本标准完全满足现行国家法规的要求，技术参数要求合理，格式规范，没有现行的法律、法规、规章制度等对其有要求，本领域没有强制性标准。</w:t>
      </w:r>
    </w:p>
    <w:p w14:paraId="21DC5D1B">
      <w:pPr>
        <w:ind w:firstLine="480" w:firstLineChars="200"/>
        <w:rPr>
          <w:rFonts w:hint="eastAsia" w:ascii="宋体" w:hAnsi="Times New Roman" w:eastAsia="宋体" w:cs="Times New Roman"/>
          <w:color w:val="auto"/>
          <w:kern w:val="0"/>
          <w:sz w:val="24"/>
          <w:szCs w:val="24"/>
          <w:lang w:val="en-US" w:eastAsia="zh-CN" w:bidi="ar-SA"/>
        </w:rPr>
      </w:pPr>
    </w:p>
    <w:p w14:paraId="099FD0C1">
      <w:pPr>
        <w:rPr>
          <w:b/>
          <w:color w:val="auto"/>
          <w:sz w:val="24"/>
        </w:rPr>
      </w:pPr>
      <w:r>
        <w:rPr>
          <w:rFonts w:hint="eastAsia"/>
          <w:b/>
          <w:color w:val="auto"/>
          <w:sz w:val="24"/>
        </w:rPr>
        <w:t>八、重大分歧意见的处理经过和依据</w:t>
      </w:r>
    </w:p>
    <w:p w14:paraId="5C7F5136">
      <w:pPr>
        <w:spacing w:line="360" w:lineRule="auto"/>
        <w:ind w:firstLine="480" w:firstLineChars="200"/>
        <w:rPr>
          <w:rFonts w:ascii="宋体" w:hAnsi="宋体"/>
          <w:color w:val="auto"/>
          <w:sz w:val="24"/>
        </w:rPr>
      </w:pPr>
      <w:r>
        <w:rPr>
          <w:rFonts w:hint="eastAsia" w:ascii="宋体" w:hAnsi="宋体"/>
          <w:color w:val="auto"/>
          <w:sz w:val="24"/>
        </w:rPr>
        <w:t>本标准属于有色金属领域专业基础标准，编制组根据起草前确定的编制原则进行了标准起草，标准起草过程中未发生重大分歧意见。</w:t>
      </w:r>
    </w:p>
    <w:p w14:paraId="1B6EDF3F">
      <w:pPr>
        <w:spacing w:line="360" w:lineRule="auto"/>
        <w:ind w:firstLine="480" w:firstLineChars="200"/>
        <w:rPr>
          <w:rFonts w:ascii="宋体" w:hAnsi="宋体"/>
          <w:color w:val="auto"/>
          <w:sz w:val="24"/>
        </w:rPr>
      </w:pPr>
    </w:p>
    <w:p w14:paraId="55DC6E3B">
      <w:pPr>
        <w:rPr>
          <w:b/>
          <w:color w:val="auto"/>
          <w:sz w:val="24"/>
        </w:rPr>
      </w:pPr>
      <w:r>
        <w:rPr>
          <w:rFonts w:hint="eastAsia"/>
          <w:b/>
          <w:color w:val="auto"/>
          <w:sz w:val="24"/>
        </w:rPr>
        <w:t>九、标准性质的建议说明</w:t>
      </w:r>
    </w:p>
    <w:p w14:paraId="6C570D68">
      <w:pPr>
        <w:pStyle w:val="14"/>
        <w:ind w:firstLine="480"/>
        <w:rPr>
          <w:color w:val="auto"/>
          <w:sz w:val="24"/>
        </w:rPr>
      </w:pPr>
      <w:r>
        <w:rPr>
          <w:rFonts w:hint="eastAsia"/>
          <w:color w:val="auto"/>
          <w:sz w:val="24"/>
        </w:rPr>
        <w:t>根据标准化法和有关规定，建议该标准为推荐性有色金属行业产品标准。</w:t>
      </w:r>
    </w:p>
    <w:p w14:paraId="58FBA9C9">
      <w:pPr>
        <w:pStyle w:val="14"/>
        <w:ind w:firstLine="480"/>
        <w:rPr>
          <w:color w:val="auto"/>
          <w:sz w:val="24"/>
        </w:rPr>
      </w:pPr>
    </w:p>
    <w:p w14:paraId="08945F42">
      <w:pPr>
        <w:rPr>
          <w:b/>
          <w:color w:val="auto"/>
          <w:sz w:val="24"/>
        </w:rPr>
      </w:pPr>
      <w:r>
        <w:rPr>
          <w:rFonts w:hint="eastAsia"/>
          <w:b/>
          <w:color w:val="auto"/>
          <w:sz w:val="24"/>
        </w:rPr>
        <w:t>十、贯彻标准的要求和建议措施</w:t>
      </w:r>
    </w:p>
    <w:p w14:paraId="5AFC71AB">
      <w:pPr>
        <w:spacing w:line="360" w:lineRule="auto"/>
        <w:ind w:firstLine="480" w:firstLineChars="200"/>
        <w:rPr>
          <w:color w:val="auto"/>
          <w:sz w:val="24"/>
        </w:rPr>
      </w:pPr>
      <w:r>
        <w:rPr>
          <w:rFonts w:hint="eastAsia"/>
          <w:color w:val="auto"/>
          <w:sz w:val="24"/>
        </w:rPr>
        <w:t>本标准全面覆盖了</w:t>
      </w:r>
      <w:r>
        <w:rPr>
          <w:rFonts w:hint="eastAsia"/>
          <w:color w:val="auto"/>
          <w:sz w:val="24"/>
          <w:lang w:val="en-US" w:eastAsia="zh-CN"/>
        </w:rPr>
        <w:t>三碘化铑</w:t>
      </w:r>
      <w:r>
        <w:rPr>
          <w:rFonts w:hint="eastAsia"/>
          <w:color w:val="auto"/>
          <w:sz w:val="24"/>
        </w:rPr>
        <w:t>的一般要求，建议相关单位组织专项标准宣贯会进行系统的学习与贯彻实施。</w:t>
      </w:r>
    </w:p>
    <w:p w14:paraId="5C47D306">
      <w:pPr>
        <w:spacing w:line="360" w:lineRule="auto"/>
        <w:ind w:firstLine="480" w:firstLineChars="200"/>
        <w:rPr>
          <w:color w:val="auto"/>
          <w:sz w:val="24"/>
        </w:rPr>
      </w:pPr>
      <w:r>
        <w:rPr>
          <w:rFonts w:hint="eastAsia"/>
          <w:color w:val="auto"/>
          <w:sz w:val="24"/>
        </w:rPr>
        <w:t>本标准属于行业基础标准，对</w:t>
      </w:r>
      <w:r>
        <w:rPr>
          <w:rFonts w:hint="eastAsia"/>
          <w:color w:val="auto"/>
          <w:sz w:val="24"/>
          <w:lang w:val="en-US" w:eastAsia="zh-CN"/>
        </w:rPr>
        <w:t>三碘化铑</w:t>
      </w:r>
      <w:r>
        <w:rPr>
          <w:rFonts w:hint="eastAsia"/>
          <w:color w:val="auto"/>
          <w:sz w:val="24"/>
        </w:rPr>
        <w:t>产品的一般要求进行了约定，对</w:t>
      </w:r>
      <w:r>
        <w:rPr>
          <w:rFonts w:hint="eastAsia"/>
          <w:color w:val="auto"/>
          <w:sz w:val="24"/>
          <w:lang w:val="en-US" w:eastAsia="zh-CN"/>
        </w:rPr>
        <w:t>三碘化铑</w:t>
      </w:r>
      <w:r>
        <w:rPr>
          <w:rFonts w:hint="eastAsia"/>
          <w:color w:val="auto"/>
          <w:sz w:val="24"/>
        </w:rPr>
        <w:t>有特殊要求时，建议供需双方在本标准基础上对特殊要求在订货合同中进行详细的约定或起草专项技术协议。</w:t>
      </w:r>
    </w:p>
    <w:p w14:paraId="07A8F0C4">
      <w:pPr>
        <w:spacing w:line="360" w:lineRule="auto"/>
        <w:ind w:firstLine="480" w:firstLineChars="200"/>
        <w:rPr>
          <w:rFonts w:hint="eastAsia" w:eastAsia="宋体"/>
          <w:color w:val="auto"/>
          <w:sz w:val="24"/>
          <w:lang w:eastAsia="zh-CN"/>
        </w:rPr>
      </w:pPr>
      <w:r>
        <w:rPr>
          <w:rFonts w:hint="eastAsia"/>
          <w:color w:val="auto"/>
          <w:sz w:val="24"/>
        </w:rPr>
        <w:t>对于标准使用过程中容易出现的疑问，起草单位有义务进行必要的解释</w:t>
      </w:r>
      <w:r>
        <w:rPr>
          <w:rFonts w:hint="eastAsia"/>
          <w:color w:val="auto"/>
          <w:sz w:val="24"/>
          <w:lang w:eastAsia="zh-CN"/>
        </w:rPr>
        <w:t>。</w:t>
      </w:r>
    </w:p>
    <w:p w14:paraId="13F32A8E">
      <w:pPr>
        <w:spacing w:line="360" w:lineRule="auto"/>
        <w:rPr>
          <w:color w:val="auto"/>
          <w:sz w:val="24"/>
        </w:rPr>
      </w:pPr>
    </w:p>
    <w:p w14:paraId="7B0D9D4A">
      <w:pPr>
        <w:rPr>
          <w:b/>
          <w:color w:val="auto"/>
          <w:sz w:val="24"/>
        </w:rPr>
      </w:pPr>
      <w:r>
        <w:rPr>
          <w:rFonts w:hint="eastAsia"/>
          <w:b/>
          <w:color w:val="auto"/>
          <w:sz w:val="24"/>
        </w:rPr>
        <w:t>十一、废止现行相关标准的建议</w:t>
      </w:r>
    </w:p>
    <w:p w14:paraId="5D0C63A8">
      <w:pPr>
        <w:pStyle w:val="14"/>
        <w:ind w:firstLine="480"/>
        <w:rPr>
          <w:color w:val="auto"/>
          <w:sz w:val="24"/>
        </w:rPr>
      </w:pPr>
      <w:r>
        <w:rPr>
          <w:rFonts w:hint="eastAsia"/>
          <w:color w:val="auto"/>
          <w:sz w:val="24"/>
        </w:rPr>
        <w:t>无相关现行标准。</w:t>
      </w:r>
    </w:p>
    <w:p w14:paraId="352CE23F">
      <w:pPr>
        <w:rPr>
          <w:color w:val="auto"/>
          <w:sz w:val="24"/>
        </w:rPr>
      </w:pPr>
    </w:p>
    <w:p w14:paraId="74FBE608">
      <w:pPr>
        <w:rPr>
          <w:b/>
          <w:color w:val="auto"/>
          <w:sz w:val="24"/>
        </w:rPr>
      </w:pPr>
      <w:r>
        <w:rPr>
          <w:rFonts w:hint="eastAsia"/>
          <w:b/>
          <w:color w:val="auto"/>
          <w:sz w:val="24"/>
        </w:rPr>
        <w:t>十二、其他应予</w:t>
      </w:r>
      <w:r>
        <w:rPr>
          <w:b/>
          <w:color w:val="auto"/>
          <w:sz w:val="24"/>
        </w:rPr>
        <w:t>说明</w:t>
      </w:r>
      <w:r>
        <w:rPr>
          <w:rFonts w:hint="eastAsia"/>
          <w:b/>
          <w:color w:val="auto"/>
          <w:sz w:val="24"/>
        </w:rPr>
        <w:t>的</w:t>
      </w:r>
      <w:r>
        <w:rPr>
          <w:b/>
          <w:color w:val="auto"/>
          <w:sz w:val="24"/>
        </w:rPr>
        <w:t>事项</w:t>
      </w:r>
    </w:p>
    <w:p w14:paraId="7C869557">
      <w:pPr>
        <w:spacing w:line="380" w:lineRule="exact"/>
        <w:ind w:firstLine="480" w:firstLineChars="200"/>
        <w:rPr>
          <w:color w:val="auto"/>
          <w:sz w:val="24"/>
        </w:rPr>
      </w:pPr>
      <w:r>
        <w:rPr>
          <w:rFonts w:hint="eastAsia"/>
          <w:color w:val="auto"/>
          <w:sz w:val="24"/>
        </w:rPr>
        <w:t>本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p>
    <w:p w14:paraId="6F2E3860">
      <w:pPr>
        <w:pStyle w:val="14"/>
        <w:ind w:firstLine="480"/>
        <w:rPr>
          <w:color w:val="auto"/>
          <w:sz w:val="24"/>
        </w:rPr>
      </w:pPr>
    </w:p>
    <w:p w14:paraId="734173DC">
      <w:pPr>
        <w:rPr>
          <w:b/>
          <w:color w:val="auto"/>
          <w:sz w:val="24"/>
        </w:rPr>
      </w:pPr>
      <w:r>
        <w:rPr>
          <w:rFonts w:hint="eastAsia"/>
          <w:b/>
          <w:color w:val="auto"/>
          <w:sz w:val="24"/>
        </w:rPr>
        <w:t xml:space="preserve">十三、参考资料清单 </w:t>
      </w:r>
    </w:p>
    <w:p w14:paraId="6608B472">
      <w:pPr>
        <w:pStyle w:val="15"/>
        <w:spacing w:line="360" w:lineRule="auto"/>
        <w:ind w:firstLine="480"/>
        <w:jc w:val="left"/>
        <w:rPr>
          <w:rFonts w:ascii="Times New Roman"/>
          <w:color w:val="auto"/>
          <w:kern w:val="2"/>
          <w:sz w:val="24"/>
          <w:szCs w:val="24"/>
        </w:rPr>
      </w:pPr>
      <w:r>
        <w:rPr>
          <w:rFonts w:hint="eastAsia" w:ascii="Times New Roman"/>
          <w:color w:val="auto"/>
          <w:kern w:val="2"/>
          <w:sz w:val="24"/>
          <w:szCs w:val="24"/>
        </w:rPr>
        <w:t>GB/T 191 包装储运图示标志</w:t>
      </w:r>
    </w:p>
    <w:p w14:paraId="14A6E5EE">
      <w:pPr>
        <w:pStyle w:val="15"/>
        <w:spacing w:line="360" w:lineRule="auto"/>
        <w:ind w:firstLine="480"/>
        <w:jc w:val="left"/>
        <w:rPr>
          <w:rFonts w:ascii="Times New Roman"/>
          <w:color w:val="auto"/>
          <w:kern w:val="2"/>
          <w:sz w:val="24"/>
          <w:szCs w:val="24"/>
        </w:rPr>
      </w:pPr>
      <w:r>
        <w:rPr>
          <w:rFonts w:ascii="Times New Roman"/>
          <w:color w:val="auto"/>
          <w:kern w:val="2"/>
          <w:sz w:val="24"/>
          <w:szCs w:val="24"/>
        </w:rPr>
        <w:t>GB/T 8170 数值修约规则与极限数值的表示和判定</w:t>
      </w:r>
    </w:p>
    <w:p w14:paraId="3FDA87D1">
      <w:pPr>
        <w:spacing w:line="360" w:lineRule="auto"/>
        <w:ind w:firstLine="480" w:firstLineChars="200"/>
        <w:jc w:val="left"/>
        <w:rPr>
          <w:color w:val="auto"/>
          <w:sz w:val="24"/>
        </w:rPr>
      </w:pPr>
      <w:r>
        <w:rPr>
          <w:rFonts w:hint="eastAsia"/>
          <w:color w:val="auto"/>
          <w:sz w:val="24"/>
        </w:rPr>
        <w:t>GB/T 1.1-2020《标准标准化工作导则 第1部分：</w:t>
      </w:r>
      <w:r>
        <w:rPr>
          <w:rFonts w:hint="eastAsia" w:ascii="宋体" w:hAnsi="宋体" w:cs="宋体"/>
          <w:color w:val="auto"/>
          <w:sz w:val="24"/>
        </w:rPr>
        <w:t xml:space="preserve">标准化文件的结构和起草规则 </w:t>
      </w:r>
      <w:r>
        <w:rPr>
          <w:rFonts w:hint="eastAsia"/>
          <w:color w:val="auto"/>
          <w:sz w:val="24"/>
        </w:rPr>
        <w:t>》</w:t>
      </w:r>
    </w:p>
    <w:p w14:paraId="72112677">
      <w:pPr>
        <w:pStyle w:val="15"/>
        <w:spacing w:line="360" w:lineRule="auto"/>
        <w:ind w:firstLine="480"/>
        <w:jc w:val="left"/>
        <w:rPr>
          <w:rFonts w:ascii="Times New Roman"/>
          <w:color w:val="auto"/>
          <w:kern w:val="2"/>
          <w:sz w:val="24"/>
          <w:szCs w:val="24"/>
        </w:rPr>
      </w:pPr>
      <w:r>
        <w:rPr>
          <w:rFonts w:hint="eastAsia" w:ascii="Times New Roman"/>
          <w:color w:val="auto"/>
          <w:kern w:val="2"/>
          <w:sz w:val="24"/>
          <w:szCs w:val="24"/>
        </w:rPr>
        <w:t>GB/T 20001.10-2014《标准编写规则 第10部分：产品标准》</w:t>
      </w:r>
    </w:p>
    <w:p w14:paraId="0551ED0C">
      <w:pPr>
        <w:pStyle w:val="15"/>
        <w:spacing w:line="360" w:lineRule="auto"/>
        <w:ind w:firstLine="480"/>
        <w:jc w:val="left"/>
        <w:rPr>
          <w:rFonts w:hint="eastAsia" w:ascii="Times New Roman"/>
          <w:color w:val="auto"/>
          <w:kern w:val="2"/>
          <w:sz w:val="24"/>
          <w:szCs w:val="24"/>
          <w:lang w:val="en-US" w:eastAsia="zh-CN"/>
        </w:rPr>
      </w:pPr>
      <w:r>
        <w:rPr>
          <w:rFonts w:hint="eastAsia" w:ascii="Times New Roman"/>
          <w:color w:val="auto"/>
          <w:kern w:val="2"/>
          <w:sz w:val="24"/>
          <w:szCs w:val="24"/>
        </w:rPr>
        <w:t>G</w:t>
      </w:r>
      <w:r>
        <w:rPr>
          <w:rFonts w:hint="eastAsia" w:ascii="Times New Roman"/>
          <w:color w:val="auto"/>
          <w:kern w:val="2"/>
          <w:sz w:val="24"/>
          <w:szCs w:val="24"/>
          <w:lang w:val="en-US" w:eastAsia="zh-CN"/>
        </w:rPr>
        <w:t xml:space="preserve">B/T 34609.1-2017 铑化合物化学分析方法 第1部分  铑量的测定 硝酸六氨合钴重量法  </w:t>
      </w:r>
      <w:r>
        <w:rPr>
          <w:rFonts w:hint="eastAsia" w:ascii="Times New Roman"/>
          <w:color w:val="auto"/>
          <w:kern w:val="2"/>
          <w:sz w:val="24"/>
          <w:szCs w:val="24"/>
          <w:lang w:val="en-US" w:eastAsia="zh-CN"/>
        </w:rPr>
        <w:tab/>
      </w:r>
    </w:p>
    <w:p w14:paraId="34A61100">
      <w:pPr>
        <w:pStyle w:val="15"/>
        <w:spacing w:line="360" w:lineRule="auto"/>
        <w:ind w:firstLine="480"/>
        <w:jc w:val="left"/>
        <w:rPr>
          <w:rFonts w:hint="eastAsia" w:ascii="Times New Roman"/>
          <w:color w:val="auto"/>
          <w:kern w:val="2"/>
          <w:sz w:val="24"/>
          <w:szCs w:val="24"/>
          <w:lang w:val="en-US" w:eastAsia="zh-CN"/>
        </w:rPr>
      </w:pPr>
      <w:r>
        <w:rPr>
          <w:rFonts w:hint="eastAsia" w:ascii="Times New Roman"/>
          <w:color w:val="auto"/>
          <w:kern w:val="2"/>
          <w:sz w:val="24"/>
          <w:szCs w:val="24"/>
          <w:lang w:val="en-US" w:eastAsia="zh-CN"/>
        </w:rPr>
        <w:t>GB/T 34609.2-2020 铑化合物化学分析方法  第2部分  银、金、铂、钯、铱、钌、铅、镍、铜、铁、锡、锌、镁、锰、铝、钙、钠、钾、铬、硅含量的测定 电感耦合等离子体原子发射光谱法。</w:t>
      </w:r>
    </w:p>
    <w:p w14:paraId="53A04B2C">
      <w:pPr>
        <w:spacing w:line="360" w:lineRule="auto"/>
        <w:ind w:firstLine="5400" w:firstLineChars="2250"/>
        <w:jc w:val="left"/>
        <w:rPr>
          <w:color w:val="auto"/>
          <w:sz w:val="24"/>
        </w:rPr>
      </w:pPr>
    </w:p>
    <w:p w14:paraId="448381A3">
      <w:pPr>
        <w:spacing w:line="360" w:lineRule="auto"/>
        <w:ind w:right="960" w:firstLine="3600" w:firstLineChars="1500"/>
        <w:jc w:val="left"/>
        <w:rPr>
          <w:color w:val="auto"/>
          <w:sz w:val="24"/>
        </w:rPr>
      </w:pPr>
      <w:r>
        <w:rPr>
          <w:rFonts w:hint="eastAsia"/>
          <w:color w:val="auto"/>
          <w:sz w:val="24"/>
        </w:rPr>
        <w:t xml:space="preserve"> 贵研化学材料（云南）有限公司</w:t>
      </w:r>
    </w:p>
    <w:p w14:paraId="7D7FC863">
      <w:pPr>
        <w:spacing w:line="360" w:lineRule="auto"/>
        <w:ind w:right="960" w:firstLine="2880" w:firstLineChars="1200"/>
        <w:rPr>
          <w:color w:val="auto"/>
          <w:sz w:val="24"/>
        </w:rPr>
      </w:pPr>
      <w:r>
        <w:rPr>
          <w:rFonts w:hint="eastAsia"/>
          <w:color w:val="auto"/>
          <w:sz w:val="24"/>
        </w:rPr>
        <w:t>《</w:t>
      </w:r>
      <w:r>
        <w:rPr>
          <w:rFonts w:hint="eastAsia"/>
          <w:color w:val="auto"/>
          <w:sz w:val="24"/>
          <w:lang w:val="en-US" w:eastAsia="zh-CN"/>
        </w:rPr>
        <w:t>三碘化铑</w:t>
      </w:r>
      <w:r>
        <w:rPr>
          <w:rFonts w:hint="eastAsia"/>
          <w:color w:val="auto"/>
          <w:sz w:val="24"/>
        </w:rPr>
        <w:t xml:space="preserve">》行业标准起草小组 </w:t>
      </w:r>
    </w:p>
    <w:p w14:paraId="5F8CAF6F">
      <w:pPr>
        <w:spacing w:line="360" w:lineRule="auto"/>
        <w:ind w:right="960" w:firstLine="5520" w:firstLineChars="2300"/>
        <w:rPr>
          <w:color w:val="auto"/>
          <w:sz w:val="24"/>
        </w:rPr>
      </w:pPr>
      <w:r>
        <w:rPr>
          <w:rFonts w:hint="eastAsia"/>
          <w:color w:val="auto"/>
          <w:sz w:val="24"/>
        </w:rPr>
        <w:t>202</w:t>
      </w:r>
      <w:r>
        <w:rPr>
          <w:rFonts w:hint="eastAsia"/>
          <w:color w:val="auto"/>
          <w:sz w:val="24"/>
          <w:lang w:val="en-US" w:eastAsia="zh-CN"/>
        </w:rPr>
        <w:t>4</w:t>
      </w:r>
      <w:r>
        <w:rPr>
          <w:rFonts w:hint="eastAsia"/>
          <w:color w:val="auto"/>
          <w:sz w:val="24"/>
        </w:rPr>
        <w:t>年</w:t>
      </w:r>
      <w:r>
        <w:rPr>
          <w:rFonts w:hint="eastAsia"/>
          <w:color w:val="auto"/>
          <w:sz w:val="24"/>
          <w:lang w:val="en-US" w:eastAsia="zh-CN"/>
        </w:rPr>
        <w:t>8</w:t>
      </w:r>
      <w:r>
        <w:rPr>
          <w:rFonts w:hint="eastAsia"/>
          <w:color w:val="auto"/>
          <w:sz w:val="24"/>
        </w:rPr>
        <w:t>月</w:t>
      </w:r>
    </w:p>
    <w:p w14:paraId="6329B02B">
      <w:pPr>
        <w:rPr>
          <w:color w:val="auto"/>
          <w:sz w:val="24"/>
        </w:rPr>
      </w:pPr>
    </w:p>
    <w:p w14:paraId="6CAEE825">
      <w:pPr>
        <w:rPr>
          <w:color w:val="auto"/>
          <w:sz w:val="24"/>
        </w:rPr>
      </w:pPr>
    </w:p>
    <w:p w14:paraId="261D3C6A">
      <w:pPr>
        <w:rPr>
          <w:color w:val="auto"/>
          <w:sz w:val="24"/>
        </w:rPr>
      </w:pPr>
    </w:p>
    <w:p w14:paraId="1BA97CF5">
      <w:pPr>
        <w:rPr>
          <w:color w:val="auto"/>
          <w:sz w:val="24"/>
        </w:rPr>
      </w:pPr>
    </w:p>
    <w:p w14:paraId="4E5DDA78">
      <w:pPr>
        <w:rPr>
          <w:color w:val="auto"/>
          <w:sz w:val="24"/>
        </w:rPr>
      </w:pPr>
    </w:p>
    <w:p w14:paraId="128AFD1B">
      <w:pPr>
        <w:rPr>
          <w:color w:val="auto"/>
          <w:sz w:val="24"/>
        </w:rPr>
      </w:pPr>
    </w:p>
    <w:p w14:paraId="4FD36A3A">
      <w:pPr>
        <w:rPr>
          <w:color w:val="auto"/>
          <w:sz w:val="24"/>
        </w:rPr>
      </w:pPr>
    </w:p>
    <w:p w14:paraId="36526782">
      <w:pPr>
        <w:rPr>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DB50B"/>
    <w:multiLevelType w:val="singleLevel"/>
    <w:tmpl w:val="FADDB50B"/>
    <w:lvl w:ilvl="0" w:tentative="0">
      <w:start w:val="2"/>
      <w:numFmt w:val="decimal"/>
      <w:suff w:val="nothing"/>
      <w:lvlText w:val="%1）"/>
      <w:lvlJc w:val="left"/>
    </w:lvl>
  </w:abstractNum>
  <w:abstractNum w:abstractNumId="1">
    <w:nsid w:val="00000004"/>
    <w:multiLevelType w:val="multilevel"/>
    <w:tmpl w:val="000000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黑体"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1%2.%3.%4.%5　"/>
      <w:lvlJc w:val="left"/>
      <w:pPr>
        <w:ind w:left="0" w:firstLine="0"/>
      </w:pPr>
      <w:rPr>
        <w:rFonts w:hint="eastAsia" w:ascii="黑体" w:hAnsi="Times New Roman" w:eastAsia="黑体"/>
        <w:b/>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B124CFE"/>
    <w:multiLevelType w:val="multilevel"/>
    <w:tmpl w:val="6B124CFE"/>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Mzg4OWFlOGYyYjMzNzU1MGMxNzVkNTRiNWFkY2YifQ=="/>
  </w:docVars>
  <w:rsids>
    <w:rsidRoot w:val="00E44450"/>
    <w:rsid w:val="00003B6E"/>
    <w:rsid w:val="000200C8"/>
    <w:rsid w:val="00036372"/>
    <w:rsid w:val="0004293E"/>
    <w:rsid w:val="0004616F"/>
    <w:rsid w:val="00051191"/>
    <w:rsid w:val="000678C9"/>
    <w:rsid w:val="00067FD4"/>
    <w:rsid w:val="00070FEA"/>
    <w:rsid w:val="00072752"/>
    <w:rsid w:val="000778E2"/>
    <w:rsid w:val="00082E7E"/>
    <w:rsid w:val="000A5F6E"/>
    <w:rsid w:val="000C3A56"/>
    <w:rsid w:val="000E161C"/>
    <w:rsid w:val="000F0C60"/>
    <w:rsid w:val="000F3766"/>
    <w:rsid w:val="000F3DB4"/>
    <w:rsid w:val="00103EC2"/>
    <w:rsid w:val="0011112F"/>
    <w:rsid w:val="00114CD1"/>
    <w:rsid w:val="001173FF"/>
    <w:rsid w:val="001212CA"/>
    <w:rsid w:val="00136BED"/>
    <w:rsid w:val="001455EF"/>
    <w:rsid w:val="0014619B"/>
    <w:rsid w:val="00185A93"/>
    <w:rsid w:val="00191086"/>
    <w:rsid w:val="00196072"/>
    <w:rsid w:val="001A46C3"/>
    <w:rsid w:val="001A7055"/>
    <w:rsid w:val="001D0B1A"/>
    <w:rsid w:val="001D25A4"/>
    <w:rsid w:val="001F34AE"/>
    <w:rsid w:val="001F3895"/>
    <w:rsid w:val="00207325"/>
    <w:rsid w:val="00213F7E"/>
    <w:rsid w:val="00222C9B"/>
    <w:rsid w:val="00225F1E"/>
    <w:rsid w:val="002461D4"/>
    <w:rsid w:val="00255418"/>
    <w:rsid w:val="002563B8"/>
    <w:rsid w:val="00262203"/>
    <w:rsid w:val="00266604"/>
    <w:rsid w:val="00266B39"/>
    <w:rsid w:val="00276BD9"/>
    <w:rsid w:val="00281685"/>
    <w:rsid w:val="0028541C"/>
    <w:rsid w:val="002866C6"/>
    <w:rsid w:val="00287A16"/>
    <w:rsid w:val="002956BE"/>
    <w:rsid w:val="002A06FF"/>
    <w:rsid w:val="002A50B7"/>
    <w:rsid w:val="002B76B4"/>
    <w:rsid w:val="002B7760"/>
    <w:rsid w:val="002C1409"/>
    <w:rsid w:val="002C249F"/>
    <w:rsid w:val="002D014B"/>
    <w:rsid w:val="002F6B93"/>
    <w:rsid w:val="002F7209"/>
    <w:rsid w:val="00312015"/>
    <w:rsid w:val="0032070F"/>
    <w:rsid w:val="00320EBE"/>
    <w:rsid w:val="00322740"/>
    <w:rsid w:val="003271B4"/>
    <w:rsid w:val="003403F0"/>
    <w:rsid w:val="00347BE7"/>
    <w:rsid w:val="00357119"/>
    <w:rsid w:val="003574A7"/>
    <w:rsid w:val="003A2D39"/>
    <w:rsid w:val="003A5B4D"/>
    <w:rsid w:val="003B5541"/>
    <w:rsid w:val="003C4E33"/>
    <w:rsid w:val="003C62DD"/>
    <w:rsid w:val="003C730E"/>
    <w:rsid w:val="003D2AF4"/>
    <w:rsid w:val="003F1DBB"/>
    <w:rsid w:val="003F2372"/>
    <w:rsid w:val="003F4389"/>
    <w:rsid w:val="00410B34"/>
    <w:rsid w:val="004123EF"/>
    <w:rsid w:val="00416BF8"/>
    <w:rsid w:val="0042257E"/>
    <w:rsid w:val="00424741"/>
    <w:rsid w:val="00432C21"/>
    <w:rsid w:val="00441E86"/>
    <w:rsid w:val="004455F1"/>
    <w:rsid w:val="00455001"/>
    <w:rsid w:val="004561F2"/>
    <w:rsid w:val="00471F56"/>
    <w:rsid w:val="00475064"/>
    <w:rsid w:val="0048172A"/>
    <w:rsid w:val="004844D2"/>
    <w:rsid w:val="00485E94"/>
    <w:rsid w:val="004917D7"/>
    <w:rsid w:val="00494273"/>
    <w:rsid w:val="00497BD1"/>
    <w:rsid w:val="004A38BE"/>
    <w:rsid w:val="004B5AF1"/>
    <w:rsid w:val="004B5B58"/>
    <w:rsid w:val="004C6B5D"/>
    <w:rsid w:val="004C736B"/>
    <w:rsid w:val="004E4FE3"/>
    <w:rsid w:val="004F2CC5"/>
    <w:rsid w:val="00535FA6"/>
    <w:rsid w:val="00564498"/>
    <w:rsid w:val="0056504E"/>
    <w:rsid w:val="0057271F"/>
    <w:rsid w:val="00576CE6"/>
    <w:rsid w:val="0058425E"/>
    <w:rsid w:val="00585F9C"/>
    <w:rsid w:val="00587219"/>
    <w:rsid w:val="00592B78"/>
    <w:rsid w:val="00594D81"/>
    <w:rsid w:val="005A08C2"/>
    <w:rsid w:val="005A6F0C"/>
    <w:rsid w:val="005B637D"/>
    <w:rsid w:val="005C05CC"/>
    <w:rsid w:val="005D0703"/>
    <w:rsid w:val="005E29B6"/>
    <w:rsid w:val="005E2B4C"/>
    <w:rsid w:val="005E36D7"/>
    <w:rsid w:val="005F2412"/>
    <w:rsid w:val="005F24E9"/>
    <w:rsid w:val="00632C50"/>
    <w:rsid w:val="006365DD"/>
    <w:rsid w:val="0064435B"/>
    <w:rsid w:val="006606DA"/>
    <w:rsid w:val="00666A09"/>
    <w:rsid w:val="00693572"/>
    <w:rsid w:val="006A4AE0"/>
    <w:rsid w:val="006A6207"/>
    <w:rsid w:val="006B52B5"/>
    <w:rsid w:val="006E1CDF"/>
    <w:rsid w:val="006E545E"/>
    <w:rsid w:val="006E7007"/>
    <w:rsid w:val="006F3A75"/>
    <w:rsid w:val="006F5544"/>
    <w:rsid w:val="006F6578"/>
    <w:rsid w:val="00700485"/>
    <w:rsid w:val="00706DEE"/>
    <w:rsid w:val="00734A51"/>
    <w:rsid w:val="00737890"/>
    <w:rsid w:val="00750F86"/>
    <w:rsid w:val="00752618"/>
    <w:rsid w:val="00761F8A"/>
    <w:rsid w:val="00765CEB"/>
    <w:rsid w:val="007676BF"/>
    <w:rsid w:val="00767CD6"/>
    <w:rsid w:val="00767F72"/>
    <w:rsid w:val="00770311"/>
    <w:rsid w:val="00782077"/>
    <w:rsid w:val="00782D84"/>
    <w:rsid w:val="00783F78"/>
    <w:rsid w:val="00785280"/>
    <w:rsid w:val="007A46DD"/>
    <w:rsid w:val="007A50AA"/>
    <w:rsid w:val="007B0AAC"/>
    <w:rsid w:val="007B35D5"/>
    <w:rsid w:val="007B4E52"/>
    <w:rsid w:val="007B597A"/>
    <w:rsid w:val="007C32FD"/>
    <w:rsid w:val="007C534B"/>
    <w:rsid w:val="007D3448"/>
    <w:rsid w:val="007D7B92"/>
    <w:rsid w:val="007E612E"/>
    <w:rsid w:val="007E64EB"/>
    <w:rsid w:val="007F46A6"/>
    <w:rsid w:val="008035D5"/>
    <w:rsid w:val="00804204"/>
    <w:rsid w:val="00804C5C"/>
    <w:rsid w:val="00810AE1"/>
    <w:rsid w:val="00813DD9"/>
    <w:rsid w:val="008140B8"/>
    <w:rsid w:val="00817008"/>
    <w:rsid w:val="008255DC"/>
    <w:rsid w:val="00832A1B"/>
    <w:rsid w:val="00840731"/>
    <w:rsid w:val="0084296B"/>
    <w:rsid w:val="00842CB7"/>
    <w:rsid w:val="0084396C"/>
    <w:rsid w:val="00864785"/>
    <w:rsid w:val="00874D8C"/>
    <w:rsid w:val="00876A5D"/>
    <w:rsid w:val="00883B6C"/>
    <w:rsid w:val="00884831"/>
    <w:rsid w:val="00886C86"/>
    <w:rsid w:val="00893017"/>
    <w:rsid w:val="008969C7"/>
    <w:rsid w:val="00897669"/>
    <w:rsid w:val="008A26E2"/>
    <w:rsid w:val="008A4C23"/>
    <w:rsid w:val="008A6808"/>
    <w:rsid w:val="008B4D3B"/>
    <w:rsid w:val="008B7022"/>
    <w:rsid w:val="008D77E0"/>
    <w:rsid w:val="008E41FC"/>
    <w:rsid w:val="008F22FB"/>
    <w:rsid w:val="008F4889"/>
    <w:rsid w:val="00901692"/>
    <w:rsid w:val="0091164A"/>
    <w:rsid w:val="00916D64"/>
    <w:rsid w:val="0093056D"/>
    <w:rsid w:val="009306F4"/>
    <w:rsid w:val="00933574"/>
    <w:rsid w:val="00934935"/>
    <w:rsid w:val="009403C7"/>
    <w:rsid w:val="0094176E"/>
    <w:rsid w:val="009456BB"/>
    <w:rsid w:val="0094644C"/>
    <w:rsid w:val="0095334F"/>
    <w:rsid w:val="00957F14"/>
    <w:rsid w:val="00961E15"/>
    <w:rsid w:val="0096401E"/>
    <w:rsid w:val="0096569B"/>
    <w:rsid w:val="00977826"/>
    <w:rsid w:val="00984B0C"/>
    <w:rsid w:val="00996A14"/>
    <w:rsid w:val="009C45AB"/>
    <w:rsid w:val="009C7C86"/>
    <w:rsid w:val="009D13AF"/>
    <w:rsid w:val="009D7390"/>
    <w:rsid w:val="009E05EB"/>
    <w:rsid w:val="009F3EB8"/>
    <w:rsid w:val="009F412E"/>
    <w:rsid w:val="009F48C6"/>
    <w:rsid w:val="00A06E0A"/>
    <w:rsid w:val="00A07FD6"/>
    <w:rsid w:val="00A14046"/>
    <w:rsid w:val="00A15DEC"/>
    <w:rsid w:val="00A24379"/>
    <w:rsid w:val="00A5104F"/>
    <w:rsid w:val="00A564DB"/>
    <w:rsid w:val="00A577FA"/>
    <w:rsid w:val="00A6641B"/>
    <w:rsid w:val="00A74C54"/>
    <w:rsid w:val="00A77C49"/>
    <w:rsid w:val="00A80283"/>
    <w:rsid w:val="00A81DF1"/>
    <w:rsid w:val="00A84A41"/>
    <w:rsid w:val="00A87A9B"/>
    <w:rsid w:val="00A95E26"/>
    <w:rsid w:val="00A9788E"/>
    <w:rsid w:val="00AA1C16"/>
    <w:rsid w:val="00AB4052"/>
    <w:rsid w:val="00AB7A92"/>
    <w:rsid w:val="00AC4FE1"/>
    <w:rsid w:val="00AD22C7"/>
    <w:rsid w:val="00B020AD"/>
    <w:rsid w:val="00B03829"/>
    <w:rsid w:val="00B1045A"/>
    <w:rsid w:val="00B10C7A"/>
    <w:rsid w:val="00B11DDE"/>
    <w:rsid w:val="00B12083"/>
    <w:rsid w:val="00B14FE8"/>
    <w:rsid w:val="00B159FD"/>
    <w:rsid w:val="00B15BF0"/>
    <w:rsid w:val="00B169CC"/>
    <w:rsid w:val="00B24E8C"/>
    <w:rsid w:val="00B35908"/>
    <w:rsid w:val="00B456B2"/>
    <w:rsid w:val="00B461C6"/>
    <w:rsid w:val="00B57529"/>
    <w:rsid w:val="00B579CD"/>
    <w:rsid w:val="00B61412"/>
    <w:rsid w:val="00B63EE9"/>
    <w:rsid w:val="00B65016"/>
    <w:rsid w:val="00B700E5"/>
    <w:rsid w:val="00B74CB2"/>
    <w:rsid w:val="00B82B6B"/>
    <w:rsid w:val="00B9107B"/>
    <w:rsid w:val="00B93D60"/>
    <w:rsid w:val="00BA13DD"/>
    <w:rsid w:val="00BA41E2"/>
    <w:rsid w:val="00BA653A"/>
    <w:rsid w:val="00BC55C4"/>
    <w:rsid w:val="00BC5FDF"/>
    <w:rsid w:val="00BF6D52"/>
    <w:rsid w:val="00C01FEE"/>
    <w:rsid w:val="00C0588B"/>
    <w:rsid w:val="00C11AE3"/>
    <w:rsid w:val="00C17188"/>
    <w:rsid w:val="00C24E0B"/>
    <w:rsid w:val="00C35271"/>
    <w:rsid w:val="00C359C5"/>
    <w:rsid w:val="00C40728"/>
    <w:rsid w:val="00C40A96"/>
    <w:rsid w:val="00C41507"/>
    <w:rsid w:val="00C41C00"/>
    <w:rsid w:val="00C466D2"/>
    <w:rsid w:val="00C62B6E"/>
    <w:rsid w:val="00C62BA0"/>
    <w:rsid w:val="00C72FFD"/>
    <w:rsid w:val="00C74AC1"/>
    <w:rsid w:val="00C93158"/>
    <w:rsid w:val="00C952BB"/>
    <w:rsid w:val="00CA3080"/>
    <w:rsid w:val="00CA37E6"/>
    <w:rsid w:val="00CA5F84"/>
    <w:rsid w:val="00CB0A7C"/>
    <w:rsid w:val="00CC07D2"/>
    <w:rsid w:val="00CC1A13"/>
    <w:rsid w:val="00CC41BC"/>
    <w:rsid w:val="00CD1949"/>
    <w:rsid w:val="00CD5069"/>
    <w:rsid w:val="00CD77EF"/>
    <w:rsid w:val="00CE0035"/>
    <w:rsid w:val="00CE1595"/>
    <w:rsid w:val="00CE655E"/>
    <w:rsid w:val="00D0699F"/>
    <w:rsid w:val="00D1666E"/>
    <w:rsid w:val="00D25EF0"/>
    <w:rsid w:val="00D34C38"/>
    <w:rsid w:val="00D36D10"/>
    <w:rsid w:val="00D43239"/>
    <w:rsid w:val="00D50CE2"/>
    <w:rsid w:val="00D51C1C"/>
    <w:rsid w:val="00D539D8"/>
    <w:rsid w:val="00D57830"/>
    <w:rsid w:val="00D579A8"/>
    <w:rsid w:val="00D638A7"/>
    <w:rsid w:val="00D67FF7"/>
    <w:rsid w:val="00D70A1B"/>
    <w:rsid w:val="00D87ED1"/>
    <w:rsid w:val="00D97C69"/>
    <w:rsid w:val="00DB7276"/>
    <w:rsid w:val="00DC6D03"/>
    <w:rsid w:val="00DF2487"/>
    <w:rsid w:val="00DF5280"/>
    <w:rsid w:val="00E00651"/>
    <w:rsid w:val="00E02E33"/>
    <w:rsid w:val="00E27012"/>
    <w:rsid w:val="00E44450"/>
    <w:rsid w:val="00E4485F"/>
    <w:rsid w:val="00E47722"/>
    <w:rsid w:val="00E504EF"/>
    <w:rsid w:val="00E559C0"/>
    <w:rsid w:val="00E56173"/>
    <w:rsid w:val="00E70DB2"/>
    <w:rsid w:val="00E73E50"/>
    <w:rsid w:val="00E74D38"/>
    <w:rsid w:val="00E802B4"/>
    <w:rsid w:val="00E840E2"/>
    <w:rsid w:val="00E96AB4"/>
    <w:rsid w:val="00EB144D"/>
    <w:rsid w:val="00EB35D7"/>
    <w:rsid w:val="00EC46B9"/>
    <w:rsid w:val="00EE3193"/>
    <w:rsid w:val="00EE4D5C"/>
    <w:rsid w:val="00F0102E"/>
    <w:rsid w:val="00F02A84"/>
    <w:rsid w:val="00F03534"/>
    <w:rsid w:val="00F11A28"/>
    <w:rsid w:val="00F17DF1"/>
    <w:rsid w:val="00F24A99"/>
    <w:rsid w:val="00F35313"/>
    <w:rsid w:val="00F35D10"/>
    <w:rsid w:val="00F40976"/>
    <w:rsid w:val="00F4621E"/>
    <w:rsid w:val="00F530F1"/>
    <w:rsid w:val="00F578E7"/>
    <w:rsid w:val="00F7334B"/>
    <w:rsid w:val="00F76EAC"/>
    <w:rsid w:val="00F9398B"/>
    <w:rsid w:val="00FA1C33"/>
    <w:rsid w:val="00FA2E64"/>
    <w:rsid w:val="00FA6A8F"/>
    <w:rsid w:val="00FC3656"/>
    <w:rsid w:val="00FC7012"/>
    <w:rsid w:val="00FD17D7"/>
    <w:rsid w:val="00FD49D1"/>
    <w:rsid w:val="00FF0407"/>
    <w:rsid w:val="00FF21D6"/>
    <w:rsid w:val="07D6476B"/>
    <w:rsid w:val="117200BB"/>
    <w:rsid w:val="13217712"/>
    <w:rsid w:val="1D852DD1"/>
    <w:rsid w:val="381140A7"/>
    <w:rsid w:val="42BE2C0E"/>
    <w:rsid w:val="49043EE9"/>
    <w:rsid w:val="4B4357B4"/>
    <w:rsid w:val="51C43BC8"/>
    <w:rsid w:val="55572544"/>
    <w:rsid w:val="58143B9E"/>
    <w:rsid w:val="6AE8651E"/>
    <w:rsid w:val="77CD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8"/>
    <w:autoRedefine/>
    <w:unhideWhenUsed/>
    <w:qFormat/>
    <w:uiPriority w:val="99"/>
    <w:pPr>
      <w:spacing w:after="120"/>
    </w:pPr>
  </w:style>
  <w:style w:type="paragraph" w:styleId="4">
    <w:name w:val="Body Text Indent"/>
    <w:basedOn w:val="1"/>
    <w:link w:val="16"/>
    <w:autoRedefine/>
    <w:qFormat/>
    <w:uiPriority w:val="0"/>
    <w:pPr>
      <w:spacing w:line="360" w:lineRule="auto"/>
      <w:ind w:firstLine="425"/>
    </w:pPr>
    <w:rPr>
      <w:sz w:val="24"/>
      <w:szCs w:val="20"/>
    </w:rPr>
  </w:style>
  <w:style w:type="paragraph" w:styleId="5">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段"/>
    <w:link w:val="1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
    <w:name w:val="正文文本缩进 字符"/>
    <w:basedOn w:val="10"/>
    <w:link w:val="4"/>
    <w:autoRedefine/>
    <w:qFormat/>
    <w:uiPriority w:val="0"/>
    <w:rPr>
      <w:rFonts w:ascii="Times New Roman" w:hAnsi="Times New Roman" w:eastAsia="宋体" w:cs="Times New Roman"/>
      <w:sz w:val="24"/>
      <w:szCs w:val="20"/>
    </w:rPr>
  </w:style>
  <w:style w:type="character" w:customStyle="1" w:styleId="17">
    <w:name w:val="段 Char"/>
    <w:basedOn w:val="10"/>
    <w:link w:val="15"/>
    <w:autoRedefine/>
    <w:qFormat/>
    <w:uiPriority w:val="0"/>
    <w:rPr>
      <w:rFonts w:ascii="宋体" w:hAnsi="Times New Roman" w:eastAsia="宋体" w:cs="Times New Roman"/>
      <w:kern w:val="0"/>
      <w:szCs w:val="20"/>
    </w:rPr>
  </w:style>
  <w:style w:type="character" w:customStyle="1" w:styleId="18">
    <w:name w:val="正文文本 字符"/>
    <w:basedOn w:val="10"/>
    <w:link w:val="3"/>
    <w:autoRedefine/>
    <w:qFormat/>
    <w:uiPriority w:val="99"/>
    <w:rPr>
      <w:rFonts w:ascii="Times New Roman" w:hAnsi="Times New Roman" w:eastAsia="宋体" w:cs="Times New Roman"/>
      <w:szCs w:val="24"/>
    </w:rPr>
  </w:style>
  <w:style w:type="paragraph" w:customStyle="1" w:styleId="1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
    <w:name w:val="章标题"/>
    <w:next w:val="15"/>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2">
    <w:name w:val="一级条标题"/>
    <w:basedOn w:val="21"/>
    <w:next w:val="15"/>
    <w:autoRedefine/>
    <w:qFormat/>
    <w:uiPriority w:val="0"/>
    <w:pPr>
      <w:outlineLvl w:val="2"/>
    </w:pPr>
    <w:rPr>
      <w:rFonts w:hAnsiTheme="minorHAnsi" w:cstheme="minorBidi"/>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2622F-5107-4EBC-B43F-242E86816E6A}">
  <ds:schemaRefs/>
</ds:datastoreItem>
</file>

<file path=docProps/app.xml><?xml version="1.0" encoding="utf-8"?>
<Properties xmlns="http://schemas.openxmlformats.org/officeDocument/2006/extended-properties" xmlns:vt="http://schemas.openxmlformats.org/officeDocument/2006/docPropsVTypes">
  <Template>Normal</Template>
  <Pages>12</Pages>
  <Words>8683</Words>
  <Characters>9738</Characters>
  <Lines>81</Lines>
  <Paragraphs>22</Paragraphs>
  <TotalTime>2</TotalTime>
  <ScaleCrop>false</ScaleCrop>
  <LinksUpToDate>false</LinksUpToDate>
  <CharactersWithSpaces>10034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2020-01-05T11:55:00Z</dcterms:created>
  <dc:creator>XXX</dc:creator>
  <cp:lastModifiedBy>雪隐鹭鸶</cp:lastModifiedBy>
  <cp:lastPrinted>2024-03-12T08:02:00Z</cp:lastPrinted>
  <dcterms:modified xsi:type="dcterms:W3CDTF">2024-08-10T05:07:20Z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B39A5EAA0D9D4D00A599D77654F5AA7B_13</vt:lpwstr>
  </property>
</Properties>
</file>