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ascii="Times New Roman" w:hAnsi="Times New Roman"/>
        </w:rPr>
      </w:pPr>
      <w:bookmarkStart w:id="0" w:name="BookMark2"/>
      <w:r>
        <w:rPr>
          <w:rFonts w:ascii="Times New Roman" w:hAnsi="Times New Roman"/>
          <w:color w:val="000000"/>
        </w:rPr>
        <mc:AlternateContent>
          <mc:Choice Requires="wps">
            <w:drawing>
              <wp:inline distT="0" distB="0" distL="114300" distR="114300">
                <wp:extent cx="1706880" cy="555625"/>
                <wp:effectExtent l="0" t="0" r="7620" b="15875"/>
                <wp:docPr id="34" name="fmFrame1"/>
                <wp:cNvGraphicFramePr/>
                <a:graphic xmlns:a="http://schemas.openxmlformats.org/drawingml/2006/main">
                  <a:graphicData uri="http://schemas.microsoft.com/office/word/2010/wordprocessingShape">
                    <wps:wsp>
                      <wps:cNvSpPr txBox="1"/>
                      <wps:spPr bwMode="auto">
                        <a:xfrm>
                          <a:off x="0" y="0"/>
                          <a:ext cx="1706880" cy="555625"/>
                        </a:xfrm>
                        <a:prstGeom prst="rect">
                          <a:avLst/>
                        </a:prstGeom>
                        <a:solidFill>
                          <a:srgbClr val="FFFFFF"/>
                        </a:solidFill>
                        <a:ln>
                          <a:noFill/>
                        </a:ln>
                        <a:effectLst/>
                      </wps:spPr>
                      <wps:txbx>
                        <w:txbxContent>
                          <w:p>
                            <w:pPr>
                              <w:pStyle w:val="30"/>
                              <w:rPr>
                                <w:rFonts w:ascii="黑体" w:hAnsi="黑体"/>
                              </w:rPr>
                            </w:pPr>
                            <w:r>
                              <w:rPr>
                                <w:rFonts w:hint="eastAsia" w:ascii="黑体" w:hAnsi="黑体"/>
                              </w:rPr>
                              <w:t>ICS 77.120</w:t>
                            </w:r>
                          </w:p>
                          <w:p>
                            <w:pPr>
                              <w:pStyle w:val="23"/>
                              <w:adjustRightInd/>
                              <w:rPr>
                                <w:rFonts w:ascii="黑体" w:hAnsi="黑体" w:eastAsia="黑体" w:cs="Times New Roman"/>
                                <w:sz w:val="21"/>
                                <w:szCs w:val="21"/>
                              </w:rPr>
                            </w:pPr>
                            <w:r>
                              <w:rPr>
                                <w:rFonts w:hint="eastAsia" w:ascii="黑体" w:hAnsi="黑体" w:cs="Times New Roman"/>
                                <w:sz w:val="21"/>
                                <w:szCs w:val="21"/>
                              </w:rPr>
                              <w:t>CCS H30</w:t>
                            </w:r>
                          </w:p>
                        </w:txbxContent>
                      </wps:txbx>
                      <wps:bodyPr rot="0" vert="horz" wrap="square" lIns="0" tIns="0" rIns="0" bIns="0" anchor="t" anchorCtr="0" upright="1">
                        <a:noAutofit/>
                      </wps:bodyPr>
                    </wps:wsp>
                  </a:graphicData>
                </a:graphic>
              </wp:inline>
            </w:drawing>
          </mc:Choice>
          <mc:Fallback>
            <w:pict>
              <v:shape id="fmFrame1" o:spid="_x0000_s1026" o:spt="202" type="#_x0000_t202" style="height:43.75pt;width:134.4pt;" fillcolor="#FFFFFF" filled="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RcunUAAAABAEAAA8AAAAAAAAAAQAgAAAAIgAAAGRycy9kb3ducmV2LnhtbFBL&#10;AQIUABQAAAAIAIdO4kApc8JJ+gEAAAoEAAAOAAAAAAAAAAEAIAAAACMBAABkcnMvZTJvRG9jLnht&#10;bFBLBQYAAAAABgAGAFkBAACPBQAAAAA=&#10;">
                <v:fill on="t" focussize="0,0"/>
                <v:stroke on="f"/>
                <v:imagedata o:title=""/>
                <o:lock v:ext="edit" aspectratio="f"/>
                <v:textbox inset="0mm,0mm,0mm,0mm">
                  <w:txbxContent>
                    <w:p>
                      <w:pPr>
                        <w:pStyle w:val="30"/>
                        <w:rPr>
                          <w:rFonts w:ascii="黑体" w:hAnsi="黑体"/>
                        </w:rPr>
                      </w:pPr>
                      <w:r>
                        <w:rPr>
                          <w:rFonts w:hint="eastAsia" w:ascii="黑体" w:hAnsi="黑体"/>
                        </w:rPr>
                        <w:t>ICS 77.120</w:t>
                      </w:r>
                    </w:p>
                    <w:p>
                      <w:pPr>
                        <w:pStyle w:val="23"/>
                        <w:adjustRightInd/>
                        <w:rPr>
                          <w:rFonts w:ascii="黑体" w:hAnsi="黑体" w:eastAsia="黑体" w:cs="Times New Roman"/>
                          <w:sz w:val="21"/>
                          <w:szCs w:val="21"/>
                        </w:rPr>
                      </w:pPr>
                      <w:r>
                        <w:rPr>
                          <w:rFonts w:hint="eastAsia" w:ascii="黑体" w:hAnsi="黑体" w:cs="Times New Roman"/>
                          <w:sz w:val="21"/>
                          <w:szCs w:val="21"/>
                        </w:rPr>
                        <w:t>CCS H30</w:t>
                      </w:r>
                    </w:p>
                  </w:txbxContent>
                </v:textbox>
                <w10:wrap type="none"/>
                <w10:anchorlock/>
              </v:shape>
            </w:pict>
          </mc:Fallback>
        </mc:AlternateContent>
      </w:r>
    </w:p>
    <w:p>
      <w:pPr>
        <w:spacing w:line="280" w:lineRule="exact"/>
        <w:rPr>
          <w:rFonts w:ascii="Times New Roman" w:hAnsi="Times New Roman"/>
        </w:rPr>
      </w:pPr>
    </w:p>
    <w:p>
      <w:pPr>
        <w:pStyle w:val="24"/>
        <w:spacing w:before="0" w:afterLines="50" w:line="360" w:lineRule="auto"/>
        <w:ind w:left="-239" w:leftChars="-114"/>
        <w:rPr>
          <w:spacing w:val="78"/>
          <w:w w:val="149"/>
          <w:sz w:val="44"/>
        </w:rPr>
      </w:pPr>
    </w:p>
    <w:p>
      <w:pPr>
        <w:pStyle w:val="24"/>
        <w:spacing w:before="0" w:afterLines="50" w:line="360" w:lineRule="auto"/>
        <w:ind w:left="-239" w:leftChars="-114"/>
        <w:rPr>
          <w:spacing w:val="78"/>
          <w:w w:val="149"/>
          <w:sz w:val="44"/>
        </w:rPr>
      </w:pPr>
      <w:r>
        <w:rPr>
          <w:b w:val="0"/>
          <w:bCs/>
          <w:spacing w:val="78"/>
          <w:w w:val="149"/>
          <w:sz w:val="72"/>
          <w:szCs w:val="72"/>
        </w:rPr>
        <w:t>团  体  标  准</w:t>
      </w:r>
    </w:p>
    <w:p>
      <w:pPr>
        <w:rPr>
          <w:rFonts w:ascii="Times New Roman" w:hAnsi="Times New Roman"/>
          <w:lang w:val="fr-FR"/>
        </w:rPr>
      </w:pPr>
      <w:r>
        <w:rPr>
          <w:rFonts w:ascii="Times New Roman" w:hAnsi="Times New Roman"/>
          <w:sz w:val="20"/>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80645</wp:posOffset>
                </wp:positionV>
                <wp:extent cx="5943600" cy="0"/>
                <wp:effectExtent l="0" t="0" r="0" b="0"/>
                <wp:wrapNone/>
                <wp:docPr id="6" name="Line 1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4.75pt;margin-top:6.35pt;height:0pt;width:468pt;z-index:251660288;mso-width-relative:page;mso-height-relative:page;" filled="f" stroked="t" coordsize="21600,21600" o:gfxdata="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tbBC/VAAAACAEAAA8AAAAAAAAAAQAgAAAAIgAAAGRy&#10;cy9kb3ducmV2LnhtbFBLAQIUABQAAAAIAIdO4kBLbQ1SzwEAAK4DAAAOAAAAAAAAAAEAIAAAACQB&#10;AABkcnMvZTJvRG9jLnhtbFBLBQYAAAAABgAGAFkBAABlBQAAAAA=&#10;">
                <v:fill on="f" focussize="0,0"/>
                <v:stroke color="#000000" joinstyle="round"/>
                <v:imagedata o:title=""/>
                <o:lock v:ext="edit" aspectratio="f"/>
              </v:line>
            </w:pict>
          </mc:Fallback>
        </mc:AlternateContent>
      </w: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rPr>
          <w:rFonts w:ascii="Times New Roman" w:hAnsi="Times New Roman"/>
          <w:lang w:val="fr-FR"/>
        </w:rPr>
      </w:pPr>
      <w:r>
        <w:rPr>
          <w:rFonts w:ascii="Times New Roman" w:hAnsi="Times New Roman"/>
          <w:sz w:val="28"/>
          <w:szCs w:val="20"/>
        </w:rPr>
        <mc:AlternateContent>
          <mc:Choice Requires="wps">
            <w:drawing>
              <wp:anchor distT="0" distB="0" distL="114300" distR="114300" simplePos="0" relativeHeight="251661312" behindDoc="0" locked="1" layoutInCell="1" allowOverlap="1">
                <wp:simplePos x="0" y="0"/>
                <wp:positionH relativeFrom="margin">
                  <wp:posOffset>-87630</wp:posOffset>
                </wp:positionH>
                <wp:positionV relativeFrom="margin">
                  <wp:posOffset>1624330</wp:posOffset>
                </wp:positionV>
                <wp:extent cx="5984875" cy="293370"/>
                <wp:effectExtent l="0" t="0" r="0" b="0"/>
                <wp:wrapNone/>
                <wp:docPr id="7" name="fmFrame3"/>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a:effectLst/>
                      </wps:spPr>
                      <wps:txbx>
                        <w:txbxContent>
                          <w:p>
                            <w:pPr>
                              <w:pStyle w:val="28"/>
                              <w:wordWrap w:val="0"/>
                              <w:spacing w:before="0"/>
                            </w:pPr>
                            <w:r>
                              <w:rPr>
                                <w:rFonts w:hint="eastAsia"/>
                              </w:rPr>
                              <w:t>T/CNIA XXXX</w:t>
                            </w:r>
                            <w:r>
                              <w:t>—20XX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6.9pt;margin-top:127.9pt;height:23.1pt;width:471.25pt;mso-position-horizontal-relative:margin;mso-position-vertical-relative:margin;z-index:251661312;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E5FF2wAAAAsBAAAPAAAAAAAAAAEAIAAAACIAAABk&#10;cnMvZG93bnJldi54bWxQSwECFAAUAAAACACHTuJAVMecUQMCAAAQBAAADgAAAAAAAAABACAAAAAq&#10;AQAAZHJzL2Uyb0RvYy54bWxQSwUGAAAAAAYABgBZAQAAnwUAAAAA&#10;">
                <v:fill on="f" focussize="0,0"/>
                <v:stroke on="f"/>
                <v:imagedata o:title=""/>
                <o:lock v:ext="edit" aspectratio="f"/>
                <v:textbox inset="0mm,0mm,0mm,0mm">
                  <w:txbxContent>
                    <w:p>
                      <w:pPr>
                        <w:pStyle w:val="28"/>
                        <w:wordWrap w:val="0"/>
                        <w:spacing w:before="0"/>
                      </w:pPr>
                      <w:r>
                        <w:rPr>
                          <w:rFonts w:hint="eastAsia"/>
                        </w:rPr>
                        <w:t>T/CNIA XXXX</w:t>
                      </w:r>
                      <w:r>
                        <w:t>—20XX</w:t>
                      </w:r>
                    </w:p>
                  </w:txbxContent>
                </v:textbox>
                <w10:anchorlock/>
              </v:shape>
            </w:pict>
          </mc:Fallback>
        </mc:AlternateContent>
      </w:r>
    </w:p>
    <w:p>
      <w:pPr>
        <w:pStyle w:val="25"/>
        <w:spacing w:line="360" w:lineRule="auto"/>
        <w:ind w:right="512"/>
        <w:jc w:val="center"/>
        <w:rPr>
          <w:rFonts w:eastAsia="宋体"/>
          <w:lang w:val="fr-FR"/>
        </w:rPr>
      </w:pPr>
    </w:p>
    <w:p>
      <w:pPr>
        <w:pStyle w:val="25"/>
        <w:spacing w:line="360" w:lineRule="auto"/>
        <w:ind w:right="512"/>
        <w:jc w:val="both"/>
        <w:rPr>
          <w:rFonts w:eastAsia="宋体"/>
          <w:lang w:val="fr-FR"/>
        </w:rPr>
      </w:pPr>
    </w:p>
    <w:p>
      <w:pPr>
        <w:pStyle w:val="25"/>
        <w:tabs>
          <w:tab w:val="left" w:pos="7499"/>
        </w:tabs>
        <w:spacing w:line="360" w:lineRule="auto"/>
        <w:ind w:right="512"/>
        <w:jc w:val="both"/>
        <w:rPr>
          <w:rFonts w:eastAsia="宋体"/>
          <w:lang w:val="fr-FR"/>
        </w:rPr>
      </w:pPr>
      <w:r>
        <w:rPr>
          <w:rFonts w:eastAsia="宋体"/>
          <w:lang w:val="fr-FR"/>
        </w:rPr>
        <w:tab/>
      </w:r>
    </w:p>
    <w:p>
      <w:pPr>
        <w:pStyle w:val="25"/>
        <w:spacing w:line="600" w:lineRule="exact"/>
        <w:ind w:right="0"/>
        <w:jc w:val="center"/>
        <w:rPr>
          <w:spacing w:val="-2"/>
          <w:sz w:val="48"/>
          <w:szCs w:val="48"/>
        </w:rPr>
      </w:pPr>
      <w:bookmarkStart w:id="1" w:name="_Hlk120711420"/>
      <w:r>
        <w:rPr>
          <w:rFonts w:hint="eastAsia"/>
          <w:spacing w:val="-2"/>
          <w:sz w:val="52"/>
          <w:szCs w:val="52"/>
        </w:rPr>
        <w:t>铜火法冶炼用石英熔剂</w:t>
      </w:r>
    </w:p>
    <w:bookmarkEnd w:id="1"/>
    <w:p>
      <w:pPr>
        <w:pStyle w:val="26"/>
        <w:spacing w:after="120" w:line="360" w:lineRule="auto"/>
        <w:ind w:firstLine="0" w:firstLineChars="0"/>
        <w:jc w:val="center"/>
        <w:rPr>
          <w:rFonts w:hint="eastAsia" w:ascii="黑体" w:hAnsi="黑体" w:eastAsia="黑体" w:cs="黑体"/>
          <w:spacing w:val="20"/>
          <w:sz w:val="28"/>
          <w:szCs w:val="28"/>
          <w:lang w:val="fr-FR"/>
        </w:rPr>
      </w:pPr>
      <w:r>
        <w:rPr>
          <w:rFonts w:hint="eastAsia" w:ascii="黑体" w:hAnsi="黑体" w:eastAsia="黑体" w:cs="黑体"/>
          <w:spacing w:val="20"/>
          <w:sz w:val="28"/>
          <w:szCs w:val="28"/>
          <w:lang w:val="fr-FR"/>
        </w:rPr>
        <w:t>Quartz flux for copper pyrometallurgy</w:t>
      </w:r>
    </w:p>
    <w:p>
      <w:pPr>
        <w:pStyle w:val="26"/>
        <w:spacing w:after="120" w:line="360" w:lineRule="auto"/>
        <w:ind w:firstLine="0" w:firstLineChars="0"/>
        <w:jc w:val="center"/>
        <w:rPr>
          <w:rFonts w:ascii="Times New Roman" w:hAnsi="Times New Roman" w:cs="Times New Roman"/>
          <w:lang w:val="fr-FR"/>
        </w:rPr>
      </w:pPr>
      <w:r>
        <w:rPr>
          <w:rFonts w:ascii="Times New Roman" w:hAnsi="Times New Roman" w:cs="Times New Roman"/>
          <w:lang w:val="fr-FR"/>
        </w:rPr>
        <w:t>（</w:t>
      </w:r>
      <w:r>
        <w:rPr>
          <w:rFonts w:hint="eastAsia" w:ascii="Times New Roman" w:hAnsi="Times New Roman" w:cs="Times New Roman"/>
          <w:lang w:val="en-US" w:eastAsia="zh-CN"/>
        </w:rPr>
        <w:t>送审</w:t>
      </w:r>
      <w:r>
        <w:rPr>
          <w:rFonts w:hint="eastAsia" w:ascii="Times New Roman" w:hAnsi="Times New Roman" w:cs="Times New Roman"/>
          <w:lang w:val="fr-FR"/>
        </w:rPr>
        <w:t>稿</w:t>
      </w:r>
      <w:r>
        <w:rPr>
          <w:rFonts w:ascii="Times New Roman" w:hAnsi="Times New Roman" w:cs="Times New Roman"/>
          <w:lang w:val="fr-FR"/>
        </w:rPr>
        <w:t>）</w:t>
      </w: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ind w:firstLine="0" w:firstLineChars="0"/>
        <w:rPr>
          <w:rFonts w:ascii="Times New Roman" w:hAnsi="Times New Roman" w:cs="Times New Roman"/>
          <w:lang w:val="fr-FR"/>
        </w:rPr>
      </w:pPr>
    </w:p>
    <w:p>
      <w:pPr>
        <w:pStyle w:val="26"/>
        <w:spacing w:after="120" w:line="360" w:lineRule="auto"/>
        <w:rPr>
          <w:rFonts w:ascii="Times New Roman" w:hAnsi="Times New Roman" w:cs="Times New Roman"/>
          <w:lang w:val="fr-FR"/>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4503420</wp:posOffset>
                </wp:positionH>
                <wp:positionV relativeFrom="paragraph">
                  <wp:posOffset>607060</wp:posOffset>
                </wp:positionV>
                <wp:extent cx="733425" cy="396240"/>
                <wp:effectExtent l="4445" t="5080" r="5080" b="17780"/>
                <wp:wrapNone/>
                <wp:docPr id="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solidFill>
                          <a:srgbClr val="FFFFFF"/>
                        </a:solidFill>
                        <a:ln w="0" cap="rnd">
                          <a:solidFill>
                            <a:srgbClr val="FFFFFF"/>
                          </a:solidFill>
                          <a:prstDash val="sysDot"/>
                          <a:miter lim="800000"/>
                        </a:ln>
                        <a:effectLst/>
                      </wps:spPr>
                      <wps:txbx>
                        <w:txbxContent>
                          <w:p>
                            <w:pPr>
                              <w:rPr>
                                <w:rFonts w:ascii="黑体" w:eastAsia="黑体"/>
                                <w:sz w:val="28"/>
                              </w:rPr>
                            </w:pPr>
                            <w:r>
                              <w:rPr>
                                <w:rFonts w:hint="eastAsia" w:ascii="黑体" w:eastAsia="黑体"/>
                                <w:sz w:val="28"/>
                              </w:rPr>
                              <w:t>发 布</w:t>
                            </w:r>
                          </w:p>
                        </w:txbxContent>
                      </wps:txbx>
                      <wps:bodyPr rot="0" vert="horz" wrap="square" lIns="91440" tIns="45720" rIns="91440" bIns="45720" anchor="t" anchorCtr="0" upright="1">
                        <a:noAutofit/>
                      </wps:bodyPr>
                    </wps:wsp>
                  </a:graphicData>
                </a:graphic>
              </wp:anchor>
            </w:drawing>
          </mc:Choice>
          <mc:Fallback>
            <w:pict>
              <v:shape id="Text Box 27" o:spid="_x0000_s1026" o:spt="202" type="#_x0000_t202" style="position:absolute;left:0pt;margin-left:354.6pt;margin-top:47.8pt;height:31.2pt;width:57.75pt;z-index:251662336;mso-width-relative:page;mso-height-relative:page;" fillcolor="#FFFFFF" filled="t" stroked="t" coordsize="21600,21600" o:gfxdata="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nzV9gAAAAKAQAADwAAAAAAAAABACAAAAAi&#10;AAAAZHJzL2Rvd25yZXYueG1sUEsBAhQAFAAAAAgAh07iQLS0gd5DAgAAtQQAAA4AAAAAAAAAAQAg&#10;AAAAJwEAAGRycy9lMm9Eb2MueG1sUEsFBgAAAAAGAAYAWQEAANwFAAAAAA==&#10;">
                <v:fill on="t" focussize="0,0"/>
                <v:stroke weight="0pt" color="#FFFFFF" miterlimit="8" joinstyle="miter" dashstyle="1 1" endcap="round"/>
                <v:imagedata o:title=""/>
                <o:lock v:ext="edit" aspectratio="f"/>
                <v:textbox>
                  <w:txbxContent>
                    <w:p>
                      <w:pPr>
                        <w:rPr>
                          <w:rFonts w:ascii="黑体" w:eastAsia="黑体"/>
                          <w:sz w:val="28"/>
                        </w:rPr>
                      </w:pPr>
                      <w:r>
                        <w:rPr>
                          <w:rFonts w:hint="eastAsia" w:ascii="黑体" w:eastAsia="黑体"/>
                          <w:sz w:val="28"/>
                        </w:rPr>
                        <w:t>发 布</w:t>
                      </w:r>
                    </w:p>
                  </w:txbxContent>
                </v:textbox>
              </v:shape>
            </w:pict>
          </mc:Fallback>
        </mc:AlternateContent>
      </w:r>
      <w:r>
        <w:rPr>
          <w:rFonts w:hint="default" w:ascii="Times New Roman" w:hAnsi="Times New Roman" w:eastAsia="黑体" w:cs="Times New Roman"/>
          <w:sz w:val="28"/>
          <w:szCs w:val="28"/>
        </w:rPr>
        <mc:AlternateContent>
          <mc:Choice Requires="wps">
            <w:drawing>
              <wp:anchor distT="0" distB="0" distL="114300" distR="114300" simplePos="0" relativeHeight="251663360" behindDoc="0" locked="1" layoutInCell="1" allowOverlap="1">
                <wp:simplePos x="0" y="0"/>
                <wp:positionH relativeFrom="margin">
                  <wp:posOffset>669290</wp:posOffset>
                </wp:positionH>
                <wp:positionV relativeFrom="margin">
                  <wp:posOffset>8315960</wp:posOffset>
                </wp:positionV>
                <wp:extent cx="3394075" cy="786130"/>
                <wp:effectExtent l="0" t="0" r="15875" b="139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94075" cy="786130"/>
                        </a:xfrm>
                        <a:prstGeom prst="rect">
                          <a:avLst/>
                        </a:prstGeom>
                        <a:solidFill>
                          <a:srgbClr val="FFFFFF"/>
                        </a:solidFill>
                        <a:ln>
                          <a:noFill/>
                        </a:ln>
                        <a:effectLst/>
                      </wps:spPr>
                      <wps:txbx>
                        <w:txbxContent>
                          <w:p>
                            <w:pPr>
                              <w:pStyle w:val="31"/>
                              <w:jc w:val="distribute"/>
                              <w:rPr>
                                <w:rFonts w:ascii="黑体" w:eastAsia="黑体"/>
                                <w:b w:val="0"/>
                                <w:bCs/>
                                <w:szCs w:val="28"/>
                              </w:rPr>
                            </w:pPr>
                            <w:r>
                              <w:rPr>
                                <w:rFonts w:hint="eastAsia" w:ascii="黑体" w:eastAsia="黑体"/>
                                <w:b w:val="0"/>
                                <w:bCs/>
                                <w:szCs w:val="28"/>
                              </w:rPr>
                              <w:t>中国有色金属工业协会</w:t>
                            </w:r>
                          </w:p>
                          <w:p>
                            <w:pPr>
                              <w:pStyle w:val="27"/>
                              <w:tabs>
                                <w:tab w:val="center" w:pos="4201"/>
                                <w:tab w:val="right" w:leader="dot" w:pos="9298"/>
                              </w:tabs>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7pt;margin-top:654.8pt;height:61.9pt;width:267.25pt;mso-position-horizontal-relative:margin;mso-position-vertical-relative:margin;z-index:251663360;mso-width-relative:page;mso-height-relative:page;" fillcolor="#FFFFFF" filled="t" stroked="f" coordsize="21600,21600" o:gfxdata="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emWo2wAAAA0BAAAPAAAAAAAAAAEAIAAAACIAAABkcnMvZG93bnJldi54bWxQSwECFAAU&#10;AAAACACHTuJAZT0iYCcCAAA8BAAADgAAAAAAAAABACAAAAAqAQAAZHJzL2Uyb0RvYy54bWxQSwUG&#10;AAAAAAYABgBZAQAAwwUAAAAA&#10;">
                <v:fill on="t" focussize="0,0"/>
                <v:stroke on="f"/>
                <v:imagedata o:title=""/>
                <o:lock v:ext="edit" aspectratio="f"/>
                <v:textbox inset="0mm,0mm,0mm,0mm">
                  <w:txbxContent>
                    <w:p>
                      <w:pPr>
                        <w:pStyle w:val="31"/>
                        <w:jc w:val="distribute"/>
                        <w:rPr>
                          <w:rFonts w:ascii="黑体" w:eastAsia="黑体"/>
                          <w:b w:val="0"/>
                          <w:bCs/>
                          <w:szCs w:val="28"/>
                        </w:rPr>
                      </w:pPr>
                      <w:r>
                        <w:rPr>
                          <w:rFonts w:hint="eastAsia" w:ascii="黑体" w:eastAsia="黑体"/>
                          <w:b w:val="0"/>
                          <w:bCs/>
                          <w:szCs w:val="28"/>
                        </w:rPr>
                        <w:t>中国有色金属工业协会</w:t>
                      </w:r>
                    </w:p>
                    <w:p>
                      <w:pPr>
                        <w:pStyle w:val="27"/>
                        <w:tabs>
                          <w:tab w:val="center" w:pos="4201"/>
                          <w:tab w:val="right" w:leader="dot" w:pos="9298"/>
                        </w:tabs>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v:textbox>
                <w10:anchorlock/>
              </v:shape>
            </w:pict>
          </mc:Fallback>
        </mc:AlternateContent>
      </w:r>
      <w:r>
        <w:rPr>
          <w:rFonts w:hint="default" w:ascii="Times New Roman" w:hAnsi="Times New Roman" w:eastAsia="黑体"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299720</wp:posOffset>
                </wp:positionV>
                <wp:extent cx="6000750" cy="0"/>
                <wp:effectExtent l="0" t="0" r="0" b="0"/>
                <wp:wrapNone/>
                <wp:docPr id="2" name="Line 19"/>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a:effectLst/>
                      </wps:spPr>
                      <wps:bodyPr/>
                    </wps:wsp>
                  </a:graphicData>
                </a:graphic>
              </wp:anchor>
            </w:drawing>
          </mc:Choice>
          <mc:Fallback>
            <w:pict>
              <v:line id="Line 19" o:spid="_x0000_s1026" o:spt="20" style="position:absolute;left:0pt;margin-left:-7.5pt;margin-top:23.6pt;height:0pt;width:472.5pt;z-index:251664384;mso-width-relative:page;mso-height-relative:page;" filled="f" stroked="t" coordsize="21600,21600" o:gfxdata="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TzbVdgAAAAJAQAADwAAAAAAAAABACAAAAAiAAAA&#10;ZHJzL2Rvd25yZXYueG1sUEsBAhQAFAAAAAgAh07iQC8aPxbOAQAArwMAAA4AAAAAAAAAAQAgAAAA&#10;JwEAAGRycy9lMm9Eb2MueG1sUEsFBgAAAAAGAAYAWQEAAGcFAAAAAA==&#10;">
                <v:fill on="f" focussize="0,0"/>
                <v:stroke weight="1pt" color="#000000" joinstyle="round"/>
                <v:imagedata o:title=""/>
                <o:lock v:ext="edit" aspectratio="f"/>
              </v:line>
            </w:pict>
          </mc:Fallback>
        </mc:AlternateContent>
      </w:r>
      <w:r>
        <w:rPr>
          <w:rFonts w:hint="default" w:ascii="Times New Roman" w:hAnsi="Times New Roman" w:eastAsia="黑体" w:cs="Times New Roman"/>
          <w:sz w:val="28"/>
          <w:szCs w:val="28"/>
          <w:lang w:val="fr-FR"/>
        </w:rPr>
        <w:t xml:space="preserve">20XX-XX-XX </w:t>
      </w:r>
      <w:r>
        <w:rPr>
          <w:rFonts w:hint="default" w:ascii="Times New Roman" w:hAnsi="Times New Roman" w:eastAsia="黑体" w:cs="Times New Roman"/>
          <w:sz w:val="28"/>
          <w:szCs w:val="28"/>
        </w:rPr>
        <w:t>发布</w:t>
      </w:r>
      <w:r>
        <w:rPr>
          <w:rFonts w:hint="default" w:ascii="Times New Roman" w:hAnsi="Times New Roman" w:eastAsia="黑体" w:cs="Times New Roman"/>
          <w:sz w:val="28"/>
          <w:szCs w:val="28"/>
          <w:lang w:val="fr-FR"/>
        </w:rPr>
        <w:t xml:space="preserve">      </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fr-FR"/>
        </w:rPr>
        <w:t xml:space="preserve"> 20XX-XX-XX</w:t>
      </w:r>
      <w:r>
        <w:rPr>
          <w:rFonts w:hint="default" w:ascii="Times New Roman" w:hAnsi="Times New Roman" w:eastAsia="黑体" w:cs="Times New Roman"/>
          <w:sz w:val="28"/>
          <w:szCs w:val="28"/>
        </w:rPr>
        <w:t>实施</w:t>
      </w:r>
    </w:p>
    <w:p>
      <w:pPr>
        <w:rPr>
          <w:sz w:val="32"/>
          <w:szCs w:val="32"/>
        </w:rPr>
      </w:pPr>
      <w:r>
        <w:br w:type="page"/>
      </w:r>
    </w:p>
    <w:bookmarkEnd w:id="0"/>
    <w:p>
      <w:pPr>
        <w:pStyle w:val="2"/>
        <w:jc w:val="center"/>
        <w:rPr>
          <w:rFonts w:hint="eastAsia" w:ascii="黑体" w:hAnsi="黑体" w:eastAsia="黑体" w:cs="黑体"/>
          <w:b w:val="0"/>
          <w:bCs w:val="0"/>
        </w:rPr>
      </w:pPr>
      <w:r>
        <w:rPr>
          <w:rFonts w:hint="eastAsia" w:ascii="黑体" w:hAnsi="黑体" w:eastAsia="黑体" w:cs="黑体"/>
          <w:b w:val="0"/>
          <w:bCs w:val="0"/>
        </w:rPr>
        <w:t>前言</w:t>
      </w:r>
    </w:p>
    <w:p>
      <w:pPr>
        <w:spacing w:line="360" w:lineRule="exact"/>
        <w:ind w:firstLine="420" w:firstLineChars="200"/>
        <w:rPr>
          <w:rFonts w:ascii="宋体" w:hAnsi="宋体"/>
          <w:kern w:val="0"/>
        </w:rPr>
      </w:pPr>
      <w:r>
        <w:rPr>
          <w:rFonts w:hint="eastAsia" w:ascii="宋体" w:hAnsi="宋体"/>
          <w:kern w:val="0"/>
        </w:rPr>
        <w:t>本文件按照</w:t>
      </w:r>
      <w:r>
        <w:rPr>
          <w:rFonts w:ascii="宋体" w:hAnsi="宋体"/>
          <w:kern w:val="0"/>
        </w:rPr>
        <w:t>GB/T 1.1-2020</w:t>
      </w:r>
      <w:r>
        <w:rPr>
          <w:rFonts w:hint="eastAsia" w:ascii="宋体" w:hAnsi="宋体"/>
          <w:kern w:val="0"/>
        </w:rPr>
        <w:t>《标准化工作导则</w:t>
      </w:r>
      <w:r>
        <w:rPr>
          <w:rFonts w:hint="eastAsia" w:ascii="宋体" w:hAnsi="宋体"/>
          <w:kern w:val="0"/>
          <w:lang w:val="en-US" w:eastAsia="zh-CN"/>
        </w:rPr>
        <w:t xml:space="preserve"> </w:t>
      </w:r>
      <w:r>
        <w:rPr>
          <w:rFonts w:hint="eastAsia" w:ascii="宋体" w:hAnsi="宋体"/>
          <w:kern w:val="0"/>
        </w:rPr>
        <w:t>第</w:t>
      </w:r>
      <w:r>
        <w:rPr>
          <w:rFonts w:ascii="宋体" w:hAnsi="宋体"/>
          <w:kern w:val="0"/>
        </w:rPr>
        <w:t>1</w:t>
      </w:r>
      <w:r>
        <w:rPr>
          <w:rFonts w:hint="eastAsia" w:ascii="宋体" w:hAnsi="宋体"/>
          <w:kern w:val="0"/>
        </w:rPr>
        <w:t>部分：标准化文件的结构和起草规定》</w:t>
      </w:r>
      <w:r>
        <w:rPr>
          <w:rFonts w:hint="eastAsia" w:ascii="宋体" w:hAnsi="宋体"/>
          <w:kern w:val="0"/>
          <w:lang w:eastAsia="zh-CN"/>
        </w:rPr>
        <w:t>的</w:t>
      </w:r>
      <w:r>
        <w:rPr>
          <w:rFonts w:hint="eastAsia" w:ascii="宋体" w:hAnsi="宋体"/>
          <w:kern w:val="0"/>
        </w:rPr>
        <w:t>规</w:t>
      </w:r>
      <w:r>
        <w:rPr>
          <w:rFonts w:hint="eastAsia" w:ascii="宋体" w:hAnsi="宋体"/>
          <w:kern w:val="0"/>
          <w:lang w:val="en-US" w:eastAsia="zh-CN"/>
        </w:rPr>
        <w:t>定</w:t>
      </w:r>
      <w:r>
        <w:rPr>
          <w:rFonts w:hint="eastAsia" w:ascii="宋体" w:hAnsi="宋体"/>
          <w:kern w:val="0"/>
        </w:rPr>
        <w:t>起草。</w:t>
      </w:r>
    </w:p>
    <w:p>
      <w:pPr>
        <w:spacing w:line="360" w:lineRule="exact"/>
        <w:ind w:firstLine="420" w:firstLineChars="200"/>
        <w:rPr>
          <w:rFonts w:ascii="宋体" w:hAnsi="宋体"/>
          <w:kern w:val="0"/>
        </w:rPr>
      </w:pPr>
      <w:r>
        <w:rPr>
          <w:rFonts w:hint="eastAsia" w:ascii="宋体" w:hAnsi="宋体"/>
          <w:kern w:val="0"/>
        </w:rPr>
        <w:t>本文件由全国有色金属标准化技术委员会（</w:t>
      </w:r>
      <w:r>
        <w:rPr>
          <w:rFonts w:ascii="宋体" w:hAnsi="宋体"/>
          <w:kern w:val="0"/>
        </w:rPr>
        <w:t>SAC/TC 243</w:t>
      </w:r>
      <w:r>
        <w:rPr>
          <w:rFonts w:hint="eastAsia" w:ascii="宋体" w:hAnsi="宋体"/>
          <w:kern w:val="0"/>
        </w:rPr>
        <w:t>）提出并归口。</w:t>
      </w:r>
    </w:p>
    <w:p>
      <w:pPr>
        <w:spacing w:line="360" w:lineRule="exact"/>
        <w:ind w:firstLine="420" w:firstLineChars="200"/>
        <w:rPr>
          <w:rFonts w:hint="eastAsia" w:ascii="宋体" w:hAnsi="宋体" w:eastAsia="宋体"/>
          <w:kern w:val="0"/>
          <w:lang w:eastAsia="zh-CN"/>
        </w:rPr>
      </w:pPr>
      <w:r>
        <w:rPr>
          <w:rFonts w:hint="eastAsia" w:ascii="宋体" w:hAnsi="宋体"/>
          <w:kern w:val="0"/>
        </w:rPr>
        <w:t>本文件起草单位：江西铜业股份有限公司、铜陵有色金属集团控股有限公司、大冶有色金属集团有限公司、云南铜业股份有限公司、紫金矿业集团股份有限公司、山东恒邦冶炼股份有限公司</w:t>
      </w:r>
      <w:r>
        <w:rPr>
          <w:rFonts w:hint="eastAsia" w:ascii="宋体" w:hAnsi="宋体"/>
          <w:kern w:val="0"/>
          <w:lang w:eastAsia="zh-CN"/>
        </w:rPr>
        <w:t>。</w:t>
      </w:r>
    </w:p>
    <w:p>
      <w:pPr>
        <w:spacing w:line="360" w:lineRule="exact"/>
        <w:ind w:firstLine="420" w:firstLineChars="200"/>
        <w:rPr>
          <w:rFonts w:ascii="宋体" w:hAnsi="宋体"/>
          <w:kern w:val="0"/>
        </w:rPr>
      </w:pPr>
      <w:r>
        <w:rPr>
          <w:rFonts w:ascii="宋体" w:hAnsi="宋体"/>
          <w:kern w:val="0"/>
        </w:rPr>
        <w:t>本</w:t>
      </w:r>
      <w:r>
        <w:rPr>
          <w:rFonts w:hint="eastAsia" w:ascii="宋体" w:hAnsi="宋体"/>
          <w:kern w:val="0"/>
        </w:rPr>
        <w:t>文件</w:t>
      </w:r>
      <w:r>
        <w:rPr>
          <w:rFonts w:ascii="宋体" w:hAnsi="宋体"/>
          <w:kern w:val="0"/>
        </w:rPr>
        <w:t>主要起草人： XXX、XXX、XXX。</w:t>
      </w: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18"/>
        <w:ind w:firstLine="420"/>
      </w:pPr>
    </w:p>
    <w:p>
      <w:pPr>
        <w:pStyle w:val="2"/>
        <w:keepNext/>
        <w:keepLines/>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cs="黑体"/>
          <w:b w:val="0"/>
          <w:bCs w:val="0"/>
        </w:rPr>
      </w:pPr>
      <w:r>
        <w:rPr>
          <w:rFonts w:hint="eastAsia" w:ascii="黑体" w:hAnsi="黑体" w:eastAsia="黑体" w:cs="黑体"/>
          <w:b w:val="0"/>
          <w:bCs w:val="0"/>
        </w:rPr>
        <w:t>铜火法冶炼用石英熔剂</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1范围</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lang w:val="en-US" w:eastAsia="zh-CN"/>
        </w:rPr>
      </w:pPr>
      <w:r>
        <w:rPr>
          <w:rFonts w:hint="eastAsia" w:ascii="宋体" w:hAnsi="宋体" w:cs="黑体"/>
        </w:rPr>
        <w:t>本文件规定了</w:t>
      </w:r>
      <w:r>
        <w:rPr>
          <w:rFonts w:hint="eastAsia" w:ascii="宋体" w:hAnsi="宋体" w:cs="黑体"/>
          <w:lang w:val="en-US" w:eastAsia="zh-CN"/>
        </w:rPr>
        <w:t>铜火法冶炼用石英熔剂</w:t>
      </w:r>
      <w:r>
        <w:rPr>
          <w:rFonts w:hint="eastAsia" w:ascii="宋体" w:hAnsi="宋体" w:cs="黑体"/>
        </w:rPr>
        <w:t>的</w:t>
      </w:r>
      <w:r>
        <w:rPr>
          <w:rFonts w:hint="eastAsia" w:ascii="宋体" w:hAnsi="宋体" w:cs="黑体"/>
          <w:lang w:val="en-US" w:eastAsia="zh-CN"/>
        </w:rPr>
        <w:t>分类、技术</w:t>
      </w:r>
      <w:r>
        <w:rPr>
          <w:rFonts w:hint="eastAsia" w:ascii="宋体" w:hAnsi="宋体" w:cs="黑体"/>
        </w:rPr>
        <w:t>要求、</w:t>
      </w:r>
      <w:r>
        <w:rPr>
          <w:rFonts w:hint="eastAsia" w:ascii="宋体" w:hAnsi="宋体" w:cs="黑体"/>
          <w:lang w:val="en-US" w:eastAsia="zh-CN"/>
        </w:rPr>
        <w:t>试验</w:t>
      </w:r>
      <w:r>
        <w:rPr>
          <w:rFonts w:hint="eastAsia" w:ascii="宋体" w:hAnsi="宋体" w:cs="黑体"/>
        </w:rPr>
        <w:t>方法、检验规则、</w:t>
      </w:r>
      <w:r>
        <w:rPr>
          <w:rFonts w:hint="eastAsia" w:ascii="宋体" w:hAnsi="宋体" w:cs="黑体"/>
          <w:lang w:val="en-US" w:eastAsia="zh-CN"/>
        </w:rPr>
        <w:t>包装</w:t>
      </w:r>
      <w:r>
        <w:rPr>
          <w:rFonts w:hint="eastAsia" w:ascii="宋体" w:hAnsi="宋体" w:cs="黑体"/>
        </w:rPr>
        <w:t>、运输</w:t>
      </w:r>
      <w:r>
        <w:rPr>
          <w:rFonts w:hint="eastAsia" w:ascii="宋体" w:hAnsi="宋体" w:cs="黑体"/>
          <w:lang w:eastAsia="zh-CN"/>
        </w:rPr>
        <w:t>、</w:t>
      </w:r>
      <w:r>
        <w:rPr>
          <w:rFonts w:hint="eastAsia" w:ascii="宋体" w:hAnsi="宋体" w:cs="黑体"/>
        </w:rPr>
        <w:t>贮存</w:t>
      </w:r>
      <w:r>
        <w:rPr>
          <w:rFonts w:hint="eastAsia" w:ascii="宋体" w:hAnsi="宋体" w:cs="黑体"/>
          <w:lang w:val="en-US" w:eastAsia="zh-CN"/>
        </w:rPr>
        <w:t>及随行文件和订货单内容。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lang w:val="en-US" w:eastAsia="zh-CN"/>
        </w:rPr>
      </w:pPr>
      <w:r>
        <w:rPr>
          <w:rFonts w:hint="eastAsia" w:ascii="宋体" w:hAnsi="宋体" w:cs="黑体"/>
          <w:lang w:val="en-US" w:eastAsia="zh-CN"/>
        </w:rPr>
        <w:t>本文件适用于闪速炉、卧式侧吹转炉（PS转炉）、侧吹炉、倾动炉、固定式阳极炉等铜火法熔炼及精炼炉造渣剂选用的石英砂及石英石。</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2规范性引用文件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黑体"/>
        </w:rPr>
      </w:pPr>
      <w:r>
        <w:rPr>
          <w:rFonts w:hint="eastAsia" w:ascii="宋体" w:hAnsi="宋体" w:cs="黑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lang w:val="en-US" w:eastAsia="zh-CN"/>
        </w:rPr>
      </w:pPr>
      <w:r>
        <w:rPr>
          <w:rFonts w:hint="eastAsia" w:ascii="宋体" w:hAnsi="宋体" w:cs="黑体"/>
        </w:rPr>
        <w:t>GB/T 3884 铜精矿化学分析方法</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rPr>
      </w:pPr>
      <w:r>
        <w:rPr>
          <w:rFonts w:hint="eastAsia" w:ascii="宋体" w:hAnsi="宋体" w:cs="黑体"/>
        </w:rPr>
        <w:t xml:space="preserve">GB/T 8170 数值修约规则与极限数值的表示和判定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color w:val="auto"/>
          <w:lang w:val="en-US" w:eastAsia="zh-CN"/>
        </w:rPr>
      </w:pPr>
      <w:r>
        <w:rPr>
          <w:rFonts w:hint="eastAsia" w:ascii="宋体" w:hAnsi="宋体" w:eastAsia="宋体" w:cs="黑体"/>
          <w:color w:val="auto"/>
          <w:lang w:val="en-US" w:eastAsia="zh-CN"/>
        </w:rPr>
        <w:t>YB/T</w:t>
      </w:r>
      <w:r>
        <w:rPr>
          <w:rFonts w:hint="eastAsia" w:ascii="宋体" w:hAnsi="宋体" w:cs="黑体"/>
          <w:color w:val="auto"/>
          <w:lang w:val="en-US" w:eastAsia="zh-CN"/>
        </w:rPr>
        <w:t xml:space="preserve"> </w:t>
      </w:r>
      <w:r>
        <w:rPr>
          <w:rFonts w:hint="eastAsia" w:ascii="宋体" w:hAnsi="宋体" w:eastAsia="宋体" w:cs="黑体"/>
          <w:color w:val="auto"/>
          <w:lang w:val="en-US" w:eastAsia="zh-CN"/>
        </w:rPr>
        <w:t>4225</w:t>
      </w:r>
      <w:r>
        <w:rPr>
          <w:rFonts w:hint="eastAsia" w:ascii="宋体" w:hAnsi="宋体" w:cs="黑体"/>
          <w:color w:val="auto"/>
          <w:lang w:val="en-US" w:eastAsia="zh-CN"/>
        </w:rPr>
        <w:t xml:space="preserve"> 石英砂中二氧化硅含量测定方法</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color w:val="auto"/>
          <w:lang w:val="en-US" w:eastAsia="zh-CN"/>
        </w:rPr>
      </w:pPr>
      <w:r>
        <w:rPr>
          <w:rFonts w:hint="eastAsia" w:ascii="宋体" w:hAnsi="宋体" w:cs="黑体"/>
          <w:color w:val="auto"/>
          <w:lang w:val="en-US" w:eastAsia="zh-CN"/>
        </w:rPr>
        <w:t>SJ/T 10380  工业用酸洗石英砂</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default" w:ascii="宋体" w:hAnsi="宋体" w:cs="黑体"/>
          <w:color w:val="auto"/>
          <w:lang w:val="en-US" w:eastAsia="zh-CN"/>
        </w:rPr>
      </w:pPr>
      <w:r>
        <w:rPr>
          <w:rFonts w:hint="eastAsia" w:ascii="宋体" w:hAnsi="宋体" w:cs="黑体"/>
          <w:color w:val="auto"/>
          <w:lang w:val="en-US" w:eastAsia="zh-CN"/>
        </w:rPr>
        <w:t>GB/T 14684  建设用砂</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3 术语与定义</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color w:val="auto"/>
          <w:lang w:val="en-US" w:eastAsia="zh-CN"/>
        </w:rPr>
      </w:pPr>
      <w:r>
        <w:rPr>
          <w:rFonts w:hint="eastAsia" w:ascii="宋体" w:hAnsi="宋体" w:cs="黑体"/>
          <w:color w:val="auto"/>
          <w:lang w:val="en-US" w:eastAsia="zh-CN"/>
        </w:rPr>
        <w:t>下列术语和定义适用于本文件</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 xml:space="preserve">3.1 </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rPr>
          <w:rFonts w:ascii="黑体" w:hAnsi="黑体" w:cs="黑体"/>
          <w:b w:val="0"/>
          <w:bCs w:val="0"/>
          <w:sz w:val="21"/>
          <w:szCs w:val="21"/>
        </w:rPr>
      </w:pPr>
      <w:r>
        <w:rPr>
          <w:rFonts w:hint="eastAsia" w:ascii="黑体" w:hAnsi="黑体" w:cs="黑体"/>
          <w:b w:val="0"/>
          <w:bCs w:val="0"/>
          <w:sz w:val="21"/>
          <w:szCs w:val="21"/>
        </w:rPr>
        <w:t>铜火法冶炼用石英熔剂</w:t>
      </w:r>
      <w:r>
        <w:rPr>
          <w:rFonts w:hint="eastAsia" w:ascii="黑体" w:hAnsi="黑体" w:cs="黑体"/>
          <w:b w:val="0"/>
          <w:bCs w:val="0"/>
          <w:sz w:val="21"/>
          <w:szCs w:val="21"/>
          <w:lang w:val="en-US" w:eastAsia="zh-CN"/>
        </w:rPr>
        <w:t xml:space="preserve"> </w:t>
      </w:r>
      <w:r>
        <w:rPr>
          <w:rFonts w:hint="eastAsia" w:ascii="宋体" w:hAnsi="宋体" w:eastAsia="宋体" w:cs="宋体"/>
          <w:b w:val="0"/>
          <w:bCs w:val="0"/>
          <w:kern w:val="2"/>
          <w:sz w:val="21"/>
          <w:szCs w:val="21"/>
          <w:lang w:val="en-US" w:eastAsia="zh-CN" w:bidi="ar-SA"/>
        </w:rPr>
        <w:t xml:space="preserve">quartz </w:t>
      </w:r>
      <w:r>
        <w:rPr>
          <w:rFonts w:hint="eastAsia" w:ascii="宋体" w:hAnsi="宋体" w:eastAsia="宋体" w:cs="宋体"/>
          <w:b w:val="0"/>
          <w:bCs w:val="0"/>
          <w:sz w:val="21"/>
          <w:szCs w:val="21"/>
        </w:rPr>
        <w:t>flux for copper pyrometallurgy</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ascii="宋体" w:hAnsi="宋体" w:cs="黑体"/>
        </w:rPr>
      </w:pPr>
      <w:r>
        <w:rPr>
          <w:rFonts w:hint="eastAsia" w:ascii="宋体" w:hAnsi="宋体" w:cs="黑体"/>
        </w:rPr>
        <w:t>在铜火法冶炼过程中，采用FeO-SiO</w:t>
      </w:r>
      <w:r>
        <w:rPr>
          <w:rFonts w:hint="eastAsia" w:ascii="宋体" w:hAnsi="宋体" w:cs="黑体"/>
          <w:vertAlign w:val="subscript"/>
        </w:rPr>
        <w:t>2</w:t>
      </w:r>
      <w:r>
        <w:rPr>
          <w:rFonts w:hint="eastAsia" w:ascii="宋体" w:hAnsi="宋体" w:cs="黑体"/>
        </w:rPr>
        <w:t>系渣进行造渣除杂方式所选用的石英熔剂</w:t>
      </w:r>
      <w:r>
        <w:rPr>
          <w:rFonts w:hint="eastAsia" w:ascii="宋体" w:hAnsi="宋体" w:cs="黑体"/>
          <w:lang w:eastAsia="zh-CN"/>
        </w:rPr>
        <w:t>。</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4 产品分类</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黑体"/>
        </w:rPr>
      </w:pPr>
      <w:r>
        <w:rPr>
          <w:rFonts w:hint="eastAsia" w:ascii="宋体" w:hAnsi="宋体" w:cs="宋体"/>
          <w:kern w:val="0"/>
        </w:rPr>
        <w:t xml:space="preserve">   </w:t>
      </w:r>
      <w:r>
        <w:rPr>
          <w:rFonts w:hint="eastAsia" w:ascii="宋体" w:hAnsi="宋体" w:cs="黑体"/>
          <w:lang w:val="en-US" w:eastAsia="zh-CN"/>
        </w:rPr>
        <w:t xml:space="preserve"> </w:t>
      </w:r>
      <w:r>
        <w:rPr>
          <w:rFonts w:hint="eastAsia" w:ascii="宋体" w:hAnsi="宋体" w:cs="黑体"/>
        </w:rPr>
        <w:t>石英熔剂产品分类</w:t>
      </w:r>
      <w:r>
        <w:rPr>
          <w:rFonts w:hint="eastAsia" w:ascii="宋体" w:hAnsi="宋体" w:cs="黑体"/>
        </w:rPr>
        <w:t>按熔剂物理</w:t>
      </w:r>
      <w:r>
        <w:rPr>
          <w:rFonts w:hint="eastAsia" w:ascii="宋体" w:hAnsi="宋体" w:cs="黑体"/>
          <w:lang w:val="en-US" w:eastAsia="zh-CN"/>
        </w:rPr>
        <w:t>性能</w:t>
      </w:r>
      <w:r>
        <w:rPr>
          <w:rFonts w:hint="eastAsia" w:ascii="宋体" w:hAnsi="宋体" w:cs="黑体"/>
        </w:rPr>
        <w:t>分为石英砂、石英石</w:t>
      </w:r>
      <w:r>
        <w:rPr>
          <w:rFonts w:hint="eastAsia" w:ascii="宋体" w:hAnsi="宋体" w:cs="黑体"/>
          <w:lang w:eastAsia="zh-CN"/>
        </w:rPr>
        <w:t>；</w:t>
      </w:r>
      <w:r>
        <w:rPr>
          <w:rFonts w:hint="eastAsia" w:ascii="宋体" w:hAnsi="宋体" w:cs="黑体"/>
        </w:rPr>
        <w:t>按SiO2含量</w:t>
      </w:r>
      <w:r>
        <w:rPr>
          <w:rFonts w:hint="eastAsia" w:ascii="宋体" w:hAnsi="宋体" w:cs="黑体"/>
          <w:lang w:val="en-US" w:eastAsia="zh-CN"/>
        </w:rPr>
        <w:t>石英砂</w:t>
      </w:r>
      <w:r>
        <w:rPr>
          <w:rFonts w:hint="eastAsia" w:ascii="宋体" w:hAnsi="宋体" w:cs="黑体"/>
        </w:rPr>
        <w:t>可分为一级品、二级品、三级品</w:t>
      </w:r>
      <w:r>
        <w:rPr>
          <w:rFonts w:hint="eastAsia" w:ascii="宋体" w:hAnsi="宋体" w:cs="黑体"/>
          <w:lang w:eastAsia="zh-CN"/>
        </w:rPr>
        <w:t>、</w:t>
      </w:r>
      <w:r>
        <w:rPr>
          <w:rFonts w:hint="eastAsia" w:ascii="宋体" w:hAnsi="宋体" w:cs="黑体"/>
          <w:lang w:val="en-US" w:eastAsia="zh-CN"/>
        </w:rPr>
        <w:t>四级品，石英石可分为</w:t>
      </w:r>
      <w:r>
        <w:rPr>
          <w:rFonts w:hint="eastAsia" w:ascii="宋体" w:hAnsi="宋体" w:cs="黑体"/>
        </w:rPr>
        <w:t>一级品、二级品、三级品。</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5 技术要求</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5.1 化学成分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ascii="宋体" w:hAnsi="宋体" w:cs="黑体"/>
          <w:u w:val="none"/>
        </w:rPr>
      </w:pPr>
      <w:r>
        <w:rPr>
          <w:rFonts w:hint="eastAsia" w:ascii="宋体" w:hAnsi="宋体" w:cs="黑体"/>
        </w:rPr>
        <w:t>石英砂及石英石熔剂的成分应符合表1的规定</w:t>
      </w:r>
      <w:r>
        <w:rPr>
          <w:rFonts w:hint="eastAsia" w:ascii="宋体" w:hAnsi="宋体" w:cs="黑体"/>
          <w:lang w:eastAsia="zh-CN"/>
        </w:rPr>
        <w:t>。</w:t>
      </w:r>
      <w:r>
        <w:rPr>
          <w:rFonts w:hint="eastAsia" w:ascii="宋体" w:hAnsi="宋体" w:cs="黑体"/>
          <w:lang w:val="en-US" w:eastAsia="zh-CN"/>
        </w:rPr>
        <w:t>石英砂熔剂水分含量应不大于</w:t>
      </w:r>
      <w:r>
        <w:rPr>
          <w:rFonts w:hint="eastAsia" w:ascii="宋体" w:hAnsi="宋体" w:cs="黑体"/>
        </w:rPr>
        <w:t>8%</w:t>
      </w:r>
      <w:r>
        <w:rPr>
          <w:rFonts w:hint="eastAsia" w:ascii="宋体" w:hAnsi="宋体" w:cs="黑体"/>
          <w:lang w:eastAsia="zh-CN"/>
        </w:rPr>
        <w:t>，</w:t>
      </w:r>
      <w:r>
        <w:rPr>
          <w:rFonts w:hint="eastAsia" w:ascii="宋体" w:hAnsi="宋体" w:cs="黑体"/>
          <w:lang w:val="en-US" w:eastAsia="zh-CN"/>
        </w:rPr>
        <w:t>石英石熔剂水分含量应不大于</w:t>
      </w:r>
      <w:r>
        <w:rPr>
          <w:rFonts w:hint="eastAsia" w:ascii="宋体" w:hAnsi="宋体" w:eastAsia="宋体" w:cs="黑体"/>
          <w:b w:val="0"/>
          <w:bCs w:val="0"/>
          <w:kern w:val="2"/>
          <w:sz w:val="21"/>
          <w:szCs w:val="21"/>
          <w:lang w:val="en-US" w:eastAsia="zh-CN" w:bidi="ar-SA"/>
        </w:rPr>
        <w:t>3%，如有特殊要求可</w:t>
      </w:r>
      <w:r>
        <w:rPr>
          <w:rFonts w:hint="eastAsia" w:ascii="宋体" w:hAnsi="宋体" w:cs="黑体"/>
          <w:color w:val="auto"/>
          <w:u w:val="none"/>
          <w:lang w:val="en-US" w:eastAsia="zh-CN"/>
        </w:rPr>
        <w:t>供需双方协商。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right="317"/>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 xml:space="preserve">表1  </w:t>
      </w:r>
      <w:r>
        <w:rPr>
          <w:rFonts w:hint="eastAsia" w:ascii="黑体" w:hAnsi="黑体" w:eastAsia="黑体" w:cs="黑体"/>
          <w:b w:val="0"/>
          <w:bCs/>
          <w:sz w:val="21"/>
          <w:szCs w:val="21"/>
          <w:lang w:val="en-US" w:eastAsia="zh-CN"/>
        </w:rPr>
        <w:t>铜火法冶炼用石英熔剂</w:t>
      </w:r>
      <w:r>
        <w:rPr>
          <w:rFonts w:hint="eastAsia" w:ascii="黑体" w:hAnsi="黑体" w:eastAsia="黑体" w:cs="黑体"/>
          <w:b w:val="0"/>
          <w:bCs/>
          <w:sz w:val="21"/>
          <w:szCs w:val="21"/>
        </w:rPr>
        <w:t>化学成分</w:t>
      </w:r>
    </w:p>
    <w:tbl>
      <w:tblPr>
        <w:tblStyle w:val="11"/>
        <w:tblpPr w:leftFromText="180" w:rightFromText="180" w:vertAnchor="text" w:horzAnchor="page" w:tblpXSpec="center" w:tblpY="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884"/>
        <w:gridCol w:w="1095"/>
        <w:gridCol w:w="1095"/>
        <w:gridCol w:w="1095"/>
        <w:gridCol w:w="1095"/>
        <w:gridCol w:w="10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346" w:type="pct"/>
            <w:gridSpan w:val="2"/>
            <w:tcBorders>
              <w:tl2br w:val="nil"/>
              <w:tr2bl w:val="nil"/>
            </w:tcBorders>
            <w:shd w:val="clear" w:color="auto" w:fill="auto"/>
            <w:noWrap/>
            <w:vAlign w:val="center"/>
          </w:tcPr>
          <w:p>
            <w:pPr>
              <w:spacing w:line="240" w:lineRule="auto"/>
              <w:jc w:val="center"/>
              <w:rPr>
                <w:rFonts w:ascii="宋体" w:hAnsi="宋体"/>
                <w:kern w:val="0"/>
                <w:sz w:val="18"/>
                <w:szCs w:val="18"/>
              </w:rPr>
            </w:pPr>
            <w:r>
              <w:rPr>
                <w:rFonts w:ascii="宋体" w:hAnsi="宋体"/>
                <w:kern w:val="0"/>
                <w:sz w:val="18"/>
                <w:szCs w:val="18"/>
              </w:rPr>
              <w:t>元素</w:t>
            </w:r>
          </w:p>
        </w:tc>
        <w:tc>
          <w:tcPr>
            <w:tcW w:w="572"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SiO</w:t>
            </w:r>
            <w:r>
              <w:rPr>
                <w:rFonts w:hint="eastAsia" w:ascii="宋体" w:hAnsi="宋体"/>
                <w:kern w:val="0"/>
                <w:sz w:val="18"/>
                <w:szCs w:val="18"/>
                <w:vertAlign w:val="subscript"/>
              </w:rPr>
              <w:t>2</w:t>
            </w:r>
            <w:r>
              <w:rPr>
                <w:rFonts w:hint="eastAsia" w:ascii="宋体" w:hAnsi="宋体"/>
                <w:kern w:val="0"/>
                <w:sz w:val="18"/>
                <w:szCs w:val="18"/>
              </w:rPr>
              <w:t>（%）</w:t>
            </w:r>
          </w:p>
        </w:tc>
        <w:tc>
          <w:tcPr>
            <w:tcW w:w="572"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As（%）</w:t>
            </w:r>
          </w:p>
        </w:tc>
        <w:tc>
          <w:tcPr>
            <w:tcW w:w="572"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Fe（%）</w:t>
            </w:r>
          </w:p>
        </w:tc>
        <w:tc>
          <w:tcPr>
            <w:tcW w:w="572"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F（%）</w:t>
            </w:r>
          </w:p>
        </w:tc>
        <w:tc>
          <w:tcPr>
            <w:tcW w:w="572"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Cl（%）</w:t>
            </w:r>
          </w:p>
        </w:tc>
        <w:tc>
          <w:tcPr>
            <w:tcW w:w="791"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Al</w:t>
            </w:r>
            <w:r>
              <w:rPr>
                <w:rFonts w:hint="eastAsia" w:ascii="宋体" w:hAnsi="宋体"/>
                <w:kern w:val="0"/>
                <w:sz w:val="18"/>
                <w:szCs w:val="18"/>
                <w:vertAlign w:val="subscript"/>
              </w:rPr>
              <w:t>2</w:t>
            </w:r>
            <w:r>
              <w:rPr>
                <w:rFonts w:hint="eastAsia" w:ascii="宋体" w:hAnsi="宋体"/>
                <w:kern w:val="0"/>
                <w:sz w:val="18"/>
                <w:szCs w:val="18"/>
              </w:rPr>
              <w:t>O</w:t>
            </w:r>
            <w:r>
              <w:rPr>
                <w:rFonts w:hint="eastAsia" w:ascii="宋体" w:hAnsi="宋体"/>
                <w:kern w:val="0"/>
                <w:sz w:val="18"/>
                <w:szCs w:val="18"/>
                <w:vertAlign w:val="subscript"/>
              </w:rPr>
              <w:t>3</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restar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石英砂</w:t>
            </w:r>
            <w:r>
              <w:rPr>
                <w:rFonts w:ascii="宋体" w:hAnsi="宋体"/>
                <w:kern w:val="0"/>
                <w:sz w:val="18"/>
                <w:szCs w:val="18"/>
              </w:rPr>
              <w:t>含量</w:t>
            </w:r>
          </w:p>
        </w:tc>
        <w:tc>
          <w:tcPr>
            <w:tcW w:w="462" w:type="pct"/>
            <w:tcBorders>
              <w:tl2br w:val="nil"/>
              <w:tr2bl w:val="nil"/>
            </w:tcBorders>
            <w:shd w:val="clear" w:color="auto" w:fill="auto"/>
            <w:noWrap/>
            <w:vAlign w:val="center"/>
          </w:tcPr>
          <w:p>
            <w:pPr>
              <w:spacing w:line="240" w:lineRule="auto"/>
              <w:jc w:val="center"/>
              <w:rPr>
                <w:rFonts w:ascii="宋体" w:hAnsi="宋体"/>
                <w:kern w:val="0"/>
                <w:sz w:val="18"/>
                <w:szCs w:val="18"/>
              </w:rPr>
            </w:pPr>
            <w:r>
              <w:rPr>
                <w:rFonts w:hint="eastAsia" w:ascii="宋体" w:hAnsi="宋体"/>
                <w:kern w:val="0"/>
                <w:sz w:val="18"/>
                <w:szCs w:val="18"/>
              </w:rPr>
              <w:t>一级品</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sz w:val="18"/>
                <w:szCs w:val="18"/>
                <w:lang w:val="en-US" w:eastAsia="zh-CN"/>
              </w:rPr>
            </w:pPr>
            <w:r>
              <w:rPr>
                <w:rFonts w:hint="eastAsia" w:ascii="宋体" w:hAnsi="宋体"/>
                <w:kern w:val="0"/>
                <w:sz w:val="18"/>
                <w:szCs w:val="18"/>
              </w:rPr>
              <w:t>≥</w:t>
            </w:r>
            <w:r>
              <w:rPr>
                <w:rFonts w:hint="eastAsia" w:ascii="宋体" w:hAnsi="宋体"/>
                <w:sz w:val="18"/>
                <w:szCs w:val="18"/>
              </w:rPr>
              <w:t>9</w:t>
            </w:r>
            <w:r>
              <w:rPr>
                <w:rFonts w:hint="eastAsia" w:ascii="宋体" w:hAnsi="宋体"/>
                <w:sz w:val="18"/>
                <w:szCs w:val="18"/>
                <w:lang w:val="en-US" w:eastAsia="zh-CN"/>
              </w:rPr>
              <w:t>4</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sz w:val="18"/>
                <w:szCs w:val="18"/>
                <w:lang w:val="en-US" w:eastAsia="zh-CN"/>
              </w:rPr>
            </w:pPr>
            <w:r>
              <w:rPr>
                <w:rFonts w:ascii="宋体" w:hAnsi="宋体"/>
                <w:kern w:val="0"/>
                <w:sz w:val="18"/>
                <w:szCs w:val="18"/>
              </w:rPr>
              <w:t>≤</w:t>
            </w:r>
            <w:r>
              <w:rPr>
                <w:rFonts w:hint="eastAsia" w:ascii="宋体" w:hAnsi="宋体"/>
                <w:sz w:val="18"/>
                <w:szCs w:val="18"/>
              </w:rPr>
              <w:t>0.</w:t>
            </w:r>
            <w:r>
              <w:rPr>
                <w:rFonts w:hint="eastAsia" w:ascii="宋体" w:hAnsi="宋体"/>
                <w:sz w:val="18"/>
                <w:szCs w:val="18"/>
                <w:lang w:val="en-US" w:eastAsia="zh-CN"/>
              </w:rPr>
              <w:t>05</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sz w:val="18"/>
                <w:szCs w:val="18"/>
                <w:lang w:val="en-US" w:eastAsia="zh-CN"/>
              </w:rPr>
            </w:pPr>
            <w:r>
              <w:rPr>
                <w:rFonts w:ascii="宋体" w:hAnsi="宋体"/>
                <w:kern w:val="0"/>
                <w:sz w:val="18"/>
                <w:szCs w:val="18"/>
              </w:rPr>
              <w:t>≤</w:t>
            </w:r>
            <w:r>
              <w:rPr>
                <w:rFonts w:hint="eastAsia" w:ascii="宋体" w:hAnsi="宋体"/>
                <w:kern w:val="0"/>
                <w:sz w:val="18"/>
                <w:szCs w:val="18"/>
                <w:lang w:val="en-US" w:eastAsia="zh-CN"/>
              </w:rPr>
              <w:t>0.9</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sz w:val="18"/>
                <w:szCs w:val="18"/>
              </w:rPr>
            </w:pPr>
            <w:r>
              <w:rPr>
                <w:rFonts w:ascii="宋体" w:hAnsi="宋体"/>
                <w:kern w:val="0"/>
                <w:sz w:val="18"/>
                <w:szCs w:val="18"/>
              </w:rPr>
              <w:t>≤</w:t>
            </w:r>
            <w:r>
              <w:rPr>
                <w:rFonts w:hint="eastAsia" w:ascii="宋体" w:hAnsi="宋体"/>
                <w:sz w:val="18"/>
                <w:szCs w:val="18"/>
              </w:rPr>
              <w:t>0.</w:t>
            </w:r>
            <w:r>
              <w:rPr>
                <w:rFonts w:hint="eastAsia" w:ascii="宋体" w:hAnsi="宋体"/>
                <w:sz w:val="18"/>
                <w:szCs w:val="18"/>
                <w:lang w:val="en-US" w:eastAsia="zh-CN"/>
              </w:rPr>
              <w:t>05</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sz w:val="18"/>
                <w:szCs w:val="18"/>
              </w:rPr>
            </w:pPr>
            <w:r>
              <w:rPr>
                <w:rFonts w:ascii="宋体" w:hAnsi="宋体"/>
                <w:kern w:val="0"/>
                <w:sz w:val="18"/>
                <w:szCs w:val="18"/>
              </w:rPr>
              <w:t>≤</w:t>
            </w:r>
            <w:r>
              <w:rPr>
                <w:rFonts w:hint="eastAsia" w:ascii="宋体" w:hAnsi="宋体"/>
                <w:sz w:val="18"/>
                <w:szCs w:val="18"/>
              </w:rPr>
              <w:t>0.</w:t>
            </w:r>
            <w:r>
              <w:rPr>
                <w:rFonts w:hint="eastAsia" w:ascii="宋体" w:hAnsi="宋体"/>
                <w:sz w:val="18"/>
                <w:szCs w:val="18"/>
                <w:lang w:val="en-US" w:eastAsia="zh-CN"/>
              </w:rPr>
              <w:t>05</w:t>
            </w:r>
          </w:p>
        </w:tc>
        <w:tc>
          <w:tcPr>
            <w:tcW w:w="7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kern w:val="0"/>
                <w:sz w:val="18"/>
                <w:szCs w:val="18"/>
                <w:lang w:val="en-US" w:eastAsia="zh-CN"/>
              </w:rPr>
            </w:pPr>
            <w:r>
              <w:rPr>
                <w:rFonts w:ascii="宋体" w:hAnsi="宋体"/>
                <w:kern w:val="0"/>
                <w:sz w:val="18"/>
                <w:szCs w:val="18"/>
              </w:rPr>
              <w:t>≤</w:t>
            </w:r>
            <w:r>
              <w:rPr>
                <w:rFonts w:hint="eastAsia" w:ascii="宋体" w:hAnsi="宋体"/>
                <w:kern w:val="0"/>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continue"/>
            <w:tcBorders>
              <w:tl2br w:val="nil"/>
              <w:tr2bl w:val="nil"/>
            </w:tcBorders>
            <w:shd w:val="clear" w:color="auto" w:fill="auto"/>
            <w:noWrap/>
            <w:vAlign w:val="center"/>
          </w:tcPr>
          <w:p>
            <w:pPr>
              <w:spacing w:line="240" w:lineRule="auto"/>
              <w:jc w:val="center"/>
              <w:rPr>
                <w:rFonts w:hint="eastAsia" w:ascii="宋体" w:hAnsi="宋体"/>
                <w:kern w:val="0"/>
                <w:sz w:val="18"/>
                <w:szCs w:val="18"/>
              </w:rPr>
            </w:pPr>
          </w:p>
        </w:tc>
        <w:tc>
          <w:tcPr>
            <w:tcW w:w="46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lang w:val="en-US" w:eastAsia="zh-CN"/>
              </w:rPr>
              <w:t>二级品</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≥9</w:t>
            </w:r>
            <w:r>
              <w:rPr>
                <w:rFonts w:hint="eastAsia" w:ascii="宋体" w:hAnsi="宋体"/>
                <w:kern w:val="0"/>
                <w:sz w:val="18"/>
                <w:szCs w:val="18"/>
                <w:lang w:val="en-US" w:eastAsia="zh-CN"/>
              </w:rPr>
              <w:t>1</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1.1</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≤0.</w:t>
            </w:r>
            <w:r>
              <w:rPr>
                <w:rFonts w:hint="eastAsia" w:ascii="宋体" w:hAnsi="宋体"/>
                <w:kern w:val="0"/>
                <w:sz w:val="18"/>
                <w:szCs w:val="18"/>
                <w:lang w:val="en-US" w:eastAsia="zh-CN"/>
              </w:rPr>
              <w:t>05</w:t>
            </w:r>
          </w:p>
        </w:tc>
        <w:tc>
          <w:tcPr>
            <w:tcW w:w="7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6</w:t>
            </w: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continue"/>
            <w:tcBorders>
              <w:tl2br w:val="nil"/>
              <w:tr2bl w:val="nil"/>
            </w:tcBorders>
            <w:shd w:val="clear" w:color="auto" w:fill="auto"/>
            <w:noWrap/>
            <w:vAlign w:val="center"/>
          </w:tcPr>
          <w:p>
            <w:pPr>
              <w:spacing w:line="240" w:lineRule="auto"/>
              <w:jc w:val="center"/>
              <w:rPr>
                <w:rFonts w:ascii="宋体" w:hAnsi="宋体"/>
                <w:kern w:val="0"/>
                <w:sz w:val="18"/>
                <w:szCs w:val="18"/>
              </w:rPr>
            </w:pPr>
          </w:p>
        </w:tc>
        <w:tc>
          <w:tcPr>
            <w:tcW w:w="46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lang w:val="en-US" w:eastAsia="zh-CN"/>
              </w:rPr>
              <w:t>三</w:t>
            </w:r>
            <w:r>
              <w:rPr>
                <w:rFonts w:hint="eastAsia" w:ascii="宋体" w:hAnsi="宋体"/>
                <w:kern w:val="0"/>
                <w:sz w:val="18"/>
                <w:szCs w:val="18"/>
              </w:rPr>
              <w:t>级品</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eastAsia="zh-CN"/>
              </w:rPr>
            </w:pPr>
            <w:r>
              <w:rPr>
                <w:rFonts w:hint="eastAsia" w:ascii="宋体" w:hAnsi="宋体"/>
                <w:kern w:val="0"/>
                <w:sz w:val="18"/>
                <w:szCs w:val="18"/>
              </w:rPr>
              <w:t>≥8</w:t>
            </w:r>
            <w:r>
              <w:rPr>
                <w:rFonts w:hint="eastAsia" w:ascii="宋体" w:hAnsi="宋体"/>
                <w:kern w:val="0"/>
                <w:sz w:val="18"/>
                <w:szCs w:val="18"/>
                <w:lang w:val="en-US" w:eastAsia="zh-CN"/>
              </w:rPr>
              <w:t>8</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1.3</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r>
              <w:rPr>
                <w:rFonts w:hint="eastAsia" w:ascii="宋体" w:hAnsi="宋体"/>
                <w:kern w:val="0"/>
                <w:sz w:val="18"/>
                <w:szCs w:val="18"/>
              </w:rPr>
              <w:t>0.1</w:t>
            </w:r>
          </w:p>
        </w:tc>
        <w:tc>
          <w:tcPr>
            <w:tcW w:w="791"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r>
              <w:rPr>
                <w:rFonts w:hint="eastAsia" w:ascii="宋体" w:hAnsi="宋体"/>
                <w:kern w:val="0"/>
                <w:sz w:val="18"/>
                <w:szCs w:val="18"/>
                <w:lang w:val="en-US" w:eastAsia="zh-CN"/>
              </w:rPr>
              <w:t>8</w:t>
            </w: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continue"/>
            <w:tcBorders>
              <w:tl2br w:val="nil"/>
              <w:tr2bl w:val="nil"/>
            </w:tcBorders>
            <w:noWrap/>
            <w:vAlign w:val="center"/>
          </w:tcPr>
          <w:p>
            <w:pPr>
              <w:spacing w:line="240" w:lineRule="auto"/>
              <w:jc w:val="center"/>
              <w:rPr>
                <w:rFonts w:ascii="宋体" w:hAnsi="宋体"/>
                <w:kern w:val="0"/>
                <w:sz w:val="18"/>
                <w:szCs w:val="18"/>
              </w:rPr>
            </w:pPr>
          </w:p>
        </w:tc>
        <w:tc>
          <w:tcPr>
            <w:tcW w:w="4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lang w:val="en-US" w:eastAsia="zh-CN"/>
              </w:rPr>
              <w:t>四</w:t>
            </w:r>
            <w:r>
              <w:rPr>
                <w:rFonts w:hint="eastAsia" w:ascii="宋体" w:hAnsi="宋体"/>
                <w:kern w:val="0"/>
                <w:sz w:val="18"/>
                <w:szCs w:val="18"/>
              </w:rPr>
              <w:t>级品</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eastAsia="zh-CN"/>
              </w:rPr>
            </w:pPr>
            <w:r>
              <w:rPr>
                <w:rFonts w:hint="eastAsia" w:ascii="宋体" w:hAnsi="宋体"/>
                <w:kern w:val="0"/>
                <w:sz w:val="18"/>
                <w:szCs w:val="18"/>
              </w:rPr>
              <w:t>≥8</w:t>
            </w:r>
            <w:r>
              <w:rPr>
                <w:rFonts w:hint="eastAsia" w:ascii="宋体" w:hAnsi="宋体"/>
                <w:kern w:val="0"/>
                <w:sz w:val="18"/>
                <w:szCs w:val="18"/>
                <w:lang w:val="en-US" w:eastAsia="zh-CN"/>
              </w:rPr>
              <w:t>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1.3</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r>
              <w:rPr>
                <w:rFonts w:hint="eastAsia" w:ascii="宋体" w:hAnsi="宋体"/>
                <w:kern w:val="0"/>
                <w:sz w:val="18"/>
                <w:szCs w:val="18"/>
              </w:rPr>
              <w:t>0.1</w:t>
            </w:r>
          </w:p>
        </w:tc>
        <w:tc>
          <w:tcPr>
            <w:tcW w:w="7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r>
              <w:rPr>
                <w:rFonts w:hint="eastAsia" w:ascii="宋体" w:hAnsi="宋体"/>
                <w:kern w:val="0"/>
                <w:sz w:val="18"/>
                <w:szCs w:val="18"/>
                <w:lang w:val="en-US" w:eastAsia="zh-CN"/>
              </w:rPr>
              <w:t>8</w:t>
            </w: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restart"/>
            <w:tcBorders>
              <w:tl2br w:val="nil"/>
              <w:tr2bl w:val="nil"/>
            </w:tcBorders>
            <w:noWrap/>
            <w:vAlign w:val="center"/>
          </w:tcPr>
          <w:p>
            <w:pPr>
              <w:spacing w:line="240" w:lineRule="auto"/>
              <w:jc w:val="center"/>
              <w:rPr>
                <w:rFonts w:ascii="宋体" w:hAnsi="宋体"/>
                <w:kern w:val="0"/>
                <w:sz w:val="18"/>
                <w:szCs w:val="18"/>
              </w:rPr>
            </w:pPr>
            <w:r>
              <w:rPr>
                <w:rFonts w:hint="eastAsia" w:ascii="宋体" w:hAnsi="宋体"/>
                <w:kern w:val="0"/>
                <w:sz w:val="18"/>
                <w:szCs w:val="18"/>
              </w:rPr>
              <w:t>石英石含量</w:t>
            </w:r>
          </w:p>
        </w:tc>
        <w:tc>
          <w:tcPr>
            <w:tcW w:w="4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一级品</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≥9</w:t>
            </w:r>
            <w:r>
              <w:rPr>
                <w:rFonts w:hint="eastAsia" w:ascii="宋体" w:hAnsi="宋体"/>
                <w:kern w:val="0"/>
                <w:sz w:val="18"/>
                <w:szCs w:val="18"/>
                <w:lang w:val="en-US" w:eastAsia="zh-CN"/>
              </w:rPr>
              <w:t>2</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4.2</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eastAsia="zh-CN"/>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p>
        </w:tc>
        <w:tc>
          <w:tcPr>
            <w:tcW w:w="7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rPr>
            </w:pPr>
            <w:r>
              <w:rPr>
                <w:rFonts w:hint="eastAsia" w:ascii="宋体" w:hAnsi="宋体"/>
                <w:kern w:val="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continue"/>
            <w:tcBorders>
              <w:tl2br w:val="nil"/>
              <w:tr2bl w:val="nil"/>
            </w:tcBorders>
            <w:noWrap/>
            <w:vAlign w:val="center"/>
          </w:tcPr>
          <w:p>
            <w:pPr>
              <w:spacing w:line="240" w:lineRule="auto"/>
              <w:jc w:val="center"/>
              <w:rPr>
                <w:rFonts w:ascii="宋体" w:hAnsi="宋体"/>
                <w:kern w:val="0"/>
                <w:sz w:val="18"/>
                <w:szCs w:val="18"/>
              </w:rPr>
            </w:pPr>
          </w:p>
        </w:tc>
        <w:tc>
          <w:tcPr>
            <w:tcW w:w="4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二级品</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88</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4</w:t>
            </w:r>
            <w:r>
              <w:rPr>
                <w:rFonts w:hint="eastAsia" w:ascii="宋体" w:hAnsi="宋体"/>
                <w:kern w:val="0"/>
                <w:sz w:val="18"/>
                <w:szCs w:val="18"/>
              </w:rPr>
              <w:t>.</w:t>
            </w:r>
            <w:r>
              <w:rPr>
                <w:rFonts w:hint="eastAsia" w:ascii="宋体" w:hAnsi="宋体"/>
                <w:kern w:val="0"/>
                <w:sz w:val="18"/>
                <w:szCs w:val="18"/>
                <w:lang w:val="en-US" w:eastAsia="zh-CN"/>
              </w:rPr>
              <w:t>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eastAsia="zh-CN"/>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p>
        </w:tc>
        <w:tc>
          <w:tcPr>
            <w:tcW w:w="7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rPr>
            </w:pPr>
            <w:r>
              <w:rPr>
                <w:rFonts w:hint="eastAsia" w:ascii="宋体" w:hAnsi="宋体"/>
                <w:kern w:val="0"/>
                <w:sz w:val="18"/>
                <w:szCs w:val="18"/>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84" w:type="pct"/>
            <w:vMerge w:val="continue"/>
            <w:tcBorders>
              <w:tl2br w:val="nil"/>
              <w:tr2bl w:val="nil"/>
            </w:tcBorders>
            <w:noWrap/>
            <w:vAlign w:val="center"/>
          </w:tcPr>
          <w:p>
            <w:pPr>
              <w:spacing w:line="240" w:lineRule="auto"/>
              <w:jc w:val="center"/>
              <w:rPr>
                <w:rFonts w:ascii="宋体" w:hAnsi="宋体"/>
                <w:kern w:val="0"/>
                <w:sz w:val="18"/>
                <w:szCs w:val="18"/>
              </w:rPr>
            </w:pPr>
          </w:p>
        </w:tc>
        <w:tc>
          <w:tcPr>
            <w:tcW w:w="4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三级品</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eastAsia="zh-CN"/>
              </w:rPr>
            </w:pPr>
            <w:r>
              <w:rPr>
                <w:rFonts w:hint="eastAsia" w:ascii="宋体" w:hAnsi="宋体"/>
                <w:kern w:val="0"/>
                <w:sz w:val="18"/>
                <w:szCs w:val="18"/>
              </w:rPr>
              <w:t>≥</w:t>
            </w:r>
            <w:r>
              <w:rPr>
                <w:rFonts w:hint="eastAsia" w:ascii="宋体" w:hAnsi="宋体"/>
                <w:kern w:val="0"/>
                <w:sz w:val="18"/>
                <w:szCs w:val="18"/>
                <w:lang w:val="en-US" w:eastAsia="zh-CN"/>
              </w:rPr>
              <w:t>80</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r>
              <w:rPr>
                <w:rFonts w:hint="eastAsia" w:ascii="宋体" w:hAnsi="宋体"/>
                <w:kern w:val="0"/>
                <w:sz w:val="18"/>
                <w:szCs w:val="18"/>
                <w:lang w:val="en-US" w:eastAsia="zh-CN"/>
              </w:rPr>
              <w:t>5</w:t>
            </w:r>
            <w:r>
              <w:rPr>
                <w:rFonts w:hint="eastAsia" w:ascii="宋体" w:hAnsi="宋体"/>
                <w:kern w:val="0"/>
                <w:sz w:val="18"/>
                <w:szCs w:val="18"/>
              </w:rPr>
              <w:t>.0</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lang w:eastAsia="zh-CN"/>
              </w:rPr>
            </w:pPr>
            <w:r>
              <w:rPr>
                <w:rFonts w:hint="eastAsia" w:ascii="宋体" w:hAnsi="宋体"/>
                <w:kern w:val="0"/>
                <w:sz w:val="18"/>
                <w:szCs w:val="18"/>
              </w:rPr>
              <w:t>≤0.</w:t>
            </w:r>
            <w:r>
              <w:rPr>
                <w:rFonts w:hint="eastAsia" w:ascii="宋体" w:hAnsi="宋体"/>
                <w:kern w:val="0"/>
                <w:sz w:val="18"/>
                <w:szCs w:val="18"/>
                <w:lang w:val="en-US" w:eastAsia="zh-CN"/>
              </w:rPr>
              <w:t>05</w:t>
            </w:r>
          </w:p>
        </w:tc>
        <w:tc>
          <w:tcPr>
            <w:tcW w:w="57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kern w:val="0"/>
                <w:sz w:val="18"/>
                <w:szCs w:val="18"/>
              </w:rPr>
            </w:pPr>
            <w:r>
              <w:rPr>
                <w:rFonts w:hint="eastAsia" w:ascii="宋体" w:hAnsi="宋体"/>
                <w:kern w:val="0"/>
                <w:sz w:val="18"/>
                <w:szCs w:val="18"/>
              </w:rPr>
              <w:t>-</w:t>
            </w:r>
          </w:p>
        </w:tc>
        <w:tc>
          <w:tcPr>
            <w:tcW w:w="7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kern w:val="0"/>
                <w:sz w:val="18"/>
                <w:szCs w:val="18"/>
                <w:lang w:val="en-US"/>
              </w:rPr>
            </w:pPr>
            <w:r>
              <w:rPr>
                <w:rFonts w:hint="eastAsia" w:ascii="宋体" w:hAnsi="宋体"/>
                <w:kern w:val="0"/>
                <w:sz w:val="18"/>
                <w:szCs w:val="18"/>
                <w:lang w:val="en-US" w:eastAsia="zh-CN"/>
              </w:rPr>
              <w:t>≤13.0</w:t>
            </w:r>
          </w:p>
        </w:tc>
      </w:tr>
    </w:tbl>
    <w:p>
      <w:pPr>
        <w:autoSpaceDE w:val="0"/>
        <w:autoSpaceDN w:val="0"/>
        <w:ind w:firstLine="0" w:firstLineChars="0"/>
        <w:jc w:val="left"/>
        <w:rPr>
          <w:rFonts w:hint="eastAsia" w:ascii="Times New Roman" w:hAnsi="Times New Roman" w:eastAsia="黑体"/>
          <w:kern w:val="0"/>
          <w:lang w:val="en-US" w:eastAsia="zh-CN"/>
        </w:rPr>
      </w:pP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lang w:eastAsia="zh-CN"/>
        </w:rPr>
      </w:pPr>
      <w:r>
        <w:rPr>
          <w:rFonts w:hint="eastAsia" w:ascii="黑体" w:hAnsi="黑体" w:cs="黑体"/>
          <w:b w:val="0"/>
          <w:bCs w:val="0"/>
          <w:sz w:val="21"/>
          <w:szCs w:val="21"/>
        </w:rPr>
        <w:t xml:space="preserve">5.2 </w:t>
      </w:r>
      <w:r>
        <w:rPr>
          <w:rFonts w:hint="eastAsia" w:ascii="黑体" w:hAnsi="黑体" w:cs="黑体"/>
          <w:b w:val="0"/>
          <w:bCs w:val="0"/>
          <w:sz w:val="21"/>
          <w:szCs w:val="21"/>
          <w:lang w:val="en-US" w:eastAsia="zh-CN"/>
        </w:rPr>
        <w:t>粒度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rPr>
      </w:pPr>
      <w:r>
        <w:rPr>
          <w:rFonts w:hint="eastAsia" w:ascii="宋体" w:hAnsi="宋体" w:cs="黑体"/>
        </w:rPr>
        <w:t>石英砂</w:t>
      </w:r>
      <w:r>
        <w:rPr>
          <w:rFonts w:hint="eastAsia" w:ascii="宋体" w:hAnsi="宋体" w:cs="黑体"/>
          <w:lang w:val="en-US" w:eastAsia="zh-CN"/>
        </w:rPr>
        <w:t>粒度应符合表2的规定，石英石粒度应符合表3的规定。具体可由供需双方协商</w:t>
      </w:r>
      <w:r>
        <w:rPr>
          <w:rFonts w:hint="eastAsia" w:ascii="宋体" w:hAnsi="宋体" w:cs="黑体"/>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right="317"/>
        <w:jc w:val="center"/>
        <w:textAlignment w:val="auto"/>
        <w:rPr>
          <w:rFonts w:hint="default" w:ascii="宋体" w:hAnsi="宋体" w:cs="黑体"/>
          <w:lang w:val="en-US"/>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铜火法冶炼用石英砂粒度</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2497"/>
        <w:gridCol w:w="2700"/>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黑体"/>
                <w:sz w:val="18"/>
                <w:szCs w:val="18"/>
                <w:vertAlign w:val="baseline"/>
                <w:lang w:val="en-US" w:eastAsia="zh-CN"/>
              </w:rPr>
            </w:pPr>
            <w:r>
              <w:rPr>
                <w:rFonts w:hint="eastAsia" w:ascii="宋体" w:hAnsi="宋体" w:cs="黑体"/>
                <w:sz w:val="18"/>
                <w:szCs w:val="18"/>
                <w:vertAlign w:val="baseline"/>
                <w:lang w:val="en-US" w:eastAsia="zh-CN"/>
              </w:rPr>
              <w:t>名称</w:t>
            </w:r>
          </w:p>
        </w:tc>
        <w:tc>
          <w:tcPr>
            <w:tcW w:w="1305"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黑体"/>
                <w:sz w:val="18"/>
                <w:szCs w:val="18"/>
                <w:vertAlign w:val="baseline"/>
                <w:lang w:val="en-US" w:eastAsia="zh-CN"/>
              </w:rPr>
            </w:pPr>
            <w:r>
              <w:rPr>
                <w:rFonts w:hint="eastAsia" w:ascii="宋体" w:hAnsi="宋体" w:cs="黑体"/>
                <w:sz w:val="18"/>
                <w:szCs w:val="18"/>
                <w:vertAlign w:val="baseline"/>
                <w:lang w:val="en-US" w:eastAsia="zh-CN"/>
              </w:rPr>
              <w:t>粒度范围</w:t>
            </w:r>
          </w:p>
        </w:tc>
        <w:tc>
          <w:tcPr>
            <w:tcW w:w="3079" w:type="pct"/>
            <w:gridSpan w:val="2"/>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rPr>
            </w:pPr>
            <w:r>
              <w:rPr>
                <w:rFonts w:hint="eastAsia" w:ascii="宋体" w:hAnsi="宋体" w:cs="黑体"/>
                <w:sz w:val="18"/>
                <w:szCs w:val="18"/>
                <w:vertAlign w:val="baseline"/>
                <w:lang w:val="en-US" w:eastAsia="zh-CN"/>
              </w:rPr>
              <w:t>粒度占比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石英砂</w:t>
            </w:r>
          </w:p>
        </w:tc>
        <w:tc>
          <w:tcPr>
            <w:tcW w:w="1305"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0.10mm～0.85mm</w:t>
            </w:r>
          </w:p>
        </w:tc>
        <w:tc>
          <w:tcPr>
            <w:tcW w:w="1411"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cs="黑体"/>
                <w:sz w:val="18"/>
                <w:szCs w:val="18"/>
                <w:vertAlign w:val="baseline"/>
                <w:lang w:val="en-US" w:eastAsia="zh-CN"/>
              </w:rPr>
            </w:pPr>
            <w:r>
              <w:rPr>
                <w:rFonts w:hint="eastAsia" w:ascii="宋体" w:hAnsi="宋体" w:cs="黑体"/>
                <w:sz w:val="18"/>
                <w:szCs w:val="18"/>
                <w:vertAlign w:val="baseline"/>
                <w:lang w:val="en-US" w:eastAsia="zh-CN"/>
              </w:rPr>
              <w:t>0.10mm～0.5mm，≥80%</w:t>
            </w:r>
          </w:p>
        </w:tc>
        <w:tc>
          <w:tcPr>
            <w:tcW w:w="1667"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cs="黑体"/>
                <w:sz w:val="18"/>
                <w:szCs w:val="18"/>
                <w:vertAlign w:val="baseline"/>
                <w:lang w:val="en-US" w:eastAsia="zh-CN"/>
              </w:rPr>
            </w:pPr>
            <w:r>
              <w:rPr>
                <w:rFonts w:hint="eastAsia" w:ascii="宋体" w:hAnsi="宋体" w:cs="黑体"/>
                <w:sz w:val="18"/>
                <w:szCs w:val="18"/>
                <w:vertAlign w:val="baseline"/>
                <w:lang w:val="en-US" w:eastAsia="zh-CN"/>
              </w:rPr>
              <w:t>0.5mm～0.85mm，≤20%</w:t>
            </w:r>
          </w:p>
        </w:tc>
      </w:tr>
    </w:tbl>
    <w:p>
      <w:pPr>
        <w:autoSpaceDE w:val="0"/>
        <w:autoSpaceDN w:val="0"/>
        <w:ind w:firstLine="0" w:firstLineChars="0"/>
        <w:jc w:val="left"/>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right="317"/>
        <w:jc w:val="center"/>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3</w:t>
      </w:r>
      <w:r>
        <w:rPr>
          <w:rFonts w:hint="eastAsia" w:ascii="黑体" w:hAnsi="黑体" w:eastAsia="黑体" w:cs="黑体"/>
          <w:b w:val="0"/>
          <w:bCs/>
          <w:sz w:val="21"/>
          <w:szCs w:val="21"/>
        </w:rPr>
        <w:t xml:space="preserve"> </w:t>
      </w:r>
      <w:r>
        <w:rPr>
          <w:rFonts w:hint="eastAsia" w:ascii="黑体" w:hAnsi="黑体" w:eastAsia="黑体" w:cs="黑体"/>
          <w:b w:val="0"/>
          <w:bCs/>
          <w:sz w:val="21"/>
          <w:szCs w:val="21"/>
          <w:lang w:val="en-US" w:eastAsia="zh-CN"/>
        </w:rPr>
        <w:t>铜火法冶炼用石英石粒度</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2505"/>
        <w:gridCol w:w="25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名称</w:t>
            </w:r>
          </w:p>
        </w:tc>
        <w:tc>
          <w:tcPr>
            <w:tcW w:w="1309"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cs="黑体"/>
                <w:sz w:val="18"/>
                <w:szCs w:val="18"/>
                <w:vertAlign w:val="baseline"/>
                <w:lang w:val="en-US" w:eastAsia="zh-CN"/>
              </w:rPr>
            </w:pPr>
            <w:r>
              <w:rPr>
                <w:rFonts w:hint="eastAsia" w:ascii="宋体" w:hAnsi="宋体" w:cs="黑体"/>
                <w:sz w:val="18"/>
                <w:szCs w:val="18"/>
                <w:vertAlign w:val="baseline"/>
                <w:lang w:val="en-US" w:eastAsia="zh-CN"/>
              </w:rPr>
              <w:t>粒度范围</w:t>
            </w:r>
          </w:p>
        </w:tc>
        <w:tc>
          <w:tcPr>
            <w:tcW w:w="2478" w:type="pct"/>
            <w:gridSpan w:val="2"/>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粒度占比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cs="黑体"/>
                <w:sz w:val="18"/>
                <w:szCs w:val="18"/>
                <w:vertAlign w:val="baseline"/>
                <w:lang w:val="en-US" w:eastAsia="zh-CN"/>
              </w:rPr>
            </w:pPr>
            <w:r>
              <w:rPr>
                <w:rFonts w:hint="eastAsia" w:ascii="宋体" w:hAnsi="宋体" w:cs="黑体"/>
                <w:sz w:val="18"/>
                <w:szCs w:val="18"/>
                <w:vertAlign w:val="baseline"/>
                <w:lang w:val="en-US" w:eastAsia="zh-CN"/>
              </w:rPr>
              <w:t>石英石粗颗粒</w:t>
            </w:r>
          </w:p>
        </w:tc>
        <w:tc>
          <w:tcPr>
            <w:tcW w:w="1309"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30mm～85mm</w:t>
            </w:r>
          </w:p>
        </w:tc>
        <w:tc>
          <w:tcPr>
            <w:tcW w:w="1309"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30mm～80mm，≥85%</w:t>
            </w:r>
          </w:p>
        </w:tc>
        <w:tc>
          <w:tcPr>
            <w:tcW w:w="1168"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80mm～85mm，≤15%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cs="黑体"/>
                <w:sz w:val="18"/>
                <w:szCs w:val="18"/>
                <w:vertAlign w:val="baseline"/>
                <w:lang w:val="en-US" w:eastAsia="zh-CN"/>
              </w:rPr>
            </w:pPr>
            <w:r>
              <w:rPr>
                <w:rFonts w:hint="eastAsia" w:ascii="宋体" w:hAnsi="宋体" w:cs="黑体"/>
                <w:sz w:val="18"/>
                <w:szCs w:val="18"/>
                <w:vertAlign w:val="baseline"/>
                <w:lang w:val="en-US" w:eastAsia="zh-CN"/>
              </w:rPr>
              <w:t>石英石细颗粒</w:t>
            </w:r>
          </w:p>
        </w:tc>
        <w:tc>
          <w:tcPr>
            <w:tcW w:w="1309"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5mm～30mm</w:t>
            </w:r>
          </w:p>
        </w:tc>
        <w:tc>
          <w:tcPr>
            <w:tcW w:w="1309"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5mm～25mm，≥85%</w:t>
            </w:r>
          </w:p>
        </w:tc>
        <w:tc>
          <w:tcPr>
            <w:tcW w:w="1168" w:type="pct"/>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18"/>
                <w:szCs w:val="18"/>
                <w:vertAlign w:val="baseline"/>
                <w:lang w:val="en-US" w:eastAsia="zh-CN"/>
              </w:rPr>
            </w:pPr>
            <w:r>
              <w:rPr>
                <w:rFonts w:hint="eastAsia" w:ascii="宋体" w:hAnsi="宋体" w:cs="黑体"/>
                <w:sz w:val="18"/>
                <w:szCs w:val="18"/>
                <w:vertAlign w:val="baseline"/>
                <w:lang w:val="en-US" w:eastAsia="zh-CN"/>
              </w:rPr>
              <w:t>25mm～30mm，≤15%</w:t>
            </w:r>
          </w:p>
        </w:tc>
      </w:tr>
    </w:tbl>
    <w:p>
      <w:pPr>
        <w:autoSpaceDE w:val="0"/>
        <w:autoSpaceDN w:val="0"/>
        <w:ind w:firstLine="0" w:firstLineChars="0"/>
        <w:jc w:val="left"/>
        <w:rPr>
          <w:rFonts w:hint="eastAsia" w:ascii="宋体" w:hAnsi="宋体" w:cs="黑体"/>
          <w:lang w:val="en-US" w:eastAsia="zh-CN"/>
        </w:rPr>
      </w:pP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5.3 外观质量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cs="黑体"/>
          <w:color w:val="auto"/>
        </w:rPr>
      </w:pPr>
      <w:r>
        <w:rPr>
          <w:rFonts w:hint="eastAsia" w:ascii="宋体" w:hAnsi="宋体" w:cs="黑体"/>
        </w:rPr>
        <w:t>石英石</w:t>
      </w:r>
      <w:r>
        <w:rPr>
          <w:rFonts w:hint="eastAsia" w:ascii="宋体" w:hAnsi="宋体" w:cs="黑体"/>
          <w:lang w:val="en-US" w:eastAsia="zh-CN"/>
        </w:rPr>
        <w:t>或</w:t>
      </w:r>
      <w:r>
        <w:rPr>
          <w:rFonts w:hint="eastAsia" w:ascii="宋体" w:hAnsi="宋体" w:cs="黑体"/>
        </w:rPr>
        <w:t>石英砂应颜色一致，无掺杂、积水、结块分层。</w:t>
      </w:r>
      <w:r>
        <w:rPr>
          <w:rFonts w:hint="eastAsia" w:ascii="宋体" w:hAnsi="宋体" w:cs="黑体"/>
          <w:color w:val="auto"/>
          <w:lang w:val="en-US" w:eastAsia="zh-CN"/>
        </w:rPr>
        <w:t>含泥量应≤1%。</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6  试验方法</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lang w:val="en-US" w:eastAsia="zh-CN"/>
        </w:rPr>
      </w:pPr>
      <w:r>
        <w:rPr>
          <w:rFonts w:hint="eastAsia" w:ascii="黑体" w:hAnsi="黑体" w:cs="黑体"/>
          <w:b w:val="0"/>
          <w:bCs w:val="0"/>
          <w:sz w:val="21"/>
          <w:szCs w:val="21"/>
        </w:rPr>
        <w:t>6.</w:t>
      </w:r>
      <w:r>
        <w:rPr>
          <w:rFonts w:hint="eastAsia" w:ascii="黑体" w:hAnsi="黑体" w:cs="黑体"/>
          <w:b w:val="0"/>
          <w:bCs w:val="0"/>
          <w:sz w:val="21"/>
          <w:szCs w:val="21"/>
          <w:lang w:val="en-US" w:eastAsia="zh-CN"/>
        </w:rPr>
        <w:t>1</w:t>
      </w:r>
      <w:r>
        <w:rPr>
          <w:rFonts w:hint="eastAsia" w:ascii="黑体" w:hAnsi="黑体" w:cs="黑体"/>
          <w:b w:val="0"/>
          <w:bCs w:val="0"/>
          <w:sz w:val="21"/>
          <w:szCs w:val="21"/>
        </w:rPr>
        <w:t xml:space="preserve"> </w:t>
      </w:r>
      <w:r>
        <w:rPr>
          <w:rFonts w:hint="eastAsia" w:ascii="黑体" w:hAnsi="黑体" w:cs="黑体"/>
          <w:b w:val="0"/>
          <w:bCs w:val="0"/>
          <w:sz w:val="21"/>
          <w:szCs w:val="21"/>
          <w:lang w:val="en-US" w:eastAsia="zh-CN"/>
        </w:rPr>
        <w:t>化学成分含量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cs="黑体"/>
          <w:color w:val="auto"/>
        </w:rPr>
        <w:t>石英砂</w:t>
      </w:r>
      <w:r>
        <w:rPr>
          <w:rFonts w:hint="eastAsia" w:ascii="宋体" w:hAnsi="宋体" w:cs="黑体"/>
          <w:color w:val="auto"/>
          <w:lang w:val="en-US" w:eastAsia="zh-CN"/>
        </w:rPr>
        <w:t>和</w:t>
      </w:r>
      <w:r>
        <w:rPr>
          <w:rFonts w:hint="eastAsia" w:ascii="宋体" w:hAnsi="宋体" w:cs="黑体"/>
          <w:color w:val="auto"/>
        </w:rPr>
        <w:t>石英石</w:t>
      </w:r>
      <w:r>
        <w:rPr>
          <w:rFonts w:hint="eastAsia" w:ascii="宋体" w:hAnsi="宋体" w:cs="黑体"/>
          <w:color w:val="auto"/>
          <w:lang w:val="en-US" w:eastAsia="zh-CN"/>
        </w:rPr>
        <w:t>杂质化学成分按照</w:t>
      </w:r>
      <w:r>
        <w:rPr>
          <w:rFonts w:hint="eastAsia" w:ascii="宋体" w:hAnsi="宋体" w:cs="黑体"/>
          <w:color w:val="auto"/>
        </w:rPr>
        <w:t>GB/T 3884规定进行</w:t>
      </w:r>
      <w:r>
        <w:rPr>
          <w:rFonts w:hint="eastAsia" w:ascii="宋体" w:hAnsi="宋体" w:cs="黑体"/>
          <w:color w:val="auto"/>
          <w:lang w:eastAsia="zh-CN"/>
        </w:rPr>
        <w:t>，</w:t>
      </w:r>
      <w:r>
        <w:rPr>
          <w:rFonts w:hint="eastAsia" w:ascii="宋体" w:hAnsi="宋体" w:cs="黑体"/>
          <w:color w:val="auto"/>
          <w:lang w:val="en-US" w:eastAsia="zh-CN"/>
        </w:rPr>
        <w:t>具体为：</w:t>
      </w:r>
      <w:r>
        <w:rPr>
          <w:rFonts w:hint="eastAsia" w:ascii="宋体" w:hAnsi="宋体" w:cs="宋体"/>
          <w:sz w:val="21"/>
          <w:szCs w:val="21"/>
          <w:lang w:val="en-US" w:eastAsia="zh-CN"/>
        </w:rPr>
        <w:t>F含量按照GB/T 3884.5</w:t>
      </w:r>
      <w:r>
        <w:rPr>
          <w:rFonts w:hint="eastAsia" w:ascii="宋体" w:hAnsi="宋体" w:cs="黑体"/>
          <w:color w:val="auto"/>
        </w:rPr>
        <w:t>规定进行</w:t>
      </w:r>
      <w:r>
        <w:rPr>
          <w:rFonts w:hint="eastAsia" w:ascii="宋体" w:hAnsi="宋体" w:cs="黑体"/>
          <w:color w:val="auto"/>
          <w:lang w:eastAsia="zh-CN"/>
        </w:rPr>
        <w:t>；Fe</w:t>
      </w:r>
      <w:r>
        <w:rPr>
          <w:rFonts w:hint="eastAsia" w:ascii="宋体" w:hAnsi="宋体" w:cs="黑体"/>
          <w:color w:val="auto"/>
          <w:lang w:val="en-US" w:eastAsia="zh-CN"/>
        </w:rPr>
        <w:t>含量按照</w:t>
      </w:r>
      <w:r>
        <w:rPr>
          <w:rFonts w:hint="eastAsia" w:ascii="宋体" w:hAnsi="宋体" w:cs="黑体"/>
          <w:color w:val="auto"/>
          <w:lang w:eastAsia="zh-CN"/>
        </w:rPr>
        <w:t>GB/T 3884.15</w:t>
      </w:r>
      <w:r>
        <w:rPr>
          <w:rFonts w:hint="eastAsia" w:ascii="宋体" w:hAnsi="宋体" w:cs="黑体"/>
          <w:color w:val="auto"/>
        </w:rPr>
        <w:t>规定进行</w:t>
      </w:r>
      <w:r>
        <w:rPr>
          <w:rFonts w:hint="eastAsia" w:ascii="宋体" w:hAnsi="宋体" w:cs="黑体"/>
          <w:color w:val="auto"/>
          <w:lang w:eastAsia="zh-CN"/>
        </w:rPr>
        <w:t>；As、Al2O3</w:t>
      </w:r>
      <w:r>
        <w:rPr>
          <w:rFonts w:hint="eastAsia" w:ascii="宋体" w:hAnsi="宋体" w:cs="黑体"/>
          <w:color w:val="auto"/>
          <w:lang w:val="en-US" w:eastAsia="zh-CN"/>
        </w:rPr>
        <w:t>含量按照GB T 3884.18规定进行；Cl含量按照GB/T 3884.12规定进行，</w:t>
      </w:r>
      <w:r>
        <w:rPr>
          <w:rFonts w:hint="eastAsia" w:ascii="宋体" w:hAnsi="宋体" w:cs="宋体"/>
          <w:sz w:val="21"/>
          <w:szCs w:val="21"/>
          <w:lang w:val="en-US" w:eastAsia="zh-CN"/>
        </w:rPr>
        <w:t>标准未覆盖检测范围由</w:t>
      </w:r>
      <w:r>
        <w:rPr>
          <w:rFonts w:hint="eastAsia" w:ascii="宋体" w:hAnsi="宋体" w:eastAsia="宋体" w:cs="宋体"/>
          <w:sz w:val="21"/>
          <w:szCs w:val="21"/>
        </w:rPr>
        <w:t>供需双方协商</w:t>
      </w:r>
      <w:r>
        <w:rPr>
          <w:rFonts w:hint="eastAsia" w:ascii="宋体" w:hAnsi="宋体" w:cs="宋体"/>
          <w:sz w:val="21"/>
          <w:szCs w:val="21"/>
          <w:lang w:val="en-US" w:eastAsia="zh-CN"/>
        </w:rPr>
        <w:t>确定。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黑体"/>
          <w:color w:val="000000" w:themeColor="text1"/>
          <w14:textFill>
            <w14:solidFill>
              <w14:schemeClr w14:val="tx1"/>
            </w14:solidFill>
          </w14:textFill>
        </w:rPr>
      </w:pPr>
      <w:r>
        <w:rPr>
          <w:rFonts w:hint="eastAsia" w:ascii="宋体" w:hAnsi="宋体" w:eastAsia="宋体" w:cs="黑体"/>
          <w:color w:val="auto"/>
          <w:lang w:val="en-US" w:eastAsia="zh-CN"/>
        </w:rPr>
        <w:t>SiO</w:t>
      </w:r>
      <w:r>
        <w:rPr>
          <w:rFonts w:hint="eastAsia" w:ascii="宋体" w:hAnsi="宋体" w:eastAsia="宋体" w:cs="黑体"/>
          <w:color w:val="auto"/>
          <w:vertAlign w:val="subscript"/>
          <w:lang w:val="en-US" w:eastAsia="zh-CN"/>
        </w:rPr>
        <w:t>2</w:t>
      </w:r>
      <w:r>
        <w:rPr>
          <w:rFonts w:hint="eastAsia" w:ascii="宋体" w:hAnsi="宋体" w:eastAsia="宋体" w:cs="黑体"/>
          <w:color w:val="auto"/>
          <w:lang w:val="en-US" w:eastAsia="zh-CN"/>
        </w:rPr>
        <w:t>含量</w:t>
      </w:r>
      <w:r>
        <w:rPr>
          <w:rFonts w:hint="eastAsia" w:ascii="宋体" w:hAnsi="宋体" w:cs="黑体"/>
          <w:color w:val="auto"/>
          <w:lang w:val="en-US" w:eastAsia="zh-CN"/>
        </w:rPr>
        <w:t>按照</w:t>
      </w:r>
      <w:r>
        <w:rPr>
          <w:rFonts w:hint="eastAsia" w:ascii="宋体" w:hAnsi="宋体" w:eastAsia="宋体" w:cs="黑体"/>
          <w:color w:val="auto"/>
          <w:lang w:val="en-US" w:eastAsia="zh-CN"/>
        </w:rPr>
        <w:t>YB/T</w:t>
      </w:r>
      <w:r>
        <w:rPr>
          <w:rFonts w:hint="eastAsia" w:ascii="宋体" w:hAnsi="宋体" w:cs="黑体"/>
          <w:color w:val="auto"/>
          <w:lang w:val="en-US" w:eastAsia="zh-CN"/>
        </w:rPr>
        <w:t xml:space="preserve"> </w:t>
      </w:r>
      <w:r>
        <w:rPr>
          <w:rFonts w:hint="eastAsia" w:ascii="宋体" w:hAnsi="宋体" w:eastAsia="宋体" w:cs="黑体"/>
          <w:color w:val="auto"/>
          <w:lang w:val="en-US" w:eastAsia="zh-CN"/>
        </w:rPr>
        <w:t>4225</w:t>
      </w:r>
      <w:r>
        <w:rPr>
          <w:rFonts w:hint="eastAsia" w:ascii="宋体" w:hAnsi="宋体" w:cs="黑体"/>
          <w:color w:val="auto"/>
          <w:lang w:val="en-US" w:eastAsia="zh-CN"/>
        </w:rPr>
        <w:t>规定进行，</w:t>
      </w:r>
      <w:r>
        <w:rPr>
          <w:rFonts w:hint="eastAsia" w:ascii="宋体" w:hAnsi="宋体" w:cs="宋体"/>
          <w:sz w:val="21"/>
          <w:szCs w:val="21"/>
          <w:lang w:val="en-US" w:eastAsia="zh-CN"/>
        </w:rPr>
        <w:t>标准未覆盖检测范围</w:t>
      </w:r>
      <w:r>
        <w:rPr>
          <w:rFonts w:hint="eastAsia" w:ascii="宋体" w:hAnsi="宋体" w:eastAsia="宋体" w:cs="宋体"/>
          <w:sz w:val="21"/>
          <w:szCs w:val="21"/>
        </w:rPr>
        <w:t>由供需双方协商确定。</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lang w:val="en-US" w:eastAsia="zh-CN"/>
        </w:rPr>
      </w:pPr>
      <w:r>
        <w:rPr>
          <w:rFonts w:hint="eastAsia" w:ascii="黑体" w:hAnsi="黑体" w:cs="黑体"/>
          <w:b w:val="0"/>
          <w:bCs w:val="0"/>
          <w:sz w:val="21"/>
          <w:szCs w:val="21"/>
        </w:rPr>
        <w:t>6.</w:t>
      </w:r>
      <w:r>
        <w:rPr>
          <w:rFonts w:hint="eastAsia" w:ascii="黑体" w:hAnsi="黑体" w:cs="黑体"/>
          <w:b w:val="0"/>
          <w:bCs w:val="0"/>
          <w:sz w:val="21"/>
          <w:szCs w:val="21"/>
          <w:lang w:eastAsia="zh-CN"/>
        </w:rPr>
        <w:t>2</w:t>
      </w:r>
      <w:r>
        <w:rPr>
          <w:rFonts w:hint="eastAsia" w:ascii="黑体" w:hAnsi="黑体" w:cs="黑体"/>
          <w:b w:val="0"/>
          <w:bCs w:val="0"/>
          <w:sz w:val="21"/>
          <w:szCs w:val="21"/>
        </w:rPr>
        <w:t xml:space="preserve"> </w:t>
      </w:r>
      <w:r>
        <w:rPr>
          <w:rFonts w:hint="eastAsia" w:ascii="黑体" w:hAnsi="黑体" w:cs="黑体"/>
          <w:b w:val="0"/>
          <w:bCs w:val="0"/>
          <w:sz w:val="21"/>
          <w:szCs w:val="21"/>
          <w:lang w:val="en-US" w:eastAsia="zh-CN"/>
        </w:rPr>
        <w:t>含水量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黑体"/>
          <w:color w:val="auto"/>
        </w:rPr>
      </w:pPr>
      <w:r>
        <w:rPr>
          <w:rFonts w:hint="eastAsia" w:ascii="宋体" w:hAnsi="宋体" w:cs="黑体"/>
          <w:color w:val="auto"/>
          <w:lang w:val="en-US" w:eastAsia="zh-CN"/>
        </w:rPr>
        <w:t>含水量按照SJ/T 10380规定进行，</w:t>
      </w:r>
      <w:r>
        <w:rPr>
          <w:rFonts w:hint="eastAsia" w:ascii="宋体" w:hAnsi="宋体" w:eastAsia="宋体" w:cs="宋体"/>
          <w:sz w:val="21"/>
          <w:szCs w:val="21"/>
        </w:rPr>
        <w:t>或由供需双方协商确定。</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6.</w:t>
      </w:r>
      <w:r>
        <w:rPr>
          <w:rFonts w:hint="eastAsia" w:ascii="黑体" w:hAnsi="黑体" w:cs="黑体"/>
          <w:b w:val="0"/>
          <w:bCs w:val="0"/>
          <w:sz w:val="21"/>
          <w:szCs w:val="21"/>
          <w:lang w:val="en-US" w:eastAsia="zh-CN"/>
        </w:rPr>
        <w:t>3</w:t>
      </w:r>
      <w:r>
        <w:rPr>
          <w:rFonts w:hint="eastAsia" w:ascii="黑体" w:hAnsi="黑体" w:cs="黑体"/>
          <w:b w:val="0"/>
          <w:bCs w:val="0"/>
          <w:sz w:val="21"/>
          <w:szCs w:val="21"/>
        </w:rPr>
        <w:t xml:space="preserve"> 粒度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黑体"/>
          <w:color w:val="auto"/>
          <w:lang w:val="en-US" w:eastAsia="zh-CN"/>
        </w:rPr>
      </w:pPr>
      <w:r>
        <w:rPr>
          <w:rFonts w:hint="eastAsia" w:ascii="宋体" w:hAnsi="宋体" w:cs="黑体"/>
          <w:color w:val="auto"/>
          <w:lang w:val="en-US" w:eastAsia="zh-CN"/>
        </w:rPr>
        <w:t>粒度按照SJ/T 10380规定进行测定，</w:t>
      </w:r>
      <w:r>
        <w:rPr>
          <w:rFonts w:hint="eastAsia" w:ascii="宋体" w:hAnsi="宋体" w:eastAsia="宋体" w:cs="宋体"/>
          <w:sz w:val="21"/>
          <w:szCs w:val="21"/>
        </w:rPr>
        <w:t>或由供需双方协商确定。</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6.</w:t>
      </w:r>
      <w:r>
        <w:rPr>
          <w:rFonts w:hint="eastAsia" w:ascii="黑体" w:hAnsi="黑体" w:cs="黑体"/>
          <w:b w:val="0"/>
          <w:bCs w:val="0"/>
          <w:sz w:val="21"/>
          <w:szCs w:val="21"/>
          <w:lang w:val="en-US" w:eastAsia="zh-CN"/>
        </w:rPr>
        <w:t>4</w:t>
      </w:r>
      <w:r>
        <w:rPr>
          <w:rFonts w:hint="eastAsia" w:ascii="黑体" w:hAnsi="黑体" w:cs="黑体"/>
          <w:b w:val="0"/>
          <w:bCs w:val="0"/>
          <w:sz w:val="21"/>
          <w:szCs w:val="21"/>
        </w:rPr>
        <w:t xml:space="preserve"> 外观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黑体"/>
          <w:color w:val="auto"/>
          <w:lang w:val="en-US" w:eastAsia="zh-CN"/>
        </w:rPr>
      </w:pPr>
      <w:r>
        <w:rPr>
          <w:rFonts w:hint="eastAsia" w:ascii="宋体" w:hAnsi="宋体" w:cs="黑体"/>
          <w:color w:val="auto"/>
          <w:lang w:val="en-US" w:eastAsia="zh-CN"/>
        </w:rPr>
        <w:t>目视检查石英砂、石英石外观：含泥量按照GB/T 14684规定进行，或由供需双方协商确定。</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7  检验规则</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7.1  检查和验收</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cs="黑体"/>
          <w:lang w:val="en-US" w:eastAsia="zh-CN"/>
        </w:rPr>
      </w:pPr>
      <w:r>
        <w:rPr>
          <w:rFonts w:hint="eastAsia" w:ascii="黑体" w:hAnsi="黑体" w:eastAsia="黑体" w:cs="黑体"/>
          <w:b w:val="0"/>
          <w:bCs w:val="0"/>
          <w:kern w:val="2"/>
          <w:sz w:val="21"/>
          <w:szCs w:val="21"/>
          <w:lang w:val="en-US" w:eastAsia="zh-CN" w:bidi="ar-SA"/>
        </w:rPr>
        <w:t xml:space="preserve">7.1.1  </w:t>
      </w:r>
      <w:r>
        <w:rPr>
          <w:rFonts w:hint="eastAsia" w:ascii="宋体" w:hAnsi="宋体" w:cs="黑体"/>
        </w:rPr>
        <w:t>产品应由供方技术监督部门</w:t>
      </w:r>
      <w:r>
        <w:rPr>
          <w:rFonts w:hint="eastAsia" w:ascii="宋体" w:hAnsi="宋体" w:cs="黑体"/>
          <w:lang w:val="en-US" w:eastAsia="zh-CN"/>
        </w:rPr>
        <w:t>或第三方</w:t>
      </w:r>
      <w:r>
        <w:rPr>
          <w:rFonts w:hint="eastAsia" w:ascii="宋体" w:hAnsi="宋体" w:cs="黑体"/>
        </w:rPr>
        <w:t>进行检验，保证产品质量符合本</w:t>
      </w:r>
      <w:r>
        <w:rPr>
          <w:rFonts w:hint="eastAsia" w:ascii="宋体" w:hAnsi="宋体" w:cs="黑体"/>
          <w:lang w:val="en-US" w:eastAsia="zh-CN"/>
        </w:rPr>
        <w:t>文件及</w:t>
      </w:r>
      <w:r>
        <w:rPr>
          <w:rFonts w:hint="eastAsia" w:ascii="宋体" w:hAnsi="宋体" w:cs="黑体"/>
        </w:rPr>
        <w:t>订货单的规定，并</w:t>
      </w:r>
      <w:r>
        <w:rPr>
          <w:rFonts w:hint="eastAsia" w:ascii="宋体" w:hAnsi="宋体" w:cs="黑体"/>
          <w:lang w:val="en-US" w:eastAsia="zh-CN"/>
        </w:rPr>
        <w:t>出具品质报告单。</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hAnsi="宋体" w:cs="黑体"/>
        </w:rPr>
      </w:pPr>
      <w:r>
        <w:rPr>
          <w:rFonts w:hint="eastAsia" w:ascii="黑体" w:hAnsi="黑体" w:eastAsia="黑体" w:cs="黑体"/>
          <w:b w:val="0"/>
          <w:bCs w:val="0"/>
          <w:kern w:val="2"/>
          <w:sz w:val="21"/>
          <w:szCs w:val="21"/>
          <w:lang w:val="en-US" w:eastAsia="zh-CN" w:bidi="ar-SA"/>
        </w:rPr>
        <w:t>7.1.2</w:t>
      </w:r>
      <w:r>
        <w:rPr>
          <w:rFonts w:hint="eastAsia" w:ascii="宋体" w:hAnsi="宋体" w:cs="黑体"/>
        </w:rPr>
        <w:t xml:space="preserve">  需方可对收到的产品</w:t>
      </w:r>
      <w:r>
        <w:rPr>
          <w:rFonts w:hint="eastAsia" w:ascii="宋体" w:hAnsi="宋体" w:cs="黑体"/>
          <w:lang w:val="en-US" w:eastAsia="zh-CN"/>
        </w:rPr>
        <w:t>在7日内</w:t>
      </w:r>
      <w:r>
        <w:rPr>
          <w:rFonts w:hint="eastAsia" w:ascii="宋体" w:hAnsi="宋体" w:cs="黑体"/>
        </w:rPr>
        <w:t>进行质量检验，当供需双方对检验结果有争议时，由供需双方协商解决。如需仲裁，仲裁取样在需方由供需双方共同进行。</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7.2</w:t>
      </w:r>
      <w:r>
        <w:rPr>
          <w:rFonts w:hint="eastAsia" w:ascii="黑体" w:hAnsi="黑体" w:cs="黑体"/>
          <w:b w:val="0"/>
          <w:bCs w:val="0"/>
          <w:sz w:val="21"/>
          <w:szCs w:val="21"/>
          <w:lang w:val="en-US" w:eastAsia="zh-CN"/>
        </w:rPr>
        <w:t xml:space="preserve"> </w:t>
      </w:r>
      <w:r>
        <w:rPr>
          <w:rFonts w:hint="eastAsia" w:ascii="黑体" w:hAnsi="黑体" w:cs="黑体"/>
          <w:b w:val="0"/>
          <w:bCs w:val="0"/>
          <w:sz w:val="21"/>
          <w:szCs w:val="21"/>
        </w:rPr>
        <w:t xml:space="preserve"> 组批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kern w:val="0"/>
        </w:rPr>
      </w:pPr>
      <w:r>
        <w:rPr>
          <w:rFonts w:hint="eastAsia" w:hAnsi="宋体"/>
          <w:kern w:val="0"/>
        </w:rPr>
        <w:t>石英砂或石英石</w:t>
      </w:r>
      <w:r>
        <w:rPr>
          <w:rFonts w:hAnsi="宋体"/>
          <w:kern w:val="0"/>
        </w:rPr>
        <w:t>应成批提交验收，每批由同一</w:t>
      </w:r>
      <w:r>
        <w:rPr>
          <w:rFonts w:hint="eastAsia" w:hAnsi="宋体"/>
          <w:kern w:val="0"/>
          <w:lang w:val="en-US" w:eastAsia="zh-CN"/>
        </w:rPr>
        <w:t>品级</w:t>
      </w:r>
      <w:r>
        <w:rPr>
          <w:rFonts w:hAnsi="宋体"/>
          <w:kern w:val="0"/>
        </w:rPr>
        <w:t>的产品组成，批量由供需双方协商确定。</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 xml:space="preserve">7.3 </w:t>
      </w:r>
      <w:r>
        <w:rPr>
          <w:rFonts w:hint="eastAsia" w:ascii="黑体" w:hAnsi="黑体" w:cs="黑体"/>
          <w:b w:val="0"/>
          <w:bCs w:val="0"/>
          <w:sz w:val="21"/>
          <w:szCs w:val="21"/>
          <w:lang w:val="en-US" w:eastAsia="zh-CN"/>
        </w:rPr>
        <w:t xml:space="preserve"> </w:t>
      </w:r>
      <w:r>
        <w:rPr>
          <w:rFonts w:hint="eastAsia" w:ascii="黑体" w:hAnsi="黑体" w:cs="黑体"/>
          <w:b w:val="0"/>
          <w:bCs w:val="0"/>
          <w:sz w:val="21"/>
          <w:szCs w:val="21"/>
        </w:rPr>
        <w:t>检测项目</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color w:val="FF0000"/>
          <w:kern w:val="0"/>
        </w:rPr>
      </w:pPr>
      <w:r>
        <w:rPr>
          <w:rFonts w:hAnsi="宋体"/>
          <w:kern w:val="0"/>
        </w:rPr>
        <w:t xml:space="preserve">    </w:t>
      </w:r>
      <w:r>
        <w:rPr>
          <w:rFonts w:hint="eastAsia" w:hAnsi="宋体"/>
          <w:kern w:val="0"/>
        </w:rPr>
        <w:t>每批石英砂或石英石应进行</w:t>
      </w:r>
      <w:r>
        <w:rPr>
          <w:rFonts w:hAnsi="宋体"/>
          <w:color w:val="000000"/>
          <w:kern w:val="0"/>
        </w:rPr>
        <w:t>化学成分</w:t>
      </w:r>
      <w:r>
        <w:rPr>
          <w:rFonts w:hint="eastAsia" w:hAnsi="宋体"/>
          <w:color w:val="000000"/>
          <w:kern w:val="0"/>
        </w:rPr>
        <w:t>、物理性能</w:t>
      </w:r>
      <w:r>
        <w:rPr>
          <w:rFonts w:hint="eastAsia" w:hAnsi="宋体"/>
          <w:kern w:val="0"/>
        </w:rPr>
        <w:t>和</w:t>
      </w:r>
      <w:r>
        <w:rPr>
          <w:rFonts w:hAnsi="宋体"/>
          <w:kern w:val="0"/>
        </w:rPr>
        <w:t>外观质量的检验</w:t>
      </w:r>
      <w:r>
        <w:rPr>
          <w:rFonts w:hint="eastAsia" w:hAnsi="宋体"/>
          <w:kern w:val="0"/>
        </w:rPr>
        <w:t>。</w:t>
      </w:r>
      <w:r>
        <w:rPr>
          <w:rFonts w:hAnsi="宋体"/>
          <w:kern w:val="0"/>
        </w:rPr>
        <w:t>需方有</w:t>
      </w:r>
      <w:r>
        <w:rPr>
          <w:rFonts w:hint="eastAsia" w:hAnsi="宋体"/>
          <w:kern w:val="0"/>
        </w:rPr>
        <w:t>特殊</w:t>
      </w:r>
      <w:r>
        <w:rPr>
          <w:rFonts w:hAnsi="宋体"/>
          <w:kern w:val="0"/>
        </w:rPr>
        <w:t>要求时，可</w:t>
      </w:r>
      <w:r>
        <w:rPr>
          <w:rFonts w:hint="eastAsia" w:hAnsi="宋体"/>
          <w:kern w:val="0"/>
        </w:rPr>
        <w:t>由</w:t>
      </w:r>
      <w:r>
        <w:rPr>
          <w:rFonts w:hAnsi="宋体"/>
          <w:kern w:val="0"/>
        </w:rPr>
        <w:t>供需</w:t>
      </w:r>
      <w:r>
        <w:rPr>
          <w:rFonts w:hAnsi="宋体"/>
          <w:szCs w:val="18"/>
        </w:rPr>
        <w:t>双方商定</w:t>
      </w:r>
      <w:r>
        <w:rPr>
          <w:rFonts w:hint="eastAsia" w:hAnsi="宋体"/>
          <w:szCs w:val="18"/>
        </w:rPr>
        <w:t>。</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7.4 取样和制样</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hAnsi="宋体"/>
          <w:kern w:val="0"/>
        </w:rPr>
      </w:pPr>
      <w:r>
        <w:rPr>
          <w:rFonts w:hint="eastAsia" w:ascii="黑体" w:hAnsi="黑体" w:eastAsia="黑体" w:cs="黑体"/>
          <w:b w:val="0"/>
          <w:bCs w:val="0"/>
          <w:kern w:val="2"/>
          <w:sz w:val="21"/>
          <w:szCs w:val="21"/>
          <w:lang w:val="en-US" w:eastAsia="zh-CN" w:bidi="ar-SA"/>
        </w:rPr>
        <w:t xml:space="preserve">7.4.1 </w:t>
      </w:r>
      <w:r>
        <w:rPr>
          <w:rFonts w:hint="eastAsia" w:hAnsi="宋体"/>
          <w:kern w:val="0"/>
        </w:rPr>
        <w:t>石英砂</w:t>
      </w:r>
      <w:r>
        <w:rPr>
          <w:rFonts w:hint="eastAsia" w:hAnsi="宋体"/>
          <w:kern w:val="0"/>
          <w:lang w:eastAsia="zh-CN"/>
        </w:rPr>
        <w:t>、</w:t>
      </w:r>
      <w:r>
        <w:rPr>
          <w:rFonts w:hint="eastAsia" w:hAnsi="宋体"/>
          <w:kern w:val="0"/>
        </w:rPr>
        <w:t>石英</w:t>
      </w:r>
      <w:r>
        <w:rPr>
          <w:rFonts w:hint="eastAsia" w:hAnsi="宋体"/>
          <w:kern w:val="0"/>
          <w:lang w:val="en-US" w:eastAsia="zh-CN"/>
        </w:rPr>
        <w:t>石按批次进行取样，</w:t>
      </w:r>
      <w:r>
        <w:rPr>
          <w:rFonts w:hint="eastAsia" w:hAnsi="宋体"/>
          <w:kern w:val="0"/>
        </w:rPr>
        <w:t>取样</w:t>
      </w:r>
      <w:r>
        <w:rPr>
          <w:rFonts w:hint="eastAsia" w:hAnsi="宋体"/>
          <w:kern w:val="0"/>
          <w:lang w:val="en-US" w:eastAsia="zh-CN"/>
        </w:rPr>
        <w:t>时从批产品中随机抽取样品，混匀后以四分法缩分至500克样品，分装至干燥清洁的容器中，密封后贴上标签，标明产品名称、生产厂家、批号、取样日期、取样人</w:t>
      </w:r>
      <w:r>
        <w:rPr>
          <w:rFonts w:hint="eastAsia" w:hAnsi="宋体"/>
          <w:kern w:val="0"/>
        </w:rPr>
        <w:t>。</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hAnsi="宋体"/>
          <w:kern w:val="0"/>
        </w:rPr>
      </w:pPr>
      <w:r>
        <w:rPr>
          <w:rFonts w:hint="eastAsia" w:ascii="黑体" w:hAnsi="黑体" w:eastAsia="黑体" w:cs="黑体"/>
          <w:b w:val="0"/>
          <w:bCs w:val="0"/>
          <w:kern w:val="2"/>
          <w:sz w:val="21"/>
          <w:szCs w:val="21"/>
          <w:lang w:val="en-US" w:eastAsia="zh-CN" w:bidi="ar-SA"/>
        </w:rPr>
        <w:t xml:space="preserve">7.4.2 </w:t>
      </w:r>
      <w:r>
        <w:rPr>
          <w:rFonts w:hint="eastAsia" w:hAnsi="宋体"/>
          <w:kern w:val="0"/>
        </w:rPr>
        <w:t>将所制样品分成三份：一份为验收分析试样，一份交供方，一份仲裁样。仲裁样由需方保存，其中仲裁样保存30天。供方如对验收分析结果有异议，应在仲裁样保存期内提出。</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rPr>
      </w:pPr>
      <w:r>
        <w:rPr>
          <w:rFonts w:hint="eastAsia" w:ascii="黑体" w:hAnsi="黑体" w:cs="黑体"/>
          <w:b w:val="0"/>
          <w:bCs w:val="0"/>
          <w:sz w:val="21"/>
          <w:szCs w:val="21"/>
        </w:rPr>
        <w:t xml:space="preserve">7.5 检验结果判定 </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kern w:val="0"/>
        </w:rPr>
      </w:pPr>
      <w:r>
        <w:rPr>
          <w:rFonts w:hint="eastAsia" w:ascii="黑体" w:hAnsi="黑体" w:eastAsia="黑体" w:cs="黑体"/>
          <w:b w:val="0"/>
          <w:bCs w:val="0"/>
          <w:kern w:val="2"/>
          <w:sz w:val="21"/>
          <w:szCs w:val="21"/>
          <w:lang w:val="en-US" w:eastAsia="zh-CN" w:bidi="ar-SA"/>
        </w:rPr>
        <w:t>7.5.1</w:t>
      </w:r>
      <w:r>
        <w:rPr>
          <w:rFonts w:hint="eastAsia" w:ascii="黑体" w:hAnsi="黑体" w:eastAsia="黑体" w:cs="黑体"/>
        </w:rPr>
        <w:t xml:space="preserve"> </w:t>
      </w:r>
      <w:r>
        <w:rPr>
          <w:rFonts w:hint="eastAsia" w:ascii="宋体" w:hAnsi="宋体" w:cs="黑体"/>
        </w:rPr>
        <w:t>检验结果的数值</w:t>
      </w:r>
      <w:r>
        <w:rPr>
          <w:rFonts w:hAnsi="宋体"/>
          <w:kern w:val="0"/>
        </w:rPr>
        <w:t>按</w:t>
      </w:r>
      <w:r>
        <w:rPr>
          <w:kern w:val="0"/>
        </w:rPr>
        <w:t>GB/T 8170</w:t>
      </w:r>
      <w:r>
        <w:rPr>
          <w:rFonts w:hAnsi="宋体"/>
          <w:kern w:val="0"/>
        </w:rPr>
        <w:t>的规定进行</w:t>
      </w:r>
      <w:r>
        <w:rPr>
          <w:rFonts w:hint="eastAsia" w:hAnsi="宋体"/>
          <w:kern w:val="0"/>
        </w:rPr>
        <w:t>修约，并采用修约值比较法判定</w:t>
      </w:r>
      <w:r>
        <w:rPr>
          <w:rFonts w:hAnsi="宋体"/>
          <w:kern w:val="0"/>
        </w:rPr>
        <w:t>。</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ascii="宋体" w:hAnsi="宋体" w:cs="黑体"/>
        </w:rPr>
      </w:pPr>
      <w:r>
        <w:rPr>
          <w:rFonts w:hint="eastAsia" w:ascii="黑体" w:hAnsi="黑体" w:eastAsia="黑体" w:cs="黑体"/>
        </w:rPr>
        <w:t>7.5.2</w:t>
      </w:r>
      <w:r>
        <w:rPr>
          <w:rFonts w:hint="eastAsia" w:ascii="宋体" w:hAnsi="宋体" w:cs="黑体"/>
        </w:rPr>
        <w:t xml:space="preserve"> </w:t>
      </w:r>
      <w:r>
        <w:rPr>
          <w:rFonts w:hint="eastAsia" w:ascii="宋体" w:hAnsi="宋体" w:eastAsia="宋体" w:cs="宋体"/>
          <w:color w:val="auto"/>
          <w:szCs w:val="18"/>
          <w:lang w:eastAsia="zh-CN"/>
        </w:rPr>
        <w:t>同一检验批内，发现产品化学成分</w:t>
      </w:r>
      <w:r>
        <w:rPr>
          <w:rFonts w:hint="eastAsia" w:ascii="宋体" w:hAnsi="宋体" w:cs="宋体"/>
          <w:lang w:eastAsia="zh-CN"/>
        </w:rPr>
        <w:t>、</w:t>
      </w:r>
      <w:r>
        <w:rPr>
          <w:rFonts w:hint="eastAsia" w:ascii="宋体" w:hAnsi="宋体" w:cs="宋体"/>
          <w:color w:val="auto"/>
          <w:szCs w:val="18"/>
          <w:lang w:val="en-US" w:eastAsia="zh-CN"/>
        </w:rPr>
        <w:t>粒度</w:t>
      </w:r>
      <w:r>
        <w:rPr>
          <w:rFonts w:hint="eastAsia" w:ascii="宋体" w:hAnsi="宋体" w:eastAsia="宋体" w:cs="宋体"/>
          <w:color w:val="auto"/>
          <w:szCs w:val="18"/>
          <w:lang w:eastAsia="zh-CN"/>
        </w:rPr>
        <w:t>和外观质量</w:t>
      </w:r>
      <w:r>
        <w:rPr>
          <w:rFonts w:hint="eastAsia" w:ascii="宋体" w:hAnsi="宋体" w:cs="宋体"/>
          <w:lang w:eastAsia="zh-CN"/>
        </w:rPr>
        <w:t>与</w:t>
      </w:r>
      <w:r>
        <w:rPr>
          <w:rFonts w:hint="eastAsia" w:ascii="宋体" w:hAnsi="宋体" w:eastAsia="宋体" w:cs="宋体"/>
          <w:color w:val="auto"/>
          <w:szCs w:val="18"/>
          <w:lang w:eastAsia="zh-CN"/>
        </w:rPr>
        <w:t>本文件的规定</w:t>
      </w:r>
      <w:r>
        <w:rPr>
          <w:rFonts w:hint="eastAsia" w:ascii="宋体" w:hAnsi="宋体" w:cs="宋体"/>
          <w:color w:val="auto"/>
          <w:szCs w:val="18"/>
          <w:lang w:val="en-US" w:eastAsia="zh-CN"/>
        </w:rPr>
        <w:t>或</w:t>
      </w:r>
      <w:r>
        <w:rPr>
          <w:rFonts w:hint="eastAsia" w:ascii="宋体" w:hAnsi="宋体" w:eastAsia="宋体" w:cs="宋体"/>
          <w:color w:val="auto"/>
          <w:szCs w:val="18"/>
          <w:lang w:eastAsia="zh-CN"/>
        </w:rPr>
        <w:t>订货单要求不符合时，判该批产品不合格。</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lang w:val="en-US" w:eastAsia="zh-CN"/>
        </w:rPr>
      </w:pPr>
      <w:r>
        <w:rPr>
          <w:rFonts w:hint="eastAsia" w:ascii="黑体" w:hAnsi="黑体" w:cs="黑体"/>
          <w:b w:val="0"/>
          <w:bCs w:val="0"/>
          <w:sz w:val="21"/>
          <w:szCs w:val="21"/>
          <w:lang w:val="en-US" w:eastAsia="zh-CN"/>
        </w:rPr>
        <w:t>8 包装、运输、贮存及随行文件</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lang w:val="en-US" w:eastAsia="zh-CN"/>
        </w:rPr>
      </w:pPr>
      <w:r>
        <w:rPr>
          <w:rFonts w:hint="eastAsia" w:ascii="黑体" w:hAnsi="黑体" w:cs="黑体"/>
          <w:b w:val="0"/>
          <w:bCs w:val="0"/>
          <w:sz w:val="21"/>
          <w:szCs w:val="21"/>
          <w:lang w:val="en-US" w:eastAsia="zh-CN"/>
        </w:rPr>
        <w:t>8.1 包装、运输、贮存</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ascii="宋体" w:hAnsi="宋体" w:cs="黑体"/>
          <w:color w:val="auto"/>
        </w:rPr>
      </w:pPr>
      <w:r>
        <w:rPr>
          <w:rFonts w:hint="eastAsia" w:ascii="宋体" w:hAnsi="宋体" w:cs="黑体"/>
          <w:color w:val="auto"/>
        </w:rPr>
        <w:t>a)</w:t>
      </w:r>
      <w:r>
        <w:rPr>
          <w:rFonts w:hint="eastAsia" w:ascii="宋体" w:hAnsi="宋体" w:cs="黑体"/>
          <w:color w:val="auto"/>
          <w:lang w:val="en-US" w:eastAsia="zh-CN"/>
        </w:rPr>
        <w:t>石英砂、石英石为散装，或由供需双方协商其他包装方式。</w:t>
      </w:r>
      <w:r>
        <w:rPr>
          <w:rFonts w:ascii="宋体" w:hAnsi="宋体" w:cs="黑体"/>
          <w:color w:val="auto"/>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default" w:ascii="宋体" w:hAnsi="宋体" w:eastAsia="宋体" w:cs="黑体"/>
          <w:color w:val="auto"/>
          <w:lang w:val="en-US" w:eastAsia="zh-CN"/>
        </w:rPr>
      </w:pPr>
      <w:r>
        <w:rPr>
          <w:rFonts w:hint="eastAsia" w:ascii="宋体" w:hAnsi="宋体" w:cs="黑体"/>
          <w:color w:val="auto"/>
        </w:rPr>
        <w:t>b)</w:t>
      </w:r>
      <w:r>
        <w:rPr>
          <w:rFonts w:hint="eastAsia" w:ascii="宋体" w:hAnsi="宋体" w:cs="黑体"/>
          <w:color w:val="auto"/>
          <w:lang w:val="en-US" w:eastAsia="zh-CN"/>
        </w:rPr>
        <w:t>石英砂、石英石在运输过程中应有防水、防散落、防飞扬等措施。</w:t>
      </w:r>
    </w:p>
    <w:p>
      <w:pPr>
        <w:pStyle w:val="3"/>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cs="黑体"/>
          <w:b w:val="0"/>
          <w:bCs w:val="0"/>
          <w:sz w:val="21"/>
          <w:szCs w:val="21"/>
          <w:lang w:val="en-US" w:eastAsia="zh-CN"/>
        </w:rPr>
      </w:pPr>
      <w:r>
        <w:rPr>
          <w:rFonts w:hint="eastAsia" w:ascii="黑体" w:hAnsi="黑体" w:cs="黑体"/>
          <w:b w:val="0"/>
          <w:bCs w:val="0"/>
          <w:sz w:val="21"/>
          <w:szCs w:val="21"/>
          <w:lang w:val="en-US" w:eastAsia="zh-CN"/>
        </w:rPr>
        <w:t>8.2  随行文件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kern w:val="0"/>
        </w:rPr>
      </w:pPr>
      <w:r>
        <w:rPr>
          <w:rFonts w:hint="eastAsia" w:hAnsi="宋体"/>
          <w:kern w:val="0"/>
        </w:rPr>
        <w:t>每批产品应附有随行文件，其中应包括质量证明书，其上注明：</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20" w:firstLineChars="200"/>
        <w:jc w:val="both"/>
        <w:textAlignment w:val="auto"/>
        <w:rPr>
          <w:kern w:val="0"/>
        </w:rPr>
      </w:pPr>
      <w:r>
        <w:t>产品名称和牌号</w:t>
      </w:r>
      <w:r>
        <w:rPr>
          <w:rFonts w:hint="eastAsia"/>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20" w:firstLineChars="200"/>
        <w:jc w:val="both"/>
        <w:textAlignment w:val="auto"/>
        <w:rPr>
          <w:kern w:val="0"/>
        </w:rPr>
      </w:pPr>
      <w:r>
        <w:t>重量</w:t>
      </w:r>
      <w:r>
        <w:rPr>
          <w:rFonts w:hint="eastAsia"/>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20" w:firstLineChars="200"/>
        <w:jc w:val="both"/>
        <w:textAlignment w:val="auto"/>
        <w:rPr>
          <w:kern w:val="0"/>
        </w:rPr>
      </w:pPr>
      <w:r>
        <w:t>检验结果或对应文件的范围</w:t>
      </w:r>
      <w:r>
        <w:rPr>
          <w:rFonts w:hint="eastAsia"/>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20" w:firstLineChars="200"/>
        <w:jc w:val="both"/>
        <w:textAlignment w:val="auto"/>
        <w:rPr>
          <w:kern w:val="0"/>
        </w:rPr>
      </w:pPr>
      <w:r>
        <w:t>本文件编号；</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20" w:firstLineChars="200"/>
        <w:jc w:val="both"/>
        <w:textAlignment w:val="auto"/>
        <w:rPr>
          <w:kern w:val="0"/>
        </w:rPr>
      </w:pPr>
      <w:r>
        <w:t>出厂日期。</w:t>
      </w:r>
    </w:p>
    <w:p>
      <w:pPr>
        <w:pStyle w:val="3"/>
        <w:keepNext/>
        <w:keepLines/>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黑体" w:hAnsi="黑体" w:cs="黑体"/>
          <w:b w:val="0"/>
          <w:bCs w:val="0"/>
          <w:sz w:val="21"/>
          <w:szCs w:val="21"/>
          <w:lang w:val="en-US" w:eastAsia="zh-CN"/>
        </w:rPr>
      </w:pPr>
      <w:r>
        <w:rPr>
          <w:rFonts w:hint="eastAsia" w:ascii="黑体" w:hAnsi="黑体" w:cs="黑体"/>
          <w:b w:val="0"/>
          <w:bCs w:val="0"/>
          <w:sz w:val="21"/>
          <w:szCs w:val="21"/>
          <w:lang w:val="en-US" w:eastAsia="zh-CN"/>
        </w:rPr>
        <w:t>9  订货单内容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kern w:val="0"/>
        </w:rPr>
      </w:pPr>
      <w:r>
        <w:rPr>
          <w:rFonts w:hint="eastAsia" w:hAnsi="宋体"/>
          <w:kern w:val="0"/>
        </w:rPr>
        <w:t>需方可根据自身的需要，在订购本文件所列产品的</w:t>
      </w:r>
      <w:r>
        <w:rPr>
          <w:rFonts w:hAnsi="宋体"/>
          <w:kern w:val="0"/>
        </w:rPr>
        <w:t>订货单内</w:t>
      </w:r>
      <w:r>
        <w:rPr>
          <w:rFonts w:hint="eastAsia" w:hAnsi="宋体"/>
          <w:kern w:val="0"/>
        </w:rPr>
        <w:t>，</w:t>
      </w:r>
      <w:r>
        <w:rPr>
          <w:rFonts w:hAnsi="宋体"/>
          <w:kern w:val="0"/>
        </w:rPr>
        <w:t>包括下列内容：</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firstLine="420" w:firstLineChars="200"/>
        <w:jc w:val="both"/>
        <w:textAlignment w:val="auto"/>
      </w:pPr>
      <w:r>
        <w:t>产品名称；</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firstLine="420" w:firstLineChars="200"/>
        <w:jc w:val="both"/>
        <w:textAlignment w:val="auto"/>
        <w:rPr>
          <w:color w:val="auto"/>
        </w:rPr>
      </w:pPr>
      <w:r>
        <w:rPr>
          <w:rFonts w:hint="eastAsia"/>
          <w:color w:val="auto"/>
          <w:lang w:val="en-US" w:eastAsia="zh-CN"/>
        </w:rPr>
        <w:t>品级；</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color w:val="auto"/>
        </w:rPr>
      </w:pPr>
      <w:r>
        <w:rPr>
          <w:color w:val="auto"/>
        </w:rPr>
        <w:t>b）</w:t>
      </w:r>
      <w:r>
        <w:rPr>
          <w:rFonts w:hint="eastAsia"/>
          <w:color w:val="auto"/>
        </w:rPr>
        <w:t>净重</w:t>
      </w:r>
      <w:r>
        <w:rPr>
          <w:color w:val="auto"/>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pPr>
      <w:r>
        <w:rPr>
          <w:color w:val="auto"/>
        </w:rPr>
        <w:t>c）</w:t>
      </w:r>
      <w:r>
        <w:rPr>
          <w:rFonts w:hint="eastAsia"/>
          <w:color w:val="auto"/>
          <w:lang w:val="en-US" w:eastAsia="zh-CN"/>
        </w:rPr>
        <w:t>物理规格、</w:t>
      </w:r>
      <w:r>
        <w:rPr>
          <w:rFonts w:hint="eastAsia"/>
          <w:color w:val="auto"/>
        </w:rPr>
        <w:t>杂质含量的特殊</w:t>
      </w:r>
      <w:r>
        <w:rPr>
          <w:rFonts w:hint="eastAsia"/>
        </w:rPr>
        <w:t>需求；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kern w:val="0"/>
        </w:rPr>
      </w:pPr>
      <w:r>
        <w:rPr>
          <w:rFonts w:hint="eastAsia"/>
          <w:kern w:val="0"/>
        </w:rPr>
        <w:t xml:space="preserve">d) </w:t>
      </w:r>
      <w:r>
        <w:t>本文件编号；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pPr>
      <w:r>
        <w:rPr>
          <w:rFonts w:hint="eastAsia"/>
        </w:rPr>
        <w:t xml:space="preserve">e) </w:t>
      </w:r>
      <w:r>
        <w:t>其他。</w:t>
      </w:r>
    </w:p>
    <w:p>
      <w:pPr>
        <w:autoSpaceDE w:val="0"/>
        <w:autoSpaceDN w:val="0"/>
        <w:ind w:firstLine="420" w:firstLineChars="200"/>
        <w:jc w:val="left"/>
      </w:pPr>
    </w:p>
    <w:p>
      <w:pPr>
        <w:autoSpaceDE w:val="0"/>
        <w:autoSpaceDN w:val="0"/>
        <w:ind w:firstLine="420" w:firstLineChars="200"/>
        <w:jc w:val="left"/>
      </w:pPr>
    </w:p>
    <w:p>
      <w:pPr>
        <w:autoSpaceDE w:val="0"/>
        <w:autoSpaceDN w:val="0"/>
        <w:ind w:firstLine="420" w:firstLineChars="200"/>
        <w:jc w:val="center"/>
        <w:rPr>
          <w:rFonts w:hint="default" w:eastAsia="宋体"/>
          <w:lang w:val="en-US" w:eastAsia="zh-CN"/>
        </w:rPr>
      </w:pPr>
      <w:r>
        <w:rPr>
          <w:rFonts w:hint="eastAsia"/>
          <w:lang w:val="en-US" w:eastAsia="zh-CN"/>
        </w:rPr>
        <w:t>_____________________________</w:t>
      </w:r>
    </w:p>
    <w:p>
      <w:pPr>
        <w:autoSpaceDE w:val="0"/>
        <w:autoSpaceDN w:val="0"/>
        <w:ind w:firstLine="420" w:firstLineChars="200"/>
        <w:jc w:val="left"/>
      </w:pPr>
    </w:p>
    <w:p>
      <w:pPr>
        <w:autoSpaceDE w:val="0"/>
        <w:autoSpaceDN w:val="0"/>
        <w:ind w:firstLine="420" w:firstLineChars="200"/>
        <w:jc w:val="left"/>
      </w:pPr>
    </w:p>
    <w:p>
      <w:pPr>
        <w:pStyle w:val="18"/>
        <w:ind w:firstLine="420"/>
      </w:pPr>
    </w:p>
    <w:p>
      <w:pPr>
        <w:pStyle w:val="18"/>
        <w:ind w:firstLine="420"/>
      </w:pPr>
    </w:p>
    <w:p>
      <w:pPr>
        <w:pStyle w:val="18"/>
        <w:ind w:firstLine="420"/>
      </w:pPr>
    </w:p>
    <w:p>
      <w:pPr>
        <w:pStyle w:val="18"/>
        <w:ind w:firstLine="420"/>
      </w:pPr>
    </w:p>
    <w:p>
      <w:pPr>
        <w:pStyle w:val="18"/>
        <w:ind w:left="0" w:leftChars="0" w:firstLine="0" w:firstLineChars="0"/>
      </w:pPr>
    </w:p>
    <w:p>
      <w:pPr>
        <w:pStyle w:val="18"/>
        <w:ind w:firstLine="420"/>
      </w:pPr>
    </w:p>
    <w:p>
      <w:pPr>
        <w:pStyle w:val="18"/>
        <w:ind w:firstLine="420"/>
      </w:pPr>
      <w:bookmarkStart w:id="2" w:name="_GoBack"/>
      <w:bookmarkEnd w:id="2"/>
    </w:p>
    <w:sectPr>
      <w:footerReference r:id="rId5" w:type="default"/>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lowerLetter"/>
      <w:suff w:val="nothing"/>
      <w:lvlText w:val="%1）"/>
      <w:lvlJc w:val="left"/>
    </w:lvl>
  </w:abstractNum>
  <w:abstractNum w:abstractNumId="1">
    <w:nsid w:val="6FF1994B"/>
    <w:multiLevelType w:val="singleLevel"/>
    <w:tmpl w:val="6FF1994B"/>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zVkZGU0NjcxMDNjYzQ1MWE0YmZjNzAwY2I0MDYifQ=="/>
  </w:docVars>
  <w:rsids>
    <w:rsidRoot w:val="003525EA"/>
    <w:rsid w:val="00007F1A"/>
    <w:rsid w:val="00020F9E"/>
    <w:rsid w:val="000D39B3"/>
    <w:rsid w:val="00120715"/>
    <w:rsid w:val="00142A50"/>
    <w:rsid w:val="001B74E2"/>
    <w:rsid w:val="003525EA"/>
    <w:rsid w:val="00393969"/>
    <w:rsid w:val="00401BA0"/>
    <w:rsid w:val="004758B8"/>
    <w:rsid w:val="00486F56"/>
    <w:rsid w:val="00563972"/>
    <w:rsid w:val="006A4A54"/>
    <w:rsid w:val="006C5837"/>
    <w:rsid w:val="007150BA"/>
    <w:rsid w:val="008476B4"/>
    <w:rsid w:val="00897C71"/>
    <w:rsid w:val="0094476F"/>
    <w:rsid w:val="009E5835"/>
    <w:rsid w:val="00A45BB6"/>
    <w:rsid w:val="00B0511F"/>
    <w:rsid w:val="00B60768"/>
    <w:rsid w:val="00BB1E9D"/>
    <w:rsid w:val="00BC11BD"/>
    <w:rsid w:val="00C27C43"/>
    <w:rsid w:val="00C95057"/>
    <w:rsid w:val="00CC7A6B"/>
    <w:rsid w:val="00D3630F"/>
    <w:rsid w:val="00DC387B"/>
    <w:rsid w:val="00E6512B"/>
    <w:rsid w:val="00ED1546"/>
    <w:rsid w:val="00ED3679"/>
    <w:rsid w:val="00F25BD8"/>
    <w:rsid w:val="00F71865"/>
    <w:rsid w:val="00FC7BCD"/>
    <w:rsid w:val="00FD0DB3"/>
    <w:rsid w:val="00FD6B84"/>
    <w:rsid w:val="014313AE"/>
    <w:rsid w:val="019F5EEE"/>
    <w:rsid w:val="023217EA"/>
    <w:rsid w:val="026375F7"/>
    <w:rsid w:val="03747DA7"/>
    <w:rsid w:val="03CA60C9"/>
    <w:rsid w:val="04770558"/>
    <w:rsid w:val="04AF489E"/>
    <w:rsid w:val="056622E5"/>
    <w:rsid w:val="06620BC5"/>
    <w:rsid w:val="06777CCF"/>
    <w:rsid w:val="07B02090"/>
    <w:rsid w:val="07D91AF1"/>
    <w:rsid w:val="0A11664F"/>
    <w:rsid w:val="0B9D7881"/>
    <w:rsid w:val="0D4E2E8A"/>
    <w:rsid w:val="0E95080C"/>
    <w:rsid w:val="0EA6118A"/>
    <w:rsid w:val="102C6273"/>
    <w:rsid w:val="104650B3"/>
    <w:rsid w:val="10BD4FEF"/>
    <w:rsid w:val="11E0773C"/>
    <w:rsid w:val="1285157E"/>
    <w:rsid w:val="142F5508"/>
    <w:rsid w:val="16C805D0"/>
    <w:rsid w:val="16D82BB4"/>
    <w:rsid w:val="17AD5A18"/>
    <w:rsid w:val="188A393D"/>
    <w:rsid w:val="18B02E91"/>
    <w:rsid w:val="1B8B73CF"/>
    <w:rsid w:val="1C563BFF"/>
    <w:rsid w:val="1E911BEF"/>
    <w:rsid w:val="1F707A57"/>
    <w:rsid w:val="1FD80D90"/>
    <w:rsid w:val="26395903"/>
    <w:rsid w:val="263C591E"/>
    <w:rsid w:val="268160AE"/>
    <w:rsid w:val="28767692"/>
    <w:rsid w:val="29263420"/>
    <w:rsid w:val="2A614B6C"/>
    <w:rsid w:val="2AF7102C"/>
    <w:rsid w:val="2CB0669D"/>
    <w:rsid w:val="2D1C42C4"/>
    <w:rsid w:val="2D3C5903"/>
    <w:rsid w:val="2E4E27EC"/>
    <w:rsid w:val="337A0A4C"/>
    <w:rsid w:val="33DF5384"/>
    <w:rsid w:val="36F9612C"/>
    <w:rsid w:val="384B0C09"/>
    <w:rsid w:val="38916D7D"/>
    <w:rsid w:val="3A50336B"/>
    <w:rsid w:val="3AA5168A"/>
    <w:rsid w:val="3AC91D2B"/>
    <w:rsid w:val="3D0D6210"/>
    <w:rsid w:val="3D252EC5"/>
    <w:rsid w:val="3D784367"/>
    <w:rsid w:val="3DC96858"/>
    <w:rsid w:val="3DD05E38"/>
    <w:rsid w:val="3E976956"/>
    <w:rsid w:val="3F9B2167"/>
    <w:rsid w:val="3FEC586B"/>
    <w:rsid w:val="417E46EB"/>
    <w:rsid w:val="41D70480"/>
    <w:rsid w:val="41F06AA9"/>
    <w:rsid w:val="45207DD3"/>
    <w:rsid w:val="48115ADF"/>
    <w:rsid w:val="48DF6A32"/>
    <w:rsid w:val="4A405893"/>
    <w:rsid w:val="4BFD6CD5"/>
    <w:rsid w:val="4CDA6157"/>
    <w:rsid w:val="50ED316F"/>
    <w:rsid w:val="51AC22C1"/>
    <w:rsid w:val="52C0498A"/>
    <w:rsid w:val="54032DBD"/>
    <w:rsid w:val="54980393"/>
    <w:rsid w:val="56213038"/>
    <w:rsid w:val="56360CA9"/>
    <w:rsid w:val="573B736A"/>
    <w:rsid w:val="583B099E"/>
    <w:rsid w:val="58641320"/>
    <w:rsid w:val="58D976BD"/>
    <w:rsid w:val="5A744438"/>
    <w:rsid w:val="5DCC7805"/>
    <w:rsid w:val="5EBA426F"/>
    <w:rsid w:val="5FBF1411"/>
    <w:rsid w:val="6256605D"/>
    <w:rsid w:val="63482821"/>
    <w:rsid w:val="67FC0BCD"/>
    <w:rsid w:val="6B775FA3"/>
    <w:rsid w:val="6DE31800"/>
    <w:rsid w:val="6E0A6B18"/>
    <w:rsid w:val="6F8A7B24"/>
    <w:rsid w:val="6FB13C0E"/>
    <w:rsid w:val="70253343"/>
    <w:rsid w:val="71A632B8"/>
    <w:rsid w:val="74116287"/>
    <w:rsid w:val="749E42B4"/>
    <w:rsid w:val="7523711B"/>
    <w:rsid w:val="76693E31"/>
    <w:rsid w:val="77373AD8"/>
    <w:rsid w:val="7B65030F"/>
    <w:rsid w:val="7C8C03D0"/>
    <w:rsid w:val="7CFC1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3"/>
    <w:basedOn w:val="1"/>
    <w:next w:val="1"/>
    <w:link w:val="13"/>
    <w:autoRedefine/>
    <w:qFormat/>
    <w:uiPriority w:val="0"/>
    <w:pPr>
      <w:keepNext/>
      <w:keepLines/>
      <w:spacing w:before="260" w:after="260" w:line="416" w:lineRule="auto"/>
      <w:outlineLvl w:val="2"/>
    </w:pPr>
    <w:rPr>
      <w:b/>
      <w:bCs/>
      <w:sz w:val="32"/>
      <w:szCs w:val="32"/>
    </w:rPr>
  </w:style>
  <w:style w:type="paragraph" w:styleId="3">
    <w:name w:val="heading 4"/>
    <w:basedOn w:val="1"/>
    <w:next w:val="1"/>
    <w:link w:val="14"/>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link w:val="15"/>
    <w:autoRedefine/>
    <w:qFormat/>
    <w:uiPriority w:val="0"/>
    <w:pPr>
      <w:keepNext/>
      <w:keepLines/>
      <w:adjustRightInd/>
      <w:spacing w:before="240" w:after="64" w:line="320" w:lineRule="auto"/>
      <w:outlineLvl w:val="5"/>
    </w:pPr>
    <w:rPr>
      <w:rFonts w:ascii="Arial" w:hAnsi="Arial" w:eastAsia="黑体"/>
      <w:b/>
      <w:bCs/>
      <w:sz w:val="24"/>
      <w:szCs w:val="2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alloon Text"/>
    <w:basedOn w:val="1"/>
    <w:link w:val="32"/>
    <w:semiHidden/>
    <w:unhideWhenUsed/>
    <w:qFormat/>
    <w:uiPriority w:val="99"/>
    <w:pPr>
      <w:spacing w:line="240" w:lineRule="auto"/>
    </w:pPr>
    <w:rPr>
      <w:sz w:val="18"/>
      <w:szCs w:val="18"/>
    </w:rPr>
  </w:style>
  <w:style w:type="paragraph" w:styleId="7">
    <w:name w:val="footer"/>
    <w:basedOn w:val="1"/>
    <w:link w:val="22"/>
    <w:autoRedefine/>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link w:val="16"/>
    <w:qFormat/>
    <w:uiPriority w:val="0"/>
    <w:pPr>
      <w:spacing w:after="120" w:line="480" w:lineRule="auto"/>
    </w:pPr>
  </w:style>
  <w:style w:type="table" w:styleId="11">
    <w:name w:val="Table Grid"/>
    <w:basedOn w:val="10"/>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3 Char"/>
    <w:basedOn w:val="12"/>
    <w:link w:val="2"/>
    <w:autoRedefine/>
    <w:qFormat/>
    <w:uiPriority w:val="0"/>
    <w:rPr>
      <w:rFonts w:ascii="Calibri" w:hAnsi="Calibri" w:eastAsia="宋体" w:cs="Times New Roman"/>
      <w:b/>
      <w:bCs/>
      <w:sz w:val="32"/>
      <w:szCs w:val="32"/>
    </w:rPr>
  </w:style>
  <w:style w:type="character" w:customStyle="1" w:styleId="14">
    <w:name w:val="标题 4 Char"/>
    <w:basedOn w:val="12"/>
    <w:link w:val="3"/>
    <w:qFormat/>
    <w:uiPriority w:val="0"/>
    <w:rPr>
      <w:rFonts w:ascii="Arial" w:hAnsi="Arial" w:eastAsia="黑体" w:cs="Times New Roman"/>
      <w:b/>
      <w:bCs/>
      <w:sz w:val="28"/>
      <w:szCs w:val="28"/>
    </w:rPr>
  </w:style>
  <w:style w:type="character" w:customStyle="1" w:styleId="15">
    <w:name w:val="标题 6 Char"/>
    <w:basedOn w:val="12"/>
    <w:link w:val="4"/>
    <w:autoRedefine/>
    <w:qFormat/>
    <w:uiPriority w:val="0"/>
    <w:rPr>
      <w:rFonts w:ascii="Arial" w:hAnsi="Arial" w:eastAsia="黑体" w:cs="Times New Roman"/>
      <w:b/>
      <w:bCs/>
      <w:sz w:val="24"/>
      <w:szCs w:val="24"/>
    </w:rPr>
  </w:style>
  <w:style w:type="character" w:customStyle="1" w:styleId="16">
    <w:name w:val="正文文本 2 Char"/>
    <w:basedOn w:val="12"/>
    <w:link w:val="9"/>
    <w:qFormat/>
    <w:uiPriority w:val="0"/>
    <w:rPr>
      <w:rFonts w:ascii="Calibri" w:hAnsi="Calibri" w:eastAsia="宋体" w:cs="Times New Roman"/>
      <w:szCs w:val="21"/>
    </w:rPr>
  </w:style>
  <w:style w:type="paragraph" w:customStyle="1" w:styleId="1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18">
    <w:name w:val="标准文件_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character" w:customStyle="1" w:styleId="20">
    <w:name w:val="标准文件_段 Char"/>
    <w:link w:val="18"/>
    <w:autoRedefine/>
    <w:qFormat/>
    <w:uiPriority w:val="0"/>
    <w:rPr>
      <w:rFonts w:ascii="宋体" w:hAnsi="Times New Roman" w:eastAsia="宋体" w:cs="Times New Roman"/>
      <w:kern w:val="0"/>
      <w:szCs w:val="20"/>
    </w:rPr>
  </w:style>
  <w:style w:type="character" w:customStyle="1" w:styleId="21">
    <w:name w:val="页眉 Char"/>
    <w:basedOn w:val="12"/>
    <w:link w:val="8"/>
    <w:semiHidden/>
    <w:qFormat/>
    <w:uiPriority w:val="99"/>
    <w:rPr>
      <w:rFonts w:ascii="Calibri" w:hAnsi="Calibri" w:eastAsia="宋体" w:cs="Times New Roman"/>
      <w:sz w:val="18"/>
      <w:szCs w:val="18"/>
    </w:rPr>
  </w:style>
  <w:style w:type="character" w:customStyle="1" w:styleId="22">
    <w:name w:val="页脚 Char"/>
    <w:basedOn w:val="12"/>
    <w:link w:val="7"/>
    <w:semiHidden/>
    <w:qFormat/>
    <w:uiPriority w:val="99"/>
    <w:rPr>
      <w:rFonts w:ascii="Calibri" w:hAnsi="Calibri" w:eastAsia="宋体" w:cs="Times New Roman"/>
      <w:sz w:val="18"/>
      <w:szCs w:val="18"/>
    </w:rPr>
  </w:style>
  <w:style w:type="paragraph" w:customStyle="1" w:styleId="23">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封面文字"/>
    <w:autoRedefine/>
    <w:qFormat/>
    <w:uiPriority w:val="0"/>
    <w:pPr>
      <w:spacing w:before="320" w:after="320"/>
      <w:jc w:val="center"/>
    </w:pPr>
    <w:rPr>
      <w:rFonts w:ascii="Times New Roman" w:hAnsi="Times New Roman" w:eastAsia="宋体" w:cs="Times New Roman"/>
      <w:b/>
      <w:spacing w:val="80"/>
      <w:w w:val="150"/>
      <w:sz w:val="48"/>
      <w:lang w:val="en-US" w:eastAsia="zh-CN" w:bidi="ar-SA"/>
    </w:rPr>
  </w:style>
  <w:style w:type="paragraph" w:customStyle="1" w:styleId="25">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26">
    <w:name w:val="正文左对齐"/>
    <w:basedOn w:val="1"/>
    <w:qFormat/>
    <w:uiPriority w:val="0"/>
    <w:pPr>
      <w:widowControl/>
      <w:snapToGrid w:val="0"/>
      <w:spacing w:afterLines="50" w:line="320" w:lineRule="exact"/>
      <w:ind w:firstLine="480" w:firstLineChars="200"/>
      <w:jc w:val="left"/>
      <w:textAlignment w:val="baseline"/>
    </w:pPr>
    <w:rPr>
      <w:rFonts w:ascii="宋体" w:hAnsi="华文细黑" w:eastAsia="微软雅黑" w:cs="宋体"/>
      <w:kern w:val="0"/>
      <w:sz w:val="24"/>
      <w:szCs w:val="20"/>
    </w:rPr>
  </w:style>
  <w:style w:type="paragraph" w:customStyle="1" w:styleId="27">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29">
    <w:name w:val="段 Char"/>
    <w:basedOn w:val="12"/>
    <w:link w:val="27"/>
    <w:autoRedefine/>
    <w:qFormat/>
    <w:uiPriority w:val="0"/>
    <w:rPr>
      <w:rFonts w:ascii="宋体" w:hAnsi="Times New Roman" w:eastAsia="宋体" w:cs="Times New Roman"/>
      <w:kern w:val="0"/>
      <w:szCs w:val="20"/>
    </w:rPr>
  </w:style>
  <w:style w:type="paragraph" w:customStyle="1" w:styleId="30">
    <w:name w:val="文献分类号"/>
    <w:autoRedefine/>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1">
    <w:name w:val="发布部门"/>
    <w:next w:val="27"/>
    <w:autoRedefine/>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2">
    <w:name w:val="批注框文本 Char"/>
    <w:basedOn w:val="12"/>
    <w:link w:val="6"/>
    <w:semiHidden/>
    <w:qFormat/>
    <w:uiPriority w:val="99"/>
    <w:rPr>
      <w:rFonts w:ascii="Calibri" w:hAnsi="Calibri" w:eastAsia="宋体" w:cs="Times New Roman"/>
      <w:sz w:val="18"/>
      <w:szCs w:val="18"/>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1999</Words>
  <Characters>2502</Characters>
  <Lines>18</Lines>
  <Paragraphs>5</Paragraphs>
  <TotalTime>24</TotalTime>
  <ScaleCrop>false</ScaleCrop>
  <LinksUpToDate>false</LinksUpToDate>
  <CharactersWithSpaces>2640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2023-05-17T08:32:00Z</dcterms:created>
  <dc:creator>admin</dc:creator>
  <cp:lastModifiedBy>卢梦遥</cp:lastModifiedBy>
  <dcterms:modified xsi:type="dcterms:W3CDTF">2024-08-14T06:38:03Z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211B55045D164949BEE8F05EF5357ED4_13</vt:lpwstr>
  </property>
</Properties>
</file>