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D5D3F">
      <w:pPr>
        <w:widowControl/>
        <w:adjustRightInd/>
        <w:snapToGrid/>
        <w:spacing w:line="240" w:lineRule="auto"/>
        <w:ind w:firstLine="0" w:firstLineChars="0"/>
        <w:jc w:val="center"/>
        <w:rPr>
          <w:rFonts w:ascii="Times New Roman" w:eastAsia="黑体"/>
          <w:color w:val="000000"/>
          <w:sz w:val="30"/>
          <w:szCs w:val="30"/>
        </w:rPr>
      </w:pPr>
      <w:r>
        <w:rPr>
          <w:rFonts w:hint="eastAsia" w:eastAsia="黑体"/>
          <w:color w:val="000000"/>
          <w:sz w:val="30"/>
          <w:szCs w:val="30"/>
          <w:lang w:val="en-US" w:eastAsia="zh-CN"/>
        </w:rPr>
        <w:t>国家</w:t>
      </w:r>
      <w:r>
        <w:rPr>
          <w:rFonts w:eastAsia="黑体"/>
          <w:color w:val="000000"/>
          <w:sz w:val="30"/>
          <w:szCs w:val="30"/>
        </w:rPr>
        <w:t>标准《</w:t>
      </w:r>
      <w:r>
        <w:rPr>
          <w:rFonts w:hint="eastAsia" w:eastAsia="黑体"/>
          <w:color w:val="000000"/>
          <w:sz w:val="30"/>
          <w:szCs w:val="30"/>
          <w:lang w:val="en-US" w:eastAsia="zh-CN"/>
        </w:rPr>
        <w:t>氮化硅粉体中铁、钙、铝含量的测定电感耦合等离子体发射光谱法</w:t>
      </w:r>
      <w:r>
        <w:rPr>
          <w:rFonts w:eastAsia="黑体"/>
          <w:color w:val="000000"/>
          <w:sz w:val="30"/>
          <w:szCs w:val="30"/>
        </w:rPr>
        <w:t>》</w:t>
      </w:r>
      <w:r>
        <w:rPr>
          <w:rFonts w:ascii="Times New Roman" w:eastAsia="黑体"/>
          <w:color w:val="000000"/>
          <w:sz w:val="30"/>
          <w:szCs w:val="30"/>
        </w:rPr>
        <w:t>编制说明</w:t>
      </w:r>
      <w:r>
        <w:rPr>
          <w:rFonts w:hint="eastAsia" w:ascii="Times New Roman" w:eastAsia="黑体"/>
          <w:color w:val="000000"/>
          <w:sz w:val="30"/>
          <w:szCs w:val="30"/>
        </w:rPr>
        <w:t>（</w:t>
      </w:r>
      <w:r>
        <w:rPr>
          <w:rFonts w:hint="eastAsia" w:eastAsia="黑体"/>
          <w:color w:val="000000"/>
          <w:sz w:val="30"/>
          <w:szCs w:val="30"/>
          <w:lang w:val="en-US" w:eastAsia="zh-CN"/>
        </w:rPr>
        <w:t>讨论</w:t>
      </w:r>
      <w:r>
        <w:rPr>
          <w:rFonts w:hint="eastAsia" w:ascii="Times New Roman" w:eastAsia="黑体"/>
          <w:color w:val="000000"/>
          <w:sz w:val="30"/>
          <w:szCs w:val="30"/>
        </w:rPr>
        <w:t>稿）</w:t>
      </w:r>
    </w:p>
    <w:p w14:paraId="62FE066F">
      <w:pPr>
        <w:pStyle w:val="7"/>
        <w:spacing w:line="276" w:lineRule="auto"/>
        <w:ind w:firstLine="600"/>
        <w:jc w:val="center"/>
        <w:rPr>
          <w:rFonts w:ascii="Times New Roman" w:eastAsia="黑体"/>
          <w:color w:val="000000"/>
          <w:sz w:val="30"/>
          <w:szCs w:val="30"/>
        </w:rPr>
      </w:pPr>
    </w:p>
    <w:p w14:paraId="3FD9B484">
      <w:pPr>
        <w:pStyle w:val="2"/>
        <w:rPr>
          <w:color w:val="000000"/>
        </w:rPr>
      </w:pPr>
      <w:bookmarkStart w:id="0" w:name="_Toc497309492"/>
      <w:bookmarkStart w:id="1" w:name="_Toc511234377"/>
      <w:r>
        <w:rPr>
          <w:rFonts w:hint="eastAsia"/>
          <w:color w:val="000000"/>
        </w:rPr>
        <w:t>一、</w:t>
      </w:r>
      <w:r>
        <w:rPr>
          <w:color w:val="000000"/>
        </w:rPr>
        <w:t>工作简况</w:t>
      </w:r>
      <w:bookmarkEnd w:id="0"/>
      <w:bookmarkEnd w:id="1"/>
    </w:p>
    <w:p w14:paraId="26B4BB66">
      <w:pPr>
        <w:pStyle w:val="3"/>
        <w:rPr>
          <w:color w:val="000000"/>
        </w:rPr>
      </w:pPr>
      <w:bookmarkStart w:id="2" w:name="_Toc497309493"/>
      <w:bookmarkStart w:id="3" w:name="_Toc511234378"/>
      <w:bookmarkStart w:id="4" w:name="_Toc508985095"/>
      <w:r>
        <w:rPr>
          <w:rFonts w:hint="eastAsia"/>
          <w:color w:val="000000"/>
        </w:rPr>
        <w:t>1</w:t>
      </w:r>
      <w:r>
        <w:rPr>
          <w:color w:val="000000"/>
        </w:rPr>
        <w:t>.1 立项目的</w:t>
      </w:r>
      <w:bookmarkEnd w:id="2"/>
      <w:bookmarkEnd w:id="3"/>
      <w:bookmarkEnd w:id="4"/>
    </w:p>
    <w:p w14:paraId="5C9F1ABD">
      <w:pPr>
        <w:ind w:firstLine="420"/>
        <w:rPr>
          <w:rFonts w:hint="eastAsia"/>
          <w:color w:val="000000"/>
          <w:sz w:val="21"/>
          <w:szCs w:val="21"/>
        </w:rPr>
      </w:pPr>
      <w:r>
        <w:rPr>
          <w:rFonts w:hint="eastAsia"/>
          <w:color w:val="000000"/>
          <w:sz w:val="21"/>
          <w:szCs w:val="21"/>
        </w:rPr>
        <w:t>在《中国制造2025》中第三章战略任务和重点的第六条大力推动重点领域突破发展第九款：新材料中明确国家对新材料的发展需要及支持。以特种金属功能材料、高性能结构材料、功能性高分子材料、特种无机非金属材料和先进复合材料为发展重点，加快研发先进熔炼、凝固成型、气相沉积、型材加工、高效合成等新材料制备关键技术和装备，加强基础研究和体系建设，突破产业化制备瓶颈。积极发展军民共用特种新材料，加快技术双向转移转化，促进新材料产业军民融合发展。高度关注颠覆性新材料对传统材料的影响，做好超导材料、纳米材料、石墨烯、生物基材料等战略前沿材料提前布局和研制。加快基础材料升级换代。</w:t>
      </w:r>
    </w:p>
    <w:p w14:paraId="657D749D">
      <w:pPr>
        <w:ind w:firstLine="420"/>
        <w:rPr>
          <w:rFonts w:hint="eastAsia"/>
          <w:color w:val="000000"/>
          <w:sz w:val="21"/>
          <w:szCs w:val="21"/>
        </w:rPr>
      </w:pPr>
      <w:r>
        <w:rPr>
          <w:rFonts w:hint="eastAsia"/>
          <w:color w:val="000000"/>
          <w:sz w:val="21"/>
          <w:szCs w:val="21"/>
        </w:rPr>
        <w:t>氮化硅陶瓷</w:t>
      </w:r>
      <w:r>
        <w:rPr>
          <w:rFonts w:hint="eastAsia"/>
          <w:color w:val="000000"/>
          <w:sz w:val="21"/>
          <w:szCs w:val="21"/>
          <w:lang w:val="en-US" w:eastAsia="zh-CN"/>
        </w:rPr>
        <w:t>不但</w:t>
      </w:r>
      <w:r>
        <w:rPr>
          <w:rFonts w:hint="eastAsia"/>
          <w:color w:val="000000"/>
          <w:sz w:val="21"/>
          <w:szCs w:val="21"/>
        </w:rPr>
        <w:t>具有一般工程陶瓷材料的耐高温、高强度、高硬度、耐磨损等优良性能，</w:t>
      </w:r>
      <w:r>
        <w:rPr>
          <w:rFonts w:hint="eastAsia"/>
          <w:color w:val="000000"/>
          <w:sz w:val="21"/>
          <w:szCs w:val="21"/>
          <w:lang w:val="en-US" w:eastAsia="zh-CN"/>
        </w:rPr>
        <w:t>而且</w:t>
      </w:r>
      <w:r>
        <w:rPr>
          <w:rFonts w:hint="eastAsia"/>
          <w:color w:val="000000"/>
          <w:sz w:val="21"/>
          <w:szCs w:val="21"/>
        </w:rPr>
        <w:t>还具有远高于一般陶瓷材料的高韧性，以及良好的抗热冲击性能</w:t>
      </w:r>
      <w:r>
        <w:rPr>
          <w:rFonts w:hint="eastAsia"/>
          <w:color w:val="000000"/>
          <w:sz w:val="21"/>
          <w:szCs w:val="21"/>
          <w:lang w:eastAsia="zh-CN"/>
        </w:rPr>
        <w:t>。</w:t>
      </w:r>
      <w:r>
        <w:rPr>
          <w:rFonts w:hint="eastAsia"/>
          <w:color w:val="000000"/>
          <w:sz w:val="21"/>
          <w:szCs w:val="21"/>
        </w:rPr>
        <w:t>氮化硅陶瓷的优异性能使其在航空航天、电子信息、清洁能源等领域具有广阔的应用前景，特别地，氮化硅陶瓷还具有独特的自润滑性能，无需添加其他润滑剂，这使其广泛用在陶瓷轴承领域，是传统工业改造、新兴产业和高新技术领域中不可缺少的高端材料。</w:t>
      </w:r>
    </w:p>
    <w:p w14:paraId="73711759">
      <w:pPr>
        <w:ind w:firstLine="420"/>
        <w:rPr>
          <w:rFonts w:hint="eastAsia"/>
          <w:color w:val="000000"/>
          <w:sz w:val="21"/>
          <w:szCs w:val="21"/>
        </w:rPr>
      </w:pPr>
      <w:r>
        <w:rPr>
          <w:rFonts w:hint="eastAsia"/>
          <w:color w:val="000000"/>
          <w:sz w:val="21"/>
          <w:szCs w:val="21"/>
          <w:lang w:eastAsia="zh-CN"/>
        </w:rPr>
        <w:t>《战略性新兴产业分类（2018）》</w:t>
      </w:r>
      <w:r>
        <w:rPr>
          <w:rFonts w:hint="eastAsia"/>
          <w:color w:val="000000"/>
          <w:sz w:val="21"/>
          <w:szCs w:val="21"/>
          <w:lang w:val="en-US" w:eastAsia="zh-CN"/>
        </w:rPr>
        <w:t>中代码：</w:t>
      </w:r>
      <w:r>
        <w:rPr>
          <w:rFonts w:hint="eastAsia"/>
          <w:color w:val="000000"/>
          <w:sz w:val="21"/>
          <w:szCs w:val="21"/>
        </w:rPr>
        <w:t>3.4.2.1</w:t>
      </w:r>
      <w:r>
        <w:rPr>
          <w:rFonts w:hint="eastAsia"/>
          <w:color w:val="000000"/>
          <w:sz w:val="21"/>
          <w:szCs w:val="21"/>
          <w:lang w:eastAsia="zh-CN"/>
        </w:rPr>
        <w:t>；</w:t>
      </w:r>
      <w:r>
        <w:rPr>
          <w:rFonts w:hint="eastAsia"/>
          <w:color w:val="000000"/>
          <w:sz w:val="21"/>
          <w:szCs w:val="21"/>
          <w:lang w:val="en-US" w:eastAsia="zh-CN"/>
        </w:rPr>
        <w:t>名称：</w:t>
      </w:r>
      <w:r>
        <w:rPr>
          <w:rFonts w:hint="eastAsia"/>
          <w:color w:val="000000"/>
          <w:sz w:val="21"/>
          <w:szCs w:val="21"/>
        </w:rPr>
        <w:t>结构陶瓷制造</w:t>
      </w:r>
      <w:r>
        <w:rPr>
          <w:rFonts w:hint="eastAsia"/>
          <w:color w:val="000000"/>
          <w:sz w:val="21"/>
          <w:szCs w:val="21"/>
          <w:lang w:eastAsia="zh-CN"/>
        </w:rPr>
        <w:t>；国民经济行业代码：</w:t>
      </w:r>
      <w:r>
        <w:rPr>
          <w:rFonts w:hint="eastAsia"/>
          <w:color w:val="000000"/>
          <w:sz w:val="21"/>
          <w:szCs w:val="21"/>
        </w:rPr>
        <w:t>3073*</w:t>
      </w:r>
      <w:r>
        <w:rPr>
          <w:rFonts w:hint="eastAsia"/>
          <w:color w:val="000000"/>
          <w:sz w:val="21"/>
          <w:szCs w:val="21"/>
          <w:lang w:eastAsia="zh-CN"/>
        </w:rPr>
        <w:t>；国民经济行业名称：</w:t>
      </w:r>
      <w:r>
        <w:rPr>
          <w:rFonts w:hint="eastAsia"/>
          <w:color w:val="000000"/>
          <w:sz w:val="21"/>
          <w:szCs w:val="21"/>
        </w:rPr>
        <w:t>特种陶瓷制品制造</w:t>
      </w:r>
      <w:r>
        <w:rPr>
          <w:rFonts w:hint="eastAsia"/>
          <w:color w:val="000000"/>
          <w:sz w:val="21"/>
          <w:szCs w:val="21"/>
          <w:lang w:eastAsia="zh-CN"/>
        </w:rPr>
        <w:t>、</w:t>
      </w:r>
      <w:r>
        <w:rPr>
          <w:rFonts w:hint="eastAsia"/>
          <w:color w:val="000000"/>
          <w:sz w:val="21"/>
          <w:szCs w:val="21"/>
          <w:lang w:val="en-US" w:eastAsia="zh-CN"/>
        </w:rPr>
        <w:t>氮化硅陶瓷刀具。《重点新材料首批次应用示范指导目录（2019年版）序号173条，</w:t>
      </w:r>
      <w:r>
        <w:rPr>
          <w:rFonts w:hint="eastAsia"/>
          <w:color w:val="000000"/>
          <w:sz w:val="21"/>
          <w:szCs w:val="21"/>
        </w:rPr>
        <w:t>高性能氮化硅陶瓷材料</w:t>
      </w:r>
      <w:r>
        <w:rPr>
          <w:rFonts w:hint="eastAsia"/>
          <w:color w:val="000000"/>
          <w:sz w:val="21"/>
          <w:szCs w:val="21"/>
          <w:lang w:eastAsia="zh-CN"/>
        </w:rPr>
        <w:t>。</w:t>
      </w:r>
      <w:r>
        <w:rPr>
          <w:rFonts w:hint="eastAsia"/>
          <w:color w:val="000000"/>
          <w:sz w:val="21"/>
          <w:szCs w:val="21"/>
          <w:lang w:val="en-US" w:eastAsia="zh-CN"/>
        </w:rPr>
        <w:t>在国家新材料产业指导目录中有明确的指出氮化硅材料是战略新材料，是非金属新材发展的方向。</w:t>
      </w:r>
    </w:p>
    <w:p w14:paraId="6F965B97">
      <w:pPr>
        <w:ind w:firstLine="420"/>
        <w:rPr>
          <w:rFonts w:hint="eastAsia"/>
          <w:color w:val="000000"/>
          <w:sz w:val="21"/>
          <w:szCs w:val="21"/>
          <w:lang w:val="en-US" w:eastAsia="zh-CN"/>
        </w:rPr>
      </w:pPr>
      <w:r>
        <w:rPr>
          <w:rFonts w:hint="eastAsia"/>
          <w:color w:val="000000"/>
          <w:sz w:val="21"/>
          <w:szCs w:val="21"/>
          <w:lang w:eastAsia="zh-Hans"/>
        </w:rPr>
        <w:t>在多晶硅</w:t>
      </w:r>
      <w:r>
        <w:rPr>
          <w:rFonts w:hint="eastAsia"/>
          <w:color w:val="000000"/>
          <w:sz w:val="21"/>
          <w:szCs w:val="21"/>
          <w:lang w:val="en-US" w:eastAsia="zh-CN"/>
        </w:rPr>
        <w:t>还原炉</w:t>
      </w:r>
      <w:r>
        <w:rPr>
          <w:rFonts w:hint="eastAsia"/>
          <w:color w:val="000000"/>
          <w:sz w:val="21"/>
          <w:szCs w:val="21"/>
          <w:lang w:eastAsia="zh-Hans"/>
        </w:rPr>
        <w:t>的生产中电极</w:t>
      </w:r>
      <w:r>
        <w:rPr>
          <w:rFonts w:hint="eastAsia"/>
          <w:color w:val="000000"/>
          <w:sz w:val="21"/>
          <w:szCs w:val="21"/>
          <w:lang w:val="en-US" w:eastAsia="zh-CN"/>
        </w:rPr>
        <w:t>需要</w:t>
      </w:r>
      <w:r>
        <w:rPr>
          <w:rFonts w:hint="eastAsia"/>
          <w:color w:val="000000"/>
          <w:sz w:val="21"/>
          <w:szCs w:val="21"/>
          <w:lang w:eastAsia="zh-Hans"/>
        </w:rPr>
        <w:t>使用</w:t>
      </w:r>
      <w:r>
        <w:rPr>
          <w:rFonts w:hint="eastAsia"/>
          <w:color w:val="000000"/>
          <w:sz w:val="21"/>
          <w:szCs w:val="21"/>
          <w:lang w:val="en-US" w:eastAsia="zh-CN"/>
        </w:rPr>
        <w:t>具有</w:t>
      </w:r>
      <w:r>
        <w:rPr>
          <w:rFonts w:hint="eastAsia"/>
          <w:color w:val="000000"/>
          <w:sz w:val="21"/>
          <w:szCs w:val="21"/>
          <w:lang w:eastAsia="zh-Hans"/>
        </w:rPr>
        <w:t>绝缘</w:t>
      </w:r>
      <w:r>
        <w:rPr>
          <w:rFonts w:hint="eastAsia"/>
          <w:color w:val="000000"/>
          <w:sz w:val="21"/>
          <w:szCs w:val="21"/>
          <w:lang w:val="en-US" w:eastAsia="zh-CN"/>
        </w:rPr>
        <w:t>性能的</w:t>
      </w:r>
      <w:r>
        <w:rPr>
          <w:rFonts w:hint="eastAsia"/>
          <w:color w:val="000000"/>
          <w:sz w:val="21"/>
          <w:szCs w:val="21"/>
          <w:lang w:eastAsia="zh-Hans"/>
        </w:rPr>
        <w:t>瓷环</w:t>
      </w:r>
      <w:r>
        <w:rPr>
          <w:rFonts w:hint="eastAsia"/>
          <w:color w:val="000000"/>
          <w:sz w:val="21"/>
          <w:szCs w:val="21"/>
          <w:lang w:val="en-US" w:eastAsia="zh-CN"/>
        </w:rPr>
        <w:t>进行保护处理</w:t>
      </w:r>
      <w:r>
        <w:rPr>
          <w:rFonts w:hint="eastAsia"/>
          <w:color w:val="000000"/>
          <w:sz w:val="21"/>
          <w:szCs w:val="21"/>
          <w:lang w:eastAsia="zh-CN"/>
        </w:rPr>
        <w:t>，</w:t>
      </w:r>
      <w:r>
        <w:rPr>
          <w:rFonts w:hint="eastAsia"/>
          <w:color w:val="000000"/>
          <w:sz w:val="21"/>
          <w:szCs w:val="21"/>
          <w:lang w:val="en-US" w:eastAsia="zh-CN"/>
        </w:rPr>
        <w:t>通常称为电极保护套</w:t>
      </w:r>
      <w:r>
        <w:rPr>
          <w:rFonts w:hint="eastAsia"/>
          <w:color w:val="000000"/>
          <w:sz w:val="21"/>
          <w:szCs w:val="21"/>
          <w:lang w:eastAsia="zh-CN"/>
        </w:rPr>
        <w:t>，</w:t>
      </w:r>
      <w:r>
        <w:rPr>
          <w:rFonts w:hint="eastAsia"/>
          <w:color w:val="000000"/>
          <w:sz w:val="21"/>
          <w:szCs w:val="21"/>
          <w:lang w:val="en-US" w:eastAsia="zh-CN"/>
        </w:rPr>
        <w:t>以前的绝缘瓷环使用的是氧化铝材质</w:t>
      </w:r>
      <w:r>
        <w:rPr>
          <w:rFonts w:hint="eastAsia"/>
          <w:color w:val="000000"/>
          <w:sz w:val="21"/>
          <w:szCs w:val="21"/>
          <w:lang w:eastAsia="zh-Hans"/>
        </w:rPr>
        <w:t>绝缘瓷环</w:t>
      </w:r>
      <w:r>
        <w:rPr>
          <w:rFonts w:hint="eastAsia"/>
          <w:color w:val="000000"/>
          <w:sz w:val="21"/>
          <w:szCs w:val="21"/>
          <w:lang w:eastAsia="zh-CN"/>
        </w:rPr>
        <w:t>，</w:t>
      </w:r>
      <w:r>
        <w:rPr>
          <w:rFonts w:hint="eastAsia"/>
          <w:color w:val="000000"/>
          <w:sz w:val="21"/>
          <w:szCs w:val="21"/>
          <w:lang w:val="en-US" w:eastAsia="zh-CN"/>
        </w:rPr>
        <w:t>由于</w:t>
      </w:r>
      <w:r>
        <w:rPr>
          <w:rFonts w:hint="eastAsia"/>
          <w:color w:val="000000"/>
          <w:sz w:val="21"/>
          <w:szCs w:val="21"/>
          <w:lang w:eastAsia="zh-Hans"/>
        </w:rPr>
        <w:t>氧化铝</w:t>
      </w:r>
      <w:r>
        <w:rPr>
          <w:rFonts w:hint="eastAsia"/>
          <w:color w:val="000000"/>
          <w:sz w:val="21"/>
          <w:szCs w:val="21"/>
          <w:lang w:val="en-US" w:eastAsia="zh-CN"/>
        </w:rPr>
        <w:t>材料热震性较差，不能耐受骤冷骤热的工艺条件</w:t>
      </w:r>
      <w:r>
        <w:rPr>
          <w:rFonts w:hint="eastAsia"/>
          <w:color w:val="000000"/>
          <w:sz w:val="21"/>
          <w:szCs w:val="21"/>
          <w:lang w:eastAsia="zh-Hans"/>
        </w:rPr>
        <w:t>，</w:t>
      </w:r>
      <w:r>
        <w:rPr>
          <w:rFonts w:hint="eastAsia"/>
          <w:color w:val="000000"/>
          <w:sz w:val="21"/>
          <w:szCs w:val="21"/>
          <w:lang w:val="en-US" w:eastAsia="zh-CN"/>
        </w:rPr>
        <w:t>还原炉</w:t>
      </w:r>
      <w:r>
        <w:rPr>
          <w:rFonts w:hint="eastAsia"/>
          <w:color w:val="000000"/>
          <w:sz w:val="21"/>
          <w:szCs w:val="21"/>
          <w:lang w:eastAsia="zh-Hans"/>
        </w:rPr>
        <w:t>使用的损耗比较大，每炉次的瓷环损耗在</w:t>
      </w:r>
      <w:r>
        <w:rPr>
          <w:rFonts w:hint="eastAsia"/>
          <w:color w:val="000000"/>
          <w:sz w:val="21"/>
          <w:szCs w:val="21"/>
          <w:lang w:val="en-US" w:eastAsia="zh-CN"/>
        </w:rPr>
        <w:t>60%以上</w:t>
      </w:r>
      <w:r>
        <w:rPr>
          <w:rFonts w:hint="eastAsia"/>
          <w:color w:val="000000"/>
          <w:sz w:val="21"/>
          <w:szCs w:val="21"/>
          <w:lang w:eastAsia="zh-Hans"/>
        </w:rPr>
        <w:t>，改用氮化硅</w:t>
      </w:r>
      <w:r>
        <w:rPr>
          <w:rFonts w:hint="eastAsia"/>
          <w:color w:val="000000"/>
          <w:sz w:val="21"/>
          <w:szCs w:val="21"/>
          <w:lang w:val="en-US" w:eastAsia="zh-CN"/>
        </w:rPr>
        <w:t>绝缘环</w:t>
      </w:r>
      <w:r>
        <w:rPr>
          <w:rFonts w:hint="eastAsia"/>
          <w:color w:val="000000"/>
          <w:sz w:val="21"/>
          <w:szCs w:val="21"/>
          <w:lang w:eastAsia="zh-Hans"/>
        </w:rPr>
        <w:t>之后</w:t>
      </w:r>
      <w:r>
        <w:rPr>
          <w:rFonts w:hint="eastAsia"/>
          <w:color w:val="000000"/>
          <w:sz w:val="21"/>
          <w:szCs w:val="21"/>
          <w:lang w:eastAsia="zh-CN"/>
        </w:rPr>
        <w:t>，</w:t>
      </w:r>
      <w:r>
        <w:rPr>
          <w:rFonts w:hint="eastAsia"/>
          <w:color w:val="000000"/>
          <w:sz w:val="21"/>
          <w:szCs w:val="21"/>
          <w:lang w:eastAsia="zh-Hans"/>
        </w:rPr>
        <w:t>因氮化硅</w:t>
      </w:r>
      <w:r>
        <w:rPr>
          <w:rFonts w:hint="eastAsia"/>
          <w:color w:val="000000"/>
          <w:sz w:val="21"/>
          <w:szCs w:val="21"/>
          <w:lang w:val="en-US" w:eastAsia="zh-CN"/>
        </w:rPr>
        <w:t>优异</w:t>
      </w:r>
      <w:r>
        <w:rPr>
          <w:rFonts w:hint="eastAsia"/>
          <w:color w:val="000000"/>
          <w:sz w:val="21"/>
          <w:szCs w:val="21"/>
          <w:lang w:eastAsia="zh-Hans"/>
        </w:rPr>
        <w:t>的性能</w:t>
      </w:r>
      <w:r>
        <w:rPr>
          <w:rFonts w:hint="eastAsia"/>
          <w:color w:val="000000"/>
          <w:sz w:val="21"/>
          <w:szCs w:val="21"/>
          <w:lang w:val="en-US" w:eastAsia="zh-CN"/>
        </w:rPr>
        <w:t>致使</w:t>
      </w:r>
      <w:r>
        <w:rPr>
          <w:rFonts w:hint="eastAsia"/>
          <w:color w:val="000000"/>
          <w:sz w:val="21"/>
          <w:szCs w:val="21"/>
          <w:lang w:eastAsia="zh-Hans"/>
        </w:rPr>
        <w:t>其损耗</w:t>
      </w:r>
      <w:r>
        <w:rPr>
          <w:rFonts w:hint="eastAsia"/>
          <w:color w:val="000000"/>
          <w:sz w:val="21"/>
          <w:szCs w:val="21"/>
          <w:lang w:val="en-US" w:eastAsia="zh-CN"/>
        </w:rPr>
        <w:t>大幅降低</w:t>
      </w:r>
      <w:r>
        <w:rPr>
          <w:rFonts w:hint="eastAsia"/>
          <w:color w:val="000000"/>
          <w:sz w:val="21"/>
          <w:szCs w:val="21"/>
          <w:lang w:eastAsia="zh-CN"/>
        </w:rPr>
        <w:t>，</w:t>
      </w:r>
      <w:r>
        <w:rPr>
          <w:rFonts w:hint="eastAsia"/>
          <w:color w:val="000000"/>
          <w:sz w:val="21"/>
          <w:szCs w:val="21"/>
          <w:lang w:val="en-US" w:eastAsia="zh-CN"/>
        </w:rPr>
        <w:t>因为氮化硅瓷环</w:t>
      </w:r>
      <w:r>
        <w:rPr>
          <w:rFonts w:hint="eastAsia"/>
          <w:color w:val="000000"/>
          <w:sz w:val="21"/>
          <w:szCs w:val="21"/>
          <w:lang w:eastAsia="zh-Hans"/>
        </w:rPr>
        <w:t>绝缘性能更好，耐热性更好，强度高，使用周期更长</w:t>
      </w:r>
      <w:r>
        <w:rPr>
          <w:rFonts w:hint="eastAsia"/>
          <w:color w:val="000000"/>
          <w:sz w:val="21"/>
          <w:szCs w:val="21"/>
          <w:lang w:eastAsia="zh-CN"/>
        </w:rPr>
        <w:t>，</w:t>
      </w:r>
      <w:r>
        <w:rPr>
          <w:rFonts w:hint="eastAsia"/>
          <w:color w:val="000000"/>
          <w:sz w:val="21"/>
          <w:szCs w:val="21"/>
          <w:lang w:val="en-US" w:eastAsia="zh-CN"/>
        </w:rPr>
        <w:t>每一个绝缘瓷环的使用寿命在1-2年，大大降低了生产成本</w:t>
      </w:r>
      <w:r>
        <w:rPr>
          <w:rFonts w:hint="eastAsia"/>
          <w:color w:val="000000"/>
          <w:sz w:val="21"/>
          <w:szCs w:val="21"/>
          <w:lang w:eastAsia="zh-Hans"/>
        </w:rPr>
        <w:t>。目前几乎大多数的多晶硅厂家都已经改用氮化硅绝缘</w:t>
      </w:r>
      <w:r>
        <w:rPr>
          <w:rFonts w:hint="eastAsia"/>
          <w:color w:val="000000"/>
          <w:sz w:val="21"/>
          <w:szCs w:val="21"/>
          <w:lang w:val="en-US" w:eastAsia="zh-CN"/>
        </w:rPr>
        <w:t>瓷环</w:t>
      </w:r>
      <w:r>
        <w:rPr>
          <w:rFonts w:hint="eastAsia"/>
          <w:color w:val="000000"/>
          <w:sz w:val="21"/>
          <w:szCs w:val="21"/>
          <w:lang w:eastAsia="zh-Hans"/>
        </w:rPr>
        <w:t>。</w:t>
      </w:r>
      <w:r>
        <w:rPr>
          <w:rFonts w:hint="eastAsia"/>
          <w:color w:val="000000"/>
          <w:sz w:val="21"/>
          <w:szCs w:val="21"/>
          <w:lang w:val="en-US" w:eastAsia="zh-CN"/>
        </w:rPr>
        <w:t>在多晶硅生产中除了绝缘瓷环（电极保护套）之外，还使用耐高温、耐腐蚀、耐磨损的尾气回收管的气流罩。罩在尾气管上保护硅渣不落入尾气管，不会因为倒炉使得保护管损坏，如果是氧化铝陶瓷较脆，倒炉就会砸碎，如果是不锈钢因为和底盘之间有磨损，会引入金属杂质，所以使用氮化硅制品，发挥其强度高、耐磨损的优势。在多晶硅还原炉中部分底盘的进料喷嘴也使用氮化硅的材料，使用寿命长，对多晶硅的污染少。</w:t>
      </w:r>
    </w:p>
    <w:p w14:paraId="529B9BA1">
      <w:pPr>
        <w:ind w:firstLine="420"/>
        <w:rPr>
          <w:rFonts w:hint="default"/>
          <w:color w:val="000000"/>
          <w:sz w:val="21"/>
          <w:szCs w:val="21"/>
          <w:lang w:val="en-US" w:eastAsia="zh-CN"/>
        </w:rPr>
      </w:pPr>
      <w:bookmarkStart w:id="5" w:name="_Toc508985096"/>
      <w:bookmarkStart w:id="6" w:name="_Toc497309494"/>
      <w:bookmarkStart w:id="7" w:name="_Toc511234379"/>
      <w:r>
        <w:rPr>
          <w:rFonts w:hint="eastAsia"/>
          <w:color w:val="000000"/>
          <w:sz w:val="21"/>
          <w:szCs w:val="21"/>
          <w:lang w:val="en-US" w:eastAsia="zh-CN"/>
        </w:rPr>
        <w:t>氮化硅粉体材料是制作氮化硅产品的基础原料，特别是目前，多晶硅行业还原工序，多采用性能优秀的氮化硅期间代替原有的陶瓷器件，不但降低了成本，更是提高了产品品质。在多晶硅行业，对生产过程器件的杂质析出尤为关注，因此，对于氮化硅产品的杂质含量的测定就显得非常重要 。</w:t>
      </w:r>
    </w:p>
    <w:p w14:paraId="53EA629D">
      <w:pPr>
        <w:ind w:firstLine="420"/>
        <w:rPr>
          <w:rFonts w:hint="eastAsia"/>
          <w:color w:val="000000"/>
          <w:sz w:val="21"/>
          <w:szCs w:val="21"/>
          <w:lang w:val="en-US" w:eastAsia="zh-CN"/>
        </w:rPr>
      </w:pPr>
      <w:r>
        <w:rPr>
          <w:rFonts w:hint="eastAsia"/>
          <w:color w:val="000000"/>
          <w:sz w:val="21"/>
          <w:szCs w:val="21"/>
          <w:lang w:val="en-US" w:eastAsia="zh-Hans"/>
        </w:rPr>
        <w:t>对于此标准的制定，对于氮化硅陶瓷材料在行业的规范应用和推广有很大的作用。目前在国内没有相关的标准，规范行业制造和应用。</w:t>
      </w:r>
      <w:r>
        <w:rPr>
          <w:rFonts w:hint="eastAsia"/>
          <w:color w:val="000000"/>
          <w:sz w:val="21"/>
          <w:szCs w:val="21"/>
          <w:lang w:val="en-US" w:eastAsia="zh-CN"/>
        </w:rPr>
        <w:t>目前国内没有氮化硅杂质ICP-OES方法的标准，因此制定此标准有利于行业规范和市场交易。</w:t>
      </w:r>
    </w:p>
    <w:p w14:paraId="7BC6DD5F">
      <w:pPr>
        <w:pStyle w:val="3"/>
        <w:rPr>
          <w:color w:val="000000"/>
        </w:rPr>
      </w:pPr>
      <w:r>
        <w:rPr>
          <w:color w:val="000000"/>
        </w:rPr>
        <w:t>1.2 任务来源</w:t>
      </w:r>
      <w:bookmarkEnd w:id="5"/>
      <w:bookmarkEnd w:id="6"/>
      <w:bookmarkEnd w:id="7"/>
    </w:p>
    <w:p w14:paraId="5BB806F8">
      <w:pPr>
        <w:pStyle w:val="7"/>
        <w:spacing w:line="360" w:lineRule="auto"/>
        <w:ind w:firstLine="420"/>
        <w:contextualSpacing/>
        <w:rPr>
          <w:rFonts w:ascii="Times New Roman" w:hAnsi="Times New Roman"/>
          <w:color w:val="000000"/>
          <w:szCs w:val="24"/>
          <w:highlight w:val="none"/>
        </w:rPr>
      </w:pPr>
      <w:bookmarkStart w:id="8" w:name="_Toc511234380"/>
      <w:bookmarkStart w:id="9" w:name="_Toc497309497"/>
      <w:bookmarkStart w:id="10" w:name="_Toc508985097"/>
      <w:r>
        <w:rPr>
          <w:rFonts w:ascii="Times New Roman" w:hAnsi="Times New Roman"/>
          <w:color w:val="000000"/>
          <w:szCs w:val="24"/>
          <w:highlight w:val="none"/>
        </w:rPr>
        <w:t>根据《</w:t>
      </w:r>
      <w:r>
        <w:rPr>
          <w:rFonts w:hint="eastAsia" w:ascii="Times New Roman" w:hAnsi="Times New Roman"/>
          <w:color w:val="000000"/>
          <w:szCs w:val="24"/>
          <w:highlight w:val="none"/>
        </w:rPr>
        <w:t>关于召开半导体材料标准项目论证会暨标准制修订工作会议的通知</w:t>
      </w:r>
      <w:r>
        <w:rPr>
          <w:rFonts w:ascii="Times New Roman" w:hAnsi="Times New Roman"/>
          <w:color w:val="000000"/>
          <w:szCs w:val="24"/>
          <w:highlight w:val="none"/>
        </w:rPr>
        <w:t>》（</w:t>
      </w:r>
      <w:r>
        <w:rPr>
          <w:rFonts w:hint="eastAsia" w:ascii="Times New Roman" w:hAnsi="Times New Roman"/>
          <w:color w:val="000000"/>
          <w:szCs w:val="24"/>
          <w:highlight w:val="none"/>
          <w:lang w:val="en-US" w:eastAsia="zh-CN"/>
        </w:rPr>
        <w:t>半材标委</w:t>
      </w:r>
      <w:r>
        <w:rPr>
          <w:rFonts w:ascii="Times New Roman" w:hAnsi="Times New Roman"/>
          <w:color w:val="000000"/>
          <w:szCs w:val="24"/>
          <w:highlight w:val="none"/>
        </w:rPr>
        <w:t>[20</w:t>
      </w:r>
      <w:r>
        <w:rPr>
          <w:rFonts w:hint="eastAsia" w:ascii="Times New Roman" w:hAnsi="Times New Roman"/>
          <w:color w:val="000000"/>
          <w:szCs w:val="24"/>
          <w:highlight w:val="none"/>
          <w:lang w:val="en-US" w:eastAsia="zh-CN"/>
        </w:rPr>
        <w:t>24</w:t>
      </w:r>
      <w:r>
        <w:rPr>
          <w:rFonts w:ascii="Times New Roman" w:hAnsi="Times New Roman"/>
          <w:color w:val="000000"/>
          <w:szCs w:val="24"/>
          <w:highlight w:val="none"/>
        </w:rPr>
        <w:t>]</w:t>
      </w:r>
      <w:r>
        <w:rPr>
          <w:rFonts w:hint="eastAsia" w:ascii="Times New Roman" w:hAnsi="Times New Roman"/>
          <w:color w:val="000000"/>
          <w:szCs w:val="24"/>
          <w:highlight w:val="none"/>
          <w:lang w:val="en-US" w:eastAsia="zh-CN"/>
        </w:rPr>
        <w:t>1</w:t>
      </w:r>
      <w:r>
        <w:rPr>
          <w:rFonts w:ascii="Times New Roman" w:hAnsi="Times New Roman"/>
          <w:color w:val="000000"/>
          <w:szCs w:val="24"/>
          <w:highlight w:val="none"/>
        </w:rPr>
        <w:t>号）的要求，《</w:t>
      </w:r>
      <w:r>
        <w:rPr>
          <w:rFonts w:hint="eastAsia" w:ascii="Times New Roman" w:hAnsi="Times New Roman"/>
          <w:color w:val="000000"/>
          <w:szCs w:val="24"/>
          <w:highlight w:val="none"/>
          <w:lang w:val="en-US" w:eastAsia="zh-CN"/>
        </w:rPr>
        <w:t>氮化硅粉体中铁、钙、铝含量的测定电感耦合等离子体发射光谱法</w:t>
      </w:r>
      <w:r>
        <w:rPr>
          <w:rFonts w:ascii="Times New Roman" w:hAnsi="Times New Roman"/>
          <w:color w:val="000000"/>
          <w:szCs w:val="24"/>
          <w:highlight w:val="none"/>
        </w:rPr>
        <w:t>》</w:t>
      </w:r>
      <w:r>
        <w:rPr>
          <w:rFonts w:hint="eastAsia" w:ascii="Times New Roman" w:hAnsi="Times New Roman"/>
          <w:color w:val="000000"/>
          <w:szCs w:val="24"/>
          <w:highlight w:val="none"/>
          <w:lang w:val="en-US" w:eastAsia="zh-CN"/>
        </w:rPr>
        <w:t>新特能源股份</w:t>
      </w:r>
      <w:r>
        <w:rPr>
          <w:rFonts w:ascii="Times New Roman" w:hAnsi="Times New Roman"/>
          <w:color w:val="000000"/>
          <w:szCs w:val="24"/>
          <w:highlight w:val="none"/>
        </w:rPr>
        <w:t>有限公司牵头起草，由全国有色金属标准化技术委员会、全国半导体设备和材料标准化技术委员会材料分技术委员会归口，全国半导体设备和材料标准化技术委员会材料分技术委员会负责组织。</w:t>
      </w:r>
    </w:p>
    <w:p w14:paraId="3403337A">
      <w:pPr>
        <w:pStyle w:val="3"/>
        <w:rPr>
          <w:color w:val="000000"/>
        </w:rPr>
      </w:pPr>
      <w:r>
        <w:rPr>
          <w:color w:val="000000"/>
        </w:rPr>
        <w:t>1.3 项目编制组单位简况</w:t>
      </w:r>
      <w:bookmarkEnd w:id="8"/>
      <w:bookmarkEnd w:id="9"/>
      <w:bookmarkEnd w:id="10"/>
    </w:p>
    <w:p w14:paraId="54640AA3">
      <w:pPr>
        <w:ind w:left="0" w:leftChars="0" w:firstLine="0" w:firstLineChars="0"/>
        <w:rPr>
          <w:rFonts w:hint="default"/>
          <w:color w:val="000000"/>
          <w:lang w:val="en-US" w:eastAsia="zh-CN"/>
        </w:rPr>
      </w:pPr>
      <w:r>
        <w:rPr>
          <w:rFonts w:hint="eastAsia"/>
          <w:color w:val="000000"/>
          <w:lang w:val="en-US" w:eastAsia="zh-CN"/>
        </w:rPr>
        <w:t>1.3.1新疆新特新能材料检测中心有限公司</w:t>
      </w:r>
    </w:p>
    <w:p w14:paraId="62166D99">
      <w:pPr>
        <w:ind w:left="0" w:leftChars="0" w:firstLine="420" w:firstLineChars="200"/>
        <w:rPr>
          <w:rFonts w:hint="eastAsia"/>
          <w:color w:val="000000"/>
          <w:lang w:val="en-US" w:eastAsia="zh-CN"/>
        </w:rPr>
      </w:pPr>
      <w:r>
        <w:rPr>
          <w:rFonts w:hint="eastAsia"/>
          <w:color w:val="000000"/>
          <w:lang w:val="en-US" w:eastAsia="zh-CN"/>
        </w:rPr>
        <w:t>新疆新特新能材料检测中心有限公司实验室成立于2008年，2013年独立注册运营。是西北地区唯一的硅基材料国家认可的检验检测机构。新特新能检测公司依托特变电工国家级企业技术中心和博士后科研工作站，以光伏产品研发、半导体材料科学研究为发展方向，检测能力行业领先的检测机构。公司已经建立“高纯硅材料工程技术研究中心”、“硅材料工程研究中心”等核心技术研发机构，荣获“自治区中小企业公共服务示范平台”，实验室通过了CMA计量认证和CNAS资质认可，属于国家高新技术企业，国家新材料测试评价服务平台，乌鲁木齐创新型试点企业、乌鲁木齐科技信用等级B+企业。</w:t>
      </w:r>
    </w:p>
    <w:p w14:paraId="6D21BDB0">
      <w:pPr>
        <w:ind w:left="0" w:leftChars="0" w:firstLine="0" w:firstLineChars="0"/>
        <w:rPr>
          <w:rFonts w:hint="default"/>
          <w:color w:val="000000"/>
          <w:lang w:val="en-US" w:eastAsia="zh-CN"/>
        </w:rPr>
      </w:pPr>
      <w:r>
        <w:rPr>
          <w:rFonts w:hint="eastAsia"/>
          <w:color w:val="000000"/>
          <w:lang w:val="en-US" w:eastAsia="zh-CN"/>
        </w:rPr>
        <w:t xml:space="preserve">    公司具有丰富的实验资源，实验室有效建筑面积为6340m2，其汇总十万级恒温空调间占4784m2，高洁净千级间占地756m2，无菌室12m2，百级超高净试验台4个。本实验室仪器配置ICP-MS电感耦合等离子质谱仪、原子吸收光谱仪、低温红外、气相色谱、气质联用、离子色谱、液烟气测汞仪、原子荧光等检测仪器设备，共计630台（套），设备及配套设施投资已达1.4亿元，超洁净的环境、高尖端的设备为无机痕量分析、光伏材料分析奠定了基础。</w:t>
      </w:r>
    </w:p>
    <w:p w14:paraId="4507B04F">
      <w:pPr>
        <w:ind w:left="0" w:leftChars="0" w:firstLine="0" w:firstLineChars="0"/>
        <w:rPr>
          <w:rFonts w:hint="default"/>
          <w:color w:val="000000"/>
          <w:lang w:val="en-US" w:eastAsia="zh-CN"/>
        </w:rPr>
      </w:pPr>
      <w:r>
        <w:rPr>
          <w:rFonts w:hint="eastAsia"/>
          <w:color w:val="000000"/>
          <w:lang w:val="en-US" w:eastAsia="zh-CN"/>
        </w:rPr>
        <w:t>1.3.2新特能源股份有限公司</w:t>
      </w:r>
    </w:p>
    <w:p w14:paraId="33111215">
      <w:pPr>
        <w:ind w:firstLine="420"/>
        <w:rPr>
          <w:color w:val="000000"/>
        </w:rPr>
      </w:pPr>
      <w:r>
        <w:rPr>
          <w:rFonts w:hint="eastAsia"/>
          <w:color w:val="000000"/>
        </w:rPr>
        <w:t>在氮化硅领域，公司投资8000万元建设年产100吨氮化硅粉和100000件氮化硅陶瓷环的生产线。氮化硅产品主要应用于轴承、冶金、化工、能源、环保、航空航天和国防军事及新能源汽车逆变器等新能源及新材料领域。</w:t>
      </w:r>
    </w:p>
    <w:p w14:paraId="2E1640A6">
      <w:pPr>
        <w:ind w:firstLine="420"/>
        <w:rPr>
          <w:color w:val="000000"/>
        </w:rPr>
      </w:pPr>
      <w:r>
        <w:rPr>
          <w:rFonts w:hint="eastAsia"/>
          <w:color w:val="000000"/>
        </w:rPr>
        <w:t>通过自主研发，形成技术专利</w:t>
      </w:r>
      <w:r>
        <w:rPr>
          <w:rFonts w:hint="eastAsia"/>
          <w:color w:val="000000"/>
          <w:lang w:val="en-US" w:eastAsia="zh-CN"/>
        </w:rPr>
        <w:t>30</w:t>
      </w:r>
      <w:r>
        <w:rPr>
          <w:rFonts w:hint="eastAsia"/>
          <w:color w:val="000000"/>
        </w:rPr>
        <w:t>项，其中发明专利1</w:t>
      </w:r>
      <w:r>
        <w:rPr>
          <w:rFonts w:hint="eastAsia"/>
          <w:color w:val="000000"/>
          <w:lang w:val="en-US" w:eastAsia="zh-CN"/>
        </w:rPr>
        <w:t>8</w:t>
      </w:r>
      <w:r>
        <w:rPr>
          <w:rFonts w:hint="eastAsia"/>
          <w:color w:val="000000"/>
        </w:rPr>
        <w:t>项，实用新型专利</w:t>
      </w:r>
      <w:r>
        <w:rPr>
          <w:rFonts w:hint="eastAsia"/>
          <w:color w:val="000000"/>
          <w:lang w:val="en-US" w:eastAsia="zh-CN"/>
        </w:rPr>
        <w:t>12</w:t>
      </w:r>
      <w:r>
        <w:rPr>
          <w:rFonts w:hint="eastAsia"/>
          <w:color w:val="000000"/>
        </w:rPr>
        <w:t>项。在国内，通过与中科院</w:t>
      </w:r>
      <w:r>
        <w:rPr>
          <w:rFonts w:hint="eastAsia"/>
          <w:color w:val="000000"/>
          <w:lang w:val="en-US" w:eastAsia="zh-CN"/>
        </w:rPr>
        <w:t>理化所</w:t>
      </w:r>
      <w:r>
        <w:rPr>
          <w:rFonts w:hint="eastAsia"/>
          <w:color w:val="000000"/>
        </w:rPr>
        <w:t>、</w:t>
      </w:r>
      <w:r>
        <w:rPr>
          <w:rFonts w:hint="eastAsia"/>
          <w:color w:val="000000"/>
          <w:lang w:val="en-US" w:eastAsia="zh-CN"/>
        </w:rPr>
        <w:t>天津大学、</w:t>
      </w:r>
      <w:r>
        <w:rPr>
          <w:rFonts w:hint="eastAsia"/>
          <w:color w:val="000000"/>
        </w:rPr>
        <w:t>南昌大学、上硅所</w:t>
      </w:r>
      <w:r>
        <w:rPr>
          <w:rFonts w:hint="eastAsia"/>
          <w:color w:val="000000"/>
          <w:lang w:eastAsia="zh-CN"/>
        </w:rPr>
        <w:t>、</w:t>
      </w:r>
      <w:r>
        <w:rPr>
          <w:rFonts w:hint="eastAsia"/>
          <w:color w:val="000000"/>
          <w:lang w:val="en-US" w:eastAsia="zh-CN"/>
        </w:rPr>
        <w:t>华东理工</w:t>
      </w:r>
      <w:r>
        <w:rPr>
          <w:rFonts w:hint="eastAsia"/>
          <w:color w:val="000000"/>
        </w:rPr>
        <w:t>等科研院所进行产学研合作，在国外，聘任美国、日本的外籍专家，进行新产品的研发；多项产品填补了国内空白，在氮化硅陶瓷材料研究、开发及应用方面居国内领先水平。</w:t>
      </w:r>
    </w:p>
    <w:p w14:paraId="4A03F70E">
      <w:pPr>
        <w:pStyle w:val="3"/>
        <w:rPr>
          <w:color w:val="000000"/>
        </w:rPr>
      </w:pPr>
      <w:bookmarkStart w:id="11" w:name="_Toc511234384"/>
      <w:r>
        <w:rPr>
          <w:rFonts w:hint="eastAsia"/>
          <w:color w:val="000000"/>
        </w:rPr>
        <w:t>1</w:t>
      </w:r>
      <w:r>
        <w:rPr>
          <w:color w:val="000000"/>
        </w:rPr>
        <w:t xml:space="preserve">.4 </w:t>
      </w:r>
      <w:r>
        <w:rPr>
          <w:rFonts w:hint="eastAsia"/>
          <w:color w:val="000000"/>
        </w:rPr>
        <w:t>工作过程</w:t>
      </w:r>
      <w:bookmarkEnd w:id="11"/>
    </w:p>
    <w:p w14:paraId="30CAFE65">
      <w:pPr>
        <w:ind w:left="0" w:leftChars="0" w:firstLine="0" w:firstLineChars="0"/>
        <w:rPr>
          <w:rFonts w:hint="eastAsia" w:eastAsia="宋体"/>
          <w:color w:val="000000"/>
          <w:lang w:val="en-US" w:eastAsia="zh-CN"/>
        </w:rPr>
      </w:pPr>
      <w:r>
        <w:rPr>
          <w:rFonts w:hint="eastAsia"/>
          <w:color w:val="000000"/>
          <w:lang w:val="en-US" w:eastAsia="zh-CN"/>
        </w:rPr>
        <w:t>1.4.1起草阶段</w:t>
      </w:r>
    </w:p>
    <w:p w14:paraId="687D4481">
      <w:pPr>
        <w:ind w:firstLine="420"/>
        <w:rPr>
          <w:rFonts w:hint="eastAsia"/>
          <w:color w:val="000000"/>
        </w:rPr>
      </w:pPr>
      <w:r>
        <w:rPr>
          <w:rFonts w:hint="eastAsia"/>
          <w:color w:val="000000"/>
        </w:rPr>
        <w:t>标准起草单位和参与单位在接到中国有色金属工业协会下达的项目任务后，成立了专门的《</w:t>
      </w:r>
      <w:r>
        <w:rPr>
          <w:rFonts w:hint="eastAsia"/>
          <w:color w:val="000000"/>
          <w:lang w:val="en-US" w:eastAsia="zh-CN"/>
        </w:rPr>
        <w:t>氮化硅粉体中铁、钙、铝含量的测定电感耦合等离子体发射光谱法</w:t>
      </w:r>
      <w:r>
        <w:rPr>
          <w:rFonts w:hint="eastAsia"/>
          <w:color w:val="000000"/>
        </w:rPr>
        <w:t>》编制组，其中包括领导组、技术组和专家组，并制定了相关工作计划。根据工作计划进度安排，标准编制组收集查阅了国内外相关政策、标准、文献，认真学习编制原则和需要注意的内容。编制组对我国氮化硅企业生产现状进行调研，调研方式主要有：资料调研、网上调研等。在调研工作的基础上，经逐步修改完善，形成《</w:t>
      </w:r>
      <w:r>
        <w:rPr>
          <w:rFonts w:hint="eastAsia"/>
          <w:color w:val="000000"/>
          <w:lang w:val="en-US" w:eastAsia="zh-CN"/>
        </w:rPr>
        <w:t>氮化硅粉体中铁、钙、铝含量的测定电感耦合等离子体发射光谱法</w:t>
      </w:r>
      <w:r>
        <w:rPr>
          <w:rFonts w:hint="eastAsia"/>
          <w:color w:val="000000"/>
        </w:rPr>
        <w:t>》讨论稿。</w:t>
      </w:r>
    </w:p>
    <w:p w14:paraId="4C0A2066">
      <w:pPr>
        <w:pStyle w:val="2"/>
        <w:rPr>
          <w:color w:val="000000"/>
        </w:rPr>
      </w:pPr>
      <w:bookmarkStart w:id="12" w:name="_Toc511234385"/>
      <w:bookmarkStart w:id="13" w:name="_Toc497309525"/>
      <w:r>
        <w:rPr>
          <w:rFonts w:hint="eastAsia"/>
          <w:color w:val="000000"/>
        </w:rPr>
        <w:t>二、</w:t>
      </w:r>
      <w:r>
        <w:rPr>
          <w:color w:val="000000"/>
        </w:rPr>
        <w:t>标准编制原则和确定标准主要内容</w:t>
      </w:r>
      <w:bookmarkEnd w:id="12"/>
      <w:bookmarkEnd w:id="13"/>
    </w:p>
    <w:p w14:paraId="668DD55D">
      <w:pPr>
        <w:pStyle w:val="3"/>
        <w:rPr>
          <w:rFonts w:hint="eastAsia" w:hAnsi="宋体"/>
          <w:b/>
          <w:color w:val="000000"/>
          <w:sz w:val="21"/>
          <w:szCs w:val="21"/>
        </w:rPr>
      </w:pPr>
      <w:bookmarkStart w:id="14" w:name="_Toc508985102"/>
      <w:bookmarkStart w:id="15" w:name="_Toc511234386"/>
      <w:bookmarkStart w:id="16" w:name="_Toc497309526"/>
      <w:r>
        <w:rPr>
          <w:rFonts w:hint="eastAsia"/>
          <w:color w:val="000000"/>
        </w:rPr>
        <w:t>2</w:t>
      </w:r>
      <w:r>
        <w:rPr>
          <w:color w:val="000000"/>
        </w:rPr>
        <w:t>.1编制原则</w:t>
      </w:r>
      <w:bookmarkEnd w:id="14"/>
      <w:bookmarkEnd w:id="15"/>
      <w:bookmarkEnd w:id="16"/>
      <w:bookmarkStart w:id="17" w:name="_Toc497309549"/>
      <w:bookmarkStart w:id="18" w:name="_Toc511234398"/>
    </w:p>
    <w:p w14:paraId="08FD4431">
      <w:pPr>
        <w:pStyle w:val="3"/>
        <w:keepNext/>
        <w:keepLines/>
        <w:pageBreakBefore w:val="0"/>
        <w:widowControl w:val="0"/>
        <w:kinsoku/>
        <w:wordWrap/>
        <w:overflowPunct/>
        <w:topLinePunct w:val="0"/>
        <w:autoSpaceDE/>
        <w:autoSpaceDN/>
        <w:bidi w:val="0"/>
        <w:adjustRightInd w:val="0"/>
        <w:snapToGrid w:val="0"/>
        <w:ind w:firstLine="420" w:firstLineChars="200"/>
        <w:textAlignment w:val="auto"/>
        <w:rPr>
          <w:rFonts w:hint="eastAsia" w:ascii="Times New Roman" w:hAnsi="Times New Roman" w:eastAsia="宋体" w:cs="Times New Roman"/>
          <w:bCs w:val="0"/>
          <w:color w:val="000000"/>
          <w:kern w:val="2"/>
          <w:sz w:val="21"/>
          <w:szCs w:val="24"/>
          <w:lang w:val="en-US" w:eastAsia="zh-CN" w:bidi="ar-SA"/>
        </w:rPr>
      </w:pPr>
      <w:r>
        <w:rPr>
          <w:rFonts w:hint="eastAsia" w:ascii="Times New Roman" w:hAnsi="Times New Roman" w:eastAsia="宋体" w:cs="Times New Roman"/>
          <w:bCs w:val="0"/>
          <w:color w:val="000000"/>
          <w:kern w:val="2"/>
          <w:sz w:val="21"/>
          <w:szCs w:val="24"/>
          <w:lang w:val="en-US" w:eastAsia="zh-CN" w:bidi="ar-SA"/>
        </w:rPr>
        <w:t>本标准按照GB/T 1.1-2020《标准化工作导则 第1部分：标准的结构和编写的要求进行编写。标准中简述了方法原理，确定了适用范围、等级划分及其杂质含量要求、检验规则、包装、运输、贮存等技术内容。</w:t>
      </w:r>
    </w:p>
    <w:p w14:paraId="6E54CA89">
      <w:pPr>
        <w:pStyle w:val="3"/>
        <w:rPr>
          <w:rFonts w:hint="eastAsia" w:ascii="Arial" w:hAnsi="Arial"/>
          <w:color w:val="000000"/>
        </w:rPr>
      </w:pPr>
      <w:r>
        <w:rPr>
          <w:rFonts w:hint="eastAsia" w:ascii="Arial" w:hAnsi="Arial"/>
          <w:color w:val="000000"/>
          <w:lang w:val="en-US" w:eastAsia="zh-CN"/>
        </w:rPr>
        <w:t>2.2</w:t>
      </w:r>
      <w:r>
        <w:rPr>
          <w:rFonts w:hint="eastAsia" w:ascii="Arial" w:hAnsi="Arial"/>
          <w:color w:val="000000"/>
        </w:rPr>
        <w:t>标准主要内容说明</w:t>
      </w:r>
    </w:p>
    <w:p w14:paraId="4A7FCC07">
      <w:pPr>
        <w:numPr>
          <w:ilvl w:val="0"/>
          <w:numId w:val="0"/>
        </w:numPr>
        <w:snapToGrid w:val="0"/>
        <w:spacing w:line="360" w:lineRule="auto"/>
        <w:ind w:left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根据目前市场销售及相关厂家的合同指标进行确认，得出下列指标要求。</w:t>
      </w:r>
    </w:p>
    <w:p w14:paraId="1D7C8CC3">
      <w:pPr>
        <w:pStyle w:val="5"/>
        <w:keepNext w:val="0"/>
        <w:keepLines w:val="0"/>
        <w:pageBreakBefore w:val="0"/>
        <w:widowControl/>
        <w:numPr>
          <w:ilvl w:val="0"/>
          <w:numId w:val="0"/>
        </w:numPr>
        <w:kinsoku/>
        <w:wordWrap/>
        <w:overflowPunct/>
        <w:topLinePunct w:val="0"/>
        <w:bidi w:val="0"/>
        <w:adjustRightInd/>
        <w:snapToGrid/>
        <w:spacing w:before="156" w:after="156" w:line="300" w:lineRule="exact"/>
        <w:textAlignment w:val="auto"/>
        <w:rPr>
          <w:color w:val="000000"/>
        </w:rPr>
      </w:pPr>
      <w:r>
        <w:rPr>
          <w:rFonts w:hint="eastAsia"/>
          <w:color w:val="000000"/>
          <w:lang w:val="en-US" w:eastAsia="zh-CN"/>
        </w:rPr>
        <w:t>2.2.1</w:t>
      </w:r>
      <w:r>
        <w:rPr>
          <w:rFonts w:hint="eastAsia"/>
          <w:color w:val="000000"/>
        </w:rPr>
        <w:t>技术要求</w:t>
      </w:r>
    </w:p>
    <w:p w14:paraId="0C66AB8C">
      <w:pPr>
        <w:pStyle w:val="6"/>
        <w:ind w:left="0"/>
        <w:rPr>
          <w:rFonts w:hint="eastAsia" w:hAnsi="Times New Roman" w:cs="Times New Roman"/>
          <w:highlight w:val="none"/>
        </w:rPr>
      </w:pPr>
      <w:r>
        <w:rPr>
          <w:rFonts w:hint="eastAsia" w:hAnsi="Times New Roman" w:cs="Times New Roman"/>
          <w:highlight w:val="none"/>
          <w:lang w:val="en-US" w:eastAsia="zh-CN"/>
        </w:rPr>
        <w:t>方法原理</w:t>
      </w:r>
    </w:p>
    <w:p w14:paraId="794E7EED">
      <w:pPr>
        <w:pStyle w:val="7"/>
        <w:tabs>
          <w:tab w:val="center" w:pos="4201"/>
          <w:tab w:val="right" w:leader="dot" w:pos="9298"/>
        </w:tabs>
        <w:rPr>
          <w:rFonts w:hint="eastAsia"/>
          <w:highlight w:val="none"/>
          <w:lang w:val="en-US" w:eastAsia="zh-CN"/>
        </w:rPr>
      </w:pPr>
      <w:r>
        <w:rPr>
          <w:rFonts w:hint="eastAsia"/>
          <w:highlight w:val="none"/>
          <w:lang w:val="en-US" w:eastAsia="zh-CN"/>
        </w:rPr>
        <w:t>氮化硅粉体样品用氢氟酸、硝酸消解后，在电热板上加热除去硅、氟等，残渣用硝酸溶解。试样溶液引入等离子体光谱仪，在选定的最佳测定条件下，测量试液中各元素的含量。</w:t>
      </w:r>
    </w:p>
    <w:p w14:paraId="3996FCE5">
      <w:pPr>
        <w:pStyle w:val="6"/>
        <w:ind w:left="0"/>
        <w:rPr>
          <w:rFonts w:hint="eastAsia"/>
          <w:szCs w:val="22"/>
          <w:highlight w:val="none"/>
        </w:rPr>
      </w:pPr>
      <w:r>
        <w:rPr>
          <w:rFonts w:hint="eastAsia"/>
          <w:szCs w:val="22"/>
          <w:highlight w:val="none"/>
          <w:lang w:val="en-US" w:eastAsia="zh-CN"/>
        </w:rPr>
        <w:t>样品</w:t>
      </w:r>
    </w:p>
    <w:p w14:paraId="76E6DFF0">
      <w:pPr>
        <w:pStyle w:val="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Times New Roman" w:eastAsia="宋体" w:cs="Times New Roman"/>
          <w:color w:val="auto"/>
          <w:sz w:val="21"/>
          <w:szCs w:val="22"/>
          <w:highlight w:val="none"/>
          <w:lang w:val="en-US" w:eastAsia="zh-CN" w:bidi="ar-SA"/>
        </w:rPr>
      </w:pPr>
      <w:bookmarkStart w:id="33" w:name="_GoBack"/>
      <w:r>
        <w:rPr>
          <w:rFonts w:hint="eastAsia" w:hAnsi="黑体" w:cs="黑体"/>
          <w:color w:val="auto"/>
          <w:sz w:val="21"/>
          <w:szCs w:val="22"/>
          <w:highlight w:val="none"/>
          <w:lang w:val="en-US" w:eastAsia="zh-CN" w:bidi="ar-SA"/>
        </w:rPr>
        <w:t>2</w:t>
      </w:r>
      <w:r>
        <w:rPr>
          <w:rFonts w:hint="eastAsia" w:ascii="黑体" w:hAnsi="黑体" w:eastAsia="黑体" w:cs="黑体"/>
          <w:color w:val="auto"/>
          <w:sz w:val="21"/>
          <w:szCs w:val="22"/>
          <w:highlight w:val="none"/>
          <w:lang w:val="en-US" w:eastAsia="zh-CN" w:bidi="ar-SA"/>
        </w:rPr>
        <w:t xml:space="preserve">.1 </w:t>
      </w:r>
      <w:r>
        <w:rPr>
          <w:rFonts w:hint="eastAsia" w:ascii="宋体" w:hAnsi="Times New Roman" w:eastAsia="宋体" w:cs="Times New Roman"/>
          <w:color w:val="auto"/>
          <w:sz w:val="21"/>
          <w:szCs w:val="22"/>
          <w:highlight w:val="none"/>
          <w:lang w:val="en-US" w:eastAsia="zh-CN" w:bidi="ar-SA"/>
        </w:rPr>
        <w:t xml:space="preserve"> 样品制备：</w:t>
      </w:r>
      <w:r>
        <w:rPr>
          <w:rFonts w:hint="eastAsia" w:ascii="宋体" w:hAnsi="宋体"/>
          <w:color w:val="auto"/>
        </w:rPr>
        <w:t xml:space="preserve"> </w:t>
      </w:r>
      <w:r>
        <w:rPr>
          <w:rFonts w:hint="eastAsia" w:ascii="宋体" w:hAnsi="Times New Roman" w:eastAsia="宋体" w:cs="Times New Roman"/>
          <w:color w:val="auto"/>
          <w:sz w:val="21"/>
          <w:szCs w:val="22"/>
          <w:highlight w:val="none"/>
          <w:lang w:val="en-US" w:eastAsia="zh-CN" w:bidi="ar-SA"/>
        </w:rPr>
        <w:t>试样经研磨，通过100目尼龙筛，待测。</w:t>
      </w:r>
    </w:p>
    <w:p w14:paraId="6F1DCFF5">
      <w:pPr>
        <w:pStyle w:val="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Times New Roman" w:eastAsia="宋体" w:cs="Times New Roman"/>
          <w:color w:val="auto"/>
          <w:sz w:val="21"/>
          <w:szCs w:val="22"/>
          <w:highlight w:val="none"/>
          <w:lang w:val="en-US" w:eastAsia="zh-CN" w:bidi="ar-SA"/>
        </w:rPr>
      </w:pPr>
      <w:r>
        <w:rPr>
          <w:rFonts w:hint="eastAsia" w:hAnsi="黑体" w:cs="黑体"/>
          <w:color w:val="auto"/>
          <w:sz w:val="21"/>
          <w:szCs w:val="22"/>
          <w:highlight w:val="none"/>
          <w:lang w:val="en-US" w:eastAsia="zh-CN" w:bidi="ar-SA"/>
        </w:rPr>
        <w:t>2</w:t>
      </w:r>
      <w:r>
        <w:rPr>
          <w:rFonts w:hint="eastAsia" w:ascii="黑体" w:hAnsi="黑体" w:eastAsia="黑体" w:cs="黑体"/>
          <w:color w:val="auto"/>
          <w:sz w:val="21"/>
          <w:szCs w:val="22"/>
          <w:highlight w:val="none"/>
          <w:lang w:val="en-US" w:eastAsia="zh-CN" w:bidi="ar-SA"/>
        </w:rPr>
        <w:t>.2</w:t>
      </w:r>
      <w:r>
        <w:rPr>
          <w:rFonts w:hint="eastAsia" w:ascii="宋体" w:hAnsi="Times New Roman" w:eastAsia="宋体" w:cs="Times New Roman"/>
          <w:color w:val="auto"/>
          <w:sz w:val="21"/>
          <w:szCs w:val="22"/>
          <w:highlight w:val="none"/>
          <w:lang w:val="en-US" w:eastAsia="zh-CN" w:bidi="ar-SA"/>
        </w:rPr>
        <w:t xml:space="preserve">  称取0.25g试样，精确至0.0001g。</w:t>
      </w:r>
    </w:p>
    <w:p w14:paraId="32D19EE4">
      <w:pPr>
        <w:pStyle w:val="6"/>
        <w:ind w:left="0"/>
        <w:rPr>
          <w:rFonts w:hint="eastAsia"/>
          <w:color w:val="auto"/>
          <w:szCs w:val="22"/>
          <w:highlight w:val="none"/>
        </w:rPr>
      </w:pPr>
      <w:r>
        <w:rPr>
          <w:rFonts w:hint="eastAsia"/>
          <w:color w:val="auto"/>
          <w:szCs w:val="22"/>
          <w:highlight w:val="none"/>
          <w:lang w:val="en-US" w:eastAsia="zh-CN"/>
        </w:rPr>
        <w:t>试验步骤</w:t>
      </w:r>
    </w:p>
    <w:p w14:paraId="01A1FB8F">
      <w:pPr>
        <w:pStyle w:val="5"/>
        <w:numPr>
          <w:ilvl w:val="0"/>
          <w:numId w:val="0"/>
        </w:numPr>
        <w:rPr>
          <w:rFonts w:hint="default"/>
          <w:color w:val="auto"/>
          <w:highlight w:val="none"/>
          <w:lang w:val="en-US"/>
        </w:rPr>
      </w:pPr>
      <w:r>
        <w:rPr>
          <w:rFonts w:hint="eastAsia"/>
          <w:color w:val="auto"/>
          <w:highlight w:val="none"/>
          <w:lang w:val="en-US" w:eastAsia="zh-CN"/>
        </w:rPr>
        <w:t>3.1  工作曲线的配制</w:t>
      </w:r>
    </w:p>
    <w:p w14:paraId="32AFF054">
      <w:pPr>
        <w:pStyle w:val="7"/>
        <w:tabs>
          <w:tab w:val="center" w:pos="4201"/>
          <w:tab w:val="right" w:leader="dot" w:pos="9298"/>
        </w:tabs>
        <w:rPr>
          <w:rFonts w:hint="eastAsia"/>
          <w:color w:val="auto"/>
          <w:highlight w:val="none"/>
        </w:rPr>
      </w:pPr>
      <w:r>
        <w:rPr>
          <w:rFonts w:hint="eastAsia"/>
          <w:color w:val="auto"/>
        </w:rPr>
        <w:t>在一组100</w:t>
      </w:r>
      <w:r>
        <w:rPr>
          <w:rFonts w:hint="eastAsia"/>
          <w:color w:val="auto"/>
          <w:vertAlign w:val="superscript"/>
        </w:rPr>
        <w:t xml:space="preserve"> </w:t>
      </w:r>
      <w:r>
        <w:rPr>
          <w:rFonts w:hint="eastAsia"/>
          <w:color w:val="auto"/>
        </w:rPr>
        <w:t>mLPFA容量瓶中加入混合标准溶液（</w:t>
      </w:r>
      <w:r>
        <w:rPr>
          <w:rFonts w:hint="eastAsia"/>
          <w:color w:val="auto"/>
          <w:lang w:val="en-US" w:eastAsia="zh-CN"/>
        </w:rPr>
        <w:t>5</w:t>
      </w:r>
      <w:r>
        <w:rPr>
          <w:rFonts w:hint="eastAsia"/>
          <w:color w:val="auto"/>
        </w:rPr>
        <w:t>.</w:t>
      </w:r>
      <w:r>
        <w:rPr>
          <w:rFonts w:hint="eastAsia"/>
          <w:color w:val="auto"/>
          <w:lang w:val="en-US" w:eastAsia="zh-CN"/>
        </w:rPr>
        <w:t>5</w:t>
      </w:r>
      <w:r>
        <w:rPr>
          <w:rFonts w:hint="eastAsia"/>
          <w:color w:val="auto"/>
        </w:rPr>
        <w:t>），其介质和酸度与分析试液一致，以水稀释至刻度，摇匀。以不加标准溶液的试样作为空白溶液，待测元素含量应在所作工作曲线范围之内，系列标准溶液的数量由精度要求决定，至少取6个点。</w:t>
      </w:r>
      <w:r>
        <w:rPr>
          <w:rFonts w:hint="eastAsia"/>
          <w:color w:val="auto"/>
          <w:highlight w:val="none"/>
          <w:lang w:val="en-US" w:eastAsia="zh-CN"/>
        </w:rPr>
        <w:t>样品溶液中待测元素的浓度值应在所配制的标准工作溶液浓度值范围内。</w:t>
      </w:r>
    </w:p>
    <w:p w14:paraId="74C0C86B">
      <w:pPr>
        <w:pStyle w:val="5"/>
        <w:numPr>
          <w:ilvl w:val="0"/>
          <w:numId w:val="0"/>
        </w:numPr>
        <w:rPr>
          <w:rFonts w:hint="default"/>
          <w:color w:val="auto"/>
          <w:highlight w:val="none"/>
          <w:lang w:val="en-US"/>
        </w:rPr>
      </w:pPr>
      <w:r>
        <w:rPr>
          <w:rFonts w:hint="eastAsia"/>
          <w:color w:val="auto"/>
          <w:highlight w:val="none"/>
          <w:lang w:val="en-US" w:eastAsia="zh-CN"/>
        </w:rPr>
        <w:t>3.2  样品制备</w:t>
      </w:r>
    </w:p>
    <w:p w14:paraId="23F4BB87">
      <w:pPr>
        <w:spacing w:line="400" w:lineRule="exact"/>
        <w:ind w:firstLine="420" w:firstLineChars="200"/>
        <w:rPr>
          <w:rFonts w:hint="eastAsia" w:ascii="宋体" w:hAnsi="宋体"/>
          <w:color w:val="auto"/>
        </w:rPr>
      </w:pPr>
      <w:r>
        <w:rPr>
          <w:rFonts w:hint="eastAsia" w:ascii="宋体" w:hAnsi="宋体"/>
          <w:color w:val="auto"/>
        </w:rPr>
        <w:t>称取0.25g试样，精确至0.0001g，于</w:t>
      </w:r>
      <w:r>
        <w:rPr>
          <w:rFonts w:hint="eastAsia" w:ascii="宋体" w:hAnsi="宋体"/>
          <w:color w:val="auto"/>
          <w:lang w:val="en-US" w:eastAsia="zh-CN"/>
        </w:rPr>
        <w:t>微波消解罐</w:t>
      </w:r>
      <w:r>
        <w:rPr>
          <w:rFonts w:hint="eastAsia" w:ascii="宋体" w:hAnsi="宋体"/>
          <w:color w:val="auto"/>
        </w:rPr>
        <w:t>中，用少量</w:t>
      </w:r>
      <w:r>
        <w:rPr>
          <w:rFonts w:hint="eastAsia" w:ascii="宋体" w:hAnsi="宋体"/>
          <w:color w:val="auto"/>
          <w:lang w:eastAsia="zh-CN"/>
        </w:rPr>
        <w:t>超纯水</w:t>
      </w:r>
      <w:r>
        <w:rPr>
          <w:rFonts w:hint="eastAsia" w:ascii="宋体" w:hAnsi="宋体"/>
          <w:color w:val="auto"/>
        </w:rPr>
        <w:t>润湿，分次加入</w:t>
      </w:r>
      <w:r>
        <w:rPr>
          <w:rFonts w:hint="eastAsia" w:ascii="宋体" w:hAnsi="宋体"/>
          <w:color w:val="auto"/>
          <w:lang w:val="en-US" w:eastAsia="zh-CN"/>
        </w:rPr>
        <w:t>9</w:t>
      </w:r>
      <w:r>
        <w:rPr>
          <w:rFonts w:hint="eastAsia" w:ascii="宋体" w:hAnsi="宋体"/>
          <w:color w:val="auto"/>
        </w:rPr>
        <w:t>mL氢氟酸（</w:t>
      </w:r>
      <w:r>
        <w:rPr>
          <w:rFonts w:hint="eastAsia" w:ascii="宋体" w:hAnsi="宋体"/>
          <w:color w:val="auto"/>
          <w:lang w:val="en-US" w:eastAsia="zh-CN"/>
        </w:rPr>
        <w:t>5</w:t>
      </w: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），加硝酸</w:t>
      </w:r>
      <w:r>
        <w:rPr>
          <w:rFonts w:hint="eastAsia" w:ascii="宋体" w:hAnsi="宋体"/>
          <w:color w:val="auto"/>
          <w:lang w:val="en-US" w:eastAsia="zh-CN"/>
        </w:rPr>
        <w:t>1</w:t>
      </w:r>
      <w:r>
        <w:rPr>
          <w:rFonts w:hint="eastAsia" w:ascii="宋体" w:hAnsi="宋体"/>
          <w:color w:val="auto"/>
        </w:rPr>
        <w:t>mL（</w:t>
      </w:r>
      <w:r>
        <w:rPr>
          <w:rFonts w:hint="eastAsia" w:ascii="宋体" w:hAnsi="宋体"/>
          <w:color w:val="auto"/>
          <w:lang w:val="en-US" w:eastAsia="zh-CN"/>
        </w:rPr>
        <w:t>5</w:t>
      </w:r>
      <w:r>
        <w:rPr>
          <w:rFonts w:hint="eastAsia" w:ascii="宋体" w:hAnsi="宋体"/>
          <w:color w:val="auto"/>
        </w:rPr>
        <w:t>.3），</w:t>
      </w:r>
      <w:r>
        <w:rPr>
          <w:rFonts w:hint="eastAsia" w:ascii="宋体" w:hAnsi="宋体"/>
          <w:color w:val="auto"/>
          <w:lang w:val="en-US" w:eastAsia="zh-CN"/>
        </w:rPr>
        <w:t>于微波消解仪中消解后，倒入100mL聚四氟乙烯烧杯中于电热板上蒸发至干，取下冷却，加入1mL</w:t>
      </w:r>
      <w:r>
        <w:rPr>
          <w:rFonts w:hint="eastAsia" w:ascii="宋体" w:hAnsi="宋体"/>
          <w:color w:val="auto"/>
        </w:rPr>
        <w:t>硝酸（6.3）</w:t>
      </w:r>
      <w:r>
        <w:rPr>
          <w:rFonts w:hint="eastAsia" w:ascii="宋体" w:hAnsi="宋体"/>
          <w:color w:val="auto"/>
          <w:lang w:eastAsia="zh-CN"/>
        </w:rPr>
        <w:t>，</w:t>
      </w:r>
      <w:r>
        <w:rPr>
          <w:rFonts w:hint="eastAsia" w:ascii="宋体" w:hAnsi="宋体"/>
          <w:color w:val="auto"/>
          <w:lang w:val="en-US" w:eastAsia="zh-CN"/>
        </w:rPr>
        <w:t>定容到50mL，待测</w:t>
      </w:r>
      <w:r>
        <w:rPr>
          <w:rFonts w:hint="eastAsia" w:ascii="宋体" w:hAnsi="宋体"/>
          <w:color w:val="auto"/>
        </w:rPr>
        <w:t>。 随同做试剂空白，且应同时进行至少</w:t>
      </w:r>
      <w:r>
        <w:rPr>
          <w:rFonts w:hint="eastAsia" w:ascii="宋体" w:hAnsi="宋体"/>
          <w:color w:val="auto"/>
          <w:lang w:val="en-US" w:eastAsia="zh-CN"/>
        </w:rPr>
        <w:t>2</w:t>
      </w:r>
      <w:r>
        <w:rPr>
          <w:rFonts w:hint="eastAsia" w:ascii="宋体" w:hAnsi="宋体"/>
          <w:color w:val="auto"/>
        </w:rPr>
        <w:t>个平行样制备。</w:t>
      </w:r>
    </w:p>
    <w:p w14:paraId="72BA1F1F">
      <w:pPr>
        <w:pStyle w:val="5"/>
        <w:numPr>
          <w:ilvl w:val="0"/>
          <w:numId w:val="0"/>
        </w:numPr>
        <w:rPr>
          <w:rFonts w:hint="eastAsia" w:hAnsi="Times New Roman" w:cs="Times New Roman"/>
          <w:color w:val="auto"/>
          <w:lang w:val="en-US" w:eastAsia="zh-CN"/>
        </w:rPr>
      </w:pPr>
      <w:r>
        <w:rPr>
          <w:rFonts w:hint="eastAsia" w:hAnsi="Times New Roman" w:cs="Times New Roman"/>
          <w:color w:val="auto"/>
          <w:lang w:val="en-US" w:eastAsia="zh-CN"/>
        </w:rPr>
        <w:t>3.3  测定</w:t>
      </w:r>
    </w:p>
    <w:bookmarkEnd w:id="33"/>
    <w:p w14:paraId="15B44231">
      <w:pPr>
        <w:pStyle w:val="7"/>
        <w:tabs>
          <w:tab w:val="center" w:pos="4201"/>
          <w:tab w:val="right" w:leader="dot" w:pos="9298"/>
        </w:tabs>
        <w:ind w:left="0" w:leftChars="0" w:firstLine="0" w:firstLineChars="0"/>
        <w:rPr>
          <w:rFonts w:hint="eastAsia" w:ascii="宋体" w:hAnsi="宋体" w:eastAsia="宋体"/>
        </w:rPr>
      </w:pPr>
      <w:r>
        <w:rPr>
          <w:rFonts w:hint="eastAsia" w:ascii="黑体" w:hAnsi="Times New Roman" w:eastAsia="黑体" w:cs="Times New Roman"/>
          <w:sz w:val="21"/>
          <w:szCs w:val="21"/>
          <w:lang w:val="en-US" w:eastAsia="zh-CN" w:bidi="ar-SA"/>
        </w:rPr>
        <w:t xml:space="preserve">3.3.1 </w:t>
      </w:r>
      <w:r>
        <w:rPr>
          <w:rFonts w:hint="eastAsia" w:ascii="Times New Roman" w:eastAsia="宋体"/>
        </w:rPr>
        <w:t>各待测元素的推荐分析线见表</w:t>
      </w:r>
      <w:r>
        <w:rPr>
          <w:rFonts w:hint="eastAsia" w:hAnsi="宋体" w:eastAsia="宋体"/>
          <w:lang w:val="en-US" w:eastAsia="zh-CN"/>
        </w:rPr>
        <w:t>1</w:t>
      </w:r>
      <w:r>
        <w:rPr>
          <w:rFonts w:hint="eastAsia" w:ascii="宋体" w:hAnsi="宋体" w:eastAsia="宋体"/>
        </w:rPr>
        <w:t>。</w:t>
      </w:r>
    </w:p>
    <w:p w14:paraId="112D27ED">
      <w:pPr>
        <w:pStyle w:val="7"/>
        <w:tabs>
          <w:tab w:val="center" w:pos="4201"/>
          <w:tab w:val="right" w:leader="dot" w:pos="9298"/>
        </w:tabs>
        <w:ind w:left="0" w:leftChars="0" w:firstLine="0" w:firstLineChars="0"/>
        <w:rPr>
          <w:rFonts w:hint="eastAsia" w:ascii="宋体" w:hAnsi="宋体" w:eastAsia="宋体"/>
        </w:rPr>
      </w:pPr>
    </w:p>
    <w:p w14:paraId="75142C43">
      <w:pPr>
        <w:pStyle w:val="6"/>
        <w:numPr>
          <w:ilvl w:val="0"/>
          <w:numId w:val="0"/>
        </w:numPr>
        <w:spacing w:before="0" w:beforeLines="0" w:after="0" w:afterLines="0"/>
        <w:jc w:val="center"/>
        <w:rPr>
          <w:rFonts w:hint="default" w:ascii="宋体" w:hAnsi="宋体" w:eastAsia="宋体"/>
          <w:lang w:val="en-US" w:eastAsia="zh-CN"/>
        </w:rPr>
      </w:pPr>
      <w:r>
        <w:rPr>
          <w:rFonts w:hint="eastAsia"/>
          <w:szCs w:val="21"/>
        </w:rPr>
        <w:t>表</w:t>
      </w:r>
      <w:r>
        <w:rPr>
          <w:rFonts w:hint="eastAsia"/>
          <w:szCs w:val="21"/>
          <w:lang w:val="en-US" w:eastAsia="zh-CN"/>
        </w:rPr>
        <w:t>1</w:t>
      </w:r>
      <w:r>
        <w:rPr>
          <w:rFonts w:hint="eastAsia"/>
          <w:szCs w:val="21"/>
        </w:rPr>
        <w:t xml:space="preserve"> </w:t>
      </w:r>
      <w:r>
        <w:rPr>
          <w:szCs w:val="21"/>
        </w:rPr>
        <w:t xml:space="preserve"> </w:t>
      </w:r>
      <w:r>
        <w:rPr>
          <w:rFonts w:hint="eastAsia"/>
          <w:szCs w:val="21"/>
        </w:rPr>
        <w:t>待测元素的推荐分析线</w:t>
      </w:r>
      <w:r>
        <w:rPr>
          <w:rFonts w:hint="eastAsia" w:hAnsi="宋体" w:eastAsia="宋体"/>
          <w:lang w:val="en-US" w:eastAsia="zh-CN"/>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2"/>
        <w:gridCol w:w="4742"/>
      </w:tblGrid>
      <w:tr w14:paraId="3AFA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52" w:type="dxa"/>
            <w:noWrap w:val="0"/>
            <w:vAlign w:val="top"/>
          </w:tcPr>
          <w:p w14:paraId="33B5683B">
            <w:pPr>
              <w:pStyle w:val="36"/>
              <w:numPr>
                <w:ilvl w:val="1"/>
                <w:numId w:val="0"/>
              </w:numPr>
              <w:spacing w:line="400" w:lineRule="exact"/>
              <w:jc w:val="center"/>
              <w:rPr>
                <w:rFonts w:hint="eastAsia" w:hAnsi="宋体"/>
              </w:rPr>
            </w:pPr>
            <w:r>
              <w:rPr>
                <w:rFonts w:hint="eastAsia" w:hAnsi="宋体"/>
              </w:rPr>
              <w:t>元素</w:t>
            </w:r>
          </w:p>
        </w:tc>
        <w:tc>
          <w:tcPr>
            <w:tcW w:w="4742" w:type="dxa"/>
            <w:noWrap w:val="0"/>
            <w:vAlign w:val="top"/>
          </w:tcPr>
          <w:p w14:paraId="61092EEA">
            <w:pPr>
              <w:pStyle w:val="36"/>
              <w:numPr>
                <w:ilvl w:val="1"/>
                <w:numId w:val="0"/>
              </w:numPr>
              <w:spacing w:line="400" w:lineRule="exact"/>
              <w:jc w:val="center"/>
              <w:rPr>
                <w:rFonts w:hint="eastAsia" w:hAnsi="宋体"/>
              </w:rPr>
            </w:pPr>
            <w:r>
              <w:rPr>
                <w:rFonts w:hint="eastAsia" w:hAnsi="宋体"/>
              </w:rPr>
              <w:t>分析线/nm</w:t>
            </w:r>
          </w:p>
        </w:tc>
      </w:tr>
      <w:tr w14:paraId="5BAC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52" w:type="dxa"/>
            <w:noWrap w:val="0"/>
            <w:vAlign w:val="top"/>
          </w:tcPr>
          <w:p w14:paraId="00F4F7D3">
            <w:pPr>
              <w:pStyle w:val="36"/>
              <w:numPr>
                <w:ilvl w:val="1"/>
                <w:numId w:val="0"/>
              </w:numPr>
              <w:spacing w:line="400" w:lineRule="exact"/>
              <w:jc w:val="center"/>
              <w:rPr>
                <w:rFonts w:hint="eastAsia" w:hAnsi="宋体"/>
              </w:rPr>
            </w:pPr>
            <w:r>
              <w:rPr>
                <w:rFonts w:hint="eastAsia" w:hAnsi="宋体"/>
              </w:rPr>
              <w:t>Fe</w:t>
            </w:r>
          </w:p>
        </w:tc>
        <w:tc>
          <w:tcPr>
            <w:tcW w:w="4742" w:type="dxa"/>
            <w:noWrap w:val="0"/>
            <w:vAlign w:val="top"/>
          </w:tcPr>
          <w:p w14:paraId="6142650D">
            <w:pPr>
              <w:pStyle w:val="36"/>
              <w:numPr>
                <w:ilvl w:val="1"/>
                <w:numId w:val="0"/>
              </w:numPr>
              <w:spacing w:line="400" w:lineRule="exact"/>
              <w:jc w:val="center"/>
              <w:rPr>
                <w:rFonts w:hint="eastAsia" w:hAnsi="宋体"/>
              </w:rPr>
            </w:pPr>
            <w:r>
              <w:rPr>
                <w:rFonts w:hint="eastAsia" w:hAnsi="宋体"/>
              </w:rPr>
              <w:t>259.940</w:t>
            </w:r>
          </w:p>
        </w:tc>
      </w:tr>
      <w:tr w14:paraId="4DBA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52" w:type="dxa"/>
            <w:noWrap w:val="0"/>
            <w:vAlign w:val="top"/>
          </w:tcPr>
          <w:p w14:paraId="4D28E8F1">
            <w:pPr>
              <w:pStyle w:val="36"/>
              <w:numPr>
                <w:ilvl w:val="1"/>
                <w:numId w:val="0"/>
              </w:numPr>
              <w:spacing w:line="400" w:lineRule="exact"/>
              <w:jc w:val="center"/>
              <w:rPr>
                <w:rFonts w:hint="eastAsia" w:hAnsi="宋体"/>
              </w:rPr>
            </w:pPr>
            <w:r>
              <w:rPr>
                <w:rFonts w:hint="eastAsia" w:hAnsi="宋体"/>
              </w:rPr>
              <w:t>Al</w:t>
            </w:r>
          </w:p>
        </w:tc>
        <w:tc>
          <w:tcPr>
            <w:tcW w:w="4742" w:type="dxa"/>
            <w:noWrap w:val="0"/>
            <w:vAlign w:val="top"/>
          </w:tcPr>
          <w:p w14:paraId="71D7C2A3">
            <w:pPr>
              <w:pStyle w:val="36"/>
              <w:numPr>
                <w:ilvl w:val="1"/>
                <w:numId w:val="0"/>
              </w:numPr>
              <w:spacing w:line="400" w:lineRule="exact"/>
              <w:jc w:val="center"/>
              <w:rPr>
                <w:rFonts w:hint="eastAsia" w:hAnsi="宋体" w:eastAsia="宋体"/>
                <w:lang w:val="en-US" w:eastAsia="zh-CN"/>
              </w:rPr>
            </w:pPr>
            <w:r>
              <w:rPr>
                <w:rFonts w:hint="eastAsia" w:hAnsi="宋体"/>
              </w:rPr>
              <w:t>396.15</w:t>
            </w:r>
            <w:r>
              <w:rPr>
                <w:rFonts w:hint="eastAsia" w:hAnsi="宋体"/>
                <w:lang w:val="en-US" w:eastAsia="zh-CN"/>
              </w:rPr>
              <w:t>3</w:t>
            </w:r>
          </w:p>
        </w:tc>
      </w:tr>
      <w:tr w14:paraId="58E1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52" w:type="dxa"/>
            <w:noWrap w:val="0"/>
            <w:vAlign w:val="top"/>
          </w:tcPr>
          <w:p w14:paraId="51EAAD8E">
            <w:pPr>
              <w:pStyle w:val="36"/>
              <w:numPr>
                <w:ilvl w:val="1"/>
                <w:numId w:val="0"/>
              </w:numPr>
              <w:spacing w:line="400" w:lineRule="exact"/>
              <w:ind w:left="0" w:leftChars="0" w:firstLine="0" w:firstLineChars="0"/>
              <w:jc w:val="center"/>
              <w:rPr>
                <w:rFonts w:hint="eastAsia" w:ascii="宋体" w:hAnsi="宋体"/>
                <w:kern w:val="2"/>
                <w:sz w:val="21"/>
                <w:szCs w:val="24"/>
                <w:lang w:val="en-US" w:eastAsia="zh-CN" w:bidi="ar-SA"/>
              </w:rPr>
            </w:pPr>
            <w:r>
              <w:rPr>
                <w:rFonts w:hint="eastAsia" w:hAnsi="宋体"/>
              </w:rPr>
              <w:t>Ca</w:t>
            </w:r>
          </w:p>
        </w:tc>
        <w:tc>
          <w:tcPr>
            <w:tcW w:w="4742" w:type="dxa"/>
            <w:noWrap w:val="0"/>
            <w:vAlign w:val="top"/>
          </w:tcPr>
          <w:p w14:paraId="667562D8">
            <w:pPr>
              <w:pStyle w:val="36"/>
              <w:numPr>
                <w:ilvl w:val="1"/>
                <w:numId w:val="0"/>
              </w:numPr>
              <w:spacing w:line="400" w:lineRule="exact"/>
              <w:ind w:left="0" w:leftChars="0" w:firstLine="0" w:firstLineChars="0"/>
              <w:jc w:val="center"/>
              <w:rPr>
                <w:rFonts w:hint="eastAsia" w:ascii="宋体" w:hAnsi="宋体" w:eastAsia="宋体"/>
                <w:kern w:val="2"/>
                <w:sz w:val="21"/>
                <w:szCs w:val="24"/>
                <w:lang w:val="en-US" w:eastAsia="zh-CN" w:bidi="ar-SA"/>
              </w:rPr>
            </w:pPr>
            <w:r>
              <w:rPr>
                <w:rFonts w:hint="eastAsia" w:hAnsi="宋体"/>
              </w:rPr>
              <w:t>31</w:t>
            </w:r>
            <w:r>
              <w:rPr>
                <w:rFonts w:hint="eastAsia" w:hAnsi="宋体"/>
                <w:lang w:val="en-US" w:eastAsia="zh-CN"/>
              </w:rPr>
              <w:t>7.933</w:t>
            </w:r>
          </w:p>
        </w:tc>
      </w:tr>
    </w:tbl>
    <w:p w14:paraId="088E4932">
      <w:pPr>
        <w:pStyle w:val="7"/>
        <w:tabs>
          <w:tab w:val="center" w:pos="4201"/>
          <w:tab w:val="right" w:leader="dot" w:pos="9298"/>
        </w:tabs>
        <w:rPr>
          <w:rFonts w:hint="eastAsia"/>
          <w:highlight w:val="none"/>
          <w:lang w:val="en-US" w:eastAsia="zh-CN"/>
        </w:rPr>
      </w:pPr>
    </w:p>
    <w:p w14:paraId="5193FA9F">
      <w:pPr>
        <w:pStyle w:val="2"/>
        <w:rPr>
          <w:color w:val="000000"/>
        </w:rPr>
      </w:pPr>
      <w:r>
        <w:rPr>
          <w:rFonts w:hint="eastAsia"/>
          <w:color w:val="000000"/>
        </w:rPr>
        <w:t>三、</w:t>
      </w:r>
      <w:r>
        <w:rPr>
          <w:color w:val="000000"/>
        </w:rPr>
        <w:t>标准水平分析</w:t>
      </w:r>
      <w:bookmarkEnd w:id="17"/>
      <w:bookmarkEnd w:id="18"/>
    </w:p>
    <w:p w14:paraId="514D33B0">
      <w:pPr>
        <w:ind w:firstLine="420"/>
        <w:rPr>
          <w:rFonts w:ascii="宋体" w:hAnsi="宋体"/>
          <w:color w:val="000000"/>
          <w:szCs w:val="21"/>
        </w:rPr>
      </w:pPr>
      <w:r>
        <w:rPr>
          <w:color w:val="000000"/>
        </w:rPr>
        <w:t>本标准属首次制定</w:t>
      </w:r>
      <w:r>
        <w:rPr>
          <w:rFonts w:hint="eastAsia"/>
          <w:color w:val="000000"/>
          <w:lang w:eastAsia="zh-CN"/>
        </w:rPr>
        <w:t>，</w:t>
      </w:r>
      <w:r>
        <w:rPr>
          <w:color w:val="000000"/>
        </w:rPr>
        <w:t>标准指标</w:t>
      </w:r>
      <w:r>
        <w:rPr>
          <w:rFonts w:hint="eastAsia"/>
          <w:color w:val="000000"/>
          <w:lang w:val="en-US" w:eastAsia="zh-CN"/>
        </w:rPr>
        <w:t>同比国内及国际上知名的厂家的需求指标</w:t>
      </w:r>
      <w:r>
        <w:rPr>
          <w:rFonts w:hint="eastAsia"/>
          <w:color w:val="000000"/>
        </w:rPr>
        <w:t>。</w:t>
      </w:r>
    </w:p>
    <w:p w14:paraId="1820AF01">
      <w:pPr>
        <w:pStyle w:val="2"/>
        <w:rPr>
          <w:color w:val="000000"/>
        </w:rPr>
      </w:pPr>
      <w:bookmarkStart w:id="19" w:name="_Toc511234399"/>
      <w:bookmarkStart w:id="20" w:name="_Toc497309557"/>
      <w:r>
        <w:rPr>
          <w:rFonts w:hint="eastAsia"/>
          <w:color w:val="000000"/>
        </w:rPr>
        <w:t>四、</w:t>
      </w:r>
      <w:r>
        <w:rPr>
          <w:color w:val="000000"/>
        </w:rPr>
        <w:t>与现行相关法律、法规、规章及相关标准，特别是强制性标准的协调性</w:t>
      </w:r>
      <w:bookmarkEnd w:id="19"/>
      <w:bookmarkEnd w:id="20"/>
    </w:p>
    <w:p w14:paraId="65D4F10F">
      <w:pPr>
        <w:ind w:firstLine="420"/>
        <w:rPr>
          <w:color w:val="000000"/>
        </w:rPr>
      </w:pPr>
      <w:r>
        <w:rPr>
          <w:color w:val="000000"/>
        </w:rPr>
        <w:t>本标准是新制定</w:t>
      </w:r>
      <w:r>
        <w:rPr>
          <w:rFonts w:hint="eastAsia"/>
          <w:color w:val="000000"/>
        </w:rPr>
        <w:t>的团体</w:t>
      </w:r>
      <w:r>
        <w:rPr>
          <w:color w:val="000000"/>
        </w:rPr>
        <w:t>标准</w:t>
      </w:r>
      <w:r>
        <w:rPr>
          <w:rFonts w:hint="eastAsia"/>
          <w:color w:val="000000"/>
        </w:rPr>
        <w:t>。</w:t>
      </w:r>
      <w:r>
        <w:rPr>
          <w:color w:val="000000"/>
        </w:rPr>
        <w:t>本标准的制定是</w:t>
      </w:r>
      <w:r>
        <w:rPr>
          <w:rFonts w:hint="eastAsia"/>
          <w:color w:val="000000"/>
        </w:rPr>
        <w:t>我国氮化硅行业</w:t>
      </w:r>
      <w:r>
        <w:rPr>
          <w:color w:val="000000"/>
        </w:rPr>
        <w:t>标准体系的完善和补充。本标准的制定与现行的相关法律、法规、规章及相关标准的关系不矛盾、不冲突，其相互关系非常协调。</w:t>
      </w:r>
    </w:p>
    <w:p w14:paraId="02419DFF">
      <w:pPr>
        <w:pStyle w:val="2"/>
        <w:rPr>
          <w:color w:val="000000"/>
        </w:rPr>
      </w:pPr>
      <w:bookmarkStart w:id="21" w:name="_Toc511234400"/>
      <w:bookmarkStart w:id="22" w:name="_Toc497309558"/>
      <w:r>
        <w:rPr>
          <w:rFonts w:hint="eastAsia"/>
          <w:color w:val="000000"/>
        </w:rPr>
        <w:t>五、</w:t>
      </w:r>
      <w:r>
        <w:rPr>
          <w:color w:val="000000"/>
        </w:rPr>
        <w:t>标准中涉及的专利或知识产权说明</w:t>
      </w:r>
      <w:bookmarkEnd w:id="21"/>
      <w:bookmarkEnd w:id="22"/>
    </w:p>
    <w:p w14:paraId="413C6A4A">
      <w:pPr>
        <w:ind w:firstLine="420"/>
        <w:rPr>
          <w:color w:val="000000"/>
        </w:rPr>
      </w:pPr>
      <w:r>
        <w:rPr>
          <w:color w:val="000000"/>
        </w:rPr>
        <w:t>本标准不涉及任何专利或知识产权。</w:t>
      </w:r>
    </w:p>
    <w:p w14:paraId="7B9E57A3">
      <w:pPr>
        <w:pStyle w:val="2"/>
        <w:rPr>
          <w:color w:val="000000"/>
        </w:rPr>
      </w:pPr>
      <w:bookmarkStart w:id="23" w:name="_Toc497309559"/>
      <w:bookmarkStart w:id="24" w:name="_Toc511234401"/>
      <w:r>
        <w:rPr>
          <w:rFonts w:hint="eastAsia"/>
          <w:color w:val="000000"/>
        </w:rPr>
        <w:t>六、</w:t>
      </w:r>
      <w:r>
        <w:rPr>
          <w:color w:val="000000"/>
        </w:rPr>
        <w:t>重大分歧意见的处理经过和依据</w:t>
      </w:r>
      <w:bookmarkEnd w:id="23"/>
      <w:bookmarkEnd w:id="24"/>
    </w:p>
    <w:p w14:paraId="0FF4395E">
      <w:pPr>
        <w:ind w:firstLine="420"/>
        <w:rPr>
          <w:color w:val="000000"/>
        </w:rPr>
      </w:pPr>
      <w:r>
        <w:rPr>
          <w:color w:val="000000"/>
        </w:rPr>
        <w:t>（无）</w:t>
      </w:r>
    </w:p>
    <w:p w14:paraId="49BC7227">
      <w:pPr>
        <w:pStyle w:val="2"/>
        <w:rPr>
          <w:color w:val="000000"/>
        </w:rPr>
      </w:pPr>
      <w:bookmarkStart w:id="25" w:name="_Toc511234402"/>
      <w:bookmarkStart w:id="26" w:name="_Toc497309560"/>
      <w:r>
        <w:rPr>
          <w:rFonts w:hint="eastAsia"/>
          <w:color w:val="000000"/>
        </w:rPr>
        <w:t>七、</w:t>
      </w:r>
      <w:r>
        <w:rPr>
          <w:color w:val="000000"/>
        </w:rPr>
        <w:t>标准作为强制性或推荐性</w:t>
      </w:r>
      <w:r>
        <w:rPr>
          <w:rFonts w:hint="eastAsia"/>
          <w:color w:val="000000"/>
        </w:rPr>
        <w:t>行业</w:t>
      </w:r>
      <w:r>
        <w:rPr>
          <w:color w:val="000000"/>
        </w:rPr>
        <w:t>标准的建议</w:t>
      </w:r>
      <w:bookmarkEnd w:id="25"/>
      <w:bookmarkEnd w:id="26"/>
    </w:p>
    <w:p w14:paraId="014F46AA">
      <w:pPr>
        <w:ind w:firstLine="420"/>
        <w:rPr>
          <w:color w:val="000000"/>
        </w:rPr>
      </w:pPr>
      <w:r>
        <w:rPr>
          <w:color w:val="000000"/>
        </w:rPr>
        <w:t>本标准建议不作为强制性标准，而建议作为推荐性标准。</w:t>
      </w:r>
    </w:p>
    <w:p w14:paraId="140108E7">
      <w:pPr>
        <w:pStyle w:val="2"/>
        <w:rPr>
          <w:color w:val="000000"/>
        </w:rPr>
      </w:pPr>
      <w:bookmarkStart w:id="27" w:name="_Toc497309561"/>
      <w:bookmarkStart w:id="28" w:name="_Toc511234403"/>
      <w:r>
        <w:rPr>
          <w:rFonts w:hint="eastAsia"/>
          <w:color w:val="000000"/>
        </w:rPr>
        <w:t>八、</w:t>
      </w:r>
      <w:r>
        <w:rPr>
          <w:color w:val="000000"/>
        </w:rPr>
        <w:t>贯彻标准的要求和措施建议</w:t>
      </w:r>
      <w:bookmarkEnd w:id="27"/>
      <w:bookmarkEnd w:id="28"/>
    </w:p>
    <w:p w14:paraId="60DF9E33">
      <w:pPr>
        <w:widowControl/>
        <w:rPr>
          <w:color w:val="000000"/>
        </w:rPr>
      </w:pPr>
      <w:r>
        <w:rPr>
          <w:color w:val="000000"/>
        </w:rPr>
        <w:t>本标准发布后，中国有色金属工业协会</w:t>
      </w:r>
      <w:r>
        <w:rPr>
          <w:rFonts w:hint="eastAsia"/>
          <w:color w:val="000000"/>
        </w:rPr>
        <w:t>、</w:t>
      </w:r>
      <w:r>
        <w:rPr>
          <w:color w:val="000000"/>
        </w:rPr>
        <w:t>全国</w:t>
      </w:r>
      <w:r>
        <w:rPr>
          <w:rFonts w:hint="eastAsia"/>
          <w:color w:val="000000"/>
        </w:rPr>
        <w:t>半导体</w:t>
      </w:r>
      <w:r>
        <w:rPr>
          <w:color w:val="000000"/>
        </w:rPr>
        <w:t>标准化技术委员会应加强</w:t>
      </w:r>
      <w:r>
        <w:rPr>
          <w:rFonts w:hint="eastAsia"/>
          <w:color w:val="000000"/>
        </w:rPr>
        <w:t>对</w:t>
      </w:r>
      <w:r>
        <w:rPr>
          <w:color w:val="000000"/>
        </w:rPr>
        <w:t>本标准的宣传力度，</w:t>
      </w:r>
      <w:r>
        <w:rPr>
          <w:rFonts w:hint="eastAsia"/>
          <w:color w:val="000000"/>
        </w:rPr>
        <w:t>介绍本标准的核心技术内容及实施的关键技术要素，促进更多地企业和科研单位了解、掌握科学的</w:t>
      </w:r>
      <w:r>
        <w:rPr>
          <w:rFonts w:hint="eastAsia"/>
          <w:color w:val="000000"/>
          <w:lang w:val="en-US" w:eastAsia="zh-CN"/>
        </w:rPr>
        <w:t>氮化硅粉的测定</w:t>
      </w:r>
      <w:r>
        <w:rPr>
          <w:rFonts w:hint="eastAsia"/>
          <w:color w:val="000000"/>
        </w:rPr>
        <w:t>，促进标准的顺利实施。</w:t>
      </w:r>
    </w:p>
    <w:p w14:paraId="6AF0AE23">
      <w:pPr>
        <w:pStyle w:val="2"/>
        <w:rPr>
          <w:color w:val="000000"/>
        </w:rPr>
      </w:pPr>
      <w:bookmarkStart w:id="29" w:name="_Toc511234406"/>
      <w:bookmarkStart w:id="30" w:name="_Toc497309562"/>
      <w:r>
        <w:rPr>
          <w:rFonts w:hint="eastAsia"/>
          <w:color w:val="000000"/>
        </w:rPr>
        <w:t>九、</w:t>
      </w:r>
      <w:r>
        <w:rPr>
          <w:color w:val="000000"/>
        </w:rPr>
        <w:t>废止现行有关标准的建议</w:t>
      </w:r>
      <w:bookmarkEnd w:id="29"/>
      <w:bookmarkEnd w:id="30"/>
    </w:p>
    <w:p w14:paraId="4C42B482">
      <w:pPr>
        <w:ind w:firstLine="420"/>
        <w:rPr>
          <w:color w:val="000000"/>
        </w:rPr>
      </w:pPr>
      <w:r>
        <w:rPr>
          <w:color w:val="000000"/>
        </w:rPr>
        <w:t>（无）。</w:t>
      </w:r>
    </w:p>
    <w:p w14:paraId="1D7B3246">
      <w:pPr>
        <w:pStyle w:val="2"/>
        <w:rPr>
          <w:color w:val="000000"/>
        </w:rPr>
      </w:pPr>
      <w:bookmarkStart w:id="31" w:name="_Toc497309563"/>
      <w:bookmarkStart w:id="32" w:name="_Toc511234407"/>
      <w:r>
        <w:rPr>
          <w:rFonts w:hint="eastAsia"/>
          <w:color w:val="000000"/>
        </w:rPr>
        <w:t>十、</w:t>
      </w:r>
      <w:r>
        <w:rPr>
          <w:color w:val="000000"/>
        </w:rPr>
        <w:t>产业化情况、推广应用论证和预期达到的经济效果</w:t>
      </w:r>
      <w:bookmarkEnd w:id="31"/>
      <w:bookmarkEnd w:id="32"/>
    </w:p>
    <w:p w14:paraId="1DB547C3">
      <w:pPr>
        <w:pStyle w:val="32"/>
        <w:spacing w:line="360" w:lineRule="auto"/>
        <w:ind w:firstLine="420" w:firstLineChars="200"/>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该标准的制定，有利于生产单位对质量的管控，对保证行业内氮化硅制品产品质量具有重要的作用。本标准的发布和实施能有效的规范氮化硅</w:t>
      </w:r>
      <w:r>
        <w:rPr>
          <w:rFonts w:hint="eastAsia" w:ascii="Times New Roman" w:hAnsi="Times New Roman" w:cs="Times New Roman"/>
          <w:color w:val="000000"/>
          <w:kern w:val="2"/>
          <w:sz w:val="21"/>
          <w:szCs w:val="24"/>
          <w:lang w:val="en-US" w:eastAsia="zh-CN" w:bidi="ar-SA"/>
        </w:rPr>
        <w:t>产品</w:t>
      </w:r>
      <w:r>
        <w:rPr>
          <w:rFonts w:hint="eastAsia" w:ascii="Times New Roman" w:hAnsi="Times New Roman" w:eastAsia="宋体" w:cs="Times New Roman"/>
          <w:color w:val="000000"/>
          <w:kern w:val="2"/>
          <w:sz w:val="21"/>
          <w:szCs w:val="24"/>
          <w:lang w:val="en-US" w:eastAsia="zh-CN" w:bidi="ar-SA"/>
        </w:rPr>
        <w:t>质量的把控，这对于提高我国氮化硅产品质量有深远的意义。</w:t>
      </w:r>
    </w:p>
    <w:p w14:paraId="451F3179">
      <w:pPr>
        <w:ind w:firstLine="420"/>
        <w:rPr>
          <w:color w:val="000000"/>
        </w:rPr>
      </w:pPr>
    </w:p>
    <w:p w14:paraId="78C026EE">
      <w:pPr>
        <w:ind w:firstLine="420"/>
        <w:rPr>
          <w:color w:val="000000"/>
        </w:rPr>
      </w:pPr>
    </w:p>
    <w:p w14:paraId="2E1CD6EB">
      <w:pPr>
        <w:rPr>
          <w:rFonts w:hint="eastAsia" w:ascii="宋体" w:hAnsi="宋体" w:eastAsia="宋体" w:cs="宋体"/>
          <w:color w:val="000000"/>
          <w:kern w:val="0"/>
          <w:sz w:val="21"/>
          <w:szCs w:val="21"/>
          <w:lang w:val="en-US" w:eastAsia="zh-CN" w:bidi="ar-SA"/>
        </w:rPr>
      </w:pPr>
      <w:r>
        <w:rPr>
          <w:rFonts w:hint="eastAsia"/>
          <w:color w:val="000000"/>
          <w:lang w:val="en-US" w:eastAsia="zh-CN"/>
        </w:rPr>
        <w:t xml:space="preserve">                                             </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1"/>
          <w:szCs w:val="21"/>
          <w:lang w:val="en-US" w:eastAsia="zh-CN" w:bidi="ar-SA"/>
        </w:rPr>
        <w:t>标准编制组</w:t>
      </w:r>
    </w:p>
    <w:p w14:paraId="2A268430">
      <w:pPr>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202</w:t>
      </w: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w:t>
      </w:r>
      <w:r>
        <w:rPr>
          <w:rFonts w:hint="eastAsia" w:ascii="宋体" w:hAnsi="宋体" w:cs="宋体"/>
          <w:color w:val="000000"/>
          <w:kern w:val="0"/>
          <w:sz w:val="21"/>
          <w:szCs w:val="21"/>
          <w:lang w:val="en-US" w:eastAsia="zh-CN" w:bidi="ar-SA"/>
        </w:rPr>
        <w:t>7</w:t>
      </w:r>
      <w:r>
        <w:rPr>
          <w:rFonts w:hint="eastAsia" w:ascii="宋体" w:hAnsi="宋体" w:eastAsia="宋体" w:cs="宋体"/>
          <w:color w:val="000000"/>
          <w:kern w:val="0"/>
          <w:sz w:val="21"/>
          <w:szCs w:val="21"/>
          <w:lang w:val="en-US" w:eastAsia="zh-CN" w:bidi="ar-SA"/>
        </w:rPr>
        <w:t>.</w:t>
      </w:r>
      <w:r>
        <w:rPr>
          <w:rFonts w:hint="eastAsia" w:ascii="宋体" w:hAnsi="宋体" w:cs="宋体"/>
          <w:color w:val="000000"/>
          <w:kern w:val="0"/>
          <w:sz w:val="21"/>
          <w:szCs w:val="21"/>
          <w:lang w:val="en-US" w:eastAsia="zh-CN" w:bidi="ar-SA"/>
        </w:rPr>
        <w:t>20</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222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Regular">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B323">
    <w:pPr>
      <w:pStyle w:val="34"/>
      <w:jc w:val="center"/>
      <w:rPr>
        <w:rStyle w:val="21"/>
      </w:rPr>
    </w:pPr>
    <w:r>
      <w:fldChar w:fldCharType="begin"/>
    </w:r>
    <w:r>
      <w:rPr>
        <w:rStyle w:val="21"/>
      </w:rPr>
      <w:instrText xml:space="preserve">PAGE  </w:instrText>
    </w:r>
    <w:r>
      <w:fldChar w:fldCharType="separate"/>
    </w:r>
    <w:r>
      <w:rPr>
        <w:rStyle w:val="21"/>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C8CD8">
    <w:pPr>
      <w:pStyle w:val="31"/>
      <w:rPr>
        <w:rStyle w:val="21"/>
      </w:rPr>
    </w:pPr>
    <w:r>
      <w:fldChar w:fldCharType="begin"/>
    </w:r>
    <w:r>
      <w:rPr>
        <w:rStyle w:val="21"/>
      </w:rPr>
      <w:instrText xml:space="preserve">PAGE  </w:instrText>
    </w:r>
    <w:r>
      <w:fldChar w:fldCharType="separate"/>
    </w:r>
    <w:r>
      <w:rPr>
        <w:rStyle w:val="21"/>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EB42">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39011">
    <w:pPr>
      <w:pStyle w:val="26"/>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266A">
    <w:pPr>
      <w:pStyle w:val="35"/>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CDB2D">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28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TkxZDNjZmE3MDU1Mzk3MjlmOTMwODU3NDUyMzUifQ=="/>
  </w:docVars>
  <w:rsids>
    <w:rsidRoot w:val="007D6007"/>
    <w:rsid w:val="000A31D2"/>
    <w:rsid w:val="00265196"/>
    <w:rsid w:val="00293D9E"/>
    <w:rsid w:val="00412EC7"/>
    <w:rsid w:val="0046451C"/>
    <w:rsid w:val="00511939"/>
    <w:rsid w:val="005B173E"/>
    <w:rsid w:val="005B7993"/>
    <w:rsid w:val="006339AD"/>
    <w:rsid w:val="006D693D"/>
    <w:rsid w:val="007309AE"/>
    <w:rsid w:val="007429CF"/>
    <w:rsid w:val="007D6007"/>
    <w:rsid w:val="007F03B5"/>
    <w:rsid w:val="0087688A"/>
    <w:rsid w:val="008B3999"/>
    <w:rsid w:val="00994EE6"/>
    <w:rsid w:val="00AE5536"/>
    <w:rsid w:val="00BE6407"/>
    <w:rsid w:val="00C12E5B"/>
    <w:rsid w:val="00E55F3D"/>
    <w:rsid w:val="00F24070"/>
    <w:rsid w:val="024C08EB"/>
    <w:rsid w:val="026A3424"/>
    <w:rsid w:val="050B16E7"/>
    <w:rsid w:val="05C71354"/>
    <w:rsid w:val="06473896"/>
    <w:rsid w:val="064E35E8"/>
    <w:rsid w:val="09451486"/>
    <w:rsid w:val="0C2B2D14"/>
    <w:rsid w:val="0C400524"/>
    <w:rsid w:val="11621192"/>
    <w:rsid w:val="13C74749"/>
    <w:rsid w:val="149C2EBA"/>
    <w:rsid w:val="160C0BD9"/>
    <w:rsid w:val="16BC2837"/>
    <w:rsid w:val="16CC4B8B"/>
    <w:rsid w:val="17700978"/>
    <w:rsid w:val="17E420C9"/>
    <w:rsid w:val="1A0E1ACA"/>
    <w:rsid w:val="1ADD6F4B"/>
    <w:rsid w:val="1F332CA6"/>
    <w:rsid w:val="205D1405"/>
    <w:rsid w:val="212112E9"/>
    <w:rsid w:val="246C67BC"/>
    <w:rsid w:val="264239CA"/>
    <w:rsid w:val="2A1E4E03"/>
    <w:rsid w:val="2ABE513C"/>
    <w:rsid w:val="2B8650B2"/>
    <w:rsid w:val="2CA6795F"/>
    <w:rsid w:val="31524423"/>
    <w:rsid w:val="36E36AF5"/>
    <w:rsid w:val="3A897050"/>
    <w:rsid w:val="3B7F3683"/>
    <w:rsid w:val="3D032769"/>
    <w:rsid w:val="3DCC2505"/>
    <w:rsid w:val="3DD005BB"/>
    <w:rsid w:val="40AD5D1F"/>
    <w:rsid w:val="40E54674"/>
    <w:rsid w:val="41DD5D1C"/>
    <w:rsid w:val="428B43FD"/>
    <w:rsid w:val="43B006B0"/>
    <w:rsid w:val="446773DE"/>
    <w:rsid w:val="4C040308"/>
    <w:rsid w:val="4C796A0A"/>
    <w:rsid w:val="4D104273"/>
    <w:rsid w:val="50CC486C"/>
    <w:rsid w:val="519303DB"/>
    <w:rsid w:val="56042F00"/>
    <w:rsid w:val="5ABA6F5D"/>
    <w:rsid w:val="61CE19F6"/>
    <w:rsid w:val="67801F5C"/>
    <w:rsid w:val="67EB5421"/>
    <w:rsid w:val="6B4652AE"/>
    <w:rsid w:val="6BCB2619"/>
    <w:rsid w:val="6EDC5B3C"/>
    <w:rsid w:val="71AF52FC"/>
    <w:rsid w:val="74802EAD"/>
    <w:rsid w:val="75FA4664"/>
    <w:rsid w:val="76544B51"/>
    <w:rsid w:val="776642E5"/>
    <w:rsid w:val="7A1347DE"/>
    <w:rsid w:val="7B3C53FB"/>
    <w:rsid w:val="7CC85B39"/>
    <w:rsid w:val="7CE64C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ind w:firstLine="0" w:firstLineChars="0"/>
      <w:outlineLvl w:val="0"/>
    </w:pPr>
    <w:rPr>
      <w:rFonts w:eastAsia="黑体"/>
      <w:b/>
      <w:bCs/>
      <w:kern w:val="44"/>
      <w:sz w:val="28"/>
      <w:szCs w:val="44"/>
    </w:rPr>
  </w:style>
  <w:style w:type="paragraph" w:styleId="3">
    <w:name w:val="heading 2"/>
    <w:basedOn w:val="1"/>
    <w:next w:val="1"/>
    <w:qFormat/>
    <w:uiPriority w:val="0"/>
    <w:pPr>
      <w:keepNext/>
      <w:keepLines/>
      <w:spacing w:before="120"/>
      <w:ind w:firstLine="0" w:firstLineChars="0"/>
      <w:outlineLvl w:val="1"/>
    </w:pPr>
    <w:rPr>
      <w:rFonts w:ascii="Arial" w:hAnsi="Arial" w:eastAsia="黑体"/>
      <w:bCs/>
      <w:sz w:val="28"/>
      <w:szCs w:val="32"/>
    </w:rPr>
  </w:style>
  <w:style w:type="paragraph" w:styleId="4">
    <w:name w:val="heading 3"/>
    <w:basedOn w:val="5"/>
    <w:next w:val="1"/>
    <w:qFormat/>
    <w:uiPriority w:val="0"/>
    <w:pPr>
      <w:numPr>
        <w:ilvl w:val="0"/>
        <w:numId w:val="0"/>
      </w:numPr>
      <w:spacing w:beforeLines="50" w:afterLines="50" w:line="240" w:lineRule="auto"/>
      <w:ind w:left="142"/>
      <w:jc w:val="left"/>
      <w:outlineLvl w:val="2"/>
    </w:pPr>
    <w:rPr>
      <w:rFonts w:ascii="Times New Roman"/>
      <w:color w:val="000000"/>
      <w:sz w:val="24"/>
    </w:rPr>
  </w:style>
  <w:style w:type="paragraph" w:styleId="8">
    <w:name w:val="heading 4"/>
    <w:basedOn w:val="1"/>
    <w:next w:val="1"/>
    <w:qFormat/>
    <w:uiPriority w:val="0"/>
    <w:pPr>
      <w:keepNext/>
      <w:keepLines/>
      <w:outlineLvl w:val="3"/>
    </w:pPr>
    <w:rPr>
      <w:rFonts w:ascii="Arial" w:hAnsi="Arial"/>
      <w:b/>
      <w:bCs/>
      <w:szCs w:val="28"/>
    </w:rPr>
  </w:style>
  <w:style w:type="character" w:default="1" w:styleId="20">
    <w:name w:val="Default Paragraph Font"/>
    <w:autoRedefine/>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5">
    <w:name w:val="一级条标题"/>
    <w:basedOn w:val="6"/>
    <w:next w:val="7"/>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9">
    <w:name w:val="Body Text"/>
    <w:basedOn w:val="1"/>
    <w:qFormat/>
    <w:uiPriority w:val="0"/>
    <w:pPr>
      <w:spacing w:after="120"/>
    </w:pPr>
  </w:style>
  <w:style w:type="paragraph" w:styleId="10">
    <w:name w:val="Body Text Indent"/>
    <w:basedOn w:val="1"/>
    <w:link w:val="22"/>
    <w:qFormat/>
    <w:uiPriority w:val="0"/>
    <w:pPr>
      <w:spacing w:after="120"/>
      <w:ind w:left="420" w:leftChars="200"/>
    </w:pPr>
  </w:style>
  <w:style w:type="paragraph" w:styleId="11">
    <w:name w:val="Balloon Text"/>
    <w:basedOn w:val="1"/>
    <w:link w:val="23"/>
    <w:qFormat/>
    <w:uiPriority w:val="0"/>
    <w:pPr>
      <w:spacing w:line="240" w:lineRule="auto"/>
    </w:pPr>
    <w:rPr>
      <w:sz w:val="18"/>
      <w:szCs w:val="18"/>
    </w:rPr>
  </w:style>
  <w:style w:type="paragraph" w:styleId="12">
    <w:name w:val="footer"/>
    <w:basedOn w:val="1"/>
    <w:unhideWhenUsed/>
    <w:qFormat/>
    <w:uiPriority w:val="99"/>
    <w:pPr>
      <w:tabs>
        <w:tab w:val="center" w:pos="4153"/>
        <w:tab w:val="right" w:pos="8306"/>
      </w:tabs>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pacing w:line="240" w:lineRule="auto"/>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6">
    <w:name w:val="Body Text First Indent"/>
    <w:basedOn w:val="9"/>
    <w:qFormat/>
    <w:uiPriority w:val="0"/>
    <w:pPr>
      <w:adjustRightInd w:val="0"/>
      <w:spacing w:after="0" w:line="240" w:lineRule="atLeast"/>
      <w:jc w:val="left"/>
      <w:textAlignment w:val="baseline"/>
    </w:pPr>
    <w:rPr>
      <w:rFonts w:ascii="宋体" w:hAnsi="宋体"/>
      <w:color w:val="000000"/>
    </w:rPr>
  </w:style>
  <w:style w:type="paragraph" w:styleId="17">
    <w:name w:val="Body Text First Indent 2"/>
    <w:basedOn w:val="10"/>
    <w:link w:val="25"/>
    <w:qFormat/>
    <w:uiPriority w:val="0"/>
    <w:pPr>
      <w:ind w:firstLine="420"/>
    </w:pPr>
  </w:style>
  <w:style w:type="table" w:styleId="19">
    <w:name w:val="Table Grid"/>
    <w:basedOn w:val="18"/>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ascii="Times New Roman" w:hAnsi="Times New Roman" w:eastAsia="宋体"/>
      <w:sz w:val="18"/>
    </w:rPr>
  </w:style>
  <w:style w:type="character" w:customStyle="1" w:styleId="22">
    <w:name w:val="正文文本缩进 字符"/>
    <w:link w:val="10"/>
    <w:qFormat/>
    <w:uiPriority w:val="0"/>
    <w:rPr>
      <w:kern w:val="2"/>
      <w:sz w:val="21"/>
      <w:szCs w:val="24"/>
    </w:rPr>
  </w:style>
  <w:style w:type="character" w:customStyle="1" w:styleId="23">
    <w:name w:val="批注框文本 字符"/>
    <w:link w:val="11"/>
    <w:qFormat/>
    <w:uiPriority w:val="0"/>
    <w:rPr>
      <w:kern w:val="2"/>
      <w:sz w:val="18"/>
      <w:szCs w:val="18"/>
    </w:rPr>
  </w:style>
  <w:style w:type="character" w:customStyle="1" w:styleId="24">
    <w:name w:val="页眉 字符"/>
    <w:link w:val="13"/>
    <w:qFormat/>
    <w:uiPriority w:val="0"/>
    <w:rPr>
      <w:kern w:val="2"/>
      <w:sz w:val="18"/>
      <w:szCs w:val="18"/>
    </w:rPr>
  </w:style>
  <w:style w:type="character" w:customStyle="1" w:styleId="25">
    <w:name w:val="正文文本首行缩进 2 字符"/>
    <w:basedOn w:val="22"/>
    <w:link w:val="17"/>
    <w:qFormat/>
    <w:uiPriority w:val="0"/>
  </w:style>
  <w:style w:type="paragraph" w:customStyle="1" w:styleId="2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
    <w:name w:val="标准书眉一"/>
    <w:qFormat/>
    <w:uiPriority w:val="0"/>
    <w:pPr>
      <w:jc w:val="both"/>
    </w:pPr>
    <w:rPr>
      <w:rFonts w:ascii="Times New Roman" w:hAnsi="Times New Roman" w:eastAsia="宋体" w:cs="Times New Roman"/>
      <w:lang w:val="en-US" w:eastAsia="zh-CN" w:bidi="ar-SA"/>
    </w:rPr>
  </w:style>
  <w:style w:type="paragraph" w:customStyle="1" w:styleId="28">
    <w:name w:val="样式 正文首行缩进 2 + 首行缩进:  2 字符"/>
    <w:basedOn w:val="1"/>
    <w:next w:val="9"/>
    <w:qFormat/>
    <w:uiPriority w:val="0"/>
    <w:pPr>
      <w:adjustRightInd/>
      <w:snapToGrid/>
      <w:spacing w:line="400" w:lineRule="exact"/>
      <w:ind w:firstLine="480"/>
    </w:pPr>
    <w:rPr>
      <w:rFonts w:cs="宋体"/>
      <w:sz w:val="24"/>
      <w:szCs w:val="20"/>
    </w:rPr>
  </w:style>
  <w:style w:type="paragraph" w:customStyle="1" w:styleId="29">
    <w:name w:val="二级无"/>
    <w:basedOn w:val="30"/>
    <w:qFormat/>
    <w:uiPriority w:val="0"/>
    <w:pPr>
      <w:spacing w:before="0" w:beforeLines="0" w:after="0" w:afterLines="0"/>
    </w:pPr>
    <w:rPr>
      <w:rFonts w:ascii="宋体" w:eastAsia="宋体"/>
    </w:rPr>
  </w:style>
  <w:style w:type="paragraph" w:customStyle="1" w:styleId="30">
    <w:name w:val="二级条标题"/>
    <w:basedOn w:val="5"/>
    <w:next w:val="7"/>
    <w:qFormat/>
    <w:uiPriority w:val="99"/>
    <w:pPr>
      <w:numPr>
        <w:ilvl w:val="2"/>
        <w:numId w:val="2"/>
      </w:numPr>
      <w:spacing w:before="50" w:after="50"/>
      <w:outlineLvl w:val="3"/>
    </w:pPr>
  </w:style>
  <w:style w:type="paragraph" w:customStyle="1" w:styleId="3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2">
    <w:name w:val="p0"/>
    <w:basedOn w:val="1"/>
    <w:autoRedefine/>
    <w:qFormat/>
    <w:uiPriority w:val="0"/>
    <w:pPr>
      <w:widowControl/>
    </w:pPr>
    <w:rPr>
      <w:rFonts w:ascii="Calibri" w:hAnsi="Calibri" w:cs="宋体"/>
      <w:kern w:val="0"/>
      <w:szCs w:val="21"/>
    </w:rPr>
  </w:style>
  <w:style w:type="paragraph" w:customStyle="1" w:styleId="33">
    <w:name w:val="正文表标题"/>
    <w:next w:val="7"/>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4">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35">
    <w:name w:val="标准书眉_偶数页"/>
    <w:basedOn w:val="26"/>
    <w:next w:val="1"/>
    <w:qFormat/>
    <w:uiPriority w:val="0"/>
    <w:pPr>
      <w:jc w:val="left"/>
    </w:pPr>
  </w:style>
  <w:style w:type="paragraph" w:customStyle="1" w:styleId="36">
    <w:name w:val="体系题目2"/>
    <w:basedOn w:val="1"/>
    <w:qFormat/>
    <w:uiPriority w:val="0"/>
    <w:pPr>
      <w:ind w:left="400" w:hanging="400"/>
      <w:jc w:val="left"/>
      <w:outlineLvl w:val="1"/>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3141</Words>
  <Characters>3315</Characters>
  <Lines>69</Lines>
  <Paragraphs>19</Paragraphs>
  <TotalTime>1</TotalTime>
  <ScaleCrop>false</ScaleCrop>
  <LinksUpToDate>false</LinksUpToDate>
  <CharactersWithSpaces>3424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2020-09-11T08:09:00Z</dcterms:created>
  <dc:creator>XTJC-liuguoxia</dc:creator>
  <cp:lastModifiedBy>刘国霞</cp:lastModifiedBy>
  <dcterms:modified xsi:type="dcterms:W3CDTF">2024-08-14T04:46:40Z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588C43706E4D4300A6562B64F03417A5_13</vt:lpwstr>
  </property>
</Properties>
</file>