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3D986">
      <w:pPr>
        <w:jc w:val="right"/>
        <w:rPr>
          <w:rFonts w:eastAsia="黑体"/>
          <w:b/>
          <w:color w:val="000000"/>
          <w:w w:val="150"/>
          <w:sz w:val="96"/>
          <w:szCs w:val="96"/>
        </w:rPr>
      </w:pPr>
      <w:r>
        <w:rPr>
          <w:rFonts w:eastAsia="黑体"/>
          <w:b/>
          <w:color w:val="000000"/>
          <w:w w:val="150"/>
          <w:sz w:val="96"/>
          <w:szCs w:val="96"/>
        </w:rPr>
        <w:t>YS</w:t>
      </w:r>
    </w:p>
    <w:p w14:paraId="6D9C10E1">
      <w:pPr>
        <w:jc w:val="distribute"/>
        <w:rPr>
          <w:rFonts w:ascii="黑体" w:hAnsi="黑体" w:eastAsia="黑体"/>
          <w:b/>
          <w:color w:val="000000"/>
          <w:sz w:val="44"/>
          <w:szCs w:val="52"/>
        </w:rPr>
      </w:pPr>
      <w:r>
        <w:rPr>
          <w:rFonts w:hint="eastAsia" w:ascii="黑体" w:hAnsi="黑体" w:eastAsia="黑体"/>
          <w:b/>
          <w:color w:val="000000"/>
          <w:sz w:val="48"/>
          <w:szCs w:val="52"/>
        </w:rPr>
        <w:t>中华人民共和国有色金属行业标准</w:t>
      </w:r>
    </w:p>
    <w:p w14:paraId="1D55F1F3">
      <w:pPr>
        <w:jc w:val="right"/>
        <w:rPr>
          <w:rFonts w:eastAsia="黑体"/>
          <w:color w:val="000000"/>
          <w:spacing w:val="20"/>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943600" cy="0"/>
                <wp:effectExtent l="9525" t="15240" r="9525" b="13335"/>
                <wp:wrapNone/>
                <wp:docPr id="12" name="Line 14"/>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wps:spPr>
                      <wps:bodyPr/>
                    </wps:wsp>
                  </a:graphicData>
                </a:graphic>
              </wp:anchor>
            </w:drawing>
          </mc:Choice>
          <mc:Fallback>
            <w:pict>
              <v:line id="Line 14" o:spid="_x0000_s1026" o:spt="20" style="position:absolute;left:0pt;margin-left:0pt;margin-top:31.2pt;height:0pt;width:468pt;z-index:251659264;mso-width-relative:page;mso-height-relative:page;" filled="f" stroked="t" coordsize="21600,21600" o:gfxdata="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PLqtdUAAAAGAQAADwAAAAAAAAABACAAAAAiAAAAZHJzL2Rvd25y&#10;ZXYueG1sUEsBAhQAFAAAAAgAh07iQF4MpJPIAQAAogMAAA4AAAAAAAAAAQAgAAAAJAEAAGRycy9l&#10;Mm9Eb2MueG1sUEsFBgAAAAAGAAYAWQEAAF4FAAAAAA==&#10;">
                <v:fill on="f" focussize="0,0"/>
                <v:stroke weight="1pt" color="#000000" joinstyle="round"/>
                <v:imagedata o:title=""/>
                <o:lock v:ext="edit" aspectratio="f"/>
              </v:line>
            </w:pict>
          </mc:Fallback>
        </mc:AlternateContent>
      </w:r>
      <w:r>
        <w:rPr>
          <w:rFonts w:eastAsia="黑体"/>
          <w:color w:val="000000"/>
          <w:spacing w:val="20"/>
          <w:sz w:val="28"/>
          <w:szCs w:val="28"/>
        </w:rPr>
        <w:t>YS/T XXXX-202X</w:t>
      </w:r>
    </w:p>
    <w:p w14:paraId="2C107913">
      <w:pPr>
        <w:rPr>
          <w:rFonts w:eastAsia="黑体"/>
          <w:color w:val="000000"/>
          <w:spacing w:val="20"/>
          <w:sz w:val="28"/>
          <w:szCs w:val="28"/>
        </w:rPr>
      </w:pPr>
    </w:p>
    <w:p w14:paraId="0A726267">
      <w:pPr>
        <w:rPr>
          <w:rFonts w:eastAsia="黑体"/>
          <w:color w:val="000000"/>
          <w:spacing w:val="20"/>
          <w:sz w:val="28"/>
          <w:szCs w:val="28"/>
        </w:rPr>
      </w:pPr>
    </w:p>
    <w:p w14:paraId="483736E0">
      <w:pPr>
        <w:rPr>
          <w:rFonts w:eastAsia="黑体"/>
          <w:color w:val="000000"/>
          <w:spacing w:val="20"/>
          <w:sz w:val="28"/>
          <w:szCs w:val="28"/>
        </w:rPr>
      </w:pPr>
    </w:p>
    <w:p w14:paraId="4AC92CB3">
      <w:pPr>
        <w:rPr>
          <w:rFonts w:eastAsia="黑体"/>
          <w:color w:val="000000"/>
          <w:spacing w:val="20"/>
          <w:sz w:val="28"/>
          <w:szCs w:val="28"/>
        </w:rPr>
      </w:pPr>
    </w:p>
    <w:p w14:paraId="6662687E">
      <w:pPr>
        <w:rPr>
          <w:rFonts w:eastAsia="黑体"/>
          <w:color w:val="000000"/>
          <w:spacing w:val="20"/>
          <w:sz w:val="28"/>
          <w:szCs w:val="28"/>
        </w:rPr>
      </w:pPr>
    </w:p>
    <w:p w14:paraId="63D5FCCB">
      <w:pPr>
        <w:rPr>
          <w:rFonts w:eastAsia="黑体"/>
          <w:color w:val="000000"/>
          <w:spacing w:val="20"/>
          <w:sz w:val="28"/>
          <w:szCs w:val="28"/>
        </w:rPr>
      </w:pPr>
    </w:p>
    <w:p w14:paraId="4374B9CA">
      <w:pPr>
        <w:jc w:val="center"/>
        <w:rPr>
          <w:rFonts w:eastAsia="黑体"/>
          <w:color w:val="000000"/>
          <w:spacing w:val="20"/>
          <w:sz w:val="52"/>
          <w:szCs w:val="52"/>
        </w:rPr>
      </w:pPr>
      <w:r>
        <w:rPr>
          <w:rFonts w:hint="eastAsia" w:eastAsia="黑体"/>
          <w:color w:val="000000"/>
          <w:spacing w:val="20"/>
          <w:sz w:val="52"/>
          <w:szCs w:val="52"/>
        </w:rPr>
        <w:t>区熔用硅多晶材料</w:t>
      </w:r>
    </w:p>
    <w:p w14:paraId="17854BBF">
      <w:pPr>
        <w:jc w:val="center"/>
        <w:rPr>
          <w:rFonts w:eastAsia="黑体"/>
          <w:b/>
          <w:color w:val="000000"/>
          <w:spacing w:val="20"/>
          <w:sz w:val="28"/>
          <w:szCs w:val="28"/>
        </w:rPr>
      </w:pPr>
      <w:r>
        <w:rPr>
          <w:rFonts w:eastAsia="黑体"/>
          <w:b/>
          <w:color w:val="000000"/>
          <w:spacing w:val="20"/>
          <w:sz w:val="28"/>
          <w:szCs w:val="28"/>
        </w:rPr>
        <w:t>Polycrystalline silicon</w:t>
      </w:r>
      <w:r>
        <w:rPr>
          <w:rFonts w:hint="eastAsia" w:eastAsia="黑体"/>
          <w:b/>
          <w:color w:val="000000"/>
          <w:spacing w:val="20"/>
          <w:sz w:val="28"/>
          <w:szCs w:val="28"/>
        </w:rPr>
        <w:t xml:space="preserve"> </w:t>
      </w:r>
      <w:r>
        <w:rPr>
          <w:rFonts w:eastAsia="黑体"/>
          <w:b/>
          <w:color w:val="000000"/>
          <w:spacing w:val="20"/>
          <w:sz w:val="28"/>
          <w:szCs w:val="28"/>
        </w:rPr>
        <w:t xml:space="preserve">materials </w:t>
      </w:r>
      <w:r>
        <w:rPr>
          <w:rFonts w:hint="eastAsia" w:eastAsia="黑体"/>
          <w:b/>
          <w:color w:val="000000"/>
          <w:spacing w:val="20"/>
          <w:sz w:val="28"/>
          <w:szCs w:val="28"/>
        </w:rPr>
        <w:t>for</w:t>
      </w:r>
      <w:r>
        <w:rPr>
          <w:rFonts w:eastAsia="黑体"/>
          <w:b/>
          <w:color w:val="000000"/>
          <w:spacing w:val="20"/>
          <w:sz w:val="28"/>
          <w:szCs w:val="28"/>
        </w:rPr>
        <w:t xml:space="preserve"> float zoned</w:t>
      </w:r>
    </w:p>
    <w:p w14:paraId="51E88FD1">
      <w:pPr>
        <w:jc w:val="center"/>
        <w:rPr>
          <w:rFonts w:eastAsia="黑体"/>
          <w:b/>
          <w:color w:val="000000"/>
          <w:spacing w:val="20"/>
          <w:sz w:val="28"/>
          <w:szCs w:val="28"/>
        </w:rPr>
      </w:pPr>
    </w:p>
    <w:p w14:paraId="6CFE101E">
      <w:pPr>
        <w:rPr>
          <w:rFonts w:eastAsia="黑体"/>
          <w:color w:val="000000"/>
          <w:spacing w:val="20"/>
          <w:sz w:val="28"/>
          <w:szCs w:val="28"/>
        </w:rPr>
      </w:pPr>
    </w:p>
    <w:p w14:paraId="6FBA0854">
      <w:pPr>
        <w:rPr>
          <w:rFonts w:eastAsia="黑体"/>
          <w:color w:val="000000"/>
          <w:spacing w:val="20"/>
          <w:sz w:val="28"/>
          <w:szCs w:val="28"/>
        </w:rPr>
      </w:pPr>
    </w:p>
    <w:p w14:paraId="71F98997">
      <w:pPr>
        <w:jc w:val="center"/>
        <w:rPr>
          <w:rFonts w:hint="eastAsia" w:eastAsia="黑体"/>
          <w:color w:val="000000"/>
          <w:spacing w:val="20"/>
          <w:sz w:val="28"/>
          <w:szCs w:val="28"/>
          <w:lang w:val="en-US" w:eastAsia="zh-CN"/>
        </w:rPr>
        <w:sectPr>
          <w:headerReference r:id="rId3" w:type="default"/>
          <w:footerReference r:id="rId4" w:type="default"/>
          <w:pgSz w:w="11906" w:h="16838"/>
          <w:pgMar w:top="1134" w:right="1134" w:bottom="1134" w:left="1418" w:header="851" w:footer="992" w:gutter="0"/>
          <w:cols w:space="720" w:num="1"/>
          <w:docGrid w:type="lines" w:linePitch="312" w:charSpace="0"/>
        </w:sectPr>
      </w:pPr>
      <w:r>
        <w:rPr>
          <w:rFonts w:hint="eastAsia" w:eastAsia="黑体"/>
          <w:color w:val="000000"/>
          <w:spacing w:val="20"/>
          <w:sz w:val="28"/>
          <w:szCs w:val="28"/>
          <w:lang w:val="en-US" w:eastAsia="zh-CN"/>
        </w:rPr>
        <w:t>（送审稿）</w:t>
      </w:r>
    </w:p>
    <w:p w14:paraId="77ECB320">
      <w:pPr>
        <w:rPr>
          <w:rFonts w:eastAsia="黑体"/>
          <w:color w:val="000000"/>
          <w:spacing w:val="20"/>
          <w:sz w:val="28"/>
          <w:szCs w:val="28"/>
        </w:rPr>
      </w:pPr>
    </w:p>
    <w:p w14:paraId="6416AE36">
      <w:pPr>
        <w:rPr>
          <w:rFonts w:eastAsia="黑体"/>
          <w:color w:val="000000"/>
          <w:spacing w:val="20"/>
          <w:sz w:val="28"/>
          <w:szCs w:val="28"/>
        </w:rPr>
      </w:pPr>
    </w:p>
    <w:p w14:paraId="6FCB1FCA">
      <w:pPr>
        <w:rPr>
          <w:rFonts w:eastAsia="黑体"/>
          <w:i/>
          <w:color w:val="000000"/>
          <w:spacing w:val="20"/>
          <w:szCs w:val="21"/>
        </w:rPr>
      </w:pPr>
    </w:p>
    <w:p w14:paraId="7F960EE7">
      <w:pPr>
        <w:rPr>
          <w:rFonts w:eastAsia="黑体"/>
          <w:i/>
          <w:color w:val="000000"/>
          <w:spacing w:val="20"/>
          <w:szCs w:val="21"/>
        </w:rPr>
      </w:pPr>
    </w:p>
    <w:p w14:paraId="09715257">
      <w:pPr>
        <w:rPr>
          <w:rFonts w:eastAsia="黑体"/>
          <w:i/>
          <w:color w:val="000000"/>
          <w:spacing w:val="20"/>
          <w:szCs w:val="21"/>
        </w:rPr>
      </w:pPr>
    </w:p>
    <w:p w14:paraId="397D6370">
      <w:pPr>
        <w:rPr>
          <w:rFonts w:eastAsia="黑体"/>
          <w:color w:val="000000"/>
          <w:spacing w:val="20"/>
          <w:sz w:val="28"/>
          <w:szCs w:val="28"/>
        </w:rPr>
      </w:pPr>
      <w:r>
        <w:rPr>
          <w:rFonts w:eastAsia="黑体"/>
          <w:color w:val="000000"/>
          <w:spacing w:val="20"/>
          <w:sz w:val="28"/>
          <w:szCs w:val="28"/>
        </w:rPr>
        <w:t>202X-XX-XX</w:t>
      </w:r>
      <w:r>
        <w:rPr>
          <w:rFonts w:hint="eastAsia" w:eastAsia="黑体"/>
          <w:color w:val="000000"/>
          <w:spacing w:val="20"/>
          <w:sz w:val="28"/>
          <w:szCs w:val="28"/>
        </w:rPr>
        <w:t>发布</w:t>
      </w:r>
      <w:r>
        <w:rPr>
          <w:rFonts w:eastAsia="黑体"/>
          <w:color w:val="000000"/>
          <w:spacing w:val="20"/>
          <w:sz w:val="28"/>
          <w:szCs w:val="28"/>
        </w:rPr>
        <w:t xml:space="preserve">                        </w:t>
      </w:r>
      <w:bookmarkStart w:id="1" w:name="_GoBack"/>
      <w:bookmarkEnd w:id="1"/>
      <w:r>
        <w:rPr>
          <w:rFonts w:eastAsia="黑体"/>
          <w:color w:val="000000"/>
          <w:spacing w:val="20"/>
          <w:sz w:val="28"/>
          <w:szCs w:val="28"/>
        </w:rPr>
        <w:t>202X-XX-XX</w:t>
      </w:r>
      <w:r>
        <w:rPr>
          <w:rFonts w:hint="eastAsia" w:eastAsia="黑体"/>
          <w:color w:val="000000"/>
          <w:spacing w:val="20"/>
          <w:sz w:val="28"/>
          <w:szCs w:val="28"/>
        </w:rPr>
        <w:t>实施</w:t>
      </w:r>
    </w:p>
    <w:p w14:paraId="7FF22E32">
      <w:pPr>
        <w:adjustRightInd w:val="0"/>
        <w:snapToGrid w:val="0"/>
        <w:spacing w:line="240" w:lineRule="atLeast"/>
        <w:jc w:val="center"/>
        <w:rPr>
          <w:rFonts w:eastAsia="黑体"/>
          <w:color w:val="000000"/>
          <w:kern w:val="0"/>
          <w:sz w:val="28"/>
          <w:szCs w:val="28"/>
        </w:rPr>
      </w:pPr>
      <w: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43180</wp:posOffset>
                </wp:positionV>
                <wp:extent cx="5894705" cy="635"/>
                <wp:effectExtent l="5715" t="5080" r="5080" b="13335"/>
                <wp:wrapNone/>
                <wp:docPr id="11" name="Line 15"/>
                <wp:cNvGraphicFramePr/>
                <a:graphic xmlns:a="http://schemas.openxmlformats.org/drawingml/2006/main">
                  <a:graphicData uri="http://schemas.microsoft.com/office/word/2010/wordprocessingShape">
                    <wps:wsp>
                      <wps:cNvCnPr>
                        <a:cxnSpLocks noChangeShapeType="1"/>
                      </wps:cNvCnPr>
                      <wps:spPr bwMode="auto">
                        <a:xfrm>
                          <a:off x="0" y="0"/>
                          <a:ext cx="5894705" cy="635"/>
                        </a:xfrm>
                        <a:prstGeom prst="line">
                          <a:avLst/>
                        </a:prstGeom>
                        <a:noFill/>
                        <a:ln w="3175">
                          <a:solidFill>
                            <a:srgbClr val="000000"/>
                          </a:solidFill>
                          <a:round/>
                        </a:ln>
                      </wps:spPr>
                      <wps:bodyPr/>
                    </wps:wsp>
                  </a:graphicData>
                </a:graphic>
              </wp:anchor>
            </w:drawing>
          </mc:Choice>
          <mc:Fallback>
            <w:pict>
              <v:line id="Line 15" o:spid="_x0000_s1026" o:spt="20" style="position:absolute;left:0pt;margin-left:-3.3pt;margin-top:3.4pt;height:0.05pt;width:464.15pt;z-index:251660288;mso-width-relative:page;mso-height-relative:page;" filled="f" stroked="t" coordsize="21600,21600" o:gfxdata="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&#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uW1N1gAAAAYBAAAPAAAAAAAAAAEAIAAAACIAAABk&#10;cnMvZG93bnJldi54bWxQSwECFAAUAAAACACHTuJAqofZv88BAACjAwAADgAAAAAAAAABACAAAAAl&#10;AQAAZHJzL2Uyb0RvYy54bWxQSwUGAAAAAAYABgBZAQAAZgUAAAAA&#10;">
                <v:fill on="f" focussize="0,0"/>
                <v:stroke weight="0.25pt" color="#000000" joinstyle="round"/>
                <v:imagedata o:title=""/>
                <o:lock v:ext="edit" aspectratio="f"/>
              </v:line>
            </w:pict>
          </mc:Fallback>
        </mc:AlternateContent>
      </w:r>
    </w:p>
    <w:p w14:paraId="00370DA8">
      <w:pPr>
        <w:tabs>
          <w:tab w:val="center" w:pos="4677"/>
          <w:tab w:val="right" w:pos="9354"/>
        </w:tabs>
        <w:adjustRightInd w:val="0"/>
        <w:snapToGrid w:val="0"/>
        <w:jc w:val="left"/>
        <w:rPr>
          <w:rFonts w:eastAsia="黑体"/>
          <w:color w:val="000000"/>
          <w:kern w:val="0"/>
          <w:sz w:val="36"/>
          <w:szCs w:val="28"/>
        </w:rPr>
        <w:sectPr>
          <w:headerReference r:id="rId5" w:type="even"/>
          <w:type w:val="continuous"/>
          <w:pgSz w:w="11906" w:h="16838"/>
          <w:pgMar w:top="1134" w:right="1134" w:bottom="1134" w:left="1418" w:header="851" w:footer="992" w:gutter="0"/>
          <w:cols w:space="720" w:num="1"/>
          <w:docGrid w:type="lines" w:linePitch="312" w:charSpace="0"/>
        </w:sectPr>
      </w:pPr>
      <w:r>
        <w:rPr>
          <w:rFonts w:eastAsia="黑体"/>
          <w:color w:val="000000"/>
          <w:spacing w:val="30"/>
          <w:kern w:val="0"/>
          <w:sz w:val="36"/>
          <w:szCs w:val="28"/>
          <w:eastAsianLayout w:id="3" w:combine="1"/>
        </w:rPr>
        <w:tab/>
      </w:r>
      <w:r>
        <w:rPr>
          <w:rFonts w:hint="eastAsia" w:eastAsia="黑体"/>
          <w:color w:val="000000"/>
          <w:spacing w:val="30"/>
          <w:kern w:val="0"/>
          <w:sz w:val="36"/>
          <w:szCs w:val="28"/>
          <w:fitText w:val="5828" w:id="-1009646592"/>
          <w:eastAsianLayout w:id="4" w:combine="1"/>
        </w:rPr>
        <w:t>中华人民共和国工业和信息化</w:t>
      </w:r>
      <w:r>
        <w:rPr>
          <w:rFonts w:hint="eastAsia" w:eastAsia="黑体"/>
          <w:color w:val="000000"/>
          <w:spacing w:val="4"/>
          <w:kern w:val="0"/>
          <w:sz w:val="36"/>
          <w:szCs w:val="28"/>
          <w:fitText w:val="5828" w:id="-1009646592"/>
          <w:eastAsianLayout w:id="5" w:combine="1"/>
        </w:rPr>
        <w:t>部</w:t>
      </w:r>
      <w:r>
        <w:rPr>
          <w:rFonts w:hint="eastAsia" w:eastAsia="黑体"/>
          <w:color w:val="000000"/>
          <w:kern w:val="0"/>
          <w:sz w:val="36"/>
          <w:szCs w:val="28"/>
        </w:rPr>
        <w:t xml:space="preserve">  发 布</w:t>
      </w:r>
      <w:r>
        <w:rPr>
          <w:rFonts w:eastAsia="黑体"/>
          <w:color w:val="000000"/>
          <w:kern w:val="0"/>
          <w:sz w:val="36"/>
          <w:szCs w:val="28"/>
        </w:rPr>
        <w:tab/>
      </w:r>
      <w:r>
        <w:rPr>
          <w:w w:val="150"/>
          <w:sz w:val="28"/>
        </w:rPr>
        <w:t xml:space="preserve">          </w:t>
      </w:r>
    </w:p>
    <w:p w14:paraId="683D3873">
      <w:pPr>
        <w:pStyle w:val="8"/>
        <w:rPr>
          <w:rFonts w:ascii="Times New Roman"/>
          <w:color w:val="000000"/>
          <w:sz w:val="31"/>
          <w:szCs w:val="31"/>
        </w:rPr>
      </w:pPr>
      <w:r>
        <w:rPr>
          <w:rFonts w:hint="eastAsia" w:ascii="Times New Roman"/>
          <w:color w:val="000000"/>
          <w:sz w:val="31"/>
          <w:szCs w:val="31"/>
        </w:rPr>
        <w:t>前</w:t>
      </w:r>
      <w:r>
        <w:rPr>
          <w:rFonts w:ascii="Times New Roman"/>
          <w:color w:val="000000"/>
          <w:sz w:val="31"/>
          <w:szCs w:val="31"/>
        </w:rPr>
        <w:t xml:space="preserve">    </w:t>
      </w:r>
      <w:r>
        <w:rPr>
          <w:rFonts w:hint="eastAsia" w:ascii="Times New Roman"/>
          <w:color w:val="000000"/>
          <w:sz w:val="31"/>
          <w:szCs w:val="31"/>
        </w:rPr>
        <w:t>言</w:t>
      </w:r>
    </w:p>
    <w:p w14:paraId="1F7473FC">
      <w:pPr>
        <w:pStyle w:val="9"/>
        <w:ind w:firstLine="447" w:firstLineChars="213"/>
        <w:rPr>
          <w:rFonts w:hAnsi="宋体" w:cs="宋体"/>
          <w:color w:val="000000"/>
          <w:szCs w:val="21"/>
        </w:rPr>
      </w:pPr>
      <w:r>
        <w:rPr>
          <w:rFonts w:hint="eastAsia" w:hAnsi="宋体" w:cs="宋体"/>
          <w:color w:val="000000"/>
          <w:szCs w:val="21"/>
        </w:rPr>
        <w:t>本文件按照GB/T 1.1-2020的规定编写。</w:t>
      </w:r>
    </w:p>
    <w:p w14:paraId="55FAB4FF">
      <w:pPr>
        <w:pStyle w:val="9"/>
        <w:ind w:firstLine="447" w:firstLineChars="213"/>
        <w:rPr>
          <w:rFonts w:hAnsi="宋体" w:cs="宋体"/>
          <w:color w:val="000000"/>
          <w:szCs w:val="21"/>
        </w:rPr>
      </w:pPr>
      <w:r>
        <w:rPr>
          <w:rFonts w:hint="eastAsia" w:hAnsi="宋体" w:cs="宋体"/>
          <w:color w:val="000000"/>
          <w:szCs w:val="21"/>
        </w:rPr>
        <w:t>请注意本文件的某些内容可能涉及专利。本文件的发布机构不承担识别这些专利的责任。</w:t>
      </w:r>
    </w:p>
    <w:p w14:paraId="75B48650">
      <w:pPr>
        <w:widowControl/>
        <w:autoSpaceDE w:val="0"/>
        <w:autoSpaceDN w:val="0"/>
        <w:ind w:firstLine="420" w:firstLineChars="200"/>
        <w:rPr>
          <w:rFonts w:ascii="宋体" w:hAnsi="宋体" w:cs="宋体"/>
          <w:color w:val="000000"/>
          <w:kern w:val="0"/>
          <w:szCs w:val="21"/>
        </w:rPr>
      </w:pPr>
      <w:r>
        <w:rPr>
          <w:rFonts w:hint="eastAsia" w:ascii="宋体" w:hAnsi="宋体" w:cs="宋体"/>
          <w:color w:val="000000"/>
          <w:kern w:val="0"/>
          <w:szCs w:val="21"/>
        </w:rPr>
        <w:t>本文件由全国有色金属标准化技术委员会（SAC/TC243）、全国半导体设备和材料标准化技术委员会材料分技术委员会（SAC/TC203/SC2）提出并归口。</w:t>
      </w:r>
    </w:p>
    <w:p w14:paraId="16920D66">
      <w:pPr>
        <w:pStyle w:val="9"/>
        <w:ind w:firstLine="420"/>
        <w:rPr>
          <w:rFonts w:hAnsi="宋体" w:cs="宋体"/>
          <w:color w:val="000000"/>
          <w:szCs w:val="21"/>
        </w:rPr>
      </w:pPr>
      <w:r>
        <w:rPr>
          <w:rFonts w:hint="eastAsia" w:hAnsi="宋体" w:cs="宋体"/>
          <w:color w:val="000000"/>
          <w:szCs w:val="21"/>
        </w:rPr>
        <w:t>本文件起草单位:陕西有色天宏瑞科硅材料有限责任公司。</w:t>
      </w:r>
    </w:p>
    <w:p w14:paraId="45D12C27">
      <w:pPr>
        <w:pStyle w:val="9"/>
        <w:ind w:firstLine="420"/>
        <w:rPr>
          <w:rFonts w:hAnsi="宋体" w:cs="宋体"/>
          <w:color w:val="000000"/>
          <w:szCs w:val="21"/>
        </w:rPr>
      </w:pPr>
      <w:r>
        <w:rPr>
          <w:rFonts w:hint="eastAsia" w:hAnsi="宋体" w:cs="宋体"/>
          <w:color w:val="000000"/>
          <w:szCs w:val="21"/>
        </w:rPr>
        <w:t xml:space="preserve">本文件主要起草人： </w:t>
      </w:r>
    </w:p>
    <w:p w14:paraId="233ED34A">
      <w:pPr>
        <w:pStyle w:val="9"/>
        <w:ind w:firstLine="420"/>
        <w:rPr>
          <w:rFonts w:ascii="Times New Roman" w:eastAsia="黑体"/>
          <w:color w:val="000000"/>
          <w:sz w:val="20"/>
        </w:rPr>
        <w:sectPr>
          <w:headerReference r:id="rId6" w:type="default"/>
          <w:footerReference r:id="rId7" w:type="default"/>
          <w:footerReference r:id="rId8" w:type="even"/>
          <w:pgSz w:w="11906" w:h="16838"/>
          <w:pgMar w:top="1134" w:right="1134" w:bottom="1134" w:left="1418" w:header="851" w:footer="992" w:gutter="0"/>
          <w:pgNumType w:start="1"/>
          <w:cols w:space="720" w:num="1"/>
          <w:docGrid w:type="lines" w:linePitch="312" w:charSpace="0"/>
        </w:sectPr>
      </w:pPr>
      <w:r>
        <w:rPr>
          <w:rFonts w:hint="eastAsia" w:hAnsi="宋体" w:cs="宋体"/>
          <w:color w:val="000000"/>
          <w:szCs w:val="21"/>
        </w:rPr>
        <w:t>本文件首次发布</w:t>
      </w:r>
      <w:r>
        <w:rPr>
          <w:rFonts w:hint="eastAsia" w:ascii="Times New Roman" w:eastAsia="黑体"/>
          <w:color w:val="000000"/>
          <w:sz w:val="20"/>
        </w:rPr>
        <w:t>。</w:t>
      </w:r>
    </w:p>
    <w:p w14:paraId="119DFDBC">
      <w:pPr>
        <w:rPr>
          <w:rFonts w:eastAsia="黑体"/>
          <w:color w:val="000000"/>
          <w:spacing w:val="20"/>
          <w:sz w:val="32"/>
          <w:szCs w:val="32"/>
        </w:rPr>
      </w:pPr>
    </w:p>
    <w:p w14:paraId="67DA89AD">
      <w:pPr>
        <w:jc w:val="center"/>
        <w:rPr>
          <w:rFonts w:eastAsia="黑体"/>
          <w:color w:val="000000"/>
          <w:spacing w:val="20"/>
          <w:sz w:val="32"/>
          <w:szCs w:val="32"/>
        </w:rPr>
      </w:pPr>
      <w:r>
        <w:rPr>
          <w:rFonts w:hint="eastAsia" w:eastAsia="黑体"/>
          <w:color w:val="000000"/>
          <w:spacing w:val="20"/>
          <w:sz w:val="32"/>
          <w:szCs w:val="32"/>
        </w:rPr>
        <w:t>区熔用硅多晶材料</w:t>
      </w:r>
    </w:p>
    <w:p w14:paraId="4AEECFB0">
      <w:pPr>
        <w:jc w:val="center"/>
        <w:rPr>
          <w:rFonts w:eastAsia="黑体"/>
          <w:i/>
          <w:color w:val="000000"/>
          <w:spacing w:val="20"/>
          <w:szCs w:val="21"/>
        </w:rPr>
      </w:pPr>
    </w:p>
    <w:p w14:paraId="13C2A885">
      <w:pPr>
        <w:pStyle w:val="10"/>
        <w:spacing w:before="312" w:beforeLines="100" w:after="312" w:afterLines="100"/>
        <w:ind w:left="0"/>
        <w:rPr>
          <w:rFonts w:ascii="Times New Roman"/>
          <w:color w:val="000000"/>
          <w:sz w:val="20"/>
        </w:rPr>
      </w:pPr>
      <w:bookmarkStart w:id="0" w:name="SectionMark4"/>
      <w:r>
        <w:rPr>
          <w:rFonts w:hint="eastAsia" w:ascii="Times New Roman"/>
          <w:color w:val="000000"/>
          <w:sz w:val="20"/>
        </w:rPr>
        <w:t>范围</w:t>
      </w:r>
    </w:p>
    <w:p w14:paraId="55042170">
      <w:pPr>
        <w:ind w:firstLine="420" w:firstLineChars="200"/>
        <w:rPr>
          <w:rFonts w:ascii="宋体" w:hAnsi="宋体" w:cs="宋体"/>
          <w:color w:val="000000"/>
          <w:szCs w:val="21"/>
        </w:rPr>
      </w:pPr>
      <w:r>
        <w:rPr>
          <w:rFonts w:hint="eastAsia" w:ascii="宋体" w:hAnsi="宋体" w:cs="宋体"/>
          <w:color w:val="000000"/>
          <w:szCs w:val="21"/>
        </w:rPr>
        <w:t>本文件规定了区熔用硅多晶材料牌号和类别、技术要求、试验方法、检验规则、标志、包装、运输、贮存及随行文件和订货单内容。</w:t>
      </w:r>
    </w:p>
    <w:p w14:paraId="3CD04DEC">
      <w:pPr>
        <w:ind w:firstLine="420" w:firstLineChars="200"/>
        <w:rPr>
          <w:rFonts w:ascii="宋体" w:hAnsi="宋体" w:cs="宋体"/>
          <w:color w:val="000000"/>
          <w:szCs w:val="21"/>
        </w:rPr>
      </w:pPr>
      <w:r>
        <w:rPr>
          <w:rFonts w:hint="eastAsia" w:ascii="宋体" w:hAnsi="宋体" w:cs="宋体"/>
          <w:color w:val="000000"/>
          <w:szCs w:val="21"/>
        </w:rPr>
        <w:t>本文件适用于以三氯氢硅或硅烷为原料生长的区熔用硅多晶材料（以下简称“区熔硅”）。</w:t>
      </w:r>
    </w:p>
    <w:p w14:paraId="5C4E3B96">
      <w:pPr>
        <w:pStyle w:val="10"/>
        <w:spacing w:before="312" w:beforeLines="100" w:after="312" w:afterLines="100"/>
        <w:ind w:left="0"/>
        <w:rPr>
          <w:rFonts w:ascii="Times New Roman"/>
          <w:color w:val="000000"/>
          <w:sz w:val="20"/>
        </w:rPr>
      </w:pPr>
      <w:r>
        <w:rPr>
          <w:rFonts w:hint="eastAsia" w:ascii="Times New Roman"/>
          <w:color w:val="000000"/>
          <w:sz w:val="20"/>
        </w:rPr>
        <w:t>规范性引用文件</w:t>
      </w:r>
    </w:p>
    <w:p w14:paraId="67BDDF4D">
      <w:pPr>
        <w:pStyle w:val="9"/>
        <w:ind w:firstLine="420"/>
        <w:rPr>
          <w:rFonts w:hAnsi="宋体" w:cs="宋体"/>
          <w:color w:val="000000"/>
          <w:szCs w:val="21"/>
        </w:rPr>
      </w:pPr>
      <w:r>
        <w:rPr>
          <w:rFonts w:hint="eastAsia" w:hAnsi="宋体" w:cs="宋体"/>
          <w:color w:val="000000"/>
          <w:szCs w:val="21"/>
        </w:rPr>
        <w:t>下列文件中的内容通过文中的规范性引用而构成为本文件必不可少的条款。其中，注日期的引用文件，仅该日期对应的版本适用于本文件；不注日期的引用文件，其最新版本（包括所有的修改单）适用于本文件。</w:t>
      </w:r>
    </w:p>
    <w:p w14:paraId="29EBB48C">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1</w:t>
      </w:r>
      <w:r>
        <w:rPr>
          <w:rFonts w:ascii="宋体" w:hAnsi="宋体" w:cs="宋体"/>
          <w:color w:val="000000"/>
          <w:szCs w:val="21"/>
        </w:rPr>
        <w:t>031</w:t>
      </w:r>
      <w:r>
        <w:rPr>
          <w:rFonts w:hint="eastAsia" w:ascii="宋体" w:hAnsi="宋体" w:cs="宋体"/>
          <w:color w:val="000000"/>
          <w:szCs w:val="21"/>
        </w:rPr>
        <w:t xml:space="preserve"> 产品几何技术规范（G</w:t>
      </w:r>
      <w:r>
        <w:rPr>
          <w:rFonts w:ascii="宋体" w:hAnsi="宋体" w:cs="宋体"/>
          <w:color w:val="000000"/>
          <w:szCs w:val="21"/>
        </w:rPr>
        <w:t>PS</w:t>
      </w:r>
      <w:r>
        <w:rPr>
          <w:rFonts w:hint="eastAsia" w:ascii="宋体" w:hAnsi="宋体" w:cs="宋体"/>
          <w:color w:val="000000"/>
          <w:szCs w:val="21"/>
        </w:rPr>
        <w:t>）表面结构 轮廓法表面粗糙度参数及其数值</w:t>
      </w:r>
    </w:p>
    <w:p w14:paraId="10D72BDA">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1550 非本征半导体材料导电类型测试方法</w:t>
      </w:r>
    </w:p>
    <w:p w14:paraId="61E16A1E">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1551 硅单晶电阻率的测定 直排四探针法和直流两探针法</w:t>
      </w:r>
    </w:p>
    <w:p w14:paraId="72FEDB8F">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1553 硅和锗体内少数载流子寿命测定 光电导衰减法</w:t>
      </w:r>
    </w:p>
    <w:p w14:paraId="3800C6CB">
      <w:pPr>
        <w:snapToGrid w:val="0"/>
        <w:spacing w:line="300" w:lineRule="auto"/>
        <w:ind w:left="420" w:leftChars="200"/>
        <w:rPr>
          <w:rFonts w:ascii="宋体" w:hAnsi="宋体" w:cs="宋体"/>
          <w:color w:val="000000"/>
          <w:szCs w:val="21"/>
        </w:rPr>
      </w:pPr>
      <w:r>
        <w:rPr>
          <w:rFonts w:hint="eastAsia" w:ascii="宋体" w:hAnsi="宋体" w:cs="宋体"/>
          <w:color w:val="000000"/>
          <w:szCs w:val="21"/>
        </w:rPr>
        <w:t xml:space="preserve">GB/T </w:t>
      </w:r>
      <w:r>
        <w:rPr>
          <w:rFonts w:ascii="宋体" w:hAnsi="宋体" w:cs="宋体"/>
          <w:color w:val="000000"/>
          <w:szCs w:val="21"/>
        </w:rPr>
        <w:t xml:space="preserve">2523 </w:t>
      </w:r>
      <w:r>
        <w:rPr>
          <w:rFonts w:hint="eastAsia" w:ascii="宋体" w:hAnsi="宋体" w:cs="宋体"/>
          <w:color w:val="000000"/>
          <w:szCs w:val="21"/>
        </w:rPr>
        <w:t>冷轧金属薄板和薄带表面粗糙度、峰值数和波纹度测量方法</w:t>
      </w:r>
    </w:p>
    <w:p w14:paraId="0C1C2A71">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4061 硅多晶断面夹层化学腐蚀检验方法</w:t>
      </w:r>
    </w:p>
    <w:p w14:paraId="4CC9675C">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13389 掺硼掺磷砷硅单晶电阻率与掺杂剂含量换算规程</w:t>
      </w:r>
    </w:p>
    <w:p w14:paraId="4D9E0693">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14264 半导体材料术语</w:t>
      </w:r>
    </w:p>
    <w:p w14:paraId="6A94235D">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14844 半导体材料牌号表示方法</w:t>
      </w:r>
    </w:p>
    <w:p w14:paraId="0134E3AA">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24574 硅单晶中 Ⅲ-Ⅴ 族杂质的光致发光测试方法</w:t>
      </w:r>
    </w:p>
    <w:p w14:paraId="359400C8">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24581 硅单晶中Ⅲ、Ⅴ 族杂质含量的测定 低温傅立叶变换红外光谱法</w:t>
      </w:r>
    </w:p>
    <w:p w14:paraId="0FD8EAC1">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29057 用区熔拉晶法和光谱分析法评价多晶硅棒的规程</w:t>
      </w:r>
    </w:p>
    <w:p w14:paraId="167E3CF8">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35306 硅单晶中碳、氧含量的测定 低温傅立叶变换红外光谱法</w:t>
      </w:r>
    </w:p>
    <w:p w14:paraId="097785F5">
      <w:pPr>
        <w:snapToGrid w:val="0"/>
        <w:spacing w:line="300" w:lineRule="auto"/>
        <w:ind w:left="420" w:leftChars="200"/>
        <w:rPr>
          <w:rFonts w:ascii="宋体" w:hAnsi="宋体" w:cs="宋体"/>
          <w:color w:val="000000"/>
          <w:szCs w:val="21"/>
        </w:rPr>
      </w:pPr>
      <w:r>
        <w:rPr>
          <w:rFonts w:hint="eastAsia" w:ascii="宋体" w:hAnsi="宋体" w:cs="宋体"/>
          <w:color w:val="000000"/>
          <w:szCs w:val="21"/>
        </w:rPr>
        <w:t>GB/T 37049 电子级多晶硅中基体金属杂质含量的测定 电感耦合等离子体质谱法</w:t>
      </w:r>
    </w:p>
    <w:p w14:paraId="4C95FE1E">
      <w:pPr>
        <w:pStyle w:val="10"/>
        <w:spacing w:before="312" w:beforeLines="100" w:after="312" w:afterLines="100"/>
        <w:ind w:left="0"/>
        <w:rPr>
          <w:rFonts w:ascii="Times New Roman"/>
          <w:color w:val="000000"/>
          <w:sz w:val="20"/>
        </w:rPr>
      </w:pPr>
      <w:r>
        <w:rPr>
          <w:rFonts w:hint="eastAsia" w:ascii="Times New Roman"/>
          <w:color w:val="000000"/>
          <w:sz w:val="20"/>
        </w:rPr>
        <w:t>术语和定义</w:t>
      </w:r>
    </w:p>
    <w:p w14:paraId="2013B8BE">
      <w:pPr>
        <w:pStyle w:val="9"/>
        <w:ind w:firstLine="420"/>
        <w:rPr>
          <w:rFonts w:hAnsi="宋体" w:cs="宋体"/>
          <w:color w:val="000000"/>
          <w:kern w:val="2"/>
          <w:szCs w:val="21"/>
        </w:rPr>
      </w:pPr>
      <w:r>
        <w:rPr>
          <w:rFonts w:hint="eastAsia" w:hAnsi="宋体" w:cs="宋体"/>
          <w:color w:val="000000"/>
          <w:kern w:val="2"/>
          <w:szCs w:val="21"/>
        </w:rPr>
        <w:t>GB/T 14264界定的以及下列术语和定义适用于本文件。</w:t>
      </w:r>
    </w:p>
    <w:p w14:paraId="37AFAF95">
      <w:pPr>
        <w:pStyle w:val="9"/>
        <w:ind w:firstLine="210" w:firstLineChars="100"/>
        <w:rPr>
          <w:rFonts w:hAnsi="宋体" w:cs="宋体"/>
          <w:color w:val="000000"/>
          <w:kern w:val="2"/>
          <w:szCs w:val="21"/>
        </w:rPr>
      </w:pPr>
      <w:r>
        <w:rPr>
          <w:rFonts w:hint="eastAsia" w:hAnsi="宋体" w:cs="宋体"/>
          <w:color w:val="000000"/>
          <w:kern w:val="2"/>
          <w:szCs w:val="21"/>
        </w:rPr>
        <w:t>3</w:t>
      </w:r>
      <w:r>
        <w:rPr>
          <w:rFonts w:hAnsi="宋体" w:cs="宋体"/>
          <w:color w:val="000000"/>
          <w:kern w:val="2"/>
          <w:szCs w:val="21"/>
        </w:rPr>
        <w:t xml:space="preserve">.1 </w:t>
      </w:r>
      <w:r>
        <w:rPr>
          <w:rFonts w:hint="eastAsia" w:hAnsi="宋体" w:cs="宋体"/>
          <w:color w:val="000000"/>
          <w:kern w:val="2"/>
          <w:szCs w:val="21"/>
        </w:rPr>
        <w:t>原生硅棒</w:t>
      </w:r>
    </w:p>
    <w:p w14:paraId="3408258A">
      <w:pPr>
        <w:pStyle w:val="9"/>
        <w:ind w:firstLine="420"/>
        <w:rPr>
          <w:rFonts w:hAnsi="宋体" w:cs="宋体"/>
          <w:color w:val="000000"/>
          <w:kern w:val="2"/>
          <w:szCs w:val="21"/>
        </w:rPr>
      </w:pPr>
      <w:r>
        <w:rPr>
          <w:rFonts w:hint="eastAsia" w:hAnsi="宋体" w:cs="宋体"/>
          <w:color w:val="000000"/>
          <w:kern w:val="2"/>
          <w:szCs w:val="21"/>
        </w:rPr>
        <w:t>指的是区熔硅收获后，仅切割两端并使两端保持平整，未进行其他机械加工的硅棒。</w:t>
      </w:r>
    </w:p>
    <w:p w14:paraId="73639AFA">
      <w:pPr>
        <w:pStyle w:val="9"/>
        <w:ind w:firstLine="210" w:firstLineChars="100"/>
        <w:rPr>
          <w:rFonts w:hAnsi="宋体" w:cs="宋体"/>
          <w:color w:val="000000"/>
          <w:kern w:val="2"/>
          <w:szCs w:val="21"/>
        </w:rPr>
      </w:pPr>
      <w:r>
        <w:rPr>
          <w:rFonts w:hint="eastAsia" w:hAnsi="宋体" w:cs="宋体"/>
          <w:color w:val="000000"/>
          <w:kern w:val="2"/>
          <w:szCs w:val="21"/>
        </w:rPr>
        <w:t>3</w:t>
      </w:r>
      <w:r>
        <w:rPr>
          <w:rFonts w:hAnsi="宋体" w:cs="宋体"/>
          <w:color w:val="000000"/>
          <w:kern w:val="2"/>
          <w:szCs w:val="21"/>
        </w:rPr>
        <w:t xml:space="preserve">.2 </w:t>
      </w:r>
      <w:r>
        <w:rPr>
          <w:rFonts w:hint="eastAsia" w:hAnsi="宋体" w:cs="宋体"/>
          <w:color w:val="000000"/>
          <w:kern w:val="2"/>
          <w:szCs w:val="21"/>
        </w:rPr>
        <w:t>精磨硅棒</w:t>
      </w:r>
    </w:p>
    <w:p w14:paraId="6EF04D03">
      <w:pPr>
        <w:pStyle w:val="9"/>
        <w:ind w:firstLine="420"/>
        <w:rPr>
          <w:rFonts w:ascii="Times New Roman" w:eastAsia="黑体"/>
          <w:color w:val="000000"/>
          <w:kern w:val="2"/>
          <w:sz w:val="20"/>
        </w:rPr>
      </w:pPr>
      <w:r>
        <w:rPr>
          <w:rFonts w:hint="eastAsia" w:hAnsi="宋体" w:cs="宋体"/>
          <w:color w:val="000000"/>
          <w:kern w:val="2"/>
          <w:szCs w:val="21"/>
        </w:rPr>
        <w:t>指的是将原生硅棒经表面磨削等机械加工处理后的硅棒。</w:t>
      </w:r>
    </w:p>
    <w:p w14:paraId="21CD1A86">
      <w:pPr>
        <w:pStyle w:val="10"/>
        <w:spacing w:before="312" w:beforeLines="100" w:after="312" w:afterLines="100"/>
        <w:ind w:left="0"/>
        <w:rPr>
          <w:rFonts w:ascii="Times New Roman"/>
          <w:color w:val="000000"/>
          <w:sz w:val="20"/>
        </w:rPr>
      </w:pPr>
      <w:r>
        <w:rPr>
          <w:rFonts w:hint="eastAsia" w:ascii="Times New Roman"/>
          <w:color w:val="000000"/>
          <w:sz w:val="20"/>
        </w:rPr>
        <w:t>牌号和类别</w:t>
      </w:r>
    </w:p>
    <w:p w14:paraId="19554CEE">
      <w:pPr>
        <w:pStyle w:val="11"/>
        <w:rPr>
          <w:rFonts w:ascii="宋体" w:hAnsi="宋体" w:eastAsia="宋体" w:cs="宋体"/>
          <w:color w:val="000000"/>
          <w:szCs w:val="21"/>
        </w:rPr>
      </w:pPr>
      <w:r>
        <w:rPr>
          <w:rFonts w:hint="eastAsia" w:ascii="宋体" w:hAnsi="宋体" w:eastAsia="宋体" w:cs="宋体"/>
          <w:color w:val="000000"/>
          <w:szCs w:val="21"/>
        </w:rPr>
        <w:t>区熔硅的牌号按照</w:t>
      </w:r>
      <w:r>
        <w:rPr>
          <w:rFonts w:hint="eastAsia" w:ascii="宋体" w:hAnsi="宋体" w:cs="宋体"/>
          <w:color w:val="000000"/>
          <w:szCs w:val="21"/>
        </w:rPr>
        <w:t>GB/T 14844</w:t>
      </w:r>
      <w:r>
        <w:rPr>
          <w:rFonts w:hint="eastAsia" w:ascii="宋体" w:hAnsi="宋体" w:eastAsia="宋体" w:cs="宋体"/>
          <w:color w:val="000000"/>
          <w:szCs w:val="21"/>
        </w:rPr>
        <w:t>的规定表示为：</w:t>
      </w:r>
    </w:p>
    <w:p w14:paraId="45F8229E">
      <w:pPr>
        <w:pStyle w:val="9"/>
        <w:ind w:firstLine="0" w:firstLineChars="0"/>
      </w:pPr>
    </w:p>
    <w:p w14:paraId="7D674FEE">
      <w:pPr>
        <w:pStyle w:val="9"/>
        <w:ind w:firstLine="0" w:firstLineChars="0"/>
        <w:rPr>
          <w:rFonts w:ascii="Times New Roman" w:eastAsia="黑体"/>
          <w:color w:val="000000"/>
          <w:sz w:val="20"/>
        </w:rPr>
      </w:pPr>
      <w:r>
        <w:rPr>
          <w:rFonts w:ascii="Times New Roman" w:eastAsia="黑体"/>
          <w:color w:val="000000"/>
          <w:sz w:val="20"/>
        </w:rPr>
        <mc:AlternateContent>
          <mc:Choice Requires="wps">
            <w:drawing>
              <wp:anchor distT="0" distB="0" distL="114300" distR="114300" simplePos="0" relativeHeight="251664384" behindDoc="0" locked="0" layoutInCell="1" allowOverlap="1">
                <wp:simplePos x="0" y="0"/>
                <wp:positionH relativeFrom="page">
                  <wp:posOffset>3270250</wp:posOffset>
                </wp:positionH>
                <wp:positionV relativeFrom="paragraph">
                  <wp:posOffset>197485</wp:posOffset>
                </wp:positionV>
                <wp:extent cx="732790" cy="117475"/>
                <wp:effectExtent l="0" t="0" r="10795" b="35560"/>
                <wp:wrapNone/>
                <wp:docPr id="2" name="肘形连接符 2"/>
                <wp:cNvGraphicFramePr/>
                <a:graphic xmlns:a="http://schemas.openxmlformats.org/drawingml/2006/main">
                  <a:graphicData uri="http://schemas.microsoft.com/office/word/2010/wordprocessingShape">
                    <wps:wsp>
                      <wps:cNvCnPr/>
                      <wps:spPr>
                        <a:xfrm>
                          <a:off x="0" y="0"/>
                          <a:ext cx="732693" cy="117231"/>
                        </a:xfrm>
                        <a:prstGeom prst="bentConnector3">
                          <a:avLst>
                            <a:gd name="adj1" fmla="val 7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257.5pt;margin-top:15.55pt;height:9.25pt;width:57.7pt;mso-position-horizontal-relative:page;z-index:251664384;mso-width-relative:page;mso-height-relative:page;" filled="f" stroked="t" coordsize="21600,21600" o:gfxdata="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UBvX2QAAAAkBAAAPAAAAAAAAAAEAIAAAACIA&#10;AABkcnMvZG93bnJldi54bWxQSwECFAAUAAAACACHTuJAORBtZwgCAADqAwAADgAAAAAAAAABACAA&#10;AAAoAQAAZHJzL2Uyb0RvYy54bWxQSwUGAAAAAAYABgBZAQAAogUAAAAA&#10;" adj="157">
                <v:fill on="f" focussize="0,0"/>
                <v:stroke weight="0.5pt" color="#000000 [3213]" miterlimit="8" joinstyle="miter"/>
                <v:imagedata o:title=""/>
                <o:lock v:ext="edit" aspectratio="f"/>
              </v:shape>
            </w:pict>
          </mc:Fallback>
        </mc:AlternateContent>
      </w:r>
      <w:r>
        <w:rPr>
          <w:rFonts w:ascii="Times New Roman" w:eastAsia="黑体"/>
          <w:color w:val="000000"/>
          <w:sz w:val="20"/>
        </w:rPr>
        <mc:AlternateContent>
          <mc:Choice Requires="wps">
            <w:drawing>
              <wp:anchor distT="0" distB="0" distL="114300" distR="114300" simplePos="0" relativeHeight="251662336" behindDoc="0" locked="0" layoutInCell="1" allowOverlap="1">
                <wp:simplePos x="0" y="0"/>
                <wp:positionH relativeFrom="column">
                  <wp:posOffset>1713865</wp:posOffset>
                </wp:positionH>
                <wp:positionV relativeFrom="paragraph">
                  <wp:posOffset>198120</wp:posOffset>
                </wp:positionV>
                <wp:extent cx="1171575" cy="504825"/>
                <wp:effectExtent l="19050" t="0" r="9525" b="28575"/>
                <wp:wrapNone/>
                <wp:docPr id="3" name="肘形连接符 3"/>
                <wp:cNvGraphicFramePr/>
                <a:graphic xmlns:a="http://schemas.openxmlformats.org/drawingml/2006/main">
                  <a:graphicData uri="http://schemas.microsoft.com/office/word/2010/wordprocessingShape">
                    <wps:wsp>
                      <wps:cNvCnPr/>
                      <wps:spPr>
                        <a:xfrm>
                          <a:off x="0" y="0"/>
                          <a:ext cx="1171575" cy="504825"/>
                        </a:xfrm>
                        <a:prstGeom prst="bentConnector3">
                          <a:avLst>
                            <a:gd name="adj1" fmla="val -42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34.95pt;margin-top:15.6pt;height:39.75pt;width:92.25pt;z-index:251662336;mso-width-relative:page;mso-height-relative:page;" filled="f" stroked="t" coordsize="21600,21600" o:gfxdata="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v8B+doAAAAKAQAADwAAAAAAAAABACAA&#10;AAAiAAAAZHJzL2Rvd25yZXYueG1sUEsBAhQAFAAAAAgAh07iQGq/7hoLAgAA7AMAAA4AAAAAAAAA&#10;AQAgAAAAKQEAAGRycy9lMm9Eb2MueG1sUEsFBgAAAAAGAAYAWQEAAKYFAAAAAA==&#10;" adj="-91">
                <v:fill on="f" focussize="0,0"/>
                <v:stroke weight="0.5pt" color="#000000 [3213]" miterlimit="8" joinstyle="miter"/>
                <v:imagedata o:title=""/>
                <o:lock v:ext="edit" aspectratio="f"/>
              </v:shape>
            </w:pict>
          </mc:Fallback>
        </mc:AlternateContent>
      </w:r>
      <w:r>
        <w:rPr>
          <w:rFonts w:ascii="Times New Roman" w:eastAsia="黑体"/>
          <w:color w:val="000000"/>
          <w:sz w:val="20"/>
        </w:rPr>
        <w:t xml:space="preserve">                   PS</w:t>
      </w:r>
      <w:r>
        <w:rPr>
          <w:rFonts w:hint="eastAsia" w:ascii="Times New Roman" w:eastAsia="黑体"/>
          <w:color w:val="000000"/>
          <w:sz w:val="20"/>
        </w:rPr>
        <w:t>i</w:t>
      </w:r>
      <w:r>
        <w:rPr>
          <w:rFonts w:ascii="Times New Roman" w:eastAsia="黑体"/>
          <w:color w:val="000000"/>
          <w:sz w:val="20"/>
        </w:rPr>
        <w:softHyphen/>
      </w:r>
      <w:r>
        <w:rPr>
          <w:rFonts w:ascii="Times New Roman" w:eastAsia="黑体"/>
          <w:color w:val="000000"/>
          <w:sz w:val="20"/>
        </w:rPr>
        <w:t xml:space="preserve"> –</w:t>
      </w:r>
      <w:r>
        <w:rPr>
          <w:rFonts w:ascii="Times New Roman" w:eastAsia="黑体"/>
          <w:color w:val="000000"/>
          <w:sz w:val="20"/>
        </w:rPr>
        <w:sym w:font="Symbol" w:char="F07F"/>
      </w:r>
      <w:r>
        <w:rPr>
          <w:rFonts w:ascii="Times New Roman" w:eastAsia="黑体"/>
          <w:color w:val="000000"/>
          <w:sz w:val="20"/>
        </w:rPr>
        <w:t xml:space="preserve"> – </w:t>
      </w:r>
      <w:r>
        <w:rPr>
          <w:rFonts w:ascii="Times New Roman" w:eastAsia="黑体"/>
          <w:color w:val="000000"/>
          <w:sz w:val="20"/>
        </w:rPr>
        <w:sym w:font="Symbol" w:char="F07F"/>
      </w:r>
      <w:r>
        <w:rPr>
          <w:rFonts w:ascii="Times New Roman" w:eastAsia="黑体"/>
          <w:color w:val="000000"/>
          <w:sz w:val="20"/>
        </w:rPr>
        <w:t xml:space="preserve"> – </w:t>
      </w:r>
      <w:r>
        <w:rPr>
          <w:rFonts w:ascii="黑体" w:hAnsi="黑体" w:eastAsia="黑体"/>
          <w:color w:val="000000"/>
          <w:sz w:val="20"/>
        </w:rPr>
        <w:sym w:font="Symbol" w:char="F07F"/>
      </w:r>
      <w:r>
        <w:rPr>
          <w:rFonts w:ascii="黑体" w:hAnsi="黑体" w:eastAsia="黑体"/>
          <w:color w:val="000000"/>
          <w:sz w:val="20"/>
        </w:rPr>
        <w:t xml:space="preserve"> </w:t>
      </w:r>
      <w:r>
        <w:rPr>
          <w:rFonts w:ascii="Times New Roman" w:eastAsia="黑体"/>
          <w:color w:val="000000"/>
          <w:sz w:val="20"/>
        </w:rPr>
        <w:t>–FZ</w:t>
      </w:r>
    </w:p>
    <w:p w14:paraId="475854C9">
      <w:pPr>
        <w:pStyle w:val="9"/>
        <w:ind w:firstLine="0" w:firstLineChars="0"/>
        <w:rPr>
          <w:rFonts w:ascii="Times New Roman" w:eastAsia="黑体"/>
          <w:color w:val="000000"/>
          <w:sz w:val="20"/>
        </w:rPr>
      </w:pPr>
      <w:r>
        <w:rPr>
          <w:rFonts w:ascii="Times New Roman" w:eastAsia="黑体"/>
          <w:color w:val="000000"/>
          <w:sz w:val="20"/>
        </w:rPr>
        <mc:AlternateContent>
          <mc:Choice Requires="wps">
            <w:drawing>
              <wp:anchor distT="0" distB="0" distL="114300" distR="114300" simplePos="0" relativeHeight="251663360" behindDoc="0" locked="0" layoutInCell="1" allowOverlap="1">
                <wp:simplePos x="0" y="0"/>
                <wp:positionH relativeFrom="column">
                  <wp:posOffset>1927860</wp:posOffset>
                </wp:positionH>
                <wp:positionV relativeFrom="paragraph">
                  <wp:posOffset>10795</wp:posOffset>
                </wp:positionV>
                <wp:extent cx="952500" cy="316230"/>
                <wp:effectExtent l="0" t="0" r="19050" b="26670"/>
                <wp:wrapNone/>
                <wp:docPr id="4" name="肘形连接符 4"/>
                <wp:cNvGraphicFramePr/>
                <a:graphic xmlns:a="http://schemas.openxmlformats.org/drawingml/2006/main">
                  <a:graphicData uri="http://schemas.microsoft.com/office/word/2010/wordprocessingShape">
                    <wps:wsp>
                      <wps:cNvCnPr/>
                      <wps:spPr>
                        <a:xfrm>
                          <a:off x="0" y="0"/>
                          <a:ext cx="952500" cy="316523"/>
                        </a:xfrm>
                        <a:prstGeom prst="bentConnector3">
                          <a:avLst>
                            <a:gd name="adj1" fmla="val 5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51.8pt;margin-top:0.85pt;height:24.9pt;width:75pt;z-index:251663360;mso-width-relative:page;mso-height-relative:page;" filled="f" stroked="t" coordsize="21600,21600" o:gfxdata="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bYbpPWAAAACAEAAA8AAAAAAAAAAQAgAAAAIgAAAGRy&#10;cy9kb3ducmV2LnhtbFBLAQIUABQAAAAIAIdO4kCdapzYBwIAAOoDAAAOAAAAAAAAAAEAIAAAACUB&#10;AABkcnMvZTJvRG9jLnhtbFBLBQYAAAAABgAGAFkBAACeBQAAAAA=&#10;" adj="126">
                <v:fill on="f" focussize="0,0"/>
                <v:stroke weight="0.5pt" color="#000000 [3213]" miterlimit="8" joinstyle="miter"/>
                <v:imagedata o:title=""/>
                <o:lock v:ext="edit" aspectratio="f"/>
              </v:shape>
            </w:pict>
          </mc:Fallback>
        </mc:AlternateContent>
      </w:r>
      <w:r>
        <w:rPr>
          <w:rFonts w:ascii="Times New Roman" w:eastAsia="黑体"/>
          <w:color w:val="000000"/>
          <w:sz w:val="20"/>
        </w:rPr>
        <mc:AlternateContent>
          <mc:Choice Requires="wps">
            <w:drawing>
              <wp:anchor distT="0" distB="0" distL="114300" distR="114300" simplePos="0" relativeHeight="251665408" behindDoc="0" locked="0" layoutInCell="1" allowOverlap="1">
                <wp:simplePos x="0" y="0"/>
                <wp:positionH relativeFrom="column">
                  <wp:posOffset>1513205</wp:posOffset>
                </wp:positionH>
                <wp:positionV relativeFrom="paragraph">
                  <wp:posOffset>11430</wp:posOffset>
                </wp:positionV>
                <wp:extent cx="1371600" cy="685800"/>
                <wp:effectExtent l="19050" t="0" r="19050" b="19050"/>
                <wp:wrapNone/>
                <wp:docPr id="5" name="肘形连接符 5"/>
                <wp:cNvGraphicFramePr/>
                <a:graphic xmlns:a="http://schemas.openxmlformats.org/drawingml/2006/main">
                  <a:graphicData uri="http://schemas.microsoft.com/office/word/2010/wordprocessingShape">
                    <wps:wsp>
                      <wps:cNvCnPr/>
                      <wps:spPr>
                        <a:xfrm>
                          <a:off x="0" y="0"/>
                          <a:ext cx="1371600" cy="685800"/>
                        </a:xfrm>
                        <a:prstGeom prst="bentConnector3">
                          <a:avLst>
                            <a:gd name="adj1" fmla="val -2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19.15pt;margin-top:0.9pt;height:54pt;width:108pt;z-index:251665408;mso-width-relative:page;mso-height-relative:page;" filled="f" stroked="t" coordsize="21600,21600" o:gfxdata="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hft4fXAAAACQEAAA8AAAAAAAAAAQAgAAAAIgAA&#10;AGRycy9kb3ducmV2LnhtbFBLAQIUABQAAAAIAIdO4kCqHay8CQIAAOwDAAAOAAAAAAAAAAEAIAAA&#10;ACYBAABkcnMvZTJvRG9jLnhtbFBLBQYAAAAABgAGAFkBAAChBQAAAAA=&#10;" adj="-55">
                <v:fill on="f" focussize="0,0"/>
                <v:stroke weight="0.5pt" color="#000000 [3213]" miterlimit="8" joinstyle="miter"/>
                <v:imagedata o:title=""/>
                <o:lock v:ext="edit" aspectratio="f"/>
              </v:shape>
            </w:pict>
          </mc:Fallback>
        </mc:AlternateContent>
      </w:r>
      <w:r>
        <w:rPr>
          <w:rFonts w:ascii="Times New Roman" w:eastAsia="黑体"/>
          <w:color w:val="000000"/>
          <w:sz w:val="20"/>
        </w:rPr>
        <w:t xml:space="preserve">                                               </w:t>
      </w:r>
      <w:r>
        <w:rPr>
          <w:rFonts w:hint="eastAsia" w:hAnsi="宋体" w:cs="宋体"/>
          <w:color w:val="000000"/>
          <w:szCs w:val="21"/>
        </w:rPr>
        <w:t>用于区熔</w:t>
      </w:r>
    </w:p>
    <w:p w14:paraId="72FAEBEE">
      <w:pPr>
        <w:pStyle w:val="9"/>
        <w:tabs>
          <w:tab w:val="center" w:pos="4677"/>
        </w:tabs>
        <w:ind w:firstLine="0" w:firstLineChars="0"/>
        <w:rPr>
          <w:rFonts w:ascii="Times New Roman" w:eastAsia="黑体"/>
          <w:color w:val="000000"/>
          <w:sz w:val="20"/>
        </w:rPr>
      </w:pPr>
      <w:r>
        <w:rPr>
          <w:rFonts w:ascii="Times New Roman" w:eastAsia="黑体"/>
          <w:color w:val="000000"/>
          <w:sz w:val="20"/>
        </w:rPr>
        <w:softHyphen/>
      </w:r>
      <w:r>
        <w:rPr>
          <w:rFonts w:ascii="Times New Roman" w:eastAsia="黑体"/>
          <w:color w:val="000000"/>
          <w:sz w:val="20"/>
        </w:rPr>
        <w:tab/>
      </w:r>
      <w:r>
        <w:rPr>
          <w:rFonts w:ascii="Times New Roman" w:eastAsia="黑体"/>
          <w:color w:val="000000"/>
          <w:sz w:val="20"/>
        </w:rPr>
        <w:t xml:space="preserve">                              </w:t>
      </w:r>
      <w:r>
        <w:rPr>
          <w:rFonts w:hint="eastAsia" w:hAnsi="宋体" w:cs="宋体"/>
          <w:color w:val="000000"/>
          <w:szCs w:val="21"/>
        </w:rPr>
        <w:t>阿拉伯数字或英文字母表示等级</w:t>
      </w:r>
    </w:p>
    <w:p w14:paraId="214EB9A2">
      <w:pPr>
        <w:pStyle w:val="9"/>
        <w:ind w:firstLine="0" w:firstLineChars="0"/>
        <w:rPr>
          <w:rFonts w:hAnsi="宋体" w:cs="宋体"/>
          <w:color w:val="000000"/>
          <w:szCs w:val="21"/>
        </w:rPr>
      </w:pPr>
      <w:r>
        <w:rPr>
          <w:rFonts w:hint="eastAsia" w:ascii="Times New Roman" w:eastAsia="黑体"/>
          <w:color w:val="000000"/>
          <w:sz w:val="20"/>
        </w:rPr>
        <w:t xml:space="preserve"> </w:t>
      </w:r>
      <w:r>
        <w:rPr>
          <w:rFonts w:ascii="Times New Roman" w:eastAsia="黑体"/>
          <w:color w:val="000000"/>
          <w:sz w:val="20"/>
        </w:rPr>
        <w:t xml:space="preserve">                                              </w:t>
      </w:r>
      <w:r>
        <w:rPr>
          <w:rFonts w:hint="eastAsia" w:hAnsi="宋体" w:cs="宋体"/>
          <w:color w:val="000000"/>
          <w:szCs w:val="21"/>
        </w:rPr>
        <w:t>形态，AI为原生棒，MI为精磨棒</w:t>
      </w:r>
    </w:p>
    <w:p w14:paraId="1E037EED">
      <w:pPr>
        <w:pStyle w:val="9"/>
        <w:ind w:firstLine="0" w:firstLineChars="0"/>
        <w:rPr>
          <w:rFonts w:ascii="Times New Roman" w:eastAsia="黑体"/>
          <w:color w:val="000000"/>
          <w:sz w:val="20"/>
        </w:rPr>
      </w:pPr>
      <w:r>
        <w:rPr>
          <w:rFonts w:hint="eastAsia" w:ascii="Times New Roman" w:eastAsia="黑体"/>
          <w:color w:val="000000"/>
          <w:sz w:val="20"/>
        </w:rPr>
        <w:t xml:space="preserve"> </w:t>
      </w:r>
      <w:r>
        <w:rPr>
          <w:rFonts w:ascii="Times New Roman" w:eastAsia="黑体"/>
          <w:color w:val="000000"/>
          <w:sz w:val="20"/>
        </w:rPr>
        <w:t xml:space="preserve">                                              </w:t>
      </w:r>
      <w:r>
        <w:rPr>
          <w:rFonts w:hint="eastAsia" w:hAnsi="宋体" w:cs="宋体"/>
          <w:color w:val="000000"/>
          <w:szCs w:val="21"/>
        </w:rPr>
        <w:t>生产方法，S为硅烷法，T为三氯氢硅法</w:t>
      </w:r>
      <w:r>
        <w:rPr>
          <w:rFonts w:ascii="Times New Roman" w:eastAsia="黑体"/>
          <w:color w:val="000000"/>
          <w:sz w:val="20"/>
        </w:rPr>
        <w:t xml:space="preserve">              </w:t>
      </w:r>
    </w:p>
    <w:p w14:paraId="2E97826D">
      <w:pPr>
        <w:pStyle w:val="11"/>
        <w:rPr>
          <w:rFonts w:ascii="宋体" w:hAnsi="宋体" w:eastAsia="宋体" w:cs="宋体"/>
          <w:color w:val="000000"/>
          <w:szCs w:val="21"/>
        </w:rPr>
      </w:pPr>
      <w:r>
        <w:rPr>
          <w:rFonts w:hint="eastAsia" w:ascii="宋体" w:hAnsi="宋体" w:eastAsia="宋体" w:cs="宋体"/>
          <w:color w:val="000000"/>
          <w:szCs w:val="21"/>
        </w:rPr>
        <w:t>区熔硅根据导电类型主要为n型。按照技术要求差别划分为4级</w:t>
      </w:r>
    </w:p>
    <w:p w14:paraId="2F9F24F4">
      <w:pPr>
        <w:pStyle w:val="10"/>
        <w:spacing w:before="312" w:beforeLines="100" w:after="312" w:afterLines="100"/>
        <w:ind w:left="0"/>
        <w:rPr>
          <w:rFonts w:ascii="Times New Roman"/>
          <w:color w:val="000000"/>
          <w:sz w:val="20"/>
        </w:rPr>
      </w:pPr>
      <w:r>
        <w:rPr>
          <w:rFonts w:hint="eastAsia" w:ascii="Times New Roman"/>
          <w:color w:val="000000"/>
          <w:sz w:val="20"/>
        </w:rPr>
        <w:t>技术要求</w:t>
      </w:r>
    </w:p>
    <w:p w14:paraId="0A79370F">
      <w:pPr>
        <w:pStyle w:val="11"/>
        <w:numPr>
          <w:ilvl w:val="1"/>
          <w:numId w:val="2"/>
        </w:numPr>
        <w:spacing w:before="156" w:beforeLines="50" w:after="156" w:afterLines="50"/>
        <w:rPr>
          <w:rFonts w:ascii="Times New Roman"/>
          <w:color w:val="000000"/>
          <w:sz w:val="20"/>
        </w:rPr>
      </w:pPr>
      <w:r>
        <w:rPr>
          <w:rFonts w:hint="eastAsia" w:ascii="Times New Roman"/>
          <w:color w:val="000000"/>
          <w:sz w:val="20"/>
        </w:rPr>
        <w:t>技术指标</w:t>
      </w:r>
    </w:p>
    <w:p w14:paraId="003A6F6A">
      <w:pPr>
        <w:pStyle w:val="9"/>
        <w:ind w:firstLine="400"/>
        <w:rPr>
          <w:rFonts w:ascii="黑体" w:hAnsi="黑体" w:eastAsia="黑体"/>
          <w:sz w:val="20"/>
        </w:rPr>
      </w:pPr>
      <w:r>
        <w:rPr>
          <w:rFonts w:hint="eastAsia" w:hAnsi="宋体" w:cs="宋体"/>
          <w:sz w:val="20"/>
        </w:rPr>
        <w:t>区熔硅的等级及相关技术指标应符合表1的规定。</w:t>
      </w:r>
    </w:p>
    <w:p w14:paraId="0A464AAA">
      <w:pPr>
        <w:pStyle w:val="9"/>
        <w:ind w:firstLine="1050" w:firstLineChars="500"/>
        <w:jc w:val="center"/>
        <w:rPr>
          <w:rFonts w:ascii="黑体" w:hAnsi="黑体" w:eastAsia="黑体"/>
          <w:bCs/>
          <w:szCs w:val="21"/>
        </w:rPr>
      </w:pPr>
      <w:r>
        <w:rPr>
          <w:rFonts w:hint="eastAsia" w:ascii="黑体" w:hAnsi="黑体" w:eastAsia="黑体"/>
          <w:bCs/>
          <w:szCs w:val="21"/>
        </w:rPr>
        <w:t>表1 区熔硅等级及技术指标</w:t>
      </w:r>
    </w:p>
    <w:tbl>
      <w:tblPr>
        <w:tblStyle w:val="5"/>
        <w:tblW w:w="9067" w:type="dxa"/>
        <w:tblInd w:w="0" w:type="dxa"/>
        <w:tblLayout w:type="autofit"/>
        <w:tblCellMar>
          <w:top w:w="0" w:type="dxa"/>
          <w:left w:w="108" w:type="dxa"/>
          <w:bottom w:w="0" w:type="dxa"/>
          <w:right w:w="108" w:type="dxa"/>
        </w:tblCellMar>
      </w:tblPr>
      <w:tblGrid>
        <w:gridCol w:w="4531"/>
        <w:gridCol w:w="1134"/>
        <w:gridCol w:w="1134"/>
        <w:gridCol w:w="1134"/>
        <w:gridCol w:w="1134"/>
      </w:tblGrid>
      <w:tr w14:paraId="74566BA5">
        <w:tblPrEx>
          <w:tblCellMar>
            <w:top w:w="0" w:type="dxa"/>
            <w:left w:w="108" w:type="dxa"/>
            <w:bottom w:w="0" w:type="dxa"/>
            <w:right w:w="108" w:type="dxa"/>
          </w:tblCellMar>
        </w:tblPrEx>
        <w:trPr>
          <w:trHeight w:val="197" w:hRule="atLeast"/>
        </w:trPr>
        <w:tc>
          <w:tcPr>
            <w:tcW w:w="453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CAB449D">
            <w:pPr>
              <w:widowControl/>
              <w:jc w:val="center"/>
              <w:rPr>
                <w:rFonts w:ascii="宋体" w:hAnsi="宋体" w:cs="宋体"/>
                <w:kern w:val="0"/>
                <w:sz w:val="18"/>
                <w:szCs w:val="18"/>
              </w:rPr>
            </w:pPr>
            <w:r>
              <w:rPr>
                <w:rFonts w:hint="eastAsia" w:ascii="宋体" w:hAnsi="宋体" w:cs="宋体"/>
                <w:kern w:val="0"/>
                <w:sz w:val="18"/>
                <w:szCs w:val="18"/>
              </w:rPr>
              <w:t>项目</w:t>
            </w:r>
          </w:p>
        </w:tc>
        <w:tc>
          <w:tcPr>
            <w:tcW w:w="4536" w:type="dxa"/>
            <w:gridSpan w:val="4"/>
            <w:tcBorders>
              <w:top w:val="single" w:color="auto" w:sz="4" w:space="0"/>
              <w:left w:val="nil"/>
              <w:bottom w:val="single" w:color="auto" w:sz="4" w:space="0"/>
              <w:right w:val="single" w:color="auto" w:sz="4" w:space="0"/>
            </w:tcBorders>
            <w:shd w:val="clear" w:color="auto" w:fill="auto"/>
            <w:noWrap/>
            <w:vAlign w:val="center"/>
          </w:tcPr>
          <w:p w14:paraId="3D8DAAA4">
            <w:pPr>
              <w:widowControl/>
              <w:jc w:val="center"/>
              <w:rPr>
                <w:rFonts w:ascii="宋体" w:hAnsi="宋体" w:cs="宋体"/>
                <w:kern w:val="0"/>
                <w:sz w:val="18"/>
                <w:szCs w:val="18"/>
              </w:rPr>
            </w:pPr>
            <w:r>
              <w:rPr>
                <w:rFonts w:hint="eastAsia" w:ascii="宋体" w:hAnsi="宋体" w:cs="宋体"/>
                <w:kern w:val="0"/>
                <w:sz w:val="18"/>
                <w:szCs w:val="18"/>
              </w:rPr>
              <w:t>技术指标</w:t>
            </w:r>
          </w:p>
        </w:tc>
      </w:tr>
      <w:tr w14:paraId="5CF44B53">
        <w:tblPrEx>
          <w:tblCellMar>
            <w:top w:w="0" w:type="dxa"/>
            <w:left w:w="108" w:type="dxa"/>
            <w:bottom w:w="0" w:type="dxa"/>
            <w:right w:w="108" w:type="dxa"/>
          </w:tblCellMar>
        </w:tblPrEx>
        <w:trPr>
          <w:trHeight w:val="205" w:hRule="atLeast"/>
        </w:trPr>
        <w:tc>
          <w:tcPr>
            <w:tcW w:w="4531" w:type="dxa"/>
            <w:vMerge w:val="continue"/>
            <w:tcBorders>
              <w:top w:val="single" w:color="auto" w:sz="4" w:space="0"/>
              <w:left w:val="single" w:color="auto" w:sz="4" w:space="0"/>
              <w:bottom w:val="single" w:color="auto" w:sz="4" w:space="0"/>
              <w:right w:val="single" w:color="auto" w:sz="4" w:space="0"/>
            </w:tcBorders>
            <w:vAlign w:val="center"/>
          </w:tcPr>
          <w:p w14:paraId="1360E684">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14:paraId="73D46E6C">
            <w:pPr>
              <w:widowControl/>
              <w:jc w:val="center"/>
              <w:rPr>
                <w:rFonts w:ascii="宋体" w:hAnsi="宋体" w:cs="宋体"/>
                <w:kern w:val="0"/>
                <w:sz w:val="18"/>
                <w:szCs w:val="18"/>
              </w:rPr>
            </w:pPr>
            <w:r>
              <w:rPr>
                <w:rFonts w:hint="eastAsia" w:ascii="宋体" w:hAnsi="宋体" w:cs="宋体"/>
                <w:kern w:val="0"/>
                <w:sz w:val="18"/>
                <w:szCs w:val="18"/>
              </w:rPr>
              <w:t>特级</w:t>
            </w:r>
          </w:p>
        </w:tc>
        <w:tc>
          <w:tcPr>
            <w:tcW w:w="1134" w:type="dxa"/>
            <w:tcBorders>
              <w:top w:val="nil"/>
              <w:left w:val="nil"/>
              <w:bottom w:val="single" w:color="auto" w:sz="4" w:space="0"/>
              <w:right w:val="single" w:color="auto" w:sz="4" w:space="0"/>
            </w:tcBorders>
            <w:shd w:val="clear" w:color="auto" w:fill="auto"/>
            <w:noWrap/>
            <w:vAlign w:val="center"/>
          </w:tcPr>
          <w:p w14:paraId="19BAA59F">
            <w:pPr>
              <w:widowControl/>
              <w:jc w:val="center"/>
              <w:rPr>
                <w:rFonts w:eastAsia="等线"/>
                <w:kern w:val="0"/>
                <w:sz w:val="18"/>
                <w:szCs w:val="18"/>
              </w:rPr>
            </w:pPr>
            <w:r>
              <w:rPr>
                <w:rFonts w:eastAsia="等线"/>
                <w:kern w:val="0"/>
                <w:sz w:val="18"/>
                <w:szCs w:val="18"/>
              </w:rPr>
              <w:t>1</w:t>
            </w:r>
            <w:r>
              <w:rPr>
                <w:rFonts w:hint="eastAsia" w:ascii="宋体" w:hAnsi="宋体"/>
                <w:kern w:val="0"/>
                <w:sz w:val="18"/>
                <w:szCs w:val="18"/>
              </w:rPr>
              <w:t>级</w:t>
            </w:r>
          </w:p>
        </w:tc>
        <w:tc>
          <w:tcPr>
            <w:tcW w:w="1134" w:type="dxa"/>
            <w:tcBorders>
              <w:top w:val="nil"/>
              <w:left w:val="nil"/>
              <w:bottom w:val="single" w:color="auto" w:sz="4" w:space="0"/>
              <w:right w:val="single" w:color="auto" w:sz="4" w:space="0"/>
            </w:tcBorders>
            <w:shd w:val="clear" w:color="auto" w:fill="auto"/>
            <w:noWrap/>
            <w:vAlign w:val="center"/>
          </w:tcPr>
          <w:p w14:paraId="575BEF26">
            <w:pPr>
              <w:widowControl/>
              <w:jc w:val="center"/>
              <w:rPr>
                <w:rFonts w:eastAsia="等线"/>
                <w:kern w:val="0"/>
                <w:sz w:val="18"/>
                <w:szCs w:val="18"/>
              </w:rPr>
            </w:pPr>
            <w:r>
              <w:rPr>
                <w:rFonts w:eastAsia="等线"/>
                <w:kern w:val="0"/>
                <w:sz w:val="18"/>
                <w:szCs w:val="18"/>
              </w:rPr>
              <w:t>2</w:t>
            </w:r>
            <w:r>
              <w:rPr>
                <w:rFonts w:hint="eastAsia" w:ascii="宋体" w:hAnsi="宋体"/>
                <w:kern w:val="0"/>
                <w:sz w:val="18"/>
                <w:szCs w:val="18"/>
              </w:rPr>
              <w:t>级</w:t>
            </w:r>
          </w:p>
        </w:tc>
        <w:tc>
          <w:tcPr>
            <w:tcW w:w="1134" w:type="dxa"/>
            <w:tcBorders>
              <w:top w:val="nil"/>
              <w:left w:val="nil"/>
              <w:bottom w:val="single" w:color="auto" w:sz="4" w:space="0"/>
              <w:right w:val="single" w:color="auto" w:sz="4" w:space="0"/>
            </w:tcBorders>
            <w:shd w:val="clear" w:color="auto" w:fill="auto"/>
            <w:vAlign w:val="center"/>
          </w:tcPr>
          <w:p w14:paraId="3449E43D">
            <w:pPr>
              <w:widowControl/>
              <w:jc w:val="center"/>
              <w:rPr>
                <w:rFonts w:eastAsia="等线"/>
                <w:kern w:val="0"/>
                <w:sz w:val="18"/>
                <w:szCs w:val="18"/>
              </w:rPr>
            </w:pPr>
            <w:r>
              <w:rPr>
                <w:rFonts w:eastAsia="等线"/>
                <w:kern w:val="0"/>
                <w:sz w:val="18"/>
                <w:szCs w:val="18"/>
              </w:rPr>
              <w:t>3</w:t>
            </w:r>
            <w:r>
              <w:rPr>
                <w:rFonts w:hint="eastAsia" w:ascii="宋体" w:hAnsi="宋体"/>
                <w:kern w:val="0"/>
                <w:sz w:val="18"/>
                <w:szCs w:val="18"/>
              </w:rPr>
              <w:t>级</w:t>
            </w:r>
          </w:p>
        </w:tc>
      </w:tr>
      <w:tr w14:paraId="77FD5333">
        <w:tblPrEx>
          <w:tblCellMar>
            <w:top w:w="0" w:type="dxa"/>
            <w:left w:w="108" w:type="dxa"/>
            <w:bottom w:w="0" w:type="dxa"/>
            <w:right w:w="108" w:type="dxa"/>
          </w:tblCellMar>
        </w:tblPrEx>
        <w:trPr>
          <w:trHeight w:val="205" w:hRule="atLeast"/>
        </w:trPr>
        <w:tc>
          <w:tcPr>
            <w:tcW w:w="4531" w:type="dxa"/>
            <w:tcBorders>
              <w:top w:val="nil"/>
              <w:left w:val="single" w:color="auto" w:sz="4" w:space="0"/>
              <w:bottom w:val="single" w:color="auto" w:sz="4" w:space="0"/>
              <w:right w:val="single" w:color="auto" w:sz="4" w:space="0"/>
            </w:tcBorders>
            <w:shd w:val="clear" w:color="000000" w:fill="FFFFFF"/>
            <w:noWrap/>
            <w:vAlign w:val="center"/>
          </w:tcPr>
          <w:p w14:paraId="0F433743">
            <w:pPr>
              <w:widowControl/>
              <w:jc w:val="center"/>
              <w:rPr>
                <w:rFonts w:ascii="宋体" w:hAnsi="宋体" w:cs="宋体"/>
                <w:kern w:val="0"/>
                <w:sz w:val="18"/>
                <w:szCs w:val="18"/>
              </w:rPr>
            </w:pPr>
            <w:r>
              <w:rPr>
                <w:rFonts w:hint="eastAsia" w:ascii="宋体" w:hAnsi="宋体" w:cs="宋体"/>
                <w:kern w:val="0"/>
                <w:sz w:val="18"/>
                <w:szCs w:val="18"/>
              </w:rPr>
              <w:t>施主杂质含量（</w:t>
            </w:r>
            <w:r>
              <w:rPr>
                <w:kern w:val="0"/>
                <w:sz w:val="18"/>
                <w:szCs w:val="18"/>
              </w:rPr>
              <w:t>P</w:t>
            </w:r>
            <w:r>
              <w:rPr>
                <w:rFonts w:hint="eastAsia" w:ascii="宋体" w:hAnsi="宋体" w:cs="宋体"/>
                <w:kern w:val="0"/>
                <w:sz w:val="18"/>
                <w:szCs w:val="18"/>
              </w:rPr>
              <w:t>、</w:t>
            </w:r>
            <w:r>
              <w:rPr>
                <w:kern w:val="0"/>
                <w:sz w:val="18"/>
                <w:szCs w:val="18"/>
              </w:rPr>
              <w:t>As</w:t>
            </w:r>
            <w:r>
              <w:rPr>
                <w:rFonts w:hint="eastAsia" w:ascii="宋体" w:hAnsi="宋体" w:cs="宋体"/>
                <w:kern w:val="0"/>
                <w:sz w:val="18"/>
                <w:szCs w:val="18"/>
              </w:rPr>
              <w:t>、</w:t>
            </w:r>
            <w:r>
              <w:rPr>
                <w:kern w:val="0"/>
                <w:sz w:val="18"/>
                <w:szCs w:val="18"/>
              </w:rPr>
              <w:t>Sb</w:t>
            </w:r>
            <w:r>
              <w:rPr>
                <w:rFonts w:hint="eastAsia"/>
                <w:kern w:val="0"/>
                <w:sz w:val="18"/>
                <w:szCs w:val="18"/>
              </w:rPr>
              <w:t>总含量</w:t>
            </w:r>
            <w:r>
              <w:rPr>
                <w:rFonts w:hint="eastAsia" w:ascii="宋体" w:hAnsi="宋体" w:cs="宋体"/>
                <w:kern w:val="0"/>
                <w:sz w:val="18"/>
                <w:szCs w:val="18"/>
              </w:rPr>
              <w:t>，以原子数计）</w:t>
            </w:r>
            <w:r>
              <w:rPr>
                <w:kern w:val="0"/>
                <w:sz w:val="18"/>
                <w:szCs w:val="18"/>
              </w:rPr>
              <w:t>cm</w:t>
            </w:r>
            <w:r>
              <w:rPr>
                <w:kern w:val="0"/>
                <w:sz w:val="18"/>
                <w:szCs w:val="18"/>
                <w:vertAlign w:val="superscript"/>
              </w:rPr>
              <w:t>-3</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14:paraId="6E9EF82B">
            <w:pPr>
              <w:widowControl/>
              <w:jc w:val="center"/>
              <w:rPr>
                <w:color w:val="000000"/>
                <w:kern w:val="0"/>
                <w:sz w:val="20"/>
                <w:szCs w:val="22"/>
              </w:rPr>
            </w:pPr>
            <w:r>
              <w:rPr>
                <w:rFonts w:hint="eastAsia" w:ascii="宋体" w:hAnsi="宋体" w:cs="宋体"/>
                <w:kern w:val="0"/>
                <w:sz w:val="18"/>
                <w:szCs w:val="18"/>
              </w:rPr>
              <w:t>≤</w:t>
            </w:r>
            <w:r>
              <w:rPr>
                <w:color w:val="000000"/>
                <w:sz w:val="20"/>
                <w:szCs w:val="22"/>
              </w:rPr>
              <w:t>1.5×10</w:t>
            </w:r>
            <w:r>
              <w:rPr>
                <w:color w:val="000000"/>
                <w:sz w:val="20"/>
                <w:szCs w:val="22"/>
                <w:vertAlign w:val="superscript"/>
              </w:rPr>
              <w:t>12</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21C7AE">
            <w:pPr>
              <w:jc w:val="center"/>
              <w:rPr>
                <w:color w:val="000000"/>
                <w:sz w:val="20"/>
                <w:szCs w:val="22"/>
              </w:rPr>
            </w:pPr>
            <w:r>
              <w:rPr>
                <w:rFonts w:hint="eastAsia" w:ascii="宋体" w:hAnsi="宋体" w:cs="宋体"/>
                <w:kern w:val="0"/>
                <w:sz w:val="18"/>
                <w:szCs w:val="18"/>
              </w:rPr>
              <w:t>≤</w:t>
            </w:r>
            <w:r>
              <w:rPr>
                <w:color w:val="000000"/>
                <w:sz w:val="20"/>
                <w:szCs w:val="22"/>
              </w:rPr>
              <w:t>2.5×10</w:t>
            </w:r>
            <w:r>
              <w:rPr>
                <w:color w:val="000000"/>
                <w:sz w:val="20"/>
                <w:szCs w:val="22"/>
                <w:vertAlign w:val="superscript"/>
              </w:rPr>
              <w:t>12</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8606BC">
            <w:pPr>
              <w:jc w:val="center"/>
              <w:rPr>
                <w:color w:val="000000"/>
                <w:sz w:val="20"/>
                <w:szCs w:val="22"/>
              </w:rPr>
            </w:pPr>
            <w:r>
              <w:rPr>
                <w:rFonts w:hint="eastAsia" w:ascii="宋体" w:hAnsi="宋体" w:cs="宋体"/>
                <w:kern w:val="0"/>
                <w:sz w:val="18"/>
                <w:szCs w:val="18"/>
              </w:rPr>
              <w:t>≤</w:t>
            </w:r>
            <w:r>
              <w:rPr>
                <w:color w:val="000000"/>
                <w:sz w:val="20"/>
                <w:szCs w:val="22"/>
              </w:rPr>
              <w:t>3.5×10</w:t>
            </w:r>
            <w:r>
              <w:rPr>
                <w:color w:val="000000"/>
                <w:sz w:val="20"/>
                <w:szCs w:val="22"/>
                <w:vertAlign w:val="superscript"/>
              </w:rPr>
              <w:t>12</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14:paraId="1EE2ADB1">
            <w:pPr>
              <w:jc w:val="center"/>
              <w:rPr>
                <w:color w:val="000000"/>
                <w:sz w:val="20"/>
                <w:szCs w:val="22"/>
              </w:rPr>
            </w:pPr>
            <w:r>
              <w:rPr>
                <w:rFonts w:hint="eastAsia" w:ascii="宋体" w:hAnsi="宋体" w:cs="宋体"/>
                <w:kern w:val="0"/>
                <w:sz w:val="18"/>
                <w:szCs w:val="18"/>
              </w:rPr>
              <w:t>≤</w:t>
            </w:r>
            <w:r>
              <w:rPr>
                <w:color w:val="000000"/>
                <w:sz w:val="20"/>
                <w:szCs w:val="22"/>
              </w:rPr>
              <w:t>5.0×10</w:t>
            </w:r>
            <w:r>
              <w:rPr>
                <w:color w:val="000000"/>
                <w:sz w:val="20"/>
                <w:szCs w:val="22"/>
                <w:vertAlign w:val="superscript"/>
              </w:rPr>
              <w:t>12</w:t>
            </w:r>
          </w:p>
        </w:tc>
      </w:tr>
      <w:tr w14:paraId="3DC035BC">
        <w:tblPrEx>
          <w:tblCellMar>
            <w:top w:w="0" w:type="dxa"/>
            <w:left w:w="108" w:type="dxa"/>
            <w:bottom w:w="0" w:type="dxa"/>
            <w:right w:w="108" w:type="dxa"/>
          </w:tblCellMar>
        </w:tblPrEx>
        <w:trPr>
          <w:trHeight w:val="205" w:hRule="atLeast"/>
        </w:trPr>
        <w:tc>
          <w:tcPr>
            <w:tcW w:w="4531" w:type="dxa"/>
            <w:tcBorders>
              <w:top w:val="nil"/>
              <w:left w:val="single" w:color="auto" w:sz="4" w:space="0"/>
              <w:bottom w:val="single" w:color="auto" w:sz="4" w:space="0"/>
              <w:right w:val="single" w:color="auto" w:sz="4" w:space="0"/>
            </w:tcBorders>
            <w:shd w:val="clear" w:color="000000" w:fill="FFFFFF"/>
            <w:noWrap/>
            <w:vAlign w:val="center"/>
          </w:tcPr>
          <w:p w14:paraId="7471F45D">
            <w:pPr>
              <w:widowControl/>
              <w:jc w:val="center"/>
              <w:rPr>
                <w:rFonts w:ascii="宋体" w:hAnsi="宋体" w:cs="宋体"/>
                <w:kern w:val="0"/>
                <w:sz w:val="18"/>
                <w:szCs w:val="18"/>
              </w:rPr>
            </w:pPr>
            <w:r>
              <w:rPr>
                <w:rFonts w:hint="eastAsia" w:ascii="宋体" w:hAnsi="宋体" w:cs="宋体"/>
                <w:kern w:val="0"/>
                <w:sz w:val="18"/>
                <w:szCs w:val="18"/>
              </w:rPr>
              <w:t>受主杂质含量（</w:t>
            </w:r>
            <w:r>
              <w:rPr>
                <w:kern w:val="0"/>
                <w:sz w:val="18"/>
                <w:szCs w:val="18"/>
              </w:rPr>
              <w:t>B</w:t>
            </w:r>
            <w:r>
              <w:rPr>
                <w:rFonts w:hint="eastAsia" w:ascii="宋体" w:hAnsi="宋体" w:cs="宋体"/>
                <w:kern w:val="0"/>
                <w:sz w:val="18"/>
                <w:szCs w:val="18"/>
              </w:rPr>
              <w:t>、</w:t>
            </w:r>
            <w:r>
              <w:rPr>
                <w:kern w:val="0"/>
                <w:sz w:val="18"/>
                <w:szCs w:val="18"/>
              </w:rPr>
              <w:t>Al</w:t>
            </w:r>
            <w:r>
              <w:rPr>
                <w:rFonts w:hint="eastAsia"/>
                <w:kern w:val="0"/>
                <w:sz w:val="18"/>
                <w:szCs w:val="18"/>
              </w:rPr>
              <w:t>总含量，</w:t>
            </w:r>
            <w:r>
              <w:rPr>
                <w:rFonts w:hint="eastAsia" w:ascii="宋体" w:hAnsi="宋体" w:cs="宋体"/>
                <w:kern w:val="0"/>
                <w:sz w:val="18"/>
                <w:szCs w:val="18"/>
              </w:rPr>
              <w:t>以原子数计）</w:t>
            </w:r>
            <w:r>
              <w:rPr>
                <w:kern w:val="0"/>
                <w:sz w:val="18"/>
                <w:szCs w:val="18"/>
              </w:rPr>
              <w:t>cm</w:t>
            </w:r>
            <w:r>
              <w:rPr>
                <w:kern w:val="0"/>
                <w:sz w:val="18"/>
                <w:szCs w:val="18"/>
                <w:vertAlign w:val="superscript"/>
              </w:rPr>
              <w:t>-3</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55B2463C">
            <w:pPr>
              <w:jc w:val="center"/>
              <w:rPr>
                <w:color w:val="000000"/>
                <w:sz w:val="20"/>
                <w:szCs w:val="22"/>
              </w:rPr>
            </w:pPr>
            <w:r>
              <w:rPr>
                <w:rFonts w:hint="eastAsia" w:ascii="宋体" w:hAnsi="宋体" w:cs="宋体"/>
                <w:kern w:val="0"/>
                <w:sz w:val="18"/>
                <w:szCs w:val="18"/>
              </w:rPr>
              <w:t>≤</w:t>
            </w:r>
            <w:r>
              <w:rPr>
                <w:color w:val="000000"/>
                <w:sz w:val="20"/>
                <w:szCs w:val="22"/>
              </w:rPr>
              <w:t>5.0×10</w:t>
            </w:r>
            <w:r>
              <w:rPr>
                <w:color w:val="000000"/>
                <w:sz w:val="20"/>
                <w:szCs w:val="22"/>
                <w:vertAlign w:val="superscript"/>
              </w:rPr>
              <w:t>11</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8967D2">
            <w:pPr>
              <w:jc w:val="center"/>
              <w:rPr>
                <w:color w:val="000000"/>
                <w:sz w:val="20"/>
                <w:szCs w:val="22"/>
              </w:rPr>
            </w:pPr>
            <w:r>
              <w:rPr>
                <w:rFonts w:hint="eastAsia" w:ascii="宋体" w:hAnsi="宋体" w:cs="宋体"/>
                <w:kern w:val="0"/>
                <w:sz w:val="18"/>
                <w:szCs w:val="18"/>
              </w:rPr>
              <w:t>≤</w:t>
            </w:r>
            <w:r>
              <w:rPr>
                <w:color w:val="000000"/>
                <w:sz w:val="20"/>
                <w:szCs w:val="22"/>
              </w:rPr>
              <w:t>1.5×10</w:t>
            </w:r>
            <w:r>
              <w:rPr>
                <w:color w:val="000000"/>
                <w:sz w:val="20"/>
                <w:szCs w:val="22"/>
                <w:vertAlign w:val="superscript"/>
              </w:rPr>
              <w:t>12</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6D07D2">
            <w:pPr>
              <w:jc w:val="center"/>
              <w:rPr>
                <w:color w:val="000000"/>
                <w:sz w:val="20"/>
                <w:szCs w:val="22"/>
              </w:rPr>
            </w:pPr>
            <w:r>
              <w:rPr>
                <w:rFonts w:hint="eastAsia" w:ascii="宋体" w:hAnsi="宋体" w:cs="宋体"/>
                <w:kern w:val="0"/>
                <w:sz w:val="18"/>
                <w:szCs w:val="18"/>
              </w:rPr>
              <w:t>≤</w:t>
            </w:r>
            <w:r>
              <w:rPr>
                <w:color w:val="000000"/>
                <w:sz w:val="20"/>
                <w:szCs w:val="22"/>
              </w:rPr>
              <w:t>1.5×10</w:t>
            </w:r>
            <w:r>
              <w:rPr>
                <w:color w:val="000000"/>
                <w:sz w:val="20"/>
                <w:szCs w:val="22"/>
                <w:vertAlign w:val="superscript"/>
              </w:rPr>
              <w:t>12</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14:paraId="361FD400">
            <w:pPr>
              <w:jc w:val="center"/>
              <w:rPr>
                <w:color w:val="000000"/>
                <w:sz w:val="20"/>
                <w:szCs w:val="22"/>
              </w:rPr>
            </w:pPr>
            <w:r>
              <w:rPr>
                <w:rFonts w:hint="eastAsia" w:ascii="宋体" w:hAnsi="宋体" w:cs="宋体"/>
                <w:kern w:val="0"/>
                <w:sz w:val="18"/>
                <w:szCs w:val="18"/>
              </w:rPr>
              <w:t>≤</w:t>
            </w:r>
            <w:r>
              <w:rPr>
                <w:color w:val="000000"/>
                <w:sz w:val="20"/>
                <w:szCs w:val="22"/>
              </w:rPr>
              <w:t>1.5×10</w:t>
            </w:r>
            <w:r>
              <w:rPr>
                <w:color w:val="000000"/>
                <w:sz w:val="20"/>
                <w:szCs w:val="22"/>
                <w:vertAlign w:val="superscript"/>
              </w:rPr>
              <w:t>12</w:t>
            </w:r>
          </w:p>
        </w:tc>
      </w:tr>
      <w:tr w14:paraId="64EC1A6F">
        <w:tblPrEx>
          <w:tblCellMar>
            <w:top w:w="0" w:type="dxa"/>
            <w:left w:w="108" w:type="dxa"/>
            <w:bottom w:w="0" w:type="dxa"/>
            <w:right w:w="108" w:type="dxa"/>
          </w:tblCellMar>
        </w:tblPrEx>
        <w:trPr>
          <w:trHeight w:val="235" w:hRule="atLeast"/>
        </w:trPr>
        <w:tc>
          <w:tcPr>
            <w:tcW w:w="4531" w:type="dxa"/>
            <w:tcBorders>
              <w:top w:val="nil"/>
              <w:left w:val="single" w:color="auto" w:sz="4" w:space="0"/>
              <w:bottom w:val="single" w:color="auto" w:sz="4" w:space="0"/>
              <w:right w:val="single" w:color="auto" w:sz="4" w:space="0"/>
            </w:tcBorders>
            <w:shd w:val="clear" w:color="auto" w:fill="auto"/>
            <w:noWrap/>
            <w:vAlign w:val="center"/>
          </w:tcPr>
          <w:p w14:paraId="2A80710A">
            <w:pPr>
              <w:widowControl/>
              <w:jc w:val="center"/>
              <w:rPr>
                <w:rFonts w:ascii="宋体" w:hAnsi="宋体" w:cs="宋体"/>
                <w:kern w:val="0"/>
                <w:sz w:val="18"/>
                <w:szCs w:val="18"/>
              </w:rPr>
            </w:pPr>
            <w:r>
              <w:rPr>
                <w:rFonts w:hint="eastAsia" w:ascii="宋体" w:hAnsi="宋体" w:cs="宋体"/>
                <w:kern w:val="0"/>
                <w:sz w:val="18"/>
                <w:szCs w:val="18"/>
              </w:rPr>
              <w:t>碳含量（以原子数计）</w:t>
            </w:r>
            <w:r>
              <w:rPr>
                <w:kern w:val="0"/>
                <w:sz w:val="18"/>
                <w:szCs w:val="18"/>
              </w:rPr>
              <w:t>cm</w:t>
            </w:r>
            <w:r>
              <w:rPr>
                <w:kern w:val="0"/>
                <w:sz w:val="18"/>
                <w:szCs w:val="18"/>
                <w:vertAlign w:val="superscript"/>
              </w:rPr>
              <w:t>-3</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4581E37D">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1.0×10</w:t>
            </w:r>
            <w:r>
              <w:rPr>
                <w:kern w:val="0"/>
                <w:sz w:val="18"/>
                <w:szCs w:val="18"/>
                <w:vertAlign w:val="superscript"/>
              </w:rPr>
              <w:t>15</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499A3B54">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2.5×10</w:t>
            </w:r>
            <w:r>
              <w:rPr>
                <w:kern w:val="0"/>
                <w:sz w:val="18"/>
                <w:szCs w:val="18"/>
                <w:vertAlign w:val="superscript"/>
              </w:rPr>
              <w:t>15</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3423C5CD">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3.5×10</w:t>
            </w:r>
            <w:r>
              <w:rPr>
                <w:kern w:val="0"/>
                <w:sz w:val="18"/>
                <w:szCs w:val="18"/>
                <w:vertAlign w:val="superscript"/>
              </w:rPr>
              <w:t>15</w:t>
            </w:r>
          </w:p>
        </w:tc>
        <w:tc>
          <w:tcPr>
            <w:tcW w:w="1134" w:type="dxa"/>
            <w:tcBorders>
              <w:top w:val="single" w:color="auto" w:sz="4" w:space="0"/>
              <w:left w:val="nil"/>
              <w:bottom w:val="single" w:color="auto" w:sz="4" w:space="0"/>
              <w:right w:val="single" w:color="auto" w:sz="4" w:space="0"/>
            </w:tcBorders>
            <w:shd w:val="clear" w:color="auto" w:fill="auto"/>
            <w:vAlign w:val="center"/>
          </w:tcPr>
          <w:p w14:paraId="70599548">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5.0×10</w:t>
            </w:r>
            <w:r>
              <w:rPr>
                <w:kern w:val="0"/>
                <w:sz w:val="18"/>
                <w:szCs w:val="18"/>
                <w:vertAlign w:val="superscript"/>
              </w:rPr>
              <w:t>15</w:t>
            </w:r>
          </w:p>
        </w:tc>
      </w:tr>
      <w:tr w14:paraId="678FD11C">
        <w:tblPrEx>
          <w:tblCellMar>
            <w:top w:w="0" w:type="dxa"/>
            <w:left w:w="108" w:type="dxa"/>
            <w:bottom w:w="0" w:type="dxa"/>
            <w:right w:w="108" w:type="dxa"/>
          </w:tblCellMar>
        </w:tblPrEx>
        <w:trPr>
          <w:trHeight w:val="230" w:hRule="atLeast"/>
        </w:trPr>
        <w:tc>
          <w:tcPr>
            <w:tcW w:w="4531" w:type="dxa"/>
            <w:tcBorders>
              <w:top w:val="nil"/>
              <w:left w:val="single" w:color="auto" w:sz="4" w:space="0"/>
              <w:bottom w:val="single" w:color="auto" w:sz="4" w:space="0"/>
              <w:right w:val="single" w:color="auto" w:sz="4" w:space="0"/>
            </w:tcBorders>
            <w:shd w:val="clear" w:color="auto" w:fill="auto"/>
            <w:noWrap/>
            <w:vAlign w:val="center"/>
          </w:tcPr>
          <w:p w14:paraId="5E02A92B">
            <w:pPr>
              <w:widowControl/>
              <w:jc w:val="center"/>
              <w:rPr>
                <w:rFonts w:ascii="宋体" w:hAnsi="宋体" w:cs="宋体"/>
                <w:kern w:val="0"/>
                <w:sz w:val="18"/>
                <w:szCs w:val="18"/>
              </w:rPr>
            </w:pPr>
            <w:r>
              <w:rPr>
                <w:rFonts w:hint="eastAsia" w:ascii="宋体" w:hAnsi="宋体" w:cs="宋体"/>
                <w:kern w:val="0"/>
                <w:sz w:val="18"/>
                <w:szCs w:val="18"/>
              </w:rPr>
              <w:t>氧含量</w:t>
            </w:r>
            <w:r>
              <w:rPr>
                <w:kern w:val="0"/>
                <w:sz w:val="18"/>
                <w:szCs w:val="18"/>
              </w:rPr>
              <w:t xml:space="preserve"> </w:t>
            </w:r>
            <w:r>
              <w:rPr>
                <w:rFonts w:hint="eastAsia" w:ascii="宋体" w:hAnsi="宋体" w:cs="宋体"/>
                <w:kern w:val="0"/>
                <w:sz w:val="18"/>
                <w:szCs w:val="18"/>
              </w:rPr>
              <w:t>（以原子数计）</w:t>
            </w:r>
            <w:r>
              <w:rPr>
                <w:kern w:val="0"/>
                <w:sz w:val="18"/>
                <w:szCs w:val="18"/>
              </w:rPr>
              <w:t>cm</w:t>
            </w:r>
            <w:r>
              <w:rPr>
                <w:kern w:val="0"/>
                <w:sz w:val="18"/>
                <w:szCs w:val="18"/>
                <w:vertAlign w:val="superscript"/>
              </w:rPr>
              <w:t>-3</w:t>
            </w:r>
          </w:p>
        </w:tc>
        <w:tc>
          <w:tcPr>
            <w:tcW w:w="1134" w:type="dxa"/>
            <w:tcBorders>
              <w:top w:val="nil"/>
              <w:left w:val="nil"/>
              <w:bottom w:val="single" w:color="auto" w:sz="4" w:space="0"/>
              <w:right w:val="single" w:color="auto" w:sz="4" w:space="0"/>
            </w:tcBorders>
            <w:shd w:val="clear" w:color="auto" w:fill="auto"/>
            <w:noWrap/>
            <w:vAlign w:val="center"/>
          </w:tcPr>
          <w:p w14:paraId="714AB9D2">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3.0×10</w:t>
            </w:r>
            <w:r>
              <w:rPr>
                <w:kern w:val="0"/>
                <w:sz w:val="18"/>
                <w:szCs w:val="18"/>
                <w:vertAlign w:val="superscript"/>
              </w:rPr>
              <w:t>15</w:t>
            </w:r>
          </w:p>
        </w:tc>
        <w:tc>
          <w:tcPr>
            <w:tcW w:w="1134" w:type="dxa"/>
            <w:tcBorders>
              <w:top w:val="nil"/>
              <w:left w:val="nil"/>
              <w:bottom w:val="single" w:color="auto" w:sz="4" w:space="0"/>
              <w:right w:val="single" w:color="auto" w:sz="4" w:space="0"/>
            </w:tcBorders>
            <w:shd w:val="clear" w:color="auto" w:fill="auto"/>
            <w:noWrap/>
            <w:vAlign w:val="center"/>
          </w:tcPr>
          <w:p w14:paraId="7D9E9D3D">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4.0×10</w:t>
            </w:r>
            <w:r>
              <w:rPr>
                <w:kern w:val="0"/>
                <w:sz w:val="18"/>
                <w:szCs w:val="18"/>
                <w:vertAlign w:val="superscript"/>
              </w:rPr>
              <w:t>15</w:t>
            </w:r>
          </w:p>
        </w:tc>
        <w:tc>
          <w:tcPr>
            <w:tcW w:w="1134" w:type="dxa"/>
            <w:tcBorders>
              <w:top w:val="nil"/>
              <w:left w:val="nil"/>
              <w:bottom w:val="single" w:color="auto" w:sz="4" w:space="0"/>
              <w:right w:val="single" w:color="auto" w:sz="4" w:space="0"/>
            </w:tcBorders>
            <w:shd w:val="clear" w:color="auto" w:fill="auto"/>
            <w:noWrap/>
            <w:vAlign w:val="center"/>
          </w:tcPr>
          <w:p w14:paraId="288147FA">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4.5×10</w:t>
            </w:r>
            <w:r>
              <w:rPr>
                <w:kern w:val="0"/>
                <w:sz w:val="18"/>
                <w:szCs w:val="18"/>
                <w:vertAlign w:val="superscript"/>
              </w:rPr>
              <w:t>15</w:t>
            </w:r>
          </w:p>
        </w:tc>
        <w:tc>
          <w:tcPr>
            <w:tcW w:w="1134" w:type="dxa"/>
            <w:tcBorders>
              <w:top w:val="nil"/>
              <w:left w:val="nil"/>
              <w:bottom w:val="single" w:color="auto" w:sz="4" w:space="0"/>
              <w:right w:val="single" w:color="auto" w:sz="4" w:space="0"/>
            </w:tcBorders>
            <w:shd w:val="clear" w:color="auto" w:fill="auto"/>
            <w:vAlign w:val="center"/>
          </w:tcPr>
          <w:p w14:paraId="7BF38527">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5.0×10</w:t>
            </w:r>
            <w:r>
              <w:rPr>
                <w:kern w:val="0"/>
                <w:sz w:val="18"/>
                <w:szCs w:val="18"/>
                <w:vertAlign w:val="superscript"/>
              </w:rPr>
              <w:t>15</w:t>
            </w:r>
          </w:p>
        </w:tc>
      </w:tr>
      <w:tr w14:paraId="2AAE20B4">
        <w:tblPrEx>
          <w:tblCellMar>
            <w:top w:w="0" w:type="dxa"/>
            <w:left w:w="108" w:type="dxa"/>
            <w:bottom w:w="0" w:type="dxa"/>
            <w:right w:w="108" w:type="dxa"/>
          </w:tblCellMar>
        </w:tblPrEx>
        <w:trPr>
          <w:trHeight w:val="230" w:hRule="atLeast"/>
        </w:trPr>
        <w:tc>
          <w:tcPr>
            <w:tcW w:w="4531" w:type="dxa"/>
            <w:tcBorders>
              <w:top w:val="nil"/>
              <w:left w:val="single" w:color="auto" w:sz="4" w:space="0"/>
              <w:bottom w:val="single" w:color="auto" w:sz="4" w:space="0"/>
              <w:right w:val="single" w:color="auto" w:sz="4" w:space="0"/>
            </w:tcBorders>
            <w:shd w:val="clear" w:color="000000" w:fill="FFFFFF"/>
            <w:noWrap/>
            <w:vAlign w:val="center"/>
          </w:tcPr>
          <w:p w14:paraId="3D684999">
            <w:pPr>
              <w:widowControl/>
              <w:jc w:val="center"/>
              <w:rPr>
                <w:rFonts w:ascii="宋体" w:hAnsi="宋体" w:cs="宋体"/>
                <w:kern w:val="0"/>
                <w:sz w:val="18"/>
                <w:szCs w:val="18"/>
              </w:rPr>
            </w:pPr>
            <w:r>
              <w:rPr>
                <w:rFonts w:hint="eastAsia" w:ascii="宋体" w:hAnsi="宋体" w:cs="宋体"/>
                <w:kern w:val="0"/>
                <w:sz w:val="18"/>
                <w:szCs w:val="18"/>
              </w:rPr>
              <w:t>硅芯样芯碳含量</w:t>
            </w:r>
            <w:r>
              <w:rPr>
                <w:kern w:val="0"/>
                <w:sz w:val="18"/>
                <w:szCs w:val="18"/>
              </w:rPr>
              <w:t xml:space="preserve"> </w:t>
            </w:r>
            <w:r>
              <w:rPr>
                <w:rFonts w:hint="eastAsia" w:ascii="宋体" w:hAnsi="宋体" w:cs="宋体"/>
                <w:kern w:val="0"/>
                <w:sz w:val="18"/>
                <w:szCs w:val="18"/>
              </w:rPr>
              <w:t>（以原子数计）</w:t>
            </w:r>
            <w:r>
              <w:rPr>
                <w:kern w:val="0"/>
                <w:sz w:val="18"/>
                <w:szCs w:val="18"/>
              </w:rPr>
              <w:t>cm</w:t>
            </w:r>
            <w:r>
              <w:rPr>
                <w:kern w:val="0"/>
                <w:sz w:val="18"/>
                <w:szCs w:val="18"/>
                <w:vertAlign w:val="superscript"/>
              </w:rPr>
              <w:t>-3</w:t>
            </w:r>
          </w:p>
        </w:tc>
        <w:tc>
          <w:tcPr>
            <w:tcW w:w="1134" w:type="dxa"/>
            <w:tcBorders>
              <w:top w:val="nil"/>
              <w:left w:val="nil"/>
              <w:bottom w:val="single" w:color="auto" w:sz="4" w:space="0"/>
              <w:right w:val="single" w:color="auto" w:sz="4" w:space="0"/>
            </w:tcBorders>
            <w:shd w:val="clear" w:color="000000" w:fill="FFFFFF"/>
            <w:noWrap/>
            <w:vAlign w:val="center"/>
          </w:tcPr>
          <w:p w14:paraId="30074A80">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1.0×10</w:t>
            </w:r>
            <w:r>
              <w:rPr>
                <w:kern w:val="0"/>
                <w:sz w:val="18"/>
                <w:szCs w:val="18"/>
                <w:vertAlign w:val="superscript"/>
              </w:rPr>
              <w:t>16</w:t>
            </w:r>
          </w:p>
        </w:tc>
        <w:tc>
          <w:tcPr>
            <w:tcW w:w="1134" w:type="dxa"/>
            <w:tcBorders>
              <w:top w:val="nil"/>
              <w:left w:val="nil"/>
              <w:bottom w:val="single" w:color="auto" w:sz="4" w:space="0"/>
              <w:right w:val="single" w:color="auto" w:sz="4" w:space="0"/>
            </w:tcBorders>
            <w:shd w:val="clear" w:color="000000" w:fill="FFFFFF"/>
            <w:noWrap/>
            <w:vAlign w:val="center"/>
          </w:tcPr>
          <w:p w14:paraId="3CF47F41">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2.0×10</w:t>
            </w:r>
            <w:r>
              <w:rPr>
                <w:kern w:val="0"/>
                <w:sz w:val="18"/>
                <w:szCs w:val="18"/>
                <w:vertAlign w:val="superscript"/>
              </w:rPr>
              <w:t>16</w:t>
            </w:r>
          </w:p>
        </w:tc>
        <w:tc>
          <w:tcPr>
            <w:tcW w:w="1134" w:type="dxa"/>
            <w:tcBorders>
              <w:top w:val="nil"/>
              <w:left w:val="nil"/>
              <w:bottom w:val="single" w:color="auto" w:sz="4" w:space="0"/>
              <w:right w:val="single" w:color="auto" w:sz="4" w:space="0"/>
            </w:tcBorders>
            <w:shd w:val="clear" w:color="000000" w:fill="FFFFFF"/>
            <w:noWrap/>
            <w:vAlign w:val="center"/>
          </w:tcPr>
          <w:p w14:paraId="0CB24181">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3.0×10</w:t>
            </w:r>
            <w:r>
              <w:rPr>
                <w:kern w:val="0"/>
                <w:sz w:val="18"/>
                <w:szCs w:val="18"/>
                <w:vertAlign w:val="superscript"/>
              </w:rPr>
              <w:t>16</w:t>
            </w:r>
          </w:p>
        </w:tc>
        <w:tc>
          <w:tcPr>
            <w:tcW w:w="1134" w:type="dxa"/>
            <w:tcBorders>
              <w:top w:val="nil"/>
              <w:left w:val="nil"/>
              <w:bottom w:val="single" w:color="auto" w:sz="4" w:space="0"/>
              <w:right w:val="single" w:color="auto" w:sz="4" w:space="0"/>
            </w:tcBorders>
            <w:shd w:val="clear" w:color="000000" w:fill="FFFFFF"/>
            <w:vAlign w:val="center"/>
          </w:tcPr>
          <w:p w14:paraId="657E198F">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5.0×10</w:t>
            </w:r>
            <w:r>
              <w:rPr>
                <w:kern w:val="0"/>
                <w:sz w:val="18"/>
                <w:szCs w:val="18"/>
                <w:vertAlign w:val="superscript"/>
              </w:rPr>
              <w:t>16</w:t>
            </w:r>
          </w:p>
        </w:tc>
      </w:tr>
      <w:tr w14:paraId="5183161B">
        <w:tblPrEx>
          <w:tblCellMar>
            <w:top w:w="0" w:type="dxa"/>
            <w:left w:w="108" w:type="dxa"/>
            <w:bottom w:w="0" w:type="dxa"/>
            <w:right w:w="108" w:type="dxa"/>
          </w:tblCellMar>
        </w:tblPrEx>
        <w:trPr>
          <w:trHeight w:val="230" w:hRule="atLeast"/>
        </w:trPr>
        <w:tc>
          <w:tcPr>
            <w:tcW w:w="4531" w:type="dxa"/>
            <w:tcBorders>
              <w:top w:val="nil"/>
              <w:left w:val="single" w:color="auto" w:sz="4" w:space="0"/>
              <w:bottom w:val="single" w:color="auto" w:sz="4" w:space="0"/>
              <w:right w:val="single" w:color="auto" w:sz="4" w:space="0"/>
            </w:tcBorders>
            <w:shd w:val="clear" w:color="000000" w:fill="FFFFFF"/>
            <w:noWrap/>
            <w:vAlign w:val="center"/>
          </w:tcPr>
          <w:p w14:paraId="4734DBAA">
            <w:pPr>
              <w:widowControl/>
              <w:jc w:val="center"/>
              <w:rPr>
                <w:rFonts w:ascii="宋体" w:hAnsi="宋体" w:cs="宋体"/>
                <w:kern w:val="0"/>
                <w:sz w:val="18"/>
                <w:szCs w:val="18"/>
              </w:rPr>
            </w:pPr>
            <w:r>
              <w:rPr>
                <w:rFonts w:hint="eastAsia" w:ascii="宋体" w:hAnsi="宋体" w:cs="宋体"/>
                <w:kern w:val="0"/>
                <w:sz w:val="18"/>
                <w:szCs w:val="18"/>
              </w:rPr>
              <w:t>硅芯样芯氧含量（以原子数计）</w:t>
            </w:r>
            <w:r>
              <w:rPr>
                <w:kern w:val="0"/>
                <w:sz w:val="18"/>
                <w:szCs w:val="18"/>
              </w:rPr>
              <w:t>cm</w:t>
            </w:r>
            <w:r>
              <w:rPr>
                <w:kern w:val="0"/>
                <w:sz w:val="18"/>
                <w:szCs w:val="18"/>
                <w:vertAlign w:val="superscript"/>
              </w:rPr>
              <w:t>-3</w:t>
            </w:r>
          </w:p>
        </w:tc>
        <w:tc>
          <w:tcPr>
            <w:tcW w:w="1134" w:type="dxa"/>
            <w:tcBorders>
              <w:top w:val="nil"/>
              <w:left w:val="nil"/>
              <w:bottom w:val="single" w:color="auto" w:sz="4" w:space="0"/>
              <w:right w:val="single" w:color="auto" w:sz="4" w:space="0"/>
            </w:tcBorders>
            <w:shd w:val="clear" w:color="000000" w:fill="FFFFFF"/>
            <w:noWrap/>
            <w:vAlign w:val="center"/>
          </w:tcPr>
          <w:p w14:paraId="266D1376">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3.0×10</w:t>
            </w:r>
            <w:r>
              <w:rPr>
                <w:kern w:val="0"/>
                <w:sz w:val="18"/>
                <w:szCs w:val="18"/>
                <w:vertAlign w:val="superscript"/>
              </w:rPr>
              <w:t>16</w:t>
            </w:r>
          </w:p>
        </w:tc>
        <w:tc>
          <w:tcPr>
            <w:tcW w:w="1134" w:type="dxa"/>
            <w:tcBorders>
              <w:top w:val="nil"/>
              <w:left w:val="nil"/>
              <w:bottom w:val="single" w:color="auto" w:sz="4" w:space="0"/>
              <w:right w:val="single" w:color="auto" w:sz="4" w:space="0"/>
            </w:tcBorders>
            <w:shd w:val="clear" w:color="000000" w:fill="FFFFFF"/>
            <w:noWrap/>
            <w:vAlign w:val="center"/>
          </w:tcPr>
          <w:p w14:paraId="1222BD61">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4.0×10</w:t>
            </w:r>
            <w:r>
              <w:rPr>
                <w:kern w:val="0"/>
                <w:sz w:val="18"/>
                <w:szCs w:val="18"/>
                <w:vertAlign w:val="superscript"/>
              </w:rPr>
              <w:t>16</w:t>
            </w:r>
          </w:p>
        </w:tc>
        <w:tc>
          <w:tcPr>
            <w:tcW w:w="1134" w:type="dxa"/>
            <w:tcBorders>
              <w:top w:val="nil"/>
              <w:left w:val="nil"/>
              <w:bottom w:val="single" w:color="auto" w:sz="4" w:space="0"/>
              <w:right w:val="single" w:color="auto" w:sz="4" w:space="0"/>
            </w:tcBorders>
            <w:shd w:val="clear" w:color="000000" w:fill="FFFFFF"/>
            <w:noWrap/>
            <w:vAlign w:val="center"/>
          </w:tcPr>
          <w:p w14:paraId="6127A02A">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4.5×10</w:t>
            </w:r>
            <w:r>
              <w:rPr>
                <w:kern w:val="0"/>
                <w:sz w:val="18"/>
                <w:szCs w:val="18"/>
                <w:vertAlign w:val="superscript"/>
              </w:rPr>
              <w:t>16</w:t>
            </w:r>
          </w:p>
        </w:tc>
        <w:tc>
          <w:tcPr>
            <w:tcW w:w="1134" w:type="dxa"/>
            <w:tcBorders>
              <w:top w:val="nil"/>
              <w:left w:val="nil"/>
              <w:bottom w:val="single" w:color="auto" w:sz="4" w:space="0"/>
              <w:right w:val="single" w:color="auto" w:sz="4" w:space="0"/>
            </w:tcBorders>
            <w:shd w:val="clear" w:color="000000" w:fill="FFFFFF"/>
            <w:vAlign w:val="center"/>
          </w:tcPr>
          <w:p w14:paraId="313A23E0">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5.0×10</w:t>
            </w:r>
            <w:r>
              <w:rPr>
                <w:kern w:val="0"/>
                <w:sz w:val="18"/>
                <w:szCs w:val="18"/>
                <w:vertAlign w:val="superscript"/>
              </w:rPr>
              <w:t>16</w:t>
            </w:r>
          </w:p>
        </w:tc>
      </w:tr>
      <w:tr w14:paraId="4440CFAA">
        <w:tblPrEx>
          <w:tblCellMar>
            <w:top w:w="0" w:type="dxa"/>
            <w:left w:w="108" w:type="dxa"/>
            <w:bottom w:w="0" w:type="dxa"/>
            <w:right w:w="108" w:type="dxa"/>
          </w:tblCellMar>
        </w:tblPrEx>
        <w:trPr>
          <w:trHeight w:val="230" w:hRule="atLeast"/>
        </w:trPr>
        <w:tc>
          <w:tcPr>
            <w:tcW w:w="4531" w:type="dxa"/>
            <w:tcBorders>
              <w:top w:val="nil"/>
              <w:left w:val="single" w:color="auto" w:sz="4" w:space="0"/>
              <w:bottom w:val="single" w:color="auto" w:sz="4" w:space="0"/>
              <w:right w:val="single" w:color="auto" w:sz="4" w:space="0"/>
            </w:tcBorders>
            <w:shd w:val="clear" w:color="000000" w:fill="FFFFFF"/>
            <w:noWrap/>
            <w:vAlign w:val="center"/>
          </w:tcPr>
          <w:p w14:paraId="57AF4DB7">
            <w:pPr>
              <w:widowControl/>
              <w:jc w:val="center"/>
              <w:rPr>
                <w:kern w:val="0"/>
                <w:sz w:val="18"/>
                <w:szCs w:val="18"/>
              </w:rPr>
            </w:pPr>
            <w:r>
              <w:rPr>
                <w:kern w:val="0"/>
                <w:sz w:val="18"/>
                <w:szCs w:val="18"/>
              </w:rPr>
              <w:t>直径mm</w:t>
            </w:r>
          </w:p>
        </w:tc>
        <w:tc>
          <w:tcPr>
            <w:tcW w:w="2268" w:type="dxa"/>
            <w:gridSpan w:val="2"/>
            <w:tcBorders>
              <w:top w:val="single" w:color="auto" w:sz="4" w:space="0"/>
              <w:left w:val="nil"/>
              <w:bottom w:val="single" w:color="auto" w:sz="4" w:space="0"/>
              <w:right w:val="single" w:color="auto" w:sz="4" w:space="0"/>
            </w:tcBorders>
            <w:shd w:val="clear" w:color="000000" w:fill="FFFFFF"/>
            <w:noWrap/>
            <w:vAlign w:val="center"/>
          </w:tcPr>
          <w:p w14:paraId="60CDBC91">
            <w:pPr>
              <w:widowControl/>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150</w:t>
            </w:r>
          </w:p>
        </w:tc>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A88A580">
            <w:pPr>
              <w:widowControl/>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r>
      <w:tr w14:paraId="0FFFB3B3">
        <w:tblPrEx>
          <w:tblCellMar>
            <w:top w:w="0" w:type="dxa"/>
            <w:left w:w="108" w:type="dxa"/>
            <w:bottom w:w="0" w:type="dxa"/>
            <w:right w:w="108" w:type="dxa"/>
          </w:tblCellMar>
        </w:tblPrEx>
        <w:trPr>
          <w:trHeight w:val="210" w:hRule="atLeast"/>
        </w:trPr>
        <w:tc>
          <w:tcPr>
            <w:tcW w:w="4531" w:type="dxa"/>
            <w:tcBorders>
              <w:top w:val="nil"/>
              <w:left w:val="single" w:color="auto" w:sz="4" w:space="0"/>
              <w:bottom w:val="single" w:color="auto" w:sz="4" w:space="0"/>
              <w:right w:val="single" w:color="auto" w:sz="4" w:space="0"/>
            </w:tcBorders>
            <w:shd w:val="clear" w:color="000000" w:fill="FFFFFF"/>
            <w:noWrap/>
            <w:vAlign w:val="center"/>
          </w:tcPr>
          <w:p w14:paraId="5895A6BC">
            <w:pPr>
              <w:widowControl/>
              <w:jc w:val="center"/>
              <w:rPr>
                <w:rFonts w:ascii="宋体" w:hAnsi="宋体" w:cs="宋体"/>
                <w:kern w:val="0"/>
                <w:sz w:val="18"/>
                <w:szCs w:val="18"/>
              </w:rPr>
            </w:pPr>
            <w:r>
              <w:rPr>
                <w:rFonts w:hint="eastAsia" w:ascii="宋体" w:hAnsi="宋体" w:cs="宋体"/>
                <w:kern w:val="0"/>
                <w:sz w:val="18"/>
                <w:szCs w:val="18"/>
              </w:rPr>
              <w:t>基体金属杂质含量（</w:t>
            </w:r>
            <w:r>
              <w:rPr>
                <w:kern w:val="0"/>
                <w:sz w:val="18"/>
                <w:szCs w:val="18"/>
              </w:rPr>
              <w:t>Fe</w:t>
            </w:r>
            <w:r>
              <w:rPr>
                <w:rFonts w:hint="eastAsia" w:ascii="宋体" w:hAnsi="宋体" w:cs="宋体"/>
                <w:kern w:val="0"/>
                <w:sz w:val="18"/>
                <w:szCs w:val="18"/>
              </w:rPr>
              <w:t>、</w:t>
            </w:r>
            <w:r>
              <w:rPr>
                <w:kern w:val="0"/>
                <w:sz w:val="18"/>
                <w:szCs w:val="18"/>
              </w:rPr>
              <w:t>Cr</w:t>
            </w:r>
            <w:r>
              <w:rPr>
                <w:rFonts w:hint="eastAsia" w:ascii="宋体" w:hAnsi="宋体" w:cs="宋体"/>
                <w:kern w:val="0"/>
                <w:sz w:val="18"/>
                <w:szCs w:val="18"/>
              </w:rPr>
              <w:t>、</w:t>
            </w:r>
            <w:r>
              <w:rPr>
                <w:kern w:val="0"/>
                <w:sz w:val="18"/>
                <w:szCs w:val="18"/>
              </w:rPr>
              <w:t>Ni</w:t>
            </w:r>
            <w:r>
              <w:rPr>
                <w:rFonts w:hint="eastAsia" w:ascii="宋体" w:hAnsi="宋体" w:cs="宋体"/>
                <w:kern w:val="0"/>
                <w:sz w:val="18"/>
                <w:szCs w:val="18"/>
              </w:rPr>
              <w:t>、</w:t>
            </w:r>
            <w:r>
              <w:rPr>
                <w:kern w:val="0"/>
                <w:sz w:val="18"/>
                <w:szCs w:val="18"/>
              </w:rPr>
              <w:t>Cu</w:t>
            </w:r>
            <w:r>
              <w:rPr>
                <w:rFonts w:hint="eastAsia" w:ascii="宋体" w:hAnsi="宋体" w:cs="宋体"/>
                <w:kern w:val="0"/>
                <w:sz w:val="18"/>
                <w:szCs w:val="18"/>
              </w:rPr>
              <w:t>、</w:t>
            </w:r>
            <w:r>
              <w:rPr>
                <w:kern w:val="0"/>
                <w:sz w:val="18"/>
                <w:szCs w:val="18"/>
              </w:rPr>
              <w:t>Zn</w:t>
            </w:r>
            <w:r>
              <w:rPr>
                <w:rFonts w:hint="eastAsia" w:ascii="宋体" w:hAnsi="宋体" w:cs="宋体"/>
                <w:kern w:val="0"/>
                <w:sz w:val="18"/>
                <w:szCs w:val="18"/>
              </w:rPr>
              <w:t>、</w:t>
            </w:r>
            <w:r>
              <w:rPr>
                <w:kern w:val="0"/>
                <w:sz w:val="18"/>
                <w:szCs w:val="18"/>
              </w:rPr>
              <w:t>Na</w:t>
            </w:r>
            <w:r>
              <w:rPr>
                <w:rFonts w:hint="eastAsia"/>
                <w:kern w:val="0"/>
                <w:sz w:val="18"/>
                <w:szCs w:val="18"/>
              </w:rPr>
              <w:t>总含量</w:t>
            </w:r>
            <w:r>
              <w:rPr>
                <w:rFonts w:hint="eastAsia" w:ascii="宋体" w:hAnsi="宋体" w:cs="宋体"/>
                <w:kern w:val="0"/>
                <w:sz w:val="18"/>
                <w:szCs w:val="18"/>
              </w:rPr>
              <w:t>）</w:t>
            </w:r>
            <w:r>
              <w:rPr>
                <w:kern w:val="0"/>
                <w:sz w:val="18"/>
                <w:szCs w:val="18"/>
              </w:rPr>
              <w:t xml:space="preserve">ng/g </w:t>
            </w:r>
          </w:p>
        </w:tc>
        <w:tc>
          <w:tcPr>
            <w:tcW w:w="1134" w:type="dxa"/>
            <w:tcBorders>
              <w:top w:val="nil"/>
              <w:left w:val="nil"/>
              <w:bottom w:val="single" w:color="auto" w:sz="4" w:space="0"/>
              <w:right w:val="single" w:color="auto" w:sz="4" w:space="0"/>
            </w:tcBorders>
            <w:shd w:val="clear" w:color="000000" w:fill="FFFFFF"/>
            <w:noWrap/>
            <w:vAlign w:val="center"/>
          </w:tcPr>
          <w:p w14:paraId="706010C2">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0.3</w:t>
            </w:r>
          </w:p>
        </w:tc>
        <w:tc>
          <w:tcPr>
            <w:tcW w:w="1134" w:type="dxa"/>
            <w:tcBorders>
              <w:top w:val="nil"/>
              <w:left w:val="nil"/>
              <w:bottom w:val="single" w:color="auto" w:sz="4" w:space="0"/>
              <w:right w:val="single" w:color="auto" w:sz="4" w:space="0"/>
            </w:tcBorders>
            <w:shd w:val="clear" w:color="000000" w:fill="FFFFFF"/>
            <w:noWrap/>
            <w:vAlign w:val="center"/>
          </w:tcPr>
          <w:p w14:paraId="397704FA">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0.5</w:t>
            </w:r>
          </w:p>
        </w:tc>
        <w:tc>
          <w:tcPr>
            <w:tcW w:w="1134" w:type="dxa"/>
            <w:tcBorders>
              <w:top w:val="nil"/>
              <w:left w:val="nil"/>
              <w:bottom w:val="single" w:color="auto" w:sz="4" w:space="0"/>
              <w:right w:val="single" w:color="auto" w:sz="4" w:space="0"/>
            </w:tcBorders>
            <w:shd w:val="clear" w:color="000000" w:fill="FFFFFF"/>
            <w:noWrap/>
            <w:vAlign w:val="center"/>
          </w:tcPr>
          <w:p w14:paraId="4A774E8A">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0.8</w:t>
            </w:r>
          </w:p>
        </w:tc>
        <w:tc>
          <w:tcPr>
            <w:tcW w:w="1134" w:type="dxa"/>
            <w:tcBorders>
              <w:top w:val="nil"/>
              <w:left w:val="nil"/>
              <w:bottom w:val="single" w:color="auto" w:sz="4" w:space="0"/>
              <w:right w:val="single" w:color="auto" w:sz="4" w:space="0"/>
            </w:tcBorders>
            <w:shd w:val="clear" w:color="000000" w:fill="FFFFFF"/>
            <w:vAlign w:val="center"/>
          </w:tcPr>
          <w:p w14:paraId="47FA1330">
            <w:pPr>
              <w:widowControl/>
              <w:jc w:val="center"/>
              <w:rPr>
                <w:rFonts w:ascii="宋体" w:hAnsi="宋体" w:cs="宋体"/>
                <w:kern w:val="0"/>
                <w:sz w:val="18"/>
                <w:szCs w:val="18"/>
              </w:rPr>
            </w:pPr>
            <w:r>
              <w:rPr>
                <w:rFonts w:hint="eastAsia" w:ascii="宋体" w:hAnsi="宋体" w:cs="宋体"/>
                <w:kern w:val="0"/>
                <w:sz w:val="18"/>
                <w:szCs w:val="18"/>
              </w:rPr>
              <w:t>≤</w:t>
            </w:r>
            <w:r>
              <w:rPr>
                <w:kern w:val="0"/>
                <w:sz w:val="18"/>
                <w:szCs w:val="18"/>
              </w:rPr>
              <w:t>1.0</w:t>
            </w:r>
          </w:p>
        </w:tc>
      </w:tr>
      <w:tr w14:paraId="7AFA1E3C">
        <w:tblPrEx>
          <w:tblCellMar>
            <w:top w:w="0" w:type="dxa"/>
            <w:left w:w="108" w:type="dxa"/>
            <w:bottom w:w="0" w:type="dxa"/>
            <w:right w:w="108" w:type="dxa"/>
          </w:tblCellMar>
        </w:tblPrEx>
        <w:trPr>
          <w:trHeight w:val="197" w:hRule="atLeast"/>
        </w:trPr>
        <w:tc>
          <w:tcPr>
            <w:tcW w:w="9067"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581D6E24">
            <w:pPr>
              <w:widowControl/>
              <w:jc w:val="left"/>
              <w:rPr>
                <w:rFonts w:ascii="宋体" w:hAnsi="宋体" w:cs="宋体"/>
                <w:color w:val="000000"/>
                <w:kern w:val="0"/>
                <w:sz w:val="18"/>
                <w:szCs w:val="18"/>
              </w:rPr>
            </w:pPr>
            <w:r>
              <w:rPr>
                <w:rFonts w:hint="eastAsia" w:ascii="宋体" w:hAnsi="宋体" w:cs="宋体"/>
                <w:color w:val="000000"/>
                <w:kern w:val="0"/>
                <w:sz w:val="18"/>
                <w:szCs w:val="18"/>
              </w:rPr>
              <w:t>注：电阻率和少数载流子寿命由供需双方协商确定。</w:t>
            </w:r>
          </w:p>
        </w:tc>
      </w:tr>
    </w:tbl>
    <w:p w14:paraId="16899277">
      <w:pPr>
        <w:pStyle w:val="9"/>
        <w:ind w:firstLine="0" w:firstLineChars="0"/>
        <w:rPr>
          <w:rFonts w:ascii="黑体" w:hAnsi="黑体" w:eastAsia="黑体"/>
          <w:b/>
          <w:sz w:val="18"/>
          <w:szCs w:val="18"/>
        </w:rPr>
      </w:pPr>
    </w:p>
    <w:p w14:paraId="59784435">
      <w:pPr>
        <w:pStyle w:val="11"/>
        <w:numPr>
          <w:ilvl w:val="1"/>
          <w:numId w:val="2"/>
        </w:numPr>
        <w:spacing w:before="156" w:beforeLines="50" w:after="156" w:afterLines="50"/>
        <w:ind w:left="0" w:firstLine="0"/>
        <w:rPr>
          <w:rFonts w:ascii="Times New Roman"/>
          <w:color w:val="000000"/>
          <w:sz w:val="20"/>
        </w:rPr>
      </w:pPr>
      <w:r>
        <w:rPr>
          <w:rFonts w:hint="eastAsia" w:ascii="Times New Roman"/>
          <w:color w:val="000000"/>
          <w:sz w:val="20"/>
        </w:rPr>
        <w:t>尺寸及偏差</w:t>
      </w:r>
    </w:p>
    <w:p w14:paraId="34A39DE9">
      <w:pPr>
        <w:pStyle w:val="9"/>
        <w:ind w:firstLine="210" w:firstLineChars="100"/>
        <w:jc w:val="left"/>
      </w:pPr>
      <w:r>
        <w:rPr>
          <w:rFonts w:hint="eastAsia"/>
        </w:rPr>
        <w:t>区熔硅的尺寸及偏差应符合表</w:t>
      </w:r>
      <w:r>
        <w:t>2</w:t>
      </w:r>
      <w:r>
        <w:rPr>
          <w:rFonts w:hint="eastAsia"/>
        </w:rPr>
        <w:t>的规定。</w:t>
      </w:r>
    </w:p>
    <w:p w14:paraId="21BEAE82">
      <w:pPr>
        <w:pStyle w:val="9"/>
        <w:ind w:firstLine="420"/>
        <w:jc w:val="center"/>
      </w:pPr>
      <w:r>
        <w:rPr>
          <w:rFonts w:hint="eastAsia"/>
        </w:rPr>
        <w:t>表 2</w:t>
      </w:r>
      <w:r>
        <w:t xml:space="preserve"> </w:t>
      </w:r>
      <w:r>
        <w:rPr>
          <w:rFonts w:hint="eastAsia"/>
        </w:rPr>
        <w:t>尺寸及偏差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7"/>
        <w:gridCol w:w="2988"/>
        <w:gridCol w:w="2988"/>
      </w:tblGrid>
      <w:tr w14:paraId="45F0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7" w:type="dxa"/>
            <w:vMerge w:val="restart"/>
          </w:tcPr>
          <w:p w14:paraId="2E8414D8">
            <w:pPr>
              <w:pStyle w:val="9"/>
              <w:spacing w:line="480" w:lineRule="auto"/>
              <w:ind w:firstLine="0" w:firstLineChars="0"/>
              <w:jc w:val="center"/>
              <w:rPr>
                <w:szCs w:val="21"/>
              </w:rPr>
            </w:pPr>
            <w:r>
              <w:rPr>
                <w:rFonts w:hint="eastAsia"/>
                <w:szCs w:val="21"/>
              </w:rPr>
              <w:t>项目</w:t>
            </w:r>
          </w:p>
        </w:tc>
        <w:tc>
          <w:tcPr>
            <w:tcW w:w="5976" w:type="dxa"/>
            <w:gridSpan w:val="2"/>
          </w:tcPr>
          <w:p w14:paraId="09CA55C9">
            <w:pPr>
              <w:pStyle w:val="9"/>
              <w:ind w:firstLine="0" w:firstLineChars="0"/>
              <w:jc w:val="center"/>
              <w:rPr>
                <w:szCs w:val="21"/>
              </w:rPr>
            </w:pPr>
            <w:r>
              <w:rPr>
                <w:rFonts w:hint="eastAsia"/>
                <w:szCs w:val="21"/>
              </w:rPr>
              <w:t>区熔硅</w:t>
            </w:r>
          </w:p>
        </w:tc>
      </w:tr>
      <w:tr w14:paraId="48C3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7" w:type="dxa"/>
            <w:vMerge w:val="continue"/>
          </w:tcPr>
          <w:p w14:paraId="7BF51085">
            <w:pPr>
              <w:pStyle w:val="9"/>
              <w:ind w:firstLine="0" w:firstLineChars="0"/>
              <w:jc w:val="center"/>
              <w:rPr>
                <w:szCs w:val="21"/>
              </w:rPr>
            </w:pPr>
          </w:p>
        </w:tc>
        <w:tc>
          <w:tcPr>
            <w:tcW w:w="2988" w:type="dxa"/>
          </w:tcPr>
          <w:p w14:paraId="76AF6F85">
            <w:pPr>
              <w:pStyle w:val="9"/>
              <w:ind w:firstLine="0" w:firstLineChars="0"/>
              <w:jc w:val="center"/>
              <w:rPr>
                <w:szCs w:val="21"/>
              </w:rPr>
            </w:pPr>
            <w:r>
              <w:rPr>
                <w:rFonts w:hint="eastAsia"/>
                <w:szCs w:val="21"/>
              </w:rPr>
              <w:t>原生硅棒</w:t>
            </w:r>
          </w:p>
        </w:tc>
        <w:tc>
          <w:tcPr>
            <w:tcW w:w="2988" w:type="dxa"/>
          </w:tcPr>
          <w:p w14:paraId="46AA1B43">
            <w:pPr>
              <w:pStyle w:val="9"/>
              <w:ind w:firstLine="0" w:firstLineChars="0"/>
              <w:jc w:val="center"/>
              <w:rPr>
                <w:szCs w:val="21"/>
              </w:rPr>
            </w:pPr>
            <w:r>
              <w:rPr>
                <w:rFonts w:hint="eastAsia"/>
                <w:szCs w:val="21"/>
              </w:rPr>
              <w:t>精磨硅棒</w:t>
            </w:r>
          </w:p>
        </w:tc>
      </w:tr>
      <w:tr w14:paraId="6F95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7" w:type="dxa"/>
          </w:tcPr>
          <w:p w14:paraId="7C6C8E29">
            <w:pPr>
              <w:pStyle w:val="9"/>
              <w:ind w:firstLine="0" w:firstLineChars="0"/>
              <w:jc w:val="center"/>
              <w:rPr>
                <w:szCs w:val="21"/>
              </w:rPr>
            </w:pPr>
            <w:r>
              <w:rPr>
                <w:rFonts w:hint="eastAsia"/>
                <w:szCs w:val="21"/>
              </w:rPr>
              <w:t>长度</w:t>
            </w:r>
            <w:r>
              <w:rPr>
                <w:szCs w:val="21"/>
              </w:rPr>
              <w:t xml:space="preserve"> mm</w:t>
            </w:r>
          </w:p>
        </w:tc>
        <w:tc>
          <w:tcPr>
            <w:tcW w:w="2988" w:type="dxa"/>
          </w:tcPr>
          <w:p w14:paraId="42B7894A">
            <w:pPr>
              <w:pStyle w:val="9"/>
              <w:ind w:firstLine="0" w:firstLineChars="0"/>
              <w:jc w:val="center"/>
              <w:rPr>
                <w:szCs w:val="21"/>
              </w:rPr>
            </w:pPr>
            <w:r>
              <w:rPr>
                <w:rFonts w:hint="eastAsia" w:hAnsi="宋体"/>
                <w:color w:val="000000"/>
                <w:szCs w:val="21"/>
              </w:rPr>
              <w:t>≥</w:t>
            </w:r>
            <w:r>
              <w:rPr>
                <w:rFonts w:hAnsi="宋体"/>
                <w:color w:val="000000"/>
                <w:szCs w:val="21"/>
              </w:rPr>
              <w:t>1000</w:t>
            </w:r>
          </w:p>
        </w:tc>
        <w:tc>
          <w:tcPr>
            <w:tcW w:w="2988" w:type="dxa"/>
          </w:tcPr>
          <w:p w14:paraId="295ABDA0">
            <w:pPr>
              <w:pStyle w:val="9"/>
              <w:ind w:firstLine="0" w:firstLineChars="0"/>
              <w:jc w:val="center"/>
              <w:rPr>
                <w:szCs w:val="21"/>
              </w:rPr>
            </w:pPr>
            <w:r>
              <w:rPr>
                <w:rFonts w:hint="eastAsia" w:hAnsi="宋体"/>
                <w:color w:val="000000"/>
                <w:szCs w:val="21"/>
              </w:rPr>
              <w:t>≥</w:t>
            </w:r>
            <w:r>
              <w:rPr>
                <w:rFonts w:hAnsi="宋体"/>
                <w:color w:val="000000"/>
                <w:szCs w:val="21"/>
              </w:rPr>
              <w:t>1000</w:t>
            </w:r>
          </w:p>
        </w:tc>
      </w:tr>
      <w:tr w14:paraId="3507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7" w:type="dxa"/>
          </w:tcPr>
          <w:p w14:paraId="3E666C3F">
            <w:pPr>
              <w:pStyle w:val="9"/>
              <w:ind w:firstLine="0" w:firstLineChars="0"/>
              <w:jc w:val="center"/>
              <w:rPr>
                <w:szCs w:val="21"/>
              </w:rPr>
            </w:pPr>
            <w:r>
              <w:rPr>
                <w:rFonts w:hint="eastAsia"/>
                <w:szCs w:val="21"/>
              </w:rPr>
              <w:t>直径</w:t>
            </w:r>
            <w:r>
              <w:rPr>
                <w:szCs w:val="21"/>
              </w:rPr>
              <w:t xml:space="preserve"> mm</w:t>
            </w:r>
          </w:p>
        </w:tc>
        <w:tc>
          <w:tcPr>
            <w:tcW w:w="2988" w:type="dxa"/>
          </w:tcPr>
          <w:p w14:paraId="78EB7AE1">
            <w:pPr>
              <w:pStyle w:val="9"/>
              <w:ind w:firstLine="0" w:firstLineChars="0"/>
              <w:jc w:val="center"/>
              <w:rPr>
                <w:szCs w:val="21"/>
              </w:rPr>
            </w:pPr>
            <w:r>
              <w:rPr>
                <w:rFonts w:hint="eastAsia" w:hAnsi="宋体"/>
                <w:color w:val="000000"/>
                <w:szCs w:val="21"/>
              </w:rPr>
              <w:t>≥</w:t>
            </w:r>
            <w:r>
              <w:rPr>
                <w:rFonts w:hAnsi="宋体"/>
                <w:color w:val="000000"/>
                <w:szCs w:val="21"/>
              </w:rPr>
              <w:t>90</w:t>
            </w:r>
          </w:p>
        </w:tc>
        <w:tc>
          <w:tcPr>
            <w:tcW w:w="2988" w:type="dxa"/>
          </w:tcPr>
          <w:p w14:paraId="5B9BF7EB">
            <w:pPr>
              <w:pStyle w:val="9"/>
              <w:ind w:firstLine="0" w:firstLineChars="0"/>
              <w:jc w:val="center"/>
              <w:rPr>
                <w:szCs w:val="21"/>
              </w:rPr>
            </w:pPr>
            <w:r>
              <w:rPr>
                <w:rFonts w:hint="eastAsia" w:hAnsi="宋体"/>
                <w:color w:val="000000"/>
                <w:szCs w:val="21"/>
              </w:rPr>
              <w:t>≥</w:t>
            </w:r>
            <w:r>
              <w:rPr>
                <w:rFonts w:hAnsi="宋体"/>
                <w:color w:val="000000"/>
                <w:szCs w:val="21"/>
              </w:rPr>
              <w:t>90</w:t>
            </w:r>
          </w:p>
        </w:tc>
      </w:tr>
      <w:tr w14:paraId="7FC4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7" w:type="dxa"/>
          </w:tcPr>
          <w:p w14:paraId="3B4A7DF0">
            <w:pPr>
              <w:pStyle w:val="9"/>
              <w:ind w:firstLine="0" w:firstLineChars="0"/>
              <w:jc w:val="center"/>
              <w:rPr>
                <w:szCs w:val="21"/>
              </w:rPr>
            </w:pPr>
            <w:r>
              <w:rPr>
                <w:rFonts w:hint="eastAsia"/>
                <w:szCs w:val="21"/>
              </w:rPr>
              <w:t xml:space="preserve">直径偏差 </w:t>
            </w:r>
            <w:r>
              <w:rPr>
                <w:szCs w:val="21"/>
              </w:rPr>
              <w:t>mm</w:t>
            </w:r>
          </w:p>
        </w:tc>
        <w:tc>
          <w:tcPr>
            <w:tcW w:w="2988" w:type="dxa"/>
          </w:tcPr>
          <w:p w14:paraId="7CF05C35">
            <w:pPr>
              <w:pStyle w:val="9"/>
              <w:ind w:firstLine="0" w:firstLineChars="0"/>
              <w:jc w:val="center"/>
              <w:rPr>
                <w:rFonts w:hAnsi="宋体"/>
                <w:color w:val="000000"/>
                <w:szCs w:val="21"/>
              </w:rPr>
            </w:pPr>
            <w:r>
              <w:rPr>
                <w:rFonts w:hAnsi="宋体"/>
                <w:color w:val="000000"/>
                <w:szCs w:val="21"/>
              </w:rPr>
              <w:t>-</w:t>
            </w:r>
          </w:p>
        </w:tc>
        <w:tc>
          <w:tcPr>
            <w:tcW w:w="2988" w:type="dxa"/>
          </w:tcPr>
          <w:p w14:paraId="16A1C02E">
            <w:pPr>
              <w:pStyle w:val="9"/>
              <w:ind w:firstLine="0" w:firstLineChars="0"/>
              <w:jc w:val="center"/>
              <w:rPr>
                <w:rFonts w:hAnsi="宋体"/>
                <w:color w:val="000000"/>
                <w:szCs w:val="21"/>
              </w:rPr>
            </w:pPr>
            <w:r>
              <w:rPr>
                <w:rFonts w:hint="eastAsia" w:hAnsi="宋体" w:cs="宋体"/>
                <w:szCs w:val="21"/>
              </w:rPr>
              <w:t>≤1</w:t>
            </w:r>
          </w:p>
        </w:tc>
      </w:tr>
      <w:tr w14:paraId="6F73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7" w:type="dxa"/>
          </w:tcPr>
          <w:p w14:paraId="4C20F1C2">
            <w:pPr>
              <w:pStyle w:val="9"/>
              <w:ind w:firstLine="0" w:firstLineChars="0"/>
              <w:jc w:val="center"/>
              <w:rPr>
                <w:szCs w:val="21"/>
              </w:rPr>
            </w:pPr>
            <w:r>
              <w:rPr>
                <w:rFonts w:hint="eastAsia"/>
                <w:szCs w:val="21"/>
              </w:rPr>
              <w:t>弯曲度</w:t>
            </w:r>
            <w:r>
              <w:rPr>
                <w:szCs w:val="21"/>
              </w:rPr>
              <w:t xml:space="preserve"> mm</w:t>
            </w:r>
          </w:p>
        </w:tc>
        <w:tc>
          <w:tcPr>
            <w:tcW w:w="2988" w:type="dxa"/>
          </w:tcPr>
          <w:p w14:paraId="651EE872">
            <w:pPr>
              <w:pStyle w:val="9"/>
              <w:ind w:firstLine="0" w:firstLineChars="0"/>
              <w:jc w:val="center"/>
              <w:rPr>
                <w:szCs w:val="21"/>
              </w:rPr>
            </w:pPr>
            <w:r>
              <w:rPr>
                <w:rFonts w:hint="eastAsia" w:hAnsi="宋体"/>
                <w:color w:val="000000"/>
                <w:szCs w:val="21"/>
              </w:rPr>
              <w:t>≤</w:t>
            </w:r>
            <w:r>
              <w:rPr>
                <w:rFonts w:hAnsi="宋体"/>
                <w:color w:val="000000"/>
                <w:szCs w:val="21"/>
              </w:rPr>
              <w:t>7</w:t>
            </w:r>
          </w:p>
        </w:tc>
        <w:tc>
          <w:tcPr>
            <w:tcW w:w="2988" w:type="dxa"/>
          </w:tcPr>
          <w:p w14:paraId="07C1EC54">
            <w:pPr>
              <w:pStyle w:val="9"/>
              <w:ind w:firstLine="0" w:firstLineChars="0"/>
              <w:jc w:val="center"/>
              <w:rPr>
                <w:szCs w:val="21"/>
              </w:rPr>
            </w:pPr>
            <w:r>
              <w:rPr>
                <w:rFonts w:hint="eastAsia" w:hAnsi="宋体"/>
                <w:color w:val="000000"/>
                <w:szCs w:val="21"/>
              </w:rPr>
              <w:t>≤</w:t>
            </w:r>
            <w:r>
              <w:rPr>
                <w:rFonts w:hAnsi="宋体"/>
                <w:szCs w:val="21"/>
              </w:rPr>
              <w:t>1</w:t>
            </w:r>
          </w:p>
        </w:tc>
      </w:tr>
      <w:tr w14:paraId="5CB8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7" w:type="dxa"/>
          </w:tcPr>
          <w:p w14:paraId="652F1F8D">
            <w:pPr>
              <w:pStyle w:val="9"/>
              <w:ind w:firstLine="0" w:firstLineChars="0"/>
              <w:jc w:val="center"/>
              <w:rPr>
                <w:szCs w:val="21"/>
              </w:rPr>
            </w:pPr>
            <w:r>
              <w:rPr>
                <w:rFonts w:hint="eastAsia"/>
                <w:szCs w:val="21"/>
              </w:rPr>
              <w:t>椭圆度</w:t>
            </w:r>
            <w:r>
              <w:rPr>
                <w:szCs w:val="21"/>
              </w:rPr>
              <w:t xml:space="preserve"> mm</w:t>
            </w:r>
          </w:p>
        </w:tc>
        <w:tc>
          <w:tcPr>
            <w:tcW w:w="2988" w:type="dxa"/>
          </w:tcPr>
          <w:p w14:paraId="348DE88A">
            <w:pPr>
              <w:pStyle w:val="9"/>
              <w:ind w:firstLine="0" w:firstLineChars="0"/>
              <w:jc w:val="center"/>
              <w:rPr>
                <w:szCs w:val="21"/>
              </w:rPr>
            </w:pPr>
            <w:r>
              <w:rPr>
                <w:rFonts w:hint="eastAsia" w:hAnsi="宋体"/>
                <w:color w:val="000000"/>
                <w:szCs w:val="21"/>
              </w:rPr>
              <w:t>≤</w:t>
            </w:r>
            <w:r>
              <w:rPr>
                <w:rFonts w:hAnsi="宋体"/>
                <w:color w:val="000000"/>
                <w:szCs w:val="21"/>
              </w:rPr>
              <w:t>5</w:t>
            </w:r>
          </w:p>
        </w:tc>
        <w:tc>
          <w:tcPr>
            <w:tcW w:w="2988" w:type="dxa"/>
          </w:tcPr>
          <w:p w14:paraId="472D5122">
            <w:pPr>
              <w:pStyle w:val="9"/>
              <w:ind w:firstLine="0" w:firstLineChars="0"/>
              <w:jc w:val="center"/>
              <w:rPr>
                <w:szCs w:val="21"/>
              </w:rPr>
            </w:pPr>
            <w:r>
              <w:rPr>
                <w:rFonts w:hint="eastAsia" w:hAnsi="宋体"/>
                <w:color w:val="000000"/>
                <w:szCs w:val="21"/>
              </w:rPr>
              <w:t>≤</w:t>
            </w:r>
            <w:r>
              <w:rPr>
                <w:rFonts w:hAnsi="宋体"/>
                <w:szCs w:val="21"/>
              </w:rPr>
              <w:t>1</w:t>
            </w:r>
          </w:p>
        </w:tc>
      </w:tr>
      <w:tr w14:paraId="3285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3" w:type="dxa"/>
            <w:gridSpan w:val="3"/>
          </w:tcPr>
          <w:p w14:paraId="2D3DD623">
            <w:pPr>
              <w:pStyle w:val="9"/>
              <w:ind w:firstLine="0" w:firstLineChars="0"/>
              <w:jc w:val="left"/>
              <w:rPr>
                <w:rFonts w:hAnsi="宋体"/>
                <w:color w:val="000000"/>
                <w:szCs w:val="21"/>
              </w:rPr>
            </w:pPr>
            <w:r>
              <w:rPr>
                <w:rFonts w:hint="eastAsia" w:hAnsi="宋体" w:cs="宋体"/>
                <w:color w:val="000000"/>
                <w:sz w:val="20"/>
              </w:rPr>
              <w:t>注：原生区熔硅的直径及长度也可由供需双方协商确定。</w:t>
            </w:r>
          </w:p>
        </w:tc>
      </w:tr>
    </w:tbl>
    <w:p w14:paraId="18EEE058">
      <w:pPr>
        <w:pStyle w:val="9"/>
        <w:ind w:firstLine="420"/>
      </w:pPr>
    </w:p>
    <w:p w14:paraId="6F3BD33E">
      <w:pPr>
        <w:pStyle w:val="11"/>
        <w:numPr>
          <w:ilvl w:val="1"/>
          <w:numId w:val="2"/>
        </w:numPr>
        <w:spacing w:before="156" w:beforeLines="50" w:after="156" w:afterLines="50"/>
        <w:ind w:left="0" w:firstLine="0"/>
        <w:rPr>
          <w:rFonts w:ascii="Times New Roman"/>
          <w:color w:val="000000"/>
          <w:sz w:val="20"/>
        </w:rPr>
      </w:pPr>
      <w:r>
        <w:rPr>
          <w:rFonts w:hint="eastAsia" w:ascii="Times New Roman"/>
          <w:color w:val="000000"/>
          <w:sz w:val="20"/>
        </w:rPr>
        <w:t>结构</w:t>
      </w:r>
    </w:p>
    <w:p w14:paraId="286FE988">
      <w:pPr>
        <w:pStyle w:val="9"/>
        <w:ind w:firstLine="420"/>
        <w:rPr>
          <w:rFonts w:hAnsi="宋体" w:cs="宋体"/>
          <w:color w:val="000000"/>
          <w:szCs w:val="21"/>
        </w:rPr>
      </w:pPr>
      <w:r>
        <w:rPr>
          <w:rFonts w:hint="eastAsia" w:hAnsi="宋体" w:cs="宋体"/>
          <w:color w:val="000000"/>
          <w:szCs w:val="21"/>
        </w:rPr>
        <w:t>区熔硅应无氧化夹层和温度夹层。</w:t>
      </w:r>
    </w:p>
    <w:p w14:paraId="25638610">
      <w:pPr>
        <w:pStyle w:val="11"/>
        <w:numPr>
          <w:ilvl w:val="1"/>
          <w:numId w:val="3"/>
        </w:numPr>
        <w:spacing w:before="156" w:beforeLines="50" w:after="156" w:afterLines="50"/>
        <w:rPr>
          <w:rFonts w:ascii="Times New Roman"/>
          <w:color w:val="000000"/>
          <w:sz w:val="20"/>
        </w:rPr>
      </w:pPr>
      <w:r>
        <w:rPr>
          <w:rFonts w:hint="eastAsia" w:ascii="Times New Roman"/>
          <w:color w:val="000000"/>
          <w:sz w:val="20"/>
        </w:rPr>
        <w:t>表面质量</w:t>
      </w:r>
    </w:p>
    <w:p w14:paraId="0AA73FFE">
      <w:pPr>
        <w:pStyle w:val="9"/>
        <w:numPr>
          <w:ilvl w:val="2"/>
          <w:numId w:val="4"/>
        </w:numPr>
        <w:ind w:firstLineChars="0"/>
        <w:rPr>
          <w:rFonts w:hAnsi="宋体" w:cs="宋体"/>
          <w:sz w:val="20"/>
        </w:rPr>
      </w:pPr>
      <w:r>
        <w:t xml:space="preserve"> </w:t>
      </w:r>
      <w:r>
        <w:rPr>
          <w:rFonts w:hint="eastAsia" w:hAnsi="宋体"/>
          <w:sz w:val="20"/>
        </w:rPr>
        <w:t>区</w:t>
      </w:r>
      <w:r>
        <w:rPr>
          <w:rFonts w:hint="eastAsia" w:hAnsi="宋体" w:cs="宋体"/>
          <w:sz w:val="20"/>
        </w:rPr>
        <w:t>熔硅表面应洁净，无碎渣。</w:t>
      </w:r>
    </w:p>
    <w:p w14:paraId="232788CF">
      <w:pPr>
        <w:pStyle w:val="9"/>
        <w:numPr>
          <w:ilvl w:val="2"/>
          <w:numId w:val="5"/>
        </w:numPr>
        <w:ind w:firstLineChars="0"/>
        <w:rPr>
          <w:rFonts w:hAnsi="宋体" w:cs="宋体"/>
          <w:sz w:val="20"/>
        </w:rPr>
      </w:pPr>
      <w:r>
        <w:rPr>
          <w:rFonts w:hAnsi="宋体" w:cs="宋体"/>
          <w:color w:val="000000"/>
          <w:szCs w:val="21"/>
        </w:rPr>
        <w:t xml:space="preserve"> </w:t>
      </w:r>
      <w:r>
        <w:rPr>
          <w:rFonts w:hint="eastAsia" w:hAnsi="宋体" w:cs="宋体"/>
          <w:color w:val="000000"/>
          <w:szCs w:val="21"/>
        </w:rPr>
        <w:t>区熔</w:t>
      </w:r>
      <w:r>
        <w:rPr>
          <w:rFonts w:hint="eastAsia" w:hAnsi="宋体" w:cs="宋体"/>
          <w:sz w:val="20"/>
        </w:rPr>
        <w:t>硅端面应垂直于硅棒轴线。</w:t>
      </w:r>
    </w:p>
    <w:p w14:paraId="1EA78D8D">
      <w:pPr>
        <w:pStyle w:val="11"/>
        <w:numPr>
          <w:ilvl w:val="1"/>
          <w:numId w:val="3"/>
        </w:numPr>
        <w:spacing w:before="156" w:beforeLines="50" w:after="156" w:afterLines="50"/>
        <w:rPr>
          <w:rFonts w:ascii="Times New Roman"/>
          <w:color w:val="000000"/>
          <w:sz w:val="20"/>
        </w:rPr>
      </w:pPr>
      <w:r>
        <w:rPr>
          <w:rFonts w:ascii="Times New Roman"/>
          <w:color w:val="000000"/>
          <w:sz w:val="20"/>
        </w:rPr>
        <w:t xml:space="preserve"> </w:t>
      </w:r>
      <w:r>
        <w:rPr>
          <w:rFonts w:hint="eastAsia" w:ascii="Times New Roman"/>
          <w:color w:val="000000"/>
          <w:sz w:val="20"/>
        </w:rPr>
        <w:t>粗糙度</w:t>
      </w:r>
    </w:p>
    <w:p w14:paraId="428B4104">
      <w:pPr>
        <w:pStyle w:val="9"/>
        <w:ind w:firstLine="0" w:firstLineChars="0"/>
        <w:rPr>
          <w:rFonts w:hAnsi="宋体" w:cs="宋体"/>
          <w:sz w:val="20"/>
        </w:rPr>
      </w:pPr>
      <w:r>
        <w:rPr>
          <w:rFonts w:hint="eastAsia" w:hAnsi="宋体" w:cs="宋体"/>
          <w:sz w:val="20"/>
        </w:rPr>
        <w:t>精磨硅棒平均粗糙度（</w:t>
      </w:r>
      <w:r>
        <w:rPr>
          <w:rFonts w:hAnsi="宋体" w:cs="宋体"/>
          <w:i/>
          <w:sz w:val="20"/>
        </w:rPr>
        <w:t>R</w:t>
      </w:r>
      <w:r>
        <w:rPr>
          <w:rFonts w:hint="eastAsia" w:hAnsi="宋体" w:cs="宋体"/>
          <w:i/>
          <w:sz w:val="20"/>
        </w:rPr>
        <w:t>a）</w:t>
      </w:r>
      <w:r>
        <w:rPr>
          <w:rFonts w:hint="eastAsia" w:hAnsi="宋体" w:cs="宋体"/>
          <w:sz w:val="20"/>
        </w:rPr>
        <w:t>不大于</w:t>
      </w:r>
      <w:r>
        <w:rPr>
          <w:rFonts w:hAnsi="宋体" w:cs="宋体"/>
          <w:sz w:val="20"/>
        </w:rPr>
        <w:t xml:space="preserve">0.6 </w:t>
      </w:r>
      <w:r>
        <w:rPr>
          <w:rFonts w:ascii="Times New Roman"/>
          <w:sz w:val="20"/>
        </w:rPr>
        <w:t>μm</w:t>
      </w:r>
      <w:r>
        <w:rPr>
          <w:rFonts w:hint="eastAsia" w:ascii="Times New Roman"/>
          <w:sz w:val="20"/>
        </w:rPr>
        <w:t>。</w:t>
      </w:r>
    </w:p>
    <w:bookmarkEnd w:id="0"/>
    <w:p w14:paraId="255DAFAF">
      <w:pPr>
        <w:pStyle w:val="10"/>
        <w:spacing w:before="312" w:beforeLines="100" w:after="312" w:afterLines="100"/>
        <w:ind w:left="0"/>
        <w:rPr>
          <w:rFonts w:ascii="Times New Roman"/>
          <w:color w:val="000000"/>
          <w:sz w:val="20"/>
        </w:rPr>
      </w:pPr>
      <w:r>
        <w:rPr>
          <w:rFonts w:hint="eastAsia" w:ascii="Times New Roman"/>
          <w:color w:val="000000"/>
          <w:sz w:val="20"/>
        </w:rPr>
        <w:t>试验方法</w:t>
      </w:r>
    </w:p>
    <w:p w14:paraId="7A931AEE">
      <w:pPr>
        <w:pStyle w:val="11"/>
        <w:numPr>
          <w:ilvl w:val="1"/>
          <w:numId w:val="6"/>
        </w:numPr>
        <w:ind w:left="0" w:firstLine="0"/>
        <w:rPr>
          <w:rFonts w:ascii="宋体" w:hAnsi="宋体" w:eastAsia="宋体" w:cs="宋体"/>
          <w:color w:val="000000"/>
          <w:szCs w:val="21"/>
        </w:rPr>
      </w:pPr>
      <w:r>
        <w:rPr>
          <w:rFonts w:hint="eastAsia" w:ascii="宋体" w:hAnsi="宋体" w:eastAsia="宋体" w:cs="宋体"/>
          <w:color w:val="000000"/>
          <w:szCs w:val="21"/>
        </w:rPr>
        <w:t>施主杂质含量、受主杂质含量、碳含量、氧含量、硅芯样芯碳含量、硅芯样芯氧含量、导电类型、电阻率、少数载流子寿命，检验前按照GB/T 29057的方法制成单晶试样。</w:t>
      </w:r>
    </w:p>
    <w:p w14:paraId="40CFB9DF">
      <w:pPr>
        <w:pStyle w:val="11"/>
        <w:numPr>
          <w:ilvl w:val="1"/>
          <w:numId w:val="6"/>
        </w:numPr>
        <w:ind w:left="0" w:firstLine="0"/>
        <w:rPr>
          <w:rStyle w:val="16"/>
          <w:rFonts w:ascii="宋体" w:hAnsi="宋体" w:eastAsia="宋体"/>
        </w:rPr>
      </w:pPr>
      <w:r>
        <w:rPr>
          <w:rStyle w:val="16"/>
          <w:rFonts w:hint="eastAsia" w:ascii="宋体" w:hAnsi="宋体" w:eastAsia="宋体" w:cs="宋体"/>
          <w:color w:val="000000"/>
          <w:szCs w:val="21"/>
        </w:rPr>
        <w:t>施主杂质含量、受主杂质含量的测试按</w:t>
      </w:r>
      <w:r>
        <w:rPr>
          <w:rStyle w:val="16"/>
          <w:rFonts w:hint="eastAsia" w:ascii="宋体" w:hAnsi="宋体" w:eastAsia="宋体"/>
        </w:rPr>
        <w:t>GB/T 24574或GB/T 24581规定进行。仲裁检验按照GB/T</w:t>
      </w:r>
      <w:r>
        <w:rPr>
          <w:rStyle w:val="16"/>
          <w:rFonts w:ascii="宋体" w:hAnsi="宋体" w:eastAsia="宋体"/>
        </w:rPr>
        <w:t xml:space="preserve"> </w:t>
      </w:r>
      <w:r>
        <w:rPr>
          <w:rStyle w:val="16"/>
          <w:rFonts w:hint="eastAsia" w:ascii="宋体" w:hAnsi="宋体" w:eastAsia="宋体"/>
        </w:rPr>
        <w:t>24581的规定进行。</w:t>
      </w:r>
    </w:p>
    <w:p w14:paraId="6C87EFCA">
      <w:pPr>
        <w:pStyle w:val="11"/>
        <w:numPr>
          <w:ilvl w:val="1"/>
          <w:numId w:val="6"/>
        </w:numPr>
        <w:ind w:left="0" w:firstLine="0"/>
        <w:rPr>
          <w:rFonts w:ascii="宋体" w:hAnsi="宋体" w:eastAsia="宋体" w:cs="宋体"/>
          <w:color w:val="000000"/>
          <w:szCs w:val="21"/>
        </w:rPr>
      </w:pPr>
      <w:r>
        <w:rPr>
          <w:rFonts w:hint="eastAsia" w:ascii="宋体" w:hAnsi="宋体" w:eastAsia="宋体" w:cs="宋体"/>
          <w:color w:val="000000"/>
          <w:szCs w:val="21"/>
        </w:rPr>
        <w:t>碳含量、硅芯样芯碳含量测试按GB/T</w:t>
      </w:r>
      <w:r>
        <w:rPr>
          <w:rFonts w:ascii="宋体" w:hAnsi="宋体" w:eastAsia="宋体" w:cs="宋体"/>
          <w:color w:val="000000"/>
          <w:szCs w:val="21"/>
        </w:rPr>
        <w:t xml:space="preserve"> </w:t>
      </w:r>
      <w:r>
        <w:rPr>
          <w:rFonts w:hint="eastAsia" w:ascii="宋体" w:hAnsi="宋体" w:eastAsia="宋体" w:cs="宋体"/>
          <w:color w:val="000000"/>
          <w:szCs w:val="21"/>
        </w:rPr>
        <w:t>35306的规定进行。</w:t>
      </w:r>
    </w:p>
    <w:p w14:paraId="28E399B2">
      <w:pPr>
        <w:pStyle w:val="11"/>
        <w:numPr>
          <w:ilvl w:val="1"/>
          <w:numId w:val="6"/>
        </w:numPr>
        <w:ind w:left="0" w:firstLine="0"/>
        <w:rPr>
          <w:rFonts w:ascii="宋体" w:hAnsi="宋体" w:eastAsia="宋体" w:cs="宋体"/>
          <w:color w:val="000000"/>
          <w:szCs w:val="21"/>
        </w:rPr>
      </w:pPr>
      <w:r>
        <w:rPr>
          <w:rFonts w:hint="eastAsia" w:ascii="宋体" w:hAnsi="宋体" w:eastAsia="宋体" w:cs="宋体"/>
          <w:color w:val="000000"/>
          <w:szCs w:val="21"/>
        </w:rPr>
        <w:t>氧含量、硅芯样芯氧含量测试按GB/T</w:t>
      </w:r>
      <w:r>
        <w:rPr>
          <w:rFonts w:ascii="宋体" w:hAnsi="宋体" w:eastAsia="宋体" w:cs="宋体"/>
          <w:color w:val="000000"/>
          <w:szCs w:val="21"/>
        </w:rPr>
        <w:t xml:space="preserve"> </w:t>
      </w:r>
      <w:r>
        <w:rPr>
          <w:rFonts w:hint="eastAsia" w:ascii="宋体" w:hAnsi="宋体" w:eastAsia="宋体" w:cs="宋体"/>
          <w:color w:val="000000"/>
          <w:szCs w:val="21"/>
        </w:rPr>
        <w:t>35306的规定进行。</w:t>
      </w:r>
    </w:p>
    <w:p w14:paraId="64AE535C">
      <w:pPr>
        <w:pStyle w:val="11"/>
        <w:numPr>
          <w:ilvl w:val="1"/>
          <w:numId w:val="6"/>
        </w:numPr>
        <w:ind w:left="0" w:firstLine="0"/>
        <w:rPr>
          <w:rFonts w:ascii="宋体" w:hAnsi="宋体" w:eastAsia="宋体" w:cs="宋体"/>
          <w:color w:val="000000"/>
          <w:szCs w:val="21"/>
        </w:rPr>
      </w:pPr>
      <w:r>
        <w:rPr>
          <w:rFonts w:hint="eastAsia" w:ascii="宋体" w:hAnsi="宋体" w:eastAsia="宋体" w:cs="宋体"/>
          <w:color w:val="000000"/>
          <w:szCs w:val="21"/>
        </w:rPr>
        <w:t>基体金属杂质含量的测试按GB/T</w:t>
      </w:r>
      <w:r>
        <w:rPr>
          <w:rFonts w:ascii="宋体" w:hAnsi="宋体" w:eastAsia="宋体" w:cs="宋体"/>
          <w:color w:val="000000"/>
          <w:szCs w:val="21"/>
        </w:rPr>
        <w:t xml:space="preserve"> 3704</w:t>
      </w:r>
      <w:r>
        <w:rPr>
          <w:rFonts w:hint="eastAsia" w:ascii="宋体" w:hAnsi="宋体" w:eastAsia="宋体" w:cs="宋体"/>
          <w:color w:val="000000"/>
          <w:szCs w:val="21"/>
        </w:rPr>
        <w:t>9的规定进行。</w:t>
      </w:r>
    </w:p>
    <w:p w14:paraId="22CA4834">
      <w:pPr>
        <w:pStyle w:val="11"/>
        <w:numPr>
          <w:ilvl w:val="1"/>
          <w:numId w:val="6"/>
        </w:numPr>
        <w:ind w:left="0" w:firstLine="0"/>
        <w:rPr>
          <w:rFonts w:ascii="宋体" w:hAnsi="宋体" w:eastAsia="宋体" w:cs="宋体"/>
          <w:color w:val="000000"/>
          <w:szCs w:val="21"/>
        </w:rPr>
      </w:pPr>
      <w:r>
        <w:rPr>
          <w:rFonts w:hint="eastAsia" w:ascii="宋体" w:hAnsi="宋体" w:eastAsia="宋体" w:cs="宋体"/>
          <w:color w:val="000000"/>
          <w:szCs w:val="21"/>
        </w:rPr>
        <w:t>导电类型检验按GB/T</w:t>
      </w:r>
      <w:r>
        <w:rPr>
          <w:rFonts w:ascii="宋体" w:hAnsi="宋体" w:eastAsia="宋体" w:cs="宋体"/>
          <w:color w:val="000000"/>
          <w:szCs w:val="21"/>
        </w:rPr>
        <w:t xml:space="preserve"> </w:t>
      </w:r>
      <w:r>
        <w:rPr>
          <w:rFonts w:hint="eastAsia" w:ascii="宋体" w:hAnsi="宋体" w:eastAsia="宋体" w:cs="宋体"/>
          <w:color w:val="000000"/>
          <w:szCs w:val="21"/>
        </w:rPr>
        <w:t>1550的规定进行。</w:t>
      </w:r>
    </w:p>
    <w:p w14:paraId="4AD94849">
      <w:pPr>
        <w:pStyle w:val="11"/>
        <w:numPr>
          <w:ilvl w:val="1"/>
          <w:numId w:val="6"/>
        </w:numPr>
        <w:ind w:left="0" w:firstLine="0"/>
        <w:rPr>
          <w:rFonts w:ascii="宋体" w:hAnsi="宋体" w:eastAsia="宋体" w:cs="宋体"/>
          <w:color w:val="000000"/>
          <w:szCs w:val="21"/>
        </w:rPr>
      </w:pPr>
      <w:r>
        <w:rPr>
          <w:rFonts w:hint="eastAsia" w:ascii="宋体" w:hAnsi="宋体" w:eastAsia="宋体" w:cs="宋体"/>
          <w:color w:val="000000"/>
          <w:szCs w:val="21"/>
        </w:rPr>
        <w:t>电阻率检验按照GB/T</w:t>
      </w:r>
      <w:r>
        <w:rPr>
          <w:rFonts w:ascii="宋体" w:hAnsi="宋体" w:eastAsia="宋体" w:cs="宋体"/>
          <w:color w:val="000000"/>
          <w:szCs w:val="21"/>
        </w:rPr>
        <w:t xml:space="preserve"> </w:t>
      </w:r>
      <w:r>
        <w:rPr>
          <w:rFonts w:hint="eastAsia" w:ascii="宋体" w:hAnsi="宋体" w:eastAsia="宋体" w:cs="宋体"/>
          <w:color w:val="000000"/>
          <w:szCs w:val="21"/>
        </w:rPr>
        <w:t>155</w:t>
      </w:r>
      <w:r>
        <w:rPr>
          <w:rFonts w:ascii="宋体" w:hAnsi="宋体" w:eastAsia="宋体" w:cs="宋体"/>
          <w:color w:val="000000"/>
          <w:szCs w:val="21"/>
        </w:rPr>
        <w:t>1</w:t>
      </w:r>
      <w:r>
        <w:rPr>
          <w:rFonts w:hint="eastAsia" w:ascii="宋体" w:hAnsi="宋体" w:eastAsia="宋体" w:cs="宋体"/>
          <w:color w:val="000000"/>
          <w:szCs w:val="21"/>
        </w:rPr>
        <w:t>或者GB/T</w:t>
      </w:r>
      <w:r>
        <w:rPr>
          <w:rFonts w:ascii="宋体" w:hAnsi="宋体" w:eastAsia="宋体" w:cs="宋体"/>
          <w:color w:val="000000"/>
          <w:szCs w:val="21"/>
        </w:rPr>
        <w:t xml:space="preserve"> </w:t>
      </w:r>
      <w:r>
        <w:rPr>
          <w:rFonts w:hint="eastAsia" w:ascii="宋体" w:hAnsi="宋体" w:eastAsia="宋体" w:cs="宋体"/>
          <w:color w:val="000000"/>
          <w:szCs w:val="21"/>
        </w:rPr>
        <w:t>13389的规定进行，</w:t>
      </w:r>
      <w:r>
        <w:rPr>
          <w:rStyle w:val="16"/>
          <w:rFonts w:hint="eastAsia" w:ascii="宋体" w:hAnsi="宋体" w:eastAsia="宋体"/>
        </w:rPr>
        <w:t>仲裁检验按照GB/T</w:t>
      </w:r>
      <w:r>
        <w:rPr>
          <w:rStyle w:val="16"/>
          <w:rFonts w:ascii="宋体" w:hAnsi="宋体" w:eastAsia="宋体"/>
        </w:rPr>
        <w:t xml:space="preserve"> 13389</w:t>
      </w:r>
      <w:r>
        <w:rPr>
          <w:rStyle w:val="16"/>
          <w:rFonts w:hint="eastAsia" w:ascii="宋体" w:hAnsi="宋体" w:eastAsia="宋体"/>
        </w:rPr>
        <w:t>的规定进行</w:t>
      </w:r>
      <w:r>
        <w:rPr>
          <w:rFonts w:hint="eastAsia" w:ascii="宋体" w:hAnsi="宋体" w:eastAsia="宋体" w:cs="宋体"/>
          <w:color w:val="000000"/>
          <w:szCs w:val="21"/>
        </w:rPr>
        <w:t>。</w:t>
      </w:r>
    </w:p>
    <w:p w14:paraId="7181BD6E">
      <w:pPr>
        <w:pStyle w:val="11"/>
        <w:numPr>
          <w:ilvl w:val="1"/>
          <w:numId w:val="6"/>
        </w:numPr>
        <w:ind w:left="0" w:firstLine="0"/>
        <w:rPr>
          <w:rFonts w:ascii="宋体" w:hAnsi="宋体" w:eastAsia="宋体" w:cs="宋体"/>
          <w:color w:val="000000"/>
          <w:szCs w:val="21"/>
        </w:rPr>
      </w:pPr>
      <w:r>
        <w:rPr>
          <w:rFonts w:hint="eastAsia" w:ascii="宋体" w:hAnsi="宋体" w:eastAsia="宋体" w:cs="宋体"/>
          <w:color w:val="000000"/>
          <w:szCs w:val="21"/>
        </w:rPr>
        <w:t>少数载流子寿命测试按GB/T</w:t>
      </w:r>
      <w:r>
        <w:rPr>
          <w:rFonts w:ascii="宋体" w:hAnsi="宋体" w:eastAsia="宋体" w:cs="宋体"/>
          <w:color w:val="000000"/>
          <w:szCs w:val="21"/>
        </w:rPr>
        <w:t xml:space="preserve"> </w:t>
      </w:r>
      <w:r>
        <w:rPr>
          <w:rFonts w:hint="eastAsia" w:ascii="宋体" w:hAnsi="宋体" w:eastAsia="宋体" w:cs="宋体"/>
          <w:color w:val="000000"/>
          <w:szCs w:val="21"/>
        </w:rPr>
        <w:t>1553的规定进行。</w:t>
      </w:r>
      <w:r>
        <w:rPr>
          <w:rFonts w:ascii="宋体" w:hAnsi="宋体" w:eastAsia="宋体" w:cs="宋体"/>
          <w:color w:val="000000"/>
          <w:szCs w:val="21"/>
        </w:rPr>
        <w:t xml:space="preserve"> </w:t>
      </w:r>
    </w:p>
    <w:p w14:paraId="30EA3070">
      <w:pPr>
        <w:pStyle w:val="11"/>
        <w:numPr>
          <w:ilvl w:val="1"/>
          <w:numId w:val="6"/>
        </w:numPr>
        <w:rPr>
          <w:rFonts w:ascii="宋体" w:hAnsi="宋体" w:eastAsia="宋体" w:cs="宋体"/>
          <w:color w:val="000000"/>
          <w:szCs w:val="21"/>
        </w:rPr>
      </w:pPr>
      <w:r>
        <w:rPr>
          <w:rFonts w:hint="eastAsia" w:ascii="宋体" w:hAnsi="宋体" w:eastAsia="宋体" w:cs="宋体"/>
          <w:color w:val="000000"/>
          <w:szCs w:val="21"/>
        </w:rPr>
        <w:t>尺寸及偏差、椭圆度和弯曲度的检验用相应精度的量具测量。</w:t>
      </w:r>
      <w:r>
        <w:rPr>
          <w:rFonts w:ascii="宋体" w:hAnsi="宋体" w:eastAsia="宋体" w:cs="宋体"/>
          <w:color w:val="000000"/>
          <w:szCs w:val="21"/>
        </w:rPr>
        <w:t xml:space="preserve"> </w:t>
      </w:r>
    </w:p>
    <w:p w14:paraId="76E0641B">
      <w:pPr>
        <w:pStyle w:val="11"/>
        <w:numPr>
          <w:ilvl w:val="1"/>
          <w:numId w:val="6"/>
        </w:numPr>
        <w:rPr>
          <w:rFonts w:ascii="宋体" w:hAnsi="宋体" w:eastAsia="宋体" w:cs="宋体"/>
          <w:color w:val="000000"/>
          <w:szCs w:val="21"/>
        </w:rPr>
      </w:pPr>
      <w:r>
        <w:rPr>
          <w:rFonts w:hint="eastAsia" w:ascii="宋体" w:hAnsi="宋体" w:eastAsia="宋体" w:cs="宋体"/>
          <w:color w:val="000000"/>
          <w:szCs w:val="21"/>
        </w:rPr>
        <w:t xml:space="preserve"> 结构（氧化夹层、温度夹层）的检验按GB/T</w:t>
      </w:r>
      <w:r>
        <w:rPr>
          <w:rFonts w:ascii="宋体" w:hAnsi="宋体" w:eastAsia="宋体" w:cs="宋体"/>
          <w:color w:val="000000"/>
          <w:szCs w:val="21"/>
        </w:rPr>
        <w:t xml:space="preserve"> </w:t>
      </w:r>
      <w:r>
        <w:rPr>
          <w:rFonts w:hint="eastAsia" w:ascii="宋体" w:hAnsi="宋体" w:eastAsia="宋体" w:cs="宋体"/>
          <w:color w:val="000000"/>
          <w:szCs w:val="21"/>
        </w:rPr>
        <w:t>4061的规定进行。</w:t>
      </w:r>
    </w:p>
    <w:p w14:paraId="080C11B4">
      <w:pPr>
        <w:pStyle w:val="9"/>
        <w:numPr>
          <w:ilvl w:val="1"/>
          <w:numId w:val="6"/>
        </w:numPr>
        <w:ind w:firstLineChars="0"/>
        <w:rPr>
          <w:rFonts w:hAnsi="宋体" w:cs="宋体"/>
          <w:szCs w:val="21"/>
        </w:rPr>
      </w:pPr>
      <w:r>
        <w:rPr>
          <w:rFonts w:hint="eastAsia" w:hAnsi="宋体" w:cs="宋体"/>
          <w:color w:val="000000"/>
          <w:szCs w:val="21"/>
        </w:rPr>
        <w:t xml:space="preserve">粗糙度检验可参照GB/T </w:t>
      </w:r>
      <w:r>
        <w:rPr>
          <w:rFonts w:hAnsi="宋体" w:cs="宋体"/>
          <w:color w:val="000000"/>
          <w:szCs w:val="21"/>
        </w:rPr>
        <w:t>2523</w:t>
      </w:r>
      <w:r>
        <w:rPr>
          <w:rFonts w:hint="eastAsia" w:hAnsi="宋体" w:cs="宋体"/>
          <w:color w:val="000000"/>
          <w:szCs w:val="21"/>
        </w:rPr>
        <w:t>的规定执行，其他表面质量目视检查。</w:t>
      </w:r>
    </w:p>
    <w:p w14:paraId="3F80E3FB">
      <w:pPr>
        <w:pStyle w:val="10"/>
        <w:spacing w:before="312" w:beforeLines="100" w:after="312" w:afterLines="100"/>
        <w:ind w:left="0"/>
        <w:rPr>
          <w:rFonts w:hAnsi="黑体"/>
          <w:sz w:val="20"/>
        </w:rPr>
      </w:pPr>
      <w:r>
        <w:rPr>
          <w:rFonts w:hint="eastAsia" w:hAnsi="黑体"/>
          <w:sz w:val="20"/>
        </w:rPr>
        <w:t>检验规则</w:t>
      </w:r>
    </w:p>
    <w:p w14:paraId="3AA3ADEF">
      <w:pPr>
        <w:pStyle w:val="9"/>
        <w:numPr>
          <w:ilvl w:val="1"/>
          <w:numId w:val="7"/>
        </w:numPr>
        <w:spacing w:before="156" w:beforeLines="50" w:after="156" w:afterLines="50"/>
        <w:ind w:firstLineChars="0"/>
        <w:rPr>
          <w:rFonts w:ascii="黑体" w:hAnsi="黑体" w:eastAsia="黑体"/>
          <w:sz w:val="20"/>
        </w:rPr>
      </w:pPr>
      <w:r>
        <w:rPr>
          <w:rFonts w:hint="eastAsia" w:ascii="黑体" w:hAnsi="黑体" w:eastAsia="黑体"/>
          <w:sz w:val="20"/>
        </w:rPr>
        <w:t xml:space="preserve"> 检查和验收</w:t>
      </w:r>
    </w:p>
    <w:p w14:paraId="761BEDDB">
      <w:pPr>
        <w:pStyle w:val="9"/>
        <w:numPr>
          <w:ilvl w:val="2"/>
          <w:numId w:val="7"/>
        </w:numPr>
        <w:tabs>
          <w:tab w:val="left" w:pos="567"/>
        </w:tabs>
        <w:ind w:left="0" w:firstLine="0" w:firstLineChars="0"/>
        <w:rPr>
          <w:rFonts w:hAnsi="宋体" w:cs="宋体"/>
          <w:szCs w:val="21"/>
        </w:rPr>
      </w:pPr>
      <w:r>
        <w:rPr>
          <w:rFonts w:hint="eastAsia" w:hAnsi="宋体" w:cs="宋体"/>
          <w:szCs w:val="21"/>
        </w:rPr>
        <w:t>产品应由供方或第三方进行检验，保证产品质量符合本文件及合同的规定，并填写产品随行文件。</w:t>
      </w:r>
    </w:p>
    <w:p w14:paraId="3F4C1ACE">
      <w:pPr>
        <w:pStyle w:val="9"/>
        <w:numPr>
          <w:ilvl w:val="2"/>
          <w:numId w:val="7"/>
        </w:numPr>
        <w:tabs>
          <w:tab w:val="left" w:pos="567"/>
        </w:tabs>
        <w:ind w:left="0" w:hanging="11" w:firstLineChars="0"/>
        <w:rPr>
          <w:rFonts w:ascii="黑体" w:hAnsi="黑体" w:eastAsia="黑体"/>
          <w:sz w:val="20"/>
        </w:rPr>
      </w:pPr>
      <w:r>
        <w:rPr>
          <w:rFonts w:hint="eastAsia" w:hAnsi="宋体" w:cs="宋体"/>
          <w:szCs w:val="21"/>
        </w:rPr>
        <w:t>需方可对收到的产品进行检验。若检验结果与本文件或合同的规定不符时，应在收到产品之日起3个月内向供方提出，由供需双方协商解决。</w:t>
      </w:r>
    </w:p>
    <w:p w14:paraId="3A78F7C6">
      <w:pPr>
        <w:pStyle w:val="9"/>
        <w:numPr>
          <w:ilvl w:val="1"/>
          <w:numId w:val="7"/>
        </w:numPr>
        <w:spacing w:before="156" w:beforeLines="50" w:after="156" w:afterLines="50"/>
        <w:ind w:left="357" w:hanging="357" w:firstLineChars="0"/>
        <w:rPr>
          <w:rFonts w:ascii="黑体" w:hAnsi="黑体" w:eastAsia="黑体"/>
          <w:sz w:val="20"/>
        </w:rPr>
      </w:pPr>
      <w:r>
        <w:rPr>
          <w:rFonts w:hint="eastAsia" w:ascii="黑体" w:hAnsi="黑体" w:eastAsia="黑体"/>
          <w:sz w:val="20"/>
        </w:rPr>
        <w:t xml:space="preserve"> 组批</w:t>
      </w:r>
    </w:p>
    <w:p w14:paraId="7AA05DA2">
      <w:pPr>
        <w:pStyle w:val="9"/>
        <w:ind w:firstLine="420"/>
        <w:rPr>
          <w:rFonts w:hAnsi="宋体" w:cs="宋体"/>
          <w:szCs w:val="21"/>
        </w:rPr>
      </w:pPr>
      <w:r>
        <w:rPr>
          <w:rFonts w:hint="eastAsia" w:hAnsi="宋体" w:cs="宋体"/>
          <w:szCs w:val="21"/>
        </w:rPr>
        <w:t>产品应成批提交验收，每批应有同一牌号、具有相同等级和特性，并可追溯的区熔硅组成。</w:t>
      </w:r>
    </w:p>
    <w:p w14:paraId="2577ED20">
      <w:pPr>
        <w:pStyle w:val="9"/>
        <w:numPr>
          <w:ilvl w:val="1"/>
          <w:numId w:val="7"/>
        </w:numPr>
        <w:spacing w:before="156" w:beforeLines="50" w:after="156" w:afterLines="50"/>
        <w:ind w:left="357" w:hanging="357" w:firstLineChars="0"/>
        <w:rPr>
          <w:rFonts w:ascii="黑体" w:hAnsi="黑体" w:eastAsia="黑体"/>
          <w:sz w:val="20"/>
        </w:rPr>
      </w:pPr>
      <w:r>
        <w:rPr>
          <w:rFonts w:hint="eastAsia" w:ascii="黑体" w:hAnsi="黑体" w:eastAsia="黑体"/>
          <w:sz w:val="20"/>
        </w:rPr>
        <w:t xml:space="preserve"> 检验项目</w:t>
      </w:r>
    </w:p>
    <w:p w14:paraId="7BDE47C2">
      <w:pPr>
        <w:pStyle w:val="9"/>
        <w:ind w:firstLine="0" w:firstLineChars="0"/>
        <w:jc w:val="left"/>
        <w:rPr>
          <w:rFonts w:hAnsi="宋体" w:cs="宋体"/>
          <w:szCs w:val="21"/>
        </w:rPr>
      </w:pPr>
      <w:r>
        <w:rPr>
          <w:rFonts w:hint="eastAsia" w:ascii="黑体" w:hAnsi="黑体" w:eastAsia="黑体"/>
          <w:sz w:val="20"/>
        </w:rPr>
        <w:t>7</w:t>
      </w:r>
      <w:r>
        <w:rPr>
          <w:rFonts w:ascii="黑体" w:hAnsi="黑体" w:eastAsia="黑体"/>
          <w:sz w:val="20"/>
        </w:rPr>
        <w:t xml:space="preserve">.3.1 </w:t>
      </w:r>
      <w:r>
        <w:rPr>
          <w:rFonts w:hint="eastAsia" w:hAnsi="宋体" w:cs="宋体"/>
          <w:szCs w:val="21"/>
        </w:rPr>
        <w:t>每批产品应对施主杂质含量、受主杂质含量、碳含量、氧含量、硅芯样芯碳含量、硅芯样芯氧含量、基体金属杂质含量、尺寸及偏差、结构、表面质量和粗糙度进行检验。</w:t>
      </w:r>
    </w:p>
    <w:p w14:paraId="67B59802">
      <w:pPr>
        <w:pStyle w:val="9"/>
        <w:ind w:firstLine="0" w:firstLineChars="0"/>
        <w:rPr>
          <w:rFonts w:hAnsi="宋体" w:cs="宋体"/>
          <w:szCs w:val="21"/>
        </w:rPr>
      </w:pPr>
      <w:r>
        <w:rPr>
          <w:rFonts w:ascii="黑体" w:hAnsi="黑体" w:eastAsia="黑体"/>
          <w:sz w:val="20"/>
        </w:rPr>
        <w:t xml:space="preserve">7.3.2 </w:t>
      </w:r>
      <w:r>
        <w:rPr>
          <w:rFonts w:hint="eastAsia" w:hAnsi="宋体" w:cs="宋体"/>
          <w:szCs w:val="21"/>
        </w:rPr>
        <w:t>导电类型、少数载流子寿命和电阻率的检验由供需双方协商确定。</w:t>
      </w:r>
    </w:p>
    <w:p w14:paraId="5D3BD849">
      <w:pPr>
        <w:pStyle w:val="9"/>
        <w:numPr>
          <w:ilvl w:val="1"/>
          <w:numId w:val="7"/>
        </w:numPr>
        <w:spacing w:before="156" w:beforeLines="50" w:after="156" w:afterLines="50"/>
        <w:ind w:left="357" w:hanging="357" w:firstLineChars="0"/>
        <w:rPr>
          <w:rFonts w:ascii="黑体" w:hAnsi="黑体" w:eastAsia="黑体"/>
          <w:sz w:val="20"/>
        </w:rPr>
      </w:pPr>
      <w:r>
        <w:rPr>
          <w:rFonts w:hint="eastAsia" w:ascii="黑体" w:hAnsi="黑体" w:eastAsia="黑体"/>
          <w:sz w:val="20"/>
        </w:rPr>
        <w:t xml:space="preserve"> 取样及制样</w:t>
      </w:r>
    </w:p>
    <w:p w14:paraId="4BAA3E45">
      <w:pPr>
        <w:pStyle w:val="9"/>
        <w:numPr>
          <w:ilvl w:val="2"/>
          <w:numId w:val="7"/>
        </w:numPr>
        <w:tabs>
          <w:tab w:val="left" w:pos="284"/>
          <w:tab w:val="left" w:pos="567"/>
        </w:tabs>
        <w:ind w:left="0" w:firstLine="0" w:firstLineChars="0"/>
        <w:rPr>
          <w:rFonts w:hAnsi="宋体" w:cs="宋体"/>
          <w:szCs w:val="21"/>
        </w:rPr>
      </w:pPr>
      <w:r>
        <w:rPr>
          <w:rFonts w:hint="eastAsia" w:hAnsi="宋体" w:cs="宋体"/>
          <w:szCs w:val="21"/>
        </w:rPr>
        <w:t>施主杂质含量、受主杂质含量、碳含量、氧含量、硅芯样芯碳含量和硅芯样芯氧含量的取样及制样按照G</w:t>
      </w:r>
      <w:r>
        <w:rPr>
          <w:rFonts w:hAnsi="宋体" w:cs="宋体"/>
          <w:szCs w:val="21"/>
        </w:rPr>
        <w:t>B/T 29057</w:t>
      </w:r>
      <w:r>
        <w:rPr>
          <w:rFonts w:hint="eastAsia" w:hAnsi="宋体" w:cs="宋体"/>
          <w:szCs w:val="21"/>
        </w:rPr>
        <w:t>进行，其中硅芯样芯在原生硅棒的截取料上取样。</w:t>
      </w:r>
    </w:p>
    <w:p w14:paraId="184A3D01">
      <w:pPr>
        <w:pStyle w:val="9"/>
        <w:numPr>
          <w:ilvl w:val="2"/>
          <w:numId w:val="7"/>
        </w:numPr>
        <w:tabs>
          <w:tab w:val="left" w:pos="284"/>
          <w:tab w:val="left" w:pos="567"/>
        </w:tabs>
        <w:ind w:left="0" w:firstLine="0" w:firstLineChars="0"/>
        <w:rPr>
          <w:rFonts w:hAnsi="宋体" w:cs="宋体"/>
          <w:szCs w:val="21"/>
        </w:rPr>
      </w:pPr>
      <w:r>
        <w:rPr>
          <w:rFonts w:hint="eastAsia" w:hAnsi="宋体" w:cs="宋体"/>
          <w:szCs w:val="21"/>
        </w:rPr>
        <w:t>基体金属杂质含量、导电类型少数载流子寿命和表面质量的取样由供需双方协商确定。</w:t>
      </w:r>
    </w:p>
    <w:p w14:paraId="703C455F">
      <w:pPr>
        <w:pStyle w:val="9"/>
        <w:numPr>
          <w:ilvl w:val="2"/>
          <w:numId w:val="7"/>
        </w:numPr>
        <w:tabs>
          <w:tab w:val="left" w:pos="284"/>
          <w:tab w:val="left" w:pos="567"/>
        </w:tabs>
        <w:ind w:left="0" w:firstLine="0" w:firstLineChars="0"/>
        <w:rPr>
          <w:rFonts w:hAnsi="宋体" w:cs="宋体"/>
          <w:szCs w:val="21"/>
        </w:rPr>
      </w:pPr>
      <w:r>
        <w:rPr>
          <w:rFonts w:hint="eastAsia" w:hAnsi="宋体" w:cs="宋体"/>
          <w:szCs w:val="21"/>
        </w:rPr>
        <w:t>粗糙度的取样及制样按照</w:t>
      </w:r>
      <w:r>
        <w:rPr>
          <w:rFonts w:hint="eastAsia" w:hAnsi="宋体" w:cs="宋体"/>
          <w:color w:val="000000"/>
          <w:szCs w:val="21"/>
        </w:rPr>
        <w:t>GB/T 1</w:t>
      </w:r>
      <w:r>
        <w:rPr>
          <w:rFonts w:hAnsi="宋体" w:cs="宋体"/>
          <w:color w:val="000000"/>
          <w:szCs w:val="21"/>
        </w:rPr>
        <w:t>031</w:t>
      </w:r>
      <w:r>
        <w:rPr>
          <w:rFonts w:hint="eastAsia" w:hAnsi="宋体" w:cs="宋体"/>
          <w:color w:val="000000"/>
          <w:szCs w:val="21"/>
        </w:rPr>
        <w:t>进行。</w:t>
      </w:r>
    </w:p>
    <w:p w14:paraId="42ACF4D4">
      <w:pPr>
        <w:pStyle w:val="9"/>
        <w:numPr>
          <w:ilvl w:val="2"/>
          <w:numId w:val="7"/>
        </w:numPr>
        <w:tabs>
          <w:tab w:val="left" w:pos="-142"/>
          <w:tab w:val="left" w:pos="567"/>
        </w:tabs>
        <w:ind w:left="0" w:firstLine="0" w:firstLineChars="0"/>
        <w:rPr>
          <w:rFonts w:hAnsi="宋体" w:cs="宋体"/>
          <w:szCs w:val="21"/>
        </w:rPr>
      </w:pPr>
      <w:r>
        <w:rPr>
          <w:rFonts w:hint="eastAsia" w:hAnsi="宋体" w:cs="宋体"/>
          <w:szCs w:val="21"/>
        </w:rPr>
        <w:t>电阻率的取样及制样按照GB/T</w:t>
      </w:r>
      <w:r>
        <w:rPr>
          <w:rFonts w:hAnsi="宋体" w:cs="宋体"/>
          <w:szCs w:val="21"/>
        </w:rPr>
        <w:t xml:space="preserve"> </w:t>
      </w:r>
      <w:r>
        <w:rPr>
          <w:rFonts w:hint="eastAsia" w:hAnsi="宋体" w:cs="宋体"/>
          <w:szCs w:val="21"/>
        </w:rPr>
        <w:t>29057进行。仲裁时取样及制样由供需双方协商确定。</w:t>
      </w:r>
    </w:p>
    <w:p w14:paraId="49873ADD">
      <w:pPr>
        <w:pStyle w:val="9"/>
        <w:numPr>
          <w:ilvl w:val="1"/>
          <w:numId w:val="7"/>
        </w:numPr>
        <w:spacing w:before="156" w:beforeLines="50" w:after="156" w:afterLines="50"/>
        <w:ind w:left="357" w:hanging="357" w:firstLineChars="0"/>
        <w:rPr>
          <w:rFonts w:ascii="黑体" w:hAnsi="黑体" w:eastAsia="黑体"/>
          <w:sz w:val="20"/>
        </w:rPr>
      </w:pPr>
      <w:r>
        <w:rPr>
          <w:rFonts w:hint="eastAsia" w:ascii="黑体" w:hAnsi="黑体" w:eastAsia="黑体"/>
          <w:sz w:val="20"/>
        </w:rPr>
        <w:t>检验结果的判定</w:t>
      </w:r>
    </w:p>
    <w:p w14:paraId="2F0A7C55">
      <w:pPr>
        <w:pStyle w:val="9"/>
        <w:numPr>
          <w:ilvl w:val="2"/>
          <w:numId w:val="7"/>
        </w:numPr>
        <w:tabs>
          <w:tab w:val="left" w:pos="567"/>
        </w:tabs>
        <w:ind w:left="0" w:firstLine="0" w:firstLineChars="0"/>
        <w:rPr>
          <w:rFonts w:hAnsi="宋体" w:cs="宋体"/>
          <w:szCs w:val="21"/>
        </w:rPr>
      </w:pPr>
      <w:r>
        <w:rPr>
          <w:rFonts w:hint="eastAsia" w:hAnsi="宋体" w:cs="宋体"/>
          <w:szCs w:val="21"/>
        </w:rPr>
        <w:t>区熔硅的施主杂质含量、受主杂质含量、碳含量、氧含量、硅芯样芯碳含量、硅芯样芯氧含量、直径、基体金属杂质含量的检验结果中任一检验项目不合格时，则加倍取样对该不合格的项目进行重复试验。重复试验结果仍不合格，则判该批产品不合格。</w:t>
      </w:r>
    </w:p>
    <w:p w14:paraId="7A62A998">
      <w:pPr>
        <w:pStyle w:val="9"/>
        <w:numPr>
          <w:ilvl w:val="2"/>
          <w:numId w:val="7"/>
        </w:numPr>
        <w:tabs>
          <w:tab w:val="left" w:pos="567"/>
        </w:tabs>
        <w:ind w:left="0" w:firstLine="0" w:firstLineChars="0"/>
        <w:rPr>
          <w:rFonts w:hAnsi="宋体" w:cs="宋体"/>
          <w:szCs w:val="21"/>
        </w:rPr>
      </w:pPr>
      <w:r>
        <w:rPr>
          <w:rFonts w:hint="eastAsia" w:hAnsi="宋体" w:cs="宋体"/>
          <w:szCs w:val="21"/>
        </w:rPr>
        <w:t>导电类型、少数载流子寿命、电阻率、尺寸及偏差、结构、表面质量和粗糙度的检验结果的判定由供需双方协商确定。</w:t>
      </w:r>
    </w:p>
    <w:p w14:paraId="194C4145">
      <w:pPr>
        <w:pStyle w:val="10"/>
        <w:spacing w:before="312" w:beforeLines="100" w:after="312" w:afterLines="100"/>
        <w:ind w:left="0"/>
        <w:rPr>
          <w:rFonts w:hAnsi="黑体"/>
          <w:sz w:val="20"/>
        </w:rPr>
      </w:pPr>
      <w:r>
        <w:rPr>
          <w:rFonts w:hint="eastAsia" w:hAnsi="黑体"/>
          <w:sz w:val="20"/>
        </w:rPr>
        <w:t>标志、包装、运输、贮存及随行文件</w:t>
      </w:r>
    </w:p>
    <w:p w14:paraId="4BC80B37">
      <w:pPr>
        <w:pStyle w:val="9"/>
        <w:numPr>
          <w:ilvl w:val="1"/>
          <w:numId w:val="8"/>
        </w:numPr>
        <w:tabs>
          <w:tab w:val="left" w:pos="567"/>
        </w:tabs>
        <w:spacing w:before="156" w:beforeLines="50" w:after="156" w:afterLines="50"/>
        <w:ind w:firstLineChars="0"/>
        <w:rPr>
          <w:rFonts w:ascii="黑体" w:hAnsi="黑体" w:eastAsia="黑体"/>
          <w:sz w:val="20"/>
        </w:rPr>
      </w:pPr>
      <w:r>
        <w:rPr>
          <w:rFonts w:hint="eastAsia" w:ascii="黑体" w:hAnsi="黑体" w:eastAsia="黑体"/>
          <w:sz w:val="20"/>
        </w:rPr>
        <w:t>标志</w:t>
      </w:r>
    </w:p>
    <w:p w14:paraId="41A669E1">
      <w:pPr>
        <w:pStyle w:val="9"/>
        <w:tabs>
          <w:tab w:val="left" w:pos="567"/>
        </w:tabs>
        <w:ind w:left="360" w:firstLine="0" w:firstLineChars="0"/>
        <w:rPr>
          <w:rFonts w:hAnsi="宋体" w:cs="宋体"/>
          <w:szCs w:val="21"/>
        </w:rPr>
      </w:pPr>
      <w:r>
        <w:rPr>
          <w:rFonts w:hint="eastAsia" w:hAnsi="宋体" w:cs="宋体"/>
          <w:szCs w:val="21"/>
        </w:rPr>
        <w:t>包装箱外应有“易碎物品，小心轻放”及防潮标志、并注明：</w:t>
      </w:r>
    </w:p>
    <w:p w14:paraId="3596DF01">
      <w:pPr>
        <w:pStyle w:val="9"/>
        <w:numPr>
          <w:ilvl w:val="0"/>
          <w:numId w:val="9"/>
        </w:numPr>
        <w:tabs>
          <w:tab w:val="left" w:pos="567"/>
        </w:tabs>
        <w:ind w:firstLineChars="0"/>
        <w:rPr>
          <w:rFonts w:hAnsi="宋体" w:cs="宋体"/>
          <w:szCs w:val="21"/>
        </w:rPr>
      </w:pPr>
      <w:r>
        <w:rPr>
          <w:rFonts w:hint="eastAsia" w:hAnsi="宋体" w:cs="宋体"/>
          <w:szCs w:val="21"/>
        </w:rPr>
        <w:t>产品名称、牌号；</w:t>
      </w:r>
    </w:p>
    <w:p w14:paraId="0A323248">
      <w:pPr>
        <w:pStyle w:val="9"/>
        <w:numPr>
          <w:ilvl w:val="0"/>
          <w:numId w:val="9"/>
        </w:numPr>
        <w:tabs>
          <w:tab w:val="left" w:pos="567"/>
        </w:tabs>
        <w:ind w:firstLineChars="0"/>
        <w:rPr>
          <w:rFonts w:hAnsi="宋体" w:cs="宋体"/>
          <w:szCs w:val="21"/>
        </w:rPr>
      </w:pPr>
      <w:r>
        <w:rPr>
          <w:rFonts w:hint="eastAsia" w:hAnsi="宋体" w:cs="宋体"/>
          <w:szCs w:val="21"/>
        </w:rPr>
        <w:t>产品数量、净重；</w:t>
      </w:r>
    </w:p>
    <w:p w14:paraId="4584E0AF">
      <w:pPr>
        <w:pStyle w:val="9"/>
        <w:numPr>
          <w:ilvl w:val="0"/>
          <w:numId w:val="9"/>
        </w:numPr>
        <w:tabs>
          <w:tab w:val="left" w:pos="567"/>
        </w:tabs>
        <w:ind w:firstLineChars="0"/>
        <w:rPr>
          <w:rFonts w:hAnsi="宋体" w:cs="宋体"/>
          <w:szCs w:val="21"/>
        </w:rPr>
      </w:pPr>
      <w:r>
        <w:rPr>
          <w:rFonts w:hint="eastAsia" w:hAnsi="宋体" w:cs="宋体"/>
          <w:szCs w:val="21"/>
        </w:rPr>
        <w:t>产品批次号；</w:t>
      </w:r>
    </w:p>
    <w:p w14:paraId="42A3A71E">
      <w:pPr>
        <w:pStyle w:val="9"/>
        <w:numPr>
          <w:ilvl w:val="0"/>
          <w:numId w:val="9"/>
        </w:numPr>
        <w:tabs>
          <w:tab w:val="left" w:pos="567"/>
        </w:tabs>
        <w:ind w:firstLineChars="0"/>
        <w:rPr>
          <w:rFonts w:hAnsi="宋体" w:cs="宋体"/>
          <w:szCs w:val="21"/>
        </w:rPr>
      </w:pPr>
      <w:r>
        <w:rPr>
          <w:rFonts w:hint="eastAsia" w:hAnsi="宋体" w:cs="宋体"/>
          <w:szCs w:val="21"/>
        </w:rPr>
        <w:t>供方名称；</w:t>
      </w:r>
    </w:p>
    <w:p w14:paraId="1C77E59B">
      <w:pPr>
        <w:pStyle w:val="9"/>
        <w:numPr>
          <w:ilvl w:val="0"/>
          <w:numId w:val="9"/>
        </w:numPr>
        <w:tabs>
          <w:tab w:val="left" w:pos="567"/>
        </w:tabs>
        <w:ind w:firstLineChars="0"/>
        <w:rPr>
          <w:rFonts w:hAnsi="宋体" w:cs="宋体"/>
          <w:szCs w:val="21"/>
        </w:rPr>
      </w:pPr>
      <w:r>
        <w:rPr>
          <w:rFonts w:hint="eastAsia" w:hAnsi="宋体" w:cs="宋体"/>
          <w:szCs w:val="21"/>
        </w:rPr>
        <w:t>包装日期；</w:t>
      </w:r>
    </w:p>
    <w:p w14:paraId="523DD76D">
      <w:pPr>
        <w:pStyle w:val="9"/>
        <w:tabs>
          <w:tab w:val="left" w:pos="567"/>
        </w:tabs>
        <w:ind w:left="426" w:firstLine="0" w:firstLineChars="0"/>
        <w:rPr>
          <w:rFonts w:hAnsi="宋体" w:cs="宋体"/>
          <w:szCs w:val="21"/>
        </w:rPr>
      </w:pPr>
      <w:r>
        <w:rPr>
          <w:rFonts w:hint="eastAsia" w:hAnsi="宋体" w:cs="宋体"/>
          <w:szCs w:val="21"/>
        </w:rPr>
        <w:t>包装箱内每根硅棒的包装应有可追溯性的标识，并注明：</w:t>
      </w:r>
    </w:p>
    <w:p w14:paraId="3A1298BD">
      <w:pPr>
        <w:pStyle w:val="9"/>
        <w:numPr>
          <w:ilvl w:val="0"/>
          <w:numId w:val="10"/>
        </w:numPr>
        <w:tabs>
          <w:tab w:val="left" w:pos="567"/>
        </w:tabs>
        <w:ind w:firstLineChars="0"/>
        <w:rPr>
          <w:rFonts w:hAnsi="宋体" w:cs="宋体"/>
          <w:szCs w:val="21"/>
        </w:rPr>
      </w:pPr>
      <w:r>
        <w:rPr>
          <w:rFonts w:hint="eastAsia" w:hAnsi="宋体" w:cs="宋体"/>
          <w:szCs w:val="21"/>
        </w:rPr>
        <w:t>牌号；</w:t>
      </w:r>
    </w:p>
    <w:p w14:paraId="1A8595E5">
      <w:pPr>
        <w:pStyle w:val="9"/>
        <w:numPr>
          <w:ilvl w:val="0"/>
          <w:numId w:val="10"/>
        </w:numPr>
        <w:tabs>
          <w:tab w:val="left" w:pos="567"/>
        </w:tabs>
        <w:ind w:firstLineChars="0"/>
        <w:rPr>
          <w:rFonts w:hAnsi="宋体" w:cs="宋体"/>
          <w:szCs w:val="21"/>
        </w:rPr>
      </w:pPr>
      <w:r>
        <w:rPr>
          <w:rFonts w:hint="eastAsia" w:hAnsi="宋体" w:cs="宋体"/>
          <w:szCs w:val="21"/>
        </w:rPr>
        <w:t>批次号、编号；</w:t>
      </w:r>
    </w:p>
    <w:p w14:paraId="63292C23">
      <w:pPr>
        <w:pStyle w:val="9"/>
        <w:numPr>
          <w:ilvl w:val="0"/>
          <w:numId w:val="10"/>
        </w:numPr>
        <w:tabs>
          <w:tab w:val="left" w:pos="567"/>
        </w:tabs>
        <w:ind w:firstLineChars="0"/>
        <w:rPr>
          <w:rFonts w:hAnsi="宋体" w:cs="宋体"/>
          <w:szCs w:val="21"/>
        </w:rPr>
      </w:pPr>
      <w:r>
        <w:rPr>
          <w:rFonts w:hint="eastAsia" w:hAnsi="宋体" w:cs="宋体"/>
          <w:szCs w:val="21"/>
        </w:rPr>
        <w:t>直径、长度；</w:t>
      </w:r>
    </w:p>
    <w:p w14:paraId="61A5E49C">
      <w:pPr>
        <w:pStyle w:val="9"/>
        <w:numPr>
          <w:ilvl w:val="0"/>
          <w:numId w:val="10"/>
        </w:numPr>
        <w:tabs>
          <w:tab w:val="left" w:pos="567"/>
        </w:tabs>
        <w:ind w:firstLineChars="0"/>
        <w:rPr>
          <w:rFonts w:hAnsi="宋体" w:cs="宋体"/>
          <w:szCs w:val="21"/>
        </w:rPr>
      </w:pPr>
      <w:r>
        <w:rPr>
          <w:rFonts w:hint="eastAsia" w:hAnsi="宋体" w:cs="宋体"/>
          <w:szCs w:val="21"/>
        </w:rPr>
        <w:t>净重；</w:t>
      </w:r>
    </w:p>
    <w:p w14:paraId="54D63AAD">
      <w:pPr>
        <w:pStyle w:val="9"/>
        <w:numPr>
          <w:ilvl w:val="0"/>
          <w:numId w:val="10"/>
        </w:numPr>
        <w:tabs>
          <w:tab w:val="left" w:pos="567"/>
        </w:tabs>
        <w:ind w:firstLineChars="0"/>
        <w:rPr>
          <w:rFonts w:hAnsi="宋体" w:cs="宋体"/>
          <w:szCs w:val="21"/>
        </w:rPr>
      </w:pPr>
      <w:r>
        <w:rPr>
          <w:rFonts w:hint="eastAsia" w:hAnsi="宋体" w:cs="宋体"/>
          <w:szCs w:val="21"/>
        </w:rPr>
        <w:t>硅棒底端应刻有硅棒编号</w:t>
      </w:r>
    </w:p>
    <w:p w14:paraId="2DB9D426">
      <w:pPr>
        <w:pStyle w:val="9"/>
        <w:numPr>
          <w:ilvl w:val="1"/>
          <w:numId w:val="8"/>
        </w:numPr>
        <w:tabs>
          <w:tab w:val="left" w:pos="567"/>
        </w:tabs>
        <w:spacing w:before="156" w:beforeLines="50" w:after="156" w:afterLines="50"/>
        <w:ind w:firstLineChars="0"/>
        <w:rPr>
          <w:rFonts w:ascii="黑体" w:hAnsi="黑体" w:eastAsia="黑体"/>
          <w:sz w:val="20"/>
        </w:rPr>
      </w:pPr>
      <w:r>
        <w:rPr>
          <w:rFonts w:hint="eastAsia" w:ascii="黑体" w:hAnsi="黑体" w:eastAsia="黑体"/>
          <w:sz w:val="20"/>
        </w:rPr>
        <w:t>包装</w:t>
      </w:r>
    </w:p>
    <w:p w14:paraId="1DD1A906">
      <w:pPr>
        <w:pStyle w:val="9"/>
        <w:spacing w:before="156" w:beforeLines="50" w:after="156" w:afterLines="50"/>
        <w:ind w:firstLine="420"/>
        <w:rPr>
          <w:rFonts w:hAnsi="宋体" w:cs="宋体"/>
          <w:szCs w:val="21"/>
        </w:rPr>
      </w:pPr>
      <w:r>
        <w:rPr>
          <w:rFonts w:hint="eastAsia" w:hAnsi="宋体" w:cs="宋体"/>
          <w:szCs w:val="21"/>
        </w:rPr>
        <w:t>区熔硅用高纯洁净的聚乙烯膜包装，硅棒之间用泡沫间隔，防止硅棒破损，并提供良好的保护，装入外包装箱。区熔硅的包装也可由供需双方协商确定。</w:t>
      </w:r>
    </w:p>
    <w:p w14:paraId="1F9C1F46">
      <w:pPr>
        <w:pStyle w:val="9"/>
        <w:numPr>
          <w:ilvl w:val="1"/>
          <w:numId w:val="8"/>
        </w:numPr>
        <w:tabs>
          <w:tab w:val="left" w:pos="567"/>
        </w:tabs>
        <w:spacing w:before="156" w:beforeLines="50" w:after="156" w:afterLines="50"/>
        <w:ind w:firstLineChars="0"/>
        <w:rPr>
          <w:rFonts w:ascii="黑体" w:hAnsi="黑体" w:eastAsia="黑体"/>
          <w:sz w:val="20"/>
        </w:rPr>
      </w:pPr>
      <w:r>
        <w:rPr>
          <w:rFonts w:hint="eastAsia" w:ascii="黑体" w:hAnsi="黑体" w:eastAsia="黑体"/>
          <w:sz w:val="20"/>
        </w:rPr>
        <w:t>运输</w:t>
      </w:r>
    </w:p>
    <w:p w14:paraId="25A917B0">
      <w:pPr>
        <w:pStyle w:val="9"/>
        <w:tabs>
          <w:tab w:val="left" w:pos="567"/>
        </w:tabs>
        <w:spacing w:before="156" w:beforeLines="50" w:after="156" w:afterLines="50"/>
        <w:ind w:left="360" w:firstLine="0" w:firstLineChars="0"/>
        <w:rPr>
          <w:rFonts w:hAnsi="宋体" w:cs="宋体"/>
          <w:szCs w:val="21"/>
        </w:rPr>
      </w:pPr>
      <w:r>
        <w:rPr>
          <w:rFonts w:hint="eastAsia" w:hAnsi="宋体" w:cs="宋体"/>
          <w:szCs w:val="21"/>
        </w:rPr>
        <w:t>产品在运输过程中应轻装轻卸，勿压勿挤，并采取防震措施。</w:t>
      </w:r>
    </w:p>
    <w:p w14:paraId="66B9882E">
      <w:pPr>
        <w:pStyle w:val="9"/>
        <w:numPr>
          <w:ilvl w:val="1"/>
          <w:numId w:val="8"/>
        </w:numPr>
        <w:tabs>
          <w:tab w:val="left" w:pos="567"/>
        </w:tabs>
        <w:spacing w:before="156" w:beforeLines="50" w:after="156" w:afterLines="50"/>
        <w:ind w:firstLineChars="0"/>
        <w:rPr>
          <w:rFonts w:ascii="黑体" w:hAnsi="黑体" w:eastAsia="黑体"/>
          <w:sz w:val="20"/>
        </w:rPr>
      </w:pPr>
      <w:r>
        <w:rPr>
          <w:rFonts w:hint="eastAsia" w:ascii="黑体" w:hAnsi="黑体" w:eastAsia="黑体"/>
          <w:sz w:val="20"/>
        </w:rPr>
        <w:t>贮存</w:t>
      </w:r>
    </w:p>
    <w:p w14:paraId="37C705F1">
      <w:pPr>
        <w:pStyle w:val="9"/>
        <w:tabs>
          <w:tab w:val="left" w:pos="567"/>
        </w:tabs>
        <w:spacing w:before="156" w:beforeLines="50" w:after="156" w:afterLines="50"/>
        <w:ind w:left="360" w:firstLine="0" w:firstLineChars="0"/>
        <w:rPr>
          <w:rFonts w:hAnsi="宋体" w:cs="宋体"/>
          <w:szCs w:val="21"/>
        </w:rPr>
      </w:pPr>
      <w:r>
        <w:rPr>
          <w:rFonts w:hint="eastAsia" w:hAnsi="宋体" w:cs="宋体"/>
          <w:szCs w:val="21"/>
        </w:rPr>
        <w:t>产品应贮存在清洁、干燥环境中。</w:t>
      </w:r>
    </w:p>
    <w:p w14:paraId="65CA8D30">
      <w:pPr>
        <w:pStyle w:val="9"/>
        <w:numPr>
          <w:ilvl w:val="1"/>
          <w:numId w:val="8"/>
        </w:numPr>
        <w:tabs>
          <w:tab w:val="left" w:pos="567"/>
        </w:tabs>
        <w:spacing w:before="156" w:beforeLines="50" w:after="156" w:afterLines="50"/>
        <w:ind w:firstLineChars="0"/>
        <w:rPr>
          <w:rFonts w:ascii="黑体" w:hAnsi="黑体" w:eastAsia="黑体"/>
          <w:sz w:val="20"/>
        </w:rPr>
      </w:pPr>
      <w:r>
        <w:rPr>
          <w:rFonts w:hint="eastAsia" w:ascii="黑体" w:hAnsi="黑体" w:eastAsia="黑体"/>
          <w:sz w:val="20"/>
        </w:rPr>
        <w:t>随行文件</w:t>
      </w:r>
    </w:p>
    <w:p w14:paraId="0E9DA769">
      <w:pPr>
        <w:pStyle w:val="9"/>
        <w:tabs>
          <w:tab w:val="left" w:pos="567"/>
        </w:tabs>
        <w:ind w:firstLine="0" w:firstLineChars="0"/>
        <w:jc w:val="left"/>
        <w:rPr>
          <w:rFonts w:hAnsi="宋体" w:cs="宋体"/>
          <w:szCs w:val="21"/>
        </w:rPr>
      </w:pPr>
      <w:r>
        <w:rPr>
          <w:rFonts w:hint="eastAsia" w:hAnsi="宋体" w:cs="宋体"/>
          <w:szCs w:val="21"/>
        </w:rPr>
        <w:t>每批产品应附有随行文件，其中除应包括供方信息、产品信息、出厂日期或者包装日期外，还宜包括以下内容：</w:t>
      </w:r>
    </w:p>
    <w:p w14:paraId="036BD92E">
      <w:pPr>
        <w:pStyle w:val="9"/>
        <w:numPr>
          <w:ilvl w:val="0"/>
          <w:numId w:val="11"/>
        </w:numPr>
        <w:tabs>
          <w:tab w:val="left" w:pos="567"/>
        </w:tabs>
        <w:ind w:firstLineChars="0"/>
        <w:rPr>
          <w:rFonts w:hAnsi="宋体" w:cs="宋体"/>
          <w:szCs w:val="21"/>
        </w:rPr>
      </w:pPr>
      <w:r>
        <w:rPr>
          <w:rFonts w:hint="eastAsia" w:hAnsi="宋体" w:cs="宋体"/>
          <w:szCs w:val="21"/>
        </w:rPr>
        <w:t>产品质量证明书，内容如下：</w:t>
      </w:r>
    </w:p>
    <w:p w14:paraId="1A7BD3A9">
      <w:pPr>
        <w:pStyle w:val="9"/>
        <w:numPr>
          <w:ilvl w:val="0"/>
          <w:numId w:val="12"/>
        </w:numPr>
        <w:tabs>
          <w:tab w:val="left" w:pos="567"/>
        </w:tabs>
        <w:ind w:firstLineChars="0"/>
        <w:rPr>
          <w:rFonts w:hAnsi="宋体" w:cs="宋体"/>
          <w:szCs w:val="21"/>
        </w:rPr>
      </w:pPr>
      <w:r>
        <w:rPr>
          <w:rFonts w:hint="eastAsia" w:hAnsi="宋体" w:cs="宋体"/>
          <w:szCs w:val="21"/>
        </w:rPr>
        <w:t>供方名称；</w:t>
      </w:r>
    </w:p>
    <w:p w14:paraId="46297A8F">
      <w:pPr>
        <w:pStyle w:val="9"/>
        <w:numPr>
          <w:ilvl w:val="0"/>
          <w:numId w:val="12"/>
        </w:numPr>
        <w:tabs>
          <w:tab w:val="left" w:pos="567"/>
        </w:tabs>
        <w:ind w:firstLineChars="0"/>
        <w:rPr>
          <w:rFonts w:hAnsi="宋体" w:cs="宋体"/>
          <w:szCs w:val="21"/>
        </w:rPr>
      </w:pPr>
      <w:r>
        <w:rPr>
          <w:rFonts w:hint="eastAsia" w:hAnsi="宋体" w:cs="宋体"/>
          <w:szCs w:val="21"/>
        </w:rPr>
        <w:t>产品名称及牌号；</w:t>
      </w:r>
    </w:p>
    <w:p w14:paraId="3F3E9AE3">
      <w:pPr>
        <w:pStyle w:val="9"/>
        <w:numPr>
          <w:ilvl w:val="0"/>
          <w:numId w:val="12"/>
        </w:numPr>
        <w:tabs>
          <w:tab w:val="left" w:pos="567"/>
        </w:tabs>
        <w:ind w:firstLineChars="0"/>
        <w:rPr>
          <w:rFonts w:hAnsi="宋体" w:cs="宋体"/>
          <w:szCs w:val="21"/>
        </w:rPr>
      </w:pPr>
      <w:r>
        <w:rPr>
          <w:rFonts w:hint="eastAsia" w:hAnsi="宋体" w:cs="宋体"/>
          <w:szCs w:val="21"/>
        </w:rPr>
        <w:t>产品批号；</w:t>
      </w:r>
    </w:p>
    <w:p w14:paraId="2148813C">
      <w:pPr>
        <w:pStyle w:val="9"/>
        <w:numPr>
          <w:ilvl w:val="0"/>
          <w:numId w:val="12"/>
        </w:numPr>
        <w:tabs>
          <w:tab w:val="left" w:pos="567"/>
        </w:tabs>
        <w:ind w:firstLineChars="0"/>
        <w:rPr>
          <w:rFonts w:hAnsi="宋体" w:cs="宋体"/>
          <w:szCs w:val="21"/>
        </w:rPr>
      </w:pPr>
      <w:r>
        <w:rPr>
          <w:rFonts w:hint="eastAsia" w:hAnsi="宋体" w:cs="宋体"/>
          <w:szCs w:val="21"/>
        </w:rPr>
        <w:t>产品净重；</w:t>
      </w:r>
    </w:p>
    <w:p w14:paraId="5C0466BD">
      <w:pPr>
        <w:pStyle w:val="9"/>
        <w:numPr>
          <w:ilvl w:val="0"/>
          <w:numId w:val="12"/>
        </w:numPr>
        <w:tabs>
          <w:tab w:val="left" w:pos="567"/>
        </w:tabs>
        <w:ind w:firstLineChars="0"/>
        <w:rPr>
          <w:rFonts w:hAnsi="宋体" w:cs="宋体"/>
          <w:szCs w:val="21"/>
        </w:rPr>
      </w:pPr>
      <w:r>
        <w:rPr>
          <w:rFonts w:hint="eastAsia" w:hAnsi="宋体" w:cs="宋体"/>
          <w:szCs w:val="21"/>
        </w:rPr>
        <w:t>生产日期；</w:t>
      </w:r>
    </w:p>
    <w:p w14:paraId="19069BBE">
      <w:pPr>
        <w:pStyle w:val="9"/>
        <w:numPr>
          <w:ilvl w:val="0"/>
          <w:numId w:val="12"/>
        </w:numPr>
        <w:tabs>
          <w:tab w:val="left" w:pos="567"/>
        </w:tabs>
        <w:ind w:firstLineChars="0"/>
        <w:rPr>
          <w:rFonts w:ascii="黑体" w:hAnsi="黑体" w:eastAsia="黑体"/>
          <w:sz w:val="20"/>
        </w:rPr>
      </w:pPr>
      <w:r>
        <w:rPr>
          <w:rFonts w:hint="eastAsia" w:hAnsi="宋体" w:cs="宋体"/>
          <w:szCs w:val="21"/>
        </w:rPr>
        <w:t>检验日期；</w:t>
      </w:r>
    </w:p>
    <w:p w14:paraId="0EF527F6">
      <w:pPr>
        <w:pStyle w:val="9"/>
        <w:numPr>
          <w:ilvl w:val="0"/>
          <w:numId w:val="12"/>
        </w:numPr>
        <w:tabs>
          <w:tab w:val="left" w:pos="567"/>
        </w:tabs>
        <w:ind w:firstLineChars="0"/>
        <w:rPr>
          <w:rFonts w:hAnsi="宋体" w:cs="宋体"/>
          <w:szCs w:val="21"/>
        </w:rPr>
      </w:pPr>
      <w:r>
        <w:rPr>
          <w:rFonts w:hint="eastAsia" w:hAnsi="宋体" w:cs="宋体"/>
          <w:szCs w:val="21"/>
        </w:rPr>
        <w:t>产品获得质量认证或供方技术监督部门检印的各项分析检验结果。</w:t>
      </w:r>
    </w:p>
    <w:p w14:paraId="46499D74">
      <w:pPr>
        <w:pStyle w:val="9"/>
        <w:numPr>
          <w:ilvl w:val="0"/>
          <w:numId w:val="11"/>
        </w:numPr>
        <w:tabs>
          <w:tab w:val="left" w:pos="567"/>
        </w:tabs>
        <w:ind w:firstLineChars="0"/>
        <w:rPr>
          <w:rFonts w:hAnsi="宋体"/>
          <w:sz w:val="20"/>
        </w:rPr>
      </w:pPr>
      <w:r>
        <w:rPr>
          <w:rFonts w:hint="eastAsia" w:hAnsi="宋体"/>
          <w:sz w:val="20"/>
        </w:rPr>
        <w:t xml:space="preserve"> 产品质量控制过程中的检验报告及成品检验报告。</w:t>
      </w:r>
    </w:p>
    <w:p w14:paraId="78DEBC47">
      <w:pPr>
        <w:pStyle w:val="9"/>
        <w:numPr>
          <w:ilvl w:val="0"/>
          <w:numId w:val="11"/>
        </w:numPr>
        <w:tabs>
          <w:tab w:val="left" w:pos="567"/>
        </w:tabs>
        <w:ind w:firstLineChars="0"/>
        <w:rPr>
          <w:rFonts w:hAnsi="宋体"/>
          <w:sz w:val="20"/>
        </w:rPr>
      </w:pPr>
      <w:r>
        <w:rPr>
          <w:rFonts w:hint="eastAsia" w:hAnsi="宋体" w:cs="宋体"/>
          <w:szCs w:val="21"/>
        </w:rPr>
        <w:t xml:space="preserve"> 其他。</w:t>
      </w:r>
    </w:p>
    <w:p w14:paraId="50748E0B">
      <w:pPr>
        <w:pStyle w:val="10"/>
        <w:spacing w:before="312" w:beforeLines="100" w:after="312" w:afterLines="100"/>
        <w:ind w:left="0"/>
        <w:rPr>
          <w:rFonts w:hAnsi="黑体"/>
          <w:sz w:val="20"/>
        </w:rPr>
      </w:pPr>
      <w:r>
        <w:rPr>
          <w:rFonts w:hint="eastAsia" w:hAnsi="黑体"/>
          <w:sz w:val="20"/>
        </w:rPr>
        <w:t>订货单内容</w:t>
      </w:r>
    </w:p>
    <w:p w14:paraId="4D9C4CA4">
      <w:pPr>
        <w:pStyle w:val="9"/>
        <w:tabs>
          <w:tab w:val="left" w:pos="567"/>
        </w:tabs>
        <w:ind w:left="357" w:firstLine="0" w:firstLineChars="0"/>
        <w:rPr>
          <w:rFonts w:hAnsi="宋体" w:cs="宋体"/>
          <w:szCs w:val="21"/>
        </w:rPr>
      </w:pPr>
      <w:r>
        <w:rPr>
          <w:rFonts w:hint="eastAsia" w:hAnsi="宋体" w:cs="宋体"/>
          <w:szCs w:val="21"/>
        </w:rPr>
        <w:t>需方可根据自身需要，在订购本文件所列产品的订货单内，列出以下内容：</w:t>
      </w:r>
    </w:p>
    <w:p w14:paraId="3DF08C13">
      <w:pPr>
        <w:pStyle w:val="9"/>
        <w:numPr>
          <w:ilvl w:val="0"/>
          <w:numId w:val="13"/>
        </w:numPr>
        <w:tabs>
          <w:tab w:val="left" w:pos="567"/>
        </w:tabs>
        <w:ind w:firstLineChars="0"/>
        <w:rPr>
          <w:rFonts w:hAnsi="宋体" w:cs="宋体"/>
          <w:szCs w:val="21"/>
        </w:rPr>
      </w:pPr>
      <w:r>
        <w:rPr>
          <w:rFonts w:hint="eastAsia" w:hAnsi="宋体" w:cs="宋体"/>
          <w:szCs w:val="21"/>
        </w:rPr>
        <w:t>产品名称、牌号；</w:t>
      </w:r>
    </w:p>
    <w:p w14:paraId="458A9C30">
      <w:pPr>
        <w:pStyle w:val="9"/>
        <w:numPr>
          <w:ilvl w:val="0"/>
          <w:numId w:val="13"/>
        </w:numPr>
        <w:tabs>
          <w:tab w:val="left" w:pos="567"/>
        </w:tabs>
        <w:ind w:firstLineChars="0"/>
        <w:rPr>
          <w:rFonts w:hAnsi="宋体" w:cs="宋体"/>
          <w:szCs w:val="21"/>
        </w:rPr>
      </w:pPr>
      <w:r>
        <w:rPr>
          <w:rFonts w:hint="eastAsia" w:hAnsi="宋体" w:cs="宋体"/>
          <w:szCs w:val="21"/>
        </w:rPr>
        <w:t>产品技术要求；</w:t>
      </w:r>
    </w:p>
    <w:p w14:paraId="2B261DA6">
      <w:pPr>
        <w:pStyle w:val="9"/>
        <w:numPr>
          <w:ilvl w:val="0"/>
          <w:numId w:val="13"/>
        </w:numPr>
        <w:tabs>
          <w:tab w:val="left" w:pos="567"/>
        </w:tabs>
        <w:ind w:firstLineChars="0"/>
        <w:rPr>
          <w:rFonts w:hAnsi="宋体" w:cs="宋体"/>
          <w:szCs w:val="21"/>
        </w:rPr>
      </w:pPr>
      <w:r>
        <w:rPr>
          <w:rFonts w:hint="eastAsia" w:hAnsi="宋体" w:cs="宋体"/>
          <w:szCs w:val="21"/>
        </w:rPr>
        <w:t>本文件编号；</w:t>
      </w:r>
    </w:p>
    <w:p w14:paraId="45FAF390">
      <w:pPr>
        <w:pStyle w:val="9"/>
        <w:numPr>
          <w:ilvl w:val="0"/>
          <w:numId w:val="13"/>
        </w:numPr>
        <w:tabs>
          <w:tab w:val="left" w:pos="567"/>
        </w:tabs>
        <w:ind w:firstLineChars="0"/>
        <w:rPr>
          <w:rFonts w:hAnsi="宋体" w:cs="宋体"/>
          <w:szCs w:val="21"/>
        </w:rPr>
      </w:pPr>
      <w:r>
        <w:rPr>
          <w:rFonts w:hint="eastAsia" w:hAnsi="宋体" w:cs="宋体"/>
          <w:szCs w:val="21"/>
        </w:rPr>
        <w:t>产品重量；</w:t>
      </w:r>
    </w:p>
    <w:p w14:paraId="11014494">
      <w:pPr>
        <w:pStyle w:val="9"/>
        <w:numPr>
          <w:ilvl w:val="0"/>
          <w:numId w:val="13"/>
        </w:numPr>
        <w:tabs>
          <w:tab w:val="left" w:pos="567"/>
        </w:tabs>
        <w:ind w:firstLineChars="0"/>
        <w:rPr>
          <w:rFonts w:hAnsi="宋体" w:cs="宋体"/>
          <w:szCs w:val="21"/>
        </w:rPr>
      </w:pPr>
      <w:r>
        <w:rPr>
          <w:rFonts w:hint="eastAsia" w:hAnsi="宋体" w:cs="宋体"/>
          <w:szCs w:val="21"/>
        </w:rPr>
        <w:t>供需双方协商确定的内容；</w:t>
      </w:r>
    </w:p>
    <w:p w14:paraId="17D43A8F">
      <w:pPr>
        <w:pStyle w:val="9"/>
        <w:numPr>
          <w:ilvl w:val="0"/>
          <w:numId w:val="13"/>
        </w:numPr>
        <w:tabs>
          <w:tab w:val="left" w:pos="567"/>
        </w:tabs>
        <w:ind w:firstLineChars="0"/>
        <w:rPr>
          <w:rFonts w:hAnsi="宋体" w:cs="宋体"/>
          <w:szCs w:val="21"/>
        </w:rPr>
      </w:pPr>
      <w:r>
        <w:rPr>
          <w:rFonts w:hint="eastAsia" w:hAnsi="宋体" w:cs="宋体"/>
          <w:szCs w:val="21"/>
        </w:rPr>
        <w:t>其他。</w:t>
      </w:r>
    </w:p>
    <w:p w14:paraId="1EADE5A6">
      <w:pPr>
        <w:pStyle w:val="9"/>
        <w:tabs>
          <w:tab w:val="left" w:pos="567"/>
        </w:tabs>
        <w:ind w:left="420" w:firstLine="0" w:firstLineChars="0"/>
        <w:rPr>
          <w:rFonts w:ascii="黑体" w:hAnsi="黑体" w:eastAsia="黑体"/>
          <w:sz w:val="20"/>
        </w:rPr>
      </w:pPr>
    </w:p>
    <w:p w14:paraId="12C45982">
      <w:pPr>
        <w:pStyle w:val="9"/>
        <w:tabs>
          <w:tab w:val="left" w:pos="567"/>
        </w:tabs>
        <w:ind w:left="420" w:firstLine="0" w:firstLineChars="0"/>
        <w:rPr>
          <w:rFonts w:ascii="黑体" w:hAnsi="黑体" w:eastAsia="黑体"/>
          <w:sz w:val="20"/>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1507490</wp:posOffset>
                </wp:positionH>
                <wp:positionV relativeFrom="paragraph">
                  <wp:posOffset>186690</wp:posOffset>
                </wp:positionV>
                <wp:extent cx="2476500" cy="0"/>
                <wp:effectExtent l="12065" t="15240" r="16510" b="13335"/>
                <wp:wrapNone/>
                <wp:docPr id="7" name="AutoShape 18"/>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straightConnector1">
                          <a:avLst/>
                        </a:prstGeom>
                        <a:noFill/>
                        <a:ln w="15875">
                          <a:solidFill>
                            <a:srgbClr val="000000"/>
                          </a:solidFill>
                          <a:round/>
                        </a:ln>
                      </wps:spPr>
                      <wps:bodyPr/>
                    </wps:wsp>
                  </a:graphicData>
                </a:graphic>
              </wp:anchor>
            </w:drawing>
          </mc:Choice>
          <mc:Fallback>
            <w:pict>
              <v:shape id="AutoShape 18" o:spid="_x0000_s1026" o:spt="32" type="#_x0000_t32" style="position:absolute;left:0pt;margin-left:118.7pt;margin-top:14.7pt;height:0pt;width:195pt;z-index:251661312;mso-width-relative:page;mso-height-relative:page;" filled="f" stroked="t" coordsize="21600,21600" o:gfxdata="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66fMNYAAAAJAQAADwAAAAAAAAABACAA&#10;AAAiAAAAZHJzL2Rvd25yZXYueG1sUEsBAhQAFAAAAAgAh07iQFEIpfbWAQAAtAMAAA4AAAAAAAAA&#10;AQAgAAAAJQEAAGRycy9lMm9Eb2MueG1sUEsFBgAAAAAGAAYAWQEAAG0FAAAAAA==&#10;">
                <v:fill on="f" focussize="0,0"/>
                <v:stroke weight="1.25pt" color="#000000" joinstyle="round"/>
                <v:imagedata o:title=""/>
                <o:lock v:ext="edit" aspectratio="f"/>
              </v:shape>
            </w:pict>
          </mc:Fallback>
        </mc:AlternateContent>
      </w:r>
    </w:p>
    <w:p w14:paraId="161539BD">
      <w:pPr>
        <w:pStyle w:val="9"/>
        <w:numPr>
          <w:ilvl w:val="4"/>
          <w:numId w:val="8"/>
        </w:numPr>
        <w:tabs>
          <w:tab w:val="left" w:pos="567"/>
        </w:tabs>
        <w:ind w:firstLineChars="0"/>
        <w:rPr>
          <w:rFonts w:ascii="黑体" w:hAnsi="黑体" w:eastAsia="黑体"/>
          <w:sz w:val="20"/>
        </w:rPr>
      </w:pPr>
    </w:p>
    <w:p w14:paraId="655CF9AD">
      <w:pPr>
        <w:pStyle w:val="9"/>
        <w:numPr>
          <w:ilvl w:val="5"/>
          <w:numId w:val="8"/>
        </w:numPr>
        <w:ind w:firstLineChars="0"/>
        <w:rPr>
          <w:rFonts w:ascii="黑体" w:hAnsi="黑体" w:eastAsia="黑体"/>
          <w:sz w:val="20"/>
        </w:rPr>
      </w:pPr>
    </w:p>
    <w:p w14:paraId="58326CE2">
      <w:pPr>
        <w:pStyle w:val="9"/>
        <w:numPr>
          <w:ilvl w:val="4"/>
          <w:numId w:val="8"/>
        </w:numPr>
        <w:ind w:firstLineChars="0"/>
        <w:rPr>
          <w:rFonts w:ascii="黑体" w:hAnsi="黑体" w:eastAsia="黑体"/>
          <w:sz w:val="20"/>
        </w:rPr>
      </w:pPr>
    </w:p>
    <w:p w14:paraId="3A4049CB"/>
    <w:sectPr>
      <w:pgSz w:w="11906" w:h="16838"/>
      <w:pgMar w:top="1134"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538A4">
    <w:pPr>
      <w:pStyle w:val="3"/>
      <w:ind w:right="180"/>
      <w:jc w:val="right"/>
    </w:pPr>
  </w:p>
  <w:p w14:paraId="5176EC4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9574653"/>
      <w:docPartObj>
        <w:docPartGallery w:val="autotext"/>
      </w:docPartObj>
    </w:sdtPr>
    <w:sdtContent>
      <w:p w14:paraId="78A7CEF8">
        <w:pPr>
          <w:pStyle w:val="3"/>
          <w:jc w:val="right"/>
        </w:pPr>
        <w:r>
          <w:fldChar w:fldCharType="begin"/>
        </w:r>
        <w:r>
          <w:instrText xml:space="preserve">PAGE   \* MERGEFORMAT</w:instrText>
        </w:r>
        <w:r>
          <w:fldChar w:fldCharType="separate"/>
        </w:r>
        <w:r>
          <w:rPr>
            <w:lang w:val="zh-CN"/>
          </w:rPr>
          <w:t>5</w:t>
        </w:r>
        <w:r>
          <w:fldChar w:fldCharType="end"/>
        </w:r>
      </w:p>
    </w:sdtContent>
  </w:sdt>
  <w:p w14:paraId="1F05D3E0">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287BC">
    <w:pPr>
      <w:pStyle w:val="3"/>
    </w:pPr>
    <w:sdt>
      <w:sdtPr>
        <w:id w:val="925542193"/>
        <w:docPartObj>
          <w:docPartGallery w:val="autotext"/>
        </w:docPartObj>
      </w:sdtPr>
      <w:sdtContent>
        <w:r>
          <w:fldChar w:fldCharType="begin"/>
        </w:r>
        <w:r>
          <w:instrText xml:space="preserve">PAGE   \* MERGEFORMAT</w:instrText>
        </w:r>
        <w:r>
          <w:fldChar w:fldCharType="separate"/>
        </w:r>
        <w:r>
          <w:rPr>
            <w:lang w:val="zh-CN"/>
          </w:rPr>
          <w:t>6</w:t>
        </w:r>
        <w: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DC16B">
    <w:pPr>
      <w:pStyle w:val="4"/>
      <w:pBdr>
        <w:bottom w:val="none" w:color="auto" w:sz="0" w:space="0"/>
      </w:pBdr>
      <w:ind w:right="210"/>
      <w:jc w:val="left"/>
      <w:rPr>
        <w:rFonts w:eastAsia="黑体"/>
        <w:b/>
        <w:sz w:val="21"/>
        <w:szCs w:val="21"/>
      </w:rPr>
    </w:pPr>
    <w:r>
      <w:rPr>
        <w:rFonts w:eastAsia="黑体"/>
        <w:b/>
        <w:sz w:val="21"/>
        <w:szCs w:val="21"/>
      </w:rPr>
      <w:t>ICS</w:t>
    </w:r>
    <w:r>
      <w:rPr>
        <w:rFonts w:eastAsia="黑体"/>
        <w:sz w:val="21"/>
        <w:szCs w:val="21"/>
      </w:rPr>
      <w:t xml:space="preserve"> </w:t>
    </w:r>
    <w:r>
      <w:rPr>
        <w:rFonts w:hint="eastAsia" w:ascii="宋体" w:hAnsi="宋体"/>
        <w:b/>
        <w:sz w:val="21"/>
        <w:szCs w:val="21"/>
      </w:rPr>
      <w:t>29.045</w:t>
    </w:r>
  </w:p>
  <w:p w14:paraId="5A695BD9">
    <w:pPr>
      <w:pStyle w:val="4"/>
      <w:pBdr>
        <w:bottom w:val="none" w:color="auto" w:sz="0" w:space="0"/>
      </w:pBdr>
      <w:ind w:right="210"/>
      <w:jc w:val="left"/>
      <w:rPr>
        <w:rFonts w:eastAsia="黑体"/>
        <w:b/>
        <w:sz w:val="21"/>
        <w:szCs w:val="21"/>
      </w:rPr>
    </w:pPr>
    <w:r>
      <w:rPr>
        <w:rFonts w:eastAsia="黑体"/>
        <w:b/>
        <w:sz w:val="21"/>
        <w:szCs w:val="21"/>
      </w:rPr>
      <w:t xml:space="preserve">H </w:t>
    </w:r>
    <w:r>
      <w:rPr>
        <w:rFonts w:hint="eastAsia" w:ascii="宋体" w:hAnsi="宋体"/>
        <w:b/>
        <w:sz w:val="21"/>
        <w:szCs w:val="21"/>
      </w:rPr>
      <w:t>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236D1">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2942D">
    <w:pPr>
      <w:pStyle w:val="4"/>
      <w:pBdr>
        <w:bottom w:val="none" w:color="auto" w:sz="0" w:space="0"/>
      </w:pBdr>
      <w:wordWrap w:val="0"/>
      <w:jc w:val="right"/>
      <w:rPr>
        <w:rFonts w:ascii="黑体" w:eastAsia="黑体"/>
        <w:iCs/>
        <w:sz w:val="21"/>
        <w:szCs w:val="21"/>
      </w:rPr>
    </w:pPr>
    <w:r>
      <w:rPr>
        <w:rFonts w:ascii="黑体" w:eastAsia="黑体"/>
        <w:iCs/>
        <w:sz w:val="21"/>
        <w:szCs w:val="21"/>
      </w:rPr>
      <w:t>YS</w:t>
    </w:r>
    <w:r>
      <w:rPr>
        <w:rFonts w:hint="eastAsia" w:ascii="黑体" w:eastAsia="黑体"/>
        <w:iCs/>
        <w:sz w:val="21"/>
        <w:szCs w:val="21"/>
      </w:rPr>
      <w:t>/T XXXX-202</w:t>
    </w:r>
    <w:r>
      <w:rPr>
        <w:rFonts w:ascii="黑体" w:eastAsia="黑体"/>
        <w:iCs/>
        <w:sz w:val="21"/>
        <w:szCs w:val="21"/>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848E1"/>
    <w:multiLevelType w:val="multilevel"/>
    <w:tmpl w:val="03C848E1"/>
    <w:lvl w:ilvl="0" w:tentative="0">
      <w:start w:val="1"/>
      <w:numFmt w:val="lowerLetter"/>
      <w:lvlText w:val="%1)"/>
      <w:lvlJc w:val="left"/>
      <w:pPr>
        <w:ind w:left="717" w:hanging="360"/>
      </w:pPr>
    </w:lvl>
    <w:lvl w:ilvl="1" w:tentative="0">
      <w:start w:val="1"/>
      <w:numFmt w:val="lowerLetter"/>
      <w:lvlText w:val="%2)"/>
      <w:lvlJc w:val="left"/>
      <w:pPr>
        <w:ind w:left="1197" w:hanging="420"/>
      </w:pPr>
    </w:lvl>
    <w:lvl w:ilvl="2" w:tentative="0">
      <w:start w:val="1"/>
      <w:numFmt w:val="lowerRoman"/>
      <w:lvlText w:val="%3."/>
      <w:lvlJc w:val="right"/>
      <w:pPr>
        <w:ind w:left="1617" w:hanging="420"/>
      </w:pPr>
    </w:lvl>
    <w:lvl w:ilvl="3" w:tentative="0">
      <w:start w:val="1"/>
      <w:numFmt w:val="decimal"/>
      <w:lvlText w:val="%4."/>
      <w:lvlJc w:val="left"/>
      <w:pPr>
        <w:ind w:left="2037" w:hanging="420"/>
      </w:pPr>
    </w:lvl>
    <w:lvl w:ilvl="4" w:tentative="0">
      <w:start w:val="1"/>
      <w:numFmt w:val="lowerLetter"/>
      <w:lvlText w:val="%5)"/>
      <w:lvlJc w:val="left"/>
      <w:pPr>
        <w:ind w:left="2457" w:hanging="420"/>
      </w:pPr>
    </w:lvl>
    <w:lvl w:ilvl="5" w:tentative="0">
      <w:start w:val="1"/>
      <w:numFmt w:val="lowerRoman"/>
      <w:lvlText w:val="%6."/>
      <w:lvlJc w:val="right"/>
      <w:pPr>
        <w:ind w:left="2877" w:hanging="420"/>
      </w:pPr>
    </w:lvl>
    <w:lvl w:ilvl="6" w:tentative="0">
      <w:start w:val="1"/>
      <w:numFmt w:val="decimal"/>
      <w:lvlText w:val="%7."/>
      <w:lvlJc w:val="left"/>
      <w:pPr>
        <w:ind w:left="3297" w:hanging="420"/>
      </w:pPr>
    </w:lvl>
    <w:lvl w:ilvl="7" w:tentative="0">
      <w:start w:val="1"/>
      <w:numFmt w:val="lowerLetter"/>
      <w:lvlText w:val="%8)"/>
      <w:lvlJc w:val="left"/>
      <w:pPr>
        <w:ind w:left="3717" w:hanging="420"/>
      </w:pPr>
    </w:lvl>
    <w:lvl w:ilvl="8" w:tentative="0">
      <w:start w:val="1"/>
      <w:numFmt w:val="lowerRoman"/>
      <w:lvlText w:val="%9."/>
      <w:lvlJc w:val="right"/>
      <w:pPr>
        <w:ind w:left="4137" w:hanging="420"/>
      </w:pPr>
    </w:lvl>
  </w:abstractNum>
  <w:abstractNum w:abstractNumId="1">
    <w:nsid w:val="09147906"/>
    <w:multiLevelType w:val="multilevel"/>
    <w:tmpl w:val="09147906"/>
    <w:lvl w:ilvl="0" w:tentative="0">
      <w:start w:val="5"/>
      <w:numFmt w:val="decimal"/>
      <w:lvlText w:val="%1"/>
      <w:lvlJc w:val="left"/>
      <w:pPr>
        <w:tabs>
          <w:tab w:val="left" w:pos="360"/>
        </w:tabs>
        <w:ind w:left="360" w:hanging="360"/>
      </w:pPr>
      <w:rPr>
        <w:rFonts w:hint="eastAsia"/>
      </w:rPr>
    </w:lvl>
    <w:lvl w:ilvl="1" w:tentative="0">
      <w:start w:val="1"/>
      <w:numFmt w:val="decimal"/>
      <w:lvlText w:val="7.%2"/>
      <w:lvlJc w:val="left"/>
      <w:pPr>
        <w:tabs>
          <w:tab w:val="left" w:pos="360"/>
        </w:tabs>
        <w:ind w:left="360" w:hanging="360"/>
      </w:pPr>
      <w:rPr>
        <w:rFonts w:hint="eastAsia" w:ascii="黑体" w:hAnsi="黑体" w:eastAsia="黑体"/>
        <w:sz w:val="20"/>
      </w:rPr>
    </w:lvl>
    <w:lvl w:ilvl="2" w:tentative="0">
      <w:start w:val="1"/>
      <w:numFmt w:val="decimal"/>
      <w:lvlText w:val="7.%2.%3"/>
      <w:lvlJc w:val="left"/>
      <w:pPr>
        <w:tabs>
          <w:tab w:val="left" w:pos="1004"/>
        </w:tabs>
        <w:ind w:left="1004" w:hanging="720"/>
      </w:pPr>
      <w:rPr>
        <w:rFonts w:hint="eastAsia" w:ascii="黑体" w:hAnsi="黑体" w:eastAsia="黑体"/>
      </w:rPr>
    </w:lvl>
    <w:lvl w:ilvl="3" w:tentative="0">
      <w:start w:val="1"/>
      <w:numFmt w:val="decimal"/>
      <w:lvlText w:val="%1.%2.%3.%4"/>
      <w:lvlJc w:val="left"/>
      <w:pPr>
        <w:tabs>
          <w:tab w:val="left" w:pos="-1440"/>
        </w:tabs>
        <w:ind w:left="-1440" w:hanging="720"/>
      </w:pPr>
      <w:rPr>
        <w:rFonts w:hint="eastAsia"/>
      </w:rPr>
    </w:lvl>
    <w:lvl w:ilvl="4" w:tentative="0">
      <w:start w:val="1"/>
      <w:numFmt w:val="decimal"/>
      <w:lvlText w:val="%1.%2.%3.%4.%5"/>
      <w:lvlJc w:val="left"/>
      <w:pPr>
        <w:tabs>
          <w:tab w:val="left" w:pos="-1800"/>
        </w:tabs>
        <w:ind w:left="-1800" w:hanging="1080"/>
      </w:pPr>
      <w:rPr>
        <w:rFonts w:hint="eastAsia"/>
      </w:rPr>
    </w:lvl>
    <w:lvl w:ilvl="5" w:tentative="0">
      <w:start w:val="1"/>
      <w:numFmt w:val="decimal"/>
      <w:lvlText w:val="%1.%2.%3.%4.%5.%6"/>
      <w:lvlJc w:val="left"/>
      <w:pPr>
        <w:tabs>
          <w:tab w:val="left" w:pos="-2160"/>
        </w:tabs>
        <w:ind w:left="-2160" w:hanging="1440"/>
      </w:pPr>
      <w:rPr>
        <w:rFonts w:hint="eastAsia"/>
      </w:rPr>
    </w:lvl>
    <w:lvl w:ilvl="6" w:tentative="0">
      <w:start w:val="1"/>
      <w:numFmt w:val="decimal"/>
      <w:lvlText w:val="%1.%2.%3.%4.%5.%6.%7"/>
      <w:lvlJc w:val="left"/>
      <w:pPr>
        <w:tabs>
          <w:tab w:val="left" w:pos="-2880"/>
        </w:tabs>
        <w:ind w:left="-2880" w:hanging="1440"/>
      </w:pPr>
      <w:rPr>
        <w:rFonts w:hint="eastAsia"/>
      </w:rPr>
    </w:lvl>
    <w:lvl w:ilvl="7" w:tentative="0">
      <w:start w:val="1"/>
      <w:numFmt w:val="decimal"/>
      <w:lvlText w:val="%1.%2.%3.%4.%5.%6.%7.%8"/>
      <w:lvlJc w:val="left"/>
      <w:pPr>
        <w:tabs>
          <w:tab w:val="left" w:pos="-3240"/>
        </w:tabs>
        <w:ind w:left="-3240" w:hanging="1800"/>
      </w:pPr>
      <w:rPr>
        <w:rFonts w:hint="eastAsia"/>
      </w:rPr>
    </w:lvl>
    <w:lvl w:ilvl="8" w:tentative="0">
      <w:start w:val="1"/>
      <w:numFmt w:val="decimal"/>
      <w:lvlText w:val="%1.%2.%3.%4.%5.%6.%7.%8.%9"/>
      <w:lvlJc w:val="left"/>
      <w:pPr>
        <w:tabs>
          <w:tab w:val="left" w:pos="-3960"/>
        </w:tabs>
        <w:ind w:left="-3960" w:hanging="1800"/>
      </w:pPr>
      <w:rPr>
        <w:rFonts w:hint="eastAsia"/>
      </w:rPr>
    </w:lvl>
  </w:abstractNum>
  <w:abstractNum w:abstractNumId="2">
    <w:nsid w:val="1FDF60B2"/>
    <w:multiLevelType w:val="multilevel"/>
    <w:tmpl w:val="1FDF60B2"/>
    <w:lvl w:ilvl="0" w:tentative="0">
      <w:start w:val="5"/>
      <w:numFmt w:val="decimal"/>
      <w:lvlText w:val="%1"/>
      <w:lvlJc w:val="left"/>
      <w:pPr>
        <w:tabs>
          <w:tab w:val="left" w:pos="360"/>
        </w:tabs>
        <w:ind w:left="360" w:hanging="360"/>
      </w:pPr>
      <w:rPr>
        <w:rFonts w:hint="eastAsia"/>
      </w:rPr>
    </w:lvl>
    <w:lvl w:ilvl="1" w:tentative="0">
      <w:start w:val="1"/>
      <w:numFmt w:val="decimal"/>
      <w:lvlText w:val="8.%2"/>
      <w:lvlJc w:val="left"/>
      <w:pPr>
        <w:tabs>
          <w:tab w:val="left" w:pos="360"/>
        </w:tabs>
        <w:ind w:left="360" w:hanging="360"/>
      </w:pPr>
      <w:rPr>
        <w:rFonts w:hint="eastAsia" w:ascii="黑体" w:hAnsi="黑体" w:eastAsia="黑体"/>
        <w:sz w:val="20"/>
      </w:rPr>
    </w:lvl>
    <w:lvl w:ilvl="2" w:tentative="0">
      <w:start w:val="1"/>
      <w:numFmt w:val="decimal"/>
      <w:lvlText w:val="7.%2.%3"/>
      <w:lvlJc w:val="left"/>
      <w:pPr>
        <w:tabs>
          <w:tab w:val="left" w:pos="1004"/>
        </w:tabs>
        <w:ind w:left="1004" w:hanging="720"/>
      </w:pPr>
      <w:rPr>
        <w:rFonts w:hint="eastAsia" w:ascii="黑体" w:hAnsi="黑体" w:eastAsia="黑体"/>
      </w:rPr>
    </w:lvl>
    <w:lvl w:ilvl="3" w:tentative="0">
      <w:start w:val="1"/>
      <w:numFmt w:val="decimal"/>
      <w:lvlText w:val="%1.%2.%3.%4"/>
      <w:lvlJc w:val="left"/>
      <w:pPr>
        <w:tabs>
          <w:tab w:val="left" w:pos="-1440"/>
        </w:tabs>
        <w:ind w:left="-1440" w:hanging="720"/>
      </w:pPr>
      <w:rPr>
        <w:rFonts w:hint="eastAsia"/>
      </w:rPr>
    </w:lvl>
    <w:lvl w:ilvl="4" w:tentative="0">
      <w:start w:val="1"/>
      <w:numFmt w:val="decimal"/>
      <w:lvlText w:val="%1.%2.%3.%4.%5"/>
      <w:lvlJc w:val="left"/>
      <w:pPr>
        <w:tabs>
          <w:tab w:val="left" w:pos="-1800"/>
        </w:tabs>
        <w:ind w:left="-1800" w:hanging="1080"/>
      </w:pPr>
      <w:rPr>
        <w:rFonts w:hint="eastAsia"/>
      </w:rPr>
    </w:lvl>
    <w:lvl w:ilvl="5" w:tentative="0">
      <w:start w:val="1"/>
      <w:numFmt w:val="decimal"/>
      <w:lvlText w:val="%1.%2.%3.%4.%5.%6"/>
      <w:lvlJc w:val="left"/>
      <w:pPr>
        <w:tabs>
          <w:tab w:val="left" w:pos="-2160"/>
        </w:tabs>
        <w:ind w:left="-2160" w:hanging="1440"/>
      </w:pPr>
      <w:rPr>
        <w:rFonts w:hint="eastAsia"/>
      </w:rPr>
    </w:lvl>
    <w:lvl w:ilvl="6" w:tentative="0">
      <w:start w:val="1"/>
      <w:numFmt w:val="decimal"/>
      <w:lvlText w:val="%1.%2.%3.%4.%5.%6.%7"/>
      <w:lvlJc w:val="left"/>
      <w:pPr>
        <w:tabs>
          <w:tab w:val="left" w:pos="-2880"/>
        </w:tabs>
        <w:ind w:left="-2880" w:hanging="1440"/>
      </w:pPr>
      <w:rPr>
        <w:rFonts w:hint="eastAsia"/>
      </w:rPr>
    </w:lvl>
    <w:lvl w:ilvl="7" w:tentative="0">
      <w:start w:val="1"/>
      <w:numFmt w:val="decimal"/>
      <w:lvlText w:val="%1.%2.%3.%4.%5.%6.%7.%8"/>
      <w:lvlJc w:val="left"/>
      <w:pPr>
        <w:tabs>
          <w:tab w:val="left" w:pos="-3240"/>
        </w:tabs>
        <w:ind w:left="-3240" w:hanging="1800"/>
      </w:pPr>
      <w:rPr>
        <w:rFonts w:hint="eastAsia"/>
      </w:rPr>
    </w:lvl>
    <w:lvl w:ilvl="8" w:tentative="0">
      <w:start w:val="1"/>
      <w:numFmt w:val="decimal"/>
      <w:lvlText w:val="%1.%2.%3.%4.%5.%6.%7.%8.%9"/>
      <w:lvlJc w:val="left"/>
      <w:pPr>
        <w:tabs>
          <w:tab w:val="left" w:pos="-3960"/>
        </w:tabs>
        <w:ind w:left="-3960" w:hanging="1800"/>
      </w:pPr>
      <w:rPr>
        <w:rFonts w:hint="eastAsia"/>
      </w:rPr>
    </w:lvl>
  </w:abstractNum>
  <w:abstractNum w:abstractNumId="3">
    <w:nsid w:val="31ED05C7"/>
    <w:multiLevelType w:val="multilevel"/>
    <w:tmpl w:val="31ED05C7"/>
    <w:lvl w:ilvl="0" w:tentative="0">
      <w:start w:val="1"/>
      <w:numFmt w:val="lowerLetter"/>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33DE04F2"/>
    <w:multiLevelType w:val="multilevel"/>
    <w:tmpl w:val="33DE04F2"/>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4FE4286B"/>
    <w:multiLevelType w:val="multilevel"/>
    <w:tmpl w:val="4FE4286B"/>
    <w:lvl w:ilvl="0" w:tentative="0">
      <w:start w:val="5"/>
      <w:numFmt w:val="decimal"/>
      <w:lvlText w:val="%1"/>
      <w:lvlJc w:val="left"/>
      <w:pPr>
        <w:tabs>
          <w:tab w:val="left" w:pos="360"/>
        </w:tabs>
        <w:ind w:left="360" w:hanging="360"/>
      </w:pPr>
      <w:rPr>
        <w:rFonts w:hint="eastAsia"/>
      </w:rPr>
    </w:lvl>
    <w:lvl w:ilvl="1" w:tentative="0">
      <w:start w:val="1"/>
      <w:numFmt w:val="decimal"/>
      <w:lvlText w:val="6.%2"/>
      <w:lvlJc w:val="left"/>
      <w:pPr>
        <w:tabs>
          <w:tab w:val="left" w:pos="360"/>
        </w:tabs>
        <w:ind w:left="360" w:hanging="360"/>
      </w:pPr>
      <w:rPr>
        <w:rFonts w:hint="eastAsia" w:ascii="黑体" w:hAnsi="黑体" w:eastAsia="黑体"/>
        <w:sz w:val="20"/>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440"/>
        </w:tabs>
        <w:ind w:left="-1440" w:hanging="720"/>
      </w:pPr>
      <w:rPr>
        <w:rFonts w:hint="eastAsia"/>
      </w:rPr>
    </w:lvl>
    <w:lvl w:ilvl="4" w:tentative="0">
      <w:start w:val="1"/>
      <w:numFmt w:val="decimal"/>
      <w:lvlText w:val="%1.%2.%3.%4.%5"/>
      <w:lvlJc w:val="left"/>
      <w:pPr>
        <w:tabs>
          <w:tab w:val="left" w:pos="-1800"/>
        </w:tabs>
        <w:ind w:left="-1800" w:hanging="1080"/>
      </w:pPr>
      <w:rPr>
        <w:rFonts w:hint="eastAsia"/>
      </w:rPr>
    </w:lvl>
    <w:lvl w:ilvl="5" w:tentative="0">
      <w:start w:val="1"/>
      <w:numFmt w:val="decimal"/>
      <w:lvlText w:val="%1.%2.%3.%4.%5.%6"/>
      <w:lvlJc w:val="left"/>
      <w:pPr>
        <w:tabs>
          <w:tab w:val="left" w:pos="-2160"/>
        </w:tabs>
        <w:ind w:left="-2160" w:hanging="1440"/>
      </w:pPr>
      <w:rPr>
        <w:rFonts w:hint="eastAsia"/>
      </w:rPr>
    </w:lvl>
    <w:lvl w:ilvl="6" w:tentative="0">
      <w:start w:val="1"/>
      <w:numFmt w:val="decimal"/>
      <w:lvlText w:val="%1.%2.%3.%4.%5.%6.%7"/>
      <w:lvlJc w:val="left"/>
      <w:pPr>
        <w:tabs>
          <w:tab w:val="left" w:pos="-2880"/>
        </w:tabs>
        <w:ind w:left="-2880" w:hanging="1440"/>
      </w:pPr>
      <w:rPr>
        <w:rFonts w:hint="eastAsia"/>
      </w:rPr>
    </w:lvl>
    <w:lvl w:ilvl="7" w:tentative="0">
      <w:start w:val="1"/>
      <w:numFmt w:val="decimal"/>
      <w:lvlText w:val="%1.%2.%3.%4.%5.%6.%7.%8"/>
      <w:lvlJc w:val="left"/>
      <w:pPr>
        <w:tabs>
          <w:tab w:val="left" w:pos="-3240"/>
        </w:tabs>
        <w:ind w:left="-3240" w:hanging="1800"/>
      </w:pPr>
      <w:rPr>
        <w:rFonts w:hint="eastAsia"/>
      </w:rPr>
    </w:lvl>
    <w:lvl w:ilvl="8" w:tentative="0">
      <w:start w:val="1"/>
      <w:numFmt w:val="decimal"/>
      <w:lvlText w:val="%1.%2.%3.%4.%5.%6.%7.%8.%9"/>
      <w:lvlJc w:val="left"/>
      <w:pPr>
        <w:tabs>
          <w:tab w:val="left" w:pos="-3960"/>
        </w:tabs>
        <w:ind w:left="-3960" w:hanging="1800"/>
      </w:pPr>
      <w:rPr>
        <w:rFonts w:hint="eastAsia"/>
      </w:rPr>
    </w:lvl>
  </w:abstractNum>
  <w:abstractNum w:abstractNumId="6">
    <w:nsid w:val="5ADE30BA"/>
    <w:multiLevelType w:val="multilevel"/>
    <w:tmpl w:val="5ADE30BA"/>
    <w:lvl w:ilvl="0" w:tentative="0">
      <w:start w:val="5"/>
      <w:numFmt w:val="decimal"/>
      <w:lvlText w:val="%1"/>
      <w:lvlJc w:val="left"/>
      <w:pPr>
        <w:tabs>
          <w:tab w:val="left" w:pos="360"/>
        </w:tabs>
        <w:ind w:left="357" w:hanging="357"/>
      </w:pPr>
      <w:rPr>
        <w:rFonts w:hint="eastAsia"/>
      </w:rPr>
    </w:lvl>
    <w:lvl w:ilvl="1" w:tentative="0">
      <w:start w:val="5"/>
      <w:numFmt w:val="decimal"/>
      <w:lvlText w:val="4.%2"/>
      <w:lvlJc w:val="left"/>
      <w:pPr>
        <w:tabs>
          <w:tab w:val="left" w:pos="360"/>
        </w:tabs>
        <w:ind w:left="357" w:hanging="357"/>
      </w:pPr>
      <w:rPr>
        <w:rFonts w:hint="eastAsia"/>
      </w:rPr>
    </w:lvl>
    <w:lvl w:ilvl="2" w:tentative="0">
      <w:start w:val="1"/>
      <w:numFmt w:val="none"/>
      <w:lvlRestart w:val="1"/>
      <w:isLgl/>
      <w:lvlText w:val="5.4.1"/>
      <w:lvlJc w:val="left"/>
      <w:pPr>
        <w:tabs>
          <w:tab w:val="left" w:pos="360"/>
        </w:tabs>
        <w:ind w:left="357" w:hanging="357"/>
      </w:pPr>
      <w:rPr>
        <w:rFonts w:hint="default" w:ascii="Times New Roman" w:hAnsi="Times New Roman" w:eastAsia="黑体" w:cs="Times New Roman"/>
        <w:sz w:val="20"/>
      </w:rPr>
    </w:lvl>
    <w:lvl w:ilvl="3" w:tentative="0">
      <w:start w:val="1"/>
      <w:numFmt w:val="decimal"/>
      <w:lvlText w:val="%1.%2.%3.%4"/>
      <w:lvlJc w:val="left"/>
      <w:pPr>
        <w:tabs>
          <w:tab w:val="left" w:pos="360"/>
        </w:tabs>
        <w:ind w:left="357" w:hanging="357"/>
      </w:pPr>
      <w:rPr>
        <w:rFonts w:hint="eastAsia"/>
      </w:rPr>
    </w:lvl>
    <w:lvl w:ilvl="4" w:tentative="0">
      <w:start w:val="1"/>
      <w:numFmt w:val="decimal"/>
      <w:lvlText w:val="%1.%2.%3.%4.%5"/>
      <w:lvlJc w:val="left"/>
      <w:pPr>
        <w:tabs>
          <w:tab w:val="left" w:pos="360"/>
        </w:tabs>
        <w:ind w:left="357" w:hanging="357"/>
      </w:pPr>
      <w:rPr>
        <w:rFonts w:hint="eastAsia"/>
      </w:rPr>
    </w:lvl>
    <w:lvl w:ilvl="5" w:tentative="0">
      <w:start w:val="1"/>
      <w:numFmt w:val="decimal"/>
      <w:lvlText w:val="%1.%2.%3.%4.%5.%6"/>
      <w:lvlJc w:val="left"/>
      <w:pPr>
        <w:tabs>
          <w:tab w:val="left" w:pos="360"/>
        </w:tabs>
        <w:ind w:left="357" w:hanging="357"/>
      </w:pPr>
      <w:rPr>
        <w:rFonts w:hint="eastAsia"/>
      </w:rPr>
    </w:lvl>
    <w:lvl w:ilvl="6" w:tentative="0">
      <w:start w:val="1"/>
      <w:numFmt w:val="decimal"/>
      <w:lvlText w:val="%1.%2.%3.%4.%5.%6.%7"/>
      <w:lvlJc w:val="left"/>
      <w:pPr>
        <w:tabs>
          <w:tab w:val="left" w:pos="360"/>
        </w:tabs>
        <w:ind w:left="357" w:hanging="357"/>
      </w:pPr>
      <w:rPr>
        <w:rFonts w:hint="eastAsia"/>
      </w:rPr>
    </w:lvl>
    <w:lvl w:ilvl="7" w:tentative="0">
      <w:start w:val="1"/>
      <w:numFmt w:val="decimal"/>
      <w:lvlText w:val="%1.%2.%3.%4.%5.%6.%7.%8"/>
      <w:lvlJc w:val="left"/>
      <w:pPr>
        <w:tabs>
          <w:tab w:val="left" w:pos="360"/>
        </w:tabs>
        <w:ind w:left="357" w:hanging="357"/>
      </w:pPr>
      <w:rPr>
        <w:rFonts w:hint="eastAsia"/>
      </w:rPr>
    </w:lvl>
    <w:lvl w:ilvl="8" w:tentative="0">
      <w:start w:val="1"/>
      <w:numFmt w:val="decimal"/>
      <w:lvlText w:val="%1.%2.%3.%4.%5.%6.%7.%8.%9"/>
      <w:lvlJc w:val="left"/>
      <w:pPr>
        <w:tabs>
          <w:tab w:val="left" w:pos="360"/>
        </w:tabs>
        <w:ind w:left="357" w:hanging="357"/>
      </w:pPr>
      <w:rPr>
        <w:rFonts w:hint="eastAsia"/>
      </w:rPr>
    </w:lvl>
  </w:abstractNum>
  <w:abstractNum w:abstractNumId="7">
    <w:nsid w:val="5E5D6039"/>
    <w:multiLevelType w:val="multilevel"/>
    <w:tmpl w:val="5E5D6039"/>
    <w:lvl w:ilvl="0" w:tentative="0">
      <w:start w:val="1"/>
      <w:numFmt w:val="lowerLetter"/>
      <w:lvlText w:val="%1)"/>
      <w:lvlJc w:val="left"/>
      <w:pPr>
        <w:ind w:left="786"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6B9B6473"/>
    <w:multiLevelType w:val="multilevel"/>
    <w:tmpl w:val="6B9B6473"/>
    <w:lvl w:ilvl="0" w:tentative="0">
      <w:start w:val="5"/>
      <w:numFmt w:val="decimal"/>
      <w:lvlText w:val="%1"/>
      <w:lvlJc w:val="left"/>
      <w:pPr>
        <w:tabs>
          <w:tab w:val="left" w:pos="360"/>
        </w:tabs>
        <w:ind w:left="357" w:hanging="357"/>
      </w:pPr>
      <w:rPr>
        <w:rFonts w:hint="eastAsia"/>
      </w:rPr>
    </w:lvl>
    <w:lvl w:ilvl="1" w:tentative="0">
      <w:start w:val="1"/>
      <w:numFmt w:val="decimal"/>
      <w:lvlText w:val="5.%2"/>
      <w:lvlJc w:val="left"/>
      <w:pPr>
        <w:tabs>
          <w:tab w:val="left" w:pos="360"/>
        </w:tabs>
        <w:ind w:left="357" w:hanging="357"/>
      </w:pPr>
      <w:rPr>
        <w:rFonts w:hint="eastAsia"/>
      </w:rPr>
    </w:lvl>
    <w:lvl w:ilvl="2" w:tentative="0">
      <w:start w:val="1"/>
      <w:numFmt w:val="decimal"/>
      <w:lvlRestart w:val="1"/>
      <w:lvlText w:val="4.1.%3"/>
      <w:lvlJc w:val="left"/>
      <w:pPr>
        <w:tabs>
          <w:tab w:val="left" w:pos="360"/>
        </w:tabs>
        <w:ind w:left="357" w:hanging="357"/>
      </w:pPr>
      <w:rPr>
        <w:rFonts w:hint="default" w:ascii="Times New Roman" w:hAnsi="Times New Roman" w:eastAsia="黑体" w:cs="Times New Roman"/>
      </w:rPr>
    </w:lvl>
    <w:lvl w:ilvl="3" w:tentative="0">
      <w:start w:val="1"/>
      <w:numFmt w:val="decimal"/>
      <w:lvlText w:val="%1.%2.%3.%4"/>
      <w:lvlJc w:val="left"/>
      <w:pPr>
        <w:tabs>
          <w:tab w:val="left" w:pos="360"/>
        </w:tabs>
        <w:ind w:left="357" w:hanging="357"/>
      </w:pPr>
      <w:rPr>
        <w:rFonts w:hint="eastAsia"/>
      </w:rPr>
    </w:lvl>
    <w:lvl w:ilvl="4" w:tentative="0">
      <w:start w:val="1"/>
      <w:numFmt w:val="decimal"/>
      <w:lvlText w:val="%1.%2.%3.%4.%5"/>
      <w:lvlJc w:val="left"/>
      <w:pPr>
        <w:tabs>
          <w:tab w:val="left" w:pos="360"/>
        </w:tabs>
        <w:ind w:left="357" w:hanging="357"/>
      </w:pPr>
      <w:rPr>
        <w:rFonts w:hint="eastAsia"/>
      </w:rPr>
    </w:lvl>
    <w:lvl w:ilvl="5" w:tentative="0">
      <w:start w:val="1"/>
      <w:numFmt w:val="decimal"/>
      <w:lvlText w:val="%1.%2.%3.%4.%5.%6"/>
      <w:lvlJc w:val="left"/>
      <w:pPr>
        <w:tabs>
          <w:tab w:val="left" w:pos="360"/>
        </w:tabs>
        <w:ind w:left="357" w:hanging="357"/>
      </w:pPr>
      <w:rPr>
        <w:rFonts w:hint="eastAsia"/>
      </w:rPr>
    </w:lvl>
    <w:lvl w:ilvl="6" w:tentative="0">
      <w:start w:val="1"/>
      <w:numFmt w:val="decimal"/>
      <w:lvlText w:val="%1.%2.%3.%4.%5.%6.%7"/>
      <w:lvlJc w:val="left"/>
      <w:pPr>
        <w:tabs>
          <w:tab w:val="left" w:pos="360"/>
        </w:tabs>
        <w:ind w:left="357" w:hanging="357"/>
      </w:pPr>
      <w:rPr>
        <w:rFonts w:hint="eastAsia"/>
      </w:rPr>
    </w:lvl>
    <w:lvl w:ilvl="7" w:tentative="0">
      <w:start w:val="1"/>
      <w:numFmt w:val="decimal"/>
      <w:lvlText w:val="%1.%2.%3.%4.%5.%6.%7.%8"/>
      <w:lvlJc w:val="left"/>
      <w:pPr>
        <w:tabs>
          <w:tab w:val="left" w:pos="360"/>
        </w:tabs>
        <w:ind w:left="357" w:hanging="357"/>
      </w:pPr>
      <w:rPr>
        <w:rFonts w:hint="eastAsia"/>
      </w:rPr>
    </w:lvl>
    <w:lvl w:ilvl="8" w:tentative="0">
      <w:start w:val="1"/>
      <w:numFmt w:val="decimal"/>
      <w:lvlText w:val="%1.%2.%3.%4.%5.%6.%7.%8.%9"/>
      <w:lvlJc w:val="left"/>
      <w:pPr>
        <w:tabs>
          <w:tab w:val="left" w:pos="360"/>
        </w:tabs>
        <w:ind w:left="357" w:hanging="357"/>
      </w:pPr>
      <w:rPr>
        <w:rFonts w:hint="eastAsia"/>
      </w:rPr>
    </w:lvl>
  </w:abstractNum>
  <w:abstractNum w:abstractNumId="9">
    <w:nsid w:val="6CEA2025"/>
    <w:multiLevelType w:val="multilevel"/>
    <w:tmpl w:val="6CEA2025"/>
    <w:lvl w:ilvl="0" w:tentative="0">
      <w:start w:val="1"/>
      <w:numFmt w:val="none"/>
      <w:pStyle w:val="8"/>
      <w:suff w:val="nothing"/>
      <w:lvlText w:val="%1"/>
      <w:lvlJc w:val="left"/>
      <w:pPr>
        <w:ind w:left="0" w:firstLine="0"/>
      </w:pPr>
      <w:rPr>
        <w:rFonts w:hint="default" w:ascii="Times New Roman" w:hAnsi="Times New Roman" w:cs="Times New Roman"/>
        <w:b/>
        <w:i w:val="0"/>
        <w:sz w:val="21"/>
      </w:rPr>
    </w:lvl>
    <w:lvl w:ilvl="1" w:tentative="0">
      <w:start w:val="1"/>
      <w:numFmt w:val="decimal"/>
      <w:pStyle w:val="10"/>
      <w:suff w:val="nothing"/>
      <w:lvlText w:val="%1%2　"/>
      <w:lvlJc w:val="left"/>
      <w:pPr>
        <w:ind w:left="142" w:firstLine="0"/>
      </w:pPr>
      <w:rPr>
        <w:rFonts w:hint="eastAsia" w:ascii="黑体" w:hAnsi="Times New Roman" w:eastAsia="黑体"/>
        <w:b w:val="0"/>
        <w:i w:val="0"/>
        <w:sz w:val="21"/>
      </w:rPr>
    </w:lvl>
    <w:lvl w:ilvl="2" w:tentative="0">
      <w:start w:val="1"/>
      <w:numFmt w:val="decimal"/>
      <w:pStyle w:val="11"/>
      <w:suff w:val="nothing"/>
      <w:lvlText w:val="%1%2.%3　"/>
      <w:lvlJc w:val="left"/>
      <w:pPr>
        <w:ind w:left="0" w:firstLine="0"/>
      </w:pPr>
      <w:rPr>
        <w:rFonts w:hint="eastAsia" w:ascii="黑体" w:hAnsi="Times New Roman" w:eastAsia="黑体"/>
        <w:b w:val="0"/>
        <w:i w:val="0"/>
        <w:sz w:val="21"/>
      </w:rPr>
    </w:lvl>
    <w:lvl w:ilvl="3" w:tentative="0">
      <w:start w:val="1"/>
      <w:numFmt w:val="decimal"/>
      <w:pStyle w:val="12"/>
      <w:suff w:val="nothing"/>
      <w:lvlText w:val="%1%2.%3.%4　"/>
      <w:lvlJc w:val="left"/>
      <w:pPr>
        <w:ind w:left="0" w:firstLine="0"/>
      </w:pPr>
      <w:rPr>
        <w:rFonts w:hint="eastAsia" w:ascii="黑体" w:hAnsi="Times New Roman" w:eastAsia="黑体"/>
        <w:b w:val="0"/>
        <w:i w:val="0"/>
        <w:sz w:val="21"/>
      </w:rPr>
    </w:lvl>
    <w:lvl w:ilvl="4" w:tentative="0">
      <w:start w:val="1"/>
      <w:numFmt w:val="decimal"/>
      <w:pStyle w:val="13"/>
      <w:suff w:val="nothing"/>
      <w:lvlText w:val="%1%2.%3.%4.%5　"/>
      <w:lvlJc w:val="left"/>
      <w:pPr>
        <w:ind w:left="0" w:firstLine="0"/>
      </w:pPr>
      <w:rPr>
        <w:rFonts w:hint="eastAsia" w:ascii="黑体" w:hAnsi="Times New Roman" w:eastAsia="黑体"/>
        <w:b w:val="0"/>
        <w:i w:val="0"/>
        <w:sz w:val="21"/>
      </w:rPr>
    </w:lvl>
    <w:lvl w:ilvl="5" w:tentative="0">
      <w:start w:val="1"/>
      <w:numFmt w:val="decimal"/>
      <w:pStyle w:val="14"/>
      <w:suff w:val="nothing"/>
      <w:lvlText w:val="%1%2.%3.%4.%5.%6　"/>
      <w:lvlJc w:val="left"/>
      <w:pPr>
        <w:ind w:left="0" w:firstLine="0"/>
      </w:pPr>
      <w:rPr>
        <w:rFonts w:hint="eastAsia" w:ascii="黑体" w:hAnsi="Times New Roman" w:eastAsia="黑体"/>
        <w:b w:val="0"/>
        <w:i w:val="0"/>
        <w:sz w:val="21"/>
      </w:rPr>
    </w:lvl>
    <w:lvl w:ilvl="6" w:tentative="0">
      <w:start w:val="1"/>
      <w:numFmt w:val="decimal"/>
      <w:pStyle w:val="1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0">
    <w:nsid w:val="6D425D97"/>
    <w:multiLevelType w:val="multilevel"/>
    <w:tmpl w:val="6D425D97"/>
    <w:lvl w:ilvl="0" w:tentative="0">
      <w:start w:val="5"/>
      <w:numFmt w:val="decimal"/>
      <w:lvlText w:val="%1"/>
      <w:lvlJc w:val="left"/>
      <w:pPr>
        <w:tabs>
          <w:tab w:val="left" w:pos="360"/>
        </w:tabs>
        <w:ind w:left="357" w:hanging="357"/>
      </w:pPr>
      <w:rPr>
        <w:rFonts w:hint="eastAsia"/>
      </w:rPr>
    </w:lvl>
    <w:lvl w:ilvl="1" w:tentative="0">
      <w:start w:val="5"/>
      <w:numFmt w:val="decimal"/>
      <w:lvlText w:val="4.%2"/>
      <w:lvlJc w:val="left"/>
      <w:pPr>
        <w:tabs>
          <w:tab w:val="left" w:pos="360"/>
        </w:tabs>
        <w:ind w:left="357" w:hanging="357"/>
      </w:pPr>
      <w:rPr>
        <w:rFonts w:hint="eastAsia"/>
      </w:rPr>
    </w:lvl>
    <w:lvl w:ilvl="2" w:tentative="0">
      <w:start w:val="1"/>
      <w:numFmt w:val="none"/>
      <w:lvlRestart w:val="1"/>
      <w:isLgl/>
      <w:lvlText w:val="5.4.2"/>
      <w:lvlJc w:val="left"/>
      <w:pPr>
        <w:tabs>
          <w:tab w:val="left" w:pos="360"/>
        </w:tabs>
        <w:ind w:left="357" w:hanging="357"/>
      </w:pPr>
      <w:rPr>
        <w:rFonts w:hint="default" w:ascii="Times New Roman" w:hAnsi="Times New Roman" w:eastAsia="黑体" w:cs="Times New Roman"/>
        <w:sz w:val="20"/>
      </w:rPr>
    </w:lvl>
    <w:lvl w:ilvl="3" w:tentative="0">
      <w:start w:val="1"/>
      <w:numFmt w:val="decimal"/>
      <w:lvlText w:val="%1.%2.%3.%4"/>
      <w:lvlJc w:val="left"/>
      <w:pPr>
        <w:tabs>
          <w:tab w:val="left" w:pos="360"/>
        </w:tabs>
        <w:ind w:left="357" w:hanging="357"/>
      </w:pPr>
      <w:rPr>
        <w:rFonts w:hint="eastAsia"/>
      </w:rPr>
    </w:lvl>
    <w:lvl w:ilvl="4" w:tentative="0">
      <w:start w:val="1"/>
      <w:numFmt w:val="decimal"/>
      <w:lvlText w:val="%1.%2.%3.%4.%5"/>
      <w:lvlJc w:val="left"/>
      <w:pPr>
        <w:tabs>
          <w:tab w:val="left" w:pos="360"/>
        </w:tabs>
        <w:ind w:left="357" w:hanging="357"/>
      </w:pPr>
      <w:rPr>
        <w:rFonts w:hint="eastAsia"/>
      </w:rPr>
    </w:lvl>
    <w:lvl w:ilvl="5" w:tentative="0">
      <w:start w:val="1"/>
      <w:numFmt w:val="decimal"/>
      <w:lvlText w:val="%1.%2.%3.%4.%5.%6"/>
      <w:lvlJc w:val="left"/>
      <w:pPr>
        <w:tabs>
          <w:tab w:val="left" w:pos="360"/>
        </w:tabs>
        <w:ind w:left="357" w:hanging="357"/>
      </w:pPr>
      <w:rPr>
        <w:rFonts w:hint="eastAsia"/>
      </w:rPr>
    </w:lvl>
    <w:lvl w:ilvl="6" w:tentative="0">
      <w:start w:val="1"/>
      <w:numFmt w:val="decimal"/>
      <w:lvlText w:val="%1.%2.%3.%4.%5.%6.%7"/>
      <w:lvlJc w:val="left"/>
      <w:pPr>
        <w:tabs>
          <w:tab w:val="left" w:pos="360"/>
        </w:tabs>
        <w:ind w:left="357" w:hanging="357"/>
      </w:pPr>
      <w:rPr>
        <w:rFonts w:hint="eastAsia"/>
      </w:rPr>
    </w:lvl>
    <w:lvl w:ilvl="7" w:tentative="0">
      <w:start w:val="1"/>
      <w:numFmt w:val="decimal"/>
      <w:lvlText w:val="%1.%2.%3.%4.%5.%6.%7.%8"/>
      <w:lvlJc w:val="left"/>
      <w:pPr>
        <w:tabs>
          <w:tab w:val="left" w:pos="360"/>
        </w:tabs>
        <w:ind w:left="357" w:hanging="357"/>
      </w:pPr>
      <w:rPr>
        <w:rFonts w:hint="eastAsia"/>
      </w:rPr>
    </w:lvl>
    <w:lvl w:ilvl="8" w:tentative="0">
      <w:start w:val="1"/>
      <w:numFmt w:val="decimal"/>
      <w:lvlText w:val="%1.%2.%3.%4.%5.%6.%7.%8.%9"/>
      <w:lvlJc w:val="left"/>
      <w:pPr>
        <w:tabs>
          <w:tab w:val="left" w:pos="360"/>
        </w:tabs>
        <w:ind w:left="357" w:hanging="357"/>
      </w:pPr>
      <w:rPr>
        <w:rFonts w:hint="eastAsia"/>
      </w:rPr>
    </w:lvl>
  </w:abstractNum>
  <w:abstractNum w:abstractNumId="11">
    <w:nsid w:val="73596892"/>
    <w:multiLevelType w:val="multilevel"/>
    <w:tmpl w:val="73596892"/>
    <w:lvl w:ilvl="0" w:tentative="0">
      <w:start w:val="1"/>
      <w:numFmt w:val="lowerLetter"/>
      <w:lvlText w:val="%1)"/>
      <w:lvlJc w:val="left"/>
      <w:pPr>
        <w:ind w:left="786"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8"/>
    <w:lvlOverride w:ilvl="0">
      <w:lvl w:ilvl="0" w:tentative="1">
        <w:start w:val="5"/>
        <w:numFmt w:val="decimal"/>
        <w:lvlText w:val="%1.1"/>
        <w:lvlJc w:val="left"/>
        <w:pPr>
          <w:tabs>
            <w:tab w:val="left" w:pos="360"/>
          </w:tabs>
          <w:ind w:left="357" w:hanging="357"/>
        </w:pPr>
        <w:rPr>
          <w:rFonts w:hint="eastAsia"/>
        </w:rPr>
      </w:lvl>
    </w:lvlOverride>
    <w:lvlOverride w:ilvl="1">
      <w:lvl w:ilvl="1" w:tentative="1">
        <w:start w:val="1"/>
        <w:numFmt w:val="decimal"/>
        <w:lvlText w:val="5.%2"/>
        <w:lvlJc w:val="left"/>
        <w:pPr>
          <w:tabs>
            <w:tab w:val="left" w:pos="360"/>
          </w:tabs>
          <w:ind w:left="357" w:hanging="357"/>
        </w:pPr>
        <w:rPr>
          <w:rFonts w:hint="eastAsia"/>
        </w:rPr>
      </w:lvl>
    </w:lvlOverride>
    <w:lvlOverride w:ilvl="2">
      <w:lvl w:ilvl="2" w:tentative="1">
        <w:start w:val="1"/>
        <w:numFmt w:val="decimal"/>
        <w:lvlRestart w:val="1"/>
        <w:lvlText w:val="4.1.%3"/>
        <w:lvlJc w:val="left"/>
        <w:pPr>
          <w:tabs>
            <w:tab w:val="left" w:pos="360"/>
          </w:tabs>
          <w:ind w:left="357" w:hanging="357"/>
        </w:pPr>
        <w:rPr>
          <w:rFonts w:hint="default" w:ascii="Times New Roman" w:hAnsi="Times New Roman" w:eastAsia="黑体" w:cs="Times New Roman"/>
        </w:rPr>
      </w:lvl>
    </w:lvlOverride>
    <w:lvlOverride w:ilvl="3">
      <w:lvl w:ilvl="3" w:tentative="1">
        <w:start w:val="1"/>
        <w:numFmt w:val="decimal"/>
        <w:lvlText w:val="%1.%2.%3.%4"/>
        <w:lvlJc w:val="left"/>
        <w:pPr>
          <w:tabs>
            <w:tab w:val="left" w:pos="360"/>
          </w:tabs>
          <w:ind w:left="357" w:hanging="357"/>
        </w:pPr>
        <w:rPr>
          <w:rFonts w:hint="eastAsia"/>
        </w:rPr>
      </w:lvl>
    </w:lvlOverride>
    <w:lvlOverride w:ilvl="4">
      <w:lvl w:ilvl="4" w:tentative="1">
        <w:start w:val="1"/>
        <w:numFmt w:val="decimal"/>
        <w:lvlText w:val="%1.%2.%3.%4.%5"/>
        <w:lvlJc w:val="left"/>
        <w:pPr>
          <w:tabs>
            <w:tab w:val="left" w:pos="360"/>
          </w:tabs>
          <w:ind w:left="357" w:hanging="357"/>
        </w:pPr>
        <w:rPr>
          <w:rFonts w:hint="eastAsia"/>
        </w:rPr>
      </w:lvl>
    </w:lvlOverride>
    <w:lvlOverride w:ilvl="5">
      <w:lvl w:ilvl="5" w:tentative="1">
        <w:start w:val="1"/>
        <w:numFmt w:val="decimal"/>
        <w:lvlText w:val="%1.%2.%3.%4.%5.%6"/>
        <w:lvlJc w:val="left"/>
        <w:pPr>
          <w:tabs>
            <w:tab w:val="left" w:pos="360"/>
          </w:tabs>
          <w:ind w:left="357" w:hanging="357"/>
        </w:pPr>
        <w:rPr>
          <w:rFonts w:hint="eastAsia"/>
        </w:rPr>
      </w:lvl>
    </w:lvlOverride>
    <w:lvlOverride w:ilvl="6">
      <w:lvl w:ilvl="6" w:tentative="1">
        <w:start w:val="1"/>
        <w:numFmt w:val="decimal"/>
        <w:lvlText w:val="%1.%2.%3.%4.%5.%6.%7"/>
        <w:lvlJc w:val="left"/>
        <w:pPr>
          <w:tabs>
            <w:tab w:val="left" w:pos="360"/>
          </w:tabs>
          <w:ind w:left="357" w:hanging="357"/>
        </w:pPr>
        <w:rPr>
          <w:rFonts w:hint="eastAsia"/>
        </w:rPr>
      </w:lvl>
    </w:lvlOverride>
    <w:lvlOverride w:ilvl="7">
      <w:lvl w:ilvl="7" w:tentative="1">
        <w:start w:val="1"/>
        <w:numFmt w:val="decimal"/>
        <w:lvlText w:val="%1.%2.%3.%4.%5.%6.%7.%8"/>
        <w:lvlJc w:val="left"/>
        <w:pPr>
          <w:tabs>
            <w:tab w:val="left" w:pos="360"/>
          </w:tabs>
          <w:ind w:left="357" w:hanging="357"/>
        </w:pPr>
        <w:rPr>
          <w:rFonts w:hint="eastAsia"/>
        </w:rPr>
      </w:lvl>
    </w:lvlOverride>
    <w:lvlOverride w:ilvl="8">
      <w:lvl w:ilvl="8" w:tentative="1">
        <w:start w:val="1"/>
        <w:numFmt w:val="decimal"/>
        <w:lvlText w:val="%1.%2.%3.%4.%5.%6.%7.%8.%9"/>
        <w:lvlJc w:val="left"/>
        <w:pPr>
          <w:tabs>
            <w:tab w:val="left" w:pos="360"/>
          </w:tabs>
          <w:ind w:left="357" w:hanging="357"/>
        </w:pPr>
        <w:rPr>
          <w:rFonts w:hint="eastAsia"/>
        </w:rPr>
      </w:lvl>
    </w:lvlOverride>
  </w:num>
  <w:num w:numId="4">
    <w:abstractNumId w:val="6"/>
  </w:num>
  <w:num w:numId="5">
    <w:abstractNumId w:val="10"/>
  </w:num>
  <w:num w:numId="6">
    <w:abstractNumId w:val="5"/>
  </w:num>
  <w:num w:numId="7">
    <w:abstractNumId w:val="1"/>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96277F"/>
    <w:rsid w:val="00001D55"/>
    <w:rsid w:val="00006E1F"/>
    <w:rsid w:val="00015186"/>
    <w:rsid w:val="00033AE7"/>
    <w:rsid w:val="00045FAF"/>
    <w:rsid w:val="00072FCB"/>
    <w:rsid w:val="000772D5"/>
    <w:rsid w:val="000C4F72"/>
    <w:rsid w:val="000C5FD5"/>
    <w:rsid w:val="000D7199"/>
    <w:rsid w:val="000E4749"/>
    <w:rsid w:val="000F2662"/>
    <w:rsid w:val="00112200"/>
    <w:rsid w:val="00115944"/>
    <w:rsid w:val="00116B98"/>
    <w:rsid w:val="00127276"/>
    <w:rsid w:val="00146CC9"/>
    <w:rsid w:val="00152F13"/>
    <w:rsid w:val="00153BDA"/>
    <w:rsid w:val="00155866"/>
    <w:rsid w:val="0016078F"/>
    <w:rsid w:val="00162F1C"/>
    <w:rsid w:val="0017309B"/>
    <w:rsid w:val="001730A6"/>
    <w:rsid w:val="001802ED"/>
    <w:rsid w:val="00191593"/>
    <w:rsid w:val="00197981"/>
    <w:rsid w:val="001A22A2"/>
    <w:rsid w:val="001A3DB6"/>
    <w:rsid w:val="001A48A7"/>
    <w:rsid w:val="001C29FB"/>
    <w:rsid w:val="001C2D14"/>
    <w:rsid w:val="001D4CF1"/>
    <w:rsid w:val="001E2F3B"/>
    <w:rsid w:val="00211D7D"/>
    <w:rsid w:val="00217C8F"/>
    <w:rsid w:val="00230F38"/>
    <w:rsid w:val="002401C6"/>
    <w:rsid w:val="0025600D"/>
    <w:rsid w:val="0026119F"/>
    <w:rsid w:val="00262EFD"/>
    <w:rsid w:val="00267BEB"/>
    <w:rsid w:val="0027143D"/>
    <w:rsid w:val="00275AA3"/>
    <w:rsid w:val="002765C6"/>
    <w:rsid w:val="002774A0"/>
    <w:rsid w:val="002A4A24"/>
    <w:rsid w:val="002C334A"/>
    <w:rsid w:val="002C59AE"/>
    <w:rsid w:val="002D2C13"/>
    <w:rsid w:val="002F0C56"/>
    <w:rsid w:val="003107A3"/>
    <w:rsid w:val="0033140C"/>
    <w:rsid w:val="00336184"/>
    <w:rsid w:val="00342FBA"/>
    <w:rsid w:val="003615E4"/>
    <w:rsid w:val="003678A2"/>
    <w:rsid w:val="003A5268"/>
    <w:rsid w:val="003C413A"/>
    <w:rsid w:val="003D706A"/>
    <w:rsid w:val="003E433D"/>
    <w:rsid w:val="003E5AE7"/>
    <w:rsid w:val="003E5F1C"/>
    <w:rsid w:val="003E6C4B"/>
    <w:rsid w:val="003F018C"/>
    <w:rsid w:val="003F6353"/>
    <w:rsid w:val="00402658"/>
    <w:rsid w:val="0040753C"/>
    <w:rsid w:val="00420697"/>
    <w:rsid w:val="00454087"/>
    <w:rsid w:val="004677E2"/>
    <w:rsid w:val="00491F53"/>
    <w:rsid w:val="004A03AB"/>
    <w:rsid w:val="004B0010"/>
    <w:rsid w:val="004C45B8"/>
    <w:rsid w:val="004D3860"/>
    <w:rsid w:val="004E62B9"/>
    <w:rsid w:val="00510302"/>
    <w:rsid w:val="00524CAA"/>
    <w:rsid w:val="0052712A"/>
    <w:rsid w:val="005339F5"/>
    <w:rsid w:val="005418C0"/>
    <w:rsid w:val="0055110C"/>
    <w:rsid w:val="00552AF3"/>
    <w:rsid w:val="00562696"/>
    <w:rsid w:val="00572D36"/>
    <w:rsid w:val="00574810"/>
    <w:rsid w:val="005772E2"/>
    <w:rsid w:val="00577FD8"/>
    <w:rsid w:val="005811E7"/>
    <w:rsid w:val="0058438D"/>
    <w:rsid w:val="005955E8"/>
    <w:rsid w:val="00595E50"/>
    <w:rsid w:val="005A114F"/>
    <w:rsid w:val="005A4E30"/>
    <w:rsid w:val="005A6FAC"/>
    <w:rsid w:val="005B36C0"/>
    <w:rsid w:val="005C37F3"/>
    <w:rsid w:val="005C552A"/>
    <w:rsid w:val="005E5E94"/>
    <w:rsid w:val="005F6C3C"/>
    <w:rsid w:val="006024C6"/>
    <w:rsid w:val="00605C47"/>
    <w:rsid w:val="006203BC"/>
    <w:rsid w:val="00625D90"/>
    <w:rsid w:val="00627788"/>
    <w:rsid w:val="00627BB2"/>
    <w:rsid w:val="0064507A"/>
    <w:rsid w:val="00686708"/>
    <w:rsid w:val="0068718B"/>
    <w:rsid w:val="00687F6D"/>
    <w:rsid w:val="00694DEB"/>
    <w:rsid w:val="00696D33"/>
    <w:rsid w:val="006A49A3"/>
    <w:rsid w:val="006A6C20"/>
    <w:rsid w:val="006B4C62"/>
    <w:rsid w:val="006F2AB6"/>
    <w:rsid w:val="006F3113"/>
    <w:rsid w:val="00717452"/>
    <w:rsid w:val="007254D9"/>
    <w:rsid w:val="00726BE0"/>
    <w:rsid w:val="00744102"/>
    <w:rsid w:val="00750ECF"/>
    <w:rsid w:val="00772527"/>
    <w:rsid w:val="00773666"/>
    <w:rsid w:val="00775BAC"/>
    <w:rsid w:val="00775F0B"/>
    <w:rsid w:val="007824C8"/>
    <w:rsid w:val="007A3177"/>
    <w:rsid w:val="007B4902"/>
    <w:rsid w:val="007C13A9"/>
    <w:rsid w:val="007C1D21"/>
    <w:rsid w:val="007E6AAC"/>
    <w:rsid w:val="00816129"/>
    <w:rsid w:val="00825334"/>
    <w:rsid w:val="0082603F"/>
    <w:rsid w:val="00833B4A"/>
    <w:rsid w:val="008358C7"/>
    <w:rsid w:val="00840A5A"/>
    <w:rsid w:val="008412DC"/>
    <w:rsid w:val="0087157E"/>
    <w:rsid w:val="008715B8"/>
    <w:rsid w:val="0087389A"/>
    <w:rsid w:val="00876CDE"/>
    <w:rsid w:val="00884011"/>
    <w:rsid w:val="008959ED"/>
    <w:rsid w:val="008C431A"/>
    <w:rsid w:val="008F027B"/>
    <w:rsid w:val="008F7037"/>
    <w:rsid w:val="008F7095"/>
    <w:rsid w:val="00911692"/>
    <w:rsid w:val="00920AA5"/>
    <w:rsid w:val="00940DFC"/>
    <w:rsid w:val="00941CE1"/>
    <w:rsid w:val="009620C0"/>
    <w:rsid w:val="0096277F"/>
    <w:rsid w:val="009666EA"/>
    <w:rsid w:val="00966A76"/>
    <w:rsid w:val="00970844"/>
    <w:rsid w:val="00977E93"/>
    <w:rsid w:val="00982D8E"/>
    <w:rsid w:val="009A1B52"/>
    <w:rsid w:val="009A1E76"/>
    <w:rsid w:val="009B1F01"/>
    <w:rsid w:val="009C1E24"/>
    <w:rsid w:val="009C545A"/>
    <w:rsid w:val="009D54C6"/>
    <w:rsid w:val="009F5B53"/>
    <w:rsid w:val="00A26674"/>
    <w:rsid w:val="00A32A41"/>
    <w:rsid w:val="00A3430E"/>
    <w:rsid w:val="00A44171"/>
    <w:rsid w:val="00A44F6B"/>
    <w:rsid w:val="00A569F2"/>
    <w:rsid w:val="00A63501"/>
    <w:rsid w:val="00A64930"/>
    <w:rsid w:val="00A8097E"/>
    <w:rsid w:val="00A8456B"/>
    <w:rsid w:val="00A93435"/>
    <w:rsid w:val="00A95B1C"/>
    <w:rsid w:val="00AA5C5E"/>
    <w:rsid w:val="00AA60A8"/>
    <w:rsid w:val="00AB1FDC"/>
    <w:rsid w:val="00AB6B83"/>
    <w:rsid w:val="00AB731E"/>
    <w:rsid w:val="00AC05B1"/>
    <w:rsid w:val="00AD73CB"/>
    <w:rsid w:val="00B01204"/>
    <w:rsid w:val="00B06977"/>
    <w:rsid w:val="00B12CEA"/>
    <w:rsid w:val="00B40B5A"/>
    <w:rsid w:val="00B4202B"/>
    <w:rsid w:val="00B52FD1"/>
    <w:rsid w:val="00B5782E"/>
    <w:rsid w:val="00B61472"/>
    <w:rsid w:val="00B61C26"/>
    <w:rsid w:val="00B622A6"/>
    <w:rsid w:val="00B65C21"/>
    <w:rsid w:val="00B708FA"/>
    <w:rsid w:val="00B717B2"/>
    <w:rsid w:val="00B81DC3"/>
    <w:rsid w:val="00B84541"/>
    <w:rsid w:val="00BB2CFE"/>
    <w:rsid w:val="00BB6193"/>
    <w:rsid w:val="00BC06F8"/>
    <w:rsid w:val="00BC6CD3"/>
    <w:rsid w:val="00BE5BEF"/>
    <w:rsid w:val="00BF7ED6"/>
    <w:rsid w:val="00C071BD"/>
    <w:rsid w:val="00C26A0C"/>
    <w:rsid w:val="00C329E8"/>
    <w:rsid w:val="00C52CBE"/>
    <w:rsid w:val="00C66362"/>
    <w:rsid w:val="00C7353C"/>
    <w:rsid w:val="00C81C77"/>
    <w:rsid w:val="00C864AF"/>
    <w:rsid w:val="00C97554"/>
    <w:rsid w:val="00CA1A42"/>
    <w:rsid w:val="00CA41CD"/>
    <w:rsid w:val="00CC0AF3"/>
    <w:rsid w:val="00CC33DF"/>
    <w:rsid w:val="00CD013F"/>
    <w:rsid w:val="00CD574F"/>
    <w:rsid w:val="00CD6350"/>
    <w:rsid w:val="00CF5899"/>
    <w:rsid w:val="00D10913"/>
    <w:rsid w:val="00D25673"/>
    <w:rsid w:val="00D5124C"/>
    <w:rsid w:val="00D54E60"/>
    <w:rsid w:val="00D569A6"/>
    <w:rsid w:val="00D64562"/>
    <w:rsid w:val="00D76D1E"/>
    <w:rsid w:val="00D851BF"/>
    <w:rsid w:val="00D858F0"/>
    <w:rsid w:val="00DA2CB2"/>
    <w:rsid w:val="00DA6C6E"/>
    <w:rsid w:val="00DC24AF"/>
    <w:rsid w:val="00DE3389"/>
    <w:rsid w:val="00DE6A4E"/>
    <w:rsid w:val="00DF2E2B"/>
    <w:rsid w:val="00E00863"/>
    <w:rsid w:val="00E04B69"/>
    <w:rsid w:val="00E15992"/>
    <w:rsid w:val="00E26297"/>
    <w:rsid w:val="00E27EB1"/>
    <w:rsid w:val="00E3239F"/>
    <w:rsid w:val="00E340EB"/>
    <w:rsid w:val="00E34184"/>
    <w:rsid w:val="00E37DA4"/>
    <w:rsid w:val="00E47316"/>
    <w:rsid w:val="00E537DD"/>
    <w:rsid w:val="00E7194F"/>
    <w:rsid w:val="00E7618F"/>
    <w:rsid w:val="00E775C7"/>
    <w:rsid w:val="00E81E28"/>
    <w:rsid w:val="00E84BCA"/>
    <w:rsid w:val="00E97EC9"/>
    <w:rsid w:val="00EA7FE5"/>
    <w:rsid w:val="00EB12C0"/>
    <w:rsid w:val="00ED5ECF"/>
    <w:rsid w:val="00EE29E1"/>
    <w:rsid w:val="00F11E61"/>
    <w:rsid w:val="00F17995"/>
    <w:rsid w:val="00F179F3"/>
    <w:rsid w:val="00F243C8"/>
    <w:rsid w:val="00F26CEF"/>
    <w:rsid w:val="00F2709D"/>
    <w:rsid w:val="00F35B45"/>
    <w:rsid w:val="00F76326"/>
    <w:rsid w:val="00F86644"/>
    <w:rsid w:val="00FA2FDA"/>
    <w:rsid w:val="00FB4A2B"/>
    <w:rsid w:val="00FD1646"/>
    <w:rsid w:val="00FD511F"/>
    <w:rsid w:val="00FE5271"/>
    <w:rsid w:val="00FE5839"/>
    <w:rsid w:val="00FF6CBB"/>
    <w:rsid w:val="35CF7824"/>
    <w:rsid w:val="6A9F4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9"/>
    <w:semiHidden/>
    <w:unhideWhenUsed/>
    <w:uiPriority w:val="99"/>
    <w:rPr>
      <w:sz w:val="18"/>
      <w:szCs w:val="18"/>
    </w:rPr>
  </w:style>
  <w:style w:type="paragraph" w:styleId="3">
    <w:name w:val="footer"/>
    <w:basedOn w:val="1"/>
    <w:link w:val="18"/>
    <w:unhideWhenUsed/>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前言、引言标题"/>
    <w:next w:val="1"/>
    <w:qFormat/>
    <w:uiPriority w:val="0"/>
    <w:pPr>
      <w:numPr>
        <w:ilvl w:val="0"/>
        <w:numId w:val="1"/>
      </w:numPr>
      <w:shd w:val="clear" w:color="auto"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
    <w:name w:val="章标题"/>
    <w:next w:val="9"/>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1">
    <w:name w:val="一级条标题"/>
    <w:basedOn w:val="10"/>
    <w:next w:val="9"/>
    <w:qFormat/>
    <w:uiPriority w:val="0"/>
    <w:pPr>
      <w:numPr>
        <w:ilvl w:val="2"/>
      </w:numPr>
      <w:spacing w:beforeLines="0" w:afterLines="0"/>
      <w:outlineLvl w:val="2"/>
    </w:pPr>
  </w:style>
  <w:style w:type="paragraph" w:customStyle="1" w:styleId="12">
    <w:name w:val="二级条标题"/>
    <w:basedOn w:val="11"/>
    <w:next w:val="9"/>
    <w:uiPriority w:val="0"/>
    <w:pPr>
      <w:numPr>
        <w:ilvl w:val="3"/>
      </w:numPr>
      <w:outlineLvl w:val="3"/>
    </w:pPr>
  </w:style>
  <w:style w:type="paragraph" w:customStyle="1" w:styleId="13">
    <w:name w:val="三级条标题"/>
    <w:basedOn w:val="12"/>
    <w:next w:val="9"/>
    <w:uiPriority w:val="0"/>
    <w:pPr>
      <w:numPr>
        <w:ilvl w:val="4"/>
      </w:numPr>
      <w:tabs>
        <w:tab w:val="left" w:pos="360"/>
      </w:tabs>
      <w:outlineLvl w:val="4"/>
    </w:pPr>
  </w:style>
  <w:style w:type="paragraph" w:customStyle="1" w:styleId="14">
    <w:name w:val="四级条标题"/>
    <w:basedOn w:val="13"/>
    <w:next w:val="9"/>
    <w:qFormat/>
    <w:uiPriority w:val="0"/>
    <w:pPr>
      <w:numPr>
        <w:ilvl w:val="5"/>
      </w:numPr>
      <w:outlineLvl w:val="5"/>
    </w:pPr>
  </w:style>
  <w:style w:type="paragraph" w:customStyle="1" w:styleId="15">
    <w:name w:val="五级条标题"/>
    <w:basedOn w:val="14"/>
    <w:next w:val="9"/>
    <w:qFormat/>
    <w:uiPriority w:val="0"/>
    <w:pPr>
      <w:numPr>
        <w:ilvl w:val="6"/>
      </w:numPr>
      <w:outlineLvl w:val="6"/>
    </w:pPr>
  </w:style>
  <w:style w:type="character" w:customStyle="1" w:styleId="16">
    <w:name w:val="src"/>
    <w:qFormat/>
    <w:uiPriority w:val="0"/>
  </w:style>
  <w:style w:type="character" w:customStyle="1" w:styleId="17">
    <w:name w:val="页眉 字符"/>
    <w:basedOn w:val="7"/>
    <w:link w:val="4"/>
    <w:uiPriority w:val="0"/>
    <w:rPr>
      <w:rFonts w:ascii="Times New Roman" w:hAnsi="Times New Roman" w:eastAsia="宋体" w:cs="Times New Roman"/>
      <w:sz w:val="18"/>
      <w:szCs w:val="18"/>
    </w:rPr>
  </w:style>
  <w:style w:type="character" w:customStyle="1" w:styleId="18">
    <w:name w:val="页脚 字符"/>
    <w:basedOn w:val="7"/>
    <w:link w:val="3"/>
    <w:uiPriority w:val="99"/>
    <w:rPr>
      <w:rFonts w:ascii="Times New Roman" w:hAnsi="Times New Roman" w:eastAsia="宋体" w:cs="Times New Roman"/>
      <w:sz w:val="18"/>
      <w:szCs w:val="18"/>
    </w:rPr>
  </w:style>
  <w:style w:type="character" w:customStyle="1" w:styleId="19">
    <w:name w:val="批注框文本 字符"/>
    <w:basedOn w:val="7"/>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CECB21-C287-4626-991A-72E86295CD96}">
  <ds:schemaRefs/>
</ds:datastoreItem>
</file>

<file path=docProps/app.xml><?xml version="1.0" encoding="utf-8"?>
<Properties xmlns="http://schemas.openxmlformats.org/officeDocument/2006/extended-properties" xmlns:vt="http://schemas.openxmlformats.org/officeDocument/2006/docPropsVTypes">
  <Template>Normal</Template>
  <Pages>8</Pages>
  <Words>2775</Words>
  <Characters>3342</Characters>
  <Lines>27</Lines>
  <Paragraphs>7</Paragraphs>
  <TotalTime>1</TotalTime>
  <ScaleCrop>false</ScaleCrop>
  <LinksUpToDate>false</LinksUpToDate>
  <CharactersWithSpaces>3689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2020-07-20T03:51:00Z</dcterms:created>
  <dc:creator>李朋飞</dc:creator>
  <cp:lastModifiedBy>素素</cp:lastModifiedBy>
  <dcterms:modified xsi:type="dcterms:W3CDTF">2024-08-19T05:47:35Z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53667C2494084AD2AC140F6CB33C662A_12</vt:lpwstr>
  </property>
</Properties>
</file>