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rPr>
          <w:rFonts w:eastAsiaTheme="minorEastAsia"/>
          <w:sz w:val="21"/>
          <w:szCs w:val="21"/>
        </w:rPr>
      </w:pPr>
      <w:bookmarkStart w:id="0" w:name="SectionMark0"/>
      <w:bookmarkStart w:id="1" w:name="SectionMark4"/>
      <w:r>
        <w:rPr>
          <w:rFonts w:eastAsiaTheme="minorEastAsia"/>
          <w:sz w:val="21"/>
          <w:szCs w:val="21"/>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超声波探伤用液浸式换能器特性校准规范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超声波探伤用液浸式换能器特性校准规范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w:rPr>
          <w:rFonts w:eastAsiaTheme="minorEastAsia"/>
          <w:sz w:val="21"/>
          <w:szCs w:val="21"/>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v:textbox>
                <w10:anchorlock/>
              </v:rect>
            </w:pict>
          </mc:Fallback>
        </mc:AlternateContent>
      </w:r>
      <w:r>
        <w:rPr>
          <w:rFonts w:eastAsiaTheme="minorEastAsia"/>
          <w:sz w:val="21"/>
          <w:szCs w:val="21"/>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8"/>
                          <w:p>
                            <w:pPr>
                              <w:pStyle w:val="75"/>
                              <w:rPr>
                                <w:rFonts w:hAnsi="黑体" w:cs="黑体"/>
                                <w:szCs w:val="52"/>
                              </w:rPr>
                            </w:pPr>
                            <w:r>
                              <w:rPr>
                                <w:rFonts w:hint="eastAsia" w:hAnsi="黑体" w:cs="黑体"/>
                                <w:szCs w:val="52"/>
                              </w:rPr>
                              <w:t>超声波探伤用液浸式换能器特性校准规范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8"/>
                    <w:p>
                      <w:pPr>
                        <w:pStyle w:val="75"/>
                        <w:rPr>
                          <w:rFonts w:hAnsi="黑体" w:cs="黑体"/>
                          <w:szCs w:val="52"/>
                        </w:rPr>
                      </w:pPr>
                      <w:r>
                        <w:rPr>
                          <w:rFonts w:hint="eastAsia" w:hAnsi="黑体" w:cs="黑体"/>
                          <w:szCs w:val="52"/>
                        </w:rPr>
                        <w:t>超声波探伤用液浸式换能器特性校准规范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rFonts w:ascii="Times New Roman" w:eastAsiaTheme="minorEastAsia"/>
          <w:b/>
          <w:szCs w:val="21"/>
        </w:rPr>
      </w:pPr>
    </w:p>
    <w:p>
      <w:pPr>
        <w:pStyle w:val="58"/>
        <w:ind w:firstLine="420"/>
        <w:rPr>
          <w:rFonts w:ascii="Times New Roman" w:hAnsi="Times New Roman" w:eastAsiaTheme="minorEastAsia"/>
          <w:szCs w:val="21"/>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2" w:name="_Toc464728891"/>
      <w:r>
        <w:rPr>
          <w:rFonts w:ascii="Times New Roman" w:eastAsiaTheme="minorEastAsia"/>
          <w:szCs w:val="21"/>
        </w:rPr>
        <w:t>工作简况</w:t>
      </w:r>
      <w:bookmarkEnd w:id="2"/>
    </w:p>
    <w:p>
      <w:pPr>
        <w:pStyle w:val="61"/>
        <w:rPr>
          <w:rFonts w:ascii="Times New Roman" w:hAnsi="Times New Roman"/>
          <w:szCs w:val="21"/>
        </w:rPr>
      </w:pPr>
      <w:bookmarkStart w:id="3" w:name="_Toc456592524"/>
      <w:bookmarkStart w:id="4" w:name="_Toc464728892"/>
      <w:r>
        <w:rPr>
          <w:rFonts w:ascii="Times New Roman" w:hAnsi="Times New Roman"/>
          <w:szCs w:val="21"/>
        </w:rPr>
        <w:t>1.立项目的</w:t>
      </w:r>
      <w:bookmarkEnd w:id="3"/>
      <w:bookmarkEnd w:id="4"/>
    </w:p>
    <w:p>
      <w:pPr>
        <w:spacing w:line="300" w:lineRule="auto"/>
        <w:ind w:firstLine="420" w:firstLineChars="200"/>
        <w:rPr>
          <w:rFonts w:eastAsiaTheme="minorEastAsia"/>
          <w:szCs w:val="21"/>
        </w:rPr>
      </w:pPr>
      <w:bookmarkStart w:id="5" w:name="_Toc464728896"/>
      <w:r>
        <w:rPr>
          <w:rFonts w:eastAsiaTheme="minorEastAsia"/>
          <w:szCs w:val="21"/>
        </w:rPr>
        <w:t>超声波探伤用液浸式换能器主要用于水中超声探伤时，配套超声探伤机使用。它可以将电信号变换为超声信号，又能将超声信号变换为电信号，即具有超声发射和接收双重功能。它是谐振于超声频率的压电陶瓷，由材料的压电效应将电信号转换为机械振动。主要应用于金属材料加工企业对其产品的超声无损检测，在这种应用场所中，超声波探伤用液浸式换能器的性能指标能够满足工艺要求对能否发现被检测样品的内部缺陷起着关键作用。</w:t>
      </w:r>
    </w:p>
    <w:p>
      <w:pPr>
        <w:spacing w:line="300" w:lineRule="auto"/>
        <w:ind w:firstLine="420" w:firstLineChars="200"/>
        <w:rPr>
          <w:rFonts w:eastAsiaTheme="minorEastAsia"/>
          <w:szCs w:val="21"/>
        </w:rPr>
      </w:pPr>
      <w:r>
        <w:rPr>
          <w:rFonts w:eastAsiaTheme="minorEastAsia"/>
          <w:szCs w:val="21"/>
        </w:rPr>
        <w:t>目前，可参考对超声波探伤用液浸式换能器进行校准的有JJF 1650-2017《超声探伤仪换能器声场特性校准规范》、JJF 1294-2011《超声探伤仪换能器校准规范》等规范。但这些规范的发布日期距离当前已经有较长时间，导致这些规范在当前的实际校准工作中存在校准方法不适用，校准项目不全面等问题，无法保证校准结果的准确性与可靠性。重新编写更适用于超声波探伤用液浸式换能器的校准方法，完善相关校准项目，保证超声波探伤用液浸式换能器校准结果的准确可靠，可以为指定的探伤工艺提供保障，进一步帮助有色金属行业实现高标准、高质量的的发展目标。</w:t>
      </w:r>
    </w:p>
    <w:p>
      <w:pPr>
        <w:pStyle w:val="61"/>
        <w:rPr>
          <w:rFonts w:ascii="Times New Roman" w:hAnsi="Times New Roman"/>
          <w:szCs w:val="21"/>
        </w:rPr>
      </w:pPr>
      <w:r>
        <w:rPr>
          <w:rFonts w:ascii="Times New Roman" w:hAnsi="Times New Roman"/>
          <w:szCs w:val="21"/>
        </w:rPr>
        <w:t>2.任务来源</w:t>
      </w:r>
      <w:bookmarkEnd w:id="5"/>
    </w:p>
    <w:p>
      <w:pPr>
        <w:spacing w:line="300" w:lineRule="auto"/>
        <w:ind w:firstLine="420" w:firstLineChars="200"/>
        <w:contextualSpacing/>
        <w:jc w:val="left"/>
        <w:rPr>
          <w:rFonts w:eastAsiaTheme="minorEastAsia"/>
          <w:szCs w:val="21"/>
        </w:rPr>
      </w:pPr>
      <w:r>
        <w:rPr>
          <w:rFonts w:eastAsiaTheme="minorEastAsia"/>
          <w:szCs w:val="21"/>
        </w:rPr>
        <w:t>为保证用于校准超声波探伤用液浸式换能器的量值准确、可靠，适应我国有色金属行业的快速发展和满足国内外市场的需要，工业和信息化部以工信厅下达了《工业和信息化部办公厅关于印发202</w:t>
      </w:r>
      <w:r>
        <w:rPr>
          <w:rFonts w:hint="eastAsia" w:eastAsiaTheme="minorEastAsia"/>
          <w:szCs w:val="21"/>
        </w:rPr>
        <w:t>2</w:t>
      </w:r>
      <w:r>
        <w:rPr>
          <w:rFonts w:eastAsiaTheme="minorEastAsia"/>
          <w:szCs w:val="21"/>
        </w:rPr>
        <w:t>年行业计量技术规范制修订计划的通知》</w:t>
      </w:r>
      <w:r>
        <w:rPr>
          <w:rFonts w:eastAsiaTheme="minorEastAsia"/>
          <w:bCs/>
          <w:szCs w:val="21"/>
        </w:rPr>
        <w:t>（工</w:t>
      </w:r>
      <w:r>
        <w:rPr>
          <w:rFonts w:hint="eastAsia" w:eastAsiaTheme="minorEastAsia"/>
          <w:bCs/>
          <w:szCs w:val="21"/>
          <w:lang w:val="en-US" w:eastAsia="zh-CN"/>
        </w:rPr>
        <w:t>厅</w:t>
      </w:r>
      <w:r>
        <w:rPr>
          <w:rFonts w:eastAsiaTheme="minorEastAsia"/>
          <w:bCs/>
          <w:szCs w:val="21"/>
        </w:rPr>
        <w:t>科［20</w:t>
      </w:r>
      <w:r>
        <w:rPr>
          <w:rFonts w:hint="eastAsia" w:eastAsiaTheme="minorEastAsia"/>
          <w:bCs/>
          <w:szCs w:val="21"/>
          <w:lang w:val="en-US" w:eastAsia="zh-CN"/>
        </w:rPr>
        <w:t>23</w:t>
      </w:r>
      <w:r>
        <w:rPr>
          <w:rFonts w:eastAsiaTheme="minorEastAsia"/>
          <w:bCs/>
          <w:szCs w:val="21"/>
        </w:rPr>
        <w:t>］</w:t>
      </w:r>
      <w:r>
        <w:rPr>
          <w:rFonts w:hint="eastAsia" w:eastAsiaTheme="minorEastAsia"/>
          <w:bCs/>
          <w:szCs w:val="21"/>
        </w:rPr>
        <w:t>476</w:t>
      </w:r>
      <w:r>
        <w:rPr>
          <w:rFonts w:eastAsiaTheme="minorEastAsia"/>
          <w:bCs/>
          <w:szCs w:val="21"/>
        </w:rPr>
        <w:t>号）</w:t>
      </w:r>
      <w:r>
        <w:rPr>
          <w:rFonts w:eastAsiaTheme="minorEastAsia"/>
          <w:szCs w:val="21"/>
        </w:rPr>
        <w:t>，其计划项目代号为：JJFZ(有色金属)0</w:t>
      </w:r>
      <w:r>
        <w:rPr>
          <w:rFonts w:hint="eastAsia" w:eastAsiaTheme="minorEastAsia"/>
          <w:szCs w:val="21"/>
        </w:rPr>
        <w:t>13</w:t>
      </w:r>
      <w:r>
        <w:rPr>
          <w:rFonts w:eastAsiaTheme="minorEastAsia"/>
          <w:szCs w:val="21"/>
        </w:rPr>
        <w:t>-20</w:t>
      </w:r>
      <w:r>
        <w:rPr>
          <w:rFonts w:hint="eastAsia" w:eastAsiaTheme="minorEastAsia"/>
          <w:szCs w:val="21"/>
        </w:rPr>
        <w:t>23</w:t>
      </w:r>
      <w:r>
        <w:rPr>
          <w:rFonts w:eastAsiaTheme="minorEastAsia"/>
          <w:szCs w:val="21"/>
        </w:rPr>
        <w:t>，计划完成年限为202</w:t>
      </w:r>
      <w:r>
        <w:rPr>
          <w:rFonts w:hint="eastAsia" w:eastAsiaTheme="minorEastAsia"/>
          <w:szCs w:val="21"/>
        </w:rPr>
        <w:t>4</w:t>
      </w:r>
      <w:r>
        <w:rPr>
          <w:rFonts w:eastAsiaTheme="minorEastAsia"/>
          <w:szCs w:val="21"/>
        </w:rPr>
        <w:t xml:space="preserve">年。 </w:t>
      </w:r>
    </w:p>
    <w:p>
      <w:pPr>
        <w:pStyle w:val="61"/>
        <w:rPr>
          <w:rFonts w:ascii="Times New Roman" w:hAnsi="Times New Roman"/>
          <w:szCs w:val="21"/>
        </w:rPr>
      </w:pPr>
      <w:bookmarkStart w:id="6" w:name="_Toc464728898"/>
      <w:bookmarkStart w:id="7" w:name="_Toc462884342"/>
      <w:r>
        <w:rPr>
          <w:rFonts w:ascii="Times New Roman" w:hAnsi="Times New Roman"/>
          <w:szCs w:val="21"/>
        </w:rPr>
        <w:t>3.项目编制组单位简况</w:t>
      </w:r>
      <w:bookmarkEnd w:id="6"/>
      <w:bookmarkEnd w:id="7"/>
      <w:r>
        <w:rPr>
          <w:rFonts w:ascii="Times New Roman" w:hAnsi="Times New Roman"/>
          <w:szCs w:val="21"/>
        </w:rPr>
        <w:t xml:space="preserve">      </w:t>
      </w:r>
    </w:p>
    <w:p>
      <w:pPr>
        <w:pStyle w:val="60"/>
      </w:pPr>
      <w:bookmarkStart w:id="8" w:name="_Toc464728899"/>
      <w:bookmarkStart w:id="9" w:name="_Toc462884343"/>
      <w:r>
        <w:t>3.1编制组成员单位</w:t>
      </w:r>
      <w:bookmarkEnd w:id="8"/>
      <w:bookmarkEnd w:id="9"/>
    </w:p>
    <w:p>
      <w:pPr>
        <w:widowControl/>
        <w:autoSpaceDE w:val="0"/>
        <w:autoSpaceDN w:val="0"/>
        <w:spacing w:line="360" w:lineRule="auto"/>
        <w:ind w:firstLine="420" w:firstLineChars="200"/>
        <w:rPr>
          <w:rFonts w:eastAsiaTheme="minorEastAsia"/>
          <w:szCs w:val="21"/>
        </w:rPr>
      </w:pPr>
      <w:bookmarkStart w:id="10" w:name="_Toc462884344"/>
      <w:bookmarkStart w:id="11" w:name="_Toc464728900"/>
      <w:r>
        <w:rPr>
          <w:rFonts w:eastAsiaTheme="minorEastAsia"/>
          <w:szCs w:val="21"/>
        </w:rPr>
        <w:t>本规范的编制组单位为：西安汉唐分析检测有限公司</w:t>
      </w:r>
      <w:r>
        <w:rPr>
          <w:rFonts w:hint="eastAsia" w:eastAsiaTheme="minorEastAsia"/>
          <w:szCs w:val="21"/>
        </w:rPr>
        <w:t>、中国计量科学研究院、湖南湘投金天钛业科技股份有限公司、陕西天成航空材料有限公司、南通友联数码技术开发有限公司、西安优耐特容器制造有限公司。</w:t>
      </w:r>
    </w:p>
    <w:bookmarkEnd w:id="10"/>
    <w:bookmarkEnd w:id="11"/>
    <w:p>
      <w:pPr>
        <w:pStyle w:val="60"/>
      </w:pPr>
      <w:r>
        <w:t>3.2主编单位简介</w:t>
      </w:r>
    </w:p>
    <w:p>
      <w:pPr>
        <w:pStyle w:val="59"/>
        <w:ind w:firstLine="396"/>
        <w:rPr>
          <w:rFonts w:hAnsi="Times New Roman"/>
        </w:rPr>
      </w:pPr>
      <w:r>
        <w:rPr>
          <w:rFonts w:hAnsi="Times New Roman"/>
        </w:rPr>
        <w:t>3.2.1西安汉唐分析检测有限公司</w:t>
      </w:r>
    </w:p>
    <w:p>
      <w:pPr>
        <w:spacing w:line="360" w:lineRule="auto"/>
        <w:ind w:firstLine="420" w:firstLineChars="200"/>
        <w:rPr>
          <w:rFonts w:eastAsiaTheme="minorEastAsia"/>
          <w:szCs w:val="21"/>
        </w:rPr>
      </w:pPr>
      <w:r>
        <w:rPr>
          <w:rFonts w:eastAsiaTheme="minor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rFonts w:eastAsiaTheme="minorEastAsia"/>
          <w:szCs w:val="21"/>
        </w:rPr>
      </w:pPr>
      <w:r>
        <w:rPr>
          <w:rFonts w:eastAsiaTheme="minor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rFonts w:eastAsiaTheme="minorEastAsia"/>
          <w:szCs w:val="21"/>
        </w:rPr>
      </w:pPr>
      <w:r>
        <w:rPr>
          <w:rFonts w:eastAsiaTheme="minorEastAsia"/>
          <w:szCs w:val="21"/>
        </w:rPr>
        <w:t>近10年起草有色金属国家/行业规范共80余项、发表论文120余篇、授权专利30余项。先后荣获中国有色金属工业一等奖、二等奖20余次。</w:t>
      </w:r>
    </w:p>
    <w:p>
      <w:pPr>
        <w:spacing w:line="360" w:lineRule="auto"/>
        <w:ind w:firstLine="420" w:firstLineChars="200"/>
        <w:rPr>
          <w:rFonts w:eastAsiaTheme="minorEastAsia"/>
          <w:szCs w:val="21"/>
        </w:rPr>
      </w:pPr>
      <w:r>
        <w:rPr>
          <w:rFonts w:eastAsiaTheme="minor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pPr>
      <w:bookmarkStart w:id="12" w:name="_Toc462884345"/>
      <w:bookmarkStart w:id="13" w:name="_Toc464728901"/>
      <w:r>
        <w:t>3.3成员单位简介</w:t>
      </w:r>
      <w:bookmarkEnd w:id="12"/>
      <w:bookmarkEnd w:id="13"/>
    </w:p>
    <w:p>
      <w:pPr>
        <w:pStyle w:val="59"/>
        <w:ind w:firstLine="396"/>
      </w:pPr>
      <w:r>
        <w:rPr>
          <w:rFonts w:hAnsi="Times New Roman"/>
        </w:rPr>
        <w:t>3.</w:t>
      </w:r>
      <w:r>
        <w:rPr>
          <w:rFonts w:hint="eastAsia" w:hAnsi="Times New Roman"/>
        </w:rPr>
        <w:t>3</w:t>
      </w:r>
      <w:r>
        <w:rPr>
          <w:rFonts w:hAnsi="Times New Roman"/>
        </w:rPr>
        <w:t>.1</w:t>
      </w:r>
      <w:r>
        <w:rPr>
          <w:rFonts w:hint="eastAsia"/>
        </w:rPr>
        <w:t>中国计量科学研究院</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中国计量科学研究院成立于1955年，隶属国家市场监督管理总局，是国家最高的计量科学研究中心和国家级法定计量技术机构，属社会公益型科研单位。</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中国计量院主要开展科学计量、法制计量、工程计量三个方面的职责。</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计量院拥有和平里和昌平两个院区，其中，和平里院区占地7.4万平方米、建筑面积6.1万平方米，昌平院区占地55.3万平方米、建筑面积4.8万平方米；设置14个研究所、8个职能管理机构、4个服务保障机构。截至2013年，中国计量院在职职工741人，其中</w:t>
      </w:r>
      <w:r>
        <w:rPr>
          <w:rFonts w:hint="eastAsia" w:ascii="Times New Roman" w:hAnsi="Times New Roman" w:eastAsiaTheme="minorEastAsia"/>
          <w:kern w:val="2"/>
          <w:szCs w:val="21"/>
        </w:rPr>
        <w:fldChar w:fldCharType="begin"/>
      </w:r>
      <w:r>
        <w:rPr>
          <w:rFonts w:hint="eastAsia" w:ascii="Times New Roman" w:hAnsi="Times New Roman" w:eastAsiaTheme="minorEastAsia"/>
          <w:kern w:val="2"/>
          <w:szCs w:val="21"/>
        </w:rPr>
        <w:instrText xml:space="preserve"> HYPERLINK "https://baike.baidu.com/item/%E4%B8%AD%E5%9B%BD%E5%B7%A5%E7%A8%8B%E9%99%A2%E9%99%A2%E5%A3%AB/5925613?fromModule=lemma_inlink" \t "https://baike.baidu.com/item/%E4%B8%AD%E5%9B%BD%E8%AE%A1%E9%87%8F%E7%A7%91%E5%AD%A6%E7%A0%94%E7%A9%B6%E9%99%A2/_blank" </w:instrText>
      </w:r>
      <w:r>
        <w:rPr>
          <w:rFonts w:hint="eastAsia" w:ascii="Times New Roman" w:hAnsi="Times New Roman" w:eastAsiaTheme="minorEastAsia"/>
          <w:kern w:val="2"/>
          <w:szCs w:val="21"/>
        </w:rPr>
        <w:fldChar w:fldCharType="separate"/>
      </w:r>
      <w:r>
        <w:rPr>
          <w:rFonts w:hint="eastAsia" w:ascii="Times New Roman" w:hAnsi="Times New Roman" w:eastAsiaTheme="minorEastAsia"/>
          <w:kern w:val="2"/>
          <w:szCs w:val="21"/>
        </w:rPr>
        <w:t>中国工程院院士</w:t>
      </w:r>
      <w:r>
        <w:rPr>
          <w:rFonts w:hint="eastAsia" w:ascii="Times New Roman" w:hAnsi="Times New Roman" w:eastAsiaTheme="minorEastAsia"/>
          <w:kern w:val="2"/>
          <w:szCs w:val="21"/>
        </w:rPr>
        <w:fldChar w:fldCharType="end"/>
      </w:r>
      <w:r>
        <w:rPr>
          <w:rFonts w:hint="eastAsia" w:ascii="Times New Roman" w:hAnsi="Times New Roman" w:eastAsiaTheme="minorEastAsia"/>
          <w:kern w:val="2"/>
          <w:szCs w:val="21"/>
        </w:rPr>
        <w:t>2人。</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中国计量科学研究院力学与声学计量科学研究所下设六个研究室：质量密度研究室、测力研究室、容量研究室、硬度研究室、振动冲击研究室、声学研究室。现有科技人员52人，其中，高级技术职务17人。</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本所保存国家计量基准22项、国家计量副基准12项、计量标准33项。1995年至今参加国际关键量比对的项目为25项。全所106项校准和检测项目于1999年至2000年通过了</w:t>
      </w:r>
      <w:r>
        <w:rPr>
          <w:rFonts w:hint="eastAsia" w:ascii="Times New Roman" w:hAnsi="Times New Roman" w:eastAsiaTheme="minorEastAsia"/>
          <w:kern w:val="2"/>
          <w:szCs w:val="21"/>
        </w:rPr>
        <w:fldChar w:fldCharType="begin"/>
      </w:r>
      <w:r>
        <w:rPr>
          <w:rFonts w:hint="eastAsia" w:ascii="Times New Roman" w:hAnsi="Times New Roman" w:eastAsiaTheme="minorEastAsia"/>
          <w:kern w:val="2"/>
          <w:szCs w:val="21"/>
        </w:rPr>
        <w:instrText xml:space="preserve"> HYPERLINK "https://baike.baidu.com/item/%E4%B8%AD%E5%9B%BD%E5%AE%9E%E9%AA%8C%E5%AE%A4%E5%9B%BD%E5%AE%B6%E8%AE%A4%E5%8F%AF%E5%A7%94%E5%91%98%E4%BC%9A/2854857?fromModule=lemma_inlink" \t "https://baike.baidu.com/item/%E4%B8%AD%E5%9B%BD%E8%AE%A1%E9%87%8F%E7%A7%91%E5%AD%A6%E7%A0%94%E7%A9%B6%E9%99%A2%E5%8A%9B%E5%AD%A6%E4%B8%8E%E5%A3%B0%E5%AD%A6%E8%AE%A1%E9%87%8F%E7%A7%91%E5%AD%A6%E7%A0%94%E7%A9%B6%E6%89%80/_blank" </w:instrText>
      </w:r>
      <w:r>
        <w:rPr>
          <w:rFonts w:hint="eastAsia" w:ascii="Times New Roman" w:hAnsi="Times New Roman" w:eastAsiaTheme="minorEastAsia"/>
          <w:kern w:val="2"/>
          <w:szCs w:val="21"/>
        </w:rPr>
        <w:fldChar w:fldCharType="separate"/>
      </w:r>
      <w:r>
        <w:rPr>
          <w:rFonts w:hint="eastAsia" w:ascii="Times New Roman" w:hAnsi="Times New Roman" w:eastAsiaTheme="minorEastAsia"/>
          <w:kern w:val="2"/>
          <w:szCs w:val="21"/>
        </w:rPr>
        <w:t>中国实验室国家认可委员会</w:t>
      </w:r>
      <w:r>
        <w:rPr>
          <w:rFonts w:hint="eastAsia" w:ascii="Times New Roman" w:hAnsi="Times New Roman" w:eastAsiaTheme="minorEastAsia"/>
          <w:kern w:val="2"/>
          <w:szCs w:val="21"/>
        </w:rPr>
        <w:fldChar w:fldCharType="end"/>
      </w:r>
      <w:r>
        <w:rPr>
          <w:rFonts w:hint="eastAsia" w:ascii="Times New Roman" w:hAnsi="Times New Roman" w:eastAsiaTheme="minorEastAsia"/>
          <w:kern w:val="2"/>
          <w:szCs w:val="21"/>
        </w:rPr>
        <w:t>的实验室认可。质量及相关量和声学校准/测试（CMC’s）能力通过了国际各地区计量组织和国际计量局的审查，已被列入国际互认协议（MRA）的附录 C中，并被登入国际计量局网页。</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1998年完成了与荷兰国家计量研究院（NMI）非自动衡器</w:t>
      </w:r>
      <w:r>
        <w:rPr>
          <w:rFonts w:hint="eastAsia" w:ascii="Times New Roman" w:hAnsi="Times New Roman" w:eastAsiaTheme="minorEastAsia"/>
          <w:kern w:val="2"/>
          <w:szCs w:val="21"/>
        </w:rPr>
        <w:fldChar w:fldCharType="begin"/>
      </w:r>
      <w:r>
        <w:rPr>
          <w:rFonts w:hint="eastAsia" w:ascii="Times New Roman" w:hAnsi="Times New Roman" w:eastAsiaTheme="minorEastAsia"/>
          <w:kern w:val="2"/>
          <w:szCs w:val="21"/>
        </w:rPr>
        <w:instrText xml:space="preserve"> HYPERLINK "https://baike.baidu.com/item/%E5%9E%8B%E5%BC%8F%E8%AF%95%E9%AA%8C/9711371?fromModule=lemma_inlink" \t "https://baike.baidu.com/item/%E4%B8%AD%E5%9B%BD%E8%AE%A1%E9%87%8F%E7%A7%91%E5%AD%A6%E7%A0%94%E7%A9%B6%E9%99%A2%E5%8A%9B%E5%AD%A6%E4%B8%8E%E5%A3%B0%E5%AD%A6%E8%AE%A1%E9%87%8F%E7%A7%91%E5%AD%A6%E7%A0%94%E7%A9%B6%E6%89%80/_blank" </w:instrText>
      </w:r>
      <w:r>
        <w:rPr>
          <w:rFonts w:hint="eastAsia" w:ascii="Times New Roman" w:hAnsi="Times New Roman" w:eastAsiaTheme="minorEastAsia"/>
          <w:kern w:val="2"/>
          <w:szCs w:val="21"/>
        </w:rPr>
        <w:fldChar w:fldCharType="separate"/>
      </w:r>
      <w:r>
        <w:rPr>
          <w:rFonts w:hint="eastAsia" w:ascii="Times New Roman" w:hAnsi="Times New Roman" w:eastAsiaTheme="minorEastAsia"/>
          <w:kern w:val="2"/>
          <w:szCs w:val="21"/>
        </w:rPr>
        <w:t>型式试验</w:t>
      </w:r>
      <w:r>
        <w:rPr>
          <w:rFonts w:hint="eastAsia" w:ascii="Times New Roman" w:hAnsi="Times New Roman" w:eastAsiaTheme="minorEastAsia"/>
          <w:kern w:val="2"/>
          <w:szCs w:val="21"/>
        </w:rPr>
        <w:fldChar w:fldCharType="end"/>
      </w:r>
      <w:r>
        <w:rPr>
          <w:rFonts w:hint="eastAsia" w:ascii="Times New Roman" w:hAnsi="Times New Roman" w:eastAsiaTheme="minorEastAsia"/>
          <w:kern w:val="2"/>
          <w:szCs w:val="21"/>
        </w:rPr>
        <w:t>报告的互认工作；2001年完成了与德国PTB进行非自动衡器和</w:t>
      </w:r>
      <w:r>
        <w:rPr>
          <w:rFonts w:hint="eastAsia" w:ascii="Times New Roman" w:hAnsi="Times New Roman" w:eastAsiaTheme="minorEastAsia"/>
          <w:kern w:val="2"/>
          <w:szCs w:val="21"/>
        </w:rPr>
        <w:fldChar w:fldCharType="begin"/>
      </w:r>
      <w:r>
        <w:rPr>
          <w:rFonts w:hint="eastAsia" w:ascii="Times New Roman" w:hAnsi="Times New Roman" w:eastAsiaTheme="minorEastAsia"/>
          <w:kern w:val="2"/>
          <w:szCs w:val="21"/>
        </w:rPr>
        <w:instrText xml:space="preserve"> HYPERLINK "https://baike.baidu.com/item/%E7%A7%B0%E9%87%8D%E4%BC%A0%E6%84%9F%E5%99%A8/3476891?fromModule=lemma_inlink" \t "https://baike.baidu.com/item/%E4%B8%AD%E5%9B%BD%E8%AE%A1%E9%87%8F%E7%A7%91%E5%AD%A6%E7%A0%94%E7%A9%B6%E9%99%A2%E5%8A%9B%E5%AD%A6%E4%B8%8E%E5%A3%B0%E5%AD%A6%E8%AE%A1%E9%87%8F%E7%A7%91%E5%AD%A6%E7%A0%94%E7%A9%B6%E6%89%80/_blank" </w:instrText>
      </w:r>
      <w:r>
        <w:rPr>
          <w:rFonts w:hint="eastAsia" w:ascii="Times New Roman" w:hAnsi="Times New Roman" w:eastAsiaTheme="minorEastAsia"/>
          <w:kern w:val="2"/>
          <w:szCs w:val="21"/>
        </w:rPr>
        <w:fldChar w:fldCharType="separate"/>
      </w:r>
      <w:r>
        <w:rPr>
          <w:rFonts w:hint="eastAsia" w:ascii="Times New Roman" w:hAnsi="Times New Roman" w:eastAsiaTheme="minorEastAsia"/>
          <w:kern w:val="2"/>
          <w:szCs w:val="21"/>
        </w:rPr>
        <w:t>称重传感器</w:t>
      </w:r>
      <w:r>
        <w:rPr>
          <w:rFonts w:hint="eastAsia" w:ascii="Times New Roman" w:hAnsi="Times New Roman" w:eastAsiaTheme="minorEastAsia"/>
          <w:kern w:val="2"/>
          <w:szCs w:val="21"/>
        </w:rPr>
        <w:fldChar w:fldCharType="end"/>
      </w:r>
      <w:r>
        <w:rPr>
          <w:rFonts w:hint="eastAsia" w:ascii="Times New Roman" w:hAnsi="Times New Roman" w:eastAsiaTheme="minorEastAsia"/>
          <w:kern w:val="2"/>
          <w:szCs w:val="21"/>
        </w:rPr>
        <w:t>型式试验报告的互认工作；2006年经</w:t>
      </w:r>
      <w:r>
        <w:rPr>
          <w:rFonts w:hint="eastAsia" w:ascii="Times New Roman" w:hAnsi="Times New Roman" w:eastAsiaTheme="minorEastAsia"/>
          <w:kern w:val="2"/>
          <w:szCs w:val="21"/>
        </w:rPr>
        <w:fldChar w:fldCharType="begin"/>
      </w:r>
      <w:r>
        <w:rPr>
          <w:rFonts w:hint="eastAsia" w:ascii="Times New Roman" w:hAnsi="Times New Roman" w:eastAsiaTheme="minorEastAsia"/>
          <w:kern w:val="2"/>
          <w:szCs w:val="21"/>
        </w:rPr>
        <w:instrText xml:space="preserve"> HYPERLINK "https://baike.baidu.com/item/%E5%9B%BD%E9%99%85%E6%B3%95%E5%88%B6%E8%AE%A1%E9%87%8F%E7%BB%84%E7%BB%87/1649409?fromModule=lemma_inlink" \t "https://baike.baidu.com/item/%E4%B8%AD%E5%9B%BD%E8%AE%A1%E9%87%8F%E7%A7%91%E5%AD%A6%E7%A0%94%E7%A9%B6%E9%99%A2%E5%8A%9B%E5%AD%A6%E4%B8%8E%E5%A3%B0%E5%AD%A6%E8%AE%A1%E9%87%8F%E7%A7%91%E5%AD%A6%E7%A0%94%E7%A9%B6%E6%89%80/_blank" </w:instrText>
      </w:r>
      <w:r>
        <w:rPr>
          <w:rFonts w:hint="eastAsia" w:ascii="Times New Roman" w:hAnsi="Times New Roman" w:eastAsiaTheme="minorEastAsia"/>
          <w:kern w:val="2"/>
          <w:szCs w:val="21"/>
        </w:rPr>
        <w:fldChar w:fldCharType="separate"/>
      </w:r>
      <w:r>
        <w:rPr>
          <w:rFonts w:hint="eastAsia" w:ascii="Times New Roman" w:hAnsi="Times New Roman" w:eastAsiaTheme="minorEastAsia"/>
          <w:kern w:val="2"/>
          <w:szCs w:val="21"/>
        </w:rPr>
        <w:t>国际法制计量组织</w:t>
      </w:r>
      <w:r>
        <w:rPr>
          <w:rFonts w:hint="eastAsia" w:ascii="Times New Roman" w:hAnsi="Times New Roman" w:eastAsiaTheme="minorEastAsia"/>
          <w:kern w:val="2"/>
          <w:szCs w:val="21"/>
        </w:rPr>
        <w:fldChar w:fldCharType="end"/>
      </w:r>
      <w:r>
        <w:rPr>
          <w:rFonts w:hint="eastAsia" w:ascii="Times New Roman" w:hAnsi="Times New Roman" w:eastAsiaTheme="minorEastAsia"/>
          <w:kern w:val="2"/>
          <w:szCs w:val="21"/>
        </w:rPr>
        <w:t>审查批准为非自动衡器和称重传感器型式试验报告互认的试验机构，可以出具国际互认的非自动衡器和称重传感器型式试验报告。</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国家质检总局下设在本所的专业计量技术委员会秘书处有三个，分别为：“力值硬度计量技术委员会秘书处”、“声学计量技术委员会秘书处”、“质量密度计量技术委员会秘书处”；下设在本所的标准化委员会为“振动标准化技术委员会第三分委会秘书处”。</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经过四十多年的发展，本所在计量科学研究方面取得了较为显著的成绩，1995年以来获局以上科技成果奖18项，其中20MN基准测力机达到了国际领先水平，获国家科学技术进步一等奖。</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该所积极参加国内外科技合作与交流，按时参加与编制组的各项工作会议，对本规范提出了诸多专业性的建议，完善了校准规范中不确定度的测量模型、对校准规范中校准项目和计量标准器的选择提出了修改的建议，在编制组中发挥了主要作用。</w:t>
      </w:r>
    </w:p>
    <w:p>
      <w:pPr>
        <w:pStyle w:val="59"/>
        <w:ind w:firstLine="396"/>
      </w:pPr>
      <w:r>
        <w:rPr>
          <w:rFonts w:hAnsi="Times New Roman"/>
        </w:rPr>
        <w:t>3.</w:t>
      </w:r>
      <w:r>
        <w:rPr>
          <w:rFonts w:hint="eastAsia" w:hAnsi="Times New Roman"/>
        </w:rPr>
        <w:t>3</w:t>
      </w:r>
      <w:r>
        <w:rPr>
          <w:rFonts w:hAnsi="Times New Roman"/>
        </w:rPr>
        <w:t>.</w:t>
      </w:r>
      <w:r>
        <w:rPr>
          <w:rFonts w:hint="eastAsia" w:hAnsi="Times New Roman"/>
        </w:rPr>
        <w:t>2</w:t>
      </w:r>
      <w:r>
        <w:rPr>
          <w:rFonts w:hint="eastAsia"/>
        </w:rPr>
        <w:t>湖南湘投金天钛业科技股份有限公司</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湖南湘投金天钛业科技股份有限公司是一家专注于高端钛及钛合金材料的研发、‌生产和销售的高新技术企业。‌该公司隶属于湖南湘投控股集团全资子公司湖南湘投金天科技集团有限责任公司，‌拥有强大的研发和生产能力。‌公司注册资本为3.7亿元人民币，‌位于常德经济技术开发区，‌占地450亩，‌是国家级专精特新小巨人、‌湖南省专精特新中小企业，‌并拥有多项资格认证，‌如国家级专精特新“小巨人”企业、‌湖南省企业技术中心、‌湖南省高端装备特种钛合金工程技术研究中心等。‌</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湖南湘投金天钛业科技股份有限公司的发展方向是瞄准国家战略目标，‌打造高端装备钛合金材料先进制造平台与人才集聚创新高地。‌公司秉持“以人才为根本、‌客户需求为导向、‌创新驱动为动能、‌产品质量为生命”的经营理念，‌拥有国际先进的钛合金材料生产线与检测实验室。‌其产品广泛应用于航空航天、‌海洋舰船、‌车辆、‌医疗器械等领域，‌是中国高端装备钛合金材料与零部件的重要供应商。‌</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此外，‌该公司还积极参与产学研用合作，‌培育自主创新体系建设，‌致力于研制生产的钛及钛合金棒材、‌锻坯、‌零部件等产品的高质量发展。‌通过不断的科技创新和产品研发，‌公司已成为中国高端钛合金材料三家主要供应商之一，‌以及大型综合钛材加工企业之一。</w:t>
      </w:r>
    </w:p>
    <w:p>
      <w:pPr>
        <w:pStyle w:val="58"/>
        <w:spacing w:line="360" w:lineRule="auto"/>
        <w:ind w:firstLine="420"/>
        <w:rPr>
          <w:rFonts w:eastAsiaTheme="minorEastAsia"/>
          <w:szCs w:val="21"/>
        </w:rPr>
      </w:pPr>
      <w:r>
        <w:rPr>
          <w:rFonts w:hint="eastAsia" w:ascii="Times New Roman" w:hAnsi="Times New Roman" w:eastAsiaTheme="minorEastAsia"/>
          <w:kern w:val="2"/>
          <w:szCs w:val="21"/>
        </w:rPr>
        <w:t>该单位积极参与编制组的各项工作会议，提供了稳定性优异的液浸式超声换能器用于本规范验证实验，在编制组中发挥了主要作用。</w:t>
      </w:r>
    </w:p>
    <w:p>
      <w:pPr>
        <w:pStyle w:val="59"/>
        <w:ind w:firstLine="396"/>
      </w:pPr>
      <w:r>
        <w:rPr>
          <w:rFonts w:hint="eastAsia"/>
        </w:rPr>
        <w:t>3.3.3陕西天成航空材料有限公司</w:t>
      </w:r>
    </w:p>
    <w:p>
      <w:pPr>
        <w:pStyle w:val="59"/>
        <w:spacing w:line="360" w:lineRule="auto"/>
        <w:contextualSpacing/>
        <w:outlineLvl w:val="9"/>
        <w:rPr>
          <w:rFonts w:hAnsi="Times New Roman" w:eastAsia="宋体"/>
          <w:color w:val="auto"/>
          <w:spacing w:val="0"/>
          <w:kern w:val="2"/>
        </w:rPr>
      </w:pPr>
      <w:r>
        <w:rPr>
          <w:rFonts w:hint="eastAsia" w:hAnsi="Times New Roman" w:eastAsia="宋体"/>
          <w:color w:val="auto"/>
          <w:spacing w:val="0"/>
          <w:kern w:val="2"/>
        </w:rPr>
        <w:t>陕西天成航空材料有限公司</w:t>
      </w:r>
      <w:r>
        <w:rPr>
          <w:rFonts w:hAnsi="Times New Roman" w:eastAsia="宋体"/>
          <w:color w:val="auto"/>
          <w:spacing w:val="0"/>
          <w:kern w:val="2"/>
        </w:rPr>
        <w:t>天成航材成立于2007年，是专业从事钛合金材料研发、生产的高新技术企业。公司于2008年投产，目前拥有自主知识产权及各项成果100余项，研发人员占比15%，累计研发投入上亿元，是国内较早涉足钛合金产业的技术队伍之一。</w:t>
      </w:r>
    </w:p>
    <w:p>
      <w:pPr>
        <w:pStyle w:val="59"/>
        <w:spacing w:line="360" w:lineRule="auto"/>
        <w:contextualSpacing/>
        <w:outlineLvl w:val="9"/>
        <w:rPr>
          <w:rFonts w:hAnsi="Times New Roman" w:eastAsia="宋体"/>
          <w:color w:val="auto"/>
          <w:spacing w:val="0"/>
          <w:kern w:val="2"/>
        </w:rPr>
      </w:pPr>
      <w:r>
        <w:rPr>
          <w:rFonts w:hAnsi="Times New Roman" w:eastAsia="宋体"/>
          <w:color w:val="auto"/>
          <w:spacing w:val="0"/>
          <w:kern w:val="2"/>
        </w:rPr>
        <w:t>公司产品定位于高端钛材应用，主营产品包含钛合金棒材、线材、锻件等，以一流的“航空标准”管理体系支撑钛产业高质量发展。公司自主研发、设计了国内首条航空级钛合金全流程动态多向控温控轧生产线，可为航空、医疗等高端领域用户提供超细晶钛棒及高品质钛盘卷，从材料端创新突破，解决了多项航空材料“卡脖子”难题；大规格棒材生产线采取“以轧代锻、锻轧结合”的方式，进一步优化生产工艺，可为航空终端提供发动机盘、轴件及飞机结构件用原材料，赋能中国航空业态升级。</w:t>
      </w:r>
    </w:p>
    <w:p>
      <w:pPr>
        <w:pStyle w:val="59"/>
        <w:spacing w:line="360" w:lineRule="auto"/>
        <w:contextualSpacing/>
        <w:outlineLvl w:val="9"/>
        <w:rPr>
          <w:rFonts w:hAnsi="Times New Roman" w:eastAsia="宋体"/>
          <w:color w:val="auto"/>
          <w:spacing w:val="0"/>
          <w:kern w:val="2"/>
        </w:rPr>
      </w:pPr>
      <w:r>
        <w:rPr>
          <w:rFonts w:hAnsi="Times New Roman" w:eastAsia="宋体"/>
          <w:color w:val="auto"/>
          <w:spacing w:val="0"/>
          <w:kern w:val="2"/>
        </w:rPr>
        <w:t>公司致力于通过先进材料的开发及应用推动航空航天事业的进步与发展，先后获得航天特种工艺Nadcap无损检测认证及AS9100D、ISO13485、ISO14001、ISO45001等资质认证。</w:t>
      </w:r>
    </w:p>
    <w:p>
      <w:pPr>
        <w:pStyle w:val="59"/>
        <w:spacing w:line="360" w:lineRule="auto"/>
        <w:contextualSpacing/>
        <w:outlineLvl w:val="9"/>
        <w:rPr>
          <w:rFonts w:hAnsi="Times New Roman" w:eastAsia="宋体"/>
          <w:color w:val="auto"/>
          <w:spacing w:val="0"/>
          <w:kern w:val="2"/>
        </w:rPr>
      </w:pPr>
      <w:r>
        <w:rPr>
          <w:rFonts w:hAnsi="Times New Roman" w:eastAsia="宋体"/>
          <w:color w:val="auto"/>
          <w:spacing w:val="0"/>
          <w:kern w:val="2"/>
        </w:rPr>
        <w:t>公司努力寻求高附加值、高技术含量的钛合金产业新突破，投资12.8亿建成的现代化、智能化生产基地已于2019年投入使用，建筑面积达80000㎡，项目配套3000㎡先进材料实验室及企业研发中心，预计到2025年，公司年产能将达到20000吨。</w:t>
      </w:r>
    </w:p>
    <w:p>
      <w:pPr>
        <w:pStyle w:val="58"/>
        <w:ind w:firstLine="420"/>
      </w:pPr>
      <w:r>
        <w:rPr>
          <w:rFonts w:hint="eastAsia"/>
          <w:szCs w:val="21"/>
        </w:rPr>
        <w:t>该单位积极参加编制工作，开展相关的验证试验，提供修改意见。</w:t>
      </w:r>
    </w:p>
    <w:p>
      <w:pPr>
        <w:pStyle w:val="59"/>
        <w:ind w:firstLine="396"/>
      </w:pPr>
      <w:r>
        <w:rPr>
          <w:rFonts w:hint="eastAsia"/>
        </w:rPr>
        <w:t>3.3.4南通友联数码技术开发有限公司</w:t>
      </w:r>
    </w:p>
    <w:p>
      <w:pPr>
        <w:pStyle w:val="59"/>
        <w:spacing w:line="360" w:lineRule="auto"/>
        <w:ind w:firstLine="396"/>
      </w:pPr>
      <w:r>
        <w:rPr>
          <w:rFonts w:hint="eastAsia"/>
        </w:rPr>
        <w:t>南通友联数码技术开发有限公司成立于1993年8月，专业从事便携式数字超声探伤仪、TOFD、超声成像和多通道数字超声自动探伤系统的研制、生产和销售。公司致力于科技创新，在加拿大设有新品研发中心，确保友联技术与国际同步。近年来，公司先后承担并完成了多项国家863和省部级科技项目，产品先后获得了国家重点新产品、省高新技术产品、省市科技成果奖等荣誉20余项。作为江苏省高新技术企业，公司拥有多项专利，具有独立的自主知识产权，现已成为国内工业超声检测行业的龙头企业。 公司拥有先进的生产、制造和测试检验设备，是江苏省唯一的超声检测技术工程中心。公司切实推进全面质量管理，在通过ISO9001：2000质量管理体系认证的基础上，进一步强化人才培训、优化生产工艺，电子器件实现了SMT自动焊接，保证了产品质量的一致性和可靠性，产品质量在行业中保持领先地位。 </w:t>
      </w:r>
    </w:p>
    <w:p>
      <w:pPr>
        <w:pStyle w:val="59"/>
        <w:spacing w:line="360" w:lineRule="auto"/>
        <w:ind w:firstLine="396"/>
      </w:pPr>
      <w:r>
        <w:rPr>
          <w:rFonts w:hint="eastAsia"/>
        </w:rPr>
        <w:t>该单位积极参加编制工作，组织公司专业技术人员对本规范中的校准项目进行实验论证，提供修改意见。</w:t>
      </w:r>
    </w:p>
    <w:p>
      <w:pPr>
        <w:pStyle w:val="59"/>
        <w:ind w:firstLine="396"/>
      </w:pPr>
      <w:r>
        <w:rPr>
          <w:rFonts w:hint="eastAsia"/>
        </w:rPr>
        <w:t>3.3.5西安优耐特容器制造有限公司</w:t>
      </w:r>
    </w:p>
    <w:p>
      <w:pPr>
        <w:pStyle w:val="58"/>
        <w:spacing w:line="360" w:lineRule="auto"/>
        <w:ind w:firstLine="420"/>
      </w:pPr>
      <w:r>
        <w:rPr>
          <w:rFonts w:hint="eastAsia"/>
        </w:rPr>
        <w:t>西安优耐特容器制造有限公司是一家由西北有色金属研究院控股的国家级高新技术企业，‌专注于稀有金属装备的研发、‌制造及工程化服务。‌ 该公司成立于2010年，‌注册资本为1.5亿元，‌由西部材料、‌西部超导、‌凯立新材等三家上市公司参股。‌西安优耐特容器制造有限公司在稀有金属装备制造领域内具有世界领先的钽、‌铌装备制造技术，‌以及国内一流的钛、‌锆、‌镍装备制造技术。‌公司的业务重点服务于核化工、‌新能源和高端精细化工等国家战略需求及新兴产业领域。‌</w:t>
      </w:r>
    </w:p>
    <w:p>
      <w:pPr>
        <w:pStyle w:val="58"/>
        <w:spacing w:line="360" w:lineRule="auto"/>
        <w:ind w:firstLine="420"/>
      </w:pPr>
      <w:r>
        <w:rPr>
          <w:rFonts w:hint="eastAsia"/>
        </w:rPr>
        <w:t>公司拥有多项资质和认证，‌包括民用核安全机械设备制造许可证、‌A2类压力容器设计及制造许可证、‌管道元件（‌元件组合装置）‌制造许可证、‌ASME U证、‌PED证书等。‌这些资质和认证证明了公司在行业内的专业能力和技术水平。‌</w:t>
      </w:r>
    </w:p>
    <w:p>
      <w:pPr>
        <w:pStyle w:val="58"/>
        <w:spacing w:line="360" w:lineRule="auto"/>
        <w:ind w:firstLine="420"/>
      </w:pPr>
      <w:r>
        <w:rPr>
          <w:rFonts w:hint="eastAsia"/>
        </w:rPr>
        <w:t>西安优耐特容器制造有限公司还拥有陕西省“稀有金属装备”共性技术平台、‌陕西省“稀有金属压力容器”工程技术研究中心以及陕西省企业技术中心等研发创新平台。‌这些平台不仅提升了公司的研发能力，‌也为公司的技术创新和产品升级提供了强有力的支持。‌</w:t>
      </w:r>
    </w:p>
    <w:p>
      <w:pPr>
        <w:pStyle w:val="58"/>
        <w:spacing w:line="360" w:lineRule="auto"/>
        <w:ind w:firstLine="420"/>
      </w:pPr>
      <w:r>
        <w:rPr>
          <w:rFonts w:hint="eastAsia" w:eastAsiaTheme="minorEastAsia"/>
          <w:szCs w:val="21"/>
        </w:rPr>
        <w:t>该单位积极参与编制组的各项工作会议，对规范的技术指标和校准项目中的部分内容提出了有效建议，在编制组中发挥了主要作用。</w:t>
      </w:r>
      <w:r>
        <w:rPr>
          <w:rFonts w:hint="eastAsia"/>
        </w:rPr>
        <w:t>‌</w:t>
      </w:r>
    </w:p>
    <w:p>
      <w:pPr>
        <w:pStyle w:val="61"/>
        <w:rPr>
          <w:rFonts w:ascii="Times New Roman" w:hAnsi="Times New Roman"/>
          <w:szCs w:val="21"/>
        </w:rPr>
      </w:pPr>
      <w:bookmarkStart w:id="14" w:name="_Toc464728913"/>
      <w:bookmarkStart w:id="15" w:name="_Toc462884357"/>
      <w:r>
        <w:rPr>
          <w:rFonts w:ascii="Times New Roman" w:hAnsi="Times New Roman"/>
          <w:szCs w:val="21"/>
        </w:rPr>
        <w:t>4.主要工作过程</w:t>
      </w:r>
      <w:bookmarkEnd w:id="14"/>
      <w:bookmarkEnd w:id="15"/>
    </w:p>
    <w:p>
      <w:pPr>
        <w:spacing w:line="360" w:lineRule="auto"/>
        <w:ind w:firstLine="420" w:firstLineChars="200"/>
        <w:rPr>
          <w:rFonts w:eastAsiaTheme="minorEastAsia"/>
          <w:bCs/>
          <w:color w:val="FF0000"/>
          <w:szCs w:val="21"/>
        </w:rPr>
      </w:pPr>
      <w:bookmarkStart w:id="16" w:name="_Toc464728924"/>
      <w:r>
        <w:rPr>
          <w:rFonts w:eastAsiaTheme="minorEastAsia"/>
          <w:bCs/>
          <w:szCs w:val="21"/>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1）2023年8月成立了计量规范编制组，明确编制组成员各自的工作内容及任务，对被校对象的使用单位进行了校准需求调研，收集相关资料。</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2）2023年9月~2024年4月编制组成员对校准规范中的计量特性及校准方法进行了讨论，确定了校准项目及方法，在2024年4月形成了校准规范讨论稿。</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3）2024年4月24日~26日，编制组成员参加了由有色金属行业计量技术委员会组织的在湖南省长沙市华晨豪大酒店召开的有色金属计量技术规范讨论会，与会专家和各单位代表对《液浸式超声换能器特性校准规范》提出了修改意见，并且在会上确定了项目负责起草单位明确了各项工作时间进度要求，编制组依据讨论会上提出的修改意见，修改讨论稿并形成征求意见稿，具体意见内容如下：</w:t>
      </w:r>
      <w:bookmarkEnd w:id="16"/>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1、 4章节：计量特性描述统一改为：“一般不超过”；</w:t>
      </w:r>
    </w:p>
    <w:p>
      <w:pPr>
        <w:ind w:firstLine="435"/>
      </w:pPr>
      <w:r>
        <w:t>2、6章节图1中图示解释改为“注：1——超声波接收发射仪；2——自由调节装置；3——示波器显示；4——液浸式超声换能器；5——球靶反射体。”形式</w:t>
      </w:r>
      <w:r>
        <w:rPr>
          <w:rFonts w:hint="eastAsia"/>
        </w:rPr>
        <w:t>；</w:t>
      </w:r>
    </w:p>
    <w:p>
      <w:pPr>
        <w:ind w:firstLine="435"/>
      </w:pPr>
      <w:r>
        <w:rPr>
          <w:rFonts w:hint="eastAsia"/>
        </w:rPr>
        <w:t>3、全文公式格式按照要求调整；</w:t>
      </w:r>
    </w:p>
    <w:p>
      <w:pPr>
        <w:ind w:firstLine="435"/>
      </w:pPr>
      <w:r>
        <w:rPr>
          <w:rFonts w:hint="eastAsia"/>
        </w:rPr>
        <w:t>4、附录A，按照格式要求进行修改，同时新增示意图空白处；</w:t>
      </w:r>
    </w:p>
    <w:p>
      <w:pPr>
        <w:ind w:firstLine="435"/>
      </w:pPr>
      <w:r>
        <w:rPr>
          <w:rFonts w:hint="eastAsia"/>
        </w:rPr>
        <w:t>5、附录B，按照格式要求进行修改，同时新增示意图空白处；</w:t>
      </w:r>
    </w:p>
    <w:p>
      <w:pPr>
        <w:ind w:firstLine="435"/>
        <w:rPr>
          <w:rFonts w:hint="eastAsia"/>
        </w:rPr>
      </w:pPr>
      <w:r>
        <w:rPr>
          <w:rFonts w:hint="eastAsia"/>
        </w:rPr>
        <w:t>6、附录C，按照格式要求进行修改。</w:t>
      </w:r>
    </w:p>
    <w:p>
      <w:pPr>
        <w:ind w:firstLine="435"/>
        <w:rPr>
          <w:rFonts w:hint="eastAsia"/>
        </w:rPr>
      </w:pPr>
    </w:p>
    <w:p>
      <w:pPr>
        <w:ind w:firstLine="435"/>
        <w:rPr>
          <w:rFonts w:hint="eastAsia"/>
          <w:lang w:val="en-US" w:eastAsia="zh-CN"/>
        </w:rPr>
      </w:pPr>
      <w:r>
        <w:rPr>
          <w:rFonts w:hint="eastAsia"/>
          <w:lang w:val="en-US" w:eastAsia="zh-CN"/>
        </w:rPr>
        <w:t>4）2024年5月~2024年6月发出征求意见稿，2024年7月汇总征求意见，修改征求意见稿形成预审稿，具体意见内容如下：</w:t>
      </w:r>
    </w:p>
    <w:p>
      <w:pPr>
        <w:ind w:firstLine="435"/>
        <w:rPr>
          <w:rFonts w:hint="eastAsia"/>
          <w:lang w:val="en-US" w:eastAsia="zh-CN"/>
        </w:rPr>
      </w:pPr>
      <w:r>
        <w:rPr>
          <w:rFonts w:hint="eastAsia"/>
          <w:lang w:val="en-US" w:eastAsia="zh-CN"/>
        </w:rPr>
        <w:t>1、5章节：在5.2测量标准及其他设备表1中仪器设备名称增加“信号发生器及功率放大器、球靶”技术要求中增加“具备猝发音功能的任意波形发生器，频率范围上限高于15MHz；若信号发生器的输出幅度较低，考虑采用功率放大器来驱动信号，功率放大器的带宽应优于（0.5~15MHz），总失真不大于2%。表面光滑的金属小球；被校准换能器频率：（0.5~3）MHz，球靶直径：（3~5）mm；被校准换能器频率：（0.3~15）MHz，球靶直径：≤3mm。”；</w:t>
      </w:r>
    </w:p>
    <w:p>
      <w:pPr>
        <w:ind w:firstLine="435"/>
        <w:rPr>
          <w:rFonts w:hint="eastAsia"/>
          <w:lang w:val="en-US" w:eastAsia="zh-CN"/>
        </w:rPr>
      </w:pPr>
      <w:r>
        <w:rPr>
          <w:rFonts w:hint="eastAsia"/>
          <w:lang w:val="en-US" w:eastAsia="zh-CN"/>
        </w:rPr>
        <w:t>2、6章节：图2修改换能器与水听器声程示意图；</w:t>
      </w:r>
    </w:p>
    <w:p>
      <w:pPr>
        <w:ind w:firstLine="435"/>
        <w:rPr>
          <w:rFonts w:hint="default"/>
          <w:lang w:val="en-US" w:eastAsia="zh-CN"/>
        </w:rPr>
      </w:pPr>
      <w:r>
        <w:rPr>
          <w:rFonts w:hint="eastAsia"/>
          <w:lang w:val="en-US" w:eastAsia="zh-CN"/>
        </w:rPr>
        <w:t>3、附录C：C.2.2测量结果不确定度主要来源分析中，新增“拟合算法</w:t>
      </w:r>
      <m:oMath>
        <m:sSub>
          <m:sSubPr>
            <m:ctrlPr>
              <w:rPr>
                <w:rFonts w:hint="eastAsia" w:ascii="Cambria Math" w:hAnsi="Cambria Math"/>
                <w:lang w:val="en-US" w:eastAsia="zh-CN"/>
              </w:rPr>
            </m:ctrlPr>
          </m:sSubPr>
          <m:e>
            <m:r>
              <m:rPr>
                <m:sty m:val="p"/>
              </m:rPr>
              <w:rPr>
                <w:rFonts w:hint="eastAsia" w:ascii="Cambria Math" w:hAnsi="Cambria Math"/>
                <w:lang w:val="en-US" w:eastAsia="zh-CN"/>
              </w:rPr>
              <m:t>u</m:t>
            </m:r>
            <m:ctrlPr>
              <w:rPr>
                <w:rFonts w:hint="eastAsia" w:ascii="Cambria Math" w:hAnsi="Cambria Math"/>
                <w:lang w:val="en-US" w:eastAsia="zh-CN"/>
              </w:rPr>
            </m:ctrlPr>
          </m:e>
          <m:sub>
            <m:r>
              <m:rPr>
                <m:sty m:val="p"/>
              </m:rPr>
              <w:rPr>
                <w:rFonts w:hint="eastAsia" w:ascii="Cambria Math" w:hAnsi="Cambria Math"/>
                <w:lang w:val="en-US" w:eastAsia="zh-CN"/>
              </w:rPr>
              <m:t>5</m:t>
            </m:r>
            <m:ctrlPr>
              <w:rPr>
                <w:rFonts w:hint="eastAsia" w:ascii="Cambria Math" w:hAnsi="Cambria Math"/>
                <w:lang w:val="en-US" w:eastAsia="zh-CN"/>
              </w:rPr>
            </m:ctrlPr>
          </m:sub>
        </m:sSub>
      </m:oMath>
      <w:r>
        <w:rPr>
          <w:rFonts w:hint="eastAsia" w:hAnsi="Cambria Math"/>
          <w:i w:val="0"/>
          <w:lang w:val="en-US" w:eastAsia="zh-CN"/>
        </w:rPr>
        <w:t>、声场不理想</w:t>
      </w:r>
      <m:oMath>
        <m:sSub>
          <m:sSubPr>
            <m:ctrlPr>
              <w:rPr>
                <w:rFonts w:hint="eastAsia" w:ascii="Cambria Math" w:hAnsi="Cambria Math"/>
                <w:i w:val="0"/>
                <w:lang w:val="en-US" w:eastAsia="zh-CN"/>
              </w:rPr>
            </m:ctrlPr>
          </m:sSubPr>
          <m:e>
            <m:r>
              <m:rPr>
                <m:sty m:val="p"/>
              </m:rPr>
              <w:rPr>
                <w:rFonts w:hint="eastAsia" w:ascii="Cambria Math" w:hAnsi="Cambria Math"/>
                <w:lang w:val="en-US" w:eastAsia="zh-CN"/>
              </w:rPr>
              <m:t>u</m:t>
            </m:r>
            <m:ctrlPr>
              <w:rPr>
                <w:rFonts w:hint="eastAsia" w:ascii="Cambria Math" w:hAnsi="Cambria Math"/>
                <w:i w:val="0"/>
                <w:lang w:val="en-US" w:eastAsia="zh-CN"/>
              </w:rPr>
            </m:ctrlPr>
          </m:e>
          <m:sub>
            <m:r>
              <m:rPr>
                <m:sty m:val="p"/>
              </m:rPr>
              <w:rPr>
                <w:rFonts w:hint="eastAsia" w:ascii="Cambria Math" w:hAnsi="Cambria Math"/>
                <w:lang w:val="en-US" w:eastAsia="zh-CN"/>
              </w:rPr>
              <m:t>6</m:t>
            </m:r>
            <m:ctrlPr>
              <w:rPr>
                <w:rFonts w:hint="eastAsia" w:ascii="Cambria Math" w:hAnsi="Cambria Math"/>
                <w:i w:val="0"/>
                <w:lang w:val="en-US" w:eastAsia="zh-CN"/>
              </w:rPr>
            </m:ctrlPr>
          </m:sub>
        </m:sSub>
      </m:oMath>
      <w:r>
        <w:rPr>
          <w:rFonts w:hint="eastAsia"/>
          <w:lang w:val="en-US" w:eastAsia="zh-CN"/>
        </w:rPr>
        <w:t>”；重新评定C.3.1测量重复性引入的标准不确定度分量</w:t>
      </w:r>
      <m:oMath>
        <m:sSub>
          <m:sSubPr>
            <m:ctrlPr>
              <w:rPr>
                <w:rFonts w:hint="eastAsia" w:ascii="Cambria Math" w:hAnsi="Cambria Math"/>
                <w:i w:val="0"/>
                <w:lang w:val="en-US" w:eastAsia="zh-CN"/>
              </w:rPr>
            </m:ctrlPr>
          </m:sSubPr>
          <m:e>
            <m:r>
              <m:rPr/>
              <w:rPr>
                <w:rFonts w:hint="default" w:ascii="Cambria Math" w:hAnsi="Cambria Math"/>
                <w:lang w:val="en-US" w:eastAsia="zh-CN"/>
              </w:rPr>
              <m:t>u</m:t>
            </m:r>
            <m:ctrlPr>
              <w:rPr>
                <w:rFonts w:hint="eastAsia" w:ascii="Cambria Math" w:hAnsi="Cambria Math"/>
                <w:i w:val="0"/>
                <w:lang w:val="en-US" w:eastAsia="zh-CN"/>
              </w:rPr>
            </m:ctrlPr>
          </m:e>
          <m:sub>
            <m:r>
              <m:rPr>
                <m:sty m:val="p"/>
              </m:rPr>
              <w:rPr>
                <w:rFonts w:hint="eastAsia" w:ascii="Cambria Math" w:hAnsi="Cambria Math"/>
                <w:lang w:val="en-US" w:eastAsia="zh-CN"/>
              </w:rPr>
              <m:t>1</m:t>
            </m:r>
            <m:ctrlPr>
              <w:rPr>
                <w:rFonts w:hint="eastAsia" w:ascii="Cambria Math" w:hAnsi="Cambria Math"/>
                <w:i w:val="0"/>
                <w:lang w:val="en-US" w:eastAsia="zh-CN"/>
              </w:rPr>
            </m:ctrlPr>
          </m:sub>
        </m:sSub>
      </m:oMath>
      <w:r>
        <w:rPr>
          <w:rFonts w:hint="eastAsia" w:hAnsi="Cambria Math"/>
          <w:i w:val="0"/>
          <w:lang w:val="en-US" w:eastAsia="zh-CN"/>
        </w:rPr>
        <w:t>；新增C.3.5你和算法引入的分量、新增C.3.6声场不理想引入的分量；重新评定C.4合成标准不确定度；修改C.5扩展不确定度。</w:t>
      </w:r>
    </w:p>
    <w:p>
      <w:pPr>
        <w:pStyle w:val="79"/>
        <w:wordWrap/>
        <w:spacing w:beforeLines="0" w:after="156" w:line="360" w:lineRule="auto"/>
        <w:rPr>
          <w:rFonts w:ascii="Times New Roman" w:eastAsiaTheme="minorEastAsia"/>
          <w:szCs w:val="21"/>
        </w:rPr>
      </w:pPr>
      <w:bookmarkStart w:id="17" w:name="_Toc464728925"/>
      <w:r>
        <w:rPr>
          <w:rFonts w:ascii="Times New Roman" w:eastAsiaTheme="minorEastAsia"/>
          <w:szCs w:val="21"/>
        </w:rPr>
        <w:t>编制原则</w:t>
      </w:r>
      <w:bookmarkEnd w:id="17"/>
    </w:p>
    <w:p>
      <w:pPr>
        <w:pStyle w:val="58"/>
        <w:spacing w:line="324" w:lineRule="auto"/>
        <w:ind w:firstLineChars="0"/>
        <w:rPr>
          <w:rFonts w:ascii="Times New Roman" w:hAnsi="Times New Roman" w:eastAsiaTheme="minorEastAsia"/>
          <w:kern w:val="2"/>
          <w:szCs w:val="21"/>
        </w:rPr>
      </w:pPr>
      <w:bookmarkStart w:id="18" w:name="_Toc464728926"/>
      <w:r>
        <w:rPr>
          <w:rFonts w:ascii="Times New Roman" w:hAnsi="Times New Roman" w:eastAsiaTheme="minorEastAsia"/>
          <w:kern w:val="2"/>
          <w:szCs w:val="21"/>
        </w:rPr>
        <w:t>本规范是以JJF 1071-2010《国家计量校准规范编写规则》、JJF 1001-2011《通用计量术语及定义》和JJF 1059.1-2012《测量不确定度评定与表示》为基础性系列规范进行编写。</w:t>
      </w:r>
    </w:p>
    <w:p>
      <w:pPr>
        <w:spacing w:line="324" w:lineRule="auto"/>
        <w:ind w:firstLine="420" w:firstLineChars="200"/>
        <w:rPr>
          <w:rFonts w:eastAsiaTheme="minorEastAsia"/>
          <w:szCs w:val="21"/>
        </w:rPr>
      </w:pPr>
      <w:r>
        <w:rPr>
          <w:rFonts w:eastAsiaTheme="minorEastAsia"/>
          <w:szCs w:val="21"/>
        </w:rPr>
        <w:t>本规范引用了JJF 1650-2017 《超声探伤仪换能器声场特性校准规范》、ISO 22232-2 《Non-destructive testing-Characterization and verification of ultrasonic test equipment》、ASTM E1065 《Evaluating Characteristics of Ultrasonic Search Units》等相关内容。</w:t>
      </w:r>
    </w:p>
    <w:p>
      <w:pPr>
        <w:spacing w:line="324" w:lineRule="auto"/>
        <w:ind w:firstLine="420" w:firstLineChars="200"/>
        <w:rPr>
          <w:rFonts w:eastAsiaTheme="minorEastAsia"/>
          <w:szCs w:val="21"/>
        </w:rPr>
      </w:pPr>
    </w:p>
    <w:p>
      <w:pPr>
        <w:pStyle w:val="79"/>
        <w:spacing w:before="312" w:beforeLines="100" w:after="312" w:afterLines="100"/>
        <w:rPr>
          <w:rFonts w:ascii="Times New Roman" w:eastAsiaTheme="minorEastAsia"/>
          <w:szCs w:val="21"/>
        </w:rPr>
      </w:pPr>
      <w:r>
        <w:rPr>
          <w:rFonts w:ascii="Times New Roman" w:eastAsiaTheme="minorEastAsia"/>
          <w:szCs w:val="21"/>
        </w:rPr>
        <w:t>确定主要内</w:t>
      </w:r>
      <w:bookmarkEnd w:id="18"/>
      <w:r>
        <w:rPr>
          <w:rFonts w:ascii="Times New Roman" w:eastAsiaTheme="minorEastAsia"/>
          <w:szCs w:val="21"/>
        </w:rPr>
        <w:t>容</w:t>
      </w:r>
    </w:p>
    <w:p>
      <w:pPr>
        <w:pStyle w:val="61"/>
        <w:rPr>
          <w:rFonts w:ascii="Times New Roman" w:hAnsi="Times New Roman"/>
          <w:szCs w:val="21"/>
        </w:rPr>
      </w:pPr>
      <w:bookmarkStart w:id="19" w:name="_Toc193860208"/>
      <w:bookmarkStart w:id="20" w:name="_Toc193860177"/>
      <w:bookmarkStart w:id="21" w:name="_Toc23837_WPSOffice_Level1"/>
      <w:bookmarkStart w:id="22" w:name="_Toc193860027"/>
      <w:bookmarkStart w:id="23" w:name="_Toc500258929"/>
      <w:bookmarkStart w:id="24" w:name="_Toc464728964"/>
      <w:r>
        <w:rPr>
          <w:rFonts w:ascii="Times New Roman" w:hAnsi="Times New Roman"/>
          <w:szCs w:val="21"/>
        </w:rPr>
        <w:t>1 范围</w:t>
      </w:r>
      <w:bookmarkEnd w:id="19"/>
      <w:bookmarkEnd w:id="20"/>
      <w:bookmarkEnd w:id="21"/>
      <w:bookmarkEnd w:id="22"/>
      <w:bookmarkEnd w:id="23"/>
    </w:p>
    <w:p>
      <w:pPr>
        <w:pStyle w:val="58"/>
        <w:spacing w:line="324" w:lineRule="auto"/>
        <w:ind w:firstLineChars="0"/>
        <w:rPr>
          <w:rFonts w:ascii="Times New Roman" w:hAnsi="Times New Roman" w:eastAsiaTheme="minorEastAsia"/>
          <w:kern w:val="2"/>
          <w:szCs w:val="21"/>
        </w:rPr>
      </w:pPr>
      <w:bookmarkStart w:id="25" w:name="_Toc193860178"/>
      <w:bookmarkStart w:id="26" w:name="_Toc193860028"/>
      <w:bookmarkStart w:id="27" w:name="_Toc193860209"/>
      <w:bookmarkStart w:id="28" w:name="_Toc7848_WPSOffice_Level1"/>
      <w:bookmarkStart w:id="29" w:name="_Toc500258930"/>
      <w:r>
        <w:rPr>
          <w:rFonts w:ascii="Times New Roman" w:hAnsi="Times New Roman" w:eastAsiaTheme="minorEastAsia"/>
          <w:kern w:val="2"/>
          <w:szCs w:val="21"/>
        </w:rPr>
        <w:t>本规范适用于频率在（0.5~15）MHz范围内的液浸式聚焦换能器与液浸式平面换能器。</w:t>
      </w:r>
    </w:p>
    <w:p>
      <w:pPr>
        <w:pStyle w:val="61"/>
        <w:rPr>
          <w:rFonts w:ascii="Times New Roman" w:hAnsi="Times New Roman"/>
          <w:szCs w:val="21"/>
        </w:rPr>
      </w:pPr>
      <w:r>
        <w:rPr>
          <w:rFonts w:ascii="Times New Roman" w:hAnsi="Times New Roman"/>
          <w:szCs w:val="21"/>
        </w:rPr>
        <w:t>2 引用文</w:t>
      </w:r>
      <w:bookmarkEnd w:id="25"/>
      <w:bookmarkEnd w:id="26"/>
      <w:bookmarkEnd w:id="27"/>
      <w:r>
        <w:rPr>
          <w:rFonts w:ascii="Times New Roman" w:hAnsi="Times New Roman"/>
          <w:szCs w:val="21"/>
        </w:rPr>
        <w:t>件</w:t>
      </w:r>
      <w:bookmarkEnd w:id="28"/>
      <w:bookmarkEnd w:id="29"/>
    </w:p>
    <w:p>
      <w:pPr>
        <w:spacing w:line="360" w:lineRule="auto"/>
        <w:ind w:firstLine="420" w:firstLineChars="200"/>
        <w:rPr>
          <w:rFonts w:eastAsiaTheme="minorEastAsia"/>
          <w:szCs w:val="21"/>
        </w:rPr>
      </w:pPr>
      <w:bookmarkStart w:id="30" w:name="_Toc193618952"/>
      <w:bookmarkStart w:id="31" w:name="_Toc193619055"/>
      <w:bookmarkStart w:id="32" w:name="_Toc193860211"/>
      <w:bookmarkStart w:id="33" w:name="_Toc500258937"/>
      <w:bookmarkStart w:id="34" w:name="_Toc193860180"/>
      <w:bookmarkStart w:id="35" w:name="_Toc13054_WPSOffice_Level1"/>
      <w:bookmarkStart w:id="36" w:name="_Toc193619097"/>
      <w:bookmarkStart w:id="37" w:name="_Toc193860030"/>
      <w:r>
        <w:rPr>
          <w:rFonts w:eastAsiaTheme="minorEastAsia"/>
          <w:szCs w:val="21"/>
        </w:rPr>
        <w:t>本规范无引用文件。</w:t>
      </w:r>
    </w:p>
    <w:p>
      <w:pPr>
        <w:pStyle w:val="61"/>
        <w:rPr>
          <w:rFonts w:ascii="Times New Roman" w:hAnsi="Times New Roman"/>
          <w:szCs w:val="21"/>
        </w:rPr>
      </w:pPr>
      <w:r>
        <w:rPr>
          <w:rFonts w:ascii="Times New Roman" w:hAnsi="Times New Roman"/>
          <w:szCs w:val="21"/>
        </w:rPr>
        <w:t>3 概述</w:t>
      </w:r>
      <w:bookmarkEnd w:id="30"/>
      <w:bookmarkEnd w:id="31"/>
      <w:bookmarkEnd w:id="32"/>
      <w:bookmarkEnd w:id="33"/>
      <w:bookmarkEnd w:id="34"/>
      <w:bookmarkEnd w:id="35"/>
      <w:bookmarkEnd w:id="36"/>
      <w:bookmarkEnd w:id="37"/>
    </w:p>
    <w:p>
      <w:pPr>
        <w:pStyle w:val="58"/>
        <w:spacing w:line="324" w:lineRule="auto"/>
        <w:ind w:firstLineChars="0"/>
        <w:rPr>
          <w:rFonts w:ascii="Times New Roman" w:hAnsi="Times New Roman" w:eastAsiaTheme="minorEastAsia"/>
          <w:color w:val="FF0000"/>
          <w:szCs w:val="21"/>
        </w:rPr>
      </w:pPr>
      <w:r>
        <w:rPr>
          <w:rFonts w:ascii="Times New Roman" w:hAnsi="Times New Roman" w:eastAsiaTheme="minorEastAsia"/>
          <w:kern w:val="2"/>
          <w:szCs w:val="21"/>
        </w:rPr>
        <w:t>超声波探伤用液浸式换能器由压电晶片、阻尼块、接头、电缆线、保护膜和外壳组成。其关键部件是压电晶片，是一个具有压电特性的单晶或多晶体薄片，其作用是将电能转换为声能，并将声能转换为电能。广泛应用在超声无损检测等领域，可分为聚焦换能器和平面换能器。液浸式超声换能器的特性参数可通过球靶反射体法和水听器法测量超声信号和扫描声场获得。</w:t>
      </w:r>
    </w:p>
    <w:p>
      <w:pPr>
        <w:pStyle w:val="61"/>
        <w:rPr>
          <w:rFonts w:ascii="Times New Roman" w:hAnsi="Times New Roman"/>
          <w:szCs w:val="21"/>
        </w:rPr>
      </w:pPr>
      <w:bookmarkStart w:id="38" w:name="_Toc193860181"/>
      <w:bookmarkStart w:id="39" w:name="_Toc193619056"/>
      <w:bookmarkStart w:id="40" w:name="_Toc500258938"/>
      <w:bookmarkStart w:id="41" w:name="_Toc19851_WPSOffice_Level1"/>
      <w:bookmarkStart w:id="42" w:name="_Toc193619098"/>
      <w:bookmarkStart w:id="43" w:name="_Toc193618953"/>
      <w:bookmarkStart w:id="44" w:name="_Toc193860212"/>
      <w:bookmarkStart w:id="45" w:name="_Toc193860031"/>
      <w:r>
        <w:rPr>
          <w:rFonts w:ascii="Times New Roman" w:hAnsi="Times New Roman"/>
          <w:szCs w:val="21"/>
        </w:rPr>
        <w:t>4 计量特性</w:t>
      </w:r>
      <w:bookmarkEnd w:id="38"/>
      <w:bookmarkEnd w:id="39"/>
      <w:bookmarkEnd w:id="40"/>
      <w:bookmarkEnd w:id="41"/>
      <w:bookmarkEnd w:id="42"/>
      <w:bookmarkEnd w:id="43"/>
      <w:bookmarkEnd w:id="44"/>
      <w:bookmarkEnd w:id="45"/>
    </w:p>
    <w:p>
      <w:pPr>
        <w:pStyle w:val="61"/>
        <w:rPr>
          <w:rFonts w:ascii="Times New Roman" w:hAnsi="Times New Roman"/>
          <w:szCs w:val="21"/>
        </w:rPr>
      </w:pPr>
      <w:bookmarkStart w:id="46" w:name="_Toc25829_WPSOffice_Level1"/>
      <w:r>
        <w:rPr>
          <w:rFonts w:ascii="Times New Roman" w:hAnsi="Times New Roman"/>
          <w:szCs w:val="21"/>
        </w:rPr>
        <w:t>4.1 脉冲回波灵敏度</w:t>
      </w:r>
    </w:p>
    <w:p>
      <w:pPr>
        <w:pStyle w:val="61"/>
        <w:rPr>
          <w:rFonts w:ascii="Times New Roman" w:hAnsi="Times New Roman"/>
          <w:szCs w:val="21"/>
        </w:rPr>
      </w:pPr>
      <w:r>
        <w:rPr>
          <w:rFonts w:ascii="Times New Roman" w:hAnsi="Times New Roman"/>
          <w:szCs w:val="21"/>
        </w:rPr>
        <w:t>与出厂数据相差一般不超过±3dB。</w:t>
      </w:r>
    </w:p>
    <w:p>
      <w:pPr>
        <w:pStyle w:val="61"/>
        <w:rPr>
          <w:rFonts w:ascii="Times New Roman" w:hAnsi="Times New Roman"/>
          <w:szCs w:val="21"/>
        </w:rPr>
      </w:pPr>
      <w:r>
        <w:rPr>
          <w:rFonts w:ascii="Times New Roman" w:hAnsi="Times New Roman"/>
          <w:szCs w:val="21"/>
        </w:rPr>
        <w:t>4.2 中心频率</w:t>
      </w:r>
    </w:p>
    <w:p>
      <w:pPr>
        <w:pStyle w:val="61"/>
        <w:rPr>
          <w:rFonts w:ascii="Times New Roman" w:hAnsi="Times New Roman"/>
          <w:szCs w:val="21"/>
        </w:rPr>
      </w:pPr>
      <w:r>
        <w:rPr>
          <w:rFonts w:ascii="Times New Roman" w:hAnsi="Times New Roman"/>
          <w:szCs w:val="21"/>
        </w:rPr>
        <w:t>中心频率偏差一般不超过标称值的±10%。</w:t>
      </w:r>
    </w:p>
    <w:p>
      <w:pPr>
        <w:pStyle w:val="61"/>
        <w:rPr>
          <w:rFonts w:ascii="Times New Roman" w:hAnsi="Times New Roman"/>
          <w:szCs w:val="21"/>
        </w:rPr>
      </w:pPr>
      <w:r>
        <w:rPr>
          <w:rFonts w:ascii="Times New Roman" w:hAnsi="Times New Roman"/>
          <w:szCs w:val="21"/>
        </w:rPr>
        <w:t>4.3 相对带宽</w:t>
      </w:r>
    </w:p>
    <w:p>
      <w:pPr>
        <w:pStyle w:val="61"/>
        <w:rPr>
          <w:rFonts w:ascii="Times New Roman" w:hAnsi="Times New Roman"/>
          <w:szCs w:val="21"/>
        </w:rPr>
      </w:pPr>
      <w:r>
        <w:rPr>
          <w:rFonts w:ascii="Times New Roman" w:hAnsi="Times New Roman"/>
          <w:szCs w:val="21"/>
        </w:rPr>
        <w:t>偏差一般不超过标称值的±15%。</w:t>
      </w:r>
    </w:p>
    <w:p>
      <w:pPr>
        <w:pStyle w:val="61"/>
        <w:rPr>
          <w:rFonts w:ascii="Times New Roman" w:hAnsi="Times New Roman"/>
          <w:szCs w:val="21"/>
        </w:rPr>
      </w:pPr>
      <w:r>
        <w:rPr>
          <w:rFonts w:ascii="Times New Roman" w:hAnsi="Times New Roman"/>
          <w:szCs w:val="21"/>
        </w:rPr>
        <w:t>4.4 焦距/近场长度</w:t>
      </w:r>
    </w:p>
    <w:p>
      <w:pPr>
        <w:pStyle w:val="61"/>
        <w:rPr>
          <w:rFonts w:ascii="Times New Roman" w:hAnsi="Times New Roman"/>
          <w:szCs w:val="21"/>
        </w:rPr>
      </w:pPr>
      <w:r>
        <w:rPr>
          <w:rFonts w:ascii="Times New Roman" w:hAnsi="Times New Roman"/>
          <w:szCs w:val="21"/>
        </w:rPr>
        <w:t>焦距/近场长度偏差一般不超过标称值/理论值的±15%。</w:t>
      </w:r>
    </w:p>
    <w:p>
      <w:pPr>
        <w:pStyle w:val="61"/>
        <w:rPr>
          <w:rFonts w:ascii="Times New Roman" w:hAnsi="Times New Roman"/>
          <w:szCs w:val="21"/>
        </w:rPr>
      </w:pPr>
      <w:r>
        <w:rPr>
          <w:rFonts w:ascii="Times New Roman" w:hAnsi="Times New Roman"/>
          <w:szCs w:val="21"/>
        </w:rPr>
        <w:t>4.5 场深（焦柱长度）</w:t>
      </w:r>
    </w:p>
    <w:p>
      <w:pPr>
        <w:pStyle w:val="61"/>
        <w:rPr>
          <w:rFonts w:ascii="Times New Roman" w:hAnsi="Times New Roman"/>
          <w:szCs w:val="21"/>
        </w:rPr>
      </w:pPr>
      <w:r>
        <w:rPr>
          <w:rFonts w:ascii="Times New Roman" w:hAnsi="Times New Roman"/>
          <w:szCs w:val="21"/>
        </w:rPr>
        <w:t>场深（焦柱长度）偏差一般不超过标称值的±15%。</w:t>
      </w:r>
    </w:p>
    <w:p>
      <w:pPr>
        <w:pStyle w:val="61"/>
        <w:rPr>
          <w:rFonts w:ascii="Times New Roman" w:hAnsi="Times New Roman"/>
          <w:szCs w:val="21"/>
        </w:rPr>
      </w:pPr>
      <w:r>
        <w:rPr>
          <w:rFonts w:ascii="Times New Roman" w:hAnsi="Times New Roman"/>
          <w:szCs w:val="21"/>
        </w:rPr>
        <w:t>4.6 焦点尺寸/声束直径</w:t>
      </w:r>
    </w:p>
    <w:p>
      <w:pPr>
        <w:pStyle w:val="61"/>
        <w:rPr>
          <w:rFonts w:ascii="Times New Roman" w:hAnsi="Times New Roman"/>
          <w:szCs w:val="21"/>
        </w:rPr>
      </w:pPr>
      <w:r>
        <w:rPr>
          <w:rFonts w:ascii="Times New Roman" w:hAnsi="Times New Roman"/>
          <w:szCs w:val="21"/>
        </w:rPr>
        <w:t>焦点尺寸/声束直径的偏差一般不超过标称值的±20%。</w:t>
      </w:r>
    </w:p>
    <w:p>
      <w:pPr>
        <w:pStyle w:val="61"/>
        <w:rPr>
          <w:rFonts w:ascii="Times New Roman" w:hAnsi="Times New Roman"/>
          <w:szCs w:val="21"/>
        </w:rPr>
      </w:pPr>
      <w:r>
        <w:rPr>
          <w:rFonts w:ascii="Times New Roman" w:hAnsi="Times New Roman"/>
          <w:szCs w:val="21"/>
        </w:rPr>
        <w:t>4.7 声束扩散角</w:t>
      </w:r>
    </w:p>
    <w:p>
      <w:pPr>
        <w:pStyle w:val="61"/>
        <w:rPr>
          <w:rFonts w:ascii="Times New Roman" w:hAnsi="Times New Roman"/>
          <w:szCs w:val="21"/>
        </w:rPr>
      </w:pPr>
      <w:r>
        <w:rPr>
          <w:rFonts w:ascii="Times New Roman" w:hAnsi="Times New Roman"/>
          <w:szCs w:val="21"/>
        </w:rPr>
        <w:t xml:space="preserve">    偏差一般不超过标称值的±20%。</w:t>
      </w:r>
    </w:p>
    <w:p>
      <w:pPr>
        <w:pStyle w:val="61"/>
        <w:rPr>
          <w:rFonts w:ascii="Times New Roman" w:hAnsi="Times New Roman"/>
          <w:szCs w:val="21"/>
        </w:rPr>
      </w:pPr>
      <w:r>
        <w:rPr>
          <w:rFonts w:ascii="Times New Roman" w:hAnsi="Times New Roman"/>
          <w:szCs w:val="21"/>
        </w:rPr>
        <w:t>5 校准条件</w:t>
      </w:r>
      <w:bookmarkEnd w:id="46"/>
      <w:bookmarkStart w:id="47" w:name="_Toc193860183"/>
      <w:bookmarkStart w:id="48" w:name="_Toc193860033"/>
      <w:bookmarkStart w:id="49" w:name="_Toc500258942"/>
      <w:bookmarkStart w:id="50" w:name="_Toc193860214"/>
    </w:p>
    <w:bookmarkEnd w:id="47"/>
    <w:bookmarkEnd w:id="48"/>
    <w:bookmarkEnd w:id="49"/>
    <w:bookmarkEnd w:id="50"/>
    <w:p>
      <w:pPr>
        <w:pStyle w:val="61"/>
        <w:rPr>
          <w:rFonts w:ascii="Times New Roman" w:hAnsi="Times New Roman"/>
          <w:szCs w:val="21"/>
        </w:rPr>
      </w:pPr>
      <w:bookmarkStart w:id="51" w:name="_Toc193860185"/>
      <w:bookmarkStart w:id="52" w:name="_Toc193619058"/>
      <w:bookmarkStart w:id="53" w:name="_Toc193860216"/>
      <w:bookmarkStart w:id="54" w:name="_Toc500258944"/>
      <w:bookmarkStart w:id="55" w:name="_Toc2741_WPSOffice_Level1"/>
      <w:bookmarkStart w:id="56" w:name="_Toc193860035"/>
      <w:bookmarkStart w:id="57" w:name="_Toc193619100"/>
      <w:bookmarkStart w:id="58" w:name="_Toc193618955"/>
      <w:r>
        <w:rPr>
          <w:rFonts w:ascii="Times New Roman" w:hAnsi="Times New Roman"/>
          <w:szCs w:val="21"/>
        </w:rPr>
        <w:t>校准时的环境条件应满足以下要求：</w:t>
      </w:r>
    </w:p>
    <w:p>
      <w:pPr>
        <w:pStyle w:val="61"/>
        <w:rPr>
          <w:rFonts w:ascii="Times New Roman" w:hAnsi="Times New Roman"/>
          <w:szCs w:val="21"/>
        </w:rPr>
      </w:pPr>
      <w:r>
        <w:rPr>
          <w:rFonts w:ascii="Times New Roman" w:hAnsi="Times New Roman"/>
          <w:szCs w:val="21"/>
        </w:rPr>
        <w:t>室温：（18~28）℃；</w:t>
      </w:r>
    </w:p>
    <w:p>
      <w:pPr>
        <w:pStyle w:val="61"/>
        <w:rPr>
          <w:rFonts w:ascii="Times New Roman" w:hAnsi="Times New Roman"/>
          <w:szCs w:val="21"/>
        </w:rPr>
      </w:pPr>
      <w:r>
        <w:rPr>
          <w:rFonts w:ascii="Times New Roman" w:hAnsi="Times New Roman"/>
          <w:szCs w:val="21"/>
        </w:rPr>
        <w:t>水温：（15~33）℃。</w:t>
      </w:r>
    </w:p>
    <w:p>
      <w:pPr>
        <w:pStyle w:val="58"/>
        <w:ind w:firstLine="420"/>
        <w:rPr>
          <w:rFonts w:ascii="Times New Roman" w:hAnsi="Times New Roman" w:eastAsiaTheme="minorEastAsia"/>
          <w:szCs w:val="21"/>
        </w:rPr>
      </w:pPr>
      <w:r>
        <w:rPr>
          <w:rFonts w:ascii="Times New Roman" w:hAnsi="Times New Roman" w:eastAsiaTheme="minorEastAsia"/>
          <w:szCs w:val="21"/>
        </w:rPr>
        <w:t>测量标准及设备应满足如下表1要求.</w:t>
      </w:r>
    </w:p>
    <w:p>
      <w:pPr>
        <w:jc w:val="center"/>
        <w:rPr>
          <w:rFonts w:eastAsiaTheme="minorEastAsia"/>
          <w:szCs w:val="21"/>
        </w:rPr>
      </w:pPr>
      <w:r>
        <w:rPr>
          <w:rFonts w:eastAsiaTheme="minorEastAsia"/>
          <w:kern w:val="0"/>
          <w:szCs w:val="21"/>
        </w:rPr>
        <w:t>表1校准设备</w:t>
      </w:r>
    </w:p>
    <w:tbl>
      <w:tblPr>
        <w:tblStyle w:val="42"/>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仪器设备名称</w:t>
            </w:r>
          </w:p>
        </w:tc>
        <w:tc>
          <w:tcPr>
            <w:tcW w:w="60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2505" w:type="dxa"/>
            <w:vAlign w:val="center"/>
          </w:tcPr>
          <w:p>
            <w:pPr>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超声波接收发射仪</w:t>
            </w:r>
            <w:r>
              <w:rPr>
                <w:rFonts w:hint="eastAsia" w:cs="Times New Roman"/>
                <w:color w:val="auto"/>
                <w:kern w:val="0"/>
                <w:sz w:val="21"/>
                <w:szCs w:val="21"/>
                <w:lang w:val="en-US" w:eastAsia="zh-CN"/>
              </w:rPr>
              <w:t>或</w:t>
            </w:r>
          </w:p>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信号发生器及功率放大器</w:t>
            </w:r>
          </w:p>
        </w:tc>
        <w:tc>
          <w:tcPr>
            <w:tcW w:w="604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频带宽度：0.5MHz~30MHz；</w:t>
            </w:r>
          </w:p>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激励电压：50V~350V；</w:t>
            </w:r>
          </w:p>
          <w:p>
            <w:pPr>
              <w:jc w:val="center"/>
              <w:rPr>
                <w:rFonts w:hint="eastAsia" w:cs="Times New Roman"/>
                <w:color w:val="auto"/>
                <w:kern w:val="0"/>
                <w:sz w:val="21"/>
                <w:szCs w:val="21"/>
                <w:lang w:eastAsia="zh-CN"/>
              </w:rPr>
            </w:pPr>
            <w:r>
              <w:rPr>
                <w:rFonts w:hint="default" w:ascii="Times New Roman" w:hAnsi="Times New Roman" w:cs="Times New Roman"/>
                <w:color w:val="auto"/>
                <w:kern w:val="0"/>
                <w:sz w:val="21"/>
                <w:szCs w:val="21"/>
              </w:rPr>
              <w:t>激励方式：方波、尖波</w:t>
            </w:r>
            <w:r>
              <w:rPr>
                <w:rFonts w:hint="eastAsia" w:cs="Times New Roman"/>
                <w:color w:val="auto"/>
                <w:kern w:val="0"/>
                <w:sz w:val="21"/>
                <w:szCs w:val="21"/>
                <w:lang w:eastAsia="zh-CN"/>
              </w:rPr>
              <w:t>。</w:t>
            </w:r>
          </w:p>
          <w:p>
            <w:pPr>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具备猝发音功能的任意波形发生器，频率范围上限高于15MHz；</w:t>
            </w:r>
          </w:p>
          <w:p>
            <w:pPr>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若信号发生器的输出幅度较低，考虑采用功率放大器来驱动信号，功率放大器的带宽应优于（0.5~15MHz），总失真不大于2%。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250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数字存储示波器</w:t>
            </w:r>
          </w:p>
        </w:tc>
        <w:tc>
          <w:tcPr>
            <w:tcW w:w="6045" w:type="dxa"/>
            <w:vAlign w:val="center"/>
          </w:tcPr>
          <w:p>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工作频率上限不低于100MHz，采样率高于200MHz，具有频谱分析功能。时间分辨力优于0.1μs。</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250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水听器</w:t>
            </w:r>
          </w:p>
        </w:tc>
        <w:tc>
          <w:tcPr>
            <w:tcW w:w="6045"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带宽：0.5MHz~15MHz；</w:t>
            </w:r>
          </w:p>
          <w:p>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直径小于2λ，λ为在水介质中声速波长。</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FF0000"/>
                <w:sz w:val="21"/>
                <w:szCs w:val="21"/>
                <w:lang w:val="en-US" w:eastAsia="zh-CN"/>
              </w:rPr>
            </w:pPr>
            <w:r>
              <w:rPr>
                <w:rFonts w:hint="eastAsia" w:cs="Times New Roman" w:eastAsiaTheme="minorEastAsia"/>
                <w:color w:val="FF0000"/>
                <w:sz w:val="21"/>
                <w:szCs w:val="21"/>
                <w:lang w:val="en-US" w:eastAsia="zh-CN"/>
              </w:rPr>
              <w:t>4</w:t>
            </w:r>
          </w:p>
        </w:tc>
        <w:tc>
          <w:tcPr>
            <w:tcW w:w="2505"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球靶</w:t>
            </w:r>
          </w:p>
        </w:tc>
        <w:tc>
          <w:tcPr>
            <w:tcW w:w="6045" w:type="dxa"/>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表面光滑的金属小球；</w:t>
            </w:r>
          </w:p>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被校准换能器频率：（0.5~3）MHz，球靶直径：（3~5）mm；</w:t>
            </w:r>
          </w:p>
          <w:p>
            <w:pPr>
              <w:jc w:val="center"/>
              <w:rPr>
                <w:rFonts w:hint="default"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被校准换能器频率：（0.3~15）MHz，球靶直径：≤3mm</w:t>
            </w:r>
            <w:r>
              <w:rPr>
                <w:rFonts w:hint="eastAsia" w:cs="Times New Roman"/>
                <w:color w:val="auto"/>
                <w:kern w:val="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5</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水箱及自由调节装置</w:t>
            </w:r>
          </w:p>
        </w:tc>
        <w:tc>
          <w:tcPr>
            <w:tcW w:w="6045" w:type="dxa"/>
            <w:vAlign w:val="center"/>
          </w:tcPr>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水箱应满足声场扫描范围的要求，声场长度方向，水箱尺寸应大于被校换能器的3倍近场区；</w:t>
            </w:r>
          </w:p>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换能器夹持调节机构，应具有五个自由度的调节能力，包括X、Y、Z的空间定位，以及调节水平偏转和垂直俯仰功能，其中X、Y、Z的空间定位精度应优于0.02mm，另外两个自由旋转角度分辨力应优于0.05°。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6</w:t>
            </w:r>
          </w:p>
        </w:tc>
        <w:tc>
          <w:tcPr>
            <w:tcW w:w="25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温度计</w:t>
            </w:r>
          </w:p>
        </w:tc>
        <w:tc>
          <w:tcPr>
            <w:tcW w:w="60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测量范围：0~40℃；</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示值误差应优于±0.1℃。</w:t>
            </w:r>
          </w:p>
        </w:tc>
      </w:tr>
    </w:tbl>
    <w:p>
      <w:pPr>
        <w:pStyle w:val="61"/>
        <w:rPr>
          <w:rFonts w:ascii="Times New Roman" w:hAnsi="Times New Roman"/>
          <w:szCs w:val="21"/>
        </w:rPr>
      </w:pPr>
      <w:r>
        <w:rPr>
          <w:rFonts w:ascii="Times New Roman" w:hAnsi="Times New Roman"/>
          <w:szCs w:val="21"/>
        </w:rPr>
        <w:t>6 校准项目和校准方法</w:t>
      </w:r>
      <w:bookmarkEnd w:id="51"/>
      <w:bookmarkEnd w:id="52"/>
      <w:bookmarkEnd w:id="53"/>
      <w:bookmarkEnd w:id="54"/>
      <w:bookmarkEnd w:id="55"/>
      <w:bookmarkEnd w:id="56"/>
      <w:bookmarkEnd w:id="57"/>
      <w:bookmarkEnd w:id="58"/>
    </w:p>
    <w:p>
      <w:pPr>
        <w:pStyle w:val="61"/>
        <w:rPr>
          <w:rFonts w:ascii="Times New Roman" w:hAnsi="Times New Roman"/>
          <w:szCs w:val="21"/>
        </w:rPr>
      </w:pPr>
      <w:bookmarkStart w:id="59" w:name="_Toc22718_WPSOffice_Level2"/>
      <w:bookmarkStart w:id="60" w:name="_Toc500258945"/>
      <w:r>
        <w:rPr>
          <w:rFonts w:ascii="Times New Roman" w:hAnsi="Times New Roman"/>
          <w:szCs w:val="21"/>
        </w:rPr>
        <w:t>6.1校准项目</w:t>
      </w:r>
    </w:p>
    <w:p>
      <w:pPr>
        <w:spacing w:line="360" w:lineRule="auto"/>
        <w:ind w:firstLine="420" w:firstLineChars="200"/>
        <w:rPr>
          <w:rFonts w:eastAsiaTheme="minorEastAsia"/>
          <w:kern w:val="0"/>
          <w:szCs w:val="21"/>
        </w:rPr>
      </w:pPr>
      <w:r>
        <w:rPr>
          <w:rFonts w:eastAsiaTheme="minorEastAsia"/>
          <w:kern w:val="0"/>
          <w:szCs w:val="21"/>
        </w:rPr>
        <w:t>校准项目见表2。</w:t>
      </w:r>
    </w:p>
    <w:p>
      <w:pPr>
        <w:jc w:val="center"/>
        <w:rPr>
          <w:rFonts w:eastAsiaTheme="minorEastAsia"/>
          <w:szCs w:val="21"/>
        </w:rPr>
      </w:pPr>
      <w:r>
        <w:rPr>
          <w:rFonts w:eastAsiaTheme="minorEastAsia"/>
          <w:szCs w:val="21"/>
        </w:rPr>
        <w:t>表2聚焦/平面超声换能器校准项目一览表</w:t>
      </w:r>
    </w:p>
    <w:tbl>
      <w:tblPr>
        <w:tblStyle w:val="4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序号</w:t>
            </w:r>
          </w:p>
        </w:tc>
        <w:tc>
          <w:tcPr>
            <w:tcW w:w="4786" w:type="dxa"/>
            <w:vAlign w:val="center"/>
          </w:tcPr>
          <w:p>
            <w:pPr>
              <w:jc w:val="center"/>
              <w:rPr>
                <w:rFonts w:eastAsiaTheme="minorEastAsia"/>
                <w:szCs w:val="21"/>
              </w:rPr>
            </w:pPr>
            <w:r>
              <w:rPr>
                <w:rFonts w:eastAsiaTheme="minorEastAsia"/>
                <w:szCs w:val="21"/>
              </w:rPr>
              <w:t>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1</w:t>
            </w:r>
          </w:p>
        </w:tc>
        <w:tc>
          <w:tcPr>
            <w:tcW w:w="4786" w:type="dxa"/>
            <w:vAlign w:val="center"/>
          </w:tcPr>
          <w:p>
            <w:pPr>
              <w:jc w:val="center"/>
              <w:rPr>
                <w:rFonts w:eastAsiaTheme="minorEastAsia"/>
                <w:szCs w:val="21"/>
              </w:rPr>
            </w:pPr>
            <w:r>
              <w:rPr>
                <w:rFonts w:eastAsiaTheme="minorEastAsia"/>
                <w:szCs w:val="21"/>
              </w:rPr>
              <w:t>脉冲回波灵敏度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2</w:t>
            </w:r>
          </w:p>
        </w:tc>
        <w:tc>
          <w:tcPr>
            <w:tcW w:w="4786" w:type="dxa"/>
            <w:vAlign w:val="center"/>
          </w:tcPr>
          <w:p>
            <w:pPr>
              <w:jc w:val="center"/>
              <w:rPr>
                <w:rFonts w:eastAsiaTheme="minorEastAsia"/>
                <w:szCs w:val="21"/>
              </w:rPr>
            </w:pPr>
            <w:r>
              <w:rPr>
                <w:rFonts w:eastAsiaTheme="minorEastAsia"/>
                <w:szCs w:val="21"/>
              </w:rPr>
              <w:t>中心频率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3</w:t>
            </w:r>
          </w:p>
        </w:tc>
        <w:tc>
          <w:tcPr>
            <w:tcW w:w="4786" w:type="dxa"/>
            <w:vAlign w:val="center"/>
          </w:tcPr>
          <w:p>
            <w:pPr>
              <w:jc w:val="center"/>
              <w:rPr>
                <w:rFonts w:eastAsiaTheme="minorEastAsia"/>
                <w:szCs w:val="21"/>
              </w:rPr>
            </w:pPr>
            <w:r>
              <w:rPr>
                <w:rFonts w:eastAsiaTheme="minorEastAsia"/>
                <w:szCs w:val="21"/>
              </w:rPr>
              <w:t>相对带宽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4</w:t>
            </w:r>
          </w:p>
        </w:tc>
        <w:tc>
          <w:tcPr>
            <w:tcW w:w="4786" w:type="dxa"/>
            <w:vAlign w:val="center"/>
          </w:tcPr>
          <w:p>
            <w:pPr>
              <w:jc w:val="center"/>
              <w:rPr>
                <w:rFonts w:eastAsiaTheme="minorEastAsia"/>
                <w:szCs w:val="21"/>
              </w:rPr>
            </w:pPr>
            <w:r>
              <w:rPr>
                <w:rFonts w:eastAsiaTheme="minorEastAsia"/>
                <w:szCs w:val="21"/>
              </w:rPr>
              <w:t>焦距/近场长度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5</w:t>
            </w:r>
          </w:p>
        </w:tc>
        <w:tc>
          <w:tcPr>
            <w:tcW w:w="4786" w:type="dxa"/>
            <w:vAlign w:val="center"/>
          </w:tcPr>
          <w:p>
            <w:pPr>
              <w:jc w:val="center"/>
              <w:rPr>
                <w:rFonts w:eastAsiaTheme="minorEastAsia"/>
                <w:szCs w:val="21"/>
              </w:rPr>
            </w:pPr>
            <w:r>
              <w:rPr>
                <w:rFonts w:eastAsiaTheme="minorEastAsia"/>
                <w:szCs w:val="21"/>
              </w:rPr>
              <w:t>场深（焦柱长度）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6</w:t>
            </w:r>
          </w:p>
        </w:tc>
        <w:tc>
          <w:tcPr>
            <w:tcW w:w="4786" w:type="dxa"/>
            <w:vAlign w:val="center"/>
          </w:tcPr>
          <w:p>
            <w:pPr>
              <w:jc w:val="center"/>
              <w:rPr>
                <w:rFonts w:eastAsiaTheme="minorEastAsia"/>
                <w:szCs w:val="21"/>
              </w:rPr>
            </w:pPr>
            <w:r>
              <w:rPr>
                <w:rFonts w:eastAsiaTheme="minorEastAsia"/>
                <w:szCs w:val="21"/>
              </w:rPr>
              <w:t>焦点尺寸/声束直径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7</w:t>
            </w:r>
          </w:p>
        </w:tc>
        <w:tc>
          <w:tcPr>
            <w:tcW w:w="4786" w:type="dxa"/>
            <w:vAlign w:val="center"/>
          </w:tcPr>
          <w:p>
            <w:pPr>
              <w:jc w:val="center"/>
              <w:rPr>
                <w:rFonts w:eastAsiaTheme="minorEastAsia"/>
                <w:szCs w:val="21"/>
              </w:rPr>
            </w:pPr>
            <w:r>
              <w:rPr>
                <w:rFonts w:eastAsiaTheme="minorEastAsia"/>
                <w:szCs w:val="21"/>
              </w:rPr>
              <w:t>声束扩散角</w:t>
            </w:r>
          </w:p>
        </w:tc>
      </w:tr>
    </w:tbl>
    <w:p>
      <w:pPr>
        <w:pStyle w:val="61"/>
        <w:rPr>
          <w:rFonts w:ascii="Times New Roman" w:hAnsi="Times New Roman"/>
          <w:szCs w:val="21"/>
        </w:rPr>
      </w:pPr>
      <w:r>
        <w:rPr>
          <w:rFonts w:ascii="Times New Roman" w:hAnsi="Times New Roman"/>
          <w:szCs w:val="21"/>
        </w:rPr>
        <w:t>6.2校准方法</w:t>
      </w:r>
    </w:p>
    <w:p>
      <w:pPr>
        <w:spacing w:line="360" w:lineRule="auto"/>
        <w:ind w:firstLine="420" w:firstLineChars="200"/>
        <w:rPr>
          <w:rFonts w:eastAsiaTheme="minorEastAsia"/>
          <w:kern w:val="0"/>
          <w:szCs w:val="21"/>
        </w:rPr>
      </w:pPr>
      <w:r>
        <w:rPr>
          <w:rFonts w:eastAsiaTheme="minorEastAsia"/>
          <w:kern w:val="0"/>
          <w:szCs w:val="21"/>
        </w:rPr>
        <w:t>整个校准过程将换能器和φ4表面光滑小球反射体或水听器浸在水中进行，校准装置及原理如图1、图2所示。</w:t>
      </w:r>
    </w:p>
    <w:p>
      <w:pPr>
        <w:spacing w:line="360" w:lineRule="auto"/>
        <w:jc w:val="center"/>
        <w:rPr>
          <w:rFonts w:eastAsiaTheme="minorEastAsia"/>
          <w:kern w:val="0"/>
          <w:szCs w:val="21"/>
        </w:rPr>
      </w:pPr>
      <w:r>
        <w:rPr>
          <w:rFonts w:eastAsiaTheme="minorEastAsia"/>
          <w:kern w:val="0"/>
          <w:szCs w:val="21"/>
        </w:rPr>
        <w:drawing>
          <wp:inline distT="0" distB="0" distL="0" distR="0">
            <wp:extent cx="3535045" cy="1875155"/>
            <wp:effectExtent l="0" t="0" r="8255" b="4445"/>
            <wp:docPr id="10" name="图片 10" descr="H:\磁粉打印\小球反射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磁粉打印\小球反射体.png"/>
                    <pic:cNvPicPr>
                      <a:picLocks noChangeAspect="1" noChangeArrowheads="1"/>
                    </pic:cNvPicPr>
                  </pic:nvPicPr>
                  <pic:blipFill>
                    <a:blip r:embed="rId11"/>
                    <a:srcRect/>
                    <a:stretch>
                      <a:fillRect/>
                    </a:stretch>
                  </pic:blipFill>
                  <pic:spPr>
                    <a:xfrm>
                      <a:off x="0" y="0"/>
                      <a:ext cx="3535045" cy="1876110"/>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图1 φ4球靶反射体法液浸式换能器校准系统示意图</w:t>
      </w:r>
    </w:p>
    <w:p>
      <w:pPr>
        <w:ind w:firstLine="435"/>
        <w:jc w:val="left"/>
        <w:rPr>
          <w:rFonts w:eastAsiaTheme="minorEastAsia"/>
          <w:szCs w:val="21"/>
        </w:rPr>
      </w:pPr>
      <w:r>
        <w:rPr>
          <w:rFonts w:eastAsiaTheme="minorEastAsia"/>
          <w:szCs w:val="21"/>
        </w:rPr>
        <w:t>注：</w:t>
      </w:r>
    </w:p>
    <w:p>
      <w:pPr>
        <w:ind w:firstLine="435"/>
        <w:jc w:val="left"/>
        <w:rPr>
          <w:rFonts w:eastAsiaTheme="minorEastAsia"/>
          <w:szCs w:val="21"/>
        </w:rPr>
      </w:pPr>
      <w:r>
        <w:rPr>
          <w:rFonts w:eastAsiaTheme="minorEastAsia"/>
          <w:szCs w:val="21"/>
        </w:rPr>
        <w:t>1——超声波接收发射仪；2——自由调节装置；3——示波器显示；4——液浸式超声换能器；5——球靶反射体。</w:t>
      </w:r>
    </w:p>
    <w:p>
      <w:pPr>
        <w:spacing w:line="360" w:lineRule="auto"/>
        <w:jc w:val="center"/>
        <w:rPr>
          <w:rFonts w:eastAsiaTheme="minorEastAsia"/>
          <w:kern w:val="0"/>
          <w:szCs w:val="21"/>
        </w:rPr>
      </w:pPr>
      <w:r>
        <w:object>
          <v:shape id="_x0000_i1025" o:spt="75" type="#_x0000_t75" style="height:145.5pt;width:284.2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spacing w:line="360" w:lineRule="auto"/>
        <w:jc w:val="center"/>
        <w:rPr>
          <w:rFonts w:eastAsiaTheme="minorEastAsia"/>
          <w:kern w:val="0"/>
          <w:szCs w:val="21"/>
        </w:rPr>
      </w:pPr>
      <w:r>
        <w:rPr>
          <w:rFonts w:eastAsiaTheme="minorEastAsia"/>
          <w:kern w:val="0"/>
          <w:szCs w:val="21"/>
        </w:rPr>
        <w:t>图2 水听器法液浸式换能器校准系统示意图</w:t>
      </w:r>
    </w:p>
    <w:p>
      <w:pPr>
        <w:spacing w:line="360" w:lineRule="auto"/>
        <w:ind w:firstLine="420" w:firstLineChars="200"/>
        <w:rPr>
          <w:rFonts w:eastAsiaTheme="minorEastAsia"/>
          <w:kern w:val="0"/>
          <w:szCs w:val="21"/>
        </w:rPr>
      </w:pPr>
      <w:r>
        <w:rPr>
          <w:rFonts w:eastAsiaTheme="minorEastAsia"/>
          <w:kern w:val="0"/>
          <w:szCs w:val="21"/>
        </w:rPr>
        <w:t>注：</w:t>
      </w:r>
    </w:p>
    <w:p>
      <w:pPr>
        <w:ind w:firstLine="435"/>
        <w:jc w:val="left"/>
        <w:rPr>
          <w:rFonts w:eastAsiaTheme="minorEastAsia"/>
          <w:szCs w:val="21"/>
        </w:rPr>
      </w:pPr>
      <w:bookmarkStart w:id="61" w:name="_Toc7187"/>
      <w:r>
        <w:rPr>
          <w:rFonts w:eastAsiaTheme="minorEastAsia"/>
          <w:szCs w:val="21"/>
        </w:rPr>
        <w:t>1——超声波接收发射仪；2——自由调节装置；3——信号同步；4——示波器显示；5——液浸式超声换能器；6——水听器。</w:t>
      </w:r>
    </w:p>
    <w:p>
      <w:pPr>
        <w:spacing w:line="360" w:lineRule="auto"/>
        <w:ind w:firstLine="420" w:firstLineChars="200"/>
        <w:rPr>
          <w:rFonts w:eastAsiaTheme="minorEastAsia"/>
          <w:bCs/>
          <w:kern w:val="0"/>
          <w:szCs w:val="21"/>
        </w:rPr>
      </w:pPr>
      <w:r>
        <w:rPr>
          <w:rFonts w:eastAsiaTheme="minorEastAsia"/>
          <w:bCs/>
          <w:kern w:val="0"/>
          <w:szCs w:val="21"/>
        </w:rPr>
        <w:t>6.2.1校准前检查</w:t>
      </w:r>
      <w:bookmarkEnd w:id="61"/>
    </w:p>
    <w:p>
      <w:pPr>
        <w:spacing w:line="360" w:lineRule="auto"/>
        <w:ind w:firstLine="420" w:firstLineChars="200"/>
        <w:rPr>
          <w:rFonts w:eastAsiaTheme="minorEastAsia"/>
          <w:kern w:val="0"/>
          <w:szCs w:val="21"/>
        </w:rPr>
      </w:pPr>
      <w:r>
        <w:rPr>
          <w:rFonts w:eastAsiaTheme="minorEastAsia"/>
          <w:kern w:val="0"/>
          <w:szCs w:val="21"/>
        </w:rPr>
        <w:t>检查换能器外观，应满足一下要求：</w:t>
      </w:r>
    </w:p>
    <w:p>
      <w:pPr>
        <w:spacing w:line="360" w:lineRule="auto"/>
        <w:ind w:firstLine="420" w:firstLineChars="200"/>
        <w:rPr>
          <w:rFonts w:eastAsiaTheme="minorEastAsia"/>
          <w:kern w:val="0"/>
          <w:szCs w:val="21"/>
        </w:rPr>
      </w:pPr>
      <w:r>
        <w:rPr>
          <w:rFonts w:eastAsiaTheme="minorEastAsia"/>
          <w:kern w:val="0"/>
          <w:szCs w:val="21"/>
        </w:rPr>
        <w:t>1）被校换能器应无明显损坏，发射声波前端匹配层应完好无破损脱落现象；</w:t>
      </w:r>
    </w:p>
    <w:p>
      <w:pPr>
        <w:spacing w:line="360" w:lineRule="auto"/>
        <w:ind w:firstLine="420" w:firstLineChars="200"/>
        <w:rPr>
          <w:rFonts w:eastAsiaTheme="minorEastAsia"/>
          <w:kern w:val="0"/>
          <w:szCs w:val="21"/>
        </w:rPr>
      </w:pPr>
      <w:r>
        <w:rPr>
          <w:rFonts w:eastAsiaTheme="minorEastAsia"/>
          <w:kern w:val="0"/>
          <w:szCs w:val="21"/>
        </w:rPr>
        <w:t>2）被校换能器防水橡胶圈应无老化开裂现象。</w:t>
      </w:r>
    </w:p>
    <w:p>
      <w:pPr>
        <w:spacing w:line="360" w:lineRule="auto"/>
        <w:ind w:firstLine="420" w:firstLineChars="200"/>
        <w:rPr>
          <w:rFonts w:eastAsiaTheme="minorEastAsia"/>
          <w:bCs/>
          <w:kern w:val="0"/>
          <w:szCs w:val="21"/>
        </w:rPr>
      </w:pPr>
      <w:bookmarkStart w:id="62" w:name="_Toc13132"/>
      <w:r>
        <w:rPr>
          <w:rFonts w:eastAsiaTheme="minorEastAsia"/>
          <w:bCs/>
          <w:kern w:val="0"/>
          <w:szCs w:val="21"/>
        </w:rPr>
        <w:t>6.2.2脉冲回波灵敏度</w:t>
      </w:r>
      <w:bookmarkEnd w:id="62"/>
    </w:p>
    <w:p>
      <w:pPr>
        <w:ind w:firstLine="480"/>
        <w:rPr>
          <w:rFonts w:eastAsiaTheme="minorEastAsia"/>
          <w:kern w:val="0"/>
          <w:szCs w:val="21"/>
        </w:rPr>
      </w:pPr>
      <w:r>
        <w:rPr>
          <w:rFonts w:eastAsiaTheme="minorEastAsia"/>
          <w:kern w:val="0"/>
          <w:szCs w:val="21"/>
        </w:rPr>
        <w:t>脉冲回波灵敏度计算方法见公式（1）：</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S=20</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log</m:t>
            </m:r>
            <m:ctrlPr>
              <w:rPr>
                <w:rFonts w:ascii="Cambria Math" w:hAnsi="Cambria Math" w:eastAsiaTheme="minorEastAsia"/>
                <w:kern w:val="0"/>
                <w:szCs w:val="21"/>
              </w:rPr>
            </m:ctrlPr>
          </m:e>
          <m:sub>
            <m:r>
              <m:rPr>
                <m:sty m:val="p"/>
              </m:rPr>
              <w:rPr>
                <w:rFonts w:ascii="Cambria Math" w:hAnsi="Cambria Math" w:eastAsiaTheme="minorEastAsia"/>
                <w:kern w:val="0"/>
                <w:szCs w:val="21"/>
              </w:rPr>
              <m:t>10</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out</m:t>
                </m:r>
                <m:ctrlPr>
                  <w:rPr>
                    <w:rFonts w:ascii="Cambria Math" w:hAnsi="Cambria Math" w:eastAsiaTheme="minorEastAsia"/>
                    <w:kern w:val="0"/>
                    <w:szCs w:val="21"/>
                  </w:rPr>
                </m:ctrlPr>
              </m:sub>
            </m:sSub>
            <m:ctrlPr>
              <w:rPr>
                <w:rFonts w:ascii="Cambria Math" w:hAnsi="Cambria Math" w:eastAsiaTheme="minorEastAsia"/>
                <w:kern w:val="0"/>
                <w:szCs w:val="21"/>
              </w:rPr>
            </m:ctrlPr>
          </m:num>
          <m:den>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in</m:t>
                </m:r>
                <m:ctrlPr>
                  <w:rPr>
                    <w:rFonts w:ascii="Cambria Math" w:hAnsi="Cambria Math" w:eastAsiaTheme="minorEastAsia"/>
                    <w:kern w:val="0"/>
                    <w:szCs w:val="21"/>
                  </w:rPr>
                </m:ctrlPr>
              </m:sub>
            </m:sSub>
            <m:ctrlPr>
              <w:rPr>
                <w:rFonts w:ascii="Cambria Math" w:hAnsi="Cambria Math" w:eastAsiaTheme="minorEastAsia"/>
                <w:kern w:val="0"/>
                <w:szCs w:val="21"/>
              </w:rPr>
            </m:ctrlPr>
          </m:den>
        </m:f>
        <m:r>
          <m:rPr>
            <m:sty m:val="p"/>
          </m:rPr>
          <w:rPr>
            <w:rFonts w:ascii="Cambria Math" w:hAnsi="Cambria Math" w:eastAsiaTheme="minorEastAsia"/>
            <w:kern w:val="0"/>
            <w:szCs w:val="21"/>
          </w:rPr>
          <m:t>）</m:t>
        </m:r>
      </m:oMath>
      <w:r>
        <w:rPr>
          <w:rFonts w:eastAsiaTheme="minorEastAsia"/>
          <w:kern w:val="0"/>
          <w:szCs w:val="21"/>
        </w:rPr>
        <w:t xml:space="preserve">                        （1）</w:t>
      </w:r>
    </w:p>
    <w:p>
      <w:pPr>
        <w:ind w:firstLine="480"/>
        <w:rPr>
          <w:rFonts w:eastAsiaTheme="minorEastAsia"/>
          <w:kern w:val="0"/>
          <w:szCs w:val="21"/>
        </w:rPr>
      </w:pPr>
      <w:r>
        <w:rPr>
          <w:rFonts w:eastAsiaTheme="minorEastAsia"/>
          <w:kern w:val="0"/>
          <w:szCs w:val="21"/>
        </w:rPr>
        <w:t>其中：</w:t>
      </w:r>
    </w:p>
    <w:p>
      <w:pPr>
        <w:ind w:firstLine="480"/>
        <w:rPr>
          <w:rFonts w:eastAsiaTheme="minorEastAsia"/>
          <w:kern w:val="0"/>
          <w:szCs w:val="21"/>
        </w:rPr>
      </w:pPr>
      <w:r>
        <w:rPr>
          <w:rFonts w:eastAsiaTheme="minorEastAsia"/>
          <w:kern w:val="0"/>
          <w:szCs w:val="21"/>
        </w:rPr>
        <w:t>S——脉冲回波灵敏度，dB；</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out</m:t>
            </m:r>
            <m:ctrlPr>
              <w:rPr>
                <w:rFonts w:ascii="Cambria Math" w:hAnsi="Cambria Math" w:eastAsiaTheme="minorEastAsia"/>
                <w:kern w:val="0"/>
                <w:szCs w:val="21"/>
              </w:rPr>
            </m:ctrlPr>
          </m:sub>
        </m:sSub>
      </m:oMath>
      <w:r>
        <w:rPr>
          <w:rFonts w:eastAsiaTheme="minorEastAsia"/>
          <w:kern w:val="0"/>
          <w:szCs w:val="21"/>
        </w:rPr>
        <w:t>——回波信号的峰峰电压值，mV；</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in</m:t>
            </m:r>
            <m:ctrlPr>
              <w:rPr>
                <w:rFonts w:ascii="Cambria Math" w:hAnsi="Cambria Math" w:eastAsiaTheme="minorEastAsia"/>
                <w:kern w:val="0"/>
                <w:szCs w:val="21"/>
              </w:rPr>
            </m:ctrlPr>
          </m:sub>
        </m:sSub>
      </m:oMath>
      <w:r>
        <w:rPr>
          <w:rFonts w:eastAsiaTheme="minorEastAsia"/>
          <w:kern w:val="0"/>
          <w:szCs w:val="21"/>
        </w:rPr>
        <w:t>——超声换能器激励电压值，V。</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相对脉冲灵敏度校准时，采用球靶反射体法进行校准。将换能器发生声波面朝向球靶固定好后，连接超声波接收发射仪和示波器，调节超声波接收发射仪激励信号波形、激励电压等参数，通过自由度调节机构带动球靶，在示波器显示波形稳定且幅值最高时进行信号测量。</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不同类型的液浸式超声换能器脉冲回波灵敏度会因液体介质类型、液体介质温度、换能器阻抗不同而产生差异。因此，每次校准时，应详细记录校准条件。</w:t>
      </w:r>
    </w:p>
    <w:p>
      <w:pPr>
        <w:spacing w:line="360" w:lineRule="auto"/>
        <w:ind w:firstLine="420" w:firstLineChars="200"/>
        <w:rPr>
          <w:rFonts w:eastAsiaTheme="minorEastAsia"/>
          <w:bCs/>
          <w:kern w:val="0"/>
          <w:szCs w:val="21"/>
        </w:rPr>
      </w:pPr>
      <w:bookmarkStart w:id="63" w:name="_Toc24992"/>
      <w:r>
        <w:rPr>
          <w:rFonts w:eastAsiaTheme="minorEastAsia"/>
          <w:bCs/>
          <w:kern w:val="0"/>
          <w:szCs w:val="21"/>
        </w:rPr>
        <w:t>6.2.3中心频率</w:t>
      </w:r>
      <w:bookmarkEnd w:id="63"/>
    </w:p>
    <w:p>
      <w:pPr>
        <w:ind w:firstLine="480"/>
        <w:rPr>
          <w:rFonts w:eastAsiaTheme="minorEastAsia"/>
          <w:kern w:val="0"/>
          <w:szCs w:val="21"/>
        </w:rPr>
      </w:pPr>
      <w:r>
        <w:rPr>
          <w:rFonts w:eastAsiaTheme="minorEastAsia"/>
          <w:kern w:val="0"/>
          <w:szCs w:val="21"/>
        </w:rPr>
        <w:t>中心频率计算方法见公式（2）：</w:t>
      </w:r>
    </w:p>
    <w:p>
      <w:pPr>
        <w:ind w:firstLine="480"/>
        <w:jc w:val="center"/>
        <w:rPr>
          <w:rFonts w:eastAsiaTheme="minorEastAsia"/>
          <w:kern w:val="0"/>
          <w:szCs w:val="21"/>
        </w:rPr>
      </w:pPr>
      <w:r>
        <w:rPr>
          <w:rFonts w:eastAsiaTheme="minorEastAsia"/>
          <w:kern w:val="0"/>
          <w:szCs w:val="21"/>
        </w:rPr>
        <w:t xml:space="preserve">                              </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ctrlPr>
              <w:rPr>
                <w:rFonts w:ascii="Cambria Math" w:hAnsi="Cambria Math" w:eastAsiaTheme="minorEastAsia"/>
                <w:kern w:val="0"/>
                <w:szCs w:val="21"/>
              </w:rPr>
            </m:ctrlPr>
          </m:num>
          <m:den>
            <m:r>
              <m:rPr>
                <m:sty m:val="p"/>
              </m:rPr>
              <w:rPr>
                <w:rFonts w:ascii="Cambria Math" w:hAnsi="Cambria Math" w:eastAsiaTheme="minorEastAsia"/>
                <w:kern w:val="0"/>
                <w:szCs w:val="21"/>
              </w:rPr>
              <m:t>2</m:t>
            </m:r>
            <m:ctrlPr>
              <w:rPr>
                <w:rFonts w:ascii="Cambria Math" w:hAnsi="Cambria Math" w:eastAsiaTheme="minorEastAsia"/>
                <w:kern w:val="0"/>
                <w:szCs w:val="21"/>
              </w:rPr>
            </m:ctrlPr>
          </m:den>
        </m:f>
      </m:oMath>
      <w:r>
        <w:rPr>
          <w:rFonts w:eastAsiaTheme="minorEastAsia"/>
          <w:kern w:val="0"/>
          <w:szCs w:val="21"/>
        </w:rPr>
        <w:t xml:space="preserve">                                  （2）</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——中心频率；</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——上限截止频率；</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——下限截止频率。</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进行中心频率校准时，采用球靶反射体法进行校准。校准时，稳定回波信号获取方法参照6.2.2。</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使用示波器的频谱分析功能，得到回波信号的频率响应曲线。上限截止频率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和下限截止频率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定义为：脉冲回波信号在频率响应曲线的峰值点（峰值频率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p</m:t>
            </m:r>
            <m:ctrlPr>
              <w:rPr>
                <w:rFonts w:ascii="Cambria Math" w:hAnsi="Cambria Math" w:eastAsiaTheme="minorEastAsia"/>
                <w:kern w:val="0"/>
                <w:szCs w:val="21"/>
              </w:rPr>
            </m:ctrlPr>
          </m:sub>
        </m:sSub>
      </m:oMath>
      <w:r>
        <w:rPr>
          <w:rFonts w:eastAsiaTheme="minorEastAsia"/>
          <w:kern w:val="0"/>
          <w:szCs w:val="21"/>
        </w:rPr>
        <w:t>）以下下降6dB时对应两个频率点的值，常见频率响应曲线见图3。</w:t>
      </w:r>
    </w:p>
    <w:p>
      <w:pPr>
        <w:spacing w:line="360" w:lineRule="auto"/>
        <w:jc w:val="center"/>
        <w:rPr>
          <w:rFonts w:eastAsiaTheme="minorEastAsia"/>
          <w:kern w:val="0"/>
          <w:szCs w:val="21"/>
        </w:rPr>
      </w:pPr>
      <w:r>
        <w:rPr>
          <w:rFonts w:eastAsiaTheme="minorEastAsia"/>
          <w:kern w:val="0"/>
          <w:szCs w:val="21"/>
        </w:rPr>
        <w:drawing>
          <wp:inline distT="0" distB="0" distL="0" distR="0">
            <wp:extent cx="3224530" cy="2123440"/>
            <wp:effectExtent l="0" t="0" r="0" b="0"/>
            <wp:docPr id="4" name="图片 4" descr="H:\磁粉打印\频率响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磁粉打印\频率响应图.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34068" cy="2129888"/>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图3 频率响应曲线</w:t>
      </w:r>
    </w:p>
    <w:p>
      <w:pPr>
        <w:spacing w:line="360" w:lineRule="auto"/>
        <w:ind w:firstLine="420" w:firstLineChars="200"/>
        <w:rPr>
          <w:rFonts w:eastAsiaTheme="minorEastAsia"/>
          <w:bCs/>
          <w:kern w:val="0"/>
          <w:szCs w:val="21"/>
        </w:rPr>
      </w:pPr>
      <w:bookmarkStart w:id="64" w:name="_Toc22681"/>
      <w:r>
        <w:rPr>
          <w:rFonts w:eastAsiaTheme="minorEastAsia"/>
          <w:bCs/>
          <w:kern w:val="0"/>
          <w:szCs w:val="21"/>
        </w:rPr>
        <w:t>6.2.4相对带宽</w:t>
      </w:r>
      <w:bookmarkEnd w:id="64"/>
    </w:p>
    <w:p>
      <w:pPr>
        <w:ind w:firstLine="480"/>
        <w:rPr>
          <w:rFonts w:eastAsiaTheme="minorEastAsia"/>
          <w:kern w:val="0"/>
          <w:szCs w:val="21"/>
        </w:rPr>
      </w:pPr>
      <w:bookmarkStart w:id="65" w:name="_Toc5122"/>
      <w:r>
        <w:rPr>
          <w:rFonts w:eastAsiaTheme="minorEastAsia"/>
          <w:kern w:val="0"/>
          <w:szCs w:val="21"/>
        </w:rPr>
        <w:t>带宽计算方法见公式（3）：</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BW=</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ctrlPr>
              <w:rPr>
                <w:rFonts w:ascii="Cambria Math" w:hAnsi="Cambria Math" w:eastAsiaTheme="minorEastAsia"/>
                <w:kern w:val="0"/>
                <w:szCs w:val="21"/>
              </w:rPr>
            </m:ctrlPr>
          </m:num>
          <m:den>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ctrlPr>
              <w:rPr>
                <w:rFonts w:ascii="Cambria Math" w:hAnsi="Cambria Math" w:eastAsiaTheme="minorEastAsia"/>
                <w:kern w:val="0"/>
                <w:szCs w:val="21"/>
              </w:rPr>
            </m:ctrlPr>
          </m:den>
        </m:f>
        <m:r>
          <m:rPr>
            <m:sty m:val="p"/>
          </m:rPr>
          <w:rPr>
            <w:rFonts w:ascii="Cambria Math" w:hAnsi="Cambria Math" w:eastAsiaTheme="minorEastAsia"/>
            <w:kern w:val="0"/>
            <w:szCs w:val="21"/>
          </w:rPr>
          <m:t>×100%</m:t>
        </m:r>
      </m:oMath>
      <w:r>
        <w:rPr>
          <w:rFonts w:eastAsiaTheme="minorEastAsia"/>
          <w:kern w:val="0"/>
          <w:szCs w:val="21"/>
        </w:rPr>
        <w:t xml:space="preserve">                               （3）</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w:r>
        <w:rPr>
          <w:rFonts w:eastAsiaTheme="minorEastAsia"/>
          <w:kern w:val="0"/>
          <w:szCs w:val="21"/>
        </w:rPr>
        <w:t>BW——相对带宽，以百分号表示；</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——上限截止频率，MHz；</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——下限截止频率，MHz；</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——中心频率，MHz。</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进行带宽校准时，采用球靶反射体法进行校准。校准时，稳定回波信号获取方法参照6.2.2。</w:t>
      </w:r>
    </w:p>
    <w:p>
      <w:pPr>
        <w:spacing w:line="360" w:lineRule="auto"/>
        <w:ind w:firstLine="420" w:firstLineChars="200"/>
        <w:rPr>
          <w:rFonts w:eastAsiaTheme="minorEastAsia"/>
          <w:bCs/>
          <w:kern w:val="0"/>
          <w:szCs w:val="21"/>
        </w:rPr>
      </w:pPr>
      <w:r>
        <w:rPr>
          <w:rFonts w:eastAsiaTheme="minorEastAsia"/>
          <w:bCs/>
          <w:kern w:val="0"/>
          <w:szCs w:val="21"/>
        </w:rPr>
        <w:t>6.2.5焦距/近场长度</w:t>
      </w:r>
      <w:bookmarkEnd w:id="65"/>
    </w:p>
    <w:p>
      <w:pPr>
        <w:spacing w:line="360" w:lineRule="auto"/>
        <w:ind w:firstLine="420" w:firstLineChars="200"/>
        <w:rPr>
          <w:rFonts w:eastAsiaTheme="minorEastAsia"/>
          <w:kern w:val="0"/>
          <w:szCs w:val="21"/>
        </w:rPr>
      </w:pPr>
      <w:r>
        <w:rPr>
          <w:rFonts w:eastAsiaTheme="minorEastAsia"/>
          <w:kern w:val="0"/>
          <w:szCs w:val="21"/>
        </w:rPr>
        <w:t>对聚焦换能器的焦距校准和对平面换能器的近场长度校准时，采用水听器法进行校准。将待校准换能器固定并确保其向水槽中发射声波，连接超声波接收发射仪和示波器，调节超声波接收发射仪激励信号波形、激励电压等参数，通过自由度调节机构带动水听器对超声换能器的辐射声场进行沿声轴方向的纵向剖面扫描，得到沿声轴方向的声压场数据。通过分析声轴上的声压场，得到待校准超声换能器的焦距/近场长度。焦距为聚焦换能器焦点到换能器表面的距离，近场长度为平面换能器声轴上的声压峰值处到换能器表面的距离。扫描步进间隔一般设置为不超过工作频率所对应波长的一半。</w:t>
      </w:r>
    </w:p>
    <w:p>
      <w:pPr>
        <w:spacing w:line="360" w:lineRule="auto"/>
        <w:ind w:firstLine="420" w:firstLineChars="200"/>
        <w:rPr>
          <w:rFonts w:eastAsiaTheme="minorEastAsia"/>
          <w:kern w:val="0"/>
          <w:szCs w:val="21"/>
        </w:rPr>
      </w:pPr>
      <w:r>
        <w:rPr>
          <w:rFonts w:eastAsiaTheme="minorEastAsia"/>
          <w:kern w:val="0"/>
          <w:szCs w:val="21"/>
        </w:rPr>
        <w:t>聚焦换能器声轴上声压分布及焦距测量如图4中FL所示，平面换能器声轴上声压分布及近场长度测量原理如图5中N0所示。</w:t>
      </w:r>
    </w:p>
    <w:p>
      <w:pPr>
        <w:spacing w:line="360" w:lineRule="auto"/>
        <w:jc w:val="center"/>
        <w:rPr>
          <w:rFonts w:eastAsiaTheme="minorEastAsia"/>
          <w:kern w:val="0"/>
          <w:szCs w:val="21"/>
        </w:rPr>
      </w:pPr>
      <w:r>
        <w:rPr>
          <w:rFonts w:eastAsiaTheme="minorEastAsia"/>
          <w:kern w:val="0"/>
          <w:szCs w:val="21"/>
        </w:rPr>
        <w:drawing>
          <wp:inline distT="0" distB="0" distL="114300" distR="114300">
            <wp:extent cx="3266440" cy="1977390"/>
            <wp:effectExtent l="0" t="0" r="10160" b="3810"/>
            <wp:docPr id="23" name="图片 23" descr="5e760fdda1e459f51b4c7c54f925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e760fdda1e459f51b4c7c54f9254ad"/>
                    <pic:cNvPicPr>
                      <a:picLocks noChangeAspect="1"/>
                    </pic:cNvPicPr>
                  </pic:nvPicPr>
                  <pic:blipFill>
                    <a:blip r:embed="rId15"/>
                    <a:srcRect b="10781"/>
                    <a:stretch>
                      <a:fillRect/>
                    </a:stretch>
                  </pic:blipFill>
                  <pic:spPr>
                    <a:xfrm>
                      <a:off x="0" y="0"/>
                      <a:ext cx="3266440" cy="1977390"/>
                    </a:xfrm>
                    <a:prstGeom prst="rect">
                      <a:avLst/>
                    </a:prstGeom>
                  </pic:spPr>
                </pic:pic>
              </a:graphicData>
            </a:graphic>
          </wp:inline>
        </w:drawing>
      </w:r>
    </w:p>
    <w:p>
      <w:pPr>
        <w:spacing w:line="360" w:lineRule="auto"/>
        <w:jc w:val="center"/>
        <w:rPr>
          <w:rFonts w:eastAsiaTheme="minorEastAsia"/>
          <w:kern w:val="0"/>
          <w:szCs w:val="21"/>
        </w:rPr>
      </w:pPr>
      <w:r>
        <w:rPr>
          <w:rFonts w:eastAsiaTheme="minorEastAsia"/>
          <w:kern w:val="0"/>
          <w:szCs w:val="21"/>
        </w:rPr>
        <w:t>图4 聚焦换能器声轴上声压分布图</w:t>
      </w:r>
    </w:p>
    <w:p>
      <w:pPr>
        <w:spacing w:line="360" w:lineRule="auto"/>
        <w:jc w:val="center"/>
        <w:rPr>
          <w:rFonts w:eastAsiaTheme="minorEastAsia"/>
          <w:kern w:val="0"/>
          <w:szCs w:val="21"/>
        </w:rPr>
      </w:pPr>
      <w:r>
        <w:rPr>
          <w:rFonts w:eastAsiaTheme="minorEastAsia"/>
          <w:kern w:val="0"/>
          <w:szCs w:val="21"/>
        </w:rPr>
        <w:drawing>
          <wp:inline distT="0" distB="0" distL="0" distR="0">
            <wp:extent cx="2733040" cy="2066290"/>
            <wp:effectExtent l="0" t="0" r="0" b="0"/>
            <wp:docPr id="14" name="图片 14" descr="H:\磁粉打印\平面换能器声轴声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磁粉打印\平面换能器声轴声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39344" cy="2070803"/>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图5 平面换能器声轴上声压分布</w:t>
      </w:r>
    </w:p>
    <w:p>
      <w:pPr>
        <w:spacing w:line="360" w:lineRule="auto"/>
        <w:ind w:firstLine="420" w:firstLineChars="200"/>
        <w:rPr>
          <w:rFonts w:eastAsiaTheme="minorEastAsia"/>
          <w:bCs/>
          <w:kern w:val="0"/>
          <w:szCs w:val="21"/>
        </w:rPr>
      </w:pPr>
      <w:bookmarkStart w:id="66" w:name="_Toc20027"/>
      <w:r>
        <w:rPr>
          <w:rFonts w:eastAsiaTheme="minorEastAsia"/>
          <w:bCs/>
          <w:kern w:val="0"/>
          <w:szCs w:val="21"/>
        </w:rPr>
        <w:t>6.2.6场深（焦柱长度）</w:t>
      </w:r>
      <w:bookmarkEnd w:id="66"/>
    </w:p>
    <w:p>
      <w:pPr>
        <w:spacing w:line="360" w:lineRule="auto"/>
        <w:ind w:firstLine="420" w:firstLineChars="200"/>
        <w:rPr>
          <w:rFonts w:eastAsiaTheme="minorEastAsia"/>
          <w:kern w:val="0"/>
          <w:szCs w:val="21"/>
        </w:rPr>
      </w:pPr>
      <w:r>
        <w:rPr>
          <w:rFonts w:eastAsiaTheme="minorEastAsia"/>
          <w:kern w:val="0"/>
          <w:szCs w:val="21"/>
        </w:rPr>
        <w:t>场深的校准仅对于聚焦换能器，根据6.2.5得到聚焦换能器声轴上的声压分布，在焦点前后寻找比焦点处声压幅值下降3dB的位置，该两个位置的距离即为该换能器的场深（焦柱长度），如图4所示。</w:t>
      </w:r>
    </w:p>
    <w:p>
      <w:pPr>
        <w:spacing w:line="360" w:lineRule="auto"/>
        <w:ind w:firstLine="420" w:firstLineChars="200"/>
        <w:rPr>
          <w:rFonts w:eastAsiaTheme="minorEastAsia"/>
          <w:bCs/>
          <w:kern w:val="0"/>
          <w:szCs w:val="21"/>
        </w:rPr>
      </w:pPr>
      <w:bookmarkStart w:id="67" w:name="_Toc12776"/>
      <w:r>
        <w:rPr>
          <w:rFonts w:eastAsiaTheme="minorEastAsia"/>
          <w:bCs/>
          <w:kern w:val="0"/>
          <w:szCs w:val="21"/>
        </w:rPr>
        <w:t>6.2.7焦点尺寸/声束直径</w:t>
      </w:r>
      <w:bookmarkEnd w:id="67"/>
    </w:p>
    <w:p>
      <w:pPr>
        <w:spacing w:line="360" w:lineRule="auto"/>
        <w:ind w:firstLine="420" w:firstLineChars="200"/>
        <w:rPr>
          <w:rFonts w:eastAsiaTheme="minorEastAsia"/>
          <w:kern w:val="0"/>
          <w:szCs w:val="21"/>
        </w:rPr>
      </w:pPr>
      <w:r>
        <w:rPr>
          <w:rFonts w:eastAsiaTheme="minorEastAsia"/>
          <w:kern w:val="0"/>
          <w:szCs w:val="21"/>
        </w:rPr>
        <w:t>对焦点尺寸/声束直径校准时，采用水听器法进行校准。通过多自由度调节机构带动水听器对聚焦换能器或平面换能器的辐射声场进行垂直于声轴方向的横向剖面扫描，得到声压场的二维图。在该二维图像中，找到最大点，在最大点周围寻找幅度比最大值下降若干分贝的数据点得到封闭曲线，并通过适当的拟合方式得到规则的圆，该圆的直径即为声束直径。针对水听器法通常得到的是-3dB声束直径。如果拟合结果不是规则的圆，以椭圆的长轴短轴方式表达。</w:t>
      </w:r>
    </w:p>
    <w:p>
      <w:pPr>
        <w:spacing w:line="360" w:lineRule="auto"/>
        <w:ind w:firstLine="420" w:firstLineChars="200"/>
        <w:rPr>
          <w:rFonts w:eastAsiaTheme="minorEastAsia"/>
          <w:bCs/>
          <w:kern w:val="0"/>
          <w:szCs w:val="21"/>
        </w:rPr>
      </w:pPr>
      <w:bookmarkStart w:id="68" w:name="_Toc2244"/>
      <w:r>
        <w:rPr>
          <w:rFonts w:eastAsiaTheme="minorEastAsia"/>
          <w:bCs/>
          <w:kern w:val="0"/>
          <w:szCs w:val="21"/>
        </w:rPr>
        <w:t>6.2.8声束扩散角</w:t>
      </w:r>
      <w:bookmarkEnd w:id="68"/>
    </w:p>
    <w:p>
      <w:pPr>
        <w:spacing w:line="360" w:lineRule="auto"/>
        <w:ind w:firstLine="420" w:firstLineChars="200"/>
        <w:rPr>
          <w:rFonts w:eastAsiaTheme="minorEastAsia"/>
          <w:kern w:val="0"/>
          <w:szCs w:val="21"/>
        </w:rPr>
      </w:pPr>
      <w:r>
        <w:rPr>
          <w:rFonts w:eastAsiaTheme="minorEastAsia"/>
          <w:kern w:val="0"/>
          <w:szCs w:val="21"/>
        </w:rPr>
        <w:t>对声束扩散角校准时，采用水听器法进行校准。根据6.2.5得到聚焦换能器声轴上的声压分布，在远场区选择位置A、C，如图6所示。通过计算A、C处的-3dB声束直径，并考虑A、C点间的距离得到扩散角。</w:t>
      </w:r>
    </w:p>
    <w:p>
      <w:pPr>
        <w:spacing w:line="360" w:lineRule="auto"/>
        <w:jc w:val="center"/>
        <w:rPr>
          <w:rFonts w:eastAsiaTheme="minorEastAsia"/>
          <w:kern w:val="0"/>
          <w:szCs w:val="21"/>
        </w:rPr>
      </w:pPr>
      <w:r>
        <w:rPr>
          <w:rFonts w:eastAsiaTheme="minorEastAsia"/>
          <w:kern w:val="0"/>
          <w:szCs w:val="21"/>
        </w:rPr>
        <w:drawing>
          <wp:inline distT="0" distB="0" distL="0" distR="0">
            <wp:extent cx="3905885" cy="1706245"/>
            <wp:effectExtent l="0" t="0" r="0" b="8255"/>
            <wp:docPr id="18" name="图片 18" descr="H:\磁粉打印\声束扩散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磁粉打印\声束扩散角图.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10780" cy="1708360"/>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图6 声束扩散角计算示意图</w:t>
      </w:r>
    </w:p>
    <w:p>
      <w:pPr>
        <w:spacing w:line="360" w:lineRule="auto"/>
        <w:ind w:firstLine="420" w:firstLineChars="200"/>
        <w:rPr>
          <w:rFonts w:eastAsiaTheme="minorEastAsia"/>
          <w:kern w:val="0"/>
          <w:szCs w:val="21"/>
        </w:rPr>
      </w:pPr>
      <w:r>
        <w:rPr>
          <w:rFonts w:eastAsiaTheme="minorEastAsia"/>
          <w:kern w:val="0"/>
          <w:szCs w:val="21"/>
        </w:rPr>
        <w:t>扩散角计算公式：</w:t>
      </w:r>
    </w:p>
    <w:bookmarkEnd w:id="59"/>
    <w:bookmarkEnd w:id="60"/>
    <w:p>
      <w:pPr>
        <w:ind w:firstLine="480"/>
        <w:rPr>
          <w:rFonts w:eastAsiaTheme="minorEastAsia"/>
          <w:kern w:val="0"/>
          <w:szCs w:val="21"/>
        </w:rPr>
      </w:pPr>
      <w:bookmarkStart w:id="69" w:name="_Toc193860038"/>
      <w:bookmarkStart w:id="70" w:name="_Toc193619101"/>
      <w:bookmarkStart w:id="71" w:name="_Toc193860188"/>
      <w:bookmarkStart w:id="72" w:name="_Toc193618956"/>
      <w:bookmarkStart w:id="73" w:name="_Toc193619059"/>
      <w:bookmarkStart w:id="74" w:name="_Toc193860219"/>
      <w:bookmarkStart w:id="75" w:name="_Toc500258947"/>
      <w:bookmarkStart w:id="76" w:name="_Toc25466_WPSOffice_Level1"/>
      <w:r>
        <w:rPr>
          <w:rFonts w:eastAsiaTheme="minorEastAsia"/>
          <w:kern w:val="0"/>
          <w:szCs w:val="21"/>
        </w:rPr>
        <w:t>扩散角计算公式：</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θ=2φ=2×arctan</m:t>
        </m:r>
        <m:d>
          <m:dPr>
            <m:begChr m:val="["/>
            <m:endChr m:val="]"/>
            <m:ctrlPr>
              <w:rPr>
                <w:rFonts w:ascii="Cambria Math" w:hAnsi="Cambria Math" w:eastAsiaTheme="minorEastAsia"/>
                <w:kern w:val="0"/>
                <w:szCs w:val="21"/>
              </w:rPr>
            </m:ctrlPr>
          </m:dPr>
          <m:e>
            <m:r>
              <m:rPr>
                <m:sty m:val="p"/>
              </m:rPr>
              <w:rPr>
                <w:rFonts w:ascii="Cambria Math" w:hAnsi="Cambria Math" w:eastAsiaTheme="minorEastAsia"/>
                <w:kern w:val="0"/>
                <w:szCs w:val="21"/>
              </w:rPr>
              <m:t>W/(</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ctrlPr>
              <w:rPr>
                <w:rFonts w:ascii="Cambria Math" w:hAnsi="Cambria Math" w:eastAsiaTheme="minorEastAsia"/>
                <w:kern w:val="0"/>
                <w:szCs w:val="21"/>
              </w:rPr>
            </m:ctrlPr>
          </m:e>
        </m:d>
      </m:oMath>
      <w:r>
        <w:rPr>
          <w:rFonts w:eastAsiaTheme="minorEastAsia"/>
          <w:kern w:val="0"/>
          <w:szCs w:val="21"/>
        </w:rPr>
        <w:t xml:space="preserve">                     （4）</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——声轴上A、C两点距换能器表面距离，</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&gt;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oMath>
      <w:r>
        <w:rPr>
          <w:rFonts w:eastAsiaTheme="minorEastAsia"/>
          <w:kern w:val="0"/>
          <w:szCs w:val="21"/>
        </w:rPr>
        <w:t>，mm；</w:t>
      </w:r>
    </w:p>
    <w:p>
      <w:pPr>
        <w:ind w:firstLine="480"/>
        <w:rPr>
          <w:rFonts w:eastAsiaTheme="minorEastAsia"/>
          <w:kern w:val="0"/>
          <w:szCs w:val="21"/>
        </w:rPr>
      </w:pPr>
      <w:r>
        <w:rPr>
          <w:rFonts w:eastAsiaTheme="minorEastAsia"/>
          <w:kern w:val="0"/>
          <w:szCs w:val="21"/>
        </w:rPr>
        <w:t>W——</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位置处-3dB声束直径比</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oMath>
      <w:r>
        <w:rPr>
          <w:rFonts w:eastAsiaTheme="minorEastAsia"/>
          <w:kern w:val="0"/>
          <w:szCs w:val="21"/>
        </w:rPr>
        <w:t>位置处-3dB声束直径增加值的一半，mm。</w:t>
      </w:r>
    </w:p>
    <w:p>
      <w:pPr>
        <w:pStyle w:val="61"/>
        <w:rPr>
          <w:rFonts w:ascii="Times New Roman" w:hAnsi="Times New Roman"/>
          <w:szCs w:val="21"/>
        </w:rPr>
      </w:pPr>
      <w:r>
        <w:rPr>
          <w:rFonts w:ascii="Times New Roman" w:hAnsi="Times New Roman"/>
          <w:szCs w:val="21"/>
        </w:rPr>
        <w:t>7 校准结果</w:t>
      </w:r>
      <w:bookmarkEnd w:id="69"/>
      <w:bookmarkEnd w:id="70"/>
      <w:bookmarkEnd w:id="71"/>
      <w:bookmarkEnd w:id="72"/>
      <w:bookmarkEnd w:id="73"/>
      <w:bookmarkEnd w:id="74"/>
      <w:r>
        <w:rPr>
          <w:rFonts w:ascii="Times New Roman" w:hAnsi="Times New Roman"/>
          <w:szCs w:val="21"/>
        </w:rPr>
        <w:t>表达</w:t>
      </w:r>
      <w:bookmarkEnd w:id="75"/>
      <w:bookmarkEnd w:id="76"/>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经校准后出具校准证书，校准证书由封面和校准数据内页组成，封面由校准机构确定统一格式，校准数据按照附件B要求，并可根据实际情况进行填写。校准证书应至少包括以下信息：</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a) 标题：校准证书；</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b) 实验室名称和地址；</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c) 进行校准的地点（如与实验室的地址不同）；</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d) 证书的唯一性标识（如编号），每页及总页数的标识；</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e) 客户的名称和地址；</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f) 被校对象的描述和明确标识；</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g) 进行校准的日期，如果与校准结果的有效性和应用有关时，应说明被校对象的接收日期；</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h) 校准所依据的技术规范的标识，包括名称及代号；</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i) 本次校准所用测量标准的溯源性及有效性说明；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j) 校准环境的描述；</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k) 校准结果及测量不确定度的说明；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l) 对校准规范的偏离的说明；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m) 校准证书签发人的签名、职务或等效标识以及签发日期；</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n) 校准结果仅对被校对象有效的声明；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o) 未经实验室书面批准，不得部分复制证书的声明。</w:t>
      </w:r>
    </w:p>
    <w:p>
      <w:pPr>
        <w:pStyle w:val="61"/>
        <w:rPr>
          <w:rFonts w:ascii="Times New Roman" w:hAnsi="Times New Roman"/>
          <w:szCs w:val="21"/>
        </w:rPr>
      </w:pPr>
      <w:bookmarkStart w:id="77" w:name="_Toc14803_WPSOffice_Level1"/>
      <w:bookmarkStart w:id="78" w:name="_Toc193860189"/>
      <w:bookmarkStart w:id="79" w:name="_Toc193860220"/>
      <w:bookmarkStart w:id="80" w:name="_Toc5529"/>
      <w:bookmarkStart w:id="81" w:name="_Toc193860040"/>
      <w:bookmarkStart w:id="82" w:name="_Toc193860041"/>
      <w:r>
        <w:rPr>
          <w:rFonts w:ascii="Times New Roman" w:hAnsi="Times New Roman"/>
          <w:szCs w:val="21"/>
        </w:rPr>
        <w:t>8 复校</w:t>
      </w:r>
      <w:bookmarkEnd w:id="77"/>
      <w:bookmarkEnd w:id="78"/>
      <w:bookmarkEnd w:id="79"/>
      <w:bookmarkEnd w:id="80"/>
      <w:bookmarkEnd w:id="81"/>
      <w:r>
        <w:rPr>
          <w:rFonts w:ascii="Times New Roman" w:hAnsi="Times New Roman"/>
          <w:szCs w:val="21"/>
        </w:rPr>
        <w:t>时间间隔</w:t>
      </w:r>
    </w:p>
    <w:bookmarkEnd w:id="82"/>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建议校准时间间隔为1年；当使用频率较高时，建议用户缩短为3个月。</w:t>
      </w:r>
    </w:p>
    <w:p>
      <w:pPr>
        <w:pStyle w:val="61"/>
        <w:rPr>
          <w:rFonts w:ascii="Times New Roman" w:hAnsi="Times New Roman"/>
          <w:szCs w:val="21"/>
        </w:rPr>
      </w:pPr>
      <w:r>
        <w:rPr>
          <w:rFonts w:ascii="Times New Roman" w:hAnsi="Times New Roman"/>
          <w:szCs w:val="21"/>
        </w:rPr>
        <w:t>9.附录</w:t>
      </w:r>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附录主要包含校准原始记录参考格式、校准证书内页参考格式、测量不确定度评定示例三部分。</w:t>
      </w:r>
    </w:p>
    <w:bookmarkEnd w:id="1"/>
    <w:bookmarkEnd w:id="24"/>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3" w:name="_Toc464728965"/>
      <w:r>
        <w:rPr>
          <w:rFonts w:ascii="Times New Roman" w:eastAsiaTheme="minorEastAsia"/>
          <w:szCs w:val="21"/>
        </w:rPr>
        <w:t>规范水平分析</w:t>
      </w:r>
      <w:bookmarkEnd w:id="83"/>
    </w:p>
    <w:p>
      <w:pPr>
        <w:adjustRightInd w:val="0"/>
        <w:spacing w:line="360" w:lineRule="auto"/>
        <w:rPr>
          <w:rFonts w:eastAsiaTheme="minorEastAsia"/>
          <w:bCs/>
          <w:szCs w:val="21"/>
        </w:rPr>
      </w:pPr>
      <w:r>
        <w:rPr>
          <w:rFonts w:eastAsiaTheme="minorEastAsia"/>
          <w:bCs/>
          <w:szCs w:val="21"/>
        </w:rPr>
        <w:t>3.1采用国际标准及国外先进规范的程度</w:t>
      </w:r>
    </w:p>
    <w:p>
      <w:pPr>
        <w:adjustRightInd w:val="0"/>
        <w:spacing w:line="360" w:lineRule="auto"/>
        <w:ind w:firstLine="420" w:firstLineChars="200"/>
        <w:rPr>
          <w:rFonts w:eastAsiaTheme="minorEastAsia"/>
          <w:bCs/>
          <w:szCs w:val="21"/>
        </w:rPr>
      </w:pPr>
      <w:r>
        <w:rPr>
          <w:rFonts w:eastAsiaTheme="minorEastAsia"/>
          <w:bCs/>
          <w:szCs w:val="21"/>
        </w:rPr>
        <w:t>据查，目前国内外针对</w:t>
      </w:r>
      <w:r>
        <w:rPr>
          <w:rFonts w:eastAsiaTheme="minorEastAsia"/>
          <w:szCs w:val="21"/>
        </w:rPr>
        <w:t>超声波探伤用液浸式换能器特性</w:t>
      </w:r>
      <w:r>
        <w:rPr>
          <w:rFonts w:eastAsiaTheme="minorEastAsia"/>
          <w:bCs/>
          <w:szCs w:val="21"/>
        </w:rPr>
        <w:t>的校准规范，计量检测机构对</w:t>
      </w:r>
      <w:r>
        <w:rPr>
          <w:rFonts w:eastAsiaTheme="minorEastAsia"/>
          <w:szCs w:val="21"/>
        </w:rPr>
        <w:t>超声波探伤用液浸式换能器特性</w:t>
      </w:r>
      <w:r>
        <w:rPr>
          <w:rFonts w:eastAsiaTheme="minorEastAsia"/>
          <w:bCs/>
          <w:szCs w:val="21"/>
        </w:rPr>
        <w:t>校准项目的选取以及校准方式参照当前已有的</w:t>
      </w:r>
      <w:r>
        <w:rPr>
          <w:rFonts w:eastAsiaTheme="minorEastAsia"/>
          <w:szCs w:val="21"/>
        </w:rPr>
        <w:t>JJF 1650-2017《超声探伤仪换能器声场特性校准规范》、JJF 1294-2011《超声探伤仪换能器校准规范》等规范进行校准，这些规范存在时间过长且不满足校准实际需求的问题，本规范为目前最新的校准方法。</w:t>
      </w:r>
    </w:p>
    <w:p>
      <w:pPr>
        <w:adjustRightInd w:val="0"/>
        <w:spacing w:line="360" w:lineRule="auto"/>
        <w:rPr>
          <w:rFonts w:eastAsiaTheme="minorEastAsia"/>
          <w:bCs/>
          <w:szCs w:val="21"/>
        </w:rPr>
      </w:pPr>
      <w:r>
        <w:rPr>
          <w:rFonts w:eastAsiaTheme="minorEastAsia"/>
          <w:bCs/>
          <w:szCs w:val="21"/>
        </w:rPr>
        <w:t>3.2与国际及国外同类标准水平的对比分析</w:t>
      </w:r>
    </w:p>
    <w:p>
      <w:pPr>
        <w:spacing w:line="360" w:lineRule="auto"/>
        <w:ind w:firstLine="420" w:firstLineChars="200"/>
        <w:rPr>
          <w:rFonts w:eastAsiaTheme="minorEastAsia"/>
          <w:bCs/>
          <w:szCs w:val="21"/>
        </w:rPr>
      </w:pPr>
      <w:r>
        <w:rPr>
          <w:rFonts w:eastAsiaTheme="minorEastAsia"/>
          <w:bCs/>
          <w:szCs w:val="21"/>
        </w:rPr>
        <w:t>目前国外没有相关校准规范。</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bCs/>
          <w:szCs w:val="21"/>
        </w:rPr>
        <w:t>与有关的现行法律、法规和强制性国家标准的关系</w:t>
      </w:r>
    </w:p>
    <w:p>
      <w:pPr>
        <w:pStyle w:val="58"/>
        <w:spacing w:line="300" w:lineRule="auto"/>
        <w:ind w:firstLine="420"/>
        <w:rPr>
          <w:rFonts w:ascii="Times New Roman" w:hAnsi="Times New Roman" w:eastAsiaTheme="minorEastAsia"/>
          <w:szCs w:val="21"/>
        </w:rPr>
      </w:pPr>
      <w:r>
        <w:rPr>
          <w:rFonts w:ascii="Times New Roman" w:hAnsi="Times New Roman" w:eastAsiaTheme="minorEastAsia"/>
          <w:szCs w:val="21"/>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4" w:name="_Toc464728973"/>
      <w:r>
        <w:rPr>
          <w:rFonts w:ascii="Times New Roman" w:eastAsiaTheme="minorEastAsia"/>
          <w:szCs w:val="21"/>
        </w:rPr>
        <w:t>规范中涉及的专利或知识产权说明</w:t>
      </w:r>
      <w:bookmarkEnd w:id="84"/>
    </w:p>
    <w:p>
      <w:pPr>
        <w:pStyle w:val="58"/>
        <w:spacing w:line="300" w:lineRule="auto"/>
        <w:ind w:firstLineChars="0"/>
        <w:contextualSpacing/>
        <w:rPr>
          <w:rFonts w:ascii="Times New Roman" w:hAnsi="Times New Roman" w:eastAsiaTheme="minorEastAsia"/>
          <w:szCs w:val="21"/>
        </w:rPr>
      </w:pPr>
      <w:bookmarkStart w:id="85" w:name="_Toc464728974"/>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重大分歧意见的处理经过和依据</w:t>
      </w:r>
      <w:bookmarkEnd w:id="85"/>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规范作为强制性或推荐性国家（或行业）标准的建议</w:t>
      </w:r>
    </w:p>
    <w:p>
      <w:pPr>
        <w:adjustRightInd w:val="0"/>
        <w:spacing w:line="360" w:lineRule="auto"/>
        <w:ind w:firstLine="420" w:firstLineChars="200"/>
        <w:rPr>
          <w:rFonts w:eastAsiaTheme="minorEastAsia"/>
          <w:bCs/>
          <w:szCs w:val="21"/>
        </w:rPr>
      </w:pPr>
      <w:r>
        <w:rPr>
          <w:rFonts w:eastAsiaTheme="minorEastAsia"/>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6" w:name="_Toc464728976"/>
      <w:r>
        <w:rPr>
          <w:rFonts w:ascii="Times New Roman" w:eastAsiaTheme="minorEastAsia"/>
          <w:szCs w:val="21"/>
        </w:rPr>
        <w:t>贯彻规范的要求和措施建议</w:t>
      </w:r>
      <w:bookmarkEnd w:id="86"/>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本规范发布后，中国有色金属行业协会和有色金属行业计量技术委员会应加强本规范的宣传力度，促进超声波探伤用液浸式换能器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7" w:name="_Toc464728977"/>
      <w:r>
        <w:rPr>
          <w:rFonts w:ascii="Times New Roman" w:eastAsiaTheme="minorEastAsia"/>
          <w:szCs w:val="21"/>
        </w:rPr>
        <w:t>废止现行有关规范的建议</w:t>
      </w:r>
      <w:bookmarkEnd w:id="87"/>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预期效果</w:t>
      </w:r>
    </w:p>
    <w:p>
      <w:pPr>
        <w:pStyle w:val="58"/>
        <w:spacing w:line="300" w:lineRule="auto"/>
        <w:ind w:firstLineChars="0"/>
        <w:contextualSpacing/>
        <w:rPr>
          <w:rFonts w:ascii="Times New Roman" w:hAnsi="Times New Roman" w:eastAsiaTheme="minorEastAsia"/>
          <w:szCs w:val="21"/>
        </w:rPr>
      </w:pPr>
      <w:r>
        <w:rPr>
          <w:rFonts w:ascii="Times New Roman" w:hAnsi="Times New Roman" w:eastAsiaTheme="minorEastAsia"/>
          <w:kern w:val="2"/>
          <w:szCs w:val="21"/>
        </w:rPr>
        <w:t>本规范的制定，具有极大的经济效益和社会效益，填补了有色金属行业领域校准空白，对</w:t>
      </w:r>
      <w:r>
        <w:rPr>
          <w:rFonts w:ascii="Times New Roman" w:hAnsi="Times New Roman" w:eastAsiaTheme="minorEastAsia"/>
          <w:szCs w:val="21"/>
        </w:rPr>
        <w:t>超声波探伤用液浸式换能器特性的校准过程提供了技术支撑。</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bCs/>
          <w:szCs w:val="21"/>
        </w:rPr>
        <w:t>其他应予说明的事项</w:t>
      </w:r>
    </w:p>
    <w:p>
      <w:pPr>
        <w:pStyle w:val="58"/>
        <w:spacing w:line="300" w:lineRule="auto"/>
        <w:ind w:firstLineChars="0"/>
        <w:contextualSpacing/>
        <w:rPr>
          <w:rFonts w:ascii="Times New Roman" w:hAnsi="Times New Roman" w:eastAsiaTheme="minorEastAsia"/>
          <w:szCs w:val="21"/>
        </w:rPr>
      </w:pPr>
      <w:r>
        <w:rPr>
          <w:rFonts w:ascii="Times New Roman" w:hAnsi="Times New Roman" w:eastAsiaTheme="minorEastAsia"/>
          <w:szCs w:val="21"/>
        </w:rPr>
        <w:t>（无）。</w:t>
      </w:r>
    </w:p>
    <w:p>
      <w:pPr>
        <w:pStyle w:val="58"/>
        <w:spacing w:line="300" w:lineRule="auto"/>
        <w:ind w:firstLineChars="0"/>
        <w:contextualSpacing/>
        <w:jc w:val="right"/>
        <w:rPr>
          <w:rFonts w:ascii="Times New Roman" w:hAnsi="Times New Roman" w:eastAsiaTheme="minorEastAsia"/>
          <w:szCs w:val="21"/>
        </w:rPr>
      </w:pPr>
      <w:r>
        <w:rPr>
          <w:rFonts w:ascii="Times New Roman" w:hAnsi="Times New Roman" w:eastAsiaTheme="minorEastAsia"/>
          <w:bCs/>
          <w:szCs w:val="21"/>
        </w:rPr>
        <w:t xml:space="preserve">  《</w:t>
      </w:r>
      <w:r>
        <w:rPr>
          <w:rFonts w:ascii="Times New Roman" w:hAnsi="Times New Roman" w:eastAsiaTheme="minorEastAsia"/>
          <w:szCs w:val="21"/>
        </w:rPr>
        <w:t>超声波探伤用液浸式换能器特性校准规范</w:t>
      </w:r>
      <w:r>
        <w:rPr>
          <w:rFonts w:ascii="Times New Roman" w:hAnsi="Times New Roman" w:eastAsiaTheme="minorEastAsia"/>
          <w:bCs/>
          <w:szCs w:val="21"/>
        </w:rPr>
        <w:t>》编制组  2024</w:t>
      </w:r>
      <w:bookmarkStart w:id="89" w:name="_GoBack"/>
      <w:bookmarkEnd w:id="89"/>
      <w:r>
        <w:rPr>
          <w:rFonts w:ascii="Times New Roman" w:hAnsi="Times New Roman" w:eastAsiaTheme="minorEastAsia"/>
          <w:bCs/>
          <w:szCs w:val="21"/>
        </w:rPr>
        <w:t>年0</w:t>
      </w:r>
      <w:r>
        <w:rPr>
          <w:rFonts w:hint="eastAsia" w:ascii="Times New Roman" w:hAnsi="Times New Roman" w:eastAsiaTheme="minorEastAsia"/>
          <w:bCs/>
          <w:szCs w:val="21"/>
          <w:lang w:val="en-US" w:eastAsia="zh-CN"/>
        </w:rPr>
        <w:t>8</w:t>
      </w:r>
      <w:r>
        <w:rPr>
          <w:rFonts w:ascii="Times New Roman" w:hAnsi="Times New Roman" w:eastAsiaTheme="minorEastAsia"/>
          <w:bCs/>
          <w:szCs w:val="21"/>
        </w:rPr>
        <w:t>月</w:t>
      </w:r>
    </w:p>
    <w:p>
      <w:pPr>
        <w:pStyle w:val="58"/>
        <w:spacing w:line="300" w:lineRule="auto"/>
        <w:ind w:firstLine="420"/>
        <w:contextualSpacing/>
        <w:rPr>
          <w:rFonts w:ascii="Times New Roman" w:hAnsi="Times New Roman" w:eastAsiaTheme="minorEastAsia"/>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DJiNDNmNTI1ZjJlMDgwMWQwMDY4MTg1NmExYjAifQ=="/>
  </w:docVars>
  <w:rsids>
    <w:rsidRoot w:val="00693668"/>
    <w:rsid w:val="00001F60"/>
    <w:rsid w:val="000038F0"/>
    <w:rsid w:val="00004648"/>
    <w:rsid w:val="00013992"/>
    <w:rsid w:val="00014C66"/>
    <w:rsid w:val="000211BF"/>
    <w:rsid w:val="00021A9F"/>
    <w:rsid w:val="000237D4"/>
    <w:rsid w:val="0002700F"/>
    <w:rsid w:val="000306E4"/>
    <w:rsid w:val="000309D7"/>
    <w:rsid w:val="00032AC7"/>
    <w:rsid w:val="00032F98"/>
    <w:rsid w:val="00034584"/>
    <w:rsid w:val="00035A56"/>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0F69"/>
    <w:rsid w:val="000C5C42"/>
    <w:rsid w:val="000C772A"/>
    <w:rsid w:val="000C794F"/>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567DA"/>
    <w:rsid w:val="00163830"/>
    <w:rsid w:val="0016493A"/>
    <w:rsid w:val="001859F4"/>
    <w:rsid w:val="0019431C"/>
    <w:rsid w:val="001A4F75"/>
    <w:rsid w:val="001B76E1"/>
    <w:rsid w:val="001C0648"/>
    <w:rsid w:val="001C13CE"/>
    <w:rsid w:val="001C7BB8"/>
    <w:rsid w:val="001D0501"/>
    <w:rsid w:val="001D6A7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A45F0"/>
    <w:rsid w:val="002B225D"/>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3555"/>
    <w:rsid w:val="00397407"/>
    <w:rsid w:val="003A2156"/>
    <w:rsid w:val="003B0148"/>
    <w:rsid w:val="003B314C"/>
    <w:rsid w:val="003C2376"/>
    <w:rsid w:val="003C685D"/>
    <w:rsid w:val="003E10E7"/>
    <w:rsid w:val="003E237F"/>
    <w:rsid w:val="003F2C11"/>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8362B"/>
    <w:rsid w:val="00486647"/>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4D0A"/>
    <w:rsid w:val="00765621"/>
    <w:rsid w:val="00770269"/>
    <w:rsid w:val="00787910"/>
    <w:rsid w:val="007901C0"/>
    <w:rsid w:val="007902D1"/>
    <w:rsid w:val="007A3BEE"/>
    <w:rsid w:val="007B580F"/>
    <w:rsid w:val="007C15E3"/>
    <w:rsid w:val="007E3483"/>
    <w:rsid w:val="007E56C9"/>
    <w:rsid w:val="007F0DA9"/>
    <w:rsid w:val="00804BC8"/>
    <w:rsid w:val="00817131"/>
    <w:rsid w:val="00820F69"/>
    <w:rsid w:val="00824B04"/>
    <w:rsid w:val="008353D7"/>
    <w:rsid w:val="00841A27"/>
    <w:rsid w:val="008461B6"/>
    <w:rsid w:val="0085122B"/>
    <w:rsid w:val="0086056F"/>
    <w:rsid w:val="0086378F"/>
    <w:rsid w:val="00865F38"/>
    <w:rsid w:val="008754EE"/>
    <w:rsid w:val="00876D87"/>
    <w:rsid w:val="008840F2"/>
    <w:rsid w:val="00887E9F"/>
    <w:rsid w:val="008B22FC"/>
    <w:rsid w:val="008B38E0"/>
    <w:rsid w:val="008C16C8"/>
    <w:rsid w:val="008C672E"/>
    <w:rsid w:val="008C7D6D"/>
    <w:rsid w:val="008E0E28"/>
    <w:rsid w:val="008E415E"/>
    <w:rsid w:val="008F1961"/>
    <w:rsid w:val="008F5DCA"/>
    <w:rsid w:val="009034C1"/>
    <w:rsid w:val="009052E4"/>
    <w:rsid w:val="009111C1"/>
    <w:rsid w:val="00913ED1"/>
    <w:rsid w:val="009148E0"/>
    <w:rsid w:val="00933D2C"/>
    <w:rsid w:val="009359EC"/>
    <w:rsid w:val="00944D55"/>
    <w:rsid w:val="00946B7D"/>
    <w:rsid w:val="009513C5"/>
    <w:rsid w:val="00954DA4"/>
    <w:rsid w:val="00967A11"/>
    <w:rsid w:val="00967BBB"/>
    <w:rsid w:val="00971240"/>
    <w:rsid w:val="009737CF"/>
    <w:rsid w:val="00982373"/>
    <w:rsid w:val="009919FE"/>
    <w:rsid w:val="009958D1"/>
    <w:rsid w:val="009A12AB"/>
    <w:rsid w:val="009B4929"/>
    <w:rsid w:val="009B561F"/>
    <w:rsid w:val="009C0597"/>
    <w:rsid w:val="009C2D10"/>
    <w:rsid w:val="009C3FBE"/>
    <w:rsid w:val="009D79FA"/>
    <w:rsid w:val="009E3D09"/>
    <w:rsid w:val="009F420F"/>
    <w:rsid w:val="00A06113"/>
    <w:rsid w:val="00A07D5A"/>
    <w:rsid w:val="00A11A21"/>
    <w:rsid w:val="00A12727"/>
    <w:rsid w:val="00A1378A"/>
    <w:rsid w:val="00A1497C"/>
    <w:rsid w:val="00A15577"/>
    <w:rsid w:val="00A30766"/>
    <w:rsid w:val="00A3211C"/>
    <w:rsid w:val="00A363F7"/>
    <w:rsid w:val="00A40585"/>
    <w:rsid w:val="00A40E4F"/>
    <w:rsid w:val="00A419FA"/>
    <w:rsid w:val="00A47FE2"/>
    <w:rsid w:val="00A56163"/>
    <w:rsid w:val="00A57E1E"/>
    <w:rsid w:val="00A57FA5"/>
    <w:rsid w:val="00A77511"/>
    <w:rsid w:val="00A7790F"/>
    <w:rsid w:val="00A8043A"/>
    <w:rsid w:val="00A8426B"/>
    <w:rsid w:val="00A86AF0"/>
    <w:rsid w:val="00A872B0"/>
    <w:rsid w:val="00A87866"/>
    <w:rsid w:val="00A91553"/>
    <w:rsid w:val="00AA53FB"/>
    <w:rsid w:val="00AB1F90"/>
    <w:rsid w:val="00AC0924"/>
    <w:rsid w:val="00AC1E7A"/>
    <w:rsid w:val="00AD093B"/>
    <w:rsid w:val="00AD5E7E"/>
    <w:rsid w:val="00AE0B35"/>
    <w:rsid w:val="00AE47AC"/>
    <w:rsid w:val="00AE69D6"/>
    <w:rsid w:val="00AF7111"/>
    <w:rsid w:val="00B056DA"/>
    <w:rsid w:val="00B05E25"/>
    <w:rsid w:val="00B07889"/>
    <w:rsid w:val="00B07D3B"/>
    <w:rsid w:val="00B173B2"/>
    <w:rsid w:val="00B369B6"/>
    <w:rsid w:val="00B43636"/>
    <w:rsid w:val="00B45E9C"/>
    <w:rsid w:val="00B53389"/>
    <w:rsid w:val="00B60FA7"/>
    <w:rsid w:val="00B614F2"/>
    <w:rsid w:val="00B706F7"/>
    <w:rsid w:val="00B7116A"/>
    <w:rsid w:val="00B75677"/>
    <w:rsid w:val="00B817F8"/>
    <w:rsid w:val="00B909CD"/>
    <w:rsid w:val="00BA5A9E"/>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028"/>
    <w:rsid w:val="00C5550F"/>
    <w:rsid w:val="00C57BAB"/>
    <w:rsid w:val="00C66C85"/>
    <w:rsid w:val="00C70EA3"/>
    <w:rsid w:val="00C7537E"/>
    <w:rsid w:val="00C8056F"/>
    <w:rsid w:val="00C81A49"/>
    <w:rsid w:val="00C86EE5"/>
    <w:rsid w:val="00CB750D"/>
    <w:rsid w:val="00CB7CDF"/>
    <w:rsid w:val="00CC3C55"/>
    <w:rsid w:val="00CC3DDD"/>
    <w:rsid w:val="00CC491D"/>
    <w:rsid w:val="00CC51F6"/>
    <w:rsid w:val="00CC52E3"/>
    <w:rsid w:val="00CD2D13"/>
    <w:rsid w:val="00CD759E"/>
    <w:rsid w:val="00CF3CAA"/>
    <w:rsid w:val="00D01726"/>
    <w:rsid w:val="00D16568"/>
    <w:rsid w:val="00D17115"/>
    <w:rsid w:val="00D25D69"/>
    <w:rsid w:val="00D436F5"/>
    <w:rsid w:val="00D57AEE"/>
    <w:rsid w:val="00D6471A"/>
    <w:rsid w:val="00D660E5"/>
    <w:rsid w:val="00D71DEC"/>
    <w:rsid w:val="00D743EA"/>
    <w:rsid w:val="00D81C1D"/>
    <w:rsid w:val="00D85454"/>
    <w:rsid w:val="00D86648"/>
    <w:rsid w:val="00D903E4"/>
    <w:rsid w:val="00DA22D1"/>
    <w:rsid w:val="00DA3611"/>
    <w:rsid w:val="00DA7289"/>
    <w:rsid w:val="00DB4F65"/>
    <w:rsid w:val="00DD6769"/>
    <w:rsid w:val="00DD7D39"/>
    <w:rsid w:val="00DE144C"/>
    <w:rsid w:val="00E019C6"/>
    <w:rsid w:val="00E22714"/>
    <w:rsid w:val="00E23465"/>
    <w:rsid w:val="00E31A7B"/>
    <w:rsid w:val="00E32480"/>
    <w:rsid w:val="00E5240D"/>
    <w:rsid w:val="00E544F0"/>
    <w:rsid w:val="00E71DCC"/>
    <w:rsid w:val="00E734F2"/>
    <w:rsid w:val="00E8145F"/>
    <w:rsid w:val="00E82471"/>
    <w:rsid w:val="00E911BC"/>
    <w:rsid w:val="00EA3193"/>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5F49"/>
    <w:rsid w:val="00FA6198"/>
    <w:rsid w:val="00FA7260"/>
    <w:rsid w:val="00FC0650"/>
    <w:rsid w:val="00FC3C5F"/>
    <w:rsid w:val="00FC7BF3"/>
    <w:rsid w:val="00FD235D"/>
    <w:rsid w:val="00FD3C65"/>
    <w:rsid w:val="00FD7FCA"/>
    <w:rsid w:val="00FE0C1C"/>
    <w:rsid w:val="00FE17CA"/>
    <w:rsid w:val="00FE1932"/>
    <w:rsid w:val="00FE1A74"/>
    <w:rsid w:val="00FE36D2"/>
    <w:rsid w:val="00FE4ACB"/>
    <w:rsid w:val="00FF5630"/>
    <w:rsid w:val="01391B68"/>
    <w:rsid w:val="02E77C92"/>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583201"/>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D4D2D74"/>
    <w:rsid w:val="4E3430C7"/>
    <w:rsid w:val="52A97DDB"/>
    <w:rsid w:val="56154CA2"/>
    <w:rsid w:val="57BF5C02"/>
    <w:rsid w:val="58B15E13"/>
    <w:rsid w:val="5A931503"/>
    <w:rsid w:val="5A971C98"/>
    <w:rsid w:val="5AFA5C95"/>
    <w:rsid w:val="5CDE078E"/>
    <w:rsid w:val="5DC655CC"/>
    <w:rsid w:val="5F776EED"/>
    <w:rsid w:val="605176D9"/>
    <w:rsid w:val="63F828E6"/>
    <w:rsid w:val="654D6460"/>
    <w:rsid w:val="66890589"/>
    <w:rsid w:val="67357B43"/>
    <w:rsid w:val="6A185E9C"/>
    <w:rsid w:val="6AB57C02"/>
    <w:rsid w:val="6B27051F"/>
    <w:rsid w:val="6B753BDA"/>
    <w:rsid w:val="6B770841"/>
    <w:rsid w:val="6E8A0C2B"/>
    <w:rsid w:val="6EF60757"/>
    <w:rsid w:val="70FA146A"/>
    <w:rsid w:val="710228B1"/>
    <w:rsid w:val="73A7009A"/>
    <w:rsid w:val="73B95B2E"/>
    <w:rsid w:val="74130018"/>
    <w:rsid w:val="772A5F14"/>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ind w:firstLine="420"/>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spacing w:beforeLines="0" w:afterLines="0" w:line="300" w:lineRule="auto"/>
      <w:ind w:firstLine="404"/>
      <w:outlineLvl w:val="2"/>
    </w:pPr>
    <w:rPr>
      <w:rFonts w:ascii="Times New Roman" w:hAnsi="Times New Roman"/>
      <w:spacing w:val="-4"/>
      <w:szCs w:val="21"/>
    </w:rPr>
  </w:style>
  <w:style w:type="paragraph" w:customStyle="1" w:styleId="61">
    <w:name w:val="章标题"/>
    <w:next w:val="58"/>
    <w:link w:val="278"/>
    <w:autoRedefine/>
    <w:qFormat/>
    <w:uiPriority w:val="0"/>
    <w:pPr>
      <w:spacing w:before="156" w:beforeLines="50" w:after="156" w:afterLines="50" w:line="360" w:lineRule="auto"/>
      <w:ind w:firstLine="420" w:firstLineChars="200"/>
      <w:jc w:val="both"/>
      <w:outlineLvl w:val="1"/>
    </w:pPr>
    <w:rPr>
      <w:rFonts w:cs="Times New Roman" w:asciiTheme="minorEastAsia" w:hAnsiTheme="minorEastAsia" w:eastAsiaTheme="minorEastAsia"/>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1"/>
      </w:numPr>
      <w:tabs>
        <w:tab w:val="left" w:pos="6405"/>
      </w:tabs>
      <w:spacing w:after="200"/>
    </w:pPr>
    <w:rPr>
      <w:sz w:val="21"/>
    </w:rPr>
  </w:style>
  <w:style w:type="paragraph" w:customStyle="1" w:styleId="6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outlineLvl w:val="5"/>
    </w:pPr>
  </w:style>
  <w:style w:type="paragraph" w:customStyle="1" w:styleId="71">
    <w:name w:val="三级条标题"/>
    <w:basedOn w:val="59"/>
    <w:next w:val="58"/>
    <w:link w:val="281"/>
    <w:autoRedefine/>
    <w:qFormat/>
    <w:uiPriority w:val="0"/>
    <w:p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firstLine="0" w:firstLineChars="0"/>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cs="Times New Roman" w:asciiTheme="minorEastAsia" w:hAnsiTheme="minorEastAsia" w:eastAsiaTheme="minorEastAsia"/>
      <w:sz w:val="21"/>
    </w:rPr>
  </w:style>
  <w:style w:type="character" w:customStyle="1" w:styleId="279">
    <w:name w:val="一级条标题 Char"/>
    <w:link w:val="60"/>
    <w:autoRedefine/>
    <w:qFormat/>
    <w:uiPriority w:val="0"/>
    <w:rPr>
      <w:rFonts w:ascii="Times New Roman" w:hAnsi="Times New Roman" w:cs="Times New Roman" w:eastAsiaTheme="minorEastAsia"/>
      <w:spacing w:val="-4"/>
      <w:sz w:val="21"/>
      <w:szCs w:val="21"/>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1E622-D756-4A98-9E79-71F11C148F6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15</Pages>
  <Words>9124</Words>
  <Characters>10038</Characters>
  <Lines>84</Lines>
  <Paragraphs>23</Paragraphs>
  <TotalTime>15</TotalTime>
  <ScaleCrop>false</ScaleCrop>
  <LinksUpToDate>false</LinksUpToDate>
  <CharactersWithSpaces>10330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2024-05-15T06:45:00Z</dcterms:created>
  <dc:creator>标准李瑞山9585</dc:creator>
  <cp:lastModifiedBy>SYCH</cp:lastModifiedBy>
  <cp:lastPrinted>2016-10-20T04:13:00Z</cp:lastPrinted>
  <dcterms:modified xsi:type="dcterms:W3CDTF">2024-08-14T09:13:49Z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1A4285A71162423CA930C239932CC3DF_13</vt:lpwstr>
  </property>
</Properties>
</file>