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bookmarkStart w:id="69" w:name="_GoBack"/>
      <w:bookmarkEnd w:id="69"/>
      <w:r>
        <mc:AlternateContent>
          <mc:Choice Requires="wps">
            <w:drawing>
              <wp:anchor distT="0" distB="0" distL="114300" distR="114300" simplePos="0" relativeHeight="251659264" behindDoc="0" locked="1" layoutInCell="1" allowOverlap="1">
                <wp:simplePos x="0" y="0"/>
                <wp:positionH relativeFrom="margin">
                  <wp:posOffset>-90170</wp:posOffset>
                </wp:positionH>
                <wp:positionV relativeFrom="margin">
                  <wp:posOffset>1378585</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44"/>
                              <w:rPr>
                                <w:rFonts w:hAnsi="黑体" w:cs="黑体"/>
                                <w:sz w:val="44"/>
                                <w:szCs w:val="44"/>
                              </w:rPr>
                            </w:pPr>
                            <w:bookmarkStart w:id="6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68"/>
                          <w:p>
                            <w:pPr>
                              <w:pStyle w:val="44"/>
                              <w:rPr>
                                <w:rFonts w:hAnsi="黑体" w:cs="黑体"/>
                                <w:sz w:val="44"/>
                                <w:szCs w:val="44"/>
                              </w:rPr>
                            </w:pPr>
                            <w:r>
                              <w:rPr>
                                <w:rFonts w:hint="eastAsia" w:hAnsi="黑体" w:cs="黑体"/>
                                <w:sz w:val="44"/>
                                <w:szCs w:val="44"/>
                              </w:rPr>
                              <w:t>光伏组件紫外预处理试验箱校准规范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7.1pt;margin-top:108.55pt;height:187.7pt;width:481.9pt;mso-position-horizontal-relative:margin;mso-position-vertical-relative:margin;z-index:251659264;mso-width-relative:page;mso-height-relative:page;" fillcolor="#FFFFFF" filled="t" stroked="f" coordsize="21600,21600" o:gfxdata="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1LqD9gAAAALAQAADwAAAAAAAAABACAAAAAiAAAAZHJz&#10;L2Rvd25yZXYueG1sUEsBAhQAFAAAAAgAh07iQGP+WyjLAQAAkgMAAA4AAAAAAAAAAQAgAAAAJwEA&#10;AGRycy9lMm9Eb2MueG1sUEsFBgAAAAAGAAYAWQEAAGQFAAAAAA==&#10;">
                <v:fill on="t" focussize="0,0"/>
                <v:stroke on="f"/>
                <v:imagedata o:title=""/>
                <o:lock v:ext="edit" aspectratio="f"/>
                <v:textbox inset="0mm,0mm,0mm,0mm">
                  <w:txbxContent>
                    <w:p>
                      <w:pPr>
                        <w:pStyle w:val="44"/>
                        <w:rPr>
                          <w:rFonts w:hAnsi="黑体" w:cs="黑体"/>
                          <w:sz w:val="44"/>
                          <w:szCs w:val="44"/>
                        </w:rPr>
                      </w:pPr>
                      <w:bookmarkStart w:id="6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68"/>
                    <w:p>
                      <w:pPr>
                        <w:pStyle w:val="44"/>
                        <w:rPr>
                          <w:rFonts w:hAnsi="黑体" w:cs="黑体"/>
                          <w:sz w:val="44"/>
                          <w:szCs w:val="44"/>
                        </w:rPr>
                      </w:pPr>
                      <w:r>
                        <w:rPr>
                          <w:rFonts w:hint="eastAsia" w:hAnsi="黑体" w:cs="黑体"/>
                          <w:sz w:val="44"/>
                          <w:szCs w:val="44"/>
                        </w:rPr>
                        <w:t>光伏组件紫外预处理试验箱校准规范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r>
        <mc:AlternateContent>
          <mc:Choice Requires="wps">
            <w:drawing>
              <wp:anchor distT="0" distB="0" distL="114300" distR="114300" simplePos="0" relativeHeight="251661312" behindDoc="0" locked="1" layoutInCell="1" allowOverlap="1">
                <wp:simplePos x="0" y="0"/>
                <wp:positionH relativeFrom="margin">
                  <wp:posOffset>-257810</wp:posOffset>
                </wp:positionH>
                <wp:positionV relativeFrom="margin">
                  <wp:posOffset>6850380</wp:posOffset>
                </wp:positionV>
                <wp:extent cx="6120130" cy="1544320"/>
                <wp:effectExtent l="0" t="0" r="13970" b="17780"/>
                <wp:wrapNone/>
                <wp:docPr id="4"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44"/>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光伏组件紫外预处理试验箱校准规范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48"/>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20.3pt;margin-top:539.4pt;height:121.6pt;width:481.9pt;mso-position-horizontal-relative:margin;mso-position-vertical-relative:margin;z-index:251661312;mso-width-relative:page;mso-height-relative:page;" fillcolor="#FFFFFF" filled="t" stroked="f" coordsize="21600,21600" o:gfxdata="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GYpDTYAAAADQEAAA8AAAAAAAAAAQAgAAAAIgAAAGRycy9kb3ducmV2LnhtbFBLAQIU&#10;ABQAAAAIAIdO4kAAjDVmugEAAI8DAAAOAAAAAAAAAAEAIAAAACcBAABkcnMvZTJvRG9jLnhtbFBL&#10;BQYAAAAABgAGAFkBAABTBQAAAAA=&#10;">
                <v:fill on="t" focussize="0,0"/>
                <v:stroke on="f"/>
                <v:imagedata o:title=""/>
                <o:lock v:ext="edit" aspectratio="f"/>
                <v:textbox inset="0mm,0mm,0mm,0mm">
                  <w:txbxContent>
                    <w:p>
                      <w:pPr>
                        <w:pStyle w:val="44"/>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光伏组件紫外预处理试验箱校准规范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48"/>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r>
        <mc:AlternateContent>
          <mc:Choice Requires="wps">
            <w:drawing>
              <wp:anchor distT="0" distB="0" distL="114300" distR="114300" simplePos="0" relativeHeight="251660288" behindDoc="0" locked="1" layoutInCell="1" allowOverlap="1">
                <wp:simplePos x="0" y="0"/>
                <wp:positionH relativeFrom="margin">
                  <wp:posOffset>-241300</wp:posOffset>
                </wp:positionH>
                <wp:positionV relativeFrom="margin">
                  <wp:posOffset>4682490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47"/>
                              <w:spacing w:before="600"/>
                              <w:rPr>
                                <w:rFonts w:ascii="黑体" w:hAnsi="黑体" w:eastAsia="黑体"/>
                                <w:sz w:val="36"/>
                                <w:szCs w:val="36"/>
                              </w:rPr>
                            </w:pPr>
                            <w:r>
                              <w:rPr>
                                <w:rFonts w:hint="eastAsia" w:ascii="黑体" w:hAnsi="黑体" w:eastAsia="黑体"/>
                                <w:sz w:val="36"/>
                                <w:szCs w:val="36"/>
                              </w:rPr>
                              <w:t xml:space="preserve">  讨论稿</w:t>
                            </w:r>
                          </w:p>
                          <w:p>
                            <w:pPr>
                              <w:pStyle w:val="4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wps:txbx>
                      <wps:bodyPr lIns="0" tIns="0" rIns="0" bIns="0" upright="1"/>
                    </wps:wsp>
                  </a:graphicData>
                </a:graphic>
              </wp:anchor>
            </w:drawing>
          </mc:Choice>
          <mc:Fallback>
            <w:pict>
              <v:rect id="文本框 5" o:spid="_x0000_s1026" o:spt="1" style="position:absolute;left:0pt;margin-left:-19pt;margin-top:368.7pt;height:140.1pt;width:470pt;mso-position-horizontal-relative:margin;mso-position-vertical-relative:margin;z-index:251660288;mso-width-relative:page;mso-height-relative:page;" fillcolor="#FFFFFF" filled="t" stroked="f" coordsize="21600,21600" o:gfxdata="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Qoh9gAAAAMAQAADwAAAAAAAAABACAAAAAiAAAAZHJz&#10;L2Rvd25yZXYueG1sUEsBAhQAFAAAAAgAh07iQDE7zCDLAQAAkgMAAA4AAAAAAAAAAQAgAAAAJwEA&#10;AGRycy9lMm9Eb2MueG1sUEsFBgAAAAAGAAYAWQEAAGQFAAAAAA==&#10;">
                <v:fill on="t" focussize="0,0"/>
                <v:stroke on="f"/>
                <v:imagedata o:title=""/>
                <o:lock v:ext="edit" aspectratio="f"/>
                <v:textbox inset="0mm,0mm,0mm,0mm">
                  <w:txbxContent>
                    <w:p>
                      <w:pPr>
                        <w:pStyle w:val="47"/>
                        <w:spacing w:before="600"/>
                        <w:rPr>
                          <w:rFonts w:ascii="黑体" w:hAnsi="黑体" w:eastAsia="黑体"/>
                          <w:sz w:val="36"/>
                          <w:szCs w:val="36"/>
                        </w:rPr>
                      </w:pPr>
                      <w:r>
                        <w:rPr>
                          <w:rFonts w:hint="eastAsia" w:ascii="黑体" w:hAnsi="黑体" w:eastAsia="黑体"/>
                          <w:sz w:val="36"/>
                          <w:szCs w:val="36"/>
                        </w:rPr>
                        <w:t xml:space="preserve">  讨论稿</w:t>
                      </w:r>
                    </w:p>
                    <w:p>
                      <w:pPr>
                        <w:pStyle w:val="4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v:textbox>
                <w10:anchorlock/>
              </v:rect>
            </w:pict>
          </mc:Fallback>
        </mc:AlternateContent>
      </w: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autoSpaceDE w:val="0"/>
        <w:autoSpaceDN w:val="0"/>
        <w:adjustRightInd w:val="0"/>
        <w:jc w:val="center"/>
        <w:rPr>
          <w:rFonts w:ascii="黑体" w:eastAsia="黑体"/>
          <w:bCs/>
          <w:sz w:val="24"/>
        </w:rPr>
      </w:pPr>
    </w:p>
    <w:p>
      <w:pPr>
        <w:spacing w:line="360" w:lineRule="auto"/>
        <w:rPr>
          <w:rFonts w:ascii="黑体" w:hAnsi="宋体" w:eastAsia="黑体"/>
          <w:bCs/>
          <w:szCs w:val="21"/>
        </w:rPr>
      </w:pPr>
    </w:p>
    <w:p>
      <w:pPr>
        <w:pStyle w:val="51"/>
        <w:ind w:right="180"/>
        <w:rPr>
          <w:rStyle w:val="18"/>
        </w:rPr>
      </w:pPr>
    </w:p>
    <w:p>
      <w:pPr>
        <w:spacing w:line="360" w:lineRule="auto"/>
        <w:rPr>
          <w:rFonts w:ascii="黑体" w:hAnsi="宋体" w:eastAsia="黑体"/>
          <w:bCs/>
          <w:szCs w:val="21"/>
        </w:rPr>
      </w:pPr>
    </w:p>
    <w:p>
      <w:pPr>
        <w:spacing w:line="360" w:lineRule="auto"/>
        <w:rPr>
          <w:rFonts w:ascii="黑体" w:hAnsi="宋体" w:eastAsia="黑体"/>
          <w:bCs/>
          <w:szCs w:val="21"/>
        </w:rPr>
      </w:pPr>
      <w:r>
        <w:rPr>
          <w:rFonts w:hint="eastAsia" w:ascii="黑体" w:hAnsi="宋体" w:eastAsia="黑体"/>
          <w:bCs/>
          <w:szCs w:val="21"/>
        </w:rPr>
        <w:t>一、工作简况</w:t>
      </w:r>
    </w:p>
    <w:p>
      <w:pPr>
        <w:spacing w:line="360" w:lineRule="auto"/>
        <w:rPr>
          <w:rFonts w:hAnsi="宋体"/>
          <w:bCs/>
          <w:szCs w:val="21"/>
        </w:rPr>
      </w:pPr>
      <w:r>
        <w:rPr>
          <w:rFonts w:ascii="黑体" w:eastAsia="黑体"/>
          <w:bCs/>
          <w:szCs w:val="21"/>
        </w:rPr>
        <w:t>1</w:t>
      </w:r>
      <w:r>
        <w:rPr>
          <w:rFonts w:hint="eastAsia" w:ascii="黑体" w:eastAsia="黑体"/>
          <w:bCs/>
          <w:szCs w:val="21"/>
        </w:rPr>
        <w:t>.</w:t>
      </w:r>
      <w:r>
        <w:rPr>
          <w:rFonts w:hint="eastAsia" w:ascii="黑体" w:hAnsi="宋体" w:eastAsia="黑体"/>
          <w:bCs/>
          <w:szCs w:val="21"/>
        </w:rPr>
        <w:t>立项目的</w:t>
      </w:r>
    </w:p>
    <w:p>
      <w:pPr>
        <w:spacing w:line="360" w:lineRule="auto"/>
        <w:ind w:firstLine="420" w:firstLineChars="200"/>
        <w:rPr>
          <w:szCs w:val="21"/>
        </w:rPr>
      </w:pPr>
      <w:r>
        <w:rPr>
          <w:rFonts w:hint="eastAsia"/>
          <w:szCs w:val="21"/>
        </w:rPr>
        <w:t>光伏组件紫外预处理试验箱是专用于太阳能光伏组件的测试，用于评价诸如聚合物和保护层等材料抗紫外辐照能力，能够快速、真实地再现阳光、冷凝、淋雨等自然条件对材料的损害；只需要几天或者几周的时间，就可以再现出材料在户外需要数月或者数年才能产生的变化；包括褪色、变色、亮度下降、粉化、龟裂、变模糊、脆化、强度下降及氧化，并与试验前光伏组件材料性能进行比较。广泛应用于汽车材料、塑料、包装、油漆与涂层、油墨、颜料、染料、稳定剂及添加剂、光化材料、工业及地表纺织品、科研等行业。</w:t>
      </w:r>
    </w:p>
    <w:p>
      <w:pPr>
        <w:spacing w:line="360" w:lineRule="auto"/>
        <w:ind w:firstLine="420" w:firstLineChars="200"/>
        <w:rPr>
          <w:rFonts w:hint="eastAsia"/>
          <w:szCs w:val="21"/>
        </w:rPr>
      </w:pPr>
      <w:r>
        <w:rPr>
          <w:szCs w:val="21"/>
        </w:rPr>
        <w:t>为了使光伏组件紫外预处理试验箱在测量过程中得到准确一致的测量结果，保证生产和科研工作的正常运行，建立一个能统一量值的光伏组件紫外预处理试验箱校准规范。目前，</w:t>
      </w:r>
      <w:r>
        <w:rPr>
          <w:rFonts w:hint="eastAsia"/>
          <w:szCs w:val="21"/>
        </w:rPr>
        <w:t>国内</w:t>
      </w:r>
      <w:r>
        <w:rPr>
          <w:szCs w:val="21"/>
        </w:rPr>
        <w:t>对光伏组件紫外预处理试验箱的校准工作尚未开展，或存在不合理不统一的操作。所提出的校准规范未能开展对光伏组件紫外预处理试验箱温度参数校准等工作，促进光伏组件紫外预处理试验箱在科研院所及工业产品中更合理更准确的应用。确保量值传递的准确可靠。因此，制定《光伏组件紫外预处理试验箱校准规范》</w:t>
      </w:r>
      <w:r>
        <w:rPr>
          <w:rFonts w:hint="eastAsia"/>
          <w:szCs w:val="21"/>
        </w:rPr>
        <w:t>行业</w:t>
      </w:r>
      <w:r>
        <w:rPr>
          <w:szCs w:val="21"/>
        </w:rPr>
        <w:t>计量校准规范非常必要。</w:t>
      </w:r>
    </w:p>
    <w:p>
      <w:pPr>
        <w:spacing w:line="360" w:lineRule="auto"/>
        <w:rPr>
          <w:rFonts w:ascii="黑体" w:eastAsia="黑体"/>
          <w:bCs/>
          <w:szCs w:val="21"/>
        </w:rPr>
      </w:pPr>
      <w:r>
        <w:rPr>
          <w:rFonts w:hint="eastAsia" w:ascii="黑体" w:eastAsia="黑体"/>
          <w:bCs/>
          <w:szCs w:val="21"/>
        </w:rPr>
        <w:t>2.</w:t>
      </w:r>
      <w:r>
        <w:rPr>
          <w:rFonts w:hint="eastAsia" w:ascii="黑体" w:hAnsi="宋体" w:eastAsia="黑体"/>
          <w:bCs/>
          <w:szCs w:val="21"/>
        </w:rPr>
        <w:t>任务来源</w:t>
      </w:r>
    </w:p>
    <w:p>
      <w:pPr>
        <w:spacing w:line="300" w:lineRule="auto"/>
        <w:ind w:firstLine="420" w:firstLineChars="200"/>
        <w:contextualSpacing/>
        <w:jc w:val="left"/>
        <w:rPr>
          <w:szCs w:val="21"/>
        </w:rPr>
      </w:pPr>
      <w:r>
        <w:rPr>
          <w:rFonts w:hint="eastAsia"/>
          <w:szCs w:val="21"/>
        </w:rPr>
        <w:t xml:space="preserve">为适应我国有色金属行业的快速发展和满足国内外市场的需要，工业和信息化部以工信厅下达了《工业和信息化部办公厅关于印发2023年行业计量技术规范制修订计划的通知》（工厅科〔2023〕476号），其计划项目代号为：JJFZ(有色金属)020-2023，计划完成年限为2024年。 </w:t>
      </w:r>
    </w:p>
    <w:p>
      <w:pPr>
        <w:pStyle w:val="11"/>
        <w:numPr>
          <w:ilvl w:val="0"/>
          <w:numId w:val="3"/>
        </w:numPr>
        <w:spacing w:after="0" w:line="360" w:lineRule="auto"/>
        <w:rPr>
          <w:rFonts w:ascii="黑体" w:hAnsi="宋体" w:eastAsia="黑体"/>
          <w:bCs/>
          <w:szCs w:val="21"/>
        </w:rPr>
      </w:pPr>
      <w:r>
        <w:rPr>
          <w:rFonts w:hint="eastAsia" w:ascii="黑体" w:hAnsi="宋体" w:eastAsia="黑体"/>
          <w:bCs/>
          <w:szCs w:val="21"/>
        </w:rPr>
        <w:t>项目编制组单位简况</w:t>
      </w:r>
      <w:r>
        <w:rPr>
          <w:rFonts w:hint="eastAsia"/>
        </w:rPr>
        <w:t xml:space="preserve"> </w:t>
      </w:r>
    </w:p>
    <w:p>
      <w:pPr>
        <w:pStyle w:val="32"/>
        <w:numPr>
          <w:ilvl w:val="0"/>
          <w:numId w:val="0"/>
        </w:numPr>
        <w:spacing w:before="156" w:beforeLines="50" w:after="156" w:afterLines="50"/>
      </w:pPr>
      <w:bookmarkStart w:id="0" w:name="_Toc462884343"/>
      <w:bookmarkStart w:id="1" w:name="_Toc464728899"/>
      <w:r>
        <w:rPr>
          <w:rFonts w:hint="eastAsia"/>
        </w:rPr>
        <w:t>3.1编制组成员单位</w:t>
      </w:r>
      <w:bookmarkEnd w:id="0"/>
      <w:bookmarkEnd w:id="1"/>
    </w:p>
    <w:p>
      <w:pPr>
        <w:widowControl/>
        <w:autoSpaceDE w:val="0"/>
        <w:autoSpaceDN w:val="0"/>
        <w:spacing w:line="360" w:lineRule="auto"/>
        <w:ind w:firstLine="420" w:firstLineChars="200"/>
        <w:rPr>
          <w:szCs w:val="21"/>
        </w:rPr>
      </w:pPr>
      <w:bookmarkStart w:id="2" w:name="_Toc464728900"/>
      <w:bookmarkStart w:id="3" w:name="_Toc462884344"/>
      <w:r>
        <w:rPr>
          <w:rFonts w:hint="eastAsia"/>
          <w:szCs w:val="21"/>
        </w:rPr>
        <w:t>本规范的编制组单位为：西安汉唐分析检测有限公司</w:t>
      </w:r>
      <w:r>
        <w:rPr>
          <w:rFonts w:hint="eastAsia" w:asciiTheme="minorEastAsia" w:hAnsiTheme="minorEastAsia" w:eastAsiaTheme="minorEastAsia"/>
          <w:szCs w:val="21"/>
        </w:rPr>
        <w:t>等</w:t>
      </w:r>
      <w:r>
        <w:rPr>
          <w:rFonts w:hint="eastAsia"/>
          <w:szCs w:val="21"/>
        </w:rPr>
        <w:t>。</w:t>
      </w:r>
    </w:p>
    <w:p>
      <w:pPr>
        <w:pStyle w:val="32"/>
        <w:numPr>
          <w:ilvl w:val="0"/>
          <w:numId w:val="0"/>
        </w:numPr>
        <w:spacing w:before="156" w:beforeLines="50" w:after="156" w:afterLines="50"/>
        <w:contextualSpacing/>
        <w:rPr>
          <w:rFonts w:hAnsi="黑体"/>
        </w:rPr>
      </w:pPr>
      <w:r>
        <w:rPr>
          <w:rFonts w:hint="eastAsia" w:hAnsi="黑体"/>
        </w:rPr>
        <w:t>3.2主编单位简介</w:t>
      </w:r>
    </w:p>
    <w:p>
      <w:pPr>
        <w:pStyle w:val="33"/>
        <w:numPr>
          <w:ilvl w:val="0"/>
          <w:numId w:val="0"/>
        </w:numPr>
        <w:spacing w:before="156" w:beforeLines="50" w:after="156" w:afterLines="50"/>
        <w:contextualSpacing/>
      </w:pPr>
      <w:r>
        <w:rPr>
          <w:rFonts w:hint="eastAsia"/>
        </w:rPr>
        <w:t>3.2.1西安汉唐分析检测有限公司</w:t>
      </w:r>
    </w:p>
    <w:bookmarkEnd w:id="2"/>
    <w:bookmarkEnd w:id="3"/>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rPr>
          <w:szCs w:val="21"/>
        </w:rPr>
      </w:pPr>
      <w:r>
        <w:rPr>
          <w:rFonts w:hint="eastAsia"/>
          <w:szCs w:val="21"/>
        </w:rPr>
        <w:t>公司于1985年被陕西省质监局授权为陕西省有色金属产品质量监督检验站。1987年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pStyle w:val="11"/>
        <w:spacing w:after="0" w:line="360" w:lineRule="auto"/>
        <w:ind w:firstLine="420" w:firstLineChars="200"/>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32"/>
        <w:numPr>
          <w:ilvl w:val="0"/>
          <w:numId w:val="0"/>
        </w:numPr>
        <w:spacing w:before="156" w:beforeLines="50" w:after="156" w:afterLines="50"/>
      </w:pPr>
      <w:bookmarkStart w:id="4" w:name="_Toc464728901"/>
      <w:bookmarkStart w:id="5" w:name="_Toc462884345"/>
      <w:r>
        <w:rPr>
          <w:rFonts w:hint="eastAsia"/>
        </w:rPr>
        <w:t>3.3成员单位简介</w:t>
      </w:r>
      <w:bookmarkEnd w:id="4"/>
      <w:bookmarkEnd w:id="5"/>
    </w:p>
    <w:p>
      <w:pPr>
        <w:pStyle w:val="11"/>
        <w:spacing w:after="0" w:line="360" w:lineRule="auto"/>
        <w:rPr>
          <w:rFonts w:ascii="黑体" w:eastAsia="黑体"/>
          <w:bCs/>
          <w:szCs w:val="21"/>
        </w:rPr>
      </w:pPr>
      <w:r>
        <w:rPr>
          <w:rFonts w:hint="eastAsia" w:ascii="黑体" w:eastAsia="黑体"/>
          <w:bCs/>
          <w:szCs w:val="21"/>
        </w:rPr>
        <w:t>4</w:t>
      </w:r>
      <w:r>
        <w:rPr>
          <w:rFonts w:ascii="黑体" w:eastAsia="黑体"/>
          <w:bCs/>
          <w:szCs w:val="21"/>
        </w:rPr>
        <w:t>.</w:t>
      </w:r>
      <w:r>
        <w:rPr>
          <w:rFonts w:hint="eastAsia" w:ascii="黑体" w:hAnsi="宋体" w:eastAsia="黑体"/>
          <w:bCs/>
          <w:szCs w:val="21"/>
        </w:rPr>
        <w:t>主要工作过程</w:t>
      </w:r>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rFonts w:hint="eastAsia"/>
          <w:bCs/>
        </w:rPr>
        <w:t>1）</w:t>
      </w:r>
      <w:r>
        <w:rPr>
          <w:bCs/>
        </w:rPr>
        <w:t>20</w:t>
      </w:r>
      <w:r>
        <w:rPr>
          <w:rFonts w:hint="eastAsia"/>
          <w:bCs/>
        </w:rPr>
        <w:t>23年8月成立了计量规范编制组，明确了编制组成员各自的工作内容和任务。</w:t>
      </w:r>
    </w:p>
    <w:p>
      <w:pPr>
        <w:spacing w:line="360" w:lineRule="auto"/>
        <w:ind w:firstLine="210" w:firstLineChars="100"/>
        <w:contextualSpacing/>
        <w:rPr>
          <w:szCs w:val="21"/>
        </w:rPr>
      </w:pPr>
      <w:r>
        <w:rPr>
          <w:rFonts w:hint="eastAsia"/>
          <w:bCs/>
        </w:rPr>
        <w:t>2）</w:t>
      </w:r>
      <w:r>
        <w:rPr>
          <w:bCs/>
        </w:rPr>
        <w:t>20</w:t>
      </w:r>
      <w:r>
        <w:rPr>
          <w:rFonts w:hint="eastAsia"/>
          <w:bCs/>
        </w:rPr>
        <w:t>23年9月～2024年4月，计量规范编制组成员</w:t>
      </w:r>
      <w:r>
        <w:rPr>
          <w:rFonts w:hint="eastAsia"/>
          <w:szCs w:val="21"/>
        </w:rPr>
        <w:t>搜</w:t>
      </w:r>
      <w:r>
        <w:rPr>
          <w:rFonts w:hint="eastAsia"/>
          <w:color w:val="000000" w:themeColor="text1"/>
          <w:szCs w:val="21"/>
          <w14:textFill>
            <w14:solidFill>
              <w14:schemeClr w14:val="tx1"/>
            </w14:solidFill>
          </w14:textFill>
        </w:rPr>
        <w:t>集了</w:t>
      </w:r>
      <w:r>
        <w:rPr>
          <w:rFonts w:hint="eastAsia"/>
          <w:szCs w:val="21"/>
        </w:rPr>
        <w:t>光伏组件紫外预处理试验箱</w:t>
      </w:r>
      <w:r>
        <w:rPr>
          <w:rFonts w:hint="eastAsia"/>
          <w:color w:val="000000" w:themeColor="text1"/>
          <w:szCs w:val="21"/>
          <w14:textFill>
            <w14:solidFill>
              <w14:schemeClr w14:val="tx1"/>
            </w14:solidFill>
          </w14:textFill>
        </w:rPr>
        <w:t>相关技术资料、检测/校准方法等，研究</w:t>
      </w:r>
      <w:r>
        <w:rPr>
          <w:rFonts w:hint="eastAsia"/>
          <w:szCs w:val="21"/>
        </w:rPr>
        <w:t>光伏组件紫外预处理试验箱</w:t>
      </w:r>
      <w:r>
        <w:rPr>
          <w:rFonts w:hint="eastAsia"/>
          <w:color w:val="000000" w:themeColor="text1"/>
          <w:szCs w:val="21"/>
          <w14:textFill>
            <w14:solidFill>
              <w14:schemeClr w14:val="tx1"/>
            </w14:solidFill>
          </w14:textFill>
        </w:rPr>
        <w:t>校准方法，制定</w:t>
      </w:r>
      <w:r>
        <w:rPr>
          <w:rFonts w:hint="eastAsia"/>
          <w:szCs w:val="21"/>
        </w:rPr>
        <w:t>光伏组件紫外预处理试验箱</w:t>
      </w:r>
      <w:r>
        <w:rPr>
          <w:rFonts w:hint="eastAsia"/>
          <w:color w:val="000000" w:themeColor="text1"/>
          <w:szCs w:val="21"/>
          <w14:textFill>
            <w14:solidFill>
              <w14:schemeClr w14:val="tx1"/>
            </w14:solidFill>
          </w14:textFill>
        </w:rPr>
        <w:t>校准方案，并进行前期基础性实验，验证试验方法可行性，确定</w:t>
      </w:r>
      <w:r>
        <w:rPr>
          <w:rFonts w:hint="eastAsia"/>
          <w:szCs w:val="21"/>
        </w:rPr>
        <w:t>光伏组件紫外预处理试验箱</w:t>
      </w:r>
      <w:r>
        <w:rPr>
          <w:rFonts w:hint="eastAsia"/>
          <w:color w:val="000000" w:themeColor="text1"/>
          <w:szCs w:val="21"/>
          <w14:textFill>
            <w14:solidFill>
              <w14:schemeClr w14:val="tx1"/>
            </w14:solidFill>
          </w14:textFill>
        </w:rPr>
        <w:t>技术要求、校准项目、校准方法等，</w:t>
      </w:r>
      <w:r>
        <w:rPr>
          <w:rFonts w:hint="eastAsia"/>
          <w:bCs/>
        </w:rPr>
        <w:t>2024年1月，</w:t>
      </w:r>
      <w:r>
        <w:rPr>
          <w:rFonts w:hint="eastAsia"/>
          <w:color w:val="000000" w:themeColor="text1"/>
          <w:szCs w:val="21"/>
          <w14:textFill>
            <w14:solidFill>
              <w14:schemeClr w14:val="tx1"/>
            </w14:solidFill>
          </w14:textFill>
        </w:rPr>
        <w:t>形成《</w:t>
      </w:r>
      <w:r>
        <w:rPr>
          <w:rFonts w:hint="eastAsia"/>
          <w:szCs w:val="21"/>
        </w:rPr>
        <w:t>光伏组件紫外预处理试验箱</w:t>
      </w:r>
      <w:r>
        <w:rPr>
          <w:rFonts w:hint="eastAsia"/>
          <w:color w:val="000000" w:themeColor="text1"/>
          <w:szCs w:val="21"/>
          <w14:textFill>
            <w14:solidFill>
              <w14:schemeClr w14:val="tx1"/>
            </w14:solidFill>
          </w14:textFill>
        </w:rPr>
        <w:t>校准规范-初稿》</w:t>
      </w:r>
      <w:r>
        <w:rPr>
          <w:rFonts w:hint="eastAsia"/>
          <w:bCs/>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并发往计量技术机构和相关使用单位、制造单位广泛征求意见，收到意见20余条。2024年4月，本</w:t>
      </w:r>
      <w:r>
        <w:rPr>
          <w:rFonts w:hint="eastAsia"/>
          <w:szCs w:val="21"/>
        </w:rPr>
        <w:t>单位根据收到的意见对《光伏组件紫外预处理试验箱校准规范-初稿》进行修改，最终形成《光伏组件紫外预处理试验箱校准规范-讨论稿》。</w:t>
      </w:r>
    </w:p>
    <w:p>
      <w:pPr>
        <w:pStyle w:val="45"/>
        <w:tabs>
          <w:tab w:val="left" w:pos="426"/>
        </w:tabs>
        <w:spacing w:before="312" w:beforeLines="100" w:after="312" w:afterLines="100"/>
        <w:ind w:left="-420" w:leftChars="-200"/>
        <w:jc w:val="left"/>
      </w:pPr>
      <w:r>
        <w:rPr>
          <w:rFonts w:hint="eastAsia"/>
          <w:bCs/>
          <w:color w:val="000000"/>
          <w:szCs w:val="21"/>
        </w:rPr>
        <w:t>二、</w:t>
      </w:r>
      <w:r>
        <w:rPr>
          <w:rFonts w:hint="eastAsia"/>
        </w:rPr>
        <w:t>规范编制原则和确定主要内容</w:t>
      </w:r>
    </w:p>
    <w:p>
      <w:pPr>
        <w:pStyle w:val="50"/>
        <w:wordWrap/>
        <w:spacing w:beforeLines="0" w:after="156" w:line="360" w:lineRule="auto"/>
      </w:pPr>
      <w:bookmarkStart w:id="6" w:name="_Toc464728925"/>
      <w:r>
        <w:rPr>
          <w:rFonts w:hint="eastAsia"/>
        </w:rPr>
        <w:t>编制原则</w:t>
      </w:r>
      <w:bookmarkEnd w:id="6"/>
    </w:p>
    <w:p>
      <w:pPr>
        <w:pStyle w:val="26"/>
        <w:spacing w:line="324" w:lineRule="auto"/>
        <w:ind w:firstLine="420"/>
        <w:rPr>
          <w:rFonts w:ascii="Times New Roman"/>
          <w:kern w:val="2"/>
          <w:szCs w:val="21"/>
        </w:rPr>
      </w:pPr>
      <w:r>
        <w:rPr>
          <w:rFonts w:hint="eastAsia" w:ascii="Times New Roman"/>
          <w:kern w:val="2"/>
          <w:szCs w:val="21"/>
        </w:rPr>
        <w:t>本规范是以</w:t>
      </w:r>
      <w:r>
        <w:rPr>
          <w:rFonts w:ascii="Times New Roman"/>
          <w:kern w:val="2"/>
          <w:szCs w:val="21"/>
        </w:rPr>
        <w:t>JJF 1071-2010</w:t>
      </w:r>
      <w:r>
        <w:rPr>
          <w:rFonts w:hint="eastAsia" w:ascii="Times New Roman"/>
          <w:kern w:val="2"/>
          <w:szCs w:val="21"/>
        </w:rPr>
        <w:t>《国家计量校准规范编写规则》、JJF 1001-2011《通用计量术语及定义》和JJF 1059.1-2012《测量不确定度评定与表示》为基础性系列规范进行编写。</w:t>
      </w:r>
    </w:p>
    <w:p>
      <w:pPr>
        <w:adjustRightInd w:val="0"/>
        <w:snapToGrid w:val="0"/>
        <w:spacing w:line="360" w:lineRule="auto"/>
        <w:ind w:firstLine="420" w:firstLineChars="200"/>
        <w:rPr>
          <w:kern w:val="0"/>
          <w:szCs w:val="20"/>
        </w:rPr>
      </w:pPr>
      <w:r>
        <w:rPr>
          <w:rFonts w:hint="eastAsia"/>
          <w:szCs w:val="21"/>
        </w:rPr>
        <w:t>本规范</w:t>
      </w:r>
      <w:r>
        <w:rPr>
          <w:sz w:val="24"/>
        </w:rPr>
        <w:t>主要参考标</w:t>
      </w:r>
      <w:r>
        <w:rPr>
          <w:szCs w:val="21"/>
        </w:rPr>
        <w:t>准</w:t>
      </w:r>
      <w:r>
        <w:rPr>
          <w:rFonts w:hint="eastAsia"/>
          <w:szCs w:val="21"/>
        </w:rPr>
        <w:t>JJF 2062-2023</w:t>
      </w:r>
      <w:r>
        <w:rPr>
          <w:szCs w:val="21"/>
        </w:rPr>
        <w:t>《</w:t>
      </w:r>
      <w:r>
        <w:rPr>
          <w:rFonts w:hint="eastAsia"/>
          <w:szCs w:val="21"/>
        </w:rPr>
        <w:t>光伏组件用紫外老化箱校准规范</w:t>
      </w:r>
      <w:r>
        <w:rPr>
          <w:szCs w:val="21"/>
        </w:rPr>
        <w:t>》，</w:t>
      </w:r>
      <w:r>
        <w:rPr>
          <w:rFonts w:hint="eastAsia"/>
          <w:szCs w:val="21"/>
        </w:rPr>
        <w:t>引用了</w:t>
      </w:r>
      <w:r>
        <w:rPr>
          <w:rFonts w:hint="eastAsia"/>
          <w:kern w:val="0"/>
          <w:szCs w:val="20"/>
        </w:rPr>
        <w:t>JJF 1101-2019 环境试验设备温度、湿度参数校准规范</w:t>
      </w:r>
      <w:r>
        <w:rPr>
          <w:rFonts w:hint="eastAsia"/>
          <w:szCs w:val="21"/>
        </w:rPr>
        <w:t>校准方法</w:t>
      </w:r>
      <w:r>
        <w:rPr>
          <w:szCs w:val="21"/>
        </w:rPr>
        <w:t>等相关内容。</w:t>
      </w:r>
    </w:p>
    <w:p>
      <w:pPr>
        <w:pStyle w:val="50"/>
        <w:spacing w:before="312" w:beforeLines="100" w:after="312" w:afterLines="100"/>
        <w:rPr>
          <w:rFonts w:ascii="宋体" w:hAnsi="宋体"/>
        </w:rPr>
      </w:pPr>
      <w:bookmarkStart w:id="7" w:name="_Toc193860208"/>
      <w:bookmarkStart w:id="8" w:name="_Toc193860177"/>
      <w:bookmarkStart w:id="9" w:name="_Toc193860027"/>
      <w:bookmarkStart w:id="10" w:name="_Toc500258929"/>
      <w:bookmarkStart w:id="11" w:name="_Toc23837_WPSOffice_Level1"/>
      <w:bookmarkStart w:id="12" w:name="_Toc464728964"/>
      <w:r>
        <w:rPr>
          <w:rFonts w:hint="eastAsia"/>
        </w:rPr>
        <w:t>确定主要内容</w:t>
      </w:r>
    </w:p>
    <w:p>
      <w:pPr>
        <w:pStyle w:val="31"/>
        <w:numPr>
          <w:ilvl w:val="0"/>
          <w:numId w:val="0"/>
        </w:numPr>
        <w:spacing w:beforeLines="0" w:afterLines="0" w:line="360" w:lineRule="auto"/>
        <w:rPr>
          <w:rFonts w:ascii="Times New Roman"/>
          <w:szCs w:val="21"/>
        </w:rPr>
      </w:pPr>
      <w:r>
        <w:rPr>
          <w:rFonts w:ascii="Times New Roman"/>
          <w:szCs w:val="21"/>
        </w:rPr>
        <w:t>1</w:t>
      </w:r>
      <w:r>
        <w:rPr>
          <w:rFonts w:hint="eastAsia" w:ascii="Times New Roman"/>
          <w:szCs w:val="21"/>
        </w:rPr>
        <w:t xml:space="preserve"> 范围</w:t>
      </w:r>
      <w:bookmarkEnd w:id="7"/>
      <w:bookmarkEnd w:id="8"/>
      <w:bookmarkEnd w:id="9"/>
      <w:bookmarkEnd w:id="10"/>
      <w:bookmarkEnd w:id="11"/>
    </w:p>
    <w:p>
      <w:pPr>
        <w:widowControl/>
        <w:spacing w:line="360" w:lineRule="auto"/>
        <w:ind w:firstLine="480" w:firstLineChars="200"/>
        <w:rPr>
          <w:kern w:val="0"/>
          <w:sz w:val="24"/>
          <w:szCs w:val="20"/>
        </w:rPr>
      </w:pPr>
      <w:bookmarkStart w:id="13" w:name="_Toc193860209"/>
      <w:bookmarkStart w:id="14" w:name="_Toc193860178"/>
      <w:bookmarkStart w:id="15" w:name="_Toc193860028"/>
      <w:bookmarkStart w:id="16" w:name="_Toc7848_WPSOffice_Level1"/>
      <w:bookmarkStart w:id="17" w:name="_Toc500258930"/>
      <w:r>
        <w:rPr>
          <w:rFonts w:hint="eastAsia"/>
          <w:kern w:val="0"/>
          <w:sz w:val="24"/>
          <w:szCs w:val="20"/>
        </w:rPr>
        <w:t>本规范适用于光伏组件紫外预处理试验箱的校准</w:t>
      </w:r>
      <w:r>
        <w:rPr>
          <w:rFonts w:hint="eastAsia"/>
          <w:szCs w:val="21"/>
        </w:rPr>
        <w:t>。</w:t>
      </w:r>
    </w:p>
    <w:p>
      <w:pPr>
        <w:pStyle w:val="31"/>
        <w:numPr>
          <w:ilvl w:val="0"/>
          <w:numId w:val="0"/>
        </w:numPr>
        <w:spacing w:beforeLines="0" w:afterLines="0" w:line="360" w:lineRule="auto"/>
        <w:rPr>
          <w:rFonts w:ascii="Times New Roman"/>
          <w:szCs w:val="21"/>
        </w:rPr>
      </w:pPr>
      <w:r>
        <w:rPr>
          <w:rFonts w:hint="eastAsia" w:ascii="Times New Roman"/>
          <w:szCs w:val="21"/>
        </w:rPr>
        <w:t>2引用文</w:t>
      </w:r>
      <w:bookmarkEnd w:id="13"/>
      <w:bookmarkEnd w:id="14"/>
      <w:bookmarkEnd w:id="15"/>
      <w:r>
        <w:rPr>
          <w:rFonts w:hint="eastAsia" w:ascii="Times New Roman"/>
          <w:szCs w:val="21"/>
        </w:rPr>
        <w:t>件</w:t>
      </w:r>
      <w:bookmarkEnd w:id="16"/>
      <w:bookmarkEnd w:id="17"/>
    </w:p>
    <w:p>
      <w:pPr>
        <w:spacing w:line="360" w:lineRule="auto"/>
        <w:ind w:firstLine="420" w:firstLineChars="200"/>
        <w:rPr>
          <w:szCs w:val="21"/>
        </w:rPr>
      </w:pPr>
      <w:bookmarkStart w:id="18" w:name="_Toc193860030"/>
      <w:bookmarkStart w:id="19" w:name="_Toc193860211"/>
      <w:bookmarkStart w:id="20" w:name="_Toc193619097"/>
      <w:bookmarkStart w:id="21" w:name="_Toc13054_WPSOffice_Level1"/>
      <w:bookmarkStart w:id="22" w:name="_Toc193619055"/>
      <w:bookmarkStart w:id="23" w:name="_Toc193860180"/>
      <w:bookmarkStart w:id="24" w:name="_Toc193618952"/>
      <w:bookmarkStart w:id="25" w:name="_Toc500258937"/>
      <w:r>
        <w:rPr>
          <w:szCs w:val="21"/>
        </w:rPr>
        <w:t>本规范引用了下列文件：</w:t>
      </w:r>
    </w:p>
    <w:p>
      <w:pPr>
        <w:adjustRightInd w:val="0"/>
        <w:snapToGrid w:val="0"/>
        <w:spacing w:line="360" w:lineRule="auto"/>
        <w:ind w:firstLine="420" w:firstLineChars="200"/>
        <w:rPr>
          <w:szCs w:val="21"/>
        </w:rPr>
      </w:pPr>
      <w:r>
        <w:rPr>
          <w:rFonts w:hint="eastAsia"/>
          <w:szCs w:val="21"/>
        </w:rPr>
        <w:t>JJF 1101-2019 环境试验设备温度、湿度参数校准规范</w:t>
      </w:r>
    </w:p>
    <w:p>
      <w:pPr>
        <w:spacing w:line="360" w:lineRule="auto"/>
        <w:ind w:firstLine="420" w:firstLineChars="200"/>
        <w:rPr>
          <w:szCs w:val="21"/>
        </w:rPr>
      </w:pPr>
      <w:r>
        <w:rPr>
          <w:szCs w:val="21"/>
        </w:rPr>
        <w:t>凡是注日期的引用文件，仅注日期的版本适用于本规范；凡是不注日期的引用文件，其最新版本（包括所有的修改单）适用于本规范。</w:t>
      </w:r>
    </w:p>
    <w:p>
      <w:pPr>
        <w:pStyle w:val="31"/>
        <w:numPr>
          <w:ilvl w:val="0"/>
          <w:numId w:val="0"/>
        </w:numPr>
        <w:spacing w:beforeLines="0" w:afterLines="0" w:line="360" w:lineRule="auto"/>
        <w:rPr>
          <w:rFonts w:ascii="Times New Roman"/>
          <w:sz w:val="21"/>
          <w:szCs w:val="21"/>
        </w:rPr>
      </w:pPr>
      <w:r>
        <w:rPr>
          <w:rFonts w:hint="eastAsia" w:ascii="Times New Roman"/>
          <w:sz w:val="21"/>
          <w:szCs w:val="21"/>
        </w:rPr>
        <w:t>3 概述</w:t>
      </w:r>
      <w:bookmarkEnd w:id="18"/>
      <w:bookmarkEnd w:id="19"/>
      <w:bookmarkEnd w:id="20"/>
      <w:bookmarkEnd w:id="21"/>
      <w:bookmarkEnd w:id="22"/>
      <w:bookmarkEnd w:id="23"/>
      <w:bookmarkEnd w:id="24"/>
      <w:bookmarkEnd w:id="25"/>
    </w:p>
    <w:p>
      <w:pPr>
        <w:adjustRightInd w:val="0"/>
        <w:snapToGrid w:val="0"/>
        <w:spacing w:line="360" w:lineRule="auto"/>
        <w:ind w:firstLine="420" w:firstLineChars="200"/>
        <w:rPr>
          <w:color w:val="000000" w:themeColor="text1"/>
          <w:szCs w:val="21"/>
          <w14:textFill>
            <w14:solidFill>
              <w14:schemeClr w14:val="tx1"/>
            </w14:solidFill>
          </w14:textFill>
        </w:rPr>
      </w:pPr>
      <w:bookmarkStart w:id="26" w:name="_Toc19851_WPSOffice_Level1"/>
      <w:bookmarkStart w:id="27" w:name="_Toc193618953"/>
      <w:bookmarkStart w:id="28" w:name="_Toc193860181"/>
      <w:bookmarkStart w:id="29" w:name="_Toc500258938"/>
      <w:bookmarkStart w:id="30" w:name="_Toc193860031"/>
      <w:bookmarkStart w:id="31" w:name="_Toc193860212"/>
      <w:bookmarkStart w:id="32" w:name="_Toc193619056"/>
      <w:bookmarkStart w:id="33" w:name="_Toc193619098"/>
      <w:r>
        <w:rPr>
          <w:rFonts w:hint="eastAsia"/>
          <w:kern w:val="0"/>
          <w:szCs w:val="21"/>
        </w:rPr>
        <w:t>光伏组件紫外预处理试验箱(以下简称紫外预处理试验箱)是模拟太阳光光谱里紫外部分的装置，配合适当的温度，用于考核光伏组件抗紫外辐射能力的试验。紫外预处理试验箱通常采用中空箱体式结构，光源侧置或顶置</w:t>
      </w:r>
      <w:r>
        <w:rPr>
          <w:color w:val="000000" w:themeColor="text1"/>
          <w:szCs w:val="21"/>
          <w14:textFill>
            <w14:solidFill>
              <w14:schemeClr w14:val="tx1"/>
            </w14:solidFill>
          </w14:textFill>
        </w:rPr>
        <w:t>。</w:t>
      </w:r>
    </w:p>
    <w:bookmarkEnd w:id="26"/>
    <w:bookmarkEnd w:id="27"/>
    <w:bookmarkEnd w:id="28"/>
    <w:bookmarkEnd w:id="29"/>
    <w:bookmarkEnd w:id="30"/>
    <w:bookmarkEnd w:id="31"/>
    <w:bookmarkEnd w:id="32"/>
    <w:bookmarkEnd w:id="33"/>
    <w:p>
      <w:pPr>
        <w:pStyle w:val="31"/>
        <w:numPr>
          <w:ilvl w:val="0"/>
          <w:numId w:val="0"/>
        </w:numPr>
        <w:spacing w:before="156" w:after="156" w:line="360" w:lineRule="auto"/>
        <w:rPr>
          <w:rFonts w:ascii="Times New Roman"/>
          <w:sz w:val="21"/>
          <w:szCs w:val="21"/>
        </w:rPr>
      </w:pPr>
      <w:bookmarkStart w:id="34" w:name="_Toc25829_WPSOffice_Level1"/>
      <w:r>
        <w:rPr>
          <w:rFonts w:hint="eastAsia" w:ascii="Times New Roman"/>
          <w:sz w:val="21"/>
          <w:szCs w:val="21"/>
        </w:rPr>
        <w:t>4 计量特性</w:t>
      </w:r>
    </w:p>
    <w:p>
      <w:pPr>
        <w:spacing w:line="360" w:lineRule="auto"/>
        <w:rPr>
          <w:kern w:val="0"/>
          <w:szCs w:val="21"/>
        </w:rPr>
      </w:pPr>
      <w:r>
        <w:rPr>
          <w:rFonts w:hint="eastAsia"/>
          <w:color w:val="000000" w:themeColor="text1"/>
          <w:szCs w:val="21"/>
          <w14:textFill>
            <w14:solidFill>
              <w14:schemeClr w14:val="tx1"/>
            </w14:solidFill>
          </w14:textFill>
        </w:rPr>
        <w:t xml:space="preserve">4.1 </w:t>
      </w:r>
      <w:r>
        <w:rPr>
          <w:rFonts w:hint="eastAsia"/>
          <w:kern w:val="0"/>
          <w:szCs w:val="21"/>
        </w:rPr>
        <w:t>紫外预处理试验箱温度偏差</w:t>
      </w:r>
    </w:p>
    <w:p>
      <w:pPr>
        <w:spacing w:line="360" w:lineRule="auto"/>
        <w:ind w:firstLine="420" w:firstLineChars="200"/>
        <w:rPr>
          <w:color w:val="000000" w:themeColor="text1"/>
          <w:szCs w:val="21"/>
          <w14:textFill>
            <w14:solidFill>
              <w14:schemeClr w14:val="tx1"/>
            </w14:solidFill>
          </w14:textFill>
        </w:rPr>
      </w:pPr>
      <w:r>
        <w:rPr>
          <w:rFonts w:hint="eastAsia"/>
          <w:kern w:val="0"/>
          <w:szCs w:val="21"/>
        </w:rPr>
        <w:t>紫外预处理试验箱温度偏差允许误差±5℃。</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紫外辐照度</w:t>
      </w:r>
      <w:r>
        <w:rPr>
          <w:color w:val="000000" w:themeColor="text1"/>
          <w:szCs w:val="21"/>
          <w14:textFill>
            <w14:solidFill>
              <w14:schemeClr w14:val="tx1"/>
            </w14:solidFill>
          </w14:textFill>
        </w:rPr>
        <w:t>示值误差</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紫外辐照度</w:t>
      </w:r>
      <w:r>
        <w:rPr>
          <w:color w:val="000000" w:themeColor="text1"/>
          <w:szCs w:val="21"/>
          <w14:textFill>
            <w14:solidFill>
              <w14:schemeClr w14:val="tx1"/>
            </w14:solidFill>
          </w14:textFill>
        </w:rPr>
        <w:t>示值误差</w:t>
      </w:r>
      <w:r>
        <w:rPr>
          <w:rFonts w:hint="eastAsia"/>
          <w:color w:val="000000" w:themeColor="text1"/>
          <w:szCs w:val="21"/>
          <w14:textFill>
            <w14:solidFill>
              <w14:schemeClr w14:val="tx1"/>
            </w14:solidFill>
          </w14:textFill>
        </w:rPr>
        <w:t>不超过( 0.6~1.4 )。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3 紫外光谱积分辐照度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UVC 波段: ( 250~280 ) nm 、 UVB 波段: ( 280~320 ) nm 和 UVA 波段:</w:t>
      </w:r>
      <w:r>
        <w:rPr>
          <w:color w:val="000000" w:themeColor="text1"/>
          <w:szCs w:val="21"/>
          <w14:textFill>
            <w14:solidFill>
              <w14:schemeClr w14:val="tx1"/>
            </w14:solidFill>
          </w14:textFill>
        </w:rPr>
        <w:t>( 320~</w:t>
      </w:r>
      <w:r>
        <w:rPr>
          <w:rFonts w:hint="eastAsia"/>
          <w:color w:val="000000" w:themeColor="text1"/>
          <w:szCs w:val="21"/>
          <w14:textFill>
            <w14:solidFill>
              <w14:schemeClr w14:val="tx1"/>
            </w14:solidFill>
          </w14:textFill>
        </w:rPr>
        <w:t>400 ) nm 的积分辐照度。</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 紫外辐照度不均匀度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紫外</w:t>
      </w:r>
      <w:r>
        <w:rPr>
          <w:rFonts w:hint="eastAsia"/>
          <w:kern w:val="0"/>
          <w:szCs w:val="21"/>
        </w:rPr>
        <w:t>预处理试验箱</w:t>
      </w:r>
      <w:r>
        <w:rPr>
          <w:rFonts w:hint="eastAsia"/>
          <w:color w:val="000000" w:themeColor="text1"/>
          <w:szCs w:val="21"/>
          <w14:textFill>
            <w14:solidFill>
              <w14:schemeClr w14:val="tx1"/>
            </w14:solidFill>
          </w14:textFill>
        </w:rPr>
        <w:t>内指定测量平面上的紫外辐照度不均匀度不超过 15%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紫外辐照度不稳定度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紫外</w:t>
      </w:r>
      <w:r>
        <w:rPr>
          <w:rFonts w:hint="eastAsia"/>
          <w:kern w:val="0"/>
          <w:szCs w:val="21"/>
        </w:rPr>
        <w:t>预处理试验箱</w:t>
      </w:r>
      <w:r>
        <w:rPr>
          <w:rFonts w:hint="eastAsia"/>
          <w:color w:val="000000" w:themeColor="text1"/>
          <w:szCs w:val="21"/>
          <w14:textFill>
            <w14:solidFill>
              <w14:schemeClr w14:val="tx1"/>
            </w14:solidFill>
          </w14:textFill>
        </w:rPr>
        <w:t>内的紫外辐照度不稳定度不超过 5% 。</w:t>
      </w:r>
    </w:p>
    <w:p>
      <w:pPr>
        <w:pStyle w:val="31"/>
        <w:numPr>
          <w:ilvl w:val="0"/>
          <w:numId w:val="0"/>
        </w:numPr>
        <w:spacing w:before="156" w:after="156" w:line="360" w:lineRule="auto"/>
        <w:rPr>
          <w:rFonts w:ascii="Times New Roman"/>
          <w:szCs w:val="21"/>
        </w:rPr>
      </w:pPr>
      <w:r>
        <w:rPr>
          <w:rFonts w:hint="eastAsia" w:ascii="Times New Roman"/>
          <w:szCs w:val="21"/>
        </w:rPr>
        <w:t>5校准条件</w:t>
      </w:r>
      <w:bookmarkEnd w:id="34"/>
      <w:bookmarkStart w:id="35" w:name="_Toc193860214"/>
      <w:bookmarkStart w:id="36" w:name="_Toc193860033"/>
      <w:bookmarkStart w:id="37" w:name="_Toc500258942"/>
      <w:bookmarkStart w:id="38" w:name="_Toc193860183"/>
    </w:p>
    <w:bookmarkEnd w:id="35"/>
    <w:bookmarkEnd w:id="36"/>
    <w:bookmarkEnd w:id="37"/>
    <w:bookmarkEnd w:id="38"/>
    <w:p>
      <w:pPr>
        <w:spacing w:line="360" w:lineRule="auto"/>
        <w:rPr>
          <w:rFonts w:eastAsiaTheme="minorEastAsia"/>
          <w:szCs w:val="21"/>
        </w:rPr>
      </w:pPr>
      <w:bookmarkStart w:id="39" w:name="_Toc500258944"/>
      <w:bookmarkStart w:id="40" w:name="_Toc2741_WPSOffice_Level1"/>
      <w:bookmarkStart w:id="41" w:name="_Toc193619058"/>
      <w:bookmarkStart w:id="42" w:name="_Toc193618955"/>
      <w:bookmarkStart w:id="43" w:name="_Toc193860035"/>
      <w:bookmarkStart w:id="44" w:name="_Toc193860185"/>
      <w:bookmarkStart w:id="45" w:name="_Toc193619100"/>
      <w:bookmarkStart w:id="46" w:name="_Toc193860216"/>
      <w:r>
        <w:rPr>
          <w:rFonts w:hint="eastAsia" w:eastAsiaTheme="minorEastAsia"/>
          <w:szCs w:val="21"/>
        </w:rPr>
        <w:t>5</w:t>
      </w:r>
      <w:r>
        <w:rPr>
          <w:rFonts w:eastAsiaTheme="minorEastAsia"/>
          <w:szCs w:val="21"/>
        </w:rPr>
        <w:t>.1 环境条件</w:t>
      </w:r>
    </w:p>
    <w:p>
      <w:pPr>
        <w:pStyle w:val="26"/>
        <w:spacing w:line="360" w:lineRule="auto"/>
        <w:ind w:firstLine="420"/>
        <w:rPr>
          <w:rFonts w:ascii="Times New Roman"/>
          <w:szCs w:val="21"/>
        </w:rPr>
      </w:pPr>
      <w:r>
        <w:rPr>
          <w:rFonts w:ascii="Times New Roman"/>
          <w:szCs w:val="21"/>
        </w:rPr>
        <w:t>环境温度：</w:t>
      </w:r>
      <w:r>
        <w:rPr>
          <w:rFonts w:hint="eastAsia" w:ascii="Times New Roman"/>
          <w:szCs w:val="21"/>
        </w:rPr>
        <w:t>15</w:t>
      </w:r>
      <w:r>
        <w:rPr>
          <w:rFonts w:ascii="Times New Roman"/>
          <w:szCs w:val="21"/>
        </w:rPr>
        <w:t>℃～3</w:t>
      </w:r>
      <w:r>
        <w:rPr>
          <w:rFonts w:hint="eastAsia" w:ascii="Times New Roman"/>
          <w:szCs w:val="21"/>
        </w:rPr>
        <w:t>5</w:t>
      </w:r>
      <w:r>
        <w:rPr>
          <w:rFonts w:ascii="Times New Roman"/>
          <w:szCs w:val="21"/>
        </w:rPr>
        <w:t>℃；</w:t>
      </w:r>
    </w:p>
    <w:p>
      <w:pPr>
        <w:pStyle w:val="26"/>
        <w:spacing w:line="360" w:lineRule="auto"/>
        <w:ind w:firstLine="420"/>
        <w:rPr>
          <w:rFonts w:ascii="Times New Roman"/>
          <w:szCs w:val="21"/>
        </w:rPr>
      </w:pPr>
      <w:r>
        <w:rPr>
          <w:rFonts w:ascii="Times New Roman"/>
          <w:szCs w:val="21"/>
        </w:rPr>
        <w:t>相对湿度：</w:t>
      </w:r>
      <w:r>
        <w:rPr>
          <w:rFonts w:hint="eastAsia" w:ascii="Times New Roman"/>
          <w:szCs w:val="21"/>
        </w:rPr>
        <w:t>30%</w:t>
      </w:r>
      <w:r>
        <w:rPr>
          <w:rFonts w:ascii="Times New Roman"/>
          <w:szCs w:val="21"/>
        </w:rPr>
        <w:t>～8</w:t>
      </w:r>
      <w:r>
        <w:rPr>
          <w:rFonts w:hint="eastAsia" w:ascii="Times New Roman"/>
          <w:szCs w:val="21"/>
        </w:rPr>
        <w:t>5</w:t>
      </w:r>
      <w:r>
        <w:rPr>
          <w:rFonts w:ascii="Times New Roman"/>
          <w:szCs w:val="21"/>
        </w:rPr>
        <w:t xml:space="preserve">%； </w:t>
      </w:r>
    </w:p>
    <w:p>
      <w:pPr>
        <w:spacing w:line="360" w:lineRule="auto"/>
        <w:ind w:firstLine="420" w:firstLineChars="200"/>
        <w:rPr>
          <w:kern w:val="0"/>
          <w:szCs w:val="21"/>
        </w:rPr>
      </w:pPr>
      <w:r>
        <w:rPr>
          <w:rFonts w:hint="eastAsia"/>
          <w:kern w:val="0"/>
          <w:szCs w:val="21"/>
        </w:rPr>
        <w:t>电网电压波动符合紫外预处理试验箱和检测设备的使用要求，无影响其正常工作的电磁场、机械振动；校准地点应无影响辐照度和光谱测量的杂散光。</w:t>
      </w:r>
    </w:p>
    <w:p>
      <w:pPr>
        <w:rPr>
          <w:szCs w:val="21"/>
        </w:rPr>
      </w:pPr>
      <w:r>
        <w:rPr>
          <w:rFonts w:hint="eastAsia" w:eastAsiaTheme="minorEastAsia"/>
          <w:szCs w:val="21"/>
        </w:rPr>
        <w:t>5</w:t>
      </w:r>
      <w:r>
        <w:rPr>
          <w:rFonts w:eastAsiaTheme="minorEastAsia"/>
          <w:szCs w:val="21"/>
        </w:rPr>
        <w:t>.2</w:t>
      </w:r>
      <w:r>
        <w:rPr>
          <w:szCs w:val="21"/>
        </w:rPr>
        <w:t>测量标准及其他测量设备</w:t>
      </w:r>
      <w:bookmarkStart w:id="47" w:name="_Hlk508488538"/>
    </w:p>
    <w:p>
      <w:pPr>
        <w:numPr>
          <w:ilvl w:val="0"/>
          <w:numId w:val="4"/>
        </w:numPr>
        <w:autoSpaceDE w:val="0"/>
        <w:autoSpaceDN w:val="0"/>
        <w:adjustRightInd w:val="0"/>
        <w:spacing w:line="440" w:lineRule="exact"/>
        <w:rPr>
          <w:bCs/>
          <w:color w:val="000000"/>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测量标准及其他测量设备技术指标见表</w:t>
      </w:r>
      <w:r>
        <w:rPr>
          <w:rFonts w:hint="eastAsia"/>
          <w:szCs w:val="21"/>
        </w:rPr>
        <w:t>1</w:t>
      </w:r>
      <w:r>
        <w:rPr>
          <w:szCs w:val="21"/>
        </w:rPr>
        <w:t>。</w:t>
      </w:r>
    </w:p>
    <w:p>
      <w:pPr>
        <w:pStyle w:val="26"/>
        <w:spacing w:line="360" w:lineRule="auto"/>
        <w:ind w:firstLine="420"/>
        <w:jc w:val="center"/>
        <w:rPr>
          <w:rFonts w:hint="eastAsia" w:ascii="Times New Roman" w:eastAsia="黑体"/>
          <w:szCs w:val="21"/>
        </w:rPr>
      </w:pPr>
      <w:r>
        <w:rPr>
          <w:rFonts w:ascii="Times New Roman" w:eastAsia="黑体"/>
          <w:szCs w:val="21"/>
        </w:rPr>
        <w:t>表</w:t>
      </w:r>
      <w:r>
        <w:rPr>
          <w:rFonts w:hint="eastAsia" w:ascii="Times New Roman" w:eastAsia="黑体"/>
          <w:szCs w:val="21"/>
        </w:rPr>
        <w:t>1</w:t>
      </w:r>
      <w:r>
        <w:rPr>
          <w:rFonts w:ascii="Times New Roman" w:eastAsia="黑体"/>
          <w:szCs w:val="21"/>
        </w:rPr>
        <w:t xml:space="preserve"> 测量标准及其他测量设备技术指标</w:t>
      </w:r>
    </w:p>
    <w:tbl>
      <w:tblPr>
        <w:tblStyle w:val="16"/>
        <w:tblW w:w="458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2114"/>
        <w:gridCol w:w="1864"/>
        <w:gridCol w:w="297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Pr>
          <w:p>
            <w:pPr>
              <w:spacing w:line="360" w:lineRule="auto"/>
              <w:jc w:val="center"/>
              <w:rPr>
                <w:szCs w:val="21"/>
              </w:rPr>
            </w:pPr>
            <w:r>
              <w:rPr>
                <w:rFonts w:hint="eastAsia"/>
                <w:szCs w:val="21"/>
              </w:rPr>
              <w:t>序号</w:t>
            </w:r>
          </w:p>
        </w:tc>
        <w:tc>
          <w:tcPr>
            <w:tcW w:w="1353" w:type="pct"/>
          </w:tcPr>
          <w:p>
            <w:pPr>
              <w:spacing w:line="360" w:lineRule="auto"/>
              <w:jc w:val="center"/>
              <w:rPr>
                <w:szCs w:val="21"/>
              </w:rPr>
            </w:pPr>
            <w:r>
              <w:rPr>
                <w:szCs w:val="21"/>
              </w:rPr>
              <w:t>名称</w:t>
            </w:r>
          </w:p>
        </w:tc>
        <w:tc>
          <w:tcPr>
            <w:tcW w:w="1193" w:type="pct"/>
            <w:tcBorders>
              <w:right w:val="single" w:color="auto" w:sz="4" w:space="0"/>
            </w:tcBorders>
          </w:tcPr>
          <w:p>
            <w:pPr>
              <w:spacing w:line="360" w:lineRule="auto"/>
              <w:jc w:val="center"/>
              <w:rPr>
                <w:szCs w:val="21"/>
              </w:rPr>
            </w:pPr>
            <w:r>
              <w:rPr>
                <w:szCs w:val="21"/>
              </w:rPr>
              <w:t>测量范围</w:t>
            </w:r>
          </w:p>
        </w:tc>
        <w:tc>
          <w:tcPr>
            <w:tcW w:w="1902" w:type="pct"/>
            <w:tcBorders>
              <w:right w:val="single" w:color="auto" w:sz="4" w:space="0"/>
            </w:tcBorders>
          </w:tcPr>
          <w:p>
            <w:pPr>
              <w:spacing w:line="360" w:lineRule="auto"/>
              <w:jc w:val="center"/>
              <w:rPr>
                <w:szCs w:val="21"/>
              </w:rPr>
            </w:pPr>
            <w:r>
              <w:rPr>
                <w:szCs w:val="21"/>
              </w:rPr>
              <w:t>技术要求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Pr>
          <w:p>
            <w:pPr>
              <w:spacing w:line="360" w:lineRule="auto"/>
              <w:jc w:val="center"/>
              <w:rPr>
                <w:szCs w:val="21"/>
              </w:rPr>
            </w:pPr>
            <w:r>
              <w:rPr>
                <w:rFonts w:hint="eastAsia"/>
                <w:szCs w:val="21"/>
              </w:rPr>
              <w:t>1</w:t>
            </w:r>
          </w:p>
        </w:tc>
        <w:tc>
          <w:tcPr>
            <w:tcW w:w="1353" w:type="pct"/>
            <w:vAlign w:val="center"/>
          </w:tcPr>
          <w:p>
            <w:pPr>
              <w:jc w:val="center"/>
              <w:rPr>
                <w:szCs w:val="21"/>
              </w:rPr>
            </w:pPr>
            <w:r>
              <w:rPr>
                <w:szCs w:val="21"/>
              </w:rPr>
              <w:t>多通道数据采集器</w:t>
            </w:r>
          </w:p>
        </w:tc>
        <w:tc>
          <w:tcPr>
            <w:tcW w:w="1193" w:type="pct"/>
            <w:tcBorders>
              <w:right w:val="single" w:color="auto" w:sz="4" w:space="0"/>
            </w:tcBorders>
            <w:vAlign w:val="center"/>
          </w:tcPr>
          <w:p>
            <w:pPr>
              <w:jc w:val="center"/>
              <w:rPr>
                <w:szCs w:val="21"/>
              </w:rPr>
            </w:pPr>
            <w:r>
              <w:rPr>
                <w:szCs w:val="21"/>
              </w:rPr>
              <w:t>（0～1100）℃</w:t>
            </w:r>
          </w:p>
        </w:tc>
        <w:tc>
          <w:tcPr>
            <w:tcW w:w="1902" w:type="pct"/>
            <w:tcBorders>
              <w:right w:val="single" w:color="auto" w:sz="4" w:space="0"/>
            </w:tcBorders>
            <w:vAlign w:val="center"/>
          </w:tcPr>
          <w:p>
            <w:pPr>
              <w:ind w:firstLine="420"/>
              <w:jc w:val="center"/>
              <w:rPr>
                <w:szCs w:val="21"/>
              </w:rPr>
            </w:pPr>
            <w:r>
              <w:rPr>
                <w:szCs w:val="21"/>
              </w:rPr>
              <w:t>不低于0.02级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Pr>
          <w:p>
            <w:pPr>
              <w:spacing w:line="360" w:lineRule="auto"/>
              <w:jc w:val="center"/>
              <w:rPr>
                <w:szCs w:val="21"/>
              </w:rPr>
            </w:pPr>
            <w:r>
              <w:rPr>
                <w:rFonts w:hint="eastAsia"/>
                <w:szCs w:val="21"/>
              </w:rPr>
              <w:t>2</w:t>
            </w:r>
          </w:p>
        </w:tc>
        <w:tc>
          <w:tcPr>
            <w:tcW w:w="1353" w:type="pct"/>
            <w:vAlign w:val="center"/>
          </w:tcPr>
          <w:p>
            <w:pPr>
              <w:spacing w:line="360" w:lineRule="auto"/>
              <w:jc w:val="center"/>
              <w:rPr>
                <w:szCs w:val="21"/>
              </w:rPr>
            </w:pPr>
            <w:r>
              <w:rPr>
                <w:szCs w:val="21"/>
              </w:rPr>
              <w:t>热电阻</w:t>
            </w:r>
          </w:p>
        </w:tc>
        <w:tc>
          <w:tcPr>
            <w:tcW w:w="1193" w:type="pct"/>
            <w:tcBorders>
              <w:right w:val="single" w:color="auto" w:sz="4" w:space="0"/>
            </w:tcBorders>
            <w:vAlign w:val="center"/>
          </w:tcPr>
          <w:p>
            <w:pPr>
              <w:spacing w:line="360" w:lineRule="auto"/>
              <w:jc w:val="center"/>
              <w:rPr>
                <w:szCs w:val="21"/>
              </w:rPr>
            </w:pPr>
            <w:r>
              <w:rPr>
                <w:szCs w:val="21"/>
              </w:rPr>
              <w:t>（</w:t>
            </w:r>
            <w:r>
              <w:rPr>
                <w:rFonts w:hint="eastAsia"/>
                <w:szCs w:val="21"/>
              </w:rPr>
              <w:t>0</w:t>
            </w:r>
            <w:r>
              <w:rPr>
                <w:rFonts w:hint="eastAsia" w:ascii="宋体" w:hAnsi="宋体"/>
                <w:szCs w:val="21"/>
              </w:rPr>
              <w:t>～</w:t>
            </w:r>
            <w:r>
              <w:rPr>
                <w:rFonts w:hint="eastAsia"/>
                <w:szCs w:val="21"/>
              </w:rPr>
              <w:t>300）℃</w:t>
            </w:r>
          </w:p>
        </w:tc>
        <w:tc>
          <w:tcPr>
            <w:tcW w:w="1902" w:type="pct"/>
            <w:tcBorders>
              <w:right w:val="single" w:color="auto" w:sz="4" w:space="0"/>
            </w:tcBorders>
            <w:vAlign w:val="center"/>
          </w:tcPr>
          <w:p>
            <w:pPr>
              <w:spacing w:line="360" w:lineRule="auto"/>
              <w:ind w:firstLine="420" w:firstLineChars="200"/>
              <w:jc w:val="center"/>
              <w:rPr>
                <w:szCs w:val="21"/>
              </w:rPr>
            </w:pPr>
            <w:r>
              <w:rPr>
                <w:rFonts w:hint="eastAsia"/>
                <w:szCs w:val="21"/>
              </w:rPr>
              <w:t>B级及以上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552" w:type="pct"/>
            <w:tcBorders>
              <w:top w:val="single" w:color="auto" w:sz="4" w:space="0"/>
              <w:bottom w:val="single" w:color="auto" w:sz="4" w:space="0"/>
            </w:tcBorders>
          </w:tcPr>
          <w:p>
            <w:pPr>
              <w:spacing w:line="360" w:lineRule="auto"/>
              <w:jc w:val="center"/>
              <w:rPr>
                <w:szCs w:val="21"/>
              </w:rPr>
            </w:pPr>
            <w:r>
              <w:rPr>
                <w:rFonts w:hint="eastAsia"/>
                <w:szCs w:val="21"/>
              </w:rPr>
              <w:t>3</w:t>
            </w:r>
          </w:p>
        </w:tc>
        <w:tc>
          <w:tcPr>
            <w:tcW w:w="1353" w:type="pct"/>
            <w:tcBorders>
              <w:top w:val="single" w:color="auto" w:sz="4" w:space="0"/>
              <w:bottom w:val="single" w:color="auto" w:sz="4" w:space="0"/>
            </w:tcBorders>
            <w:vAlign w:val="center"/>
          </w:tcPr>
          <w:p>
            <w:pPr>
              <w:spacing w:line="360" w:lineRule="auto"/>
              <w:jc w:val="center"/>
              <w:rPr>
                <w:szCs w:val="21"/>
              </w:rPr>
            </w:pPr>
            <w:r>
              <w:rPr>
                <w:rFonts w:hint="eastAsia"/>
                <w:szCs w:val="21"/>
              </w:rPr>
              <w:t>UVA紫外辐照度计</w:t>
            </w:r>
          </w:p>
        </w:tc>
        <w:tc>
          <w:tcPr>
            <w:tcW w:w="1193" w:type="pct"/>
            <w:tcBorders>
              <w:top w:val="single" w:color="auto" w:sz="4" w:space="0"/>
              <w:bottom w:val="single" w:color="auto" w:sz="4" w:space="0"/>
              <w:right w:val="single" w:color="auto" w:sz="4" w:space="0"/>
            </w:tcBorders>
            <w:vAlign w:val="center"/>
          </w:tcPr>
          <w:p>
            <w:pPr>
              <w:spacing w:line="360" w:lineRule="auto"/>
              <w:jc w:val="center"/>
              <w:rPr>
                <w:color w:val="FF0000"/>
                <w:szCs w:val="21"/>
              </w:rPr>
            </w:pPr>
            <w:r>
              <w:rPr>
                <w:rFonts w:hint="eastAsia"/>
                <w:szCs w:val="21"/>
              </w:rPr>
              <w:t>(320~400)nm波段</w:t>
            </w:r>
          </w:p>
        </w:tc>
        <w:tc>
          <w:tcPr>
            <w:tcW w:w="1902" w:type="pct"/>
            <w:vMerge w:val="restart"/>
            <w:tcBorders>
              <w:top w:val="single" w:color="auto" w:sz="4" w:space="0"/>
              <w:left w:val="single" w:color="auto" w:sz="4" w:space="0"/>
            </w:tcBorders>
            <w:vAlign w:val="center"/>
          </w:tcPr>
          <w:p>
            <w:pPr>
              <w:ind w:firstLine="4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示值误差不应超过 ±10% ; 零值误差不超过满量程示值的±1% ; 受到大于 1 mW / cm </w:t>
            </w:r>
            <w:r>
              <w:rPr>
                <w:rFonts w:hint="eastAsia"/>
                <w:color w:val="000000" w:themeColor="text1"/>
                <w:szCs w:val="21"/>
                <w:vertAlign w:val="superscript"/>
                <w14:textFill>
                  <w14:solidFill>
                    <w14:schemeClr w14:val="tx1"/>
                  </w14:solidFill>
                </w14:textFill>
              </w:rPr>
              <w:t xml:space="preserve">2 </w:t>
            </w:r>
            <w:r>
              <w:rPr>
                <w:rFonts w:hint="eastAsia"/>
                <w:color w:val="000000" w:themeColor="text1"/>
                <w:szCs w:val="21"/>
                <w14:textFill>
                  <w14:solidFill>
                    <w14:schemeClr w14:val="tx1"/>
                  </w14:solidFill>
                </w14:textFill>
              </w:rPr>
              <w:t>的稳定紫外辐射源稳定照射 10 min , 紫外辐照度计的初始和结束示值相对变化应小于 2% ; 各量程测量的非线性不超过 ±1% ; 校准紫外辐照度计时采用的上一级标准光源的类型应与紫外老化箱内紫外光源相一致。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Borders>
              <w:top w:val="single" w:color="auto" w:sz="4" w:space="0"/>
              <w:bottom w:val="single" w:color="auto" w:sz="4" w:space="0"/>
            </w:tcBorders>
          </w:tcPr>
          <w:p>
            <w:pPr>
              <w:spacing w:line="360" w:lineRule="auto"/>
              <w:jc w:val="center"/>
              <w:rPr>
                <w:szCs w:val="21"/>
              </w:rPr>
            </w:pPr>
            <w:r>
              <w:rPr>
                <w:rFonts w:hint="eastAsia"/>
                <w:szCs w:val="21"/>
              </w:rPr>
              <w:t>4</w:t>
            </w:r>
          </w:p>
        </w:tc>
        <w:tc>
          <w:tcPr>
            <w:tcW w:w="1353" w:type="pct"/>
            <w:tcBorders>
              <w:top w:val="single" w:color="auto" w:sz="4" w:space="0"/>
              <w:bottom w:val="single" w:color="auto" w:sz="4" w:space="0"/>
            </w:tcBorders>
            <w:vAlign w:val="center"/>
          </w:tcPr>
          <w:p>
            <w:pPr>
              <w:spacing w:line="360" w:lineRule="auto"/>
              <w:jc w:val="center"/>
              <w:rPr>
                <w:szCs w:val="21"/>
              </w:rPr>
            </w:pPr>
            <w:r>
              <w:rPr>
                <w:rFonts w:hint="eastAsia"/>
                <w:szCs w:val="21"/>
              </w:rPr>
              <w:t>UVB紫外辐照度计</w:t>
            </w:r>
          </w:p>
        </w:tc>
        <w:tc>
          <w:tcPr>
            <w:tcW w:w="1193" w:type="pct"/>
            <w:tcBorders>
              <w:top w:val="single" w:color="auto" w:sz="4" w:space="0"/>
              <w:bottom w:val="single" w:color="auto" w:sz="4" w:space="0"/>
              <w:right w:val="single" w:color="auto" w:sz="4" w:space="0"/>
            </w:tcBorders>
            <w:vAlign w:val="center"/>
          </w:tcPr>
          <w:p>
            <w:pPr>
              <w:spacing w:line="360" w:lineRule="auto"/>
              <w:jc w:val="center"/>
              <w:rPr>
                <w:szCs w:val="21"/>
              </w:rPr>
            </w:pPr>
            <w:r>
              <w:rPr>
                <w:szCs w:val="21"/>
              </w:rPr>
              <w:t>(280~320)</w:t>
            </w:r>
            <w:r>
              <w:rPr>
                <w:rFonts w:hint="eastAsia"/>
                <w:szCs w:val="21"/>
              </w:rPr>
              <w:t>nm波段</w:t>
            </w:r>
          </w:p>
        </w:tc>
        <w:tc>
          <w:tcPr>
            <w:tcW w:w="1902" w:type="pct"/>
            <w:vMerge w:val="continue"/>
            <w:tcBorders>
              <w:left w:val="single" w:color="auto" w:sz="4" w:space="0"/>
            </w:tcBorders>
            <w:vAlign w:val="center"/>
          </w:tcPr>
          <w:p>
            <w:pPr>
              <w:spacing w:line="360" w:lineRule="auto"/>
              <w:ind w:firstLine="42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Borders>
              <w:top w:val="single" w:color="auto" w:sz="4" w:space="0"/>
              <w:bottom w:val="single" w:color="auto" w:sz="4" w:space="0"/>
            </w:tcBorders>
          </w:tcPr>
          <w:p>
            <w:pPr>
              <w:spacing w:line="360" w:lineRule="auto"/>
              <w:jc w:val="center"/>
              <w:rPr>
                <w:szCs w:val="21"/>
              </w:rPr>
            </w:pPr>
            <w:r>
              <w:rPr>
                <w:rFonts w:hint="eastAsia"/>
                <w:szCs w:val="21"/>
              </w:rPr>
              <w:t>5</w:t>
            </w:r>
          </w:p>
        </w:tc>
        <w:tc>
          <w:tcPr>
            <w:tcW w:w="1353" w:type="pct"/>
            <w:tcBorders>
              <w:top w:val="single" w:color="auto" w:sz="4" w:space="0"/>
              <w:bottom w:val="single" w:color="auto" w:sz="4" w:space="0"/>
            </w:tcBorders>
            <w:vAlign w:val="center"/>
          </w:tcPr>
          <w:p>
            <w:pPr>
              <w:spacing w:line="360" w:lineRule="auto"/>
              <w:jc w:val="center"/>
              <w:rPr>
                <w:szCs w:val="21"/>
              </w:rPr>
            </w:pPr>
            <w:r>
              <w:rPr>
                <w:rFonts w:hint="eastAsia"/>
                <w:szCs w:val="21"/>
              </w:rPr>
              <w:t>UVA+UVB复合紫外辐照度计</w:t>
            </w:r>
          </w:p>
        </w:tc>
        <w:tc>
          <w:tcPr>
            <w:tcW w:w="1193" w:type="pct"/>
            <w:tcBorders>
              <w:top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(280~400)nm波段</w:t>
            </w:r>
          </w:p>
        </w:tc>
        <w:tc>
          <w:tcPr>
            <w:tcW w:w="1902" w:type="pct"/>
            <w:vMerge w:val="continue"/>
            <w:tcBorders>
              <w:left w:val="single" w:color="auto" w:sz="4" w:space="0"/>
              <w:bottom w:val="single" w:color="auto" w:sz="4" w:space="0"/>
            </w:tcBorders>
            <w:vAlign w:val="center"/>
          </w:tcPr>
          <w:p>
            <w:pPr>
              <w:spacing w:line="360" w:lineRule="auto"/>
              <w:ind w:firstLine="42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tcBorders>
              <w:top w:val="single" w:color="auto" w:sz="4" w:space="0"/>
              <w:bottom w:val="single" w:color="auto" w:sz="4" w:space="0"/>
            </w:tcBorders>
          </w:tcPr>
          <w:p>
            <w:pPr>
              <w:spacing w:line="360" w:lineRule="auto"/>
              <w:jc w:val="center"/>
              <w:rPr>
                <w:szCs w:val="21"/>
              </w:rPr>
            </w:pPr>
            <w:r>
              <w:rPr>
                <w:rFonts w:hint="eastAsia"/>
                <w:szCs w:val="21"/>
              </w:rPr>
              <w:t>6</w:t>
            </w:r>
          </w:p>
        </w:tc>
        <w:tc>
          <w:tcPr>
            <w:tcW w:w="1353" w:type="pct"/>
            <w:tcBorders>
              <w:top w:val="single" w:color="auto" w:sz="4" w:space="0"/>
              <w:bottom w:val="single" w:color="auto" w:sz="4" w:space="0"/>
            </w:tcBorders>
            <w:vAlign w:val="center"/>
          </w:tcPr>
          <w:p>
            <w:pPr>
              <w:spacing w:line="360" w:lineRule="auto"/>
              <w:jc w:val="center"/>
              <w:rPr>
                <w:szCs w:val="21"/>
              </w:rPr>
            </w:pPr>
            <w:r>
              <w:rPr>
                <w:rFonts w:hint="eastAsia"/>
                <w:szCs w:val="21"/>
              </w:rPr>
              <w:t>光谱仪</w:t>
            </w:r>
          </w:p>
        </w:tc>
        <w:tc>
          <w:tcPr>
            <w:tcW w:w="1193" w:type="pct"/>
            <w:tcBorders>
              <w:top w:val="single" w:color="auto" w:sz="4" w:space="0"/>
              <w:bottom w:val="single" w:color="auto" w:sz="4" w:space="0"/>
              <w:right w:val="single" w:color="auto" w:sz="4" w:space="0"/>
            </w:tcBorders>
            <w:vAlign w:val="center"/>
          </w:tcPr>
          <w:p>
            <w:pPr>
              <w:spacing w:line="360" w:lineRule="auto"/>
              <w:jc w:val="center"/>
              <w:rPr>
                <w:szCs w:val="21"/>
              </w:rPr>
            </w:pPr>
            <w:r>
              <w:rPr>
                <w:szCs w:val="21"/>
              </w:rPr>
              <w:t>( 250~400 )nm</w:t>
            </w:r>
          </w:p>
        </w:tc>
        <w:tc>
          <w:tcPr>
            <w:tcW w:w="1902" w:type="pct"/>
            <w:tcBorders>
              <w:top w:val="single" w:color="auto" w:sz="4" w:space="0"/>
              <w:left w:val="single" w:color="auto" w:sz="4" w:space="0"/>
              <w:bottom w:val="single" w:color="auto" w:sz="4" w:space="0"/>
            </w:tcBorders>
            <w:vAlign w:val="center"/>
          </w:tcPr>
          <w:p>
            <w:pPr>
              <w:spacing w:line="360" w:lineRule="auto"/>
              <w:ind w:firstLine="480"/>
              <w:jc w:val="center"/>
              <w:rPr>
                <w:szCs w:val="21"/>
              </w:rPr>
            </w:pPr>
            <w:r>
              <w:rPr>
                <w:rFonts w:hint="eastAsia"/>
                <w:szCs w:val="21"/>
              </w:rPr>
              <w:t>/</w:t>
            </w:r>
          </w:p>
        </w:tc>
      </w:tr>
    </w:tbl>
    <w:p>
      <w:pPr>
        <w:pStyle w:val="26"/>
        <w:spacing w:line="360" w:lineRule="auto"/>
        <w:ind w:firstLine="420"/>
        <w:jc w:val="center"/>
        <w:rPr>
          <w:rFonts w:ascii="Times New Roman" w:eastAsia="黑体"/>
          <w:szCs w:val="21"/>
        </w:rPr>
      </w:pPr>
    </w:p>
    <w:bookmarkEnd w:id="47"/>
    <w:p>
      <w:pPr>
        <w:pStyle w:val="31"/>
        <w:numPr>
          <w:ilvl w:val="0"/>
          <w:numId w:val="0"/>
        </w:numPr>
        <w:spacing w:before="156" w:after="156" w:line="360" w:lineRule="auto"/>
        <w:rPr>
          <w:rFonts w:ascii="Times New Roman"/>
          <w:szCs w:val="21"/>
        </w:rPr>
      </w:pPr>
      <w:r>
        <w:rPr>
          <w:rFonts w:hint="eastAsia" w:ascii="Times New Roman"/>
          <w:szCs w:val="21"/>
        </w:rPr>
        <w:t>6校准项目和校准方法</w:t>
      </w:r>
      <w:bookmarkEnd w:id="39"/>
      <w:bookmarkEnd w:id="40"/>
      <w:bookmarkEnd w:id="41"/>
      <w:bookmarkEnd w:id="42"/>
      <w:bookmarkEnd w:id="43"/>
      <w:bookmarkEnd w:id="44"/>
      <w:bookmarkEnd w:id="45"/>
      <w:bookmarkEnd w:id="46"/>
    </w:p>
    <w:p>
      <w:pPr>
        <w:rPr>
          <w:rFonts w:ascii="宋体" w:hAnsi="宋体"/>
          <w:szCs w:val="21"/>
        </w:rPr>
      </w:pPr>
      <w:bookmarkStart w:id="48" w:name="_Toc22718_WPSOffice_Level2"/>
      <w:bookmarkStart w:id="49" w:name="_Toc500258945"/>
      <w:r>
        <w:rPr>
          <w:rFonts w:hint="eastAsia"/>
          <w:kern w:val="0"/>
          <w:szCs w:val="21"/>
        </w:rPr>
        <w:t>6</w:t>
      </w:r>
      <w:r>
        <w:rPr>
          <w:kern w:val="0"/>
          <w:szCs w:val="21"/>
        </w:rPr>
        <w:t>.1</w:t>
      </w:r>
      <w:r>
        <w:rPr>
          <w:rFonts w:ascii="宋体" w:hAnsi="宋体"/>
          <w:szCs w:val="21"/>
        </w:rPr>
        <w:t>校准项目</w:t>
      </w:r>
      <w:bookmarkEnd w:id="48"/>
      <w:bookmarkEnd w:id="49"/>
    </w:p>
    <w:p>
      <w:pPr>
        <w:pStyle w:val="26"/>
        <w:spacing w:line="360" w:lineRule="auto"/>
        <w:ind w:firstLine="420"/>
        <w:rPr>
          <w:rFonts w:ascii="Times New Roman"/>
          <w:szCs w:val="21"/>
        </w:rPr>
      </w:pPr>
      <w:r>
        <w:rPr>
          <w:rFonts w:ascii="Times New Roman"/>
          <w:szCs w:val="21"/>
        </w:rPr>
        <w:t>校准项目见表</w:t>
      </w:r>
      <w:r>
        <w:rPr>
          <w:rFonts w:hint="eastAsia" w:ascii="Times New Roman" w:eastAsiaTheme="minorEastAsia"/>
          <w:kern w:val="2"/>
          <w:szCs w:val="21"/>
        </w:rPr>
        <w:t>2</w:t>
      </w:r>
      <w:r>
        <w:rPr>
          <w:rFonts w:ascii="Times New Roman"/>
          <w:szCs w:val="21"/>
        </w:rPr>
        <w:t>。</w:t>
      </w:r>
    </w:p>
    <w:p>
      <w:pPr>
        <w:pStyle w:val="26"/>
        <w:spacing w:line="360" w:lineRule="auto"/>
        <w:ind w:firstLine="420"/>
        <w:jc w:val="center"/>
        <w:rPr>
          <w:rFonts w:hint="eastAsia" w:ascii="Times New Roman" w:eastAsia="黑体"/>
          <w:szCs w:val="21"/>
        </w:rPr>
      </w:pPr>
      <w:r>
        <w:rPr>
          <w:rFonts w:ascii="Times New Roman" w:eastAsia="黑体"/>
          <w:szCs w:val="21"/>
        </w:rPr>
        <w:t>表</w:t>
      </w:r>
      <w:r>
        <w:rPr>
          <w:rFonts w:hint="eastAsia" w:ascii="Times New Roman" w:eastAsia="黑体"/>
          <w:szCs w:val="21"/>
        </w:rPr>
        <w:t xml:space="preserve">2 </w:t>
      </w:r>
      <w:r>
        <w:rPr>
          <w:rFonts w:ascii="Times New Roman" w:eastAsia="黑体"/>
          <w:szCs w:val="21"/>
        </w:rPr>
        <w:t>校准项目表</w:t>
      </w:r>
    </w:p>
    <w:tbl>
      <w:tblPr>
        <w:tblStyle w:val="15"/>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019"/>
        <w:gridCol w:w="65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ascii="Times New Roman"/>
                <w:kern w:val="2"/>
                <w:szCs w:val="21"/>
              </w:rPr>
              <w:t>序号</w:t>
            </w:r>
          </w:p>
        </w:tc>
        <w:tc>
          <w:tcPr>
            <w:tcW w:w="3815" w:type="pct"/>
          </w:tcPr>
          <w:p>
            <w:pPr>
              <w:pStyle w:val="26"/>
              <w:ind w:firstLine="0" w:firstLineChars="0"/>
              <w:jc w:val="center"/>
              <w:rPr>
                <w:rFonts w:ascii="Times New Roman"/>
                <w:kern w:val="2"/>
                <w:szCs w:val="21"/>
              </w:rPr>
            </w:pPr>
            <w:r>
              <w:rPr>
                <w:rFonts w:ascii="Times New Roman"/>
                <w:kern w:val="2"/>
                <w:szCs w:val="21"/>
              </w:rPr>
              <w:t>校准项目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ascii="Times New Roman"/>
                <w:kern w:val="2"/>
                <w:szCs w:val="21"/>
              </w:rPr>
              <w:t>1</w:t>
            </w:r>
          </w:p>
        </w:tc>
        <w:tc>
          <w:tcPr>
            <w:tcW w:w="3815" w:type="pct"/>
          </w:tcPr>
          <w:p>
            <w:pPr>
              <w:pStyle w:val="26"/>
              <w:ind w:firstLine="0" w:firstLineChars="0"/>
              <w:jc w:val="center"/>
              <w:rPr>
                <w:rFonts w:ascii="Times New Roman"/>
                <w:kern w:val="2"/>
                <w:szCs w:val="21"/>
              </w:rPr>
            </w:pPr>
            <w:r>
              <w:rPr>
                <w:rFonts w:hint="eastAsia" w:ascii="Times New Roman"/>
                <w:szCs w:val="21"/>
              </w:rPr>
              <w:t>紫外预处理试验箱温度偏差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ascii="Times New Roman"/>
                <w:kern w:val="2"/>
                <w:szCs w:val="21"/>
              </w:rPr>
              <w:t>2</w:t>
            </w:r>
          </w:p>
        </w:tc>
        <w:tc>
          <w:tcPr>
            <w:tcW w:w="3815" w:type="pct"/>
          </w:tcPr>
          <w:p>
            <w:pPr>
              <w:spacing w:line="360" w:lineRule="auto"/>
              <w:ind w:firstLine="48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紫外辐照度</w:t>
            </w:r>
            <w:r>
              <w:rPr>
                <w:color w:val="000000" w:themeColor="text1"/>
                <w:szCs w:val="21"/>
                <w14:textFill>
                  <w14:solidFill>
                    <w14:schemeClr w14:val="tx1"/>
                  </w14:solidFill>
                </w14:textFill>
              </w:rPr>
              <w:t>示值误差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hint="eastAsia" w:ascii="Times New Roman"/>
                <w:kern w:val="2"/>
                <w:szCs w:val="21"/>
              </w:rPr>
              <w:t>3</w:t>
            </w:r>
          </w:p>
        </w:tc>
        <w:tc>
          <w:tcPr>
            <w:tcW w:w="3815" w:type="pct"/>
          </w:tcPr>
          <w:p>
            <w:pPr>
              <w:pStyle w:val="26"/>
              <w:ind w:firstLine="0" w:firstLineChars="0"/>
              <w:jc w:val="center"/>
              <w:rPr>
                <w:rFonts w:ascii="Times New Roman"/>
                <w:kern w:val="2"/>
                <w:szCs w:val="21"/>
              </w:rPr>
            </w:pPr>
            <w:r>
              <w:rPr>
                <w:rFonts w:hint="eastAsia" w:ascii="Times New Roman"/>
                <w:color w:val="000000" w:themeColor="text1"/>
                <w:szCs w:val="21"/>
                <w14:textFill>
                  <w14:solidFill>
                    <w14:schemeClr w14:val="tx1"/>
                  </w14:solidFill>
                </w14:textFill>
              </w:rPr>
              <w:t>紫外光谱积分辐照度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hint="eastAsia" w:ascii="Times New Roman"/>
                <w:kern w:val="2"/>
                <w:szCs w:val="21"/>
              </w:rPr>
              <w:t>4</w:t>
            </w:r>
          </w:p>
        </w:tc>
        <w:tc>
          <w:tcPr>
            <w:tcW w:w="3815" w:type="pct"/>
          </w:tcPr>
          <w:p>
            <w:pPr>
              <w:spacing w:line="360" w:lineRule="auto"/>
              <w:ind w:firstLine="48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紫外辐照度不均匀度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5" w:type="pct"/>
          </w:tcPr>
          <w:p>
            <w:pPr>
              <w:pStyle w:val="26"/>
              <w:ind w:firstLine="0" w:firstLineChars="0"/>
              <w:jc w:val="center"/>
              <w:rPr>
                <w:rFonts w:ascii="Times New Roman"/>
                <w:kern w:val="2"/>
                <w:szCs w:val="21"/>
              </w:rPr>
            </w:pPr>
            <w:r>
              <w:rPr>
                <w:rFonts w:hint="eastAsia" w:ascii="Times New Roman"/>
                <w:kern w:val="2"/>
                <w:szCs w:val="21"/>
              </w:rPr>
              <w:t>5</w:t>
            </w:r>
          </w:p>
        </w:tc>
        <w:tc>
          <w:tcPr>
            <w:tcW w:w="3815" w:type="pct"/>
          </w:tcPr>
          <w:p>
            <w:pPr>
              <w:pStyle w:val="26"/>
              <w:ind w:firstLine="0" w:firstLineChars="0"/>
              <w:jc w:val="center"/>
              <w:rPr>
                <w:rFonts w:ascii="Times New Roman"/>
                <w:kern w:val="2"/>
                <w:szCs w:val="21"/>
              </w:rPr>
            </w:pPr>
            <w:r>
              <w:rPr>
                <w:rFonts w:hint="eastAsia" w:ascii="Times New Roman"/>
                <w:color w:val="000000" w:themeColor="text1"/>
                <w:szCs w:val="21"/>
                <w14:textFill>
                  <w14:solidFill>
                    <w14:schemeClr w14:val="tx1"/>
                  </w14:solidFill>
                </w14:textFill>
              </w:rPr>
              <w:t>紫外辐照度不稳定度</w:t>
            </w:r>
          </w:p>
        </w:tc>
      </w:tr>
    </w:tbl>
    <w:p>
      <w:pPr>
        <w:pStyle w:val="26"/>
        <w:spacing w:line="360" w:lineRule="auto"/>
        <w:ind w:firstLine="0" w:firstLineChars="0"/>
        <w:rPr>
          <w:rFonts w:ascii="Times New Roman" w:eastAsia="黑体"/>
          <w:szCs w:val="21"/>
        </w:rPr>
      </w:pPr>
    </w:p>
    <w:p>
      <w:pPr>
        <w:spacing w:line="360" w:lineRule="auto"/>
        <w:outlineLvl w:val="0"/>
        <w:rPr>
          <w:szCs w:val="21"/>
        </w:rPr>
      </w:pPr>
      <w:r>
        <w:rPr>
          <w:rFonts w:eastAsiaTheme="minorEastAsia"/>
          <w:kern w:val="0"/>
          <w:szCs w:val="21"/>
        </w:rPr>
        <w:t>6.2.1</w:t>
      </w:r>
      <w:r>
        <w:rPr>
          <w:rFonts w:hint="eastAsia"/>
          <w:szCs w:val="21"/>
        </w:rPr>
        <w:t>校准前检查</w:t>
      </w:r>
    </w:p>
    <w:p>
      <w:pPr>
        <w:spacing w:line="360" w:lineRule="auto"/>
        <w:ind w:firstLine="420" w:firstLineChars="200"/>
        <w:outlineLvl w:val="0"/>
        <w:rPr>
          <w:rFonts w:eastAsiaTheme="minorEastAsia"/>
          <w:szCs w:val="21"/>
        </w:rPr>
      </w:pPr>
      <w:r>
        <w:rPr>
          <w:rFonts w:hint="eastAsia" w:eastAsiaTheme="minorEastAsia"/>
          <w:szCs w:val="21"/>
        </w:rPr>
        <w:t>用目视和手动检查,内容包括:制造厂名或商标、出厂编号、仪器名称、型号;灯管玻壳无发黑,通电后各个灯管均正常点亮;辐照度和温度测量和显示装置能正常工作。</w:t>
      </w:r>
    </w:p>
    <w:p>
      <w:pPr>
        <w:spacing w:line="360" w:lineRule="auto"/>
        <w:outlineLvl w:val="0"/>
        <w:rPr>
          <w:rFonts w:eastAsiaTheme="minorEastAsia"/>
          <w:kern w:val="0"/>
          <w:szCs w:val="21"/>
        </w:rPr>
      </w:pPr>
      <w:r>
        <w:rPr>
          <w:rFonts w:eastAsiaTheme="minorEastAsia"/>
          <w:kern w:val="0"/>
          <w:szCs w:val="21"/>
        </w:rPr>
        <w:t>6.2.</w:t>
      </w:r>
      <w:r>
        <w:rPr>
          <w:rFonts w:hint="eastAsia" w:eastAsiaTheme="minorEastAsia"/>
          <w:kern w:val="0"/>
          <w:szCs w:val="21"/>
        </w:rPr>
        <w:t xml:space="preserve">2 </w:t>
      </w:r>
      <w:r>
        <w:rPr>
          <w:rFonts w:eastAsiaTheme="minorEastAsia"/>
          <w:kern w:val="0"/>
          <w:szCs w:val="21"/>
        </w:rPr>
        <w:t>温度偏差校准</w:t>
      </w:r>
    </w:p>
    <w:p>
      <w:pPr>
        <w:spacing w:line="360" w:lineRule="auto"/>
        <w:outlineLvl w:val="0"/>
        <w:rPr>
          <w:rFonts w:eastAsiaTheme="minorEastAsia"/>
          <w:kern w:val="0"/>
          <w:szCs w:val="21"/>
        </w:rPr>
      </w:pPr>
      <w:r>
        <w:rPr>
          <w:rFonts w:hint="eastAsia" w:eastAsiaTheme="minorEastAsia"/>
          <w:kern w:val="0"/>
          <w:szCs w:val="21"/>
        </w:rPr>
        <w:t>6.2.2.1 校准温度点</w:t>
      </w:r>
    </w:p>
    <w:p>
      <w:pPr>
        <w:spacing w:line="360" w:lineRule="auto"/>
        <w:ind w:firstLine="420" w:firstLineChars="200"/>
        <w:outlineLvl w:val="0"/>
        <w:rPr>
          <w:rFonts w:eastAsiaTheme="minorEastAsia"/>
          <w:kern w:val="0"/>
          <w:szCs w:val="21"/>
        </w:rPr>
      </w:pPr>
      <w:r>
        <w:rPr>
          <w:rFonts w:hint="eastAsia" w:eastAsiaTheme="minorEastAsia"/>
          <w:kern w:val="0"/>
          <w:szCs w:val="21"/>
        </w:rPr>
        <w:t>紫外预处理试验箱</w:t>
      </w:r>
      <w:r>
        <w:rPr>
          <w:rFonts w:eastAsiaTheme="minorEastAsia"/>
          <w:kern w:val="0"/>
          <w:szCs w:val="21"/>
        </w:rPr>
        <w:t>的校准点选择</w:t>
      </w:r>
      <w:r>
        <w:rPr>
          <w:rFonts w:hint="eastAsia" w:eastAsiaTheme="minorEastAsia"/>
          <w:kern w:val="0"/>
          <w:szCs w:val="21"/>
        </w:rPr>
        <w:t>60℃。</w:t>
      </w:r>
    </w:p>
    <w:p>
      <w:pPr>
        <w:spacing w:line="360" w:lineRule="auto"/>
        <w:outlineLvl w:val="0"/>
        <w:rPr>
          <w:rFonts w:eastAsiaTheme="minorEastAsia"/>
          <w:kern w:val="0"/>
          <w:szCs w:val="21"/>
        </w:rPr>
      </w:pPr>
      <w:r>
        <w:rPr>
          <w:rFonts w:hint="eastAsia" w:eastAsiaTheme="minorEastAsia"/>
          <w:kern w:val="0"/>
          <w:szCs w:val="21"/>
        </w:rPr>
        <w:t>6.2.2.2测量点位置</w:t>
      </w:r>
    </w:p>
    <w:p>
      <w:pPr>
        <w:spacing w:line="360" w:lineRule="auto"/>
        <w:ind w:firstLine="480"/>
        <w:outlineLvl w:val="0"/>
        <w:rPr>
          <w:rFonts w:eastAsiaTheme="minorEastAsia"/>
          <w:kern w:val="0"/>
          <w:szCs w:val="21"/>
        </w:rPr>
      </w:pPr>
      <w:r>
        <w:rPr>
          <w:rFonts w:hint="eastAsia" w:eastAsiaTheme="minorEastAsia"/>
          <w:kern w:val="0"/>
          <w:szCs w:val="21"/>
        </w:rPr>
        <w:t>测量点位置应符合</w:t>
      </w:r>
      <w:r>
        <w:rPr>
          <w:rFonts w:eastAsiaTheme="minorEastAsia"/>
          <w:kern w:val="0"/>
          <w:szCs w:val="21"/>
        </w:rPr>
        <w:t>JJF 11</w:t>
      </w:r>
      <w:r>
        <w:rPr>
          <w:rFonts w:hint="eastAsia" w:eastAsiaTheme="minorEastAsia"/>
          <w:kern w:val="0"/>
          <w:szCs w:val="21"/>
        </w:rPr>
        <w:t>01</w:t>
      </w:r>
      <w:r>
        <w:rPr>
          <w:rFonts w:eastAsiaTheme="minorEastAsia"/>
          <w:kern w:val="0"/>
          <w:szCs w:val="21"/>
        </w:rPr>
        <w:t>-20</w:t>
      </w:r>
      <w:r>
        <w:rPr>
          <w:rFonts w:hint="eastAsia" w:eastAsiaTheme="minorEastAsia"/>
          <w:kern w:val="0"/>
          <w:szCs w:val="21"/>
        </w:rPr>
        <w:t>19</w:t>
      </w:r>
      <w:r>
        <w:rPr>
          <w:rFonts w:eastAsiaTheme="minorEastAsia"/>
          <w:kern w:val="0"/>
          <w:szCs w:val="21"/>
        </w:rPr>
        <w:t xml:space="preserve"> 中</w:t>
      </w:r>
      <w:r>
        <w:rPr>
          <w:rFonts w:hint="eastAsia" w:eastAsiaTheme="minorEastAsia"/>
          <w:kern w:val="0"/>
          <w:szCs w:val="21"/>
        </w:rPr>
        <w:t>7</w:t>
      </w:r>
      <w:r>
        <w:rPr>
          <w:rFonts w:eastAsiaTheme="minorEastAsia"/>
          <w:kern w:val="0"/>
          <w:szCs w:val="21"/>
        </w:rPr>
        <w:t>.</w:t>
      </w:r>
      <w:r>
        <w:rPr>
          <w:rFonts w:hint="eastAsia" w:eastAsiaTheme="minorEastAsia"/>
          <w:kern w:val="0"/>
          <w:szCs w:val="21"/>
        </w:rPr>
        <w:t>2</w:t>
      </w:r>
      <w:r>
        <w:rPr>
          <w:rFonts w:eastAsiaTheme="minorEastAsia"/>
          <w:kern w:val="0"/>
          <w:szCs w:val="21"/>
        </w:rPr>
        <w:t>.</w:t>
      </w:r>
      <w:r>
        <w:rPr>
          <w:rFonts w:hint="eastAsia" w:eastAsiaTheme="minorEastAsia"/>
          <w:kern w:val="0"/>
          <w:szCs w:val="21"/>
        </w:rPr>
        <w:t>2</w:t>
      </w:r>
      <w:r>
        <w:rPr>
          <w:rFonts w:eastAsiaTheme="minorEastAsia"/>
          <w:kern w:val="0"/>
          <w:szCs w:val="21"/>
        </w:rPr>
        <w:t>的相关要求。</w:t>
      </w:r>
    </w:p>
    <w:p>
      <w:pPr>
        <w:spacing w:line="360" w:lineRule="auto"/>
        <w:outlineLvl w:val="0"/>
        <w:rPr>
          <w:rFonts w:eastAsiaTheme="minorEastAsia"/>
          <w:kern w:val="0"/>
          <w:szCs w:val="21"/>
        </w:rPr>
      </w:pPr>
      <w:r>
        <w:rPr>
          <w:rFonts w:hint="eastAsia" w:eastAsiaTheme="minorEastAsia"/>
          <w:kern w:val="0"/>
          <w:szCs w:val="21"/>
        </w:rPr>
        <w:t>6.2.2.3测量点数量</w:t>
      </w:r>
    </w:p>
    <w:p>
      <w:pPr>
        <w:spacing w:line="360" w:lineRule="auto"/>
        <w:ind w:firstLine="480"/>
        <w:outlineLvl w:val="0"/>
        <w:rPr>
          <w:rFonts w:eastAsiaTheme="minorEastAsia"/>
          <w:kern w:val="0"/>
          <w:szCs w:val="21"/>
        </w:rPr>
      </w:pPr>
      <w:r>
        <w:rPr>
          <w:rFonts w:hint="eastAsia" w:eastAsiaTheme="minorEastAsia"/>
          <w:kern w:val="0"/>
          <w:szCs w:val="21"/>
        </w:rPr>
        <w:t>测量点数量应符合</w:t>
      </w:r>
      <w:r>
        <w:rPr>
          <w:rFonts w:eastAsiaTheme="minorEastAsia"/>
          <w:kern w:val="0"/>
          <w:szCs w:val="21"/>
        </w:rPr>
        <w:t>JJF 11</w:t>
      </w:r>
      <w:r>
        <w:rPr>
          <w:rFonts w:hint="eastAsia" w:eastAsiaTheme="minorEastAsia"/>
          <w:kern w:val="0"/>
          <w:szCs w:val="21"/>
        </w:rPr>
        <w:t>01</w:t>
      </w:r>
      <w:r>
        <w:rPr>
          <w:rFonts w:eastAsiaTheme="minorEastAsia"/>
          <w:kern w:val="0"/>
          <w:szCs w:val="21"/>
        </w:rPr>
        <w:t>-20</w:t>
      </w:r>
      <w:r>
        <w:rPr>
          <w:rFonts w:hint="eastAsia" w:eastAsiaTheme="minorEastAsia"/>
          <w:kern w:val="0"/>
          <w:szCs w:val="21"/>
        </w:rPr>
        <w:t>19</w:t>
      </w:r>
      <w:r>
        <w:rPr>
          <w:rFonts w:eastAsiaTheme="minorEastAsia"/>
          <w:kern w:val="0"/>
          <w:szCs w:val="21"/>
        </w:rPr>
        <w:t xml:space="preserve"> 中</w:t>
      </w:r>
      <w:r>
        <w:rPr>
          <w:rFonts w:hint="eastAsia" w:eastAsiaTheme="minorEastAsia"/>
          <w:kern w:val="0"/>
          <w:szCs w:val="21"/>
        </w:rPr>
        <w:t>7</w:t>
      </w:r>
      <w:r>
        <w:rPr>
          <w:rFonts w:eastAsiaTheme="minorEastAsia"/>
          <w:kern w:val="0"/>
          <w:szCs w:val="21"/>
        </w:rPr>
        <w:t>.</w:t>
      </w:r>
      <w:r>
        <w:rPr>
          <w:rFonts w:hint="eastAsia" w:eastAsiaTheme="minorEastAsia"/>
          <w:kern w:val="0"/>
          <w:szCs w:val="21"/>
        </w:rPr>
        <w:t>2</w:t>
      </w:r>
      <w:r>
        <w:rPr>
          <w:rFonts w:eastAsiaTheme="minorEastAsia"/>
          <w:kern w:val="0"/>
          <w:szCs w:val="21"/>
        </w:rPr>
        <w:t>.</w:t>
      </w:r>
      <w:r>
        <w:rPr>
          <w:rFonts w:hint="eastAsia" w:eastAsiaTheme="minorEastAsia"/>
          <w:kern w:val="0"/>
          <w:szCs w:val="21"/>
        </w:rPr>
        <w:t>3</w:t>
      </w:r>
      <w:r>
        <w:rPr>
          <w:rFonts w:eastAsiaTheme="minorEastAsia"/>
          <w:kern w:val="0"/>
          <w:szCs w:val="21"/>
        </w:rPr>
        <w:t>的相关要求。</w:t>
      </w:r>
    </w:p>
    <w:p>
      <w:pPr>
        <w:spacing w:line="360" w:lineRule="auto"/>
        <w:outlineLvl w:val="0"/>
        <w:rPr>
          <w:rFonts w:eastAsiaTheme="minorEastAsia"/>
          <w:kern w:val="0"/>
          <w:szCs w:val="21"/>
        </w:rPr>
      </w:pPr>
      <w:r>
        <w:rPr>
          <w:rFonts w:hint="eastAsia" w:eastAsiaTheme="minorEastAsia"/>
          <w:kern w:val="0"/>
          <w:szCs w:val="21"/>
        </w:rPr>
        <w:t>6.2.2.4温度的校准</w:t>
      </w:r>
    </w:p>
    <w:p>
      <w:pPr>
        <w:spacing w:line="360" w:lineRule="auto"/>
        <w:ind w:firstLine="480"/>
        <w:outlineLvl w:val="0"/>
        <w:rPr>
          <w:rFonts w:eastAsiaTheme="minorEastAsia"/>
          <w:kern w:val="0"/>
          <w:szCs w:val="21"/>
        </w:rPr>
      </w:pPr>
      <w:r>
        <w:rPr>
          <w:rFonts w:hint="eastAsia" w:eastAsiaTheme="minorEastAsia"/>
          <w:kern w:val="0"/>
          <w:szCs w:val="21"/>
        </w:rPr>
        <w:t>紫外预处理试验箱正常启亮后不少于30min，具体校准方法应符合</w:t>
      </w:r>
      <w:r>
        <w:rPr>
          <w:rFonts w:eastAsiaTheme="minorEastAsia"/>
          <w:kern w:val="0"/>
          <w:szCs w:val="21"/>
        </w:rPr>
        <w:t>JJF 11</w:t>
      </w:r>
      <w:r>
        <w:rPr>
          <w:rFonts w:hint="eastAsia" w:eastAsiaTheme="minorEastAsia"/>
          <w:kern w:val="0"/>
          <w:szCs w:val="21"/>
        </w:rPr>
        <w:t>01</w:t>
      </w:r>
      <w:r>
        <w:rPr>
          <w:rFonts w:eastAsiaTheme="minorEastAsia"/>
          <w:kern w:val="0"/>
          <w:szCs w:val="21"/>
        </w:rPr>
        <w:t>-20</w:t>
      </w:r>
      <w:r>
        <w:rPr>
          <w:rFonts w:hint="eastAsia" w:eastAsiaTheme="minorEastAsia"/>
          <w:kern w:val="0"/>
          <w:szCs w:val="21"/>
        </w:rPr>
        <w:t>19</w:t>
      </w:r>
      <w:r>
        <w:rPr>
          <w:rFonts w:eastAsiaTheme="minorEastAsia"/>
          <w:kern w:val="0"/>
          <w:szCs w:val="21"/>
        </w:rPr>
        <w:t>中</w:t>
      </w:r>
      <w:r>
        <w:rPr>
          <w:rFonts w:hint="eastAsia" w:eastAsiaTheme="minorEastAsia"/>
          <w:kern w:val="0"/>
          <w:szCs w:val="21"/>
        </w:rPr>
        <w:t>7</w:t>
      </w:r>
      <w:r>
        <w:rPr>
          <w:rFonts w:eastAsiaTheme="minorEastAsia"/>
          <w:kern w:val="0"/>
          <w:szCs w:val="21"/>
        </w:rPr>
        <w:t>.</w:t>
      </w:r>
      <w:r>
        <w:rPr>
          <w:rFonts w:hint="eastAsia" w:eastAsiaTheme="minorEastAsia"/>
          <w:kern w:val="0"/>
          <w:szCs w:val="21"/>
        </w:rPr>
        <w:t>2</w:t>
      </w:r>
      <w:r>
        <w:rPr>
          <w:rFonts w:eastAsiaTheme="minorEastAsia"/>
          <w:kern w:val="0"/>
          <w:szCs w:val="21"/>
        </w:rPr>
        <w:t>.</w:t>
      </w:r>
      <w:r>
        <w:rPr>
          <w:rFonts w:hint="eastAsia" w:eastAsiaTheme="minorEastAsia"/>
          <w:kern w:val="0"/>
          <w:szCs w:val="21"/>
        </w:rPr>
        <w:t>4</w:t>
      </w:r>
      <w:r>
        <w:rPr>
          <w:rFonts w:eastAsiaTheme="minorEastAsia"/>
          <w:kern w:val="0"/>
          <w:szCs w:val="21"/>
        </w:rPr>
        <w:t>的相关要求。</w:t>
      </w:r>
    </w:p>
    <w:p>
      <w:pPr>
        <w:spacing w:line="360" w:lineRule="auto"/>
        <w:outlineLvl w:val="0"/>
        <w:rPr>
          <w:rFonts w:eastAsiaTheme="minorEastAsia"/>
          <w:kern w:val="0"/>
          <w:szCs w:val="21"/>
        </w:rPr>
      </w:pPr>
      <w:r>
        <w:rPr>
          <w:rFonts w:eastAsiaTheme="minorEastAsia"/>
          <w:kern w:val="0"/>
          <w:szCs w:val="21"/>
        </w:rPr>
        <w:t>6.2.</w:t>
      </w:r>
      <w:r>
        <w:rPr>
          <w:rFonts w:hint="eastAsia" w:eastAsiaTheme="minorEastAsia"/>
          <w:kern w:val="0"/>
          <w:szCs w:val="21"/>
        </w:rPr>
        <w:t>3 紫外辐照度示值误差</w:t>
      </w:r>
    </w:p>
    <w:p>
      <w:pPr>
        <w:spacing w:line="360" w:lineRule="auto"/>
        <w:ind w:firstLine="420" w:firstLineChars="200"/>
        <w:outlineLvl w:val="0"/>
        <w:rPr>
          <w:rFonts w:eastAsiaTheme="minorEastAsia"/>
          <w:kern w:val="0"/>
          <w:szCs w:val="21"/>
        </w:rPr>
      </w:pPr>
      <w:r>
        <w:rPr>
          <w:rFonts w:hint="eastAsia" w:eastAsiaTheme="minorEastAsia"/>
          <w:kern w:val="0"/>
          <w:szCs w:val="21"/>
        </w:rPr>
        <w:t>紫外预处理试验箱正常启亮后不少于30min，紫外预处理试验箱内设定温度为60℃，待设备稳定后进行后续测量。</w:t>
      </w:r>
    </w:p>
    <w:p>
      <w:pPr>
        <w:spacing w:line="360" w:lineRule="auto"/>
        <w:ind w:firstLine="420" w:firstLineChars="200"/>
        <w:outlineLvl w:val="0"/>
        <w:rPr>
          <w:rFonts w:eastAsiaTheme="minorEastAsia"/>
          <w:kern w:val="0"/>
          <w:szCs w:val="21"/>
        </w:rPr>
      </w:pPr>
      <w:r>
        <w:rPr>
          <w:rFonts w:hint="eastAsia" w:eastAsiaTheme="minorEastAsia"/>
          <w:kern w:val="0"/>
          <w:szCs w:val="21"/>
        </w:rPr>
        <w:t>如图1所示,将UVA和UVB紫外辐照度计分别垂直放置于指定测试面的中心点,直接测得 UVA波段和UVB波段的辐照度,分别测量3次,取平均值作为测量结果。使用紫外辐照度计对紫外预处理试验箱进行校准的过程中,应考虑紫外预处理试验箱工作温度和校准紫外辐照度计时的温度之间的差异对紫外辐照度计性能产生的影响。如紫外辐照度计的额定工作温度范围能覆盖65℃,则应在测量时进行与紫外预处理试验箱内工作温度相适应的温度修正。 如紫外辐照度计的额定工作温度范围不能覆盖 65℃,则不适合用于直接测量紫外预处理试验箱的紫外辐照度，应考虑为其配置温控装置，使其在测量时工作在被校准时的温度 (可通过查阅有效的校准报告得到)。注意温控装置受光面采用的材料在波段( 250~400 )nm 的透过率是一致的。</w:t>
      </w:r>
    </w:p>
    <w:p>
      <w:pPr>
        <w:spacing w:line="360" w:lineRule="auto"/>
        <w:ind w:firstLine="420" w:firstLineChars="200"/>
        <w:jc w:val="center"/>
        <w:outlineLvl w:val="0"/>
        <w:rPr>
          <w:rFonts w:eastAsiaTheme="minorEastAsia"/>
          <w:kern w:val="0"/>
          <w:szCs w:val="21"/>
        </w:rPr>
      </w:pPr>
      <w:r>
        <w:rPr>
          <w:rFonts w:eastAsiaTheme="minorEastAsia"/>
          <w:kern w:val="0"/>
          <w:szCs w:val="21"/>
        </w:rPr>
        <w:drawing>
          <wp:inline distT="0" distB="0" distL="0" distR="0">
            <wp:extent cx="2782570" cy="1950720"/>
            <wp:effectExtent l="0" t="0" r="0" b="0"/>
            <wp:docPr id="1" name="图片 1" descr="C:\Users\HTCK\Documents\WeChat Files\wxid_pa8i5j6spmuj21\FileStorage\Temp\1723563326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TCK\Documents\WeChat Files\wxid_pa8i5j6spmuj21\FileStorage\Temp\172356332683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83170" cy="1950720"/>
                    </a:xfrm>
                    <a:prstGeom prst="rect">
                      <a:avLst/>
                    </a:prstGeom>
                    <a:noFill/>
                    <a:ln>
                      <a:noFill/>
                    </a:ln>
                  </pic:spPr>
                </pic:pic>
              </a:graphicData>
            </a:graphic>
          </wp:inline>
        </w:drawing>
      </w:r>
    </w:p>
    <w:p>
      <w:pPr>
        <w:spacing w:line="360" w:lineRule="auto"/>
        <w:ind w:firstLine="420" w:firstLineChars="200"/>
        <w:jc w:val="center"/>
        <w:outlineLvl w:val="0"/>
        <w:rPr>
          <w:rFonts w:eastAsiaTheme="minorEastAsia"/>
          <w:kern w:val="0"/>
          <w:szCs w:val="21"/>
        </w:rPr>
      </w:pPr>
      <w:r>
        <w:rPr>
          <w:rFonts w:hint="eastAsia" w:eastAsiaTheme="minorEastAsia"/>
          <w:kern w:val="0"/>
          <w:szCs w:val="21"/>
        </w:rPr>
        <w:t>图1 紫外辐照度测量示意图</w:t>
      </w:r>
    </w:p>
    <w:p>
      <w:pPr>
        <w:spacing w:line="360" w:lineRule="auto"/>
        <w:outlineLvl w:val="0"/>
        <w:rPr>
          <w:rFonts w:eastAsiaTheme="minorEastAsia"/>
          <w:kern w:val="0"/>
          <w:szCs w:val="21"/>
        </w:rPr>
      </w:pPr>
      <w:r>
        <w:rPr>
          <w:rFonts w:eastAsiaTheme="minorEastAsia"/>
          <w:kern w:val="0"/>
          <w:szCs w:val="21"/>
        </w:rPr>
        <w:t>6.2.</w:t>
      </w:r>
      <w:r>
        <w:rPr>
          <w:rFonts w:hint="eastAsia" w:eastAsiaTheme="minorEastAsia"/>
          <w:kern w:val="0"/>
          <w:szCs w:val="21"/>
        </w:rPr>
        <w:t>4 紫外光谱积分辐照度</w:t>
      </w:r>
    </w:p>
    <w:p>
      <w:pPr>
        <w:spacing w:line="360" w:lineRule="auto"/>
        <w:ind w:firstLine="420" w:firstLineChars="200"/>
        <w:outlineLvl w:val="0"/>
        <w:rPr>
          <w:rFonts w:eastAsiaTheme="minorEastAsia"/>
          <w:kern w:val="0"/>
          <w:szCs w:val="21"/>
        </w:rPr>
      </w:pPr>
      <w:r>
        <w:rPr>
          <w:rFonts w:hint="eastAsia" w:eastAsiaTheme="minorEastAsia"/>
          <w:kern w:val="0"/>
          <w:szCs w:val="21"/>
        </w:rPr>
        <w:t>将光谱仪的受光探头垂直放置于测试面的中心点,以不大于5nm的波长间隔测量</w:t>
      </w:r>
      <w:r>
        <w:rPr>
          <w:rFonts w:eastAsiaTheme="minorEastAsia"/>
          <w:kern w:val="0"/>
          <w:szCs w:val="21"/>
        </w:rPr>
        <w:t>( 250~400 )</w:t>
      </w:r>
      <w:r>
        <w:rPr>
          <w:rFonts w:hint="eastAsia" w:eastAsiaTheme="minorEastAsia"/>
          <w:kern w:val="0"/>
          <w:szCs w:val="21"/>
        </w:rPr>
        <w:t>nm 范围内的紫外辐射光谱分布,应根据被校光源的特性合理选择积分时间。为了避免高温对光谱仪本体的影响, 光谱仪应放置在紫外预处理试验箱外, 使用具有抗外封装的光纤进行耦合。</w:t>
      </w:r>
    </w:p>
    <w:p>
      <w:pPr>
        <w:spacing w:line="360" w:lineRule="auto"/>
        <w:outlineLvl w:val="0"/>
        <w:rPr>
          <w:rFonts w:eastAsiaTheme="minorEastAsia"/>
          <w:kern w:val="0"/>
          <w:szCs w:val="21"/>
        </w:rPr>
      </w:pPr>
      <w:r>
        <w:rPr>
          <w:rFonts w:eastAsiaTheme="minorEastAsia"/>
          <w:kern w:val="0"/>
          <w:szCs w:val="21"/>
        </w:rPr>
        <w:t>6.2.</w:t>
      </w:r>
      <w:r>
        <w:rPr>
          <w:rFonts w:hint="eastAsia" w:eastAsiaTheme="minorEastAsia"/>
          <w:kern w:val="0"/>
          <w:szCs w:val="21"/>
        </w:rPr>
        <w:t>5 紫外辐照度不均匀度</w:t>
      </w:r>
    </w:p>
    <w:p>
      <w:pPr>
        <w:spacing w:line="360" w:lineRule="auto"/>
        <w:ind w:firstLine="420" w:firstLineChars="200"/>
        <w:outlineLvl w:val="0"/>
        <w:rPr>
          <w:rFonts w:eastAsiaTheme="minorEastAsia"/>
          <w:kern w:val="0"/>
          <w:szCs w:val="21"/>
        </w:rPr>
      </w:pPr>
      <w:r>
        <w:rPr>
          <w:rFonts w:hint="eastAsia" w:eastAsiaTheme="minorEastAsia"/>
          <w:kern w:val="0"/>
          <w:szCs w:val="21"/>
        </w:rPr>
        <w:t>将图 1 中的指定测试面划分成面积不超过 20 cm×20 cm 的等分区域, 每个测试点位于每一等分区域的正中央。将UVA+UVB 复合辐照度计放置在测试点上,测量各个测试区域的紫外辐照度。</w:t>
      </w:r>
    </w:p>
    <w:p>
      <w:pPr>
        <w:spacing w:line="360" w:lineRule="auto"/>
        <w:outlineLvl w:val="0"/>
        <w:rPr>
          <w:rFonts w:eastAsiaTheme="minorEastAsia"/>
          <w:kern w:val="0"/>
          <w:szCs w:val="21"/>
        </w:rPr>
      </w:pPr>
      <w:r>
        <w:rPr>
          <w:rFonts w:eastAsiaTheme="minorEastAsia"/>
          <w:kern w:val="0"/>
          <w:szCs w:val="21"/>
        </w:rPr>
        <w:t>6.2.</w:t>
      </w:r>
      <w:r>
        <w:rPr>
          <w:rFonts w:hint="eastAsia" w:eastAsiaTheme="minorEastAsia"/>
          <w:kern w:val="0"/>
          <w:szCs w:val="21"/>
        </w:rPr>
        <w:t>6 紫外辐照度不稳定度</w:t>
      </w:r>
    </w:p>
    <w:p>
      <w:pPr>
        <w:spacing w:line="360" w:lineRule="auto"/>
        <w:ind w:firstLine="420" w:firstLineChars="200"/>
        <w:outlineLvl w:val="0"/>
        <w:rPr>
          <w:rFonts w:eastAsiaTheme="minorEastAsia"/>
          <w:kern w:val="0"/>
          <w:szCs w:val="21"/>
        </w:rPr>
      </w:pPr>
      <w:r>
        <w:rPr>
          <w:rFonts w:hint="eastAsia" w:eastAsiaTheme="minorEastAsia"/>
          <w:kern w:val="0"/>
          <w:szCs w:val="21"/>
        </w:rPr>
        <w:t>将UVA+UVB 复合辐照度计放置在指定测试面上的中心点上,每2 min记录该点的紫外辐照度一次，连续测量30 min ,共记录16次。</w:t>
      </w:r>
    </w:p>
    <w:p>
      <w:pPr>
        <w:spacing w:line="360" w:lineRule="auto"/>
        <w:rPr>
          <w:szCs w:val="21"/>
        </w:rPr>
      </w:pPr>
      <w:r>
        <w:rPr>
          <w:rFonts w:hint="eastAsia"/>
          <w:szCs w:val="21"/>
        </w:rPr>
        <w:t>6.3数据处理</w:t>
      </w:r>
    </w:p>
    <w:p>
      <w:pPr>
        <w:spacing w:line="360" w:lineRule="auto"/>
        <w:rPr>
          <w:kern w:val="0"/>
          <w:sz w:val="24"/>
          <w:szCs w:val="20"/>
        </w:rPr>
      </w:pPr>
      <w:bookmarkStart w:id="50" w:name="_Toc193860038"/>
      <w:bookmarkStart w:id="51" w:name="_Toc193860219"/>
      <w:bookmarkStart w:id="52" w:name="_Toc193860188"/>
      <w:bookmarkStart w:id="53" w:name="_Toc193619059"/>
      <w:bookmarkStart w:id="54" w:name="_Toc193619101"/>
      <w:bookmarkStart w:id="55" w:name="_Toc193618956"/>
      <w:bookmarkStart w:id="56" w:name="_Toc25466_WPSOffice_Level1"/>
      <w:bookmarkStart w:id="57" w:name="_Toc500258947"/>
      <w:r>
        <w:rPr>
          <w:rFonts w:hint="eastAsia"/>
          <w:kern w:val="0"/>
          <w:sz w:val="24"/>
          <w:szCs w:val="20"/>
        </w:rPr>
        <w:t>6.3.1 温度偏差</w:t>
      </w:r>
    </w:p>
    <w:p>
      <w:pPr>
        <w:spacing w:line="360" w:lineRule="auto"/>
        <w:ind w:right="240" w:firstLine="480"/>
        <w:jc w:val="right"/>
        <w:rPr>
          <w:kern w:val="0"/>
          <w:sz w:val="24"/>
          <w:szCs w:val="20"/>
        </w:rPr>
      </w:pPr>
      <w:r>
        <w:rPr>
          <w:rFonts w:hint="eastAsia"/>
          <w:kern w:val="0"/>
          <w:sz w:val="24"/>
          <w:szCs w:val="20"/>
        </w:rPr>
        <w:t>Δ</w:t>
      </w:r>
      <w:r>
        <w:rPr>
          <w:i/>
          <w:kern w:val="0"/>
          <w:sz w:val="24"/>
          <w:szCs w:val="20"/>
        </w:rPr>
        <w:t xml:space="preserve">t </w:t>
      </w:r>
      <w:r>
        <w:rPr>
          <w:kern w:val="0"/>
          <w:sz w:val="24"/>
          <w:szCs w:val="20"/>
          <w:vertAlign w:val="subscript"/>
        </w:rPr>
        <w:t>max</w:t>
      </w:r>
      <w:r>
        <w:rPr>
          <w:kern w:val="0"/>
          <w:sz w:val="24"/>
          <w:szCs w:val="20"/>
        </w:rPr>
        <w:t xml:space="preserve"> = </w:t>
      </w:r>
      <w:r>
        <w:rPr>
          <w:i/>
          <w:kern w:val="0"/>
          <w:sz w:val="24"/>
          <w:szCs w:val="20"/>
        </w:rPr>
        <w:t>t</w:t>
      </w:r>
      <w:r>
        <w:rPr>
          <w:kern w:val="0"/>
          <w:sz w:val="24"/>
          <w:szCs w:val="20"/>
        </w:rPr>
        <w:t xml:space="preserve"> </w:t>
      </w:r>
      <w:r>
        <w:rPr>
          <w:kern w:val="0"/>
          <w:sz w:val="24"/>
          <w:szCs w:val="20"/>
          <w:vertAlign w:val="subscript"/>
        </w:rPr>
        <w:t>max</w:t>
      </w:r>
      <w:r>
        <w:rPr>
          <w:kern w:val="0"/>
          <w:sz w:val="24"/>
          <w:szCs w:val="20"/>
        </w:rPr>
        <w:t xml:space="preserve"> –</w:t>
      </w:r>
      <w:r>
        <w:rPr>
          <w:i/>
          <w:kern w:val="0"/>
          <w:sz w:val="24"/>
          <w:szCs w:val="20"/>
        </w:rPr>
        <w:t xml:space="preserve"> t</w:t>
      </w:r>
      <w:r>
        <w:rPr>
          <w:kern w:val="0"/>
          <w:sz w:val="24"/>
          <w:szCs w:val="20"/>
          <w:vertAlign w:val="subscript"/>
        </w:rPr>
        <w:t>s</w:t>
      </w:r>
      <w:r>
        <w:rPr>
          <w:rFonts w:hint="eastAsia"/>
          <w:kern w:val="0"/>
          <w:sz w:val="24"/>
          <w:szCs w:val="20"/>
        </w:rPr>
        <w:t xml:space="preserve">                          （1）</w:t>
      </w:r>
    </w:p>
    <w:p>
      <w:pPr>
        <w:spacing w:line="360" w:lineRule="auto"/>
        <w:ind w:right="240" w:firstLine="480"/>
        <w:jc w:val="right"/>
        <w:rPr>
          <w:kern w:val="0"/>
          <w:sz w:val="24"/>
          <w:szCs w:val="20"/>
        </w:rPr>
      </w:pPr>
      <w:r>
        <w:rPr>
          <w:rFonts w:hint="eastAsia"/>
          <w:kern w:val="0"/>
          <w:sz w:val="24"/>
          <w:szCs w:val="20"/>
        </w:rPr>
        <w:t>Δ</w:t>
      </w:r>
      <w:r>
        <w:rPr>
          <w:i/>
          <w:kern w:val="0"/>
          <w:sz w:val="24"/>
          <w:szCs w:val="20"/>
        </w:rPr>
        <w:t xml:space="preserve">t </w:t>
      </w:r>
      <w:r>
        <w:rPr>
          <w:kern w:val="0"/>
          <w:sz w:val="24"/>
          <w:szCs w:val="20"/>
          <w:vertAlign w:val="subscript"/>
        </w:rPr>
        <w:t>m</w:t>
      </w:r>
      <w:r>
        <w:rPr>
          <w:rFonts w:hint="eastAsia"/>
          <w:kern w:val="0"/>
          <w:sz w:val="24"/>
          <w:szCs w:val="20"/>
          <w:vertAlign w:val="subscript"/>
        </w:rPr>
        <w:t>in</w:t>
      </w:r>
      <w:r>
        <w:rPr>
          <w:kern w:val="0"/>
          <w:sz w:val="24"/>
          <w:szCs w:val="20"/>
        </w:rPr>
        <w:t xml:space="preserve"> = </w:t>
      </w:r>
      <w:r>
        <w:rPr>
          <w:i/>
          <w:kern w:val="0"/>
          <w:sz w:val="24"/>
          <w:szCs w:val="20"/>
        </w:rPr>
        <w:t>t</w:t>
      </w:r>
      <w:r>
        <w:rPr>
          <w:kern w:val="0"/>
          <w:sz w:val="24"/>
          <w:szCs w:val="20"/>
        </w:rPr>
        <w:t xml:space="preserve"> </w:t>
      </w:r>
      <w:r>
        <w:rPr>
          <w:kern w:val="0"/>
          <w:sz w:val="24"/>
          <w:szCs w:val="20"/>
          <w:vertAlign w:val="subscript"/>
        </w:rPr>
        <w:t>m</w:t>
      </w:r>
      <w:r>
        <w:rPr>
          <w:rFonts w:hint="eastAsia"/>
          <w:kern w:val="0"/>
          <w:sz w:val="24"/>
          <w:szCs w:val="20"/>
          <w:vertAlign w:val="subscript"/>
        </w:rPr>
        <w:t>in</w:t>
      </w:r>
      <w:r>
        <w:rPr>
          <w:kern w:val="0"/>
          <w:sz w:val="24"/>
          <w:szCs w:val="20"/>
        </w:rPr>
        <w:t>–</w:t>
      </w:r>
      <w:r>
        <w:rPr>
          <w:i/>
          <w:kern w:val="0"/>
          <w:sz w:val="24"/>
          <w:szCs w:val="20"/>
        </w:rPr>
        <w:t xml:space="preserve"> t</w:t>
      </w:r>
      <w:r>
        <w:rPr>
          <w:kern w:val="0"/>
          <w:sz w:val="24"/>
          <w:szCs w:val="20"/>
          <w:vertAlign w:val="subscript"/>
        </w:rPr>
        <w:t>s</w:t>
      </w:r>
      <w:r>
        <w:rPr>
          <w:rFonts w:hint="eastAsia"/>
          <w:kern w:val="0"/>
          <w:sz w:val="24"/>
          <w:szCs w:val="20"/>
        </w:rPr>
        <w:t xml:space="preserve">                          （2）</w:t>
      </w:r>
    </w:p>
    <w:p>
      <w:pPr>
        <w:spacing w:line="360" w:lineRule="auto"/>
        <w:ind w:firstLine="480" w:firstLineChars="200"/>
        <w:rPr>
          <w:kern w:val="0"/>
          <w:sz w:val="24"/>
          <w:szCs w:val="20"/>
        </w:rPr>
      </w:pPr>
      <w:r>
        <w:rPr>
          <w:kern w:val="0"/>
          <w:sz w:val="24"/>
          <w:szCs w:val="20"/>
        </w:rPr>
        <w:t>式中</w:t>
      </w:r>
      <w:r>
        <w:rPr>
          <w:rFonts w:hint="eastAsia"/>
          <w:kern w:val="0"/>
          <w:sz w:val="24"/>
          <w:szCs w:val="20"/>
        </w:rPr>
        <w:t>：</w:t>
      </w:r>
    </w:p>
    <w:p>
      <w:pPr>
        <w:spacing w:line="360" w:lineRule="auto"/>
        <w:ind w:firstLine="480" w:firstLineChars="200"/>
        <w:rPr>
          <w:kern w:val="0"/>
          <w:sz w:val="24"/>
          <w:szCs w:val="20"/>
        </w:rPr>
      </w:pPr>
      <w:r>
        <w:rPr>
          <w:rFonts w:hint="eastAsia"/>
          <w:kern w:val="0"/>
          <w:sz w:val="24"/>
          <w:szCs w:val="20"/>
        </w:rPr>
        <w:t>Δ</w:t>
      </w:r>
      <w:r>
        <w:rPr>
          <w:i/>
          <w:kern w:val="0"/>
          <w:sz w:val="24"/>
          <w:szCs w:val="20"/>
        </w:rPr>
        <w:t xml:space="preserve">t </w:t>
      </w:r>
      <w:r>
        <w:rPr>
          <w:kern w:val="0"/>
          <w:sz w:val="24"/>
          <w:szCs w:val="20"/>
          <w:vertAlign w:val="subscript"/>
        </w:rPr>
        <w:t>max</w:t>
      </w:r>
      <w:r>
        <w:rPr>
          <w:kern w:val="0"/>
          <w:sz w:val="24"/>
          <w:szCs w:val="20"/>
        </w:rPr>
        <w:t>—</w:t>
      </w:r>
      <w:r>
        <w:rPr>
          <w:rFonts w:hint="eastAsia"/>
          <w:kern w:val="0"/>
          <w:sz w:val="24"/>
          <w:szCs w:val="20"/>
        </w:rPr>
        <w:t>温度上偏差, ℃ ；</w:t>
      </w:r>
    </w:p>
    <w:p>
      <w:pPr>
        <w:spacing w:line="360" w:lineRule="auto"/>
        <w:ind w:firstLine="480" w:firstLineChars="200"/>
        <w:rPr>
          <w:kern w:val="0"/>
          <w:sz w:val="24"/>
          <w:szCs w:val="20"/>
        </w:rPr>
      </w:pPr>
      <w:r>
        <w:rPr>
          <w:rFonts w:hint="eastAsia"/>
          <w:kern w:val="0"/>
          <w:sz w:val="24"/>
          <w:szCs w:val="20"/>
        </w:rPr>
        <w:t>Δ</w:t>
      </w:r>
      <w:r>
        <w:rPr>
          <w:i/>
          <w:kern w:val="0"/>
          <w:sz w:val="24"/>
          <w:szCs w:val="20"/>
        </w:rPr>
        <w:t xml:space="preserve">t </w:t>
      </w:r>
      <w:r>
        <w:rPr>
          <w:kern w:val="0"/>
          <w:sz w:val="24"/>
          <w:szCs w:val="20"/>
          <w:vertAlign w:val="subscript"/>
        </w:rPr>
        <w:t>m</w:t>
      </w:r>
      <w:r>
        <w:rPr>
          <w:rFonts w:hint="eastAsia"/>
          <w:kern w:val="0"/>
          <w:sz w:val="24"/>
          <w:szCs w:val="20"/>
          <w:vertAlign w:val="subscript"/>
        </w:rPr>
        <w:t>in</w:t>
      </w:r>
      <w:r>
        <w:rPr>
          <w:kern w:val="0"/>
          <w:sz w:val="24"/>
          <w:szCs w:val="20"/>
        </w:rPr>
        <w:t xml:space="preserve"> —</w:t>
      </w:r>
      <w:r>
        <w:rPr>
          <w:rFonts w:hint="eastAsia"/>
          <w:kern w:val="0"/>
          <w:sz w:val="24"/>
          <w:szCs w:val="20"/>
        </w:rPr>
        <w:t>温度下偏差, ℃ ；</w:t>
      </w:r>
    </w:p>
    <w:p>
      <w:pPr>
        <w:spacing w:line="360" w:lineRule="auto"/>
        <w:ind w:firstLine="480" w:firstLineChars="200"/>
        <w:rPr>
          <w:kern w:val="0"/>
          <w:sz w:val="24"/>
          <w:szCs w:val="20"/>
        </w:rPr>
      </w:pPr>
      <w:r>
        <w:rPr>
          <w:i/>
          <w:kern w:val="0"/>
          <w:sz w:val="24"/>
          <w:szCs w:val="20"/>
        </w:rPr>
        <w:t>t</w:t>
      </w:r>
      <w:r>
        <w:rPr>
          <w:kern w:val="0"/>
          <w:sz w:val="24"/>
          <w:szCs w:val="20"/>
        </w:rPr>
        <w:t xml:space="preserve"> </w:t>
      </w:r>
      <w:r>
        <w:rPr>
          <w:kern w:val="0"/>
          <w:sz w:val="24"/>
          <w:szCs w:val="20"/>
          <w:vertAlign w:val="subscript"/>
        </w:rPr>
        <w:t>max</w:t>
      </w:r>
      <w:r>
        <w:rPr>
          <w:kern w:val="0"/>
          <w:sz w:val="24"/>
          <w:szCs w:val="20"/>
        </w:rPr>
        <w:t xml:space="preserve"> —</w:t>
      </w:r>
      <w:r>
        <w:rPr>
          <w:rFonts w:hint="eastAsia"/>
          <w:kern w:val="0"/>
          <w:sz w:val="24"/>
          <w:szCs w:val="20"/>
        </w:rPr>
        <w:t>各测量点规定时间内测量的最高温度, ℃</w:t>
      </w:r>
      <w:r>
        <w:rPr>
          <w:kern w:val="0"/>
          <w:sz w:val="24"/>
          <w:szCs w:val="20"/>
        </w:rPr>
        <w:t>；</w:t>
      </w:r>
    </w:p>
    <w:p>
      <w:pPr>
        <w:spacing w:line="360" w:lineRule="auto"/>
        <w:ind w:firstLine="480" w:firstLineChars="200"/>
        <w:rPr>
          <w:kern w:val="0"/>
          <w:sz w:val="24"/>
          <w:szCs w:val="20"/>
        </w:rPr>
      </w:pPr>
      <w:r>
        <w:rPr>
          <w:i/>
          <w:kern w:val="0"/>
          <w:sz w:val="24"/>
          <w:szCs w:val="20"/>
        </w:rPr>
        <w:t>t</w:t>
      </w:r>
      <w:r>
        <w:rPr>
          <w:kern w:val="0"/>
          <w:sz w:val="24"/>
          <w:szCs w:val="20"/>
        </w:rPr>
        <w:t xml:space="preserve"> </w:t>
      </w:r>
      <w:r>
        <w:rPr>
          <w:kern w:val="0"/>
          <w:sz w:val="24"/>
          <w:szCs w:val="20"/>
          <w:vertAlign w:val="subscript"/>
        </w:rPr>
        <w:t>m</w:t>
      </w:r>
      <w:r>
        <w:rPr>
          <w:rFonts w:hint="eastAsia"/>
          <w:kern w:val="0"/>
          <w:sz w:val="24"/>
          <w:szCs w:val="20"/>
          <w:vertAlign w:val="subscript"/>
        </w:rPr>
        <w:t>in</w:t>
      </w:r>
      <w:r>
        <w:rPr>
          <w:kern w:val="0"/>
          <w:sz w:val="24"/>
          <w:szCs w:val="20"/>
        </w:rPr>
        <w:t>—</w:t>
      </w:r>
      <w:r>
        <w:rPr>
          <w:rFonts w:hint="eastAsia"/>
          <w:kern w:val="0"/>
          <w:sz w:val="24"/>
          <w:szCs w:val="20"/>
        </w:rPr>
        <w:t>各测量点规定时间内测量的最低温度, ℃</w:t>
      </w:r>
      <w:r>
        <w:rPr>
          <w:kern w:val="0"/>
          <w:sz w:val="24"/>
          <w:szCs w:val="20"/>
        </w:rPr>
        <w:t>；</w:t>
      </w:r>
    </w:p>
    <w:p>
      <w:pPr>
        <w:spacing w:line="360" w:lineRule="auto"/>
        <w:ind w:firstLine="480" w:firstLineChars="200"/>
        <w:rPr>
          <w:kern w:val="0"/>
          <w:sz w:val="24"/>
          <w:szCs w:val="20"/>
        </w:rPr>
      </w:pPr>
      <w:r>
        <w:rPr>
          <w:i/>
          <w:kern w:val="0"/>
          <w:sz w:val="24"/>
          <w:szCs w:val="20"/>
        </w:rPr>
        <w:t>t</w:t>
      </w:r>
      <w:r>
        <w:rPr>
          <w:kern w:val="0"/>
          <w:sz w:val="24"/>
          <w:szCs w:val="20"/>
          <w:vertAlign w:val="subscript"/>
        </w:rPr>
        <w:t>s</w:t>
      </w:r>
      <w:r>
        <w:rPr>
          <w:rFonts w:hint="eastAsia"/>
          <w:kern w:val="0"/>
          <w:sz w:val="24"/>
          <w:szCs w:val="20"/>
        </w:rPr>
        <w:t>—设备设定温度, ℃ 。</w:t>
      </w:r>
    </w:p>
    <w:p>
      <w:pPr>
        <w:spacing w:line="360" w:lineRule="auto"/>
        <w:rPr>
          <w:kern w:val="0"/>
          <w:sz w:val="24"/>
          <w:szCs w:val="20"/>
        </w:rPr>
      </w:pPr>
      <w:r>
        <w:rPr>
          <w:rFonts w:hint="eastAsia"/>
          <w:kern w:val="0"/>
          <w:sz w:val="24"/>
          <w:szCs w:val="20"/>
        </w:rPr>
        <w:t>6.3.2 紫外辐照度示值误差</w:t>
      </w:r>
    </w:p>
    <w:p>
      <w:pPr>
        <w:spacing w:line="360" w:lineRule="auto"/>
        <w:ind w:firstLine="480" w:firstLineChars="200"/>
        <w:rPr>
          <w:kern w:val="0"/>
          <w:sz w:val="24"/>
          <w:szCs w:val="20"/>
        </w:rPr>
      </w:pPr>
      <w:r>
        <w:rPr>
          <w:rFonts w:hint="eastAsia"/>
          <w:kern w:val="0"/>
          <w:sz w:val="24"/>
          <w:szCs w:val="20"/>
        </w:rPr>
        <w:t>由公式(3)定义:</w:t>
      </w:r>
    </w:p>
    <w:p>
      <w:pPr>
        <w:spacing w:line="360" w:lineRule="auto"/>
        <w:ind w:right="240" w:firstLine="480"/>
        <w:jc w:val="right"/>
        <w:rPr>
          <w:kern w:val="0"/>
          <w:sz w:val="24"/>
          <w:szCs w:val="20"/>
        </w:rPr>
      </w:pPr>
      <w:r>
        <w:rPr>
          <w:rFonts w:hint="eastAsia" w:ascii="宋体" w:hAnsi="宋体"/>
          <w:kern w:val="0"/>
          <w:sz w:val="24"/>
          <w:szCs w:val="20"/>
        </w:rPr>
        <w:t>α</w:t>
      </w:r>
      <w:r>
        <w:rPr>
          <w:kern w:val="0"/>
          <w:sz w:val="24"/>
          <w:szCs w:val="20"/>
        </w:rPr>
        <w:t xml:space="preserve">= </w:t>
      </w:r>
      <m:oMath>
        <m:f>
          <m:fPr>
            <m:ctrlPr>
              <w:rPr>
                <w:rFonts w:ascii="Cambria Math" w:hAnsi="Cambria Math"/>
                <w:kern w:val="0"/>
                <w:sz w:val="24"/>
                <w:szCs w:val="20"/>
              </w:rPr>
            </m:ctrlPr>
          </m:fPr>
          <m:num>
            <m:sSub>
              <m:sSubPr>
                <m:ctrlPr>
                  <w:rPr>
                    <w:rFonts w:ascii="Cambria Math" w:hAnsi="Cambria Math"/>
                    <w:i/>
                    <w:kern w:val="0"/>
                    <w:sz w:val="24"/>
                    <w:szCs w:val="20"/>
                  </w:rPr>
                </m:ctrlPr>
              </m:sSubPr>
              <m:e>
                <m:r>
                  <m:rPr/>
                  <w:rPr>
                    <w:rFonts w:ascii="Cambria Math" w:hAnsi="Cambria Math"/>
                    <w:kern w:val="0"/>
                    <w:sz w:val="24"/>
                    <w:szCs w:val="20"/>
                  </w:rPr>
                  <m:t>G</m:t>
                </m:r>
                <m:ctrlPr>
                  <w:rPr>
                    <w:rFonts w:ascii="Cambria Math" w:hAnsi="Cambria Math"/>
                    <w:i/>
                    <w:kern w:val="0"/>
                    <w:sz w:val="24"/>
                    <w:szCs w:val="20"/>
                  </w:rPr>
                </m:ctrlPr>
              </m:e>
              <m:sub>
                <m:r>
                  <m:rPr/>
                  <w:rPr>
                    <w:rFonts w:ascii="Cambria Math" w:hAnsi="Cambria Math"/>
                    <w:kern w:val="0"/>
                    <w:sz w:val="24"/>
                    <w:szCs w:val="20"/>
                  </w:rPr>
                  <m:t>0</m:t>
                </m:r>
                <m:ctrlPr>
                  <w:rPr>
                    <w:rFonts w:ascii="Cambria Math" w:hAnsi="Cambria Math"/>
                    <w:i/>
                    <w:kern w:val="0"/>
                    <w:sz w:val="24"/>
                    <w:szCs w:val="20"/>
                  </w:rPr>
                </m:ctrlPr>
              </m:sub>
            </m:sSub>
            <m:ctrlPr>
              <w:rPr>
                <w:rFonts w:ascii="Cambria Math" w:hAnsi="Cambria Math"/>
                <w:kern w:val="0"/>
                <w:sz w:val="24"/>
                <w:szCs w:val="20"/>
              </w:rPr>
            </m:ctrlPr>
          </m:num>
          <m:den>
            <m:r>
              <m:rPr/>
              <w:rPr>
                <w:rFonts w:ascii="Cambria Math" w:hAnsi="Cambria Math"/>
                <w:kern w:val="0"/>
                <w:sz w:val="24"/>
                <w:szCs w:val="20"/>
              </w:rPr>
              <m:t>G</m:t>
            </m:r>
            <m:ctrlPr>
              <w:rPr>
                <w:rFonts w:ascii="Cambria Math" w:hAnsi="Cambria Math"/>
                <w:kern w:val="0"/>
                <w:sz w:val="24"/>
                <w:szCs w:val="20"/>
              </w:rPr>
            </m:ctrlPr>
          </m:den>
        </m:f>
      </m:oMath>
      <w:r>
        <w:rPr>
          <w:rFonts w:hint="eastAsia"/>
          <w:kern w:val="0"/>
          <w:sz w:val="24"/>
          <w:szCs w:val="20"/>
        </w:rPr>
        <w:t xml:space="preserve">                          （3）</w:t>
      </w:r>
    </w:p>
    <w:p>
      <w:pPr>
        <w:spacing w:line="360" w:lineRule="auto"/>
        <w:ind w:firstLine="480" w:firstLineChars="200"/>
        <w:rPr>
          <w:kern w:val="0"/>
          <w:sz w:val="24"/>
          <w:szCs w:val="20"/>
        </w:rPr>
      </w:pPr>
      <w:r>
        <w:rPr>
          <w:kern w:val="0"/>
          <w:sz w:val="24"/>
          <w:szCs w:val="20"/>
        </w:rPr>
        <w:t>式中</w:t>
      </w:r>
      <w:r>
        <w:rPr>
          <w:rFonts w:hint="eastAsia"/>
          <w:kern w:val="0"/>
          <w:sz w:val="24"/>
          <w:szCs w:val="20"/>
        </w:rPr>
        <w:t>：</w:t>
      </w:r>
    </w:p>
    <w:p>
      <w:pPr>
        <w:spacing w:line="360" w:lineRule="auto"/>
        <w:ind w:firstLine="480" w:firstLineChars="200"/>
        <w:rPr>
          <w:kern w:val="0"/>
          <w:sz w:val="24"/>
          <w:szCs w:val="20"/>
        </w:rPr>
      </w:pPr>
      <w:r>
        <w:rPr>
          <w:rFonts w:hint="eastAsia"/>
          <w:kern w:val="0"/>
          <w:sz w:val="24"/>
          <w:szCs w:val="20"/>
        </w:rPr>
        <w:t>α—</w:t>
      </w:r>
      <w:r>
        <w:rPr>
          <w:rFonts w:hint="eastAsia" w:eastAsiaTheme="minorEastAsia"/>
          <w:kern w:val="0"/>
          <w:sz w:val="24"/>
        </w:rPr>
        <w:t>紫外预处理试验箱</w:t>
      </w:r>
      <w:r>
        <w:rPr>
          <w:rFonts w:hint="eastAsia"/>
          <w:kern w:val="0"/>
          <w:sz w:val="24"/>
          <w:szCs w:val="20"/>
        </w:rPr>
        <w:t>的紫外辐照度修正系数, 无量纲;</w:t>
      </w:r>
    </w:p>
    <w:p>
      <w:pPr>
        <w:spacing w:line="360" w:lineRule="auto"/>
        <w:ind w:firstLine="480" w:firstLineChars="200"/>
        <w:rPr>
          <w:kern w:val="0"/>
          <w:sz w:val="24"/>
          <w:szCs w:val="20"/>
        </w:rPr>
      </w:pPr>
      <w:r>
        <w:rPr>
          <w:i/>
          <w:kern w:val="0"/>
          <w:sz w:val="24"/>
          <w:szCs w:val="20"/>
        </w:rPr>
        <w:t>G</w:t>
      </w:r>
      <w:r>
        <w:rPr>
          <w:rFonts w:hint="eastAsia"/>
          <w:kern w:val="0"/>
          <w:sz w:val="24"/>
          <w:szCs w:val="20"/>
        </w:rPr>
        <w:t>—</w:t>
      </w:r>
      <w:r>
        <w:rPr>
          <w:rFonts w:hint="eastAsia" w:eastAsiaTheme="minorEastAsia"/>
          <w:kern w:val="0"/>
          <w:sz w:val="24"/>
        </w:rPr>
        <w:t>紫外预处理试验箱</w:t>
      </w:r>
      <w:r>
        <w:rPr>
          <w:rFonts w:hint="eastAsia"/>
          <w:kern w:val="0"/>
          <w:sz w:val="24"/>
          <w:szCs w:val="20"/>
        </w:rPr>
        <w:t>的紫外辐照度指示值,</w:t>
      </w:r>
      <w:r>
        <w:rPr>
          <w:kern w:val="0"/>
          <w:sz w:val="24"/>
          <w:szCs w:val="20"/>
        </w:rPr>
        <w:t>W / m</w:t>
      </w:r>
      <w:r>
        <w:rPr>
          <w:kern w:val="0"/>
          <w:sz w:val="24"/>
          <w:szCs w:val="20"/>
          <w:vertAlign w:val="superscript"/>
        </w:rPr>
        <w:t>2</w:t>
      </w:r>
      <w:r>
        <w:rPr>
          <w:rFonts w:hint="eastAsia"/>
          <w:kern w:val="0"/>
          <w:sz w:val="24"/>
          <w:szCs w:val="20"/>
        </w:rPr>
        <w:t>;</w:t>
      </w:r>
    </w:p>
    <w:p>
      <w:pPr>
        <w:spacing w:line="360" w:lineRule="auto"/>
        <w:ind w:firstLine="480" w:firstLineChars="200"/>
        <w:rPr>
          <w:kern w:val="0"/>
          <w:sz w:val="24"/>
          <w:szCs w:val="20"/>
        </w:rPr>
      </w:pPr>
      <w:r>
        <w:rPr>
          <w:rFonts w:hint="eastAsia"/>
          <w:i/>
          <w:kern w:val="0"/>
          <w:sz w:val="24"/>
          <w:szCs w:val="20"/>
        </w:rPr>
        <w:t>G</w:t>
      </w:r>
      <w:r>
        <w:rPr>
          <w:rFonts w:hint="eastAsia"/>
          <w:kern w:val="0"/>
          <w:sz w:val="24"/>
          <w:szCs w:val="20"/>
          <w:vertAlign w:val="subscript"/>
        </w:rPr>
        <w:t>0</w:t>
      </w:r>
      <w:r>
        <w:rPr>
          <w:rFonts w:hint="eastAsia"/>
          <w:kern w:val="0"/>
          <w:sz w:val="24"/>
          <w:szCs w:val="20"/>
        </w:rPr>
        <w:t xml:space="preserve"> —标准器的紫外辐照度测量值, W / m</w:t>
      </w:r>
      <w:r>
        <w:rPr>
          <w:rFonts w:hint="eastAsia"/>
          <w:kern w:val="0"/>
          <w:sz w:val="24"/>
          <w:szCs w:val="20"/>
          <w:vertAlign w:val="superscript"/>
        </w:rPr>
        <w:t>2</w:t>
      </w:r>
      <w:r>
        <w:rPr>
          <w:rFonts w:hint="eastAsia"/>
          <w:kern w:val="0"/>
          <w:sz w:val="24"/>
          <w:szCs w:val="20"/>
        </w:rPr>
        <w:t xml:space="preserve"> 。</w:t>
      </w:r>
    </w:p>
    <w:p>
      <w:pPr>
        <w:spacing w:line="360" w:lineRule="auto"/>
        <w:ind w:firstLine="480" w:firstLineChars="200"/>
        <w:rPr>
          <w:kern w:val="0"/>
          <w:sz w:val="24"/>
          <w:szCs w:val="20"/>
        </w:rPr>
      </w:pPr>
      <w:r>
        <w:rPr>
          <w:rFonts w:hint="eastAsia"/>
          <w:kern w:val="0"/>
          <w:sz w:val="24"/>
          <w:szCs w:val="20"/>
        </w:rPr>
        <w:t>也可使用光谱仪进行紫外辐射的绝对光谱辐照度测量, 然后根据公式 (4)在需要波段的光谱范围对绝对光谱辐照度测量数据进行积分,得到该波段的紫外辐照度。</w:t>
      </w:r>
    </w:p>
    <w:p>
      <w:pPr>
        <w:spacing w:line="360" w:lineRule="auto"/>
        <w:ind w:firstLine="480" w:firstLineChars="200"/>
        <w:jc w:val="center"/>
        <w:rPr>
          <w:i/>
          <w:kern w:val="0"/>
          <w:sz w:val="24"/>
          <w:szCs w:val="20"/>
        </w:rPr>
      </w:pPr>
      <w:r>
        <w:rPr>
          <w:rFonts w:hint="eastAsia"/>
          <w:i/>
          <w:kern w:val="0"/>
          <w:sz w:val="24"/>
          <w:szCs w:val="20"/>
        </w:rPr>
        <w:t xml:space="preserve">                           </w:t>
      </w:r>
      <w:r>
        <w:rPr>
          <w:i/>
          <w:kern w:val="0"/>
          <w:sz w:val="24"/>
          <w:szCs w:val="20"/>
        </w:rPr>
        <w:t>G</w:t>
      </w:r>
      <w:r>
        <w:rPr>
          <w:rFonts w:hint="eastAsia"/>
          <w:i/>
          <w:kern w:val="0"/>
          <w:sz w:val="24"/>
          <w:szCs w:val="20"/>
        </w:rPr>
        <w:t>=</w:t>
      </w:r>
      <m:oMath>
        <m:nary>
          <m:naryPr>
            <m:limLoc m:val="subSup"/>
            <m:ctrlPr>
              <w:rPr>
                <w:rFonts w:ascii="Cambria Math" w:hAnsi="Cambria Math"/>
                <w:kern w:val="0"/>
                <w:sz w:val="24"/>
                <w:szCs w:val="20"/>
              </w:rPr>
            </m:ctrlPr>
          </m:naryPr>
          <m:sub>
            <m:sSub>
              <m:sSubPr>
                <m:ctrlPr>
                  <w:rPr>
                    <w:rFonts w:ascii="Cambria Math" w:hAnsi="Cambria Math"/>
                    <w:i/>
                    <w:kern w:val="0"/>
                    <w:sz w:val="24"/>
                    <w:szCs w:val="20"/>
                  </w:rPr>
                </m:ctrlPr>
              </m:sSubPr>
              <m:e>
                <m:r>
                  <m:rPr/>
                  <w:rPr>
                    <w:rFonts w:ascii="Cambria Math" w:hAnsi="Cambria Math"/>
                    <w:kern w:val="0"/>
                    <w:sz w:val="24"/>
                    <w:szCs w:val="20"/>
                  </w:rPr>
                  <m:t>λ</m:t>
                </m:r>
                <m:ctrlPr>
                  <w:rPr>
                    <w:rFonts w:ascii="Cambria Math" w:hAnsi="Cambria Math"/>
                    <w:i/>
                    <w:kern w:val="0"/>
                    <w:sz w:val="24"/>
                    <w:szCs w:val="20"/>
                  </w:rPr>
                </m:ctrlPr>
              </m:e>
              <m:sub>
                <m:r>
                  <m:rPr>
                    <m:sty m:val="p"/>
                  </m:rPr>
                  <w:rPr>
                    <w:rFonts w:ascii="Cambria Math" w:hAnsi="Cambria Math"/>
                    <w:kern w:val="0"/>
                    <w:sz w:val="24"/>
                    <w:szCs w:val="20"/>
                  </w:rPr>
                  <m:t>B</m:t>
                </m:r>
                <m:ctrlPr>
                  <w:rPr>
                    <w:rFonts w:ascii="Cambria Math" w:hAnsi="Cambria Math"/>
                    <w:i/>
                    <w:kern w:val="0"/>
                    <w:sz w:val="24"/>
                    <w:szCs w:val="20"/>
                  </w:rPr>
                </m:ctrlPr>
              </m:sub>
            </m:sSub>
            <m:ctrlPr>
              <w:rPr>
                <w:rFonts w:ascii="Cambria Math" w:hAnsi="Cambria Math"/>
                <w:kern w:val="0"/>
                <w:sz w:val="24"/>
                <w:szCs w:val="20"/>
              </w:rPr>
            </m:ctrlPr>
          </m:sub>
          <m:sup>
            <m:sSub>
              <m:sSubPr>
                <m:ctrlPr>
                  <w:rPr>
                    <w:rFonts w:ascii="Cambria Math" w:hAnsi="Cambria Math"/>
                    <w:i/>
                    <w:kern w:val="0"/>
                    <w:sz w:val="24"/>
                    <w:szCs w:val="20"/>
                  </w:rPr>
                </m:ctrlPr>
              </m:sSubPr>
              <m:e>
                <m:r>
                  <m:rPr/>
                  <w:rPr>
                    <w:rFonts w:ascii="Cambria Math" w:hAnsi="Cambria Math"/>
                    <w:kern w:val="0"/>
                    <w:sz w:val="24"/>
                    <w:szCs w:val="20"/>
                  </w:rPr>
                  <m:t>λ</m:t>
                </m:r>
                <m:ctrlPr>
                  <w:rPr>
                    <w:rFonts w:ascii="Cambria Math" w:hAnsi="Cambria Math"/>
                    <w:i/>
                    <w:kern w:val="0"/>
                    <w:sz w:val="24"/>
                    <w:szCs w:val="20"/>
                  </w:rPr>
                </m:ctrlPr>
              </m:e>
              <m:sub>
                <m:r>
                  <m:rPr>
                    <m:sty m:val="p"/>
                  </m:rPr>
                  <w:rPr>
                    <w:rFonts w:ascii="Cambria Math" w:hAnsi="Cambria Math"/>
                    <w:kern w:val="0"/>
                    <w:sz w:val="24"/>
                    <w:szCs w:val="20"/>
                  </w:rPr>
                  <m:t>A</m:t>
                </m:r>
                <m:ctrlPr>
                  <w:rPr>
                    <w:rFonts w:ascii="Cambria Math" w:hAnsi="Cambria Math"/>
                    <w:i/>
                    <w:kern w:val="0"/>
                    <w:sz w:val="24"/>
                    <w:szCs w:val="20"/>
                  </w:rPr>
                </m:ctrlPr>
              </m:sub>
            </m:sSub>
            <m:ctrlPr>
              <w:rPr>
                <w:rFonts w:ascii="Cambria Math" w:hAnsi="Cambria Math"/>
                <w:kern w:val="0"/>
                <w:sz w:val="24"/>
                <w:szCs w:val="20"/>
              </w:rPr>
            </m:ctrlPr>
          </m:sup>
          <m:e>
            <m:r>
              <m:rPr>
                <m:sty m:val="p"/>
              </m:rPr>
              <w:rPr>
                <w:rFonts w:ascii="Cambria Math" w:hAnsi="Cambria Math"/>
                <w:kern w:val="0"/>
                <w:sz w:val="24"/>
                <w:szCs w:val="20"/>
              </w:rPr>
              <m:t>SR(λ)</m:t>
            </m:r>
            <m:r>
              <m:rPr>
                <m:sty m:val="p"/>
              </m:rPr>
              <w:rPr>
                <w:rFonts w:hint="eastAsia" w:ascii="Cambria Math" w:hAnsi="Cambria Math"/>
                <w:kern w:val="0"/>
                <w:sz w:val="24"/>
                <w:szCs w:val="20"/>
              </w:rPr>
              <m:t>·</m:t>
            </m:r>
            <m:r>
              <m:rPr>
                <m:sty m:val="p"/>
              </m:rPr>
              <w:rPr>
                <w:rFonts w:ascii="Cambria Math" w:hAnsi="Cambria Math"/>
                <w:kern w:val="0"/>
                <w:sz w:val="24"/>
                <w:szCs w:val="20"/>
              </w:rPr>
              <m:t>dλ</m:t>
            </m:r>
            <m:ctrlPr>
              <w:rPr>
                <w:rFonts w:ascii="Cambria Math" w:hAnsi="Cambria Math"/>
                <w:kern w:val="0"/>
                <w:sz w:val="24"/>
                <w:szCs w:val="20"/>
              </w:rPr>
            </m:ctrlPr>
          </m:e>
        </m:nary>
      </m:oMath>
      <w:r>
        <w:rPr>
          <w:rFonts w:hint="eastAsia"/>
          <w:i/>
          <w:kern w:val="0"/>
          <w:sz w:val="24"/>
          <w:szCs w:val="20"/>
        </w:rPr>
        <w:t xml:space="preserve">                 </w:t>
      </w:r>
      <w:r>
        <w:rPr>
          <w:rFonts w:hint="eastAsia"/>
          <w:kern w:val="0"/>
          <w:sz w:val="24"/>
          <w:szCs w:val="20"/>
        </w:rPr>
        <w:t>（4）</w:t>
      </w:r>
      <w:r>
        <w:rPr>
          <w:rFonts w:hint="eastAsia"/>
          <w:i/>
          <w:kern w:val="0"/>
          <w:sz w:val="24"/>
          <w:szCs w:val="20"/>
        </w:rPr>
        <w:t xml:space="preserve"> </w:t>
      </w:r>
    </w:p>
    <w:p>
      <w:pPr>
        <w:spacing w:line="360" w:lineRule="auto"/>
        <w:ind w:firstLine="480" w:firstLineChars="200"/>
        <w:rPr>
          <w:kern w:val="0"/>
          <w:sz w:val="24"/>
          <w:szCs w:val="20"/>
        </w:rPr>
      </w:pPr>
      <w:r>
        <w:rPr>
          <w:kern w:val="0"/>
          <w:sz w:val="24"/>
          <w:szCs w:val="20"/>
        </w:rPr>
        <w:t>式中</w:t>
      </w:r>
      <w:r>
        <w:rPr>
          <w:rFonts w:hint="eastAsia"/>
          <w:kern w:val="0"/>
          <w:sz w:val="24"/>
          <w:szCs w:val="20"/>
        </w:rPr>
        <w:t>：</w:t>
      </w:r>
    </w:p>
    <w:p>
      <w:pPr>
        <w:spacing w:line="360" w:lineRule="auto"/>
        <w:ind w:firstLine="480" w:firstLineChars="200"/>
        <w:rPr>
          <w:kern w:val="0"/>
          <w:sz w:val="24"/>
          <w:szCs w:val="20"/>
        </w:rPr>
      </w:pPr>
      <w:r>
        <w:rPr>
          <w:rFonts w:hint="eastAsia"/>
          <w:kern w:val="0"/>
          <w:sz w:val="24"/>
          <w:szCs w:val="20"/>
        </w:rPr>
        <w:t>λ</w:t>
      </w:r>
      <w:r>
        <w:rPr>
          <w:rFonts w:hint="eastAsia"/>
          <w:kern w:val="0"/>
          <w:sz w:val="24"/>
          <w:szCs w:val="20"/>
          <w:vertAlign w:val="subscript"/>
        </w:rPr>
        <w:t>A</w:t>
      </w:r>
      <w:r>
        <w:rPr>
          <w:rFonts w:hint="eastAsia"/>
          <w:kern w:val="0"/>
          <w:sz w:val="24"/>
          <w:szCs w:val="20"/>
        </w:rPr>
        <w:t xml:space="preserve"> ,λ</w:t>
      </w:r>
      <w:r>
        <w:rPr>
          <w:rFonts w:hint="eastAsia"/>
          <w:kern w:val="0"/>
          <w:sz w:val="24"/>
          <w:szCs w:val="20"/>
          <w:vertAlign w:val="subscript"/>
        </w:rPr>
        <w:t>B</w:t>
      </w:r>
      <w:r>
        <w:rPr>
          <w:rFonts w:hint="eastAsia"/>
          <w:kern w:val="0"/>
          <w:sz w:val="24"/>
          <w:szCs w:val="20"/>
        </w:rPr>
        <w:t xml:space="preserve"> —关注波段范围内的波长上限和下限, nm ;</w:t>
      </w:r>
    </w:p>
    <w:p>
      <w:pPr>
        <w:spacing w:line="360" w:lineRule="auto"/>
        <w:ind w:firstLine="480" w:firstLineChars="200"/>
        <w:rPr>
          <w:kern w:val="0"/>
          <w:sz w:val="24"/>
          <w:szCs w:val="20"/>
        </w:rPr>
      </w:pPr>
      <w:r>
        <w:rPr>
          <w:rFonts w:hint="eastAsia"/>
          <w:kern w:val="0"/>
          <w:sz w:val="24"/>
          <w:szCs w:val="20"/>
        </w:rPr>
        <w:t>SR (λ)—光谱仪测得的紫外辐射的绝对光谱辐照度, W·m</w:t>
      </w:r>
      <w:r>
        <w:rPr>
          <w:rFonts w:hint="eastAsia"/>
          <w:kern w:val="0"/>
          <w:sz w:val="24"/>
          <w:szCs w:val="20"/>
          <w:vertAlign w:val="superscript"/>
        </w:rPr>
        <w:t>-2</w:t>
      </w:r>
      <w:r>
        <w:rPr>
          <w:rFonts w:hint="eastAsia"/>
          <w:kern w:val="0"/>
          <w:sz w:val="24"/>
          <w:szCs w:val="20"/>
        </w:rPr>
        <w:t xml:space="preserve">·nm </w:t>
      </w:r>
      <w:r>
        <w:rPr>
          <w:rFonts w:hint="eastAsia"/>
          <w:kern w:val="0"/>
          <w:sz w:val="24"/>
          <w:szCs w:val="20"/>
          <w:vertAlign w:val="superscript"/>
        </w:rPr>
        <w:t>-1</w:t>
      </w:r>
      <w:r>
        <w:rPr>
          <w:rFonts w:hint="eastAsia"/>
          <w:kern w:val="0"/>
          <w:sz w:val="24"/>
          <w:szCs w:val="20"/>
        </w:rPr>
        <w:t>。</w:t>
      </w:r>
    </w:p>
    <w:p>
      <w:pPr>
        <w:spacing w:line="360" w:lineRule="auto"/>
        <w:ind w:firstLine="480" w:firstLineChars="200"/>
        <w:rPr>
          <w:kern w:val="0"/>
          <w:sz w:val="24"/>
          <w:szCs w:val="20"/>
        </w:rPr>
      </w:pPr>
      <w:r>
        <w:rPr>
          <w:rFonts w:hint="eastAsia"/>
          <w:kern w:val="0"/>
          <w:sz w:val="24"/>
          <w:szCs w:val="20"/>
        </w:rPr>
        <w:t xml:space="preserve">公式(3)中的辐照度 </w:t>
      </w:r>
      <w:r>
        <w:rPr>
          <w:rFonts w:hint="eastAsia"/>
          <w:i/>
          <w:kern w:val="0"/>
          <w:sz w:val="24"/>
          <w:szCs w:val="20"/>
        </w:rPr>
        <w:t>G</w:t>
      </w:r>
      <w:r>
        <w:rPr>
          <w:rFonts w:hint="eastAsia"/>
          <w:kern w:val="0"/>
          <w:sz w:val="24"/>
          <w:szCs w:val="20"/>
          <w:vertAlign w:val="subscript"/>
        </w:rPr>
        <w:t>0</w:t>
      </w:r>
      <w:r>
        <w:rPr>
          <w:rFonts w:hint="eastAsia"/>
          <w:kern w:val="0"/>
          <w:sz w:val="24"/>
          <w:szCs w:val="20"/>
        </w:rPr>
        <w:t>同样需要测量3次,取平均值作为测量结果。</w:t>
      </w:r>
    </w:p>
    <w:p>
      <w:pPr>
        <w:spacing w:line="360" w:lineRule="auto"/>
        <w:rPr>
          <w:kern w:val="0"/>
          <w:sz w:val="24"/>
          <w:szCs w:val="20"/>
        </w:rPr>
      </w:pPr>
      <w:r>
        <w:rPr>
          <w:rFonts w:hint="eastAsia"/>
          <w:kern w:val="0"/>
          <w:sz w:val="24"/>
          <w:szCs w:val="20"/>
        </w:rPr>
        <w:t>6.3.2 紫外光谱积分辐照度</w:t>
      </w:r>
    </w:p>
    <w:p>
      <w:pPr>
        <w:spacing w:line="360" w:lineRule="auto"/>
        <w:ind w:firstLine="480" w:firstLineChars="200"/>
        <w:outlineLvl w:val="0"/>
        <w:rPr>
          <w:rFonts w:eastAsiaTheme="minorEastAsia"/>
          <w:kern w:val="0"/>
          <w:sz w:val="24"/>
        </w:rPr>
      </w:pPr>
      <w:r>
        <w:rPr>
          <w:rFonts w:hint="eastAsia" w:eastAsiaTheme="minorEastAsia"/>
          <w:kern w:val="0"/>
          <w:sz w:val="24"/>
        </w:rPr>
        <w:t>按照6.2.4要求，测量后分别计算UVC 波段( 250~280 ) nm 、UVB 波段 ( 280~320 ) nm 和 UVA 波段 ( 320~400 ) nm 积分辐照度占整个测量波段范围( 250~400 ) nm积分辐照度的比例。</w:t>
      </w:r>
    </w:p>
    <w:p>
      <w:r>
        <w:rPr>
          <w:rFonts w:hint="eastAsia"/>
          <w:kern w:val="0"/>
          <w:sz w:val="24"/>
          <w:szCs w:val="20"/>
        </w:rPr>
        <w:t>6.3.3</w:t>
      </w:r>
      <w:r>
        <w:rPr>
          <w:rFonts w:hint="eastAsia"/>
        </w:rPr>
        <w:t>紫外辐照度不均匀度</w:t>
      </w:r>
    </w:p>
    <w:p>
      <w:pPr>
        <w:spacing w:line="360" w:lineRule="auto"/>
        <w:jc w:val="right"/>
        <w:rPr>
          <w:kern w:val="0"/>
          <w:sz w:val="24"/>
          <w:szCs w:val="20"/>
        </w:rPr>
      </w:pPr>
      <m:oMath>
        <m:r>
          <m:rPr>
            <m:sty m:val="p"/>
          </m:rPr>
          <w:rPr>
            <w:rFonts w:ascii="Cambria Math" w:hAnsi="Cambria Math"/>
          </w:rPr>
          <m:t xml:space="preserve"> </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NU</m:t>
            </m:r>
            <m:ctrlPr>
              <w:rPr>
                <w:rFonts w:ascii="Cambria Math" w:hAnsi="Cambria Math"/>
              </w:rPr>
            </m:ctrlPr>
          </m:sub>
        </m:sSub>
      </m:oMath>
      <w:r>
        <w:rPr>
          <w:rFonts w:hint="eastAsia"/>
        </w:rPr>
        <w:t>=</w:t>
      </w:r>
      <m:oMath>
        <m:f>
          <m:fPr>
            <m:ctrlPr>
              <w:rPr>
                <w:rFonts w:ascii="Cambria Math" w:hAnsi="Cambria Math"/>
              </w:rPr>
            </m:ctrlPr>
          </m:fPr>
          <m:num>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den>
        </m:f>
        <m:r>
          <m:rPr/>
          <w:rPr>
            <w:rFonts w:ascii="Cambria Math" w:hAnsi="Cambria Math"/>
          </w:rPr>
          <m:t>×100%</m:t>
        </m:r>
      </m:oMath>
      <w:r>
        <w:rPr>
          <w:rFonts w:hint="eastAsia"/>
          <w:i/>
          <w:kern w:val="0"/>
          <w:sz w:val="24"/>
          <w:szCs w:val="20"/>
        </w:rPr>
        <w:t xml:space="preserve">               </w:t>
      </w:r>
      <w:r>
        <w:rPr>
          <w:rFonts w:hint="eastAsia"/>
          <w:kern w:val="0"/>
          <w:sz w:val="24"/>
          <w:szCs w:val="20"/>
        </w:rPr>
        <w:t>（5）</w:t>
      </w:r>
    </w:p>
    <w:p>
      <w:pPr>
        <w:spacing w:line="360" w:lineRule="auto"/>
        <w:ind w:firstLine="480" w:firstLineChars="200"/>
        <w:rPr>
          <w:kern w:val="0"/>
          <w:sz w:val="24"/>
          <w:szCs w:val="20"/>
        </w:rPr>
      </w:pPr>
      <w:r>
        <w:rPr>
          <w:kern w:val="0"/>
          <w:sz w:val="24"/>
          <w:szCs w:val="20"/>
        </w:rPr>
        <w:t>式中</w:t>
      </w:r>
      <w:r>
        <w:rPr>
          <w:rFonts w:hint="eastAsia"/>
          <w:kern w:val="0"/>
          <w:sz w:val="24"/>
          <w:szCs w:val="20"/>
        </w:rPr>
        <w:t>：</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NU</m:t>
            </m:r>
            <m:ctrlPr>
              <w:rPr>
                <w:rFonts w:ascii="Cambria Math" w:hAnsi="Cambria Math"/>
              </w:rPr>
            </m:ctrlPr>
          </m:sub>
        </m:sSub>
      </m:oMath>
      <w:r>
        <w:rPr>
          <w:kern w:val="0"/>
          <w:sz w:val="24"/>
          <w:szCs w:val="20"/>
        </w:rPr>
        <w:t>—</w:t>
      </w:r>
      <w:r>
        <w:rPr>
          <w:rFonts w:hint="eastAsia" w:eastAsiaTheme="minorEastAsia"/>
          <w:kern w:val="0"/>
          <w:sz w:val="24"/>
        </w:rPr>
        <w:t>紫外预处理试验箱</w:t>
      </w:r>
      <w:r>
        <w:rPr>
          <w:rFonts w:hint="eastAsia"/>
          <w:kern w:val="0"/>
          <w:sz w:val="24"/>
          <w:szCs w:val="20"/>
        </w:rPr>
        <w:t>内指定测量平面上的紫外辐照度不均匀度；</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oMath>
      <w:r>
        <w:rPr>
          <w:kern w:val="0"/>
          <w:sz w:val="24"/>
          <w:szCs w:val="20"/>
        </w:rPr>
        <w:t>—</w:t>
      </w:r>
      <w:r>
        <w:rPr>
          <w:rFonts w:hint="eastAsia" w:eastAsiaTheme="minorEastAsia"/>
          <w:kern w:val="0"/>
          <w:sz w:val="24"/>
        </w:rPr>
        <w:t>紫外预处理试验箱</w:t>
      </w:r>
      <w:r>
        <w:rPr>
          <w:rFonts w:hint="eastAsia"/>
          <w:kern w:val="0"/>
          <w:sz w:val="24"/>
          <w:szCs w:val="20"/>
        </w:rPr>
        <w:t>内指定测量平面上测得的紫外辐照度最大值；</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oMath>
      <w:r>
        <w:rPr>
          <w:kern w:val="0"/>
          <w:sz w:val="24"/>
          <w:szCs w:val="20"/>
        </w:rPr>
        <w:t>—</w:t>
      </w:r>
      <w:r>
        <w:rPr>
          <w:rFonts w:hint="eastAsia" w:eastAsiaTheme="minorEastAsia"/>
          <w:kern w:val="0"/>
          <w:sz w:val="24"/>
        </w:rPr>
        <w:t>紫外预处理试验箱</w:t>
      </w:r>
      <w:r>
        <w:rPr>
          <w:rFonts w:hint="eastAsia"/>
          <w:kern w:val="0"/>
          <w:sz w:val="24"/>
          <w:szCs w:val="20"/>
        </w:rPr>
        <w:t>内指定测量平面上测得的紫外辐照度最小值。</w:t>
      </w:r>
    </w:p>
    <w:p>
      <w:pPr>
        <w:ind w:firstLine="480"/>
      </w:pPr>
      <w:r>
        <w:rPr>
          <w:rFonts w:hint="eastAsia"/>
          <w:kern w:val="0"/>
          <w:sz w:val="24"/>
          <w:szCs w:val="20"/>
        </w:rPr>
        <w:t>6.3.4</w:t>
      </w:r>
      <w:r>
        <w:rPr>
          <w:rFonts w:hint="eastAsia"/>
        </w:rPr>
        <w:t>紫外辐照度不均匀度</w:t>
      </w:r>
    </w:p>
    <w:p>
      <w:pPr>
        <w:spacing w:line="360" w:lineRule="auto"/>
        <w:ind w:firstLine="480" w:firstLineChars="200"/>
        <w:rPr>
          <w:kern w:val="0"/>
          <w:sz w:val="24"/>
          <w:szCs w:val="20"/>
        </w:rPr>
      </w:pPr>
      <w:r>
        <w:rPr>
          <w:rFonts w:hint="eastAsia"/>
          <w:kern w:val="0"/>
          <w:sz w:val="24"/>
          <w:szCs w:val="20"/>
        </w:rPr>
        <w:t>将UVA+UVB 复合辐照度计放置在指定测试面上的中心点上, 每2min记录该点的紫外辐照度一次, 连续测量30 min ,共记录16次。测量完毕后,将数据按公式(6)计算得到紫外辐照度不稳定度。</w:t>
      </w:r>
    </w:p>
    <w:p>
      <w:pPr>
        <w:spacing w:line="360" w:lineRule="auto"/>
        <w:jc w:val="right"/>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IS</m:t>
            </m:r>
            <m:ctrlPr>
              <w:rPr>
                <w:rFonts w:ascii="Cambria Math" w:hAnsi="Cambria Math"/>
              </w:rPr>
            </m:ctrlPr>
          </m:sub>
        </m:sSub>
      </m:oMath>
      <w:r>
        <w:rPr>
          <w:rFonts w:hint="eastAsia"/>
        </w:rPr>
        <w:t>=</w:t>
      </w:r>
      <m:oMath>
        <m:f>
          <m:fPr>
            <m:ctrlPr>
              <w:rPr>
                <w:rFonts w:ascii="Cambria Math" w:hAnsi="Cambria Math"/>
              </w:rPr>
            </m:ctrlPr>
          </m:fPr>
          <m:num>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den>
        </m:f>
        <m:r>
          <m:rPr/>
          <w:rPr>
            <w:rFonts w:ascii="Cambria Math" w:hAnsi="Cambria Math"/>
          </w:rPr>
          <m:t>×100%</m:t>
        </m:r>
      </m:oMath>
      <w:r>
        <w:rPr>
          <w:rFonts w:hint="eastAsia"/>
          <w:i/>
          <w:kern w:val="0"/>
          <w:sz w:val="24"/>
          <w:szCs w:val="20"/>
        </w:rPr>
        <w:t xml:space="preserve">                 </w:t>
      </w:r>
      <w:r>
        <w:rPr>
          <w:rFonts w:hint="eastAsia"/>
          <w:kern w:val="0"/>
          <w:sz w:val="24"/>
          <w:szCs w:val="20"/>
        </w:rPr>
        <w:t>（6）</w:t>
      </w:r>
    </w:p>
    <w:p>
      <w:pPr>
        <w:spacing w:line="360" w:lineRule="auto"/>
        <w:ind w:firstLine="480" w:firstLineChars="200"/>
        <w:rPr>
          <w:kern w:val="0"/>
          <w:sz w:val="24"/>
          <w:szCs w:val="20"/>
        </w:rPr>
      </w:pPr>
      <w:r>
        <w:rPr>
          <w:kern w:val="0"/>
          <w:sz w:val="24"/>
          <w:szCs w:val="20"/>
        </w:rPr>
        <w:t>式中</w:t>
      </w:r>
      <w:r>
        <w:rPr>
          <w:rFonts w:hint="eastAsia"/>
          <w:kern w:val="0"/>
          <w:sz w:val="24"/>
          <w:szCs w:val="20"/>
        </w:rPr>
        <w:t>：</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IS</m:t>
            </m:r>
            <m:ctrlPr>
              <w:rPr>
                <w:rFonts w:ascii="Cambria Math" w:hAnsi="Cambria Math"/>
              </w:rPr>
            </m:ctrlPr>
          </m:sub>
        </m:sSub>
      </m:oMath>
      <w:r>
        <w:rPr>
          <w:kern w:val="0"/>
          <w:sz w:val="24"/>
          <w:szCs w:val="20"/>
        </w:rPr>
        <w:t>—</w:t>
      </w:r>
      <w:r>
        <w:rPr>
          <w:rFonts w:hint="eastAsia" w:eastAsiaTheme="minorEastAsia"/>
          <w:kern w:val="0"/>
          <w:sz w:val="24"/>
        </w:rPr>
        <w:t>紫外预处理试验箱</w:t>
      </w:r>
      <w:r>
        <w:rPr>
          <w:rFonts w:hint="eastAsia"/>
          <w:kern w:val="0"/>
          <w:sz w:val="24"/>
          <w:szCs w:val="20"/>
        </w:rPr>
        <w:t>内的紫外辐照度不稳定度；</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max</m:t>
            </m:r>
            <m:ctrlPr>
              <w:rPr>
                <w:rFonts w:ascii="Cambria Math" w:hAnsi="Cambria Math"/>
              </w:rPr>
            </m:ctrlPr>
          </m:sub>
        </m:sSub>
      </m:oMath>
      <w:r>
        <w:rPr>
          <w:kern w:val="0"/>
          <w:sz w:val="24"/>
          <w:szCs w:val="20"/>
        </w:rPr>
        <w:t>—</w:t>
      </w:r>
      <w:r>
        <w:rPr>
          <w:rFonts w:hint="eastAsia"/>
          <w:kern w:val="0"/>
          <w:sz w:val="24"/>
          <w:szCs w:val="20"/>
        </w:rPr>
        <w:t>在指定测量时间内指定测量平面中心点上测得的紫外辐照度最大值;</w:t>
      </w:r>
    </w:p>
    <w:p>
      <w:pPr>
        <w:spacing w:line="360" w:lineRule="auto"/>
        <w:ind w:firstLine="420" w:firstLineChars="200"/>
        <w:rPr>
          <w:kern w:val="0"/>
          <w:sz w:val="24"/>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m:sty m:val="p"/>
              </m:rPr>
              <w:rPr>
                <w:rFonts w:ascii="Cambria Math" w:hAnsi="Cambria Math"/>
              </w:rPr>
              <m:t>min</m:t>
            </m:r>
            <m:ctrlPr>
              <w:rPr>
                <w:rFonts w:ascii="Cambria Math" w:hAnsi="Cambria Math"/>
              </w:rPr>
            </m:ctrlPr>
          </m:sub>
        </m:sSub>
      </m:oMath>
      <w:r>
        <w:rPr>
          <w:kern w:val="0"/>
          <w:sz w:val="24"/>
          <w:szCs w:val="20"/>
        </w:rPr>
        <w:t>—</w:t>
      </w:r>
      <w:r>
        <w:rPr>
          <w:rFonts w:hint="eastAsia"/>
          <w:kern w:val="0"/>
          <w:sz w:val="24"/>
          <w:szCs w:val="20"/>
        </w:rPr>
        <w:t>在指定测量时间内指定测量平面中心点上测得的紫外辐照度最小值。</w:t>
      </w:r>
    </w:p>
    <w:p>
      <w:pPr>
        <w:adjustRightInd w:val="0"/>
        <w:snapToGrid w:val="0"/>
        <w:spacing w:line="360" w:lineRule="auto"/>
        <w:rPr>
          <w:szCs w:val="21"/>
        </w:rPr>
      </w:pPr>
      <w:r>
        <w:rPr>
          <w:rFonts w:hint="eastAsia"/>
          <w:szCs w:val="21"/>
        </w:rPr>
        <w:t>7校准结果</w:t>
      </w:r>
      <w:bookmarkEnd w:id="50"/>
      <w:bookmarkEnd w:id="51"/>
      <w:bookmarkEnd w:id="52"/>
      <w:bookmarkEnd w:id="53"/>
      <w:bookmarkEnd w:id="54"/>
      <w:bookmarkEnd w:id="55"/>
      <w:r>
        <w:rPr>
          <w:rFonts w:hint="eastAsia"/>
          <w:szCs w:val="21"/>
        </w:rPr>
        <w:t>表达</w:t>
      </w:r>
      <w:bookmarkEnd w:id="56"/>
      <w:bookmarkEnd w:id="57"/>
    </w:p>
    <w:p>
      <w:pPr>
        <w:pStyle w:val="26"/>
        <w:spacing w:line="360" w:lineRule="auto"/>
        <w:ind w:firstLine="420"/>
        <w:rPr>
          <w:rFonts w:ascii="Times New Roman"/>
          <w:kern w:val="2"/>
          <w:szCs w:val="21"/>
        </w:rPr>
      </w:pPr>
      <w:r>
        <w:rPr>
          <w:rFonts w:ascii="Times New Roman"/>
          <w:kern w:val="2"/>
          <w:szCs w:val="21"/>
        </w:rPr>
        <w:t>校准结果应在校准证书上反映。校准证书应至少包括以下信息：</w:t>
      </w:r>
    </w:p>
    <w:p>
      <w:pPr>
        <w:pStyle w:val="26"/>
        <w:spacing w:line="360" w:lineRule="auto"/>
        <w:ind w:firstLine="420"/>
        <w:rPr>
          <w:rFonts w:ascii="Times New Roman"/>
          <w:kern w:val="2"/>
          <w:szCs w:val="21"/>
        </w:rPr>
      </w:pPr>
      <w:bookmarkStart w:id="58" w:name="_Toc5529"/>
      <w:bookmarkStart w:id="59" w:name="_Toc193860189"/>
      <w:bookmarkStart w:id="60" w:name="_Toc14803_WPSOffice_Level1"/>
      <w:bookmarkStart w:id="61" w:name="_Toc193860220"/>
      <w:bookmarkStart w:id="62" w:name="_Toc193860040"/>
      <w:bookmarkStart w:id="63" w:name="_Toc193860041"/>
      <w:r>
        <w:rPr>
          <w:rFonts w:ascii="Times New Roman"/>
          <w:kern w:val="2"/>
          <w:szCs w:val="21"/>
        </w:rPr>
        <w:t>a) 标题：</w:t>
      </w:r>
      <w:r>
        <w:rPr>
          <w:rFonts w:hint="eastAsia" w:ascii="Times New Roman"/>
          <w:kern w:val="2"/>
          <w:szCs w:val="21"/>
        </w:rPr>
        <w:t>“</w:t>
      </w:r>
      <w:r>
        <w:rPr>
          <w:rFonts w:ascii="Times New Roman"/>
          <w:kern w:val="2"/>
          <w:szCs w:val="21"/>
        </w:rPr>
        <w:t>校准证书</w:t>
      </w:r>
      <w:r>
        <w:rPr>
          <w:rFonts w:hint="eastAsia" w:ascii="Times New Roman"/>
          <w:kern w:val="2"/>
          <w:szCs w:val="21"/>
        </w:rPr>
        <w:t>”</w:t>
      </w:r>
      <w:r>
        <w:rPr>
          <w:rFonts w:ascii="Times New Roman"/>
          <w:kern w:val="2"/>
          <w:szCs w:val="21"/>
        </w:rPr>
        <w:t>；</w:t>
      </w:r>
    </w:p>
    <w:p>
      <w:pPr>
        <w:pStyle w:val="26"/>
        <w:spacing w:line="360" w:lineRule="auto"/>
        <w:ind w:firstLine="420"/>
        <w:rPr>
          <w:rFonts w:ascii="Times New Roman"/>
          <w:kern w:val="2"/>
          <w:szCs w:val="21"/>
        </w:rPr>
      </w:pPr>
      <w:r>
        <w:rPr>
          <w:rFonts w:ascii="Times New Roman"/>
          <w:kern w:val="2"/>
          <w:szCs w:val="21"/>
        </w:rPr>
        <w:t>b) 实验室名称和地址；</w:t>
      </w:r>
    </w:p>
    <w:p>
      <w:pPr>
        <w:pStyle w:val="26"/>
        <w:spacing w:line="360" w:lineRule="auto"/>
        <w:ind w:firstLine="420"/>
        <w:rPr>
          <w:rFonts w:ascii="Times New Roman"/>
          <w:kern w:val="2"/>
          <w:szCs w:val="21"/>
        </w:rPr>
      </w:pPr>
      <w:r>
        <w:rPr>
          <w:rFonts w:ascii="Times New Roman"/>
          <w:kern w:val="2"/>
          <w:szCs w:val="21"/>
        </w:rPr>
        <w:t>c) 进行校准的地点（如与实验室的地址不同）；</w:t>
      </w:r>
    </w:p>
    <w:p>
      <w:pPr>
        <w:pStyle w:val="26"/>
        <w:spacing w:line="360" w:lineRule="auto"/>
        <w:ind w:firstLine="420"/>
        <w:rPr>
          <w:rFonts w:ascii="Times New Roman"/>
          <w:kern w:val="2"/>
          <w:szCs w:val="21"/>
        </w:rPr>
      </w:pPr>
      <w:r>
        <w:rPr>
          <w:rFonts w:ascii="Times New Roman"/>
          <w:kern w:val="2"/>
          <w:szCs w:val="21"/>
        </w:rPr>
        <w:t>d) 证书的唯一性标识（如编号），每页及总页数的标识；</w:t>
      </w:r>
    </w:p>
    <w:p>
      <w:pPr>
        <w:pStyle w:val="26"/>
        <w:spacing w:line="360" w:lineRule="auto"/>
        <w:ind w:firstLine="420"/>
        <w:rPr>
          <w:rFonts w:ascii="Times New Roman"/>
          <w:kern w:val="2"/>
          <w:szCs w:val="21"/>
        </w:rPr>
      </w:pPr>
      <w:r>
        <w:rPr>
          <w:rFonts w:ascii="Times New Roman"/>
          <w:kern w:val="2"/>
          <w:szCs w:val="21"/>
        </w:rPr>
        <w:t>e) 客户的名称和地址；</w:t>
      </w:r>
    </w:p>
    <w:p>
      <w:pPr>
        <w:pStyle w:val="26"/>
        <w:spacing w:line="360" w:lineRule="auto"/>
        <w:ind w:firstLine="420"/>
        <w:rPr>
          <w:rFonts w:ascii="Times New Roman"/>
          <w:kern w:val="2"/>
          <w:szCs w:val="21"/>
        </w:rPr>
      </w:pPr>
      <w:r>
        <w:rPr>
          <w:rFonts w:ascii="Times New Roman"/>
          <w:kern w:val="2"/>
          <w:szCs w:val="21"/>
        </w:rPr>
        <w:t>f) 被校对象的描述和明确标识；</w:t>
      </w:r>
    </w:p>
    <w:p>
      <w:pPr>
        <w:pStyle w:val="26"/>
        <w:spacing w:line="360" w:lineRule="auto"/>
        <w:ind w:firstLine="420"/>
        <w:rPr>
          <w:rFonts w:ascii="Times New Roman"/>
          <w:kern w:val="2"/>
          <w:szCs w:val="21"/>
        </w:rPr>
      </w:pPr>
      <w:r>
        <w:rPr>
          <w:rFonts w:ascii="Times New Roman"/>
          <w:kern w:val="2"/>
          <w:szCs w:val="21"/>
        </w:rPr>
        <w:t>g) 进行校准的日期，如果与校准结果的有效性和应用有关时，应说明被校对象的接收日期；</w:t>
      </w:r>
    </w:p>
    <w:p>
      <w:pPr>
        <w:pStyle w:val="26"/>
        <w:spacing w:line="360" w:lineRule="auto"/>
        <w:ind w:firstLine="420"/>
        <w:rPr>
          <w:rFonts w:ascii="Times New Roman"/>
          <w:kern w:val="2"/>
          <w:szCs w:val="21"/>
        </w:rPr>
      </w:pPr>
      <w:r>
        <w:rPr>
          <w:rFonts w:ascii="Times New Roman"/>
          <w:kern w:val="2"/>
          <w:szCs w:val="21"/>
        </w:rPr>
        <w:t>h) 校准所依据的技术规范的标识，包括名称及代号；</w:t>
      </w:r>
    </w:p>
    <w:p>
      <w:pPr>
        <w:pStyle w:val="26"/>
        <w:spacing w:line="360" w:lineRule="auto"/>
        <w:ind w:firstLine="420"/>
        <w:rPr>
          <w:rFonts w:ascii="Times New Roman"/>
          <w:kern w:val="2"/>
          <w:szCs w:val="21"/>
        </w:rPr>
      </w:pPr>
      <w:r>
        <w:rPr>
          <w:rFonts w:ascii="Times New Roman"/>
          <w:kern w:val="2"/>
          <w:szCs w:val="21"/>
        </w:rPr>
        <w:t>i) 本次校准所用测量标准的溯源性及有效性说明；</w:t>
      </w:r>
    </w:p>
    <w:p>
      <w:pPr>
        <w:pStyle w:val="26"/>
        <w:spacing w:line="360" w:lineRule="auto"/>
        <w:ind w:firstLine="420"/>
        <w:rPr>
          <w:rFonts w:ascii="Times New Roman"/>
          <w:kern w:val="2"/>
          <w:szCs w:val="21"/>
        </w:rPr>
      </w:pPr>
      <w:r>
        <w:rPr>
          <w:rFonts w:ascii="Times New Roman"/>
          <w:kern w:val="2"/>
          <w:szCs w:val="21"/>
        </w:rPr>
        <w:t>j) 校准环境的描述；</w:t>
      </w:r>
    </w:p>
    <w:p>
      <w:pPr>
        <w:pStyle w:val="26"/>
        <w:spacing w:line="360" w:lineRule="auto"/>
        <w:ind w:firstLine="420"/>
        <w:rPr>
          <w:rFonts w:ascii="Times New Roman"/>
          <w:kern w:val="2"/>
          <w:szCs w:val="21"/>
        </w:rPr>
      </w:pPr>
      <w:r>
        <w:rPr>
          <w:rFonts w:ascii="Times New Roman"/>
          <w:kern w:val="2"/>
          <w:szCs w:val="21"/>
        </w:rPr>
        <w:t>k) 校准结果及测量不确定度的说明；</w:t>
      </w:r>
    </w:p>
    <w:p>
      <w:pPr>
        <w:pStyle w:val="26"/>
        <w:spacing w:line="360" w:lineRule="auto"/>
        <w:ind w:firstLine="420"/>
        <w:rPr>
          <w:rFonts w:ascii="Times New Roman"/>
          <w:kern w:val="2"/>
          <w:szCs w:val="21"/>
        </w:rPr>
      </w:pPr>
      <w:r>
        <w:rPr>
          <w:rFonts w:ascii="Times New Roman"/>
          <w:kern w:val="2"/>
          <w:szCs w:val="21"/>
        </w:rPr>
        <w:t>l) 对校准规范的偏离的说明；</w:t>
      </w:r>
    </w:p>
    <w:p>
      <w:pPr>
        <w:pStyle w:val="26"/>
        <w:spacing w:line="360" w:lineRule="auto"/>
        <w:ind w:firstLine="420"/>
        <w:rPr>
          <w:rFonts w:ascii="Times New Roman"/>
          <w:kern w:val="2"/>
          <w:szCs w:val="21"/>
        </w:rPr>
      </w:pPr>
      <w:r>
        <w:rPr>
          <w:rFonts w:ascii="Times New Roman"/>
          <w:kern w:val="2"/>
          <w:szCs w:val="21"/>
        </w:rPr>
        <w:t>m) 校准证书签发人的签名、职务或等效标识以及签发日期；</w:t>
      </w:r>
    </w:p>
    <w:p>
      <w:pPr>
        <w:pStyle w:val="26"/>
        <w:spacing w:line="360" w:lineRule="auto"/>
        <w:ind w:firstLine="420"/>
        <w:rPr>
          <w:rFonts w:ascii="Times New Roman"/>
          <w:kern w:val="2"/>
          <w:szCs w:val="21"/>
        </w:rPr>
      </w:pPr>
      <w:r>
        <w:rPr>
          <w:rFonts w:ascii="Times New Roman"/>
          <w:kern w:val="2"/>
          <w:szCs w:val="21"/>
        </w:rPr>
        <w:t>n) 校准结果仅对被校对象有效的声明；</w:t>
      </w:r>
    </w:p>
    <w:p>
      <w:pPr>
        <w:pStyle w:val="26"/>
        <w:spacing w:line="360" w:lineRule="auto"/>
        <w:ind w:firstLine="420"/>
        <w:rPr>
          <w:rFonts w:ascii="Times New Roman"/>
          <w:kern w:val="2"/>
          <w:szCs w:val="21"/>
        </w:rPr>
      </w:pPr>
      <w:r>
        <w:rPr>
          <w:rFonts w:ascii="Times New Roman"/>
          <w:kern w:val="2"/>
          <w:szCs w:val="21"/>
        </w:rPr>
        <w:t>o) 未经实验室书面批准，不得部分复制证书的声明。</w:t>
      </w:r>
    </w:p>
    <w:p>
      <w:pPr>
        <w:pStyle w:val="31"/>
        <w:numPr>
          <w:ilvl w:val="0"/>
          <w:numId w:val="0"/>
        </w:numPr>
        <w:spacing w:before="156" w:after="156"/>
        <w:rPr>
          <w:rFonts w:ascii="Times New Roman" w:eastAsia="宋体"/>
          <w:kern w:val="2"/>
          <w:sz w:val="21"/>
          <w:szCs w:val="21"/>
        </w:rPr>
      </w:pPr>
      <w:r>
        <w:rPr>
          <w:rFonts w:hint="eastAsia" w:ascii="Times New Roman" w:eastAsia="宋体"/>
          <w:kern w:val="2"/>
          <w:sz w:val="21"/>
          <w:szCs w:val="21"/>
        </w:rPr>
        <w:t>8</w:t>
      </w:r>
      <w:r>
        <w:rPr>
          <w:rFonts w:ascii="Times New Roman" w:eastAsia="宋体"/>
          <w:kern w:val="2"/>
          <w:sz w:val="21"/>
          <w:szCs w:val="21"/>
        </w:rPr>
        <w:t>复校</w:t>
      </w:r>
      <w:bookmarkEnd w:id="58"/>
      <w:bookmarkEnd w:id="59"/>
      <w:bookmarkEnd w:id="60"/>
      <w:bookmarkEnd w:id="61"/>
      <w:bookmarkEnd w:id="62"/>
      <w:r>
        <w:rPr>
          <w:rFonts w:ascii="Times New Roman" w:eastAsia="宋体"/>
          <w:kern w:val="2"/>
          <w:sz w:val="21"/>
          <w:szCs w:val="21"/>
        </w:rPr>
        <w:t>时间间隔</w:t>
      </w:r>
    </w:p>
    <w:bookmarkEnd w:id="63"/>
    <w:p>
      <w:pPr>
        <w:pStyle w:val="26"/>
        <w:spacing w:line="360" w:lineRule="auto"/>
        <w:ind w:firstLine="420"/>
        <w:rPr>
          <w:rFonts w:ascii="Times New Roman"/>
          <w:kern w:val="2"/>
          <w:szCs w:val="21"/>
        </w:rPr>
      </w:pPr>
      <w:r>
        <w:rPr>
          <w:rFonts w:ascii="Times New Roman"/>
          <w:kern w:val="2"/>
          <w:szCs w:val="21"/>
        </w:rPr>
        <w:t>建议复校时间间隔为1年。</w:t>
      </w:r>
      <w:r>
        <w:rPr>
          <w:rFonts w:hint="eastAsia" w:ascii="Times New Roman" w:eastAsiaTheme="minorEastAsia"/>
          <w:szCs w:val="21"/>
        </w:rPr>
        <w:t>紫外预处理试验箱</w:t>
      </w:r>
      <w:r>
        <w:rPr>
          <w:rFonts w:ascii="Times New Roman"/>
          <w:kern w:val="2"/>
          <w:szCs w:val="21"/>
        </w:rPr>
        <w:t>使用频繁时应适当缩短周期，在使用过程中</w:t>
      </w:r>
      <w:r>
        <w:rPr>
          <w:rFonts w:hint="eastAsia" w:ascii="Times New Roman" w:eastAsiaTheme="minorEastAsia"/>
          <w:szCs w:val="21"/>
        </w:rPr>
        <w:t>紫外预处理试验箱</w:t>
      </w:r>
      <w:r>
        <w:rPr>
          <w:rFonts w:ascii="Times New Roman"/>
          <w:kern w:val="2"/>
          <w:szCs w:val="21"/>
        </w:rPr>
        <w:t>经过修理、更换重要部件</w:t>
      </w:r>
      <w:r>
        <w:rPr>
          <w:rFonts w:hint="eastAsia" w:ascii="Times New Roman"/>
          <w:kern w:val="2"/>
          <w:szCs w:val="21"/>
        </w:rPr>
        <w:t>时</w:t>
      </w:r>
      <w:r>
        <w:rPr>
          <w:rFonts w:ascii="Times New Roman"/>
          <w:kern w:val="2"/>
          <w:szCs w:val="21"/>
        </w:rPr>
        <w:t>应重新校准。</w:t>
      </w:r>
    </w:p>
    <w:p>
      <w:pPr>
        <w:pStyle w:val="31"/>
        <w:numPr>
          <w:ilvl w:val="0"/>
          <w:numId w:val="0"/>
        </w:numPr>
        <w:spacing w:before="156" w:after="156"/>
        <w:rPr>
          <w:rFonts w:ascii="Times New Roman"/>
          <w:szCs w:val="21"/>
        </w:rPr>
      </w:pPr>
      <w:r>
        <w:rPr>
          <w:rFonts w:hint="eastAsia" w:ascii="Times New Roman"/>
          <w:szCs w:val="21"/>
        </w:rPr>
        <w:t>9附录</w:t>
      </w:r>
    </w:p>
    <w:bookmarkEnd w:id="12"/>
    <w:p>
      <w:pPr>
        <w:pStyle w:val="26"/>
        <w:spacing w:line="360" w:lineRule="auto"/>
        <w:ind w:firstLine="420"/>
        <w:rPr>
          <w:rFonts w:ascii="Times New Roman" w:eastAsiaTheme="minorEastAsia"/>
          <w:kern w:val="2"/>
          <w:szCs w:val="21"/>
        </w:rPr>
      </w:pPr>
      <w:r>
        <w:rPr>
          <w:rFonts w:hint="eastAsia" w:ascii="Times New Roman" w:eastAsiaTheme="minorEastAsia"/>
          <w:kern w:val="2"/>
          <w:szCs w:val="21"/>
        </w:rPr>
        <w:t>附录主要包含校准原始记录参考格式、校准证书内页参考格式、温度偏差校准不确定度评定示例三部分。</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spacing w:line="360" w:lineRule="auto"/>
        <w:ind w:firstLine="420" w:firstLineChars="200"/>
        <w:rPr>
          <w:bCs/>
          <w:sz w:val="18"/>
        </w:rPr>
      </w:pPr>
      <w:r>
        <w:rPr>
          <w:rFonts w:hint="eastAsia" w:ascii="宋体" w:hAnsi="宋体"/>
          <w:bCs/>
          <w:szCs w:val="21"/>
        </w:rPr>
        <w:t>据查，目前国内外没有针对紫外预处理试验箱的校准规范，计量检测机构也未开展该类仪器的检定校准。</w:t>
      </w:r>
      <w:r>
        <w:t>本规程的制定填补了有色金属行业用空气热老化箱校准的空白，属于国内首创，水平达到国内领先。</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45"/>
        <w:tabs>
          <w:tab w:val="left" w:pos="426"/>
        </w:tabs>
        <w:spacing w:before="312" w:beforeLines="100" w:after="312" w:afterLines="100"/>
        <w:ind w:left="-420" w:leftChars="-200" w:firstLine="420" w:firstLineChars="200"/>
        <w:jc w:val="left"/>
      </w:pPr>
      <w:r>
        <w:rPr>
          <w:rFonts w:hint="eastAsia" w:hAnsi="宋体"/>
          <w:bCs/>
          <w:szCs w:val="21"/>
        </w:rPr>
        <w:t>四、与有关的现行法律、法规和强制性国家标准的关系</w:t>
      </w:r>
    </w:p>
    <w:p>
      <w:pPr>
        <w:pStyle w:val="26"/>
        <w:spacing w:line="360" w:lineRule="auto"/>
        <w:ind w:firstLine="420"/>
      </w:pPr>
      <w:r>
        <w:rPr>
          <w:rFonts w:hint="eastAsia"/>
        </w:rPr>
        <w:t>本规范所引用的规范和标准均为我国现行有效的计量校准规范和标准，是本规范的一部分，引用这些规程及规范后，使本规范的要求与现行的相关法律、法规、规章、标准及相关规程规范的关系不矛盾、不冲突，其相互关系非常协调。</w:t>
      </w:r>
    </w:p>
    <w:p>
      <w:pPr>
        <w:pStyle w:val="45"/>
        <w:tabs>
          <w:tab w:val="left" w:pos="426"/>
        </w:tabs>
        <w:spacing w:before="312" w:beforeLines="100" w:after="312" w:afterLines="100"/>
        <w:ind w:left="-420" w:leftChars="-200" w:firstLine="420" w:firstLineChars="200"/>
        <w:jc w:val="left"/>
      </w:pPr>
      <w:bookmarkStart w:id="64" w:name="_Toc464728973"/>
      <w:r>
        <w:rPr>
          <w:rFonts w:hint="eastAsia"/>
        </w:rPr>
        <w:t>五、规范中涉及的专利或知识产权说明</w:t>
      </w:r>
      <w:bookmarkEnd w:id="64"/>
    </w:p>
    <w:p>
      <w:pPr>
        <w:pStyle w:val="26"/>
        <w:ind w:firstLineChars="0"/>
        <w:contextualSpacing/>
        <w:rPr>
          <w:szCs w:val="21"/>
        </w:rPr>
      </w:pPr>
      <w:bookmarkStart w:id="65" w:name="_Toc464728974"/>
      <w:r>
        <w:rPr>
          <w:rFonts w:hint="eastAsia"/>
          <w:szCs w:val="21"/>
        </w:rPr>
        <w:t>（无）</w:t>
      </w:r>
    </w:p>
    <w:p>
      <w:pPr>
        <w:pStyle w:val="45"/>
        <w:tabs>
          <w:tab w:val="left" w:pos="426"/>
        </w:tabs>
        <w:spacing w:before="312" w:beforeLines="100" w:after="312" w:afterLines="100"/>
        <w:ind w:left="-420" w:leftChars="-200" w:firstLine="420" w:firstLineChars="200"/>
        <w:jc w:val="left"/>
      </w:pPr>
      <w:r>
        <w:rPr>
          <w:rFonts w:hint="eastAsia"/>
        </w:rPr>
        <w:t>六、重大分歧意见的处理经过和依据</w:t>
      </w:r>
      <w:bookmarkEnd w:id="65"/>
    </w:p>
    <w:p>
      <w:pPr>
        <w:pStyle w:val="26"/>
        <w:ind w:firstLine="199" w:firstLineChars="95"/>
        <w:contextualSpacing/>
        <w:rPr>
          <w:szCs w:val="21"/>
        </w:rPr>
      </w:pPr>
      <w:r>
        <w:rPr>
          <w:rFonts w:hint="eastAsia"/>
          <w:szCs w:val="21"/>
        </w:rPr>
        <w:t>（无）</w:t>
      </w:r>
    </w:p>
    <w:p>
      <w:pPr>
        <w:pStyle w:val="45"/>
        <w:tabs>
          <w:tab w:val="left" w:pos="426"/>
        </w:tabs>
        <w:spacing w:before="312" w:beforeLines="100" w:after="312" w:afterLines="100"/>
        <w:ind w:left="-420" w:leftChars="-200" w:firstLine="420" w:firstLineChars="200"/>
        <w:jc w:val="left"/>
      </w:pPr>
      <w:r>
        <w:rPr>
          <w:rFonts w:hint="eastAsia"/>
        </w:rPr>
        <w:t>七、规范作为强制性或推荐性国家（或行业）标准的建议</w:t>
      </w:r>
    </w:p>
    <w:p>
      <w:pPr>
        <w:adjustRightInd w:val="0"/>
        <w:ind w:firstLine="420" w:firstLineChars="200"/>
        <w:rPr>
          <w:rFonts w:hAnsi="宋体"/>
          <w:bCs/>
          <w:szCs w:val="21"/>
        </w:rPr>
      </w:pPr>
      <w:r>
        <w:rPr>
          <w:rFonts w:hint="eastAsia" w:hAnsi="宋体"/>
          <w:bCs/>
          <w:szCs w:val="21"/>
        </w:rPr>
        <w:t>建议本规范作为推荐性行业计量技术规范，供相关行业参考采用。</w:t>
      </w:r>
    </w:p>
    <w:p>
      <w:pPr>
        <w:pStyle w:val="45"/>
        <w:tabs>
          <w:tab w:val="left" w:pos="426"/>
        </w:tabs>
        <w:spacing w:before="312" w:beforeLines="100" w:after="312" w:afterLines="100"/>
        <w:ind w:left="-420" w:leftChars="-200" w:firstLine="420" w:firstLineChars="200"/>
        <w:jc w:val="left"/>
      </w:pPr>
      <w:bookmarkStart w:id="66" w:name="_Toc464728976"/>
      <w:r>
        <w:rPr>
          <w:rFonts w:hint="eastAsia"/>
        </w:rPr>
        <w:t>八、贯彻规范的要求和措施建议</w:t>
      </w:r>
      <w:bookmarkEnd w:id="66"/>
    </w:p>
    <w:p>
      <w:pPr>
        <w:pStyle w:val="26"/>
        <w:spacing w:line="360" w:lineRule="auto"/>
        <w:ind w:firstLine="420"/>
        <w:contextualSpacing/>
        <w:rPr>
          <w:rFonts w:ascii="Times New Roman"/>
          <w:szCs w:val="21"/>
        </w:rPr>
      </w:pPr>
      <w:r>
        <w:rPr>
          <w:rFonts w:hint="eastAsia" w:ascii="Times New Roman" w:hAnsi="宋体"/>
          <w:bCs/>
          <w:kern w:val="2"/>
          <w:szCs w:val="21"/>
        </w:rPr>
        <w:t>本规范发布后，中国有色金属行业协会和有色金属行业计量技术委员会应加强本规范的宣传力度，促进各实验室以及计量技术机构对</w:t>
      </w:r>
      <w:r>
        <w:rPr>
          <w:rFonts w:hint="eastAsia" w:ascii="Times New Roman" w:eastAsiaTheme="minorEastAsia"/>
          <w:szCs w:val="21"/>
        </w:rPr>
        <w:t>紫外预处理试验箱</w:t>
      </w:r>
      <w:r>
        <w:rPr>
          <w:rFonts w:hint="eastAsia" w:hAnsi="宋体"/>
          <w:bCs/>
          <w:szCs w:val="21"/>
        </w:rPr>
        <w:t>校准</w:t>
      </w:r>
      <w:r>
        <w:rPr>
          <w:rFonts w:hint="eastAsia" w:ascii="Times New Roman" w:hAnsi="宋体"/>
          <w:bCs/>
          <w:kern w:val="2"/>
          <w:szCs w:val="21"/>
        </w:rPr>
        <w:t>规范的使用，以确保</w:t>
      </w:r>
      <w:r>
        <w:rPr>
          <w:rFonts w:hint="eastAsia" w:ascii="Times New Roman" w:eastAsiaTheme="minorEastAsia"/>
          <w:szCs w:val="21"/>
        </w:rPr>
        <w:t>紫外预处理试验箱</w:t>
      </w:r>
      <w:r>
        <w:rPr>
          <w:rFonts w:hint="eastAsia" w:ascii="Times New Roman" w:hAnsi="宋体"/>
          <w:bCs/>
          <w:kern w:val="2"/>
          <w:szCs w:val="21"/>
        </w:rPr>
        <w:t>量值的准确，保障人民生产生活的安全，</w:t>
      </w:r>
      <w:bookmarkStart w:id="67" w:name="_Toc464728977"/>
      <w:r>
        <w:rPr>
          <w:rFonts w:ascii="Times New Roman"/>
          <w:szCs w:val="21"/>
        </w:rPr>
        <w:t>促进我国企业的技术进步和产品质量上档次，提高我国产品在国际国内市场的竞争能力。</w:t>
      </w:r>
    </w:p>
    <w:p>
      <w:pPr>
        <w:pStyle w:val="45"/>
        <w:tabs>
          <w:tab w:val="left" w:pos="426"/>
        </w:tabs>
        <w:spacing w:before="312" w:beforeLines="100" w:after="312" w:afterLines="100"/>
        <w:ind w:left="-420" w:leftChars="-200" w:firstLine="420" w:firstLineChars="200"/>
        <w:jc w:val="left"/>
      </w:pPr>
      <w:r>
        <w:rPr>
          <w:rFonts w:hint="eastAsia"/>
        </w:rPr>
        <w:t>九、废止现行有关规范的建议</w:t>
      </w:r>
      <w:bookmarkEnd w:id="67"/>
    </w:p>
    <w:p>
      <w:pPr>
        <w:pStyle w:val="26"/>
        <w:ind w:firstLine="420"/>
        <w:contextualSpacing/>
        <w:rPr>
          <w:szCs w:val="21"/>
        </w:rPr>
      </w:pPr>
      <w:r>
        <w:rPr>
          <w:rFonts w:hint="eastAsia"/>
          <w:szCs w:val="21"/>
        </w:rPr>
        <w:t>（无）。</w:t>
      </w:r>
    </w:p>
    <w:p>
      <w:pPr>
        <w:pStyle w:val="45"/>
        <w:tabs>
          <w:tab w:val="left" w:pos="426"/>
        </w:tabs>
        <w:spacing w:before="312" w:beforeLines="100" w:after="312" w:afterLines="100"/>
        <w:ind w:left="-420" w:leftChars="-200" w:firstLine="420" w:firstLineChars="200"/>
        <w:jc w:val="left"/>
      </w:pPr>
      <w:r>
        <w:rPr>
          <w:rFonts w:hint="eastAsia"/>
        </w:rPr>
        <w:t>十、预期效果</w:t>
      </w:r>
    </w:p>
    <w:p>
      <w:pPr>
        <w:pStyle w:val="26"/>
        <w:spacing w:line="360" w:lineRule="auto"/>
        <w:ind w:firstLine="420"/>
        <w:contextualSpacing/>
        <w:rPr>
          <w:rFonts w:cs="宋体"/>
          <w:szCs w:val="21"/>
        </w:rPr>
      </w:pPr>
      <w:r>
        <w:rPr>
          <w:rFonts w:hint="eastAsia" w:ascii="Times New Roman" w:eastAsiaTheme="minorEastAsia"/>
          <w:szCs w:val="21"/>
        </w:rPr>
        <w:t>紫外预处理试验箱</w:t>
      </w:r>
      <w:r>
        <w:rPr>
          <w:rFonts w:hint="eastAsia" w:cs="宋体"/>
          <w:szCs w:val="21"/>
        </w:rPr>
        <w:t>校准规范的制定，</w:t>
      </w:r>
      <w:r>
        <w:rPr>
          <w:rFonts w:hint="eastAsia" w:cs="宋体"/>
          <w:kern w:val="2"/>
          <w:szCs w:val="21"/>
        </w:rPr>
        <w:t>具有极大的经济效益和社会效益，填补了有色金属行业领域校准空白，能够很好的满足有色金属领域分析检测实验室对于</w:t>
      </w:r>
      <w:r>
        <w:rPr>
          <w:rFonts w:hint="eastAsia" w:ascii="Times New Roman" w:eastAsiaTheme="minorEastAsia"/>
          <w:szCs w:val="21"/>
        </w:rPr>
        <w:t>紫外预处理试验箱</w:t>
      </w:r>
      <w:r>
        <w:rPr>
          <w:rFonts w:hint="eastAsia" w:cs="宋体"/>
          <w:kern w:val="2"/>
          <w:szCs w:val="21"/>
        </w:rPr>
        <w:t>的校准需求，进而保证试验结果的可信度，使得产品的安全性。</w:t>
      </w:r>
    </w:p>
    <w:p>
      <w:pPr>
        <w:pStyle w:val="45"/>
        <w:tabs>
          <w:tab w:val="left" w:pos="426"/>
        </w:tabs>
        <w:spacing w:before="312" w:beforeLines="100" w:after="312" w:afterLines="100"/>
        <w:ind w:left="-420" w:leftChars="-200" w:firstLine="420" w:firstLineChars="200"/>
        <w:jc w:val="left"/>
      </w:pPr>
      <w:r>
        <w:rPr>
          <w:rFonts w:hint="eastAsia" w:hAnsi="宋体"/>
          <w:bCs/>
          <w:szCs w:val="21"/>
        </w:rPr>
        <w:t>十一、其他应予说明的事项</w:t>
      </w:r>
    </w:p>
    <w:p>
      <w:pPr>
        <w:pStyle w:val="26"/>
        <w:ind w:firstLineChars="0"/>
        <w:contextualSpacing/>
        <w:rPr>
          <w:rFonts w:ascii="Times New Roman"/>
          <w:szCs w:val="21"/>
        </w:rPr>
      </w:pPr>
      <w:r>
        <w:rPr>
          <w:rFonts w:hint="eastAsia"/>
          <w:szCs w:val="21"/>
        </w:rPr>
        <w:t>（无）。</w:t>
      </w:r>
    </w:p>
    <w:p>
      <w:pPr>
        <w:spacing w:line="360"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cs="宋体"/>
          <w:szCs w:val="21"/>
        </w:rPr>
        <w:t xml:space="preserve"> </w:t>
      </w:r>
      <w:r>
        <w:rPr>
          <w:rFonts w:hint="eastAsia" w:cs="宋体"/>
          <w:szCs w:val="21"/>
        </w:rPr>
        <w:t>《</w:t>
      </w:r>
      <w:r>
        <w:rPr>
          <w:rFonts w:hint="eastAsia" w:cs="宋体"/>
          <w:szCs w:val="21"/>
          <w:lang w:val="en-US" w:eastAsia="zh-CN"/>
        </w:rPr>
        <w:t>光伏组件</w:t>
      </w:r>
      <w:r>
        <w:rPr>
          <w:rFonts w:hint="eastAsia" w:cs="宋体"/>
          <w:szCs w:val="21"/>
        </w:rPr>
        <w:t>紫外预处理试验箱校准规范</w:t>
      </w:r>
      <w:r>
        <w:rPr>
          <w:rFonts w:hint="eastAsia" w:asciiTheme="minorEastAsia" w:hAnsiTheme="minorEastAsia" w:eastAsiaTheme="minorEastAsia" w:cstheme="minorEastAsia"/>
          <w:bCs/>
          <w:kern w:val="0"/>
          <w:szCs w:val="21"/>
        </w:rPr>
        <w:t>》规范编制组</w:t>
      </w:r>
      <w:r>
        <w:rPr>
          <w:rFonts w:hint="eastAsia" w:asciiTheme="minorEastAsia" w:hAnsiTheme="minorEastAsia" w:eastAsiaTheme="minorEastAsia" w:cstheme="minorEastAsia"/>
          <w:bCs/>
          <w:szCs w:val="21"/>
        </w:rPr>
        <w:t xml:space="preserve">  </w:t>
      </w:r>
      <w:r>
        <w:rPr>
          <w:rFonts w:eastAsiaTheme="minorEastAsia"/>
          <w:bCs/>
        </w:rPr>
        <w:t>202</w:t>
      </w:r>
      <w:r>
        <w:rPr>
          <w:rFonts w:hint="eastAsia" w:eastAsiaTheme="minorEastAsia"/>
          <w:bCs/>
        </w:rPr>
        <w:t>4</w:t>
      </w:r>
      <w:r>
        <w:rPr>
          <w:rFonts w:eastAsiaTheme="minorEastAsia"/>
          <w:bCs/>
        </w:rPr>
        <w:t>年</w:t>
      </w:r>
      <w:r>
        <w:rPr>
          <w:rFonts w:hint="eastAsia" w:eastAsiaTheme="minorEastAsia"/>
          <w:bCs/>
        </w:rPr>
        <w:t>8</w:t>
      </w:r>
      <w:r>
        <w:rPr>
          <w:rFonts w:eastAsiaTheme="minorEastAsia"/>
          <w:bCs/>
        </w:rPr>
        <w:t>月</w:t>
      </w:r>
    </w:p>
    <w:sectPr>
      <w:headerReference r:id="rId3" w:type="default"/>
      <w:pgSz w:w="11906" w:h="16838"/>
      <w:pgMar w:top="1440" w:right="1800" w:bottom="1440" w:left="1800" w:header="851" w:footer="992" w:gutter="0"/>
      <w:pgNumType w:start="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50"/>
      <w:lvlText w:val="（%2）"/>
      <w:lvlJc w:val="left"/>
      <w:pPr>
        <w:ind w:left="0" w:firstLine="0"/>
      </w:pPr>
      <w:rPr>
        <w:rFonts w:hint="default"/>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CCBC857"/>
    <w:multiLevelType w:val="singleLevel"/>
    <w:tmpl w:val="5CCBC857"/>
    <w:lvl w:ilvl="0" w:tentative="0">
      <w:start w:val="3"/>
      <w:numFmt w:val="decimal"/>
      <w:lvlText w:val="%1."/>
      <w:lvlJc w:val="left"/>
      <w:pPr>
        <w:tabs>
          <w:tab w:val="left" w:pos="312"/>
        </w:tabs>
      </w:pPr>
    </w:lvl>
  </w:abstractNum>
  <w:abstractNum w:abstractNumId="3">
    <w:nsid w:val="6CEA2025"/>
    <w:multiLevelType w:val="multilevel"/>
    <w:tmpl w:val="6CEA2025"/>
    <w:lvl w:ilvl="0" w:tentative="0">
      <w:start w:val="1"/>
      <w:numFmt w:val="none"/>
      <w:pStyle w:val="30"/>
      <w:suff w:val="nothing"/>
      <w:lvlText w:val="%1"/>
      <w:lvlJc w:val="left"/>
      <w:rPr>
        <w:rFonts w:hint="default" w:ascii="Times New Roman" w:hAnsi="Times New Roman" w:cs="Times New Roman"/>
        <w:b/>
        <w:i w:val="0"/>
        <w:sz w:val="21"/>
      </w:rPr>
    </w:lvl>
    <w:lvl w:ilvl="1" w:tentative="0">
      <w:start w:val="1"/>
      <w:numFmt w:val="decimal"/>
      <w:pStyle w:val="31"/>
      <w:suff w:val="nothing"/>
      <w:lvlText w:val="%1%2　"/>
      <w:lvlJc w:val="left"/>
      <w:rPr>
        <w:rFonts w:hint="eastAsia" w:ascii="黑体" w:hAnsi="Times New Roman" w:eastAsia="黑体" w:cs="Times New Roman"/>
        <w:b w:val="0"/>
        <w:i w:val="0"/>
        <w:sz w:val="21"/>
      </w:rPr>
    </w:lvl>
    <w:lvl w:ilvl="2" w:tentative="0">
      <w:start w:val="1"/>
      <w:numFmt w:val="decimal"/>
      <w:pStyle w:val="32"/>
      <w:suff w:val="nothing"/>
      <w:lvlText w:val="%1%2.%3　"/>
      <w:lvlJc w:val="left"/>
      <w:rPr>
        <w:rFonts w:hint="eastAsia" w:ascii="黑体" w:hAnsi="Times New Roman" w:eastAsia="黑体" w:cs="Times New Roman"/>
        <w:b w:val="0"/>
        <w:i w:val="0"/>
        <w:sz w:val="21"/>
      </w:rPr>
    </w:lvl>
    <w:lvl w:ilvl="3" w:tentative="0">
      <w:start w:val="1"/>
      <w:numFmt w:val="decimal"/>
      <w:pStyle w:val="33"/>
      <w:suff w:val="nothing"/>
      <w:lvlText w:val="%1%2.%3.%4　"/>
      <w:lvlJc w:val="left"/>
      <w:rPr>
        <w:rFonts w:hint="eastAsia" w:ascii="黑体" w:hAnsi="Times New Roman" w:eastAsia="黑体" w:cs="Times New Roman"/>
        <w:b w:val="0"/>
        <w:i w:val="0"/>
        <w:sz w:val="21"/>
      </w:rPr>
    </w:lvl>
    <w:lvl w:ilvl="4" w:tentative="0">
      <w:start w:val="1"/>
      <w:numFmt w:val="decimal"/>
      <w:pStyle w:val="34"/>
      <w:suff w:val="nothing"/>
      <w:lvlText w:val="%1%2.%3.%4.%5　"/>
      <w:lvlJc w:val="left"/>
      <w:rPr>
        <w:rFonts w:hint="eastAsia" w:ascii="黑体" w:hAnsi="Times New Roman" w:eastAsia="黑体" w:cs="Times New Roman"/>
        <w:b w:val="0"/>
        <w:i w:val="0"/>
        <w:sz w:val="21"/>
      </w:rPr>
    </w:lvl>
    <w:lvl w:ilvl="5" w:tentative="0">
      <w:start w:val="1"/>
      <w:numFmt w:val="decimal"/>
      <w:pStyle w:val="35"/>
      <w:suff w:val="nothing"/>
      <w:lvlText w:val="%1%2.%3.%4.%5.%6　"/>
      <w:lvlJc w:val="left"/>
      <w:rPr>
        <w:rFonts w:hint="eastAsia" w:ascii="黑体" w:hAnsi="Times New Roman" w:eastAsia="黑体" w:cs="Times New Roman"/>
        <w:b w:val="0"/>
        <w:i w:val="0"/>
        <w:sz w:val="21"/>
      </w:rPr>
    </w:lvl>
    <w:lvl w:ilvl="6" w:tentative="0">
      <w:start w:val="1"/>
      <w:numFmt w:val="decimal"/>
      <w:pStyle w:val="3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DJiNDNmNTI1ZjJlMDgwMWQwMDY4MTg1NmExYjAifQ=="/>
  </w:docVars>
  <w:rsids>
    <w:rsidRoot w:val="00184578"/>
    <w:rsid w:val="000022A2"/>
    <w:rsid w:val="0000397C"/>
    <w:rsid w:val="00005248"/>
    <w:rsid w:val="00007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38C"/>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38EA"/>
    <w:rsid w:val="000C5248"/>
    <w:rsid w:val="000C76EA"/>
    <w:rsid w:val="000C7C53"/>
    <w:rsid w:val="000D13E6"/>
    <w:rsid w:val="000D22DD"/>
    <w:rsid w:val="000D297C"/>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62AC"/>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6FC7"/>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A49F4"/>
    <w:rsid w:val="001B04B6"/>
    <w:rsid w:val="001B1196"/>
    <w:rsid w:val="001B1E39"/>
    <w:rsid w:val="001B3C52"/>
    <w:rsid w:val="001B4F51"/>
    <w:rsid w:val="001B5902"/>
    <w:rsid w:val="001C0CC0"/>
    <w:rsid w:val="001C160B"/>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56C55"/>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E5BA9"/>
    <w:rsid w:val="002F1780"/>
    <w:rsid w:val="002F1D14"/>
    <w:rsid w:val="002F1E35"/>
    <w:rsid w:val="002F2582"/>
    <w:rsid w:val="002F2B20"/>
    <w:rsid w:val="002F3D25"/>
    <w:rsid w:val="002F558D"/>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044C"/>
    <w:rsid w:val="00372D62"/>
    <w:rsid w:val="003774B2"/>
    <w:rsid w:val="00380BC2"/>
    <w:rsid w:val="00381812"/>
    <w:rsid w:val="00383477"/>
    <w:rsid w:val="0038426C"/>
    <w:rsid w:val="00387258"/>
    <w:rsid w:val="00387FCB"/>
    <w:rsid w:val="00391F5C"/>
    <w:rsid w:val="0039502E"/>
    <w:rsid w:val="0039584D"/>
    <w:rsid w:val="0039603C"/>
    <w:rsid w:val="00396835"/>
    <w:rsid w:val="003A0C36"/>
    <w:rsid w:val="003A29CE"/>
    <w:rsid w:val="003A3CFD"/>
    <w:rsid w:val="003A3EFF"/>
    <w:rsid w:val="003A44C5"/>
    <w:rsid w:val="003A4D0B"/>
    <w:rsid w:val="003A5722"/>
    <w:rsid w:val="003A7365"/>
    <w:rsid w:val="003A7828"/>
    <w:rsid w:val="003A7FDC"/>
    <w:rsid w:val="003B1CED"/>
    <w:rsid w:val="003B3306"/>
    <w:rsid w:val="003B5F38"/>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76D89"/>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1D53"/>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477D9"/>
    <w:rsid w:val="005509E4"/>
    <w:rsid w:val="0055191F"/>
    <w:rsid w:val="00551DDE"/>
    <w:rsid w:val="00552152"/>
    <w:rsid w:val="00555B92"/>
    <w:rsid w:val="00556379"/>
    <w:rsid w:val="00557138"/>
    <w:rsid w:val="00564EDC"/>
    <w:rsid w:val="00565790"/>
    <w:rsid w:val="005661A7"/>
    <w:rsid w:val="005671DA"/>
    <w:rsid w:val="005676D0"/>
    <w:rsid w:val="005701E0"/>
    <w:rsid w:val="0057118F"/>
    <w:rsid w:val="0057148E"/>
    <w:rsid w:val="00577680"/>
    <w:rsid w:val="005800BE"/>
    <w:rsid w:val="005843E5"/>
    <w:rsid w:val="00584C05"/>
    <w:rsid w:val="005850B1"/>
    <w:rsid w:val="00585224"/>
    <w:rsid w:val="0058556A"/>
    <w:rsid w:val="00586A8F"/>
    <w:rsid w:val="005878E4"/>
    <w:rsid w:val="00587F65"/>
    <w:rsid w:val="00592789"/>
    <w:rsid w:val="005962F1"/>
    <w:rsid w:val="005965F5"/>
    <w:rsid w:val="005968CA"/>
    <w:rsid w:val="00596CF9"/>
    <w:rsid w:val="005A016D"/>
    <w:rsid w:val="005A0AB6"/>
    <w:rsid w:val="005A0CFB"/>
    <w:rsid w:val="005A469F"/>
    <w:rsid w:val="005A495F"/>
    <w:rsid w:val="005B112C"/>
    <w:rsid w:val="005B2583"/>
    <w:rsid w:val="005B4CA2"/>
    <w:rsid w:val="005B6333"/>
    <w:rsid w:val="005B6427"/>
    <w:rsid w:val="005C0285"/>
    <w:rsid w:val="005C21F0"/>
    <w:rsid w:val="005C291E"/>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1F3"/>
    <w:rsid w:val="00650A65"/>
    <w:rsid w:val="00650FB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A396A"/>
    <w:rsid w:val="006B7C0D"/>
    <w:rsid w:val="006C0D59"/>
    <w:rsid w:val="006C1F6D"/>
    <w:rsid w:val="006C2869"/>
    <w:rsid w:val="006C4718"/>
    <w:rsid w:val="006C681D"/>
    <w:rsid w:val="006D0F16"/>
    <w:rsid w:val="006D29C2"/>
    <w:rsid w:val="006D318D"/>
    <w:rsid w:val="006D4404"/>
    <w:rsid w:val="006D4D8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279E"/>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2E36"/>
    <w:rsid w:val="007B3254"/>
    <w:rsid w:val="007B6793"/>
    <w:rsid w:val="007C38A9"/>
    <w:rsid w:val="007D7CFA"/>
    <w:rsid w:val="007E0660"/>
    <w:rsid w:val="007E31E4"/>
    <w:rsid w:val="007E6803"/>
    <w:rsid w:val="007E77FD"/>
    <w:rsid w:val="0080125F"/>
    <w:rsid w:val="008023DF"/>
    <w:rsid w:val="008047E3"/>
    <w:rsid w:val="0081055F"/>
    <w:rsid w:val="008132E2"/>
    <w:rsid w:val="00814239"/>
    <w:rsid w:val="0081601E"/>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864E0"/>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380F"/>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77922"/>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01D6"/>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D4A6B"/>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279D"/>
    <w:rsid w:val="00B93078"/>
    <w:rsid w:val="00B93358"/>
    <w:rsid w:val="00B9366B"/>
    <w:rsid w:val="00B9383E"/>
    <w:rsid w:val="00BA1A3A"/>
    <w:rsid w:val="00BA6B4A"/>
    <w:rsid w:val="00BA6F6D"/>
    <w:rsid w:val="00BB24AE"/>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04E3F"/>
    <w:rsid w:val="00C12202"/>
    <w:rsid w:val="00C12C94"/>
    <w:rsid w:val="00C14A8F"/>
    <w:rsid w:val="00C15359"/>
    <w:rsid w:val="00C2034D"/>
    <w:rsid w:val="00C21D6D"/>
    <w:rsid w:val="00C229E8"/>
    <w:rsid w:val="00C24BB1"/>
    <w:rsid w:val="00C3180F"/>
    <w:rsid w:val="00C333D2"/>
    <w:rsid w:val="00C375DD"/>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1962"/>
    <w:rsid w:val="00CB42F0"/>
    <w:rsid w:val="00CB51A3"/>
    <w:rsid w:val="00CB6203"/>
    <w:rsid w:val="00CC02B2"/>
    <w:rsid w:val="00CC1558"/>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42C5"/>
    <w:rsid w:val="00D06B0F"/>
    <w:rsid w:val="00D14155"/>
    <w:rsid w:val="00D15F81"/>
    <w:rsid w:val="00D16AC6"/>
    <w:rsid w:val="00D176EE"/>
    <w:rsid w:val="00D17D36"/>
    <w:rsid w:val="00D20A65"/>
    <w:rsid w:val="00D2318E"/>
    <w:rsid w:val="00D237B9"/>
    <w:rsid w:val="00D23D5D"/>
    <w:rsid w:val="00D24C76"/>
    <w:rsid w:val="00D25A5E"/>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0536"/>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D7BCD"/>
    <w:rsid w:val="00DF2FE0"/>
    <w:rsid w:val="00DF5FE8"/>
    <w:rsid w:val="00DF64BF"/>
    <w:rsid w:val="00DF76E1"/>
    <w:rsid w:val="00DF7969"/>
    <w:rsid w:val="00E007C6"/>
    <w:rsid w:val="00E01299"/>
    <w:rsid w:val="00E02E67"/>
    <w:rsid w:val="00E058B9"/>
    <w:rsid w:val="00E06967"/>
    <w:rsid w:val="00E0765E"/>
    <w:rsid w:val="00E11A17"/>
    <w:rsid w:val="00E129D6"/>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3B89"/>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887"/>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12E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6B95478"/>
    <w:rsid w:val="3A6A7A9F"/>
    <w:rsid w:val="3B506247"/>
    <w:rsid w:val="3C2D4B77"/>
    <w:rsid w:val="3C4804B8"/>
    <w:rsid w:val="3D540C00"/>
    <w:rsid w:val="3E4C126D"/>
    <w:rsid w:val="3FFB769C"/>
    <w:rsid w:val="424972B2"/>
    <w:rsid w:val="42CD2859"/>
    <w:rsid w:val="438D2AD5"/>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1960CA"/>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1"/>
    <w:qFormat/>
    <w:uiPriority w:val="99"/>
    <w:pPr>
      <w:spacing w:after="120"/>
    </w:pPr>
  </w:style>
  <w:style w:type="paragraph" w:styleId="5">
    <w:name w:val="Body Text Indent"/>
    <w:basedOn w:val="1"/>
    <w:link w:val="39"/>
    <w:qFormat/>
    <w:uiPriority w:val="99"/>
    <w:pPr>
      <w:spacing w:after="120"/>
      <w:ind w:left="420" w:leftChars="200"/>
    </w:pPr>
  </w:style>
  <w:style w:type="paragraph" w:styleId="6">
    <w:name w:val="Date"/>
    <w:basedOn w:val="1"/>
    <w:next w:val="1"/>
    <w:link w:val="21"/>
    <w:qFormat/>
    <w:uiPriority w:val="99"/>
    <w:pPr>
      <w:ind w:left="100" w:leftChars="2500"/>
    </w:pPr>
  </w:style>
  <w:style w:type="paragraph" w:styleId="7">
    <w:name w:val="Body Text Indent 2"/>
    <w:basedOn w:val="1"/>
    <w:link w:val="38"/>
    <w:qFormat/>
    <w:uiPriority w:val="99"/>
    <w:pPr>
      <w:spacing w:after="120" w:line="480" w:lineRule="auto"/>
      <w:ind w:left="420" w:leftChars="200"/>
    </w:pPr>
  </w:style>
  <w:style w:type="paragraph" w:styleId="8">
    <w:name w:val="Balloon Text"/>
    <w:basedOn w:val="1"/>
    <w:link w:val="22"/>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5"/>
    <w:qFormat/>
    <w:uiPriority w:val="99"/>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2"/>
    <w:qFormat/>
    <w:uiPriority w:val="99"/>
    <w:pPr>
      <w:ind w:firstLine="420" w:firstLineChars="100"/>
    </w:pPr>
  </w:style>
  <w:style w:type="paragraph" w:styleId="14">
    <w:name w:val="Body Text First Indent 2"/>
    <w:basedOn w:val="5"/>
    <w:link w:val="40"/>
    <w:qFormat/>
    <w:uiPriority w:val="99"/>
    <w:pPr>
      <w:ind w:firstLine="420" w:firstLineChars="200"/>
    </w:p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rPr>
      <w:rFonts w:ascii="Times New Roman" w:hAnsi="Times New Roman" w:eastAsia="宋体"/>
      <w:sz w:val="18"/>
    </w:rPr>
  </w:style>
  <w:style w:type="character" w:styleId="19">
    <w:name w:val="annotation reference"/>
    <w:basedOn w:val="17"/>
    <w:semiHidden/>
    <w:qFormat/>
    <w:uiPriority w:val="99"/>
    <w:rPr>
      <w:rFonts w:cs="Times New Roman"/>
      <w:sz w:val="21"/>
      <w:szCs w:val="21"/>
    </w:rPr>
  </w:style>
  <w:style w:type="character" w:customStyle="1" w:styleId="20">
    <w:name w:val="标题 2 Char"/>
    <w:basedOn w:val="17"/>
    <w:link w:val="2"/>
    <w:qFormat/>
    <w:locked/>
    <w:uiPriority w:val="99"/>
    <w:rPr>
      <w:rFonts w:ascii="Arial" w:hAnsi="Arial" w:eastAsia="黑体" w:cs="Times New Roman"/>
      <w:b/>
      <w:bCs/>
      <w:kern w:val="2"/>
      <w:sz w:val="32"/>
      <w:szCs w:val="32"/>
    </w:rPr>
  </w:style>
  <w:style w:type="character" w:customStyle="1" w:styleId="21">
    <w:name w:val="日期 Char"/>
    <w:basedOn w:val="17"/>
    <w:link w:val="6"/>
    <w:qFormat/>
    <w:locked/>
    <w:uiPriority w:val="99"/>
    <w:rPr>
      <w:rFonts w:cs="Times New Roman"/>
      <w:kern w:val="2"/>
      <w:sz w:val="24"/>
      <w:szCs w:val="24"/>
    </w:rPr>
  </w:style>
  <w:style w:type="character" w:customStyle="1" w:styleId="22">
    <w:name w:val="批注框文本 Char"/>
    <w:basedOn w:val="17"/>
    <w:link w:val="8"/>
    <w:qFormat/>
    <w:locked/>
    <w:uiPriority w:val="99"/>
    <w:rPr>
      <w:rFonts w:cs="Times New Roman"/>
      <w:kern w:val="2"/>
      <w:sz w:val="18"/>
      <w:szCs w:val="18"/>
    </w:rPr>
  </w:style>
  <w:style w:type="character" w:customStyle="1" w:styleId="23">
    <w:name w:val="页脚 Char"/>
    <w:basedOn w:val="17"/>
    <w:link w:val="9"/>
    <w:qFormat/>
    <w:locked/>
    <w:uiPriority w:val="99"/>
    <w:rPr>
      <w:rFonts w:cs="Times New Roman"/>
      <w:kern w:val="2"/>
      <w:sz w:val="18"/>
      <w:szCs w:val="18"/>
    </w:rPr>
  </w:style>
  <w:style w:type="character" w:customStyle="1" w:styleId="24">
    <w:name w:val="页眉 Char"/>
    <w:basedOn w:val="17"/>
    <w:link w:val="10"/>
    <w:semiHidden/>
    <w:qFormat/>
    <w:locked/>
    <w:uiPriority w:val="99"/>
    <w:rPr>
      <w:rFonts w:cs="Times New Roman"/>
      <w:sz w:val="18"/>
      <w:szCs w:val="18"/>
    </w:rPr>
  </w:style>
  <w:style w:type="character" w:customStyle="1" w:styleId="25">
    <w:name w:val="正文文本 2 Char"/>
    <w:basedOn w:val="17"/>
    <w:link w:val="11"/>
    <w:semiHidden/>
    <w:qFormat/>
    <w:locked/>
    <w:uiPriority w:val="99"/>
    <w:rPr>
      <w:rFonts w:cs="Times New Roman"/>
      <w:sz w:val="24"/>
      <w:szCs w:val="24"/>
    </w:rPr>
  </w:style>
  <w:style w:type="paragraph" w:customStyle="1" w:styleId="26">
    <w:name w:val="段"/>
    <w:link w:val="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段 Char"/>
    <w:basedOn w:val="17"/>
    <w:link w:val="26"/>
    <w:qFormat/>
    <w:locked/>
    <w:uiPriority w:val="0"/>
    <w:rPr>
      <w:rFonts w:ascii="宋体" w:cs="Times New Roman"/>
      <w:sz w:val="21"/>
      <w:lang w:val="en-US" w:eastAsia="zh-CN" w:bidi="ar-SA"/>
    </w:rPr>
  </w:style>
  <w:style w:type="character" w:styleId="28">
    <w:name w:val="Placeholder Text"/>
    <w:basedOn w:val="17"/>
    <w:semiHidden/>
    <w:qFormat/>
    <w:uiPriority w:val="99"/>
    <w:rPr>
      <w:rFonts w:cs="Times New Roman"/>
      <w:color w:val="808080"/>
    </w:rPr>
  </w:style>
  <w:style w:type="paragraph" w:styleId="29">
    <w:name w:val="List Paragraph"/>
    <w:basedOn w:val="1"/>
    <w:qFormat/>
    <w:uiPriority w:val="34"/>
    <w:pPr>
      <w:ind w:firstLine="420" w:firstLineChars="200"/>
    </w:pPr>
  </w:style>
  <w:style w:type="paragraph" w:customStyle="1" w:styleId="3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26"/>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2">
    <w:name w:val="一级条标题"/>
    <w:basedOn w:val="31"/>
    <w:next w:val="26"/>
    <w:link w:val="37"/>
    <w:qFormat/>
    <w:uiPriority w:val="0"/>
    <w:pPr>
      <w:numPr>
        <w:ilvl w:val="2"/>
      </w:numPr>
      <w:spacing w:beforeLines="0" w:afterLines="0"/>
      <w:outlineLvl w:val="2"/>
    </w:pPr>
    <w:rPr>
      <w:sz w:val="21"/>
    </w:rPr>
  </w:style>
  <w:style w:type="paragraph" w:customStyle="1" w:styleId="33">
    <w:name w:val="二级条标题"/>
    <w:basedOn w:val="32"/>
    <w:next w:val="26"/>
    <w:link w:val="52"/>
    <w:qFormat/>
    <w:uiPriority w:val="0"/>
    <w:pPr>
      <w:numPr>
        <w:ilvl w:val="3"/>
      </w:numPr>
      <w:ind w:left="2310" w:hanging="420"/>
      <w:outlineLvl w:val="3"/>
    </w:pPr>
  </w:style>
  <w:style w:type="paragraph" w:customStyle="1" w:styleId="34">
    <w:name w:val="三级条标题"/>
    <w:basedOn w:val="33"/>
    <w:next w:val="26"/>
    <w:qFormat/>
    <w:uiPriority w:val="0"/>
    <w:pPr>
      <w:numPr>
        <w:ilvl w:val="4"/>
      </w:numPr>
      <w:ind w:left="2730"/>
      <w:outlineLvl w:val="4"/>
    </w:pPr>
  </w:style>
  <w:style w:type="paragraph" w:customStyle="1" w:styleId="35">
    <w:name w:val="四级条标题"/>
    <w:basedOn w:val="34"/>
    <w:next w:val="26"/>
    <w:qFormat/>
    <w:uiPriority w:val="0"/>
    <w:pPr>
      <w:numPr>
        <w:ilvl w:val="5"/>
      </w:numPr>
      <w:ind w:left="3150"/>
      <w:outlineLvl w:val="5"/>
    </w:pPr>
  </w:style>
  <w:style w:type="paragraph" w:customStyle="1" w:styleId="36">
    <w:name w:val="五级条标题"/>
    <w:basedOn w:val="35"/>
    <w:next w:val="26"/>
    <w:qFormat/>
    <w:uiPriority w:val="0"/>
    <w:pPr>
      <w:numPr>
        <w:ilvl w:val="6"/>
      </w:numPr>
      <w:ind w:left="3570"/>
      <w:outlineLvl w:val="6"/>
    </w:pPr>
  </w:style>
  <w:style w:type="character" w:customStyle="1" w:styleId="37">
    <w:name w:val="一级条标题 Char"/>
    <w:link w:val="32"/>
    <w:qFormat/>
    <w:locked/>
    <w:uiPriority w:val="99"/>
    <w:rPr>
      <w:rFonts w:ascii="黑体" w:eastAsia="黑体"/>
      <w:sz w:val="21"/>
      <w:lang w:val="en-US" w:eastAsia="zh-CN"/>
    </w:rPr>
  </w:style>
  <w:style w:type="character" w:customStyle="1" w:styleId="38">
    <w:name w:val="正文文本缩进 2 Char"/>
    <w:basedOn w:val="17"/>
    <w:link w:val="7"/>
    <w:semiHidden/>
    <w:qFormat/>
    <w:locked/>
    <w:uiPriority w:val="99"/>
    <w:rPr>
      <w:rFonts w:cs="Times New Roman"/>
      <w:sz w:val="24"/>
      <w:szCs w:val="24"/>
    </w:rPr>
  </w:style>
  <w:style w:type="character" w:customStyle="1" w:styleId="39">
    <w:name w:val="正文文本缩进 Char"/>
    <w:basedOn w:val="17"/>
    <w:link w:val="5"/>
    <w:semiHidden/>
    <w:qFormat/>
    <w:locked/>
    <w:uiPriority w:val="99"/>
    <w:rPr>
      <w:rFonts w:cs="Times New Roman"/>
      <w:sz w:val="24"/>
      <w:szCs w:val="24"/>
    </w:rPr>
  </w:style>
  <w:style w:type="character" w:customStyle="1" w:styleId="40">
    <w:name w:val="正文首行缩进 2 Char"/>
    <w:basedOn w:val="39"/>
    <w:link w:val="14"/>
    <w:semiHidden/>
    <w:qFormat/>
    <w:locked/>
    <w:uiPriority w:val="99"/>
    <w:rPr>
      <w:rFonts w:cs="Times New Roman"/>
      <w:sz w:val="24"/>
      <w:szCs w:val="24"/>
    </w:rPr>
  </w:style>
  <w:style w:type="character" w:customStyle="1" w:styleId="41">
    <w:name w:val="正文文本 Char"/>
    <w:basedOn w:val="17"/>
    <w:link w:val="4"/>
    <w:semiHidden/>
    <w:qFormat/>
    <w:locked/>
    <w:uiPriority w:val="99"/>
    <w:rPr>
      <w:rFonts w:cs="Times New Roman"/>
      <w:sz w:val="24"/>
      <w:szCs w:val="24"/>
    </w:rPr>
  </w:style>
  <w:style w:type="character" w:customStyle="1" w:styleId="42">
    <w:name w:val="正文首行缩进 Char"/>
    <w:basedOn w:val="41"/>
    <w:link w:val="13"/>
    <w:semiHidden/>
    <w:qFormat/>
    <w:locked/>
    <w:uiPriority w:val="99"/>
    <w:rPr>
      <w:rFonts w:cs="Times New Roman"/>
      <w:sz w:val="24"/>
      <w:szCs w:val="24"/>
    </w:rPr>
  </w:style>
  <w:style w:type="character" w:customStyle="1" w:styleId="43">
    <w:name w:val="图题及表格"/>
    <w:basedOn w:val="17"/>
    <w:qFormat/>
    <w:uiPriority w:val="0"/>
    <w:rPr>
      <w:rFonts w:ascii="Times New Roman" w:hAnsi="Times New Roman" w:eastAsia="宋体"/>
      <w:sz w:val="21"/>
    </w:rPr>
  </w:style>
  <w:style w:type="paragraph" w:customStyle="1" w:styleId="4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参考文献、索引标题"/>
    <w:basedOn w:val="30"/>
    <w:next w:val="1"/>
    <w:qFormat/>
    <w:uiPriority w:val="0"/>
    <w:pPr>
      <w:numPr>
        <w:numId w:val="0"/>
      </w:numPr>
      <w:spacing w:after="200"/>
    </w:pPr>
    <w:rPr>
      <w:sz w:val="21"/>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eastAsia="en-US" w:bidi="en-US"/>
    </w:rPr>
  </w:style>
  <w:style w:type="paragraph" w:customStyle="1" w:styleId="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8">
    <w:name w:val="其他发布部门"/>
    <w:basedOn w:val="49"/>
    <w:qFormat/>
    <w:uiPriority w:val="0"/>
    <w:pPr>
      <w:spacing w:line="0" w:lineRule="atLeast"/>
    </w:pPr>
    <w:rPr>
      <w:rFonts w:ascii="黑体" w:eastAsia="黑体"/>
      <w:b w:val="0"/>
    </w:rPr>
  </w:style>
  <w:style w:type="paragraph" w:customStyle="1" w:styleId="49">
    <w:name w:val="发布部门"/>
    <w:next w:val="26"/>
    <w:qFormat/>
    <w:uiPriority w:val="0"/>
    <w:pPr>
      <w:jc w:val="center"/>
    </w:pPr>
    <w:rPr>
      <w:rFonts w:ascii="宋体" w:hAnsi="Times New Roman" w:eastAsia="宋体" w:cs="Times New Roman"/>
      <w:b/>
      <w:spacing w:val="20"/>
      <w:w w:val="135"/>
      <w:sz w:val="36"/>
      <w:lang w:val="en-US" w:eastAsia="zh-CN" w:bidi="ar-SA"/>
    </w:rPr>
  </w:style>
  <w:style w:type="paragraph" w:customStyle="1" w:styleId="50">
    <w:name w:val="附录章标题"/>
    <w:next w:val="26"/>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52">
    <w:name w:val="二级条标题 Char"/>
    <w:link w:val="33"/>
    <w:qFormat/>
    <w:uiPriority w:val="0"/>
    <w:rPr>
      <w:rFonts w:ascii="黑体"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8560F-D5FC-4F7A-986A-2CDF2C25B79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5434</Words>
  <Characters>6048</Characters>
  <Lines>48</Lines>
  <Paragraphs>13</Paragraphs>
  <TotalTime>35</TotalTime>
  <ScaleCrop>false</ScaleCrop>
  <LinksUpToDate>false</LinksUpToDate>
  <CharactersWithSpaces>6417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2024-05-09T13:30:00Z</dcterms:created>
  <dc:creator>USER</dc:creator>
  <cp:lastModifiedBy>SYCH</cp:lastModifiedBy>
  <cp:lastPrinted>2023-11-02T07:27:00Z</cp:lastPrinted>
  <dcterms:modified xsi:type="dcterms:W3CDTF">2024-08-14T09:12:19Z</dcterms:modified>
  <dc:title>GB/T11105-2011《金属粉末-压坯的拉托拉试验》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4B0FF7E6E6B14C899ADBA4127578DDDC_13</vt:lpwstr>
  </property>
</Properties>
</file>