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B1C2F">
      <w:pPr>
        <w:pStyle w:val="98"/>
        <w:rPr>
          <w:sz w:val="24"/>
          <w:szCs w:val="24"/>
        </w:rPr>
      </w:pPr>
      <w:bookmarkStart w:id="0" w:name="SectionMark0"/>
      <w:bookmarkStart w:id="1" w:name="SectionMark4"/>
      <w:r>
        <w:rPr>
          <w:sz w:val="24"/>
          <w:szCs w:val="24"/>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798BA966">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有色金属行业数字温度指示调节仪校准规范</w:t>
                            </w:r>
                          </w:p>
                          <w:p w14:paraId="7F028101">
                            <w:pPr>
                              <w:jc w:val="center"/>
                              <w:rPr>
                                <w:rFonts w:ascii="宋体" w:hAnsi="宋体" w:cs="宋体"/>
                                <w:sz w:val="28"/>
                                <w:szCs w:val="28"/>
                              </w:rPr>
                            </w:pPr>
                            <w:r>
                              <w:rPr>
                                <w:rFonts w:hint="eastAsia" w:ascii="宋体" w:hAnsi="宋体" w:cs="宋体"/>
                                <w:spacing w:val="58"/>
                                <w:w w:val="120"/>
                                <w:sz w:val="28"/>
                                <w:szCs w:val="28"/>
                              </w:rPr>
                              <w:t>编制组</w:t>
                            </w:r>
                          </w:p>
                          <w:p w14:paraId="04ACA482">
                            <w:pPr>
                              <w:pStyle w:val="114"/>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798BA966">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有色金属行业数字温度指示调节仪校准规范</w:t>
                      </w:r>
                    </w:p>
                    <w:p w14:paraId="7F028101">
                      <w:pPr>
                        <w:jc w:val="center"/>
                        <w:rPr>
                          <w:rFonts w:ascii="宋体" w:hAnsi="宋体" w:cs="宋体"/>
                          <w:sz w:val="28"/>
                          <w:szCs w:val="28"/>
                        </w:rPr>
                      </w:pPr>
                      <w:r>
                        <w:rPr>
                          <w:rFonts w:hint="eastAsia" w:ascii="宋体" w:hAnsi="宋体" w:cs="宋体"/>
                          <w:spacing w:val="58"/>
                          <w:w w:val="120"/>
                          <w:sz w:val="28"/>
                          <w:szCs w:val="28"/>
                        </w:rPr>
                        <w:t>编制组</w:t>
                      </w:r>
                    </w:p>
                    <w:p w14:paraId="04ACA482">
                      <w:pPr>
                        <w:pStyle w:val="114"/>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w:rPr>
          <w:sz w:val="24"/>
          <w:szCs w:val="24"/>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31132879">
                            <w:pPr>
                              <w:pStyle w:val="67"/>
                              <w:spacing w:before="600"/>
                              <w:rPr>
                                <w:rFonts w:hint="eastAsia" w:ascii="黑体" w:hAnsi="黑体" w:eastAsia="黑体"/>
                                <w:sz w:val="36"/>
                                <w:szCs w:val="36"/>
                                <w:lang w:val="en-US" w:eastAsia="zh-CN"/>
                              </w:rPr>
                            </w:pPr>
                            <w:r>
                              <w:rPr>
                                <w:rFonts w:hint="eastAsia" w:ascii="黑体" w:hAnsi="黑体" w:eastAsia="黑体"/>
                                <w:sz w:val="36"/>
                                <w:szCs w:val="36"/>
                                <w:lang w:val="en-US" w:eastAsia="zh-CN"/>
                              </w:rPr>
                              <w:t>预审稿</w:t>
                            </w:r>
                          </w:p>
                          <w:p w14:paraId="5F130B56">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24-8</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14:paraId="31132879">
                      <w:pPr>
                        <w:pStyle w:val="67"/>
                        <w:spacing w:before="600"/>
                        <w:rPr>
                          <w:rFonts w:hint="eastAsia" w:ascii="黑体" w:hAnsi="黑体" w:eastAsia="黑体"/>
                          <w:sz w:val="36"/>
                          <w:szCs w:val="36"/>
                          <w:lang w:val="en-US" w:eastAsia="zh-CN"/>
                        </w:rPr>
                      </w:pPr>
                      <w:r>
                        <w:rPr>
                          <w:rFonts w:hint="eastAsia" w:ascii="黑体" w:hAnsi="黑体" w:eastAsia="黑体"/>
                          <w:sz w:val="36"/>
                          <w:szCs w:val="36"/>
                          <w:lang w:val="en-US" w:eastAsia="zh-CN"/>
                        </w:rPr>
                        <w:t>预审稿</w:t>
                      </w:r>
                    </w:p>
                    <w:p w14:paraId="5F130B56">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24-8</w:t>
                      </w:r>
                    </w:p>
                  </w:txbxContent>
                </v:textbox>
                <w10:anchorlock/>
              </v:rect>
            </w:pict>
          </mc:Fallback>
        </mc:AlternateContent>
      </w:r>
      <w:r>
        <w:rPr>
          <w:sz w:val="24"/>
          <w:szCs w:val="24"/>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7D9D9F33">
                            <w:pPr>
                              <w:pStyle w:val="75"/>
                              <w:spacing w:line="360" w:lineRule="auto"/>
                              <w:rPr>
                                <w:rFonts w:hint="default" w:hAnsi="黑体" w:eastAsia="黑体" w:cs="黑体"/>
                                <w:sz w:val="44"/>
                                <w:szCs w:val="44"/>
                                <w:lang w:val="en-US" w:eastAsia="zh-CN"/>
                              </w:rPr>
                            </w:pPr>
                            <w:bookmarkStart w:id="50"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50"/>
                          <w:p w14:paraId="39632DA9">
                            <w:pPr>
                              <w:spacing w:line="360" w:lineRule="auto"/>
                              <w:jc w:val="center"/>
                              <w:rPr>
                                <w:rFonts w:ascii="黑体" w:hAnsi="黑体" w:eastAsia="黑体" w:cs="黑体"/>
                                <w:sz w:val="44"/>
                                <w:szCs w:val="44"/>
                              </w:rPr>
                            </w:pPr>
                            <w:r>
                              <w:rPr>
                                <w:rFonts w:hint="eastAsia" w:ascii="Franklin Gothic Medium" w:hAnsi="Franklin Gothic Medium" w:eastAsia="黑体"/>
                                <w:color w:val="000000"/>
                                <w:kern w:val="36"/>
                                <w:sz w:val="44"/>
                                <w:szCs w:val="44"/>
                                <w:lang w:val="en-US" w:eastAsia="zh-CN"/>
                              </w:rPr>
                              <w:t xml:space="preserve">有色金属行业数字温度指示调节仪校准规范    </w:t>
                            </w: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7D9D9F33">
                      <w:pPr>
                        <w:pStyle w:val="75"/>
                        <w:spacing w:line="360" w:lineRule="auto"/>
                        <w:rPr>
                          <w:rFonts w:hint="default" w:hAnsi="黑体" w:eastAsia="黑体" w:cs="黑体"/>
                          <w:sz w:val="44"/>
                          <w:szCs w:val="44"/>
                          <w:lang w:val="en-US" w:eastAsia="zh-CN"/>
                        </w:rPr>
                      </w:pPr>
                      <w:bookmarkStart w:id="50"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50"/>
                    <w:p w14:paraId="39632DA9">
                      <w:pPr>
                        <w:spacing w:line="360" w:lineRule="auto"/>
                        <w:jc w:val="center"/>
                        <w:rPr>
                          <w:rFonts w:ascii="黑体" w:hAnsi="黑体" w:eastAsia="黑体" w:cs="黑体"/>
                          <w:sz w:val="44"/>
                          <w:szCs w:val="44"/>
                        </w:rPr>
                      </w:pPr>
                      <w:r>
                        <w:rPr>
                          <w:rFonts w:hint="eastAsia" w:ascii="Franklin Gothic Medium" w:hAnsi="Franklin Gothic Medium" w:eastAsia="黑体"/>
                          <w:color w:val="000000"/>
                          <w:kern w:val="36"/>
                          <w:sz w:val="44"/>
                          <w:szCs w:val="44"/>
                          <w:lang w:val="en-US" w:eastAsia="zh-CN"/>
                        </w:rPr>
                        <w:t xml:space="preserve">有色金属行业数字温度指示调节仪校准规范    </w:t>
                      </w:r>
                      <w:r>
                        <w:rPr>
                          <w:rFonts w:hint="eastAsia" w:ascii="黑体" w:hAnsi="黑体" w:eastAsia="黑体" w:cs="黑体"/>
                          <w:sz w:val="44"/>
                          <w:szCs w:val="44"/>
                        </w:rPr>
                        <w:t>(编制说明)</w:t>
                      </w:r>
                    </w:p>
                  </w:txbxContent>
                </v:textbox>
                <w10:anchorlock/>
              </v:rect>
            </w:pict>
          </mc:Fallback>
        </mc:AlternateContent>
      </w:r>
      <w:bookmarkEnd w:id="0"/>
    </w:p>
    <w:p w14:paraId="0FC2E07B">
      <w:pPr>
        <w:pStyle w:val="72"/>
        <w:numPr>
          <w:ilvl w:val="0"/>
          <w:numId w:val="0"/>
        </w:numPr>
        <w:ind w:left="840" w:hanging="420"/>
        <w:jc w:val="center"/>
        <w:rPr>
          <w:b/>
          <w:sz w:val="24"/>
          <w:szCs w:val="24"/>
        </w:rPr>
      </w:pPr>
    </w:p>
    <w:p w14:paraId="39B8622B">
      <w:pPr>
        <w:pStyle w:val="58"/>
        <w:ind w:firstLine="420"/>
        <w:rPr>
          <w:sz w:val="24"/>
          <w:szCs w:val="24"/>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14:paraId="16C7132E">
      <w:pPr>
        <w:pStyle w:val="74"/>
        <w:numPr>
          <w:ilvl w:val="0"/>
          <w:numId w:val="11"/>
        </w:numPr>
        <w:tabs>
          <w:tab w:val="left" w:pos="426"/>
        </w:tabs>
        <w:spacing w:before="312" w:beforeLines="100" w:after="312" w:afterLines="100"/>
        <w:ind w:hangingChars="200"/>
        <w:jc w:val="left"/>
        <w:rPr>
          <w:sz w:val="24"/>
          <w:szCs w:val="24"/>
        </w:rPr>
      </w:pPr>
      <w:bookmarkStart w:id="2" w:name="_Toc464728891"/>
      <w:r>
        <w:rPr>
          <w:rFonts w:hint="eastAsia"/>
          <w:sz w:val="24"/>
          <w:szCs w:val="24"/>
        </w:rPr>
        <w:t>工作简况</w:t>
      </w:r>
      <w:bookmarkEnd w:id="2"/>
    </w:p>
    <w:p w14:paraId="37319F62">
      <w:pPr>
        <w:pStyle w:val="61"/>
        <w:spacing w:before="156" w:after="156" w:line="300" w:lineRule="auto"/>
        <w:ind w:left="0"/>
        <w:contextualSpacing/>
        <w:rPr>
          <w:sz w:val="24"/>
          <w:szCs w:val="24"/>
        </w:rPr>
      </w:pPr>
      <w:bookmarkStart w:id="3" w:name="_Toc456592524"/>
      <w:bookmarkStart w:id="4" w:name="_Toc464728892"/>
      <w:r>
        <w:rPr>
          <w:rFonts w:hint="eastAsia"/>
          <w:sz w:val="24"/>
          <w:szCs w:val="24"/>
        </w:rPr>
        <w:t>立项目的</w:t>
      </w:r>
      <w:bookmarkEnd w:id="3"/>
      <w:bookmarkEnd w:id="4"/>
    </w:p>
    <w:p w14:paraId="7A1C3280">
      <w:pPr>
        <w:spacing w:line="360" w:lineRule="auto"/>
        <w:ind w:firstLine="480" w:firstLineChars="200"/>
        <w:rPr>
          <w:rFonts w:hint="default"/>
          <w:sz w:val="24"/>
          <w:szCs w:val="24"/>
          <w:lang w:val="en-US" w:eastAsia="zh-CN"/>
        </w:rPr>
      </w:pPr>
      <w:bookmarkStart w:id="5" w:name="_Toc23784642"/>
      <w:bookmarkStart w:id="6" w:name="_Toc28098"/>
      <w:bookmarkStart w:id="7" w:name="_Toc23784544"/>
      <w:bookmarkStart w:id="8" w:name="_Toc23785536"/>
      <w:bookmarkStart w:id="9" w:name="_Toc23785216"/>
      <w:r>
        <w:rPr>
          <w:rFonts w:hint="default"/>
          <w:sz w:val="24"/>
          <w:szCs w:val="24"/>
          <w:lang w:val="en-US" w:eastAsia="zh-CN"/>
        </w:rPr>
        <w:t>JJG 617-1996数字温度指示调节仪检定规程中对校准温度点的绝对误差范围就目前市场上常见的温度指示调节仪过于宽泛。（常见的温度指示调节仪范围（-200~1600）℃，基本误差公式：△=±a%FS。以0.1级为例，1800℃×0.1%=1.8℃）</w:t>
      </w:r>
    </w:p>
    <w:p w14:paraId="1F8582C3">
      <w:pPr>
        <w:spacing w:line="360" w:lineRule="auto"/>
        <w:ind w:firstLine="480" w:firstLineChars="200"/>
        <w:rPr>
          <w:rFonts w:hint="eastAsia"/>
          <w:sz w:val="24"/>
          <w:szCs w:val="24"/>
        </w:rPr>
      </w:pPr>
      <w:r>
        <w:rPr>
          <w:rFonts w:hint="default"/>
          <w:sz w:val="24"/>
          <w:szCs w:val="24"/>
          <w:lang w:val="en-US" w:eastAsia="zh-CN"/>
        </w:rPr>
        <w:t>编制数字温度指示调节仪校准规范主要为了满足AMS 2750、GB/T228.2等标准的要求，对原规程中温度部分进行详细阐述和规范</w:t>
      </w:r>
      <w:bookmarkEnd w:id="5"/>
      <w:bookmarkEnd w:id="6"/>
      <w:bookmarkEnd w:id="7"/>
      <w:bookmarkEnd w:id="8"/>
      <w:bookmarkEnd w:id="9"/>
      <w:r>
        <w:rPr>
          <w:rFonts w:hint="eastAsia"/>
          <w:sz w:val="24"/>
          <w:szCs w:val="24"/>
          <w:lang w:val="en-US" w:eastAsia="zh-CN"/>
        </w:rPr>
        <w:t>。科学的校准规范能明确规范校准操作并确保校准结果的准确性，便于提升该仪器的产品质量水平，对有色金属产业升级起到积极作用</w:t>
      </w:r>
      <w:r>
        <w:rPr>
          <w:rFonts w:hint="eastAsia"/>
          <w:sz w:val="24"/>
          <w:szCs w:val="24"/>
        </w:rPr>
        <w:t>。</w:t>
      </w:r>
    </w:p>
    <w:p w14:paraId="292E1117">
      <w:pPr>
        <w:pStyle w:val="61"/>
        <w:spacing w:before="156" w:after="156" w:line="300" w:lineRule="auto"/>
        <w:ind w:left="0"/>
        <w:contextualSpacing/>
        <w:rPr>
          <w:sz w:val="24"/>
          <w:szCs w:val="24"/>
        </w:rPr>
      </w:pPr>
      <w:bookmarkStart w:id="10" w:name="_Toc464728896"/>
      <w:r>
        <w:rPr>
          <w:rFonts w:hint="eastAsia"/>
          <w:sz w:val="24"/>
          <w:szCs w:val="24"/>
        </w:rPr>
        <w:t>任务来源</w:t>
      </w:r>
      <w:bookmarkEnd w:id="10"/>
    </w:p>
    <w:p w14:paraId="683DBE55">
      <w:pPr>
        <w:spacing w:line="300" w:lineRule="auto"/>
        <w:ind w:firstLine="480" w:firstLineChars="200"/>
        <w:contextualSpacing/>
        <w:jc w:val="left"/>
        <w:rPr>
          <w:sz w:val="24"/>
          <w:szCs w:val="24"/>
        </w:rPr>
      </w:pPr>
      <w:r>
        <w:rPr>
          <w:rFonts w:hint="eastAsia"/>
          <w:sz w:val="24"/>
          <w:szCs w:val="24"/>
        </w:rPr>
        <w:t>为保证和提升我国</w:t>
      </w:r>
      <w:r>
        <w:rPr>
          <w:rFonts w:hint="eastAsia"/>
          <w:sz w:val="24"/>
          <w:szCs w:val="24"/>
          <w:lang w:val="en-US" w:eastAsia="zh-CN"/>
        </w:rPr>
        <w:t>高温及热处理</w:t>
      </w:r>
      <w:r>
        <w:rPr>
          <w:rFonts w:hint="eastAsia"/>
          <w:sz w:val="24"/>
          <w:szCs w:val="24"/>
        </w:rPr>
        <w:t>试验数据的准确性产品质量，适应我国</w:t>
      </w:r>
      <w:r>
        <w:rPr>
          <w:rFonts w:hint="eastAsia"/>
          <w:sz w:val="24"/>
          <w:szCs w:val="24"/>
          <w:lang w:val="en-US" w:eastAsia="zh-CN"/>
        </w:rPr>
        <w:t>有色金属</w:t>
      </w:r>
      <w:r>
        <w:rPr>
          <w:rFonts w:hint="eastAsia"/>
          <w:sz w:val="24"/>
          <w:szCs w:val="24"/>
        </w:rPr>
        <w:t>行业的快速发展和满足国内外市场的需要，工业和信息化部以工厅科[20</w:t>
      </w:r>
      <w:r>
        <w:rPr>
          <w:rFonts w:hint="eastAsia"/>
          <w:sz w:val="24"/>
          <w:szCs w:val="24"/>
          <w:lang w:val="en-US" w:eastAsia="zh-CN"/>
        </w:rPr>
        <w:t>23</w:t>
      </w:r>
      <w:r>
        <w:rPr>
          <w:rFonts w:hint="eastAsia"/>
          <w:sz w:val="24"/>
          <w:szCs w:val="24"/>
        </w:rPr>
        <w:t>]</w:t>
      </w:r>
      <w:r>
        <w:rPr>
          <w:rFonts w:hint="eastAsia"/>
          <w:sz w:val="24"/>
          <w:szCs w:val="24"/>
          <w:lang w:val="en-US" w:eastAsia="zh-CN"/>
        </w:rPr>
        <w:t>476</w:t>
      </w:r>
      <w:r>
        <w:rPr>
          <w:rFonts w:hint="eastAsia"/>
          <w:sz w:val="24"/>
          <w:szCs w:val="24"/>
        </w:rPr>
        <w:t>号文下达了《工业和信息化部办公厅关于印发202</w:t>
      </w:r>
      <w:r>
        <w:rPr>
          <w:rFonts w:hint="eastAsia"/>
          <w:sz w:val="24"/>
          <w:szCs w:val="24"/>
          <w:lang w:val="en-US" w:eastAsia="zh-CN"/>
        </w:rPr>
        <w:t>3</w:t>
      </w:r>
      <w:r>
        <w:rPr>
          <w:rFonts w:hint="eastAsia"/>
          <w:sz w:val="24"/>
          <w:szCs w:val="24"/>
        </w:rPr>
        <w:t>计量</w:t>
      </w:r>
      <w:r>
        <w:rPr>
          <w:rFonts w:hint="eastAsia"/>
          <w:sz w:val="24"/>
          <w:szCs w:val="24"/>
          <w:lang w:val="en-US" w:eastAsia="zh-CN"/>
        </w:rPr>
        <w:t>技术</w:t>
      </w:r>
      <w:r>
        <w:rPr>
          <w:rFonts w:hint="eastAsia"/>
          <w:sz w:val="24"/>
          <w:szCs w:val="24"/>
        </w:rPr>
        <w:t>规范制修订计划的通知》，其</w:t>
      </w:r>
      <w:r>
        <w:rPr>
          <w:rFonts w:hint="eastAsia"/>
          <w:sz w:val="24"/>
          <w:szCs w:val="24"/>
          <w:lang w:val="en-US" w:eastAsia="zh-CN"/>
        </w:rPr>
        <w:t>计划号</w:t>
      </w:r>
      <w:r>
        <w:rPr>
          <w:rFonts w:hint="eastAsia"/>
          <w:sz w:val="24"/>
          <w:szCs w:val="24"/>
        </w:rPr>
        <w:t>为：</w:t>
      </w:r>
      <w:r>
        <w:rPr>
          <w:rFonts w:hint="eastAsia"/>
          <w:sz w:val="24"/>
          <w:szCs w:val="24"/>
          <w:lang w:val="en-US" w:eastAsia="zh-CN"/>
        </w:rPr>
        <w:t>JJFZ（有色金属）008-2023</w:t>
      </w:r>
      <w:r>
        <w:rPr>
          <w:rFonts w:hint="eastAsia"/>
          <w:sz w:val="24"/>
          <w:szCs w:val="24"/>
        </w:rPr>
        <w:t>，计划完成年限为202</w:t>
      </w:r>
      <w:r>
        <w:rPr>
          <w:rFonts w:hint="eastAsia"/>
          <w:sz w:val="24"/>
          <w:szCs w:val="24"/>
          <w:lang w:val="en-US" w:eastAsia="zh-CN"/>
        </w:rPr>
        <w:t>5</w:t>
      </w:r>
      <w:r>
        <w:rPr>
          <w:rFonts w:hint="eastAsia"/>
          <w:sz w:val="24"/>
          <w:szCs w:val="24"/>
        </w:rPr>
        <w:t>年。</w:t>
      </w:r>
    </w:p>
    <w:p w14:paraId="28A317A7">
      <w:pPr>
        <w:pStyle w:val="61"/>
        <w:spacing w:before="156" w:after="156" w:line="300" w:lineRule="auto"/>
        <w:ind w:left="0"/>
        <w:contextualSpacing/>
        <w:rPr>
          <w:sz w:val="24"/>
          <w:szCs w:val="24"/>
        </w:rPr>
      </w:pPr>
      <w:bookmarkStart w:id="11" w:name="_Toc464728898"/>
      <w:bookmarkStart w:id="12" w:name="_Toc462884342"/>
      <w:r>
        <w:rPr>
          <w:rFonts w:hint="eastAsia"/>
          <w:sz w:val="24"/>
          <w:szCs w:val="24"/>
        </w:rPr>
        <w:t>项目编制组单位简况</w:t>
      </w:r>
      <w:bookmarkEnd w:id="11"/>
      <w:bookmarkEnd w:id="12"/>
    </w:p>
    <w:p w14:paraId="740709B4">
      <w:pPr>
        <w:pStyle w:val="60"/>
        <w:spacing w:before="156" w:beforeLines="50" w:after="156" w:afterLines="50" w:line="240" w:lineRule="auto"/>
        <w:ind w:left="0"/>
        <w:rPr>
          <w:color w:val="auto"/>
          <w:sz w:val="24"/>
          <w:szCs w:val="24"/>
        </w:rPr>
      </w:pPr>
      <w:bookmarkStart w:id="13" w:name="_Toc464728899"/>
      <w:bookmarkStart w:id="14" w:name="_Toc462884343"/>
      <w:r>
        <w:rPr>
          <w:rFonts w:hint="eastAsia"/>
          <w:color w:val="auto"/>
          <w:sz w:val="24"/>
          <w:szCs w:val="24"/>
        </w:rPr>
        <w:t>编制组成员单位</w:t>
      </w:r>
      <w:bookmarkEnd w:id="13"/>
      <w:bookmarkEnd w:id="14"/>
    </w:p>
    <w:p w14:paraId="6866BF8E">
      <w:pPr>
        <w:spacing w:line="300" w:lineRule="auto"/>
        <w:ind w:firstLine="480" w:firstLineChars="200"/>
        <w:contextualSpacing/>
        <w:jc w:val="left"/>
        <w:rPr>
          <w:sz w:val="24"/>
          <w:szCs w:val="24"/>
        </w:rPr>
      </w:pPr>
      <w:bookmarkStart w:id="15" w:name="_Toc464728900"/>
      <w:bookmarkStart w:id="16" w:name="_Toc462884344"/>
      <w:r>
        <w:rPr>
          <w:rFonts w:hint="eastAsia"/>
          <w:sz w:val="24"/>
          <w:szCs w:val="24"/>
        </w:rPr>
        <w:t>本标准的编制组单位为：国标（北京）检验认证有限公司、上海有色金属工业技术监测中心有限公司</w:t>
      </w:r>
      <w:r>
        <w:rPr>
          <w:rFonts w:hint="eastAsia"/>
          <w:sz w:val="24"/>
          <w:szCs w:val="24"/>
          <w:lang w:eastAsia="zh-CN"/>
        </w:rPr>
        <w:t>、</w:t>
      </w:r>
      <w:r>
        <w:rPr>
          <w:rFonts w:hint="eastAsia"/>
          <w:sz w:val="24"/>
          <w:szCs w:val="24"/>
          <w:highlight w:val="none"/>
          <w:lang w:val="en-US" w:eastAsia="zh-CN"/>
        </w:rPr>
        <w:t>国合通用（青岛）测试评价有限公司、东北轻合金有限责任公司、中国船舶集团有限公司第七二五研究所</w:t>
      </w:r>
      <w:r>
        <w:rPr>
          <w:rFonts w:hint="eastAsia"/>
          <w:sz w:val="24"/>
          <w:szCs w:val="24"/>
        </w:rPr>
        <w:t>。编制组成员单位均是我国有色金属行业的主要计量及科研研制单位。</w:t>
      </w:r>
    </w:p>
    <w:bookmarkEnd w:id="15"/>
    <w:bookmarkEnd w:id="16"/>
    <w:p w14:paraId="2A4A0BD9">
      <w:pPr>
        <w:pStyle w:val="60"/>
        <w:spacing w:before="156" w:beforeLines="50" w:after="156" w:afterLines="50"/>
        <w:ind w:left="0"/>
        <w:contextualSpacing/>
        <w:rPr>
          <w:rFonts w:hAnsi="黑体"/>
          <w:color w:val="auto"/>
          <w:sz w:val="24"/>
          <w:szCs w:val="24"/>
        </w:rPr>
      </w:pPr>
      <w:r>
        <w:rPr>
          <w:rFonts w:hint="eastAsia" w:hAnsi="黑体"/>
          <w:color w:val="auto"/>
          <w:sz w:val="24"/>
          <w:szCs w:val="24"/>
        </w:rPr>
        <w:t>主编单位简介</w:t>
      </w:r>
    </w:p>
    <w:p w14:paraId="712A909A">
      <w:pPr>
        <w:pStyle w:val="59"/>
        <w:spacing w:before="156" w:beforeLines="50" w:after="156" w:afterLines="50"/>
        <w:ind w:left="0" w:leftChars="0" w:firstLineChars="0"/>
        <w:contextualSpacing/>
        <w:rPr>
          <w:color w:val="auto"/>
          <w:sz w:val="24"/>
          <w:szCs w:val="24"/>
        </w:rPr>
      </w:pPr>
      <w:r>
        <w:rPr>
          <w:rFonts w:hint="eastAsia"/>
          <w:color w:val="auto"/>
          <w:sz w:val="24"/>
          <w:szCs w:val="24"/>
        </w:rPr>
        <w:t>国标（北京）检验认证有限公司</w:t>
      </w:r>
    </w:p>
    <w:p w14:paraId="176784D9">
      <w:pPr>
        <w:spacing w:line="300" w:lineRule="auto"/>
        <w:ind w:firstLine="480" w:firstLineChars="200"/>
        <w:contextualSpacing/>
        <w:jc w:val="left"/>
        <w:rPr>
          <w:rFonts w:hint="eastAsia"/>
          <w:sz w:val="24"/>
          <w:szCs w:val="24"/>
        </w:rPr>
      </w:pPr>
      <w:r>
        <w:rPr>
          <w:rFonts w:hint="eastAsia"/>
          <w:sz w:val="24"/>
          <w:szCs w:val="24"/>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w:t>
      </w:r>
    </w:p>
    <w:p w14:paraId="37AA9B2A">
      <w:pPr>
        <w:spacing w:line="300" w:lineRule="auto"/>
        <w:ind w:firstLine="480" w:firstLineChars="200"/>
        <w:contextualSpacing/>
        <w:jc w:val="left"/>
        <w:rPr>
          <w:sz w:val="24"/>
          <w:szCs w:val="24"/>
        </w:rPr>
      </w:pPr>
      <w:r>
        <w:rPr>
          <w:rFonts w:hint="eastAsia"/>
          <w:sz w:val="24"/>
          <w:szCs w:val="24"/>
        </w:rPr>
        <w:t>本单位积极组织编制组各次工作会议，开展相关的校准，有效组织参编单位多次对标准的各版《征求意见稿》进行认真的讨论和审议，提出大量有益的意见和建议，在编制组中发挥了牵头作用。</w:t>
      </w:r>
    </w:p>
    <w:p w14:paraId="263B5153">
      <w:pPr>
        <w:pStyle w:val="60"/>
        <w:spacing w:before="156" w:beforeLines="50" w:after="156" w:afterLines="50" w:line="240" w:lineRule="auto"/>
        <w:ind w:left="0"/>
        <w:rPr>
          <w:color w:val="auto"/>
          <w:sz w:val="24"/>
          <w:szCs w:val="24"/>
        </w:rPr>
      </w:pPr>
      <w:bookmarkStart w:id="17" w:name="_Toc464728901"/>
      <w:bookmarkStart w:id="18" w:name="_Toc462884345"/>
      <w:r>
        <w:rPr>
          <w:rFonts w:hint="eastAsia"/>
          <w:color w:val="auto"/>
          <w:sz w:val="24"/>
          <w:szCs w:val="24"/>
        </w:rPr>
        <w:t>成员单位简介</w:t>
      </w:r>
      <w:bookmarkEnd w:id="17"/>
      <w:bookmarkEnd w:id="18"/>
    </w:p>
    <w:p w14:paraId="7B378518">
      <w:pPr>
        <w:pStyle w:val="59"/>
        <w:spacing w:before="156" w:beforeLines="50" w:after="156" w:afterLines="50"/>
        <w:ind w:left="2"/>
        <w:contextualSpacing/>
        <w:rPr>
          <w:color w:val="auto"/>
          <w:sz w:val="24"/>
          <w:szCs w:val="24"/>
          <w:highlight w:val="none"/>
        </w:rPr>
      </w:pPr>
      <w:r>
        <w:rPr>
          <w:rFonts w:hint="eastAsia"/>
          <w:sz w:val="24"/>
          <w:szCs w:val="24"/>
          <w:highlight w:val="none"/>
          <w:lang w:val="en-US" w:eastAsia="zh-CN"/>
        </w:rPr>
        <w:t>国合通用（青岛）测试评价有限公司</w:t>
      </w:r>
    </w:p>
    <w:p w14:paraId="0DAC39A0">
      <w:pPr>
        <w:spacing w:line="300" w:lineRule="auto"/>
        <w:ind w:firstLine="480" w:firstLineChars="200"/>
        <w:contextualSpacing/>
        <w:jc w:val="left"/>
        <w:rPr>
          <w:sz w:val="24"/>
          <w:szCs w:val="24"/>
          <w:highlight w:val="none"/>
        </w:rPr>
      </w:pPr>
      <w:r>
        <w:rPr>
          <w:rFonts w:hint="eastAsia"/>
          <w:sz w:val="24"/>
          <w:szCs w:val="24"/>
          <w:highlight w:val="none"/>
          <w:lang w:val="en-US" w:eastAsia="zh-CN"/>
        </w:rPr>
        <w:t>国合通用（青岛）测试评价有限公司是承担国家新材料测试评价平台-主中心项目的国合通用测试评价认证股份公司（以下简称“国合通测”）的全资子公司，是国务院国资委直属央企有研科技集团有限公司（以下简称“有研集团”）的三级子公司，2018年5月注册于青岛市市北区，注册资本1亿元。国合青岛实验室建设于青岛市市北区纺织谷，总建筑面积约14194.84平方米，目前拥有化学分析、性能测试、组织结构和无损检测四个专业实验室，逐步建设汽车整车及零部件实验室、轨道交通实验室、船舶与海洋工程实验室、环境实验室、食品实验室、纺织品实验室等专业实验室，重点对汽车、轨道交通、船舶、海洋工程等行业提供第三方检测服务，同时开展材料失效分析、应用评价、产品认证、专业技能培训等业务。</w:t>
      </w:r>
    </w:p>
    <w:p w14:paraId="30E49F80">
      <w:pPr>
        <w:spacing w:line="300" w:lineRule="auto"/>
        <w:ind w:firstLine="480" w:firstLineChars="200"/>
        <w:contextualSpacing/>
        <w:jc w:val="left"/>
        <w:rPr>
          <w:rFonts w:hint="default"/>
          <w:sz w:val="24"/>
          <w:szCs w:val="24"/>
          <w:highlight w:val="none"/>
          <w:lang w:val="en-US"/>
        </w:rPr>
      </w:pPr>
      <w:r>
        <w:rPr>
          <w:rFonts w:hint="eastAsia"/>
          <w:sz w:val="24"/>
          <w:szCs w:val="24"/>
          <w:highlight w:val="none"/>
          <w:lang w:val="en-US" w:eastAsia="zh-CN"/>
        </w:rPr>
        <w:t>国合通用（青岛）测试评价有限公司积极参加新立项校准规范，配合制定校准规范中各项参数的规范，并承担验证工作。</w:t>
      </w:r>
    </w:p>
    <w:p w14:paraId="78FFD3DB">
      <w:pPr>
        <w:pStyle w:val="59"/>
        <w:spacing w:before="156" w:beforeLines="50" w:after="156" w:afterLines="50"/>
        <w:ind w:left="2"/>
        <w:contextualSpacing/>
        <w:rPr>
          <w:color w:val="auto"/>
          <w:sz w:val="24"/>
          <w:szCs w:val="24"/>
          <w:highlight w:val="none"/>
        </w:rPr>
      </w:pPr>
      <w:r>
        <w:rPr>
          <w:color w:val="auto"/>
          <w:sz w:val="24"/>
          <w:szCs w:val="24"/>
          <w:highlight w:val="none"/>
        </w:rPr>
        <w:t>中国船舶集团有限公司第</w:t>
      </w:r>
      <w:r>
        <w:rPr>
          <w:rFonts w:hint="default"/>
          <w:color w:val="auto"/>
          <w:sz w:val="24"/>
          <w:szCs w:val="24"/>
          <w:highlight w:val="none"/>
        </w:rPr>
        <w:t>七二五研究所</w:t>
      </w:r>
    </w:p>
    <w:p w14:paraId="210F14EB">
      <w:pPr>
        <w:spacing w:line="300" w:lineRule="auto"/>
        <w:ind w:firstLine="480" w:firstLineChars="200"/>
        <w:contextualSpacing/>
        <w:jc w:val="left"/>
        <w:rPr>
          <w:rFonts w:hint="eastAsia"/>
          <w:sz w:val="24"/>
          <w:szCs w:val="24"/>
          <w:highlight w:val="none"/>
        </w:rPr>
      </w:pPr>
      <w:r>
        <w:rPr>
          <w:color w:val="auto"/>
          <w:sz w:val="24"/>
          <w:szCs w:val="24"/>
          <w:highlight w:val="none"/>
        </w:rPr>
        <w:t>中国船舶集团有限公司第</w:t>
      </w:r>
      <w:r>
        <w:rPr>
          <w:rFonts w:hint="default"/>
          <w:color w:val="auto"/>
          <w:sz w:val="24"/>
          <w:szCs w:val="24"/>
          <w:highlight w:val="none"/>
        </w:rPr>
        <w:t>七二五研究所</w:t>
      </w:r>
      <w:r>
        <w:rPr>
          <w:rFonts w:hint="eastAsia"/>
          <w:sz w:val="24"/>
          <w:szCs w:val="24"/>
          <w:highlight w:val="none"/>
        </w:rPr>
        <w:t>‌是一个隶属于中国船舶集团有限公司的军工科研事业单位，‌成立于1961年。‌该所以专业从事舰船材料与工艺及应用性研究为主，‌拥有丰富的科研经验和强大的研发能力。‌七二五所下设8个研究室，‌包括1个国家级腐蚀与防护国防科技重点实验室和1个国防科技工业大型构件焊接技术中心，‌以及4个国家级海水环境试验站和11个科技产业公司。‌其研究领域广泛，‌包括船体结构材料研究、‌有色金属研究、‌非金属材料研究、‌腐蚀与防护研究、‌特种材料研究、‌焊接工艺研究、‌自然环境试验研究等。‌</w:t>
      </w:r>
    </w:p>
    <w:p w14:paraId="0092A20F">
      <w:pPr>
        <w:spacing w:line="300" w:lineRule="auto"/>
        <w:ind w:firstLine="480" w:firstLineChars="200"/>
        <w:contextualSpacing/>
        <w:jc w:val="left"/>
        <w:rPr>
          <w:rFonts w:hint="default"/>
          <w:sz w:val="24"/>
          <w:szCs w:val="24"/>
          <w:highlight w:val="none"/>
          <w:lang w:val="en-US"/>
        </w:rPr>
      </w:pPr>
      <w:r>
        <w:rPr>
          <w:color w:val="auto"/>
          <w:sz w:val="24"/>
          <w:szCs w:val="24"/>
          <w:highlight w:val="none"/>
        </w:rPr>
        <w:t>中国船舶集团有限公司第</w:t>
      </w:r>
      <w:r>
        <w:rPr>
          <w:rFonts w:hint="default"/>
          <w:color w:val="auto"/>
          <w:sz w:val="24"/>
          <w:szCs w:val="24"/>
          <w:highlight w:val="none"/>
        </w:rPr>
        <w:t>七二五研究所</w:t>
      </w:r>
      <w:r>
        <w:rPr>
          <w:rFonts w:hint="eastAsia"/>
          <w:sz w:val="24"/>
          <w:szCs w:val="24"/>
          <w:highlight w:val="none"/>
          <w:lang w:val="en-US" w:eastAsia="zh-CN"/>
        </w:rPr>
        <w:t>参与新立项校准规范，配合制定校准规范中各项参数的规范，并且对讨论稿积极提出修改意见，并承担验证工作。</w:t>
      </w:r>
    </w:p>
    <w:p w14:paraId="3619FC8B">
      <w:pPr>
        <w:pStyle w:val="59"/>
        <w:bidi w:val="0"/>
        <w:spacing w:line="360" w:lineRule="auto"/>
        <w:rPr>
          <w:highlight w:val="none"/>
        </w:rPr>
      </w:pPr>
      <w:r>
        <w:rPr>
          <w:rFonts w:hint="eastAsia"/>
          <w:sz w:val="24"/>
          <w:szCs w:val="24"/>
          <w:highlight w:val="none"/>
          <w:lang w:val="en-US" w:eastAsia="zh-CN"/>
        </w:rPr>
        <w:t>东北轻合金有限责任公司</w:t>
      </w:r>
    </w:p>
    <w:p w14:paraId="027CF4BB">
      <w:pPr>
        <w:spacing w:line="300" w:lineRule="auto"/>
        <w:ind w:firstLine="420" w:firstLineChars="0"/>
        <w:contextualSpacing/>
        <w:jc w:val="left"/>
        <w:rPr>
          <w:rFonts w:hint="eastAsia"/>
          <w:sz w:val="24"/>
          <w:szCs w:val="24"/>
          <w:highlight w:val="none"/>
          <w:lang w:val="en-US" w:eastAsia="zh-CN"/>
        </w:rPr>
      </w:pPr>
      <w:r>
        <w:rPr>
          <w:rFonts w:hint="eastAsia"/>
          <w:sz w:val="24"/>
          <w:szCs w:val="24"/>
          <w:highlight w:val="none"/>
          <w:lang w:val="en-US"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 公司主要生产“天鹅”牌铝、镁及其合金板、带、箔、管、棒、型、线、粉、材、锻件等产品，广泛应用于航空航天、兵器舰船、石油化工、交通运输、电子轻工等国民经济各领域，满足各类飞机、舰艇、导弹、运载火箭及常规兵器的需要。</w:t>
      </w:r>
    </w:p>
    <w:p w14:paraId="4DBB5DE5">
      <w:pPr>
        <w:spacing w:line="300" w:lineRule="auto"/>
        <w:ind w:firstLine="420" w:firstLineChars="0"/>
        <w:contextualSpacing/>
        <w:jc w:val="left"/>
        <w:rPr>
          <w:rFonts w:hint="eastAsia"/>
          <w:sz w:val="24"/>
          <w:szCs w:val="24"/>
          <w:highlight w:val="none"/>
          <w:lang w:val="en-US" w:eastAsia="zh-CN"/>
        </w:rPr>
      </w:pPr>
      <w:r>
        <w:rPr>
          <w:rFonts w:hint="eastAsia"/>
          <w:sz w:val="24"/>
          <w:szCs w:val="24"/>
          <w:highlight w:val="none"/>
          <w:lang w:val="en-US" w:eastAsia="zh-CN"/>
        </w:rPr>
        <w:t>东北轻合金有限责任公司配合制定校准规范中各项参数的规范，并且对讨论稿积极提出修改意见，并承担验证工作。</w:t>
      </w:r>
    </w:p>
    <w:p w14:paraId="75C8ADA7">
      <w:pPr>
        <w:spacing w:line="300" w:lineRule="auto"/>
        <w:contextualSpacing/>
        <w:jc w:val="left"/>
        <w:rPr>
          <w:rFonts w:hint="eastAsia"/>
          <w:sz w:val="24"/>
          <w:szCs w:val="24"/>
        </w:rPr>
      </w:pPr>
      <w:r>
        <w:rPr>
          <w:rFonts w:hint="eastAsia"/>
          <w:sz w:val="21"/>
          <w:szCs w:val="21"/>
          <w:lang w:val="en-US" w:eastAsia="zh-CN"/>
        </w:rPr>
        <w:t xml:space="preserve">3.3.4 </w:t>
      </w:r>
      <w:r>
        <w:rPr>
          <w:rFonts w:hint="eastAsia"/>
          <w:b/>
          <w:bCs/>
          <w:sz w:val="24"/>
          <w:szCs w:val="24"/>
        </w:rPr>
        <w:t>上海有色金属工业技术监测中心有限公司</w:t>
      </w:r>
    </w:p>
    <w:p w14:paraId="17EE3283">
      <w:pPr>
        <w:spacing w:line="300" w:lineRule="auto"/>
        <w:ind w:firstLine="480" w:firstLineChars="200"/>
        <w:contextualSpacing/>
        <w:jc w:val="left"/>
        <w:rPr>
          <w:rFonts w:hint="default"/>
          <w:sz w:val="24"/>
          <w:szCs w:val="24"/>
          <w:lang w:val="en-US" w:eastAsia="zh-CN"/>
        </w:rPr>
      </w:pPr>
      <w:r>
        <w:rPr>
          <w:rFonts w:hint="default"/>
          <w:sz w:val="24"/>
          <w:szCs w:val="24"/>
          <w:lang w:val="en-US" w:eastAsia="zh-CN"/>
        </w:rPr>
        <w:t>上海有色金属工业技术监测中心有限公司成立于2013年，由北京有色金属研究总院、上海有色金属行业协会共同出资组建，目前隶属于国合通用测试评价认证股份公司。上海监测运行管理着“中国有色金属工业华东产品质量监督检验中心”和“中国有色金属工业无损检测中心”两个具有国家资质认定的检验检测机构。主营业务涉及第三方检测服务(含质量、能源、计量、环保技术检测；金属材料、电子材料理化检测；无损检测；贵金属及珠宝玉石检测等)、设备检定、检测培训等方面。</w:t>
      </w:r>
    </w:p>
    <w:p w14:paraId="5B11B657">
      <w:pPr>
        <w:spacing w:line="300" w:lineRule="auto"/>
        <w:ind w:firstLine="480" w:firstLineChars="200"/>
        <w:contextualSpacing/>
        <w:jc w:val="left"/>
        <w:rPr>
          <w:rFonts w:hint="eastAsia"/>
          <w:sz w:val="24"/>
          <w:szCs w:val="24"/>
          <w:highlight w:val="none"/>
          <w:lang w:val="en-US" w:eastAsia="zh-CN"/>
        </w:rPr>
      </w:pPr>
      <w:r>
        <w:rPr>
          <w:rFonts w:hint="default"/>
          <w:sz w:val="24"/>
          <w:szCs w:val="24"/>
          <w:lang w:val="en-US" w:eastAsia="zh-CN"/>
        </w:rPr>
        <w:t>上海有色金属工业技术监测中心有限公司</w:t>
      </w:r>
      <w:r>
        <w:rPr>
          <w:rFonts w:hint="eastAsia"/>
          <w:sz w:val="24"/>
          <w:szCs w:val="24"/>
          <w:highlight w:val="none"/>
          <w:lang w:val="en-US" w:eastAsia="zh-CN"/>
        </w:rPr>
        <w:t>配合制定校准规范中各项参数的规范，并且对讨论稿积极提出修改意见。</w:t>
      </w:r>
    </w:p>
    <w:p w14:paraId="2E5B21D1">
      <w:pPr>
        <w:spacing w:line="300" w:lineRule="auto"/>
        <w:contextualSpacing/>
        <w:jc w:val="left"/>
        <w:rPr>
          <w:rFonts w:hint="eastAsia"/>
          <w:sz w:val="24"/>
          <w:szCs w:val="24"/>
        </w:rPr>
      </w:pPr>
      <w:r>
        <w:rPr>
          <w:rFonts w:hint="eastAsia"/>
          <w:sz w:val="21"/>
          <w:szCs w:val="21"/>
          <w:lang w:val="en-US" w:eastAsia="zh-CN"/>
        </w:rPr>
        <w:t xml:space="preserve">3.3.5 </w:t>
      </w:r>
      <w:r>
        <w:rPr>
          <w:rFonts w:hint="default"/>
          <w:b/>
          <w:bCs/>
          <w:sz w:val="24"/>
          <w:szCs w:val="24"/>
          <w:highlight w:val="none"/>
          <w:lang w:val="en-US" w:eastAsia="zh-CN"/>
        </w:rPr>
        <w:t>山东南山铝业股份有限公司</w:t>
      </w:r>
    </w:p>
    <w:p w14:paraId="25BB35D5">
      <w:pPr>
        <w:spacing w:line="300" w:lineRule="auto"/>
        <w:ind w:firstLine="480" w:firstLineChars="200"/>
        <w:contextualSpacing/>
        <w:jc w:val="left"/>
        <w:rPr>
          <w:rFonts w:hint="default"/>
          <w:sz w:val="24"/>
          <w:szCs w:val="24"/>
          <w:highlight w:val="none"/>
          <w:lang w:val="en-US" w:eastAsia="zh-CN"/>
        </w:rPr>
      </w:pPr>
      <w:r>
        <w:rPr>
          <w:rFonts w:hint="default"/>
          <w:sz w:val="24"/>
          <w:szCs w:val="24"/>
          <w:highlight w:val="none"/>
          <w:lang w:val="en-US" w:eastAsia="zh-CN"/>
        </w:rPr>
        <w:t>山东南山铝业股份有限公司，成立于1993年，总部位于山东省龙口市南山工业园，是一家以铝材为主业的上市公司。公司自1999年12月23日在上海证券交易所成功上市以来，始终坚持“创新驱动、高端制造、精深加工”的发展战略，产品广泛应用于航空、汽车、轨道交通、船舶、能源、石化、集装箱、工业型材、精品民用型材、高端系统门窗、容器罐、食品包装、电池箔、铝深加工等领域。</w:t>
      </w:r>
    </w:p>
    <w:p w14:paraId="4C895F8C">
      <w:pPr>
        <w:spacing w:line="300" w:lineRule="auto"/>
        <w:ind w:firstLine="480" w:firstLineChars="200"/>
        <w:contextualSpacing/>
        <w:jc w:val="left"/>
        <w:rPr>
          <w:rFonts w:hint="default"/>
          <w:sz w:val="24"/>
          <w:szCs w:val="24"/>
          <w:highlight w:val="none"/>
          <w:lang w:val="en-US" w:eastAsia="zh-CN"/>
        </w:rPr>
      </w:pPr>
      <w:r>
        <w:rPr>
          <w:rFonts w:hint="default"/>
          <w:sz w:val="24"/>
          <w:szCs w:val="24"/>
          <w:highlight w:val="none"/>
          <w:lang w:val="en-US" w:eastAsia="zh-CN"/>
        </w:rPr>
        <w:t>山东南山铝业股份有限公司</w:t>
      </w:r>
      <w:r>
        <w:rPr>
          <w:rFonts w:hint="eastAsia"/>
          <w:sz w:val="24"/>
          <w:szCs w:val="24"/>
          <w:highlight w:val="none"/>
          <w:lang w:val="en-US" w:eastAsia="zh-CN"/>
        </w:rPr>
        <w:t>对本校准规范认真审核、核验数据，积极配合前期规范的制定，并承担验证工作。</w:t>
      </w:r>
      <w:r>
        <w:rPr>
          <w:rFonts w:hint="default"/>
          <w:sz w:val="24"/>
          <w:szCs w:val="24"/>
          <w:highlight w:val="none"/>
          <w:lang w:val="en-US" w:eastAsia="zh-CN"/>
        </w:rPr>
        <w:t>‌</w:t>
      </w:r>
    </w:p>
    <w:p w14:paraId="3348C6E8">
      <w:pPr>
        <w:pStyle w:val="61"/>
        <w:spacing w:before="156" w:after="156" w:line="300" w:lineRule="auto"/>
        <w:ind w:left="0"/>
        <w:contextualSpacing/>
        <w:rPr>
          <w:rFonts w:hint="default"/>
          <w:sz w:val="24"/>
          <w:szCs w:val="24"/>
          <w:lang w:val="en-US"/>
        </w:rPr>
      </w:pPr>
      <w:bookmarkStart w:id="19" w:name="_Toc462884357"/>
      <w:bookmarkStart w:id="20" w:name="_Toc464728913"/>
      <w:r>
        <w:rPr>
          <w:rFonts w:hint="eastAsia"/>
          <w:sz w:val="24"/>
          <w:szCs w:val="24"/>
        </w:rPr>
        <w:t>主要工作过程</w:t>
      </w:r>
      <w:bookmarkEnd w:id="19"/>
      <w:bookmarkEnd w:id="20"/>
    </w:p>
    <w:p w14:paraId="6B19C5CB">
      <w:pPr>
        <w:pStyle w:val="58"/>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4.1 预研阶段</w:t>
      </w:r>
    </w:p>
    <w:p w14:paraId="25D65308">
      <w:pPr>
        <w:pStyle w:val="58"/>
        <w:spacing w:line="324" w:lineRule="auto"/>
        <w:ind w:firstLine="420"/>
        <w:rPr>
          <w:rFonts w:hint="default"/>
          <w:sz w:val="24"/>
          <w:szCs w:val="24"/>
          <w:lang w:val="en-US" w:eastAsia="zh-CN"/>
        </w:rPr>
      </w:pPr>
      <w:r>
        <w:rPr>
          <w:rFonts w:hint="default"/>
          <w:sz w:val="24"/>
          <w:szCs w:val="24"/>
          <w:lang w:val="en-US" w:eastAsia="zh-CN"/>
        </w:rPr>
        <w:t>编制组内部经实地调研，就规范包含的内容、主要技术指标等问题进行了讨论，确定规范起草的主导思想和起草原则，对起草组人员的工作进行了分配，并对制定规范的技术指标及拟使用的方法进行现场验证。了解使用单位需求情况并进行测试试验,选取有代表性的仪器品牌并对其分类，收集相关技术材料。</w:t>
      </w:r>
    </w:p>
    <w:p w14:paraId="0F4BC7A3">
      <w:pPr>
        <w:pStyle w:val="58"/>
        <w:spacing w:line="324" w:lineRule="auto"/>
        <w:ind w:left="0" w:leftChars="0" w:firstLine="0" w:firstLineChars="0"/>
        <w:rPr>
          <w:rFonts w:hint="default"/>
          <w:sz w:val="24"/>
          <w:szCs w:val="24"/>
          <w:lang w:val="en-US" w:eastAsia="zh-CN"/>
        </w:rPr>
      </w:pPr>
      <w:r>
        <w:rPr>
          <w:rFonts w:hint="eastAsia"/>
          <w:sz w:val="24"/>
          <w:szCs w:val="24"/>
          <w:lang w:val="en-US" w:eastAsia="zh-CN"/>
        </w:rPr>
        <w:t>4.1.1 规范内容的确认</w:t>
      </w:r>
    </w:p>
    <w:p w14:paraId="0801F637">
      <w:pPr>
        <w:pStyle w:val="58"/>
        <w:spacing w:line="324" w:lineRule="auto"/>
        <w:ind w:left="0" w:leftChars="0" w:firstLine="420" w:firstLineChars="0"/>
        <w:rPr>
          <w:rFonts w:hint="default"/>
          <w:sz w:val="24"/>
          <w:szCs w:val="24"/>
          <w:lang w:val="en-US" w:eastAsia="zh-CN"/>
        </w:rPr>
      </w:pPr>
      <w:r>
        <w:rPr>
          <w:rFonts w:hint="eastAsia"/>
          <w:sz w:val="24"/>
          <w:szCs w:val="24"/>
          <w:lang w:val="en-US" w:eastAsia="zh-CN"/>
        </w:rPr>
        <w:t>经过对有色金属行业专用高温试验方法进行深入的学习，对规范的校准项目及参数进行了调研。经调研发现，有色金属行业专用高温试验设备对数字温度指示调节仪的要求远高于常规高温试验设备的要求，所以将有色金属行业数字温度指示调节仪的适用范围确定为（500</w:t>
      </w:r>
      <w:r>
        <w:rPr>
          <w:rFonts w:hint="default" w:ascii="Times New Roman" w:hAnsi="Times New Roman" w:cs="Times New Roman"/>
          <w:sz w:val="24"/>
          <w:szCs w:val="24"/>
          <w:lang w:val="en-US" w:eastAsia="zh-CN"/>
        </w:rPr>
        <w:t>~</w:t>
      </w:r>
      <w:r>
        <w:rPr>
          <w:rFonts w:hint="eastAsia"/>
          <w:sz w:val="24"/>
          <w:szCs w:val="24"/>
          <w:lang w:val="en-US" w:eastAsia="zh-CN"/>
        </w:rPr>
        <w:t>2000）℃。并将温度示值误差确定为主要校准项目。</w:t>
      </w:r>
    </w:p>
    <w:p w14:paraId="2A791008">
      <w:pPr>
        <w:pStyle w:val="58"/>
        <w:spacing w:line="324" w:lineRule="auto"/>
        <w:ind w:left="0" w:leftChars="0" w:firstLine="0" w:firstLineChars="0"/>
        <w:rPr>
          <w:rFonts w:hint="default"/>
          <w:sz w:val="24"/>
          <w:szCs w:val="24"/>
          <w:lang w:val="en-US" w:eastAsia="zh-CN"/>
        </w:rPr>
      </w:pPr>
      <w:r>
        <w:rPr>
          <w:rFonts w:hint="eastAsia"/>
          <w:sz w:val="24"/>
          <w:szCs w:val="24"/>
          <w:lang w:val="en-US" w:eastAsia="zh-CN"/>
        </w:rPr>
        <w:t>4.1.2 技术指标的确认</w:t>
      </w:r>
    </w:p>
    <w:p w14:paraId="5FDE8330">
      <w:pPr>
        <w:pStyle w:val="58"/>
        <w:spacing w:line="324" w:lineRule="auto"/>
        <w:ind w:left="0" w:leftChars="0" w:firstLine="420" w:firstLineChars="0"/>
        <w:rPr>
          <w:rFonts w:hint="default"/>
          <w:sz w:val="24"/>
          <w:szCs w:val="24"/>
          <w:lang w:val="en-US" w:eastAsia="zh-CN"/>
        </w:rPr>
      </w:pPr>
      <w:r>
        <w:rPr>
          <w:rFonts w:hint="eastAsia"/>
          <w:sz w:val="24"/>
          <w:szCs w:val="24"/>
          <w:lang w:val="en-US" w:eastAsia="zh-CN"/>
        </w:rPr>
        <w:t>通过参考</w:t>
      </w:r>
      <w:r>
        <w:rPr>
          <w:rFonts w:hint="eastAsia" w:ascii="Times New Roman" w:hAnsi="Times New Roman" w:eastAsia="宋体" w:cs="Times New Roman"/>
          <w:bCs w:val="0"/>
          <w:caps w:val="0"/>
          <w:kern w:val="0"/>
          <w:sz w:val="24"/>
          <w:szCs w:val="24"/>
          <w:lang w:val="en-US" w:eastAsia="zh-CN" w:bidi="ar-SA"/>
        </w:rPr>
        <w:t>AMS2750《高温测量》</w:t>
      </w:r>
      <w:r>
        <w:rPr>
          <w:rFonts w:hint="eastAsia" w:ascii="Times New Roman"/>
          <w:sz w:val="24"/>
          <w:szCs w:val="24"/>
          <w:lang w:val="en-US" w:eastAsia="zh-CN"/>
        </w:rPr>
        <w:t>对</w:t>
      </w:r>
      <w:r>
        <w:rPr>
          <w:rFonts w:hint="default"/>
          <w:sz w:val="24"/>
          <w:szCs w:val="24"/>
          <w:lang w:val="en-US" w:eastAsia="zh-CN"/>
        </w:rPr>
        <w:t>主要技术指标</w:t>
      </w:r>
      <w:r>
        <w:rPr>
          <w:rFonts w:hint="eastAsia"/>
          <w:sz w:val="24"/>
          <w:szCs w:val="24"/>
          <w:lang w:val="en-US" w:eastAsia="zh-CN"/>
        </w:rPr>
        <w:t>进行查询，并与实验室进行技术讨论，最终确认了校准项目的测量范围和误差范围，最终将温度示值误差规定至±0.6℃。</w:t>
      </w:r>
    </w:p>
    <w:p w14:paraId="553B7126">
      <w:pPr>
        <w:pStyle w:val="58"/>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4.2 立项阶段</w:t>
      </w:r>
    </w:p>
    <w:p w14:paraId="54B76948">
      <w:pPr>
        <w:pStyle w:val="58"/>
        <w:spacing w:line="324" w:lineRule="auto"/>
        <w:ind w:firstLine="420"/>
        <w:rPr>
          <w:rFonts w:hint="default"/>
          <w:sz w:val="24"/>
          <w:szCs w:val="24"/>
          <w:lang w:val="en-US" w:eastAsia="zh-CN"/>
        </w:rPr>
      </w:pPr>
      <w:r>
        <w:rPr>
          <w:rFonts w:hint="default"/>
          <w:sz w:val="24"/>
          <w:szCs w:val="24"/>
          <w:lang w:val="en-US" w:eastAsia="zh-CN"/>
        </w:rPr>
        <w:t>预研工作完成后，由国标（北京）检验认证有限公司提交项目申请书等材料，于2022年6月，工业和信息化部以工信厅科函[2022]464号文下达了《工业和信息化部办公厅关于印发2022年行业计量技术规范制修订计划的通知》，其申报号为：JJFZ(有色金属)</w:t>
      </w:r>
      <w:r>
        <w:rPr>
          <w:rFonts w:hint="eastAsia"/>
          <w:sz w:val="24"/>
          <w:szCs w:val="24"/>
          <w:lang w:val="en-US" w:eastAsia="zh-CN"/>
        </w:rPr>
        <w:t xml:space="preserve"> </w:t>
      </w:r>
      <w:r>
        <w:rPr>
          <w:rFonts w:hint="default"/>
          <w:sz w:val="24"/>
          <w:szCs w:val="24"/>
          <w:lang w:val="en-US" w:eastAsia="zh-CN"/>
        </w:rPr>
        <w:t>00</w:t>
      </w:r>
      <w:r>
        <w:rPr>
          <w:rFonts w:hint="eastAsia"/>
          <w:sz w:val="24"/>
          <w:szCs w:val="24"/>
          <w:lang w:val="en-US" w:eastAsia="zh-CN"/>
        </w:rPr>
        <w:t>8</w:t>
      </w:r>
      <w:r>
        <w:rPr>
          <w:rFonts w:hint="default"/>
          <w:sz w:val="24"/>
          <w:szCs w:val="24"/>
          <w:lang w:val="en-US" w:eastAsia="zh-CN"/>
        </w:rPr>
        <w:t>-2022，计划完成年限为202</w:t>
      </w:r>
      <w:r>
        <w:rPr>
          <w:rFonts w:hint="eastAsia"/>
          <w:sz w:val="24"/>
          <w:szCs w:val="24"/>
          <w:lang w:val="en-US" w:eastAsia="zh-CN"/>
        </w:rPr>
        <w:t>5</w:t>
      </w:r>
      <w:r>
        <w:rPr>
          <w:rFonts w:hint="default"/>
          <w:sz w:val="24"/>
          <w:szCs w:val="24"/>
          <w:lang w:val="en-US" w:eastAsia="zh-CN"/>
        </w:rPr>
        <w:t>年。</w:t>
      </w:r>
    </w:p>
    <w:p w14:paraId="5140BE86">
      <w:pPr>
        <w:pStyle w:val="58"/>
        <w:spacing w:line="360" w:lineRule="auto"/>
        <w:ind w:left="0" w:leftChars="0" w:firstLine="0" w:firstLineChars="0"/>
        <w:rPr>
          <w:rFonts w:hint="default"/>
          <w:sz w:val="24"/>
          <w:szCs w:val="24"/>
          <w:lang w:val="en-US" w:eastAsia="zh-CN"/>
        </w:rPr>
      </w:pPr>
      <w:r>
        <w:rPr>
          <w:rFonts w:hint="default" w:ascii="黑体" w:hAnsi="Times New Roman" w:eastAsia="黑体" w:cs="Times New Roman"/>
          <w:color w:val="auto"/>
          <w:spacing w:val="-4"/>
          <w:sz w:val="24"/>
          <w:szCs w:val="24"/>
          <w:lang w:val="en-US" w:eastAsia="zh-CN" w:bidi="ar-SA"/>
        </w:rPr>
        <w:t>4.3 起草阶段</w:t>
      </w:r>
    </w:p>
    <w:p w14:paraId="0E31D2F6">
      <w:pPr>
        <w:pStyle w:val="58"/>
        <w:spacing w:line="324" w:lineRule="auto"/>
        <w:ind w:left="0" w:leftChars="0" w:firstLine="0" w:firstLineChars="0"/>
        <w:rPr>
          <w:rFonts w:hint="eastAsia"/>
          <w:color w:val="auto"/>
          <w:sz w:val="24"/>
          <w:szCs w:val="24"/>
        </w:rPr>
      </w:pPr>
      <w:r>
        <w:rPr>
          <w:rFonts w:hint="eastAsia" w:ascii="黑体" w:hAnsi="Times New Roman" w:eastAsia="黑体" w:cs="Times New Roman"/>
          <w:color w:val="auto"/>
          <w:spacing w:val="-4"/>
          <w:sz w:val="24"/>
          <w:szCs w:val="24"/>
          <w:lang w:val="en-US" w:eastAsia="zh-CN" w:bidi="ar-SA"/>
        </w:rPr>
        <w:t>4.3.1 任务讨论会</w:t>
      </w:r>
    </w:p>
    <w:p w14:paraId="1D63520C">
      <w:pPr>
        <w:pStyle w:val="58"/>
        <w:spacing w:line="324" w:lineRule="auto"/>
        <w:ind w:firstLine="420"/>
        <w:rPr>
          <w:rFonts w:hint="eastAsia"/>
          <w:sz w:val="24"/>
          <w:szCs w:val="24"/>
          <w:lang w:val="en-US" w:eastAsia="zh-CN"/>
        </w:rPr>
      </w:pPr>
      <w:r>
        <w:rPr>
          <w:rFonts w:hint="eastAsia"/>
          <w:sz w:val="24"/>
          <w:szCs w:val="24"/>
          <w:lang w:val="en-US" w:eastAsia="zh-CN"/>
        </w:rPr>
        <w:t>2024年6月20日</w:t>
      </w:r>
      <w:r>
        <w:rPr>
          <w:rFonts w:hint="default" w:ascii="Times New Roman" w:hAnsi="Times New Roman" w:cs="Times New Roman"/>
          <w:sz w:val="24"/>
          <w:szCs w:val="24"/>
          <w:lang w:val="en-US" w:eastAsia="zh-CN"/>
        </w:rPr>
        <w:t>~</w:t>
      </w:r>
      <w:r>
        <w:rPr>
          <w:rFonts w:hint="eastAsia"/>
          <w:sz w:val="24"/>
          <w:szCs w:val="24"/>
          <w:lang w:val="en-US" w:eastAsia="zh-CN"/>
        </w:rPr>
        <w:t>6月21日在嘉峪关召开了《显微镜畸变校准用米字线纹尺校准规范》等11项计量技术规范的工作会议。</w:t>
      </w:r>
    </w:p>
    <w:p w14:paraId="6F811EA9">
      <w:pPr>
        <w:pStyle w:val="58"/>
        <w:spacing w:line="324" w:lineRule="auto"/>
        <w:ind w:firstLine="420"/>
        <w:rPr>
          <w:rFonts w:hint="default"/>
          <w:sz w:val="24"/>
          <w:szCs w:val="24"/>
          <w:lang w:val="en-US" w:eastAsia="zh-CN"/>
        </w:rPr>
      </w:pPr>
      <w:r>
        <w:rPr>
          <w:rFonts w:hint="eastAsia"/>
          <w:sz w:val="24"/>
          <w:szCs w:val="24"/>
          <w:lang w:val="en-US" w:eastAsia="zh-CN"/>
        </w:rPr>
        <w:t>会议中对本规范进行了讨论，形成以下会议纪要。</w:t>
      </w:r>
    </w:p>
    <w:p w14:paraId="2B44220B">
      <w:pPr>
        <w:jc w:val="center"/>
        <w:rPr>
          <w:rFonts w:hint="default" w:ascii="Times New Roman" w:hAnsi="Times New Roman" w:eastAsia="宋体" w:cs="Times New Roman"/>
          <w:kern w:val="0"/>
          <w:sz w:val="21"/>
          <w:szCs w:val="21"/>
          <w:highlight w:val="none"/>
          <w:lang w:val="en-US" w:eastAsia="zh-CN" w:bidi="ar-SA"/>
        </w:rPr>
      </w:pPr>
      <w:r>
        <w:rPr>
          <w:rFonts w:hint="eastAsia" w:ascii="黑体" w:hAnsi="黑体" w:eastAsia="黑体" w:cs="黑体"/>
          <w:kern w:val="0"/>
          <w:sz w:val="21"/>
          <w:szCs w:val="21"/>
          <w:highlight w:val="none"/>
          <w:lang w:val="en-US" w:eastAsia="zh-CN" w:bidi="ar-SA"/>
        </w:rPr>
        <w:t>表1 有色金属计量技术规范研讨会会议纪要-嘉峪关</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7"/>
        <w:gridCol w:w="1"/>
      </w:tblGrid>
      <w:tr w14:paraId="6929ABBA">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F538D3">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参会单位及人员</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14:paraId="252C4465">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具体见签到表扫描件/复印件</w:t>
            </w:r>
          </w:p>
        </w:tc>
      </w:tr>
      <w:tr w14:paraId="230F68B9">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73EC96">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拟参与编制单位、一验二验单位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14:paraId="6CCF82AA">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highlight w:val="none"/>
                <w:lang w:val="en-US" w:eastAsia="zh-CN"/>
              </w:rPr>
              <w:t>一验单位：</w:t>
            </w:r>
            <w:r>
              <w:rPr>
                <w:rFonts w:hint="eastAsia" w:cs="Times New Roman"/>
                <w:color w:val="000000"/>
                <w:kern w:val="0"/>
                <w:sz w:val="21"/>
                <w:szCs w:val="21"/>
                <w:highlight w:val="none"/>
                <w:lang w:val="en-US" w:eastAsia="zh-CN"/>
              </w:rPr>
              <w:t>国合青岛</w:t>
            </w:r>
            <w:r>
              <w:rPr>
                <w:rFonts w:hint="default" w:ascii="Times New Roman" w:hAnsi="Times New Roman" w:eastAsia="宋体" w:cs="Times New Roman"/>
                <w:color w:val="000000"/>
                <w:kern w:val="0"/>
                <w:sz w:val="21"/>
                <w:szCs w:val="21"/>
                <w:highlight w:val="none"/>
                <w:lang w:val="en-US" w:eastAsia="zh-CN"/>
              </w:rPr>
              <w:t>；二验单位：东北轻合金有限责任公司、中船重工725所</w:t>
            </w:r>
            <w:r>
              <w:rPr>
                <w:rFonts w:hint="eastAsia" w:cs="Times New Roman"/>
                <w:color w:val="000000"/>
                <w:kern w:val="0"/>
                <w:sz w:val="21"/>
                <w:szCs w:val="21"/>
                <w:highlight w:val="none"/>
                <w:lang w:val="en-US" w:eastAsia="zh-CN"/>
              </w:rPr>
              <w:t>、南山铝业</w:t>
            </w:r>
            <w:r>
              <w:rPr>
                <w:rFonts w:hint="default" w:ascii="Times New Roman" w:hAnsi="Times New Roman" w:eastAsia="宋体" w:cs="Times New Roman"/>
                <w:color w:val="000000"/>
                <w:kern w:val="0"/>
                <w:sz w:val="21"/>
                <w:szCs w:val="21"/>
                <w:highlight w:val="none"/>
                <w:lang w:val="en-US" w:eastAsia="zh-CN"/>
              </w:rPr>
              <w:t>。</w:t>
            </w:r>
          </w:p>
        </w:tc>
      </w:tr>
      <w:tr w14:paraId="175DF07B">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25E1DA">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时间节点安排</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14:paraId="68F4A57D">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202</w:t>
            </w:r>
            <w:r>
              <w:rPr>
                <w:rFonts w:hint="eastAsia" w:cs="Times New Roman"/>
                <w:color w:val="000000"/>
                <w:kern w:val="0"/>
                <w:sz w:val="21"/>
                <w:szCs w:val="21"/>
                <w:lang w:val="en-US" w:eastAsia="zh-CN"/>
              </w:rPr>
              <w:t>5</w:t>
            </w:r>
            <w:r>
              <w:rPr>
                <w:rFonts w:hint="default" w:ascii="Times New Roman" w:hAnsi="Times New Roman" w:eastAsia="宋体" w:cs="Times New Roman"/>
                <w:color w:val="000000"/>
                <w:kern w:val="0"/>
                <w:sz w:val="21"/>
                <w:szCs w:val="21"/>
                <w:lang w:val="en-US" w:eastAsia="zh-CN"/>
              </w:rPr>
              <w:t>年完成规范报批</w:t>
            </w:r>
          </w:p>
        </w:tc>
      </w:tr>
      <w:tr w14:paraId="2D558C07">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2AE799">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后续拟征求意见单位</w:t>
            </w:r>
          </w:p>
          <w:p w14:paraId="5835E080">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（可包括编制组单位）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14:paraId="75B5DE03">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西安汉唐分析检测有限公司、东北轻合金有限责任公司、广东省科学院工业分析检测中心</w:t>
            </w:r>
          </w:p>
        </w:tc>
      </w:tr>
      <w:tr w14:paraId="7FEB9C4B">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CDE012">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14:paraId="5F92ED31">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14:paraId="794B38AD">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14:paraId="15459854">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14:paraId="308637CF">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14:paraId="65C24D4C">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14:paraId="24CCB580">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gridSpan w:val="2"/>
            <w:tcBorders>
              <w:top w:val="single" w:color="auto" w:sz="4" w:space="0"/>
              <w:left w:val="nil"/>
              <w:bottom w:val="single" w:color="auto" w:sz="4" w:space="0"/>
              <w:right w:val="single" w:color="auto" w:sz="4" w:space="0"/>
            </w:tcBorders>
            <w:shd w:val="clear" w:color="auto" w:fill="auto"/>
            <w:noWrap/>
            <w:vAlign w:val="center"/>
          </w:tcPr>
          <w:p w14:paraId="58AD2327">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14:paraId="6B1F5FE7">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6300475D">
            <w:pPr>
              <w:pStyle w:val="302"/>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48458B10">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封面</w:t>
            </w:r>
          </w:p>
        </w:tc>
        <w:tc>
          <w:tcPr>
            <w:tcW w:w="2311" w:type="pct"/>
            <w:tcBorders>
              <w:top w:val="nil"/>
              <w:left w:val="nil"/>
              <w:bottom w:val="single" w:color="auto" w:sz="4" w:space="0"/>
              <w:right w:val="single" w:color="auto" w:sz="4" w:space="0"/>
            </w:tcBorders>
            <w:shd w:val="clear" w:color="auto" w:fill="auto"/>
            <w:noWrap/>
            <w:vAlign w:val="center"/>
          </w:tcPr>
          <w:p w14:paraId="225AC051">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规范英文首字母大写</w:t>
            </w:r>
          </w:p>
        </w:tc>
        <w:tc>
          <w:tcPr>
            <w:tcW w:w="736" w:type="pct"/>
            <w:tcBorders>
              <w:top w:val="nil"/>
              <w:left w:val="nil"/>
              <w:bottom w:val="single" w:color="auto" w:sz="4" w:space="0"/>
              <w:right w:val="single" w:color="auto" w:sz="4" w:space="0"/>
            </w:tcBorders>
            <w:shd w:val="clear" w:color="auto" w:fill="auto"/>
            <w:noWrap/>
            <w:vAlign w:val="center"/>
          </w:tcPr>
          <w:p w14:paraId="5260A250">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有色金属技经院-闫艳楠</w:t>
            </w:r>
          </w:p>
        </w:tc>
        <w:tc>
          <w:tcPr>
            <w:tcW w:w="740" w:type="pct"/>
            <w:tcBorders>
              <w:top w:val="nil"/>
              <w:left w:val="nil"/>
              <w:bottom w:val="single" w:color="auto" w:sz="4" w:space="0"/>
              <w:right w:val="single" w:color="auto" w:sz="4" w:space="0"/>
            </w:tcBorders>
            <w:shd w:val="clear" w:color="auto" w:fill="auto"/>
            <w:noWrap/>
            <w:vAlign w:val="center"/>
          </w:tcPr>
          <w:p w14:paraId="21AA34F7">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同意</w:t>
            </w:r>
          </w:p>
        </w:tc>
        <w:tc>
          <w:tcPr>
            <w:tcW w:w="239" w:type="pct"/>
            <w:gridSpan w:val="2"/>
            <w:tcBorders>
              <w:top w:val="nil"/>
              <w:left w:val="nil"/>
              <w:bottom w:val="single" w:color="auto" w:sz="4" w:space="0"/>
              <w:right w:val="single" w:color="auto" w:sz="4" w:space="0"/>
            </w:tcBorders>
            <w:shd w:val="clear" w:color="auto" w:fill="auto"/>
            <w:noWrap/>
            <w:vAlign w:val="center"/>
          </w:tcPr>
          <w:p w14:paraId="5CA9F7C1">
            <w:pPr>
              <w:widowControl/>
              <w:jc w:val="left"/>
              <w:rPr>
                <w:rFonts w:hint="default" w:ascii="Times New Roman" w:hAnsi="Times New Roman" w:eastAsia="宋体" w:cs="Times New Roman"/>
                <w:color w:val="000000"/>
                <w:kern w:val="0"/>
                <w:sz w:val="21"/>
                <w:szCs w:val="21"/>
              </w:rPr>
            </w:pPr>
          </w:p>
        </w:tc>
      </w:tr>
      <w:tr w14:paraId="264A501C">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3D8E90E6">
            <w:pPr>
              <w:pStyle w:val="302"/>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58EAB170">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 xml:space="preserve">3.概述 </w:t>
            </w:r>
          </w:p>
        </w:tc>
        <w:tc>
          <w:tcPr>
            <w:tcW w:w="2311" w:type="pct"/>
            <w:tcBorders>
              <w:top w:val="nil"/>
              <w:left w:val="nil"/>
              <w:bottom w:val="single" w:color="auto" w:sz="4" w:space="0"/>
              <w:right w:val="single" w:color="auto" w:sz="4" w:space="0"/>
            </w:tcBorders>
            <w:shd w:val="clear" w:color="auto" w:fill="auto"/>
            <w:noWrap/>
            <w:vAlign w:val="center"/>
          </w:tcPr>
          <w:p w14:paraId="546263DD">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去掉切换差等参数的描述，不在本校准规范校准范围内</w:t>
            </w:r>
          </w:p>
        </w:tc>
        <w:tc>
          <w:tcPr>
            <w:tcW w:w="736" w:type="pct"/>
            <w:tcBorders>
              <w:top w:val="nil"/>
              <w:left w:val="nil"/>
              <w:bottom w:val="single" w:color="auto" w:sz="4" w:space="0"/>
              <w:right w:val="single" w:color="auto" w:sz="4" w:space="0"/>
            </w:tcBorders>
            <w:shd w:val="clear" w:color="auto" w:fill="auto"/>
            <w:noWrap/>
            <w:vAlign w:val="center"/>
          </w:tcPr>
          <w:p w14:paraId="1CE44DBE">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有色金属技经院-闫艳楠</w:t>
            </w:r>
          </w:p>
        </w:tc>
        <w:tc>
          <w:tcPr>
            <w:tcW w:w="740" w:type="pct"/>
            <w:tcBorders>
              <w:top w:val="nil"/>
              <w:left w:val="nil"/>
              <w:bottom w:val="single" w:color="auto" w:sz="4" w:space="0"/>
              <w:right w:val="single" w:color="auto" w:sz="4" w:space="0"/>
            </w:tcBorders>
            <w:shd w:val="clear" w:color="auto" w:fill="auto"/>
            <w:noWrap/>
            <w:vAlign w:val="center"/>
          </w:tcPr>
          <w:p w14:paraId="358107A0">
            <w:pPr>
              <w:widowControl/>
              <w:jc w:val="left"/>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同意</w:t>
            </w:r>
          </w:p>
        </w:tc>
        <w:tc>
          <w:tcPr>
            <w:tcW w:w="239" w:type="pct"/>
            <w:gridSpan w:val="2"/>
            <w:tcBorders>
              <w:top w:val="nil"/>
              <w:left w:val="nil"/>
              <w:bottom w:val="single" w:color="auto" w:sz="4" w:space="0"/>
              <w:right w:val="single" w:color="auto" w:sz="4" w:space="0"/>
            </w:tcBorders>
            <w:shd w:val="clear" w:color="auto" w:fill="auto"/>
            <w:noWrap/>
            <w:vAlign w:val="center"/>
          </w:tcPr>
          <w:p w14:paraId="13ED2F03">
            <w:pPr>
              <w:widowControl/>
              <w:jc w:val="left"/>
              <w:rPr>
                <w:rFonts w:hint="default" w:ascii="Times New Roman" w:hAnsi="Times New Roman" w:eastAsia="宋体" w:cs="Times New Roman"/>
                <w:color w:val="000000"/>
                <w:kern w:val="0"/>
                <w:sz w:val="21"/>
                <w:szCs w:val="21"/>
              </w:rPr>
            </w:pPr>
          </w:p>
        </w:tc>
      </w:tr>
      <w:tr w14:paraId="74F19875">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79357A2C">
            <w:pPr>
              <w:pStyle w:val="302"/>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2872F6AE">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4.1示值误差</w:t>
            </w:r>
          </w:p>
        </w:tc>
        <w:tc>
          <w:tcPr>
            <w:tcW w:w="2311" w:type="pct"/>
            <w:tcBorders>
              <w:top w:val="nil"/>
              <w:left w:val="nil"/>
              <w:bottom w:val="single" w:color="auto" w:sz="4" w:space="0"/>
              <w:right w:val="single" w:color="auto" w:sz="4" w:space="0"/>
            </w:tcBorders>
            <w:shd w:val="clear" w:color="auto" w:fill="auto"/>
            <w:noWrap/>
            <w:vAlign w:val="center"/>
          </w:tcPr>
          <w:p w14:paraId="117B075F">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确认全工作范围误差要求</w:t>
            </w:r>
          </w:p>
        </w:tc>
        <w:tc>
          <w:tcPr>
            <w:tcW w:w="736" w:type="pct"/>
            <w:tcBorders>
              <w:top w:val="nil"/>
              <w:left w:val="nil"/>
              <w:bottom w:val="single" w:color="auto" w:sz="4" w:space="0"/>
              <w:right w:val="single" w:color="auto" w:sz="4" w:space="0"/>
            </w:tcBorders>
            <w:shd w:val="clear" w:color="auto" w:fill="auto"/>
            <w:noWrap/>
            <w:vAlign w:val="center"/>
          </w:tcPr>
          <w:p w14:paraId="3D20C906">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南山-刘毅</w:t>
            </w:r>
          </w:p>
        </w:tc>
        <w:tc>
          <w:tcPr>
            <w:tcW w:w="740" w:type="pct"/>
            <w:tcBorders>
              <w:top w:val="nil"/>
              <w:left w:val="nil"/>
              <w:bottom w:val="single" w:color="auto" w:sz="4" w:space="0"/>
              <w:right w:val="single" w:color="auto" w:sz="4" w:space="0"/>
            </w:tcBorders>
            <w:shd w:val="clear" w:color="auto" w:fill="auto"/>
            <w:noWrap/>
            <w:vAlign w:val="center"/>
          </w:tcPr>
          <w:p w14:paraId="2011DC1B">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同意</w:t>
            </w:r>
          </w:p>
        </w:tc>
        <w:tc>
          <w:tcPr>
            <w:tcW w:w="239" w:type="pct"/>
            <w:gridSpan w:val="2"/>
            <w:tcBorders>
              <w:top w:val="nil"/>
              <w:left w:val="nil"/>
              <w:bottom w:val="single" w:color="auto" w:sz="4" w:space="0"/>
              <w:right w:val="single" w:color="auto" w:sz="4" w:space="0"/>
            </w:tcBorders>
            <w:shd w:val="clear" w:color="auto" w:fill="auto"/>
            <w:noWrap/>
            <w:vAlign w:val="center"/>
          </w:tcPr>
          <w:p w14:paraId="29A041BA">
            <w:pPr>
              <w:widowControl/>
              <w:jc w:val="left"/>
              <w:rPr>
                <w:rFonts w:hint="default" w:ascii="Times New Roman" w:hAnsi="Times New Roman" w:eastAsia="宋体" w:cs="Times New Roman"/>
                <w:color w:val="000000"/>
                <w:kern w:val="0"/>
                <w:sz w:val="21"/>
                <w:szCs w:val="21"/>
              </w:rPr>
            </w:pPr>
          </w:p>
        </w:tc>
      </w:tr>
      <w:tr w14:paraId="00ADEE8D">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710525B7">
            <w:pPr>
              <w:pStyle w:val="302"/>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6432765A">
            <w:pPr>
              <w:widowControl/>
              <w:jc w:val="left"/>
              <w:rPr>
                <w:rFonts w:hint="default" w:cs="Times New Roman"/>
                <w:color w:val="000000"/>
                <w:kern w:val="0"/>
                <w:sz w:val="21"/>
                <w:szCs w:val="21"/>
                <w:lang w:val="en-US" w:eastAsia="zh-CN"/>
              </w:rPr>
            </w:pPr>
            <w:r>
              <w:rPr>
                <w:rFonts w:hint="eastAsia" w:cs="Times New Roman"/>
                <w:color w:val="000000"/>
                <w:kern w:val="0"/>
                <w:sz w:val="21"/>
                <w:szCs w:val="21"/>
                <w:lang w:val="en-US" w:eastAsia="zh-CN"/>
              </w:rPr>
              <w:t>表1</w:t>
            </w:r>
          </w:p>
        </w:tc>
        <w:tc>
          <w:tcPr>
            <w:tcW w:w="2311" w:type="pct"/>
            <w:tcBorders>
              <w:top w:val="nil"/>
              <w:left w:val="nil"/>
              <w:bottom w:val="single" w:color="auto" w:sz="4" w:space="0"/>
              <w:right w:val="single" w:color="auto" w:sz="4" w:space="0"/>
            </w:tcBorders>
            <w:shd w:val="clear" w:color="auto" w:fill="auto"/>
            <w:noWrap/>
            <w:vAlign w:val="center"/>
          </w:tcPr>
          <w:p w14:paraId="39CE2830">
            <w:pPr>
              <w:widowControl/>
              <w:jc w:val="left"/>
              <w:rPr>
                <w:rFonts w:hint="default" w:cs="Times New Roman"/>
                <w:color w:val="000000"/>
                <w:kern w:val="0"/>
                <w:sz w:val="21"/>
                <w:szCs w:val="21"/>
                <w:lang w:val="en-US" w:eastAsia="zh-CN"/>
              </w:rPr>
            </w:pPr>
            <w:r>
              <w:rPr>
                <w:rFonts w:hint="eastAsia" w:cs="Times New Roman"/>
                <w:color w:val="000000"/>
                <w:kern w:val="0"/>
                <w:sz w:val="21"/>
                <w:szCs w:val="21"/>
                <w:lang w:val="en-US" w:eastAsia="zh-CN"/>
              </w:rPr>
              <w:t>模拟范围确认</w:t>
            </w:r>
          </w:p>
        </w:tc>
        <w:tc>
          <w:tcPr>
            <w:tcW w:w="736" w:type="pct"/>
            <w:tcBorders>
              <w:top w:val="nil"/>
              <w:left w:val="nil"/>
              <w:bottom w:val="single" w:color="auto" w:sz="4" w:space="0"/>
              <w:right w:val="single" w:color="auto" w:sz="4" w:space="0"/>
            </w:tcBorders>
            <w:shd w:val="clear" w:color="auto" w:fill="auto"/>
            <w:noWrap/>
            <w:vAlign w:val="center"/>
          </w:tcPr>
          <w:p w14:paraId="43C2BDAC">
            <w:pPr>
              <w:widowControl/>
              <w:jc w:val="left"/>
              <w:rPr>
                <w:rFonts w:hint="eastAsia" w:cs="Times New Roman"/>
                <w:color w:val="000000"/>
                <w:kern w:val="0"/>
                <w:sz w:val="21"/>
                <w:szCs w:val="21"/>
                <w:lang w:val="en-US" w:eastAsia="zh-CN"/>
              </w:rPr>
            </w:pPr>
            <w:r>
              <w:rPr>
                <w:rFonts w:hint="eastAsia" w:cs="Times New Roman"/>
                <w:color w:val="000000"/>
                <w:kern w:val="0"/>
                <w:sz w:val="21"/>
                <w:szCs w:val="21"/>
                <w:lang w:val="en-US" w:eastAsia="zh-CN"/>
              </w:rPr>
              <w:t>南山-刘毅</w:t>
            </w:r>
          </w:p>
        </w:tc>
        <w:tc>
          <w:tcPr>
            <w:tcW w:w="740" w:type="pct"/>
            <w:tcBorders>
              <w:top w:val="nil"/>
              <w:left w:val="nil"/>
              <w:bottom w:val="single" w:color="auto" w:sz="4" w:space="0"/>
              <w:right w:val="single" w:color="auto" w:sz="4" w:space="0"/>
            </w:tcBorders>
            <w:shd w:val="clear" w:color="auto" w:fill="auto"/>
            <w:noWrap/>
            <w:vAlign w:val="center"/>
          </w:tcPr>
          <w:p w14:paraId="449312E7">
            <w:pPr>
              <w:widowControl/>
              <w:jc w:val="left"/>
              <w:rPr>
                <w:rFonts w:hint="eastAsia" w:cs="Times New Roman"/>
                <w:color w:val="000000"/>
                <w:kern w:val="0"/>
                <w:sz w:val="21"/>
                <w:szCs w:val="21"/>
                <w:lang w:val="en-US" w:eastAsia="zh-CN"/>
              </w:rPr>
            </w:pPr>
            <w:r>
              <w:rPr>
                <w:rFonts w:hint="eastAsia" w:cs="Times New Roman"/>
                <w:color w:val="000000"/>
                <w:kern w:val="0"/>
                <w:sz w:val="21"/>
                <w:szCs w:val="21"/>
                <w:lang w:val="en-US" w:eastAsia="zh-CN"/>
              </w:rPr>
              <w:t>已确认</w:t>
            </w:r>
          </w:p>
        </w:tc>
        <w:tc>
          <w:tcPr>
            <w:tcW w:w="239" w:type="pct"/>
            <w:gridSpan w:val="2"/>
            <w:tcBorders>
              <w:top w:val="nil"/>
              <w:left w:val="nil"/>
              <w:bottom w:val="single" w:color="auto" w:sz="4" w:space="0"/>
              <w:right w:val="single" w:color="auto" w:sz="4" w:space="0"/>
            </w:tcBorders>
            <w:shd w:val="clear" w:color="auto" w:fill="auto"/>
            <w:noWrap/>
            <w:vAlign w:val="center"/>
          </w:tcPr>
          <w:p w14:paraId="43BF7650">
            <w:pPr>
              <w:widowControl/>
              <w:jc w:val="left"/>
              <w:rPr>
                <w:rFonts w:hint="default" w:ascii="Times New Roman" w:hAnsi="Times New Roman" w:eastAsia="宋体" w:cs="Times New Roman"/>
                <w:color w:val="000000"/>
                <w:kern w:val="0"/>
                <w:sz w:val="21"/>
                <w:szCs w:val="21"/>
              </w:rPr>
            </w:pPr>
          </w:p>
        </w:tc>
      </w:tr>
      <w:tr w14:paraId="0B1A0992">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2EABC465">
            <w:pPr>
              <w:pStyle w:val="302"/>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3E8C5685">
            <w:pPr>
              <w:widowControl/>
              <w:jc w:val="left"/>
              <w:rPr>
                <w:rFonts w:hint="eastAsia" w:cs="Times New Roman"/>
                <w:color w:val="000000"/>
                <w:kern w:val="0"/>
                <w:sz w:val="21"/>
                <w:szCs w:val="21"/>
                <w:lang w:val="en-US" w:eastAsia="zh-CN"/>
              </w:rPr>
            </w:pPr>
            <w:r>
              <w:rPr>
                <w:rFonts w:hint="eastAsia" w:cs="Times New Roman"/>
                <w:color w:val="000000"/>
                <w:kern w:val="0"/>
                <w:sz w:val="21"/>
                <w:szCs w:val="21"/>
                <w:lang w:val="en-US" w:eastAsia="zh-CN"/>
              </w:rPr>
              <w:t>表1</w:t>
            </w:r>
          </w:p>
        </w:tc>
        <w:tc>
          <w:tcPr>
            <w:tcW w:w="2311" w:type="pct"/>
            <w:tcBorders>
              <w:top w:val="nil"/>
              <w:left w:val="nil"/>
              <w:bottom w:val="single" w:color="auto" w:sz="4" w:space="0"/>
              <w:right w:val="single" w:color="auto" w:sz="4" w:space="0"/>
            </w:tcBorders>
            <w:shd w:val="clear" w:color="auto" w:fill="auto"/>
            <w:noWrap/>
            <w:vAlign w:val="center"/>
          </w:tcPr>
          <w:p w14:paraId="62FE2D5B">
            <w:pPr>
              <w:widowControl/>
              <w:jc w:val="left"/>
              <w:rPr>
                <w:rFonts w:hint="default" w:cs="Times New Roman"/>
                <w:color w:val="000000"/>
                <w:kern w:val="0"/>
                <w:sz w:val="21"/>
                <w:szCs w:val="21"/>
                <w:lang w:val="en-US" w:eastAsia="zh-CN"/>
              </w:rPr>
            </w:pPr>
            <w:r>
              <w:rPr>
                <w:rFonts w:hint="eastAsia" w:cs="Times New Roman"/>
                <w:color w:val="000000"/>
                <w:kern w:val="0"/>
                <w:sz w:val="21"/>
                <w:szCs w:val="21"/>
                <w:lang w:val="en-US" w:eastAsia="zh-CN"/>
              </w:rPr>
              <w:t>补偿导线描述</w:t>
            </w:r>
          </w:p>
        </w:tc>
        <w:tc>
          <w:tcPr>
            <w:tcW w:w="736" w:type="pct"/>
            <w:tcBorders>
              <w:top w:val="nil"/>
              <w:left w:val="nil"/>
              <w:bottom w:val="single" w:color="auto" w:sz="4" w:space="0"/>
              <w:right w:val="single" w:color="auto" w:sz="4" w:space="0"/>
            </w:tcBorders>
            <w:shd w:val="clear" w:color="auto" w:fill="auto"/>
            <w:noWrap/>
            <w:vAlign w:val="center"/>
          </w:tcPr>
          <w:p w14:paraId="4BD214BD">
            <w:pPr>
              <w:widowControl/>
              <w:jc w:val="left"/>
              <w:rPr>
                <w:rFonts w:hint="eastAsia" w:cs="Times New Roman"/>
                <w:color w:val="000000"/>
                <w:kern w:val="0"/>
                <w:sz w:val="21"/>
                <w:szCs w:val="21"/>
                <w:lang w:val="en-US" w:eastAsia="zh-CN"/>
              </w:rPr>
            </w:pPr>
            <w:r>
              <w:rPr>
                <w:rFonts w:hint="eastAsia" w:cs="Times New Roman"/>
                <w:color w:val="000000"/>
                <w:kern w:val="0"/>
                <w:sz w:val="21"/>
                <w:szCs w:val="21"/>
                <w:lang w:val="en-US" w:eastAsia="zh-CN"/>
              </w:rPr>
              <w:t>南山-刘毅</w:t>
            </w:r>
          </w:p>
        </w:tc>
        <w:tc>
          <w:tcPr>
            <w:tcW w:w="740" w:type="pct"/>
            <w:tcBorders>
              <w:top w:val="nil"/>
              <w:left w:val="nil"/>
              <w:bottom w:val="single" w:color="auto" w:sz="4" w:space="0"/>
              <w:right w:val="single" w:color="auto" w:sz="4" w:space="0"/>
            </w:tcBorders>
            <w:shd w:val="clear" w:color="auto" w:fill="auto"/>
            <w:noWrap/>
            <w:vAlign w:val="center"/>
          </w:tcPr>
          <w:p w14:paraId="16778347">
            <w:pPr>
              <w:widowControl/>
              <w:jc w:val="left"/>
              <w:rPr>
                <w:rFonts w:hint="eastAsia" w:cs="Times New Roman"/>
                <w:color w:val="000000"/>
                <w:kern w:val="0"/>
                <w:sz w:val="21"/>
                <w:szCs w:val="21"/>
                <w:lang w:val="en-US" w:eastAsia="zh-CN"/>
              </w:rPr>
            </w:pPr>
            <w:r>
              <w:rPr>
                <w:rFonts w:hint="eastAsia" w:cs="Times New Roman"/>
                <w:color w:val="000000"/>
                <w:kern w:val="0"/>
                <w:sz w:val="21"/>
                <w:szCs w:val="21"/>
                <w:lang w:val="en-US" w:eastAsia="zh-CN"/>
              </w:rPr>
              <w:t>同意</w:t>
            </w:r>
          </w:p>
        </w:tc>
        <w:tc>
          <w:tcPr>
            <w:tcW w:w="239" w:type="pct"/>
            <w:gridSpan w:val="2"/>
            <w:tcBorders>
              <w:top w:val="nil"/>
              <w:left w:val="nil"/>
              <w:bottom w:val="single" w:color="auto" w:sz="4" w:space="0"/>
              <w:right w:val="single" w:color="auto" w:sz="4" w:space="0"/>
            </w:tcBorders>
            <w:shd w:val="clear" w:color="auto" w:fill="auto"/>
            <w:noWrap/>
            <w:vAlign w:val="center"/>
          </w:tcPr>
          <w:p w14:paraId="68FBB960">
            <w:pPr>
              <w:widowControl/>
              <w:jc w:val="left"/>
              <w:rPr>
                <w:rFonts w:hint="default" w:ascii="Times New Roman" w:hAnsi="Times New Roman" w:eastAsia="宋体" w:cs="Times New Roman"/>
                <w:color w:val="000000"/>
                <w:kern w:val="0"/>
                <w:sz w:val="21"/>
                <w:szCs w:val="21"/>
              </w:rPr>
            </w:pPr>
          </w:p>
        </w:tc>
      </w:tr>
      <w:tr w14:paraId="3EE4C0E2">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574C8A03">
            <w:pPr>
              <w:pStyle w:val="302"/>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51802955">
            <w:pPr>
              <w:widowControl/>
              <w:jc w:val="left"/>
              <w:rPr>
                <w:rFonts w:hint="default" w:cs="Times New Roman"/>
                <w:color w:val="000000"/>
                <w:kern w:val="0"/>
                <w:sz w:val="21"/>
                <w:szCs w:val="21"/>
                <w:lang w:val="en-US" w:eastAsia="zh-CN"/>
              </w:rPr>
            </w:pPr>
            <w:r>
              <w:rPr>
                <w:rFonts w:hint="eastAsia" w:cs="Times New Roman"/>
                <w:color w:val="000000"/>
                <w:kern w:val="0"/>
                <w:sz w:val="21"/>
                <w:szCs w:val="21"/>
                <w:lang w:val="en-US" w:eastAsia="zh-CN"/>
              </w:rPr>
              <w:t>6.2校准方法</w:t>
            </w:r>
          </w:p>
        </w:tc>
        <w:tc>
          <w:tcPr>
            <w:tcW w:w="2311" w:type="pct"/>
            <w:tcBorders>
              <w:top w:val="nil"/>
              <w:left w:val="nil"/>
              <w:bottom w:val="single" w:color="auto" w:sz="4" w:space="0"/>
              <w:right w:val="single" w:color="auto" w:sz="4" w:space="0"/>
            </w:tcBorders>
            <w:shd w:val="clear" w:color="auto" w:fill="auto"/>
            <w:noWrap/>
            <w:vAlign w:val="center"/>
          </w:tcPr>
          <w:p w14:paraId="26B367DF">
            <w:pPr>
              <w:widowControl/>
              <w:jc w:val="left"/>
              <w:rPr>
                <w:rFonts w:hint="default" w:cs="Times New Roman"/>
                <w:color w:val="000000"/>
                <w:kern w:val="0"/>
                <w:sz w:val="21"/>
                <w:szCs w:val="21"/>
                <w:lang w:val="en-US" w:eastAsia="zh-CN"/>
              </w:rPr>
            </w:pPr>
            <w:r>
              <w:rPr>
                <w:rFonts w:hint="default" w:cs="Times New Roman"/>
                <w:color w:val="000000"/>
                <w:kern w:val="0"/>
                <w:sz w:val="21"/>
                <w:szCs w:val="21"/>
                <w:lang w:val="en-US" w:eastAsia="zh-CN"/>
              </w:rPr>
              <w:t>是否应该区分电信号和温度信号</w:t>
            </w:r>
          </w:p>
        </w:tc>
        <w:tc>
          <w:tcPr>
            <w:tcW w:w="736" w:type="pct"/>
            <w:tcBorders>
              <w:top w:val="nil"/>
              <w:left w:val="nil"/>
              <w:bottom w:val="single" w:color="auto" w:sz="4" w:space="0"/>
              <w:right w:val="single" w:color="auto" w:sz="4" w:space="0"/>
            </w:tcBorders>
            <w:shd w:val="clear" w:color="auto" w:fill="auto"/>
            <w:noWrap/>
            <w:vAlign w:val="center"/>
          </w:tcPr>
          <w:p w14:paraId="52EA05ED">
            <w:pPr>
              <w:widowControl/>
              <w:jc w:val="left"/>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南山-刘毅</w:t>
            </w:r>
          </w:p>
        </w:tc>
        <w:tc>
          <w:tcPr>
            <w:tcW w:w="740" w:type="pct"/>
            <w:tcBorders>
              <w:top w:val="nil"/>
              <w:left w:val="nil"/>
              <w:bottom w:val="single" w:color="auto" w:sz="4" w:space="0"/>
              <w:right w:val="single" w:color="auto" w:sz="4" w:space="0"/>
            </w:tcBorders>
            <w:shd w:val="clear" w:color="auto" w:fill="auto"/>
            <w:noWrap/>
            <w:vAlign w:val="center"/>
          </w:tcPr>
          <w:p w14:paraId="329AE11B">
            <w:pPr>
              <w:widowControl/>
              <w:jc w:val="left"/>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只校准温度信号</w:t>
            </w:r>
          </w:p>
        </w:tc>
        <w:tc>
          <w:tcPr>
            <w:tcW w:w="239" w:type="pct"/>
            <w:gridSpan w:val="2"/>
            <w:tcBorders>
              <w:top w:val="nil"/>
              <w:left w:val="nil"/>
              <w:bottom w:val="single" w:color="auto" w:sz="4" w:space="0"/>
              <w:right w:val="single" w:color="auto" w:sz="4" w:space="0"/>
            </w:tcBorders>
            <w:shd w:val="clear" w:color="auto" w:fill="auto"/>
            <w:noWrap/>
            <w:vAlign w:val="center"/>
          </w:tcPr>
          <w:p w14:paraId="391CD94B">
            <w:pPr>
              <w:widowControl/>
              <w:jc w:val="left"/>
              <w:rPr>
                <w:rFonts w:hint="default" w:ascii="Times New Roman" w:hAnsi="Times New Roman" w:eastAsia="宋体" w:cs="Times New Roman"/>
                <w:color w:val="000000"/>
                <w:kern w:val="0"/>
                <w:sz w:val="21"/>
                <w:szCs w:val="21"/>
              </w:rPr>
            </w:pPr>
          </w:p>
        </w:tc>
      </w:tr>
      <w:tr w14:paraId="6A60618C">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00619057">
            <w:pPr>
              <w:pStyle w:val="302"/>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1C71764B">
            <w:pPr>
              <w:widowControl/>
              <w:jc w:val="left"/>
              <w:rPr>
                <w:rFonts w:hint="default" w:cs="Times New Roman"/>
                <w:color w:val="000000"/>
                <w:kern w:val="0"/>
                <w:sz w:val="21"/>
                <w:szCs w:val="21"/>
                <w:lang w:val="en-US" w:eastAsia="zh-CN"/>
              </w:rPr>
            </w:pPr>
            <w:r>
              <w:rPr>
                <w:rFonts w:hint="eastAsia" w:cs="Times New Roman"/>
                <w:color w:val="000000"/>
                <w:kern w:val="0"/>
                <w:sz w:val="21"/>
                <w:szCs w:val="21"/>
                <w:lang w:val="en-US" w:eastAsia="zh-CN"/>
              </w:rPr>
              <w:t>6.2.2</w:t>
            </w:r>
          </w:p>
        </w:tc>
        <w:tc>
          <w:tcPr>
            <w:tcW w:w="2311" w:type="pct"/>
            <w:tcBorders>
              <w:top w:val="nil"/>
              <w:left w:val="nil"/>
              <w:bottom w:val="single" w:color="auto" w:sz="4" w:space="0"/>
              <w:right w:val="single" w:color="auto" w:sz="4" w:space="0"/>
            </w:tcBorders>
            <w:shd w:val="clear" w:color="auto" w:fill="auto"/>
            <w:noWrap/>
            <w:vAlign w:val="center"/>
          </w:tcPr>
          <w:p w14:paraId="27082697">
            <w:pPr>
              <w:widowControl/>
              <w:jc w:val="left"/>
              <w:rPr>
                <w:rFonts w:hint="default" w:cs="Times New Roman"/>
                <w:color w:val="000000"/>
                <w:kern w:val="0"/>
                <w:sz w:val="21"/>
                <w:szCs w:val="21"/>
                <w:lang w:val="en-US" w:eastAsia="zh-CN"/>
              </w:rPr>
            </w:pPr>
            <w:r>
              <w:rPr>
                <w:rFonts w:hint="eastAsia" w:cs="Times New Roman"/>
                <w:color w:val="000000"/>
                <w:kern w:val="0"/>
                <w:sz w:val="21"/>
                <w:szCs w:val="21"/>
                <w:lang w:val="en-US" w:eastAsia="zh-CN"/>
              </w:rPr>
              <w:t>公式格式</w:t>
            </w:r>
          </w:p>
        </w:tc>
        <w:tc>
          <w:tcPr>
            <w:tcW w:w="736" w:type="pct"/>
            <w:tcBorders>
              <w:top w:val="nil"/>
              <w:left w:val="nil"/>
              <w:bottom w:val="single" w:color="auto" w:sz="4" w:space="0"/>
              <w:right w:val="single" w:color="auto" w:sz="4" w:space="0"/>
            </w:tcBorders>
            <w:shd w:val="clear" w:color="auto" w:fill="auto"/>
            <w:noWrap/>
            <w:vAlign w:val="center"/>
          </w:tcPr>
          <w:p w14:paraId="085B2ADC">
            <w:pPr>
              <w:widowControl/>
              <w:jc w:val="left"/>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有色金属技经院-闫艳楠</w:t>
            </w:r>
          </w:p>
        </w:tc>
        <w:tc>
          <w:tcPr>
            <w:tcW w:w="740" w:type="pct"/>
            <w:tcBorders>
              <w:top w:val="nil"/>
              <w:left w:val="nil"/>
              <w:bottom w:val="single" w:color="auto" w:sz="4" w:space="0"/>
              <w:right w:val="single" w:color="auto" w:sz="4" w:space="0"/>
            </w:tcBorders>
            <w:shd w:val="clear" w:color="auto" w:fill="auto"/>
            <w:noWrap/>
            <w:vAlign w:val="center"/>
          </w:tcPr>
          <w:p w14:paraId="76591D92">
            <w:pPr>
              <w:widowControl/>
              <w:jc w:val="left"/>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同意</w:t>
            </w:r>
          </w:p>
        </w:tc>
        <w:tc>
          <w:tcPr>
            <w:tcW w:w="239" w:type="pct"/>
            <w:gridSpan w:val="2"/>
            <w:tcBorders>
              <w:top w:val="nil"/>
              <w:left w:val="nil"/>
              <w:bottom w:val="single" w:color="auto" w:sz="4" w:space="0"/>
              <w:right w:val="single" w:color="auto" w:sz="4" w:space="0"/>
            </w:tcBorders>
            <w:shd w:val="clear" w:color="auto" w:fill="auto"/>
            <w:noWrap/>
            <w:vAlign w:val="center"/>
          </w:tcPr>
          <w:p w14:paraId="271F5A3C">
            <w:pPr>
              <w:widowControl/>
              <w:jc w:val="left"/>
              <w:rPr>
                <w:rFonts w:hint="default" w:ascii="Times New Roman" w:hAnsi="Times New Roman" w:eastAsia="宋体" w:cs="Times New Roman"/>
                <w:color w:val="000000"/>
                <w:kern w:val="0"/>
                <w:sz w:val="21"/>
                <w:szCs w:val="21"/>
              </w:rPr>
            </w:pPr>
          </w:p>
        </w:tc>
      </w:tr>
      <w:tr w14:paraId="1E6981C1">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6A62B289">
            <w:pPr>
              <w:pStyle w:val="302"/>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78A67128">
            <w:pPr>
              <w:widowControl/>
              <w:jc w:val="left"/>
              <w:rPr>
                <w:rFonts w:hint="default" w:cs="Times New Roman"/>
                <w:color w:val="000000"/>
                <w:kern w:val="0"/>
                <w:sz w:val="21"/>
                <w:szCs w:val="21"/>
                <w:lang w:val="en-US" w:eastAsia="zh-CN"/>
              </w:rPr>
            </w:pPr>
            <w:r>
              <w:rPr>
                <w:rFonts w:hint="eastAsia" w:cs="Times New Roman"/>
                <w:color w:val="000000"/>
                <w:kern w:val="0"/>
                <w:sz w:val="21"/>
                <w:szCs w:val="21"/>
                <w:lang w:val="en-US" w:eastAsia="zh-CN"/>
              </w:rPr>
              <w:t>C.2测量模型</w:t>
            </w:r>
          </w:p>
        </w:tc>
        <w:tc>
          <w:tcPr>
            <w:tcW w:w="2311" w:type="pct"/>
            <w:tcBorders>
              <w:top w:val="nil"/>
              <w:left w:val="nil"/>
              <w:bottom w:val="single" w:color="auto" w:sz="4" w:space="0"/>
              <w:right w:val="single" w:color="auto" w:sz="4" w:space="0"/>
            </w:tcBorders>
            <w:shd w:val="clear" w:color="auto" w:fill="auto"/>
            <w:noWrap/>
            <w:vAlign w:val="center"/>
          </w:tcPr>
          <w:p w14:paraId="4875217F">
            <w:pPr>
              <w:widowControl/>
              <w:jc w:val="left"/>
              <w:rPr>
                <w:rFonts w:hint="default" w:cs="Times New Roman"/>
                <w:color w:val="000000"/>
                <w:kern w:val="0"/>
                <w:sz w:val="21"/>
                <w:szCs w:val="21"/>
                <w:lang w:val="en-US" w:eastAsia="zh-CN"/>
              </w:rPr>
            </w:pPr>
            <w:r>
              <w:rPr>
                <w:rFonts w:hint="eastAsia" w:cs="Times New Roman"/>
                <w:color w:val="000000"/>
                <w:kern w:val="0"/>
                <w:sz w:val="21"/>
                <w:szCs w:val="21"/>
                <w:lang w:val="en-US" w:eastAsia="zh-CN"/>
              </w:rPr>
              <w:t>公式编号应该括号</w:t>
            </w:r>
          </w:p>
        </w:tc>
        <w:tc>
          <w:tcPr>
            <w:tcW w:w="736" w:type="pct"/>
            <w:tcBorders>
              <w:top w:val="nil"/>
              <w:left w:val="nil"/>
              <w:bottom w:val="single" w:color="auto" w:sz="4" w:space="0"/>
              <w:right w:val="single" w:color="auto" w:sz="4" w:space="0"/>
            </w:tcBorders>
            <w:shd w:val="clear" w:color="auto" w:fill="auto"/>
            <w:noWrap/>
            <w:vAlign w:val="center"/>
          </w:tcPr>
          <w:p w14:paraId="6A180760">
            <w:pPr>
              <w:widowControl/>
              <w:jc w:val="left"/>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有色金属技经院-闫艳楠</w:t>
            </w:r>
          </w:p>
        </w:tc>
        <w:tc>
          <w:tcPr>
            <w:tcW w:w="740" w:type="pct"/>
            <w:tcBorders>
              <w:top w:val="nil"/>
              <w:left w:val="nil"/>
              <w:bottom w:val="single" w:color="auto" w:sz="4" w:space="0"/>
              <w:right w:val="single" w:color="auto" w:sz="4" w:space="0"/>
            </w:tcBorders>
            <w:shd w:val="clear" w:color="auto" w:fill="auto"/>
            <w:noWrap/>
            <w:vAlign w:val="center"/>
          </w:tcPr>
          <w:p w14:paraId="5A0C72A7">
            <w:pPr>
              <w:widowControl/>
              <w:jc w:val="left"/>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同意</w:t>
            </w:r>
          </w:p>
        </w:tc>
        <w:tc>
          <w:tcPr>
            <w:tcW w:w="239" w:type="pct"/>
            <w:gridSpan w:val="2"/>
            <w:tcBorders>
              <w:top w:val="nil"/>
              <w:left w:val="nil"/>
              <w:bottom w:val="single" w:color="auto" w:sz="4" w:space="0"/>
              <w:right w:val="single" w:color="auto" w:sz="4" w:space="0"/>
            </w:tcBorders>
            <w:shd w:val="clear" w:color="auto" w:fill="auto"/>
            <w:noWrap/>
            <w:vAlign w:val="center"/>
          </w:tcPr>
          <w:p w14:paraId="4A4DB3BD">
            <w:pPr>
              <w:widowControl/>
              <w:jc w:val="left"/>
              <w:rPr>
                <w:rFonts w:hint="default" w:ascii="Times New Roman" w:hAnsi="Times New Roman" w:eastAsia="宋体" w:cs="Times New Roman"/>
                <w:color w:val="000000"/>
                <w:kern w:val="0"/>
                <w:sz w:val="21"/>
                <w:szCs w:val="21"/>
              </w:rPr>
            </w:pPr>
          </w:p>
        </w:tc>
      </w:tr>
      <w:tr w14:paraId="3AA9CD8A">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6BBA61A5">
            <w:pPr>
              <w:pStyle w:val="302"/>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7B56E2DA">
            <w:pPr>
              <w:widowControl/>
              <w:jc w:val="left"/>
              <w:rPr>
                <w:rFonts w:hint="default" w:cs="Times New Roman"/>
                <w:color w:val="000000"/>
                <w:kern w:val="0"/>
                <w:sz w:val="21"/>
                <w:szCs w:val="21"/>
                <w:lang w:val="en-US" w:eastAsia="zh-CN"/>
              </w:rPr>
            </w:pPr>
            <w:r>
              <w:rPr>
                <w:rFonts w:hint="eastAsia" w:cs="Times New Roman"/>
                <w:color w:val="000000"/>
                <w:kern w:val="0"/>
                <w:sz w:val="21"/>
                <w:szCs w:val="21"/>
                <w:lang w:val="en-US" w:eastAsia="zh-CN"/>
              </w:rPr>
              <w:t>C4.2</w:t>
            </w:r>
          </w:p>
        </w:tc>
        <w:tc>
          <w:tcPr>
            <w:tcW w:w="2311" w:type="pct"/>
            <w:tcBorders>
              <w:top w:val="nil"/>
              <w:left w:val="nil"/>
              <w:bottom w:val="single" w:color="auto" w:sz="4" w:space="0"/>
              <w:right w:val="single" w:color="auto" w:sz="4" w:space="0"/>
            </w:tcBorders>
            <w:shd w:val="clear" w:color="auto" w:fill="auto"/>
            <w:noWrap/>
            <w:vAlign w:val="center"/>
          </w:tcPr>
          <w:p w14:paraId="7B231B63">
            <w:pPr>
              <w:widowControl/>
              <w:jc w:val="left"/>
              <w:rPr>
                <w:rFonts w:hint="default" w:cs="Times New Roman"/>
                <w:color w:val="000000"/>
                <w:kern w:val="0"/>
                <w:sz w:val="21"/>
                <w:szCs w:val="21"/>
                <w:lang w:val="en-US" w:eastAsia="zh-CN"/>
              </w:rPr>
            </w:pPr>
            <w:r>
              <w:rPr>
                <w:rFonts w:hint="eastAsia" w:cs="Times New Roman"/>
                <w:color w:val="000000"/>
                <w:kern w:val="0"/>
                <w:sz w:val="21"/>
                <w:szCs w:val="21"/>
                <w:lang w:val="en-US" w:eastAsia="zh-CN"/>
              </w:rPr>
              <w:t>加原始公式</w:t>
            </w:r>
          </w:p>
        </w:tc>
        <w:tc>
          <w:tcPr>
            <w:tcW w:w="736" w:type="pct"/>
            <w:tcBorders>
              <w:top w:val="nil"/>
              <w:left w:val="nil"/>
              <w:bottom w:val="single" w:color="auto" w:sz="4" w:space="0"/>
              <w:right w:val="single" w:color="auto" w:sz="4" w:space="0"/>
            </w:tcBorders>
            <w:shd w:val="clear" w:color="auto" w:fill="auto"/>
            <w:noWrap/>
            <w:vAlign w:val="center"/>
          </w:tcPr>
          <w:p w14:paraId="41F3DE7F">
            <w:pPr>
              <w:widowControl/>
              <w:jc w:val="left"/>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有色金属技经院-闫艳楠</w:t>
            </w:r>
          </w:p>
        </w:tc>
        <w:tc>
          <w:tcPr>
            <w:tcW w:w="740" w:type="pct"/>
            <w:tcBorders>
              <w:top w:val="nil"/>
              <w:left w:val="nil"/>
              <w:bottom w:val="single" w:color="auto" w:sz="4" w:space="0"/>
              <w:right w:val="single" w:color="auto" w:sz="4" w:space="0"/>
            </w:tcBorders>
            <w:shd w:val="clear" w:color="auto" w:fill="auto"/>
            <w:noWrap/>
            <w:vAlign w:val="center"/>
          </w:tcPr>
          <w:p w14:paraId="24653B2A">
            <w:pPr>
              <w:widowControl/>
              <w:jc w:val="left"/>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同意</w:t>
            </w:r>
          </w:p>
        </w:tc>
        <w:tc>
          <w:tcPr>
            <w:tcW w:w="239" w:type="pct"/>
            <w:gridSpan w:val="2"/>
            <w:tcBorders>
              <w:top w:val="nil"/>
              <w:left w:val="nil"/>
              <w:bottom w:val="single" w:color="auto" w:sz="4" w:space="0"/>
              <w:right w:val="single" w:color="auto" w:sz="4" w:space="0"/>
            </w:tcBorders>
            <w:shd w:val="clear" w:color="auto" w:fill="auto"/>
            <w:noWrap/>
            <w:vAlign w:val="center"/>
          </w:tcPr>
          <w:p w14:paraId="56841458">
            <w:pPr>
              <w:widowControl/>
              <w:jc w:val="left"/>
              <w:rPr>
                <w:rFonts w:hint="default" w:ascii="Times New Roman" w:hAnsi="Times New Roman" w:eastAsia="宋体" w:cs="Times New Roman"/>
                <w:color w:val="000000"/>
                <w:kern w:val="0"/>
                <w:sz w:val="21"/>
                <w:szCs w:val="21"/>
              </w:rPr>
            </w:pPr>
          </w:p>
        </w:tc>
      </w:tr>
      <w:tr w14:paraId="5BD3EDE8">
        <w:tblPrEx>
          <w:tblCellMar>
            <w:top w:w="0" w:type="dxa"/>
            <w:left w:w="108" w:type="dxa"/>
            <w:bottom w:w="0" w:type="dxa"/>
            <w:right w:w="108" w:type="dxa"/>
          </w:tblCellMar>
        </w:tblPrEx>
        <w:trPr>
          <w:trHeight w:val="1724" w:hRule="atLeast"/>
        </w:trPr>
        <w:tc>
          <w:tcPr>
            <w:tcW w:w="5000" w:type="pct"/>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532E4657">
            <w:pPr>
              <w:widowControl/>
              <w:jc w:val="left"/>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b/>
                <w:bCs/>
                <w:color w:val="auto"/>
                <w:kern w:val="0"/>
                <w:sz w:val="21"/>
                <w:szCs w:val="21"/>
              </w:rPr>
              <w:t>下一步要求（</w:t>
            </w:r>
            <w:r>
              <w:rPr>
                <w:rFonts w:hint="eastAsia" w:cs="Times New Roman"/>
                <w:b/>
                <w:bCs/>
                <w:color w:val="auto"/>
                <w:kern w:val="0"/>
                <w:sz w:val="21"/>
                <w:szCs w:val="21"/>
                <w:lang w:val="en-US" w:eastAsia="zh-CN"/>
              </w:rPr>
              <w:t>预审</w:t>
            </w:r>
            <w:r>
              <w:rPr>
                <w:rFonts w:hint="default" w:ascii="Times New Roman" w:hAnsi="Times New Roman" w:eastAsia="宋体" w:cs="Times New Roman"/>
                <w:b/>
                <w:bCs/>
                <w:color w:val="auto"/>
                <w:kern w:val="0"/>
                <w:sz w:val="21"/>
                <w:szCs w:val="21"/>
              </w:rPr>
              <w:t>会）</w:t>
            </w:r>
            <w:r>
              <w:rPr>
                <w:rFonts w:hint="default" w:ascii="Times New Roman" w:hAnsi="Times New Roman" w:eastAsia="宋体" w:cs="Times New Roman"/>
                <w:color w:val="auto"/>
                <w:kern w:val="0"/>
                <w:sz w:val="21"/>
                <w:szCs w:val="21"/>
              </w:rPr>
              <w:t>：</w:t>
            </w:r>
            <w:r>
              <w:rPr>
                <w:rFonts w:hint="eastAsia" w:cs="Times New Roman"/>
                <w:color w:val="auto"/>
                <w:kern w:val="0"/>
                <w:sz w:val="21"/>
                <w:szCs w:val="21"/>
                <w:lang w:val="en-US" w:eastAsia="zh-CN"/>
              </w:rPr>
              <w:t>2024年8月对本规范进行预审。</w:t>
            </w:r>
          </w:p>
        </w:tc>
      </w:tr>
    </w:tbl>
    <w:p w14:paraId="2CC5E6DA">
      <w:pPr>
        <w:pStyle w:val="58"/>
        <w:spacing w:line="360" w:lineRule="auto"/>
        <w:ind w:firstLine="420"/>
        <w:rPr>
          <w:rFonts w:hint="eastAsia" w:ascii="黑体" w:hAnsi="Times New Roman" w:eastAsia="黑体" w:cs="Times New Roman"/>
          <w:color w:val="auto"/>
          <w:spacing w:val="-4"/>
          <w:sz w:val="24"/>
          <w:szCs w:val="24"/>
          <w:lang w:val="en-US" w:eastAsia="zh-CN" w:bidi="ar-SA"/>
        </w:rPr>
      </w:pPr>
    </w:p>
    <w:p w14:paraId="6F746025">
      <w:pPr>
        <w:pStyle w:val="58"/>
        <w:spacing w:line="360" w:lineRule="auto"/>
        <w:ind w:left="0" w:leftChars="0" w:firstLine="0" w:firstLineChars="0"/>
        <w:jc w:val="both"/>
        <w:rPr>
          <w:rFonts w:hint="default" w:ascii="黑体" w:hAnsi="Times New Roman" w:eastAsia="黑体" w:cs="Times New Roman"/>
          <w:color w:val="auto"/>
          <w:spacing w:val="-4"/>
          <w:sz w:val="24"/>
          <w:szCs w:val="24"/>
          <w:lang w:val="en-US" w:eastAsia="zh-CN" w:bidi="ar-SA"/>
        </w:rPr>
      </w:pPr>
      <w:r>
        <w:rPr>
          <w:rFonts w:hint="default" w:ascii="黑体" w:hAnsi="Times New Roman" w:eastAsia="黑体" w:cs="Times New Roman"/>
          <w:color w:val="auto"/>
          <w:spacing w:val="-4"/>
          <w:sz w:val="24"/>
          <w:szCs w:val="24"/>
          <w:lang w:val="en-US" w:eastAsia="zh-CN" w:bidi="ar-SA"/>
        </w:rPr>
        <w:t>4.3 有色金属计量技术规范研讨会</w:t>
      </w:r>
    </w:p>
    <w:p w14:paraId="43CDDDD5">
      <w:pPr>
        <w:pStyle w:val="58"/>
        <w:spacing w:line="324" w:lineRule="auto"/>
        <w:ind w:firstLine="420"/>
        <w:rPr>
          <w:rFonts w:hint="default"/>
          <w:sz w:val="24"/>
          <w:szCs w:val="24"/>
          <w:lang w:val="en-US" w:eastAsia="zh-CN"/>
        </w:rPr>
      </w:pPr>
      <w:r>
        <w:rPr>
          <w:rFonts w:hint="eastAsia"/>
          <w:sz w:val="24"/>
          <w:szCs w:val="24"/>
          <w:lang w:val="en-US" w:eastAsia="zh-CN"/>
        </w:rPr>
        <w:t>XXX</w:t>
      </w:r>
    </w:p>
    <w:p w14:paraId="44EC2513">
      <w:pPr>
        <w:pStyle w:val="58"/>
        <w:spacing w:line="324" w:lineRule="auto"/>
        <w:ind w:firstLine="420"/>
        <w:jc w:val="center"/>
        <w:rPr>
          <w:rFonts w:hint="default"/>
          <w:sz w:val="24"/>
          <w:szCs w:val="24"/>
          <w:lang w:val="en-US" w:eastAsia="zh-CN"/>
        </w:rPr>
      </w:pPr>
      <w:r>
        <w:rPr>
          <w:rFonts w:hint="eastAsia" w:ascii="黑体" w:hAnsi="黑体" w:eastAsia="黑体" w:cs="黑体"/>
          <w:kern w:val="0"/>
          <w:sz w:val="21"/>
          <w:szCs w:val="21"/>
          <w:highlight w:val="none"/>
          <w:lang w:val="en-US" w:eastAsia="zh-CN" w:bidi="ar-SA"/>
        </w:rPr>
        <w:t>表2 有色金属计量技术规范研讨会会议纪要-青岛</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8"/>
      </w:tblGrid>
      <w:tr w14:paraId="55E42796">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CCAC77">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14:paraId="5BA2A072">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14:paraId="31777D5D">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14:paraId="5C73CBBF">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14:paraId="2AFE7DB0">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14:paraId="19296ED4">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14:paraId="4F826EBC">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tcBorders>
              <w:top w:val="single" w:color="auto" w:sz="4" w:space="0"/>
              <w:left w:val="nil"/>
              <w:bottom w:val="single" w:color="auto" w:sz="4" w:space="0"/>
              <w:right w:val="single" w:color="auto" w:sz="4" w:space="0"/>
            </w:tcBorders>
            <w:shd w:val="clear" w:color="auto" w:fill="auto"/>
            <w:noWrap/>
            <w:vAlign w:val="center"/>
          </w:tcPr>
          <w:p w14:paraId="7D7F6DAD">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14:paraId="6B0EE20C">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32812702">
            <w:pPr>
              <w:pStyle w:val="302"/>
              <w:widowControl/>
              <w:numPr>
                <w:ilvl w:val="0"/>
                <w:numId w:val="0"/>
              </w:numPr>
              <w:ind w:leftChars="0"/>
              <w:jc w:val="both"/>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750C81A7">
            <w:pPr>
              <w:widowControl/>
              <w:jc w:val="left"/>
              <w:rPr>
                <w:rFonts w:hint="default" w:ascii="Times New Roman" w:hAnsi="Times New Roman" w:eastAsia="宋体" w:cs="Times New Roman"/>
                <w:color w:val="000000"/>
                <w:kern w:val="0"/>
                <w:sz w:val="21"/>
                <w:szCs w:val="21"/>
                <w:lang w:val="en-US" w:eastAsia="zh-CN"/>
              </w:rPr>
            </w:pPr>
          </w:p>
        </w:tc>
        <w:tc>
          <w:tcPr>
            <w:tcW w:w="2311" w:type="pct"/>
            <w:tcBorders>
              <w:top w:val="nil"/>
              <w:left w:val="nil"/>
              <w:bottom w:val="single" w:color="auto" w:sz="4" w:space="0"/>
              <w:right w:val="single" w:color="auto" w:sz="4" w:space="0"/>
            </w:tcBorders>
            <w:shd w:val="clear" w:color="auto" w:fill="auto"/>
            <w:noWrap/>
            <w:vAlign w:val="center"/>
          </w:tcPr>
          <w:p w14:paraId="2616552A">
            <w:pPr>
              <w:widowControl/>
              <w:jc w:val="left"/>
              <w:rPr>
                <w:rFonts w:hint="default" w:ascii="Times New Roman" w:hAnsi="Times New Roman" w:eastAsia="宋体" w:cs="Times New Roman"/>
                <w:color w:val="000000"/>
                <w:kern w:val="0"/>
                <w:sz w:val="21"/>
                <w:szCs w:val="21"/>
                <w:lang w:val="en-US" w:eastAsia="zh-CN"/>
              </w:rPr>
            </w:pPr>
          </w:p>
        </w:tc>
        <w:tc>
          <w:tcPr>
            <w:tcW w:w="736" w:type="pct"/>
            <w:tcBorders>
              <w:top w:val="nil"/>
              <w:left w:val="nil"/>
              <w:bottom w:val="single" w:color="auto" w:sz="4" w:space="0"/>
              <w:right w:val="single" w:color="auto" w:sz="4" w:space="0"/>
            </w:tcBorders>
            <w:shd w:val="clear" w:color="auto" w:fill="auto"/>
            <w:noWrap/>
            <w:vAlign w:val="center"/>
          </w:tcPr>
          <w:p w14:paraId="72EF0FB2">
            <w:pPr>
              <w:widowControl/>
              <w:jc w:val="left"/>
              <w:rPr>
                <w:rFonts w:hint="default" w:ascii="Times New Roman" w:hAnsi="Times New Roman" w:eastAsia="宋体" w:cs="Times New Roman"/>
                <w:color w:val="000000"/>
                <w:kern w:val="0"/>
                <w:sz w:val="21"/>
                <w:szCs w:val="21"/>
                <w:lang w:val="en-US" w:eastAsia="zh-CN"/>
              </w:rPr>
            </w:pPr>
          </w:p>
        </w:tc>
        <w:tc>
          <w:tcPr>
            <w:tcW w:w="740" w:type="pct"/>
            <w:tcBorders>
              <w:top w:val="nil"/>
              <w:left w:val="nil"/>
              <w:bottom w:val="single" w:color="auto" w:sz="4" w:space="0"/>
              <w:right w:val="single" w:color="auto" w:sz="4" w:space="0"/>
            </w:tcBorders>
            <w:shd w:val="clear" w:color="auto" w:fill="auto"/>
            <w:noWrap/>
            <w:vAlign w:val="center"/>
          </w:tcPr>
          <w:p w14:paraId="5F22514A">
            <w:pPr>
              <w:widowControl/>
              <w:jc w:val="left"/>
              <w:rPr>
                <w:rFonts w:hint="default" w:ascii="Times New Roman" w:hAnsi="Times New Roman" w:eastAsia="宋体" w:cs="Times New Roman"/>
                <w:color w:val="000000"/>
                <w:kern w:val="0"/>
                <w:sz w:val="21"/>
                <w:szCs w:val="21"/>
                <w:lang w:val="en-US" w:eastAsia="zh-CN"/>
              </w:rPr>
            </w:pPr>
          </w:p>
        </w:tc>
        <w:tc>
          <w:tcPr>
            <w:tcW w:w="239" w:type="pct"/>
            <w:tcBorders>
              <w:top w:val="nil"/>
              <w:left w:val="nil"/>
              <w:bottom w:val="single" w:color="auto" w:sz="4" w:space="0"/>
              <w:right w:val="single" w:color="auto" w:sz="4" w:space="0"/>
            </w:tcBorders>
            <w:shd w:val="clear" w:color="auto" w:fill="auto"/>
            <w:noWrap/>
            <w:vAlign w:val="center"/>
          </w:tcPr>
          <w:p w14:paraId="7193CB5D">
            <w:pPr>
              <w:widowControl/>
              <w:jc w:val="left"/>
              <w:rPr>
                <w:rFonts w:hint="default" w:ascii="Times New Roman" w:hAnsi="Times New Roman" w:eastAsia="宋体" w:cs="Times New Roman"/>
                <w:color w:val="000000"/>
                <w:kern w:val="0"/>
                <w:sz w:val="21"/>
                <w:szCs w:val="21"/>
              </w:rPr>
            </w:pPr>
          </w:p>
        </w:tc>
      </w:tr>
      <w:tr w14:paraId="4764CE8B">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7116C278">
            <w:pPr>
              <w:pStyle w:val="302"/>
              <w:widowControl/>
              <w:numPr>
                <w:ilvl w:val="0"/>
                <w:numId w:val="0"/>
              </w:numPr>
              <w:ind w:leftChars="0"/>
              <w:jc w:val="both"/>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4FAD6409">
            <w:pPr>
              <w:widowControl/>
              <w:jc w:val="left"/>
              <w:rPr>
                <w:rFonts w:hint="default" w:ascii="Times New Roman" w:hAnsi="Times New Roman" w:eastAsia="宋体" w:cs="Times New Roman"/>
                <w:color w:val="000000"/>
                <w:kern w:val="0"/>
                <w:sz w:val="21"/>
                <w:szCs w:val="21"/>
                <w:lang w:val="en-US" w:eastAsia="zh-CN"/>
              </w:rPr>
            </w:pPr>
          </w:p>
        </w:tc>
        <w:tc>
          <w:tcPr>
            <w:tcW w:w="2311" w:type="pct"/>
            <w:tcBorders>
              <w:top w:val="nil"/>
              <w:left w:val="nil"/>
              <w:bottom w:val="single" w:color="auto" w:sz="4" w:space="0"/>
              <w:right w:val="single" w:color="auto" w:sz="4" w:space="0"/>
            </w:tcBorders>
            <w:shd w:val="clear" w:color="auto" w:fill="auto"/>
            <w:noWrap/>
            <w:vAlign w:val="center"/>
          </w:tcPr>
          <w:p w14:paraId="4F5A47CA">
            <w:pPr>
              <w:widowControl/>
              <w:jc w:val="left"/>
              <w:rPr>
                <w:rFonts w:hint="default" w:ascii="Times New Roman" w:hAnsi="Times New Roman" w:eastAsia="宋体" w:cs="Times New Roman"/>
                <w:color w:val="000000"/>
                <w:kern w:val="0"/>
                <w:sz w:val="21"/>
                <w:szCs w:val="21"/>
                <w:lang w:val="en-US"/>
              </w:rPr>
            </w:pPr>
          </w:p>
        </w:tc>
        <w:tc>
          <w:tcPr>
            <w:tcW w:w="736" w:type="pct"/>
            <w:tcBorders>
              <w:top w:val="nil"/>
              <w:left w:val="nil"/>
              <w:bottom w:val="single" w:color="auto" w:sz="4" w:space="0"/>
              <w:right w:val="single" w:color="auto" w:sz="4" w:space="0"/>
            </w:tcBorders>
            <w:shd w:val="clear" w:color="auto" w:fill="auto"/>
            <w:noWrap/>
            <w:vAlign w:val="center"/>
          </w:tcPr>
          <w:p w14:paraId="4566A352">
            <w:pPr>
              <w:widowControl/>
              <w:jc w:val="left"/>
              <w:rPr>
                <w:rFonts w:hint="default" w:ascii="Times New Roman" w:hAnsi="Times New Roman" w:eastAsia="宋体" w:cs="Times New Roman"/>
                <w:color w:val="000000"/>
                <w:kern w:val="0"/>
                <w:sz w:val="21"/>
                <w:szCs w:val="21"/>
              </w:rPr>
            </w:pPr>
          </w:p>
        </w:tc>
        <w:tc>
          <w:tcPr>
            <w:tcW w:w="740" w:type="pct"/>
            <w:tcBorders>
              <w:top w:val="nil"/>
              <w:left w:val="nil"/>
              <w:bottom w:val="single" w:color="auto" w:sz="4" w:space="0"/>
              <w:right w:val="single" w:color="auto" w:sz="4" w:space="0"/>
            </w:tcBorders>
            <w:shd w:val="clear" w:color="auto" w:fill="auto"/>
            <w:noWrap/>
            <w:vAlign w:val="center"/>
          </w:tcPr>
          <w:p w14:paraId="476B8545">
            <w:pPr>
              <w:widowControl/>
              <w:jc w:val="left"/>
              <w:rPr>
                <w:rFonts w:hint="default" w:ascii="Times New Roman" w:hAnsi="Times New Roman" w:eastAsia="宋体" w:cs="Times New Roman"/>
                <w:color w:val="000000"/>
                <w:kern w:val="0"/>
                <w:sz w:val="21"/>
                <w:szCs w:val="21"/>
              </w:rPr>
            </w:pPr>
          </w:p>
        </w:tc>
        <w:tc>
          <w:tcPr>
            <w:tcW w:w="239" w:type="pct"/>
            <w:tcBorders>
              <w:top w:val="nil"/>
              <w:left w:val="nil"/>
              <w:bottom w:val="single" w:color="auto" w:sz="4" w:space="0"/>
              <w:right w:val="single" w:color="auto" w:sz="4" w:space="0"/>
            </w:tcBorders>
            <w:shd w:val="clear" w:color="auto" w:fill="auto"/>
            <w:noWrap/>
            <w:vAlign w:val="center"/>
          </w:tcPr>
          <w:p w14:paraId="4FD2C78D">
            <w:pPr>
              <w:widowControl/>
              <w:jc w:val="left"/>
              <w:rPr>
                <w:rFonts w:hint="default" w:ascii="Times New Roman" w:hAnsi="Times New Roman" w:eastAsia="宋体" w:cs="Times New Roman"/>
                <w:color w:val="000000"/>
                <w:kern w:val="0"/>
                <w:sz w:val="21"/>
                <w:szCs w:val="21"/>
              </w:rPr>
            </w:pPr>
          </w:p>
        </w:tc>
      </w:tr>
      <w:tr w14:paraId="2BF7A867">
        <w:tblPrEx>
          <w:tblCellMar>
            <w:top w:w="0" w:type="dxa"/>
            <w:left w:w="108" w:type="dxa"/>
            <w:bottom w:w="0" w:type="dxa"/>
            <w:right w:w="108" w:type="dxa"/>
          </w:tblCellMar>
        </w:tblPrEx>
        <w:trPr>
          <w:trHeight w:val="1490"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7496471D">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auto"/>
                <w:kern w:val="0"/>
                <w:sz w:val="21"/>
                <w:szCs w:val="21"/>
              </w:rPr>
              <w:t>下一步要求（</w:t>
            </w:r>
            <w:r>
              <w:rPr>
                <w:rFonts w:hint="default" w:ascii="Times New Roman" w:hAnsi="Times New Roman" w:eastAsia="宋体" w:cs="Times New Roman"/>
                <w:b/>
                <w:bCs/>
                <w:color w:val="auto"/>
                <w:kern w:val="0"/>
                <w:sz w:val="21"/>
                <w:szCs w:val="21"/>
                <w:lang w:val="en-US" w:eastAsia="zh-CN"/>
              </w:rPr>
              <w:t>审定会</w:t>
            </w:r>
            <w:r>
              <w:rPr>
                <w:rFonts w:hint="default" w:ascii="Times New Roman" w:hAnsi="Times New Roman" w:eastAsia="宋体" w:cs="Times New Roman"/>
                <w:b/>
                <w:bCs/>
                <w:color w:val="auto"/>
                <w:kern w:val="0"/>
                <w:sz w:val="21"/>
                <w:szCs w:val="21"/>
              </w:rPr>
              <w:t>）</w:t>
            </w:r>
            <w:r>
              <w:rPr>
                <w:rFonts w:hint="default" w:ascii="Times New Roman" w:hAnsi="Times New Roman" w:eastAsia="宋体" w:cs="Times New Roman"/>
                <w:color w:val="auto"/>
                <w:kern w:val="0"/>
                <w:sz w:val="21"/>
                <w:szCs w:val="21"/>
              </w:rPr>
              <w:t>：</w:t>
            </w:r>
          </w:p>
        </w:tc>
      </w:tr>
    </w:tbl>
    <w:p w14:paraId="058182DC">
      <w:pPr>
        <w:rPr>
          <w:rFonts w:hint="default" w:ascii="黑体" w:hAnsi="Times New Roman" w:eastAsia="黑体" w:cs="Times New Roman"/>
          <w:color w:val="auto"/>
          <w:spacing w:val="-4"/>
          <w:sz w:val="24"/>
          <w:szCs w:val="24"/>
          <w:lang w:val="en-US" w:eastAsia="zh-CN" w:bidi="ar-SA"/>
        </w:rPr>
      </w:pPr>
      <w:r>
        <w:rPr>
          <w:rFonts w:hint="default" w:ascii="黑体" w:hAnsi="Times New Roman" w:eastAsia="黑体" w:cs="Times New Roman"/>
          <w:color w:val="auto"/>
          <w:spacing w:val="-4"/>
          <w:sz w:val="24"/>
          <w:szCs w:val="24"/>
          <w:lang w:val="en-US" w:eastAsia="zh-CN" w:bidi="ar-SA"/>
        </w:rPr>
        <w:t>4.</w:t>
      </w:r>
      <w:r>
        <w:rPr>
          <w:rFonts w:hint="eastAsia" w:ascii="黑体" w:eastAsia="黑体" w:cs="Times New Roman"/>
          <w:color w:val="auto"/>
          <w:spacing w:val="-4"/>
          <w:sz w:val="24"/>
          <w:szCs w:val="24"/>
          <w:lang w:val="en-US" w:eastAsia="zh-CN" w:bidi="ar-SA"/>
        </w:rPr>
        <w:t>4</w:t>
      </w:r>
      <w:r>
        <w:rPr>
          <w:rFonts w:hint="default" w:ascii="黑体" w:hAnsi="Times New Roman" w:eastAsia="黑体" w:cs="Times New Roman"/>
          <w:color w:val="auto"/>
          <w:spacing w:val="-4"/>
          <w:sz w:val="24"/>
          <w:szCs w:val="24"/>
          <w:lang w:val="en-US" w:eastAsia="zh-CN" w:bidi="ar-SA"/>
        </w:rPr>
        <w:t xml:space="preserve"> 有色金属计量技术规范研讨会</w:t>
      </w:r>
    </w:p>
    <w:p w14:paraId="11116286">
      <w:pPr>
        <w:rPr>
          <w:rFonts w:hint="default" w:ascii="宋体" w:hAnsi="宋体" w:eastAsia="宋体" w:cs="Times New Roman"/>
          <w:kern w:val="0"/>
          <w:sz w:val="24"/>
          <w:szCs w:val="24"/>
          <w:lang w:val="en-US" w:eastAsia="zh-CN" w:bidi="ar-SA"/>
        </w:rPr>
      </w:pPr>
    </w:p>
    <w:p w14:paraId="3EC6910D">
      <w:pPr>
        <w:pStyle w:val="74"/>
        <w:numPr>
          <w:ilvl w:val="0"/>
          <w:numId w:val="11"/>
        </w:numPr>
        <w:tabs>
          <w:tab w:val="left" w:pos="426"/>
        </w:tabs>
        <w:spacing w:before="312" w:beforeLines="100" w:after="312" w:afterLines="100"/>
        <w:ind w:hangingChars="200"/>
        <w:jc w:val="left"/>
      </w:pPr>
      <w:bookmarkStart w:id="21" w:name="_Toc464728924"/>
      <w:r>
        <w:rPr>
          <w:rFonts w:hint="eastAsia"/>
          <w:sz w:val="24"/>
          <w:szCs w:val="24"/>
          <w:lang w:eastAsia="zh-CN"/>
        </w:rPr>
        <w:t>规范</w:t>
      </w:r>
      <w:r>
        <w:rPr>
          <w:rFonts w:hint="eastAsia"/>
          <w:sz w:val="24"/>
          <w:szCs w:val="24"/>
        </w:rPr>
        <w:t>编制原则和确定主要内容</w:t>
      </w:r>
      <w:bookmarkEnd w:id="21"/>
    </w:p>
    <w:p w14:paraId="2B3DD5EC">
      <w:pPr>
        <w:pStyle w:val="79"/>
        <w:wordWrap/>
        <w:spacing w:beforeLines="0" w:after="156" w:line="360" w:lineRule="auto"/>
        <w:rPr>
          <w:sz w:val="24"/>
          <w:szCs w:val="24"/>
        </w:rPr>
      </w:pPr>
      <w:bookmarkStart w:id="22" w:name="_Toc464728925"/>
      <w:r>
        <w:rPr>
          <w:rFonts w:hint="eastAsia"/>
          <w:sz w:val="24"/>
          <w:szCs w:val="24"/>
        </w:rPr>
        <w:t>编制原则</w:t>
      </w:r>
      <w:bookmarkEnd w:id="22"/>
    </w:p>
    <w:p w14:paraId="77CECC42">
      <w:pPr>
        <w:pStyle w:val="58"/>
        <w:numPr>
          <w:ilvl w:val="0"/>
          <w:numId w:val="13"/>
        </w:numPr>
        <w:spacing w:line="324" w:lineRule="auto"/>
        <w:ind w:firstLine="420"/>
        <w:rPr>
          <w:sz w:val="24"/>
          <w:szCs w:val="24"/>
        </w:rPr>
      </w:pPr>
      <w:bookmarkStart w:id="23" w:name="_Toc464728926"/>
      <w:r>
        <w:rPr>
          <w:rFonts w:hint="eastAsia"/>
          <w:sz w:val="24"/>
          <w:szCs w:val="24"/>
        </w:rPr>
        <w:t>保证有色行业的特殊性和适用性</w:t>
      </w:r>
    </w:p>
    <w:p w14:paraId="28E658A9">
      <w:pPr>
        <w:pStyle w:val="58"/>
        <w:numPr>
          <w:ilvl w:val="0"/>
          <w:numId w:val="13"/>
        </w:numPr>
        <w:spacing w:line="324" w:lineRule="auto"/>
        <w:ind w:firstLine="420"/>
        <w:rPr>
          <w:sz w:val="24"/>
          <w:szCs w:val="24"/>
        </w:rPr>
      </w:pPr>
      <w:r>
        <w:rPr>
          <w:rFonts w:hint="eastAsia"/>
          <w:sz w:val="24"/>
          <w:szCs w:val="24"/>
        </w:rPr>
        <w:t>保证</w:t>
      </w:r>
      <w:r>
        <w:rPr>
          <w:rFonts w:hint="eastAsia"/>
          <w:sz w:val="24"/>
          <w:szCs w:val="24"/>
          <w:lang w:val="en-US" w:eastAsia="zh-CN"/>
        </w:rPr>
        <w:t>校准规范</w:t>
      </w:r>
      <w:r>
        <w:rPr>
          <w:rFonts w:hint="eastAsia"/>
          <w:sz w:val="24"/>
          <w:szCs w:val="24"/>
        </w:rPr>
        <w:t>的规范性</w:t>
      </w:r>
    </w:p>
    <w:p w14:paraId="13EC16D1">
      <w:pPr>
        <w:pStyle w:val="58"/>
        <w:numPr>
          <w:ilvl w:val="0"/>
          <w:numId w:val="13"/>
        </w:numPr>
        <w:spacing w:line="324" w:lineRule="auto"/>
        <w:ind w:firstLine="420"/>
        <w:rPr>
          <w:sz w:val="24"/>
          <w:szCs w:val="24"/>
        </w:rPr>
      </w:pPr>
      <w:r>
        <w:rPr>
          <w:rFonts w:hint="eastAsia"/>
          <w:sz w:val="24"/>
          <w:szCs w:val="24"/>
          <w:lang w:val="en-US" w:eastAsia="zh-CN"/>
        </w:rPr>
        <w:t>保证校准规范</w:t>
      </w:r>
      <w:r>
        <w:rPr>
          <w:rFonts w:hint="eastAsia"/>
          <w:sz w:val="24"/>
          <w:szCs w:val="24"/>
        </w:rPr>
        <w:t>的</w:t>
      </w:r>
      <w:r>
        <w:rPr>
          <w:rFonts w:hint="eastAsia"/>
          <w:sz w:val="24"/>
          <w:szCs w:val="24"/>
          <w:lang w:val="en-US" w:eastAsia="zh-CN"/>
        </w:rPr>
        <w:t>可操作</w:t>
      </w:r>
      <w:r>
        <w:rPr>
          <w:rFonts w:hint="eastAsia"/>
          <w:sz w:val="24"/>
          <w:szCs w:val="24"/>
        </w:rPr>
        <w:t>性</w:t>
      </w:r>
    </w:p>
    <w:p w14:paraId="4DF15DBB">
      <w:pPr>
        <w:pStyle w:val="79"/>
        <w:spacing w:before="312" w:beforeLines="100" w:after="312" w:afterLines="100"/>
        <w:rPr>
          <w:rFonts w:ascii="宋体" w:hAnsi="宋体"/>
          <w:sz w:val="24"/>
          <w:szCs w:val="24"/>
        </w:rPr>
      </w:pPr>
      <w:r>
        <w:rPr>
          <w:rFonts w:hint="eastAsia"/>
          <w:sz w:val="24"/>
          <w:szCs w:val="24"/>
        </w:rPr>
        <w:t>确定主要内</w:t>
      </w:r>
      <w:bookmarkEnd w:id="23"/>
      <w:r>
        <w:rPr>
          <w:rFonts w:hint="eastAsia"/>
          <w:sz w:val="24"/>
          <w:szCs w:val="24"/>
        </w:rPr>
        <w:t>容</w:t>
      </w:r>
    </w:p>
    <w:p w14:paraId="4953CC06">
      <w:pPr>
        <w:pStyle w:val="61"/>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bookmarkStart w:id="24" w:name="_Toc464728964"/>
      <w:r>
        <w:rPr>
          <w:rFonts w:hint="eastAsia" w:hAnsi="黑体"/>
          <w:sz w:val="24"/>
          <w:szCs w:val="24"/>
          <w:lang w:val="en-US" w:eastAsia="zh-CN"/>
        </w:rPr>
        <w:t xml:space="preserve">1 </w:t>
      </w:r>
      <w:r>
        <w:rPr>
          <w:rFonts w:hint="eastAsia" w:hAnsi="黑体"/>
          <w:sz w:val="24"/>
          <w:szCs w:val="24"/>
        </w:rPr>
        <w:t>范围</w:t>
      </w:r>
    </w:p>
    <w:p w14:paraId="026C9A7F">
      <w:pPr>
        <w:pStyle w:val="58"/>
        <w:spacing w:line="360" w:lineRule="auto"/>
        <w:ind w:firstLine="480"/>
        <w:rPr>
          <w:rFonts w:hint="eastAsia" w:eastAsia="宋体"/>
          <w:color w:val="auto"/>
          <w:sz w:val="24"/>
          <w:szCs w:val="24"/>
          <w:lang w:val="en-US" w:eastAsia="zh-CN"/>
        </w:rPr>
      </w:pPr>
      <w:r>
        <w:rPr>
          <w:rFonts w:hint="eastAsia" w:ascii="Times New Roman"/>
          <w:sz w:val="24"/>
          <w:szCs w:val="24"/>
          <w:highlight w:val="none"/>
        </w:rPr>
        <w:t>本规范适用</w:t>
      </w:r>
      <w:r>
        <w:rPr>
          <w:rFonts w:hint="eastAsia" w:ascii="Times New Roman"/>
          <w:sz w:val="24"/>
          <w:szCs w:val="24"/>
          <w:highlight w:val="none"/>
          <w:lang w:val="en-US" w:eastAsia="zh-CN"/>
        </w:rPr>
        <w:t>于有色金属行业用（500~2000）℃的热处理设备所配备的控制仪表</w:t>
      </w:r>
      <w:r>
        <w:rPr>
          <w:rFonts w:hint="eastAsia" w:ascii="Times New Roman"/>
          <w:sz w:val="24"/>
          <w:szCs w:val="24"/>
          <w:highlight w:val="none"/>
        </w:rPr>
        <w:t>等（以下简称</w:t>
      </w:r>
      <w:r>
        <w:rPr>
          <w:rFonts w:hint="eastAsia" w:ascii="Times New Roman"/>
          <w:sz w:val="24"/>
          <w:szCs w:val="24"/>
          <w:highlight w:val="none"/>
          <w:lang w:val="en-US" w:eastAsia="zh-CN"/>
        </w:rPr>
        <w:t>数字温度指示仪调节仪</w:t>
      </w:r>
      <w:r>
        <w:rPr>
          <w:rFonts w:hint="eastAsia" w:ascii="Times New Roman"/>
          <w:sz w:val="24"/>
          <w:szCs w:val="24"/>
          <w:highlight w:val="none"/>
        </w:rPr>
        <w:t>）</w:t>
      </w:r>
      <w:r>
        <w:rPr>
          <w:rFonts w:ascii="Times New Roman"/>
          <w:sz w:val="24"/>
          <w:szCs w:val="24"/>
          <w:highlight w:val="none"/>
        </w:rPr>
        <w:t>的校准。</w:t>
      </w:r>
    </w:p>
    <w:p w14:paraId="31130710">
      <w:pPr>
        <w:pStyle w:val="58"/>
        <w:spacing w:line="324" w:lineRule="auto"/>
        <w:ind w:firstLine="420"/>
        <w:rPr>
          <w:rFonts w:hint="eastAsia"/>
          <w:sz w:val="24"/>
          <w:szCs w:val="24"/>
          <w:lang w:val="en-US" w:eastAsia="zh-CN"/>
        </w:rPr>
      </w:pPr>
      <w:r>
        <w:rPr>
          <w:rFonts w:hint="eastAsia"/>
          <w:sz w:val="24"/>
          <w:szCs w:val="24"/>
          <w:lang w:val="en-US" w:eastAsia="zh-CN"/>
        </w:rPr>
        <w:t>编制理由：</w:t>
      </w:r>
    </w:p>
    <w:p w14:paraId="7621C98D">
      <w:pPr>
        <w:pStyle w:val="58"/>
        <w:spacing w:line="324" w:lineRule="auto"/>
        <w:ind w:firstLine="420"/>
        <w:rPr>
          <w:rFonts w:hint="eastAsia"/>
          <w:sz w:val="24"/>
          <w:szCs w:val="24"/>
        </w:rPr>
      </w:pPr>
      <w:r>
        <w:rPr>
          <w:rFonts w:hint="eastAsia"/>
          <w:sz w:val="24"/>
          <w:szCs w:val="24"/>
          <w:lang w:val="en-US" w:eastAsia="zh-CN"/>
        </w:rPr>
        <w:t>1）有色金属行业对于高温试验及热处理的试验精度日益提高，编制适用于有色金属行业的</w:t>
      </w:r>
      <w:r>
        <w:rPr>
          <w:rFonts w:hint="eastAsia" w:ascii="Times New Roman"/>
          <w:sz w:val="24"/>
          <w:szCs w:val="24"/>
          <w:lang w:val="en-US" w:eastAsia="zh-CN"/>
        </w:rPr>
        <w:t>温度指示调节仪</w:t>
      </w:r>
      <w:r>
        <w:rPr>
          <w:rFonts w:hint="eastAsia"/>
          <w:sz w:val="24"/>
          <w:szCs w:val="24"/>
          <w:lang w:val="en-US" w:eastAsia="zh-CN"/>
        </w:rPr>
        <w:t>校准规范势在必行。</w:t>
      </w:r>
    </w:p>
    <w:p w14:paraId="0EF8EA36">
      <w:pPr>
        <w:pStyle w:val="61"/>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r>
        <w:rPr>
          <w:rFonts w:hint="eastAsia" w:hAnsi="黑体"/>
          <w:sz w:val="24"/>
          <w:szCs w:val="24"/>
          <w:lang w:val="en-US" w:eastAsia="zh-CN"/>
        </w:rPr>
        <w:t xml:space="preserve">2 </w:t>
      </w:r>
      <w:r>
        <w:rPr>
          <w:rFonts w:hint="eastAsia" w:hAnsi="黑体"/>
          <w:sz w:val="24"/>
          <w:szCs w:val="24"/>
        </w:rPr>
        <w:t>规范性引用文件</w:t>
      </w:r>
    </w:p>
    <w:p w14:paraId="6814788B">
      <w:pPr>
        <w:pStyle w:val="58"/>
        <w:spacing w:line="324" w:lineRule="auto"/>
        <w:ind w:firstLine="420"/>
        <w:rPr>
          <w:rFonts w:hint="default" w:ascii="Times New Roman"/>
          <w:b/>
          <w:bCs/>
          <w:sz w:val="24"/>
          <w:szCs w:val="24"/>
          <w:lang w:val="en-US" w:eastAsia="zh-CN"/>
        </w:rPr>
      </w:pPr>
      <w:r>
        <w:rPr>
          <w:rFonts w:hint="eastAsia"/>
          <w:sz w:val="24"/>
          <w:szCs w:val="24"/>
          <w:lang w:val="en-US" w:eastAsia="zh-CN"/>
        </w:rPr>
        <w:t>（无）。</w:t>
      </w:r>
    </w:p>
    <w:p w14:paraId="1CC106F5">
      <w:pPr>
        <w:pStyle w:val="58"/>
        <w:spacing w:line="324" w:lineRule="auto"/>
        <w:ind w:left="0" w:leftChars="0" w:firstLine="0" w:firstLineChars="0"/>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3 概述</w:t>
      </w:r>
    </w:p>
    <w:p w14:paraId="3BFCCE5F">
      <w:pPr>
        <w:pStyle w:val="58"/>
        <w:spacing w:line="324" w:lineRule="auto"/>
        <w:ind w:left="0" w:leftChars="0" w:firstLine="480" w:firstLineChars="200"/>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阐述</w:t>
      </w:r>
      <w:r>
        <w:rPr>
          <w:sz w:val="24"/>
          <w:szCs w:val="24"/>
        </w:rPr>
        <w:t>数字温度指示调节仪</w:t>
      </w:r>
      <w:r>
        <w:rPr>
          <w:rFonts w:hint="eastAsia" w:ascii="Times New Roman" w:hAnsi="Times New Roman" w:cs="Times New Roman"/>
          <w:kern w:val="0"/>
          <w:sz w:val="24"/>
          <w:szCs w:val="24"/>
          <w:lang w:val="en-US" w:eastAsia="zh-CN"/>
        </w:rPr>
        <w:t>的工作原理及分类，并附原理图。</w:t>
      </w:r>
    </w:p>
    <w:p w14:paraId="56BA01EB">
      <w:pPr>
        <w:pStyle w:val="58"/>
        <w:spacing w:line="360" w:lineRule="auto"/>
        <w:ind w:left="0" w:leftChars="0" w:firstLine="0" w:firstLineChars="0"/>
        <w:rPr>
          <w:rFonts w:hint="default"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4</w:t>
      </w:r>
      <w:r>
        <w:rPr>
          <w:rFonts w:hint="default" w:ascii="黑体" w:hAnsi="黑体" w:eastAsia="黑体" w:cs="Times New Roman"/>
          <w:sz w:val="24"/>
          <w:szCs w:val="24"/>
          <w:lang w:val="en-US" w:eastAsia="zh-CN" w:bidi="ar-SA"/>
        </w:rPr>
        <w:t xml:space="preserve"> 计量特性</w:t>
      </w:r>
    </w:p>
    <w:p w14:paraId="18C53837">
      <w:pPr>
        <w:pStyle w:val="58"/>
        <w:numPr>
          <w:ilvl w:val="0"/>
          <w:numId w:val="0"/>
        </w:numPr>
        <w:spacing w:line="360" w:lineRule="auto"/>
        <w:ind w:firstLine="480" w:firstLineChars="200"/>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温度示值误差。</w:t>
      </w:r>
    </w:p>
    <w:p w14:paraId="6B931A9C">
      <w:pPr>
        <w:pStyle w:val="58"/>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14:paraId="796931FE">
      <w:pPr>
        <w:pStyle w:val="58"/>
        <w:numPr>
          <w:ilvl w:val="0"/>
          <w:numId w:val="0"/>
        </w:numPr>
        <w:spacing w:line="360" w:lineRule="auto"/>
        <w:ind w:firstLine="480" w:firstLineChars="200"/>
        <w:rPr>
          <w:rFonts w:hint="default" w:ascii="Times New Roman" w:hAnsi="Times New Roman"/>
          <w:color w:val="000000" w:themeColor="text1"/>
          <w:sz w:val="24"/>
          <w:szCs w:val="24"/>
          <w:lang w:val="en-US" w:eastAsia="zh-CN"/>
          <w14:textFill>
            <w14:solidFill>
              <w14:schemeClr w14:val="tx1"/>
            </w14:solidFill>
          </w14:textFill>
        </w:rPr>
      </w:pPr>
      <w:r>
        <w:rPr>
          <w:rFonts w:hint="eastAsia" w:ascii="Times New Roman"/>
          <w:sz w:val="24"/>
          <w:szCs w:val="24"/>
          <w:highlight w:val="none"/>
          <w:lang w:val="en-US" w:eastAsia="zh-CN"/>
        </w:rPr>
        <w:t>对于有色金属行业用的热处理设备所配备的控制仪表，日常校准和使用中，皆是显示温度数值，可以使用过程校验仪表直接对其输入相应类型的热电偶或热电阻信号，反应到仪表显示面板上。Offset中的修正值也是温度值，所以将温度示值误差确认为计量特性。</w:t>
      </w:r>
    </w:p>
    <w:p w14:paraId="32663FDD">
      <w:pPr>
        <w:pStyle w:val="58"/>
        <w:numPr>
          <w:ilvl w:val="0"/>
          <w:numId w:val="0"/>
        </w:numPr>
        <w:spacing w:line="360" w:lineRule="auto"/>
        <w:rPr>
          <w:rFonts w:hint="eastAsia" w:ascii="黑体" w:hAnsi="黑体" w:eastAsia="黑体" w:cs="Times New Roman"/>
          <w:sz w:val="24"/>
          <w:szCs w:val="24"/>
          <w:lang w:val="en-US" w:eastAsia="zh-CN" w:bidi="ar-SA"/>
        </w:rPr>
      </w:pPr>
      <w:r>
        <w:rPr>
          <w:rFonts w:hint="eastAsia" w:ascii="Times New Roman" w:hAnsi="Times New Roman" w:cs="Times New Roman"/>
          <w:color w:val="auto"/>
          <w:spacing w:val="0"/>
          <w:kern w:val="0"/>
          <w:sz w:val="21"/>
          <w:szCs w:val="21"/>
          <w:lang w:val="en-US" w:eastAsia="zh-CN" w:bidi="ar-SA"/>
        </w:rPr>
        <w:t>5</w:t>
      </w:r>
      <w:r>
        <w:rPr>
          <w:rFonts w:hint="eastAsia" w:ascii="黑体" w:hAnsi="黑体" w:eastAsia="黑体" w:cs="Times New Roman"/>
          <w:sz w:val="24"/>
          <w:szCs w:val="24"/>
          <w:lang w:val="en-US" w:eastAsia="zh-CN" w:bidi="ar-SA"/>
        </w:rPr>
        <w:t xml:space="preserve"> 校准条件</w:t>
      </w:r>
    </w:p>
    <w:p w14:paraId="409A0560">
      <w:pPr>
        <w:pStyle w:val="58"/>
        <w:numPr>
          <w:ilvl w:val="0"/>
          <w:numId w:val="0"/>
        </w:numPr>
        <w:spacing w:line="360" w:lineRule="auto"/>
        <w:ind w:firstLine="480" w:firstLineChars="200"/>
        <w:rPr>
          <w:rFonts w:hint="eastAsia"/>
          <w:sz w:val="24"/>
          <w:szCs w:val="24"/>
          <w:lang w:eastAsia="zh-CN"/>
        </w:rPr>
      </w:pPr>
      <w:bookmarkStart w:id="25" w:name="_Toc23828"/>
      <w:bookmarkStart w:id="26" w:name="_Toc28755"/>
      <w:bookmarkStart w:id="27" w:name="_Toc29125"/>
      <w:bookmarkStart w:id="28" w:name="_Toc19088"/>
      <w:r>
        <w:rPr>
          <w:rFonts w:hint="eastAsia"/>
          <w:sz w:val="24"/>
          <w:szCs w:val="24"/>
          <w:lang w:val="en-US" w:eastAsia="zh-CN"/>
        </w:rPr>
        <w:t>环境温度</w:t>
      </w:r>
      <w:r>
        <w:rPr>
          <w:sz w:val="24"/>
        </w:rPr>
        <w:t>（</w:t>
      </w:r>
      <w:r>
        <w:rPr>
          <w:rFonts w:hint="eastAsia"/>
          <w:sz w:val="24"/>
          <w:lang w:val="en-US" w:eastAsia="zh-CN"/>
        </w:rPr>
        <w:t>20±10</w:t>
      </w:r>
      <w:r>
        <w:rPr>
          <w:sz w:val="24"/>
        </w:rPr>
        <w:t>）℃，相对湿度不大于80%的条件下校准，校准过程中温度波动不大于</w:t>
      </w:r>
      <w:r>
        <w:rPr>
          <w:rFonts w:hint="eastAsia"/>
          <w:sz w:val="24"/>
        </w:rPr>
        <w:t>2</w:t>
      </w:r>
      <w:r>
        <w:rPr>
          <w:sz w:val="24"/>
        </w:rPr>
        <w:t>℃。</w:t>
      </w:r>
      <w:bookmarkEnd w:id="25"/>
      <w:bookmarkEnd w:id="26"/>
      <w:bookmarkEnd w:id="27"/>
      <w:bookmarkEnd w:id="28"/>
    </w:p>
    <w:p w14:paraId="18919256">
      <w:pPr>
        <w:pStyle w:val="58"/>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14:paraId="2FA4C369">
      <w:pPr>
        <w:pStyle w:val="58"/>
        <w:numPr>
          <w:ilvl w:val="0"/>
          <w:numId w:val="14"/>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满足试验方法的要求</w:t>
      </w:r>
      <w:r>
        <w:rPr>
          <w:rFonts w:hint="eastAsia" w:ascii="Times New Roman" w:hAnsi="Times New Roman"/>
          <w:color w:val="000000" w:themeColor="text1"/>
          <w:sz w:val="24"/>
          <w:szCs w:val="24"/>
          <w14:textFill>
            <w14:solidFill>
              <w14:schemeClr w14:val="tx1"/>
            </w14:solidFill>
          </w14:textFill>
        </w:rPr>
        <w:t>。</w:t>
      </w:r>
    </w:p>
    <w:p w14:paraId="3F30C20C">
      <w:pPr>
        <w:pStyle w:val="58"/>
        <w:numPr>
          <w:ilvl w:val="0"/>
          <w:numId w:val="14"/>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满足市场上90%以上的仪器制造商规定的环境条件。</w:t>
      </w:r>
    </w:p>
    <w:p w14:paraId="64762C5A">
      <w:pPr>
        <w:pStyle w:val="58"/>
        <w:numPr>
          <w:ilvl w:val="0"/>
          <w:numId w:val="14"/>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经对实验室实际工作环境进行调研得出。</w:t>
      </w:r>
    </w:p>
    <w:p w14:paraId="75B9B923">
      <w:pPr>
        <w:pStyle w:val="58"/>
        <w:numPr>
          <w:ilvl w:val="0"/>
          <w:numId w:val="0"/>
        </w:numPr>
        <w:spacing w:line="360" w:lineRule="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6 测量标准</w:t>
      </w:r>
    </w:p>
    <w:p w14:paraId="0077460D">
      <w:pPr>
        <w:pStyle w:val="58"/>
        <w:numPr>
          <w:ilvl w:val="0"/>
          <w:numId w:val="0"/>
        </w:numPr>
        <w:spacing w:line="360" w:lineRule="auto"/>
        <w:ind w:firstLine="480" w:firstLineChars="200"/>
        <w:rPr>
          <w:rFonts w:hint="eastAsia" w:ascii="Times New Roman" w:hAnsi="Times New Roman" w:cs="Times New Roman"/>
          <w:sz w:val="24"/>
          <w:szCs w:val="24"/>
          <w:lang w:val="en-US" w:eastAsia="zh-CN"/>
        </w:rPr>
      </w:pPr>
      <w:r>
        <w:rPr>
          <w:rFonts w:hint="eastAsia"/>
          <w:sz w:val="24"/>
          <w:szCs w:val="24"/>
        </w:rPr>
        <w:t>规定了</w:t>
      </w:r>
      <w:r>
        <w:rPr>
          <w:sz w:val="24"/>
          <w:szCs w:val="24"/>
        </w:rPr>
        <w:t>数字温度指示调节仪</w:t>
      </w:r>
      <w:r>
        <w:rPr>
          <w:rFonts w:hint="eastAsia"/>
          <w:sz w:val="24"/>
          <w:szCs w:val="24"/>
        </w:rPr>
        <w:t>校准使用的主要</w:t>
      </w:r>
      <w:r>
        <w:rPr>
          <w:rFonts w:hint="eastAsia" w:ascii="Times New Roman" w:hAnsi="Times New Roman"/>
          <w:color w:val="000000" w:themeColor="text1"/>
          <w:sz w:val="24"/>
          <w:szCs w:val="24"/>
          <w14:textFill>
            <w14:solidFill>
              <w14:schemeClr w14:val="tx1"/>
            </w14:solidFill>
          </w14:textFill>
        </w:rPr>
        <w:t>标准器及其他配套设备。</w:t>
      </w:r>
    </w:p>
    <w:p w14:paraId="63C20869">
      <w:pPr>
        <w:pStyle w:val="58"/>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14:paraId="66F4EF3A">
      <w:pPr>
        <w:pStyle w:val="58"/>
        <w:numPr>
          <w:ilvl w:val="0"/>
          <w:numId w:val="15"/>
        </w:numPr>
        <w:spacing w:line="360" w:lineRule="auto"/>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满足实际试验要求。</w:t>
      </w:r>
    </w:p>
    <w:p w14:paraId="1043559F">
      <w:pPr>
        <w:pStyle w:val="58"/>
        <w:numPr>
          <w:ilvl w:val="0"/>
          <w:numId w:val="15"/>
        </w:numPr>
        <w:spacing w:line="360" w:lineRule="auto"/>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对主要标准器及配套设备的技术指标作出说明，</w:t>
      </w:r>
      <w:r>
        <w:rPr>
          <w:rFonts w:hint="eastAsia"/>
          <w:color w:val="000000"/>
          <w:sz w:val="24"/>
          <w:szCs w:val="24"/>
          <w:lang w:val="zh-TW" w:eastAsia="zh-TW" w:bidi="zh-TW"/>
        </w:rPr>
        <w:t>测量标准器</w:t>
      </w:r>
      <w:r>
        <w:rPr>
          <w:color w:val="000000"/>
          <w:sz w:val="24"/>
          <w:szCs w:val="24"/>
          <w:lang w:val="zh-TW" w:eastAsia="zh-TW" w:bidi="zh-TW"/>
        </w:rPr>
        <w:t>温度传感器的数量应满足校准布点要求</w:t>
      </w:r>
      <w:r>
        <w:rPr>
          <w:rFonts w:hint="eastAsia"/>
          <w:color w:val="000000"/>
          <w:sz w:val="24"/>
          <w:szCs w:val="24"/>
          <w:lang w:bidi="zh-TW"/>
        </w:rPr>
        <w:t>。</w:t>
      </w:r>
    </w:p>
    <w:p w14:paraId="6669CB85">
      <w:pPr>
        <w:pStyle w:val="58"/>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textAlignment w:val="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 xml:space="preserve">7 </w:t>
      </w:r>
      <w:bookmarkStart w:id="29" w:name="_Toc23785566"/>
      <w:bookmarkStart w:id="30" w:name="_Toc29120"/>
      <w:bookmarkStart w:id="31" w:name="_Toc193860185"/>
      <w:bookmarkStart w:id="32" w:name="_Toc193860216"/>
      <w:bookmarkStart w:id="33" w:name="_Toc23784569"/>
      <w:bookmarkStart w:id="34" w:name="_Toc193619058"/>
      <w:bookmarkStart w:id="35" w:name="_Toc193618955"/>
      <w:bookmarkStart w:id="36" w:name="_Toc23784668"/>
      <w:bookmarkStart w:id="37" w:name="_Toc25298"/>
      <w:bookmarkStart w:id="38" w:name="_Toc5198"/>
      <w:bookmarkStart w:id="39" w:name="_Toc193860035"/>
      <w:bookmarkStart w:id="40" w:name="_Toc31671"/>
      <w:bookmarkStart w:id="41" w:name="_Toc27992_WPSOffice_Level1"/>
      <w:bookmarkStart w:id="42" w:name="_Toc193619100"/>
      <w:r>
        <w:rPr>
          <w:rFonts w:hint="eastAsia" w:ascii="黑体" w:hAnsi="黑体" w:eastAsia="黑体" w:cs="Times New Roman"/>
          <w:sz w:val="24"/>
          <w:szCs w:val="24"/>
          <w:lang w:val="en-US" w:eastAsia="zh-CN" w:bidi="ar-SA"/>
        </w:rPr>
        <w:t>校准项目和校准方法</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5CD0F9E">
      <w:pPr>
        <w:pStyle w:val="58"/>
        <w:numPr>
          <w:ilvl w:val="0"/>
          <w:numId w:val="0"/>
        </w:num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对校准项目及操作方法作出说明。</w:t>
      </w:r>
    </w:p>
    <w:p w14:paraId="4B4AA41C">
      <w:pPr>
        <w:pStyle w:val="58"/>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14:paraId="564E8F0E">
      <w:pPr>
        <w:pStyle w:val="58"/>
        <w:numPr>
          <w:ilvl w:val="0"/>
          <w:numId w:val="16"/>
        </w:numPr>
        <w:spacing w:line="360" w:lineRule="auto"/>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校准项目为温度示值误差校准。</w:t>
      </w:r>
    </w:p>
    <w:p w14:paraId="7C39A18E">
      <w:pPr>
        <w:pStyle w:val="58"/>
        <w:numPr>
          <w:ilvl w:val="0"/>
          <w:numId w:val="16"/>
        </w:numPr>
        <w:spacing w:line="360" w:lineRule="auto"/>
        <w:ind w:firstLine="480" w:firstLineChars="200"/>
        <w:rPr>
          <w:rFonts w:hint="default"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常用高温设备多具备程式化高温试验，所以规定了回程误差的校准。</w:t>
      </w:r>
    </w:p>
    <w:p w14:paraId="50F61F38">
      <w:pPr>
        <w:pStyle w:val="74"/>
        <w:numPr>
          <w:ilvl w:val="0"/>
          <w:numId w:val="11"/>
        </w:numPr>
        <w:tabs>
          <w:tab w:val="left" w:pos="426"/>
        </w:tabs>
        <w:spacing w:before="312" w:beforeLines="100" w:after="312" w:afterLines="100"/>
        <w:ind w:hangingChars="200"/>
        <w:jc w:val="left"/>
        <w:rPr>
          <w:sz w:val="24"/>
          <w:szCs w:val="24"/>
        </w:rPr>
      </w:pPr>
      <w:r>
        <w:rPr>
          <w:rFonts w:hint="eastAsia"/>
          <w:sz w:val="24"/>
          <w:szCs w:val="24"/>
        </w:rPr>
        <w:t>实践检测情况</w:t>
      </w:r>
      <w:bookmarkEnd w:id="24"/>
    </w:p>
    <w:p w14:paraId="72A7637D">
      <w:pPr>
        <w:ind w:firstLine="480" w:firstLineChars="200"/>
        <w:rPr>
          <w:rFonts w:hint="eastAsia"/>
          <w:sz w:val="24"/>
          <w:szCs w:val="24"/>
        </w:rPr>
      </w:pPr>
      <w:r>
        <w:rPr>
          <w:rFonts w:hint="eastAsia"/>
          <w:sz w:val="24"/>
          <w:szCs w:val="24"/>
        </w:rPr>
        <w:t>国标（北京）检验认证有限公司根据本</w:t>
      </w:r>
      <w:r>
        <w:rPr>
          <w:rFonts w:hint="eastAsia"/>
          <w:sz w:val="24"/>
          <w:szCs w:val="24"/>
          <w:lang w:val="en-US" w:eastAsia="zh-CN"/>
        </w:rPr>
        <w:t>规范</w:t>
      </w:r>
      <w:r>
        <w:rPr>
          <w:rFonts w:hint="eastAsia"/>
          <w:sz w:val="24"/>
          <w:szCs w:val="24"/>
        </w:rPr>
        <w:t>对</w:t>
      </w:r>
      <w:r>
        <w:rPr>
          <w:rFonts w:hint="eastAsia"/>
          <w:sz w:val="24"/>
          <w:szCs w:val="24"/>
          <w:lang w:val="en-US" w:eastAsia="zh-CN"/>
        </w:rPr>
        <w:t>高温热出炉等高温设备的</w:t>
      </w:r>
      <w:r>
        <w:rPr>
          <w:sz w:val="24"/>
          <w:szCs w:val="24"/>
        </w:rPr>
        <w:t>数字温度指示调节仪</w:t>
      </w:r>
      <w:r>
        <w:rPr>
          <w:rFonts w:hint="eastAsia"/>
          <w:sz w:val="24"/>
          <w:szCs w:val="24"/>
        </w:rPr>
        <w:t>进行了全计量特性的校准，内容详见校准报告。</w:t>
      </w:r>
    </w:p>
    <w:bookmarkEnd w:id="1"/>
    <w:p w14:paraId="2AAC767E">
      <w:pPr>
        <w:pStyle w:val="74"/>
        <w:numPr>
          <w:ilvl w:val="0"/>
          <w:numId w:val="11"/>
        </w:numPr>
        <w:tabs>
          <w:tab w:val="left" w:pos="426"/>
        </w:tabs>
        <w:spacing w:before="312" w:beforeLines="100" w:after="312" w:afterLines="100"/>
        <w:ind w:hangingChars="200"/>
        <w:jc w:val="left"/>
        <w:rPr>
          <w:sz w:val="24"/>
          <w:szCs w:val="24"/>
        </w:rPr>
      </w:pPr>
      <w:bookmarkStart w:id="43" w:name="_Toc464728965"/>
      <w:r>
        <w:rPr>
          <w:rFonts w:hint="eastAsia"/>
          <w:sz w:val="24"/>
          <w:szCs w:val="24"/>
        </w:rPr>
        <w:t>标准水平分析</w:t>
      </w:r>
      <w:bookmarkEnd w:id="43"/>
    </w:p>
    <w:p w14:paraId="2B9B2021">
      <w:pPr>
        <w:rPr>
          <w:sz w:val="24"/>
          <w:szCs w:val="24"/>
        </w:rPr>
      </w:pPr>
      <w:r>
        <w:rPr>
          <w:rFonts w:hint="eastAsia"/>
          <w:sz w:val="24"/>
          <w:szCs w:val="24"/>
        </w:rPr>
        <w:t xml:space="preserve">    本</w:t>
      </w:r>
      <w:r>
        <w:rPr>
          <w:rFonts w:hint="eastAsia"/>
          <w:sz w:val="24"/>
          <w:szCs w:val="24"/>
          <w:lang w:eastAsia="zh-CN"/>
        </w:rPr>
        <w:t>规范</w:t>
      </w:r>
      <w:r>
        <w:rPr>
          <w:rFonts w:hint="eastAsia"/>
          <w:sz w:val="24"/>
          <w:szCs w:val="24"/>
        </w:rPr>
        <w:t>的制定</w:t>
      </w:r>
      <w:r>
        <w:rPr>
          <w:rFonts w:hint="eastAsia"/>
          <w:sz w:val="24"/>
          <w:szCs w:val="24"/>
          <w:lang w:val="en-US" w:eastAsia="zh-CN"/>
        </w:rPr>
        <w:t>是为了</w:t>
      </w:r>
      <w:r>
        <w:rPr>
          <w:rFonts w:hint="eastAsia"/>
          <w:sz w:val="24"/>
          <w:szCs w:val="24"/>
        </w:rPr>
        <w:t>填补有色金属行业用</w:t>
      </w:r>
      <w:r>
        <w:rPr>
          <w:sz w:val="24"/>
          <w:szCs w:val="24"/>
        </w:rPr>
        <w:t>数字温度指示调节仪</w:t>
      </w:r>
      <w:r>
        <w:rPr>
          <w:rFonts w:hint="eastAsia"/>
          <w:sz w:val="24"/>
          <w:szCs w:val="24"/>
        </w:rPr>
        <w:t>的</w:t>
      </w:r>
      <w:r>
        <w:rPr>
          <w:rFonts w:hint="eastAsia"/>
          <w:sz w:val="24"/>
          <w:szCs w:val="24"/>
          <w:lang w:val="en-US" w:eastAsia="zh-CN"/>
        </w:rPr>
        <w:t>示值误差范围要求</w:t>
      </w:r>
      <w:r>
        <w:rPr>
          <w:rFonts w:hint="eastAsia"/>
          <w:sz w:val="24"/>
          <w:szCs w:val="24"/>
        </w:rPr>
        <w:t>，属于国内首创，水平达到国内领先。</w:t>
      </w:r>
    </w:p>
    <w:p w14:paraId="66872FA1">
      <w:pPr>
        <w:pStyle w:val="74"/>
        <w:numPr>
          <w:ilvl w:val="0"/>
          <w:numId w:val="11"/>
        </w:numPr>
        <w:tabs>
          <w:tab w:val="left" w:pos="426"/>
        </w:tabs>
        <w:spacing w:before="312" w:beforeLines="100" w:after="312" w:afterLines="100"/>
        <w:ind w:hangingChars="200"/>
        <w:jc w:val="left"/>
        <w:rPr>
          <w:sz w:val="24"/>
          <w:szCs w:val="24"/>
        </w:rPr>
      </w:pPr>
      <w:bookmarkStart w:id="44" w:name="_Toc464728972"/>
      <w:r>
        <w:rPr>
          <w:rFonts w:hint="eastAsia"/>
          <w:sz w:val="24"/>
          <w:szCs w:val="24"/>
        </w:rPr>
        <w:t>与现行相关法律、法规、规章及相关规范，特别是</w:t>
      </w:r>
      <w:r>
        <w:rPr>
          <w:rFonts w:hint="eastAsia"/>
          <w:sz w:val="24"/>
          <w:szCs w:val="24"/>
          <w:lang w:eastAsia="zh-CN"/>
        </w:rPr>
        <w:t>规范</w:t>
      </w:r>
      <w:r>
        <w:rPr>
          <w:rFonts w:hint="eastAsia"/>
          <w:sz w:val="24"/>
          <w:szCs w:val="24"/>
        </w:rPr>
        <w:t>的协调性</w:t>
      </w:r>
      <w:bookmarkEnd w:id="44"/>
    </w:p>
    <w:p w14:paraId="01A02C99">
      <w:pPr>
        <w:pStyle w:val="58"/>
        <w:spacing w:line="300" w:lineRule="auto"/>
        <w:rPr>
          <w:sz w:val="24"/>
          <w:szCs w:val="24"/>
        </w:rPr>
      </w:pPr>
      <w:r>
        <w:rPr>
          <w:rFonts w:hint="eastAsia"/>
          <w:sz w:val="24"/>
          <w:szCs w:val="24"/>
        </w:rPr>
        <w:t>本规范所引用的</w:t>
      </w:r>
      <w:r>
        <w:rPr>
          <w:rFonts w:hint="eastAsia"/>
          <w:sz w:val="24"/>
          <w:szCs w:val="24"/>
          <w:lang w:eastAsia="zh-CN"/>
        </w:rPr>
        <w:t>规范</w:t>
      </w:r>
      <w:r>
        <w:rPr>
          <w:rFonts w:hint="eastAsia"/>
          <w:sz w:val="24"/>
          <w:szCs w:val="24"/>
        </w:rPr>
        <w:t>及规范均为我国现行有效的计量</w:t>
      </w:r>
      <w:r>
        <w:rPr>
          <w:rFonts w:hint="eastAsia"/>
          <w:sz w:val="24"/>
          <w:szCs w:val="24"/>
          <w:lang w:eastAsia="zh-CN"/>
        </w:rPr>
        <w:t>规范</w:t>
      </w:r>
      <w:r>
        <w:rPr>
          <w:rFonts w:hint="eastAsia"/>
          <w:sz w:val="24"/>
          <w:szCs w:val="24"/>
        </w:rPr>
        <w:t>及规范，是本标准的一部分，引用这些</w:t>
      </w:r>
      <w:r>
        <w:rPr>
          <w:rFonts w:hint="eastAsia"/>
          <w:sz w:val="24"/>
          <w:szCs w:val="24"/>
          <w:lang w:eastAsia="zh-CN"/>
        </w:rPr>
        <w:t>规范</w:t>
      </w:r>
      <w:r>
        <w:rPr>
          <w:rFonts w:hint="eastAsia"/>
          <w:sz w:val="24"/>
          <w:szCs w:val="24"/>
        </w:rPr>
        <w:t>及规范后，使本规范的要求与现行的相关法律、法规、规章及相关</w:t>
      </w:r>
      <w:r>
        <w:rPr>
          <w:rFonts w:hint="eastAsia"/>
          <w:sz w:val="24"/>
          <w:szCs w:val="24"/>
          <w:lang w:eastAsia="zh-CN"/>
        </w:rPr>
        <w:t>规范</w:t>
      </w:r>
      <w:r>
        <w:rPr>
          <w:rFonts w:hint="eastAsia"/>
          <w:sz w:val="24"/>
          <w:szCs w:val="24"/>
        </w:rPr>
        <w:t>规范的关系不矛盾、不冲突，其相互关系非常协调。</w:t>
      </w:r>
    </w:p>
    <w:p w14:paraId="2FE54081">
      <w:pPr>
        <w:pStyle w:val="74"/>
        <w:numPr>
          <w:ilvl w:val="0"/>
          <w:numId w:val="11"/>
        </w:numPr>
        <w:tabs>
          <w:tab w:val="left" w:pos="426"/>
        </w:tabs>
        <w:spacing w:before="312" w:beforeLines="100" w:after="312" w:afterLines="100"/>
        <w:ind w:hangingChars="200"/>
        <w:jc w:val="left"/>
        <w:rPr>
          <w:sz w:val="24"/>
          <w:szCs w:val="24"/>
        </w:rPr>
      </w:pPr>
      <w:bookmarkStart w:id="45" w:name="_Toc464728973"/>
      <w:r>
        <w:rPr>
          <w:rFonts w:hint="eastAsia"/>
          <w:sz w:val="24"/>
          <w:szCs w:val="24"/>
        </w:rPr>
        <w:t>标准中涉及的专利或知识产权说明</w:t>
      </w:r>
      <w:bookmarkEnd w:id="45"/>
    </w:p>
    <w:p w14:paraId="592D953E">
      <w:pPr>
        <w:pStyle w:val="58"/>
        <w:spacing w:line="300" w:lineRule="auto"/>
        <w:ind w:firstLine="420"/>
        <w:contextualSpacing/>
        <w:rPr>
          <w:sz w:val="24"/>
          <w:szCs w:val="24"/>
        </w:rPr>
      </w:pPr>
      <w:r>
        <w:rPr>
          <w:rFonts w:hint="eastAsia"/>
          <w:sz w:val="24"/>
          <w:szCs w:val="24"/>
        </w:rPr>
        <w:t>本标准不涉及任何专利或知识产权。</w:t>
      </w:r>
    </w:p>
    <w:p w14:paraId="7F52994C">
      <w:pPr>
        <w:pStyle w:val="74"/>
        <w:numPr>
          <w:ilvl w:val="0"/>
          <w:numId w:val="11"/>
        </w:numPr>
        <w:tabs>
          <w:tab w:val="left" w:pos="426"/>
        </w:tabs>
        <w:spacing w:before="312" w:beforeLines="100" w:after="312" w:afterLines="100"/>
        <w:ind w:hangingChars="200"/>
        <w:jc w:val="left"/>
        <w:rPr>
          <w:sz w:val="24"/>
          <w:szCs w:val="24"/>
        </w:rPr>
      </w:pPr>
      <w:bookmarkStart w:id="46" w:name="_Toc464728974"/>
      <w:r>
        <w:rPr>
          <w:rFonts w:hint="eastAsia"/>
          <w:sz w:val="24"/>
          <w:szCs w:val="24"/>
        </w:rPr>
        <w:t>重大分歧意见的处理经过和依据</w:t>
      </w:r>
      <w:bookmarkEnd w:id="46"/>
    </w:p>
    <w:p w14:paraId="1DF43D7F">
      <w:pPr>
        <w:pStyle w:val="14"/>
        <w:ind w:firstLine="420" w:firstLineChars="0"/>
        <w:jc w:val="both"/>
        <w:rPr>
          <w:rFonts w:hint="default"/>
          <w:lang w:val="en-US" w:eastAsia="zh-CN"/>
        </w:rPr>
      </w:pPr>
      <w:r>
        <w:rPr>
          <w:rFonts w:hint="eastAsia" w:ascii="宋体" w:hAnsi="宋体" w:eastAsia="宋体" w:cs="宋体"/>
          <w:sz w:val="24"/>
          <w:szCs w:val="24"/>
        </w:rPr>
        <w:t>（无）</w:t>
      </w:r>
      <w:r>
        <w:rPr>
          <w:rFonts w:hint="eastAsia"/>
          <w:lang w:val="en-US" w:eastAsia="zh-CN"/>
        </w:rPr>
        <w:t>。</w:t>
      </w:r>
    </w:p>
    <w:p w14:paraId="220B7747">
      <w:pPr>
        <w:pStyle w:val="74"/>
        <w:numPr>
          <w:ilvl w:val="0"/>
          <w:numId w:val="11"/>
        </w:numPr>
        <w:tabs>
          <w:tab w:val="left" w:pos="426"/>
        </w:tabs>
        <w:spacing w:before="312" w:beforeLines="100" w:after="312" w:afterLines="100"/>
        <w:ind w:hangingChars="200"/>
        <w:jc w:val="left"/>
        <w:rPr>
          <w:sz w:val="24"/>
          <w:szCs w:val="24"/>
        </w:rPr>
      </w:pPr>
      <w:bookmarkStart w:id="47" w:name="_Toc464728976"/>
      <w:r>
        <w:rPr>
          <w:rFonts w:hint="eastAsia"/>
          <w:sz w:val="24"/>
          <w:szCs w:val="24"/>
        </w:rPr>
        <w:t>贯彻规范的要求和措施建议</w:t>
      </w:r>
      <w:bookmarkEnd w:id="47"/>
    </w:p>
    <w:p w14:paraId="39B8948D">
      <w:pPr>
        <w:pStyle w:val="58"/>
        <w:spacing w:line="300" w:lineRule="auto"/>
        <w:ind w:firstLine="420"/>
        <w:contextualSpacing/>
        <w:rPr>
          <w:rFonts w:hint="eastAsia"/>
          <w:sz w:val="24"/>
          <w:szCs w:val="24"/>
        </w:rPr>
      </w:pPr>
      <w:r>
        <w:rPr>
          <w:rFonts w:hint="eastAsia"/>
          <w:sz w:val="24"/>
          <w:szCs w:val="24"/>
        </w:rPr>
        <w:t>本规范发布后，中国有色金属行业协会和有色金属行业计量技术委员会应加强本规范的宣传力度，促进</w:t>
      </w:r>
      <w:r>
        <w:rPr>
          <w:sz w:val="24"/>
          <w:szCs w:val="24"/>
        </w:rPr>
        <w:t>数字温度指示调节仪</w:t>
      </w:r>
      <w:r>
        <w:rPr>
          <w:rFonts w:hint="eastAsia"/>
          <w:sz w:val="24"/>
          <w:szCs w:val="24"/>
        </w:rPr>
        <w:t>生产厂家按照设备使用情况合理选用校准</w:t>
      </w:r>
      <w:r>
        <w:rPr>
          <w:rFonts w:hint="eastAsia"/>
          <w:sz w:val="24"/>
          <w:szCs w:val="24"/>
          <w:lang w:eastAsia="zh-CN"/>
        </w:rPr>
        <w:t>规范</w:t>
      </w:r>
      <w:r>
        <w:rPr>
          <w:rFonts w:hint="eastAsia"/>
          <w:sz w:val="24"/>
          <w:szCs w:val="24"/>
        </w:rPr>
        <w:t>，以促进我国企业的技术进步和产品质量，提高我国</w:t>
      </w:r>
      <w:r>
        <w:rPr>
          <w:rFonts w:hint="eastAsia"/>
          <w:sz w:val="24"/>
          <w:szCs w:val="24"/>
          <w:lang w:val="en-US" w:eastAsia="zh-CN"/>
        </w:rPr>
        <w:t>高温热处理设备</w:t>
      </w:r>
      <w:r>
        <w:rPr>
          <w:rFonts w:hint="eastAsia"/>
          <w:sz w:val="24"/>
          <w:szCs w:val="24"/>
        </w:rPr>
        <w:t>在国际、国内市场的竞争能力，促进</w:t>
      </w:r>
      <w:r>
        <w:rPr>
          <w:rFonts w:hint="eastAsia"/>
          <w:sz w:val="24"/>
          <w:szCs w:val="24"/>
          <w:lang w:val="en-US" w:eastAsia="zh-CN"/>
        </w:rPr>
        <w:t>有色金属热处理</w:t>
      </w:r>
      <w:r>
        <w:rPr>
          <w:rFonts w:hint="eastAsia"/>
          <w:sz w:val="24"/>
          <w:szCs w:val="24"/>
        </w:rPr>
        <w:t>加工产业的质量提升。</w:t>
      </w:r>
    </w:p>
    <w:p w14:paraId="52F10782">
      <w:pPr>
        <w:pStyle w:val="74"/>
        <w:numPr>
          <w:ilvl w:val="0"/>
          <w:numId w:val="11"/>
        </w:numPr>
        <w:tabs>
          <w:tab w:val="left" w:pos="426"/>
        </w:tabs>
        <w:spacing w:before="312" w:beforeLines="100" w:after="312" w:afterLines="100"/>
        <w:ind w:hangingChars="200"/>
        <w:jc w:val="left"/>
        <w:rPr>
          <w:sz w:val="24"/>
          <w:szCs w:val="24"/>
        </w:rPr>
      </w:pPr>
      <w:bookmarkStart w:id="48" w:name="_Toc464728977"/>
      <w:r>
        <w:rPr>
          <w:rFonts w:hint="eastAsia"/>
          <w:sz w:val="24"/>
          <w:szCs w:val="24"/>
        </w:rPr>
        <w:t>废止现行有关</w:t>
      </w:r>
      <w:r>
        <w:rPr>
          <w:rFonts w:hint="eastAsia"/>
          <w:sz w:val="24"/>
          <w:szCs w:val="24"/>
          <w:lang w:eastAsia="zh-CN"/>
        </w:rPr>
        <w:t>规范</w:t>
      </w:r>
      <w:r>
        <w:rPr>
          <w:rFonts w:hint="eastAsia"/>
          <w:sz w:val="24"/>
          <w:szCs w:val="24"/>
        </w:rPr>
        <w:t>的建议</w:t>
      </w:r>
      <w:bookmarkEnd w:id="48"/>
    </w:p>
    <w:p w14:paraId="185E0BE5">
      <w:pPr>
        <w:pStyle w:val="58"/>
        <w:spacing w:line="300" w:lineRule="auto"/>
        <w:ind w:firstLine="420"/>
        <w:contextualSpacing/>
        <w:rPr>
          <w:sz w:val="24"/>
          <w:szCs w:val="24"/>
        </w:rPr>
      </w:pPr>
      <w:r>
        <w:rPr>
          <w:rFonts w:hint="eastAsia"/>
          <w:sz w:val="24"/>
          <w:szCs w:val="24"/>
        </w:rPr>
        <w:t>（无）。</w:t>
      </w:r>
    </w:p>
    <w:p w14:paraId="04F5907A">
      <w:pPr>
        <w:pStyle w:val="74"/>
        <w:numPr>
          <w:ilvl w:val="0"/>
          <w:numId w:val="11"/>
        </w:numPr>
        <w:tabs>
          <w:tab w:val="left" w:pos="426"/>
        </w:tabs>
        <w:spacing w:before="312" w:beforeLines="100" w:after="312" w:afterLines="100"/>
        <w:ind w:hangingChars="200"/>
        <w:jc w:val="left"/>
        <w:rPr>
          <w:sz w:val="24"/>
          <w:szCs w:val="24"/>
        </w:rPr>
      </w:pPr>
      <w:bookmarkStart w:id="49" w:name="_Toc464728978"/>
      <w:r>
        <w:rPr>
          <w:rFonts w:hint="eastAsia"/>
          <w:sz w:val="24"/>
          <w:szCs w:val="24"/>
        </w:rPr>
        <w:t>产业化情况、推广应用论证和预期达到的经济效果</w:t>
      </w:r>
      <w:bookmarkEnd w:id="49"/>
    </w:p>
    <w:p w14:paraId="1429C94E">
      <w:pPr>
        <w:spacing w:line="300" w:lineRule="auto"/>
        <w:ind w:firstLine="480" w:firstLineChars="200"/>
        <w:contextualSpacing/>
        <w:jc w:val="left"/>
        <w:rPr>
          <w:rFonts w:ascii="宋体" w:hAnsi="宋体" w:cs="宋体"/>
          <w:sz w:val="24"/>
          <w:szCs w:val="24"/>
        </w:rPr>
      </w:pPr>
      <w:r>
        <w:rPr>
          <w:rFonts w:hint="eastAsia" w:ascii="宋体" w:hAnsi="宋体"/>
          <w:kern w:val="0"/>
          <w:sz w:val="24"/>
          <w:szCs w:val="24"/>
          <w:lang w:eastAsia="zh-CN"/>
        </w:rPr>
        <w:t>航空发动机制造是我国高端装备制造领域重点发展的领域，根据我国国民经济发展规划，从“十五”计划到“十四五”计划，我国航空发动机行业发展的根本性支持政策方向从积极推进航空装备制造技术逐渐演变为推动航空装备创新发展。</w:t>
      </w:r>
      <w:r>
        <w:rPr>
          <w:rFonts w:hint="eastAsia" w:ascii="宋体" w:hAnsi="宋体"/>
          <w:kern w:val="0"/>
          <w:sz w:val="24"/>
          <w:szCs w:val="24"/>
          <w:lang w:val="en-US" w:eastAsia="zh-CN"/>
        </w:rPr>
        <w:t>高温热处理专业作为</w:t>
      </w:r>
      <w:r>
        <w:rPr>
          <w:rFonts w:hint="eastAsia" w:ascii="宋体" w:hAnsi="宋体"/>
          <w:kern w:val="0"/>
          <w:sz w:val="24"/>
          <w:szCs w:val="24"/>
          <w:lang w:eastAsia="zh-CN"/>
        </w:rPr>
        <w:t>航空发动机制造</w:t>
      </w:r>
      <w:r>
        <w:rPr>
          <w:rFonts w:hint="eastAsia" w:ascii="宋体" w:hAnsi="宋体"/>
          <w:kern w:val="0"/>
          <w:sz w:val="24"/>
          <w:szCs w:val="24"/>
          <w:lang w:val="en-US" w:eastAsia="zh-CN"/>
        </w:rPr>
        <w:t>中的基础</w:t>
      </w:r>
      <w:r>
        <w:rPr>
          <w:rFonts w:hint="eastAsia" w:ascii="宋体" w:hAnsi="宋体"/>
          <w:kern w:val="0"/>
          <w:sz w:val="24"/>
          <w:szCs w:val="24"/>
        </w:rPr>
        <w:t>，</w:t>
      </w:r>
      <w:r>
        <w:rPr>
          <w:rFonts w:hint="eastAsia" w:ascii="宋体" w:hAnsi="宋体"/>
          <w:kern w:val="0"/>
          <w:sz w:val="24"/>
          <w:szCs w:val="24"/>
          <w:lang w:val="en-US" w:eastAsia="zh-CN"/>
        </w:rPr>
        <w:t>对热处理设备的要求日益严格</w:t>
      </w:r>
      <w:r>
        <w:rPr>
          <w:rFonts w:hint="eastAsia" w:ascii="宋体" w:hAnsi="宋体" w:cs="宋体"/>
          <w:sz w:val="24"/>
          <w:szCs w:val="24"/>
        </w:rPr>
        <w:t>。</w:t>
      </w:r>
      <w:r>
        <w:rPr>
          <w:rFonts w:hint="eastAsia"/>
          <w:sz w:val="24"/>
          <w:szCs w:val="24"/>
        </w:rPr>
        <w:t>本规范的顺利制定将进一步推动产品的质量提升，</w:t>
      </w:r>
      <w:r>
        <w:rPr>
          <w:rFonts w:hint="eastAsia" w:ascii="宋体" w:hAnsi="宋体"/>
          <w:kern w:val="0"/>
          <w:sz w:val="24"/>
          <w:szCs w:val="24"/>
        </w:rPr>
        <w:t>市场潜力</w:t>
      </w:r>
      <w:r>
        <w:rPr>
          <w:rFonts w:hint="eastAsia" w:ascii="宋体" w:hAnsi="宋体"/>
          <w:kern w:val="0"/>
          <w:sz w:val="24"/>
          <w:szCs w:val="24"/>
          <w:lang w:val="en-US" w:eastAsia="zh-CN"/>
        </w:rPr>
        <w:t>高</w:t>
      </w:r>
      <w:r>
        <w:rPr>
          <w:rFonts w:hint="eastAsia" w:ascii="宋体" w:hAnsi="宋体"/>
          <w:kern w:val="0"/>
          <w:sz w:val="24"/>
          <w:szCs w:val="24"/>
        </w:rPr>
        <w:t>，经济效益</w:t>
      </w:r>
      <w:r>
        <w:rPr>
          <w:rFonts w:hint="eastAsia" w:ascii="宋体" w:hAnsi="宋体"/>
          <w:kern w:val="0"/>
          <w:sz w:val="24"/>
          <w:szCs w:val="24"/>
          <w:lang w:val="en-US" w:eastAsia="zh-CN"/>
        </w:rPr>
        <w:t>高</w:t>
      </w:r>
      <w:r>
        <w:rPr>
          <w:rFonts w:hint="eastAsia" w:ascii="宋体" w:hAnsi="宋体"/>
          <w:kern w:val="0"/>
          <w:sz w:val="24"/>
          <w:szCs w:val="24"/>
        </w:rPr>
        <w:t>。</w:t>
      </w:r>
      <w:bookmarkStart w:id="51" w:name="_GoBack"/>
      <w:bookmarkEnd w:id="51"/>
    </w:p>
    <w:p w14:paraId="747D2E68">
      <w:pPr>
        <w:pStyle w:val="58"/>
        <w:spacing w:line="300" w:lineRule="auto"/>
        <w:ind w:left="0" w:leftChars="0" w:firstLine="0" w:firstLineChars="0"/>
        <w:contextualSpacing/>
        <w:rPr>
          <w:rFonts w:hint="eastAsia" w:eastAsia="宋体" w:cs="宋体"/>
          <w:kern w:val="2"/>
          <w:sz w:val="24"/>
          <w:szCs w:val="24"/>
          <w:lang w:eastAsia="zh-CN"/>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Franklin Gothic Medium">
    <w:panose1 w:val="020B06030201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ABCB">
    <w:pPr>
      <w:pStyle w:val="73"/>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1E891">
    <w:pPr>
      <w:pStyle w:val="69"/>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4B2F5">
    <w:pPr>
      <w:pStyle w:val="73"/>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2BE89">
    <w:pPr>
      <w:pStyle w:val="29"/>
      <w:jc w:val="both"/>
    </w:pPr>
  </w:p>
  <w:p w14:paraId="6486A884">
    <w:pPr>
      <w:pStyle w:val="29"/>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E421D">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78FE">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8097E">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142" w:firstLine="0"/>
      </w:pPr>
      <w:rPr>
        <w:rFonts w:hint="eastAsia" w:ascii="黑体" w:hAnsi="Times New Roman" w:eastAsia="黑体"/>
        <w:b w:val="0"/>
        <w:i w:val="0"/>
        <w:sz w:val="21"/>
      </w:rPr>
    </w:lvl>
    <w:lvl w:ilvl="2" w:tentative="0">
      <w:start w:val="1"/>
      <w:numFmt w:val="decimal"/>
      <w:pStyle w:val="60"/>
      <w:suff w:val="nothing"/>
      <w:lvlText w:val="%1%2.%3　"/>
      <w:lvlJc w:val="left"/>
      <w:pPr>
        <w:ind w:left="284" w:firstLine="0"/>
      </w:pPr>
      <w:rPr>
        <w:rFonts w:hint="eastAsia" w:ascii="黑体" w:hAnsi="Times New Roman" w:eastAsia="黑体"/>
        <w:b w:val="0"/>
        <w:i w:val="0"/>
        <w:sz w:val="21"/>
      </w:rPr>
    </w:lvl>
    <w:lvl w:ilvl="3" w:tentative="0">
      <w:start w:val="1"/>
      <w:numFmt w:val="decimal"/>
      <w:pStyle w:val="59"/>
      <w:suff w:val="nothing"/>
      <w:lvlText w:val="%1%2.%3.%4　"/>
      <w:lvlJc w:val="left"/>
      <w:pPr>
        <w:ind w:left="282"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3C7FE5F"/>
    <w:multiLevelType w:val="singleLevel"/>
    <w:tmpl w:val="13C7FE5F"/>
    <w:lvl w:ilvl="0" w:tentative="0">
      <w:start w:val="1"/>
      <w:numFmt w:val="decimal"/>
      <w:suff w:val="nothing"/>
      <w:lvlText w:val="%1）"/>
      <w:lvlJc w:val="left"/>
    </w:lvl>
  </w:abstractNum>
  <w:abstractNum w:abstractNumId="12">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FF7A4C2"/>
    <w:multiLevelType w:val="singleLevel"/>
    <w:tmpl w:val="4FF7A4C2"/>
    <w:lvl w:ilvl="0" w:tentative="0">
      <w:start w:val="1"/>
      <w:numFmt w:val="decimal"/>
      <w:suff w:val="nothing"/>
      <w:lvlText w:val="%1）"/>
      <w:lvlJc w:val="left"/>
    </w:lvl>
  </w:abstractNum>
  <w:abstractNum w:abstractNumId="15">
    <w:nsid w:val="5DDF5777"/>
    <w:multiLevelType w:val="singleLevel"/>
    <w:tmpl w:val="5DDF5777"/>
    <w:lvl w:ilvl="0" w:tentative="0">
      <w:start w:val="1"/>
      <w:numFmt w:val="decimal"/>
      <w:suff w:val="nothing"/>
      <w:lvlText w:val="%1）"/>
      <w:lvlJc w:val="left"/>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2"/>
  </w:num>
  <w:num w:numId="12">
    <w:abstractNumId w:val="13"/>
  </w:num>
  <w:num w:numId="13">
    <w:abstractNumId w:val="0"/>
  </w:num>
  <w:num w:numId="14">
    <w:abstractNumId w:val="1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kM2VjZTFlZGVlYmM1YmQ3MWE0MDI1M2E0NGE0N2IifQ=="/>
  </w:docVars>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264546B"/>
    <w:rsid w:val="02A71C35"/>
    <w:rsid w:val="02F703B0"/>
    <w:rsid w:val="05C37B35"/>
    <w:rsid w:val="06DF65A1"/>
    <w:rsid w:val="07DC0ED5"/>
    <w:rsid w:val="0904785D"/>
    <w:rsid w:val="09573966"/>
    <w:rsid w:val="0A781AE7"/>
    <w:rsid w:val="0C8E5209"/>
    <w:rsid w:val="0CCA0314"/>
    <w:rsid w:val="12E60677"/>
    <w:rsid w:val="14317D7D"/>
    <w:rsid w:val="14FE0CE9"/>
    <w:rsid w:val="158E7867"/>
    <w:rsid w:val="174C2AB4"/>
    <w:rsid w:val="19612271"/>
    <w:rsid w:val="1F5A1A25"/>
    <w:rsid w:val="1F714057"/>
    <w:rsid w:val="208E75B3"/>
    <w:rsid w:val="218A16C9"/>
    <w:rsid w:val="21BE3478"/>
    <w:rsid w:val="21D04080"/>
    <w:rsid w:val="22423DCF"/>
    <w:rsid w:val="23A74BBD"/>
    <w:rsid w:val="23D43A72"/>
    <w:rsid w:val="25834347"/>
    <w:rsid w:val="28902179"/>
    <w:rsid w:val="29846CB3"/>
    <w:rsid w:val="29E46257"/>
    <w:rsid w:val="2A4110A1"/>
    <w:rsid w:val="2AB85E2C"/>
    <w:rsid w:val="2C281A12"/>
    <w:rsid w:val="2CB24D78"/>
    <w:rsid w:val="2FBE527A"/>
    <w:rsid w:val="31B57A58"/>
    <w:rsid w:val="34745E77"/>
    <w:rsid w:val="36AE69D8"/>
    <w:rsid w:val="38B6063A"/>
    <w:rsid w:val="39E63C45"/>
    <w:rsid w:val="3A910669"/>
    <w:rsid w:val="3BA532D3"/>
    <w:rsid w:val="3BFA1058"/>
    <w:rsid w:val="3EBA5BC3"/>
    <w:rsid w:val="420E5348"/>
    <w:rsid w:val="44100726"/>
    <w:rsid w:val="456D3D97"/>
    <w:rsid w:val="45E87405"/>
    <w:rsid w:val="46474D73"/>
    <w:rsid w:val="48AE19A3"/>
    <w:rsid w:val="48BE5C4B"/>
    <w:rsid w:val="49214E6F"/>
    <w:rsid w:val="4989333F"/>
    <w:rsid w:val="4E3430C7"/>
    <w:rsid w:val="51142E0B"/>
    <w:rsid w:val="52A97DDB"/>
    <w:rsid w:val="56154CA2"/>
    <w:rsid w:val="5A0C4E48"/>
    <w:rsid w:val="5A931503"/>
    <w:rsid w:val="5A971C98"/>
    <w:rsid w:val="5AFA5C95"/>
    <w:rsid w:val="5CDE078E"/>
    <w:rsid w:val="5DC655CC"/>
    <w:rsid w:val="5E6A601A"/>
    <w:rsid w:val="5F776EED"/>
    <w:rsid w:val="605176D9"/>
    <w:rsid w:val="62950339"/>
    <w:rsid w:val="633C7C85"/>
    <w:rsid w:val="63F828E6"/>
    <w:rsid w:val="68E47C07"/>
    <w:rsid w:val="6AB57C02"/>
    <w:rsid w:val="6B27051F"/>
    <w:rsid w:val="6B753BDA"/>
    <w:rsid w:val="6B770841"/>
    <w:rsid w:val="6DC12A1C"/>
    <w:rsid w:val="6E8A0C2B"/>
    <w:rsid w:val="6EF60757"/>
    <w:rsid w:val="6F9D433B"/>
    <w:rsid w:val="70FA146A"/>
    <w:rsid w:val="710228B1"/>
    <w:rsid w:val="73A7009A"/>
    <w:rsid w:val="73B95B2E"/>
    <w:rsid w:val="74130018"/>
    <w:rsid w:val="7613428E"/>
    <w:rsid w:val="76F5600E"/>
    <w:rsid w:val="77457761"/>
    <w:rsid w:val="77CE2BEC"/>
    <w:rsid w:val="7892370F"/>
    <w:rsid w:val="78947487"/>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
    <w:next w:val="1"/>
    <w:link w:val="311"/>
    <w:qFormat/>
    <w:uiPriority w:val="39"/>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szCs w:val="20"/>
    </w:rPr>
  </w:style>
  <w:style w:type="paragraph" w:styleId="15">
    <w:name w:val="annotation text"/>
    <w:basedOn w:val="1"/>
    <w:link w:val="288"/>
    <w:qFormat/>
    <w:uiPriority w:val="0"/>
    <w:pPr>
      <w:jc w:val="left"/>
    </w:pPr>
  </w:style>
  <w:style w:type="paragraph" w:styleId="16">
    <w:name w:val="Body Text"/>
    <w:basedOn w:val="1"/>
    <w:link w:val="283"/>
    <w:qFormat/>
    <w:uiPriority w:val="0"/>
    <w:pPr>
      <w:spacing w:after="120"/>
    </w:pPr>
  </w:style>
  <w:style w:type="paragraph" w:styleId="17">
    <w:name w:val="Body Text Indent"/>
    <w:basedOn w:val="1"/>
    <w:link w:val="286"/>
    <w:qFormat/>
    <w:uiPriority w:val="0"/>
    <w:pPr>
      <w:spacing w:line="360" w:lineRule="exact"/>
      <w:ind w:left="420" w:firstLine="480"/>
    </w:pPr>
    <w:rPr>
      <w:sz w:val="24"/>
      <w:szCs w:val="20"/>
    </w:rPr>
  </w:style>
  <w:style w:type="paragraph" w:styleId="18">
    <w:name w:val="HTML Address"/>
    <w:basedOn w:val="1"/>
    <w:qFormat/>
    <w:uiPriority w:val="0"/>
    <w:rPr>
      <w:i/>
      <w:iCs/>
    </w:rPr>
  </w:style>
  <w:style w:type="paragraph" w:styleId="19">
    <w:name w:val="toc 5"/>
    <w:basedOn w:val="1"/>
    <w:next w:val="1"/>
    <w:qFormat/>
    <w:uiPriority w:val="39"/>
  </w:style>
  <w:style w:type="paragraph" w:styleId="20">
    <w:name w:val="toc 3"/>
    <w:basedOn w:val="21"/>
    <w:next w:val="1"/>
    <w:qFormat/>
    <w:uiPriority w:val="39"/>
  </w:style>
  <w:style w:type="paragraph" w:styleId="21">
    <w:name w:val="toc 2"/>
    <w:basedOn w:val="22"/>
    <w:next w:val="1"/>
    <w:qFormat/>
    <w:uiPriority w:val="39"/>
  </w:style>
  <w:style w:type="paragraph" w:styleId="22">
    <w:name w:val="toc 1"/>
    <w:next w:val="1"/>
    <w:qFormat/>
    <w:uiPriority w:val="39"/>
    <w:pPr>
      <w:jc w:val="both"/>
    </w:pPr>
    <w:rPr>
      <w:rFonts w:ascii="宋体" w:hAnsi="Times New Roman" w:eastAsia="宋体" w:cs="Times New Roman"/>
      <w:sz w:val="21"/>
      <w:lang w:val="en-US" w:eastAsia="zh-CN" w:bidi="ar-SA"/>
    </w:rPr>
  </w:style>
  <w:style w:type="paragraph" w:styleId="23">
    <w:name w:val="Plain Text"/>
    <w:basedOn w:val="1"/>
    <w:link w:val="280"/>
    <w:qFormat/>
    <w:uiPriority w:val="0"/>
    <w:rPr>
      <w:rFonts w:ascii="宋体" w:hAnsi="Courier New"/>
      <w:szCs w:val="21"/>
    </w:rPr>
  </w:style>
  <w:style w:type="paragraph" w:styleId="24">
    <w:name w:val="toc 8"/>
    <w:basedOn w:val="11"/>
    <w:next w:val="1"/>
    <w:qFormat/>
    <w:uiPriority w:val="39"/>
  </w:style>
  <w:style w:type="paragraph" w:styleId="25">
    <w:name w:val="Date"/>
    <w:basedOn w:val="1"/>
    <w:next w:val="1"/>
    <w:link w:val="292"/>
    <w:qFormat/>
    <w:uiPriority w:val="99"/>
    <w:pPr>
      <w:ind w:left="100" w:leftChars="2500"/>
    </w:pPr>
    <w:rPr>
      <w:sz w:val="24"/>
      <w:szCs w:val="20"/>
    </w:rPr>
  </w:style>
  <w:style w:type="paragraph" w:styleId="26">
    <w:name w:val="Body Text Indent 2"/>
    <w:basedOn w:val="1"/>
    <w:link w:val="291"/>
    <w:qFormat/>
    <w:uiPriority w:val="0"/>
    <w:pPr>
      <w:spacing w:after="120" w:line="480" w:lineRule="auto"/>
      <w:ind w:left="420" w:leftChars="200"/>
    </w:pPr>
  </w:style>
  <w:style w:type="paragraph" w:styleId="27">
    <w:name w:val="endnote text"/>
    <w:basedOn w:val="1"/>
    <w:qFormat/>
    <w:uiPriority w:val="0"/>
    <w:pPr>
      <w:snapToGrid w:val="0"/>
    </w:pPr>
  </w:style>
  <w:style w:type="paragraph" w:styleId="28">
    <w:name w:val="Balloon Text"/>
    <w:basedOn w:val="1"/>
    <w:link w:val="282"/>
    <w:autoRedefine/>
    <w:qFormat/>
    <w:uiPriority w:val="99"/>
    <w:rPr>
      <w:sz w:val="18"/>
      <w:szCs w:val="18"/>
    </w:rPr>
  </w:style>
  <w:style w:type="paragraph" w:styleId="29">
    <w:name w:val="footer"/>
    <w:basedOn w:val="1"/>
    <w:link w:val="285"/>
    <w:autoRedefine/>
    <w:qFormat/>
    <w:uiPriority w:val="99"/>
    <w:pPr>
      <w:tabs>
        <w:tab w:val="center" w:pos="4153"/>
        <w:tab w:val="right" w:pos="8306"/>
      </w:tabs>
      <w:snapToGrid w:val="0"/>
      <w:ind w:right="210" w:rightChars="100"/>
      <w:jc w:val="right"/>
    </w:pPr>
    <w:rPr>
      <w:sz w:val="18"/>
      <w:szCs w:val="18"/>
    </w:rPr>
  </w:style>
  <w:style w:type="paragraph" w:styleId="30">
    <w:name w:val="header"/>
    <w:basedOn w:val="1"/>
    <w:link w:val="290"/>
    <w:qFormat/>
    <w:uiPriority w:val="99"/>
    <w:pPr>
      <w:pBdr>
        <w:bottom w:val="single" w:color="auto" w:sz="6" w:space="1"/>
      </w:pBdr>
      <w:tabs>
        <w:tab w:val="center" w:pos="4153"/>
        <w:tab w:val="right" w:pos="8306"/>
      </w:tabs>
      <w:snapToGrid w:val="0"/>
      <w:jc w:val="center"/>
    </w:pPr>
    <w:rPr>
      <w:sz w:val="18"/>
      <w:szCs w:val="18"/>
    </w:rPr>
  </w:style>
  <w:style w:type="paragraph" w:styleId="31">
    <w:name w:val="toc 4"/>
    <w:basedOn w:val="20"/>
    <w:next w:val="1"/>
    <w:autoRedefine/>
    <w:qFormat/>
    <w:uiPriority w:val="39"/>
  </w:style>
  <w:style w:type="paragraph" w:styleId="32">
    <w:name w:val="footnote text"/>
    <w:basedOn w:val="1"/>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4"/>
    <w:next w:val="1"/>
    <w:autoRedefine/>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autoRedefine/>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link w:val="289"/>
    <w:qFormat/>
    <w:uiPriority w:val="0"/>
    <w:rPr>
      <w:b/>
      <w:bCs/>
    </w:rPr>
  </w:style>
  <w:style w:type="paragraph" w:styleId="39">
    <w:name w:val="Body Text First Indent"/>
    <w:basedOn w:val="16"/>
    <w:autoRedefine/>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autoRedefine/>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autoRedefine/>
    <w:unhideWhenUsed/>
    <w:qFormat/>
    <w:uiPriority w:val="0"/>
    <w:rPr>
      <w:color w:val="800080"/>
      <w:u w:val="single"/>
    </w:rPr>
  </w:style>
  <w:style w:type="character" w:styleId="46">
    <w:name w:val="Emphasis"/>
    <w:basedOn w:val="42"/>
    <w:qFormat/>
    <w:uiPriority w:val="0"/>
    <w:rPr>
      <w:i/>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2"/>
    <w:autoRedefine/>
    <w:qFormat/>
    <w:uiPriority w:val="0"/>
  </w:style>
  <w:style w:type="character" w:styleId="50">
    <w:name w:val="HTML Variable"/>
    <w:autoRedefine/>
    <w:qFormat/>
    <w:uiPriority w:val="0"/>
    <w:rPr>
      <w:i/>
      <w:iCs/>
    </w:rPr>
  </w:style>
  <w:style w:type="character" w:styleId="51">
    <w:name w:val="Hyperlink"/>
    <w:basedOn w:val="42"/>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numPr>
        <w:ilvl w:val="5"/>
      </w:numPr>
      <w:outlineLvl w:val="5"/>
    </w:pPr>
  </w:style>
  <w:style w:type="paragraph" w:customStyle="1" w:styleId="71">
    <w:name w:val="三级条标题"/>
    <w:basedOn w:val="59"/>
    <w:next w:val="58"/>
    <w:link w:val="281"/>
    <w:autoRedefine/>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autoRedefine/>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link w:val="304"/>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eastAsia="黑体"/>
      <w:sz w:val="21"/>
    </w:rPr>
  </w:style>
  <w:style w:type="character" w:customStyle="1" w:styleId="279">
    <w:name w:val="一级条标题 Char"/>
    <w:link w:val="60"/>
    <w:qFormat/>
    <w:uiPriority w:val="0"/>
    <w:rPr>
      <w:rFonts w:ascii="黑体" w:eastAsia="黑体"/>
      <w:color w:val="FF0000"/>
      <w:spacing w:val="-4"/>
      <w:sz w:val="21"/>
      <w:szCs w:val="24"/>
    </w:rPr>
  </w:style>
  <w:style w:type="character" w:customStyle="1" w:styleId="280">
    <w:name w:val="纯文本 字符"/>
    <w:link w:val="23"/>
    <w:qFormat/>
    <w:uiPriority w:val="0"/>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字符"/>
    <w:link w:val="28"/>
    <w:qFormat/>
    <w:uiPriority w:val="99"/>
    <w:rPr>
      <w:kern w:val="2"/>
      <w:sz w:val="18"/>
      <w:szCs w:val="18"/>
    </w:rPr>
  </w:style>
  <w:style w:type="character" w:customStyle="1" w:styleId="283">
    <w:name w:val="正文文本 字符"/>
    <w:link w:val="16"/>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字符"/>
    <w:link w:val="29"/>
    <w:qFormat/>
    <w:uiPriority w:val="99"/>
    <w:rPr>
      <w:kern w:val="2"/>
      <w:sz w:val="18"/>
      <w:szCs w:val="18"/>
    </w:rPr>
  </w:style>
  <w:style w:type="character" w:customStyle="1" w:styleId="286">
    <w:name w:val="正文文本缩进 字符"/>
    <w:link w:val="17"/>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字符"/>
    <w:link w:val="15"/>
    <w:qFormat/>
    <w:uiPriority w:val="0"/>
    <w:rPr>
      <w:kern w:val="2"/>
      <w:sz w:val="21"/>
      <w:szCs w:val="24"/>
    </w:rPr>
  </w:style>
  <w:style w:type="character" w:customStyle="1" w:styleId="289">
    <w:name w:val="批注主题 字符"/>
    <w:link w:val="38"/>
    <w:qFormat/>
    <w:uiPriority w:val="0"/>
    <w:rPr>
      <w:b/>
      <w:bCs/>
      <w:kern w:val="2"/>
      <w:sz w:val="21"/>
      <w:szCs w:val="24"/>
    </w:rPr>
  </w:style>
  <w:style w:type="character" w:customStyle="1" w:styleId="290">
    <w:name w:val="页眉 字符"/>
    <w:link w:val="30"/>
    <w:qFormat/>
    <w:uiPriority w:val="99"/>
    <w:rPr>
      <w:kern w:val="2"/>
      <w:sz w:val="18"/>
      <w:szCs w:val="18"/>
    </w:rPr>
  </w:style>
  <w:style w:type="character" w:customStyle="1" w:styleId="291">
    <w:name w:val="正文文本缩进 2 字符"/>
    <w:link w:val="26"/>
    <w:qFormat/>
    <w:uiPriority w:val="0"/>
    <w:rPr>
      <w:kern w:val="2"/>
      <w:sz w:val="21"/>
      <w:szCs w:val="24"/>
    </w:rPr>
  </w:style>
  <w:style w:type="character" w:customStyle="1" w:styleId="292">
    <w:name w:val="日期 字符"/>
    <w:link w:val="25"/>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4">
    <w:name w:val="标准书眉一 Char"/>
    <w:link w:val="112"/>
    <w:qFormat/>
    <w:uiPriority w:val="0"/>
    <w:rPr>
      <w:rFonts w:ascii="Times New Roman" w:hAnsi="Times New Roman" w:eastAsia="宋体" w:cs="Times New Roman"/>
      <w:lang w:val="en-US" w:eastAsia="zh-CN" w:bidi="ar-SA"/>
    </w:rPr>
  </w:style>
  <w:style w:type="character" w:customStyle="1" w:styleId="305">
    <w:name w:val="bds_more"/>
    <w:basedOn w:val="42"/>
    <w:qFormat/>
    <w:uiPriority w:val="0"/>
    <w:rPr>
      <w:rFonts w:hint="eastAsia" w:ascii="宋体" w:hAnsi="宋体" w:eastAsia="宋体" w:cs="宋体"/>
    </w:rPr>
  </w:style>
  <w:style w:type="character" w:customStyle="1" w:styleId="306">
    <w:name w:val="bds_more1"/>
    <w:basedOn w:val="42"/>
    <w:qFormat/>
    <w:uiPriority w:val="0"/>
  </w:style>
  <w:style w:type="character" w:customStyle="1" w:styleId="307">
    <w:name w:val="bds_more2"/>
    <w:basedOn w:val="42"/>
    <w:qFormat/>
    <w:uiPriority w:val="0"/>
  </w:style>
  <w:style w:type="character" w:customStyle="1" w:styleId="308">
    <w:name w:val="bds_nopic"/>
    <w:basedOn w:val="42"/>
    <w:qFormat/>
    <w:uiPriority w:val="0"/>
  </w:style>
  <w:style w:type="character" w:customStyle="1" w:styleId="309">
    <w:name w:val="bds_nopic1"/>
    <w:basedOn w:val="42"/>
    <w:qFormat/>
    <w:uiPriority w:val="0"/>
  </w:style>
  <w:style w:type="character" w:customStyle="1" w:styleId="310">
    <w:name w:val="bds_nopic2"/>
    <w:basedOn w:val="42"/>
    <w:qFormat/>
    <w:uiPriority w:val="0"/>
  </w:style>
  <w:style w:type="character" w:customStyle="1" w:styleId="311">
    <w:name w:val="TOC 6 字符"/>
    <w:link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9</Pages>
  <Words>3686</Words>
  <Characters>3935</Characters>
  <Lines>32</Lines>
  <Paragraphs>9</Paragraphs>
  <TotalTime>11</TotalTime>
  <ScaleCrop>false</ScaleCrop>
  <LinksUpToDate>false</LinksUpToDate>
  <CharactersWithSpaces>3966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B一一B</cp:lastModifiedBy>
  <cp:lastPrinted>2024-03-01T08:00:00Z</cp:lastPrinted>
  <dcterms:modified xsi:type="dcterms:W3CDTF">2024-08-16T13:57:33Z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6CB2306C40FA452C979D72FB19137B48_13</vt:lpwstr>
  </property>
</Properties>
</file>