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1C37">
      <w:pPr>
        <w:pStyle w:val="97"/>
      </w:pPr>
      <w:bookmarkStart w:id="76" w:name="_GoBack"/>
      <w:bookmarkEnd w:id="76"/>
      <w:bookmarkStart w:id="0" w:name="SectionMark0"/>
      <w:bookmarkStart w:id="1" w:name="SectionMark4"/>
      <w: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3BDE2352">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eastAsia="宋体" w:cs="宋体"/>
                                <w:spacing w:val="58"/>
                                <w:w w:val="120"/>
                                <w:kern w:val="2"/>
                                <w:sz w:val="28"/>
                                <w:szCs w:val="28"/>
                              </w:rPr>
                              <w:t>校准规范</w:t>
                            </w:r>
                          </w:p>
                          <w:p w14:paraId="53FDCEF0">
                            <w:pPr>
                              <w:jc w:val="center"/>
                              <w:rPr>
                                <w:rFonts w:ascii="宋体" w:hAnsi="宋体" w:cs="宋体"/>
                                <w:spacing w:val="58"/>
                                <w:w w:val="120"/>
                                <w:sz w:val="28"/>
                                <w:szCs w:val="28"/>
                              </w:rPr>
                            </w:pPr>
                            <w:r>
                              <w:rPr>
                                <w:rFonts w:hint="eastAsia" w:ascii="宋体" w:hAnsi="宋体" w:cs="宋体"/>
                                <w:spacing w:val="58"/>
                                <w:w w:val="120"/>
                                <w:sz w:val="28"/>
                                <w:szCs w:val="28"/>
                              </w:rPr>
                              <w:t>编制组</w:t>
                            </w:r>
                          </w:p>
                          <w:p w14:paraId="566C4A71">
                            <w:pPr>
                              <w:jc w:val="center"/>
                              <w:rPr>
                                <w:rFonts w:ascii="宋体" w:hAnsi="宋体" w:cs="宋体"/>
                                <w:sz w:val="28"/>
                                <w:szCs w:val="28"/>
                              </w:rPr>
                            </w:pPr>
                            <w:r>
                              <w:rPr>
                                <w:rFonts w:hint="eastAsia" w:ascii="黑体" w:hAnsi="黑体" w:eastAsia="黑体"/>
                                <w:sz w:val="36"/>
                                <w:szCs w:val="36"/>
                              </w:rPr>
                              <w:t>20</w:t>
                            </w:r>
                            <w:r>
                              <w:rPr>
                                <w:rFonts w:ascii="黑体" w:hAnsi="黑体" w:eastAsia="黑体"/>
                                <w:sz w:val="36"/>
                                <w:szCs w:val="36"/>
                              </w:rPr>
                              <w:t>24</w:t>
                            </w:r>
                            <w:r>
                              <w:rPr>
                                <w:rFonts w:hint="eastAsia" w:ascii="黑体" w:hAnsi="黑体" w:eastAsia="黑体"/>
                                <w:sz w:val="36"/>
                                <w:szCs w:val="36"/>
                              </w:rPr>
                              <w:t>-0</w:t>
                            </w:r>
                            <w:r>
                              <w:rPr>
                                <w:rFonts w:ascii="黑体" w:hAnsi="黑体" w:eastAsia="黑体"/>
                                <w:sz w:val="36"/>
                                <w:szCs w:val="36"/>
                              </w:rPr>
                              <w:t>8</w:t>
                            </w:r>
                            <w:r>
                              <w:rPr>
                                <w:rFonts w:hint="eastAsia" w:ascii="黑体" w:hAnsi="黑体" w:eastAsia="黑体"/>
                                <w:sz w:val="36"/>
                                <w:szCs w:val="36"/>
                              </w:rPr>
                              <w:t>-</w:t>
                            </w:r>
                            <w:r>
                              <w:rPr>
                                <w:rFonts w:ascii="黑体" w:hAnsi="黑体" w:eastAsia="黑体"/>
                                <w:sz w:val="36"/>
                                <w:szCs w:val="36"/>
                              </w:rPr>
                              <w:t>01</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3BDE2352">
                      <w:pPr>
                        <w:pStyle w:val="74"/>
                        <w:rPr>
                          <w:rFonts w:ascii="宋体" w:hAnsi="宋体" w:eastAsia="宋体" w:cs="宋体"/>
                          <w:spacing w:val="58"/>
                          <w:w w:val="120"/>
                          <w:kern w:val="2"/>
                          <w:sz w:val="28"/>
                          <w:szCs w:val="28"/>
                        </w:rPr>
                      </w:pPr>
                      <w:r>
                        <w:rPr>
                          <w:rFonts w:hint="eastAsia" w:ascii="宋体" w:hAnsi="宋体" w:eastAsia="宋体" w:cs="宋体"/>
                          <w:spacing w:val="58"/>
                          <w:w w:val="120"/>
                          <w:kern w:val="2"/>
                          <w:sz w:val="28"/>
                          <w:szCs w:val="28"/>
                        </w:rPr>
                        <w:t>直流电弧-原子</w:t>
                      </w:r>
                      <w:r>
                        <w:rPr>
                          <w:rFonts w:ascii="宋体" w:hAnsi="宋体" w:eastAsia="宋体" w:cs="宋体"/>
                          <w:spacing w:val="58"/>
                          <w:w w:val="120"/>
                          <w:kern w:val="2"/>
                          <w:sz w:val="28"/>
                          <w:szCs w:val="28"/>
                        </w:rPr>
                        <w:t>发射光谱仪</w:t>
                      </w:r>
                      <w:r>
                        <w:rPr>
                          <w:rFonts w:hint="eastAsia" w:ascii="宋体" w:hAnsi="宋体" w:eastAsia="宋体" w:cs="宋体"/>
                          <w:spacing w:val="58"/>
                          <w:w w:val="120"/>
                          <w:kern w:val="2"/>
                          <w:sz w:val="28"/>
                          <w:szCs w:val="28"/>
                        </w:rPr>
                        <w:t>校准规范</w:t>
                      </w:r>
                    </w:p>
                    <w:p w14:paraId="53FDCEF0">
                      <w:pPr>
                        <w:jc w:val="center"/>
                        <w:rPr>
                          <w:rFonts w:ascii="宋体" w:hAnsi="宋体" w:cs="宋体"/>
                          <w:spacing w:val="58"/>
                          <w:w w:val="120"/>
                          <w:sz w:val="28"/>
                          <w:szCs w:val="28"/>
                        </w:rPr>
                      </w:pPr>
                      <w:r>
                        <w:rPr>
                          <w:rFonts w:hint="eastAsia" w:ascii="宋体" w:hAnsi="宋体" w:cs="宋体"/>
                          <w:spacing w:val="58"/>
                          <w:w w:val="120"/>
                          <w:sz w:val="28"/>
                          <w:szCs w:val="28"/>
                        </w:rPr>
                        <w:t>编制组</w:t>
                      </w:r>
                    </w:p>
                    <w:p w14:paraId="566C4A71">
                      <w:pPr>
                        <w:jc w:val="center"/>
                        <w:rPr>
                          <w:rFonts w:ascii="宋体" w:hAnsi="宋体" w:cs="宋体"/>
                          <w:sz w:val="28"/>
                          <w:szCs w:val="28"/>
                        </w:rPr>
                      </w:pPr>
                      <w:r>
                        <w:rPr>
                          <w:rFonts w:hint="eastAsia" w:ascii="黑体" w:hAnsi="黑体" w:eastAsia="黑体"/>
                          <w:sz w:val="36"/>
                          <w:szCs w:val="36"/>
                        </w:rPr>
                        <w:t>20</w:t>
                      </w:r>
                      <w:r>
                        <w:rPr>
                          <w:rFonts w:ascii="黑体" w:hAnsi="黑体" w:eastAsia="黑体"/>
                          <w:sz w:val="36"/>
                          <w:szCs w:val="36"/>
                        </w:rPr>
                        <w:t>24</w:t>
                      </w:r>
                      <w:r>
                        <w:rPr>
                          <w:rFonts w:hint="eastAsia" w:ascii="黑体" w:hAnsi="黑体" w:eastAsia="黑体"/>
                          <w:sz w:val="36"/>
                          <w:szCs w:val="36"/>
                        </w:rPr>
                        <w:t>-0</w:t>
                      </w:r>
                      <w:r>
                        <w:rPr>
                          <w:rFonts w:ascii="黑体" w:hAnsi="黑体" w:eastAsia="黑体"/>
                          <w:sz w:val="36"/>
                          <w:szCs w:val="36"/>
                        </w:rPr>
                        <w:t>8</w:t>
                      </w:r>
                      <w:r>
                        <w:rPr>
                          <w:rFonts w:hint="eastAsia" w:ascii="黑体" w:hAnsi="黑体" w:eastAsia="黑体"/>
                          <w:sz w:val="36"/>
                          <w:szCs w:val="36"/>
                        </w:rPr>
                        <w:t>-</w:t>
                      </w:r>
                      <w:r>
                        <w:rPr>
                          <w:rFonts w:ascii="黑体" w:hAnsi="黑体" w:eastAsia="黑体"/>
                          <w:sz w:val="36"/>
                          <w:szCs w:val="36"/>
                        </w:rPr>
                        <w:t>01</w:t>
                      </w:r>
                    </w:p>
                  </w:txbxContent>
                </v:textbox>
                <w10:anchorlock/>
              </v:rect>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1733550</wp:posOffset>
                </wp:positionH>
                <wp:positionV relativeFrom="margin">
                  <wp:posOffset>3855720</wp:posOffset>
                </wp:positionV>
                <wp:extent cx="2764790" cy="701675"/>
                <wp:effectExtent l="0" t="0" r="0" b="3175"/>
                <wp:wrapNone/>
                <wp:docPr id="2" name="文本框 5"/>
                <wp:cNvGraphicFramePr/>
                <a:graphic xmlns:a="http://schemas.openxmlformats.org/drawingml/2006/main">
                  <a:graphicData uri="http://schemas.microsoft.com/office/word/2010/wordprocessingShape">
                    <wps:wsp>
                      <wps:cNvSpPr/>
                      <wps:spPr>
                        <a:xfrm>
                          <a:off x="0" y="0"/>
                          <a:ext cx="2764790" cy="701675"/>
                        </a:xfrm>
                        <a:prstGeom prst="rect">
                          <a:avLst/>
                        </a:prstGeom>
                        <a:solidFill>
                          <a:srgbClr val="FFFFFF"/>
                        </a:solidFill>
                        <a:ln>
                          <a:noFill/>
                        </a:ln>
                      </wps:spPr>
                      <wps:txbx>
                        <w:txbxContent>
                          <w:p w14:paraId="08275594">
                            <w:pPr>
                              <w:jc w:val="center"/>
                              <w:rPr>
                                <w:sz w:val="40"/>
                              </w:rPr>
                            </w:pPr>
                            <w:r>
                              <w:rPr>
                                <w:rFonts w:hint="eastAsia"/>
                                <w:sz w:val="40"/>
                              </w:rPr>
                              <w:t>（预审稿</w:t>
                            </w:r>
                            <w:r>
                              <w:rPr>
                                <w:sz w:val="40"/>
                              </w:rPr>
                              <w:t>）</w:t>
                            </w:r>
                          </w:p>
                        </w:txbxContent>
                      </wps:txbx>
                      <wps:bodyPr wrap="square" lIns="0" tIns="0" rIns="0" bIns="0" upright="1">
                        <a:noAutofit/>
                      </wps:bodyPr>
                    </wps:wsp>
                  </a:graphicData>
                </a:graphic>
              </wp:anchor>
            </w:drawing>
          </mc:Choice>
          <mc:Fallback>
            <w:pict>
              <v:rect id="文本框 5" o:spid="_x0000_s1026" o:spt="1" style="position:absolute;left:0pt;margin-left:136.5pt;margin-top:303.6pt;height:55.25pt;width:217.7pt;mso-position-horizontal-relative:margin;mso-position-vertical-relative:margin;z-index:251660288;mso-width-relative:page;mso-height-relative:page;" fillcolor="#FFFFFF" filled="t" stroked="f" coordsize="21600,21600" o:gfxdata="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zhMvXAAAACwEAAA8A&#10;AAAAAAAAAQAgAAAAIgAAAGRycy9kb3ducmV2LnhtbFBLAQIUABQAAAAIAIdO4kCH4GG53wEAALkD&#10;AAAOAAAAAAAAAAEAIAAAACYBAABkcnMvZTJvRG9jLnhtbFBLBQYAAAAABgAGAFkBAAB3BQAAAAA=&#10;">
                <v:fill on="t" focussize="0,0"/>
                <v:stroke on="f"/>
                <v:imagedata o:title=""/>
                <o:lock v:ext="edit" aspectratio="f"/>
                <v:textbox inset="0mm,0mm,0mm,0mm">
                  <w:txbxContent>
                    <w:p w14:paraId="08275594">
                      <w:pPr>
                        <w:jc w:val="center"/>
                        <w:rPr>
                          <w:sz w:val="40"/>
                        </w:rPr>
                      </w:pPr>
                      <w:r>
                        <w:rPr>
                          <w:rFonts w:hint="eastAsia"/>
                          <w:sz w:val="40"/>
                        </w:rPr>
                        <w:t>（预审稿</w:t>
                      </w:r>
                      <w:r>
                        <w:rPr>
                          <w:sz w:val="40"/>
                        </w:rPr>
                        <w:t>）</w:t>
                      </w:r>
                    </w:p>
                  </w:txbxContent>
                </v:textbox>
                <w10:anchorlock/>
              </v:rect>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1159510</wp:posOffset>
                </wp:positionV>
                <wp:extent cx="6120130" cy="1858010"/>
                <wp:effectExtent l="0" t="0" r="0" b="8890"/>
                <wp:wrapNone/>
                <wp:docPr id="3" name="文本框 4"/>
                <wp:cNvGraphicFramePr/>
                <a:graphic xmlns:a="http://schemas.openxmlformats.org/drawingml/2006/main">
                  <a:graphicData uri="http://schemas.microsoft.com/office/word/2010/wordprocessingShape">
                    <wps:wsp>
                      <wps:cNvSpPr/>
                      <wps:spPr>
                        <a:xfrm>
                          <a:off x="0" y="0"/>
                          <a:ext cx="6120130" cy="1858010"/>
                        </a:xfrm>
                        <a:prstGeom prst="rect">
                          <a:avLst/>
                        </a:prstGeom>
                        <a:solidFill>
                          <a:srgbClr val="FFFFFF"/>
                        </a:solidFill>
                        <a:ln>
                          <a:noFill/>
                        </a:ln>
                      </wps:spPr>
                      <wps:txbx>
                        <w:txbxContent>
                          <w:p w14:paraId="024019E1">
                            <w:pPr>
                              <w:pStyle w:val="74"/>
                              <w:rPr>
                                <w:rFonts w:hAnsi="黑体" w:cs="黑体"/>
                                <w:sz w:val="44"/>
                                <w:szCs w:val="44"/>
                              </w:rPr>
                            </w:pPr>
                            <w:bookmarkStart w:id="75"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—20</w:t>
                            </w:r>
                            <w:r>
                              <w:rPr>
                                <w:rFonts w:hAnsi="黑体" w:cs="黑体"/>
                                <w:sz w:val="44"/>
                                <w:szCs w:val="44"/>
                              </w:rPr>
                              <w:t>XX</w:t>
                            </w:r>
                          </w:p>
                          <w:bookmarkEnd w:id="75"/>
                          <w:p w14:paraId="702D6B9B">
                            <w:pPr>
                              <w:pStyle w:val="74"/>
                              <w:rPr>
                                <w:rFonts w:hAnsi="黑体" w:cs="黑体"/>
                                <w:szCs w:val="52"/>
                              </w:rPr>
                            </w:pPr>
                            <w:r>
                              <w:rPr>
                                <w:rFonts w:hint="eastAsia" w:hAnsi="黑体" w:cs="黑体"/>
                                <w:kern w:val="2"/>
                                <w:sz w:val="44"/>
                                <w:szCs w:val="44"/>
                              </w:rPr>
                              <w:t>直流电弧-原子</w:t>
                            </w:r>
                            <w:r>
                              <w:rPr>
                                <w:rFonts w:hAnsi="黑体" w:cs="黑体"/>
                                <w:kern w:val="2"/>
                                <w:sz w:val="44"/>
                                <w:szCs w:val="44"/>
                              </w:rPr>
                              <w:t>发射光谱仪</w:t>
                            </w:r>
                            <w:r>
                              <w:rPr>
                                <w:rFonts w:hint="eastAsia" w:hAnsi="黑体" w:cs="黑体"/>
                                <w:kern w:val="2"/>
                                <w:sz w:val="44"/>
                                <w:szCs w:val="44"/>
                              </w:rPr>
                              <w:t>校准规范</w:t>
                            </w:r>
                          </w:p>
                          <w:p w14:paraId="19861339">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a:noAutofit/>
                      </wps:bodyPr>
                    </wps:wsp>
                  </a:graphicData>
                </a:graphic>
              </wp:anchor>
            </w:drawing>
          </mc:Choice>
          <mc:Fallback>
            <w:pict>
              <v:rect id="文本框 4" o:spid="_x0000_s1026" o:spt="1" style="position:absolute;left:0pt;margin-left:12pt;margin-top:91.3pt;height:146.3pt;width:481.9pt;mso-position-horizontal-relative:margin;mso-position-vertical-relative:margin;z-index:251661312;mso-width-relative:page;mso-height-relative:page;" fillcolor="#FFFFFF" filled="t" stroked="f" coordsize="21600,21600" o:gfxdata="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lSEeNcAAAAKAQAADwAAAAAAAAABACAAAAAi&#10;AAAAZHJzL2Rvd25yZXYueG1sUEsBAhQAFAAAAAgAh07iQO7kYIjSAQAArAMAAA4AAAAAAAAAAQAg&#10;AAAAJgEAAGRycy9lMm9Eb2MueG1sUEsFBgAAAAAGAAYAWQEAAGoFAAAAAA==&#10;">
                <v:fill on="t" focussize="0,0"/>
                <v:stroke on="f"/>
                <v:imagedata o:title=""/>
                <o:lock v:ext="edit" aspectratio="f"/>
                <v:textbox inset="0mm,0mm,0mm,0mm">
                  <w:txbxContent>
                    <w:p w14:paraId="024019E1">
                      <w:pPr>
                        <w:pStyle w:val="74"/>
                        <w:rPr>
                          <w:rFonts w:hAnsi="黑体" w:cs="黑体"/>
                          <w:sz w:val="44"/>
                          <w:szCs w:val="44"/>
                        </w:rPr>
                      </w:pPr>
                      <w:bookmarkStart w:id="75" w:name="_Hlk23687263"/>
                      <w:r>
                        <w:rPr>
                          <w:rFonts w:hint="eastAsia" w:hAnsi="黑体" w:cs="黑体"/>
                          <w:sz w:val="44"/>
                          <w:szCs w:val="44"/>
                        </w:rPr>
                        <w:t xml:space="preserve"> JJF（有色金属）</w:t>
                      </w:r>
                      <w:r>
                        <w:rPr>
                          <w:rFonts w:hAnsi="黑体" w:cs="黑体"/>
                          <w:sz w:val="44"/>
                          <w:szCs w:val="44"/>
                        </w:rPr>
                        <w:t>XXXX</w:t>
                      </w:r>
                      <w:r>
                        <w:rPr>
                          <w:rFonts w:hint="eastAsia" w:hAnsi="黑体" w:cs="黑体"/>
                          <w:sz w:val="44"/>
                          <w:szCs w:val="44"/>
                        </w:rPr>
                        <w:t>—20</w:t>
                      </w:r>
                      <w:r>
                        <w:rPr>
                          <w:rFonts w:hAnsi="黑体" w:cs="黑体"/>
                          <w:sz w:val="44"/>
                          <w:szCs w:val="44"/>
                        </w:rPr>
                        <w:t>XX</w:t>
                      </w:r>
                    </w:p>
                    <w:bookmarkEnd w:id="75"/>
                    <w:p w14:paraId="702D6B9B">
                      <w:pPr>
                        <w:pStyle w:val="74"/>
                        <w:rPr>
                          <w:rFonts w:hAnsi="黑体" w:cs="黑体"/>
                          <w:szCs w:val="52"/>
                        </w:rPr>
                      </w:pPr>
                      <w:r>
                        <w:rPr>
                          <w:rFonts w:hint="eastAsia" w:hAnsi="黑体" w:cs="黑体"/>
                          <w:kern w:val="2"/>
                          <w:sz w:val="44"/>
                          <w:szCs w:val="44"/>
                        </w:rPr>
                        <w:t>直流电弧-原子</w:t>
                      </w:r>
                      <w:r>
                        <w:rPr>
                          <w:rFonts w:hAnsi="黑体" w:cs="黑体"/>
                          <w:kern w:val="2"/>
                          <w:sz w:val="44"/>
                          <w:szCs w:val="44"/>
                        </w:rPr>
                        <w:t>发射光谱仪</w:t>
                      </w:r>
                      <w:r>
                        <w:rPr>
                          <w:rFonts w:hint="eastAsia" w:hAnsi="黑体" w:cs="黑体"/>
                          <w:kern w:val="2"/>
                          <w:sz w:val="44"/>
                          <w:szCs w:val="44"/>
                        </w:rPr>
                        <w:t>校准规范</w:t>
                      </w:r>
                    </w:p>
                    <w:p w14:paraId="19861339">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14:paraId="5F073FFF">
      <w:pPr>
        <w:pStyle w:val="71"/>
        <w:numPr>
          <w:ilvl w:val="0"/>
          <w:numId w:val="0"/>
        </w:numPr>
        <w:ind w:left="840" w:hanging="420"/>
        <w:jc w:val="center"/>
        <w:rPr>
          <w:b/>
        </w:rPr>
      </w:pPr>
    </w:p>
    <w:p w14:paraId="56B28520">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14:paraId="0B41BE56">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14:paraId="742FA45C">
      <w:pPr>
        <w:pStyle w:val="60"/>
        <w:spacing w:before="156" w:after="156" w:line="300" w:lineRule="auto"/>
        <w:ind w:left="0"/>
        <w:contextualSpacing/>
      </w:pPr>
      <w:bookmarkStart w:id="3" w:name="_Toc464728892"/>
      <w:bookmarkStart w:id="4" w:name="_Toc456592524"/>
      <w:r>
        <w:rPr>
          <w:rFonts w:hint="eastAsia"/>
        </w:rPr>
        <w:t>立项目的</w:t>
      </w:r>
      <w:bookmarkEnd w:id="3"/>
      <w:bookmarkEnd w:id="4"/>
    </w:p>
    <w:p w14:paraId="28848FCB">
      <w:pPr>
        <w:spacing w:line="360" w:lineRule="auto"/>
        <w:ind w:firstLine="420" w:firstLineChars="200"/>
        <w:rPr>
          <w:szCs w:val="21"/>
        </w:rPr>
      </w:pPr>
      <w:bookmarkStart w:id="5" w:name="_Toc464728896"/>
      <w:r>
        <w:rPr>
          <w:rFonts w:hint="eastAsia"/>
          <w:szCs w:val="21"/>
        </w:rPr>
        <w:t>本项目所涉及的直流电弧-原子发射光谱仪校准规范，直流电弧－原子发射光谱仪无需消解过程，可有效的解决了复杂体系痕量元素检测问题，这些样品诸如陶瓷和玻璃、金属氧化物、碳化物、硼化物以及氮化物，难熔粉末，金属及其他高纯金属、石墨粉末、地质原料、土壤、煤灰、油漆、核燃料氧化铀与氧化钚等，在有色金属领域，广泛的应用于高纯金属与氧化物中痕量杂质元素检测。</w:t>
      </w:r>
    </w:p>
    <w:p w14:paraId="699AFFE0">
      <w:pPr>
        <w:spacing w:line="360" w:lineRule="auto"/>
        <w:ind w:firstLine="420" w:firstLineChars="200"/>
        <w:rPr>
          <w:szCs w:val="21"/>
        </w:rPr>
      </w:pPr>
      <w:r>
        <w:rPr>
          <w:rFonts w:hint="eastAsia"/>
          <w:szCs w:val="21"/>
        </w:rPr>
        <w:t>但随着仪器设备的技术发展，直流电弧－原子发射光谱仪生产厂商推出了新型号的设备，即采用光电倍增管、CID、CCD、</w:t>
      </w:r>
      <w:r>
        <w:rPr>
          <w:szCs w:val="21"/>
        </w:rPr>
        <w:t>百万像素的大面积程序化检测器（L-PAD）</w:t>
      </w:r>
      <w:r>
        <w:rPr>
          <w:rFonts w:hint="eastAsia"/>
          <w:szCs w:val="21"/>
        </w:rPr>
        <w:t>等先进检测器替代了摄谱仪中老式的光学色散装置；以美国利曼公司推出了的Pro</w:t>
      </w:r>
      <w:r>
        <w:rPr>
          <w:szCs w:val="21"/>
        </w:rPr>
        <w:t>digy</w:t>
      </w:r>
      <w:r>
        <w:rPr>
          <w:rFonts w:hint="eastAsia"/>
          <w:szCs w:val="21"/>
        </w:rPr>
        <w:t>直流电弧－原子发射光谱仪最为典型，</w:t>
      </w:r>
      <w:r>
        <w:rPr>
          <w:szCs w:val="21"/>
        </w:rPr>
        <w:t>新设备可以</w:t>
      </w:r>
      <w:r>
        <w:rPr>
          <w:rFonts w:hint="eastAsia"/>
          <w:szCs w:val="21"/>
        </w:rPr>
        <w:t>实现</w:t>
      </w:r>
      <w:r>
        <w:rPr>
          <w:szCs w:val="21"/>
        </w:rPr>
        <w:t>一次直流电弧激发过程中实现了同时进行信号采集和背景校正，实现了光电转换和分析数据直读，取代了传统繁琐的相板、洗相、看谱、测光等程序。新旧设备的结构差异见表</w:t>
      </w:r>
      <w:r>
        <w:rPr>
          <w:rFonts w:hint="eastAsia"/>
          <w:szCs w:val="21"/>
        </w:rPr>
        <w:t>1</w:t>
      </w:r>
      <w:r>
        <w:rPr>
          <w:szCs w:val="21"/>
        </w:rPr>
        <w:t>，由于设备结构与进样系统的差异，现有的JJG</w:t>
      </w:r>
      <w:r>
        <w:rPr>
          <w:rFonts w:hint="eastAsia"/>
          <w:szCs w:val="21"/>
        </w:rPr>
        <w:t>768-2005《发射光谱仪》校准规范不在适用于DC-AES的校准。</w:t>
      </w:r>
    </w:p>
    <w:p w14:paraId="5D6052AE">
      <w:pPr>
        <w:spacing w:line="360" w:lineRule="auto"/>
        <w:jc w:val="center"/>
        <w:rPr>
          <w:b/>
          <w:sz w:val="24"/>
        </w:rPr>
      </w:pPr>
      <w:r>
        <w:rPr>
          <w:b/>
          <w:sz w:val="18"/>
        </w:rPr>
        <w:t>表</w:t>
      </w:r>
      <w:r>
        <w:rPr>
          <w:rFonts w:hint="eastAsia"/>
          <w:b/>
          <w:sz w:val="18"/>
        </w:rPr>
        <w:t>1</w:t>
      </w:r>
      <w:r>
        <w:rPr>
          <w:b/>
          <w:sz w:val="18"/>
        </w:rPr>
        <w:t xml:space="preserve"> 新旧设备结构明细</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79"/>
        <w:gridCol w:w="992"/>
        <w:gridCol w:w="1418"/>
        <w:gridCol w:w="1134"/>
        <w:gridCol w:w="1477"/>
      </w:tblGrid>
      <w:tr w14:paraId="321E8F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14:paraId="5350BAF2">
            <w:pPr>
              <w:jc w:val="center"/>
              <w:rPr>
                <w:sz w:val="18"/>
              </w:rPr>
            </w:pPr>
            <w:r>
              <w:rPr>
                <w:rFonts w:hint="eastAsia"/>
                <w:sz w:val="18"/>
              </w:rPr>
              <w:t>名称</w:t>
            </w:r>
          </w:p>
        </w:tc>
        <w:tc>
          <w:tcPr>
            <w:tcW w:w="992" w:type="dxa"/>
            <w:vAlign w:val="center"/>
          </w:tcPr>
          <w:p w14:paraId="5B20B8AB">
            <w:pPr>
              <w:jc w:val="center"/>
              <w:rPr>
                <w:sz w:val="18"/>
              </w:rPr>
            </w:pPr>
            <w:r>
              <w:rPr>
                <w:rFonts w:hint="eastAsia"/>
                <w:sz w:val="18"/>
              </w:rPr>
              <w:t>激发装置</w:t>
            </w:r>
          </w:p>
        </w:tc>
        <w:tc>
          <w:tcPr>
            <w:tcW w:w="1418" w:type="dxa"/>
            <w:vAlign w:val="center"/>
          </w:tcPr>
          <w:p w14:paraId="11596166">
            <w:pPr>
              <w:jc w:val="center"/>
              <w:rPr>
                <w:sz w:val="18"/>
              </w:rPr>
            </w:pPr>
            <w:r>
              <w:rPr>
                <w:rFonts w:hint="eastAsia"/>
                <w:sz w:val="18"/>
              </w:rPr>
              <w:t>检测装置</w:t>
            </w:r>
          </w:p>
        </w:tc>
        <w:tc>
          <w:tcPr>
            <w:tcW w:w="1134" w:type="dxa"/>
            <w:vAlign w:val="center"/>
          </w:tcPr>
          <w:p w14:paraId="2CFA4166">
            <w:pPr>
              <w:jc w:val="center"/>
              <w:rPr>
                <w:sz w:val="18"/>
              </w:rPr>
            </w:pPr>
            <w:r>
              <w:rPr>
                <w:rFonts w:hint="eastAsia"/>
                <w:sz w:val="18"/>
              </w:rPr>
              <w:t>检测结果</w:t>
            </w:r>
          </w:p>
        </w:tc>
        <w:tc>
          <w:tcPr>
            <w:tcW w:w="1477" w:type="dxa"/>
            <w:vAlign w:val="center"/>
          </w:tcPr>
          <w:p w14:paraId="17ABBA80">
            <w:pPr>
              <w:jc w:val="center"/>
              <w:rPr>
                <w:sz w:val="18"/>
              </w:rPr>
            </w:pPr>
            <w:r>
              <w:rPr>
                <w:rFonts w:hint="eastAsia"/>
                <w:sz w:val="18"/>
              </w:rPr>
              <w:t>校准规范</w:t>
            </w:r>
          </w:p>
        </w:tc>
      </w:tr>
      <w:tr w14:paraId="3C9C5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14:paraId="5967808C">
            <w:pPr>
              <w:jc w:val="center"/>
              <w:rPr>
                <w:sz w:val="18"/>
              </w:rPr>
            </w:pPr>
            <w:r>
              <w:rPr>
                <w:rFonts w:hint="eastAsia"/>
                <w:sz w:val="18"/>
              </w:rPr>
              <w:t>摄谱仪</w:t>
            </w:r>
          </w:p>
        </w:tc>
        <w:tc>
          <w:tcPr>
            <w:tcW w:w="992" w:type="dxa"/>
            <w:vAlign w:val="center"/>
          </w:tcPr>
          <w:p w14:paraId="72BB5479">
            <w:pPr>
              <w:jc w:val="center"/>
              <w:rPr>
                <w:sz w:val="18"/>
              </w:rPr>
            </w:pPr>
            <w:r>
              <w:rPr>
                <w:rFonts w:hint="eastAsia"/>
                <w:sz w:val="18"/>
              </w:rPr>
              <w:t>直流电弧</w:t>
            </w:r>
          </w:p>
        </w:tc>
        <w:tc>
          <w:tcPr>
            <w:tcW w:w="1418" w:type="dxa"/>
            <w:vAlign w:val="center"/>
          </w:tcPr>
          <w:p w14:paraId="17A48917">
            <w:pPr>
              <w:jc w:val="center"/>
              <w:rPr>
                <w:sz w:val="18"/>
              </w:rPr>
            </w:pPr>
            <w:r>
              <w:rPr>
                <w:rFonts w:hint="eastAsia"/>
                <w:sz w:val="18"/>
              </w:rPr>
              <w:t>光栅色散系统</w:t>
            </w:r>
          </w:p>
        </w:tc>
        <w:tc>
          <w:tcPr>
            <w:tcW w:w="1134" w:type="dxa"/>
            <w:vAlign w:val="center"/>
          </w:tcPr>
          <w:p w14:paraId="1E2BF6D2">
            <w:pPr>
              <w:jc w:val="center"/>
              <w:rPr>
                <w:sz w:val="18"/>
              </w:rPr>
            </w:pPr>
            <w:r>
              <w:rPr>
                <w:rFonts w:hint="eastAsia"/>
                <w:sz w:val="18"/>
              </w:rPr>
              <w:t>洗板，看谱</w:t>
            </w:r>
          </w:p>
        </w:tc>
        <w:tc>
          <w:tcPr>
            <w:tcW w:w="1477" w:type="dxa"/>
            <w:vAlign w:val="center"/>
          </w:tcPr>
          <w:p w14:paraId="17A8AA5D">
            <w:pPr>
              <w:jc w:val="center"/>
              <w:rPr>
                <w:sz w:val="18"/>
              </w:rPr>
            </w:pPr>
            <w:r>
              <w:rPr>
                <w:rFonts w:hint="eastAsia"/>
                <w:sz w:val="18"/>
              </w:rPr>
              <w:t>JJG 768-2005</w:t>
            </w:r>
          </w:p>
        </w:tc>
      </w:tr>
      <w:tr w14:paraId="1EECAB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9" w:type="dxa"/>
            <w:vAlign w:val="center"/>
          </w:tcPr>
          <w:p w14:paraId="55C05A34">
            <w:pPr>
              <w:jc w:val="center"/>
              <w:rPr>
                <w:sz w:val="18"/>
              </w:rPr>
            </w:pPr>
            <w:r>
              <w:rPr>
                <w:sz w:val="18"/>
              </w:rPr>
              <w:t>直流电弧</w:t>
            </w:r>
            <w:r>
              <w:rPr>
                <w:rFonts w:hint="eastAsia"/>
                <w:sz w:val="18"/>
              </w:rPr>
              <w:t>-原子发射光谱仪</w:t>
            </w:r>
          </w:p>
        </w:tc>
        <w:tc>
          <w:tcPr>
            <w:tcW w:w="992" w:type="dxa"/>
            <w:vAlign w:val="center"/>
          </w:tcPr>
          <w:p w14:paraId="4F5154A2">
            <w:pPr>
              <w:jc w:val="center"/>
              <w:rPr>
                <w:sz w:val="18"/>
              </w:rPr>
            </w:pPr>
            <w:r>
              <w:rPr>
                <w:rFonts w:hint="eastAsia"/>
                <w:sz w:val="18"/>
              </w:rPr>
              <w:t>直流电弧</w:t>
            </w:r>
          </w:p>
        </w:tc>
        <w:tc>
          <w:tcPr>
            <w:tcW w:w="1418" w:type="dxa"/>
            <w:vAlign w:val="center"/>
          </w:tcPr>
          <w:p w14:paraId="7E289939">
            <w:pPr>
              <w:jc w:val="center"/>
              <w:rPr>
                <w:sz w:val="18"/>
              </w:rPr>
            </w:pPr>
            <w:r>
              <w:rPr>
                <w:sz w:val="18"/>
              </w:rPr>
              <w:t>L-PAD检测器</w:t>
            </w:r>
          </w:p>
        </w:tc>
        <w:tc>
          <w:tcPr>
            <w:tcW w:w="1134" w:type="dxa"/>
            <w:vAlign w:val="center"/>
          </w:tcPr>
          <w:p w14:paraId="768B1FC2">
            <w:pPr>
              <w:jc w:val="center"/>
              <w:rPr>
                <w:sz w:val="18"/>
              </w:rPr>
            </w:pPr>
            <w:r>
              <w:rPr>
                <w:rFonts w:hint="eastAsia"/>
                <w:sz w:val="18"/>
              </w:rPr>
              <w:t>计算机给出</w:t>
            </w:r>
          </w:p>
        </w:tc>
        <w:tc>
          <w:tcPr>
            <w:tcW w:w="1477" w:type="dxa"/>
            <w:vAlign w:val="center"/>
          </w:tcPr>
          <w:p w14:paraId="524E3FA6">
            <w:pPr>
              <w:jc w:val="center"/>
              <w:rPr>
                <w:sz w:val="18"/>
              </w:rPr>
            </w:pPr>
            <w:r>
              <w:rPr>
                <w:rFonts w:hint="eastAsia"/>
                <w:sz w:val="18"/>
              </w:rPr>
              <w:t>无</w:t>
            </w:r>
          </w:p>
        </w:tc>
      </w:tr>
    </w:tbl>
    <w:p w14:paraId="7187DB9E">
      <w:pPr>
        <w:ind w:firstLine="420" w:firstLineChars="200"/>
        <w:jc w:val="left"/>
        <w:rPr>
          <w:szCs w:val="21"/>
        </w:rPr>
      </w:pPr>
    </w:p>
    <w:p w14:paraId="7A57188D">
      <w:pPr>
        <w:spacing w:line="360" w:lineRule="auto"/>
        <w:ind w:firstLine="420" w:firstLineChars="200"/>
        <w:jc w:val="left"/>
        <w:rPr>
          <w:szCs w:val="21"/>
        </w:rPr>
      </w:pPr>
      <w:r>
        <w:rPr>
          <w:rFonts w:hint="eastAsia"/>
          <w:szCs w:val="21"/>
        </w:rPr>
        <w:t>本标准制定后，能够规范行业内直流电弧－原子发射光谱仪校准方法，可以广泛应用到行业生产、科研、教学等部门理化实验室等的校准，保证各个台设备量值的准确，进而保证试验结果的可信度，使得产品的安全性、可靠性得到保证，保障行业生产的安全，促进国内化工制造、冶金、制药、环保等领域的发展提供保障，为我有色金属行业高质量发展保驾护航。</w:t>
      </w:r>
    </w:p>
    <w:p w14:paraId="7A55D3CD">
      <w:pPr>
        <w:pStyle w:val="60"/>
        <w:spacing w:before="156" w:after="156" w:line="360" w:lineRule="auto"/>
        <w:ind w:left="0"/>
        <w:contextualSpacing/>
      </w:pPr>
      <w:r>
        <w:rPr>
          <w:rFonts w:hint="eastAsia"/>
        </w:rPr>
        <w:t>任务来源</w:t>
      </w:r>
      <w:bookmarkEnd w:id="5"/>
    </w:p>
    <w:p w14:paraId="49AB65F8">
      <w:pPr>
        <w:spacing w:line="360" w:lineRule="auto"/>
        <w:ind w:firstLine="420" w:firstLineChars="200"/>
        <w:contextualSpacing/>
        <w:jc w:val="left"/>
        <w:rPr>
          <w:szCs w:val="21"/>
        </w:rPr>
      </w:pPr>
      <w:r>
        <w:rPr>
          <w:rFonts w:hint="eastAsia"/>
          <w:szCs w:val="21"/>
        </w:rPr>
        <w:t>为保证和提升我直流电弧-原子发射光谱仪试验数据的准确性，适应我国有色金属行业的快速发展和满足国内外市场的需要，工业和信息化部以工信厅科函[202</w:t>
      </w:r>
      <w:r>
        <w:rPr>
          <w:szCs w:val="21"/>
        </w:rPr>
        <w:t>3</w:t>
      </w:r>
      <w:r>
        <w:rPr>
          <w:rFonts w:hint="eastAsia"/>
          <w:szCs w:val="21"/>
        </w:rPr>
        <w:t>]</w:t>
      </w:r>
      <w:r>
        <w:rPr>
          <w:szCs w:val="21"/>
        </w:rPr>
        <w:t>476</w:t>
      </w:r>
      <w:r>
        <w:rPr>
          <w:rFonts w:hint="eastAsia"/>
          <w:szCs w:val="21"/>
        </w:rPr>
        <w:t>号文下达了工业和信息化部办公厅《关于印发202</w:t>
      </w:r>
      <w:r>
        <w:rPr>
          <w:szCs w:val="21"/>
        </w:rPr>
        <w:t>2</w:t>
      </w:r>
      <w:r>
        <w:rPr>
          <w:rFonts w:hint="eastAsia"/>
          <w:szCs w:val="21"/>
        </w:rPr>
        <w:t>年行业计量技术规范制修订计划的通知》，其计划项目代号为：JJFZ(有色金属)0</w:t>
      </w:r>
      <w:r>
        <w:rPr>
          <w:szCs w:val="21"/>
        </w:rPr>
        <w:t>22</w:t>
      </w:r>
      <w:r>
        <w:rPr>
          <w:rFonts w:hint="eastAsia"/>
          <w:szCs w:val="21"/>
        </w:rPr>
        <w:t>-202</w:t>
      </w:r>
      <w:r>
        <w:rPr>
          <w:szCs w:val="21"/>
        </w:rPr>
        <w:t>3</w:t>
      </w:r>
      <w:r>
        <w:rPr>
          <w:rFonts w:hint="eastAsia"/>
          <w:szCs w:val="21"/>
        </w:rPr>
        <w:t>，</w:t>
      </w:r>
      <w:r>
        <w:rPr>
          <w:rFonts w:hint="eastAsia" w:hAnsi="宋体"/>
          <w:bCs/>
          <w:szCs w:val="21"/>
        </w:rPr>
        <w:t>按计划要求，本计量规范应于</w:t>
      </w:r>
      <w:r>
        <w:rPr>
          <w:rFonts w:hAnsi="宋体"/>
          <w:bCs/>
          <w:szCs w:val="21"/>
        </w:rPr>
        <w:t>202</w:t>
      </w:r>
      <w:r>
        <w:rPr>
          <w:rFonts w:hint="eastAsia" w:hAnsi="宋体"/>
          <w:bCs/>
          <w:szCs w:val="21"/>
        </w:rPr>
        <w:t>4年完成</w:t>
      </w:r>
      <w:r>
        <w:rPr>
          <w:rFonts w:hint="eastAsia"/>
          <w:szCs w:val="21"/>
        </w:rPr>
        <w:t>。</w:t>
      </w:r>
    </w:p>
    <w:p w14:paraId="4F73B6BB">
      <w:pPr>
        <w:pStyle w:val="60"/>
        <w:spacing w:before="156" w:after="156" w:line="300" w:lineRule="auto"/>
        <w:ind w:left="0"/>
        <w:contextualSpacing/>
      </w:pPr>
      <w:r>
        <w:rPr>
          <w:rFonts w:hint="eastAsia"/>
        </w:rPr>
        <w:t>承担单位情况</w:t>
      </w:r>
    </w:p>
    <w:p w14:paraId="57624018">
      <w:pPr>
        <w:spacing w:line="360" w:lineRule="auto"/>
        <w:ind w:firstLine="420" w:firstLineChars="200"/>
        <w:rPr>
          <w:szCs w:val="21"/>
        </w:rPr>
      </w:pPr>
      <w:r>
        <w:rPr>
          <w:rFonts w:hint="eastAsia"/>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w:t>
      </w:r>
    </w:p>
    <w:p w14:paraId="6F41C729">
      <w:pPr>
        <w:spacing w:line="360" w:lineRule="auto"/>
        <w:ind w:firstLine="420" w:firstLineChars="200"/>
        <w:rPr>
          <w:szCs w:val="21"/>
        </w:rPr>
      </w:pPr>
      <w:r>
        <w:rPr>
          <w:rFonts w:hint="eastAsia"/>
          <w:szCs w:val="21"/>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14:paraId="4982660E">
      <w:pPr>
        <w:spacing w:line="360" w:lineRule="auto"/>
        <w:ind w:firstLine="420" w:firstLineChars="200"/>
        <w:rPr>
          <w:szCs w:val="21"/>
        </w:rPr>
      </w:pPr>
      <w:r>
        <w:rPr>
          <w:rFonts w:hint="eastAsia"/>
          <w:szCs w:val="21"/>
        </w:rPr>
        <w:t>近10年起草有色金属国家/行业规范共80余项、发表论文120余篇、授权专利30余项。先后荣获中国有色金属工业一等奖、二等奖20余次。</w:t>
      </w:r>
    </w:p>
    <w:p w14:paraId="2A921229">
      <w:pPr>
        <w:spacing w:line="360" w:lineRule="auto"/>
        <w:ind w:firstLine="420" w:firstLineChars="20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14:paraId="020B1830">
      <w:pPr>
        <w:pStyle w:val="60"/>
        <w:spacing w:before="156" w:after="156" w:line="300" w:lineRule="auto"/>
        <w:ind w:left="0"/>
        <w:contextualSpacing/>
      </w:pPr>
      <w:bookmarkStart w:id="6" w:name="_Toc462884357"/>
      <w:bookmarkStart w:id="7" w:name="_Toc464728913"/>
      <w:r>
        <w:rPr>
          <w:rFonts w:hint="eastAsia"/>
        </w:rPr>
        <w:t>主要工作过程</w:t>
      </w:r>
      <w:bookmarkEnd w:id="6"/>
      <w:bookmarkEnd w:id="7"/>
    </w:p>
    <w:p w14:paraId="7EAB9EA3">
      <w:pPr>
        <w:pStyle w:val="59"/>
        <w:spacing w:before="156" w:beforeLines="50" w:after="156" w:afterLines="50" w:line="240" w:lineRule="auto"/>
        <w:rPr>
          <w:color w:val="auto"/>
        </w:rPr>
      </w:pPr>
      <w:r>
        <w:rPr>
          <w:rFonts w:hint="eastAsia"/>
          <w:color w:val="auto"/>
        </w:rPr>
        <w:t>任务落实会</w:t>
      </w:r>
    </w:p>
    <w:p w14:paraId="133DB646">
      <w:pPr>
        <w:spacing w:line="360" w:lineRule="auto"/>
        <w:ind w:firstLine="420" w:firstLineChars="200"/>
      </w:pPr>
      <w:r>
        <w:rPr>
          <w:rFonts w:hint="eastAsia"/>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14:paraId="41865BB8">
      <w:pPr>
        <w:spacing w:line="360" w:lineRule="auto"/>
      </w:pPr>
      <w:r>
        <w:rPr>
          <w:rFonts w:hint="eastAsia"/>
        </w:rPr>
        <w:t>1）</w:t>
      </w:r>
      <w:r>
        <w:t>20</w:t>
      </w:r>
      <w:r>
        <w:rPr>
          <w:rFonts w:hint="eastAsia"/>
        </w:rPr>
        <w:t>23年8月成立了计量规范编制组，明确了编制组成员各自的工作内容和任务。</w:t>
      </w:r>
    </w:p>
    <w:p w14:paraId="74019CDF">
      <w:pPr>
        <w:spacing w:line="360" w:lineRule="auto"/>
        <w:rPr>
          <w:rFonts w:eastAsiaTheme="minorEastAsia"/>
          <w:szCs w:val="21"/>
        </w:rPr>
      </w:pPr>
      <w:r>
        <w:rPr>
          <w:rFonts w:hint="eastAsia"/>
          <w:bCs/>
        </w:rPr>
        <w:t>2）</w:t>
      </w:r>
      <w:r>
        <w:rPr>
          <w:rFonts w:hint="eastAsia"/>
          <w:bCs/>
          <w:color w:val="000000"/>
          <w:szCs w:val="21"/>
        </w:rPr>
        <w:t>2024年4月23日在长沙</w:t>
      </w:r>
      <w:r>
        <w:rPr>
          <w:rFonts w:hint="eastAsia" w:eastAsiaTheme="minorEastAsia"/>
        </w:rPr>
        <w:t>举行有色金属计量技术规范研讨会，</w:t>
      </w:r>
      <w:r>
        <w:rPr>
          <w:rFonts w:hint="eastAsia" w:eastAsiaTheme="minorEastAsia"/>
          <w:szCs w:val="21"/>
        </w:rPr>
        <w:t>会上对《</w:t>
      </w:r>
      <w:r>
        <w:rPr>
          <w:rFonts w:hint="eastAsia" w:eastAsiaTheme="minorEastAsia"/>
          <w:bCs/>
        </w:rPr>
        <w:t>直流电弧原子发射光谱仪校准规范</w:t>
      </w:r>
      <w:r>
        <w:rPr>
          <w:rFonts w:hint="eastAsia" w:eastAsiaTheme="minorEastAsia"/>
          <w:szCs w:val="21"/>
        </w:rPr>
        <w:t>》等项有色金属行业计量技术规范进行了讨论，会上有来自不同单位的计量委员会委员、专家、代表对《</w:t>
      </w:r>
      <w:r>
        <w:rPr>
          <w:rFonts w:hint="eastAsia" w:eastAsiaTheme="minorEastAsia"/>
          <w:bCs/>
        </w:rPr>
        <w:t>直流电弧原子发射光谱仪校准规范</w:t>
      </w:r>
      <w:r>
        <w:rPr>
          <w:rFonts w:hint="eastAsia" w:eastAsiaTheme="minorEastAsia"/>
          <w:szCs w:val="21"/>
        </w:rPr>
        <w:t>》讨论稿提出了修改建议和意见，会议纪要见表1。</w:t>
      </w:r>
    </w:p>
    <w:p w14:paraId="3A2EC002">
      <w:pPr>
        <w:spacing w:line="360" w:lineRule="auto"/>
        <w:ind w:firstLine="210" w:firstLineChars="100"/>
        <w:jc w:val="center"/>
      </w:pPr>
      <w:r>
        <w:rPr>
          <w:rFonts w:hint="eastAsia"/>
        </w:rPr>
        <w:t>表1有色金属计量技术规范研讨会会议纪要</w:t>
      </w:r>
    </w:p>
    <w:tbl>
      <w:tblPr>
        <w:tblStyle w:val="40"/>
        <w:tblW w:w="4886" w:type="pct"/>
        <w:tblInd w:w="-5" w:type="dxa"/>
        <w:tblLayout w:type="fixed"/>
        <w:tblCellMar>
          <w:top w:w="0" w:type="dxa"/>
          <w:left w:w="108" w:type="dxa"/>
          <w:bottom w:w="0" w:type="dxa"/>
          <w:right w:w="108" w:type="dxa"/>
        </w:tblCellMar>
      </w:tblPr>
      <w:tblGrid>
        <w:gridCol w:w="861"/>
        <w:gridCol w:w="1097"/>
        <w:gridCol w:w="3969"/>
        <w:gridCol w:w="1973"/>
        <w:gridCol w:w="1453"/>
      </w:tblGrid>
      <w:tr w14:paraId="754A0C74">
        <w:tblPrEx>
          <w:tblCellMar>
            <w:top w:w="0" w:type="dxa"/>
            <w:left w:w="108" w:type="dxa"/>
            <w:bottom w:w="0" w:type="dxa"/>
            <w:right w:w="108" w:type="dxa"/>
          </w:tblCellMar>
        </w:tblPrEx>
        <w:trPr>
          <w:trHeight w:val="665"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8E85E">
            <w:pPr>
              <w:widowControl/>
              <w:spacing w:line="260" w:lineRule="exact"/>
              <w:jc w:val="center"/>
              <w:rPr>
                <w:color w:val="000000"/>
                <w:kern w:val="0"/>
                <w:szCs w:val="21"/>
              </w:rPr>
            </w:pPr>
            <w:r>
              <w:rPr>
                <w:color w:val="000000"/>
                <w:kern w:val="0"/>
                <w:szCs w:val="21"/>
              </w:rPr>
              <w:t>序号</w:t>
            </w:r>
          </w:p>
        </w:tc>
        <w:tc>
          <w:tcPr>
            <w:tcW w:w="586" w:type="pct"/>
            <w:tcBorders>
              <w:top w:val="single" w:color="auto" w:sz="4" w:space="0"/>
              <w:left w:val="nil"/>
              <w:bottom w:val="single" w:color="auto" w:sz="4" w:space="0"/>
              <w:right w:val="single" w:color="auto" w:sz="4" w:space="0"/>
            </w:tcBorders>
            <w:shd w:val="clear" w:color="auto" w:fill="auto"/>
            <w:vAlign w:val="center"/>
          </w:tcPr>
          <w:p w14:paraId="5547173E">
            <w:pPr>
              <w:widowControl/>
              <w:spacing w:line="260" w:lineRule="exact"/>
              <w:jc w:val="center"/>
              <w:rPr>
                <w:color w:val="000000"/>
                <w:kern w:val="0"/>
                <w:szCs w:val="21"/>
              </w:rPr>
            </w:pPr>
            <w:r>
              <w:rPr>
                <w:color w:val="000000"/>
                <w:kern w:val="0"/>
                <w:szCs w:val="21"/>
              </w:rPr>
              <w:t>标准章条</w:t>
            </w:r>
          </w:p>
          <w:p w14:paraId="23538F19">
            <w:pPr>
              <w:widowControl/>
              <w:spacing w:line="260" w:lineRule="exact"/>
              <w:jc w:val="center"/>
              <w:rPr>
                <w:color w:val="000000"/>
                <w:kern w:val="0"/>
                <w:szCs w:val="21"/>
              </w:rPr>
            </w:pPr>
            <w:r>
              <w:rPr>
                <w:color w:val="000000"/>
                <w:kern w:val="0"/>
                <w:szCs w:val="21"/>
              </w:rPr>
              <w:t>编号</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57A5894C">
            <w:pPr>
              <w:widowControl/>
              <w:spacing w:line="260" w:lineRule="exact"/>
              <w:jc w:val="center"/>
              <w:rPr>
                <w:color w:val="000000"/>
                <w:kern w:val="0"/>
                <w:szCs w:val="21"/>
              </w:rPr>
            </w:pPr>
            <w:r>
              <w:rPr>
                <w:color w:val="000000"/>
                <w:kern w:val="0"/>
                <w:szCs w:val="21"/>
              </w:rPr>
              <w:t>意见内容</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049112F0">
            <w:pPr>
              <w:widowControl/>
              <w:spacing w:line="260" w:lineRule="exact"/>
              <w:jc w:val="center"/>
              <w:rPr>
                <w:color w:val="000000"/>
                <w:kern w:val="0"/>
                <w:szCs w:val="21"/>
              </w:rPr>
            </w:pPr>
            <w:r>
              <w:rPr>
                <w:color w:val="000000"/>
                <w:kern w:val="0"/>
                <w:szCs w:val="21"/>
              </w:rPr>
              <w:t>提出单位及提出人</w:t>
            </w:r>
          </w:p>
          <w:p w14:paraId="4C902AFF">
            <w:pPr>
              <w:widowControl/>
              <w:spacing w:line="260" w:lineRule="exact"/>
              <w:jc w:val="center"/>
              <w:rPr>
                <w:color w:val="000000"/>
                <w:kern w:val="0"/>
                <w:szCs w:val="21"/>
              </w:rPr>
            </w:pPr>
            <w:r>
              <w:rPr>
                <w:color w:val="000000"/>
                <w:kern w:val="0"/>
                <w:szCs w:val="21"/>
              </w:rPr>
              <w:t>（可简写）</w:t>
            </w:r>
          </w:p>
        </w:tc>
        <w:tc>
          <w:tcPr>
            <w:tcW w:w="777" w:type="pct"/>
            <w:tcBorders>
              <w:top w:val="single" w:color="auto" w:sz="4" w:space="0"/>
              <w:left w:val="nil"/>
              <w:bottom w:val="single" w:color="auto" w:sz="4" w:space="0"/>
              <w:right w:val="single" w:color="auto" w:sz="4" w:space="0"/>
            </w:tcBorders>
            <w:shd w:val="clear" w:color="auto" w:fill="auto"/>
            <w:noWrap/>
            <w:vAlign w:val="center"/>
          </w:tcPr>
          <w:p w14:paraId="51CE601D">
            <w:pPr>
              <w:widowControl/>
              <w:spacing w:line="260" w:lineRule="exact"/>
              <w:jc w:val="center"/>
              <w:rPr>
                <w:color w:val="000000"/>
                <w:kern w:val="0"/>
                <w:szCs w:val="21"/>
              </w:rPr>
            </w:pPr>
            <w:r>
              <w:rPr>
                <w:color w:val="000000"/>
                <w:kern w:val="0"/>
                <w:szCs w:val="21"/>
              </w:rPr>
              <w:t>处理意见</w:t>
            </w:r>
          </w:p>
        </w:tc>
      </w:tr>
      <w:tr w14:paraId="66165EC9">
        <w:tblPrEx>
          <w:tblCellMar>
            <w:top w:w="0" w:type="dxa"/>
            <w:left w:w="108" w:type="dxa"/>
            <w:bottom w:w="0" w:type="dxa"/>
            <w:right w:w="108" w:type="dxa"/>
          </w:tblCellMar>
        </w:tblPrEx>
        <w:trPr>
          <w:trHeight w:val="923"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34CCA8C4">
            <w:pPr>
              <w:pStyle w:val="301"/>
              <w:widowControl/>
              <w:numPr>
                <w:ilvl w:val="0"/>
                <w:numId w:val="12"/>
              </w:numPr>
              <w:ind w:firstLineChars="0"/>
              <w:jc w:val="center"/>
              <w:rPr>
                <w:color w:val="000000"/>
                <w:kern w:val="0"/>
                <w:szCs w:val="21"/>
              </w:rPr>
            </w:pPr>
          </w:p>
        </w:tc>
        <w:tc>
          <w:tcPr>
            <w:tcW w:w="586" w:type="pct"/>
            <w:tcBorders>
              <w:top w:val="nil"/>
              <w:left w:val="nil"/>
              <w:bottom w:val="single" w:color="auto" w:sz="4" w:space="0"/>
              <w:right w:val="single" w:color="auto" w:sz="4" w:space="0"/>
            </w:tcBorders>
            <w:shd w:val="clear" w:color="auto" w:fill="auto"/>
            <w:noWrap/>
            <w:vAlign w:val="center"/>
          </w:tcPr>
          <w:p w14:paraId="2A732CF7">
            <w:pPr>
              <w:widowControl/>
              <w:spacing w:line="280" w:lineRule="exact"/>
              <w:jc w:val="center"/>
              <w:rPr>
                <w:color w:val="000000"/>
                <w:kern w:val="0"/>
                <w:szCs w:val="21"/>
              </w:rPr>
            </w:pPr>
            <w:r>
              <w:rPr>
                <w:color w:val="000000"/>
                <w:kern w:val="0"/>
                <w:szCs w:val="21"/>
              </w:rPr>
              <w:t>3.2</w:t>
            </w:r>
          </w:p>
        </w:tc>
        <w:tc>
          <w:tcPr>
            <w:tcW w:w="2122" w:type="pct"/>
            <w:tcBorders>
              <w:top w:val="nil"/>
              <w:left w:val="nil"/>
              <w:bottom w:val="single" w:color="auto" w:sz="4" w:space="0"/>
              <w:right w:val="single" w:color="auto" w:sz="4" w:space="0"/>
            </w:tcBorders>
            <w:shd w:val="clear" w:color="auto" w:fill="auto"/>
            <w:noWrap/>
            <w:vAlign w:val="center"/>
          </w:tcPr>
          <w:p w14:paraId="1F90B754">
            <w:pPr>
              <w:widowControl/>
              <w:spacing w:line="280" w:lineRule="exact"/>
              <w:jc w:val="left"/>
              <w:rPr>
                <w:color w:val="000000"/>
                <w:kern w:val="0"/>
                <w:szCs w:val="21"/>
              </w:rPr>
            </w:pPr>
            <w:r>
              <w:rPr>
                <w:color w:val="000000"/>
                <w:kern w:val="0"/>
                <w:szCs w:val="21"/>
              </w:rPr>
              <w:t>增加设备结构图</w:t>
            </w:r>
          </w:p>
        </w:tc>
        <w:tc>
          <w:tcPr>
            <w:tcW w:w="1055" w:type="pct"/>
            <w:tcBorders>
              <w:top w:val="nil"/>
              <w:left w:val="nil"/>
              <w:bottom w:val="single" w:color="auto" w:sz="4" w:space="0"/>
              <w:right w:val="single" w:color="auto" w:sz="4" w:space="0"/>
            </w:tcBorders>
            <w:shd w:val="clear" w:color="auto" w:fill="auto"/>
            <w:noWrap/>
            <w:vAlign w:val="center"/>
          </w:tcPr>
          <w:p w14:paraId="0DD5E2D1">
            <w:pPr>
              <w:widowControl/>
              <w:spacing w:line="280" w:lineRule="exact"/>
              <w:jc w:val="left"/>
              <w:rPr>
                <w:kern w:val="0"/>
                <w:szCs w:val="21"/>
              </w:rPr>
            </w:pPr>
            <w:r>
              <w:rPr>
                <w:kern w:val="0"/>
                <w:szCs w:val="21"/>
              </w:rPr>
              <w:t>东北轻合金有限责任公司</w:t>
            </w:r>
          </w:p>
        </w:tc>
        <w:tc>
          <w:tcPr>
            <w:tcW w:w="777" w:type="pct"/>
            <w:tcBorders>
              <w:top w:val="nil"/>
              <w:left w:val="nil"/>
              <w:bottom w:val="single" w:color="auto" w:sz="4" w:space="0"/>
              <w:right w:val="single" w:color="auto" w:sz="4" w:space="0"/>
            </w:tcBorders>
            <w:shd w:val="clear" w:color="auto" w:fill="auto"/>
            <w:noWrap/>
            <w:vAlign w:val="center"/>
          </w:tcPr>
          <w:p w14:paraId="616B2279">
            <w:pPr>
              <w:widowControl/>
              <w:spacing w:line="280" w:lineRule="exact"/>
              <w:jc w:val="center"/>
              <w:rPr>
                <w:color w:val="000000"/>
                <w:kern w:val="0"/>
                <w:szCs w:val="21"/>
              </w:rPr>
            </w:pPr>
            <w:r>
              <w:rPr>
                <w:color w:val="000000"/>
                <w:kern w:val="0"/>
                <w:szCs w:val="21"/>
              </w:rPr>
              <w:t>增加了设备结构图</w:t>
            </w:r>
          </w:p>
        </w:tc>
      </w:tr>
      <w:tr w14:paraId="5CDE3822">
        <w:tblPrEx>
          <w:tblCellMar>
            <w:top w:w="0" w:type="dxa"/>
            <w:left w:w="108" w:type="dxa"/>
            <w:bottom w:w="0" w:type="dxa"/>
            <w:right w:w="108" w:type="dxa"/>
          </w:tblCellMar>
        </w:tblPrEx>
        <w:trPr>
          <w:trHeight w:val="241"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14:paraId="033F3544">
            <w:pPr>
              <w:pStyle w:val="301"/>
              <w:widowControl/>
              <w:numPr>
                <w:ilvl w:val="0"/>
                <w:numId w:val="12"/>
              </w:numPr>
              <w:ind w:firstLineChars="0"/>
              <w:jc w:val="center"/>
              <w:rPr>
                <w:color w:val="000000"/>
                <w:kern w:val="0"/>
                <w:szCs w:val="21"/>
              </w:rPr>
            </w:pPr>
          </w:p>
        </w:tc>
        <w:tc>
          <w:tcPr>
            <w:tcW w:w="586" w:type="pct"/>
            <w:tcBorders>
              <w:top w:val="nil"/>
              <w:left w:val="nil"/>
              <w:bottom w:val="single" w:color="auto" w:sz="4" w:space="0"/>
              <w:right w:val="single" w:color="auto" w:sz="4" w:space="0"/>
            </w:tcBorders>
            <w:shd w:val="clear" w:color="auto" w:fill="auto"/>
            <w:noWrap/>
            <w:vAlign w:val="center"/>
          </w:tcPr>
          <w:p w14:paraId="2AEB28ED">
            <w:pPr>
              <w:widowControl/>
              <w:spacing w:line="280" w:lineRule="exact"/>
              <w:jc w:val="center"/>
              <w:rPr>
                <w:color w:val="000000"/>
                <w:kern w:val="0"/>
                <w:szCs w:val="21"/>
              </w:rPr>
            </w:pPr>
            <w:r>
              <w:rPr>
                <w:rFonts w:hint="eastAsia"/>
                <w:color w:val="000000"/>
                <w:kern w:val="0"/>
                <w:szCs w:val="21"/>
              </w:rPr>
              <w:t>6.</w:t>
            </w:r>
            <w:r>
              <w:rPr>
                <w:color w:val="000000"/>
                <w:kern w:val="0"/>
                <w:szCs w:val="21"/>
              </w:rPr>
              <w:t>1.</w:t>
            </w:r>
            <w:r>
              <w:rPr>
                <w:rFonts w:hint="eastAsia"/>
                <w:color w:val="000000"/>
                <w:kern w:val="0"/>
                <w:szCs w:val="21"/>
              </w:rPr>
              <w:t>3</w:t>
            </w:r>
          </w:p>
        </w:tc>
        <w:tc>
          <w:tcPr>
            <w:tcW w:w="2122" w:type="pct"/>
            <w:tcBorders>
              <w:top w:val="nil"/>
              <w:left w:val="nil"/>
              <w:bottom w:val="single" w:color="auto" w:sz="4" w:space="0"/>
              <w:right w:val="single" w:color="auto" w:sz="4" w:space="0"/>
            </w:tcBorders>
            <w:shd w:val="clear" w:color="auto" w:fill="auto"/>
            <w:noWrap/>
            <w:vAlign w:val="center"/>
          </w:tcPr>
          <w:p w14:paraId="1A8DE0EC">
            <w:pPr>
              <w:widowControl/>
              <w:spacing w:line="280" w:lineRule="exact"/>
              <w:jc w:val="left"/>
              <w:rPr>
                <w:color w:val="000000"/>
                <w:kern w:val="0"/>
                <w:szCs w:val="21"/>
              </w:rPr>
            </w:pPr>
            <w:r>
              <w:rPr>
                <w:rFonts w:hint="eastAsia"/>
                <w:color w:val="000000"/>
                <w:kern w:val="0"/>
                <w:szCs w:val="21"/>
              </w:rPr>
              <w:t xml:space="preserve"> 删除校准项目表中“外观及通用要求”与“绝缘电阻”项目</w:t>
            </w:r>
          </w:p>
        </w:tc>
        <w:tc>
          <w:tcPr>
            <w:tcW w:w="1055" w:type="pct"/>
            <w:tcBorders>
              <w:top w:val="nil"/>
              <w:left w:val="nil"/>
              <w:bottom w:val="single" w:color="auto" w:sz="4" w:space="0"/>
              <w:right w:val="single" w:color="auto" w:sz="4" w:space="0"/>
            </w:tcBorders>
            <w:shd w:val="clear" w:color="auto" w:fill="auto"/>
            <w:noWrap/>
            <w:vAlign w:val="center"/>
          </w:tcPr>
          <w:p w14:paraId="4FFA7987">
            <w:pPr>
              <w:widowControl/>
              <w:spacing w:line="280" w:lineRule="exact"/>
              <w:jc w:val="left"/>
              <w:rPr>
                <w:kern w:val="0"/>
                <w:szCs w:val="21"/>
              </w:rPr>
            </w:pPr>
            <w:r>
              <w:rPr>
                <w:kern w:val="0"/>
                <w:szCs w:val="21"/>
              </w:rPr>
              <w:t>东北轻合金有限责任公司</w:t>
            </w:r>
          </w:p>
        </w:tc>
        <w:tc>
          <w:tcPr>
            <w:tcW w:w="777" w:type="pct"/>
            <w:tcBorders>
              <w:top w:val="nil"/>
              <w:left w:val="nil"/>
              <w:bottom w:val="single" w:color="auto" w:sz="4" w:space="0"/>
              <w:right w:val="single" w:color="auto" w:sz="4" w:space="0"/>
            </w:tcBorders>
            <w:shd w:val="clear" w:color="auto" w:fill="auto"/>
            <w:noWrap/>
            <w:vAlign w:val="center"/>
          </w:tcPr>
          <w:p w14:paraId="571507EF">
            <w:pPr>
              <w:widowControl/>
              <w:spacing w:line="280" w:lineRule="exact"/>
              <w:jc w:val="center"/>
              <w:rPr>
                <w:color w:val="000000"/>
                <w:kern w:val="0"/>
                <w:szCs w:val="21"/>
              </w:rPr>
            </w:pPr>
            <w:r>
              <w:rPr>
                <w:color w:val="000000"/>
                <w:kern w:val="0"/>
                <w:szCs w:val="21"/>
              </w:rPr>
              <w:t>采纳</w:t>
            </w:r>
          </w:p>
        </w:tc>
      </w:tr>
      <w:tr w14:paraId="001F2AF3">
        <w:tblPrEx>
          <w:tblCellMar>
            <w:top w:w="0" w:type="dxa"/>
            <w:left w:w="108" w:type="dxa"/>
            <w:bottom w:w="0" w:type="dxa"/>
            <w:right w:w="108" w:type="dxa"/>
          </w:tblCellMar>
        </w:tblPrEx>
        <w:trPr>
          <w:trHeight w:val="241"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C6829">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60D4D7BE">
            <w:pPr>
              <w:widowControl/>
              <w:spacing w:line="280" w:lineRule="exact"/>
              <w:jc w:val="center"/>
              <w:rPr>
                <w:color w:val="000000"/>
                <w:kern w:val="0"/>
                <w:szCs w:val="21"/>
              </w:rPr>
            </w:pPr>
            <w:r>
              <w:rPr>
                <w:color w:val="000000"/>
                <w:kern w:val="0"/>
                <w:szCs w:val="21"/>
              </w:rPr>
              <w:t>6.2.3</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60656E9C">
            <w:pPr>
              <w:widowControl/>
              <w:spacing w:line="280" w:lineRule="exact"/>
              <w:jc w:val="left"/>
              <w:rPr>
                <w:color w:val="000000"/>
                <w:kern w:val="0"/>
                <w:szCs w:val="21"/>
              </w:rPr>
            </w:pPr>
            <w:r>
              <w:rPr>
                <w:rFonts w:hint="eastAsia"/>
                <w:color w:val="000000"/>
                <w:kern w:val="0"/>
                <w:szCs w:val="21"/>
              </w:rPr>
              <w:t>“</w:t>
            </w:r>
            <w:r>
              <w:rPr>
                <w:i/>
                <w:color w:val="000000"/>
                <w:kern w:val="0"/>
                <w:szCs w:val="21"/>
              </w:rPr>
              <w:t>Δ</w:t>
            </w:r>
            <w:r>
              <w:rPr>
                <w:rFonts w:hint="eastAsia"/>
                <w:color w:val="000000"/>
                <w:kern w:val="0"/>
                <w:szCs w:val="21"/>
              </w:rPr>
              <w:t>”描述不完善</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2E5147AA">
            <w:pPr>
              <w:widowControl/>
              <w:spacing w:line="280" w:lineRule="exact"/>
              <w:jc w:val="left"/>
              <w:rPr>
                <w:kern w:val="0"/>
                <w:szCs w:val="21"/>
              </w:rPr>
            </w:pPr>
            <w:r>
              <w:rPr>
                <w:kern w:val="0"/>
                <w:szCs w:val="21"/>
              </w:rPr>
              <w:t>东北轻合金有限责任公司</w:t>
            </w:r>
          </w:p>
        </w:tc>
        <w:tc>
          <w:tcPr>
            <w:tcW w:w="777" w:type="pct"/>
            <w:tcBorders>
              <w:top w:val="single" w:color="auto" w:sz="4" w:space="0"/>
              <w:left w:val="nil"/>
              <w:bottom w:val="single" w:color="auto" w:sz="4" w:space="0"/>
              <w:right w:val="single" w:color="auto" w:sz="4" w:space="0"/>
            </w:tcBorders>
            <w:shd w:val="clear" w:color="auto" w:fill="auto"/>
            <w:noWrap/>
            <w:vAlign w:val="center"/>
          </w:tcPr>
          <w:p w14:paraId="7F371B4C">
            <w:pPr>
              <w:widowControl/>
              <w:spacing w:line="280" w:lineRule="exact"/>
              <w:jc w:val="center"/>
              <w:rPr>
                <w:color w:val="000000"/>
                <w:kern w:val="0"/>
                <w:szCs w:val="21"/>
              </w:rPr>
            </w:pPr>
            <w:r>
              <w:rPr>
                <w:color w:val="000000"/>
                <w:kern w:val="0"/>
                <w:szCs w:val="21"/>
              </w:rPr>
              <w:t>将</w:t>
            </w:r>
            <w:r>
              <w:rPr>
                <w:rFonts w:hint="eastAsia"/>
                <w:color w:val="000000"/>
                <w:kern w:val="0"/>
                <w:szCs w:val="21"/>
              </w:rPr>
              <w:t>“</w:t>
            </w:r>
            <w:r>
              <w:rPr>
                <w:i/>
                <w:color w:val="000000"/>
                <w:kern w:val="0"/>
                <w:szCs w:val="21"/>
              </w:rPr>
              <w:t>Δ</w:t>
            </w:r>
            <w:r>
              <w:rPr>
                <w:rFonts w:hint="eastAsia"/>
                <w:color w:val="000000"/>
                <w:kern w:val="0"/>
                <w:szCs w:val="21"/>
              </w:rPr>
              <w:t>”变更为“</w:t>
            </w:r>
            <w:r>
              <w:rPr>
                <w:rFonts w:eastAsiaTheme="minorEastAsia"/>
                <w:i/>
                <w:sz w:val="24"/>
              </w:rPr>
              <w:t>ΔX</w:t>
            </w:r>
            <w:r>
              <w:rPr>
                <w:rFonts w:eastAsiaTheme="minorEastAsia"/>
                <w:i/>
                <w:sz w:val="24"/>
                <w:vertAlign w:val="subscript"/>
              </w:rPr>
              <w:t>i</w:t>
            </w:r>
            <w:r>
              <w:rPr>
                <w:rFonts w:hint="eastAsia"/>
                <w:color w:val="000000"/>
                <w:kern w:val="0"/>
                <w:szCs w:val="21"/>
              </w:rPr>
              <w:t>”</w:t>
            </w:r>
          </w:p>
        </w:tc>
      </w:tr>
      <w:tr w14:paraId="18B89D4D">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7E3F1">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08B07882">
            <w:pPr>
              <w:widowControl/>
              <w:spacing w:line="280" w:lineRule="exact"/>
              <w:jc w:val="left"/>
              <w:rPr>
                <w:color w:val="000000"/>
                <w:kern w:val="0"/>
                <w:szCs w:val="21"/>
              </w:rPr>
            </w:pPr>
            <w:r>
              <w:rPr>
                <w:color w:val="000000"/>
                <w:kern w:val="0"/>
                <w:szCs w:val="21"/>
              </w:rPr>
              <w:t>附录A</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750BD2B0">
            <w:pPr>
              <w:widowControl/>
              <w:spacing w:line="280" w:lineRule="exact"/>
              <w:jc w:val="left"/>
              <w:rPr>
                <w:color w:val="000000"/>
                <w:kern w:val="0"/>
                <w:szCs w:val="21"/>
              </w:rPr>
            </w:pPr>
            <w:r>
              <w:rPr>
                <w:rFonts w:hint="eastAsia"/>
                <w:color w:val="000000"/>
                <w:kern w:val="0"/>
                <w:szCs w:val="21"/>
              </w:rPr>
              <w:t>删除“校准员”、“校验员”、“校准日期”等项目</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619EA45E">
            <w:pPr>
              <w:widowControl/>
              <w:spacing w:line="280" w:lineRule="exact"/>
              <w:jc w:val="left"/>
              <w:rPr>
                <w:kern w:val="0"/>
                <w:szCs w:val="21"/>
              </w:rPr>
            </w:pPr>
            <w:r>
              <w:rPr>
                <w:kern w:val="0"/>
                <w:szCs w:val="21"/>
              </w:rPr>
              <w:t>东北轻合金有限责任公司</w:t>
            </w:r>
          </w:p>
        </w:tc>
        <w:tc>
          <w:tcPr>
            <w:tcW w:w="777" w:type="pct"/>
            <w:tcBorders>
              <w:top w:val="single" w:color="auto" w:sz="4" w:space="0"/>
              <w:left w:val="nil"/>
              <w:bottom w:val="single" w:color="auto" w:sz="4" w:space="0"/>
              <w:right w:val="single" w:color="auto" w:sz="4" w:space="0"/>
            </w:tcBorders>
            <w:shd w:val="clear" w:color="auto" w:fill="auto"/>
            <w:noWrap/>
            <w:vAlign w:val="center"/>
          </w:tcPr>
          <w:p w14:paraId="1E14A2DC">
            <w:pPr>
              <w:widowControl/>
              <w:spacing w:line="280" w:lineRule="exact"/>
              <w:jc w:val="center"/>
              <w:rPr>
                <w:color w:val="000000"/>
                <w:kern w:val="0"/>
                <w:szCs w:val="21"/>
              </w:rPr>
            </w:pPr>
            <w:r>
              <w:rPr>
                <w:color w:val="000000"/>
                <w:kern w:val="0"/>
                <w:szCs w:val="21"/>
              </w:rPr>
              <w:t>采纳</w:t>
            </w:r>
          </w:p>
        </w:tc>
      </w:tr>
      <w:tr w14:paraId="6BA6F99B">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20201">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3603B15D">
            <w:pPr>
              <w:widowControl/>
              <w:spacing w:line="280" w:lineRule="exact"/>
              <w:jc w:val="left"/>
              <w:rPr>
                <w:color w:val="000000"/>
                <w:kern w:val="0"/>
                <w:szCs w:val="21"/>
              </w:rPr>
            </w:pPr>
            <w:r>
              <w:rPr>
                <w:color w:val="000000"/>
                <w:kern w:val="0"/>
                <w:szCs w:val="21"/>
              </w:rPr>
              <w:t>附录C1.3</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46B7FDD3">
            <w:pPr>
              <w:widowControl/>
              <w:spacing w:line="280" w:lineRule="exact"/>
              <w:jc w:val="left"/>
              <w:rPr>
                <w:color w:val="000000"/>
                <w:kern w:val="0"/>
                <w:szCs w:val="21"/>
              </w:rPr>
            </w:pPr>
            <w:r>
              <w:rPr>
                <w:rFonts w:hint="eastAsia"/>
                <w:color w:val="000000"/>
                <w:kern w:val="0"/>
                <w:szCs w:val="21"/>
              </w:rPr>
              <w:t>确认不确定度</w:t>
            </w:r>
            <w:r>
              <w:rPr>
                <w:i/>
                <w:szCs w:val="21"/>
              </w:rPr>
              <w:t>U</w:t>
            </w:r>
            <w:r>
              <w:rPr>
                <w:szCs w:val="21"/>
                <w:vertAlign w:val="subscript"/>
              </w:rPr>
              <w:t>rel</w:t>
            </w:r>
            <w:r>
              <w:rPr>
                <w:szCs w:val="21"/>
              </w:rPr>
              <w:t>(Cu)=0.041%</w:t>
            </w:r>
            <w:r>
              <w:rPr>
                <w:rFonts w:hint="eastAsia"/>
                <w:color w:val="000000"/>
                <w:kern w:val="0"/>
                <w:szCs w:val="21"/>
              </w:rPr>
              <w:t xml:space="preserve"> </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1B91549B">
            <w:pPr>
              <w:widowControl/>
              <w:spacing w:line="280" w:lineRule="exact"/>
              <w:jc w:val="left"/>
              <w:rPr>
                <w:kern w:val="0"/>
                <w:szCs w:val="21"/>
              </w:rPr>
            </w:pPr>
            <w:r>
              <w:rPr>
                <w:kern w:val="0"/>
                <w:szCs w:val="21"/>
              </w:rPr>
              <w:t>国家有色金属质量监督检验中心</w:t>
            </w:r>
          </w:p>
        </w:tc>
        <w:tc>
          <w:tcPr>
            <w:tcW w:w="777" w:type="pct"/>
            <w:tcBorders>
              <w:top w:val="single" w:color="auto" w:sz="4" w:space="0"/>
              <w:left w:val="nil"/>
              <w:bottom w:val="single" w:color="auto" w:sz="4" w:space="0"/>
              <w:right w:val="single" w:color="auto" w:sz="4" w:space="0"/>
            </w:tcBorders>
            <w:shd w:val="clear" w:color="auto" w:fill="auto"/>
            <w:noWrap/>
            <w:vAlign w:val="center"/>
          </w:tcPr>
          <w:p w14:paraId="316786B1">
            <w:pPr>
              <w:widowControl/>
              <w:spacing w:line="280" w:lineRule="exact"/>
              <w:jc w:val="center"/>
              <w:rPr>
                <w:color w:val="000000"/>
                <w:kern w:val="0"/>
                <w:szCs w:val="21"/>
              </w:rPr>
            </w:pPr>
            <w:r>
              <w:rPr>
                <w:rFonts w:hint="eastAsia"/>
                <w:color w:val="000000"/>
                <w:kern w:val="0"/>
                <w:szCs w:val="21"/>
              </w:rPr>
              <w:t>不确定度修改为</w:t>
            </w:r>
            <w:r>
              <w:rPr>
                <w:i/>
                <w:szCs w:val="21"/>
              </w:rPr>
              <w:t>U</w:t>
            </w:r>
            <w:r>
              <w:rPr>
                <w:szCs w:val="21"/>
              </w:rPr>
              <w:t>(Cu)=0.002%</w:t>
            </w:r>
          </w:p>
        </w:tc>
      </w:tr>
      <w:tr w14:paraId="67FB593C">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D52BD">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71FBE02B">
            <w:pPr>
              <w:widowControl/>
              <w:spacing w:line="280" w:lineRule="exact"/>
              <w:jc w:val="left"/>
              <w:rPr>
                <w:color w:val="000000"/>
                <w:kern w:val="0"/>
                <w:szCs w:val="21"/>
              </w:rPr>
            </w:pPr>
            <w:r>
              <w:rPr>
                <w:color w:val="000000"/>
                <w:kern w:val="0"/>
                <w:szCs w:val="21"/>
              </w:rPr>
              <w:t>附录C3.1</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66D3C4B5">
            <w:pPr>
              <w:widowControl/>
              <w:spacing w:line="280" w:lineRule="exact"/>
              <w:jc w:val="left"/>
              <w:rPr>
                <w:color w:val="000000"/>
                <w:kern w:val="0"/>
                <w:szCs w:val="21"/>
              </w:rPr>
            </w:pPr>
            <w:r>
              <w:rPr>
                <w:rFonts w:hint="eastAsia"/>
                <w:color w:val="000000"/>
                <w:kern w:val="0"/>
                <w:szCs w:val="21"/>
              </w:rPr>
              <w:t>将试样实际测量次数由1次修改为3次</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652E53F4">
            <w:pPr>
              <w:widowControl/>
              <w:spacing w:line="280" w:lineRule="exact"/>
              <w:jc w:val="left"/>
              <w:rPr>
                <w:kern w:val="0"/>
                <w:szCs w:val="21"/>
              </w:rPr>
            </w:pPr>
            <w:r>
              <w:rPr>
                <w:kern w:val="0"/>
                <w:szCs w:val="21"/>
              </w:rPr>
              <w:t>国家有色金属质量监督检验中心</w:t>
            </w:r>
          </w:p>
        </w:tc>
        <w:tc>
          <w:tcPr>
            <w:tcW w:w="777" w:type="pct"/>
            <w:tcBorders>
              <w:top w:val="single" w:color="auto" w:sz="4" w:space="0"/>
              <w:left w:val="nil"/>
              <w:bottom w:val="single" w:color="auto" w:sz="4" w:space="0"/>
              <w:right w:val="single" w:color="auto" w:sz="4" w:space="0"/>
            </w:tcBorders>
            <w:shd w:val="clear" w:color="auto" w:fill="auto"/>
            <w:noWrap/>
            <w:vAlign w:val="center"/>
          </w:tcPr>
          <w:p w14:paraId="3D57AFAD">
            <w:pPr>
              <w:widowControl/>
              <w:spacing w:line="280" w:lineRule="exact"/>
              <w:jc w:val="center"/>
              <w:rPr>
                <w:color w:val="000000"/>
                <w:kern w:val="0"/>
                <w:szCs w:val="21"/>
              </w:rPr>
            </w:pPr>
            <w:r>
              <w:rPr>
                <w:color w:val="000000"/>
                <w:kern w:val="0"/>
                <w:szCs w:val="21"/>
              </w:rPr>
              <w:t>采纳</w:t>
            </w:r>
          </w:p>
        </w:tc>
      </w:tr>
      <w:tr w14:paraId="1371CF42">
        <w:tblPrEx>
          <w:tblCellMar>
            <w:top w:w="0" w:type="dxa"/>
            <w:left w:w="108" w:type="dxa"/>
            <w:bottom w:w="0" w:type="dxa"/>
            <w:right w:w="108" w:type="dxa"/>
          </w:tblCellMar>
        </w:tblPrEx>
        <w:trPr>
          <w:trHeight w:val="614" w:hRule="atLeast"/>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0D568">
            <w:pPr>
              <w:pStyle w:val="301"/>
              <w:widowControl/>
              <w:numPr>
                <w:ilvl w:val="0"/>
                <w:numId w:val="12"/>
              </w:numPr>
              <w:ind w:firstLineChars="0"/>
              <w:jc w:val="center"/>
              <w:rPr>
                <w:color w:val="000000"/>
                <w:kern w:val="0"/>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14:paraId="5307FC9A">
            <w:pPr>
              <w:widowControl/>
              <w:spacing w:line="280" w:lineRule="exact"/>
              <w:jc w:val="left"/>
              <w:rPr>
                <w:color w:val="000000"/>
                <w:kern w:val="0"/>
                <w:szCs w:val="21"/>
              </w:rPr>
            </w:pPr>
            <w:r>
              <w:rPr>
                <w:color w:val="000000"/>
                <w:kern w:val="0"/>
                <w:szCs w:val="21"/>
              </w:rPr>
              <w:t>附录C3.4</w:t>
            </w:r>
          </w:p>
        </w:tc>
        <w:tc>
          <w:tcPr>
            <w:tcW w:w="2122" w:type="pct"/>
            <w:tcBorders>
              <w:top w:val="single" w:color="auto" w:sz="4" w:space="0"/>
              <w:left w:val="nil"/>
              <w:bottom w:val="single" w:color="auto" w:sz="4" w:space="0"/>
              <w:right w:val="single" w:color="auto" w:sz="4" w:space="0"/>
            </w:tcBorders>
            <w:shd w:val="clear" w:color="auto" w:fill="auto"/>
            <w:noWrap/>
            <w:vAlign w:val="center"/>
          </w:tcPr>
          <w:p w14:paraId="747289AB">
            <w:pPr>
              <w:widowControl/>
              <w:spacing w:line="280" w:lineRule="exact"/>
              <w:jc w:val="left"/>
              <w:rPr>
                <w:color w:val="000000"/>
                <w:kern w:val="0"/>
                <w:szCs w:val="21"/>
              </w:rPr>
            </w:pPr>
            <w:r>
              <w:rPr>
                <w:rFonts w:hint="eastAsia"/>
                <w:color w:val="000000"/>
                <w:kern w:val="0"/>
                <w:szCs w:val="21"/>
              </w:rPr>
              <w:t>重新计算扩展不确定度</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69184A46">
            <w:pPr>
              <w:widowControl/>
              <w:spacing w:line="280" w:lineRule="exact"/>
              <w:jc w:val="left"/>
              <w:rPr>
                <w:kern w:val="0"/>
                <w:szCs w:val="21"/>
              </w:rPr>
            </w:pPr>
            <w:r>
              <w:rPr>
                <w:kern w:val="0"/>
                <w:szCs w:val="21"/>
              </w:rPr>
              <w:t>国家有色金属质量监督检验中心</w:t>
            </w:r>
          </w:p>
        </w:tc>
        <w:tc>
          <w:tcPr>
            <w:tcW w:w="777" w:type="pct"/>
            <w:tcBorders>
              <w:top w:val="single" w:color="auto" w:sz="4" w:space="0"/>
              <w:left w:val="nil"/>
              <w:bottom w:val="single" w:color="auto" w:sz="4" w:space="0"/>
              <w:right w:val="single" w:color="auto" w:sz="4" w:space="0"/>
            </w:tcBorders>
            <w:shd w:val="clear" w:color="auto" w:fill="auto"/>
            <w:noWrap/>
            <w:vAlign w:val="center"/>
          </w:tcPr>
          <w:p w14:paraId="63E641A9">
            <w:pPr>
              <w:widowControl/>
              <w:spacing w:line="280" w:lineRule="exact"/>
              <w:jc w:val="center"/>
              <w:rPr>
                <w:color w:val="000000"/>
                <w:kern w:val="0"/>
                <w:szCs w:val="21"/>
              </w:rPr>
            </w:pPr>
            <w:r>
              <w:rPr>
                <w:color w:val="000000"/>
                <w:kern w:val="0"/>
                <w:szCs w:val="21"/>
              </w:rPr>
              <w:t>采纳</w:t>
            </w:r>
          </w:p>
        </w:tc>
      </w:tr>
    </w:tbl>
    <w:p w14:paraId="3F4AEE5F">
      <w:pPr>
        <w:spacing w:line="360" w:lineRule="auto"/>
        <w:rPr>
          <w:rFonts w:eastAsiaTheme="minorEastAsia"/>
          <w:szCs w:val="21"/>
        </w:rPr>
      </w:pPr>
      <w:r>
        <w:rPr>
          <w:rFonts w:hint="eastAsia"/>
          <w:bCs/>
        </w:rPr>
        <w:t>2）</w:t>
      </w:r>
      <w:r>
        <w:rPr>
          <w:rFonts w:hint="eastAsia"/>
          <w:bCs/>
          <w:color w:val="000000"/>
          <w:szCs w:val="21"/>
        </w:rPr>
        <w:t>2024年</w:t>
      </w:r>
      <w:r>
        <w:rPr>
          <w:bCs/>
          <w:color w:val="000000"/>
          <w:szCs w:val="21"/>
        </w:rPr>
        <w:t>5</w:t>
      </w:r>
      <w:r>
        <w:rPr>
          <w:rFonts w:hint="eastAsia"/>
          <w:bCs/>
          <w:color w:val="000000"/>
          <w:szCs w:val="21"/>
        </w:rPr>
        <w:t>月</w:t>
      </w:r>
      <w:r>
        <w:rPr>
          <w:bCs/>
          <w:color w:val="000000"/>
          <w:szCs w:val="21"/>
        </w:rPr>
        <w:t>15</w:t>
      </w:r>
      <w:r>
        <w:rPr>
          <w:rFonts w:hint="eastAsia"/>
          <w:bCs/>
          <w:color w:val="000000"/>
          <w:szCs w:val="21"/>
        </w:rPr>
        <w:t>日向有色金属计量标准化委员会提交</w:t>
      </w:r>
      <w:r>
        <w:rPr>
          <w:rFonts w:hint="eastAsia" w:eastAsiaTheme="minorEastAsia"/>
          <w:szCs w:val="21"/>
        </w:rPr>
        <w:t>《</w:t>
      </w:r>
      <w:r>
        <w:rPr>
          <w:rFonts w:hint="eastAsia" w:eastAsiaTheme="minorEastAsia"/>
          <w:bCs/>
        </w:rPr>
        <w:t>直流电弧原子发射光谱仪校准规范</w:t>
      </w:r>
      <w:r>
        <w:rPr>
          <w:rFonts w:hint="eastAsia" w:eastAsiaTheme="minorEastAsia"/>
          <w:szCs w:val="21"/>
        </w:rPr>
        <w:t>》征求意见稿，在官网上征求来自不同单位的计量委员会委员、专家的意见。</w:t>
      </w:r>
    </w:p>
    <w:p w14:paraId="47A8D3AE">
      <w:pPr>
        <w:spacing w:line="276" w:lineRule="auto"/>
        <w:rPr>
          <w:rFonts w:ascii="黑体" w:eastAsia="黑体"/>
          <w:kern w:val="0"/>
          <w:szCs w:val="20"/>
        </w:rPr>
      </w:pPr>
      <w:bookmarkStart w:id="8" w:name="_Toc464728926"/>
      <w:r>
        <w:rPr>
          <w:rFonts w:hint="eastAsia" w:ascii="黑体" w:eastAsia="黑体"/>
          <w:kern w:val="0"/>
          <w:szCs w:val="20"/>
        </w:rPr>
        <w:t>二、编制原则和依据</w:t>
      </w:r>
    </w:p>
    <w:p w14:paraId="1287B5FA">
      <w:pPr>
        <w:spacing w:line="360" w:lineRule="auto"/>
        <w:rPr>
          <w:rFonts w:ascii="黑体" w:hAnsi="宋体" w:eastAsia="黑体"/>
          <w:bCs/>
          <w:szCs w:val="21"/>
        </w:rPr>
      </w:pPr>
      <w:r>
        <w:rPr>
          <w:rFonts w:hint="eastAsia" w:ascii="黑体" w:eastAsia="黑体"/>
          <w:bCs/>
          <w:szCs w:val="21"/>
        </w:rPr>
        <w:t xml:space="preserve">（一） </w:t>
      </w:r>
      <w:r>
        <w:rPr>
          <w:rFonts w:hint="eastAsia" w:ascii="黑体" w:hAnsi="宋体" w:eastAsia="黑体"/>
          <w:bCs/>
          <w:szCs w:val="21"/>
        </w:rPr>
        <w:t>规范编制原则</w:t>
      </w:r>
    </w:p>
    <w:p w14:paraId="0FF6E584">
      <w:pPr>
        <w:spacing w:line="360" w:lineRule="auto"/>
      </w:pPr>
      <w:r>
        <w:rPr>
          <w:rFonts w:hint="eastAsia"/>
        </w:rPr>
        <w:t>1）本规范是以</w:t>
      </w:r>
      <w:r>
        <w:t>JJF 1071-2010</w:t>
      </w:r>
      <w:r>
        <w:rPr>
          <w:rFonts w:hint="eastAsia"/>
        </w:rPr>
        <w:t>《国家计量校准规范编写规则》、JJF 1001-2011《通用计量术语及定义》和JJF 1059.1-2012《测量不确定度评定与表示》为基础性系列规范进行编写。</w:t>
      </w:r>
    </w:p>
    <w:p w14:paraId="57896B61">
      <w:pPr>
        <w:spacing w:line="360" w:lineRule="auto"/>
      </w:pPr>
      <w:r>
        <w:rPr>
          <w:rFonts w:hint="eastAsia"/>
        </w:rPr>
        <w:t>2）先进性：建立了直流电弧原子发射光谱仪的校准方法，填补了设备计量空白。</w:t>
      </w:r>
    </w:p>
    <w:bookmarkEnd w:id="8"/>
    <w:p w14:paraId="123A940A">
      <w:pPr>
        <w:rPr>
          <w:rFonts w:ascii="黑体" w:hAnsi="宋体" w:eastAsia="黑体"/>
          <w:bCs/>
          <w:szCs w:val="21"/>
        </w:rPr>
      </w:pPr>
      <w:bookmarkStart w:id="9" w:name="_Toc23837_WPSOffice_Level1"/>
      <w:bookmarkStart w:id="10" w:name="_Toc500258929"/>
      <w:bookmarkStart w:id="11" w:name="_Toc193860027"/>
      <w:bookmarkStart w:id="12" w:name="_Toc193860208"/>
      <w:bookmarkStart w:id="13" w:name="_Toc193860177"/>
      <w:bookmarkStart w:id="14" w:name="_Toc464728964"/>
      <w:r>
        <w:rPr>
          <w:rFonts w:ascii="黑体" w:hAnsi="宋体" w:eastAsia="黑体"/>
          <w:bCs/>
          <w:szCs w:val="21"/>
        </w:rPr>
        <w:t>（二）</w:t>
      </w:r>
      <w:r>
        <w:rPr>
          <w:rFonts w:hint="eastAsia" w:ascii="黑体" w:hAnsi="宋体" w:eastAsia="黑体"/>
          <w:bCs/>
          <w:szCs w:val="21"/>
        </w:rPr>
        <w:t xml:space="preserve"> 制定规范主要内容的论据</w:t>
      </w:r>
    </w:p>
    <w:bookmarkEnd w:id="9"/>
    <w:bookmarkEnd w:id="10"/>
    <w:bookmarkEnd w:id="11"/>
    <w:bookmarkEnd w:id="12"/>
    <w:bookmarkEnd w:id="13"/>
    <w:p w14:paraId="1B252C85">
      <w:pPr>
        <w:pStyle w:val="60"/>
        <w:numPr>
          <w:ilvl w:val="0"/>
          <w:numId w:val="0"/>
        </w:numPr>
        <w:spacing w:beforeLines="0" w:afterLines="0" w:line="360" w:lineRule="auto"/>
        <w:outlineLvl w:val="0"/>
        <w:rPr>
          <w:color w:val="000000"/>
          <w:szCs w:val="21"/>
        </w:rPr>
      </w:pPr>
      <w:r>
        <w:rPr>
          <w:rFonts w:ascii="Times New Roman"/>
          <w:color w:val="000000"/>
          <w:szCs w:val="21"/>
        </w:rPr>
        <w:t>1</w:t>
      </w:r>
      <w:r>
        <w:rPr>
          <w:rFonts w:hint="eastAsia"/>
          <w:color w:val="000000"/>
          <w:szCs w:val="21"/>
        </w:rPr>
        <w:t xml:space="preserve"> 范围</w:t>
      </w:r>
    </w:p>
    <w:p w14:paraId="7C29AB9D">
      <w:pPr>
        <w:spacing w:line="360" w:lineRule="auto"/>
        <w:ind w:firstLine="420" w:firstLineChars="200"/>
        <w:rPr>
          <w:rFonts w:eastAsiaTheme="minorEastAsia"/>
          <w:kern w:val="0"/>
          <w:szCs w:val="21"/>
        </w:rPr>
      </w:pPr>
      <w:r>
        <w:rPr>
          <w:rFonts w:hint="eastAsia" w:asciiTheme="minorEastAsia" w:hAnsiTheme="minorEastAsia" w:eastAsiaTheme="minorEastAsia"/>
          <w:kern w:val="0"/>
          <w:szCs w:val="21"/>
        </w:rPr>
        <w:t>本规范适用于</w:t>
      </w:r>
      <w:r>
        <w:rPr>
          <w:rFonts w:hint="eastAsia" w:eastAsiaTheme="minorEastAsia"/>
          <w:kern w:val="0"/>
          <w:szCs w:val="21"/>
        </w:rPr>
        <w:t>直流电弧-原子</w:t>
      </w:r>
      <w:r>
        <w:rPr>
          <w:rFonts w:eastAsiaTheme="minorEastAsia"/>
          <w:kern w:val="0"/>
          <w:szCs w:val="21"/>
        </w:rPr>
        <w:t>发射光谱仪</w:t>
      </w:r>
      <w:r>
        <w:rPr>
          <w:rFonts w:hint="eastAsia" w:eastAsiaTheme="minorEastAsia"/>
          <w:kern w:val="0"/>
          <w:szCs w:val="21"/>
        </w:rPr>
        <w:t>的校准。</w:t>
      </w:r>
    </w:p>
    <w:p w14:paraId="65A99E8E">
      <w:pPr>
        <w:pStyle w:val="60"/>
        <w:numPr>
          <w:ilvl w:val="0"/>
          <w:numId w:val="0"/>
        </w:numPr>
        <w:spacing w:beforeLines="0" w:afterLines="0" w:line="360" w:lineRule="auto"/>
        <w:rPr>
          <w:szCs w:val="21"/>
        </w:rPr>
      </w:pPr>
      <w:bookmarkStart w:id="15" w:name="_Toc193860028"/>
      <w:bookmarkStart w:id="16" w:name="_Toc193860178"/>
      <w:bookmarkStart w:id="17" w:name="_Toc193860209"/>
      <w:bookmarkStart w:id="18" w:name="_Toc7848_WPSOffice_Level1"/>
      <w:bookmarkStart w:id="19" w:name="_Toc500258930"/>
      <w:r>
        <w:rPr>
          <w:rFonts w:ascii="Times New Roman"/>
          <w:szCs w:val="21"/>
        </w:rPr>
        <w:t>2</w:t>
      </w:r>
      <w:r>
        <w:rPr>
          <w:rFonts w:hint="eastAsia"/>
          <w:szCs w:val="21"/>
        </w:rPr>
        <w:t xml:space="preserve"> 引用文</w:t>
      </w:r>
      <w:bookmarkEnd w:id="15"/>
      <w:bookmarkEnd w:id="16"/>
      <w:bookmarkEnd w:id="17"/>
      <w:r>
        <w:rPr>
          <w:rFonts w:hint="eastAsia"/>
          <w:szCs w:val="21"/>
        </w:rPr>
        <w:t>件</w:t>
      </w:r>
      <w:bookmarkEnd w:id="18"/>
      <w:bookmarkEnd w:id="19"/>
    </w:p>
    <w:p w14:paraId="3734A133">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本规范引用了下列文件：</w:t>
      </w:r>
    </w:p>
    <w:p w14:paraId="791905C7">
      <w:pPr>
        <w:autoSpaceDE w:val="0"/>
        <w:autoSpaceDN w:val="0"/>
        <w:adjustRightInd w:val="0"/>
        <w:spacing w:line="440" w:lineRule="exact"/>
        <w:ind w:firstLine="420" w:firstLineChars="200"/>
        <w:rPr>
          <w:rFonts w:ascii="宋体" w:hAnsi="宋体"/>
          <w:szCs w:val="21"/>
        </w:rPr>
      </w:pPr>
      <w:bookmarkStart w:id="20" w:name="_Hlk37535606"/>
      <w:r>
        <w:rPr>
          <w:rFonts w:hint="eastAsia" w:eastAsiaTheme="minorEastAsia"/>
          <w:kern w:val="0"/>
          <w:szCs w:val="21"/>
        </w:rPr>
        <w:t>JJ</w:t>
      </w:r>
      <w:r>
        <w:rPr>
          <w:rFonts w:eastAsiaTheme="minorEastAsia"/>
          <w:kern w:val="0"/>
          <w:szCs w:val="21"/>
        </w:rPr>
        <w:t>G</w:t>
      </w:r>
      <w:r>
        <w:rPr>
          <w:rFonts w:hint="eastAsia" w:eastAsiaTheme="minorEastAsia"/>
          <w:kern w:val="0"/>
          <w:szCs w:val="21"/>
        </w:rPr>
        <w:t xml:space="preserve"> </w:t>
      </w:r>
      <w:r>
        <w:rPr>
          <w:rFonts w:eastAsiaTheme="minorEastAsia"/>
          <w:kern w:val="0"/>
          <w:szCs w:val="21"/>
        </w:rPr>
        <w:t>768</w:t>
      </w:r>
      <w:r>
        <w:rPr>
          <w:rFonts w:hint="eastAsia" w:eastAsiaTheme="minorEastAsia"/>
          <w:kern w:val="0"/>
          <w:szCs w:val="21"/>
        </w:rPr>
        <w:t xml:space="preserve"> </w:t>
      </w:r>
      <w:r>
        <w:rPr>
          <w:rFonts w:eastAsiaTheme="minorEastAsia"/>
          <w:kern w:val="0"/>
          <w:szCs w:val="21"/>
        </w:rPr>
        <w:t xml:space="preserve">    《</w:t>
      </w:r>
      <w:r>
        <w:rPr>
          <w:rFonts w:hint="eastAsia" w:eastAsiaTheme="minorEastAsia"/>
          <w:kern w:val="0"/>
          <w:szCs w:val="21"/>
        </w:rPr>
        <w:t>发射</w:t>
      </w:r>
      <w:r>
        <w:rPr>
          <w:rFonts w:eastAsiaTheme="minorEastAsia"/>
          <w:kern w:val="0"/>
          <w:szCs w:val="21"/>
        </w:rPr>
        <w:t>光谱仪检定规程》</w:t>
      </w:r>
    </w:p>
    <w:p w14:paraId="4FFFA4D8">
      <w:pPr>
        <w:autoSpaceDE w:val="0"/>
        <w:autoSpaceDN w:val="0"/>
        <w:adjustRightInd w:val="0"/>
        <w:spacing w:line="440" w:lineRule="exact"/>
        <w:ind w:firstLine="420" w:firstLineChars="200"/>
        <w:rPr>
          <w:rFonts w:eastAsiaTheme="minorEastAsia"/>
          <w:kern w:val="0"/>
          <w:szCs w:val="21"/>
        </w:rPr>
      </w:pPr>
      <w:r>
        <w:rPr>
          <w:rFonts w:hint="eastAsia"/>
          <w:szCs w:val="21"/>
        </w:rPr>
        <w:t xml:space="preserve">JJF </w:t>
      </w:r>
      <w:r>
        <w:rPr>
          <w:szCs w:val="21"/>
        </w:rPr>
        <w:t>2024    《</w:t>
      </w:r>
      <w:r>
        <w:rPr>
          <w:rFonts w:ascii="宋体" w:hAnsi="宋体"/>
          <w:szCs w:val="21"/>
        </w:rPr>
        <w:t>能量色散 X射线荧光光谱仪校准规范》</w:t>
      </w:r>
    </w:p>
    <w:bookmarkEnd w:id="20"/>
    <w:p w14:paraId="7D37B29E">
      <w:pPr>
        <w:autoSpaceDE w:val="0"/>
        <w:autoSpaceDN w:val="0"/>
        <w:adjustRightInd w:val="0"/>
        <w:spacing w:line="440" w:lineRule="exact"/>
        <w:ind w:firstLine="420" w:firstLineChars="200"/>
        <w:rPr>
          <w:rFonts w:asciiTheme="minorEastAsia" w:hAnsiTheme="minorEastAsia" w:eastAsiaTheme="minorEastAsia"/>
          <w:kern w:val="0"/>
          <w:szCs w:val="21"/>
        </w:rPr>
      </w:pPr>
      <w:bookmarkStart w:id="21" w:name="_Toc193860211"/>
      <w:bookmarkStart w:id="22" w:name="_Toc193860180"/>
      <w:bookmarkStart w:id="23" w:name="_Toc193619055"/>
      <w:bookmarkStart w:id="24" w:name="_Toc500258937"/>
      <w:bookmarkStart w:id="25" w:name="_Toc193860030"/>
      <w:bookmarkStart w:id="26" w:name="_Toc193618952"/>
      <w:bookmarkStart w:id="27" w:name="_Toc13054_WPSOffice_Level1"/>
      <w:bookmarkStart w:id="28" w:name="_Toc193619097"/>
      <w:r>
        <w:rPr>
          <w:rFonts w:hint="eastAsia" w:asciiTheme="minorEastAsia" w:hAnsiTheme="minorEastAsia" w:eastAsiaTheme="minorEastAsia"/>
          <w:kern w:val="0"/>
          <w:szCs w:val="21"/>
        </w:rPr>
        <w:t>凡是注日期的引用文件，仅注日期的版本适用于本规范；凡是不注日期的引用文件，其最新版本（包括所有的修改单）适用于本规范。</w:t>
      </w:r>
    </w:p>
    <w:p w14:paraId="5CCC573A">
      <w:pPr>
        <w:pStyle w:val="60"/>
        <w:numPr>
          <w:ilvl w:val="0"/>
          <w:numId w:val="0"/>
        </w:numPr>
        <w:spacing w:beforeLines="0" w:afterLines="0" w:line="360" w:lineRule="auto"/>
        <w:rPr>
          <w:rFonts w:hAnsi="Adobe 黑体 Std R"/>
          <w:szCs w:val="21"/>
        </w:rPr>
      </w:pPr>
      <w:r>
        <w:rPr>
          <w:rFonts w:hint="eastAsia" w:ascii="Times New Roman"/>
          <w:szCs w:val="21"/>
        </w:rPr>
        <w:t>3</w:t>
      </w:r>
      <w:r>
        <w:rPr>
          <w:rFonts w:hint="eastAsia" w:hAnsi="Adobe 黑体 Std R"/>
          <w:szCs w:val="21"/>
        </w:rPr>
        <w:t xml:space="preserve"> 概述</w:t>
      </w:r>
      <w:bookmarkEnd w:id="21"/>
      <w:bookmarkEnd w:id="22"/>
      <w:bookmarkEnd w:id="23"/>
      <w:bookmarkEnd w:id="24"/>
      <w:bookmarkEnd w:id="25"/>
      <w:bookmarkEnd w:id="26"/>
      <w:bookmarkEnd w:id="27"/>
      <w:bookmarkEnd w:id="28"/>
    </w:p>
    <w:p w14:paraId="263B216A">
      <w:pPr>
        <w:autoSpaceDE w:val="0"/>
        <w:autoSpaceDN w:val="0"/>
        <w:adjustRightInd w:val="0"/>
        <w:spacing w:line="4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 xml:space="preserve">.1 仪器原理和用途 </w:t>
      </w:r>
    </w:p>
    <w:p w14:paraId="457DB513">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直流电弧原子发射光谱仪（以下简称光谱仪）是将样品中</w:t>
      </w:r>
      <w:r>
        <w:rPr>
          <w:rFonts w:hint="eastAsia" w:asciiTheme="minorEastAsia" w:hAnsiTheme="minorEastAsia" w:eastAsiaTheme="minorEastAsia"/>
          <w:kern w:val="0"/>
          <w:szCs w:val="21"/>
        </w:rPr>
        <w:t>待</w:t>
      </w:r>
      <w:r>
        <w:rPr>
          <w:rFonts w:asciiTheme="minorEastAsia" w:hAnsiTheme="minorEastAsia" w:eastAsiaTheme="minorEastAsia"/>
          <w:kern w:val="0"/>
          <w:szCs w:val="21"/>
        </w:rPr>
        <w:t>测元素的原子被激发而产生特征辐射,使用具有一定分辨力的探测器检测所有元素的特征辐射谱线，</w:t>
      </w:r>
      <w:r>
        <w:rPr>
          <w:rFonts w:hint="eastAsia" w:asciiTheme="minorEastAsia" w:hAnsiTheme="minorEastAsia" w:eastAsiaTheme="minorEastAsia"/>
          <w:kern w:val="0"/>
          <w:szCs w:val="21"/>
        </w:rPr>
        <w:t>根据</w:t>
      </w:r>
      <w:r>
        <w:rPr>
          <w:rFonts w:asciiTheme="minorEastAsia" w:hAnsiTheme="minorEastAsia" w:eastAsiaTheme="minorEastAsia"/>
          <w:kern w:val="0"/>
          <w:szCs w:val="21"/>
        </w:rPr>
        <w:t>特征辐射谱线不同与强度大小,对各元素进行定性和定量分析。</w:t>
      </w:r>
    </w:p>
    <w:p w14:paraId="02988461">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光谱仪</w:t>
      </w:r>
      <w:r>
        <w:rPr>
          <w:rFonts w:asciiTheme="minorEastAsia" w:hAnsiTheme="minorEastAsia" w:eastAsiaTheme="minorEastAsia"/>
          <w:kern w:val="0"/>
          <w:szCs w:val="21"/>
        </w:rPr>
        <w:t>主要用于有色冶金、地质、电子、</w:t>
      </w:r>
      <w:r>
        <w:rPr>
          <w:rFonts w:hint="eastAsia" w:asciiTheme="minorEastAsia" w:hAnsiTheme="minorEastAsia" w:eastAsiaTheme="minorEastAsia"/>
          <w:kern w:val="0"/>
          <w:szCs w:val="21"/>
        </w:rPr>
        <w:t>半导体</w:t>
      </w:r>
      <w:r>
        <w:rPr>
          <w:rFonts w:asciiTheme="minorEastAsia" w:hAnsiTheme="minorEastAsia" w:eastAsiaTheme="minorEastAsia"/>
          <w:kern w:val="0"/>
          <w:szCs w:val="21"/>
        </w:rPr>
        <w:t>、化工等领域的样品微量与</w:t>
      </w:r>
      <w:r>
        <w:rPr>
          <w:rFonts w:hint="eastAsia" w:asciiTheme="minorEastAsia" w:hAnsiTheme="minorEastAsia" w:eastAsiaTheme="minorEastAsia"/>
          <w:kern w:val="0"/>
          <w:szCs w:val="21"/>
        </w:rPr>
        <w:t>痕量</w:t>
      </w:r>
      <w:r>
        <w:rPr>
          <w:rFonts w:asciiTheme="minorEastAsia" w:hAnsiTheme="minorEastAsia" w:eastAsiaTheme="minorEastAsia"/>
          <w:kern w:val="0"/>
          <w:szCs w:val="21"/>
        </w:rPr>
        <w:t>元素分析。</w:t>
      </w:r>
    </w:p>
    <w:p w14:paraId="301B34FC">
      <w:pPr>
        <w:autoSpaceDE w:val="0"/>
        <w:autoSpaceDN w:val="0"/>
        <w:adjustRightInd w:val="0"/>
        <w:spacing w:line="44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asciiTheme="minorEastAsia" w:hAnsiTheme="minorEastAsia" w:eastAsiaTheme="minorEastAsia"/>
          <w:kern w:val="0"/>
          <w:szCs w:val="21"/>
        </w:rPr>
        <w:t>.2 仪器结构</w:t>
      </w:r>
    </w:p>
    <w:p w14:paraId="1ECC86C9">
      <w:pPr>
        <w:autoSpaceDE w:val="0"/>
        <w:autoSpaceDN w:val="0"/>
        <w:adjustRightInd w:val="0"/>
        <w:spacing w:line="440" w:lineRule="exact"/>
        <w:ind w:firstLine="420" w:firstLineChars="200"/>
        <w:rPr>
          <w:szCs w:val="21"/>
        </w:rPr>
      </w:pPr>
      <w:r>
        <w:rPr>
          <w:rFonts w:hint="eastAsia" w:asciiTheme="minorEastAsia" w:hAnsiTheme="minorEastAsia" w:eastAsiaTheme="minorEastAsia"/>
          <w:kern w:val="0"/>
          <w:szCs w:val="21"/>
        </w:rPr>
        <w:t>光谱仪</w:t>
      </w:r>
      <w:r>
        <w:rPr>
          <w:rFonts w:asciiTheme="minorEastAsia" w:hAnsiTheme="minorEastAsia" w:eastAsiaTheme="minorEastAsia"/>
          <w:kern w:val="0"/>
          <w:szCs w:val="21"/>
        </w:rPr>
        <w:t>主要由进样装置、电弧</w:t>
      </w:r>
      <w:r>
        <w:rPr>
          <w:rFonts w:hint="eastAsia"/>
          <w:szCs w:val="21"/>
        </w:rPr>
        <w:t>激发装置、检测装置、控制与信号装置四部分组成。</w:t>
      </w:r>
    </w:p>
    <w:p w14:paraId="275B9254">
      <w:pPr>
        <w:autoSpaceDE w:val="0"/>
        <w:autoSpaceDN w:val="0"/>
        <w:adjustRightInd w:val="0"/>
        <w:spacing w:line="440" w:lineRule="exact"/>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mc:AlternateContent>
          <mc:Choice Requires="wps">
            <w:drawing>
              <wp:anchor distT="0" distB="0" distL="114300" distR="114300" simplePos="0" relativeHeight="251668480" behindDoc="0" locked="0" layoutInCell="1" allowOverlap="1">
                <wp:simplePos x="0" y="0"/>
                <wp:positionH relativeFrom="column">
                  <wp:posOffset>4363085</wp:posOffset>
                </wp:positionH>
                <wp:positionV relativeFrom="paragraph">
                  <wp:posOffset>59055</wp:posOffset>
                </wp:positionV>
                <wp:extent cx="1208405" cy="294005"/>
                <wp:effectExtent l="0" t="0" r="10795" b="10795"/>
                <wp:wrapNone/>
                <wp:docPr id="26" name="圆角矩形 26"/>
                <wp:cNvGraphicFramePr/>
                <a:graphic xmlns:a="http://schemas.openxmlformats.org/drawingml/2006/main">
                  <a:graphicData uri="http://schemas.microsoft.com/office/word/2010/wordprocessingShape">
                    <wps:wsp>
                      <wps:cNvSpPr/>
                      <wps:spPr>
                        <a:xfrm>
                          <a:off x="0" y="0"/>
                          <a:ext cx="1208599" cy="2940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4B448">
                            <w:pPr>
                              <w:rPr>
                                <w:shd w:val="clear" w:color="auto" w:fill="FFFFFF" w:themeFill="background1"/>
                              </w:rPr>
                            </w:pPr>
                            <w:r>
                              <w:rPr>
                                <w:rFonts w:hint="eastAsia"/>
                                <w:shd w:val="clear" w:color="auto" w:fill="FFFFFF" w:themeFill="background1"/>
                              </w:rPr>
                              <w:t>控制</w:t>
                            </w:r>
                            <w:r>
                              <w:rPr>
                                <w:shd w:val="clear" w:color="auto" w:fill="FFFFFF" w:themeFill="background1"/>
                              </w:rPr>
                              <w:t>与信号装置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3.55pt;margin-top:4.65pt;height:23.15pt;width:95.15pt;z-index:251668480;v-text-anchor:middle;mso-width-relative:page;mso-height-relative:page;" fillcolor="#FFFFFF [3212]" filled="t" stroked="t" coordsize="21600,21600" arcsize="0.166666666666667" o:gfxdata="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hs1BJ1gAAAAgBAAAPAAAAAAAAAAEAIAAAACIA&#10;AABkcnMvZG93bnJldi54bWxQSwECFAAUAAAACACHTuJA+x3Jin0CAAD0BAAADgAAAAAAAAABACAA&#10;AAAlAQAAZHJzL2Uyb0RvYy54bWxQSwUGAAAAAAYABgBZAQAAFAYAAAAA&#10;">
                <v:fill on="t" focussize="0,0"/>
                <v:stroke weight="0.25pt" color="#000000 [3213]" joinstyle="round"/>
                <v:imagedata o:title=""/>
                <o:lock v:ext="edit" aspectratio="f"/>
                <v:textbox>
                  <w:txbxContent>
                    <w:p w14:paraId="2DA4B448">
                      <w:pPr>
                        <w:rPr>
                          <w:shd w:val="clear" w:color="auto" w:fill="FFFFFF" w:themeFill="background1"/>
                        </w:rPr>
                      </w:pPr>
                      <w:r>
                        <w:rPr>
                          <w:rFonts w:hint="eastAsia"/>
                          <w:shd w:val="clear" w:color="auto" w:fill="FFFFFF" w:themeFill="background1"/>
                        </w:rPr>
                        <w:t>控制</w:t>
                      </w:r>
                      <w:r>
                        <w:rPr>
                          <w:shd w:val="clear" w:color="auto" w:fill="FFFFFF" w:themeFill="background1"/>
                        </w:rPr>
                        <w:t>与信号装置</w:t>
                      </w:r>
                    </w:p>
                  </w:txbxContent>
                </v:textbox>
              </v:roundrect>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6432" behindDoc="0" locked="0" layoutInCell="1" allowOverlap="1">
                <wp:simplePos x="0" y="0"/>
                <wp:positionH relativeFrom="column">
                  <wp:posOffset>3074035</wp:posOffset>
                </wp:positionH>
                <wp:positionV relativeFrom="paragraph">
                  <wp:posOffset>57785</wp:posOffset>
                </wp:positionV>
                <wp:extent cx="826770" cy="294005"/>
                <wp:effectExtent l="0" t="0" r="11430" b="10795"/>
                <wp:wrapNone/>
                <wp:docPr id="24" name="圆角矩形 24"/>
                <wp:cNvGraphicFramePr/>
                <a:graphic xmlns:a="http://schemas.openxmlformats.org/drawingml/2006/main">
                  <a:graphicData uri="http://schemas.microsoft.com/office/word/2010/wordprocessingShape">
                    <wps:wsp>
                      <wps:cNvSpPr/>
                      <wps:spPr>
                        <a:xfrm>
                          <a:off x="0" y="0"/>
                          <a:ext cx="826770" cy="29400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47217">
                            <w:pPr>
                              <w:rPr>
                                <w:shd w:val="clear" w:color="auto" w:fill="FFFFFF" w:themeFill="background1"/>
                              </w:rPr>
                            </w:pPr>
                            <w:r>
                              <w:rPr>
                                <w:rFonts w:hint="eastAsia"/>
                                <w:shd w:val="clear" w:color="auto" w:fill="FFFFFF" w:themeFill="background1"/>
                              </w:rPr>
                              <w:t>检测</w:t>
                            </w:r>
                            <w:r>
                              <w:rPr>
                                <w:shd w:val="clear" w:color="auto" w:fill="FFFFFF" w:themeFill="background1"/>
                              </w:rPr>
                              <w:t>装置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2.05pt;margin-top:4.55pt;height:23.15pt;width:65.1pt;z-index:251666432;v-text-anchor:middle;mso-width-relative:page;mso-height-relative:page;" fillcolor="#FFFFFF [3212]" filled="t" stroked="t" coordsize="21600,21600" arcsize="0.166666666666667" o:gfxdata="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8qDBvdYAAAAIAQAADwAAAAAAAAABACAAAAAiAAAA&#10;ZHJzL2Rvd25yZXYueG1sUEsBAhQAFAAAAAgAh07iQHTRtK17AgAA8wQAAA4AAAAAAAAAAQAgAAAA&#10;JQEAAGRycy9lMm9Eb2MueG1sUEsFBgAAAAAGAAYAWQEAABIGAAAAAA==&#10;">
                <v:fill on="t" focussize="0,0"/>
                <v:stroke weight="0.25pt" color="#000000 [3213]" joinstyle="round"/>
                <v:imagedata o:title=""/>
                <o:lock v:ext="edit" aspectratio="f"/>
                <v:textbox>
                  <w:txbxContent>
                    <w:p w14:paraId="2D847217">
                      <w:pPr>
                        <w:rPr>
                          <w:shd w:val="clear" w:color="auto" w:fill="FFFFFF" w:themeFill="background1"/>
                        </w:rPr>
                      </w:pPr>
                      <w:r>
                        <w:rPr>
                          <w:rFonts w:hint="eastAsia"/>
                          <w:shd w:val="clear" w:color="auto" w:fill="FFFFFF" w:themeFill="background1"/>
                        </w:rPr>
                        <w:t>检测</w:t>
                      </w:r>
                      <w:r>
                        <w:rPr>
                          <w:shd w:val="clear" w:color="auto" w:fill="FFFFFF" w:themeFill="background1"/>
                        </w:rPr>
                        <w:t>装置</w:t>
                      </w:r>
                    </w:p>
                  </w:txbxContent>
                </v:textbox>
              </v:roundrect>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7456" behindDoc="0" locked="0" layoutInCell="1" allowOverlap="1">
                <wp:simplePos x="0" y="0"/>
                <wp:positionH relativeFrom="column">
                  <wp:posOffset>3918585</wp:posOffset>
                </wp:positionH>
                <wp:positionV relativeFrom="paragraph">
                  <wp:posOffset>194945</wp:posOffset>
                </wp:positionV>
                <wp:extent cx="421640" cy="0"/>
                <wp:effectExtent l="0" t="0" r="36195" b="19050"/>
                <wp:wrapNone/>
                <wp:docPr id="25" name="直接连接符 25"/>
                <wp:cNvGraphicFramePr/>
                <a:graphic xmlns:a="http://schemas.openxmlformats.org/drawingml/2006/main">
                  <a:graphicData uri="http://schemas.microsoft.com/office/word/2010/wordprocessingShape">
                    <wps:wsp>
                      <wps:cNvCnPr/>
                      <wps:spPr>
                        <a:xfrm>
                          <a:off x="0" y="0"/>
                          <a:ext cx="421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8.55pt;margin-top:15.35pt;height:0pt;width:33.2pt;z-index:251667456;mso-width-relative:page;mso-height-relative:page;" filled="f" stroked="t" coordsize="21600,21600" o:gfxdata="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A9cZdcAAAAJAQAADwAAAAAAAAAB&#10;ACAAAAAiAAAAZHJzL2Rvd25yZXYueG1sUEsBAhQAFAAAAAgAh07iQIpp5RvYAQAAmwMAAA4AAAAA&#10;AAAAAQAgAAAAJgEAAGRycy9lMm9Eb2MueG1sUEsFBgAAAAAGAAYAWQEAAHAFAAAAAA==&#10;">
                <v:fill on="f" focussize="0,0"/>
                <v:stroke color="#000000 [3213]" joinstyle="round"/>
                <v:imagedata o:title=""/>
                <o:lock v:ext="edit" aspectratio="f"/>
              </v:line>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5408" behindDoc="0" locked="0" layoutInCell="1" allowOverlap="1">
                <wp:simplePos x="0" y="0"/>
                <wp:positionH relativeFrom="column">
                  <wp:posOffset>1277620</wp:posOffset>
                </wp:positionH>
                <wp:positionV relativeFrom="paragraph">
                  <wp:posOffset>201295</wp:posOffset>
                </wp:positionV>
                <wp:extent cx="421640" cy="0"/>
                <wp:effectExtent l="0" t="0" r="36195" b="19050"/>
                <wp:wrapNone/>
                <wp:docPr id="23" name="直接连接符 23"/>
                <wp:cNvGraphicFramePr/>
                <a:graphic xmlns:a="http://schemas.openxmlformats.org/drawingml/2006/main">
                  <a:graphicData uri="http://schemas.microsoft.com/office/word/2010/wordprocessingShape">
                    <wps:wsp>
                      <wps:cNvCnPr/>
                      <wps:spPr>
                        <a:xfrm>
                          <a:off x="0" y="0"/>
                          <a:ext cx="421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0.6pt;margin-top:15.85pt;height:0pt;width:33.2pt;z-index:251665408;mso-width-relative:page;mso-height-relative:page;" filled="f" stroked="t" coordsize="21600,21600" o:gfxdata="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TZgT71gAAAAkBAAAPAAAAAAAAAAEA&#10;IAAAACIAAABkcnMvZG93bnJldi54bWxQSwECFAAUAAAACACHTuJA/PzGptgBAACbAwAADgAAAAAA&#10;AAABACAAAAAlAQAAZHJzL2Uyb0RvYy54bWxQSwUGAAAAAAYABgBZAQAAbwUAAAAA&#10;">
                <v:fill on="f" focussize="0,0"/>
                <v:stroke color="#000000 [3213]" joinstyle="round"/>
                <v:imagedata o:title=""/>
                <o:lock v:ext="edit" aspectratio="f"/>
              </v:line>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194310</wp:posOffset>
                </wp:positionV>
                <wp:extent cx="421640" cy="0"/>
                <wp:effectExtent l="0" t="0" r="36195" b="19050"/>
                <wp:wrapNone/>
                <wp:docPr id="17" name="直接连接符 17"/>
                <wp:cNvGraphicFramePr/>
                <a:graphic xmlns:a="http://schemas.openxmlformats.org/drawingml/2006/main">
                  <a:graphicData uri="http://schemas.microsoft.com/office/word/2010/wordprocessingShape">
                    <wps:wsp>
                      <wps:cNvCnPr/>
                      <wps:spPr>
                        <a:xfrm>
                          <a:off x="0" y="0"/>
                          <a:ext cx="4214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8.3pt;margin-top:15.3pt;height:0pt;width:33.2pt;z-index:251663360;mso-width-relative:page;mso-height-relative:page;" filled="f" stroked="t" coordsize="21600,21600" o:gfxdata="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Xp+99cAAAAJAQAADwAAAAAAAAAB&#10;ACAAAAAiAAAAZHJzL2Rvd25yZXYueG1sUEsBAhQAFAAAAAgAh07iQJYeFizYAQAAmwMAAA4AAAAA&#10;AAAAAQAgAAAAJgEAAGRycy9lMm9Eb2MueG1sUEsFBgAAAAAGAAYAWQEAAHAFAAAAAA==&#10;">
                <v:fill on="f" focussize="0,0"/>
                <v:stroke color="#000000 [3213]" joinstyle="round"/>
                <v:imagedata o:title=""/>
                <o:lock v:ext="edit" aspectratio="f"/>
              </v:line>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4384" behindDoc="0" locked="0" layoutInCell="1" allowOverlap="1">
                <wp:simplePos x="0" y="0"/>
                <wp:positionH relativeFrom="column">
                  <wp:posOffset>1715135</wp:posOffset>
                </wp:positionH>
                <wp:positionV relativeFrom="paragraph">
                  <wp:posOffset>58420</wp:posOffset>
                </wp:positionV>
                <wp:extent cx="1033780" cy="294005"/>
                <wp:effectExtent l="0" t="0" r="14605" b="10795"/>
                <wp:wrapNone/>
                <wp:docPr id="22" name="圆角矩形 22"/>
                <wp:cNvGraphicFramePr/>
                <a:graphic xmlns:a="http://schemas.openxmlformats.org/drawingml/2006/main">
                  <a:graphicData uri="http://schemas.microsoft.com/office/word/2010/wordprocessingShape">
                    <wps:wsp>
                      <wps:cNvSpPr/>
                      <wps:spPr>
                        <a:xfrm>
                          <a:off x="0" y="0"/>
                          <a:ext cx="1033670" cy="294199"/>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00B52">
                            <w:pPr>
                              <w:rPr>
                                <w:shd w:val="clear" w:color="auto" w:fill="FFFFFF" w:themeFill="background1"/>
                              </w:rPr>
                            </w:pPr>
                            <w:r>
                              <w:rPr>
                                <w:rFonts w:hint="eastAsia"/>
                                <w:shd w:val="clear" w:color="auto" w:fill="FFFFFF" w:themeFill="background1"/>
                              </w:rPr>
                              <w:t>电弧</w:t>
                            </w:r>
                            <w:r>
                              <w:rPr>
                                <w:shd w:val="clear" w:color="auto" w:fill="FFFFFF" w:themeFill="background1"/>
                              </w:rPr>
                              <w:t>激发</w:t>
                            </w:r>
                            <w:r>
                              <w:rPr>
                                <w:rFonts w:hint="eastAsia"/>
                                <w:shd w:val="clear" w:color="auto" w:fill="FFFFFF" w:themeFill="background1"/>
                              </w:rPr>
                              <w:t>装置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05pt;margin-top:4.6pt;height:23.15pt;width:81.4pt;z-index:251664384;v-text-anchor:middle;mso-width-relative:page;mso-height-relative:page;" fillcolor="#FFFFFF [3212]" filled="t" stroked="t" coordsize="21600,21600" arcsize="0.166666666666667" o:gfxdata="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j7qRnWAAAACAEAAA8AAAAAAAAAAQAgAAAAIgAA&#10;AGRycy9kb3ducmV2LnhtbFBLAQIUABQAAAAIAIdO4kCZsyY8fAIAAPQEAAAOAAAAAAAAAAEAIAAA&#10;ACUBAABkcnMvZTJvRG9jLnhtbFBLBQYAAAAABgAGAFkBAAATBgAAAAA=&#10;">
                <v:fill on="t" focussize="0,0"/>
                <v:stroke weight="0.25pt" color="#000000 [3213]" joinstyle="round"/>
                <v:imagedata o:title=""/>
                <o:lock v:ext="edit" aspectratio="f"/>
                <v:textbox>
                  <w:txbxContent>
                    <w:p w14:paraId="6BE00B52">
                      <w:pPr>
                        <w:rPr>
                          <w:shd w:val="clear" w:color="auto" w:fill="FFFFFF" w:themeFill="background1"/>
                        </w:rPr>
                      </w:pPr>
                      <w:r>
                        <w:rPr>
                          <w:rFonts w:hint="eastAsia"/>
                          <w:shd w:val="clear" w:color="auto" w:fill="FFFFFF" w:themeFill="background1"/>
                        </w:rPr>
                        <w:t>电弧</w:t>
                      </w:r>
                      <w:r>
                        <w:rPr>
                          <w:shd w:val="clear" w:color="auto" w:fill="FFFFFF" w:themeFill="background1"/>
                        </w:rPr>
                        <w:t>激发</w:t>
                      </w:r>
                      <w:r>
                        <w:rPr>
                          <w:rFonts w:hint="eastAsia"/>
                          <w:shd w:val="clear" w:color="auto" w:fill="FFFFFF" w:themeFill="background1"/>
                        </w:rPr>
                        <w:t>装置</w:t>
                      </w:r>
                    </w:p>
                  </w:txbxContent>
                </v:textbox>
              </v:roundrect>
            </w:pict>
          </mc:Fallback>
        </mc:AlternateContent>
      </w:r>
      <w:r>
        <w:rPr>
          <w:rFonts w:hint="eastAsia" w:asciiTheme="minorEastAsia" w:hAnsiTheme="minorEastAsia" w:eastAsiaTheme="minorEastAsia"/>
          <w:kern w:val="0"/>
          <w:szCs w:val="21"/>
        </w:rPr>
        <mc:AlternateContent>
          <mc:Choice Requires="wps">
            <w:drawing>
              <wp:anchor distT="0" distB="0" distL="114300" distR="114300" simplePos="0" relativeHeight="251662336" behindDoc="0" locked="0" layoutInCell="1" allowOverlap="1">
                <wp:simplePos x="0" y="0"/>
                <wp:positionH relativeFrom="column">
                  <wp:posOffset>450215</wp:posOffset>
                </wp:positionH>
                <wp:positionV relativeFrom="paragraph">
                  <wp:posOffset>58420</wp:posOffset>
                </wp:positionV>
                <wp:extent cx="826770" cy="294005"/>
                <wp:effectExtent l="0" t="0" r="11430" b="10795"/>
                <wp:wrapNone/>
                <wp:docPr id="11" name="圆角矩形 11"/>
                <wp:cNvGraphicFramePr/>
                <a:graphic xmlns:a="http://schemas.openxmlformats.org/drawingml/2006/main">
                  <a:graphicData uri="http://schemas.microsoft.com/office/word/2010/wordprocessingShape">
                    <wps:wsp>
                      <wps:cNvSpPr/>
                      <wps:spPr>
                        <a:xfrm>
                          <a:off x="0" y="0"/>
                          <a:ext cx="826936" cy="294199"/>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36C6D">
                            <w:pPr>
                              <w:rPr>
                                <w:shd w:val="clear" w:color="auto" w:fill="FFFFFF" w:themeFill="background1"/>
                              </w:rPr>
                            </w:pPr>
                            <w:r>
                              <w:rPr>
                                <w:rFonts w:hint="eastAsia"/>
                                <w:shd w:val="clear" w:color="auto" w:fill="FFFFFF" w:themeFill="background1"/>
                              </w:rPr>
                              <w:t>进样装置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45pt;margin-top:4.6pt;height:23.15pt;width:65.1pt;z-index:251662336;v-text-anchor:middle;mso-width-relative:page;mso-height-relative:page;" fillcolor="#FFFFFF [3212]" filled="t" stroked="t" coordsize="21600,21600" arcsize="0.166666666666667" o:gfxdata="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w4X3UAAAABwEAAA8AAAAAAAAAAQAgAAAAIgAAAGRy&#10;cy9kb3ducmV2LnhtbFBLAQIUABQAAAAIAIdO4kCX/W5MewIAAPMEAAAOAAAAAAAAAAEAIAAAACMB&#10;AABkcnMvZTJvRG9jLnhtbFBLBQYAAAAABgAGAFkBAAAQBgAAAAA=&#10;">
                <v:fill on="t" focussize="0,0"/>
                <v:stroke weight="0.25pt" color="#000000 [3213]" joinstyle="round"/>
                <v:imagedata o:title=""/>
                <o:lock v:ext="edit" aspectratio="f"/>
                <v:textbox>
                  <w:txbxContent>
                    <w:p w14:paraId="01436C6D">
                      <w:pPr>
                        <w:rPr>
                          <w:shd w:val="clear" w:color="auto" w:fill="FFFFFF" w:themeFill="background1"/>
                        </w:rPr>
                      </w:pPr>
                      <w:r>
                        <w:rPr>
                          <w:rFonts w:hint="eastAsia"/>
                          <w:shd w:val="clear" w:color="auto" w:fill="FFFFFF" w:themeFill="background1"/>
                        </w:rPr>
                        <w:t>进样装置</w:t>
                      </w:r>
                    </w:p>
                  </w:txbxContent>
                </v:textbox>
              </v:roundrect>
            </w:pict>
          </mc:Fallback>
        </mc:AlternateConten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w:t>
      </w:r>
    </w:p>
    <w:p w14:paraId="7F097B07">
      <w:pPr>
        <w:pStyle w:val="60"/>
        <w:numPr>
          <w:ilvl w:val="0"/>
          <w:numId w:val="0"/>
        </w:numPr>
        <w:spacing w:before="156" w:afterLines="0" w:line="360" w:lineRule="auto"/>
        <w:ind w:left="142"/>
        <w:rPr>
          <w:szCs w:val="21"/>
        </w:rPr>
      </w:pPr>
      <w:bookmarkStart w:id="29" w:name="_Toc193860181"/>
      <w:bookmarkStart w:id="30" w:name="_Toc193860031"/>
      <w:bookmarkStart w:id="31" w:name="_Toc500258938"/>
      <w:bookmarkStart w:id="32" w:name="_Toc193619056"/>
      <w:bookmarkStart w:id="33" w:name="_Toc193618953"/>
      <w:bookmarkStart w:id="34" w:name="_Toc19851_WPSOffice_Level1"/>
      <w:bookmarkStart w:id="35" w:name="_Toc193860212"/>
      <w:bookmarkStart w:id="36" w:name="_Toc193619098"/>
      <w:r>
        <w:rPr>
          <w:rFonts w:hint="eastAsia" w:ascii="Times New Roman"/>
          <w:szCs w:val="21"/>
        </w:rPr>
        <w:t>4</w:t>
      </w:r>
      <w:r>
        <w:rPr>
          <w:rFonts w:hint="eastAsia"/>
          <w:szCs w:val="21"/>
        </w:rPr>
        <w:t>计量特性</w:t>
      </w:r>
      <w:bookmarkEnd w:id="29"/>
      <w:bookmarkEnd w:id="30"/>
      <w:bookmarkEnd w:id="31"/>
      <w:bookmarkEnd w:id="32"/>
      <w:bookmarkEnd w:id="33"/>
      <w:bookmarkEnd w:id="34"/>
      <w:bookmarkEnd w:id="35"/>
      <w:bookmarkEnd w:id="36"/>
    </w:p>
    <w:p w14:paraId="29C1A591">
      <w:pPr>
        <w:tabs>
          <w:tab w:val="left" w:pos="5910"/>
        </w:tabs>
        <w:spacing w:line="440" w:lineRule="exact"/>
        <w:ind w:firstLine="420" w:firstLineChars="200"/>
        <w:rPr>
          <w:rFonts w:eastAsiaTheme="minorEastAsia"/>
          <w:szCs w:val="21"/>
        </w:rPr>
      </w:pPr>
      <w:r>
        <w:rPr>
          <w:rFonts w:hint="eastAsia"/>
          <w:szCs w:val="21"/>
        </w:rPr>
        <w:t>直流电弧原子发射光谱仪计量性能要求见表1。</w:t>
      </w:r>
      <w:r>
        <w:rPr>
          <w:szCs w:val="21"/>
        </w:rPr>
        <w:tab/>
      </w:r>
    </w:p>
    <w:p w14:paraId="04F9866B">
      <w:pPr>
        <w:spacing w:line="440" w:lineRule="exact"/>
        <w:ind w:firstLine="420" w:firstLineChars="200"/>
        <w:jc w:val="center"/>
        <w:rPr>
          <w:rFonts w:eastAsiaTheme="minorEastAsia"/>
          <w:kern w:val="0"/>
          <w:szCs w:val="21"/>
        </w:rPr>
      </w:pPr>
      <w:r>
        <w:rPr>
          <w:rFonts w:eastAsiaTheme="minorEastAsia"/>
          <w:kern w:val="0"/>
          <w:szCs w:val="21"/>
        </w:rPr>
        <w:t>表</w:t>
      </w:r>
      <w:r>
        <w:rPr>
          <w:rFonts w:hint="eastAsia" w:eastAsiaTheme="minorEastAsia"/>
          <w:kern w:val="0"/>
          <w:szCs w:val="21"/>
        </w:rPr>
        <w:t>1</w:t>
      </w:r>
      <w:r>
        <w:rPr>
          <w:rFonts w:eastAsiaTheme="minorEastAsia"/>
          <w:kern w:val="0"/>
          <w:szCs w:val="21"/>
        </w:rPr>
        <w:t>光谱仪的主要检定项目</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4038"/>
      </w:tblGrid>
      <w:tr w14:paraId="42BBB9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14:paraId="73A66912">
            <w:pPr>
              <w:spacing w:line="440" w:lineRule="exact"/>
              <w:jc w:val="center"/>
              <w:rPr>
                <w:rFonts w:eastAsiaTheme="minorEastAsia"/>
                <w:kern w:val="0"/>
                <w:szCs w:val="21"/>
              </w:rPr>
            </w:pPr>
            <w:r>
              <w:rPr>
                <w:rFonts w:hint="eastAsia" w:eastAsiaTheme="minorEastAsia"/>
                <w:kern w:val="0"/>
                <w:szCs w:val="21"/>
              </w:rPr>
              <w:t>序号</w:t>
            </w:r>
          </w:p>
        </w:tc>
        <w:tc>
          <w:tcPr>
            <w:tcW w:w="4038" w:type="dxa"/>
            <w:vAlign w:val="center"/>
          </w:tcPr>
          <w:p w14:paraId="5219CC34">
            <w:pPr>
              <w:spacing w:line="440" w:lineRule="exact"/>
              <w:jc w:val="center"/>
              <w:rPr>
                <w:rFonts w:eastAsiaTheme="minorEastAsia"/>
                <w:kern w:val="0"/>
                <w:szCs w:val="21"/>
              </w:rPr>
            </w:pPr>
            <w:r>
              <w:rPr>
                <w:rFonts w:hint="eastAsia" w:eastAsiaTheme="minorEastAsia"/>
                <w:kern w:val="0"/>
                <w:szCs w:val="21"/>
              </w:rPr>
              <w:t>计量参数</w:t>
            </w:r>
          </w:p>
        </w:tc>
      </w:tr>
      <w:tr w14:paraId="3A85A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14:paraId="36CF63C3">
            <w:pPr>
              <w:spacing w:line="400" w:lineRule="exact"/>
              <w:jc w:val="center"/>
              <w:rPr>
                <w:szCs w:val="21"/>
              </w:rPr>
            </w:pPr>
            <w:r>
              <w:rPr>
                <w:rFonts w:hint="eastAsia"/>
                <w:szCs w:val="21"/>
              </w:rPr>
              <w:t>1</w:t>
            </w:r>
          </w:p>
        </w:tc>
        <w:tc>
          <w:tcPr>
            <w:tcW w:w="4038" w:type="dxa"/>
            <w:vAlign w:val="center"/>
          </w:tcPr>
          <w:p w14:paraId="4D330CFA">
            <w:pPr>
              <w:jc w:val="center"/>
              <w:rPr>
                <w:szCs w:val="21"/>
              </w:rPr>
            </w:pPr>
            <w:r>
              <w:rPr>
                <w:szCs w:val="21"/>
              </w:rPr>
              <w:t>示值误差</w:t>
            </w:r>
          </w:p>
        </w:tc>
      </w:tr>
      <w:tr w14:paraId="30493B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14:paraId="33F8CFAE">
            <w:pPr>
              <w:spacing w:line="400" w:lineRule="exact"/>
              <w:jc w:val="center"/>
              <w:rPr>
                <w:szCs w:val="21"/>
              </w:rPr>
            </w:pPr>
            <w:r>
              <w:rPr>
                <w:rFonts w:hint="eastAsia"/>
                <w:szCs w:val="21"/>
              </w:rPr>
              <w:t>2</w:t>
            </w:r>
          </w:p>
        </w:tc>
        <w:tc>
          <w:tcPr>
            <w:tcW w:w="4038" w:type="dxa"/>
            <w:vAlign w:val="center"/>
          </w:tcPr>
          <w:p w14:paraId="6B4424EB">
            <w:pPr>
              <w:spacing w:line="360" w:lineRule="auto"/>
              <w:jc w:val="center"/>
              <w:rPr>
                <w:szCs w:val="21"/>
              </w:rPr>
            </w:pPr>
            <w:r>
              <w:rPr>
                <w:szCs w:val="21"/>
              </w:rPr>
              <w:t>重复性</w:t>
            </w:r>
          </w:p>
        </w:tc>
      </w:tr>
      <w:tr w14:paraId="7914CD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14:paraId="048F330E">
            <w:pPr>
              <w:spacing w:line="400" w:lineRule="exact"/>
              <w:jc w:val="center"/>
              <w:rPr>
                <w:szCs w:val="21"/>
              </w:rPr>
            </w:pPr>
            <w:r>
              <w:rPr>
                <w:rFonts w:hint="eastAsia"/>
                <w:szCs w:val="21"/>
              </w:rPr>
              <w:t>3</w:t>
            </w:r>
          </w:p>
        </w:tc>
        <w:tc>
          <w:tcPr>
            <w:tcW w:w="4038" w:type="dxa"/>
            <w:vAlign w:val="center"/>
          </w:tcPr>
          <w:p w14:paraId="04A640E9">
            <w:pPr>
              <w:jc w:val="center"/>
              <w:rPr>
                <w:szCs w:val="21"/>
              </w:rPr>
            </w:pPr>
            <w:r>
              <w:rPr>
                <w:szCs w:val="21"/>
              </w:rPr>
              <w:t>稳定性</w:t>
            </w:r>
          </w:p>
        </w:tc>
      </w:tr>
    </w:tbl>
    <w:p w14:paraId="2E107A2A">
      <w:pPr>
        <w:pStyle w:val="60"/>
        <w:numPr>
          <w:ilvl w:val="0"/>
          <w:numId w:val="0"/>
        </w:numPr>
        <w:spacing w:before="156" w:after="156"/>
        <w:rPr>
          <w:rFonts w:ascii="Times New Roman"/>
          <w:szCs w:val="21"/>
        </w:rPr>
      </w:pPr>
      <w:bookmarkStart w:id="37" w:name="_Toc25829_WPSOffice_Level1"/>
    </w:p>
    <w:p w14:paraId="492B5AEC">
      <w:pPr>
        <w:pStyle w:val="60"/>
        <w:numPr>
          <w:ilvl w:val="0"/>
          <w:numId w:val="0"/>
        </w:numPr>
        <w:spacing w:before="156" w:after="156"/>
        <w:rPr>
          <w:szCs w:val="21"/>
        </w:rPr>
      </w:pPr>
      <w:r>
        <w:rPr>
          <w:rFonts w:ascii="Times New Roman"/>
          <w:szCs w:val="21"/>
        </w:rPr>
        <w:t>5</w:t>
      </w:r>
      <w:r>
        <w:rPr>
          <w:rFonts w:hint="eastAsia" w:ascii="Times New Roman"/>
          <w:szCs w:val="21"/>
        </w:rPr>
        <w:t xml:space="preserve"> </w:t>
      </w:r>
      <w:r>
        <w:rPr>
          <w:rFonts w:hint="eastAsia"/>
          <w:szCs w:val="21"/>
        </w:rPr>
        <w:t>校准条件</w:t>
      </w:r>
      <w:bookmarkEnd w:id="37"/>
      <w:bookmarkStart w:id="38" w:name="_Toc193860033"/>
      <w:bookmarkStart w:id="39" w:name="_Toc193860183"/>
      <w:bookmarkStart w:id="40" w:name="_Toc500258942"/>
      <w:bookmarkStart w:id="41" w:name="_Toc193860214"/>
    </w:p>
    <w:p w14:paraId="1F4BFC62">
      <w:pPr>
        <w:rPr>
          <w:rFonts w:asciiTheme="minorEastAsia" w:hAnsiTheme="minorEastAsia" w:eastAsiaTheme="minorEastAsia"/>
          <w:szCs w:val="21"/>
        </w:rPr>
      </w:pPr>
      <w:r>
        <w:rPr>
          <w:rFonts w:eastAsiaTheme="minorEastAsia"/>
          <w:szCs w:val="21"/>
        </w:rPr>
        <w:t>5.1</w:t>
      </w:r>
      <w:r>
        <w:rPr>
          <w:rFonts w:hint="eastAsia" w:asciiTheme="minorEastAsia" w:hAnsiTheme="minorEastAsia" w:eastAsiaTheme="minorEastAsia"/>
          <w:szCs w:val="21"/>
        </w:rPr>
        <w:t xml:space="preserve"> 环境条件</w:t>
      </w:r>
    </w:p>
    <w:p w14:paraId="411DFD9D">
      <w:pPr>
        <w:spacing w:line="360" w:lineRule="auto"/>
        <w:rPr>
          <w:rFonts w:eastAsiaTheme="minorEastAsia"/>
          <w:szCs w:val="21"/>
        </w:rPr>
      </w:pPr>
      <w:r>
        <w:rPr>
          <w:rFonts w:eastAsiaTheme="minorEastAsia"/>
          <w:szCs w:val="21"/>
        </w:rPr>
        <w:t>5.1.1环境温度（10～30）℃，相对湿度</w:t>
      </w:r>
      <w:r>
        <w:rPr>
          <w:rFonts w:asciiTheme="majorEastAsia" w:hAnsiTheme="majorEastAsia" w:eastAsiaTheme="majorEastAsia"/>
          <w:szCs w:val="21"/>
        </w:rPr>
        <w:t>≤</w:t>
      </w:r>
      <w:r>
        <w:rPr>
          <w:rFonts w:eastAsiaTheme="minorEastAsia"/>
          <w:szCs w:val="21"/>
        </w:rPr>
        <w:t>80%。如果设备规定了使用的环境温室度，校准活动应符合其</w:t>
      </w:r>
      <w:r>
        <w:rPr>
          <w:rFonts w:hint="eastAsia" w:eastAsiaTheme="minorEastAsia"/>
          <w:szCs w:val="21"/>
        </w:rPr>
        <w:t>规定。</w:t>
      </w:r>
    </w:p>
    <w:p w14:paraId="36974AD9">
      <w:pPr>
        <w:spacing w:line="360" w:lineRule="auto"/>
        <w:rPr>
          <w:rFonts w:eastAsiaTheme="minorEastAsia"/>
          <w:szCs w:val="21"/>
        </w:rPr>
      </w:pPr>
      <w:r>
        <w:rPr>
          <w:rFonts w:eastAsiaTheme="minorEastAsia"/>
          <w:szCs w:val="21"/>
        </w:rPr>
        <w:t>5.1.2无影响光谱仪正常工作的强烈电磁干扰与机械振动，无强烈气流、无粉尘，无易燃、易爆和强腐蚀性气体或试剂。</w:t>
      </w:r>
    </w:p>
    <w:p w14:paraId="651F465D">
      <w:pPr>
        <w:spacing w:line="360" w:lineRule="auto"/>
        <w:rPr>
          <w:rFonts w:eastAsiaTheme="minorEastAsia"/>
          <w:szCs w:val="21"/>
        </w:rPr>
      </w:pPr>
      <w:r>
        <w:rPr>
          <w:rFonts w:eastAsiaTheme="minorEastAsia"/>
          <w:szCs w:val="21"/>
        </w:rPr>
        <w:t>5.1.3 电源：电压AC (220±22)V，频率(50±1)Hz。</w:t>
      </w:r>
    </w:p>
    <w:p w14:paraId="7BDB4E53">
      <w:pPr>
        <w:spacing w:line="360" w:lineRule="auto"/>
        <w:rPr>
          <w:rFonts w:asciiTheme="minorEastAsia" w:hAnsiTheme="minorEastAsia" w:eastAsiaTheme="minorEastAsia"/>
          <w:szCs w:val="21"/>
        </w:rPr>
      </w:pPr>
      <w:bookmarkStart w:id="42" w:name="_Hlk99029139"/>
      <w:r>
        <w:rPr>
          <w:rFonts w:eastAsiaTheme="minorEastAsia"/>
          <w:szCs w:val="21"/>
        </w:rPr>
        <w:t>5.2</w:t>
      </w:r>
      <w:r>
        <w:rPr>
          <w:rFonts w:hint="eastAsia" w:asciiTheme="minorEastAsia" w:hAnsiTheme="minorEastAsia" w:eastAsiaTheme="minorEastAsia"/>
          <w:szCs w:val="21"/>
        </w:rPr>
        <w:t xml:space="preserve"> 测量标准</w:t>
      </w:r>
    </w:p>
    <w:bookmarkEnd w:id="38"/>
    <w:bookmarkEnd w:id="39"/>
    <w:bookmarkEnd w:id="40"/>
    <w:bookmarkEnd w:id="41"/>
    <w:p w14:paraId="2758BF9D">
      <w:pPr>
        <w:spacing w:line="360" w:lineRule="auto"/>
        <w:rPr>
          <w:rFonts w:eastAsiaTheme="minorEastAsia"/>
          <w:szCs w:val="21"/>
        </w:rPr>
      </w:pPr>
      <w:bookmarkStart w:id="43" w:name="_Toc193619100"/>
      <w:bookmarkStart w:id="44" w:name="_Toc193860185"/>
      <w:bookmarkStart w:id="45" w:name="_Toc193618955"/>
      <w:bookmarkStart w:id="46" w:name="_Toc2741_WPSOffice_Level1"/>
      <w:bookmarkStart w:id="47" w:name="_Toc500258944"/>
      <w:bookmarkStart w:id="48" w:name="_Toc193860216"/>
      <w:bookmarkStart w:id="49" w:name="_Toc193860035"/>
      <w:bookmarkStart w:id="50" w:name="_Toc193619058"/>
      <w:r>
        <w:rPr>
          <w:rFonts w:hint="eastAsia" w:eastAsiaTheme="minorEastAsia"/>
          <w:szCs w:val="21"/>
        </w:rPr>
        <w:t>5</w:t>
      </w:r>
      <w:r>
        <w:rPr>
          <w:rFonts w:eastAsiaTheme="minorEastAsia"/>
          <w:szCs w:val="21"/>
        </w:rPr>
        <w:t>.2.1金属基体有证标准物质，相对扩展不确定度不大于10% (k=2)。</w:t>
      </w:r>
    </w:p>
    <w:p w14:paraId="12BBAE73">
      <w:pPr>
        <w:spacing w:line="360" w:lineRule="auto"/>
        <w:rPr>
          <w:rFonts w:eastAsiaTheme="minorEastAsia"/>
          <w:szCs w:val="21"/>
        </w:rPr>
      </w:pPr>
      <w:r>
        <w:rPr>
          <w:rFonts w:hint="eastAsia" w:eastAsiaTheme="minorEastAsia"/>
          <w:szCs w:val="21"/>
        </w:rPr>
        <w:t>5</w:t>
      </w:r>
      <w:r>
        <w:rPr>
          <w:rFonts w:eastAsiaTheme="minorEastAsia"/>
          <w:szCs w:val="21"/>
        </w:rPr>
        <w:t>.2.2兆欧表：</w:t>
      </w:r>
      <w:r>
        <w:rPr>
          <w:rFonts w:hint="eastAsia" w:eastAsiaTheme="minorEastAsia"/>
          <w:szCs w:val="21"/>
        </w:rPr>
        <w:t>1</w:t>
      </w:r>
      <w:r>
        <w:rPr>
          <w:rFonts w:eastAsiaTheme="minorEastAsia"/>
          <w:szCs w:val="21"/>
        </w:rPr>
        <w:t>000V</w:t>
      </w:r>
    </w:p>
    <w:bookmarkEnd w:id="42"/>
    <w:p w14:paraId="45201F09">
      <w:pPr>
        <w:pStyle w:val="60"/>
        <w:numPr>
          <w:ilvl w:val="0"/>
          <w:numId w:val="0"/>
        </w:numPr>
        <w:spacing w:before="156" w:after="156"/>
        <w:rPr>
          <w:szCs w:val="21"/>
        </w:rPr>
      </w:pPr>
      <w:r>
        <w:rPr>
          <w:rFonts w:ascii="Times New Roman"/>
          <w:szCs w:val="21"/>
        </w:rPr>
        <w:t>6</w:t>
      </w:r>
      <w:r>
        <w:rPr>
          <w:rFonts w:hint="eastAsia"/>
          <w:szCs w:val="21"/>
        </w:rPr>
        <w:t xml:space="preserve"> 校准项目和校准方法</w:t>
      </w:r>
      <w:bookmarkEnd w:id="43"/>
      <w:bookmarkEnd w:id="44"/>
      <w:bookmarkEnd w:id="45"/>
      <w:bookmarkEnd w:id="46"/>
      <w:bookmarkEnd w:id="47"/>
      <w:bookmarkEnd w:id="48"/>
      <w:bookmarkEnd w:id="49"/>
      <w:bookmarkEnd w:id="50"/>
    </w:p>
    <w:p w14:paraId="7C536B04">
      <w:pPr>
        <w:rPr>
          <w:rFonts w:asciiTheme="minorEastAsia" w:hAnsiTheme="minorEastAsia" w:eastAsiaTheme="minorEastAsia"/>
          <w:szCs w:val="21"/>
        </w:rPr>
      </w:pPr>
      <w:bookmarkStart w:id="51" w:name="_Toc500258945"/>
      <w:bookmarkStart w:id="52" w:name="_Toc22718_WPSOffice_Level2"/>
      <w:r>
        <w:rPr>
          <w:rFonts w:hint="eastAsia"/>
          <w:kern w:val="0"/>
          <w:szCs w:val="21"/>
        </w:rPr>
        <w:t>6.1</w:t>
      </w:r>
      <w:r>
        <w:rPr>
          <w:rFonts w:hint="eastAsia" w:asciiTheme="minorEastAsia" w:hAnsiTheme="minorEastAsia" w:eastAsiaTheme="minorEastAsia"/>
          <w:szCs w:val="21"/>
        </w:rPr>
        <w:t xml:space="preserve"> 校准项目</w:t>
      </w:r>
      <w:bookmarkEnd w:id="51"/>
      <w:bookmarkEnd w:id="52"/>
    </w:p>
    <w:p w14:paraId="273D74FC">
      <w:pPr>
        <w:spacing w:line="360" w:lineRule="auto"/>
        <w:rPr>
          <w:rFonts w:ascii="宋体" w:hAnsi="宋体"/>
          <w:kern w:val="0"/>
          <w:szCs w:val="21"/>
        </w:rPr>
      </w:pPr>
      <w:r>
        <w:rPr>
          <w:rFonts w:hint="eastAsia"/>
          <w:kern w:val="0"/>
          <w:szCs w:val="21"/>
        </w:rPr>
        <w:t>6.1.1</w:t>
      </w:r>
      <w:r>
        <w:rPr>
          <w:rFonts w:hint="eastAsia" w:ascii="宋体" w:hAnsi="宋体"/>
          <w:kern w:val="0"/>
          <w:szCs w:val="21"/>
        </w:rPr>
        <w:t xml:space="preserve"> 外观及通用要求</w:t>
      </w:r>
    </w:p>
    <w:p w14:paraId="7BBDBD30">
      <w:pPr>
        <w:widowControl/>
        <w:spacing w:line="360" w:lineRule="auto"/>
        <w:jc w:val="left"/>
        <w:rPr>
          <w:kern w:val="0"/>
          <w:szCs w:val="21"/>
        </w:rPr>
      </w:pPr>
      <w:r>
        <w:rPr>
          <w:rFonts w:hint="eastAsia"/>
          <w:kern w:val="0"/>
          <w:szCs w:val="21"/>
        </w:rPr>
        <w:t>6</w:t>
      </w:r>
      <w:r>
        <w:rPr>
          <w:kern w:val="0"/>
          <w:szCs w:val="21"/>
        </w:rPr>
        <w:t>.1.1.1仪器应有仪器名称、型号、制造</w:t>
      </w:r>
      <w:r>
        <w:rPr>
          <w:rFonts w:hint="eastAsia"/>
          <w:kern w:val="0"/>
          <w:szCs w:val="21"/>
        </w:rPr>
        <w:t>公司</w:t>
      </w:r>
      <w:r>
        <w:rPr>
          <w:kern w:val="0"/>
          <w:szCs w:val="21"/>
        </w:rPr>
        <w:t>、出厂编号与出厂日期。</w:t>
      </w:r>
    </w:p>
    <w:p w14:paraId="390FCBE1">
      <w:pPr>
        <w:widowControl/>
        <w:spacing w:line="360" w:lineRule="auto"/>
        <w:jc w:val="left"/>
        <w:rPr>
          <w:kern w:val="0"/>
          <w:szCs w:val="21"/>
        </w:rPr>
      </w:pPr>
      <w:r>
        <w:rPr>
          <w:rFonts w:hint="eastAsia"/>
          <w:kern w:val="0"/>
          <w:szCs w:val="21"/>
        </w:rPr>
        <w:t>6</w:t>
      </w:r>
      <w:r>
        <w:rPr>
          <w:kern w:val="0"/>
          <w:szCs w:val="21"/>
        </w:rPr>
        <w:t>.1.1.2仪器所有</w:t>
      </w:r>
      <w:r>
        <w:rPr>
          <w:rFonts w:hint="eastAsia"/>
          <w:kern w:val="0"/>
          <w:szCs w:val="21"/>
        </w:rPr>
        <w:t>部件连接</w:t>
      </w:r>
      <w:r>
        <w:rPr>
          <w:kern w:val="0"/>
          <w:szCs w:val="21"/>
        </w:rPr>
        <w:t>良好</w:t>
      </w:r>
      <w:r>
        <w:rPr>
          <w:rFonts w:hint="eastAsia"/>
          <w:kern w:val="0"/>
          <w:szCs w:val="21"/>
        </w:rPr>
        <w:t>；可活动</w:t>
      </w:r>
      <w:r>
        <w:rPr>
          <w:kern w:val="0"/>
          <w:szCs w:val="21"/>
        </w:rPr>
        <w:t>部位应灵活平稳</w:t>
      </w:r>
      <w:r>
        <w:rPr>
          <w:rFonts w:hint="eastAsia"/>
          <w:kern w:val="0"/>
          <w:szCs w:val="21"/>
        </w:rPr>
        <w:t>；</w:t>
      </w:r>
      <w:r>
        <w:rPr>
          <w:kern w:val="0"/>
          <w:szCs w:val="21"/>
        </w:rPr>
        <w:t>气路系统应密封可靠</w:t>
      </w:r>
      <w:r>
        <w:rPr>
          <w:rFonts w:hint="eastAsia"/>
          <w:kern w:val="0"/>
          <w:szCs w:val="21"/>
        </w:rPr>
        <w:t>，</w:t>
      </w:r>
      <w:r>
        <w:rPr>
          <w:kern w:val="0"/>
          <w:szCs w:val="21"/>
        </w:rPr>
        <w:t>不得泄漏。</w:t>
      </w:r>
    </w:p>
    <w:p w14:paraId="2E0D50E1">
      <w:pPr>
        <w:widowControl/>
        <w:spacing w:line="360" w:lineRule="auto"/>
        <w:jc w:val="left"/>
        <w:rPr>
          <w:kern w:val="0"/>
          <w:szCs w:val="21"/>
        </w:rPr>
      </w:pPr>
      <w:r>
        <w:rPr>
          <w:rFonts w:hint="eastAsia"/>
          <w:kern w:val="0"/>
          <w:szCs w:val="21"/>
        </w:rPr>
        <w:t>6</w:t>
      </w:r>
      <w:r>
        <w:rPr>
          <w:kern w:val="0"/>
          <w:szCs w:val="21"/>
        </w:rPr>
        <w:t>.1.1.3仪器所有功能键应能正常使用</w:t>
      </w:r>
      <w:r>
        <w:rPr>
          <w:rFonts w:hint="eastAsia"/>
          <w:kern w:val="0"/>
          <w:szCs w:val="21"/>
        </w:rPr>
        <w:t>；</w:t>
      </w:r>
      <w:r>
        <w:rPr>
          <w:kern w:val="0"/>
          <w:szCs w:val="21"/>
        </w:rPr>
        <w:t>测试软件应</w:t>
      </w:r>
      <w:r>
        <w:rPr>
          <w:rFonts w:hint="eastAsia"/>
          <w:kern w:val="0"/>
          <w:szCs w:val="21"/>
        </w:rPr>
        <w:t>能正常控制设备相关模块，保证测试过程</w:t>
      </w:r>
      <w:r>
        <w:rPr>
          <w:kern w:val="0"/>
          <w:szCs w:val="21"/>
        </w:rPr>
        <w:t>的</w:t>
      </w:r>
      <w:r>
        <w:rPr>
          <w:rFonts w:hint="eastAsia"/>
          <w:kern w:val="0"/>
          <w:szCs w:val="21"/>
        </w:rPr>
        <w:t>正常实施。</w:t>
      </w:r>
    </w:p>
    <w:p w14:paraId="4FE48EEB">
      <w:pPr>
        <w:widowControl/>
        <w:spacing w:line="360" w:lineRule="auto"/>
        <w:jc w:val="left"/>
        <w:rPr>
          <w:kern w:val="0"/>
          <w:szCs w:val="21"/>
        </w:rPr>
      </w:pPr>
      <w:r>
        <w:rPr>
          <w:rFonts w:hint="eastAsia"/>
          <w:kern w:val="0"/>
          <w:szCs w:val="21"/>
        </w:rPr>
        <w:t>6.1.2</w:t>
      </w:r>
      <w:r>
        <w:rPr>
          <w:kern w:val="0"/>
          <w:szCs w:val="21"/>
        </w:rPr>
        <w:t xml:space="preserve">安全性能 </w:t>
      </w:r>
    </w:p>
    <w:p w14:paraId="0E4BBCA5">
      <w:pPr>
        <w:widowControl/>
        <w:spacing w:line="360" w:lineRule="auto"/>
        <w:ind w:firstLine="420" w:firstLineChars="200"/>
        <w:jc w:val="left"/>
        <w:rPr>
          <w:kern w:val="0"/>
          <w:szCs w:val="21"/>
        </w:rPr>
      </w:pPr>
      <w:r>
        <w:rPr>
          <w:kern w:val="0"/>
          <w:szCs w:val="21"/>
        </w:rPr>
        <w:t>仪器接地良好，绝缘电阻应不小于20MΩ。</w:t>
      </w:r>
    </w:p>
    <w:p w14:paraId="0A90AF4E">
      <w:pPr>
        <w:pStyle w:val="57"/>
        <w:tabs>
          <w:tab w:val="left" w:pos="5725"/>
        </w:tabs>
        <w:spacing w:line="360" w:lineRule="auto"/>
        <w:ind w:firstLine="0" w:firstLineChars="0"/>
        <w:rPr>
          <w:szCs w:val="21"/>
        </w:rPr>
      </w:pPr>
      <w:r>
        <w:rPr>
          <w:rFonts w:hint="eastAsia" w:ascii="Times New Roman" w:hAnsi="Times New Roman"/>
          <w:szCs w:val="21"/>
        </w:rPr>
        <w:t>6.1.</w:t>
      </w:r>
      <w:r>
        <w:rPr>
          <w:rFonts w:ascii="Times New Roman" w:hAnsi="Times New Roman"/>
          <w:szCs w:val="21"/>
        </w:rPr>
        <w:t>3</w:t>
      </w:r>
      <w:r>
        <w:rPr>
          <w:rFonts w:hint="eastAsia"/>
          <w:szCs w:val="21"/>
        </w:rPr>
        <w:t xml:space="preserve"> 校准项目</w:t>
      </w:r>
      <w:r>
        <w:rPr>
          <w:szCs w:val="21"/>
        </w:rPr>
        <w:tab/>
      </w:r>
    </w:p>
    <w:p w14:paraId="6BA20100">
      <w:pPr>
        <w:widowControl/>
        <w:ind w:firstLine="420" w:firstLineChars="200"/>
        <w:rPr>
          <w:rFonts w:hAnsi="宋体"/>
          <w:szCs w:val="21"/>
        </w:rPr>
      </w:pPr>
      <w:r>
        <w:rPr>
          <w:rFonts w:hint="eastAsia" w:hAnsi="宋体"/>
          <w:szCs w:val="21"/>
        </w:rPr>
        <w:t>校准项目见表</w:t>
      </w:r>
      <w:r>
        <w:rPr>
          <w:rFonts w:hint="eastAsia" w:eastAsiaTheme="minorEastAsia"/>
          <w:szCs w:val="21"/>
        </w:rPr>
        <w:t>2</w:t>
      </w:r>
      <w:r>
        <w:rPr>
          <w:rFonts w:hint="eastAsia" w:hAnsi="宋体"/>
          <w:szCs w:val="21"/>
        </w:rPr>
        <w:t>。</w:t>
      </w:r>
    </w:p>
    <w:p w14:paraId="410D49A5">
      <w:pPr>
        <w:widowControl/>
        <w:jc w:val="center"/>
        <w:rPr>
          <w:rFonts w:eastAsia="黑体"/>
          <w:szCs w:val="21"/>
        </w:rPr>
      </w:pPr>
      <w:r>
        <w:rPr>
          <w:rFonts w:hint="eastAsia" w:eastAsia="黑体"/>
          <w:szCs w:val="21"/>
        </w:rPr>
        <w:t>表2 校准项目表</w:t>
      </w:r>
    </w:p>
    <w:tbl>
      <w:tblPr>
        <w:tblStyle w:val="4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4038"/>
      </w:tblGrid>
      <w:tr w14:paraId="3DA6CE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14:paraId="1D52466C">
            <w:pPr>
              <w:spacing w:line="440" w:lineRule="exact"/>
              <w:jc w:val="center"/>
              <w:rPr>
                <w:rFonts w:eastAsiaTheme="minorEastAsia"/>
                <w:kern w:val="0"/>
                <w:szCs w:val="21"/>
              </w:rPr>
            </w:pPr>
            <w:r>
              <w:rPr>
                <w:rFonts w:hint="eastAsia" w:eastAsiaTheme="minorEastAsia"/>
                <w:kern w:val="0"/>
                <w:szCs w:val="21"/>
              </w:rPr>
              <w:t>计量参数</w:t>
            </w:r>
          </w:p>
        </w:tc>
        <w:tc>
          <w:tcPr>
            <w:tcW w:w="4038" w:type="dxa"/>
            <w:vAlign w:val="center"/>
          </w:tcPr>
          <w:p w14:paraId="78645F3E">
            <w:pPr>
              <w:spacing w:line="440" w:lineRule="exact"/>
              <w:jc w:val="center"/>
              <w:rPr>
                <w:rFonts w:eastAsiaTheme="minorEastAsia"/>
                <w:kern w:val="0"/>
                <w:szCs w:val="21"/>
              </w:rPr>
            </w:pPr>
            <w:r>
              <w:rPr>
                <w:rFonts w:hint="eastAsia" w:eastAsiaTheme="minorEastAsia"/>
                <w:kern w:val="0"/>
                <w:szCs w:val="21"/>
              </w:rPr>
              <w:t>计量技术要求</w:t>
            </w:r>
          </w:p>
        </w:tc>
      </w:tr>
      <w:tr w14:paraId="4E56A2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14:paraId="43548890">
            <w:pPr>
              <w:spacing w:line="400" w:lineRule="exact"/>
              <w:jc w:val="center"/>
              <w:rPr>
                <w:szCs w:val="21"/>
              </w:rPr>
            </w:pPr>
            <w:r>
              <w:rPr>
                <w:szCs w:val="21"/>
              </w:rPr>
              <w:t>示值误差</w:t>
            </w:r>
            <w:r>
              <w:rPr>
                <w:rFonts w:hint="eastAsia"/>
                <w:szCs w:val="21"/>
              </w:rPr>
              <w:t>/</w:t>
            </w:r>
            <w:r>
              <w:rPr>
                <w:szCs w:val="21"/>
              </w:rPr>
              <w:t>%</w:t>
            </w:r>
          </w:p>
        </w:tc>
        <w:tc>
          <w:tcPr>
            <w:tcW w:w="4038" w:type="dxa"/>
            <w:vAlign w:val="center"/>
          </w:tcPr>
          <w:p w14:paraId="1D07C67E">
            <w:pPr>
              <w:jc w:val="center"/>
              <w:rPr>
                <w:szCs w:val="21"/>
              </w:rPr>
            </w:pPr>
            <w:r>
              <w:rPr>
                <w:rFonts w:hint="eastAsia" w:ascii="宋体" w:hAnsi="宋体"/>
              </w:rPr>
              <w:t>±</w:t>
            </w:r>
            <w:r>
              <w:rPr>
                <w:szCs w:val="21"/>
              </w:rPr>
              <w:t>40</w:t>
            </w:r>
          </w:p>
        </w:tc>
      </w:tr>
      <w:tr w14:paraId="11F401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14:paraId="6CB30958">
            <w:pPr>
              <w:spacing w:line="400" w:lineRule="exact"/>
              <w:jc w:val="center"/>
              <w:rPr>
                <w:szCs w:val="21"/>
              </w:rPr>
            </w:pPr>
            <w:r>
              <w:rPr>
                <w:szCs w:val="21"/>
              </w:rPr>
              <w:t>重复性</w:t>
            </w:r>
            <w:r>
              <w:rPr>
                <w:rFonts w:hint="eastAsia"/>
                <w:szCs w:val="21"/>
              </w:rPr>
              <w:t>/</w:t>
            </w:r>
            <w:r>
              <w:rPr>
                <w:szCs w:val="21"/>
              </w:rPr>
              <w:t>%</w:t>
            </w:r>
          </w:p>
        </w:tc>
        <w:tc>
          <w:tcPr>
            <w:tcW w:w="4038" w:type="dxa"/>
            <w:vAlign w:val="center"/>
          </w:tcPr>
          <w:p w14:paraId="2B7A67FC">
            <w:pPr>
              <w:spacing w:line="360" w:lineRule="auto"/>
              <w:jc w:val="center"/>
              <w:rPr>
                <w:szCs w:val="21"/>
              </w:rPr>
            </w:pPr>
            <w:r>
              <w:rPr>
                <w:rFonts w:hint="eastAsia" w:ascii="宋体" w:hAnsi="宋体"/>
                <w:szCs w:val="21"/>
              </w:rPr>
              <w:t>≤</w:t>
            </w:r>
            <w:r>
              <w:rPr>
                <w:szCs w:val="21"/>
              </w:rPr>
              <w:t>20</w:t>
            </w:r>
          </w:p>
        </w:tc>
      </w:tr>
      <w:tr w14:paraId="34AAEA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190" w:type="dxa"/>
            <w:vAlign w:val="center"/>
          </w:tcPr>
          <w:p w14:paraId="58EA1B89">
            <w:pPr>
              <w:spacing w:line="400" w:lineRule="exact"/>
              <w:jc w:val="center"/>
              <w:rPr>
                <w:szCs w:val="21"/>
              </w:rPr>
            </w:pPr>
            <w:r>
              <w:rPr>
                <w:szCs w:val="21"/>
              </w:rPr>
              <w:t>稳定性</w:t>
            </w:r>
            <w:r>
              <w:rPr>
                <w:rFonts w:hint="eastAsia"/>
                <w:szCs w:val="21"/>
              </w:rPr>
              <w:t>/</w:t>
            </w:r>
            <w:r>
              <w:rPr>
                <w:szCs w:val="21"/>
              </w:rPr>
              <w:t>%</w:t>
            </w:r>
          </w:p>
        </w:tc>
        <w:tc>
          <w:tcPr>
            <w:tcW w:w="4038" w:type="dxa"/>
            <w:vAlign w:val="center"/>
          </w:tcPr>
          <w:p w14:paraId="282F2BAA">
            <w:pPr>
              <w:jc w:val="center"/>
              <w:rPr>
                <w:szCs w:val="21"/>
              </w:rPr>
            </w:pPr>
            <w:r>
              <w:rPr>
                <w:rFonts w:hint="eastAsia" w:ascii="宋体" w:hAnsi="宋体"/>
                <w:szCs w:val="21"/>
              </w:rPr>
              <w:t>≤</w:t>
            </w:r>
            <w:r>
              <w:rPr>
                <w:szCs w:val="21"/>
              </w:rPr>
              <w:t>20</w:t>
            </w:r>
          </w:p>
        </w:tc>
      </w:tr>
    </w:tbl>
    <w:p w14:paraId="762DCE42">
      <w:pPr>
        <w:widowControl/>
        <w:jc w:val="center"/>
        <w:rPr>
          <w:rFonts w:eastAsia="黑体"/>
          <w:szCs w:val="21"/>
        </w:rPr>
      </w:pPr>
    </w:p>
    <w:p w14:paraId="7CB80A82">
      <w:pPr>
        <w:spacing w:line="360" w:lineRule="auto"/>
        <w:rPr>
          <w:rFonts w:asciiTheme="minorEastAsia" w:hAnsiTheme="minorEastAsia" w:eastAsiaTheme="minorEastAsia"/>
          <w:szCs w:val="21"/>
        </w:rPr>
      </w:pPr>
      <w:bookmarkStart w:id="53" w:name="_Toc22008_WPSOffice_Level2"/>
      <w:r>
        <w:rPr>
          <w:rFonts w:hint="eastAsia"/>
          <w:kern w:val="0"/>
          <w:szCs w:val="21"/>
        </w:rPr>
        <w:t>6.2</w:t>
      </w:r>
      <w:r>
        <w:rPr>
          <w:rFonts w:hint="eastAsia" w:asciiTheme="minorEastAsia" w:hAnsiTheme="minorEastAsia" w:eastAsiaTheme="minorEastAsia"/>
          <w:szCs w:val="21"/>
        </w:rPr>
        <w:t xml:space="preserve"> 校准方法</w:t>
      </w:r>
      <w:bookmarkEnd w:id="53"/>
    </w:p>
    <w:p w14:paraId="3B780C1F">
      <w:pPr>
        <w:spacing w:line="360" w:lineRule="auto"/>
        <w:outlineLvl w:val="0"/>
        <w:rPr>
          <w:rFonts w:asciiTheme="minorEastAsia" w:hAnsiTheme="minorEastAsia" w:eastAsiaTheme="minorEastAsia"/>
          <w:szCs w:val="21"/>
        </w:rPr>
      </w:pPr>
      <w:r>
        <w:rPr>
          <w:rFonts w:hint="eastAsia"/>
          <w:kern w:val="0"/>
          <w:szCs w:val="21"/>
        </w:rPr>
        <w:t>6.2.1</w:t>
      </w:r>
      <w:r>
        <w:rPr>
          <w:rFonts w:hint="eastAsia" w:asciiTheme="minorEastAsia" w:hAnsiTheme="minorEastAsia" w:eastAsiaTheme="minorEastAsia"/>
          <w:szCs w:val="21"/>
        </w:rPr>
        <w:t xml:space="preserve"> 外观及通用要求的检查</w:t>
      </w:r>
    </w:p>
    <w:p w14:paraId="0775D483">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外观及通用要求参考JJ</w:t>
      </w:r>
      <w:r>
        <w:rPr>
          <w:rFonts w:asciiTheme="minorEastAsia" w:hAnsiTheme="minorEastAsia" w:eastAsiaTheme="minorEastAsia"/>
          <w:szCs w:val="21"/>
        </w:rPr>
        <w:t>G</w:t>
      </w:r>
      <w:r>
        <w:rPr>
          <w:rFonts w:hint="eastAsia" w:asciiTheme="minorEastAsia" w:hAnsiTheme="minorEastAsia" w:eastAsiaTheme="minorEastAsia"/>
          <w:szCs w:val="21"/>
        </w:rPr>
        <w:t xml:space="preserve"> </w:t>
      </w:r>
      <w:r>
        <w:rPr>
          <w:rFonts w:asciiTheme="minorEastAsia" w:hAnsiTheme="minorEastAsia" w:eastAsiaTheme="minorEastAsia"/>
          <w:szCs w:val="21"/>
        </w:rPr>
        <w:t>768，按</w:t>
      </w:r>
      <w:r>
        <w:rPr>
          <w:rFonts w:eastAsiaTheme="minorEastAsia"/>
          <w:szCs w:val="21"/>
        </w:rPr>
        <w:t>6.1.1</w:t>
      </w:r>
      <w:r>
        <w:rPr>
          <w:rFonts w:asciiTheme="minorEastAsia" w:hAnsiTheme="minorEastAsia" w:eastAsiaTheme="minorEastAsia"/>
          <w:szCs w:val="21"/>
        </w:rPr>
        <w:t>要求</w:t>
      </w:r>
      <w:r>
        <w:rPr>
          <w:rFonts w:hint="eastAsia" w:asciiTheme="minorEastAsia" w:hAnsiTheme="minorEastAsia" w:eastAsiaTheme="minorEastAsia"/>
          <w:szCs w:val="21"/>
        </w:rPr>
        <w:t>采用目视观察法检查仪器外观和铭牌内容；接通电源检查设备（含附件）、测试软件</w:t>
      </w:r>
      <w:r>
        <w:rPr>
          <w:rFonts w:asciiTheme="minorEastAsia" w:hAnsiTheme="minorEastAsia" w:eastAsiaTheme="minorEastAsia"/>
          <w:szCs w:val="21"/>
        </w:rPr>
        <w:t>、</w:t>
      </w:r>
      <w:r>
        <w:rPr>
          <w:rFonts w:hint="eastAsia" w:asciiTheme="minorEastAsia" w:hAnsiTheme="minorEastAsia" w:eastAsiaTheme="minorEastAsia"/>
          <w:szCs w:val="21"/>
        </w:rPr>
        <w:t>压力表、气路密闭性等运行是否正常，</w:t>
      </w:r>
      <w:r>
        <w:rPr>
          <w:rFonts w:asciiTheme="minorEastAsia" w:hAnsiTheme="minorEastAsia" w:eastAsiaTheme="minorEastAsia"/>
          <w:szCs w:val="21"/>
        </w:rPr>
        <w:t>在确定无影响计量特性的因素后，再进行校准</w:t>
      </w:r>
      <w:r>
        <w:rPr>
          <w:rFonts w:hint="eastAsia" w:asciiTheme="minorEastAsia" w:hAnsiTheme="minorEastAsia" w:eastAsiaTheme="minorEastAsia"/>
          <w:szCs w:val="21"/>
        </w:rPr>
        <w:t>。</w:t>
      </w:r>
    </w:p>
    <w:p w14:paraId="4E66517F">
      <w:pPr>
        <w:spacing w:line="360" w:lineRule="auto"/>
        <w:rPr>
          <w:rFonts w:eastAsiaTheme="minorEastAsia"/>
          <w:szCs w:val="21"/>
        </w:rPr>
      </w:pPr>
      <w:r>
        <w:rPr>
          <w:rFonts w:eastAsiaTheme="minorEastAsia"/>
          <w:szCs w:val="21"/>
        </w:rPr>
        <w:t>6.2.2安全性能的</w:t>
      </w:r>
      <w:r>
        <w:rPr>
          <w:rFonts w:hint="eastAsia" w:eastAsiaTheme="minorEastAsia"/>
          <w:szCs w:val="21"/>
        </w:rPr>
        <w:t>检查</w:t>
      </w:r>
      <w:r>
        <w:rPr>
          <w:rFonts w:eastAsiaTheme="minorEastAsia"/>
          <w:szCs w:val="21"/>
        </w:rPr>
        <w:t xml:space="preserve"> </w:t>
      </w:r>
    </w:p>
    <w:p w14:paraId="46515FE9">
      <w:pPr>
        <w:widowControl/>
        <w:spacing w:line="360" w:lineRule="auto"/>
        <w:ind w:firstLine="420" w:firstLineChars="200"/>
        <w:jc w:val="left"/>
        <w:rPr>
          <w:rFonts w:eastAsiaTheme="minorEastAsia"/>
          <w:szCs w:val="21"/>
        </w:rPr>
      </w:pPr>
      <w:r>
        <w:rPr>
          <w:rFonts w:eastAsiaTheme="minorEastAsia"/>
          <w:szCs w:val="21"/>
        </w:rPr>
        <w:t>在未接通电源时</w:t>
      </w:r>
      <w:r>
        <w:rPr>
          <w:rFonts w:hint="eastAsia" w:eastAsiaTheme="minorEastAsia"/>
          <w:szCs w:val="21"/>
        </w:rPr>
        <w:t>，</w:t>
      </w:r>
      <w:r>
        <w:rPr>
          <w:rFonts w:eastAsiaTheme="minorEastAsia"/>
          <w:szCs w:val="21"/>
        </w:rPr>
        <w:t>打开仪器开关</w:t>
      </w:r>
      <w:r>
        <w:rPr>
          <w:rFonts w:hint="eastAsia" w:eastAsiaTheme="minorEastAsia"/>
          <w:szCs w:val="21"/>
        </w:rPr>
        <w:t>，</w:t>
      </w:r>
      <w:r>
        <w:rPr>
          <w:rFonts w:eastAsiaTheme="minorEastAsia"/>
          <w:szCs w:val="21"/>
        </w:rPr>
        <w:t>用兆欧表测量电源进线端（相线或中线）与机壳间的绝缘电阻。</w:t>
      </w:r>
    </w:p>
    <w:p w14:paraId="3AD94144">
      <w:pPr>
        <w:spacing w:line="360" w:lineRule="auto"/>
        <w:rPr>
          <w:rFonts w:eastAsiaTheme="minorEastAsia"/>
          <w:szCs w:val="21"/>
        </w:rPr>
      </w:pPr>
      <w:r>
        <w:rPr>
          <w:rFonts w:hint="eastAsia"/>
          <w:kern w:val="0"/>
          <w:szCs w:val="21"/>
        </w:rPr>
        <w:t>6</w:t>
      </w:r>
      <w:r>
        <w:rPr>
          <w:kern w:val="0"/>
          <w:szCs w:val="21"/>
        </w:rPr>
        <w:t>.</w:t>
      </w:r>
      <w:r>
        <w:rPr>
          <w:rFonts w:hint="eastAsia"/>
          <w:kern w:val="0"/>
          <w:szCs w:val="21"/>
        </w:rPr>
        <w:t>2.</w:t>
      </w:r>
      <w:r>
        <w:rPr>
          <w:kern w:val="0"/>
          <w:szCs w:val="21"/>
        </w:rPr>
        <w:t>3</w:t>
      </w:r>
      <w:r>
        <w:rPr>
          <w:rFonts w:eastAsiaTheme="minorEastAsia"/>
          <w:szCs w:val="21"/>
        </w:rPr>
        <w:t>示值误差</w:t>
      </w:r>
    </w:p>
    <w:p w14:paraId="3BA99C74">
      <w:pPr>
        <w:widowControl/>
        <w:spacing w:line="360" w:lineRule="auto"/>
        <w:ind w:firstLine="420" w:firstLineChars="200"/>
        <w:jc w:val="left"/>
        <w:rPr>
          <w:rFonts w:eastAsiaTheme="minorEastAsia"/>
          <w:szCs w:val="21"/>
        </w:rPr>
      </w:pPr>
      <w:r>
        <w:rPr>
          <w:rFonts w:eastAsiaTheme="minorEastAsia"/>
          <w:szCs w:val="21"/>
        </w:rPr>
        <w:t>示值误差参考</w:t>
      </w:r>
      <w:r>
        <w:rPr>
          <w:rFonts w:hint="eastAsia" w:eastAsiaTheme="minorEastAsia"/>
          <w:szCs w:val="21"/>
        </w:rPr>
        <w:t xml:space="preserve">JJF </w:t>
      </w:r>
      <w:r>
        <w:rPr>
          <w:rFonts w:eastAsiaTheme="minorEastAsia"/>
          <w:szCs w:val="21"/>
        </w:rPr>
        <w:t xml:space="preserve">2024，按照光谱仪常用使用范围，选用5.2.1中高、中、低含量的3种标准物质，对每种标准物质重复测定3次，求平均值，按式(1)分别计算各点示值误差，取 </w:t>
      </w:r>
      <w:r>
        <w:rPr>
          <w:rFonts w:eastAsiaTheme="minorEastAsia"/>
          <w:i/>
          <w:szCs w:val="21"/>
        </w:rPr>
        <w:t>ΔX</w:t>
      </w:r>
      <w:r>
        <w:rPr>
          <w:rFonts w:eastAsiaTheme="minorEastAsia"/>
          <w:i/>
          <w:szCs w:val="21"/>
          <w:vertAlign w:val="subscript"/>
        </w:rPr>
        <w:t>i</w:t>
      </w:r>
      <w:r>
        <w:rPr>
          <w:rFonts w:eastAsiaTheme="minorEastAsia"/>
          <w:szCs w:val="21"/>
        </w:rPr>
        <w:t>绝对值最大者为光谱仪的示值误差。</w:t>
      </w:r>
    </w:p>
    <w:p w14:paraId="74E3E44E">
      <w:pPr>
        <w:spacing w:line="360" w:lineRule="auto"/>
        <w:jc w:val="center"/>
        <w:rPr>
          <w:kern w:val="0"/>
          <w:szCs w:val="21"/>
        </w:rPr>
      </w:pPr>
      <w:r>
        <w:rPr>
          <w:rFonts w:hint="eastAsia" w:eastAsiaTheme="minorEastAsia"/>
          <w:color w:val="000000"/>
          <w:kern w:val="0"/>
          <w:szCs w:val="21"/>
        </w:rPr>
        <w:t xml:space="preserve"> </w:t>
      </w:r>
      <w:r>
        <w:rPr>
          <w:rFonts w:eastAsiaTheme="minorEastAsia"/>
          <w:color w:val="000000"/>
          <w:kern w:val="0"/>
          <w:szCs w:val="21"/>
        </w:rPr>
        <w:t xml:space="preserve">                                </w:t>
      </w:r>
      <w:r>
        <w:rPr>
          <w:rFonts w:eastAsiaTheme="minorEastAsia"/>
          <w:i/>
          <w:szCs w:val="21"/>
        </w:rPr>
        <w:t>Δ</w:t>
      </w:r>
      <m:oMath>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r>
          <m:rPr>
            <m:nor/>
          </m:rPr>
          <w:rPr>
            <w:rFonts w:ascii="Cambria Math" w:hAnsi="Cambria Math"/>
            <w:i/>
            <w:color w:val="000000"/>
            <w:kern w:val="0"/>
            <w:szCs w:val="21"/>
          </w:rPr>
          <m:t>=</m:t>
        </m:r>
        <m:f>
          <m:fPr>
            <m:ctrlPr>
              <w:rPr>
                <w:rFonts w:ascii="Cambria Math" w:hAnsi="Cambria Math"/>
                <w:i/>
                <w:color w:val="000000"/>
                <w:kern w:val="0"/>
                <w:szCs w:val="21"/>
              </w:rPr>
            </m:ctrlPr>
          </m:fPr>
          <m:num>
            <m:acc>
              <m:accPr>
                <m:chr m:val="̅"/>
                <m:ctrlPr>
                  <w:rPr>
                    <w:rFonts w:ascii="Cambria Math" w:hAnsi="Cambria Math"/>
                    <w:i/>
                    <w:color w:val="000000"/>
                    <w:kern w:val="0"/>
                    <w:szCs w:val="21"/>
                  </w:rPr>
                </m:ctrlPr>
              </m:accPr>
              <m:e>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ctrlPr>
                  <w:rPr>
                    <w:rFonts w:ascii="Cambria Math" w:hAnsi="Cambria Math"/>
                    <w:i/>
                    <w:color w:val="000000"/>
                    <w:kern w:val="0"/>
                    <w:szCs w:val="21"/>
                  </w:rPr>
                </m:ctrlPr>
              </m:e>
            </m:acc>
            <m:r>
              <m:rPr/>
              <w:rPr>
                <w:rFonts w:ascii="Cambria Math" w:hAnsi="Cambria Math"/>
                <w:color w:val="000000"/>
                <w:kern w:val="0"/>
                <w:szCs w:val="21"/>
              </w:rPr>
              <m:t>−</m:t>
            </m:r>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s</m:t>
                </m:r>
                <m:ctrlPr>
                  <w:rPr>
                    <w:rFonts w:ascii="Cambria Math" w:hAnsi="Cambria Math"/>
                    <w:i/>
                    <w:color w:val="000000"/>
                    <w:kern w:val="0"/>
                    <w:szCs w:val="21"/>
                  </w:rPr>
                </m:ctrlPr>
              </m:sub>
            </m:sSub>
            <m:ctrlPr>
              <w:rPr>
                <w:rFonts w:ascii="Cambria Math" w:hAnsi="Cambria Math"/>
                <w:i/>
                <w:color w:val="000000"/>
                <w:kern w:val="0"/>
                <w:szCs w:val="21"/>
              </w:rPr>
            </m:ctrlPr>
          </m:num>
          <m:den>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s</m:t>
                </m:r>
                <m:ctrlPr>
                  <w:rPr>
                    <w:rFonts w:ascii="Cambria Math" w:hAnsi="Cambria Math"/>
                    <w:i/>
                    <w:color w:val="000000"/>
                    <w:kern w:val="0"/>
                    <w:szCs w:val="21"/>
                  </w:rPr>
                </m:ctrlPr>
              </m:sub>
            </m:sSub>
            <m:ctrlPr>
              <w:rPr>
                <w:rFonts w:ascii="Cambria Math" w:hAnsi="Cambria Math"/>
                <w:i/>
                <w:color w:val="000000"/>
                <w:kern w:val="0"/>
                <w:szCs w:val="21"/>
              </w:rPr>
            </m:ctrlPr>
          </m:den>
        </m:f>
        <m:r>
          <m:rPr>
            <m:nor/>
          </m:rPr>
          <w:rPr>
            <w:i/>
            <w:color w:val="000000"/>
            <w:kern w:val="0"/>
            <w:szCs w:val="21"/>
          </w:rPr>
          <m:t xml:space="preserve"> </m:t>
        </m:r>
      </m:oMath>
      <w:r>
        <w:rPr>
          <w:color w:val="000000"/>
          <w:kern w:val="0"/>
          <w:szCs w:val="21"/>
        </w:rPr>
        <w:t xml:space="preserve">                             </w:t>
      </w:r>
      <w:r>
        <w:rPr>
          <w:rFonts w:hint="eastAsia"/>
          <w:color w:val="000000"/>
          <w:kern w:val="0"/>
          <w:szCs w:val="21"/>
        </w:rPr>
        <w:t>（1）</w:t>
      </w:r>
    </w:p>
    <w:p w14:paraId="65BA8031">
      <w:pPr>
        <w:widowControl/>
        <w:spacing w:line="360" w:lineRule="auto"/>
        <w:ind w:firstLine="630" w:firstLineChars="300"/>
        <w:jc w:val="left"/>
        <w:rPr>
          <w:kern w:val="0"/>
          <w:szCs w:val="21"/>
        </w:rPr>
      </w:pPr>
      <w:r>
        <w:rPr>
          <w:color w:val="000000"/>
          <w:kern w:val="0"/>
          <w:szCs w:val="21"/>
        </w:rPr>
        <w:t xml:space="preserve">式中  </w:t>
      </w:r>
      <w:r>
        <w:rPr>
          <w:rFonts w:eastAsiaTheme="minorEastAsia"/>
          <w:i/>
          <w:szCs w:val="21"/>
        </w:rPr>
        <w:t>Δ</w:t>
      </w:r>
      <m:oMath>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oMath>
      <w:r>
        <w:rPr>
          <w:i/>
          <w:color w:val="000000"/>
          <w:kern w:val="0"/>
          <w:szCs w:val="21"/>
        </w:rPr>
        <w:t xml:space="preserve"> </w:t>
      </w:r>
      <w:r>
        <w:rPr>
          <w:color w:val="000000"/>
          <w:kern w:val="0"/>
          <w:szCs w:val="21"/>
        </w:rPr>
        <w:t>———各点示值误差；</w:t>
      </w:r>
    </w:p>
    <w:p w14:paraId="3ED4BB62">
      <w:pPr>
        <w:widowControl/>
        <w:spacing w:line="360" w:lineRule="auto"/>
        <w:jc w:val="left"/>
        <w:rPr>
          <w:kern w:val="0"/>
          <w:szCs w:val="21"/>
        </w:rPr>
      </w:pPr>
      <w:r>
        <w:rPr>
          <w:color w:val="000000"/>
          <w:kern w:val="0"/>
          <w:szCs w:val="21"/>
        </w:rPr>
        <w:t xml:space="preserve">            </w:t>
      </w:r>
      <m:oMath>
        <m:acc>
          <m:accPr>
            <m:chr m:val="̅"/>
            <m:ctrlPr>
              <w:rPr>
                <w:rFonts w:ascii="Cambria Math" w:hAnsi="Cambria Math"/>
                <w:i/>
                <w:color w:val="000000"/>
                <w:kern w:val="0"/>
                <w:szCs w:val="21"/>
              </w:rPr>
            </m:ctrlPr>
          </m:accPr>
          <m:e>
            <m:sSub>
              <m:sSubPr>
                <m:ctrlPr>
                  <w:rPr>
                    <w:rFonts w:ascii="Cambria Math" w:hAnsi="Cambria Math"/>
                    <w:i/>
                    <w:color w:val="000000"/>
                    <w:kern w:val="0"/>
                    <w:szCs w:val="21"/>
                  </w:rPr>
                </m:ctrlPr>
              </m:sSubPr>
              <m:e>
                <m:r>
                  <m:rPr/>
                  <w:rPr>
                    <w:rFonts w:ascii="Cambria Math" w:hAnsi="Cambria Math"/>
                    <w:color w:val="000000"/>
                    <w:kern w:val="0"/>
                    <w:szCs w:val="21"/>
                  </w:rPr>
                  <m:t>X</m:t>
                </m:r>
                <m:ctrlPr>
                  <w:rPr>
                    <w:rFonts w:ascii="Cambria Math" w:hAnsi="Cambria Math"/>
                    <w:i/>
                    <w:color w:val="000000"/>
                    <w:kern w:val="0"/>
                    <w:szCs w:val="21"/>
                  </w:rPr>
                </m:ctrlPr>
              </m:e>
              <m:sub>
                <m:r>
                  <m:rPr/>
                  <w:rPr>
                    <w:rFonts w:ascii="Cambria Math" w:hAnsi="Cambria Math"/>
                    <w:color w:val="000000"/>
                    <w:kern w:val="0"/>
                    <w:szCs w:val="21"/>
                  </w:rPr>
                  <m:t>i</m:t>
                </m:r>
                <m:ctrlPr>
                  <w:rPr>
                    <w:rFonts w:ascii="Cambria Math" w:hAnsi="Cambria Math"/>
                    <w:i/>
                    <w:color w:val="000000"/>
                    <w:kern w:val="0"/>
                    <w:szCs w:val="21"/>
                  </w:rPr>
                </m:ctrlPr>
              </m:sub>
            </m:sSub>
            <m:ctrlPr>
              <w:rPr>
                <w:rFonts w:ascii="Cambria Math" w:hAnsi="Cambria Math"/>
                <w:i/>
                <w:color w:val="000000"/>
                <w:kern w:val="0"/>
                <w:szCs w:val="21"/>
              </w:rPr>
            </m:ctrlPr>
          </m:e>
        </m:acc>
      </m:oMath>
      <w:r>
        <w:rPr>
          <w:color w:val="000000"/>
          <w:kern w:val="0"/>
          <w:szCs w:val="21"/>
        </w:rPr>
        <w:t>———各点实测平均值（质量分数），</w:t>
      </w:r>
      <w:r>
        <w:rPr>
          <w:rFonts w:hint="eastAsia"/>
          <w:color w:val="000000"/>
          <w:kern w:val="0"/>
          <w:szCs w:val="21"/>
        </w:rPr>
        <w:t>%</w:t>
      </w:r>
      <w:r>
        <w:rPr>
          <w:color w:val="000000"/>
          <w:kern w:val="0"/>
          <w:szCs w:val="21"/>
        </w:rPr>
        <w:t>；</w:t>
      </w:r>
    </w:p>
    <w:p w14:paraId="02256171">
      <w:pPr>
        <w:spacing w:line="360" w:lineRule="auto"/>
        <w:ind w:firstLine="1260" w:firstLineChars="600"/>
        <w:rPr>
          <w:kern w:val="0"/>
          <w:szCs w:val="21"/>
        </w:rPr>
      </w:pPr>
      <w:r>
        <w:rPr>
          <w:i/>
          <w:color w:val="000000"/>
          <w:kern w:val="0"/>
          <w:szCs w:val="21"/>
        </w:rPr>
        <w:t>X</w:t>
      </w:r>
      <w:r>
        <w:rPr>
          <w:color w:val="000000"/>
          <w:kern w:val="0"/>
          <w:szCs w:val="21"/>
          <w:vertAlign w:val="subscript"/>
        </w:rPr>
        <w:t>s</w:t>
      </w:r>
      <w:r>
        <w:rPr>
          <w:color w:val="000000"/>
          <w:kern w:val="0"/>
          <w:szCs w:val="21"/>
        </w:rPr>
        <w:t xml:space="preserve"> ———各点标准值（质量分数），</w:t>
      </w:r>
      <w:r>
        <w:rPr>
          <w:rFonts w:hint="eastAsia"/>
          <w:color w:val="000000"/>
          <w:kern w:val="0"/>
          <w:szCs w:val="21"/>
        </w:rPr>
        <w:t>%</w:t>
      </w:r>
      <w:r>
        <w:rPr>
          <w:color w:val="000000"/>
          <w:kern w:val="0"/>
          <w:szCs w:val="21"/>
        </w:rPr>
        <w:t>。</w:t>
      </w:r>
    </w:p>
    <w:p w14:paraId="6F17E06C">
      <w:pPr>
        <w:spacing w:line="360" w:lineRule="auto"/>
        <w:rPr>
          <w:rFonts w:hint="eastAsia" w:ascii="FZSSK--GBK1-0" w:hAnsi="FZSSK--GBK1-0"/>
          <w:color w:val="000000"/>
          <w:szCs w:val="21"/>
        </w:rPr>
      </w:pPr>
      <w:r>
        <w:rPr>
          <w:rFonts w:hint="eastAsia"/>
          <w:kern w:val="0"/>
          <w:szCs w:val="21"/>
        </w:rPr>
        <w:t>6.</w:t>
      </w:r>
      <w:r>
        <w:rPr>
          <w:kern w:val="0"/>
          <w:szCs w:val="21"/>
        </w:rPr>
        <w:t>2.4</w:t>
      </w:r>
      <w:r>
        <w:rPr>
          <w:rFonts w:hint="eastAsia" w:asciiTheme="minorEastAsia" w:hAnsiTheme="minorEastAsia" w:eastAsiaTheme="minorEastAsia"/>
          <w:szCs w:val="21"/>
        </w:rPr>
        <w:t xml:space="preserve"> </w:t>
      </w:r>
      <w:r>
        <w:rPr>
          <w:rFonts w:ascii="FZSSK--GBK1-0" w:hAnsi="FZSSK--GBK1-0"/>
          <w:color w:val="000000"/>
          <w:szCs w:val="21"/>
        </w:rPr>
        <w:t>重复性</w:t>
      </w:r>
    </w:p>
    <w:p w14:paraId="02098E2B">
      <w:pPr>
        <w:spacing w:line="360" w:lineRule="auto"/>
        <w:ind w:firstLine="420" w:firstLineChars="200"/>
        <w:rPr>
          <w:rFonts w:hint="eastAsia" w:ascii="FZSSK--GBK1-0" w:hAnsi="FZSSK--GBK1-0"/>
          <w:color w:val="000000"/>
          <w:szCs w:val="21"/>
        </w:rPr>
      </w:pPr>
      <w:r>
        <w:rPr>
          <w:rFonts w:ascii="FZSSK--GBK1-0" w:hAnsi="FZSSK--GBK1-0" w:cs="宋体"/>
          <w:color w:val="000000"/>
          <w:kern w:val="0"/>
          <w:szCs w:val="21"/>
        </w:rPr>
        <w:t>在</w:t>
      </w:r>
      <w:r>
        <w:rPr>
          <w:rFonts w:hint="eastAsia" w:ascii="FZSSK--GBK1-0" w:hAnsi="FZSSK--GBK1-0" w:cs="宋体"/>
          <w:color w:val="000000"/>
          <w:kern w:val="0"/>
          <w:szCs w:val="21"/>
        </w:rPr>
        <w:t>6</w:t>
      </w:r>
      <w:r>
        <w:rPr>
          <w:rFonts w:ascii="FZSSK--GBK1-0" w:hAnsi="FZSSK--GBK1-0" w:cs="宋体"/>
          <w:color w:val="000000"/>
          <w:kern w:val="0"/>
          <w:szCs w:val="21"/>
        </w:rPr>
        <w:t>.2.3相同条件下</w:t>
      </w:r>
      <w:r>
        <w:rPr>
          <w:rFonts w:hint="eastAsia" w:ascii="E-BZ" w:hAnsi="E-BZ" w:cs="宋体"/>
          <w:color w:val="000000"/>
          <w:kern w:val="0"/>
          <w:szCs w:val="21"/>
        </w:rPr>
        <w:t>，</w:t>
      </w:r>
      <w:r>
        <w:rPr>
          <w:rFonts w:ascii="FZSSK--GBK1-0" w:hAnsi="FZSSK--GBK1-0" w:cs="宋体"/>
          <w:color w:val="000000"/>
          <w:kern w:val="0"/>
          <w:szCs w:val="21"/>
        </w:rPr>
        <w:t>连续激发</w:t>
      </w:r>
      <w:r>
        <w:rPr>
          <w:rFonts w:ascii="E-BZ" w:hAnsi="E-BZ" w:cs="宋体"/>
          <w:color w:val="000000"/>
          <w:kern w:val="0"/>
          <w:szCs w:val="21"/>
        </w:rPr>
        <w:t>7</w:t>
      </w:r>
      <w:r>
        <w:rPr>
          <w:rFonts w:ascii="FZSSK--GBK1-0" w:hAnsi="FZSSK--GBK1-0" w:cs="宋体"/>
          <w:color w:val="000000"/>
          <w:kern w:val="0"/>
          <w:szCs w:val="21"/>
        </w:rPr>
        <w:t>次测</w:t>
      </w:r>
      <w:r>
        <w:rPr>
          <w:rFonts w:ascii="FZSSK--GBK1-0" w:hAnsi="FZSSK--GBK1-0" w:cs="宋体"/>
          <w:kern w:val="0"/>
          <w:szCs w:val="21"/>
        </w:rPr>
        <w:t>量</w:t>
      </w:r>
      <w:r>
        <w:rPr>
          <w:rFonts w:hint="eastAsia" w:ascii="FZSSK--GBK1-0" w:hAnsi="FZSSK--GBK1-0" w:cs="宋体"/>
          <w:kern w:val="0"/>
          <w:szCs w:val="21"/>
        </w:rPr>
        <w:t>5</w:t>
      </w:r>
      <w:r>
        <w:rPr>
          <w:rFonts w:ascii="FZSSK--GBK1-0" w:hAnsi="FZSSK--GBK1-0" w:cs="宋体"/>
          <w:kern w:val="0"/>
          <w:szCs w:val="21"/>
        </w:rPr>
        <w:t>.2.1中间含量的标准物质</w:t>
      </w:r>
      <w:r>
        <w:rPr>
          <w:rFonts w:hint="eastAsia" w:ascii="E-BZ" w:hAnsi="E-BZ" w:cs="宋体"/>
          <w:kern w:val="0"/>
          <w:szCs w:val="21"/>
        </w:rPr>
        <w:t>，按公</w:t>
      </w:r>
      <w:r>
        <w:rPr>
          <w:rFonts w:ascii="FZSSK--GBK1-0" w:hAnsi="FZSSK--GBK1-0" w:cs="宋体"/>
          <w:kern w:val="0"/>
          <w:szCs w:val="21"/>
        </w:rPr>
        <w:t xml:space="preserve">式 </w:t>
      </w:r>
      <w:r>
        <w:rPr>
          <w:rFonts w:ascii="E-BZ" w:hAnsi="E-BZ" w:cs="宋体"/>
          <w:kern w:val="0"/>
          <w:szCs w:val="21"/>
        </w:rPr>
        <w:t>(2)</w:t>
      </w:r>
      <w:r>
        <w:rPr>
          <w:rFonts w:ascii="FZSSK--GBK1-0" w:hAnsi="FZSSK--GBK1-0" w:cs="宋体"/>
          <w:color w:val="000000"/>
          <w:kern w:val="0"/>
          <w:szCs w:val="21"/>
        </w:rPr>
        <w:t>计算最大相对标准偏差，即为重复性</w:t>
      </w:r>
      <w:r>
        <w:rPr>
          <w:rFonts w:ascii="E-BZ" w:hAnsi="E-BZ" w:cs="宋体"/>
          <w:color w:val="000000"/>
          <w:kern w:val="0"/>
          <w:szCs w:val="21"/>
        </w:rPr>
        <w:t>(</w:t>
      </w:r>
      <w:r>
        <w:rPr>
          <w:rFonts w:ascii="E-BZ" w:hAnsi="E-BZ" w:cs="宋体"/>
          <w:i/>
          <w:color w:val="000000"/>
          <w:kern w:val="0"/>
          <w:szCs w:val="21"/>
        </w:rPr>
        <w:t>RSD</w:t>
      </w:r>
      <w:r>
        <w:rPr>
          <w:rFonts w:ascii="E-BZ" w:hAnsi="E-BZ" w:cs="宋体"/>
          <w:color w:val="000000"/>
          <w:kern w:val="0"/>
          <w:szCs w:val="21"/>
        </w:rPr>
        <w:t>)。</w:t>
      </w:r>
    </w:p>
    <w:p w14:paraId="439FC6A3">
      <w:pPr>
        <w:spacing w:line="360" w:lineRule="auto"/>
        <w:jc w:val="center"/>
        <w:rPr>
          <w:rFonts w:hint="eastAsia" w:ascii="FZSSK--GBK1-0" w:hAnsi="FZSSK--GBK1-0"/>
          <w:i/>
          <w:color w:val="000000"/>
          <w:szCs w:val="21"/>
        </w:rPr>
      </w:pPr>
      <w:r>
        <w:rPr>
          <w:rFonts w:ascii="FZSSK--GBK1-0" w:hAnsi="FZSSK--GBK1-0"/>
          <w:color w:val="000000"/>
          <w:szCs w:val="21"/>
        </w:rPr>
        <w:t xml:space="preserve">                     </w:t>
      </w:r>
      <m:oMath>
        <m:r>
          <m:rPr/>
          <w:rPr>
            <w:rFonts w:hint="eastAsia" w:ascii="Cambria Math" w:hAnsi="Cambria Math"/>
            <w:color w:val="000000"/>
            <w:szCs w:val="21"/>
          </w:rPr>
          <m:t>RSD</m:t>
        </m:r>
        <m:r>
          <m:rPr/>
          <w:rPr>
            <w:rFonts w:ascii="Cambria Math" w:hAnsi="Cambria Math"/>
            <w:color w:val="000000"/>
            <w:szCs w:val="21"/>
          </w:rPr>
          <m:t>=</m:t>
        </m:r>
        <m:f>
          <m:fPr>
            <m:ctrlPr>
              <w:rPr>
                <w:rFonts w:ascii="Cambria Math" w:hAnsi="Cambria Math"/>
                <w:i/>
                <w:color w:val="000000"/>
                <w:szCs w:val="21"/>
              </w:rPr>
            </m:ctrlPr>
          </m:fPr>
          <m:num>
            <m:r>
              <m:rPr/>
              <w:rPr>
                <w:rFonts w:ascii="Cambria Math" w:hAnsi="Cambria Math"/>
                <w:color w:val="000000"/>
                <w:szCs w:val="21"/>
              </w:rPr>
              <m:t>1</m:t>
            </m:r>
            <m:ctrlPr>
              <w:rPr>
                <w:rFonts w:ascii="Cambria Math" w:hAnsi="Cambria Math"/>
                <w:i/>
                <w:color w:val="000000"/>
                <w:szCs w:val="21"/>
              </w:rPr>
            </m:ctrlPr>
          </m:num>
          <m:den>
            <m:acc>
              <m:accPr>
                <m:chr m:val="̅"/>
                <m:ctrlPr>
                  <w:rPr>
                    <w:rFonts w:ascii="Cambria Math" w:hAnsi="Cambria Math"/>
                    <w:i/>
                    <w:color w:val="000000"/>
                    <w:szCs w:val="21"/>
                  </w:rPr>
                </m:ctrlPr>
              </m:accPr>
              <m:e>
                <m:r>
                  <m:rPr/>
                  <w:rPr>
                    <w:rFonts w:ascii="Cambria Math" w:hAnsi="Cambria Math"/>
                    <w:color w:val="000000"/>
                    <w:szCs w:val="21"/>
                  </w:rPr>
                  <m:t>X</m:t>
                </m:r>
                <m:ctrlPr>
                  <w:rPr>
                    <w:rFonts w:ascii="Cambria Math" w:hAnsi="Cambria Math"/>
                    <w:i/>
                    <w:color w:val="000000"/>
                    <w:szCs w:val="21"/>
                  </w:rPr>
                </m:ctrlPr>
              </m:e>
            </m:acc>
            <m:ctrlPr>
              <w:rPr>
                <w:rFonts w:ascii="Cambria Math" w:hAnsi="Cambria Math"/>
                <w:i/>
                <w:color w:val="000000"/>
                <w:szCs w:val="21"/>
              </w:rPr>
            </m:ctrlPr>
          </m:den>
        </m:f>
        <m:rad>
          <m:radPr>
            <m:degHide m:val="1"/>
            <m:ctrlPr>
              <w:rPr>
                <w:rFonts w:ascii="Cambria Math" w:hAnsi="Cambria Math"/>
                <w:i/>
                <w:color w:val="000000"/>
                <w:szCs w:val="21"/>
              </w:rPr>
            </m:ctrlPr>
          </m:radPr>
          <m:deg>
            <m:ctrlPr>
              <w:rPr>
                <w:rFonts w:ascii="Cambria Math" w:hAnsi="Cambria Math"/>
                <w:i/>
                <w:color w:val="000000"/>
                <w:szCs w:val="21"/>
              </w:rPr>
            </m:ctrlPr>
          </m:deg>
          <m:e>
            <m:f>
              <m:fPr>
                <m:ctrlPr>
                  <w:rPr>
                    <w:rFonts w:ascii="Cambria Math" w:hAnsi="Cambria Math"/>
                    <w:i/>
                    <w:color w:val="000000"/>
                    <w:szCs w:val="21"/>
                  </w:rPr>
                </m:ctrlPr>
              </m:fPr>
              <m:num>
                <m:nary>
                  <m:naryPr>
                    <m:chr m:val="∑"/>
                    <m:limLoc m:val="subSup"/>
                    <m:ctrlPr>
                      <w:rPr>
                        <w:rFonts w:ascii="Cambria Math" w:hAnsi="Cambria Math"/>
                        <w:i/>
                        <w:color w:val="000000"/>
                        <w:szCs w:val="21"/>
                      </w:rPr>
                    </m:ctrlPr>
                  </m:naryPr>
                  <m:sub>
                    <m:r>
                      <m:rPr/>
                      <w:rPr>
                        <w:rFonts w:ascii="Cambria Math" w:hAnsi="Cambria Math"/>
                        <w:color w:val="000000"/>
                        <w:szCs w:val="21"/>
                      </w:rPr>
                      <m:t>i=1</m:t>
                    </m:r>
                    <m:ctrlPr>
                      <w:rPr>
                        <w:rFonts w:ascii="Cambria Math" w:hAnsi="Cambria Math"/>
                        <w:i/>
                        <w:color w:val="000000"/>
                        <w:szCs w:val="21"/>
                      </w:rPr>
                    </m:ctrlPr>
                  </m:sub>
                  <m:sup>
                    <m:r>
                      <m:rPr/>
                      <w:rPr>
                        <w:rFonts w:ascii="Cambria Math" w:hAnsi="Cambria Math"/>
                        <w:color w:val="000000"/>
                        <w:szCs w:val="21"/>
                      </w:rPr>
                      <m:t>n</m:t>
                    </m:r>
                    <m:ctrlPr>
                      <w:rPr>
                        <w:rFonts w:ascii="Cambria Math" w:hAnsi="Cambria Math"/>
                        <w:i/>
                        <w:color w:val="000000"/>
                        <w:szCs w:val="21"/>
                      </w:rPr>
                    </m:ctrlPr>
                  </m:sup>
                  <m:e>
                    <m:sSup>
                      <m:sSupPr>
                        <m:ctrlPr>
                          <w:rPr>
                            <w:rFonts w:ascii="Cambria Math" w:hAnsi="Cambria Math"/>
                            <w:i/>
                            <w:color w:val="000000"/>
                            <w:szCs w:val="21"/>
                          </w:rPr>
                        </m:ctrlPr>
                      </m:sSupPr>
                      <m:e>
                        <m:r>
                          <m:rPr/>
                          <w:rPr>
                            <w:rFonts w:ascii="Cambria Math" w:hAnsi="Cambria Math"/>
                            <w:color w:val="000000"/>
                            <w:szCs w:val="21"/>
                          </w:rPr>
                          <m:t>(</m:t>
                        </m:r>
                        <m:sSub>
                          <m:sSubPr>
                            <m:ctrlPr>
                              <w:rPr>
                                <w:rFonts w:ascii="Cambria Math" w:hAnsi="Cambria Math"/>
                                <w:i/>
                                <w:color w:val="000000"/>
                                <w:szCs w:val="21"/>
                              </w:rPr>
                            </m:ctrlPr>
                          </m:sSubPr>
                          <m:e>
                            <m:r>
                              <m:rPr/>
                              <w:rPr>
                                <w:rFonts w:ascii="Cambria Math" w:hAnsi="Cambria Math"/>
                                <w:color w:val="000000"/>
                                <w:szCs w:val="21"/>
                              </w:rPr>
                              <m:t>X</m:t>
                            </m:r>
                            <m:ctrlPr>
                              <w:rPr>
                                <w:rFonts w:ascii="Cambria Math" w:hAnsi="Cambria Math"/>
                                <w:i/>
                                <w:color w:val="000000"/>
                                <w:szCs w:val="21"/>
                              </w:rPr>
                            </m:ctrlPr>
                          </m:e>
                          <m:sub>
                            <m:r>
                              <m:rPr/>
                              <w:rPr>
                                <w:rFonts w:ascii="Cambria Math" w:hAnsi="Cambria Math"/>
                                <w:color w:val="000000"/>
                                <w:szCs w:val="21"/>
                              </w:rPr>
                              <m:t>i</m:t>
                            </m:r>
                            <m:ctrlPr>
                              <w:rPr>
                                <w:rFonts w:ascii="Cambria Math" w:hAnsi="Cambria Math"/>
                                <w:i/>
                                <w:color w:val="000000"/>
                                <w:szCs w:val="21"/>
                              </w:rPr>
                            </m:ctrlPr>
                          </m:sub>
                        </m:sSub>
                        <m:r>
                          <m:rPr/>
                          <w:rPr>
                            <w:rFonts w:ascii="Cambria Math" w:hAnsi="Cambria Math"/>
                            <w:color w:val="000000"/>
                            <w:szCs w:val="21"/>
                          </w:rPr>
                          <m:t>−</m:t>
                        </m:r>
                        <m:acc>
                          <m:accPr>
                            <m:chr m:val="̅"/>
                            <m:ctrlPr>
                              <w:rPr>
                                <w:rFonts w:ascii="Cambria Math" w:hAnsi="Cambria Math"/>
                                <w:i/>
                                <w:color w:val="000000"/>
                                <w:szCs w:val="21"/>
                              </w:rPr>
                            </m:ctrlPr>
                          </m:accPr>
                          <m:e>
                            <m:r>
                              <m:rPr/>
                              <w:rPr>
                                <w:rFonts w:ascii="Cambria Math" w:hAnsi="Cambria Math"/>
                                <w:color w:val="000000"/>
                                <w:szCs w:val="21"/>
                              </w:rPr>
                              <m:t>X</m:t>
                            </m:r>
                            <m:ctrlPr>
                              <w:rPr>
                                <w:rFonts w:ascii="Cambria Math" w:hAnsi="Cambria Math"/>
                                <w:i/>
                                <w:color w:val="000000"/>
                                <w:szCs w:val="21"/>
                              </w:rPr>
                            </m:ctrlPr>
                          </m:e>
                        </m:acc>
                        <m:r>
                          <m:rPr/>
                          <w:rPr>
                            <w:rFonts w:ascii="Cambria Math" w:hAnsi="Cambria Math"/>
                            <w:color w:val="000000"/>
                            <w:szCs w:val="21"/>
                          </w:rPr>
                          <m:t>)</m:t>
                        </m:r>
                        <m:ctrlPr>
                          <w:rPr>
                            <w:rFonts w:ascii="Cambria Math" w:hAnsi="Cambria Math"/>
                            <w:i/>
                            <w:color w:val="000000"/>
                            <w:szCs w:val="21"/>
                          </w:rPr>
                        </m:ctrlPr>
                      </m:e>
                      <m:sup>
                        <m:r>
                          <m:rPr/>
                          <w:rPr>
                            <w:rFonts w:ascii="Cambria Math" w:hAnsi="Cambria Math"/>
                            <w:color w:val="000000"/>
                            <w:szCs w:val="21"/>
                          </w:rPr>
                          <m:t>2</m:t>
                        </m:r>
                        <m:ctrlPr>
                          <w:rPr>
                            <w:rFonts w:ascii="Cambria Math" w:hAnsi="Cambria Math"/>
                            <w:i/>
                            <w:color w:val="000000"/>
                            <w:szCs w:val="21"/>
                          </w:rPr>
                        </m:ctrlPr>
                      </m:sup>
                    </m:sSup>
                    <m:ctrlPr>
                      <w:rPr>
                        <w:rFonts w:ascii="Cambria Math" w:hAnsi="Cambria Math"/>
                        <w:i/>
                        <w:color w:val="000000"/>
                        <w:szCs w:val="21"/>
                      </w:rPr>
                    </m:ctrlPr>
                  </m:e>
                </m:nary>
                <m:ctrlPr>
                  <w:rPr>
                    <w:rFonts w:ascii="Cambria Math" w:hAnsi="Cambria Math"/>
                    <w:i/>
                    <w:color w:val="000000"/>
                    <w:szCs w:val="21"/>
                  </w:rPr>
                </m:ctrlPr>
              </m:num>
              <m:den>
                <m:r>
                  <m:rPr/>
                  <w:rPr>
                    <w:rFonts w:ascii="Cambria Math" w:hAnsi="Cambria Math"/>
                    <w:color w:val="000000"/>
                    <w:szCs w:val="21"/>
                  </w:rPr>
                  <m:t>n−1</m:t>
                </m:r>
                <m:ctrlPr>
                  <w:rPr>
                    <w:rFonts w:ascii="Cambria Math" w:hAnsi="Cambria Math"/>
                    <w:i/>
                    <w:color w:val="000000"/>
                    <w:szCs w:val="21"/>
                  </w:rPr>
                </m:ctrlPr>
              </m:den>
            </m:f>
            <m:ctrlPr>
              <w:rPr>
                <w:rFonts w:ascii="Cambria Math" w:hAnsi="Cambria Math"/>
                <w:i/>
                <w:color w:val="000000"/>
                <w:szCs w:val="21"/>
              </w:rPr>
            </m:ctrlPr>
          </m:e>
        </m:rad>
        <m:r>
          <m:rPr/>
          <w:rPr>
            <w:rFonts w:ascii="Cambria Math" w:hAnsi="Cambria Math"/>
            <w:color w:val="000000"/>
            <w:szCs w:val="21"/>
          </w:rPr>
          <m:t xml:space="preserve"> ×100%</m:t>
        </m:r>
      </m:oMath>
      <w:r>
        <w:rPr>
          <w:rFonts w:hint="eastAsia" w:ascii="FZSSK--GBK1-0" w:hAnsi="FZSSK--GBK1-0"/>
          <w:i/>
          <w:color w:val="000000"/>
          <w:szCs w:val="21"/>
        </w:rPr>
        <w:t xml:space="preserve"> </w:t>
      </w:r>
      <w:r>
        <w:rPr>
          <w:rFonts w:ascii="FZSSK--GBK1-0" w:hAnsi="FZSSK--GBK1-0"/>
          <w:i/>
          <w:color w:val="000000"/>
          <w:szCs w:val="21"/>
        </w:rPr>
        <w:t xml:space="preserve">                     </w:t>
      </w:r>
      <w:r>
        <w:rPr>
          <w:rFonts w:ascii="E-BZ" w:hAnsi="E-BZ" w:cs="宋体"/>
          <w:color w:val="000000"/>
          <w:kern w:val="0"/>
          <w:szCs w:val="21"/>
        </w:rPr>
        <w:t>(2)</w:t>
      </w:r>
    </w:p>
    <w:p w14:paraId="63942BD7">
      <w:pPr>
        <w:widowControl/>
        <w:spacing w:line="360" w:lineRule="auto"/>
        <w:ind w:firstLine="743" w:firstLineChars="354"/>
        <w:jc w:val="left"/>
        <w:rPr>
          <w:kern w:val="0"/>
          <w:szCs w:val="21"/>
        </w:rPr>
      </w:pPr>
      <w:r>
        <w:rPr>
          <w:color w:val="000000"/>
          <w:kern w:val="0"/>
          <w:szCs w:val="21"/>
        </w:rPr>
        <w:t>式中：</w:t>
      </w:r>
      <w:r>
        <w:rPr>
          <w:i/>
          <w:color w:val="000000"/>
          <w:kern w:val="0"/>
          <w:szCs w:val="21"/>
        </w:rPr>
        <w:t>RSD</w:t>
      </w:r>
      <w:r>
        <w:rPr>
          <w:color w:val="000000"/>
          <w:kern w:val="0"/>
          <w:szCs w:val="21"/>
        </w:rPr>
        <w:t xml:space="preserve">———相对标准偏差，%； </w:t>
      </w:r>
    </w:p>
    <w:p w14:paraId="4662B2AB">
      <w:pPr>
        <w:widowControl/>
        <w:spacing w:line="360" w:lineRule="auto"/>
        <w:ind w:firstLine="1373" w:firstLineChars="654"/>
        <w:jc w:val="left"/>
        <w:rPr>
          <w:kern w:val="0"/>
          <w:szCs w:val="21"/>
        </w:rPr>
      </w:pPr>
      <w:r>
        <w:rPr>
          <w:i/>
          <w:color w:val="000000"/>
          <w:kern w:val="0"/>
          <w:szCs w:val="21"/>
        </w:rPr>
        <w:t>X</w:t>
      </w:r>
      <w:r>
        <w:rPr>
          <w:color w:val="000000"/>
          <w:kern w:val="0"/>
          <w:szCs w:val="21"/>
          <w:vertAlign w:val="subscript"/>
        </w:rPr>
        <w:t>i</w:t>
      </w:r>
      <w:r>
        <w:rPr>
          <w:color w:val="000000"/>
          <w:kern w:val="0"/>
          <w:szCs w:val="21"/>
        </w:rPr>
        <w:t>———单次测量值，%；</w:t>
      </w:r>
    </w:p>
    <w:p w14:paraId="536D229C">
      <w:pPr>
        <w:widowControl/>
        <w:spacing w:line="360" w:lineRule="auto"/>
        <w:ind w:firstLine="1365" w:firstLineChars="650"/>
        <w:jc w:val="left"/>
        <w:rPr>
          <w:kern w:val="0"/>
          <w:szCs w:val="21"/>
        </w:rPr>
      </w:pPr>
      <m:oMath>
        <m:acc>
          <m:accPr>
            <m:chr m:val="̅"/>
            <m:ctrlPr>
              <w:rPr>
                <w:rFonts w:ascii="Cambria Math" w:hAnsi="Cambria Math"/>
                <w:color w:val="000000"/>
                <w:kern w:val="0"/>
                <w:szCs w:val="21"/>
              </w:rPr>
            </m:ctrlPr>
          </m:accPr>
          <m:e>
            <m:r>
              <m:rPr>
                <m:sty m:val="p"/>
              </m:rPr>
              <w:rPr>
                <w:rFonts w:ascii="Cambria Math" w:hAnsi="Cambria Math"/>
                <w:color w:val="000000"/>
                <w:kern w:val="0"/>
                <w:szCs w:val="21"/>
              </w:rPr>
              <m:t>X</m:t>
            </m:r>
            <m:ctrlPr>
              <w:rPr>
                <w:rFonts w:ascii="Cambria Math" w:hAnsi="Cambria Math"/>
                <w:color w:val="000000"/>
                <w:kern w:val="0"/>
                <w:szCs w:val="21"/>
              </w:rPr>
            </m:ctrlPr>
          </m:e>
        </m:acc>
      </m:oMath>
      <w:r>
        <w:rPr>
          <w:color w:val="000000"/>
          <w:kern w:val="0"/>
          <w:szCs w:val="21"/>
        </w:rPr>
        <w:t xml:space="preserve"> ———测量平均值，%； </w:t>
      </w:r>
    </w:p>
    <w:p w14:paraId="1CD5A85F">
      <w:pPr>
        <w:spacing w:line="360" w:lineRule="auto"/>
        <w:ind w:firstLine="1365" w:firstLineChars="650"/>
        <w:rPr>
          <w:color w:val="000000"/>
          <w:kern w:val="0"/>
          <w:szCs w:val="21"/>
        </w:rPr>
      </w:pPr>
      <w:r>
        <w:rPr>
          <w:color w:val="000000"/>
          <w:kern w:val="0"/>
          <w:szCs w:val="21"/>
        </w:rPr>
        <w:t>n———测量次数，n=10。</w:t>
      </w:r>
    </w:p>
    <w:p w14:paraId="4BA8F4FD">
      <w:pPr>
        <w:spacing w:line="360" w:lineRule="auto"/>
        <w:rPr>
          <w:rFonts w:hint="eastAsia" w:ascii="FZSSK--GBK1-0" w:hAnsi="FZSSK--GBK1-0"/>
          <w:color w:val="000000"/>
          <w:szCs w:val="21"/>
        </w:rPr>
      </w:pPr>
      <w:r>
        <w:rPr>
          <w:rFonts w:hint="eastAsia"/>
          <w:kern w:val="0"/>
          <w:szCs w:val="21"/>
        </w:rPr>
        <w:t>6.</w:t>
      </w:r>
      <w:r>
        <w:rPr>
          <w:kern w:val="0"/>
          <w:szCs w:val="21"/>
        </w:rPr>
        <w:t>2.5</w:t>
      </w:r>
      <w:r>
        <w:rPr>
          <w:rFonts w:hint="eastAsia" w:asciiTheme="minorEastAsia" w:hAnsiTheme="minorEastAsia" w:eastAsiaTheme="minorEastAsia"/>
          <w:szCs w:val="21"/>
        </w:rPr>
        <w:t xml:space="preserve"> </w:t>
      </w:r>
      <w:r>
        <w:rPr>
          <w:rFonts w:ascii="FZSSK--GBK1-0" w:hAnsi="FZSSK--GBK1-0"/>
          <w:color w:val="000000"/>
          <w:szCs w:val="21"/>
        </w:rPr>
        <w:t>稳定性</w:t>
      </w:r>
    </w:p>
    <w:p w14:paraId="2BCB7BC2">
      <w:pPr>
        <w:widowControl/>
        <w:spacing w:line="360" w:lineRule="auto"/>
        <w:ind w:firstLine="420" w:firstLineChars="200"/>
        <w:jc w:val="left"/>
        <w:rPr>
          <w:rFonts w:hint="eastAsia" w:ascii="FZSSK--GBK1-0" w:hAnsi="FZSSK--GBK1-0"/>
          <w:color w:val="000000"/>
          <w:szCs w:val="21"/>
        </w:rPr>
      </w:pPr>
      <w:r>
        <w:rPr>
          <w:rFonts w:ascii="FZSSK--GBK1-0" w:hAnsi="FZSSK--GBK1-0" w:cs="宋体"/>
          <w:color w:val="000000"/>
          <w:kern w:val="0"/>
          <w:szCs w:val="21"/>
        </w:rPr>
        <w:t>在</w:t>
      </w:r>
      <w:r>
        <w:rPr>
          <w:rFonts w:hint="eastAsia" w:ascii="FZSSK--GBK1-0" w:hAnsi="FZSSK--GBK1-0" w:cs="宋体"/>
          <w:color w:val="000000"/>
          <w:kern w:val="0"/>
          <w:szCs w:val="21"/>
        </w:rPr>
        <w:t>6</w:t>
      </w:r>
      <w:r>
        <w:rPr>
          <w:rFonts w:ascii="FZSSK--GBK1-0" w:hAnsi="FZSSK--GBK1-0" w:cs="宋体"/>
          <w:color w:val="000000"/>
          <w:kern w:val="0"/>
          <w:szCs w:val="21"/>
        </w:rPr>
        <w:t>.2.3相同条件下</w:t>
      </w:r>
      <w:r>
        <w:rPr>
          <w:rFonts w:hint="eastAsia" w:ascii="FZSSK--GBK1-0" w:hAnsi="FZSSK--GBK1-0"/>
          <w:color w:val="000000"/>
          <w:szCs w:val="21"/>
        </w:rPr>
        <w:t>，</w:t>
      </w:r>
      <w:r>
        <w:rPr>
          <w:rFonts w:ascii="FZSSK--GBK1-0" w:hAnsi="FZSSK--GBK1-0"/>
          <w:color w:val="000000"/>
          <w:szCs w:val="21"/>
        </w:rPr>
        <w:t>选用</w:t>
      </w:r>
      <w:r>
        <w:rPr>
          <w:rFonts w:hint="eastAsia"/>
          <w:kern w:val="0"/>
          <w:szCs w:val="21"/>
        </w:rPr>
        <w:t>6.</w:t>
      </w:r>
      <w:r>
        <w:rPr>
          <w:kern w:val="0"/>
          <w:szCs w:val="21"/>
        </w:rPr>
        <w:t>2.4相同的标准物质</w:t>
      </w:r>
      <w:r>
        <w:rPr>
          <w:rFonts w:ascii="FZSSK--GBK1-0" w:hAnsi="FZSSK--GBK1-0"/>
          <w:color w:val="000000"/>
          <w:szCs w:val="21"/>
        </w:rPr>
        <w:t>。在不少于2h内</w:t>
      </w:r>
      <w:r>
        <w:rPr>
          <w:rFonts w:hint="eastAsia" w:ascii="FZSSK--GBK1-0" w:hAnsi="FZSSK--GBK1-0"/>
          <w:color w:val="000000"/>
          <w:szCs w:val="21"/>
        </w:rPr>
        <w:t>，</w:t>
      </w:r>
      <w:r>
        <w:rPr>
          <w:rFonts w:ascii="FZSSK--GBK1-0" w:hAnsi="FZSSK--GBK1-0"/>
          <w:color w:val="000000"/>
          <w:szCs w:val="21"/>
        </w:rPr>
        <w:t>间隔20min测量</w:t>
      </w:r>
      <w:r>
        <w:rPr>
          <w:rFonts w:hint="eastAsia" w:ascii="FZSSK--GBK1-0" w:hAnsi="FZSSK--GBK1-0"/>
          <w:color w:val="000000"/>
          <w:szCs w:val="21"/>
        </w:rPr>
        <w:t>1</w:t>
      </w:r>
      <w:r>
        <w:rPr>
          <w:rFonts w:ascii="FZSSK--GBK1-0" w:hAnsi="FZSSK--GBK1-0"/>
          <w:color w:val="000000"/>
          <w:szCs w:val="21"/>
        </w:rPr>
        <w:t>次</w:t>
      </w:r>
      <w:r>
        <w:rPr>
          <w:rFonts w:hint="eastAsia" w:ascii="FZSSK--GBK1-0" w:hAnsi="FZSSK--GBK1-0"/>
          <w:color w:val="000000"/>
          <w:szCs w:val="21"/>
        </w:rPr>
        <w:t>，</w:t>
      </w:r>
      <w:r>
        <w:rPr>
          <w:rFonts w:ascii="FZSSK--GBK1-0" w:hAnsi="FZSSK--GBK1-0"/>
          <w:color w:val="000000"/>
          <w:szCs w:val="21"/>
        </w:rPr>
        <w:t>重复6次测量。按公式 (2)计算的最大相对标准偏差，即为光谱仪的稳定性。</w:t>
      </w:r>
    </w:p>
    <w:p w14:paraId="38577FE5">
      <w:pPr>
        <w:pStyle w:val="60"/>
        <w:numPr>
          <w:ilvl w:val="0"/>
          <w:numId w:val="0"/>
        </w:numPr>
        <w:spacing w:before="156" w:after="156"/>
        <w:ind w:left="142"/>
        <w:rPr>
          <w:szCs w:val="21"/>
        </w:rPr>
      </w:pPr>
      <w:bookmarkStart w:id="54" w:name="_Toc193860188"/>
      <w:bookmarkStart w:id="55" w:name="_Toc193860219"/>
      <w:bookmarkStart w:id="56" w:name="_Toc193860038"/>
      <w:bookmarkStart w:id="57" w:name="_Toc193618956"/>
      <w:bookmarkStart w:id="58" w:name="_Toc193619101"/>
      <w:bookmarkStart w:id="59" w:name="_Toc193619059"/>
      <w:bookmarkStart w:id="60" w:name="_Toc500258947"/>
      <w:bookmarkStart w:id="61" w:name="_Toc25466_WPSOffice_Level1"/>
      <w:r>
        <w:rPr>
          <w:rFonts w:ascii="Times New Roman"/>
          <w:szCs w:val="21"/>
        </w:rPr>
        <w:t>7</w:t>
      </w:r>
      <w:r>
        <w:rPr>
          <w:rFonts w:hint="eastAsia"/>
          <w:szCs w:val="21"/>
        </w:rPr>
        <w:t xml:space="preserve"> 校准结果</w:t>
      </w:r>
      <w:bookmarkEnd w:id="54"/>
      <w:bookmarkEnd w:id="55"/>
      <w:bookmarkEnd w:id="56"/>
      <w:bookmarkEnd w:id="57"/>
      <w:bookmarkEnd w:id="58"/>
      <w:bookmarkEnd w:id="59"/>
      <w:r>
        <w:rPr>
          <w:rFonts w:hint="eastAsia"/>
          <w:szCs w:val="21"/>
        </w:rPr>
        <w:t>表达</w:t>
      </w:r>
      <w:bookmarkEnd w:id="60"/>
      <w:bookmarkEnd w:id="61"/>
    </w:p>
    <w:p w14:paraId="0FD2336F">
      <w:pPr>
        <w:pStyle w:val="57"/>
        <w:spacing w:line="360" w:lineRule="auto"/>
        <w:ind w:firstLine="420"/>
        <w:rPr>
          <w:rFonts w:asciiTheme="minorEastAsia" w:hAnsiTheme="minorEastAsia" w:eastAsiaTheme="minorEastAsia"/>
          <w:kern w:val="2"/>
          <w:szCs w:val="21"/>
        </w:rPr>
      </w:pPr>
      <w:r>
        <w:rPr>
          <w:rFonts w:hint="eastAsia" w:asciiTheme="minorEastAsia" w:hAnsiTheme="minorEastAsia" w:eastAsiaTheme="minorEastAsia"/>
          <w:kern w:val="2"/>
          <w:szCs w:val="21"/>
        </w:rPr>
        <w:t>校准结果应在校准证书上反映。校准证书应至少包括以下信息：</w:t>
      </w:r>
    </w:p>
    <w:p w14:paraId="0E0BE87E">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a) 标题：</w:t>
      </w:r>
      <w:r>
        <w:rPr>
          <w:rFonts w:asciiTheme="minorEastAsia" w:hAnsiTheme="minorEastAsia" w:eastAsiaTheme="minorEastAsia"/>
          <w:kern w:val="2"/>
          <w:szCs w:val="21"/>
        </w:rPr>
        <w:t>“</w:t>
      </w:r>
      <w:r>
        <w:rPr>
          <w:rFonts w:ascii="Times New Roman" w:hAnsi="Times New Roman" w:eastAsiaTheme="minorEastAsia"/>
          <w:kern w:val="2"/>
          <w:szCs w:val="21"/>
        </w:rPr>
        <w:t>校准证书</w:t>
      </w:r>
      <w:r>
        <w:rPr>
          <w:rFonts w:asciiTheme="minorEastAsia" w:hAnsiTheme="minorEastAsia" w:eastAsiaTheme="minorEastAsia"/>
          <w:kern w:val="2"/>
          <w:szCs w:val="21"/>
        </w:rPr>
        <w:t>”</w:t>
      </w:r>
      <w:r>
        <w:rPr>
          <w:rFonts w:ascii="Times New Roman" w:hAnsi="Times New Roman" w:eastAsiaTheme="minorEastAsia"/>
          <w:kern w:val="2"/>
          <w:szCs w:val="21"/>
        </w:rPr>
        <w:t>；</w:t>
      </w:r>
    </w:p>
    <w:p w14:paraId="79E2E1F7">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b) 实验室名称和地址；</w:t>
      </w:r>
    </w:p>
    <w:p w14:paraId="1003C9C7">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c) 进行校准的地点（如与实验室的地址不同）；</w:t>
      </w:r>
    </w:p>
    <w:p w14:paraId="7C60934F">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d) 证书的唯一性标识</w:t>
      </w:r>
      <w:r>
        <w:rPr>
          <w:rFonts w:ascii="Times New Roman" w:hAnsi="Times New Roman"/>
          <w:spacing w:val="-2"/>
          <w:szCs w:val="21"/>
        </w:rPr>
        <w:t>（如编号）</w:t>
      </w:r>
      <w:r>
        <w:rPr>
          <w:rFonts w:ascii="Times New Roman" w:hAnsi="Times New Roman" w:eastAsiaTheme="minorEastAsia"/>
          <w:kern w:val="2"/>
          <w:szCs w:val="21"/>
        </w:rPr>
        <w:t>，每页及总页数的标识；</w:t>
      </w:r>
    </w:p>
    <w:p w14:paraId="20002A7F">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e) 客户的名称和地址；</w:t>
      </w:r>
    </w:p>
    <w:p w14:paraId="416B1A16">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f) 被校对象的描述和明确标识；</w:t>
      </w:r>
    </w:p>
    <w:p w14:paraId="44D49090">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g) 进行校准的日期，如果与校准结果的有效性和应用有关时，应说明被校对象的接收日期；</w:t>
      </w:r>
    </w:p>
    <w:p w14:paraId="29BAC499">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h) 校准所依据的技术规范的标识，包括名称及代号；</w:t>
      </w:r>
    </w:p>
    <w:p w14:paraId="7D14E4B7">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i) 本次校准所用测量标准的溯源性及有效性说明；</w:t>
      </w:r>
    </w:p>
    <w:p w14:paraId="25973718">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j) 校准环境的描述；</w:t>
      </w:r>
    </w:p>
    <w:p w14:paraId="35295BE0">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k) 校准结果及测量不确定度的说明；</w:t>
      </w:r>
    </w:p>
    <w:p w14:paraId="0EB67725">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l) 对校准规范的偏离的说明；</w:t>
      </w:r>
    </w:p>
    <w:p w14:paraId="090586F5">
      <w:pPr>
        <w:pStyle w:val="57"/>
        <w:spacing w:line="360" w:lineRule="auto"/>
        <w:ind w:firstLine="420"/>
        <w:rPr>
          <w:rFonts w:ascii="Times New Roman" w:hAnsi="Times New Roman"/>
          <w:spacing w:val="-2"/>
          <w:szCs w:val="21"/>
        </w:rPr>
      </w:pPr>
      <w:r>
        <w:rPr>
          <w:rFonts w:ascii="Times New Roman" w:hAnsi="Times New Roman" w:eastAsiaTheme="minorEastAsia"/>
          <w:szCs w:val="21"/>
        </w:rPr>
        <w:t xml:space="preserve">m) </w:t>
      </w:r>
      <w:r>
        <w:rPr>
          <w:rFonts w:ascii="Times New Roman" w:hAnsi="Times New Roman"/>
          <w:spacing w:val="-2"/>
          <w:szCs w:val="21"/>
        </w:rPr>
        <w:t>校准证书签发人的签名、职务或等效标识以及签发日期；</w:t>
      </w:r>
    </w:p>
    <w:p w14:paraId="3417278B">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n) 校准结果仅对被校对象有效的声明；</w:t>
      </w:r>
    </w:p>
    <w:p w14:paraId="7754BE5C">
      <w:pPr>
        <w:pStyle w:val="57"/>
        <w:spacing w:line="360" w:lineRule="auto"/>
        <w:ind w:firstLine="420"/>
        <w:rPr>
          <w:rFonts w:ascii="Times New Roman" w:hAnsi="Times New Roman" w:eastAsiaTheme="minorEastAsia"/>
          <w:kern w:val="2"/>
          <w:szCs w:val="21"/>
        </w:rPr>
      </w:pPr>
      <w:r>
        <w:rPr>
          <w:rFonts w:ascii="Times New Roman" w:hAnsi="Times New Roman" w:eastAsiaTheme="minorEastAsia"/>
          <w:kern w:val="2"/>
          <w:szCs w:val="21"/>
        </w:rPr>
        <w:t>o) 未经实验室书面批准，不得部分复制证书的声明。</w:t>
      </w:r>
    </w:p>
    <w:p w14:paraId="0917B87A">
      <w:pPr>
        <w:pStyle w:val="60"/>
        <w:numPr>
          <w:ilvl w:val="0"/>
          <w:numId w:val="0"/>
        </w:numPr>
        <w:spacing w:before="156" w:after="156"/>
        <w:ind w:left="142"/>
        <w:rPr>
          <w:szCs w:val="21"/>
        </w:rPr>
      </w:pPr>
      <w:bookmarkStart w:id="62" w:name="_Toc193860189"/>
      <w:bookmarkStart w:id="63" w:name="_Toc193860040"/>
      <w:bookmarkStart w:id="64" w:name="_Toc14803_WPSOffice_Level1"/>
      <w:bookmarkStart w:id="65" w:name="_Toc5529"/>
      <w:bookmarkStart w:id="66" w:name="_Toc193860220"/>
      <w:bookmarkStart w:id="67" w:name="_Toc193860041"/>
      <w:r>
        <w:rPr>
          <w:rFonts w:ascii="Times New Roman"/>
          <w:szCs w:val="21"/>
        </w:rPr>
        <w:t>8</w:t>
      </w:r>
      <w:r>
        <w:rPr>
          <w:rFonts w:hint="eastAsia"/>
          <w:szCs w:val="21"/>
        </w:rPr>
        <w:t xml:space="preserve"> 复校</w:t>
      </w:r>
      <w:bookmarkEnd w:id="62"/>
      <w:bookmarkEnd w:id="63"/>
      <w:bookmarkEnd w:id="64"/>
      <w:bookmarkEnd w:id="65"/>
      <w:bookmarkEnd w:id="66"/>
      <w:r>
        <w:rPr>
          <w:rFonts w:hint="eastAsia"/>
          <w:szCs w:val="21"/>
        </w:rPr>
        <w:t>时间间隔</w:t>
      </w:r>
    </w:p>
    <w:bookmarkEnd w:id="67"/>
    <w:p w14:paraId="6E0CC6E8">
      <w:pPr>
        <w:spacing w:line="360" w:lineRule="auto"/>
        <w:ind w:firstLine="420" w:firstLineChars="200"/>
        <w:rPr>
          <w:szCs w:val="21"/>
        </w:rPr>
      </w:pPr>
      <w:r>
        <w:rPr>
          <w:rFonts w:hint="eastAsia"/>
          <w:szCs w:val="21"/>
        </w:rPr>
        <w:t>建议复校时间间隔不超过</w:t>
      </w:r>
      <w:r>
        <w:rPr>
          <w:szCs w:val="21"/>
        </w:rPr>
        <w:t>24个月</w:t>
      </w:r>
      <w:r>
        <w:rPr>
          <w:rFonts w:hint="eastAsia"/>
          <w:szCs w:val="21"/>
        </w:rPr>
        <w:t>。</w:t>
      </w:r>
      <w:r>
        <w:rPr>
          <w:szCs w:val="21"/>
        </w:rPr>
        <w:t>如果对光谱仪的检测数据有怀疑或光谱仪更换主要部件及修理后，应对光谱仪重新校准</w:t>
      </w:r>
      <w:r>
        <w:rPr>
          <w:rFonts w:hAnsi="宋体"/>
          <w:color w:val="000000"/>
          <w:szCs w:val="21"/>
        </w:rPr>
        <w:t>。</w:t>
      </w:r>
    </w:p>
    <w:p w14:paraId="45E1D23D">
      <w:pPr>
        <w:pStyle w:val="57"/>
        <w:spacing w:line="360" w:lineRule="auto"/>
        <w:ind w:firstLine="420"/>
        <w:rPr>
          <w:rFonts w:ascii="Calibri"/>
          <w:kern w:val="2"/>
          <w:szCs w:val="21"/>
        </w:rPr>
      </w:pPr>
      <w:r>
        <w:rPr>
          <w:rFonts w:hint="eastAsia"/>
          <w:szCs w:val="21"/>
        </w:rPr>
        <w:t>由于复校时间间隔的长短是由仪器的使用情况、使用者、仪器本身质量等诸因素所决定的，因此送校单位可根据实际使用情况自主决定复校时间间隔。</w:t>
      </w:r>
    </w:p>
    <w:bookmarkEnd w:id="1"/>
    <w:bookmarkEnd w:id="14"/>
    <w:p w14:paraId="30D6CE39">
      <w:pPr>
        <w:pStyle w:val="73"/>
        <w:tabs>
          <w:tab w:val="left" w:pos="426"/>
        </w:tabs>
        <w:spacing w:before="312" w:beforeLines="100" w:after="312" w:afterLines="100"/>
        <w:jc w:val="left"/>
      </w:pPr>
      <w:bookmarkStart w:id="68" w:name="_Toc464728965"/>
      <w:r>
        <w:rPr>
          <w:highlight w:val="lightGray"/>
        </w:rPr>
        <w:t>三、</w:t>
      </w:r>
      <w:r>
        <w:rPr>
          <w:rFonts w:hint="eastAsia"/>
        </w:rPr>
        <w:t>规范水平分析</w:t>
      </w:r>
      <w:bookmarkEnd w:id="68"/>
    </w:p>
    <w:p w14:paraId="3BB2378D">
      <w:pPr>
        <w:spacing w:line="360" w:lineRule="auto"/>
      </w:pPr>
      <w:r>
        <w:rPr>
          <w:rFonts w:hint="eastAsia"/>
        </w:rPr>
        <w:t xml:space="preserve">    本规范的制定填补了有色金属行业直流电弧-原子发射光谱仪的校准空白，属于国内首创，水平达到国内领先。</w:t>
      </w:r>
    </w:p>
    <w:p w14:paraId="3F09E3B4">
      <w:pPr>
        <w:pStyle w:val="73"/>
        <w:tabs>
          <w:tab w:val="left" w:pos="426"/>
        </w:tabs>
        <w:spacing w:before="312" w:beforeLines="100" w:after="312" w:afterLines="100"/>
        <w:jc w:val="left"/>
      </w:pPr>
      <w:bookmarkStart w:id="69" w:name="_Toc464728972"/>
      <w:r>
        <w:rPr>
          <w:highlight w:val="lightGray"/>
        </w:rPr>
        <w:t>四、</w:t>
      </w:r>
      <w:r>
        <w:rPr>
          <w:rFonts w:hint="eastAsia"/>
        </w:rPr>
        <w:t>与现行相关法律、法规、规章及相关规范，特别是规程的协调性</w:t>
      </w:r>
      <w:bookmarkEnd w:id="69"/>
    </w:p>
    <w:p w14:paraId="7971552A">
      <w:pPr>
        <w:pStyle w:val="57"/>
        <w:spacing w:line="36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14:paraId="0BDD383A">
      <w:pPr>
        <w:pStyle w:val="73"/>
        <w:tabs>
          <w:tab w:val="left" w:pos="426"/>
        </w:tabs>
        <w:spacing w:before="312" w:beforeLines="100" w:after="312" w:afterLines="100"/>
        <w:jc w:val="left"/>
      </w:pPr>
      <w:bookmarkStart w:id="70" w:name="_Toc464728973"/>
      <w:r>
        <w:rPr>
          <w:highlight w:val="lightGray"/>
        </w:rPr>
        <w:t>五、</w:t>
      </w:r>
      <w:r>
        <w:rPr>
          <w:rFonts w:hint="eastAsia"/>
        </w:rPr>
        <w:t>规范中涉及的专利或知识产权说明</w:t>
      </w:r>
      <w:bookmarkEnd w:id="70"/>
    </w:p>
    <w:p w14:paraId="40C2C83C">
      <w:pPr>
        <w:pStyle w:val="57"/>
        <w:spacing w:line="300" w:lineRule="auto"/>
        <w:ind w:firstLine="420"/>
        <w:contextualSpacing/>
      </w:pPr>
      <w:r>
        <w:rPr>
          <w:rFonts w:hint="eastAsia"/>
        </w:rPr>
        <w:t>（无）</w:t>
      </w:r>
    </w:p>
    <w:p w14:paraId="0B88845C">
      <w:pPr>
        <w:pStyle w:val="73"/>
        <w:tabs>
          <w:tab w:val="left" w:pos="426"/>
        </w:tabs>
        <w:spacing w:before="312" w:beforeLines="100" w:after="312" w:afterLines="100"/>
        <w:jc w:val="left"/>
      </w:pPr>
      <w:bookmarkStart w:id="71" w:name="_Toc464728974"/>
      <w:r>
        <w:rPr>
          <w:highlight w:val="lightGray"/>
        </w:rPr>
        <w:t>六、</w:t>
      </w:r>
      <w:r>
        <w:rPr>
          <w:rFonts w:hint="eastAsia"/>
        </w:rPr>
        <w:t>重大分歧意见的处理经过和依据</w:t>
      </w:r>
      <w:bookmarkEnd w:id="71"/>
    </w:p>
    <w:p w14:paraId="0F4A79BE">
      <w:pPr>
        <w:pStyle w:val="57"/>
        <w:spacing w:line="300" w:lineRule="auto"/>
        <w:ind w:firstLine="420"/>
        <w:contextualSpacing/>
        <w:rPr>
          <w:szCs w:val="21"/>
        </w:rPr>
      </w:pPr>
      <w:r>
        <w:rPr>
          <w:rFonts w:hint="eastAsia"/>
          <w:szCs w:val="21"/>
        </w:rPr>
        <w:t>（无）</w:t>
      </w:r>
    </w:p>
    <w:p w14:paraId="372D29F8">
      <w:pPr>
        <w:pStyle w:val="73"/>
        <w:tabs>
          <w:tab w:val="left" w:pos="426"/>
        </w:tabs>
        <w:spacing w:before="312" w:beforeLines="100" w:after="312" w:afterLines="100"/>
        <w:jc w:val="left"/>
      </w:pPr>
      <w:bookmarkStart w:id="72" w:name="_Toc464728976"/>
      <w:r>
        <w:rPr>
          <w:highlight w:val="lightGray"/>
        </w:rPr>
        <w:t>七、</w:t>
      </w:r>
      <w:r>
        <w:rPr>
          <w:rFonts w:hint="eastAsia"/>
        </w:rPr>
        <w:t>贯彻规范的要求和措施建议</w:t>
      </w:r>
      <w:bookmarkEnd w:id="72"/>
    </w:p>
    <w:p w14:paraId="5AAFCE8F">
      <w:pPr>
        <w:pStyle w:val="57"/>
        <w:spacing w:line="360" w:lineRule="auto"/>
        <w:ind w:firstLine="420"/>
        <w:contextualSpacing/>
        <w:rPr>
          <w:szCs w:val="21"/>
        </w:rPr>
      </w:pPr>
      <w:r>
        <w:rPr>
          <w:rFonts w:hint="eastAsia"/>
          <w:szCs w:val="21"/>
        </w:rPr>
        <w:t>本规范发布后，中国有色金属行业协会和有色金属行业计量技术委员会应加强本规范的宣传力度，促进</w:t>
      </w:r>
      <w:r>
        <w:rPr>
          <w:rFonts w:hint="eastAsia"/>
        </w:rPr>
        <w:t>直流电弧-原子发射光谱仪</w:t>
      </w:r>
      <w:r>
        <w:rPr>
          <w:rFonts w:hint="eastAsia"/>
          <w:szCs w:val="21"/>
        </w:rPr>
        <w:t>生产厂家按照设备使用情况合理选用校准规程，以促进我国企业的技术进步和产品质量上档次，提高我国产品在国际国内市场的竞争能力。</w:t>
      </w:r>
    </w:p>
    <w:p w14:paraId="25941805">
      <w:pPr>
        <w:pStyle w:val="73"/>
        <w:tabs>
          <w:tab w:val="left" w:pos="426"/>
        </w:tabs>
        <w:spacing w:before="312" w:beforeLines="100" w:after="312" w:afterLines="100"/>
        <w:jc w:val="left"/>
      </w:pPr>
      <w:bookmarkStart w:id="73" w:name="_Toc464728977"/>
      <w:r>
        <w:rPr>
          <w:highlight w:val="lightGray"/>
        </w:rPr>
        <w:t>八、</w:t>
      </w:r>
      <w:r>
        <w:rPr>
          <w:rFonts w:hint="eastAsia"/>
        </w:rPr>
        <w:t>废止现行有关规范的建议</w:t>
      </w:r>
      <w:bookmarkEnd w:id="73"/>
    </w:p>
    <w:p w14:paraId="3D6A4A03">
      <w:pPr>
        <w:pStyle w:val="57"/>
        <w:spacing w:line="300" w:lineRule="auto"/>
        <w:ind w:firstLine="420"/>
        <w:contextualSpacing/>
        <w:rPr>
          <w:szCs w:val="21"/>
        </w:rPr>
      </w:pPr>
      <w:r>
        <w:rPr>
          <w:rFonts w:hint="eastAsia"/>
          <w:szCs w:val="21"/>
        </w:rPr>
        <w:t>（无）。</w:t>
      </w:r>
    </w:p>
    <w:p w14:paraId="31A638E5">
      <w:pPr>
        <w:pStyle w:val="73"/>
        <w:tabs>
          <w:tab w:val="left" w:pos="426"/>
        </w:tabs>
        <w:spacing w:before="312" w:beforeLines="100" w:after="312" w:afterLines="100"/>
        <w:jc w:val="left"/>
      </w:pPr>
      <w:bookmarkStart w:id="74" w:name="_Toc464728978"/>
      <w:r>
        <w:rPr>
          <w:highlight w:val="lightGray"/>
        </w:rPr>
        <w:t>九、</w:t>
      </w:r>
      <w:r>
        <w:rPr>
          <w:rFonts w:hint="eastAsia"/>
        </w:rPr>
        <w:t>产业化情况、推广应用论证和预期达到的经济效果</w:t>
      </w:r>
      <w:bookmarkEnd w:id="74"/>
    </w:p>
    <w:p w14:paraId="50E180EF">
      <w:pPr>
        <w:pStyle w:val="57"/>
        <w:spacing w:line="300" w:lineRule="auto"/>
        <w:ind w:firstLine="420"/>
        <w:contextualSpacing/>
        <w:rPr>
          <w:rFonts w:cs="宋体"/>
          <w:kern w:val="2"/>
          <w:szCs w:val="21"/>
        </w:rPr>
      </w:pPr>
      <w:r>
        <w:rPr>
          <w:rFonts w:hint="eastAsia"/>
        </w:rPr>
        <w:t>直流电弧-原子发射光谱仪</w:t>
      </w:r>
      <w:r>
        <w:rPr>
          <w:rFonts w:hint="eastAsia" w:cs="宋体"/>
          <w:szCs w:val="21"/>
        </w:rPr>
        <w:t>校准规范的缺乏，已经无法满足日益增长的应用需求，</w:t>
      </w:r>
      <w:r>
        <w:rPr>
          <w:rFonts w:hint="eastAsia" w:cs="宋体"/>
          <w:kern w:val="2"/>
          <w:szCs w:val="21"/>
        </w:rPr>
        <w:t>本规范的制定，具有极大的经济效益和社会效益，市场发展和政府急需程度非常高。</w:t>
      </w:r>
    </w:p>
    <w:p w14:paraId="4C58C466">
      <w:pPr>
        <w:pStyle w:val="57"/>
        <w:spacing w:line="300" w:lineRule="auto"/>
        <w:ind w:firstLine="420"/>
        <w:contextualSpacing/>
        <w:rPr>
          <w:rFonts w:cs="宋体"/>
          <w:kern w:val="2"/>
          <w:szCs w:val="21"/>
        </w:rPr>
      </w:pPr>
    </w:p>
    <w:p w14:paraId="601BFC95">
      <w:pPr>
        <w:pStyle w:val="57"/>
        <w:spacing w:line="300" w:lineRule="auto"/>
        <w:ind w:firstLine="420"/>
        <w:contextualSpacing/>
        <w:rPr>
          <w:rFonts w:cs="宋体"/>
          <w:kern w:val="2"/>
          <w:szCs w:val="21"/>
        </w:rPr>
      </w:pPr>
    </w:p>
    <w:p w14:paraId="047366B5">
      <w:pPr>
        <w:pStyle w:val="57"/>
        <w:spacing w:line="300" w:lineRule="auto"/>
        <w:ind w:firstLine="420"/>
        <w:contextualSpacing/>
        <w:rPr>
          <w:rFonts w:cs="宋体"/>
          <w:kern w:val="2"/>
          <w:szCs w:val="21"/>
        </w:rPr>
      </w:pPr>
    </w:p>
    <w:p w14:paraId="2D6F1E9B">
      <w:pPr>
        <w:spacing w:line="360" w:lineRule="auto"/>
        <w:jc w:val="right"/>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r>
        <w:rPr>
          <w:rFonts w:hint="eastAsia"/>
        </w:rPr>
        <w:t>直流电弧-原子发射光谱</w:t>
      </w:r>
      <w:r>
        <w:rPr>
          <w:rFonts w:hint="eastAsia" w:asciiTheme="minorEastAsia" w:hAnsiTheme="minorEastAsia" w:eastAsiaTheme="minorEastAsia" w:cstheme="minorEastAsia"/>
          <w:bCs/>
          <w:szCs w:val="21"/>
        </w:rPr>
        <w:t>仪校准规范</w:t>
      </w:r>
      <w:r>
        <w:rPr>
          <w:rFonts w:hint="eastAsia" w:asciiTheme="minorEastAsia" w:hAnsiTheme="minorEastAsia" w:eastAsiaTheme="minorEastAsia" w:cstheme="minorEastAsia"/>
          <w:bCs/>
          <w:kern w:val="0"/>
          <w:szCs w:val="21"/>
        </w:rPr>
        <w:t>》规范编制组</w:t>
      </w:r>
    </w:p>
    <w:p w14:paraId="5A37E593">
      <w:pPr>
        <w:pStyle w:val="57"/>
        <w:spacing w:line="360" w:lineRule="auto"/>
        <w:ind w:firstLine="420"/>
        <w:contextualSpacing/>
        <w:jc w:val="right"/>
        <w:rPr>
          <w:szCs w:val="21"/>
        </w:rPr>
      </w:pPr>
      <w:r>
        <w:rPr>
          <w:rFonts w:hint="eastAsia" w:asciiTheme="minorEastAsia" w:hAnsiTheme="minorEastAsia" w:eastAsiaTheme="minorEastAsia" w:cstheme="minorEastAsia"/>
          <w:bCs/>
        </w:rPr>
        <w:t>2024年</w:t>
      </w:r>
      <w:r>
        <w:rPr>
          <w:rFonts w:asciiTheme="minorEastAsia" w:hAnsiTheme="minorEastAsia" w:eastAsiaTheme="minorEastAsia" w:cstheme="minorEastAsia"/>
          <w:bCs/>
        </w:rPr>
        <w:t>8</w:t>
      </w:r>
      <w:r>
        <w:rPr>
          <w:rFonts w:hint="eastAsia" w:asciiTheme="minorEastAsia" w:hAnsiTheme="minorEastAsia" w:eastAsiaTheme="minorEastAsia" w:cstheme="minorEastAsia"/>
          <w:bCs/>
        </w:rPr>
        <w:t>月</w:t>
      </w:r>
      <w:r>
        <w:rPr>
          <w:rFonts w:asciiTheme="minorEastAsia" w:hAnsiTheme="minorEastAsia" w:eastAsiaTheme="minorEastAsia" w:cstheme="minorEastAsia"/>
          <w:bCs/>
        </w:rPr>
        <w:t>01</w:t>
      </w:r>
      <w:r>
        <w:rPr>
          <w:rFonts w:hint="eastAsia" w:asciiTheme="minorEastAsia" w:hAnsiTheme="minorEastAsia" w:eastAsiaTheme="minorEastAsia" w:cstheme="minorEastAsia"/>
          <w:bCs/>
        </w:rPr>
        <w:t>日</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dobe 黑体 Std R">
    <w:altName w:val="黑体"/>
    <w:panose1 w:val="00000000000000000000"/>
    <w:charset w:val="86"/>
    <w:family w:val="swiss"/>
    <w:pitch w:val="default"/>
    <w:sig w:usb0="00000000" w:usb1="00000000" w:usb2="00000010" w:usb3="00000000" w:csb0="00060007" w:csb1="00000000"/>
  </w:font>
  <w:font w:name="Cambria Math">
    <w:panose1 w:val="02040503050406030204"/>
    <w:charset w:val="00"/>
    <w:family w:val="roman"/>
    <w:pitch w:val="default"/>
    <w:sig w:usb0="E00006FF" w:usb1="420024FF" w:usb2="02000000" w:usb3="00000000" w:csb0="2000019F" w:csb1="00000000"/>
  </w:font>
  <w:font w:name="FZSSK--GBK1-0">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CB02">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BD5E">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B679">
    <w:pPr>
      <w:pStyle w:val="72"/>
      <w:jc w:val="center"/>
      <w:rPr>
        <w:rStyle w:val="44"/>
      </w:rPr>
    </w:pPr>
    <w:r>
      <w:fldChar w:fldCharType="begin"/>
    </w:r>
    <w:r>
      <w:rPr>
        <w:rStyle w:val="44"/>
      </w:rPr>
      <w:instrText xml:space="preserve">PAGE  </w:instrText>
    </w:r>
    <w:r>
      <w:fldChar w:fldCharType="separate"/>
    </w:r>
    <w:r>
      <w:rPr>
        <w:rStyle w:val="44"/>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2D25">
    <w:pPr>
      <w:pStyle w:val="30"/>
      <w:jc w:val="both"/>
    </w:pPr>
  </w:p>
  <w:p w14:paraId="60E5A434">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2DEC">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9B5E">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1779">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default" w:ascii="Times New Roman" w:hAnsi="Times New Roman" w:eastAsia="黑体" w:cs="Times New Roman"/>
        <w:b w:val="0"/>
        <w:i w:val="0"/>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68"/>
    <w:rsid w:val="00004648"/>
    <w:rsid w:val="00014C66"/>
    <w:rsid w:val="000309D7"/>
    <w:rsid w:val="00032F98"/>
    <w:rsid w:val="00034584"/>
    <w:rsid w:val="00036A21"/>
    <w:rsid w:val="00036F02"/>
    <w:rsid w:val="0004299E"/>
    <w:rsid w:val="00043D6D"/>
    <w:rsid w:val="0005032A"/>
    <w:rsid w:val="0005764E"/>
    <w:rsid w:val="000657B2"/>
    <w:rsid w:val="0007070D"/>
    <w:rsid w:val="00084878"/>
    <w:rsid w:val="000971D5"/>
    <w:rsid w:val="0009757C"/>
    <w:rsid w:val="000C772A"/>
    <w:rsid w:val="000E4BE0"/>
    <w:rsid w:val="000E4DD5"/>
    <w:rsid w:val="000F714B"/>
    <w:rsid w:val="00100912"/>
    <w:rsid w:val="00104CBC"/>
    <w:rsid w:val="001164A0"/>
    <w:rsid w:val="0012155C"/>
    <w:rsid w:val="00122AD8"/>
    <w:rsid w:val="00136813"/>
    <w:rsid w:val="0014120B"/>
    <w:rsid w:val="001419F5"/>
    <w:rsid w:val="00144810"/>
    <w:rsid w:val="00150062"/>
    <w:rsid w:val="0019431C"/>
    <w:rsid w:val="00195E68"/>
    <w:rsid w:val="001A4F75"/>
    <w:rsid w:val="001C13CE"/>
    <w:rsid w:val="001C6C6F"/>
    <w:rsid w:val="001C7BB8"/>
    <w:rsid w:val="001D0501"/>
    <w:rsid w:val="001E0288"/>
    <w:rsid w:val="001E09C6"/>
    <w:rsid w:val="00235374"/>
    <w:rsid w:val="00247A7D"/>
    <w:rsid w:val="00255EB1"/>
    <w:rsid w:val="002732FF"/>
    <w:rsid w:val="00275F7A"/>
    <w:rsid w:val="00280BE9"/>
    <w:rsid w:val="002849BB"/>
    <w:rsid w:val="00291548"/>
    <w:rsid w:val="002977EC"/>
    <w:rsid w:val="002A1305"/>
    <w:rsid w:val="002D0634"/>
    <w:rsid w:val="002E6C19"/>
    <w:rsid w:val="002F4E61"/>
    <w:rsid w:val="003012C4"/>
    <w:rsid w:val="00305CB9"/>
    <w:rsid w:val="00307A90"/>
    <w:rsid w:val="0032338B"/>
    <w:rsid w:val="003318C1"/>
    <w:rsid w:val="00335FEC"/>
    <w:rsid w:val="00352269"/>
    <w:rsid w:val="00397407"/>
    <w:rsid w:val="003A00B9"/>
    <w:rsid w:val="003B0148"/>
    <w:rsid w:val="003C685D"/>
    <w:rsid w:val="003E237F"/>
    <w:rsid w:val="003E724B"/>
    <w:rsid w:val="00400BF2"/>
    <w:rsid w:val="0040777C"/>
    <w:rsid w:val="00411DC2"/>
    <w:rsid w:val="00415481"/>
    <w:rsid w:val="004257BB"/>
    <w:rsid w:val="00455FE9"/>
    <w:rsid w:val="0046211B"/>
    <w:rsid w:val="00464019"/>
    <w:rsid w:val="004655AF"/>
    <w:rsid w:val="0048362B"/>
    <w:rsid w:val="00491B4C"/>
    <w:rsid w:val="00497039"/>
    <w:rsid w:val="004A27E5"/>
    <w:rsid w:val="004B1DE2"/>
    <w:rsid w:val="004C6FDF"/>
    <w:rsid w:val="004E1361"/>
    <w:rsid w:val="004E4C45"/>
    <w:rsid w:val="004E5080"/>
    <w:rsid w:val="00521FA9"/>
    <w:rsid w:val="0052761B"/>
    <w:rsid w:val="005305AE"/>
    <w:rsid w:val="00531FA0"/>
    <w:rsid w:val="00532A75"/>
    <w:rsid w:val="00536268"/>
    <w:rsid w:val="005535AA"/>
    <w:rsid w:val="0055489A"/>
    <w:rsid w:val="00556AC4"/>
    <w:rsid w:val="005608DA"/>
    <w:rsid w:val="00567271"/>
    <w:rsid w:val="005709C3"/>
    <w:rsid w:val="00573D36"/>
    <w:rsid w:val="005832AA"/>
    <w:rsid w:val="0059121E"/>
    <w:rsid w:val="005B5BAB"/>
    <w:rsid w:val="005C2448"/>
    <w:rsid w:val="005C769A"/>
    <w:rsid w:val="005D7A30"/>
    <w:rsid w:val="005E67C7"/>
    <w:rsid w:val="005F42DD"/>
    <w:rsid w:val="00601ADF"/>
    <w:rsid w:val="00606487"/>
    <w:rsid w:val="0061463F"/>
    <w:rsid w:val="00617343"/>
    <w:rsid w:val="00623451"/>
    <w:rsid w:val="00624A40"/>
    <w:rsid w:val="00625140"/>
    <w:rsid w:val="00627726"/>
    <w:rsid w:val="00633572"/>
    <w:rsid w:val="00636E32"/>
    <w:rsid w:val="00637AB5"/>
    <w:rsid w:val="00644C6D"/>
    <w:rsid w:val="006510D6"/>
    <w:rsid w:val="00655E3B"/>
    <w:rsid w:val="00672533"/>
    <w:rsid w:val="006738AA"/>
    <w:rsid w:val="006820CD"/>
    <w:rsid w:val="006822A6"/>
    <w:rsid w:val="00683E68"/>
    <w:rsid w:val="00686643"/>
    <w:rsid w:val="00693668"/>
    <w:rsid w:val="006A1BA9"/>
    <w:rsid w:val="006B3185"/>
    <w:rsid w:val="006B43C4"/>
    <w:rsid w:val="006C188A"/>
    <w:rsid w:val="006C2258"/>
    <w:rsid w:val="006C2AF8"/>
    <w:rsid w:val="006D1B98"/>
    <w:rsid w:val="006D7E99"/>
    <w:rsid w:val="006E11F0"/>
    <w:rsid w:val="00713272"/>
    <w:rsid w:val="00724E03"/>
    <w:rsid w:val="00733C71"/>
    <w:rsid w:val="00735A75"/>
    <w:rsid w:val="007373AB"/>
    <w:rsid w:val="00740702"/>
    <w:rsid w:val="00743BA2"/>
    <w:rsid w:val="00743BAC"/>
    <w:rsid w:val="00746BAC"/>
    <w:rsid w:val="00750ED3"/>
    <w:rsid w:val="007567BD"/>
    <w:rsid w:val="00764D0A"/>
    <w:rsid w:val="00765621"/>
    <w:rsid w:val="007901C0"/>
    <w:rsid w:val="007902D1"/>
    <w:rsid w:val="007A3BEE"/>
    <w:rsid w:val="007C15E3"/>
    <w:rsid w:val="007C3426"/>
    <w:rsid w:val="007C7F2E"/>
    <w:rsid w:val="007E56C9"/>
    <w:rsid w:val="007E7073"/>
    <w:rsid w:val="00820F69"/>
    <w:rsid w:val="00824B04"/>
    <w:rsid w:val="008461B6"/>
    <w:rsid w:val="0085122B"/>
    <w:rsid w:val="0086056F"/>
    <w:rsid w:val="00861775"/>
    <w:rsid w:val="008754EE"/>
    <w:rsid w:val="00876D87"/>
    <w:rsid w:val="008776F8"/>
    <w:rsid w:val="00881D7D"/>
    <w:rsid w:val="00887B8A"/>
    <w:rsid w:val="008A2CA7"/>
    <w:rsid w:val="008B22FC"/>
    <w:rsid w:val="008B71F5"/>
    <w:rsid w:val="008C672E"/>
    <w:rsid w:val="008E415E"/>
    <w:rsid w:val="008F5DCA"/>
    <w:rsid w:val="009016C8"/>
    <w:rsid w:val="009111C1"/>
    <w:rsid w:val="00913ED1"/>
    <w:rsid w:val="00933D2C"/>
    <w:rsid w:val="00946B7D"/>
    <w:rsid w:val="00954DA4"/>
    <w:rsid w:val="00967A11"/>
    <w:rsid w:val="00971240"/>
    <w:rsid w:val="0099735A"/>
    <w:rsid w:val="009A12AB"/>
    <w:rsid w:val="009B4929"/>
    <w:rsid w:val="009C0597"/>
    <w:rsid w:val="009C2D10"/>
    <w:rsid w:val="009D79FA"/>
    <w:rsid w:val="009E3D09"/>
    <w:rsid w:val="009F25C4"/>
    <w:rsid w:val="00A11A21"/>
    <w:rsid w:val="00A1497C"/>
    <w:rsid w:val="00A15577"/>
    <w:rsid w:val="00A3211C"/>
    <w:rsid w:val="00A363F7"/>
    <w:rsid w:val="00A40E4F"/>
    <w:rsid w:val="00A47FE2"/>
    <w:rsid w:val="00A5241E"/>
    <w:rsid w:val="00A5269F"/>
    <w:rsid w:val="00A56163"/>
    <w:rsid w:val="00A77511"/>
    <w:rsid w:val="00A8043A"/>
    <w:rsid w:val="00A8426B"/>
    <w:rsid w:val="00AA63ED"/>
    <w:rsid w:val="00AC0924"/>
    <w:rsid w:val="00AE0B35"/>
    <w:rsid w:val="00AE47AC"/>
    <w:rsid w:val="00AF7111"/>
    <w:rsid w:val="00B056DA"/>
    <w:rsid w:val="00B05E25"/>
    <w:rsid w:val="00B369B6"/>
    <w:rsid w:val="00B43636"/>
    <w:rsid w:val="00B60FA7"/>
    <w:rsid w:val="00B614F2"/>
    <w:rsid w:val="00B62A1E"/>
    <w:rsid w:val="00B706F7"/>
    <w:rsid w:val="00B7116A"/>
    <w:rsid w:val="00B75677"/>
    <w:rsid w:val="00BA33C4"/>
    <w:rsid w:val="00BB316D"/>
    <w:rsid w:val="00BB4554"/>
    <w:rsid w:val="00BB7985"/>
    <w:rsid w:val="00BC66A0"/>
    <w:rsid w:val="00BC6B82"/>
    <w:rsid w:val="00BF4703"/>
    <w:rsid w:val="00C058B2"/>
    <w:rsid w:val="00C10883"/>
    <w:rsid w:val="00C113A5"/>
    <w:rsid w:val="00C2681C"/>
    <w:rsid w:val="00C27739"/>
    <w:rsid w:val="00C40CAE"/>
    <w:rsid w:val="00C4782D"/>
    <w:rsid w:val="00C53BDD"/>
    <w:rsid w:val="00C5550F"/>
    <w:rsid w:val="00C57BAB"/>
    <w:rsid w:val="00C65160"/>
    <w:rsid w:val="00C66C85"/>
    <w:rsid w:val="00C70EA3"/>
    <w:rsid w:val="00C7537E"/>
    <w:rsid w:val="00C813CE"/>
    <w:rsid w:val="00C81A49"/>
    <w:rsid w:val="00C856A1"/>
    <w:rsid w:val="00CB750D"/>
    <w:rsid w:val="00CC3C55"/>
    <w:rsid w:val="00CC491D"/>
    <w:rsid w:val="00CC52E3"/>
    <w:rsid w:val="00CD2D13"/>
    <w:rsid w:val="00CD759E"/>
    <w:rsid w:val="00CF3CAA"/>
    <w:rsid w:val="00CF668F"/>
    <w:rsid w:val="00D01726"/>
    <w:rsid w:val="00D16568"/>
    <w:rsid w:val="00D17115"/>
    <w:rsid w:val="00D436F5"/>
    <w:rsid w:val="00D45F0F"/>
    <w:rsid w:val="00D6471A"/>
    <w:rsid w:val="00D86648"/>
    <w:rsid w:val="00D903E4"/>
    <w:rsid w:val="00DA22D1"/>
    <w:rsid w:val="00DB4F65"/>
    <w:rsid w:val="00DC4F14"/>
    <w:rsid w:val="00DD6769"/>
    <w:rsid w:val="00DE144C"/>
    <w:rsid w:val="00E019C6"/>
    <w:rsid w:val="00E22714"/>
    <w:rsid w:val="00E23465"/>
    <w:rsid w:val="00E31A7B"/>
    <w:rsid w:val="00E32480"/>
    <w:rsid w:val="00E71DCC"/>
    <w:rsid w:val="00E736E0"/>
    <w:rsid w:val="00E82471"/>
    <w:rsid w:val="00E911BC"/>
    <w:rsid w:val="00EB2994"/>
    <w:rsid w:val="00ED5F91"/>
    <w:rsid w:val="00EE26BA"/>
    <w:rsid w:val="00EE5988"/>
    <w:rsid w:val="00F07D5E"/>
    <w:rsid w:val="00F10C9E"/>
    <w:rsid w:val="00F306C3"/>
    <w:rsid w:val="00F32186"/>
    <w:rsid w:val="00F3447A"/>
    <w:rsid w:val="00F375B4"/>
    <w:rsid w:val="00F507FB"/>
    <w:rsid w:val="00F5644A"/>
    <w:rsid w:val="00F7167F"/>
    <w:rsid w:val="00F71F31"/>
    <w:rsid w:val="00F80059"/>
    <w:rsid w:val="00F91E84"/>
    <w:rsid w:val="00FA4CA4"/>
    <w:rsid w:val="00FC7BF3"/>
    <w:rsid w:val="00FD235D"/>
    <w:rsid w:val="00FD72E5"/>
    <w:rsid w:val="00FD7FCA"/>
    <w:rsid w:val="00FE0C1C"/>
    <w:rsid w:val="00FE17CA"/>
    <w:rsid w:val="00FE1932"/>
    <w:rsid w:val="00FE1A74"/>
    <w:rsid w:val="00FF5630"/>
    <w:rsid w:val="02F703B0"/>
    <w:rsid w:val="07DC0ED5"/>
    <w:rsid w:val="08FB05C9"/>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99"/>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hAnsi="Times New Roman" w:eastAsia="黑体" w:cs="Times New Roman"/>
      <w:color w:val="FF0000"/>
      <w:spacing w:val="-4"/>
      <w:sz w:val="21"/>
      <w:szCs w:val="24"/>
    </w:rPr>
  </w:style>
  <w:style w:type="character" w:customStyle="1" w:styleId="279">
    <w:name w:val="纯文本 Char"/>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Char"/>
    <w:link w:val="29"/>
    <w:qFormat/>
    <w:uiPriority w:val="99"/>
    <w:rPr>
      <w:kern w:val="2"/>
      <w:sz w:val="18"/>
      <w:szCs w:val="18"/>
    </w:rPr>
  </w:style>
  <w:style w:type="character" w:customStyle="1" w:styleId="282">
    <w:name w:val="正文文本 Char"/>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Char"/>
    <w:link w:val="30"/>
    <w:qFormat/>
    <w:uiPriority w:val="99"/>
    <w:rPr>
      <w:kern w:val="2"/>
      <w:sz w:val="18"/>
      <w:szCs w:val="18"/>
    </w:rPr>
  </w:style>
  <w:style w:type="character" w:customStyle="1" w:styleId="285">
    <w:name w:val="正文文本缩进 Char"/>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Char"/>
    <w:link w:val="20"/>
    <w:qFormat/>
    <w:uiPriority w:val="0"/>
    <w:rPr>
      <w:kern w:val="2"/>
      <w:sz w:val="21"/>
      <w:szCs w:val="24"/>
    </w:rPr>
  </w:style>
  <w:style w:type="character" w:customStyle="1" w:styleId="288">
    <w:name w:val="批注主题 Char"/>
    <w:link w:val="38"/>
    <w:qFormat/>
    <w:uiPriority w:val="0"/>
    <w:rPr>
      <w:b/>
      <w:bCs/>
      <w:kern w:val="2"/>
      <w:sz w:val="21"/>
      <w:szCs w:val="24"/>
    </w:rPr>
  </w:style>
  <w:style w:type="character" w:customStyle="1" w:styleId="289">
    <w:name w:val="页眉 Char"/>
    <w:link w:val="31"/>
    <w:qFormat/>
    <w:uiPriority w:val="99"/>
    <w:rPr>
      <w:kern w:val="2"/>
      <w:sz w:val="18"/>
      <w:szCs w:val="18"/>
    </w:rPr>
  </w:style>
  <w:style w:type="character" w:customStyle="1" w:styleId="290">
    <w:name w:val="正文文本缩进 2 Char"/>
    <w:link w:val="27"/>
    <w:qFormat/>
    <w:uiPriority w:val="0"/>
    <w:rPr>
      <w:kern w:val="2"/>
      <w:sz w:val="21"/>
      <w:szCs w:val="24"/>
    </w:rPr>
  </w:style>
  <w:style w:type="character" w:customStyle="1" w:styleId="291">
    <w:name w:val="日期 Char"/>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303">
    <w:name w:val="fontstyle01"/>
    <w:basedOn w:val="42"/>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A57B2-3D42-46A4-97A6-0BFDA23E8566}">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4370</Words>
  <Characters>4781</Characters>
  <Lines>37</Lines>
  <Paragraphs>10</Paragraphs>
  <TotalTime>400</TotalTime>
  <ScaleCrop>false</ScaleCrop>
  <LinksUpToDate>false</LinksUpToDate>
  <CharactersWithSpaces>5010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2022-01-09T10:10:00Z</dcterms:created>
  <dc:creator>标准李瑞山9585</dc:creator>
  <cp:lastModifiedBy>闫中南</cp:lastModifiedBy>
  <cp:lastPrinted>2016-10-20T04:13:00Z</cp:lastPrinted>
  <dcterms:modified xsi:type="dcterms:W3CDTF">2024-08-18T17:54:18Z</dcterms:modified>
  <dc:title>标准名称</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2C8A1FB77A8241D88F4867CD651FB6CD_12</vt:lpwstr>
  </property>
</Properties>
</file>