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25"/>
        <w:gridCol w:w="3901"/>
        <w:gridCol w:w="1559"/>
        <w:gridCol w:w="1276"/>
        <w:gridCol w:w="2239"/>
      </w:tblGrid>
      <w:tr w:rsidR="00BC2250" w:rsidRPr="00DA0ECE" w14:paraId="0F01BDEE" w14:textId="66E52C25" w:rsidTr="00AD5C67">
        <w:trPr>
          <w:trHeight w:val="573"/>
          <w:jc w:val="center"/>
        </w:trPr>
        <w:tc>
          <w:tcPr>
            <w:tcW w:w="0" w:type="auto"/>
            <w:vAlign w:val="center"/>
          </w:tcPr>
          <w:p w14:paraId="7A4492DB" w14:textId="54B2776F" w:rsidR="00BC2250" w:rsidRPr="00BC2250" w:rsidRDefault="00BC2250" w:rsidP="00BC2250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BC2250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33C2C4FC" w14:textId="5FAD1D9E" w:rsidR="00BC2250" w:rsidRPr="00BC2250" w:rsidRDefault="00BC2250" w:rsidP="00BC2250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BC2250">
              <w:rPr>
                <w:rFonts w:ascii="宋体" w:hAnsi="宋体" w:hint="eastAsia"/>
                <w:b/>
                <w:sz w:val="21"/>
                <w:szCs w:val="21"/>
              </w:rPr>
              <w:t>标准章条编号</w:t>
            </w:r>
            <w:proofErr w:type="gramEnd"/>
          </w:p>
        </w:tc>
        <w:tc>
          <w:tcPr>
            <w:tcW w:w="3901" w:type="dxa"/>
            <w:vAlign w:val="center"/>
          </w:tcPr>
          <w:p w14:paraId="520BC0E7" w14:textId="77D5D67F" w:rsidR="00BC2250" w:rsidRPr="00BC2250" w:rsidRDefault="00BC2250" w:rsidP="00BC2250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BC2250">
              <w:rPr>
                <w:rFonts w:ascii="宋体" w:hAnsi="宋体" w:hint="eastAsia"/>
                <w:b/>
                <w:sz w:val="21"/>
                <w:szCs w:val="21"/>
              </w:rPr>
              <w:t>意见内容</w:t>
            </w:r>
          </w:p>
        </w:tc>
        <w:tc>
          <w:tcPr>
            <w:tcW w:w="1559" w:type="dxa"/>
            <w:vAlign w:val="center"/>
          </w:tcPr>
          <w:p w14:paraId="27F43117" w14:textId="54ECDF14" w:rsidR="00BC2250" w:rsidRPr="00BC2250" w:rsidRDefault="00BC2250" w:rsidP="00BC2250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BC2250">
              <w:rPr>
                <w:rFonts w:ascii="宋体" w:hAnsi="宋体" w:hint="eastAsia"/>
                <w:b/>
                <w:sz w:val="21"/>
                <w:szCs w:val="21"/>
              </w:rPr>
              <w:t>提出单位</w:t>
            </w:r>
          </w:p>
        </w:tc>
        <w:tc>
          <w:tcPr>
            <w:tcW w:w="1276" w:type="dxa"/>
            <w:vAlign w:val="center"/>
          </w:tcPr>
          <w:p w14:paraId="5E0C0AA8" w14:textId="3AE5DB20" w:rsidR="00BC2250" w:rsidRPr="00BC2250" w:rsidRDefault="00BC2250" w:rsidP="00BC2250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BC2250">
              <w:rPr>
                <w:rFonts w:ascii="宋体" w:hAnsi="宋体" w:hint="eastAsia"/>
                <w:b/>
                <w:sz w:val="21"/>
                <w:szCs w:val="21"/>
              </w:rPr>
              <w:t>处理意见</w:t>
            </w:r>
          </w:p>
        </w:tc>
        <w:tc>
          <w:tcPr>
            <w:tcW w:w="2239" w:type="dxa"/>
            <w:vAlign w:val="center"/>
          </w:tcPr>
          <w:p w14:paraId="00DB65A1" w14:textId="658C66A2" w:rsidR="00BC2250" w:rsidRPr="00BC2250" w:rsidRDefault="00BC2250" w:rsidP="00BC2250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BC2250"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BC2250" w:rsidRPr="00DA0ECE" w14:paraId="2AE96370" w14:textId="7BD69153" w:rsidTr="00AD5C67">
        <w:trPr>
          <w:jc w:val="center"/>
        </w:trPr>
        <w:tc>
          <w:tcPr>
            <w:tcW w:w="0" w:type="auto"/>
            <w:vAlign w:val="center"/>
          </w:tcPr>
          <w:p w14:paraId="009A6938" w14:textId="15C909C1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3EC331A8" w14:textId="667D5E85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3901" w:type="dxa"/>
            <w:vAlign w:val="center"/>
          </w:tcPr>
          <w:p w14:paraId="6154C93B" w14:textId="72AD312B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粗锌等，建议将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等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字去掉，其实可以明确就这些前序（中间）产品（不接受）</w:t>
            </w:r>
          </w:p>
        </w:tc>
        <w:tc>
          <w:tcPr>
            <w:tcW w:w="1559" w:type="dxa"/>
            <w:vAlign w:val="center"/>
          </w:tcPr>
          <w:p w14:paraId="0CB8C184" w14:textId="0CBBD505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26E499B4" w14:textId="29EF6261" w:rsidR="00BC2250" w:rsidRPr="00DA0ECE" w:rsidRDefault="00BC2250" w:rsidP="00AD5C67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未采纳。</w:t>
            </w:r>
          </w:p>
        </w:tc>
        <w:tc>
          <w:tcPr>
            <w:tcW w:w="2239" w:type="dxa"/>
          </w:tcPr>
          <w:p w14:paraId="71921410" w14:textId="4655855C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随着市场需求和工艺进步，有可能出现标准未包含在内的前序产品。为标准严谨，保留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等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</w:p>
        </w:tc>
      </w:tr>
      <w:tr w:rsidR="00BC2250" w:rsidRPr="00DA0ECE" w14:paraId="66C51C1F" w14:textId="0C189962" w:rsidTr="00AD5C67">
        <w:trPr>
          <w:jc w:val="center"/>
        </w:trPr>
        <w:tc>
          <w:tcPr>
            <w:tcW w:w="0" w:type="auto"/>
            <w:vAlign w:val="center"/>
          </w:tcPr>
          <w:p w14:paraId="56987962" w14:textId="05354E02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32757932" w14:textId="7E6BD016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</w:t>
            </w:r>
            <w:r w:rsidRPr="00DA0ECE">
              <w:rPr>
                <w:rFonts w:cs="Times New Roman"/>
                <w:sz w:val="21"/>
                <w:szCs w:val="21"/>
              </w:rPr>
              <w:t>和</w:t>
            </w:r>
            <w:r w:rsidRPr="00DA0ECE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3901" w:type="dxa"/>
            <w:vAlign w:val="center"/>
          </w:tcPr>
          <w:p w14:paraId="5FB74FC6" w14:textId="091ACDA9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GB/T 32150</w:t>
            </w:r>
            <w:r w:rsidRPr="00DA0ECE">
              <w:rPr>
                <w:rFonts w:cs="Times New Roman"/>
                <w:sz w:val="21"/>
                <w:szCs w:val="21"/>
              </w:rPr>
              <w:t>适用于组织碳核算，放在这个产品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碳标准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里是否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合适还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请斟酌；如果仅为了引用术语，是否还有其他可以引用的与产品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碳相关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的出处？</w:t>
            </w:r>
          </w:p>
        </w:tc>
        <w:tc>
          <w:tcPr>
            <w:tcW w:w="1559" w:type="dxa"/>
            <w:vAlign w:val="center"/>
          </w:tcPr>
          <w:p w14:paraId="167C4C41" w14:textId="32C2C4F4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39860D9D" w14:textId="750A80F4" w:rsidR="00BC2250" w:rsidRPr="00DA0ECE" w:rsidRDefault="00BC2250" w:rsidP="00AD5C67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26C109E9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37E713C1" w14:textId="56A60A28" w:rsidTr="00AD5C67">
        <w:trPr>
          <w:jc w:val="center"/>
        </w:trPr>
        <w:tc>
          <w:tcPr>
            <w:tcW w:w="0" w:type="auto"/>
            <w:vAlign w:val="center"/>
          </w:tcPr>
          <w:p w14:paraId="32D4B42B" w14:textId="2F021950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2510A678" w14:textId="64509500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3.1</w:t>
            </w:r>
          </w:p>
        </w:tc>
        <w:tc>
          <w:tcPr>
            <w:tcW w:w="3901" w:type="dxa"/>
            <w:vAlign w:val="center"/>
          </w:tcPr>
          <w:p w14:paraId="0ACF2310" w14:textId="0270FB38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建议补充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对于锌合金锭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的解释</w:t>
            </w:r>
          </w:p>
        </w:tc>
        <w:tc>
          <w:tcPr>
            <w:tcW w:w="1559" w:type="dxa"/>
            <w:vAlign w:val="center"/>
          </w:tcPr>
          <w:p w14:paraId="4780CBA4" w14:textId="5517B6E1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33114093" w14:textId="09CFC77C" w:rsidR="00BC2250" w:rsidRPr="00DA0ECE" w:rsidRDefault="00BC2250" w:rsidP="00AD5C67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3AE08A8E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0F096B5F" w14:textId="53304440" w:rsidTr="00AD5C67">
        <w:trPr>
          <w:jc w:val="center"/>
        </w:trPr>
        <w:tc>
          <w:tcPr>
            <w:tcW w:w="0" w:type="auto"/>
            <w:vAlign w:val="center"/>
          </w:tcPr>
          <w:p w14:paraId="36EDB07A" w14:textId="03248930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5797F83C" w14:textId="43623B21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3.4</w:t>
            </w:r>
          </w:p>
        </w:tc>
        <w:tc>
          <w:tcPr>
            <w:tcW w:w="3901" w:type="dxa"/>
            <w:vAlign w:val="center"/>
          </w:tcPr>
          <w:p w14:paraId="7C1AED4F" w14:textId="2A834C24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应该改为</w:t>
            </w:r>
            <w:r w:rsidRPr="00DA0ECE">
              <w:rPr>
                <w:rFonts w:cs="Times New Roman"/>
                <w:sz w:val="21"/>
                <w:szCs w:val="21"/>
              </w:rPr>
              <w:t>declared unit</w:t>
            </w:r>
          </w:p>
        </w:tc>
        <w:tc>
          <w:tcPr>
            <w:tcW w:w="1559" w:type="dxa"/>
            <w:vAlign w:val="center"/>
          </w:tcPr>
          <w:p w14:paraId="300EF5E6" w14:textId="1173A83E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48FC3852" w14:textId="1D0A0879" w:rsidR="00BC2250" w:rsidRPr="00DA0ECE" w:rsidRDefault="00BC2250" w:rsidP="00AD5C67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7DB71CD8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0A410988" w14:textId="74DA8340" w:rsidTr="00AD5C67">
        <w:trPr>
          <w:jc w:val="center"/>
        </w:trPr>
        <w:tc>
          <w:tcPr>
            <w:tcW w:w="0" w:type="auto"/>
            <w:vAlign w:val="center"/>
          </w:tcPr>
          <w:p w14:paraId="7768DD39" w14:textId="24F3DB68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0CFBB903" w14:textId="0A0CC1D2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3.11</w:t>
            </w:r>
          </w:p>
        </w:tc>
        <w:tc>
          <w:tcPr>
            <w:tcW w:w="3901" w:type="dxa"/>
            <w:vAlign w:val="center"/>
          </w:tcPr>
          <w:p w14:paraId="2FF571BF" w14:textId="2674465E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共生产品是</w:t>
            </w:r>
            <w:r w:rsidRPr="00DA0ECE">
              <w:rPr>
                <w:rFonts w:cs="Times New Roman"/>
                <w:sz w:val="21"/>
                <w:szCs w:val="21"/>
              </w:rPr>
              <w:t>co-products</w:t>
            </w:r>
          </w:p>
        </w:tc>
        <w:tc>
          <w:tcPr>
            <w:tcW w:w="1559" w:type="dxa"/>
            <w:vAlign w:val="center"/>
          </w:tcPr>
          <w:p w14:paraId="76197510" w14:textId="78A8F7DF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49ACEE5C" w14:textId="053A22EC" w:rsidR="00BC2250" w:rsidRPr="00DA0ECE" w:rsidRDefault="00BC2250" w:rsidP="00AD5C67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7DEA26F5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20CA9F8F" w14:textId="1AE576D3" w:rsidTr="00AD5C67">
        <w:trPr>
          <w:jc w:val="center"/>
        </w:trPr>
        <w:tc>
          <w:tcPr>
            <w:tcW w:w="0" w:type="auto"/>
            <w:vAlign w:val="center"/>
          </w:tcPr>
          <w:p w14:paraId="7C174C2B" w14:textId="225A636B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24D1FC71" w14:textId="55BC5D03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3901" w:type="dxa"/>
            <w:vAlign w:val="center"/>
          </w:tcPr>
          <w:p w14:paraId="26CE4768" w14:textId="35C7876F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考虑到不少企业没有</w:t>
            </w:r>
            <w:r w:rsidRPr="00DA0ECE">
              <w:rPr>
                <w:rFonts w:cs="Times New Roman"/>
                <w:sz w:val="21"/>
                <w:szCs w:val="21"/>
              </w:rPr>
              <w:t>LCA</w:t>
            </w:r>
            <w:r w:rsidRPr="00DA0ECE">
              <w:rPr>
                <w:rFonts w:cs="Times New Roman"/>
                <w:sz w:val="21"/>
                <w:szCs w:val="21"/>
              </w:rPr>
              <w:t>相关专业背景，建议在第</w:t>
            </w:r>
            <w:r w:rsidRPr="00DA0ECE">
              <w:rPr>
                <w:rFonts w:cs="Times New Roman"/>
                <w:sz w:val="21"/>
                <w:szCs w:val="21"/>
              </w:rPr>
              <w:t>4</w:t>
            </w:r>
            <w:r w:rsidRPr="00DA0ECE">
              <w:rPr>
                <w:rFonts w:cs="Times New Roman"/>
                <w:sz w:val="21"/>
                <w:szCs w:val="21"/>
              </w:rPr>
              <w:t>章量化目的之前增加能够指导企业开展碳足迹量化工作流程</w:t>
            </w:r>
            <w:r w:rsidRPr="00DA0ECE">
              <w:rPr>
                <w:rFonts w:cs="Times New Roman"/>
                <w:sz w:val="21"/>
                <w:szCs w:val="21"/>
              </w:rPr>
              <w:t>/</w:t>
            </w:r>
            <w:r w:rsidRPr="00DA0ECE">
              <w:rPr>
                <w:rFonts w:cs="Times New Roman"/>
                <w:sz w:val="21"/>
                <w:szCs w:val="21"/>
              </w:rPr>
              <w:t>步骤，可以以流程图的形式展示，增强本标准在实操层面的指导性</w:t>
            </w:r>
          </w:p>
        </w:tc>
        <w:tc>
          <w:tcPr>
            <w:tcW w:w="1559" w:type="dxa"/>
            <w:vAlign w:val="center"/>
          </w:tcPr>
          <w:p w14:paraId="529617C7" w14:textId="3434EE92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631B1391" w14:textId="7A261933" w:rsidR="00BC2250" w:rsidRPr="00DA0ECE" w:rsidRDefault="00BC2250" w:rsidP="00AD5C67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700C2CD4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6FCBCC51" w14:textId="1E20B95A" w:rsidTr="00AD5C67">
        <w:trPr>
          <w:jc w:val="center"/>
        </w:trPr>
        <w:tc>
          <w:tcPr>
            <w:tcW w:w="0" w:type="auto"/>
            <w:vAlign w:val="center"/>
          </w:tcPr>
          <w:p w14:paraId="1857EA6C" w14:textId="3EAD7BF1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7FC8F0EB" w14:textId="2F4DC0F1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5.1.2</w:t>
            </w:r>
          </w:p>
        </w:tc>
        <w:tc>
          <w:tcPr>
            <w:tcW w:w="3901" w:type="dxa"/>
            <w:vAlign w:val="center"/>
          </w:tcPr>
          <w:p w14:paraId="5ACF76B5" w14:textId="54EFA6E8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建议改为</w:t>
            </w:r>
            <w:r w:rsidRPr="00DA0ECE">
              <w:rPr>
                <w:rFonts w:cs="Times New Roman"/>
                <w:sz w:val="21"/>
                <w:szCs w:val="21"/>
              </w:rPr>
              <w:t>“1</w:t>
            </w:r>
            <w:r w:rsidRPr="00DA0ECE">
              <w:rPr>
                <w:rFonts w:cs="Times New Roman"/>
                <w:sz w:val="21"/>
                <w:szCs w:val="21"/>
              </w:rPr>
              <w:t>吨符合相关产品质量标准的锌产品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</w:p>
        </w:tc>
        <w:tc>
          <w:tcPr>
            <w:tcW w:w="1559" w:type="dxa"/>
            <w:vAlign w:val="center"/>
          </w:tcPr>
          <w:p w14:paraId="6409EA06" w14:textId="21CD87C3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6B63D413" w14:textId="2963595D" w:rsidR="00BC2250" w:rsidRPr="00DA0ECE" w:rsidRDefault="00AD5C67" w:rsidP="00AD5C67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未</w:t>
            </w:r>
            <w:r w:rsidR="00BC2250" w:rsidRPr="00DA0ECE">
              <w:rPr>
                <w:rFonts w:cs="Times New Roman"/>
                <w:sz w:val="21"/>
                <w:szCs w:val="21"/>
              </w:rPr>
              <w:t>采纳</w:t>
            </w:r>
          </w:p>
        </w:tc>
        <w:tc>
          <w:tcPr>
            <w:tcW w:w="2239" w:type="dxa"/>
          </w:tcPr>
          <w:p w14:paraId="687380BE" w14:textId="61518F24" w:rsidR="00BC2250" w:rsidRPr="00DA0ECE" w:rsidRDefault="00AD5C67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前</w:t>
            </w:r>
            <w:proofErr w:type="gramStart"/>
            <w:r>
              <w:rPr>
                <w:rFonts w:cs="Times New Roman" w:hint="eastAsia"/>
                <w:sz w:val="21"/>
                <w:szCs w:val="21"/>
              </w:rPr>
              <w:t>序产品</w:t>
            </w:r>
            <w:proofErr w:type="gramEnd"/>
            <w:r>
              <w:rPr>
                <w:rFonts w:cs="Times New Roman" w:hint="eastAsia"/>
                <w:sz w:val="21"/>
                <w:szCs w:val="21"/>
              </w:rPr>
              <w:t>设计含锌矿石，该产品无产品质量标准。</w:t>
            </w:r>
          </w:p>
        </w:tc>
      </w:tr>
      <w:tr w:rsidR="00BC2250" w:rsidRPr="00DA0ECE" w14:paraId="3D93D7C3" w14:textId="321EEB11" w:rsidTr="00AD5C67">
        <w:trPr>
          <w:jc w:val="center"/>
        </w:trPr>
        <w:tc>
          <w:tcPr>
            <w:tcW w:w="0" w:type="auto"/>
            <w:vAlign w:val="center"/>
          </w:tcPr>
          <w:p w14:paraId="786A4385" w14:textId="32B90C59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1FAD4E83" w14:textId="08E2E575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5.2.2</w:t>
            </w:r>
          </w:p>
        </w:tc>
        <w:tc>
          <w:tcPr>
            <w:tcW w:w="3901" w:type="dxa"/>
            <w:vAlign w:val="center"/>
          </w:tcPr>
          <w:p w14:paraId="56A9C18B" w14:textId="03895E73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</w:t>
            </w:r>
            <w:r w:rsidRPr="00DA0ECE">
              <w:rPr>
                <w:rFonts w:cs="Times New Roman"/>
                <w:sz w:val="21"/>
                <w:szCs w:val="21"/>
              </w:rPr>
              <w:t>）系统边界图清晰度不够；</w:t>
            </w:r>
            <w:r w:rsidRPr="00DA0ECE">
              <w:rPr>
                <w:rFonts w:cs="Times New Roman"/>
                <w:sz w:val="21"/>
                <w:szCs w:val="21"/>
              </w:rPr>
              <w:t>2</w:t>
            </w:r>
            <w:r w:rsidRPr="00DA0ECE">
              <w:rPr>
                <w:rFonts w:cs="Times New Roman"/>
                <w:sz w:val="21"/>
                <w:szCs w:val="21"/>
              </w:rPr>
              <w:t>）没有体现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出锌合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金锭；</w:t>
            </w:r>
            <w:r w:rsidRPr="00DA0ECE">
              <w:rPr>
                <w:rFonts w:cs="Times New Roman"/>
                <w:sz w:val="21"/>
                <w:szCs w:val="21"/>
              </w:rPr>
              <w:t>3</w:t>
            </w:r>
            <w:r w:rsidRPr="00DA0ECE">
              <w:rPr>
                <w:rFonts w:cs="Times New Roman"/>
                <w:sz w:val="21"/>
                <w:szCs w:val="21"/>
              </w:rPr>
              <w:t>）副产品改为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共生产品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，与</w:t>
            </w:r>
            <w:r w:rsidRPr="00DA0ECE">
              <w:rPr>
                <w:rFonts w:cs="Times New Roman"/>
                <w:sz w:val="21"/>
                <w:szCs w:val="21"/>
              </w:rPr>
              <w:t>3.11</w:t>
            </w:r>
            <w:r w:rsidRPr="00DA0ECE">
              <w:rPr>
                <w:rFonts w:cs="Times New Roman"/>
                <w:sz w:val="21"/>
                <w:szCs w:val="21"/>
              </w:rPr>
              <w:t>对应起来，具体哪些共生产品可以不用在这里举例，而且阳极泥并非共生产品，是载体，共生产品是阳极泥中的贵金属；</w:t>
            </w:r>
            <w:r w:rsidRPr="00DA0ECE">
              <w:rPr>
                <w:rFonts w:cs="Times New Roman"/>
                <w:sz w:val="21"/>
                <w:szCs w:val="21"/>
              </w:rPr>
              <w:t>4</w:t>
            </w:r>
            <w:r w:rsidRPr="00DA0ECE">
              <w:rPr>
                <w:rFonts w:cs="Times New Roman"/>
                <w:sz w:val="21"/>
                <w:szCs w:val="21"/>
              </w:rPr>
              <w:t>）建议在上文中补充一下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公辅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包含哪些工序，如动力（制氧、压缩风等）、制酸、渣选、余热回收、新材料（贵金属提取）</w:t>
            </w:r>
          </w:p>
        </w:tc>
        <w:tc>
          <w:tcPr>
            <w:tcW w:w="1559" w:type="dxa"/>
            <w:vAlign w:val="center"/>
          </w:tcPr>
          <w:p w14:paraId="4972D60D" w14:textId="32E53488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558A816B" w14:textId="1E1D09AB" w:rsidR="00BC2250" w:rsidRPr="00DA0ECE" w:rsidRDefault="00BC2250" w:rsidP="00AD5C67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672CB02F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38303302" w14:textId="386FE014" w:rsidTr="00AD5C67">
        <w:trPr>
          <w:jc w:val="center"/>
        </w:trPr>
        <w:tc>
          <w:tcPr>
            <w:tcW w:w="0" w:type="auto"/>
            <w:vAlign w:val="center"/>
          </w:tcPr>
          <w:p w14:paraId="6BC93146" w14:textId="5B08AACE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207437AD" w14:textId="47F903F2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5.2.4</w:t>
            </w:r>
          </w:p>
        </w:tc>
        <w:tc>
          <w:tcPr>
            <w:tcW w:w="3901" w:type="dxa"/>
            <w:vAlign w:val="center"/>
          </w:tcPr>
          <w:p w14:paraId="2588BB65" w14:textId="37192E29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如果将渣的综合回收，阳极泥处理以及烟气制酸单元排除在系统边界外，就没有资格获取相关共生产品的环境收益，但附录</w:t>
            </w:r>
            <w:r w:rsidRPr="00DA0ECE">
              <w:rPr>
                <w:rFonts w:cs="Times New Roman"/>
                <w:sz w:val="21"/>
                <w:szCs w:val="21"/>
              </w:rPr>
              <w:t>D</w:t>
            </w:r>
            <w:r w:rsidRPr="00DA0ECE">
              <w:rPr>
                <w:rFonts w:cs="Times New Roman"/>
                <w:sz w:val="21"/>
                <w:szCs w:val="21"/>
              </w:rPr>
              <w:t>分配方法中又给了排除在系统边界外单元过程产生的共生产品，自相矛盾了，</w:t>
            </w:r>
            <w:r w:rsidRPr="00DA0ECE">
              <w:rPr>
                <w:rFonts w:cs="Times New Roman"/>
                <w:sz w:val="21"/>
                <w:szCs w:val="21"/>
              </w:rPr>
              <w:lastRenderedPageBreak/>
              <w:t>所以是否要将这些相对独立的单元排除在外，还需要斟酌</w:t>
            </w:r>
          </w:p>
        </w:tc>
        <w:tc>
          <w:tcPr>
            <w:tcW w:w="1559" w:type="dxa"/>
            <w:vAlign w:val="center"/>
          </w:tcPr>
          <w:p w14:paraId="0989D97A" w14:textId="681ADFDC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lastRenderedPageBreak/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0868D140" w14:textId="6D91A662" w:rsidR="00BC2250" w:rsidRPr="00DA0ECE" w:rsidRDefault="00BC2250" w:rsidP="00AD5C67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未采纳</w:t>
            </w:r>
          </w:p>
        </w:tc>
        <w:tc>
          <w:tcPr>
            <w:tcW w:w="2239" w:type="dxa"/>
          </w:tcPr>
          <w:p w14:paraId="36F43369" w14:textId="3D79345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讨论会上确定把综合回收、制酸单元排除在边界外。</w:t>
            </w:r>
          </w:p>
        </w:tc>
        <w:bookmarkStart w:id="0" w:name="_GoBack"/>
        <w:bookmarkEnd w:id="0"/>
      </w:tr>
      <w:tr w:rsidR="00BC2250" w:rsidRPr="00DA0ECE" w14:paraId="37564FAE" w14:textId="51651C4F" w:rsidTr="00AD5C67">
        <w:trPr>
          <w:jc w:val="center"/>
        </w:trPr>
        <w:tc>
          <w:tcPr>
            <w:tcW w:w="0" w:type="auto"/>
            <w:vAlign w:val="center"/>
          </w:tcPr>
          <w:p w14:paraId="2C219464" w14:textId="3E7118EA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14:paraId="1F4690CE" w14:textId="5C0CAD2A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5.2.4</w:t>
            </w:r>
          </w:p>
        </w:tc>
        <w:tc>
          <w:tcPr>
            <w:tcW w:w="3901" w:type="dxa"/>
            <w:vAlign w:val="center"/>
          </w:tcPr>
          <w:p w14:paraId="712DE575" w14:textId="6D5C0F0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表</w:t>
            </w:r>
            <w:r w:rsidRPr="00DA0ECE">
              <w:rPr>
                <w:rFonts w:cs="Times New Roman"/>
                <w:sz w:val="21"/>
                <w:szCs w:val="21"/>
              </w:rPr>
              <w:t>2</w:t>
            </w:r>
            <w:r w:rsidRPr="00DA0ECE">
              <w:rPr>
                <w:rFonts w:cs="Times New Roman"/>
                <w:sz w:val="21"/>
                <w:szCs w:val="21"/>
              </w:rPr>
              <w:t>最后一行，改为寿命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末期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阶段</w:t>
            </w:r>
          </w:p>
        </w:tc>
        <w:tc>
          <w:tcPr>
            <w:tcW w:w="1559" w:type="dxa"/>
            <w:vAlign w:val="center"/>
          </w:tcPr>
          <w:p w14:paraId="08C8A34E" w14:textId="2392F585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142DAD19" w14:textId="57E1C6E8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2EFBE262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5764E1B4" w14:textId="1028A1B8" w:rsidTr="00AD5C67">
        <w:trPr>
          <w:jc w:val="center"/>
        </w:trPr>
        <w:tc>
          <w:tcPr>
            <w:tcW w:w="0" w:type="auto"/>
            <w:vAlign w:val="center"/>
          </w:tcPr>
          <w:p w14:paraId="053B9783" w14:textId="0B989916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14:paraId="5A303323" w14:textId="7FB97986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6.1.1.2</w:t>
            </w:r>
          </w:p>
        </w:tc>
        <w:tc>
          <w:tcPr>
            <w:tcW w:w="3901" w:type="dxa"/>
            <w:vAlign w:val="center"/>
          </w:tcPr>
          <w:p w14:paraId="0626A88D" w14:textId="0977FECC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建议强调除了消耗量，还要提供成分与含量，否则</w:t>
            </w:r>
            <w:r w:rsidRPr="00DA0ECE">
              <w:rPr>
                <w:rFonts w:cs="Times New Roman"/>
                <w:sz w:val="21"/>
                <w:szCs w:val="21"/>
              </w:rPr>
              <w:t>1</w:t>
            </w:r>
            <w:r w:rsidRPr="00DA0ECE">
              <w:rPr>
                <w:rFonts w:cs="Times New Roman"/>
                <w:sz w:val="21"/>
                <w:szCs w:val="21"/>
              </w:rPr>
              <w:t>）难以精准匹配上游数据，</w:t>
            </w:r>
            <w:r w:rsidRPr="00DA0ECE">
              <w:rPr>
                <w:rFonts w:cs="Times New Roman"/>
                <w:sz w:val="21"/>
                <w:szCs w:val="21"/>
              </w:rPr>
              <w:t>2</w:t>
            </w:r>
            <w:r w:rsidRPr="00DA0ECE">
              <w:rPr>
                <w:rFonts w:cs="Times New Roman"/>
                <w:sz w:val="21"/>
                <w:szCs w:val="21"/>
              </w:rPr>
              <w:t>）会将实际结果算大（若不提供，按</w:t>
            </w:r>
            <w:r w:rsidRPr="00DA0ECE">
              <w:rPr>
                <w:rFonts w:cs="Times New Roman"/>
                <w:sz w:val="21"/>
                <w:szCs w:val="21"/>
              </w:rPr>
              <w:t>100%</w:t>
            </w:r>
            <w:r w:rsidRPr="00DA0ECE">
              <w:rPr>
                <w:rFonts w:cs="Times New Roman"/>
                <w:sz w:val="21"/>
                <w:szCs w:val="21"/>
              </w:rPr>
              <w:t>算）表</w:t>
            </w:r>
            <w:r w:rsidRPr="00DA0ECE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141CCCBE" w14:textId="69BF636F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2FE74C3F" w14:textId="0ED67C65" w:rsidR="00BC2250" w:rsidRPr="00DA0ECE" w:rsidRDefault="00BC2250" w:rsidP="00BC2250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未采纳。</w:t>
            </w:r>
          </w:p>
        </w:tc>
        <w:tc>
          <w:tcPr>
            <w:tcW w:w="2239" w:type="dxa"/>
          </w:tcPr>
          <w:p w14:paraId="01D0DAB4" w14:textId="556EF144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该条款要求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应收集系统边界内所有单元过程的定性资料和定量数据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，定性资料已包含成分等相关描述。</w:t>
            </w:r>
          </w:p>
        </w:tc>
      </w:tr>
      <w:tr w:rsidR="00BC2250" w:rsidRPr="00DA0ECE" w14:paraId="10586624" w14:textId="4462CA1C" w:rsidTr="00AD5C67">
        <w:trPr>
          <w:jc w:val="center"/>
        </w:trPr>
        <w:tc>
          <w:tcPr>
            <w:tcW w:w="0" w:type="auto"/>
            <w:vAlign w:val="center"/>
          </w:tcPr>
          <w:p w14:paraId="5433A7E8" w14:textId="6E567795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14:paraId="5CBD503D" w14:textId="5B7687FD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6.1.1.5</w:t>
            </w:r>
          </w:p>
        </w:tc>
        <w:tc>
          <w:tcPr>
            <w:tcW w:w="3901" w:type="dxa"/>
            <w:vAlign w:val="center"/>
          </w:tcPr>
          <w:p w14:paraId="65BC0FA5" w14:textId="6D4BD15F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除了排除对总体结果贡献度低的环节，还需要考虑有些环节的数据收集不到或者质量很差，那也不得不调整系统边界（不接受）</w:t>
            </w:r>
          </w:p>
        </w:tc>
        <w:tc>
          <w:tcPr>
            <w:tcW w:w="1559" w:type="dxa"/>
            <w:vAlign w:val="center"/>
          </w:tcPr>
          <w:p w14:paraId="7AB124D3" w14:textId="2E0DA741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78DEA477" w14:textId="3853A7C1" w:rsidR="00BC2250" w:rsidRPr="00DA0ECE" w:rsidRDefault="00BC2250" w:rsidP="00BC2250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未采纳。</w:t>
            </w:r>
          </w:p>
        </w:tc>
        <w:tc>
          <w:tcPr>
            <w:tcW w:w="2239" w:type="dxa"/>
          </w:tcPr>
          <w:p w14:paraId="1CF08026" w14:textId="7C57767E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调整系统边界内容按照《温室气体</w:t>
            </w:r>
            <w:r w:rsidRPr="00DA0ECE">
              <w:rPr>
                <w:rFonts w:cs="Times New Roman"/>
                <w:sz w:val="21"/>
                <w:szCs w:val="21"/>
              </w:rPr>
              <w:t xml:space="preserve"> </w:t>
            </w:r>
            <w:r w:rsidRPr="00DA0ECE">
              <w:rPr>
                <w:rFonts w:cs="Times New Roman"/>
                <w:sz w:val="21"/>
                <w:szCs w:val="21"/>
              </w:rPr>
              <w:t>产品碳足迹</w:t>
            </w:r>
            <w:r w:rsidRPr="00DA0ECE">
              <w:rPr>
                <w:rFonts w:cs="Times New Roman"/>
                <w:sz w:val="21"/>
                <w:szCs w:val="21"/>
              </w:rPr>
              <w:t xml:space="preserve"> </w:t>
            </w:r>
            <w:r w:rsidRPr="00DA0ECE">
              <w:rPr>
                <w:rFonts w:cs="Times New Roman"/>
                <w:sz w:val="21"/>
                <w:szCs w:val="21"/>
              </w:rPr>
              <w:t>量化要求与指南》编制，未考虑数据质量引起系统边界的调整。</w:t>
            </w:r>
          </w:p>
        </w:tc>
      </w:tr>
      <w:tr w:rsidR="00BC2250" w:rsidRPr="00DA0ECE" w14:paraId="759FC031" w14:textId="5170F278" w:rsidTr="00AD5C67">
        <w:trPr>
          <w:jc w:val="center"/>
        </w:trPr>
        <w:tc>
          <w:tcPr>
            <w:tcW w:w="0" w:type="auto"/>
            <w:vAlign w:val="center"/>
          </w:tcPr>
          <w:p w14:paraId="2A531EC3" w14:textId="5CD646A6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14:paraId="51CFF4B5" w14:textId="10AC08E6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6.1.2.1</w:t>
            </w:r>
          </w:p>
        </w:tc>
        <w:tc>
          <w:tcPr>
            <w:tcW w:w="3901" w:type="dxa"/>
            <w:vAlign w:val="center"/>
          </w:tcPr>
          <w:p w14:paraId="31EBA3BD" w14:textId="506EB94A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</w:t>
            </w:r>
            <w:r w:rsidRPr="00DA0ECE">
              <w:rPr>
                <w:rFonts w:cs="Times New Roman"/>
                <w:sz w:val="21"/>
                <w:szCs w:val="21"/>
              </w:rPr>
              <w:t>）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如环境扩展输入输出</w:t>
            </w:r>
            <w:r w:rsidRPr="00DA0ECE">
              <w:rPr>
                <w:rFonts w:cs="Times New Roman"/>
                <w:sz w:val="21"/>
                <w:szCs w:val="21"/>
              </w:rPr>
              <w:t xml:space="preserve">EEIO </w:t>
            </w:r>
            <w:r w:rsidRPr="00DA0ECE">
              <w:rPr>
                <w:rFonts w:cs="Times New Roman"/>
                <w:sz w:val="21"/>
                <w:szCs w:val="21"/>
              </w:rPr>
              <w:t>排放因子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，这个很多企业可能都看不懂，</w:t>
            </w:r>
            <w:r w:rsidRPr="00DA0ECE">
              <w:rPr>
                <w:rFonts w:cs="Times New Roman"/>
                <w:sz w:val="21"/>
                <w:szCs w:val="21"/>
              </w:rPr>
              <w:t>2</w:t>
            </w:r>
            <w:r w:rsidRPr="00DA0ECE">
              <w:rPr>
                <w:rFonts w:cs="Times New Roman"/>
                <w:sz w:val="21"/>
                <w:szCs w:val="21"/>
              </w:rPr>
              <w:t>）这里将数据分为</w:t>
            </w:r>
            <w:r w:rsidRPr="00DA0ECE">
              <w:rPr>
                <w:rFonts w:cs="Times New Roman"/>
                <w:sz w:val="21"/>
                <w:szCs w:val="21"/>
              </w:rPr>
              <w:t>a)</w:t>
            </w:r>
            <w:r w:rsidRPr="00DA0ECE">
              <w:rPr>
                <w:rFonts w:cs="Times New Roman"/>
                <w:sz w:val="21"/>
                <w:szCs w:val="21"/>
              </w:rPr>
              <w:t>、</w:t>
            </w:r>
            <w:r w:rsidRPr="00DA0ECE">
              <w:rPr>
                <w:rFonts w:cs="Times New Roman"/>
                <w:sz w:val="21"/>
                <w:szCs w:val="21"/>
              </w:rPr>
              <w:t>b)</w:t>
            </w:r>
            <w:r w:rsidRPr="00DA0ECE">
              <w:rPr>
                <w:rFonts w:cs="Times New Roman"/>
                <w:sz w:val="21"/>
                <w:szCs w:val="21"/>
              </w:rPr>
              <w:t>和</w:t>
            </w:r>
            <w:r w:rsidRPr="00DA0ECE">
              <w:rPr>
                <w:rFonts w:cs="Times New Roman"/>
                <w:sz w:val="21"/>
                <w:szCs w:val="21"/>
              </w:rPr>
              <w:t>c)</w:t>
            </w:r>
            <w:r w:rsidRPr="00DA0ECE">
              <w:rPr>
                <w:rFonts w:cs="Times New Roman"/>
                <w:sz w:val="21"/>
                <w:szCs w:val="21"/>
              </w:rPr>
              <w:t>三类。其中，直接排放应该是指燃料燃烧的排放，活动水平就是清单中输入的消耗，但排放因子应该是指</w:t>
            </w:r>
            <w:r w:rsidRPr="00DA0ECE">
              <w:rPr>
                <w:rFonts w:cs="Times New Roman"/>
                <w:sz w:val="21"/>
                <w:szCs w:val="21"/>
              </w:rPr>
              <w:t>LCIA</w:t>
            </w:r>
            <w:r w:rsidRPr="00DA0ECE">
              <w:rPr>
                <w:rFonts w:cs="Times New Roman"/>
                <w:sz w:val="21"/>
                <w:szCs w:val="21"/>
              </w:rPr>
              <w:t>的结果吧？放在这里有点怪，除非想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表明跟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上游背景数据相关</w:t>
            </w:r>
          </w:p>
        </w:tc>
        <w:tc>
          <w:tcPr>
            <w:tcW w:w="1559" w:type="dxa"/>
            <w:vAlign w:val="center"/>
          </w:tcPr>
          <w:p w14:paraId="37F55749" w14:textId="7894B338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5A226C40" w14:textId="0B5ADAAC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7512B610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49BF568B" w14:textId="69DF8729" w:rsidTr="00AD5C67">
        <w:trPr>
          <w:jc w:val="center"/>
        </w:trPr>
        <w:tc>
          <w:tcPr>
            <w:tcW w:w="0" w:type="auto"/>
            <w:vAlign w:val="center"/>
          </w:tcPr>
          <w:p w14:paraId="0C9D1C0D" w14:textId="1DBB4D3C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14:paraId="0249E921" w14:textId="0DE01C52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6.1.2.2</w:t>
            </w:r>
          </w:p>
        </w:tc>
        <w:tc>
          <w:tcPr>
            <w:tcW w:w="3901" w:type="dxa"/>
            <w:vAlign w:val="center"/>
          </w:tcPr>
          <w:p w14:paraId="688158A0" w14:textId="69AB3540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</w:t>
            </w:r>
            <w:r w:rsidRPr="00DA0ECE">
              <w:rPr>
                <w:rFonts w:cs="Times New Roman"/>
                <w:sz w:val="21"/>
                <w:szCs w:val="21"/>
              </w:rPr>
              <w:t>）代表性包括了时间，地理和技术，可以合并；</w:t>
            </w:r>
            <w:r w:rsidRPr="00DA0ECE">
              <w:rPr>
                <w:rFonts w:cs="Times New Roman"/>
                <w:sz w:val="21"/>
                <w:szCs w:val="21"/>
              </w:rPr>
              <w:t>2</w:t>
            </w:r>
            <w:r w:rsidRPr="00DA0ECE">
              <w:rPr>
                <w:rFonts w:cs="Times New Roman"/>
                <w:sz w:val="21"/>
                <w:szCs w:val="21"/>
              </w:rPr>
              <w:t>）精度应该改为准确性，与下面各个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性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统一；</w:t>
            </w:r>
            <w:r w:rsidRPr="00DA0ECE">
              <w:rPr>
                <w:rFonts w:cs="Times New Roman"/>
                <w:sz w:val="21"/>
                <w:szCs w:val="21"/>
              </w:rPr>
              <w:t>3</w:t>
            </w:r>
            <w:r w:rsidRPr="00DA0ECE">
              <w:rPr>
                <w:rFonts w:cs="Times New Roman"/>
                <w:sz w:val="21"/>
                <w:szCs w:val="21"/>
              </w:rPr>
              <w:t>）技术代表性是指被研究的技术生产出来的产品产量占比（待讨论）</w:t>
            </w:r>
          </w:p>
        </w:tc>
        <w:tc>
          <w:tcPr>
            <w:tcW w:w="1559" w:type="dxa"/>
            <w:vAlign w:val="center"/>
          </w:tcPr>
          <w:p w14:paraId="4531D076" w14:textId="05156E2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231723A6" w14:textId="777FC16E" w:rsidR="00BC2250" w:rsidRPr="00DA0ECE" w:rsidRDefault="00BC2250" w:rsidP="00BC2250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未采纳。</w:t>
            </w:r>
          </w:p>
        </w:tc>
        <w:tc>
          <w:tcPr>
            <w:tcW w:w="2239" w:type="dxa"/>
            <w:vAlign w:val="center"/>
          </w:tcPr>
          <w:p w14:paraId="3F5119C5" w14:textId="7B2C8A2D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数据质量评价维度与标准《温室气体</w:t>
            </w:r>
            <w:r w:rsidRPr="00DA0ECE">
              <w:rPr>
                <w:rFonts w:cs="Times New Roman"/>
                <w:sz w:val="21"/>
                <w:szCs w:val="21"/>
              </w:rPr>
              <w:t xml:space="preserve"> </w:t>
            </w:r>
            <w:r w:rsidRPr="00DA0ECE">
              <w:rPr>
                <w:rFonts w:cs="Times New Roman"/>
                <w:sz w:val="21"/>
                <w:szCs w:val="21"/>
              </w:rPr>
              <w:t>产品碳足迹</w:t>
            </w:r>
            <w:r w:rsidRPr="00DA0ECE">
              <w:rPr>
                <w:rFonts w:cs="Times New Roman"/>
                <w:sz w:val="21"/>
                <w:szCs w:val="21"/>
              </w:rPr>
              <w:t xml:space="preserve"> </w:t>
            </w:r>
            <w:r w:rsidRPr="00DA0ECE">
              <w:rPr>
                <w:rFonts w:cs="Times New Roman"/>
                <w:sz w:val="21"/>
                <w:szCs w:val="21"/>
              </w:rPr>
              <w:t>量化要求与指南》保持一致。</w:t>
            </w:r>
          </w:p>
        </w:tc>
      </w:tr>
      <w:tr w:rsidR="00BC2250" w:rsidRPr="00DA0ECE" w14:paraId="01E5AE08" w14:textId="2556674C" w:rsidTr="00AD5C67">
        <w:trPr>
          <w:jc w:val="center"/>
        </w:trPr>
        <w:tc>
          <w:tcPr>
            <w:tcW w:w="0" w:type="auto"/>
            <w:vAlign w:val="center"/>
          </w:tcPr>
          <w:p w14:paraId="4C67F806" w14:textId="14BB3B09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14:paraId="4BA2DCBD" w14:textId="6826D2AE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6.1.3.1</w:t>
            </w:r>
          </w:p>
        </w:tc>
        <w:tc>
          <w:tcPr>
            <w:tcW w:w="3901" w:type="dxa"/>
            <w:vAlign w:val="center"/>
          </w:tcPr>
          <w:p w14:paraId="41FB2157" w14:textId="346D55C6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除非情况特殊，否则应该优先采用自然年数据，比如</w:t>
            </w:r>
            <w:r w:rsidRPr="00DA0ECE">
              <w:rPr>
                <w:rFonts w:cs="Times New Roman"/>
                <w:sz w:val="21"/>
                <w:szCs w:val="21"/>
              </w:rPr>
              <w:t>2023</w:t>
            </w:r>
            <w:r w:rsidRPr="00DA0ECE">
              <w:rPr>
                <w:rFonts w:cs="Times New Roman"/>
                <w:sz w:val="21"/>
                <w:szCs w:val="21"/>
              </w:rPr>
              <w:t>年年度数据</w:t>
            </w:r>
          </w:p>
        </w:tc>
        <w:tc>
          <w:tcPr>
            <w:tcW w:w="1559" w:type="dxa"/>
            <w:vAlign w:val="center"/>
          </w:tcPr>
          <w:p w14:paraId="5A3AE8E9" w14:textId="5D5EDF39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21061879" w14:textId="5A85DFAF" w:rsidR="00BC2250" w:rsidRPr="00DA0ECE" w:rsidRDefault="00AD5C67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未</w:t>
            </w:r>
            <w:r w:rsidR="00BC2250" w:rsidRPr="00DA0ECE">
              <w:rPr>
                <w:rFonts w:cs="Times New Roman"/>
                <w:sz w:val="21"/>
                <w:szCs w:val="21"/>
              </w:rPr>
              <w:t>采纳</w:t>
            </w:r>
          </w:p>
        </w:tc>
        <w:tc>
          <w:tcPr>
            <w:tcW w:w="2239" w:type="dxa"/>
            <w:vAlign w:val="center"/>
          </w:tcPr>
          <w:p w14:paraId="7EC58215" w14:textId="1C5E7916" w:rsidR="00BC2250" w:rsidRPr="00DA0ECE" w:rsidRDefault="00AD5C67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与总则保持一致。</w:t>
            </w:r>
          </w:p>
        </w:tc>
      </w:tr>
      <w:tr w:rsidR="00BC2250" w:rsidRPr="00DA0ECE" w14:paraId="1DD67BB9" w14:textId="7A1C57A9" w:rsidTr="00AD5C67">
        <w:trPr>
          <w:jc w:val="center"/>
        </w:trPr>
        <w:tc>
          <w:tcPr>
            <w:tcW w:w="0" w:type="auto"/>
            <w:vAlign w:val="center"/>
          </w:tcPr>
          <w:p w14:paraId="082681A8" w14:textId="5C4EFB77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4848AF45" w14:textId="61804A5F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6.1.2.4.4</w:t>
            </w:r>
          </w:p>
        </w:tc>
        <w:tc>
          <w:tcPr>
            <w:tcW w:w="3901" w:type="dxa"/>
            <w:vAlign w:val="center"/>
          </w:tcPr>
          <w:p w14:paraId="2778CE79" w14:textId="11B1F642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消费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前废锌是不是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指生产过程中产生的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的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废锌？一般用于内部循环，但如果有外售，这部分环境负荷是否为</w:t>
            </w:r>
            <w:r w:rsidRPr="00DA0ECE">
              <w:rPr>
                <w:rFonts w:cs="Times New Roman"/>
                <w:sz w:val="21"/>
                <w:szCs w:val="21"/>
              </w:rPr>
              <w:t>0</w:t>
            </w:r>
            <w:r w:rsidRPr="00DA0ECE">
              <w:rPr>
                <w:rFonts w:cs="Times New Roman"/>
                <w:sz w:val="21"/>
                <w:szCs w:val="21"/>
              </w:rPr>
              <w:t>，取决于供应商是否已将环境收益算在之前的生产阶段</w:t>
            </w:r>
          </w:p>
        </w:tc>
        <w:tc>
          <w:tcPr>
            <w:tcW w:w="1559" w:type="dxa"/>
            <w:vAlign w:val="center"/>
          </w:tcPr>
          <w:p w14:paraId="6095BAB7" w14:textId="1CAEBB12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6B28F89C" w14:textId="30FE12E3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2C5BEE4C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31D59EE6" w14:textId="5DD1B5D8" w:rsidTr="00AD5C67">
        <w:trPr>
          <w:trHeight w:val="1505"/>
          <w:jc w:val="center"/>
        </w:trPr>
        <w:tc>
          <w:tcPr>
            <w:tcW w:w="0" w:type="auto"/>
            <w:vAlign w:val="center"/>
          </w:tcPr>
          <w:p w14:paraId="48553635" w14:textId="4387C66F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</w:tcPr>
          <w:p w14:paraId="080D6C78" w14:textId="7340E9FC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6.1.4.2</w:t>
            </w:r>
          </w:p>
        </w:tc>
        <w:tc>
          <w:tcPr>
            <w:tcW w:w="3901" w:type="dxa"/>
            <w:vAlign w:val="center"/>
          </w:tcPr>
          <w:p w14:paraId="0606E993" w14:textId="1C5D689A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商业数据库有可能是数据质量最好的，选用优先次序还是要看里面的数据质量，包括应用的方法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学是否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合适，是否可追溯，是否是本土数据，是否具有代表性等</w:t>
            </w:r>
          </w:p>
        </w:tc>
        <w:tc>
          <w:tcPr>
            <w:tcW w:w="1559" w:type="dxa"/>
            <w:vAlign w:val="center"/>
          </w:tcPr>
          <w:p w14:paraId="523B65CC" w14:textId="05BB2AFC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4BBD2231" w14:textId="786CB9FE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513A104F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AD5C67" w14:paraId="5DC4735C" w14:textId="3B9095AB" w:rsidTr="00AD5C67">
        <w:trPr>
          <w:jc w:val="center"/>
        </w:trPr>
        <w:tc>
          <w:tcPr>
            <w:tcW w:w="0" w:type="auto"/>
            <w:vAlign w:val="center"/>
          </w:tcPr>
          <w:p w14:paraId="6B3DA303" w14:textId="7E284B2B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0" w:type="auto"/>
            <w:vAlign w:val="center"/>
          </w:tcPr>
          <w:p w14:paraId="36A3928A" w14:textId="46829FC1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6.1.5</w:t>
            </w:r>
          </w:p>
        </w:tc>
        <w:tc>
          <w:tcPr>
            <w:tcW w:w="3901" w:type="dxa"/>
            <w:vAlign w:val="center"/>
          </w:tcPr>
          <w:p w14:paraId="3C399A11" w14:textId="250A73AD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国家给的电力排放因子不是基于</w:t>
            </w:r>
            <w:r w:rsidRPr="00DA0ECE">
              <w:rPr>
                <w:rFonts w:cs="Times New Roman"/>
                <w:sz w:val="21"/>
                <w:szCs w:val="21"/>
              </w:rPr>
              <w:t>LCA</w:t>
            </w:r>
            <w:r w:rsidRPr="00DA0ECE">
              <w:rPr>
                <w:rFonts w:cs="Times New Roman"/>
                <w:sz w:val="21"/>
                <w:szCs w:val="21"/>
              </w:rPr>
              <w:t>，而是基于组织碳。建议企业提供电力结构及占比，我们将总消耗电量进行分配，然后关联相应的背景数据</w:t>
            </w:r>
          </w:p>
        </w:tc>
        <w:tc>
          <w:tcPr>
            <w:tcW w:w="1559" w:type="dxa"/>
            <w:vAlign w:val="center"/>
          </w:tcPr>
          <w:p w14:paraId="08D8412A" w14:textId="27BD003B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6B48AA91" w14:textId="7456835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未采纳</w:t>
            </w:r>
          </w:p>
        </w:tc>
        <w:tc>
          <w:tcPr>
            <w:tcW w:w="2239" w:type="dxa"/>
          </w:tcPr>
          <w:p w14:paraId="6CACE351" w14:textId="77777777" w:rsidR="00AD5C67" w:rsidRPr="00AD5C67" w:rsidRDefault="00AD5C67" w:rsidP="00AD5C67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AD5C67">
              <w:rPr>
                <w:rFonts w:cs="Times New Roman" w:hint="eastAsia"/>
                <w:sz w:val="21"/>
                <w:szCs w:val="21"/>
              </w:rPr>
              <w:t>1</w:t>
            </w:r>
            <w:r w:rsidRPr="00AD5C67">
              <w:rPr>
                <w:rFonts w:cs="Times New Roman" w:hint="eastAsia"/>
                <w:sz w:val="21"/>
                <w:szCs w:val="21"/>
              </w:rPr>
              <w:t>）描述与国标通则保持一致。</w:t>
            </w:r>
          </w:p>
          <w:p w14:paraId="34CA9B56" w14:textId="3F999A2E" w:rsidR="00BC2250" w:rsidRPr="00DA0ECE" w:rsidRDefault="00AD5C67" w:rsidP="00AD5C67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AD5C67">
              <w:rPr>
                <w:rFonts w:cs="Times New Roman" w:hint="eastAsia"/>
                <w:sz w:val="21"/>
                <w:szCs w:val="21"/>
              </w:rPr>
              <w:t>2</w:t>
            </w:r>
            <w:r w:rsidRPr="00AD5C67">
              <w:rPr>
                <w:rFonts w:cs="Times New Roman" w:hint="eastAsia"/>
                <w:sz w:val="21"/>
                <w:szCs w:val="21"/>
              </w:rPr>
              <w:t>）标准中提到了电力的排放要追溯上游排放，见</w:t>
            </w:r>
            <w:r w:rsidRPr="00AD5C67">
              <w:rPr>
                <w:rFonts w:cs="Times New Roman" w:hint="eastAsia"/>
                <w:sz w:val="21"/>
                <w:szCs w:val="21"/>
              </w:rPr>
              <w:t>6.1.5.1</w:t>
            </w:r>
          </w:p>
        </w:tc>
      </w:tr>
      <w:tr w:rsidR="00BC2250" w:rsidRPr="00DA0ECE" w14:paraId="1713CD9C" w14:textId="5BB60064" w:rsidTr="00AD5C67">
        <w:trPr>
          <w:jc w:val="center"/>
        </w:trPr>
        <w:tc>
          <w:tcPr>
            <w:tcW w:w="0" w:type="auto"/>
            <w:vAlign w:val="center"/>
          </w:tcPr>
          <w:p w14:paraId="548A85D5" w14:textId="65254D4D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vAlign w:val="center"/>
          </w:tcPr>
          <w:p w14:paraId="613D2E6B" w14:textId="1BC410D6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附录</w:t>
            </w:r>
            <w:r w:rsidRPr="00DA0ECE">
              <w:rPr>
                <w:rFonts w:cs="Times New Roman"/>
                <w:sz w:val="21"/>
                <w:szCs w:val="21"/>
              </w:rPr>
              <w:t>A</w:t>
            </w:r>
          </w:p>
        </w:tc>
        <w:tc>
          <w:tcPr>
            <w:tcW w:w="3901" w:type="dxa"/>
            <w:vAlign w:val="center"/>
          </w:tcPr>
          <w:p w14:paraId="032AAA3F" w14:textId="4BC6B4EA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建议在铸锭环节显示出合金化</w:t>
            </w:r>
          </w:p>
        </w:tc>
        <w:tc>
          <w:tcPr>
            <w:tcW w:w="1559" w:type="dxa"/>
            <w:vAlign w:val="center"/>
          </w:tcPr>
          <w:p w14:paraId="16D1F188" w14:textId="77864EC4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0F2B9C31" w14:textId="7688B866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7039E779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08BB487F" w14:textId="7872036A" w:rsidTr="00AD5C67">
        <w:trPr>
          <w:jc w:val="center"/>
        </w:trPr>
        <w:tc>
          <w:tcPr>
            <w:tcW w:w="0" w:type="auto"/>
            <w:vAlign w:val="center"/>
          </w:tcPr>
          <w:p w14:paraId="6DC389EC" w14:textId="7617235A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14:paraId="018F220B" w14:textId="21174050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标准最后</w:t>
            </w:r>
          </w:p>
        </w:tc>
        <w:tc>
          <w:tcPr>
            <w:tcW w:w="3901" w:type="dxa"/>
            <w:vAlign w:val="center"/>
          </w:tcPr>
          <w:p w14:paraId="6B19A47C" w14:textId="140B0599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漏掉了参考文献</w:t>
            </w:r>
          </w:p>
        </w:tc>
        <w:tc>
          <w:tcPr>
            <w:tcW w:w="1559" w:type="dxa"/>
            <w:vAlign w:val="center"/>
          </w:tcPr>
          <w:p w14:paraId="51C8147F" w14:textId="17910BBB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北京易碳数字科技有限公司</w:t>
            </w:r>
          </w:p>
        </w:tc>
        <w:tc>
          <w:tcPr>
            <w:tcW w:w="1276" w:type="dxa"/>
            <w:vAlign w:val="center"/>
          </w:tcPr>
          <w:p w14:paraId="03C71D4A" w14:textId="327BC6DF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48FA0074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21E42156" w14:textId="39F0413A" w:rsidTr="00AD5C67">
        <w:trPr>
          <w:jc w:val="center"/>
        </w:trPr>
        <w:tc>
          <w:tcPr>
            <w:tcW w:w="0" w:type="auto"/>
            <w:vAlign w:val="center"/>
          </w:tcPr>
          <w:p w14:paraId="13D8F4D9" w14:textId="6D7119F3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14:paraId="0535F1F7" w14:textId="22AC3D1A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图</w:t>
            </w:r>
            <w:r w:rsidRPr="00DA0ECE">
              <w:rPr>
                <w:rFonts w:cs="Times New Roman"/>
                <w:sz w:val="21"/>
                <w:szCs w:val="21"/>
              </w:rPr>
              <w:t>1</w:t>
            </w:r>
            <w:r w:rsidRPr="00DA0ECE">
              <w:rPr>
                <w:rFonts w:cs="Times New Roman"/>
                <w:sz w:val="21"/>
                <w:szCs w:val="21"/>
              </w:rPr>
              <w:t>及全文</w:t>
            </w:r>
          </w:p>
        </w:tc>
        <w:tc>
          <w:tcPr>
            <w:tcW w:w="3901" w:type="dxa"/>
            <w:vAlign w:val="center"/>
          </w:tcPr>
          <w:p w14:paraId="01904F00" w14:textId="44B0DA0C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能耗工质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改为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耗能工质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</w:p>
        </w:tc>
        <w:tc>
          <w:tcPr>
            <w:tcW w:w="1559" w:type="dxa"/>
            <w:vAlign w:val="center"/>
          </w:tcPr>
          <w:p w14:paraId="1833644E" w14:textId="2AFC22AE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069BCBBF" w14:textId="65A6055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510314CD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34042E9F" w14:textId="7E41E84A" w:rsidTr="00AD5C67">
        <w:trPr>
          <w:jc w:val="center"/>
        </w:trPr>
        <w:tc>
          <w:tcPr>
            <w:tcW w:w="0" w:type="auto"/>
            <w:vAlign w:val="center"/>
          </w:tcPr>
          <w:p w14:paraId="47DFB240" w14:textId="74F646C2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22</w:t>
            </w:r>
          </w:p>
        </w:tc>
        <w:tc>
          <w:tcPr>
            <w:tcW w:w="0" w:type="auto"/>
            <w:vAlign w:val="center"/>
          </w:tcPr>
          <w:p w14:paraId="6BC626D0" w14:textId="4FA9E2C3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图</w:t>
            </w:r>
            <w:r w:rsidRPr="00DA0ECE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3901" w:type="dxa"/>
            <w:vAlign w:val="center"/>
          </w:tcPr>
          <w:p w14:paraId="2BCBEEC0" w14:textId="436D3BF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副产品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和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第三方服务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不画在一个大框，分开；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副产品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改为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共生产品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</w:p>
        </w:tc>
        <w:tc>
          <w:tcPr>
            <w:tcW w:w="1559" w:type="dxa"/>
            <w:vAlign w:val="center"/>
          </w:tcPr>
          <w:p w14:paraId="499318E3" w14:textId="25CB390A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2B2E8DD7" w14:textId="2D27C65B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41796DB2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483C1F5D" w14:textId="6A722798" w:rsidTr="00AD5C67">
        <w:trPr>
          <w:jc w:val="center"/>
        </w:trPr>
        <w:tc>
          <w:tcPr>
            <w:tcW w:w="0" w:type="auto"/>
            <w:vAlign w:val="center"/>
          </w:tcPr>
          <w:p w14:paraId="1F7D6879" w14:textId="32B91FA3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  <w:vAlign w:val="center"/>
          </w:tcPr>
          <w:p w14:paraId="291DB436" w14:textId="50A24680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图</w:t>
            </w:r>
            <w:r w:rsidRPr="00DA0ECE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3901" w:type="dxa"/>
            <w:vAlign w:val="center"/>
          </w:tcPr>
          <w:p w14:paraId="739755AE" w14:textId="7C77792F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预审会讨论过，涵盖制酸系统再分配给硫酸，所以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烟尘处理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改为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烟气处理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</w:p>
        </w:tc>
        <w:tc>
          <w:tcPr>
            <w:tcW w:w="1559" w:type="dxa"/>
            <w:vAlign w:val="center"/>
          </w:tcPr>
          <w:p w14:paraId="0FBEDACB" w14:textId="00580795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27DC447C" w14:textId="69F14C2D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3865DB92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012A9929" w14:textId="36A5325A" w:rsidTr="00AD5C67">
        <w:trPr>
          <w:jc w:val="center"/>
        </w:trPr>
        <w:tc>
          <w:tcPr>
            <w:tcW w:w="0" w:type="auto"/>
            <w:vAlign w:val="center"/>
          </w:tcPr>
          <w:p w14:paraId="458C1637" w14:textId="2B97329E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14:paraId="2A3D173F" w14:textId="0E70F45E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5.2.3.3</w:t>
            </w:r>
          </w:p>
        </w:tc>
        <w:tc>
          <w:tcPr>
            <w:tcW w:w="3901" w:type="dxa"/>
            <w:vAlign w:val="center"/>
          </w:tcPr>
          <w:p w14:paraId="04B18882" w14:textId="1E5B6A08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如果没有其他别的工艺路线，建议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锌精矿</w:t>
            </w:r>
            <w:r w:rsidRPr="00DA0ECE">
              <w:rPr>
                <w:rFonts w:cs="Times New Roman"/>
                <w:sz w:val="21"/>
                <w:szCs w:val="21"/>
              </w:rPr>
              <w:t>/</w:t>
            </w:r>
            <w:r w:rsidRPr="00DA0ECE">
              <w:rPr>
                <w:rFonts w:cs="Times New Roman"/>
                <w:sz w:val="21"/>
                <w:szCs w:val="21"/>
              </w:rPr>
              <w:t>铅锌混合精矿选矿工艺路线</w:t>
            </w:r>
            <w:r w:rsidRPr="00DA0ECE">
              <w:rPr>
                <w:rFonts w:cs="Times New Roman"/>
                <w:sz w:val="21"/>
                <w:szCs w:val="21"/>
              </w:rPr>
              <w:t xml:space="preserve">” </w:t>
            </w:r>
            <w:r w:rsidRPr="00DA0ECE">
              <w:rPr>
                <w:rFonts w:cs="Times New Roman"/>
                <w:sz w:val="21"/>
                <w:szCs w:val="21"/>
              </w:rPr>
              <w:t>改为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锌精矿</w:t>
            </w:r>
            <w:r w:rsidRPr="00DA0ECE">
              <w:rPr>
                <w:rFonts w:cs="Times New Roman"/>
                <w:sz w:val="21"/>
                <w:szCs w:val="21"/>
              </w:rPr>
              <w:t>/</w:t>
            </w:r>
            <w:r w:rsidRPr="00DA0ECE">
              <w:rPr>
                <w:rFonts w:cs="Times New Roman"/>
                <w:sz w:val="21"/>
                <w:szCs w:val="21"/>
              </w:rPr>
              <w:t>铅锌混合精矿的生产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</w:p>
        </w:tc>
        <w:tc>
          <w:tcPr>
            <w:tcW w:w="1559" w:type="dxa"/>
            <w:vAlign w:val="center"/>
          </w:tcPr>
          <w:p w14:paraId="29CE94AE" w14:textId="4C27958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752AAC8D" w14:textId="6904403F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7A897704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304FA3EC" w14:textId="06A7C9DF" w:rsidTr="00AD5C67">
        <w:trPr>
          <w:jc w:val="center"/>
        </w:trPr>
        <w:tc>
          <w:tcPr>
            <w:tcW w:w="0" w:type="auto"/>
            <w:vAlign w:val="center"/>
          </w:tcPr>
          <w:p w14:paraId="5A4257CA" w14:textId="145FEDB8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 w14:paraId="3E2ECC6E" w14:textId="33FF6B01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5.2.3.3</w:t>
            </w:r>
          </w:p>
        </w:tc>
        <w:tc>
          <w:tcPr>
            <w:tcW w:w="3901" w:type="dxa"/>
            <w:vAlign w:val="center"/>
          </w:tcPr>
          <w:p w14:paraId="24657A6B" w14:textId="6321B249" w:rsidR="00BC2250" w:rsidRPr="00DA0ECE" w:rsidRDefault="00BC2250" w:rsidP="00DA0ECE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冶炼的工艺描述，建议从原料的不同来划分，方便下游向上追溯。分为铅锌混合精矿路线、锌精矿火法路线、锌精矿湿法路线</w:t>
            </w:r>
          </w:p>
        </w:tc>
        <w:tc>
          <w:tcPr>
            <w:tcW w:w="1559" w:type="dxa"/>
            <w:vAlign w:val="center"/>
          </w:tcPr>
          <w:p w14:paraId="64162845" w14:textId="25A030F1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4113D142" w14:textId="1EC18EF6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6DF81566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1F1A1269" w14:textId="6159DC65" w:rsidTr="00AD5C67">
        <w:trPr>
          <w:jc w:val="center"/>
        </w:trPr>
        <w:tc>
          <w:tcPr>
            <w:tcW w:w="0" w:type="auto"/>
            <w:vAlign w:val="center"/>
          </w:tcPr>
          <w:p w14:paraId="7A50717E" w14:textId="1A20CA62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26</w:t>
            </w:r>
          </w:p>
        </w:tc>
        <w:tc>
          <w:tcPr>
            <w:tcW w:w="0" w:type="auto"/>
            <w:vAlign w:val="center"/>
          </w:tcPr>
          <w:p w14:paraId="7B1EEA07" w14:textId="182C55FF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5.2.3.5</w:t>
            </w:r>
            <w:r w:rsidRPr="00DA0ECE">
              <w:rPr>
                <w:rFonts w:cs="Times New Roman"/>
                <w:sz w:val="21"/>
                <w:szCs w:val="21"/>
              </w:rPr>
              <w:t>（</w:t>
            </w:r>
            <w:r w:rsidRPr="00DA0ECE">
              <w:rPr>
                <w:rFonts w:cs="Times New Roman"/>
                <w:sz w:val="21"/>
                <w:szCs w:val="21"/>
              </w:rPr>
              <w:t>3</w:t>
            </w:r>
            <w:r w:rsidRPr="00DA0ECE">
              <w:rPr>
                <w:rFonts w:cs="Times New Roman"/>
                <w:sz w:val="21"/>
                <w:szCs w:val="21"/>
              </w:rPr>
              <w:t>）</w:t>
            </w:r>
          </w:p>
        </w:tc>
        <w:tc>
          <w:tcPr>
            <w:tcW w:w="3901" w:type="dxa"/>
            <w:vAlign w:val="center"/>
          </w:tcPr>
          <w:p w14:paraId="6C05071A" w14:textId="77EBCC9C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锌锭</w:t>
            </w:r>
            <w:r w:rsidRPr="00DA0ECE">
              <w:rPr>
                <w:rFonts w:cs="Times New Roman"/>
                <w:sz w:val="21"/>
                <w:szCs w:val="21"/>
              </w:rPr>
              <w:t>(</w:t>
            </w:r>
            <w:r w:rsidRPr="00DA0ECE">
              <w:rPr>
                <w:rFonts w:cs="Times New Roman"/>
                <w:sz w:val="21"/>
                <w:szCs w:val="21"/>
              </w:rPr>
              <w:t>锌合金锭</w:t>
            </w:r>
            <w:r w:rsidRPr="00DA0ECE">
              <w:rPr>
                <w:rFonts w:cs="Times New Roman"/>
                <w:sz w:val="21"/>
                <w:szCs w:val="21"/>
              </w:rPr>
              <w:t>)</w:t>
            </w:r>
            <w:r w:rsidRPr="00DA0ECE">
              <w:rPr>
                <w:rFonts w:cs="Times New Roman"/>
                <w:sz w:val="21"/>
                <w:szCs w:val="21"/>
              </w:rPr>
              <w:t>的生产从锌精矿、锌精矿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焙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砂开始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修改为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锌锭</w:t>
            </w:r>
            <w:r w:rsidRPr="00DA0ECE">
              <w:rPr>
                <w:rFonts w:cs="Times New Roman"/>
                <w:sz w:val="21"/>
                <w:szCs w:val="21"/>
              </w:rPr>
              <w:t>(</w:t>
            </w:r>
            <w:r w:rsidRPr="00DA0ECE">
              <w:rPr>
                <w:rFonts w:cs="Times New Roman"/>
                <w:sz w:val="21"/>
                <w:szCs w:val="21"/>
              </w:rPr>
              <w:t>锌合金锭</w:t>
            </w:r>
            <w:r w:rsidRPr="00DA0ECE">
              <w:rPr>
                <w:rFonts w:cs="Times New Roman"/>
                <w:sz w:val="21"/>
                <w:szCs w:val="21"/>
              </w:rPr>
              <w:t>)</w:t>
            </w:r>
            <w:r w:rsidRPr="00DA0ECE">
              <w:rPr>
                <w:rFonts w:cs="Times New Roman"/>
                <w:sz w:val="21"/>
                <w:szCs w:val="21"/>
              </w:rPr>
              <w:t>的生产从锌精矿焙砂开始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  <w:r w:rsidRPr="00DA0ECE">
              <w:rPr>
                <w:rFonts w:cs="Times New Roman"/>
                <w:sz w:val="21"/>
                <w:szCs w:val="21"/>
              </w:rPr>
              <w:t>；</w:t>
            </w:r>
          </w:p>
        </w:tc>
        <w:tc>
          <w:tcPr>
            <w:tcW w:w="1559" w:type="dxa"/>
            <w:vAlign w:val="center"/>
          </w:tcPr>
          <w:p w14:paraId="17EE5454" w14:textId="0D8247B3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2D25D2F0" w14:textId="02963130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4F68EFB9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3FA60A2B" w14:textId="07C16EAB" w:rsidTr="00AD5C67">
        <w:trPr>
          <w:jc w:val="center"/>
        </w:trPr>
        <w:tc>
          <w:tcPr>
            <w:tcW w:w="0" w:type="auto"/>
            <w:vAlign w:val="center"/>
          </w:tcPr>
          <w:p w14:paraId="46411C16" w14:textId="2FABC985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 w14:paraId="4ADF5EF1" w14:textId="2C15669F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5.2.4</w:t>
            </w:r>
          </w:p>
        </w:tc>
        <w:tc>
          <w:tcPr>
            <w:tcW w:w="3901" w:type="dxa"/>
            <w:vAlign w:val="center"/>
          </w:tcPr>
          <w:p w14:paraId="764A336A" w14:textId="4C0EB59B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建议删除</w:t>
            </w: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“</w:t>
            </w: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本标准规定了一些排除在系统边界之外的活动。。。</w:t>
            </w: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”</w:t>
            </w: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，与表</w:t>
            </w: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2</w:t>
            </w: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重复</w:t>
            </w:r>
          </w:p>
        </w:tc>
        <w:tc>
          <w:tcPr>
            <w:tcW w:w="1559" w:type="dxa"/>
            <w:vAlign w:val="center"/>
          </w:tcPr>
          <w:p w14:paraId="17A370FB" w14:textId="5A054FB4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7432103E" w14:textId="56E9AC4B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22BF3D29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43476816" w14:textId="1D9A19B9" w:rsidTr="00AD5C67">
        <w:trPr>
          <w:jc w:val="center"/>
        </w:trPr>
        <w:tc>
          <w:tcPr>
            <w:tcW w:w="0" w:type="auto"/>
            <w:vAlign w:val="center"/>
          </w:tcPr>
          <w:p w14:paraId="5FE0DFF9" w14:textId="3BCAAEB9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28</w:t>
            </w:r>
          </w:p>
        </w:tc>
        <w:tc>
          <w:tcPr>
            <w:tcW w:w="0" w:type="auto"/>
            <w:vAlign w:val="center"/>
          </w:tcPr>
          <w:p w14:paraId="50FD30D1" w14:textId="6B59DEF6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表</w:t>
            </w: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901" w:type="dxa"/>
            <w:vAlign w:val="center"/>
          </w:tcPr>
          <w:p w14:paraId="1C46A835" w14:textId="71CB7388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A0ECE">
              <w:rPr>
                <w:rFonts w:cs="Times New Roman"/>
                <w:color w:val="000000" w:themeColor="text1"/>
                <w:sz w:val="21"/>
                <w:szCs w:val="21"/>
              </w:rPr>
              <w:t>预审会讨论了制酸单元排除的问题，解决方案是涵盖制酸系统再分配给硫酸</w:t>
            </w:r>
          </w:p>
        </w:tc>
        <w:tc>
          <w:tcPr>
            <w:tcW w:w="1559" w:type="dxa"/>
            <w:vAlign w:val="center"/>
          </w:tcPr>
          <w:p w14:paraId="5DAFAA68" w14:textId="18CF96A4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3729379E" w14:textId="5D839961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3BD9A127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404DC430" w14:textId="270831EE" w:rsidTr="00AD5C67">
        <w:trPr>
          <w:jc w:val="center"/>
        </w:trPr>
        <w:tc>
          <w:tcPr>
            <w:tcW w:w="0" w:type="auto"/>
            <w:vAlign w:val="center"/>
          </w:tcPr>
          <w:p w14:paraId="2570FCF8" w14:textId="5DC1AB45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29</w:t>
            </w:r>
          </w:p>
        </w:tc>
        <w:tc>
          <w:tcPr>
            <w:tcW w:w="0" w:type="auto"/>
            <w:vAlign w:val="center"/>
          </w:tcPr>
          <w:p w14:paraId="7AA57BEC" w14:textId="251C2577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6.1.3.5</w:t>
            </w:r>
          </w:p>
        </w:tc>
        <w:tc>
          <w:tcPr>
            <w:tcW w:w="3901" w:type="dxa"/>
            <w:vAlign w:val="center"/>
          </w:tcPr>
          <w:p w14:paraId="43D5FFDA" w14:textId="77777777" w:rsidR="00BC2250" w:rsidRPr="00DA0ECE" w:rsidRDefault="00BC2250" w:rsidP="00DA0ECE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终端消费后的含锌废料，是否应该主要为回收的镀锌板、锌合金？此类消费后的含锌废料，一般不采用本文件所描述的工艺，建议排除在本标准之外。</w:t>
            </w:r>
          </w:p>
          <w:p w14:paraId="03C51BD3" w14:textId="77777777" w:rsidR="00BC2250" w:rsidRPr="00DA0ECE" w:rsidRDefault="00BC2250" w:rsidP="00DA0ECE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目前</w:t>
            </w:r>
            <w:proofErr w:type="gramStart"/>
            <w:r w:rsidRPr="00DA0ECE">
              <w:rPr>
                <w:rFonts w:cs="Times New Roman"/>
                <w:sz w:val="21"/>
                <w:szCs w:val="21"/>
              </w:rPr>
              <w:t>进入到锌冶炼</w:t>
            </w:r>
            <w:proofErr w:type="gramEnd"/>
            <w:r w:rsidRPr="00DA0ECE">
              <w:rPr>
                <w:rFonts w:cs="Times New Roman"/>
                <w:sz w:val="21"/>
                <w:szCs w:val="21"/>
              </w:rPr>
              <w:t>厂的含锌废料主要还是来自于工业生产，也就是消费前的含锌废料，如：钢厂烟灰、有色冶炼渣</w:t>
            </w:r>
          </w:p>
          <w:p w14:paraId="39901807" w14:textId="0B459880" w:rsidR="00BC2250" w:rsidRPr="00DA0ECE" w:rsidRDefault="00BC2250" w:rsidP="00DA0ECE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建议调研消费后含锌废料的处理工艺。如调研后确定排除消费后含锌废料，全文应删除相关内容。</w:t>
            </w:r>
          </w:p>
        </w:tc>
        <w:tc>
          <w:tcPr>
            <w:tcW w:w="1559" w:type="dxa"/>
            <w:vAlign w:val="center"/>
          </w:tcPr>
          <w:p w14:paraId="67F691CB" w14:textId="6ED2DAC8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7943FCFF" w14:textId="708FBA7C" w:rsidR="00BC2250" w:rsidRPr="00DA0ECE" w:rsidRDefault="00BC2250" w:rsidP="00BC2250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未采纳，</w:t>
            </w:r>
            <w:r w:rsidRPr="00DA0ECE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39" w:type="dxa"/>
          </w:tcPr>
          <w:p w14:paraId="00704C5C" w14:textId="54F22839" w:rsidR="00BC2250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 w:hint="eastAsia"/>
                <w:sz w:val="21"/>
                <w:szCs w:val="21"/>
              </w:rPr>
              <w:t>消费后</w:t>
            </w:r>
            <w:r w:rsidRPr="00DA0ECE">
              <w:rPr>
                <w:rFonts w:cs="Times New Roman" w:hint="eastAsia"/>
                <w:sz w:val="21"/>
                <w:szCs w:val="21"/>
              </w:rPr>
              <w:t>锌二次</w:t>
            </w:r>
            <w:proofErr w:type="gramEnd"/>
            <w:r w:rsidRPr="00DA0ECE">
              <w:rPr>
                <w:rFonts w:cs="Times New Roman" w:hint="eastAsia"/>
                <w:sz w:val="21"/>
                <w:szCs w:val="21"/>
              </w:rPr>
              <w:t>物料</w:t>
            </w:r>
            <w:r>
              <w:rPr>
                <w:rFonts w:cs="Times New Roman" w:hint="eastAsia"/>
                <w:sz w:val="21"/>
                <w:szCs w:val="21"/>
              </w:rPr>
              <w:t>还包括</w:t>
            </w:r>
            <w:r w:rsidRPr="00DA0ECE">
              <w:rPr>
                <w:rFonts w:cs="Times New Roman" w:hint="eastAsia"/>
                <w:sz w:val="21"/>
                <w:szCs w:val="21"/>
              </w:rPr>
              <w:t>锌锰电池等干电池的回收</w:t>
            </w:r>
            <w:r>
              <w:rPr>
                <w:rFonts w:cs="Times New Roman" w:hint="eastAsia"/>
                <w:sz w:val="21"/>
                <w:szCs w:val="21"/>
              </w:rPr>
              <w:t>，采用本文文件所描述的工艺。</w:t>
            </w:r>
          </w:p>
        </w:tc>
      </w:tr>
      <w:tr w:rsidR="00BC2250" w:rsidRPr="00DA0ECE" w14:paraId="5DB9815C" w14:textId="6F2E112D" w:rsidTr="00AD5C67">
        <w:trPr>
          <w:jc w:val="center"/>
        </w:trPr>
        <w:tc>
          <w:tcPr>
            <w:tcW w:w="0" w:type="auto"/>
            <w:vAlign w:val="center"/>
          </w:tcPr>
          <w:p w14:paraId="026C4187" w14:textId="60590C3A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14:paraId="0E1A9497" w14:textId="2F1134C3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6.5.2</w:t>
            </w:r>
          </w:p>
        </w:tc>
        <w:tc>
          <w:tcPr>
            <w:tcW w:w="3901" w:type="dxa"/>
            <w:vAlign w:val="center"/>
          </w:tcPr>
          <w:p w14:paraId="2CC30F58" w14:textId="4221FABA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“LME”</w:t>
            </w:r>
            <w:r w:rsidRPr="00DA0ECE">
              <w:rPr>
                <w:rFonts w:cs="Times New Roman"/>
                <w:sz w:val="21"/>
                <w:szCs w:val="21"/>
              </w:rPr>
              <w:t>修改为</w:t>
            </w:r>
            <w:r w:rsidRPr="00DA0ECE">
              <w:rPr>
                <w:rFonts w:cs="Times New Roman"/>
                <w:sz w:val="21"/>
                <w:szCs w:val="21"/>
              </w:rPr>
              <w:t>“</w:t>
            </w:r>
            <w:r w:rsidRPr="00DA0ECE">
              <w:rPr>
                <w:rFonts w:cs="Times New Roman"/>
                <w:sz w:val="21"/>
                <w:szCs w:val="21"/>
              </w:rPr>
              <w:t>伦敦金属交易所</w:t>
            </w:r>
            <w:r w:rsidRPr="00DA0ECE">
              <w:rPr>
                <w:rFonts w:cs="Times New Roman"/>
                <w:sz w:val="21"/>
                <w:szCs w:val="21"/>
              </w:rPr>
              <w:t>”</w:t>
            </w:r>
          </w:p>
        </w:tc>
        <w:tc>
          <w:tcPr>
            <w:tcW w:w="1559" w:type="dxa"/>
            <w:vAlign w:val="center"/>
          </w:tcPr>
          <w:p w14:paraId="52306D12" w14:textId="2A201641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26D53E08" w14:textId="114CB2A6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5555EE8C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BC2250" w:rsidRPr="00DA0ECE" w14:paraId="05D3A16E" w14:textId="5CAD5855" w:rsidTr="00AD5C67">
        <w:trPr>
          <w:jc w:val="center"/>
        </w:trPr>
        <w:tc>
          <w:tcPr>
            <w:tcW w:w="0" w:type="auto"/>
            <w:vAlign w:val="center"/>
          </w:tcPr>
          <w:p w14:paraId="50E00058" w14:textId="28AA28A7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31</w:t>
            </w:r>
          </w:p>
        </w:tc>
        <w:tc>
          <w:tcPr>
            <w:tcW w:w="0" w:type="auto"/>
            <w:vAlign w:val="center"/>
          </w:tcPr>
          <w:p w14:paraId="3C7A023E" w14:textId="2C9C7BE7" w:rsidR="00BC2250" w:rsidRPr="00DA0ECE" w:rsidRDefault="00BC2250" w:rsidP="00DA0ECE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表</w:t>
            </w:r>
            <w:r w:rsidRPr="00DA0ECE">
              <w:rPr>
                <w:rFonts w:cs="Times New Roman"/>
                <w:sz w:val="21"/>
                <w:szCs w:val="21"/>
              </w:rPr>
              <w:t>D.2</w:t>
            </w:r>
          </w:p>
        </w:tc>
        <w:tc>
          <w:tcPr>
            <w:tcW w:w="3901" w:type="dxa"/>
            <w:vAlign w:val="center"/>
          </w:tcPr>
          <w:p w14:paraId="2FB4C8EF" w14:textId="0A4A079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从历史价格来看，铅、锌不管是精矿价格比还是金属价格比，都是小于</w:t>
            </w:r>
            <w:r w:rsidRPr="00DA0ECE">
              <w:rPr>
                <w:rFonts w:cs="Times New Roman"/>
                <w:sz w:val="21"/>
                <w:szCs w:val="21"/>
              </w:rPr>
              <w:t>4</w:t>
            </w:r>
            <w:r w:rsidRPr="00DA0ECE">
              <w:rPr>
                <w:rFonts w:cs="Times New Roman"/>
                <w:sz w:val="21"/>
                <w:szCs w:val="21"/>
              </w:rPr>
              <w:t>的，两者价格接近，此处示例应修改为质量分配，建议按金属量分配</w:t>
            </w:r>
          </w:p>
        </w:tc>
        <w:tc>
          <w:tcPr>
            <w:tcW w:w="1559" w:type="dxa"/>
            <w:vAlign w:val="center"/>
          </w:tcPr>
          <w:p w14:paraId="458D4C72" w14:textId="2C028F29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中国恩菲工程技术有限公司</w:t>
            </w:r>
          </w:p>
        </w:tc>
        <w:tc>
          <w:tcPr>
            <w:tcW w:w="1276" w:type="dxa"/>
            <w:vAlign w:val="center"/>
          </w:tcPr>
          <w:p w14:paraId="58BA802A" w14:textId="2073AAE9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DA0ECE">
              <w:rPr>
                <w:rFonts w:cs="Times New Roman"/>
                <w:sz w:val="21"/>
                <w:szCs w:val="21"/>
              </w:rPr>
              <w:t>已采纳</w:t>
            </w:r>
          </w:p>
        </w:tc>
        <w:tc>
          <w:tcPr>
            <w:tcW w:w="2239" w:type="dxa"/>
          </w:tcPr>
          <w:p w14:paraId="0122AF2B" w14:textId="77777777" w:rsidR="00BC2250" w:rsidRPr="00DA0ECE" w:rsidRDefault="00BC2250" w:rsidP="0062751B">
            <w:pPr>
              <w:spacing w:line="240" w:lineRule="auto"/>
              <w:ind w:firstLineChars="0" w:firstLine="0"/>
              <w:rPr>
                <w:rFonts w:cs="Times New Roman"/>
                <w:sz w:val="21"/>
                <w:szCs w:val="21"/>
              </w:rPr>
            </w:pPr>
          </w:p>
        </w:tc>
      </w:tr>
    </w:tbl>
    <w:p w14:paraId="11216776" w14:textId="64A03835" w:rsidR="00AD5C67" w:rsidRPr="00AD5C67" w:rsidRDefault="00AD5C67" w:rsidP="00AD5C67">
      <w:pPr>
        <w:ind w:firstLine="420"/>
        <w:rPr>
          <w:sz w:val="21"/>
          <w:szCs w:val="21"/>
        </w:rPr>
      </w:pPr>
      <w:r w:rsidRPr="00AD5C67">
        <w:rPr>
          <w:rFonts w:hint="eastAsia"/>
          <w:sz w:val="21"/>
          <w:szCs w:val="21"/>
        </w:rPr>
        <w:t>说明（</w:t>
      </w:r>
      <w:r w:rsidRPr="00AD5C67">
        <w:rPr>
          <w:rFonts w:hint="eastAsia"/>
          <w:sz w:val="21"/>
          <w:szCs w:val="21"/>
        </w:rPr>
        <w:t>1</w:t>
      </w:r>
      <w:r w:rsidRPr="00AD5C67">
        <w:rPr>
          <w:rFonts w:hint="eastAsia"/>
          <w:sz w:val="21"/>
          <w:szCs w:val="21"/>
        </w:rPr>
        <w:t>）发送</w:t>
      </w:r>
      <w:r w:rsidRPr="00AD5C67">
        <w:rPr>
          <w:rFonts w:ascii="宋体" w:hAnsi="宋体" w:hint="eastAsia"/>
          <w:sz w:val="21"/>
          <w:szCs w:val="21"/>
        </w:rPr>
        <w:t>《征求意见稿》的单位数：</w:t>
      </w:r>
      <w:r>
        <w:rPr>
          <w:rFonts w:ascii="宋体" w:hAnsi="宋体"/>
          <w:sz w:val="21"/>
          <w:szCs w:val="21"/>
        </w:rPr>
        <w:t>15</w:t>
      </w:r>
      <w:r w:rsidRPr="00AD5C67">
        <w:rPr>
          <w:rFonts w:ascii="宋体" w:hAnsi="宋体" w:hint="eastAsia"/>
          <w:sz w:val="21"/>
          <w:szCs w:val="21"/>
        </w:rPr>
        <w:t>个；</w:t>
      </w:r>
    </w:p>
    <w:p w14:paraId="498AD9DB" w14:textId="6F821BA1" w:rsidR="00AD5C67" w:rsidRPr="00AD5C67" w:rsidRDefault="00AD5C67" w:rsidP="00AD5C67">
      <w:pPr>
        <w:ind w:firstLineChars="400" w:firstLine="840"/>
        <w:rPr>
          <w:sz w:val="21"/>
          <w:szCs w:val="21"/>
        </w:rPr>
      </w:pPr>
      <w:r w:rsidRPr="00AD5C67">
        <w:rPr>
          <w:rFonts w:hint="eastAsia"/>
          <w:sz w:val="21"/>
          <w:szCs w:val="21"/>
        </w:rPr>
        <w:t>（</w:t>
      </w:r>
      <w:r w:rsidRPr="00AD5C67">
        <w:rPr>
          <w:rFonts w:hint="eastAsia"/>
          <w:sz w:val="21"/>
          <w:szCs w:val="21"/>
        </w:rPr>
        <w:t>2</w:t>
      </w:r>
      <w:r w:rsidRPr="00AD5C67">
        <w:rPr>
          <w:rFonts w:hint="eastAsia"/>
          <w:sz w:val="21"/>
          <w:szCs w:val="21"/>
        </w:rPr>
        <w:t>）收到</w:t>
      </w:r>
      <w:r w:rsidRPr="00AD5C67">
        <w:rPr>
          <w:rFonts w:ascii="宋体" w:hAnsi="宋体" w:hint="eastAsia"/>
          <w:sz w:val="21"/>
          <w:szCs w:val="21"/>
        </w:rPr>
        <w:t>《征求意见稿》后，回函的单位数：</w:t>
      </w:r>
      <w:r>
        <w:rPr>
          <w:rFonts w:ascii="宋体" w:hAnsi="宋体"/>
          <w:sz w:val="21"/>
          <w:szCs w:val="21"/>
        </w:rPr>
        <w:t>15</w:t>
      </w:r>
      <w:r w:rsidRPr="00AD5C67">
        <w:rPr>
          <w:rFonts w:ascii="宋体" w:hAnsi="宋体" w:hint="eastAsia"/>
          <w:sz w:val="21"/>
          <w:szCs w:val="21"/>
        </w:rPr>
        <w:t>个；</w:t>
      </w:r>
    </w:p>
    <w:p w14:paraId="6ED4850A" w14:textId="4D2DC835" w:rsidR="00AD5C67" w:rsidRPr="00AD5C67" w:rsidRDefault="00AD5C67" w:rsidP="00AD5C67">
      <w:pPr>
        <w:ind w:firstLineChars="400" w:firstLine="840"/>
        <w:rPr>
          <w:rFonts w:ascii="宋体" w:hAnsi="宋体"/>
          <w:sz w:val="21"/>
          <w:szCs w:val="21"/>
        </w:rPr>
      </w:pPr>
      <w:r w:rsidRPr="00AD5C67">
        <w:rPr>
          <w:rFonts w:hint="eastAsia"/>
          <w:sz w:val="21"/>
          <w:szCs w:val="21"/>
        </w:rPr>
        <w:t>（</w:t>
      </w:r>
      <w:r w:rsidRPr="00AD5C67">
        <w:rPr>
          <w:rFonts w:hint="eastAsia"/>
          <w:sz w:val="21"/>
          <w:szCs w:val="21"/>
        </w:rPr>
        <w:t>3</w:t>
      </w:r>
      <w:r w:rsidRPr="00AD5C67">
        <w:rPr>
          <w:rFonts w:hint="eastAsia"/>
          <w:sz w:val="21"/>
          <w:szCs w:val="21"/>
        </w:rPr>
        <w:t>）收到</w:t>
      </w:r>
      <w:r w:rsidRPr="00AD5C67">
        <w:rPr>
          <w:rFonts w:ascii="宋体" w:hAnsi="宋体" w:hint="eastAsia"/>
          <w:sz w:val="21"/>
          <w:szCs w:val="21"/>
        </w:rPr>
        <w:t>《征求意见稿》后，回函并有建议或意见的单位数：</w:t>
      </w:r>
      <w:r>
        <w:rPr>
          <w:rFonts w:ascii="宋体" w:hAnsi="宋体"/>
          <w:sz w:val="21"/>
          <w:szCs w:val="21"/>
        </w:rPr>
        <w:t>2</w:t>
      </w:r>
      <w:r w:rsidRPr="00AD5C67">
        <w:rPr>
          <w:rFonts w:ascii="宋体" w:hAnsi="宋体" w:hint="eastAsia"/>
          <w:sz w:val="21"/>
          <w:szCs w:val="21"/>
        </w:rPr>
        <w:t>个；</w:t>
      </w:r>
    </w:p>
    <w:p w14:paraId="6A00D2B5" w14:textId="77777777" w:rsidR="00AD5C67" w:rsidRPr="00AD5C67" w:rsidRDefault="00AD5C67" w:rsidP="00AD5C67">
      <w:pPr>
        <w:tabs>
          <w:tab w:val="left" w:pos="3990"/>
        </w:tabs>
        <w:ind w:firstLineChars="400" w:firstLine="840"/>
        <w:rPr>
          <w:sz w:val="21"/>
          <w:szCs w:val="21"/>
        </w:rPr>
      </w:pPr>
      <w:r w:rsidRPr="00AD5C67">
        <w:rPr>
          <w:rFonts w:hint="eastAsia"/>
          <w:sz w:val="21"/>
          <w:szCs w:val="21"/>
        </w:rPr>
        <w:t>（</w:t>
      </w:r>
      <w:r w:rsidRPr="00AD5C67">
        <w:rPr>
          <w:rFonts w:hint="eastAsia"/>
          <w:sz w:val="21"/>
          <w:szCs w:val="21"/>
        </w:rPr>
        <w:t>4</w:t>
      </w:r>
      <w:r w:rsidRPr="00AD5C67">
        <w:rPr>
          <w:rFonts w:hint="eastAsia"/>
          <w:sz w:val="21"/>
          <w:szCs w:val="21"/>
        </w:rPr>
        <w:t>）没有</w:t>
      </w:r>
      <w:r w:rsidRPr="00AD5C67">
        <w:rPr>
          <w:rFonts w:ascii="宋体" w:hAnsi="宋体" w:hint="eastAsia"/>
          <w:sz w:val="21"/>
          <w:szCs w:val="21"/>
        </w:rPr>
        <w:t xml:space="preserve">回函的单位数：0 </w:t>
      </w:r>
      <w:proofErr w:type="gramStart"/>
      <w:r w:rsidRPr="00AD5C67">
        <w:rPr>
          <w:rFonts w:ascii="宋体" w:hAnsi="宋体" w:hint="eastAsia"/>
          <w:sz w:val="21"/>
          <w:szCs w:val="21"/>
        </w:rPr>
        <w:t>个</w:t>
      </w:r>
      <w:proofErr w:type="gramEnd"/>
      <w:r w:rsidRPr="00AD5C67">
        <w:rPr>
          <w:rFonts w:ascii="宋体" w:hAnsi="宋体" w:hint="eastAsia"/>
          <w:sz w:val="21"/>
          <w:szCs w:val="21"/>
        </w:rPr>
        <w:t>。</w:t>
      </w:r>
      <w:r w:rsidRPr="00AD5C67">
        <w:rPr>
          <w:rFonts w:ascii="宋体" w:hAnsi="宋体"/>
          <w:sz w:val="21"/>
          <w:szCs w:val="21"/>
        </w:rPr>
        <w:tab/>
      </w:r>
    </w:p>
    <w:p w14:paraId="4FF8C7E7" w14:textId="77777777" w:rsidR="001625E0" w:rsidRPr="00AD5C67" w:rsidRDefault="001625E0" w:rsidP="00283187">
      <w:pPr>
        <w:spacing w:beforeLines="50" w:before="163"/>
        <w:ind w:firstLineChars="0" w:firstLine="0"/>
      </w:pPr>
    </w:p>
    <w:sectPr w:rsidR="001625E0" w:rsidRPr="00AD5C67" w:rsidSect="00BC2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3026A" w14:textId="77777777" w:rsidR="00F06F49" w:rsidRDefault="00F06F49" w:rsidP="00F6042C">
      <w:pPr>
        <w:spacing w:line="240" w:lineRule="auto"/>
        <w:ind w:firstLine="480"/>
      </w:pPr>
      <w:r>
        <w:separator/>
      </w:r>
    </w:p>
  </w:endnote>
  <w:endnote w:type="continuationSeparator" w:id="0">
    <w:p w14:paraId="3B194C79" w14:textId="77777777" w:rsidR="00F06F49" w:rsidRDefault="00F06F49" w:rsidP="00F6042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DE73" w14:textId="77777777" w:rsidR="00F6042C" w:rsidRDefault="00F6042C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21E3D" w14:textId="77777777" w:rsidR="00F6042C" w:rsidRDefault="00F6042C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02F9" w14:textId="77777777" w:rsidR="00F6042C" w:rsidRDefault="00F6042C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6ACF0" w14:textId="77777777" w:rsidR="00F06F49" w:rsidRDefault="00F06F49" w:rsidP="00F6042C">
      <w:pPr>
        <w:spacing w:line="240" w:lineRule="auto"/>
        <w:ind w:firstLine="480"/>
      </w:pPr>
      <w:r>
        <w:separator/>
      </w:r>
    </w:p>
  </w:footnote>
  <w:footnote w:type="continuationSeparator" w:id="0">
    <w:p w14:paraId="1789CBB9" w14:textId="77777777" w:rsidR="00F06F49" w:rsidRDefault="00F06F49" w:rsidP="00F6042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4B654" w14:textId="77777777" w:rsidR="00F6042C" w:rsidRDefault="00F6042C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AF513" w14:textId="77777777" w:rsidR="00BC2250" w:rsidRDefault="00BC2250" w:rsidP="00BC2250">
    <w:pPr>
      <w:pageBreakBefore/>
      <w:spacing w:beforeLines="100" w:before="240" w:afterLines="50" w:after="120"/>
      <w:jc w:val="center"/>
      <w:rPr>
        <w:rFonts w:eastAsia="黑体"/>
        <w:sz w:val="28"/>
      </w:rPr>
    </w:pPr>
    <w:r>
      <w:rPr>
        <w:rFonts w:eastAsia="黑体" w:hint="eastAsia"/>
        <w:sz w:val="28"/>
      </w:rPr>
      <w:t>标准征求意见</w:t>
    </w:r>
    <w:proofErr w:type="gramStart"/>
    <w:r>
      <w:rPr>
        <w:rFonts w:eastAsia="黑体" w:hint="eastAsia"/>
        <w:sz w:val="28"/>
      </w:rPr>
      <w:t>稿意见</w:t>
    </w:r>
    <w:proofErr w:type="gramEnd"/>
    <w:r>
      <w:rPr>
        <w:rFonts w:eastAsia="黑体" w:hint="eastAsia"/>
        <w:sz w:val="28"/>
      </w:rPr>
      <w:t>汇总处理表</w:t>
    </w:r>
  </w:p>
  <w:p w14:paraId="01D8C401" w14:textId="3759E477" w:rsidR="00BC2250" w:rsidRPr="00BC2250" w:rsidRDefault="00BC2250" w:rsidP="00BC2250">
    <w:pPr>
      <w:ind w:firstLineChars="0" w:firstLine="0"/>
      <w:rPr>
        <w:rFonts w:ascii="宋体" w:hAnsi="宋体"/>
        <w:sz w:val="21"/>
        <w:szCs w:val="21"/>
      </w:rPr>
    </w:pPr>
    <w:r w:rsidRPr="00BC2250">
      <w:rPr>
        <w:rFonts w:hint="eastAsia"/>
        <w:sz w:val="21"/>
        <w:szCs w:val="21"/>
      </w:rPr>
      <w:t>标准项目名称：《温室气体</w:t>
    </w:r>
    <w:r w:rsidRPr="00BC2250">
      <w:rPr>
        <w:rFonts w:hint="eastAsia"/>
        <w:sz w:val="21"/>
        <w:szCs w:val="21"/>
      </w:rPr>
      <w:t xml:space="preserve"> </w:t>
    </w:r>
    <w:r w:rsidRPr="00BC2250">
      <w:rPr>
        <w:rFonts w:hint="eastAsia"/>
        <w:sz w:val="21"/>
        <w:szCs w:val="21"/>
      </w:rPr>
      <w:t>产品碳足迹量化方法与要求</w:t>
    </w:r>
    <w:r w:rsidRPr="00BC2250">
      <w:rPr>
        <w:rFonts w:hint="eastAsia"/>
        <w:sz w:val="21"/>
        <w:szCs w:val="21"/>
      </w:rPr>
      <w:t xml:space="preserve"> </w:t>
    </w:r>
    <w:r w:rsidRPr="00BC2250">
      <w:rPr>
        <w:rFonts w:hint="eastAsia"/>
        <w:sz w:val="21"/>
        <w:szCs w:val="21"/>
      </w:rPr>
      <w:t>锌锭》</w:t>
    </w:r>
    <w:r w:rsidRPr="00BC2250">
      <w:rPr>
        <w:rFonts w:ascii="宋体" w:hAnsi="宋体" w:hint="eastAsia"/>
        <w:sz w:val="21"/>
        <w:szCs w:val="21"/>
      </w:rPr>
      <w:t xml:space="preserve">  承办人：</w:t>
    </w:r>
    <w:r>
      <w:rPr>
        <w:rFonts w:ascii="宋体" w:hAnsi="宋体" w:hint="eastAsia"/>
        <w:sz w:val="21"/>
        <w:szCs w:val="21"/>
      </w:rPr>
      <w:t>郭儒</w:t>
    </w:r>
    <w:r w:rsidRPr="00BC2250">
      <w:rPr>
        <w:rFonts w:ascii="宋体" w:hAnsi="宋体" w:hint="eastAsia"/>
        <w:sz w:val="21"/>
        <w:szCs w:val="21"/>
      </w:rPr>
      <w:t xml:space="preserve">    </w:t>
    </w:r>
    <w:r>
      <w:rPr>
        <w:rFonts w:ascii="宋体" w:hAnsi="宋体"/>
        <w:sz w:val="21"/>
        <w:szCs w:val="21"/>
      </w:rPr>
      <w:t xml:space="preserve">  </w:t>
    </w:r>
    <w:r w:rsidRPr="00BC2250">
      <w:rPr>
        <w:rFonts w:ascii="宋体" w:hAnsi="宋体" w:hint="eastAsia"/>
        <w:sz w:val="21"/>
        <w:szCs w:val="21"/>
      </w:rPr>
      <w:t xml:space="preserve">   共</w:t>
    </w:r>
    <w:r w:rsidR="00EF08C1">
      <w:rPr>
        <w:rFonts w:ascii="宋体" w:hAnsi="宋体"/>
        <w:sz w:val="21"/>
        <w:szCs w:val="21"/>
      </w:rPr>
      <w:t>4</w:t>
    </w:r>
    <w:r w:rsidRPr="00BC2250">
      <w:rPr>
        <w:rFonts w:ascii="宋体" w:hAnsi="宋体" w:hint="eastAsia"/>
        <w:sz w:val="21"/>
        <w:szCs w:val="21"/>
      </w:rPr>
      <w:t>页 第</w:t>
    </w:r>
    <w:r w:rsidRPr="00BC2250">
      <w:rPr>
        <w:rFonts w:ascii="宋体" w:hAnsi="宋体"/>
        <w:sz w:val="21"/>
        <w:szCs w:val="21"/>
      </w:rPr>
      <w:fldChar w:fldCharType="begin"/>
    </w:r>
    <w:r w:rsidRPr="00BC2250">
      <w:rPr>
        <w:rFonts w:ascii="宋体" w:hAnsi="宋体"/>
        <w:sz w:val="21"/>
        <w:szCs w:val="21"/>
      </w:rPr>
      <w:instrText xml:space="preserve"> PAGE   \* MERGEFORMAT </w:instrText>
    </w:r>
    <w:r w:rsidRPr="00BC2250">
      <w:rPr>
        <w:rFonts w:ascii="宋体" w:hAnsi="宋体"/>
        <w:sz w:val="21"/>
        <w:szCs w:val="21"/>
      </w:rPr>
      <w:fldChar w:fldCharType="separate"/>
    </w:r>
    <w:r w:rsidR="00EF08C1" w:rsidRPr="00EF08C1">
      <w:rPr>
        <w:rFonts w:ascii="宋体" w:hAnsi="宋体"/>
        <w:noProof/>
        <w:sz w:val="21"/>
        <w:szCs w:val="21"/>
        <w:lang w:val="zh-CN"/>
      </w:rPr>
      <w:t>3</w:t>
    </w:r>
    <w:r w:rsidRPr="00BC2250">
      <w:rPr>
        <w:rFonts w:ascii="宋体" w:hAnsi="宋体"/>
        <w:sz w:val="21"/>
        <w:szCs w:val="21"/>
      </w:rPr>
      <w:fldChar w:fldCharType="end"/>
    </w:r>
    <w:r w:rsidRPr="00BC2250">
      <w:rPr>
        <w:rFonts w:ascii="宋体" w:hAnsi="宋体" w:hint="eastAsia"/>
        <w:sz w:val="21"/>
        <w:szCs w:val="21"/>
      </w:rPr>
      <w:t>页</w:t>
    </w:r>
  </w:p>
  <w:p w14:paraId="73E415A1" w14:textId="6C763954" w:rsidR="00BC2250" w:rsidRPr="00BC2250" w:rsidRDefault="00BC2250" w:rsidP="00BC2250">
    <w:pPr>
      <w:ind w:firstLineChars="0" w:firstLine="0"/>
      <w:rPr>
        <w:sz w:val="21"/>
        <w:szCs w:val="21"/>
      </w:rPr>
    </w:pPr>
    <w:r w:rsidRPr="00BC2250">
      <w:rPr>
        <w:rFonts w:hint="eastAsia"/>
        <w:sz w:val="21"/>
        <w:szCs w:val="21"/>
      </w:rPr>
      <w:t>标准项目负责起草单位：</w:t>
    </w:r>
    <w:r>
      <w:rPr>
        <w:rFonts w:hint="eastAsia"/>
        <w:sz w:val="21"/>
        <w:szCs w:val="21"/>
      </w:rPr>
      <w:t>矿冶科技集团有限公司</w:t>
    </w:r>
    <w:r w:rsidRPr="00BC2250">
      <w:rPr>
        <w:rFonts w:hint="eastAsia"/>
        <w:sz w:val="21"/>
        <w:szCs w:val="21"/>
      </w:rPr>
      <w:t xml:space="preserve">       </w:t>
    </w:r>
    <w:r w:rsidRPr="00BC2250">
      <w:rPr>
        <w:rFonts w:hint="eastAsia"/>
        <w:sz w:val="21"/>
        <w:szCs w:val="21"/>
      </w:rPr>
      <w:t>电</w:t>
    </w:r>
    <w:r w:rsidRPr="00BC2250">
      <w:rPr>
        <w:rFonts w:hint="eastAsia"/>
        <w:sz w:val="21"/>
        <w:szCs w:val="21"/>
      </w:rPr>
      <w:t xml:space="preserve">  </w:t>
    </w:r>
    <w:r w:rsidRPr="00BC2250">
      <w:rPr>
        <w:rFonts w:hint="eastAsia"/>
        <w:sz w:val="21"/>
        <w:szCs w:val="21"/>
      </w:rPr>
      <w:t>话：</w:t>
    </w:r>
    <w:r w:rsidRPr="00BC2250">
      <w:rPr>
        <w:rFonts w:ascii="宋体" w:hAnsi="宋体" w:hint="eastAsia"/>
        <w:sz w:val="21"/>
        <w:szCs w:val="21"/>
      </w:rPr>
      <w:t>010-</w:t>
    </w:r>
    <w:r w:rsidR="00EF08C1">
      <w:rPr>
        <w:rFonts w:ascii="宋体" w:hAnsi="宋体"/>
        <w:sz w:val="21"/>
        <w:szCs w:val="21"/>
      </w:rPr>
      <w:t>63299512</w:t>
    </w:r>
    <w:r w:rsidRPr="00BC2250">
      <w:rPr>
        <w:rFonts w:ascii="宋体" w:hAnsi="宋体" w:hint="eastAsia"/>
        <w:sz w:val="21"/>
        <w:szCs w:val="21"/>
      </w:rPr>
      <w:t xml:space="preserve">      2024年8月</w:t>
    </w:r>
    <w:r w:rsidR="00EF08C1">
      <w:rPr>
        <w:rFonts w:ascii="宋体" w:hAnsi="宋体"/>
        <w:sz w:val="21"/>
        <w:szCs w:val="21"/>
      </w:rPr>
      <w:t>9</w:t>
    </w:r>
    <w:r w:rsidRPr="00BC2250">
      <w:rPr>
        <w:rFonts w:ascii="宋体" w:hAnsi="宋体" w:hint="eastAsia"/>
        <w:sz w:val="21"/>
        <w:szCs w:val="21"/>
      </w:rPr>
      <w:t>日</w:t>
    </w:r>
    <w:r w:rsidRPr="00BC2250">
      <w:rPr>
        <w:rFonts w:hint="eastAsia"/>
        <w:sz w:val="21"/>
        <w:szCs w:val="21"/>
      </w:rPr>
      <w:t>填写</w:t>
    </w:r>
  </w:p>
  <w:p w14:paraId="7B23A655" w14:textId="77777777" w:rsidR="00F6042C" w:rsidRPr="00BC2250" w:rsidRDefault="00F6042C" w:rsidP="00283187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2C58" w14:textId="77777777" w:rsidR="00F6042C" w:rsidRDefault="00F6042C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B2"/>
    <w:rsid w:val="0016014E"/>
    <w:rsid w:val="001625E0"/>
    <w:rsid w:val="00283187"/>
    <w:rsid w:val="00347074"/>
    <w:rsid w:val="003F1ABC"/>
    <w:rsid w:val="0047291C"/>
    <w:rsid w:val="004F1A87"/>
    <w:rsid w:val="00555580"/>
    <w:rsid w:val="0062751B"/>
    <w:rsid w:val="008765BE"/>
    <w:rsid w:val="00884DE4"/>
    <w:rsid w:val="0089108D"/>
    <w:rsid w:val="008F6CBF"/>
    <w:rsid w:val="00996823"/>
    <w:rsid w:val="00AD5C67"/>
    <w:rsid w:val="00B359F2"/>
    <w:rsid w:val="00BC2250"/>
    <w:rsid w:val="00C232B2"/>
    <w:rsid w:val="00C662B3"/>
    <w:rsid w:val="00C92AB6"/>
    <w:rsid w:val="00D56ECE"/>
    <w:rsid w:val="00DA0ECE"/>
    <w:rsid w:val="00ED5874"/>
    <w:rsid w:val="00EF08C1"/>
    <w:rsid w:val="00F06F49"/>
    <w:rsid w:val="00F6042C"/>
    <w:rsid w:val="00FF27A5"/>
    <w:rsid w:val="0F73701B"/>
    <w:rsid w:val="17A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6E5D4"/>
  <w15:docId w15:val="{41C70ABD-2989-4E96-8966-EF36942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spacing w:line="360" w:lineRule="auto"/>
      <w:ind w:firstLineChars="200" w:firstLine="560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outlineLvl w:val="0"/>
    </w:pPr>
    <w:rPr>
      <w:b/>
      <w:kern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3">
    <w:name w:val="Body Text Indent"/>
    <w:basedOn w:val="a"/>
    <w:qFormat/>
    <w:pPr>
      <w:spacing w:before="240"/>
      <w:ind w:firstLine="567"/>
    </w:pPr>
    <w:rPr>
      <w:rFonts w:eastAsiaTheme="minorEastAsia"/>
      <w:sz w:val="2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rPr>
      <w:rFonts w:ascii="微软雅黑" w:eastAsia="微软雅黑" w:hAnsi="微软雅黑" w:cs="微软雅黑" w:hint="eastAsia"/>
      <w:color w:val="000000"/>
      <w:sz w:val="21"/>
      <w:szCs w:val="21"/>
      <w:u w:val="none"/>
      <w:bdr w:val="none" w:sz="0" w:space="0" w:color="auto"/>
    </w:rPr>
  </w:style>
  <w:style w:type="character" w:styleId="a6">
    <w:name w:val="Hyperlink"/>
    <w:basedOn w:val="a0"/>
    <w:rPr>
      <w:rFonts w:ascii="微软雅黑" w:eastAsia="微软雅黑" w:hAnsi="微软雅黑" w:cs="微软雅黑" w:hint="eastAsia"/>
      <w:color w:val="000000"/>
      <w:sz w:val="21"/>
      <w:szCs w:val="21"/>
      <w:u w:val="none"/>
      <w:bdr w:val="none" w:sz="0" w:space="0" w:color="auto"/>
    </w:rPr>
  </w:style>
  <w:style w:type="paragraph" w:customStyle="1" w:styleId="a7">
    <w:name w:val="附录标题"/>
    <w:qFormat/>
    <w:pPr>
      <w:adjustRightInd w:val="0"/>
      <w:jc w:val="center"/>
    </w:pPr>
    <w:rPr>
      <w:rFonts w:ascii="Arial" w:eastAsia="黑体" w:hAnsi="Arial"/>
      <w:kern w:val="21"/>
      <w:sz w:val="21"/>
      <w:szCs w:val="22"/>
    </w:rPr>
  </w:style>
  <w:style w:type="paragraph" w:customStyle="1" w:styleId="TableParagraph">
    <w:name w:val="Table Paragraph"/>
    <w:basedOn w:val="a"/>
    <w:uiPriority w:val="1"/>
    <w:unhideWhenUsed/>
    <w:qFormat/>
    <w:rPr>
      <w:rFonts w:hint="eastAsia"/>
    </w:rPr>
  </w:style>
  <w:style w:type="character" w:customStyle="1" w:styleId="s">
    <w:name w:val="s"/>
    <w:basedOn w:val="a0"/>
    <w:rPr>
      <w:rFonts w:ascii="微软雅黑" w:eastAsia="微软雅黑" w:hAnsi="微软雅黑" w:cs="微软雅黑" w:hint="eastAsia"/>
      <w:b/>
      <w:color w:val="AD750E"/>
      <w:sz w:val="21"/>
      <w:szCs w:val="21"/>
      <w:bdr w:val="single" w:sz="6" w:space="0" w:color="E4A83A"/>
    </w:rPr>
  </w:style>
  <w:style w:type="character" w:customStyle="1" w:styleId="s1">
    <w:name w:val="s1"/>
    <w:basedOn w:val="a0"/>
    <w:rPr>
      <w:rFonts w:ascii="微软雅黑" w:eastAsia="微软雅黑" w:hAnsi="微软雅黑" w:cs="微软雅黑" w:hint="eastAsia"/>
      <w:b/>
      <w:color w:val="000000"/>
      <w:sz w:val="21"/>
      <w:szCs w:val="21"/>
    </w:rPr>
  </w:style>
  <w:style w:type="paragraph" w:styleId="a8">
    <w:name w:val="header"/>
    <w:basedOn w:val="a"/>
    <w:link w:val="a9"/>
    <w:rsid w:val="00F6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6042C"/>
    <w:rPr>
      <w:rFonts w:cstheme="minorBidi"/>
      <w:kern w:val="2"/>
      <w:sz w:val="18"/>
      <w:szCs w:val="18"/>
    </w:rPr>
  </w:style>
  <w:style w:type="paragraph" w:styleId="aa">
    <w:name w:val="footer"/>
    <w:basedOn w:val="a"/>
    <w:link w:val="ab"/>
    <w:rsid w:val="00F604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6042C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A8D37F-F313-4F51-9DA9-BA04ADEB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郭十八</dc:creator>
  <cp:lastModifiedBy>郭儒</cp:lastModifiedBy>
  <cp:revision>6</cp:revision>
  <dcterms:created xsi:type="dcterms:W3CDTF">2024-08-11T08:51:00Z</dcterms:created>
  <dcterms:modified xsi:type="dcterms:W3CDTF">2024-08-19T08:59:00Z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