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pPr w:leftFromText="180" w:rightFromText="180" w:vertAnchor="page" w:horzAnchor="page" w:tblpX="-4" w:tblpY="1113"/>
        <w:tblOverlap w:val="never"/>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1050"/>
        <w:gridCol w:w="3766"/>
        <w:gridCol w:w="1050"/>
        <w:gridCol w:w="3768"/>
      </w:tblGrid>
      <w:tr w14:paraId="2E4C84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399" w:type="pct"/>
            <w:tcBorders>
              <w:top w:val="nil"/>
              <w:left w:val="nil"/>
              <w:bottom w:val="dashed" w:color="A4A4A4" w:sz="6" w:space="0"/>
              <w:right w:val="nil"/>
            </w:tcBorders>
            <w:shd w:val="clear"/>
            <w:tcMar>
              <w:top w:w="180" w:type="dxa"/>
              <w:left w:w="0" w:type="dxa"/>
              <w:bottom w:w="180" w:type="dxa"/>
              <w:right w:w="0" w:type="dxa"/>
            </w:tcMar>
            <w:vAlign w:val="center"/>
          </w:tcPr>
          <w:p w14:paraId="7234CD4A">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color w:val="545454"/>
                <w:sz w:val="21"/>
                <w:szCs w:val="21"/>
              </w:rPr>
            </w:pPr>
            <w:r>
              <w:rPr>
                <w:rFonts w:hint="eastAsia" w:ascii="宋体" w:hAnsi="宋体" w:eastAsia="宋体" w:cs="宋体"/>
                <w:color w:val="545454"/>
                <w:kern w:val="0"/>
                <w:sz w:val="21"/>
                <w:szCs w:val="21"/>
                <w:bdr w:val="none" w:color="auto" w:sz="0" w:space="0"/>
                <w:lang w:val="en-US" w:eastAsia="zh-CN" w:bidi="ar"/>
              </w:rPr>
              <w:t>标  题：</w:t>
            </w:r>
          </w:p>
        </w:tc>
        <w:tc>
          <w:tcPr>
            <w:tcW w:w="2099" w:type="pct"/>
            <w:tcBorders>
              <w:top w:val="nil"/>
              <w:left w:val="nil"/>
              <w:bottom w:val="dashed" w:color="A4A4A4" w:sz="6" w:space="0"/>
              <w:right w:val="nil"/>
            </w:tcBorders>
            <w:shd w:val="clear"/>
            <w:tcMar>
              <w:top w:w="180" w:type="dxa"/>
              <w:left w:w="0" w:type="dxa"/>
              <w:bottom w:w="180" w:type="dxa"/>
              <w:right w:w="0" w:type="dxa"/>
            </w:tcMar>
            <w:vAlign w:val="center"/>
          </w:tcPr>
          <w:p w14:paraId="5508E6A7">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color w:val="545454"/>
                <w:sz w:val="21"/>
                <w:szCs w:val="21"/>
              </w:rPr>
            </w:pPr>
            <w:r>
              <w:rPr>
                <w:rFonts w:hint="eastAsia" w:ascii="宋体" w:hAnsi="宋体" w:eastAsia="宋体" w:cs="宋体"/>
                <w:color w:val="545454"/>
                <w:kern w:val="0"/>
                <w:sz w:val="21"/>
                <w:szCs w:val="21"/>
                <w:bdr w:val="none" w:color="auto" w:sz="0" w:space="0"/>
                <w:lang w:val="en-US" w:eastAsia="zh-CN" w:bidi="ar"/>
              </w:rPr>
              <w:t>关于加快发展节水产业的指导意见</w:t>
            </w:r>
          </w:p>
        </w:tc>
        <w:tc>
          <w:tcPr>
            <w:tcW w:w="399" w:type="pct"/>
            <w:tcBorders>
              <w:top w:val="nil"/>
              <w:left w:val="nil"/>
              <w:bottom w:val="dashed" w:color="A4A4A4" w:sz="6" w:space="0"/>
              <w:right w:val="nil"/>
            </w:tcBorders>
            <w:shd w:val="clear"/>
            <w:tcMar>
              <w:top w:w="180" w:type="dxa"/>
              <w:left w:w="0" w:type="dxa"/>
              <w:bottom w:w="180" w:type="dxa"/>
              <w:right w:w="0" w:type="dxa"/>
            </w:tcMar>
            <w:vAlign w:val="center"/>
          </w:tcPr>
          <w:p w14:paraId="119243B2">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color w:val="545454"/>
                <w:sz w:val="21"/>
                <w:szCs w:val="21"/>
              </w:rPr>
            </w:pPr>
            <w:r>
              <w:rPr>
                <w:rFonts w:hint="eastAsia" w:ascii="宋体" w:hAnsi="宋体" w:eastAsia="宋体" w:cs="宋体"/>
                <w:color w:val="545454"/>
                <w:kern w:val="0"/>
                <w:sz w:val="21"/>
                <w:szCs w:val="21"/>
                <w:bdr w:val="none" w:color="auto" w:sz="0" w:space="0"/>
                <w:lang w:val="en-US" w:eastAsia="zh-CN" w:bidi="ar"/>
              </w:rPr>
              <w:t>发文机关：</w:t>
            </w:r>
          </w:p>
        </w:tc>
        <w:tc>
          <w:tcPr>
            <w:tcW w:w="2100" w:type="pct"/>
            <w:tcBorders>
              <w:top w:val="nil"/>
              <w:left w:val="nil"/>
              <w:bottom w:val="dashed" w:color="A4A4A4" w:sz="6" w:space="0"/>
              <w:right w:val="nil"/>
            </w:tcBorders>
            <w:shd w:val="clear"/>
            <w:tcMar>
              <w:top w:w="180" w:type="dxa"/>
              <w:left w:w="0" w:type="dxa"/>
              <w:bottom w:w="180" w:type="dxa"/>
              <w:right w:w="0" w:type="dxa"/>
            </w:tcMar>
            <w:vAlign w:val="center"/>
          </w:tcPr>
          <w:p w14:paraId="33A0C277">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color w:val="545454"/>
                <w:sz w:val="21"/>
                <w:szCs w:val="21"/>
              </w:rPr>
            </w:pPr>
            <w:r>
              <w:rPr>
                <w:rFonts w:hint="eastAsia" w:ascii="宋体" w:hAnsi="宋体" w:eastAsia="宋体" w:cs="宋体"/>
                <w:color w:val="545454"/>
                <w:kern w:val="0"/>
                <w:sz w:val="21"/>
                <w:szCs w:val="21"/>
                <w:bdr w:val="none" w:color="auto" w:sz="0" w:space="0"/>
                <w:lang w:val="en-US" w:eastAsia="zh-CN" w:bidi="ar"/>
              </w:rPr>
              <w:t>国家发展改革委 水利部 工业和信息化部 住房城乡建设部 农业农村部</w:t>
            </w:r>
          </w:p>
        </w:tc>
      </w:tr>
      <w:tr w14:paraId="7246B2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399" w:type="pct"/>
            <w:tcBorders>
              <w:top w:val="nil"/>
              <w:left w:val="nil"/>
              <w:bottom w:val="dashed" w:color="A4A4A4" w:sz="6" w:space="0"/>
              <w:right w:val="nil"/>
            </w:tcBorders>
            <w:shd w:val="clear"/>
            <w:tcMar>
              <w:top w:w="180" w:type="dxa"/>
              <w:left w:w="0" w:type="dxa"/>
              <w:bottom w:w="180" w:type="dxa"/>
              <w:right w:w="0" w:type="dxa"/>
            </w:tcMar>
            <w:vAlign w:val="center"/>
          </w:tcPr>
          <w:p w14:paraId="6A2696EB">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color w:val="545454"/>
                <w:sz w:val="21"/>
                <w:szCs w:val="21"/>
              </w:rPr>
            </w:pPr>
            <w:r>
              <w:rPr>
                <w:rFonts w:hint="eastAsia" w:ascii="宋体" w:hAnsi="宋体" w:eastAsia="宋体" w:cs="宋体"/>
                <w:color w:val="545454"/>
                <w:kern w:val="0"/>
                <w:sz w:val="21"/>
                <w:szCs w:val="21"/>
                <w:bdr w:val="none" w:color="auto" w:sz="0" w:space="0"/>
                <w:lang w:val="en-US" w:eastAsia="zh-CN" w:bidi="ar"/>
              </w:rPr>
              <w:t>发文字号：</w:t>
            </w:r>
          </w:p>
        </w:tc>
        <w:tc>
          <w:tcPr>
            <w:tcW w:w="2099" w:type="pct"/>
            <w:tcBorders>
              <w:top w:val="nil"/>
              <w:left w:val="nil"/>
              <w:bottom w:val="dashed" w:color="A4A4A4" w:sz="6" w:space="0"/>
              <w:right w:val="nil"/>
            </w:tcBorders>
            <w:shd w:val="clear"/>
            <w:tcMar>
              <w:top w:w="180" w:type="dxa"/>
              <w:left w:w="0" w:type="dxa"/>
              <w:bottom w:w="180" w:type="dxa"/>
              <w:right w:w="0" w:type="dxa"/>
            </w:tcMar>
            <w:vAlign w:val="center"/>
          </w:tcPr>
          <w:p w14:paraId="0DC68CF5">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color w:val="545454"/>
                <w:sz w:val="21"/>
                <w:szCs w:val="21"/>
              </w:rPr>
            </w:pPr>
            <w:r>
              <w:rPr>
                <w:rFonts w:hint="eastAsia" w:ascii="宋体" w:hAnsi="宋体" w:eastAsia="宋体" w:cs="宋体"/>
                <w:color w:val="545454"/>
                <w:kern w:val="0"/>
                <w:sz w:val="21"/>
                <w:szCs w:val="21"/>
                <w:bdr w:val="none" w:color="auto" w:sz="0" w:space="0"/>
                <w:lang w:val="en-US" w:eastAsia="zh-CN" w:bidi="ar"/>
              </w:rPr>
              <w:t>发改环资〔2024〕898号</w:t>
            </w:r>
          </w:p>
        </w:tc>
        <w:tc>
          <w:tcPr>
            <w:tcW w:w="399" w:type="pct"/>
            <w:tcBorders>
              <w:top w:val="nil"/>
              <w:left w:val="nil"/>
              <w:bottom w:val="dashed" w:color="A4A4A4" w:sz="6" w:space="0"/>
              <w:right w:val="nil"/>
            </w:tcBorders>
            <w:shd w:val="clear"/>
            <w:tcMar>
              <w:top w:w="180" w:type="dxa"/>
              <w:left w:w="0" w:type="dxa"/>
              <w:bottom w:w="180" w:type="dxa"/>
              <w:right w:w="0" w:type="dxa"/>
            </w:tcMar>
            <w:vAlign w:val="center"/>
          </w:tcPr>
          <w:p w14:paraId="66A59253">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color w:val="545454"/>
                <w:sz w:val="21"/>
                <w:szCs w:val="21"/>
              </w:rPr>
            </w:pPr>
            <w:r>
              <w:rPr>
                <w:rFonts w:hint="eastAsia" w:ascii="宋体" w:hAnsi="宋体" w:eastAsia="宋体" w:cs="宋体"/>
                <w:color w:val="545454"/>
                <w:kern w:val="0"/>
                <w:sz w:val="21"/>
                <w:szCs w:val="21"/>
                <w:bdr w:val="none" w:color="auto" w:sz="0" w:space="0"/>
                <w:lang w:val="en-US" w:eastAsia="zh-CN" w:bidi="ar"/>
              </w:rPr>
              <w:t>来  源：</w:t>
            </w:r>
          </w:p>
        </w:tc>
        <w:tc>
          <w:tcPr>
            <w:tcW w:w="2100" w:type="pct"/>
            <w:tcBorders>
              <w:top w:val="nil"/>
              <w:left w:val="nil"/>
              <w:bottom w:val="dashed" w:color="A4A4A4" w:sz="6" w:space="0"/>
              <w:right w:val="nil"/>
            </w:tcBorders>
            <w:shd w:val="clear"/>
            <w:tcMar>
              <w:top w:w="180" w:type="dxa"/>
              <w:left w:w="0" w:type="dxa"/>
              <w:bottom w:w="180" w:type="dxa"/>
              <w:right w:w="0" w:type="dxa"/>
            </w:tcMar>
            <w:vAlign w:val="center"/>
          </w:tcPr>
          <w:p w14:paraId="2BF6961C">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color w:val="545454"/>
                <w:sz w:val="21"/>
                <w:szCs w:val="21"/>
              </w:rPr>
            </w:pPr>
            <w:r>
              <w:rPr>
                <w:rFonts w:hint="eastAsia" w:ascii="宋体" w:hAnsi="宋体" w:eastAsia="宋体" w:cs="宋体"/>
                <w:color w:val="545454"/>
                <w:kern w:val="0"/>
                <w:sz w:val="21"/>
                <w:szCs w:val="21"/>
                <w:bdr w:val="none" w:color="auto" w:sz="0" w:space="0"/>
                <w:lang w:val="en-US" w:eastAsia="zh-CN" w:bidi="ar"/>
              </w:rPr>
              <w:t>国家发展改革委网站</w:t>
            </w:r>
          </w:p>
        </w:tc>
      </w:tr>
      <w:tr w14:paraId="084EAE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399" w:type="pct"/>
            <w:tcBorders>
              <w:top w:val="nil"/>
              <w:left w:val="nil"/>
              <w:bottom w:val="dashed" w:color="A4A4A4" w:sz="6" w:space="0"/>
              <w:right w:val="nil"/>
            </w:tcBorders>
            <w:shd w:val="clear"/>
            <w:tcMar>
              <w:top w:w="180" w:type="dxa"/>
              <w:left w:w="0" w:type="dxa"/>
              <w:bottom w:w="180" w:type="dxa"/>
              <w:right w:w="0" w:type="dxa"/>
            </w:tcMar>
            <w:vAlign w:val="center"/>
          </w:tcPr>
          <w:p w14:paraId="6E426853">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color w:val="545454"/>
                <w:sz w:val="21"/>
                <w:szCs w:val="21"/>
              </w:rPr>
            </w:pPr>
            <w:r>
              <w:rPr>
                <w:rFonts w:hint="eastAsia" w:ascii="宋体" w:hAnsi="宋体" w:eastAsia="宋体" w:cs="宋体"/>
                <w:color w:val="545454"/>
                <w:kern w:val="0"/>
                <w:sz w:val="21"/>
                <w:szCs w:val="21"/>
                <w:bdr w:val="none" w:color="auto" w:sz="0" w:space="0"/>
                <w:lang w:val="en-US" w:eastAsia="zh-CN" w:bidi="ar"/>
              </w:rPr>
              <w:t>主题分类：</w:t>
            </w:r>
          </w:p>
        </w:tc>
        <w:tc>
          <w:tcPr>
            <w:tcW w:w="2099" w:type="pct"/>
            <w:tcBorders>
              <w:top w:val="nil"/>
              <w:left w:val="nil"/>
              <w:bottom w:val="dashed" w:color="A4A4A4" w:sz="6" w:space="0"/>
              <w:right w:val="nil"/>
            </w:tcBorders>
            <w:shd w:val="clear"/>
            <w:tcMar>
              <w:top w:w="180" w:type="dxa"/>
              <w:left w:w="0" w:type="dxa"/>
              <w:bottom w:w="180" w:type="dxa"/>
              <w:right w:w="0" w:type="dxa"/>
            </w:tcMar>
            <w:vAlign w:val="center"/>
          </w:tcPr>
          <w:p w14:paraId="3866F38E">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color w:val="545454"/>
                <w:sz w:val="21"/>
                <w:szCs w:val="21"/>
              </w:rPr>
            </w:pPr>
            <w:r>
              <w:rPr>
                <w:rFonts w:hint="eastAsia" w:ascii="宋体" w:hAnsi="宋体" w:eastAsia="宋体" w:cs="宋体"/>
                <w:color w:val="545454"/>
                <w:kern w:val="0"/>
                <w:sz w:val="21"/>
                <w:szCs w:val="21"/>
                <w:bdr w:val="none" w:color="auto" w:sz="0" w:space="0"/>
                <w:lang w:val="en-US" w:eastAsia="zh-CN" w:bidi="ar"/>
              </w:rPr>
              <w:t>国民经济管理、国有资产监管\其他</w:t>
            </w:r>
          </w:p>
        </w:tc>
        <w:tc>
          <w:tcPr>
            <w:tcW w:w="399" w:type="pct"/>
            <w:tcBorders>
              <w:top w:val="nil"/>
              <w:left w:val="nil"/>
              <w:bottom w:val="dashed" w:color="A4A4A4" w:sz="6" w:space="0"/>
              <w:right w:val="nil"/>
            </w:tcBorders>
            <w:shd w:val="clear"/>
            <w:tcMar>
              <w:top w:w="180" w:type="dxa"/>
              <w:left w:w="0" w:type="dxa"/>
              <w:bottom w:w="180" w:type="dxa"/>
              <w:right w:w="0" w:type="dxa"/>
            </w:tcMar>
            <w:vAlign w:val="center"/>
          </w:tcPr>
          <w:p w14:paraId="0B3E7768">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color w:val="545454"/>
                <w:sz w:val="21"/>
                <w:szCs w:val="21"/>
              </w:rPr>
            </w:pPr>
            <w:r>
              <w:rPr>
                <w:rFonts w:hint="eastAsia" w:ascii="宋体" w:hAnsi="宋体" w:eastAsia="宋体" w:cs="宋体"/>
                <w:color w:val="545454"/>
                <w:kern w:val="0"/>
                <w:sz w:val="21"/>
                <w:szCs w:val="21"/>
                <w:bdr w:val="none" w:color="auto" w:sz="0" w:space="0"/>
                <w:lang w:val="en-US" w:eastAsia="zh-CN" w:bidi="ar"/>
              </w:rPr>
              <w:t>公文种类：</w:t>
            </w:r>
          </w:p>
        </w:tc>
        <w:tc>
          <w:tcPr>
            <w:tcW w:w="2100" w:type="pct"/>
            <w:tcBorders>
              <w:top w:val="nil"/>
              <w:left w:val="nil"/>
              <w:bottom w:val="dashed" w:color="A4A4A4" w:sz="6" w:space="0"/>
              <w:right w:val="nil"/>
            </w:tcBorders>
            <w:shd w:val="clear"/>
            <w:tcMar>
              <w:top w:w="180" w:type="dxa"/>
              <w:left w:w="0" w:type="dxa"/>
              <w:bottom w:w="180" w:type="dxa"/>
              <w:right w:w="0" w:type="dxa"/>
            </w:tcMar>
            <w:vAlign w:val="center"/>
          </w:tcPr>
          <w:p w14:paraId="627E8528">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color w:val="545454"/>
                <w:sz w:val="21"/>
                <w:szCs w:val="21"/>
              </w:rPr>
            </w:pPr>
            <w:r>
              <w:rPr>
                <w:rFonts w:hint="eastAsia" w:ascii="宋体" w:hAnsi="宋体" w:eastAsia="宋体" w:cs="宋体"/>
                <w:color w:val="545454"/>
                <w:kern w:val="0"/>
                <w:sz w:val="21"/>
                <w:szCs w:val="21"/>
                <w:bdr w:val="none" w:color="auto" w:sz="0" w:space="0"/>
                <w:lang w:val="en-US" w:eastAsia="zh-CN" w:bidi="ar"/>
              </w:rPr>
              <w:t>意见</w:t>
            </w:r>
          </w:p>
        </w:tc>
      </w:tr>
      <w:tr w14:paraId="200F25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399" w:type="pct"/>
            <w:tcBorders>
              <w:top w:val="nil"/>
              <w:left w:val="nil"/>
              <w:bottom w:val="nil"/>
              <w:right w:val="nil"/>
            </w:tcBorders>
            <w:shd w:val="clear"/>
            <w:tcMar>
              <w:top w:w="180" w:type="dxa"/>
              <w:left w:w="0" w:type="dxa"/>
              <w:bottom w:w="180" w:type="dxa"/>
              <w:right w:w="0" w:type="dxa"/>
            </w:tcMar>
            <w:vAlign w:val="center"/>
          </w:tcPr>
          <w:p w14:paraId="045FAF1B">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color w:val="545454"/>
                <w:sz w:val="21"/>
                <w:szCs w:val="21"/>
              </w:rPr>
            </w:pPr>
            <w:r>
              <w:rPr>
                <w:rFonts w:hint="eastAsia" w:ascii="宋体" w:hAnsi="宋体" w:eastAsia="宋体" w:cs="宋体"/>
                <w:color w:val="545454"/>
                <w:kern w:val="0"/>
                <w:sz w:val="21"/>
                <w:szCs w:val="21"/>
                <w:bdr w:val="none" w:color="auto" w:sz="0" w:space="0"/>
                <w:lang w:val="en-US" w:eastAsia="zh-CN" w:bidi="ar"/>
              </w:rPr>
              <w:t>成文日期：</w:t>
            </w:r>
          </w:p>
        </w:tc>
        <w:tc>
          <w:tcPr>
            <w:tcW w:w="2099" w:type="pct"/>
            <w:tcBorders>
              <w:top w:val="nil"/>
              <w:left w:val="nil"/>
              <w:bottom w:val="nil"/>
              <w:right w:val="nil"/>
            </w:tcBorders>
            <w:shd w:val="clear"/>
            <w:tcMar>
              <w:top w:w="180" w:type="dxa"/>
              <w:left w:w="0" w:type="dxa"/>
              <w:bottom w:w="180" w:type="dxa"/>
              <w:right w:w="0" w:type="dxa"/>
            </w:tcMar>
            <w:vAlign w:val="center"/>
          </w:tcPr>
          <w:p w14:paraId="452FF876">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color w:val="545454"/>
                <w:sz w:val="21"/>
                <w:szCs w:val="21"/>
              </w:rPr>
            </w:pPr>
            <w:r>
              <w:rPr>
                <w:rFonts w:hint="eastAsia" w:ascii="宋体" w:hAnsi="宋体" w:eastAsia="宋体" w:cs="宋体"/>
                <w:color w:val="545454"/>
                <w:kern w:val="0"/>
                <w:sz w:val="21"/>
                <w:szCs w:val="21"/>
                <w:bdr w:val="none" w:color="auto" w:sz="0" w:space="0"/>
                <w:lang w:val="en-US" w:eastAsia="zh-CN" w:bidi="ar"/>
              </w:rPr>
              <w:t>2024年06月25日</w:t>
            </w:r>
          </w:p>
        </w:tc>
        <w:tc>
          <w:tcPr>
            <w:tcW w:w="399" w:type="pct"/>
            <w:tcBorders>
              <w:top w:val="nil"/>
              <w:left w:val="nil"/>
              <w:bottom w:val="nil"/>
              <w:right w:val="nil"/>
            </w:tcBorders>
            <w:shd w:val="clear"/>
            <w:vAlign w:val="center"/>
          </w:tcPr>
          <w:p w14:paraId="533B38C1">
            <w:pPr>
              <w:rPr>
                <w:rFonts w:hint="eastAsia" w:ascii="宋体"/>
                <w:sz w:val="24"/>
                <w:szCs w:val="24"/>
              </w:rPr>
            </w:pPr>
          </w:p>
        </w:tc>
        <w:tc>
          <w:tcPr>
            <w:tcW w:w="2100" w:type="pct"/>
            <w:tcBorders>
              <w:top w:val="nil"/>
              <w:left w:val="nil"/>
              <w:bottom w:val="nil"/>
              <w:right w:val="nil"/>
            </w:tcBorders>
            <w:shd w:val="clear"/>
            <w:vAlign w:val="center"/>
          </w:tcPr>
          <w:p w14:paraId="3C2560D6">
            <w:pPr>
              <w:rPr>
                <w:rFonts w:hint="eastAsia" w:ascii="宋体"/>
                <w:sz w:val="24"/>
                <w:szCs w:val="24"/>
              </w:rPr>
            </w:pPr>
          </w:p>
        </w:tc>
      </w:tr>
    </w:tbl>
    <w:p w14:paraId="04BF7B6B">
      <w:pPr>
        <w:pStyle w:val="2"/>
        <w:keepNext w:val="0"/>
        <w:keepLines w:val="0"/>
        <w:widowControl/>
        <w:suppressLineNumbers w:val="0"/>
        <w:pBdr>
          <w:top w:val="none" w:color="auto" w:sz="0" w:space="0"/>
          <w:left w:val="none" w:color="auto" w:sz="0" w:space="0"/>
          <w:bottom w:val="none" w:color="auto" w:sz="0" w:space="0"/>
          <w:right w:val="none" w:color="auto" w:sz="0" w:space="0"/>
        </w:pBdr>
        <w:spacing w:after="226" w:afterAutospacing="0" w:line="450" w:lineRule="atLeast"/>
        <w:ind w:left="0" w:right="0" w:firstLine="0"/>
        <w:jc w:val="center"/>
      </w:pPr>
      <w:r>
        <w:rPr>
          <w:rStyle w:val="5"/>
          <w:rFonts w:hint="eastAsia" w:ascii="宋体" w:hAnsi="宋体" w:eastAsia="宋体" w:cs="宋体"/>
          <w:i w:val="0"/>
          <w:iCs w:val="0"/>
          <w:caps w:val="0"/>
          <w:color w:val="333333"/>
          <w:spacing w:val="0"/>
          <w:sz w:val="36"/>
          <w:szCs w:val="36"/>
          <w:bdr w:val="none" w:color="auto" w:sz="0" w:space="0"/>
          <w:shd w:val="clear" w:fill="FFFFFF"/>
        </w:rPr>
        <w:t>国家发展改革委等部门</w:t>
      </w:r>
      <w:bookmarkStart w:id="0" w:name="_GoBack"/>
      <w:r>
        <w:rPr>
          <w:rStyle w:val="5"/>
          <w:rFonts w:hint="eastAsia" w:ascii="宋体" w:hAnsi="宋体" w:eastAsia="宋体" w:cs="宋体"/>
          <w:i w:val="0"/>
          <w:iCs w:val="0"/>
          <w:caps w:val="0"/>
          <w:color w:val="333333"/>
          <w:spacing w:val="0"/>
          <w:sz w:val="36"/>
          <w:szCs w:val="36"/>
          <w:bdr w:val="none" w:color="auto" w:sz="0" w:space="0"/>
          <w:shd w:val="clear" w:fill="FFFFFF"/>
        </w:rPr>
        <w:t>关于加快发展节水产业的指导意见</w:t>
      </w:r>
      <w:bookmarkEnd w:id="0"/>
      <w:r>
        <w:rPr>
          <w:rFonts w:ascii="楷体" w:hAnsi="楷体" w:eastAsia="楷体" w:cs="楷体"/>
          <w:i w:val="0"/>
          <w:iCs w:val="0"/>
          <w:caps w:val="0"/>
          <w:color w:val="333333"/>
          <w:spacing w:val="0"/>
          <w:sz w:val="24"/>
          <w:szCs w:val="24"/>
          <w:bdr w:val="none" w:color="auto" w:sz="0" w:space="0"/>
          <w:shd w:val="clear" w:fill="FFFFFF"/>
        </w:rPr>
        <w:br w:type="textWrapping"/>
      </w:r>
      <w:r>
        <w:rPr>
          <w:rFonts w:hint="eastAsia" w:ascii="楷体" w:hAnsi="楷体" w:eastAsia="楷体" w:cs="楷体"/>
          <w:i w:val="0"/>
          <w:iCs w:val="0"/>
          <w:caps w:val="0"/>
          <w:color w:val="333333"/>
          <w:spacing w:val="0"/>
          <w:sz w:val="24"/>
          <w:szCs w:val="24"/>
          <w:bdr w:val="none" w:color="auto" w:sz="0" w:space="0"/>
          <w:shd w:val="clear" w:fill="FFFFFF"/>
        </w:rPr>
        <w:t>发改环资〔2024〕898号</w:t>
      </w:r>
    </w:p>
    <w:p w14:paraId="579941F5">
      <w:pPr>
        <w:pStyle w:val="2"/>
        <w:keepNext w:val="0"/>
        <w:keepLines w:val="0"/>
        <w:widowControl/>
        <w:suppressLineNumbers w:val="0"/>
        <w:pBdr>
          <w:top w:val="none" w:color="auto" w:sz="0" w:space="0"/>
          <w:left w:val="none" w:color="auto" w:sz="0" w:space="0"/>
          <w:bottom w:val="none" w:color="auto" w:sz="0" w:space="0"/>
          <w:right w:val="none" w:color="auto" w:sz="0" w:space="0"/>
        </w:pBdr>
        <w:spacing w:after="226" w:afterAutospacing="0" w:line="450" w:lineRule="atLeast"/>
        <w:ind w:left="0" w:right="0" w:firstLine="0"/>
      </w:pPr>
      <w:r>
        <w:rPr>
          <w:rFonts w:hint="eastAsia" w:ascii="宋体" w:hAnsi="宋体" w:eastAsia="宋体" w:cs="宋体"/>
          <w:i w:val="0"/>
          <w:iCs w:val="0"/>
          <w:caps w:val="0"/>
          <w:color w:val="333333"/>
          <w:spacing w:val="0"/>
          <w:sz w:val="24"/>
          <w:szCs w:val="24"/>
          <w:bdr w:val="none" w:color="auto" w:sz="0" w:space="0"/>
          <w:shd w:val="clear" w:fill="FFFFFF"/>
        </w:rPr>
        <w:t>各省、自治区、直辖市、新疆生产建设兵团发展改革委、水利（水务）厅（局）、工业和信息化主管部门、住房城乡建设厅（委、管委、局）、农业农村（农牧）厅（局、委）：</w:t>
      </w:r>
    </w:p>
    <w:p w14:paraId="7902313D">
      <w:pPr>
        <w:pStyle w:val="2"/>
        <w:keepNext w:val="0"/>
        <w:keepLines w:val="0"/>
        <w:widowControl/>
        <w:suppressLineNumbers w:val="0"/>
        <w:pBdr>
          <w:top w:val="none" w:color="auto" w:sz="0" w:space="0"/>
          <w:left w:val="none" w:color="auto" w:sz="0" w:space="0"/>
          <w:bottom w:val="none" w:color="auto" w:sz="0" w:space="0"/>
          <w:right w:val="none" w:color="auto" w:sz="0" w:space="0"/>
        </w:pBdr>
        <w:spacing w:after="226" w:afterAutospacing="0" w:line="450" w:lineRule="atLeast"/>
        <w:ind w:left="0" w:right="0" w:firstLine="420"/>
      </w:pPr>
      <w:r>
        <w:rPr>
          <w:rFonts w:hint="eastAsia" w:ascii="宋体" w:hAnsi="宋体" w:eastAsia="宋体" w:cs="宋体"/>
          <w:i w:val="0"/>
          <w:iCs w:val="0"/>
          <w:caps w:val="0"/>
          <w:color w:val="333333"/>
          <w:spacing w:val="0"/>
          <w:sz w:val="24"/>
          <w:szCs w:val="24"/>
          <w:bdr w:val="none" w:color="auto" w:sz="0" w:space="0"/>
          <w:shd w:val="clear" w:fill="FFFFFF"/>
        </w:rPr>
        <w:t>随着节水型社会建设的深入推进，以节水产品装备制造、节水管理服务咨询等为主要内容的节水产业规模不断扩大，已成为新质生产力和绿色经济的重要组成部分。加快发展节水产业，对于形成节水型生产生活方式，提高水资源节约集约利用水平，促进经济社会发展全面绿色转型具有重要意义。为全面贯彻党的二十大精神，深入践行“节水优先、空间均衡、系统治理、两手发力”治水思路，以节水产业发展推动水资源利用效率提升，提出以下意见。</w:t>
      </w:r>
    </w:p>
    <w:p w14:paraId="3D958E4C">
      <w:pPr>
        <w:pStyle w:val="2"/>
        <w:keepNext w:val="0"/>
        <w:keepLines w:val="0"/>
        <w:widowControl/>
        <w:suppressLineNumbers w:val="0"/>
        <w:pBdr>
          <w:top w:val="none" w:color="auto" w:sz="0" w:space="0"/>
          <w:left w:val="none" w:color="auto" w:sz="0" w:space="0"/>
          <w:bottom w:val="none" w:color="auto" w:sz="0" w:space="0"/>
          <w:right w:val="none" w:color="auto" w:sz="0" w:space="0"/>
        </w:pBdr>
        <w:spacing w:after="226" w:afterAutospacing="0" w:line="450" w:lineRule="atLeast"/>
        <w:ind w:left="0" w:right="0" w:firstLine="420"/>
      </w:pPr>
      <w:r>
        <w:rPr>
          <w:rStyle w:val="5"/>
          <w:rFonts w:hint="eastAsia" w:ascii="宋体" w:hAnsi="宋体" w:eastAsia="宋体" w:cs="宋体"/>
          <w:i w:val="0"/>
          <w:iCs w:val="0"/>
          <w:caps w:val="0"/>
          <w:color w:val="333333"/>
          <w:spacing w:val="0"/>
          <w:sz w:val="24"/>
          <w:szCs w:val="24"/>
          <w:bdr w:val="none" w:color="auto" w:sz="0" w:space="0"/>
          <w:shd w:val="clear" w:fill="FFFFFF"/>
        </w:rPr>
        <w:t>一、总体要求</w:t>
      </w:r>
    </w:p>
    <w:p w14:paraId="36348FD0">
      <w:pPr>
        <w:pStyle w:val="2"/>
        <w:keepNext w:val="0"/>
        <w:keepLines w:val="0"/>
        <w:widowControl/>
        <w:suppressLineNumbers w:val="0"/>
        <w:pBdr>
          <w:top w:val="none" w:color="auto" w:sz="0" w:space="0"/>
          <w:left w:val="none" w:color="auto" w:sz="0" w:space="0"/>
          <w:bottom w:val="none" w:color="auto" w:sz="0" w:space="0"/>
          <w:right w:val="none" w:color="auto" w:sz="0" w:space="0"/>
        </w:pBdr>
        <w:spacing w:after="226" w:afterAutospacing="0" w:line="450" w:lineRule="atLeast"/>
        <w:ind w:left="0" w:right="0" w:firstLine="420"/>
      </w:pPr>
      <w:r>
        <w:rPr>
          <w:rFonts w:hint="eastAsia" w:ascii="宋体" w:hAnsi="宋体" w:eastAsia="宋体" w:cs="宋体"/>
          <w:i w:val="0"/>
          <w:iCs w:val="0"/>
          <w:caps w:val="0"/>
          <w:color w:val="333333"/>
          <w:spacing w:val="0"/>
          <w:sz w:val="24"/>
          <w:szCs w:val="24"/>
          <w:bdr w:val="none" w:color="auto" w:sz="0" w:space="0"/>
          <w:shd w:val="clear" w:fill="FFFFFF"/>
        </w:rPr>
        <w:t>以习近平新时代中国特色社会主义思想为指导，实施全面节约战略，坚持政府作用和市场机制协同发力，推动节水产业市场供需两端有效衔接，促进科技创新和产品装备有效供给，以节水产业高质量发展推动水资源节约集约利用水平持续提升。到2027年，节水产业规模达到万亿，培育形成一批“专精特新”小巨人企业，初步建立以企业为主体、市场为导向、创新为动力、产学研用相结合的节水产业发展格局。到2035年，培育一批百亿级龙头企业，节水技术工艺、产品装备制造和管理服务达到世界先进水平，节水型生产生活方式全面形成。</w:t>
      </w:r>
    </w:p>
    <w:p w14:paraId="3728B8D6">
      <w:pPr>
        <w:pStyle w:val="2"/>
        <w:keepNext w:val="0"/>
        <w:keepLines w:val="0"/>
        <w:widowControl/>
        <w:suppressLineNumbers w:val="0"/>
        <w:pBdr>
          <w:top w:val="none" w:color="auto" w:sz="0" w:space="0"/>
          <w:left w:val="none" w:color="auto" w:sz="0" w:space="0"/>
          <w:bottom w:val="none" w:color="auto" w:sz="0" w:space="0"/>
          <w:right w:val="none" w:color="auto" w:sz="0" w:space="0"/>
        </w:pBdr>
        <w:spacing w:after="226" w:afterAutospacing="0" w:line="450" w:lineRule="atLeast"/>
        <w:ind w:left="0" w:right="0" w:firstLine="420"/>
      </w:pPr>
      <w:r>
        <w:rPr>
          <w:rStyle w:val="5"/>
          <w:rFonts w:hint="eastAsia" w:ascii="宋体" w:hAnsi="宋体" w:eastAsia="宋体" w:cs="宋体"/>
          <w:i w:val="0"/>
          <w:iCs w:val="0"/>
          <w:caps w:val="0"/>
          <w:color w:val="333333"/>
          <w:spacing w:val="0"/>
          <w:sz w:val="24"/>
          <w:szCs w:val="24"/>
          <w:bdr w:val="none" w:color="auto" w:sz="0" w:space="0"/>
          <w:shd w:val="clear" w:fill="FFFFFF"/>
        </w:rPr>
        <w:t>二、激发节水产业发展动力</w:t>
      </w:r>
    </w:p>
    <w:p w14:paraId="4B7E4741">
      <w:pPr>
        <w:pStyle w:val="2"/>
        <w:keepNext w:val="0"/>
        <w:keepLines w:val="0"/>
        <w:widowControl/>
        <w:suppressLineNumbers w:val="0"/>
        <w:pBdr>
          <w:top w:val="none" w:color="auto" w:sz="0" w:space="0"/>
          <w:left w:val="none" w:color="auto" w:sz="0" w:space="0"/>
          <w:bottom w:val="none" w:color="auto" w:sz="0" w:space="0"/>
          <w:right w:val="none" w:color="auto" w:sz="0" w:space="0"/>
        </w:pBdr>
        <w:spacing w:after="226" w:afterAutospacing="0" w:line="450" w:lineRule="atLeast"/>
        <w:ind w:left="0" w:right="0" w:firstLine="420"/>
      </w:pPr>
      <w:r>
        <w:rPr>
          <w:rStyle w:val="5"/>
          <w:rFonts w:hint="eastAsia" w:ascii="宋体" w:hAnsi="宋体" w:eastAsia="宋体" w:cs="宋体"/>
          <w:i w:val="0"/>
          <w:iCs w:val="0"/>
          <w:caps w:val="0"/>
          <w:color w:val="333333"/>
          <w:spacing w:val="0"/>
          <w:sz w:val="24"/>
          <w:szCs w:val="24"/>
          <w:bdr w:val="none" w:color="auto" w:sz="0" w:space="0"/>
          <w:shd w:val="clear" w:fill="FFFFFF"/>
        </w:rPr>
        <w:t>（一）落实水资源刚性约束制度。</w:t>
      </w:r>
      <w:r>
        <w:rPr>
          <w:rFonts w:hint="eastAsia" w:ascii="宋体" w:hAnsi="宋体" w:eastAsia="宋体" w:cs="宋体"/>
          <w:i w:val="0"/>
          <w:iCs w:val="0"/>
          <w:caps w:val="0"/>
          <w:color w:val="333333"/>
          <w:spacing w:val="0"/>
          <w:sz w:val="24"/>
          <w:szCs w:val="24"/>
          <w:bdr w:val="none" w:color="auto" w:sz="0" w:space="0"/>
          <w:shd w:val="clear" w:fill="FFFFFF"/>
        </w:rPr>
        <w:t>加强省、市、县三级行政区用水总量和强度控制指标管理，强化政府节水责任，发挥用水户节水主体作用。水资源严重短缺地区、地下水超采地区应当严格控制高耗水产业项目建设，禁止新建并限期淘汰不符合国家产业政策的高耗水产业项目。建立科学合理的节水评价标准，新建、改建和扩建项目应满足节水标准要求。健全水资源监测体系，严格取用水监管。建立多部门联动执法机制，严肃查处违法取用水行为。</w:t>
      </w:r>
    </w:p>
    <w:p w14:paraId="43736898">
      <w:pPr>
        <w:pStyle w:val="2"/>
        <w:keepNext w:val="0"/>
        <w:keepLines w:val="0"/>
        <w:widowControl/>
        <w:suppressLineNumbers w:val="0"/>
        <w:pBdr>
          <w:top w:val="none" w:color="auto" w:sz="0" w:space="0"/>
          <w:left w:val="none" w:color="auto" w:sz="0" w:space="0"/>
          <w:bottom w:val="none" w:color="auto" w:sz="0" w:space="0"/>
          <w:right w:val="none" w:color="auto" w:sz="0" w:space="0"/>
        </w:pBdr>
        <w:spacing w:after="226" w:afterAutospacing="0" w:line="450" w:lineRule="atLeast"/>
        <w:ind w:left="0" w:right="0" w:firstLine="420"/>
      </w:pPr>
      <w:r>
        <w:rPr>
          <w:rStyle w:val="5"/>
          <w:rFonts w:hint="eastAsia" w:ascii="宋体" w:hAnsi="宋体" w:eastAsia="宋体" w:cs="宋体"/>
          <w:i w:val="0"/>
          <w:iCs w:val="0"/>
          <w:caps w:val="0"/>
          <w:color w:val="333333"/>
          <w:spacing w:val="0"/>
          <w:sz w:val="24"/>
          <w:szCs w:val="24"/>
          <w:bdr w:val="none" w:color="auto" w:sz="0" w:space="0"/>
          <w:shd w:val="clear" w:fill="FFFFFF"/>
        </w:rPr>
        <w:t>（二）强化重点领域节水管理。</w:t>
      </w:r>
      <w:r>
        <w:rPr>
          <w:rFonts w:hint="eastAsia" w:ascii="宋体" w:hAnsi="宋体" w:eastAsia="宋体" w:cs="宋体"/>
          <w:i w:val="0"/>
          <w:iCs w:val="0"/>
          <w:caps w:val="0"/>
          <w:color w:val="333333"/>
          <w:spacing w:val="0"/>
          <w:sz w:val="24"/>
          <w:szCs w:val="24"/>
          <w:bdr w:val="none" w:color="auto" w:sz="0" w:space="0"/>
          <w:shd w:val="clear" w:fill="FFFFFF"/>
        </w:rPr>
        <w:t>推动全国年用水量规模以上的工业和服务业用水单位计划用水管理全覆盖。加强重点用水单位监管，开展重点行业水效对标达标。从严控制洗浴、洗车、洗涤、宾馆等高耗水服务行业用水，积极推行水循环、梯级利用。积极发展节水灌溉，推动节水灌溉工程设施建设，灌溉工程设施应当符合节水技术标准。开展公共供水管网漏损治理，积极推进非常规水开发利用。推动公共机构和场所节水改造，新建、改建、扩建公共建筑应当使用符合国家标准的节水产品，优先采购使用一级水效产品。</w:t>
      </w:r>
    </w:p>
    <w:p w14:paraId="0AE91C7F">
      <w:pPr>
        <w:pStyle w:val="2"/>
        <w:keepNext w:val="0"/>
        <w:keepLines w:val="0"/>
        <w:widowControl/>
        <w:suppressLineNumbers w:val="0"/>
        <w:pBdr>
          <w:top w:val="none" w:color="auto" w:sz="0" w:space="0"/>
          <w:left w:val="none" w:color="auto" w:sz="0" w:space="0"/>
          <w:bottom w:val="none" w:color="auto" w:sz="0" w:space="0"/>
          <w:right w:val="none" w:color="auto" w:sz="0" w:space="0"/>
        </w:pBdr>
        <w:spacing w:after="226" w:afterAutospacing="0" w:line="450" w:lineRule="atLeast"/>
        <w:ind w:left="0" w:right="0" w:firstLine="420"/>
      </w:pPr>
      <w:r>
        <w:rPr>
          <w:rStyle w:val="5"/>
          <w:rFonts w:hint="eastAsia" w:ascii="宋体" w:hAnsi="宋体" w:eastAsia="宋体" w:cs="宋体"/>
          <w:i w:val="0"/>
          <w:iCs w:val="0"/>
          <w:caps w:val="0"/>
          <w:color w:val="333333"/>
          <w:spacing w:val="0"/>
          <w:sz w:val="24"/>
          <w:szCs w:val="24"/>
          <w:bdr w:val="none" w:color="auto" w:sz="0" w:space="0"/>
          <w:shd w:val="clear" w:fill="FFFFFF"/>
        </w:rPr>
        <w:t>（三）健全节水法规标准。</w:t>
      </w:r>
      <w:r>
        <w:rPr>
          <w:rFonts w:hint="eastAsia" w:ascii="宋体" w:hAnsi="宋体" w:eastAsia="宋体" w:cs="宋体"/>
          <w:i w:val="0"/>
          <w:iCs w:val="0"/>
          <w:caps w:val="0"/>
          <w:color w:val="333333"/>
          <w:spacing w:val="0"/>
          <w:sz w:val="24"/>
          <w:szCs w:val="24"/>
          <w:bdr w:val="none" w:color="auto" w:sz="0" w:space="0"/>
          <w:shd w:val="clear" w:fill="FFFFFF"/>
        </w:rPr>
        <w:t>积极落实《节约用水条例》，鼓励各地因地制宜制定出台地方节水法规，完善地方节水制度政策体系，夯实用水主体责任。加快研究建立节水统计制度。围绕节水产业构建国家、行业、地方、团体和企业等不同层级的标准体系，加快节水标准制修订，推动节水标准与国际标准衔接。建立用水定额动态更新机制，完善终端用水产品水效等级标准，加快制定一批引领节水产业发展的技术、工艺、装备、检测、评价、管理和服务等标准，鼓励企业制定更加严格的企业标准。</w:t>
      </w:r>
    </w:p>
    <w:p w14:paraId="3D71779D">
      <w:pPr>
        <w:pStyle w:val="2"/>
        <w:keepNext w:val="0"/>
        <w:keepLines w:val="0"/>
        <w:widowControl/>
        <w:suppressLineNumbers w:val="0"/>
        <w:pBdr>
          <w:top w:val="none" w:color="auto" w:sz="0" w:space="0"/>
          <w:left w:val="none" w:color="auto" w:sz="0" w:space="0"/>
          <w:bottom w:val="none" w:color="auto" w:sz="0" w:space="0"/>
          <w:right w:val="none" w:color="auto" w:sz="0" w:space="0"/>
        </w:pBdr>
        <w:spacing w:after="226" w:afterAutospacing="0" w:line="450" w:lineRule="atLeast"/>
        <w:ind w:left="0" w:right="0" w:firstLine="420"/>
      </w:pPr>
      <w:r>
        <w:rPr>
          <w:rStyle w:val="5"/>
          <w:rFonts w:hint="eastAsia" w:ascii="宋体" w:hAnsi="宋体" w:eastAsia="宋体" w:cs="宋体"/>
          <w:i w:val="0"/>
          <w:iCs w:val="0"/>
          <w:caps w:val="0"/>
          <w:color w:val="333333"/>
          <w:spacing w:val="0"/>
          <w:sz w:val="24"/>
          <w:szCs w:val="24"/>
          <w:bdr w:val="none" w:color="auto" w:sz="0" w:space="0"/>
          <w:shd w:val="clear" w:fill="FFFFFF"/>
        </w:rPr>
        <w:t>（四）完善节水市场机制。</w:t>
      </w:r>
      <w:r>
        <w:rPr>
          <w:rFonts w:hint="eastAsia" w:ascii="宋体" w:hAnsi="宋体" w:eastAsia="宋体" w:cs="宋体"/>
          <w:i w:val="0"/>
          <w:iCs w:val="0"/>
          <w:caps w:val="0"/>
          <w:color w:val="333333"/>
          <w:spacing w:val="0"/>
          <w:sz w:val="24"/>
          <w:szCs w:val="24"/>
          <w:bdr w:val="none" w:color="auto" w:sz="0" w:space="0"/>
          <w:shd w:val="clear" w:fill="FFFFFF"/>
        </w:rPr>
        <w:t>全面实行非居民用水超定额累进加价和居民生活用水阶梯水价制度，合理确定阶梯水量。全力推进农业水价综合改革，积极推行分档水价，健全农业用水精准补贴和节水奖励机制。健全完善非常规水开发利用相关市场机制，促进非常规水市场化交易。完善用水权制度体系，因地制宜推进流域间、地区间、行业间、用水户间等多种形式的水权交易。</w:t>
      </w:r>
    </w:p>
    <w:p w14:paraId="4DA57779">
      <w:pPr>
        <w:pStyle w:val="2"/>
        <w:keepNext w:val="0"/>
        <w:keepLines w:val="0"/>
        <w:widowControl/>
        <w:suppressLineNumbers w:val="0"/>
        <w:pBdr>
          <w:top w:val="none" w:color="auto" w:sz="0" w:space="0"/>
          <w:left w:val="none" w:color="auto" w:sz="0" w:space="0"/>
          <w:bottom w:val="none" w:color="auto" w:sz="0" w:space="0"/>
          <w:right w:val="none" w:color="auto" w:sz="0" w:space="0"/>
        </w:pBdr>
        <w:spacing w:after="226" w:afterAutospacing="0" w:line="450" w:lineRule="atLeast"/>
        <w:ind w:left="0" w:right="0" w:firstLine="420"/>
      </w:pPr>
      <w:r>
        <w:rPr>
          <w:rStyle w:val="5"/>
          <w:rFonts w:hint="eastAsia" w:ascii="宋体" w:hAnsi="宋体" w:eastAsia="宋体" w:cs="宋体"/>
          <w:i w:val="0"/>
          <w:iCs w:val="0"/>
          <w:caps w:val="0"/>
          <w:color w:val="333333"/>
          <w:spacing w:val="0"/>
          <w:sz w:val="24"/>
          <w:szCs w:val="24"/>
          <w:bdr w:val="none" w:color="auto" w:sz="0" w:space="0"/>
          <w:shd w:val="clear" w:fill="FFFFFF"/>
        </w:rPr>
        <w:t>三、强化节水产品装备供给</w:t>
      </w:r>
    </w:p>
    <w:p w14:paraId="33F53649">
      <w:pPr>
        <w:pStyle w:val="2"/>
        <w:keepNext w:val="0"/>
        <w:keepLines w:val="0"/>
        <w:widowControl/>
        <w:suppressLineNumbers w:val="0"/>
        <w:pBdr>
          <w:top w:val="none" w:color="auto" w:sz="0" w:space="0"/>
          <w:left w:val="none" w:color="auto" w:sz="0" w:space="0"/>
          <w:bottom w:val="none" w:color="auto" w:sz="0" w:space="0"/>
          <w:right w:val="none" w:color="auto" w:sz="0" w:space="0"/>
        </w:pBdr>
        <w:spacing w:after="226" w:afterAutospacing="0" w:line="450" w:lineRule="atLeast"/>
        <w:ind w:left="0" w:right="0" w:firstLine="420"/>
      </w:pPr>
      <w:r>
        <w:rPr>
          <w:rStyle w:val="5"/>
          <w:rFonts w:hint="eastAsia" w:ascii="宋体" w:hAnsi="宋体" w:eastAsia="宋体" w:cs="宋体"/>
          <w:i w:val="0"/>
          <w:iCs w:val="0"/>
          <w:caps w:val="0"/>
          <w:color w:val="333333"/>
          <w:spacing w:val="0"/>
          <w:sz w:val="24"/>
          <w:szCs w:val="24"/>
          <w:bdr w:val="none" w:color="auto" w:sz="0" w:space="0"/>
          <w:shd w:val="clear" w:fill="FFFFFF"/>
        </w:rPr>
        <w:t>（五）推动节水产品装备升级换代。</w:t>
      </w:r>
      <w:r>
        <w:rPr>
          <w:rFonts w:hint="eastAsia" w:ascii="宋体" w:hAnsi="宋体" w:eastAsia="宋体" w:cs="宋体"/>
          <w:i w:val="0"/>
          <w:iCs w:val="0"/>
          <w:caps w:val="0"/>
          <w:color w:val="333333"/>
          <w:spacing w:val="0"/>
          <w:sz w:val="24"/>
          <w:szCs w:val="24"/>
          <w:bdr w:val="none" w:color="auto" w:sz="0" w:space="0"/>
          <w:shd w:val="clear" w:fill="FFFFFF"/>
        </w:rPr>
        <w:t>支持企业加大研发、设计和生产，构建从基础原材料到终端消费品的节水产品装备供给体系，推动节水产品装备制造数字化、智能化、绿色化发展。定期发布《国家成熟适用节水技术推广目录》《国家鼓励的工业节水工艺、技术和装备目录》，制定国家节水产品认证目录并纳入绿色产品认证与标识体系。推广先进节水装备和产品，推动大规模节水设备更新和消费品以旧换新，加快淘汰落后的用水产品和设备。持续推进用水产品水效领跑者遴选等工作，树立节水产品水效标杆。</w:t>
      </w:r>
    </w:p>
    <w:p w14:paraId="2B04C61C">
      <w:pPr>
        <w:pStyle w:val="2"/>
        <w:keepNext w:val="0"/>
        <w:keepLines w:val="0"/>
        <w:widowControl/>
        <w:suppressLineNumbers w:val="0"/>
        <w:pBdr>
          <w:top w:val="none" w:color="auto" w:sz="0" w:space="0"/>
          <w:left w:val="none" w:color="auto" w:sz="0" w:space="0"/>
          <w:bottom w:val="none" w:color="auto" w:sz="0" w:space="0"/>
          <w:right w:val="none" w:color="auto" w:sz="0" w:space="0"/>
        </w:pBdr>
        <w:spacing w:after="226" w:afterAutospacing="0" w:line="450" w:lineRule="atLeast"/>
        <w:ind w:left="0" w:right="0" w:firstLine="420"/>
      </w:pPr>
      <w:r>
        <w:rPr>
          <w:rStyle w:val="5"/>
          <w:rFonts w:hint="eastAsia" w:ascii="宋体" w:hAnsi="宋体" w:eastAsia="宋体" w:cs="宋体"/>
          <w:i w:val="0"/>
          <w:iCs w:val="0"/>
          <w:caps w:val="0"/>
          <w:color w:val="333333"/>
          <w:spacing w:val="0"/>
          <w:sz w:val="24"/>
          <w:szCs w:val="24"/>
          <w:bdr w:val="none" w:color="auto" w:sz="0" w:space="0"/>
          <w:shd w:val="clear" w:fill="FFFFFF"/>
        </w:rPr>
        <w:t>（六）加强节水产品质量监督管理。</w:t>
      </w:r>
      <w:r>
        <w:rPr>
          <w:rFonts w:hint="eastAsia" w:ascii="宋体" w:hAnsi="宋体" w:eastAsia="宋体" w:cs="宋体"/>
          <w:i w:val="0"/>
          <w:iCs w:val="0"/>
          <w:caps w:val="0"/>
          <w:color w:val="333333"/>
          <w:spacing w:val="0"/>
          <w:sz w:val="24"/>
          <w:szCs w:val="24"/>
          <w:bdr w:val="none" w:color="auto" w:sz="0" w:space="0"/>
          <w:shd w:val="clear" w:fill="FFFFFF"/>
        </w:rPr>
        <w:t>严格落实节水产品质量监督检查和水效标识管理制度，强化节水产品质量抽查，督促节水产品装备制造企业严格按照技术标准要求组织生产，依法打击水效虚标、认证结果造假等行为。加强节水产品企业质量诚信体系建设，依法依规完善节水产品生产企业信用记录，强化产品质量信息公开。充分发挥社会监督作用，加大对失信企业的惩戒力度。</w:t>
      </w:r>
    </w:p>
    <w:p w14:paraId="19EADA2A">
      <w:pPr>
        <w:pStyle w:val="2"/>
        <w:keepNext w:val="0"/>
        <w:keepLines w:val="0"/>
        <w:widowControl/>
        <w:suppressLineNumbers w:val="0"/>
        <w:pBdr>
          <w:top w:val="none" w:color="auto" w:sz="0" w:space="0"/>
          <w:left w:val="none" w:color="auto" w:sz="0" w:space="0"/>
          <w:bottom w:val="none" w:color="auto" w:sz="0" w:space="0"/>
          <w:right w:val="none" w:color="auto" w:sz="0" w:space="0"/>
        </w:pBdr>
        <w:spacing w:after="226" w:afterAutospacing="0" w:line="450" w:lineRule="atLeast"/>
        <w:ind w:left="0" w:right="0" w:firstLine="420"/>
      </w:pPr>
      <w:r>
        <w:rPr>
          <w:rStyle w:val="5"/>
          <w:rFonts w:hint="eastAsia" w:ascii="宋体" w:hAnsi="宋体" w:eastAsia="宋体" w:cs="宋体"/>
          <w:i w:val="0"/>
          <w:iCs w:val="0"/>
          <w:caps w:val="0"/>
          <w:color w:val="333333"/>
          <w:spacing w:val="0"/>
          <w:sz w:val="24"/>
          <w:szCs w:val="24"/>
          <w:bdr w:val="none" w:color="auto" w:sz="0" w:space="0"/>
          <w:shd w:val="clear" w:fill="FFFFFF"/>
        </w:rPr>
        <w:t>四、创新节水管理服务模式</w:t>
      </w:r>
    </w:p>
    <w:p w14:paraId="75A39AD3">
      <w:pPr>
        <w:pStyle w:val="2"/>
        <w:keepNext w:val="0"/>
        <w:keepLines w:val="0"/>
        <w:widowControl/>
        <w:suppressLineNumbers w:val="0"/>
        <w:pBdr>
          <w:top w:val="none" w:color="auto" w:sz="0" w:space="0"/>
          <w:left w:val="none" w:color="auto" w:sz="0" w:space="0"/>
          <w:bottom w:val="none" w:color="auto" w:sz="0" w:space="0"/>
          <w:right w:val="none" w:color="auto" w:sz="0" w:space="0"/>
        </w:pBdr>
        <w:spacing w:after="226" w:afterAutospacing="0" w:line="450" w:lineRule="atLeast"/>
        <w:ind w:left="0" w:right="0" w:firstLine="420"/>
      </w:pPr>
      <w:r>
        <w:rPr>
          <w:rStyle w:val="5"/>
          <w:rFonts w:hint="eastAsia" w:ascii="宋体" w:hAnsi="宋体" w:eastAsia="宋体" w:cs="宋体"/>
          <w:i w:val="0"/>
          <w:iCs w:val="0"/>
          <w:caps w:val="0"/>
          <w:color w:val="333333"/>
          <w:spacing w:val="0"/>
          <w:sz w:val="24"/>
          <w:szCs w:val="24"/>
          <w:bdr w:val="none" w:color="auto" w:sz="0" w:space="0"/>
          <w:shd w:val="clear" w:fill="FFFFFF"/>
        </w:rPr>
        <w:t>（七）大力推广合同节水管理。</w:t>
      </w:r>
      <w:r>
        <w:rPr>
          <w:rFonts w:hint="eastAsia" w:ascii="宋体" w:hAnsi="宋体" w:eastAsia="宋体" w:cs="宋体"/>
          <w:i w:val="0"/>
          <w:iCs w:val="0"/>
          <w:caps w:val="0"/>
          <w:color w:val="333333"/>
          <w:spacing w:val="0"/>
          <w:sz w:val="24"/>
          <w:szCs w:val="24"/>
          <w:bdr w:val="none" w:color="auto" w:sz="0" w:space="0"/>
          <w:shd w:val="clear" w:fill="FFFFFF"/>
        </w:rPr>
        <w:t>在高耗水行业和领域全面推广合同节水管理，鼓励探索节水管理模式创新。在政府机关、学校、医院等公共机构采用购买服务、托管等模式开展合同节水管理。在写字楼、商场、机场、车站等公共建筑，鼓励采用社会资本参与方式开展合同节水管理。推动高耗水服务业开展合同节水管理改造。在火力发电、钢铁、纺织、造纸、石化和化工等高耗水工业企业及园区，强化水平衡测试服务，推广使用再生水，因地制宜配套建设海水淡化工程，推进冷却系统节水改造、工艺流程再造和智能系统管控，探索实施合同节水管理。拓展高效节水灌溉、供水管网漏损控制和水环境治理等方面市场，创新合同节水管理模式。促进节水企业与高等院校、科研院所等合作，培育一批提供节水设计咨询、系统集成、设施建设、运营管理、数字化改造等综合解决方案的第三方服务企业。</w:t>
      </w:r>
    </w:p>
    <w:p w14:paraId="48FF4CB7">
      <w:pPr>
        <w:pStyle w:val="2"/>
        <w:keepNext w:val="0"/>
        <w:keepLines w:val="0"/>
        <w:widowControl/>
        <w:suppressLineNumbers w:val="0"/>
        <w:pBdr>
          <w:top w:val="none" w:color="auto" w:sz="0" w:space="0"/>
          <w:left w:val="none" w:color="auto" w:sz="0" w:space="0"/>
          <w:bottom w:val="none" w:color="auto" w:sz="0" w:space="0"/>
          <w:right w:val="none" w:color="auto" w:sz="0" w:space="0"/>
        </w:pBdr>
        <w:spacing w:after="226" w:afterAutospacing="0" w:line="450" w:lineRule="atLeast"/>
        <w:ind w:left="0" w:right="0" w:firstLine="420"/>
      </w:pPr>
      <w:r>
        <w:rPr>
          <w:rStyle w:val="5"/>
          <w:rFonts w:hint="eastAsia" w:ascii="宋体" w:hAnsi="宋体" w:eastAsia="宋体" w:cs="宋体"/>
          <w:i w:val="0"/>
          <w:iCs w:val="0"/>
          <w:caps w:val="0"/>
          <w:color w:val="333333"/>
          <w:spacing w:val="0"/>
          <w:sz w:val="24"/>
          <w:szCs w:val="24"/>
          <w:bdr w:val="none" w:color="auto" w:sz="0" w:space="0"/>
          <w:shd w:val="clear" w:fill="FFFFFF"/>
        </w:rPr>
        <w:t>（八）强化用水计量监测管理。</w:t>
      </w:r>
      <w:r>
        <w:rPr>
          <w:rFonts w:hint="eastAsia" w:ascii="宋体" w:hAnsi="宋体" w:eastAsia="宋体" w:cs="宋体"/>
          <w:i w:val="0"/>
          <w:iCs w:val="0"/>
          <w:caps w:val="0"/>
          <w:color w:val="333333"/>
          <w:spacing w:val="0"/>
          <w:sz w:val="24"/>
          <w:szCs w:val="24"/>
          <w:bdr w:val="none" w:color="auto" w:sz="0" w:space="0"/>
          <w:shd w:val="clear" w:fill="FFFFFF"/>
        </w:rPr>
        <w:t>完善取用水计量监测和量值溯源体系，加强供用水精准计量管控。推动供用水在线计量体系，对不同水源、不同用途的水应当分别计量。推动供水企业开展供水管网分区计量管理。在高耗水企业、工业园区、大中型灌区等开展用水智能化管控。强化数字赋能，促进物联网、人工智能、数字孪生等技术与水系统管理技术深度融合，探索建立“互联网+节水管理”典型应用场景，实现用水精准控制。加快国家水资源计量站建设，推动取用水计量设施定期核定、校准工作，提升用水计量管理水平。</w:t>
      </w:r>
    </w:p>
    <w:p w14:paraId="54C5C57D">
      <w:pPr>
        <w:pStyle w:val="2"/>
        <w:keepNext w:val="0"/>
        <w:keepLines w:val="0"/>
        <w:widowControl/>
        <w:suppressLineNumbers w:val="0"/>
        <w:pBdr>
          <w:top w:val="none" w:color="auto" w:sz="0" w:space="0"/>
          <w:left w:val="none" w:color="auto" w:sz="0" w:space="0"/>
          <w:bottom w:val="none" w:color="auto" w:sz="0" w:space="0"/>
          <w:right w:val="none" w:color="auto" w:sz="0" w:space="0"/>
        </w:pBdr>
        <w:spacing w:after="226" w:afterAutospacing="0" w:line="450" w:lineRule="atLeast"/>
        <w:ind w:left="0" w:right="0" w:firstLine="420"/>
      </w:pPr>
      <w:r>
        <w:rPr>
          <w:rStyle w:val="5"/>
          <w:rFonts w:hint="eastAsia" w:ascii="宋体" w:hAnsi="宋体" w:eastAsia="宋体" w:cs="宋体"/>
          <w:i w:val="0"/>
          <w:iCs w:val="0"/>
          <w:caps w:val="0"/>
          <w:color w:val="333333"/>
          <w:spacing w:val="0"/>
          <w:sz w:val="24"/>
          <w:szCs w:val="24"/>
          <w:bdr w:val="none" w:color="auto" w:sz="0" w:space="0"/>
          <w:shd w:val="clear" w:fill="FFFFFF"/>
        </w:rPr>
        <w:t>五、发挥龙头企业引领作用</w:t>
      </w:r>
    </w:p>
    <w:p w14:paraId="1004D4A1">
      <w:pPr>
        <w:pStyle w:val="2"/>
        <w:keepNext w:val="0"/>
        <w:keepLines w:val="0"/>
        <w:widowControl/>
        <w:suppressLineNumbers w:val="0"/>
        <w:pBdr>
          <w:top w:val="none" w:color="auto" w:sz="0" w:space="0"/>
          <w:left w:val="none" w:color="auto" w:sz="0" w:space="0"/>
          <w:bottom w:val="none" w:color="auto" w:sz="0" w:space="0"/>
          <w:right w:val="none" w:color="auto" w:sz="0" w:space="0"/>
        </w:pBdr>
        <w:spacing w:after="226" w:afterAutospacing="0" w:line="450" w:lineRule="atLeast"/>
        <w:ind w:left="0" w:right="0" w:firstLine="420"/>
      </w:pPr>
      <w:r>
        <w:rPr>
          <w:rStyle w:val="5"/>
          <w:rFonts w:hint="eastAsia" w:ascii="宋体" w:hAnsi="宋体" w:eastAsia="宋体" w:cs="宋体"/>
          <w:i w:val="0"/>
          <w:iCs w:val="0"/>
          <w:caps w:val="0"/>
          <w:color w:val="333333"/>
          <w:spacing w:val="0"/>
          <w:sz w:val="24"/>
          <w:szCs w:val="24"/>
          <w:bdr w:val="none" w:color="auto" w:sz="0" w:space="0"/>
          <w:shd w:val="clear" w:fill="FFFFFF"/>
        </w:rPr>
        <w:t>（九）积极培育节水重点企业。</w:t>
      </w:r>
      <w:r>
        <w:rPr>
          <w:rFonts w:hint="eastAsia" w:ascii="宋体" w:hAnsi="宋体" w:eastAsia="宋体" w:cs="宋体"/>
          <w:i w:val="0"/>
          <w:iCs w:val="0"/>
          <w:caps w:val="0"/>
          <w:color w:val="333333"/>
          <w:spacing w:val="0"/>
          <w:sz w:val="24"/>
          <w:szCs w:val="24"/>
          <w:bdr w:val="none" w:color="auto" w:sz="0" w:space="0"/>
          <w:shd w:val="clear" w:fill="FFFFFF"/>
        </w:rPr>
        <w:t>着力推动节水企业的孵化、培育和壮大，加大“专精特新”中小企业培育力度。推动形成一批创新能力强、管理水平高、具有国际竞争力的节水产品设备生产企业和服务企业，在节水设计研发、产品装备制造、工程建设、管理服务等领域形成一批龙头企业，打造一批影响力大、带动作用强的产业品牌。充分发挥龙头企业的产业链主引擎作用和聚合辐射效应，强化产业链供应链协同配套，营造不同所有制企业、大中小企业融通发展的良好产业生态。遴选一批重点用水行业水效领跑者，推动企业对标达标，提高用水效率。</w:t>
      </w:r>
    </w:p>
    <w:p w14:paraId="3BEACAE7">
      <w:pPr>
        <w:pStyle w:val="2"/>
        <w:keepNext w:val="0"/>
        <w:keepLines w:val="0"/>
        <w:widowControl/>
        <w:suppressLineNumbers w:val="0"/>
        <w:pBdr>
          <w:top w:val="none" w:color="auto" w:sz="0" w:space="0"/>
          <w:left w:val="none" w:color="auto" w:sz="0" w:space="0"/>
          <w:bottom w:val="none" w:color="auto" w:sz="0" w:space="0"/>
          <w:right w:val="none" w:color="auto" w:sz="0" w:space="0"/>
        </w:pBdr>
        <w:spacing w:after="226" w:afterAutospacing="0" w:line="450" w:lineRule="atLeast"/>
        <w:ind w:left="0" w:right="0" w:firstLine="420"/>
      </w:pPr>
      <w:r>
        <w:rPr>
          <w:rStyle w:val="5"/>
          <w:rFonts w:hint="eastAsia" w:ascii="宋体" w:hAnsi="宋体" w:eastAsia="宋体" w:cs="宋体"/>
          <w:i w:val="0"/>
          <w:iCs w:val="0"/>
          <w:caps w:val="0"/>
          <w:color w:val="333333"/>
          <w:spacing w:val="0"/>
          <w:sz w:val="24"/>
          <w:szCs w:val="24"/>
          <w:bdr w:val="none" w:color="auto" w:sz="0" w:space="0"/>
          <w:shd w:val="clear" w:fill="FFFFFF"/>
        </w:rPr>
        <w:t>（十）鼓励节水产业集群发展。</w:t>
      </w:r>
      <w:r>
        <w:rPr>
          <w:rFonts w:hint="eastAsia" w:ascii="宋体" w:hAnsi="宋体" w:eastAsia="宋体" w:cs="宋体"/>
          <w:i w:val="0"/>
          <w:iCs w:val="0"/>
          <w:caps w:val="0"/>
          <w:color w:val="333333"/>
          <w:spacing w:val="0"/>
          <w:sz w:val="24"/>
          <w:szCs w:val="24"/>
          <w:bdr w:val="none" w:color="auto" w:sz="0" w:space="0"/>
          <w:shd w:val="clear" w:fill="FFFFFF"/>
        </w:rPr>
        <w:t>鼓励各地结合自身需求和优势，打造具有区域特色的节水产业集群。在创新要素集聚、制造业基础雄厚的地区，大力发展节水装备制造产业集群。在西北干旱地区、南方多雨地区以及黄河流域高耗水产业聚集地区，分别围绕节水灌溉、装备制造、调蓄防涝、工业节水改造等，培养形成一批专业化节水服务企业。支持有条件的地方建设节水产业园区。</w:t>
      </w:r>
    </w:p>
    <w:p w14:paraId="0A0415DC">
      <w:pPr>
        <w:pStyle w:val="2"/>
        <w:keepNext w:val="0"/>
        <w:keepLines w:val="0"/>
        <w:widowControl/>
        <w:suppressLineNumbers w:val="0"/>
        <w:pBdr>
          <w:top w:val="none" w:color="auto" w:sz="0" w:space="0"/>
          <w:left w:val="none" w:color="auto" w:sz="0" w:space="0"/>
          <w:bottom w:val="none" w:color="auto" w:sz="0" w:space="0"/>
          <w:right w:val="none" w:color="auto" w:sz="0" w:space="0"/>
        </w:pBdr>
        <w:spacing w:after="226" w:afterAutospacing="0" w:line="450" w:lineRule="atLeast"/>
        <w:ind w:left="0" w:right="0" w:firstLine="420"/>
      </w:pPr>
      <w:r>
        <w:rPr>
          <w:rStyle w:val="5"/>
          <w:rFonts w:hint="eastAsia" w:ascii="宋体" w:hAnsi="宋体" w:eastAsia="宋体" w:cs="宋体"/>
          <w:i w:val="0"/>
          <w:iCs w:val="0"/>
          <w:caps w:val="0"/>
          <w:color w:val="333333"/>
          <w:spacing w:val="0"/>
          <w:sz w:val="24"/>
          <w:szCs w:val="24"/>
          <w:bdr w:val="none" w:color="auto" w:sz="0" w:space="0"/>
          <w:shd w:val="clear" w:fill="FFFFFF"/>
        </w:rPr>
        <w:t>六、推动节水产业科技创新</w:t>
      </w:r>
    </w:p>
    <w:p w14:paraId="5538C022">
      <w:pPr>
        <w:pStyle w:val="2"/>
        <w:keepNext w:val="0"/>
        <w:keepLines w:val="0"/>
        <w:widowControl/>
        <w:suppressLineNumbers w:val="0"/>
        <w:pBdr>
          <w:top w:val="none" w:color="auto" w:sz="0" w:space="0"/>
          <w:left w:val="none" w:color="auto" w:sz="0" w:space="0"/>
          <w:bottom w:val="none" w:color="auto" w:sz="0" w:space="0"/>
          <w:right w:val="none" w:color="auto" w:sz="0" w:space="0"/>
        </w:pBdr>
        <w:spacing w:after="226" w:afterAutospacing="0" w:line="450" w:lineRule="atLeast"/>
        <w:ind w:left="0" w:right="0" w:firstLine="420"/>
      </w:pPr>
      <w:r>
        <w:rPr>
          <w:rStyle w:val="5"/>
          <w:rFonts w:hint="eastAsia" w:ascii="宋体" w:hAnsi="宋体" w:eastAsia="宋体" w:cs="宋体"/>
          <w:i w:val="0"/>
          <w:iCs w:val="0"/>
          <w:caps w:val="0"/>
          <w:color w:val="333333"/>
          <w:spacing w:val="0"/>
          <w:sz w:val="24"/>
          <w:szCs w:val="24"/>
          <w:bdr w:val="none" w:color="auto" w:sz="0" w:space="0"/>
          <w:shd w:val="clear" w:fill="FFFFFF"/>
        </w:rPr>
        <w:t>（十一）鼓励技术攻关与成果应用。</w:t>
      </w:r>
      <w:r>
        <w:rPr>
          <w:rFonts w:hint="eastAsia" w:ascii="宋体" w:hAnsi="宋体" w:eastAsia="宋体" w:cs="宋体"/>
          <w:i w:val="0"/>
          <w:iCs w:val="0"/>
          <w:caps w:val="0"/>
          <w:color w:val="333333"/>
          <w:spacing w:val="0"/>
          <w:sz w:val="24"/>
          <w:szCs w:val="24"/>
          <w:bdr w:val="none" w:color="auto" w:sz="0" w:space="0"/>
          <w:shd w:val="clear" w:fill="FFFFFF"/>
        </w:rPr>
        <w:t>支持科研院所、高等院校、龙头企业、行业协会等开展节水基础研究和应用技术创新，推动卡脖子核心技术攻关，强化节水技术系统集成。围绕行业技术难点加强协同攻关，着力突破有机废水和高盐废水处理与循环利用、高效冷却、高性能膜材料、高效催化剂和绿色药剂、热力和工艺系统节水、洗涤节水、智能监测与优化控制、非常规水利用等关键共性技术。做好行业节水关键核心及基础共性技术知识产权战略储备，强化知识产权保护和运用。建立全国性的节水产业技术创新战略联盟等平台，推动节水技术研发成果转化和推广应用。</w:t>
      </w:r>
    </w:p>
    <w:p w14:paraId="329DA6F5">
      <w:pPr>
        <w:pStyle w:val="2"/>
        <w:keepNext w:val="0"/>
        <w:keepLines w:val="0"/>
        <w:widowControl/>
        <w:suppressLineNumbers w:val="0"/>
        <w:pBdr>
          <w:top w:val="none" w:color="auto" w:sz="0" w:space="0"/>
          <w:left w:val="none" w:color="auto" w:sz="0" w:space="0"/>
          <w:bottom w:val="none" w:color="auto" w:sz="0" w:space="0"/>
          <w:right w:val="none" w:color="auto" w:sz="0" w:space="0"/>
        </w:pBdr>
        <w:spacing w:after="226" w:afterAutospacing="0" w:line="450" w:lineRule="atLeast"/>
        <w:ind w:left="0" w:right="0" w:firstLine="420"/>
      </w:pPr>
      <w:r>
        <w:rPr>
          <w:rStyle w:val="5"/>
          <w:rFonts w:hint="eastAsia" w:ascii="宋体" w:hAnsi="宋体" w:eastAsia="宋体" w:cs="宋体"/>
          <w:i w:val="0"/>
          <w:iCs w:val="0"/>
          <w:caps w:val="0"/>
          <w:color w:val="333333"/>
          <w:spacing w:val="0"/>
          <w:sz w:val="24"/>
          <w:szCs w:val="24"/>
          <w:bdr w:val="none" w:color="auto" w:sz="0" w:space="0"/>
          <w:shd w:val="clear" w:fill="FFFFFF"/>
        </w:rPr>
        <w:t>（十二）深化技术创新能力建设。</w:t>
      </w:r>
      <w:r>
        <w:rPr>
          <w:rFonts w:hint="eastAsia" w:ascii="宋体" w:hAnsi="宋体" w:eastAsia="宋体" w:cs="宋体"/>
          <w:i w:val="0"/>
          <w:iCs w:val="0"/>
          <w:caps w:val="0"/>
          <w:color w:val="333333"/>
          <w:spacing w:val="0"/>
          <w:sz w:val="24"/>
          <w:szCs w:val="24"/>
          <w:bdr w:val="none" w:color="auto" w:sz="0" w:space="0"/>
          <w:shd w:val="clear" w:fill="FFFFFF"/>
        </w:rPr>
        <w:t>发挥国家级科技创新平台、国家重大创新基地和相关行业科研院所作用，建设节水科技创新中心、实验基地。强化企业技术创新主体地位，鼓励企业“揭榜挂帅”，支持企业牵头承担节水国家科技计划项目。加强节水、非常规水利用、节水装备制造等相关学科建设，鼓励企业、科研院所和高校建立联合培养机制，培养节水学科应用型人才。</w:t>
      </w:r>
    </w:p>
    <w:p w14:paraId="3D827971">
      <w:pPr>
        <w:pStyle w:val="2"/>
        <w:keepNext w:val="0"/>
        <w:keepLines w:val="0"/>
        <w:widowControl/>
        <w:suppressLineNumbers w:val="0"/>
        <w:pBdr>
          <w:top w:val="none" w:color="auto" w:sz="0" w:space="0"/>
          <w:left w:val="none" w:color="auto" w:sz="0" w:space="0"/>
          <w:bottom w:val="none" w:color="auto" w:sz="0" w:space="0"/>
          <w:right w:val="none" w:color="auto" w:sz="0" w:space="0"/>
        </w:pBdr>
        <w:spacing w:after="226" w:afterAutospacing="0" w:line="450" w:lineRule="atLeast"/>
        <w:ind w:left="0" w:right="0" w:firstLine="420"/>
      </w:pPr>
      <w:r>
        <w:rPr>
          <w:rStyle w:val="5"/>
          <w:rFonts w:hint="eastAsia" w:ascii="宋体" w:hAnsi="宋体" w:eastAsia="宋体" w:cs="宋体"/>
          <w:i w:val="0"/>
          <w:iCs w:val="0"/>
          <w:caps w:val="0"/>
          <w:color w:val="333333"/>
          <w:spacing w:val="0"/>
          <w:sz w:val="24"/>
          <w:szCs w:val="24"/>
          <w:bdr w:val="none" w:color="auto" w:sz="0" w:space="0"/>
          <w:shd w:val="clear" w:fill="FFFFFF"/>
        </w:rPr>
        <w:t>七、加强节水产业支持保障</w:t>
      </w:r>
    </w:p>
    <w:p w14:paraId="7E8F3AF7">
      <w:pPr>
        <w:pStyle w:val="2"/>
        <w:keepNext w:val="0"/>
        <w:keepLines w:val="0"/>
        <w:widowControl/>
        <w:suppressLineNumbers w:val="0"/>
        <w:pBdr>
          <w:top w:val="none" w:color="auto" w:sz="0" w:space="0"/>
          <w:left w:val="none" w:color="auto" w:sz="0" w:space="0"/>
          <w:bottom w:val="none" w:color="auto" w:sz="0" w:space="0"/>
          <w:right w:val="none" w:color="auto" w:sz="0" w:space="0"/>
        </w:pBdr>
        <w:spacing w:after="226" w:afterAutospacing="0" w:line="450" w:lineRule="atLeast"/>
        <w:ind w:left="0" w:right="0" w:firstLine="420"/>
      </w:pPr>
      <w:r>
        <w:rPr>
          <w:rStyle w:val="5"/>
          <w:rFonts w:hint="eastAsia" w:ascii="宋体" w:hAnsi="宋体" w:eastAsia="宋体" w:cs="宋体"/>
          <w:i w:val="0"/>
          <w:iCs w:val="0"/>
          <w:caps w:val="0"/>
          <w:color w:val="333333"/>
          <w:spacing w:val="0"/>
          <w:sz w:val="24"/>
          <w:szCs w:val="24"/>
          <w:bdr w:val="none" w:color="auto" w:sz="0" w:space="0"/>
          <w:shd w:val="clear" w:fill="FFFFFF"/>
        </w:rPr>
        <w:t>（十三）强化财税金融支持力度。</w:t>
      </w:r>
      <w:r>
        <w:rPr>
          <w:rFonts w:hint="eastAsia" w:ascii="宋体" w:hAnsi="宋体" w:eastAsia="宋体" w:cs="宋体"/>
          <w:i w:val="0"/>
          <w:iCs w:val="0"/>
          <w:caps w:val="0"/>
          <w:color w:val="333333"/>
          <w:spacing w:val="0"/>
          <w:sz w:val="24"/>
          <w:szCs w:val="24"/>
          <w:bdr w:val="none" w:color="auto" w:sz="0" w:space="0"/>
          <w:shd w:val="clear" w:fill="FFFFFF"/>
        </w:rPr>
        <w:t>利用中央预算内投资既有专项资金，对符合条件的水污染治理、水资源节约等项目予以支持；利用中央财政水利发展资金，鼓励节水产业发展和技术创新。落实好国家现行税收优惠政策，鼓励节水技术创新、装备制造及产品的绿色消费。中央财政和地方政府联动支持用水消费品以旧换新和高效节水器具普及。推广“节水贷”融资服务，探索推广取水权、排污权等权益类抵押模式，加大对节水产业的信贷支持。支持符合条件的节水企业通过发行绿色债券等方式拓宽企业融资渠道。</w:t>
      </w:r>
    </w:p>
    <w:p w14:paraId="55F9779F">
      <w:pPr>
        <w:pStyle w:val="2"/>
        <w:keepNext w:val="0"/>
        <w:keepLines w:val="0"/>
        <w:widowControl/>
        <w:suppressLineNumbers w:val="0"/>
        <w:pBdr>
          <w:top w:val="none" w:color="auto" w:sz="0" w:space="0"/>
          <w:left w:val="none" w:color="auto" w:sz="0" w:space="0"/>
          <w:bottom w:val="none" w:color="auto" w:sz="0" w:space="0"/>
          <w:right w:val="none" w:color="auto" w:sz="0" w:space="0"/>
        </w:pBdr>
        <w:spacing w:after="226" w:afterAutospacing="0" w:line="450" w:lineRule="atLeast"/>
        <w:ind w:left="0" w:right="0" w:firstLine="420"/>
      </w:pPr>
      <w:r>
        <w:rPr>
          <w:rStyle w:val="5"/>
          <w:rFonts w:hint="eastAsia" w:ascii="宋体" w:hAnsi="宋体" w:eastAsia="宋体" w:cs="宋体"/>
          <w:i w:val="0"/>
          <w:iCs w:val="0"/>
          <w:caps w:val="0"/>
          <w:color w:val="333333"/>
          <w:spacing w:val="0"/>
          <w:sz w:val="24"/>
          <w:szCs w:val="24"/>
          <w:bdr w:val="none" w:color="auto" w:sz="0" w:space="0"/>
          <w:shd w:val="clear" w:fill="FFFFFF"/>
        </w:rPr>
        <w:t>（十四）积极搭建交流合作平台。</w:t>
      </w:r>
      <w:r>
        <w:rPr>
          <w:rFonts w:hint="eastAsia" w:ascii="宋体" w:hAnsi="宋体" w:eastAsia="宋体" w:cs="宋体"/>
          <w:i w:val="0"/>
          <w:iCs w:val="0"/>
          <w:caps w:val="0"/>
          <w:color w:val="333333"/>
          <w:spacing w:val="0"/>
          <w:sz w:val="24"/>
          <w:szCs w:val="24"/>
          <w:bdr w:val="none" w:color="auto" w:sz="0" w:space="0"/>
          <w:shd w:val="clear" w:fill="FFFFFF"/>
        </w:rPr>
        <w:t>鼓励有条件的地区开展多种形式的节水产品装备展销会、交易会和技术展示会，宣传推广成熟适用节水技术，为节水企业交流先进节水技术、深化对接合作搭建平台，激活节水产业供需市场。引导外资和民营资本加大对节水产业投资。鼓励有条件的科研机构和高新企业更好参与相关国际水事活动，开展境外节水技术咨询、工程建设和运营管理等技术、产品和服务合作，服务共建“一带一路”高质量发展。</w:t>
      </w:r>
    </w:p>
    <w:p w14:paraId="6D8E51B4">
      <w:pPr>
        <w:pStyle w:val="2"/>
        <w:keepNext w:val="0"/>
        <w:keepLines w:val="0"/>
        <w:widowControl/>
        <w:suppressLineNumbers w:val="0"/>
        <w:pBdr>
          <w:top w:val="none" w:color="auto" w:sz="0" w:space="0"/>
          <w:left w:val="none" w:color="auto" w:sz="0" w:space="0"/>
          <w:bottom w:val="none" w:color="auto" w:sz="0" w:space="0"/>
          <w:right w:val="none" w:color="auto" w:sz="0" w:space="0"/>
        </w:pBdr>
        <w:spacing w:after="226" w:afterAutospacing="0" w:line="450" w:lineRule="atLeast"/>
        <w:ind w:left="0" w:right="0" w:firstLine="420"/>
      </w:pPr>
      <w:r>
        <w:rPr>
          <w:rStyle w:val="5"/>
          <w:rFonts w:hint="eastAsia" w:ascii="宋体" w:hAnsi="宋体" w:eastAsia="宋体" w:cs="宋体"/>
          <w:i w:val="0"/>
          <w:iCs w:val="0"/>
          <w:caps w:val="0"/>
          <w:color w:val="333333"/>
          <w:spacing w:val="0"/>
          <w:sz w:val="24"/>
          <w:szCs w:val="24"/>
          <w:bdr w:val="none" w:color="auto" w:sz="0" w:space="0"/>
          <w:shd w:val="clear" w:fill="FFFFFF"/>
        </w:rPr>
        <w:t>（十五）强化节水宣传引导。</w:t>
      </w:r>
      <w:r>
        <w:rPr>
          <w:rFonts w:hint="eastAsia" w:ascii="宋体" w:hAnsi="宋体" w:eastAsia="宋体" w:cs="宋体"/>
          <w:i w:val="0"/>
          <w:iCs w:val="0"/>
          <w:caps w:val="0"/>
          <w:color w:val="333333"/>
          <w:spacing w:val="0"/>
          <w:sz w:val="24"/>
          <w:szCs w:val="24"/>
          <w:bdr w:val="none" w:color="auto" w:sz="0" w:space="0"/>
          <w:shd w:val="clear" w:fill="FFFFFF"/>
        </w:rPr>
        <w:t>结合世界水日、中国水周、全国城市节水宣传周等主题宣传活动，采取多种形式，广泛深入开展宣传工作，强化节水科普，做好节水培训，推广节水产品和节水产业发展典型案例。将节水纳入国民素质教育和中小学教育活动，加强国情水情教育，培育全民节水意识和文化。充分发挥舆论监督、社会监督作用，营造全社会惜水爱水节水的良好氛围。</w:t>
      </w:r>
    </w:p>
    <w:p w14:paraId="0457ED3E">
      <w:pPr>
        <w:pStyle w:val="2"/>
        <w:keepNext w:val="0"/>
        <w:keepLines w:val="0"/>
        <w:widowControl/>
        <w:suppressLineNumbers w:val="0"/>
        <w:pBdr>
          <w:top w:val="none" w:color="auto" w:sz="0" w:space="0"/>
          <w:left w:val="none" w:color="auto" w:sz="0" w:space="0"/>
          <w:bottom w:val="none" w:color="auto" w:sz="0" w:space="0"/>
          <w:right w:val="none" w:color="auto" w:sz="0" w:space="0"/>
        </w:pBdr>
        <w:spacing w:after="226" w:afterAutospacing="0" w:line="450" w:lineRule="atLeast"/>
        <w:ind w:left="0" w:right="0" w:firstLine="0"/>
        <w:jc w:val="right"/>
      </w:pPr>
      <w:r>
        <w:rPr>
          <w:rFonts w:hint="eastAsia" w:ascii="宋体" w:hAnsi="宋体" w:eastAsia="宋体" w:cs="宋体"/>
          <w:i w:val="0"/>
          <w:iCs w:val="0"/>
          <w:caps w:val="0"/>
          <w:color w:val="333333"/>
          <w:spacing w:val="0"/>
          <w:sz w:val="24"/>
          <w:szCs w:val="24"/>
          <w:bdr w:val="none" w:color="auto" w:sz="0" w:space="0"/>
          <w:shd w:val="clear" w:fill="FFFFFF"/>
        </w:rPr>
        <w:t>国家发展改革委</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水利部</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工业和信息化部</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住房城乡建设部</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农业农村部</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2024年6月25日</w:t>
      </w:r>
    </w:p>
    <w:p w14:paraId="558222D6"/>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BmYzk0MTQ3YTUyMDdmODhlZmEwN2MxNWNhY2Q1ZTQifQ=="/>
  </w:docVars>
  <w:rsids>
    <w:rsidRoot w:val="14A5219F"/>
    <w:rsid w:val="14A521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2024-08-15T08:15:00Z</dcterms:created>
  <dc:creator>蕴</dc:creator>
  <cp:lastModifiedBy>蕴</cp:lastModifiedBy>
  <dcterms:modified xsi:type="dcterms:W3CDTF">2024-08-15T08:16:44Z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24250AEFA5A04F3190B7EE5076FB6BBA_11</vt:lpwstr>
  </property>
</Properties>
</file>