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74AC6">
      <w:pPr>
        <w:widowControl w:val="0"/>
        <w:spacing w:line="500" w:lineRule="exact"/>
        <w:jc w:val="both"/>
        <w:rPr>
          <w:b/>
          <w:bCs/>
          <w:sz w:val="32"/>
          <w:szCs w:val="32"/>
        </w:rPr>
      </w:pPr>
      <w:bookmarkStart w:id="2" w:name="_GoBack"/>
      <w:bookmarkEnd w:id="2"/>
    </w:p>
    <w:p w14:paraId="1E1D50E2">
      <w:pPr>
        <w:widowControl w:val="0"/>
        <w:spacing w:line="360" w:lineRule="auto"/>
        <w:jc w:val="center"/>
        <w:outlineLvl w:val="0"/>
        <w:rPr>
          <w:b/>
          <w:bCs/>
          <w:sz w:val="48"/>
          <w:szCs w:val="48"/>
        </w:rPr>
      </w:pPr>
    </w:p>
    <w:p w14:paraId="5E62AD0E">
      <w:pPr>
        <w:spacing w:line="360" w:lineRule="auto"/>
        <w:jc w:val="center"/>
        <w:rPr>
          <w:rFonts w:hint="default" w:eastAsia="宋体"/>
          <w:b/>
          <w:sz w:val="44"/>
          <w:lang w:val="en-US" w:eastAsia="zh-CN"/>
        </w:rPr>
      </w:pPr>
      <w:r>
        <w:rPr>
          <w:rFonts w:hint="eastAsia"/>
          <w:b/>
          <w:bCs/>
          <w:sz w:val="48"/>
          <w:szCs w:val="48"/>
          <w:lang w:val="en-US" w:eastAsia="zh-CN"/>
        </w:rPr>
        <w:t>镍钴铝三元前驱体</w:t>
      </w:r>
    </w:p>
    <w:p w14:paraId="51DF53F7">
      <w:pPr>
        <w:spacing w:line="360" w:lineRule="auto"/>
        <w:jc w:val="center"/>
        <w:rPr>
          <w:b/>
          <w:sz w:val="44"/>
        </w:rPr>
      </w:pPr>
    </w:p>
    <w:p w14:paraId="68BA7BC3">
      <w:pPr>
        <w:spacing w:line="360" w:lineRule="auto"/>
        <w:jc w:val="center"/>
        <w:rPr>
          <w:b/>
          <w:sz w:val="44"/>
        </w:rPr>
      </w:pPr>
      <w:r>
        <w:rPr>
          <w:rFonts w:hint="eastAsia"/>
          <w:b/>
          <w:sz w:val="44"/>
        </w:rPr>
        <w:t>编</w:t>
      </w:r>
    </w:p>
    <w:p w14:paraId="7353F99F">
      <w:pPr>
        <w:spacing w:line="360" w:lineRule="auto"/>
        <w:jc w:val="center"/>
        <w:rPr>
          <w:b/>
          <w:sz w:val="44"/>
        </w:rPr>
      </w:pPr>
      <w:r>
        <w:rPr>
          <w:rFonts w:hint="eastAsia"/>
          <w:b/>
          <w:sz w:val="44"/>
        </w:rPr>
        <w:t>制</w:t>
      </w:r>
    </w:p>
    <w:p w14:paraId="5CC7D0B6">
      <w:pPr>
        <w:spacing w:line="360" w:lineRule="auto"/>
        <w:jc w:val="center"/>
        <w:rPr>
          <w:b/>
          <w:sz w:val="44"/>
        </w:rPr>
      </w:pPr>
      <w:r>
        <w:rPr>
          <w:rFonts w:hint="eastAsia"/>
          <w:b/>
          <w:sz w:val="44"/>
        </w:rPr>
        <w:t>说</w:t>
      </w:r>
    </w:p>
    <w:p w14:paraId="0B9A5848">
      <w:pPr>
        <w:spacing w:line="360" w:lineRule="auto"/>
        <w:jc w:val="center"/>
        <w:rPr>
          <w:b/>
          <w:sz w:val="44"/>
        </w:rPr>
      </w:pPr>
      <w:r>
        <w:rPr>
          <w:rFonts w:hint="eastAsia"/>
          <w:b/>
          <w:sz w:val="44"/>
        </w:rPr>
        <w:t>明</w:t>
      </w:r>
    </w:p>
    <w:p w14:paraId="0DD92C58">
      <w:pPr>
        <w:widowControl w:val="0"/>
        <w:spacing w:line="500" w:lineRule="exact"/>
        <w:jc w:val="center"/>
      </w:pPr>
    </w:p>
    <w:p w14:paraId="5380A58B">
      <w:pPr>
        <w:widowControl w:val="0"/>
        <w:spacing w:line="360" w:lineRule="auto"/>
        <w:jc w:val="center"/>
        <w:rPr>
          <w:b/>
          <w:bCs/>
          <w:sz w:val="52"/>
          <w:szCs w:val="52"/>
        </w:rPr>
      </w:pPr>
      <w:r>
        <w:rPr>
          <w:sz w:val="44"/>
          <w:szCs w:val="44"/>
        </w:rPr>
        <w:t>（</w:t>
      </w:r>
      <w:r>
        <w:rPr>
          <w:rFonts w:hint="eastAsia"/>
          <w:sz w:val="44"/>
          <w:szCs w:val="44"/>
        </w:rPr>
        <w:t>征求意见稿</w:t>
      </w:r>
      <w:r>
        <w:rPr>
          <w:sz w:val="44"/>
          <w:szCs w:val="44"/>
        </w:rPr>
        <w:t>）</w:t>
      </w:r>
    </w:p>
    <w:p w14:paraId="579FC119">
      <w:pPr>
        <w:widowControl w:val="0"/>
        <w:spacing w:line="500" w:lineRule="exact"/>
        <w:jc w:val="center"/>
      </w:pPr>
    </w:p>
    <w:p w14:paraId="55D571E3">
      <w:pPr>
        <w:widowControl w:val="0"/>
        <w:spacing w:line="500" w:lineRule="exact"/>
        <w:jc w:val="both"/>
      </w:pPr>
    </w:p>
    <w:p w14:paraId="70DC3697">
      <w:pPr>
        <w:widowControl w:val="0"/>
        <w:spacing w:line="500" w:lineRule="exact"/>
        <w:jc w:val="both"/>
      </w:pPr>
    </w:p>
    <w:p w14:paraId="4868FBC1">
      <w:pPr>
        <w:widowControl w:val="0"/>
        <w:spacing w:line="500" w:lineRule="exact"/>
        <w:jc w:val="both"/>
      </w:pPr>
    </w:p>
    <w:p w14:paraId="13E09E14">
      <w:pPr>
        <w:widowControl w:val="0"/>
        <w:spacing w:line="500" w:lineRule="exact"/>
        <w:jc w:val="both"/>
      </w:pPr>
    </w:p>
    <w:p w14:paraId="50CA43E0">
      <w:pPr>
        <w:widowControl w:val="0"/>
        <w:spacing w:line="500" w:lineRule="exact"/>
        <w:jc w:val="both"/>
      </w:pPr>
    </w:p>
    <w:p w14:paraId="46DABCBF">
      <w:pPr>
        <w:widowControl w:val="0"/>
        <w:spacing w:line="500" w:lineRule="exact"/>
        <w:jc w:val="both"/>
      </w:pPr>
    </w:p>
    <w:p w14:paraId="6DECBBE9">
      <w:pPr>
        <w:widowControl w:val="0"/>
        <w:spacing w:line="360" w:lineRule="auto"/>
        <w:jc w:val="center"/>
        <w:outlineLvl w:val="0"/>
        <w:rPr>
          <w:b/>
          <w:bCs/>
          <w:sz w:val="36"/>
          <w:szCs w:val="36"/>
        </w:rPr>
      </w:pPr>
      <w:r>
        <w:rPr>
          <w:rFonts w:hint="eastAsia"/>
          <w:b/>
          <w:bCs/>
          <w:sz w:val="36"/>
          <w:szCs w:val="36"/>
          <w:lang w:val="en-US" w:eastAsia="zh-CN"/>
        </w:rPr>
        <w:t>中伟新材料</w:t>
      </w:r>
      <w:r>
        <w:rPr>
          <w:rFonts w:hint="eastAsia"/>
          <w:b/>
          <w:bCs/>
          <w:sz w:val="36"/>
          <w:szCs w:val="36"/>
        </w:rPr>
        <w:t>有限公司</w:t>
      </w:r>
    </w:p>
    <w:p w14:paraId="20ACBBDA">
      <w:pPr>
        <w:widowControl w:val="0"/>
        <w:spacing w:line="360" w:lineRule="auto"/>
        <w:jc w:val="center"/>
        <w:outlineLvl w:val="0"/>
        <w:rPr>
          <w:b/>
          <w:bCs/>
          <w:sz w:val="36"/>
          <w:szCs w:val="36"/>
        </w:rPr>
        <w:sectPr>
          <w:footerReference r:id="rId3" w:type="default"/>
          <w:footerReference r:id="rId4" w:type="even"/>
          <w:pgSz w:w="11906" w:h="16838"/>
          <w:pgMar w:top="1440" w:right="1080" w:bottom="1440" w:left="1080" w:header="992" w:footer="720" w:gutter="284"/>
          <w:pgNumType w:start="1"/>
          <w:cols w:space="720" w:num="1"/>
          <w:titlePg/>
          <w:docGrid w:linePitch="326" w:charSpace="0"/>
        </w:sectPr>
      </w:pPr>
      <w:r>
        <w:rPr>
          <w:b/>
          <w:bCs/>
          <w:sz w:val="36"/>
          <w:szCs w:val="36"/>
        </w:rPr>
        <w:t>202</w:t>
      </w:r>
      <w:r>
        <w:rPr>
          <w:rFonts w:hint="eastAsia"/>
          <w:b/>
          <w:bCs/>
          <w:sz w:val="36"/>
          <w:szCs w:val="36"/>
          <w:lang w:val="en-US" w:eastAsia="zh-CN"/>
        </w:rPr>
        <w:t>4</w:t>
      </w:r>
      <w:r>
        <w:rPr>
          <w:b/>
          <w:bCs/>
          <w:sz w:val="36"/>
          <w:szCs w:val="36"/>
        </w:rPr>
        <w:t>年</w:t>
      </w:r>
      <w:r>
        <w:rPr>
          <w:rFonts w:hint="eastAsia"/>
          <w:b/>
          <w:bCs/>
          <w:sz w:val="36"/>
          <w:szCs w:val="36"/>
          <w:lang w:val="en-US" w:eastAsia="zh-CN"/>
        </w:rPr>
        <w:t>8</w:t>
      </w:r>
      <w:r>
        <w:rPr>
          <w:b/>
          <w:bCs/>
          <w:sz w:val="36"/>
          <w:szCs w:val="36"/>
        </w:rPr>
        <w:t>月</w:t>
      </w:r>
    </w:p>
    <w:p w14:paraId="21E8E9D0">
      <w:pPr>
        <w:spacing w:line="360" w:lineRule="auto"/>
        <w:jc w:val="center"/>
        <w:rPr>
          <w:rFonts w:hint="eastAsia" w:eastAsia="宋体"/>
          <w:b/>
          <w:bCs/>
          <w:sz w:val="28"/>
          <w:szCs w:val="28"/>
          <w:lang w:eastAsia="zh-CN"/>
        </w:rPr>
      </w:pPr>
      <w:r>
        <w:rPr>
          <w:rFonts w:hint="eastAsia"/>
          <w:b/>
          <w:bCs/>
          <w:sz w:val="48"/>
          <w:szCs w:val="48"/>
          <w:lang w:val="en-US" w:eastAsia="zh-CN"/>
        </w:rPr>
        <w:t>镍钴铝三元前驱体</w:t>
      </w:r>
    </w:p>
    <w:p w14:paraId="5A3C75A3">
      <w:pPr>
        <w:widowControl w:val="0"/>
        <w:spacing w:line="440" w:lineRule="exact"/>
        <w:jc w:val="center"/>
        <w:outlineLvl w:val="0"/>
        <w:rPr>
          <w:b/>
          <w:bCs/>
          <w:sz w:val="28"/>
          <w:szCs w:val="28"/>
        </w:rPr>
      </w:pPr>
      <w:r>
        <w:rPr>
          <w:rFonts w:hint="eastAsia"/>
          <w:b/>
          <w:bCs/>
          <w:sz w:val="28"/>
          <w:szCs w:val="28"/>
          <w:lang w:val="en-US" w:eastAsia="zh-CN"/>
        </w:rPr>
        <w:t>行业</w:t>
      </w:r>
      <w:r>
        <w:rPr>
          <w:rFonts w:hint="eastAsia"/>
          <w:b/>
          <w:bCs/>
          <w:sz w:val="28"/>
          <w:szCs w:val="28"/>
        </w:rPr>
        <w:t>标准</w:t>
      </w:r>
      <w:r>
        <w:rPr>
          <w:b/>
          <w:bCs/>
          <w:sz w:val="28"/>
          <w:szCs w:val="28"/>
        </w:rPr>
        <w:t>编制说明</w:t>
      </w:r>
    </w:p>
    <w:p w14:paraId="18411F9C">
      <w:pPr>
        <w:widowControl w:val="0"/>
        <w:spacing w:line="440" w:lineRule="exact"/>
        <w:jc w:val="center"/>
        <w:outlineLvl w:val="0"/>
        <w:rPr>
          <w:b/>
          <w:bCs/>
          <w:sz w:val="28"/>
          <w:szCs w:val="28"/>
        </w:rPr>
      </w:pPr>
      <w:r>
        <w:rPr>
          <w:rFonts w:hint="eastAsia"/>
          <w:b/>
          <w:bCs/>
          <w:sz w:val="28"/>
          <w:szCs w:val="28"/>
        </w:rPr>
        <w:t>（征求意见稿）</w:t>
      </w:r>
    </w:p>
    <w:p w14:paraId="4CD79564">
      <w:pPr>
        <w:widowControl w:val="0"/>
        <w:spacing w:before="156" w:beforeLines="50" w:after="312" w:afterLines="100"/>
        <w:jc w:val="both"/>
        <w:outlineLvl w:val="0"/>
        <w:rPr>
          <w:b/>
          <w:bCs/>
        </w:rPr>
      </w:pPr>
      <w:r>
        <w:rPr>
          <w:b/>
          <w:bCs/>
        </w:rPr>
        <w:t>一、工作简况</w:t>
      </w:r>
    </w:p>
    <w:p w14:paraId="1A456FA4">
      <w:pPr>
        <w:jc w:val="both"/>
        <w:rPr>
          <w:rFonts w:hint="eastAsia" w:ascii="Times New Roman" w:hAnsi="Times New Roman" w:cs="Times New Roman"/>
          <w:sz w:val="21"/>
          <w:szCs w:val="21"/>
          <w:lang w:val="en-US" w:eastAsia="zh-CN"/>
        </w:rPr>
      </w:pPr>
      <w:r>
        <w:rPr>
          <w:rFonts w:ascii="Times New Roman" w:hAnsi="Times New Roman" w:cs="Times New Roman"/>
          <w:b/>
          <w:bCs/>
          <w:sz w:val="21"/>
          <w:szCs w:val="21"/>
        </w:rPr>
        <w:t>1</w:t>
      </w:r>
      <w:r>
        <w:rPr>
          <w:rFonts w:hint="eastAsia" w:ascii="Times New Roman" w:hAnsi="Times New Roman" w:cs="Times New Roman"/>
          <w:b/>
          <w:bCs/>
          <w:sz w:val="21"/>
          <w:szCs w:val="21"/>
          <w:lang w:val="en-US" w:eastAsia="zh-CN"/>
        </w:rPr>
        <w:t>.1 任务来源</w:t>
      </w:r>
    </w:p>
    <w:p w14:paraId="77947C62">
      <w:pPr>
        <w:widowControl w:val="0"/>
        <w:spacing w:before="156" w:beforeLines="50" w:after="156" w:afterLines="50"/>
        <w:ind w:firstLine="420" w:firstLineChars="200"/>
        <w:jc w:val="both"/>
        <w:outlineLvl w:val="1"/>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根据工业和信息化部办公厅《关于印发2024年第一批行业标准制修订计划的通知》（工信厅科函〔2024)18号）</w:t>
      </w:r>
      <w:r>
        <w:rPr>
          <w:rFonts w:hint="eastAsia" w:ascii="Times New Roman" w:hAnsi="Times New Roman" w:eastAsia="宋体" w:cs="Times New Roman"/>
          <w:sz w:val="21"/>
          <w:szCs w:val="21"/>
        </w:rPr>
        <w:t>精神，</w:t>
      </w:r>
      <w:r>
        <w:rPr>
          <w:rFonts w:hint="eastAsia" w:ascii="Times New Roman" w:hAnsi="Times New Roman" w:eastAsia="宋体" w:cs="Times New Roman"/>
          <w:sz w:val="21"/>
          <w:szCs w:val="21"/>
          <w:lang w:val="en-US" w:eastAsia="zh-CN"/>
        </w:rPr>
        <w:t>行业标准YS/T 1377-2020《镍钴铝三元素复合氧化物》和YS/T 1127-2016《镍钴铝三元素复合氢氧化物》合并修订为《镍钴铝三元前驱体》，</w:t>
      </w:r>
      <w:r>
        <w:rPr>
          <w:rFonts w:hint="eastAsia" w:ascii="Times New Roman" w:hAnsi="Times New Roman" w:eastAsia="宋体" w:cs="Times New Roman"/>
          <w:sz w:val="21"/>
          <w:szCs w:val="21"/>
        </w:rPr>
        <w:t>修订工作由</w:t>
      </w:r>
      <w:r>
        <w:rPr>
          <w:rFonts w:hint="eastAsia" w:ascii="Times New Roman" w:hAnsi="Times New Roman" w:eastAsia="宋体" w:cs="Times New Roman"/>
          <w:sz w:val="21"/>
          <w:szCs w:val="21"/>
          <w:lang w:val="en-US" w:eastAsia="zh-CN"/>
        </w:rPr>
        <w:t>中伟新材料</w:t>
      </w:r>
      <w:r>
        <w:rPr>
          <w:rFonts w:hint="eastAsia" w:ascii="Times New Roman" w:hAnsi="Times New Roman" w:eastAsia="宋体" w:cs="Times New Roman"/>
          <w:sz w:val="21"/>
          <w:szCs w:val="21"/>
        </w:rPr>
        <w:t>股份有限公司主持修订，项目计划编号为</w:t>
      </w:r>
      <w:r>
        <w:rPr>
          <w:rFonts w:hint="eastAsia" w:ascii="Times New Roman" w:hAnsi="Times New Roman" w:eastAsia="宋体" w:cs="Times New Roman"/>
          <w:sz w:val="21"/>
          <w:szCs w:val="21"/>
          <w:lang w:val="en-US" w:eastAsia="zh-CN"/>
        </w:rPr>
        <w:t>2024-0392</w:t>
      </w:r>
      <w:r>
        <w:rPr>
          <w:rFonts w:hint="eastAsia" w:ascii="Times New Roman" w:hAnsi="Times New Roman" w:eastAsia="宋体" w:cs="Times New Roman"/>
          <w:sz w:val="21"/>
          <w:szCs w:val="21"/>
        </w:rPr>
        <w:t>T-</w:t>
      </w:r>
      <w:r>
        <w:rPr>
          <w:rFonts w:hint="eastAsia" w:ascii="Times New Roman" w:hAnsi="Times New Roman" w:eastAsia="宋体" w:cs="Times New Roman"/>
          <w:sz w:val="21"/>
          <w:szCs w:val="21"/>
          <w:lang w:val="en-US" w:eastAsia="zh-CN"/>
        </w:rPr>
        <w:t>YS</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计划</w:t>
      </w:r>
      <w:r>
        <w:rPr>
          <w:rFonts w:hint="eastAsia" w:ascii="Times New Roman" w:hAnsi="Times New Roman" w:eastAsia="宋体" w:cs="Times New Roman"/>
          <w:sz w:val="21"/>
          <w:szCs w:val="21"/>
        </w:rPr>
        <w:t>完成时间为202</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年。</w:t>
      </w:r>
    </w:p>
    <w:p w14:paraId="4E89B3A5">
      <w:pPr>
        <w:widowControl w:val="0"/>
        <w:spacing w:before="156" w:beforeLines="50" w:after="156" w:afterLines="50"/>
        <w:jc w:val="both"/>
        <w:outlineLvl w:val="1"/>
        <w:rPr>
          <w:b/>
          <w:bCs/>
          <w:sz w:val="21"/>
          <w:szCs w:val="21"/>
        </w:rPr>
      </w:pPr>
      <w:r>
        <w:rPr>
          <w:b/>
          <w:bCs/>
          <w:sz w:val="21"/>
          <w:szCs w:val="21"/>
        </w:rPr>
        <w:t>1.</w:t>
      </w:r>
      <w:r>
        <w:rPr>
          <w:rFonts w:hint="eastAsia"/>
          <w:b/>
          <w:bCs/>
          <w:sz w:val="21"/>
          <w:szCs w:val="21"/>
        </w:rPr>
        <w:t>2</w:t>
      </w:r>
      <w:r>
        <w:rPr>
          <w:b/>
          <w:bCs/>
          <w:sz w:val="21"/>
          <w:szCs w:val="21"/>
        </w:rPr>
        <w:t xml:space="preserve"> 主</w:t>
      </w:r>
      <w:r>
        <w:rPr>
          <w:rFonts w:hint="eastAsia"/>
          <w:b/>
          <w:bCs/>
          <w:sz w:val="21"/>
          <w:szCs w:val="21"/>
        </w:rPr>
        <w:t>起草</w:t>
      </w:r>
      <w:r>
        <w:rPr>
          <w:b/>
          <w:bCs/>
          <w:sz w:val="21"/>
          <w:szCs w:val="21"/>
        </w:rPr>
        <w:t>单位</w:t>
      </w:r>
      <w:r>
        <w:rPr>
          <w:rFonts w:hint="eastAsia"/>
          <w:b/>
          <w:bCs/>
          <w:sz w:val="21"/>
          <w:szCs w:val="21"/>
        </w:rPr>
        <w:t>简介</w:t>
      </w:r>
    </w:p>
    <w:p w14:paraId="5D556797">
      <w:pPr>
        <w:widowControl w:val="0"/>
        <w:spacing w:before="156" w:beforeLines="50" w:after="156" w:afterLines="50"/>
        <w:ind w:firstLine="420" w:firstLineChars="200"/>
        <w:jc w:val="both"/>
        <w:outlineLvl w:val="1"/>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中伟新材料股份有限公司自2014年成立以来，依靠多年对锂电池正极材料前驱体行业的投入，利用完备的产业化平台，较快地建立了现代化的自主研发体系。公司以高镍、掺杂、烧结、循环等技术作为主要研发方向，组织人力、财力、物力不断进行技术攻关，基于共沉淀法最终形成多项核心技术。经过多年的发展，公司是LG化学三元前驱体原材料的核心供应商、厦门钨业四氧化三钴原材料的核心供应商，并已全面进入包括宁德时代、LG化学、比亚迪、三星SDI、ATL在内的全球领先锂离子电池产业链。</w:t>
      </w:r>
      <w:r>
        <w:rPr>
          <w:rFonts w:hint="eastAsia" w:ascii="Times New Roman" w:hAnsi="Times New Roman" w:eastAsia="宋体" w:cs="Times New Roman"/>
          <w:sz w:val="21"/>
          <w:szCs w:val="21"/>
        </w:rPr>
        <w:br w:type="textWrapping"/>
      </w:r>
      <w:r>
        <w:rPr>
          <w:rFonts w:hint="eastAsia" w:ascii="Times New Roman" w:hAnsi="Times New Roman" w:eastAsia="宋体" w:cs="Times New Roman"/>
          <w:sz w:val="21"/>
          <w:szCs w:val="21"/>
        </w:rPr>
        <w:t>中伟新材料股份有限公司自主开发的高电压四氧化三钴、高镍NCM、NCA等核心产品跻身中国、欧美、日韩地区世界500强企业高端供应链，被广泛应用于3C数码领域、动力领域及储能领域。近三年公司三元前驱体、四氧化三钴出货量、出口量稳居全球第一。在国内，中伟股份已建立铜仁（上市主体）产业基地、宁乡产业基地、钦州产业基地、开阳产业基地四大产业基地，覆盖全国；在海外，公司建有印尼原料基地，并启动规划国际化产业基地，业务覆盖日韩、东南亚、欧洲以及北美等多个国家和地区。公司始终以研发创新为核心，专注新能源材料领域的研发，持续加大研发投入，以高镍低钴全系列三元前驱体、高电压四氧化三钴、综合循环回收利用、原材料冶炼、材料制造装备为主要研发方向，同时积极布局磷铁系、锰系以及钠系技术路线，打造多样化、定制化、快速开发与量产的技术服务能力及产业化应用能力，引领行业技术创新。公司目前</w:t>
      </w:r>
      <w:r>
        <w:rPr>
          <w:rFonts w:hint="eastAsia" w:ascii="Times New Roman" w:hAnsi="Times New Roman" w:eastAsia="宋体" w:cs="Times New Roman"/>
          <w:sz w:val="21"/>
          <w:szCs w:val="21"/>
          <w:lang w:val="en-US" w:eastAsia="zh-CN"/>
        </w:rPr>
        <w:t>累积获得专利399</w:t>
      </w:r>
      <w:r>
        <w:rPr>
          <w:rFonts w:hint="eastAsia" w:ascii="Times New Roman" w:hAnsi="Times New Roman" w:eastAsia="宋体" w:cs="Times New Roman"/>
          <w:sz w:val="21"/>
          <w:szCs w:val="21"/>
        </w:rPr>
        <w:t>件，负责和参加起草制订国家标准、行业标准</w:t>
      </w:r>
      <w:r>
        <w:rPr>
          <w:rFonts w:hint="eastAsia" w:ascii="Times New Roman" w:hAnsi="Times New Roman" w:eastAsia="宋体" w:cs="Times New Roman"/>
          <w:sz w:val="21"/>
          <w:szCs w:val="21"/>
          <w:lang w:val="en-US" w:eastAsia="zh-CN"/>
        </w:rPr>
        <w:t>90</w:t>
      </w:r>
      <w:r>
        <w:rPr>
          <w:rFonts w:hint="eastAsia" w:ascii="Times New Roman" w:hAnsi="Times New Roman" w:eastAsia="宋体" w:cs="Times New Roman"/>
          <w:sz w:val="21"/>
          <w:szCs w:val="21"/>
        </w:rPr>
        <w:t>余项。公司牵头或参与起草《镍锰二元素复合氧化物》、《镍钴锰酸锂电化学性能测试-直流内阻测试方法》、《镍钴锰酸锂电化学性能测试 首次放电比容量及首次充放电效率测试方法》、等标准，成为行业技术标准的重要制订者。</w:t>
      </w:r>
    </w:p>
    <w:p w14:paraId="6D38928B">
      <w:pPr>
        <w:widowControl w:val="0"/>
        <w:spacing w:before="156" w:beforeLines="50" w:after="156" w:afterLines="50"/>
        <w:jc w:val="both"/>
        <w:outlineLvl w:val="1"/>
        <w:rPr>
          <w:b/>
          <w:bCs/>
          <w:sz w:val="21"/>
          <w:szCs w:val="21"/>
        </w:rPr>
      </w:pPr>
      <w:r>
        <w:rPr>
          <w:b/>
          <w:bCs/>
          <w:sz w:val="21"/>
          <w:szCs w:val="21"/>
        </w:rPr>
        <w:t>1.</w:t>
      </w:r>
      <w:r>
        <w:rPr>
          <w:rFonts w:hint="eastAsia"/>
          <w:b/>
          <w:bCs/>
          <w:sz w:val="21"/>
          <w:szCs w:val="21"/>
        </w:rPr>
        <w:t>3</w:t>
      </w:r>
      <w:r>
        <w:rPr>
          <w:b/>
          <w:bCs/>
          <w:sz w:val="21"/>
          <w:szCs w:val="21"/>
        </w:rPr>
        <w:t xml:space="preserve"> 主要</w:t>
      </w:r>
      <w:r>
        <w:rPr>
          <w:rFonts w:hint="eastAsia"/>
          <w:b/>
          <w:bCs/>
          <w:sz w:val="21"/>
          <w:szCs w:val="21"/>
        </w:rPr>
        <w:t>参加</w:t>
      </w:r>
      <w:r>
        <w:rPr>
          <w:b/>
          <w:bCs/>
          <w:sz w:val="21"/>
          <w:szCs w:val="21"/>
        </w:rPr>
        <w:t>单位和工作组成员及其工作</w:t>
      </w:r>
    </w:p>
    <w:p w14:paraId="309F1B94">
      <w:pPr>
        <w:ind w:firstLine="420" w:firstLineChars="200"/>
        <w:jc w:val="both"/>
        <w:rPr>
          <w:rFonts w:hint="eastAsia"/>
          <w:sz w:val="21"/>
          <w:szCs w:val="21"/>
        </w:rPr>
      </w:pPr>
      <w:r>
        <w:rPr>
          <w:rFonts w:hint="eastAsia"/>
          <w:sz w:val="21"/>
          <w:szCs w:val="21"/>
        </w:rPr>
        <w:t>本文件起草单位有：</w:t>
      </w:r>
      <w:r>
        <w:rPr>
          <w:rFonts w:hint="eastAsia" w:ascii="Times New Roman" w:hAnsi="Times New Roman" w:eastAsia="宋体" w:cs="Times New Roman"/>
          <w:sz w:val="21"/>
          <w:szCs w:val="21"/>
        </w:rPr>
        <w:t>中伟新材料</w:t>
      </w:r>
      <w:r>
        <w:rPr>
          <w:rFonts w:hint="eastAsia" w:ascii="Times New Roman" w:hAnsi="Times New Roman" w:cs="Times New Roman"/>
          <w:sz w:val="21"/>
          <w:szCs w:val="21"/>
          <w:lang w:val="en-US" w:eastAsia="zh-CN"/>
        </w:rPr>
        <w:t>股份</w:t>
      </w:r>
      <w:r>
        <w:rPr>
          <w:rFonts w:hint="eastAsia" w:ascii="Times New Roman" w:hAnsi="Times New Roman" w:eastAsia="宋体" w:cs="Times New Roman"/>
          <w:sz w:val="21"/>
          <w:szCs w:val="21"/>
        </w:rPr>
        <w:t>有限公司、湖南中伟新能源科技有限公司、深圳先进储能材料国家工程研究中心有限公司、北京当升材料科技股份有限公司、广东邦普循环科技有限公司、格林美股份有限公司、金驰能源材料有限公司、深圳清华大学研究院、华友新能源科技（衢州）有限公司、天津国安盟固利新材料科技股份有限公司、巴斯夫杉杉能源科技股份有限公司、内蒙古三信实业有限公司、深圳市卓能新能源股份有限公司等</w:t>
      </w:r>
      <w:r>
        <w:rPr>
          <w:rFonts w:hint="eastAsia"/>
          <w:sz w:val="21"/>
          <w:szCs w:val="21"/>
        </w:rPr>
        <w:t>。</w:t>
      </w:r>
    </w:p>
    <w:p w14:paraId="28D07007">
      <w:pPr>
        <w:ind w:firstLine="420" w:firstLineChars="200"/>
        <w:jc w:val="both"/>
        <w:rPr>
          <w:rFonts w:hint="eastAsia" w:ascii="Times New Roman" w:hAnsi="Times New Roman" w:cs="Times New Roman"/>
          <w:sz w:val="21"/>
          <w:szCs w:val="21"/>
        </w:rPr>
      </w:pPr>
      <w:r>
        <w:rPr>
          <w:rFonts w:hint="eastAsia" w:ascii="Times New Roman" w:hAnsi="Times New Roman" w:cs="Times New Roman"/>
          <w:sz w:val="21"/>
          <w:szCs w:val="21"/>
        </w:rPr>
        <w:t>其中中伟新材料</w:t>
      </w:r>
      <w:r>
        <w:rPr>
          <w:rFonts w:hint="eastAsia" w:ascii="Times New Roman" w:hAnsi="Times New Roman" w:cs="Times New Roman"/>
          <w:sz w:val="21"/>
          <w:szCs w:val="21"/>
          <w:lang w:val="en-US" w:eastAsia="zh-CN"/>
        </w:rPr>
        <w:t>股份</w:t>
      </w:r>
      <w:r>
        <w:rPr>
          <w:rFonts w:hint="eastAsia" w:ascii="Times New Roman" w:hAnsi="Times New Roman" w:cs="Times New Roman"/>
          <w:sz w:val="21"/>
          <w:szCs w:val="21"/>
        </w:rPr>
        <w:t>有限公司负责调研</w:t>
      </w:r>
      <w:r>
        <w:rPr>
          <w:rFonts w:hint="eastAsia" w:ascii="Times New Roman" w:hAnsi="Times New Roman" w:cs="Times New Roman"/>
          <w:sz w:val="21"/>
          <w:szCs w:val="21"/>
          <w:lang w:val="en-US" w:eastAsia="zh-CN"/>
        </w:rPr>
        <w:t>目前锂电行业</w:t>
      </w:r>
      <w:r>
        <w:rPr>
          <w:rFonts w:hint="eastAsia" w:ascii="Times New Roman" w:hAnsi="Times New Roman" w:cs="Times New Roman"/>
          <w:sz w:val="21"/>
          <w:szCs w:val="21"/>
        </w:rPr>
        <w:t>对</w:t>
      </w:r>
      <w:r>
        <w:rPr>
          <w:rFonts w:hint="eastAsia" w:ascii="Times New Roman" w:hAnsi="Times New Roman" w:cs="Times New Roman"/>
          <w:sz w:val="21"/>
          <w:szCs w:val="21"/>
          <w:lang w:val="en-US" w:eastAsia="zh-CN"/>
        </w:rPr>
        <w:t>镍钴铝三元前驱体中的镍钴铝三元素复合氧化物和镍钴铝三元素复合氢氧化物</w:t>
      </w:r>
      <w:r>
        <w:rPr>
          <w:rFonts w:hint="eastAsia" w:ascii="Times New Roman" w:hAnsi="Times New Roman" w:cs="Times New Roman"/>
          <w:sz w:val="21"/>
          <w:szCs w:val="21"/>
        </w:rPr>
        <w:t>的各项指标控制、生产和用户需求情况，根据了解的实际情况编写标准文本和标准编制说明，同时将标准在行业内广泛征求意见，并对收集的意见进行汇总处理，综合比较后形成科学统一的产品技术要求，带领编制组完成标准的编制工作。</w:t>
      </w:r>
    </w:p>
    <w:p w14:paraId="179EE596">
      <w:pPr>
        <w:ind w:firstLine="420" w:firstLineChars="200"/>
        <w:jc w:val="both"/>
        <w:rPr>
          <w:rFonts w:hint="eastAsia" w:ascii="Times New Roman" w:hAnsi="Times New Roman" w:cs="Times New Roman"/>
          <w:sz w:val="21"/>
          <w:szCs w:val="21"/>
        </w:rPr>
      </w:pPr>
      <w:r>
        <w:rPr>
          <w:rFonts w:hint="eastAsia" w:ascii="Times New Roman" w:hAnsi="Times New Roman" w:cs="Times New Roman"/>
          <w:sz w:val="21"/>
          <w:szCs w:val="21"/>
        </w:rPr>
        <w:t>湖南中伟新能源科技有限公司、深圳先进储能材料国家工程研究中心有限公司、北京当升材料科技股份有限公司、广东邦普循环科技有限公司、格林美股份有限公司、金驰能源材料有限公司、深圳清华大学研究院、华友新能源科技（衢州）有限公司、天津国安盟固利新材料科技股份有限公司、巴斯夫杉杉能源科技股份有限公司、内蒙古三信实业有限公司、深圳市卓能新能源股份有限公司等积极参与本标准的调研工作，为本标准的编制工作提供有力支撑。</w:t>
      </w:r>
    </w:p>
    <w:p w14:paraId="57EBACB6">
      <w:pPr>
        <w:widowControl w:val="0"/>
        <w:spacing w:before="156" w:beforeLines="50" w:after="156" w:afterLines="50"/>
        <w:jc w:val="both"/>
        <w:outlineLvl w:val="1"/>
        <w:rPr>
          <w:b/>
          <w:bCs/>
          <w:sz w:val="21"/>
          <w:szCs w:val="21"/>
        </w:rPr>
      </w:pPr>
      <w:r>
        <w:rPr>
          <w:b/>
          <w:bCs/>
          <w:sz w:val="21"/>
          <w:szCs w:val="21"/>
        </w:rPr>
        <w:t>1.4 主要工作过程</w:t>
      </w:r>
    </w:p>
    <w:p w14:paraId="25B08989">
      <w:pPr>
        <w:ind w:firstLine="420" w:firstLineChars="200"/>
        <w:jc w:val="both"/>
        <w:rPr>
          <w:rFonts w:hint="eastAsia" w:ascii="Times New Roman" w:hAnsi="Times New Roman" w:cs="Times New Roman"/>
          <w:sz w:val="21"/>
          <w:szCs w:val="21"/>
        </w:rPr>
      </w:pPr>
      <w:r>
        <w:rPr>
          <w:rFonts w:hint="eastAsia" w:ascii="Times New Roman" w:hAnsi="Times New Roman" w:cs="Times New Roman"/>
          <w:sz w:val="21"/>
          <w:szCs w:val="21"/>
        </w:rPr>
        <w:t>中伟新材料</w:t>
      </w:r>
      <w:r>
        <w:rPr>
          <w:rFonts w:hint="eastAsia" w:ascii="Times New Roman" w:hAnsi="Times New Roman" w:cs="Times New Roman"/>
          <w:sz w:val="21"/>
          <w:szCs w:val="21"/>
          <w:lang w:val="en-US" w:eastAsia="zh-CN"/>
        </w:rPr>
        <w:t>股份</w:t>
      </w:r>
      <w:r>
        <w:rPr>
          <w:rFonts w:hint="eastAsia" w:ascii="Times New Roman" w:hAnsi="Times New Roman" w:cs="Times New Roman"/>
          <w:sz w:val="21"/>
          <w:szCs w:val="21"/>
        </w:rPr>
        <w:t>有限公司在接到本文件</w:t>
      </w:r>
      <w:r>
        <w:rPr>
          <w:rFonts w:hint="eastAsia" w:ascii="Times New Roman" w:hAnsi="Times New Roman" w:cs="Times New Roman"/>
          <w:sz w:val="21"/>
          <w:szCs w:val="21"/>
          <w:lang w:val="en-US" w:eastAsia="zh-CN"/>
        </w:rPr>
        <w:t>修</w:t>
      </w:r>
      <w:r>
        <w:rPr>
          <w:rFonts w:hint="eastAsia" w:ascii="Times New Roman" w:hAnsi="Times New Roman" w:cs="Times New Roman"/>
          <w:sz w:val="21"/>
          <w:szCs w:val="21"/>
        </w:rPr>
        <w:t>订任务后，立即组织骨干人员成立了标准编制组，制定了该产品的各项指标调研表并初步确认范围。主要工作过程经历以下阶段：</w:t>
      </w:r>
    </w:p>
    <w:p w14:paraId="57723F85">
      <w:pPr>
        <w:widowControl w:val="0"/>
        <w:spacing w:before="156" w:beforeLines="50" w:after="156" w:afterLines="50"/>
        <w:jc w:val="both"/>
        <w:outlineLvl w:val="2"/>
        <w:rPr>
          <w:b/>
          <w:bCs/>
          <w:sz w:val="21"/>
          <w:szCs w:val="21"/>
        </w:rPr>
      </w:pPr>
      <w:r>
        <w:rPr>
          <w:b/>
          <w:bCs/>
          <w:sz w:val="21"/>
          <w:szCs w:val="21"/>
        </w:rPr>
        <w:t>1.4.1立项阶段</w:t>
      </w:r>
    </w:p>
    <w:p w14:paraId="2894E983">
      <w:pPr>
        <w:ind w:firstLine="420" w:firstLineChars="200"/>
        <w:jc w:val="both"/>
        <w:rPr>
          <w:rFonts w:hint="eastAsia" w:ascii="Times New Roman" w:hAnsi="Times New Roman" w:cs="Times New Roman"/>
          <w:sz w:val="21"/>
          <w:szCs w:val="21"/>
        </w:rPr>
      </w:pPr>
      <w:r>
        <w:rPr>
          <w:rFonts w:hint="eastAsia" w:ascii="Times New Roman" w:hAnsi="Times New Roman" w:cs="Times New Roman"/>
          <w:sz w:val="21"/>
          <w:szCs w:val="21"/>
        </w:rPr>
        <w:t>202</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12</w:t>
      </w:r>
      <w:r>
        <w:rPr>
          <w:rFonts w:hint="eastAsia" w:ascii="Times New Roman" w:hAnsi="Times New Roman" w:cs="Times New Roman"/>
          <w:sz w:val="21"/>
          <w:szCs w:val="21"/>
        </w:rPr>
        <w:t>月，中伟新材料</w:t>
      </w:r>
      <w:r>
        <w:rPr>
          <w:rFonts w:hint="eastAsia" w:ascii="Times New Roman" w:hAnsi="Times New Roman" w:cs="Times New Roman"/>
          <w:sz w:val="21"/>
          <w:szCs w:val="21"/>
          <w:lang w:val="en-US" w:eastAsia="zh-CN"/>
        </w:rPr>
        <w:t>股份</w:t>
      </w:r>
      <w:r>
        <w:rPr>
          <w:rFonts w:hint="eastAsia" w:ascii="Times New Roman" w:hAnsi="Times New Roman" w:cs="Times New Roman"/>
          <w:sz w:val="21"/>
          <w:szCs w:val="21"/>
        </w:rPr>
        <w:t>有限公司向全国有色金属标准化技术委员会粉末冶金分会(SAC/TC243/SC4)提交行业标准</w:t>
      </w:r>
      <w:r>
        <w:rPr>
          <w:rFonts w:hint="eastAsia" w:ascii="Times New Roman" w:hAnsi="Times New Roman" w:cs="Times New Roman"/>
          <w:sz w:val="21"/>
          <w:szCs w:val="21"/>
          <w:lang w:val="en-US" w:eastAsia="zh-CN"/>
        </w:rPr>
        <w:t>《镍钴铝三元前驱体》</w:t>
      </w:r>
      <w:r>
        <w:rPr>
          <w:rFonts w:hint="eastAsia" w:ascii="Times New Roman" w:hAnsi="Times New Roman" w:cs="Times New Roman"/>
          <w:sz w:val="21"/>
          <w:szCs w:val="21"/>
        </w:rPr>
        <w:t>项目建议书。</w:t>
      </w:r>
    </w:p>
    <w:p w14:paraId="59275701">
      <w:pPr>
        <w:ind w:firstLine="420" w:firstLineChars="200"/>
        <w:jc w:val="both"/>
        <w:rPr>
          <w:sz w:val="21"/>
          <w:szCs w:val="21"/>
        </w:rPr>
      </w:pPr>
      <w:r>
        <w:rPr>
          <w:rFonts w:hint="eastAsia" w:ascii="Times New Roman" w:hAnsi="Times New Roman" w:cs="Times New Roman"/>
          <w:sz w:val="21"/>
          <w:szCs w:val="21"/>
        </w:rPr>
        <w:t>202</w:t>
      </w: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日，工业和信息化部办公厅印发</w:t>
      </w:r>
      <w:r>
        <w:rPr>
          <w:rFonts w:hint="eastAsia" w:ascii="Times New Roman" w:hAnsi="Times New Roman" w:cs="Times New Roman"/>
          <w:sz w:val="21"/>
          <w:szCs w:val="21"/>
          <w:lang w:val="en-US" w:eastAsia="zh-CN"/>
        </w:rPr>
        <w:t>《关于印发2024年第一批行业标准制修订计划的通知》（工信厅科函〔2024)18号）</w:t>
      </w:r>
      <w:r>
        <w:rPr>
          <w:rFonts w:hint="eastAsia" w:ascii="Times New Roman" w:hAnsi="Times New Roman" w:cs="Times New Roman"/>
          <w:sz w:val="21"/>
          <w:szCs w:val="21"/>
        </w:rPr>
        <w:t>，行业标准</w:t>
      </w:r>
      <w:r>
        <w:rPr>
          <w:rFonts w:hint="eastAsia" w:ascii="Times New Roman" w:hAnsi="Times New Roman" w:cs="Times New Roman"/>
          <w:sz w:val="21"/>
          <w:szCs w:val="21"/>
          <w:lang w:val="en-US" w:eastAsia="zh-CN"/>
        </w:rPr>
        <w:t>《镍钴铝三元前驱体》</w:t>
      </w:r>
      <w:r>
        <w:rPr>
          <w:rFonts w:hint="eastAsia" w:ascii="Times New Roman" w:hAnsi="Times New Roman" w:cs="Times New Roman"/>
          <w:sz w:val="21"/>
          <w:szCs w:val="21"/>
        </w:rPr>
        <w:t>成功立项。</w:t>
      </w:r>
    </w:p>
    <w:p w14:paraId="5D9CA1B6">
      <w:pPr>
        <w:widowControl w:val="0"/>
        <w:spacing w:before="156" w:beforeLines="50" w:after="156" w:afterLines="50"/>
        <w:jc w:val="both"/>
        <w:outlineLvl w:val="2"/>
        <w:rPr>
          <w:b/>
          <w:bCs/>
          <w:sz w:val="21"/>
          <w:szCs w:val="21"/>
        </w:rPr>
      </w:pPr>
      <w:r>
        <w:rPr>
          <w:rFonts w:hint="eastAsia"/>
          <w:b/>
          <w:bCs/>
          <w:sz w:val="21"/>
          <w:szCs w:val="21"/>
        </w:rPr>
        <w:t>1.</w:t>
      </w:r>
      <w:r>
        <w:rPr>
          <w:b/>
          <w:bCs/>
          <w:sz w:val="21"/>
          <w:szCs w:val="21"/>
        </w:rPr>
        <w:t>4</w:t>
      </w:r>
      <w:r>
        <w:rPr>
          <w:rFonts w:hint="eastAsia"/>
          <w:b/>
          <w:bCs/>
          <w:sz w:val="21"/>
          <w:szCs w:val="21"/>
        </w:rPr>
        <w:t>.2 起草阶段</w:t>
      </w:r>
    </w:p>
    <w:p w14:paraId="0602736F">
      <w:pPr>
        <w:ind w:firstLine="420" w:firstLineChars="200"/>
        <w:jc w:val="both"/>
        <w:rPr>
          <w:rFonts w:hint="eastAsia" w:ascii="Times New Roman" w:hAnsi="Times New Roman" w:cs="Times New Roman"/>
          <w:sz w:val="21"/>
          <w:szCs w:val="21"/>
        </w:rPr>
      </w:pPr>
      <w:r>
        <w:rPr>
          <w:rFonts w:hint="eastAsia" w:ascii="Times New Roman" w:hAnsi="Times New Roman" w:cs="Times New Roman"/>
          <w:sz w:val="21"/>
          <w:szCs w:val="21"/>
        </w:rPr>
        <w:t>明确了由中伟新材料</w:t>
      </w:r>
      <w:r>
        <w:rPr>
          <w:rFonts w:hint="eastAsia" w:ascii="Times New Roman" w:hAnsi="Times New Roman" w:cs="Times New Roman"/>
          <w:sz w:val="21"/>
          <w:szCs w:val="21"/>
          <w:lang w:val="en-US" w:eastAsia="zh-CN"/>
        </w:rPr>
        <w:t>股份</w:t>
      </w:r>
      <w:r>
        <w:rPr>
          <w:rFonts w:hint="eastAsia" w:ascii="Times New Roman" w:hAnsi="Times New Roman" w:cs="Times New Roman"/>
          <w:sz w:val="21"/>
          <w:szCs w:val="21"/>
        </w:rPr>
        <w:t>有限公司落实《钠离子电池用正极材料 铜铁锰酸钠》修订编制工作，组织成立了行业标准编制组，对目标任务进行了分解，明确成员的任务要求，制定工作计划和进度安排。标准编制组工作成员通过各种渠道收集国内外锂电行业对</w:t>
      </w:r>
      <w:r>
        <w:rPr>
          <w:rFonts w:hint="eastAsia" w:ascii="Times New Roman" w:hAnsi="Times New Roman" w:cs="Times New Roman"/>
          <w:sz w:val="21"/>
          <w:szCs w:val="21"/>
          <w:lang w:val="en-US" w:eastAsia="zh-CN"/>
        </w:rPr>
        <w:t>镍钴铝三元前驱体</w:t>
      </w:r>
      <w:r>
        <w:rPr>
          <w:rFonts w:hint="eastAsia" w:ascii="Times New Roman" w:hAnsi="Times New Roman" w:cs="Times New Roman"/>
          <w:sz w:val="21"/>
          <w:szCs w:val="21"/>
        </w:rPr>
        <w:t>的需求和使用情况，查阅了大量的国内外相关文献资料，同时结合目前国内外</w:t>
      </w:r>
      <w:r>
        <w:rPr>
          <w:rFonts w:hint="eastAsia" w:ascii="Times New Roman" w:hAnsi="Times New Roman" w:cs="Times New Roman"/>
          <w:sz w:val="21"/>
          <w:szCs w:val="21"/>
          <w:lang w:val="en-US" w:eastAsia="zh-CN"/>
        </w:rPr>
        <w:t>镍钴铝三元前驱体</w:t>
      </w:r>
      <w:r>
        <w:rPr>
          <w:rFonts w:hint="eastAsia" w:ascii="Times New Roman" w:hAnsi="Times New Roman" w:cs="Times New Roman"/>
          <w:sz w:val="21"/>
          <w:szCs w:val="21"/>
        </w:rPr>
        <w:t>的生产和用户需求情况，于202</w:t>
      </w: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月形成了标准的讨论稿草案和编制说明。</w:t>
      </w:r>
    </w:p>
    <w:p w14:paraId="653E5A7E">
      <w:pPr>
        <w:widowControl w:val="0"/>
        <w:spacing w:before="156" w:beforeLines="50" w:after="156" w:afterLines="50"/>
        <w:jc w:val="both"/>
        <w:outlineLvl w:val="2"/>
        <w:rPr>
          <w:b/>
          <w:bCs/>
          <w:sz w:val="21"/>
          <w:szCs w:val="21"/>
        </w:rPr>
      </w:pPr>
      <w:r>
        <w:rPr>
          <w:rFonts w:hint="eastAsia"/>
          <w:b/>
          <w:bCs/>
          <w:sz w:val="21"/>
          <w:szCs w:val="21"/>
        </w:rPr>
        <w:t>1.</w:t>
      </w:r>
      <w:r>
        <w:rPr>
          <w:b/>
          <w:bCs/>
          <w:sz w:val="21"/>
          <w:szCs w:val="21"/>
        </w:rPr>
        <w:t>4</w:t>
      </w:r>
      <w:r>
        <w:rPr>
          <w:rFonts w:hint="eastAsia"/>
          <w:b/>
          <w:bCs/>
          <w:sz w:val="21"/>
          <w:szCs w:val="21"/>
        </w:rPr>
        <w:t>.3 征求意见阶段</w:t>
      </w:r>
    </w:p>
    <w:p w14:paraId="49C1EEFB">
      <w:pPr>
        <w:ind w:firstLine="420" w:firstLineChars="200"/>
        <w:jc w:val="both"/>
        <w:rPr>
          <w:rFonts w:hint="eastAsia" w:ascii="Times New Roman" w:hAnsi="Times New Roman" w:cs="Times New Roman"/>
          <w:sz w:val="21"/>
          <w:szCs w:val="21"/>
        </w:rPr>
      </w:pPr>
      <w:r>
        <w:rPr>
          <w:rFonts w:hint="eastAsia" w:ascii="Times New Roman" w:hAnsi="Times New Roman" w:cs="Times New Roman"/>
          <w:sz w:val="21"/>
          <w:szCs w:val="21"/>
        </w:rPr>
        <w:t>202</w:t>
      </w: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月X日，全国有色金属标准化技术委员会组织召开有色金属标准工作会议，对本标准进行了讨论。会议中各单位代表就标准讨论稿和编制说明进行讨论。</w:t>
      </w:r>
    </w:p>
    <w:p w14:paraId="1FA24D7E">
      <w:pPr>
        <w:ind w:firstLine="420" w:firstLineChars="200"/>
        <w:jc w:val="both"/>
        <w:rPr>
          <w:rFonts w:hint="eastAsia" w:ascii="Times New Roman" w:hAnsi="Times New Roman" w:cs="Times New Roman"/>
          <w:sz w:val="21"/>
          <w:szCs w:val="21"/>
        </w:rPr>
      </w:pPr>
      <w:r>
        <w:rPr>
          <w:rFonts w:hint="eastAsia" w:ascii="Times New Roman" w:hAnsi="Times New Roman" w:cs="Times New Roman"/>
          <w:sz w:val="21"/>
          <w:szCs w:val="21"/>
        </w:rPr>
        <w:t>同时，全国有色金属标准化技术委员会通过工作群、邮件向委员单位征求意见，并将征求意见资料在网站上发布，向社会公开征求意见。征求意见的单位包括主要生产、经销、使用、科研、检验等单位及大专院校，征求意见单位广泛且具有代表性，征求意见时间大于2个月。</w:t>
      </w:r>
    </w:p>
    <w:p w14:paraId="74E04EF8">
      <w:pPr>
        <w:widowControl w:val="0"/>
        <w:spacing w:before="156" w:beforeLines="50" w:after="156" w:afterLines="50"/>
        <w:jc w:val="both"/>
        <w:outlineLvl w:val="2"/>
        <w:rPr>
          <w:b/>
          <w:bCs/>
          <w:sz w:val="21"/>
          <w:szCs w:val="21"/>
        </w:rPr>
      </w:pPr>
      <w:r>
        <w:rPr>
          <w:b/>
          <w:bCs/>
          <w:sz w:val="21"/>
          <w:szCs w:val="21"/>
        </w:rPr>
        <w:t>1.4.4 审查阶段</w:t>
      </w:r>
    </w:p>
    <w:p w14:paraId="6FC6DC7D">
      <w:pPr>
        <w:widowControl w:val="0"/>
        <w:ind w:firstLine="420" w:firstLineChars="200"/>
        <w:rPr>
          <w:sz w:val="21"/>
          <w:szCs w:val="21"/>
        </w:rPr>
      </w:pPr>
      <w:r>
        <w:rPr>
          <w:sz w:val="21"/>
          <w:szCs w:val="21"/>
        </w:rPr>
        <w:t>……</w:t>
      </w:r>
    </w:p>
    <w:p w14:paraId="1988D3B8">
      <w:pPr>
        <w:widowControl w:val="0"/>
        <w:spacing w:before="156" w:beforeLines="50" w:after="156" w:afterLines="50"/>
        <w:jc w:val="both"/>
        <w:outlineLvl w:val="2"/>
        <w:rPr>
          <w:b/>
          <w:bCs/>
          <w:sz w:val="21"/>
          <w:szCs w:val="21"/>
        </w:rPr>
      </w:pPr>
      <w:r>
        <w:rPr>
          <w:b/>
          <w:bCs/>
          <w:sz w:val="21"/>
          <w:szCs w:val="21"/>
        </w:rPr>
        <w:t>1.4.</w:t>
      </w:r>
      <w:r>
        <w:rPr>
          <w:rFonts w:hint="eastAsia"/>
          <w:b/>
          <w:bCs/>
          <w:sz w:val="21"/>
          <w:szCs w:val="21"/>
        </w:rPr>
        <w:t>5</w:t>
      </w:r>
      <w:r>
        <w:rPr>
          <w:b/>
          <w:bCs/>
          <w:sz w:val="21"/>
          <w:szCs w:val="21"/>
        </w:rPr>
        <w:t xml:space="preserve"> 报批阶段</w:t>
      </w:r>
    </w:p>
    <w:p w14:paraId="478A41B9">
      <w:pPr>
        <w:widowControl w:val="0"/>
        <w:ind w:firstLine="420" w:firstLineChars="200"/>
        <w:rPr>
          <w:sz w:val="21"/>
          <w:szCs w:val="21"/>
        </w:rPr>
      </w:pPr>
      <w:r>
        <w:rPr>
          <w:sz w:val="21"/>
          <w:szCs w:val="21"/>
        </w:rPr>
        <w:t>……</w:t>
      </w:r>
    </w:p>
    <w:p w14:paraId="24908452">
      <w:pPr>
        <w:widowControl w:val="0"/>
        <w:spacing w:before="312" w:beforeLines="100" w:after="312" w:afterLines="100"/>
        <w:jc w:val="both"/>
        <w:outlineLvl w:val="0"/>
        <w:rPr>
          <w:b/>
          <w:bCs/>
        </w:rPr>
      </w:pPr>
      <w:r>
        <w:rPr>
          <w:b/>
          <w:bCs/>
        </w:rPr>
        <w:t>二、标准编制原则</w:t>
      </w:r>
    </w:p>
    <w:p w14:paraId="592121B9">
      <w:pPr>
        <w:widowControl w:val="0"/>
        <w:spacing w:before="156" w:beforeLines="50" w:after="156" w:afterLines="50"/>
        <w:jc w:val="both"/>
        <w:outlineLvl w:val="2"/>
        <w:rPr>
          <w:b/>
          <w:bCs/>
          <w:sz w:val="21"/>
          <w:szCs w:val="21"/>
        </w:rPr>
      </w:pPr>
      <w:r>
        <w:rPr>
          <w:b/>
          <w:bCs/>
          <w:sz w:val="21"/>
          <w:szCs w:val="21"/>
        </w:rPr>
        <w:t>2.1 符合性</w:t>
      </w:r>
    </w:p>
    <w:p w14:paraId="532871D8">
      <w:pPr>
        <w:ind w:firstLine="435"/>
        <w:jc w:val="both"/>
        <w:rPr>
          <w:sz w:val="21"/>
          <w:szCs w:val="21"/>
        </w:rPr>
      </w:pPr>
      <w:r>
        <w:rPr>
          <w:rFonts w:hint="eastAsia"/>
          <w:sz w:val="21"/>
          <w:szCs w:val="21"/>
        </w:rPr>
        <w:t>本标准按照 GB/T 1.1-2020《 标准化工作导则 第 1 部分：标准的结构和编写规则》要求编写。</w:t>
      </w:r>
    </w:p>
    <w:p w14:paraId="15BA6E2E">
      <w:pPr>
        <w:widowControl w:val="0"/>
        <w:spacing w:before="156" w:beforeLines="50" w:after="156" w:afterLines="50"/>
        <w:jc w:val="both"/>
        <w:outlineLvl w:val="1"/>
        <w:rPr>
          <w:b/>
          <w:bCs/>
          <w:sz w:val="21"/>
          <w:szCs w:val="21"/>
        </w:rPr>
      </w:pPr>
      <w:r>
        <w:rPr>
          <w:b/>
          <w:bCs/>
          <w:sz w:val="21"/>
          <w:szCs w:val="21"/>
        </w:rPr>
        <w:t>2.2 适用性和先进性</w:t>
      </w:r>
    </w:p>
    <w:p w14:paraId="415C12A2">
      <w:pPr>
        <w:ind w:firstLine="435"/>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NCA 产品属于高镍三元正极材料，在国内是新型产品，且近年来NCA 正极材料的代表性产品从 NCA80、 NCA88到 NCA91 及更高镍型号发展。正极材料产商对镍钴铝三元素氢氧化物和镍钴铝三元素氧化物的需求也将不断上涨。国内外很多企业都发现了镍钴铝材料的优势和潜力所在，也都在积极的对镍钴铝三元材料进行研究开发。相应的，作为其原料的镍钴铝三元前驱体的需求也明显增多，近来，针对正极材料厂商对其需求量增大的现象，各前驱体生产厂商均有该类产品的大规模出，锂电池用电池正极材料镍钴铝酸锂具有比其他电池正极材料更优秀的循环性能和能量密度，为更好的发挥镍钴铝酸锂优异的性能，必须先制备镍元素，钴元素，铝元素均匀混合的镍钴铝三元</w:t>
      </w:r>
      <w:r>
        <w:rPr>
          <w:rFonts w:hint="eastAsia" w:ascii="Times New Roman" w:hAnsi="Times New Roman" w:eastAsia="宋体" w:cs="Times New Roman"/>
          <w:sz w:val="21"/>
          <w:szCs w:val="21"/>
          <w:lang w:val="en-US" w:eastAsia="zh-CN"/>
        </w:rPr>
        <w:t>前驱体材料。</w:t>
      </w:r>
    </w:p>
    <w:p w14:paraId="16C9C67C">
      <w:pPr>
        <w:ind w:firstLine="435"/>
        <w:jc w:val="both"/>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rPr>
        <w:t>随着近年来，三元行业的快速发展，合成技术的不断突破，三元前驱体产品规格更加丰富和多样化，原有标准中很多指标已不适用于现有市场。原有标准中</w:t>
      </w:r>
      <w:r>
        <w:rPr>
          <w:rFonts w:hint="eastAsia" w:ascii="Times New Roman" w:hAnsi="Times New Roman" w:eastAsia="宋体" w:cs="Times New Roman"/>
          <w:sz w:val="21"/>
          <w:szCs w:val="21"/>
          <w:lang w:val="en-US" w:eastAsia="zh-CN"/>
        </w:rPr>
        <w:t>化学</w:t>
      </w:r>
      <w:r>
        <w:rPr>
          <w:rFonts w:hint="eastAsia" w:ascii="Times New Roman" w:hAnsi="Times New Roman" w:eastAsia="宋体" w:cs="Times New Roman"/>
          <w:sz w:val="21"/>
          <w:szCs w:val="21"/>
        </w:rPr>
        <w:t>元素</w:t>
      </w:r>
      <w:r>
        <w:rPr>
          <w:rFonts w:hint="eastAsia" w:ascii="Times New Roman" w:hAnsi="Times New Roman" w:eastAsia="宋体" w:cs="Times New Roman"/>
          <w:sz w:val="21"/>
          <w:szCs w:val="21"/>
          <w:lang w:val="en-US" w:eastAsia="zh-CN"/>
        </w:rPr>
        <w:t>含</w:t>
      </w:r>
      <w:r>
        <w:rPr>
          <w:rFonts w:hint="eastAsia" w:ascii="Times New Roman" w:hAnsi="Times New Roman" w:eastAsia="宋体" w:cs="Times New Roman"/>
          <w:sz w:val="21"/>
          <w:szCs w:val="21"/>
        </w:rPr>
        <w:t>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激光粒度和比表面积等重要指标参数范围</w:t>
      </w:r>
      <w:r>
        <w:rPr>
          <w:rFonts w:hint="eastAsia" w:ascii="Times New Roman" w:hAnsi="Times New Roman" w:eastAsia="宋体" w:cs="Times New Roman"/>
          <w:sz w:val="21"/>
          <w:szCs w:val="21"/>
          <w:lang w:val="en-US" w:eastAsia="zh-CN"/>
        </w:rPr>
        <w:t>需要调整</w:t>
      </w:r>
      <w:r>
        <w:rPr>
          <w:rFonts w:hint="eastAsia" w:ascii="Times New Roman" w:hAnsi="Times New Roman" w:eastAsia="宋体" w:cs="Times New Roman"/>
          <w:sz w:val="21"/>
          <w:szCs w:val="21"/>
        </w:rPr>
        <w:t>。原有标准已经无法适用现有的部分产品，故需要对其进行修订。</w:t>
      </w:r>
    </w:p>
    <w:p w14:paraId="72082556">
      <w:pPr>
        <w:ind w:firstLine="435"/>
        <w:jc w:val="both"/>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为优化新材料前驱体行业的标准体系，合并相似产品的标准，使标准简洁化、高效化、统一化</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促进上下游工作便捷化。国家标准化管理委员会《2022年国家标准立项指南》“一、总体要求”中明确了“（二）推进标准体系优化加大修订力度，强化标准复审与标准修订工作的联动，鼓励对现行国家标准进行整合修订”</w:t>
      </w:r>
      <w:r>
        <w:rPr>
          <w:rFonts w:hint="default" w:ascii="Times New Roman" w:hAnsi="Times New Roman" w:eastAsia="宋体" w:cs="Times New Roman"/>
          <w:sz w:val="21"/>
          <w:szCs w:val="21"/>
        </w:rPr>
        <w:t>。本文件的</w:t>
      </w:r>
      <w:r>
        <w:rPr>
          <w:rFonts w:hint="eastAsia" w:ascii="Times New Roman" w:hAnsi="Times New Roman" w:eastAsia="宋体" w:cs="Times New Roman"/>
          <w:sz w:val="21"/>
          <w:szCs w:val="21"/>
          <w:lang w:val="en-US" w:eastAsia="zh-CN"/>
        </w:rPr>
        <w:t>修</w:t>
      </w:r>
      <w:r>
        <w:rPr>
          <w:rFonts w:hint="default" w:ascii="Times New Roman" w:hAnsi="Times New Roman" w:eastAsia="宋体" w:cs="Times New Roman"/>
          <w:sz w:val="21"/>
          <w:szCs w:val="21"/>
        </w:rPr>
        <w:t>定符合国家政策导向，符合目前国内</w:t>
      </w:r>
      <w:r>
        <w:rPr>
          <w:rFonts w:hint="eastAsia" w:ascii="Times New Roman" w:hAnsi="Times New Roman" w:eastAsia="宋体" w:cs="Times New Roman"/>
          <w:sz w:val="21"/>
          <w:szCs w:val="21"/>
        </w:rPr>
        <w:t>镍钴铝三元前驱体</w:t>
      </w:r>
      <w:r>
        <w:rPr>
          <w:rFonts w:hint="default" w:ascii="Times New Roman" w:hAnsi="Times New Roman" w:eastAsia="宋体" w:cs="Times New Roman"/>
          <w:sz w:val="21"/>
          <w:szCs w:val="21"/>
        </w:rPr>
        <w:t>的生产和用户需求情况。本文件规定的内容遵循充分满足市场要求原则、指导生产的原则，可以提高</w:t>
      </w:r>
      <w:r>
        <w:rPr>
          <w:rFonts w:hint="eastAsia" w:ascii="Times New Roman" w:hAnsi="Times New Roman" w:eastAsia="宋体" w:cs="Times New Roman"/>
          <w:sz w:val="21"/>
          <w:szCs w:val="21"/>
        </w:rPr>
        <w:t>镍钴铝三元前驱体</w:t>
      </w:r>
      <w:r>
        <w:rPr>
          <w:rFonts w:hint="default" w:ascii="Times New Roman" w:hAnsi="Times New Roman" w:eastAsia="宋体" w:cs="Times New Roman"/>
          <w:sz w:val="21"/>
          <w:szCs w:val="21"/>
        </w:rPr>
        <w:t>的生产技术水平，促进相关技术的进步，为国内相关产业提供技术指导，满足用户的需求，以规范行业的产品标准，促进</w:t>
      </w:r>
      <w:r>
        <w:rPr>
          <w:rFonts w:hint="eastAsia" w:ascii="Times New Roman" w:hAnsi="Times New Roman" w:eastAsia="宋体" w:cs="Times New Roman"/>
          <w:sz w:val="21"/>
          <w:szCs w:val="21"/>
          <w:lang w:val="en-US" w:eastAsia="zh-CN"/>
        </w:rPr>
        <w:t>锂</w:t>
      </w:r>
      <w:r>
        <w:rPr>
          <w:rFonts w:hint="default" w:ascii="Times New Roman" w:hAnsi="Times New Roman" w:eastAsia="宋体" w:cs="Times New Roman"/>
          <w:sz w:val="21"/>
          <w:szCs w:val="21"/>
        </w:rPr>
        <w:t>电</w:t>
      </w:r>
      <w:r>
        <w:rPr>
          <w:rFonts w:hint="eastAsia" w:ascii="Times New Roman" w:hAnsi="Times New Roman" w:eastAsia="宋体" w:cs="Times New Roman"/>
          <w:sz w:val="21"/>
          <w:szCs w:val="21"/>
          <w:lang w:val="en-US" w:eastAsia="zh-CN"/>
        </w:rPr>
        <w:t>前驱体</w:t>
      </w:r>
      <w:r>
        <w:rPr>
          <w:rFonts w:hint="default" w:ascii="Times New Roman" w:hAnsi="Times New Roman" w:eastAsia="宋体" w:cs="Times New Roman"/>
          <w:sz w:val="21"/>
          <w:szCs w:val="21"/>
        </w:rPr>
        <w:t>材料行业的不断发展。</w:t>
      </w:r>
    </w:p>
    <w:p w14:paraId="462525BE">
      <w:pPr>
        <w:widowControl w:val="0"/>
        <w:spacing w:before="312" w:beforeLines="100" w:after="312" w:afterLines="100"/>
        <w:jc w:val="both"/>
        <w:outlineLvl w:val="0"/>
        <w:rPr>
          <w:b/>
          <w:bCs/>
        </w:rPr>
      </w:pPr>
      <w:r>
        <w:rPr>
          <w:b/>
          <w:bCs/>
        </w:rPr>
        <w:t>三、确定标准主要内容的依据</w:t>
      </w:r>
    </w:p>
    <w:p w14:paraId="682EDD18">
      <w:pPr>
        <w:widowControl w:val="0"/>
        <w:spacing w:before="156" w:beforeLines="50" w:after="156" w:afterLines="50"/>
        <w:jc w:val="both"/>
        <w:outlineLvl w:val="1"/>
        <w:rPr>
          <w:b/>
          <w:bCs/>
          <w:sz w:val="21"/>
          <w:szCs w:val="21"/>
        </w:rPr>
      </w:pPr>
      <w:r>
        <w:rPr>
          <w:b/>
          <w:bCs/>
          <w:sz w:val="21"/>
          <w:szCs w:val="21"/>
        </w:rPr>
        <w:t>3.</w:t>
      </w:r>
      <w:r>
        <w:rPr>
          <w:rFonts w:hint="eastAsia"/>
          <w:b/>
          <w:bCs/>
          <w:sz w:val="21"/>
          <w:szCs w:val="21"/>
        </w:rPr>
        <w:t>1</w:t>
      </w:r>
      <w:r>
        <w:rPr>
          <w:b/>
          <w:bCs/>
          <w:sz w:val="21"/>
          <w:szCs w:val="21"/>
        </w:rPr>
        <w:t xml:space="preserve"> </w:t>
      </w:r>
      <w:r>
        <w:rPr>
          <w:rFonts w:hint="eastAsia"/>
          <w:b/>
          <w:bCs/>
          <w:sz w:val="21"/>
          <w:szCs w:val="21"/>
        </w:rPr>
        <w:t>国内主要研发及生产企业、科研单位的产品主要指标情况</w:t>
      </w:r>
    </w:p>
    <w:p w14:paraId="5430A422">
      <w:pPr>
        <w:widowControl w:val="0"/>
        <w:ind w:firstLine="420" w:firstLineChars="200"/>
        <w:jc w:val="both"/>
        <w:rPr>
          <w:sz w:val="21"/>
          <w:szCs w:val="21"/>
        </w:rPr>
      </w:pPr>
      <w:r>
        <w:rPr>
          <w:rFonts w:hint="eastAsia"/>
          <w:sz w:val="21"/>
          <w:szCs w:val="21"/>
        </w:rPr>
        <w:t>标准的主要技术要求根据</w:t>
      </w:r>
      <w:r>
        <w:rPr>
          <w:rFonts w:hint="eastAsia" w:ascii="Times New Roman" w:hAnsi="Times New Roman" w:eastAsia="宋体" w:cs="Times New Roman"/>
          <w:sz w:val="21"/>
          <w:szCs w:val="21"/>
        </w:rPr>
        <w:t>镍钴铝三元前驱体</w:t>
      </w:r>
      <w:r>
        <w:rPr>
          <w:rFonts w:hint="eastAsia"/>
          <w:sz w:val="21"/>
          <w:szCs w:val="21"/>
        </w:rPr>
        <w:t>研发及生产企业、科研单位的产品主要指标情况进行确定。</w:t>
      </w:r>
    </w:p>
    <w:p w14:paraId="2C33A21A">
      <w:pPr>
        <w:widowControl w:val="0"/>
        <w:ind w:firstLine="420" w:firstLineChars="200"/>
        <w:jc w:val="both"/>
        <w:rPr>
          <w:sz w:val="21"/>
          <w:szCs w:val="21"/>
        </w:rPr>
      </w:pPr>
      <w:r>
        <w:rPr>
          <w:rFonts w:hint="eastAsia" w:ascii="Times New Roman" w:hAnsi="Times New Roman" w:eastAsia="宋体" w:cs="Times New Roman"/>
          <w:sz w:val="21"/>
          <w:szCs w:val="21"/>
        </w:rPr>
        <w:t>镍钴铝三元前驱体</w:t>
      </w:r>
      <w:r>
        <w:rPr>
          <w:rFonts w:hint="eastAsia"/>
          <w:sz w:val="21"/>
          <w:szCs w:val="21"/>
        </w:rPr>
        <w:t>主要研发及生产企业产品主要指标情况见表1，单位名称由字母表示，征求意见过程持续调研。</w:t>
      </w:r>
    </w:p>
    <w:p w14:paraId="1AB9BAF6">
      <w:pPr>
        <w:widowControl w:val="0"/>
        <w:spacing w:before="156" w:beforeLines="50" w:after="156" w:afterLines="50"/>
        <w:jc w:val="center"/>
        <w:rPr>
          <w:sz w:val="21"/>
          <w:szCs w:val="21"/>
        </w:rPr>
      </w:pPr>
      <w:r>
        <w:rPr>
          <w:rFonts w:hint="eastAsia"/>
          <w:b/>
          <w:bCs/>
          <w:sz w:val="21"/>
          <w:szCs w:val="21"/>
        </w:rPr>
        <w:t>表</w:t>
      </w:r>
      <w:r>
        <w:rPr>
          <w:b/>
          <w:bCs/>
          <w:sz w:val="21"/>
          <w:szCs w:val="21"/>
        </w:rPr>
        <w:t>1</w:t>
      </w:r>
      <w:r>
        <w:rPr>
          <w:rFonts w:hint="eastAsia"/>
          <w:b/>
          <w:bCs/>
          <w:sz w:val="21"/>
          <w:szCs w:val="21"/>
        </w:rPr>
        <w:t xml:space="preserve"> </w:t>
      </w:r>
      <w:r>
        <w:rPr>
          <w:rFonts w:hint="eastAsia"/>
          <w:b/>
          <w:bCs/>
          <w:sz w:val="21"/>
          <w:szCs w:val="21"/>
          <w:lang w:val="en-US" w:eastAsia="zh-CN"/>
        </w:rPr>
        <w:t xml:space="preserve"> </w:t>
      </w:r>
      <w:r>
        <w:rPr>
          <w:rFonts w:hint="eastAsia" w:ascii="Times New Roman" w:hAnsi="Times New Roman" w:eastAsia="宋体" w:cs="Times New Roman"/>
          <w:sz w:val="21"/>
          <w:szCs w:val="21"/>
        </w:rPr>
        <w:t>镍钴铝三元前驱体</w:t>
      </w:r>
      <w:r>
        <w:rPr>
          <w:rFonts w:hint="eastAsia"/>
          <w:b/>
          <w:bCs/>
          <w:sz w:val="21"/>
          <w:szCs w:val="21"/>
        </w:rPr>
        <w:t>产品主要指标调研情况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633"/>
        <w:gridCol w:w="1779"/>
        <w:gridCol w:w="1683"/>
        <w:gridCol w:w="1787"/>
        <w:gridCol w:w="1787"/>
        <w:gridCol w:w="1787"/>
      </w:tblGrid>
      <w:tr w14:paraId="49D6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Align w:val="center"/>
          </w:tcPr>
          <w:p w14:paraId="43CC2C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sz w:val="21"/>
                <w:szCs w:val="21"/>
                <w:vertAlign w:val="baseline"/>
                <w:lang w:val="en-US" w:eastAsia="zh-CN"/>
              </w:rPr>
            </w:pPr>
          </w:p>
        </w:tc>
        <w:tc>
          <w:tcPr>
            <w:tcW w:w="1779" w:type="dxa"/>
            <w:vAlign w:val="center"/>
          </w:tcPr>
          <w:p w14:paraId="2B8C41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sz w:val="21"/>
                <w:szCs w:val="21"/>
                <w:vertAlign w:val="baseline"/>
              </w:rPr>
            </w:pPr>
          </w:p>
        </w:tc>
        <w:tc>
          <w:tcPr>
            <w:tcW w:w="3470" w:type="dxa"/>
            <w:gridSpan w:val="2"/>
          </w:tcPr>
          <w:p w14:paraId="74789C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公司A</w:t>
            </w:r>
          </w:p>
        </w:tc>
        <w:tc>
          <w:tcPr>
            <w:tcW w:w="1787" w:type="dxa"/>
          </w:tcPr>
          <w:p w14:paraId="4C00D7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vertAlign w:val="baseline"/>
              </w:rPr>
            </w:pPr>
            <w:r>
              <w:rPr>
                <w:rFonts w:hint="eastAsia"/>
                <w:sz w:val="21"/>
                <w:szCs w:val="21"/>
                <w:vertAlign w:val="baseline"/>
                <w:lang w:val="en-US" w:eastAsia="zh-CN"/>
              </w:rPr>
              <w:t>公司B</w:t>
            </w:r>
          </w:p>
        </w:tc>
        <w:tc>
          <w:tcPr>
            <w:tcW w:w="1787" w:type="dxa"/>
          </w:tcPr>
          <w:p w14:paraId="7DD534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公司C</w:t>
            </w:r>
          </w:p>
        </w:tc>
      </w:tr>
      <w:tr w14:paraId="0A76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Align w:val="center"/>
          </w:tcPr>
          <w:p w14:paraId="1BEE20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类别</w:t>
            </w:r>
          </w:p>
        </w:tc>
        <w:tc>
          <w:tcPr>
            <w:tcW w:w="1779" w:type="dxa"/>
            <w:vAlign w:val="center"/>
          </w:tcPr>
          <w:p w14:paraId="4D6C9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sz w:val="21"/>
                <w:szCs w:val="21"/>
                <w:vertAlign w:val="baseline"/>
              </w:rPr>
            </w:pPr>
            <w:r>
              <w:rPr>
                <w:rFonts w:hint="eastAsia"/>
                <w:sz w:val="21"/>
                <w:szCs w:val="21"/>
                <w:vertAlign w:val="baseline"/>
              </w:rPr>
              <w:t>项目</w:t>
            </w:r>
          </w:p>
        </w:tc>
        <w:tc>
          <w:tcPr>
            <w:tcW w:w="1683" w:type="dxa"/>
          </w:tcPr>
          <w:p w14:paraId="0483B8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r>
              <w:rPr>
                <w:rFonts w:hint="eastAsia"/>
                <w:sz w:val="21"/>
                <w:szCs w:val="21"/>
                <w:vertAlign w:val="baseline"/>
              </w:rPr>
              <w:t>镍钴铝三元素复合氧化物</w:t>
            </w:r>
          </w:p>
        </w:tc>
        <w:tc>
          <w:tcPr>
            <w:tcW w:w="1787" w:type="dxa"/>
          </w:tcPr>
          <w:p w14:paraId="471FA7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r>
              <w:rPr>
                <w:rFonts w:hint="eastAsia"/>
                <w:sz w:val="21"/>
                <w:szCs w:val="21"/>
                <w:vertAlign w:val="baseline"/>
              </w:rPr>
              <w:t>镍钴铝三元素复合氢氧化物</w:t>
            </w:r>
          </w:p>
        </w:tc>
        <w:tc>
          <w:tcPr>
            <w:tcW w:w="1787" w:type="dxa"/>
          </w:tcPr>
          <w:p w14:paraId="25FEA7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vertAlign w:val="baseline"/>
              </w:rPr>
            </w:pPr>
            <w:r>
              <w:rPr>
                <w:rFonts w:hint="eastAsia"/>
                <w:sz w:val="21"/>
                <w:szCs w:val="21"/>
                <w:vertAlign w:val="baseline"/>
              </w:rPr>
              <w:t>镍钴铝三元素复合氢氧化物</w:t>
            </w:r>
          </w:p>
        </w:tc>
        <w:tc>
          <w:tcPr>
            <w:tcW w:w="1787" w:type="dxa"/>
          </w:tcPr>
          <w:p w14:paraId="7A94F8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sz w:val="21"/>
                <w:szCs w:val="21"/>
                <w:vertAlign w:val="baseline"/>
              </w:rPr>
            </w:pPr>
          </w:p>
        </w:tc>
      </w:tr>
      <w:tr w14:paraId="4EC1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4" w:type="dxa"/>
            <w:vMerge w:val="restart"/>
            <w:vAlign w:val="center"/>
          </w:tcPr>
          <w:p w14:paraId="79EE6F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sz w:val="21"/>
                <w:szCs w:val="21"/>
                <w:vertAlign w:val="baseline"/>
                <w:lang w:val="en-US" w:eastAsia="zh-CN"/>
              </w:rPr>
            </w:pPr>
            <w:r>
              <w:rPr>
                <w:rFonts w:hint="eastAsia"/>
                <w:sz w:val="21"/>
                <w:szCs w:val="21"/>
                <w:vertAlign w:val="baseline"/>
                <w:lang w:val="en-US" w:eastAsia="zh-CN"/>
              </w:rPr>
              <w:t>化</w:t>
            </w:r>
          </w:p>
          <w:p w14:paraId="7C0CB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sz w:val="21"/>
                <w:szCs w:val="21"/>
                <w:vertAlign w:val="baseline"/>
                <w:lang w:val="en-US" w:eastAsia="zh-CN"/>
              </w:rPr>
            </w:pPr>
            <w:r>
              <w:rPr>
                <w:rFonts w:hint="eastAsia"/>
                <w:sz w:val="21"/>
                <w:szCs w:val="21"/>
                <w:vertAlign w:val="baseline"/>
                <w:lang w:val="en-US" w:eastAsia="zh-CN"/>
              </w:rPr>
              <w:t>学</w:t>
            </w:r>
          </w:p>
          <w:p w14:paraId="46C9C4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sz w:val="21"/>
                <w:szCs w:val="21"/>
                <w:vertAlign w:val="baseline"/>
                <w:lang w:val="en-US" w:eastAsia="zh-CN"/>
              </w:rPr>
            </w:pPr>
            <w:r>
              <w:rPr>
                <w:rFonts w:hint="eastAsia"/>
                <w:sz w:val="21"/>
                <w:szCs w:val="21"/>
                <w:vertAlign w:val="baseline"/>
                <w:lang w:val="en-US" w:eastAsia="zh-CN"/>
              </w:rPr>
              <w:t>指</w:t>
            </w:r>
          </w:p>
          <w:p w14:paraId="052702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标</w:t>
            </w:r>
          </w:p>
        </w:tc>
        <w:tc>
          <w:tcPr>
            <w:tcW w:w="633" w:type="dxa"/>
            <w:vMerge w:val="restart"/>
            <w:vAlign w:val="center"/>
          </w:tcPr>
          <w:p w14:paraId="26E262FB">
            <w:pPr>
              <w:keepNext w:val="0"/>
              <w:keepLines w:val="0"/>
              <w:widowControl/>
              <w:suppressLineNumbers w:val="0"/>
              <w:bidi w:val="0"/>
              <w:spacing w:before="0" w:beforeAutospacing="0" w:after="0" w:afterAutospacing="0"/>
              <w:ind w:left="0" w:right="0"/>
              <w:jc w:val="center"/>
              <w:rPr>
                <w:rFonts w:hint="default" w:ascii="Times New Roman" w:hAnsi="Times New Roman" w:eastAsia="宋体" w:cs="Times New Roman"/>
                <w:kern w:val="0"/>
                <w:sz w:val="24"/>
                <w:szCs w:val="24"/>
                <w:lang w:val="en-US" w:eastAsia="zh-CN" w:bidi="ar-SA"/>
              </w:rPr>
            </w:pPr>
            <w:r>
              <w:rPr>
                <w:rFonts w:hint="eastAsia" w:cs="Times New Roman"/>
                <w:kern w:val="0"/>
                <w:sz w:val="24"/>
                <w:szCs w:val="24"/>
                <w:lang w:val="en-US" w:eastAsia="zh-CN" w:bidi="ar-SA"/>
              </w:rPr>
              <w:t>主元素含量</w:t>
            </w:r>
          </w:p>
        </w:tc>
        <w:tc>
          <w:tcPr>
            <w:tcW w:w="1779" w:type="dxa"/>
            <w:vAlign w:val="center"/>
          </w:tcPr>
          <w:p w14:paraId="0544A72F">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镍（Ni），wt%</w:t>
            </w:r>
          </w:p>
        </w:tc>
        <w:tc>
          <w:tcPr>
            <w:tcW w:w="1683" w:type="dxa"/>
            <w:vAlign w:val="center"/>
          </w:tcPr>
          <w:p w14:paraId="541823D9">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kern w:val="2"/>
                <w:sz w:val="21"/>
                <w:szCs w:val="21"/>
                <w:lang w:val="en-US" w:eastAsia="zh-CN" w:bidi="ar"/>
              </w:rPr>
              <w:t>60.0～78.0</w:t>
            </w:r>
          </w:p>
        </w:tc>
        <w:tc>
          <w:tcPr>
            <w:tcW w:w="1787" w:type="dxa"/>
            <w:vAlign w:val="center"/>
          </w:tcPr>
          <w:p w14:paraId="670A88F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0"/>
                <w:sz w:val="21"/>
                <w:szCs w:val="21"/>
                <w:lang w:val="en-US" w:eastAsia="zh-CN" w:bidi="ar-SA"/>
              </w:rPr>
            </w:pPr>
            <w:r>
              <w:rPr>
                <w:rFonts w:hint="default" w:ascii="Times New Roman" w:hAnsi="Times New Roman" w:eastAsia="宋体" w:cs="Times New Roman"/>
                <w:spacing w:val="-4"/>
                <w:sz w:val="21"/>
                <w:szCs w:val="21"/>
              </w:rPr>
              <w:t>46.0～57.0</w:t>
            </w:r>
          </w:p>
        </w:tc>
        <w:tc>
          <w:tcPr>
            <w:tcW w:w="1787" w:type="dxa"/>
            <w:vAlign w:val="center"/>
          </w:tcPr>
          <w:p w14:paraId="7CCF0379">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46.0~61.0</w:t>
            </w:r>
          </w:p>
        </w:tc>
        <w:tc>
          <w:tcPr>
            <w:tcW w:w="1787" w:type="dxa"/>
            <w:vAlign w:val="center"/>
          </w:tcPr>
          <w:p w14:paraId="6AF0A602">
            <w:pPr>
              <w:keepNext w:val="0"/>
              <w:keepLines w:val="0"/>
              <w:widowControl/>
              <w:suppressLineNumbers w:val="0"/>
              <w:spacing w:before="0" w:beforeAutospacing="0" w:after="0" w:afterAutospacing="0"/>
              <w:ind w:left="0" w:right="0"/>
              <w:jc w:val="center"/>
              <w:rPr>
                <w:rFonts w:hint="eastAsia" w:ascii="宋体" w:hAnsi="宋体" w:eastAsia="宋体" w:cs="宋体"/>
                <w:spacing w:val="-4"/>
                <w:sz w:val="21"/>
                <w:szCs w:val="21"/>
              </w:rPr>
            </w:pPr>
          </w:p>
        </w:tc>
      </w:tr>
      <w:tr w14:paraId="25D6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4" w:type="dxa"/>
            <w:vMerge w:val="continue"/>
          </w:tcPr>
          <w:p w14:paraId="13CC22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633" w:type="dxa"/>
            <w:vMerge w:val="continue"/>
            <w:vAlign w:val="top"/>
          </w:tcPr>
          <w:p w14:paraId="2EA9FE11">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2908E8C6">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钴（Co），wt%</w:t>
            </w:r>
          </w:p>
        </w:tc>
        <w:tc>
          <w:tcPr>
            <w:tcW w:w="1683" w:type="dxa"/>
            <w:vAlign w:val="center"/>
          </w:tcPr>
          <w:p w14:paraId="62D694D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kern w:val="2"/>
                <w:sz w:val="21"/>
                <w:szCs w:val="21"/>
                <w:lang w:val="en-US" w:eastAsia="zh-CN" w:bidi="ar"/>
              </w:rPr>
              <w:t>0.50～13.0</w:t>
            </w:r>
          </w:p>
        </w:tc>
        <w:tc>
          <w:tcPr>
            <w:tcW w:w="1787" w:type="dxa"/>
            <w:vAlign w:val="center"/>
          </w:tcPr>
          <w:p w14:paraId="2ED614D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0"/>
                <w:sz w:val="21"/>
                <w:szCs w:val="21"/>
                <w:lang w:val="en-US" w:eastAsia="zh-CN" w:bidi="ar-SA"/>
              </w:rPr>
            </w:pPr>
            <w:r>
              <w:rPr>
                <w:rFonts w:hint="default" w:ascii="Times New Roman" w:hAnsi="Times New Roman" w:eastAsia="宋体" w:cs="Times New Roman"/>
                <w:spacing w:val="-4"/>
                <w:sz w:val="21"/>
                <w:szCs w:val="21"/>
              </w:rPr>
              <w:t>6.0～13.0</w:t>
            </w:r>
          </w:p>
        </w:tc>
        <w:tc>
          <w:tcPr>
            <w:tcW w:w="1787" w:type="dxa"/>
            <w:vAlign w:val="center"/>
          </w:tcPr>
          <w:p w14:paraId="6405C610">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3.0～13.0</w:t>
            </w:r>
          </w:p>
        </w:tc>
        <w:tc>
          <w:tcPr>
            <w:tcW w:w="1787" w:type="dxa"/>
            <w:vAlign w:val="center"/>
          </w:tcPr>
          <w:p w14:paraId="13173371">
            <w:pPr>
              <w:keepNext w:val="0"/>
              <w:keepLines w:val="0"/>
              <w:widowControl/>
              <w:suppressLineNumbers w:val="0"/>
              <w:spacing w:before="0" w:beforeAutospacing="0" w:after="0" w:afterAutospacing="0"/>
              <w:ind w:left="0" w:right="0"/>
              <w:jc w:val="center"/>
              <w:rPr>
                <w:rFonts w:hint="eastAsia" w:ascii="宋体" w:hAnsi="宋体" w:eastAsia="宋体" w:cs="宋体"/>
                <w:spacing w:val="-4"/>
                <w:sz w:val="21"/>
                <w:szCs w:val="21"/>
              </w:rPr>
            </w:pPr>
          </w:p>
        </w:tc>
      </w:tr>
      <w:tr w14:paraId="1A47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4" w:type="dxa"/>
            <w:vMerge w:val="continue"/>
          </w:tcPr>
          <w:p w14:paraId="1BD44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633" w:type="dxa"/>
            <w:vMerge w:val="continue"/>
            <w:vAlign w:val="top"/>
          </w:tcPr>
          <w:p w14:paraId="3BC1B4FE">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3AFCEA04">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铝（Al），wt%</w:t>
            </w:r>
          </w:p>
        </w:tc>
        <w:tc>
          <w:tcPr>
            <w:tcW w:w="1683" w:type="dxa"/>
            <w:vAlign w:val="center"/>
          </w:tcPr>
          <w:p w14:paraId="457931D9">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kern w:val="2"/>
                <w:sz w:val="21"/>
                <w:szCs w:val="21"/>
                <w:lang w:val="en-US" w:eastAsia="zh-CN" w:bidi="ar"/>
              </w:rPr>
              <w:t>0.10～2.0</w:t>
            </w:r>
          </w:p>
        </w:tc>
        <w:tc>
          <w:tcPr>
            <w:tcW w:w="1787" w:type="dxa"/>
            <w:vAlign w:val="center"/>
          </w:tcPr>
          <w:p w14:paraId="6462840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0"/>
                <w:sz w:val="21"/>
                <w:szCs w:val="21"/>
                <w:lang w:val="en-US" w:eastAsia="zh-CN" w:bidi="ar-SA"/>
              </w:rPr>
            </w:pPr>
            <w:r>
              <w:rPr>
                <w:rFonts w:hint="default" w:ascii="Times New Roman" w:hAnsi="Times New Roman" w:eastAsia="宋体" w:cs="Times New Roman"/>
                <w:spacing w:val="-4"/>
                <w:sz w:val="21"/>
                <w:szCs w:val="21"/>
              </w:rPr>
              <w:t>0.</w:t>
            </w:r>
            <w:r>
              <w:rPr>
                <w:rFonts w:hint="default" w:ascii="Times New Roman" w:hAnsi="Times New Roman" w:eastAsia="宋体" w:cs="Times New Roman"/>
                <w:spacing w:val="-4"/>
                <w:sz w:val="21"/>
                <w:szCs w:val="21"/>
                <w:lang w:val="en-US" w:eastAsia="zh-CN"/>
              </w:rPr>
              <w:t>1</w:t>
            </w:r>
            <w:r>
              <w:rPr>
                <w:rFonts w:hint="default" w:ascii="Times New Roman" w:hAnsi="Times New Roman" w:eastAsia="宋体" w:cs="Times New Roman"/>
                <w:spacing w:val="-4"/>
                <w:sz w:val="21"/>
                <w:szCs w:val="21"/>
              </w:rPr>
              <w:t>0～1.7</w:t>
            </w:r>
          </w:p>
        </w:tc>
        <w:tc>
          <w:tcPr>
            <w:tcW w:w="1787" w:type="dxa"/>
            <w:vAlign w:val="center"/>
          </w:tcPr>
          <w:p w14:paraId="5F3B9C52">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0.25～1.7</w:t>
            </w:r>
          </w:p>
        </w:tc>
        <w:tc>
          <w:tcPr>
            <w:tcW w:w="1787" w:type="dxa"/>
            <w:vAlign w:val="center"/>
          </w:tcPr>
          <w:p w14:paraId="4022FECE">
            <w:pPr>
              <w:keepNext w:val="0"/>
              <w:keepLines w:val="0"/>
              <w:widowControl/>
              <w:suppressLineNumbers w:val="0"/>
              <w:spacing w:before="0" w:beforeAutospacing="0" w:after="0" w:afterAutospacing="0"/>
              <w:ind w:left="0" w:right="0"/>
              <w:jc w:val="center"/>
              <w:rPr>
                <w:rFonts w:hint="eastAsia" w:ascii="宋体" w:hAnsi="宋体" w:eastAsia="宋体" w:cs="宋体"/>
                <w:spacing w:val="-4"/>
                <w:sz w:val="21"/>
                <w:szCs w:val="21"/>
              </w:rPr>
            </w:pPr>
          </w:p>
        </w:tc>
      </w:tr>
      <w:tr w14:paraId="74DC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Merge w:val="continue"/>
          </w:tcPr>
          <w:p w14:paraId="421E2B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633" w:type="dxa"/>
            <w:vMerge w:val="restart"/>
            <w:vAlign w:val="center"/>
          </w:tcPr>
          <w:p w14:paraId="2B488B5E">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r>
              <w:rPr>
                <w:rFonts w:hint="eastAsia" w:ascii="Times New Roman" w:hAnsi="Times New Roman" w:eastAsia="Times New Roman" w:cs="Times New Roman"/>
                <w:color w:val="000000"/>
                <w:kern w:val="0"/>
                <w:sz w:val="24"/>
                <w:szCs w:val="24"/>
                <w:lang w:val="en-US" w:eastAsia="zh-CN" w:bidi="ar-SA"/>
              </w:rPr>
              <w:t>杂质元素含量</w:t>
            </w:r>
          </w:p>
        </w:tc>
        <w:tc>
          <w:tcPr>
            <w:tcW w:w="1779" w:type="dxa"/>
            <w:vAlign w:val="center"/>
          </w:tcPr>
          <w:p w14:paraId="0549BD63">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铜(Cu)，wt%</w:t>
            </w:r>
          </w:p>
        </w:tc>
        <w:tc>
          <w:tcPr>
            <w:tcW w:w="1683" w:type="dxa"/>
            <w:vAlign w:val="center"/>
          </w:tcPr>
          <w:p w14:paraId="3EE47D53">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kern w:val="2"/>
                <w:sz w:val="21"/>
                <w:szCs w:val="21"/>
                <w:lang w:val="en-US" w:eastAsia="zh-CN" w:bidi="ar"/>
              </w:rPr>
              <w:t>≤0.005</w:t>
            </w:r>
          </w:p>
        </w:tc>
        <w:tc>
          <w:tcPr>
            <w:tcW w:w="1787" w:type="dxa"/>
            <w:vAlign w:val="center"/>
          </w:tcPr>
          <w:p w14:paraId="2B1A09E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spacing w:val="-4"/>
                <w:sz w:val="21"/>
                <w:szCs w:val="21"/>
              </w:rPr>
              <w:t>≤0.005</w:t>
            </w:r>
          </w:p>
        </w:tc>
        <w:tc>
          <w:tcPr>
            <w:tcW w:w="1787" w:type="dxa"/>
            <w:vAlign w:val="center"/>
          </w:tcPr>
          <w:p w14:paraId="1389004C">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≤0.005</w:t>
            </w:r>
          </w:p>
        </w:tc>
        <w:tc>
          <w:tcPr>
            <w:tcW w:w="1787" w:type="dxa"/>
            <w:vAlign w:val="top"/>
          </w:tcPr>
          <w:p w14:paraId="122CFAC6">
            <w:pPr>
              <w:keepNext w:val="0"/>
              <w:keepLines w:val="0"/>
              <w:widowControl/>
              <w:suppressLineNumbers w:val="0"/>
              <w:spacing w:before="0" w:beforeAutospacing="0" w:after="0" w:afterAutospacing="0"/>
              <w:ind w:left="0" w:right="0"/>
              <w:jc w:val="center"/>
              <w:rPr>
                <w:rFonts w:hint="eastAsia" w:ascii="宋体" w:hAnsi="宋体" w:eastAsia="宋体" w:cs="宋体"/>
                <w:spacing w:val="-4"/>
                <w:sz w:val="21"/>
                <w:szCs w:val="21"/>
              </w:rPr>
            </w:pPr>
          </w:p>
        </w:tc>
      </w:tr>
      <w:tr w14:paraId="5FAF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Merge w:val="continue"/>
          </w:tcPr>
          <w:p w14:paraId="3C58B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633" w:type="dxa"/>
            <w:vMerge w:val="continue"/>
            <w:vAlign w:val="top"/>
          </w:tcPr>
          <w:p w14:paraId="6E74656D">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283B7179">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铁（Fe），wt%</w:t>
            </w:r>
          </w:p>
        </w:tc>
        <w:tc>
          <w:tcPr>
            <w:tcW w:w="1683" w:type="dxa"/>
            <w:vAlign w:val="center"/>
          </w:tcPr>
          <w:p w14:paraId="5095AE5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kern w:val="2"/>
                <w:sz w:val="21"/>
                <w:szCs w:val="21"/>
                <w:lang w:val="en-US" w:eastAsia="zh-CN" w:bidi="ar"/>
              </w:rPr>
              <w:t>≤0.005</w:t>
            </w:r>
          </w:p>
        </w:tc>
        <w:tc>
          <w:tcPr>
            <w:tcW w:w="1787" w:type="dxa"/>
            <w:vAlign w:val="center"/>
          </w:tcPr>
          <w:p w14:paraId="1B938F5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≤0.01</w:t>
            </w:r>
          </w:p>
        </w:tc>
        <w:tc>
          <w:tcPr>
            <w:tcW w:w="1787" w:type="dxa"/>
            <w:vAlign w:val="center"/>
          </w:tcPr>
          <w:p w14:paraId="1DCCB38B">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≤0.01</w:t>
            </w:r>
          </w:p>
        </w:tc>
        <w:tc>
          <w:tcPr>
            <w:tcW w:w="1787" w:type="dxa"/>
            <w:vAlign w:val="center"/>
          </w:tcPr>
          <w:p w14:paraId="5A0ACE68">
            <w:pPr>
              <w:keepNext w:val="0"/>
              <w:keepLines w:val="0"/>
              <w:widowControl/>
              <w:suppressLineNumbers w:val="0"/>
              <w:spacing w:before="0" w:beforeAutospacing="0" w:after="0" w:afterAutospacing="0"/>
              <w:ind w:left="0" w:right="0"/>
              <w:jc w:val="center"/>
              <w:rPr>
                <w:rFonts w:hint="eastAsia" w:ascii="宋体" w:hAnsi="宋体" w:eastAsia="宋体" w:cs="宋体"/>
                <w:spacing w:val="-4"/>
                <w:sz w:val="21"/>
                <w:szCs w:val="21"/>
              </w:rPr>
            </w:pPr>
          </w:p>
        </w:tc>
      </w:tr>
      <w:tr w14:paraId="4B7C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Merge w:val="continue"/>
          </w:tcPr>
          <w:p w14:paraId="5EBC1B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633" w:type="dxa"/>
            <w:vMerge w:val="continue"/>
            <w:vAlign w:val="top"/>
          </w:tcPr>
          <w:p w14:paraId="45A830AA">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65E0B235">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锌（Zn），wt%</w:t>
            </w:r>
          </w:p>
        </w:tc>
        <w:tc>
          <w:tcPr>
            <w:tcW w:w="1683" w:type="dxa"/>
            <w:vAlign w:val="center"/>
          </w:tcPr>
          <w:p w14:paraId="197F77E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kern w:val="2"/>
                <w:sz w:val="21"/>
                <w:szCs w:val="21"/>
                <w:lang w:val="en-US" w:eastAsia="zh-CN" w:bidi="ar"/>
              </w:rPr>
              <w:t>≤0.005</w:t>
            </w:r>
          </w:p>
        </w:tc>
        <w:tc>
          <w:tcPr>
            <w:tcW w:w="1787" w:type="dxa"/>
            <w:vAlign w:val="center"/>
          </w:tcPr>
          <w:p w14:paraId="01CB4E2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≤0.01</w:t>
            </w:r>
          </w:p>
        </w:tc>
        <w:tc>
          <w:tcPr>
            <w:tcW w:w="1787" w:type="dxa"/>
            <w:vAlign w:val="center"/>
          </w:tcPr>
          <w:p w14:paraId="07892C34">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≤0.01</w:t>
            </w:r>
          </w:p>
        </w:tc>
        <w:tc>
          <w:tcPr>
            <w:tcW w:w="1787" w:type="dxa"/>
            <w:vAlign w:val="center"/>
          </w:tcPr>
          <w:p w14:paraId="2BEE3EA4">
            <w:pPr>
              <w:keepNext w:val="0"/>
              <w:keepLines w:val="0"/>
              <w:widowControl/>
              <w:suppressLineNumbers w:val="0"/>
              <w:spacing w:before="0" w:beforeAutospacing="0" w:after="0" w:afterAutospacing="0"/>
              <w:ind w:left="0" w:right="0"/>
              <w:jc w:val="center"/>
              <w:rPr>
                <w:rFonts w:hint="eastAsia" w:ascii="宋体" w:hAnsi="宋体" w:eastAsia="宋体" w:cs="宋体"/>
                <w:spacing w:val="-4"/>
                <w:sz w:val="21"/>
                <w:szCs w:val="21"/>
              </w:rPr>
            </w:pPr>
          </w:p>
        </w:tc>
      </w:tr>
      <w:tr w14:paraId="5C48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Merge w:val="continue"/>
          </w:tcPr>
          <w:p w14:paraId="7B83AF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633" w:type="dxa"/>
            <w:vMerge w:val="continue"/>
            <w:vAlign w:val="top"/>
          </w:tcPr>
          <w:p w14:paraId="7D409BA6">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74A65F8B">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钙（Ca），wt%</w:t>
            </w:r>
          </w:p>
        </w:tc>
        <w:tc>
          <w:tcPr>
            <w:tcW w:w="1683" w:type="dxa"/>
            <w:vAlign w:val="center"/>
          </w:tcPr>
          <w:p w14:paraId="3D5E7B49">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kern w:val="2"/>
                <w:sz w:val="21"/>
                <w:szCs w:val="21"/>
                <w:lang w:val="en-US" w:eastAsia="zh-CN" w:bidi="ar"/>
              </w:rPr>
              <w:t>≤0.010</w:t>
            </w:r>
          </w:p>
        </w:tc>
        <w:tc>
          <w:tcPr>
            <w:tcW w:w="1787" w:type="dxa"/>
            <w:vAlign w:val="center"/>
          </w:tcPr>
          <w:p w14:paraId="41B1F5A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≤0.03</w:t>
            </w:r>
          </w:p>
        </w:tc>
        <w:tc>
          <w:tcPr>
            <w:tcW w:w="1787" w:type="dxa"/>
            <w:vAlign w:val="center"/>
          </w:tcPr>
          <w:p w14:paraId="0246EDDF">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≤0.03</w:t>
            </w:r>
          </w:p>
        </w:tc>
        <w:tc>
          <w:tcPr>
            <w:tcW w:w="1787" w:type="dxa"/>
            <w:vAlign w:val="center"/>
          </w:tcPr>
          <w:p w14:paraId="548ED4EC">
            <w:pPr>
              <w:keepNext w:val="0"/>
              <w:keepLines w:val="0"/>
              <w:widowControl/>
              <w:suppressLineNumbers w:val="0"/>
              <w:spacing w:before="0" w:beforeAutospacing="0" w:after="0" w:afterAutospacing="0"/>
              <w:ind w:left="0" w:right="0"/>
              <w:jc w:val="center"/>
              <w:rPr>
                <w:rFonts w:hint="eastAsia" w:ascii="宋体" w:hAnsi="宋体" w:eastAsia="宋体" w:cs="宋体"/>
                <w:spacing w:val="-4"/>
                <w:sz w:val="21"/>
                <w:szCs w:val="21"/>
              </w:rPr>
            </w:pPr>
          </w:p>
        </w:tc>
      </w:tr>
      <w:tr w14:paraId="5DAB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Merge w:val="continue"/>
          </w:tcPr>
          <w:p w14:paraId="53B232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633" w:type="dxa"/>
            <w:vMerge w:val="continue"/>
            <w:vAlign w:val="top"/>
          </w:tcPr>
          <w:p w14:paraId="021A905F">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4E380D00">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镁（Mg），wt%</w:t>
            </w:r>
          </w:p>
        </w:tc>
        <w:tc>
          <w:tcPr>
            <w:tcW w:w="1683" w:type="dxa"/>
            <w:vAlign w:val="center"/>
          </w:tcPr>
          <w:p w14:paraId="78E180D9">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kern w:val="2"/>
                <w:sz w:val="21"/>
                <w:szCs w:val="21"/>
                <w:lang w:val="en-US" w:eastAsia="zh-CN" w:bidi="ar"/>
              </w:rPr>
              <w:t>≤0.005</w:t>
            </w:r>
          </w:p>
        </w:tc>
        <w:tc>
          <w:tcPr>
            <w:tcW w:w="1787" w:type="dxa"/>
            <w:vAlign w:val="center"/>
          </w:tcPr>
          <w:p w14:paraId="238D33A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≤0.03</w:t>
            </w:r>
          </w:p>
        </w:tc>
        <w:tc>
          <w:tcPr>
            <w:tcW w:w="1787" w:type="dxa"/>
            <w:vAlign w:val="center"/>
          </w:tcPr>
          <w:p w14:paraId="4A272E1B">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≤0.03</w:t>
            </w:r>
          </w:p>
        </w:tc>
        <w:tc>
          <w:tcPr>
            <w:tcW w:w="1787" w:type="dxa"/>
            <w:vAlign w:val="top"/>
          </w:tcPr>
          <w:p w14:paraId="6E7128BA">
            <w:pPr>
              <w:keepNext w:val="0"/>
              <w:keepLines w:val="0"/>
              <w:widowControl/>
              <w:suppressLineNumbers w:val="0"/>
              <w:spacing w:before="0" w:beforeAutospacing="0" w:after="0" w:afterAutospacing="0"/>
              <w:ind w:left="0" w:right="0"/>
              <w:jc w:val="center"/>
              <w:rPr>
                <w:rFonts w:hint="eastAsia" w:ascii="宋体" w:hAnsi="宋体" w:eastAsia="宋体" w:cs="宋体"/>
                <w:spacing w:val="-4"/>
                <w:sz w:val="21"/>
                <w:szCs w:val="21"/>
              </w:rPr>
            </w:pPr>
          </w:p>
        </w:tc>
      </w:tr>
      <w:tr w14:paraId="696E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Merge w:val="continue"/>
          </w:tcPr>
          <w:p w14:paraId="5F26DC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633" w:type="dxa"/>
            <w:vMerge w:val="continue"/>
            <w:vAlign w:val="top"/>
          </w:tcPr>
          <w:p w14:paraId="6B8392A6">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0E0F7B19">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钠（Na），wt%</w:t>
            </w:r>
          </w:p>
        </w:tc>
        <w:tc>
          <w:tcPr>
            <w:tcW w:w="1683" w:type="dxa"/>
            <w:vAlign w:val="center"/>
          </w:tcPr>
          <w:p w14:paraId="70EADB5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en-US" w:bidi="ar-SA"/>
              </w:rPr>
            </w:pPr>
            <w:r>
              <w:rPr>
                <w:rFonts w:hint="default" w:ascii="Times New Roman" w:hAnsi="Times New Roman" w:eastAsia="宋体" w:cs="Times New Roman"/>
                <w:spacing w:val="-4"/>
                <w:kern w:val="2"/>
                <w:sz w:val="21"/>
                <w:szCs w:val="21"/>
                <w:lang w:val="en-US" w:eastAsia="zh-CN" w:bidi="ar"/>
              </w:rPr>
              <w:t>≤0.020</w:t>
            </w:r>
          </w:p>
        </w:tc>
        <w:tc>
          <w:tcPr>
            <w:tcW w:w="1787" w:type="dxa"/>
            <w:vAlign w:val="center"/>
          </w:tcPr>
          <w:p w14:paraId="1A2CC8C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en-US" w:bidi="ar-SA"/>
              </w:rPr>
            </w:pPr>
            <w:r>
              <w:rPr>
                <w:rFonts w:hint="default" w:ascii="Times New Roman" w:hAnsi="Times New Roman" w:eastAsia="宋体" w:cs="Times New Roman"/>
                <w:spacing w:val="-4"/>
                <w:sz w:val="21"/>
                <w:szCs w:val="21"/>
              </w:rPr>
              <w:t>≤0.03</w:t>
            </w:r>
          </w:p>
        </w:tc>
        <w:tc>
          <w:tcPr>
            <w:tcW w:w="1787" w:type="dxa"/>
            <w:vAlign w:val="center"/>
          </w:tcPr>
          <w:p w14:paraId="7480456E">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≤0.03</w:t>
            </w:r>
          </w:p>
        </w:tc>
        <w:tc>
          <w:tcPr>
            <w:tcW w:w="1787" w:type="dxa"/>
            <w:vAlign w:val="top"/>
          </w:tcPr>
          <w:p w14:paraId="5129340B">
            <w:pPr>
              <w:keepNext w:val="0"/>
              <w:keepLines w:val="0"/>
              <w:widowControl/>
              <w:suppressLineNumbers w:val="0"/>
              <w:spacing w:before="0" w:beforeAutospacing="0" w:after="0" w:afterAutospacing="0"/>
              <w:ind w:left="0" w:right="0"/>
              <w:jc w:val="center"/>
              <w:rPr>
                <w:rFonts w:hint="eastAsia" w:ascii="宋体" w:hAnsi="宋体" w:eastAsia="宋体" w:cs="宋体"/>
                <w:spacing w:val="-4"/>
                <w:sz w:val="21"/>
                <w:szCs w:val="21"/>
              </w:rPr>
            </w:pPr>
          </w:p>
        </w:tc>
      </w:tr>
      <w:tr w14:paraId="1BB4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Merge w:val="continue"/>
          </w:tcPr>
          <w:p w14:paraId="2CE6C7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633" w:type="dxa"/>
            <w:vMerge w:val="continue"/>
            <w:vAlign w:val="top"/>
          </w:tcPr>
          <w:p w14:paraId="1B987126">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51A36A79">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锰（Mn)，wt%</w:t>
            </w:r>
          </w:p>
        </w:tc>
        <w:tc>
          <w:tcPr>
            <w:tcW w:w="1683" w:type="dxa"/>
            <w:vAlign w:val="center"/>
          </w:tcPr>
          <w:p w14:paraId="4E69FAD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en-US" w:bidi="ar-SA"/>
              </w:rPr>
            </w:pPr>
            <w:r>
              <w:rPr>
                <w:rFonts w:hint="default" w:ascii="Times New Roman" w:hAnsi="Times New Roman" w:eastAsia="宋体" w:cs="Times New Roman"/>
                <w:spacing w:val="-4"/>
                <w:kern w:val="2"/>
                <w:sz w:val="21"/>
                <w:szCs w:val="21"/>
                <w:lang w:val="en-US" w:eastAsia="zh-CN" w:bidi="ar"/>
              </w:rPr>
              <w:t>≤0.001</w:t>
            </w:r>
          </w:p>
        </w:tc>
        <w:tc>
          <w:tcPr>
            <w:tcW w:w="1787" w:type="dxa"/>
            <w:vAlign w:val="center"/>
          </w:tcPr>
          <w:p w14:paraId="108393E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en-US" w:bidi="ar-SA"/>
              </w:rPr>
            </w:pPr>
            <w:r>
              <w:rPr>
                <w:rFonts w:hint="default" w:ascii="Times New Roman" w:hAnsi="Times New Roman" w:eastAsia="宋体" w:cs="Times New Roman"/>
                <w:spacing w:val="-4"/>
                <w:sz w:val="21"/>
                <w:szCs w:val="21"/>
              </w:rPr>
              <w:t>≤0.01</w:t>
            </w:r>
          </w:p>
        </w:tc>
        <w:tc>
          <w:tcPr>
            <w:tcW w:w="1787" w:type="dxa"/>
            <w:vAlign w:val="center"/>
          </w:tcPr>
          <w:p w14:paraId="6C62882D">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≤0.01</w:t>
            </w:r>
          </w:p>
        </w:tc>
        <w:tc>
          <w:tcPr>
            <w:tcW w:w="1787" w:type="dxa"/>
            <w:vAlign w:val="top"/>
          </w:tcPr>
          <w:p w14:paraId="1F1B3620">
            <w:pPr>
              <w:keepNext w:val="0"/>
              <w:keepLines w:val="0"/>
              <w:widowControl/>
              <w:suppressLineNumbers w:val="0"/>
              <w:spacing w:before="0" w:beforeAutospacing="0" w:after="0" w:afterAutospacing="0"/>
              <w:ind w:left="0" w:right="0"/>
              <w:jc w:val="center"/>
              <w:rPr>
                <w:rFonts w:hint="eastAsia" w:ascii="宋体" w:hAnsi="宋体" w:eastAsia="宋体" w:cs="宋体"/>
                <w:spacing w:val="-4"/>
                <w:sz w:val="21"/>
                <w:szCs w:val="21"/>
              </w:rPr>
            </w:pPr>
          </w:p>
        </w:tc>
      </w:tr>
      <w:tr w14:paraId="5CAD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Merge w:val="continue"/>
          </w:tcPr>
          <w:p w14:paraId="563E02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633" w:type="dxa"/>
            <w:vMerge w:val="continue"/>
            <w:vAlign w:val="top"/>
          </w:tcPr>
          <w:p w14:paraId="52221C68">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12CFBC28">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硫酸根（SO</w:t>
            </w:r>
            <w:r>
              <w:rPr>
                <w:rFonts w:hint="default" w:ascii="Times New Roman" w:hAnsi="Times New Roman" w:eastAsia="Times New Roman" w:cs="Times New Roman"/>
                <w:color w:val="000000"/>
                <w:sz w:val="21"/>
                <w:szCs w:val="21"/>
                <w:vertAlign w:val="subscript"/>
              </w:rPr>
              <w:t>4</w:t>
            </w:r>
            <w:r>
              <w:rPr>
                <w:rFonts w:hint="default" w:ascii="Times New Roman" w:hAnsi="Times New Roman" w:eastAsia="Times New Roman" w:cs="Times New Roman"/>
                <w:color w:val="000000"/>
                <w:sz w:val="21"/>
                <w:szCs w:val="21"/>
                <w:vertAlign w:val="superscript"/>
              </w:rPr>
              <w:t>2-</w:t>
            </w:r>
            <w:r>
              <w:rPr>
                <w:rFonts w:hint="default" w:ascii="Times New Roman" w:hAnsi="Times New Roman" w:eastAsia="Times New Roman" w:cs="Times New Roman"/>
                <w:color w:val="000000"/>
                <w:sz w:val="21"/>
                <w:szCs w:val="21"/>
              </w:rPr>
              <w:t>)，wt%</w:t>
            </w:r>
          </w:p>
        </w:tc>
        <w:tc>
          <w:tcPr>
            <w:tcW w:w="1683" w:type="dxa"/>
            <w:vAlign w:val="center"/>
          </w:tcPr>
          <w:p w14:paraId="10D0AD8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kern w:val="2"/>
                <w:sz w:val="21"/>
                <w:szCs w:val="21"/>
                <w:lang w:val="en-US" w:eastAsia="zh-CN" w:bidi="ar"/>
              </w:rPr>
              <w:t>≤0.400</w:t>
            </w:r>
          </w:p>
        </w:tc>
        <w:tc>
          <w:tcPr>
            <w:tcW w:w="1787" w:type="dxa"/>
            <w:vAlign w:val="center"/>
          </w:tcPr>
          <w:p w14:paraId="1342CB3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w:t>
            </w:r>
            <w:r>
              <w:rPr>
                <w:rFonts w:hint="default" w:ascii="Times New Roman" w:hAnsi="Times New Roman" w:eastAsia="宋体" w:cs="Times New Roman"/>
                <w:spacing w:val="-4"/>
                <w:sz w:val="21"/>
                <w:szCs w:val="21"/>
                <w:lang w:val="en-US" w:eastAsia="zh-CN"/>
              </w:rPr>
              <w:t>3</w:t>
            </w:r>
          </w:p>
        </w:tc>
        <w:tc>
          <w:tcPr>
            <w:tcW w:w="1787" w:type="dxa"/>
            <w:vAlign w:val="center"/>
          </w:tcPr>
          <w:p w14:paraId="6EFE7D3B">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≤0.2</w:t>
            </w:r>
          </w:p>
        </w:tc>
        <w:tc>
          <w:tcPr>
            <w:tcW w:w="1787" w:type="dxa"/>
            <w:vAlign w:val="top"/>
          </w:tcPr>
          <w:p w14:paraId="557BA99E">
            <w:pPr>
              <w:keepNext w:val="0"/>
              <w:keepLines w:val="0"/>
              <w:widowControl/>
              <w:suppressLineNumbers w:val="0"/>
              <w:spacing w:before="0" w:beforeAutospacing="0" w:after="0" w:afterAutospacing="0"/>
              <w:ind w:left="0" w:right="0"/>
              <w:jc w:val="center"/>
              <w:rPr>
                <w:rFonts w:hint="eastAsia" w:ascii="宋体" w:hAnsi="宋体" w:eastAsia="宋体" w:cs="宋体"/>
                <w:spacing w:val="-4"/>
                <w:sz w:val="21"/>
                <w:szCs w:val="21"/>
              </w:rPr>
            </w:pPr>
          </w:p>
        </w:tc>
      </w:tr>
      <w:tr w14:paraId="304B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Merge w:val="continue"/>
          </w:tcPr>
          <w:p w14:paraId="59FD23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sz w:val="21"/>
                <w:szCs w:val="21"/>
                <w:vertAlign w:val="baseline"/>
              </w:rPr>
            </w:pPr>
          </w:p>
        </w:tc>
        <w:tc>
          <w:tcPr>
            <w:tcW w:w="633" w:type="dxa"/>
            <w:vMerge w:val="continue"/>
            <w:vAlign w:val="top"/>
          </w:tcPr>
          <w:p w14:paraId="33509380">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3516B067">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氯（Cl-），wt%</w:t>
            </w:r>
          </w:p>
        </w:tc>
        <w:tc>
          <w:tcPr>
            <w:tcW w:w="1683" w:type="dxa"/>
            <w:vAlign w:val="center"/>
          </w:tcPr>
          <w:p w14:paraId="3EA7BB3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spacing w:val="-4"/>
                <w:kern w:val="2"/>
                <w:sz w:val="21"/>
                <w:szCs w:val="21"/>
                <w:lang w:val="en-US" w:eastAsia="en-US" w:bidi="ar-SA"/>
              </w:rPr>
            </w:pPr>
            <w:r>
              <w:rPr>
                <w:rFonts w:hint="default" w:ascii="Times New Roman" w:hAnsi="Times New Roman" w:eastAsia="宋体" w:cs="Times New Roman"/>
                <w:spacing w:val="-4"/>
                <w:kern w:val="2"/>
                <w:sz w:val="21"/>
                <w:szCs w:val="21"/>
                <w:lang w:val="en-US" w:eastAsia="zh-CN" w:bidi="ar"/>
              </w:rPr>
              <w:t>≤0.003</w:t>
            </w:r>
          </w:p>
        </w:tc>
        <w:tc>
          <w:tcPr>
            <w:tcW w:w="1787" w:type="dxa"/>
            <w:vAlign w:val="center"/>
          </w:tcPr>
          <w:p w14:paraId="4AB52A6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en-US" w:bidi="ar-SA"/>
              </w:rPr>
            </w:pPr>
            <w:r>
              <w:rPr>
                <w:rFonts w:hint="default" w:ascii="Times New Roman" w:hAnsi="Times New Roman" w:eastAsia="宋体" w:cs="Times New Roman"/>
                <w:spacing w:val="-4"/>
                <w:sz w:val="21"/>
                <w:szCs w:val="21"/>
              </w:rPr>
              <w:t>≤0.02</w:t>
            </w:r>
          </w:p>
        </w:tc>
        <w:tc>
          <w:tcPr>
            <w:tcW w:w="1787" w:type="dxa"/>
            <w:vAlign w:val="center"/>
          </w:tcPr>
          <w:p w14:paraId="3DEEC35B">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≤0.02</w:t>
            </w:r>
          </w:p>
        </w:tc>
        <w:tc>
          <w:tcPr>
            <w:tcW w:w="1787" w:type="dxa"/>
            <w:vAlign w:val="top"/>
          </w:tcPr>
          <w:p w14:paraId="063396F3">
            <w:pPr>
              <w:keepNext w:val="0"/>
              <w:keepLines w:val="0"/>
              <w:widowControl/>
              <w:suppressLineNumbers w:val="0"/>
              <w:spacing w:before="0" w:beforeAutospacing="0" w:after="0" w:afterAutospacing="0"/>
              <w:ind w:left="0" w:right="0"/>
              <w:jc w:val="center"/>
              <w:rPr>
                <w:rFonts w:hint="eastAsia" w:ascii="宋体" w:hAnsi="宋体" w:eastAsia="宋体" w:cs="宋体"/>
                <w:spacing w:val="-4"/>
                <w:sz w:val="21"/>
                <w:szCs w:val="21"/>
              </w:rPr>
            </w:pPr>
          </w:p>
        </w:tc>
      </w:tr>
      <w:tr w14:paraId="6861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Merge w:val="restart"/>
            <w:vAlign w:val="center"/>
          </w:tcPr>
          <w:p w14:paraId="7BE1B487">
            <w:pPr>
              <w:keepNext w:val="0"/>
              <w:keepLines w:val="0"/>
              <w:widowControl/>
              <w:suppressLineNumbers w:val="0"/>
              <w:spacing w:before="0" w:beforeLines="0" w:beforeAutospacing="0" w:after="0" w:afterLines="0" w:afterAutospacing="0"/>
              <w:ind w:left="0" w:right="0"/>
              <w:jc w:val="center"/>
              <w:rPr>
                <w:rFonts w:hint="eastAsia" w:ascii="宋体" w:hAnsi="宋体" w:eastAsia="宋体" w:cs="Times New Roman"/>
                <w:color w:val="000000"/>
                <w:kern w:val="0"/>
                <w:sz w:val="24"/>
                <w:szCs w:val="24"/>
                <w:lang w:val="en-US" w:eastAsia="zh-CN" w:bidi="ar-SA"/>
              </w:rPr>
            </w:pPr>
          </w:p>
          <w:p w14:paraId="0B980040">
            <w:pPr>
              <w:keepNext w:val="0"/>
              <w:keepLines w:val="0"/>
              <w:widowControl/>
              <w:suppressLineNumbers w:val="0"/>
              <w:bidi w:val="0"/>
              <w:spacing w:before="0" w:beforeAutospacing="0" w:after="0" w:afterAutospacing="0"/>
              <w:ind w:left="0" w:right="0"/>
              <w:jc w:val="center"/>
              <w:rPr>
                <w:rFonts w:hint="eastAsia" w:ascii="Times New Roman" w:hAnsi="Times New Roman" w:eastAsia="宋体" w:cs="Times New Roman"/>
                <w:kern w:val="0"/>
                <w:sz w:val="24"/>
                <w:szCs w:val="24"/>
                <w:lang w:val="en-US" w:eastAsia="zh-CN" w:bidi="ar-SA"/>
              </w:rPr>
            </w:pPr>
          </w:p>
          <w:p w14:paraId="5BBF0721">
            <w:pPr>
              <w:keepNext w:val="0"/>
              <w:keepLines w:val="0"/>
              <w:widowControl/>
              <w:suppressLineNumbers w:val="0"/>
              <w:bidi w:val="0"/>
              <w:spacing w:before="0" w:beforeAutospacing="0" w:after="0" w:afterAutospacing="0"/>
              <w:ind w:left="0" w:right="0"/>
              <w:jc w:val="center"/>
              <w:rPr>
                <w:rFonts w:hint="eastAsia"/>
                <w:lang w:val="en-US" w:eastAsia="zh-CN"/>
              </w:rPr>
            </w:pPr>
          </w:p>
          <w:p w14:paraId="441E18A4">
            <w:pPr>
              <w:keepNext w:val="0"/>
              <w:keepLines w:val="0"/>
              <w:widowControl/>
              <w:suppressLineNumbers w:val="0"/>
              <w:bidi w:val="0"/>
              <w:spacing w:before="0" w:beforeAutospacing="0" w:after="0" w:afterAutospacing="0"/>
              <w:ind w:left="0" w:right="0"/>
              <w:jc w:val="center"/>
              <w:rPr>
                <w:rFonts w:hint="default"/>
                <w:lang w:val="en-US" w:eastAsia="zh-CN"/>
              </w:rPr>
            </w:pPr>
            <w:r>
              <w:rPr>
                <w:rFonts w:hint="eastAsia"/>
                <w:lang w:val="en-US" w:eastAsia="zh-CN"/>
              </w:rPr>
              <w:t>物理指标</w:t>
            </w:r>
          </w:p>
        </w:tc>
        <w:tc>
          <w:tcPr>
            <w:tcW w:w="1779" w:type="dxa"/>
            <w:vAlign w:val="center"/>
          </w:tcPr>
          <w:p w14:paraId="03BDDD30">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sz w:val="21"/>
                <w:szCs w:val="21"/>
              </w:rPr>
              <w:t>水分含量，wt%</w:t>
            </w:r>
          </w:p>
        </w:tc>
        <w:tc>
          <w:tcPr>
            <w:tcW w:w="1683" w:type="dxa"/>
            <w:vAlign w:val="center"/>
          </w:tcPr>
          <w:p w14:paraId="351A323F">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r>
              <w:rPr>
                <w:rFonts w:hint="eastAsia" w:ascii="Times New Roman" w:hAnsi="Times New Roman" w:eastAsia="Times New Roman"/>
                <w:color w:val="000000"/>
                <w:sz w:val="24"/>
                <w:szCs w:val="24"/>
              </w:rPr>
              <w:t>≤0.6</w:t>
            </w:r>
          </w:p>
        </w:tc>
        <w:tc>
          <w:tcPr>
            <w:tcW w:w="1787" w:type="dxa"/>
            <w:vAlign w:val="center"/>
          </w:tcPr>
          <w:p w14:paraId="02B63237">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r>
              <w:rPr>
                <w:rFonts w:hint="eastAsia" w:ascii="Times New Roman" w:hAnsi="Times New Roman" w:eastAsia="Times New Roman"/>
                <w:color w:val="000000"/>
                <w:sz w:val="24"/>
                <w:szCs w:val="24"/>
              </w:rPr>
              <w:t>≤1.0</w:t>
            </w:r>
          </w:p>
        </w:tc>
        <w:tc>
          <w:tcPr>
            <w:tcW w:w="1787" w:type="dxa"/>
            <w:vAlign w:val="center"/>
          </w:tcPr>
          <w:p w14:paraId="592D393B">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≤1.0</w:t>
            </w:r>
          </w:p>
        </w:tc>
        <w:tc>
          <w:tcPr>
            <w:tcW w:w="1787" w:type="dxa"/>
            <w:vAlign w:val="top"/>
          </w:tcPr>
          <w:p w14:paraId="2AC91C0D">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r>
      <w:tr w14:paraId="30AF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Merge w:val="continue"/>
          </w:tcPr>
          <w:p w14:paraId="100D8821">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614B3200">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松装密度g/cm³</w:t>
            </w:r>
          </w:p>
        </w:tc>
        <w:tc>
          <w:tcPr>
            <w:tcW w:w="1683" w:type="dxa"/>
            <w:vAlign w:val="center"/>
          </w:tcPr>
          <w:p w14:paraId="7144AFA0">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r>
              <w:rPr>
                <w:rFonts w:hint="eastAsia" w:ascii="Times New Roman" w:hAnsi="Times New Roman" w:eastAsia="Times New Roman"/>
                <w:color w:val="000000"/>
                <w:sz w:val="24"/>
                <w:szCs w:val="24"/>
              </w:rPr>
              <w:t>≥0.7</w:t>
            </w:r>
          </w:p>
        </w:tc>
        <w:tc>
          <w:tcPr>
            <w:tcW w:w="1787" w:type="dxa"/>
            <w:vAlign w:val="center"/>
          </w:tcPr>
          <w:p w14:paraId="559CDB19">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r>
              <w:rPr>
                <w:rFonts w:hint="eastAsia" w:ascii="Times New Roman" w:hAnsi="Times New Roman" w:eastAsia="Times New Roman"/>
                <w:color w:val="000000"/>
                <w:sz w:val="24"/>
                <w:szCs w:val="24"/>
              </w:rPr>
              <w:t>≥1.0</w:t>
            </w:r>
          </w:p>
        </w:tc>
        <w:tc>
          <w:tcPr>
            <w:tcW w:w="1787" w:type="dxa"/>
            <w:vAlign w:val="center"/>
          </w:tcPr>
          <w:p w14:paraId="74E20C10">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≥1.0</w:t>
            </w:r>
          </w:p>
        </w:tc>
        <w:tc>
          <w:tcPr>
            <w:tcW w:w="1787" w:type="dxa"/>
            <w:vAlign w:val="top"/>
          </w:tcPr>
          <w:p w14:paraId="2A253568">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r>
      <w:tr w14:paraId="1109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Merge w:val="continue"/>
          </w:tcPr>
          <w:p w14:paraId="2127796E">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0D496058">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振实密度g/cm³</w:t>
            </w:r>
          </w:p>
        </w:tc>
        <w:tc>
          <w:tcPr>
            <w:tcW w:w="1683" w:type="dxa"/>
            <w:vAlign w:val="center"/>
          </w:tcPr>
          <w:p w14:paraId="54C339F7">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r>
              <w:rPr>
                <w:rFonts w:hint="eastAsia" w:ascii="Times New Roman" w:hAnsi="Times New Roman" w:eastAsia="Times New Roman"/>
                <w:color w:val="000000"/>
                <w:sz w:val="24"/>
                <w:szCs w:val="24"/>
              </w:rPr>
              <w:t>≥1.0</w:t>
            </w:r>
          </w:p>
        </w:tc>
        <w:tc>
          <w:tcPr>
            <w:tcW w:w="1787" w:type="dxa"/>
            <w:vAlign w:val="center"/>
          </w:tcPr>
          <w:p w14:paraId="6D0F8615">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r>
              <w:rPr>
                <w:rFonts w:hint="eastAsia" w:ascii="Times New Roman" w:hAnsi="Times New Roman" w:eastAsia="Times New Roman"/>
                <w:color w:val="000000"/>
                <w:sz w:val="24"/>
                <w:szCs w:val="24"/>
              </w:rPr>
              <w:t>≥1.5</w:t>
            </w:r>
          </w:p>
        </w:tc>
        <w:tc>
          <w:tcPr>
            <w:tcW w:w="1787" w:type="dxa"/>
            <w:vAlign w:val="center"/>
          </w:tcPr>
          <w:p w14:paraId="4D94559D">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≥1.5</w:t>
            </w:r>
          </w:p>
        </w:tc>
        <w:tc>
          <w:tcPr>
            <w:tcW w:w="1787" w:type="dxa"/>
            <w:vAlign w:val="top"/>
          </w:tcPr>
          <w:p w14:paraId="3A4004A4">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r>
      <w:tr w14:paraId="545F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Merge w:val="continue"/>
          </w:tcPr>
          <w:p w14:paraId="79CBFF23">
            <w:pPr>
              <w:keepNext w:val="0"/>
              <w:keepLines w:val="0"/>
              <w:widowControl/>
              <w:suppressLineNumbers w:val="0"/>
              <w:spacing w:before="0" w:beforeLines="0" w:beforeAutospacing="0" w:after="0" w:afterLines="0" w:afterAutospacing="0"/>
              <w:ind w:left="0" w:right="0"/>
              <w:jc w:val="center"/>
              <w:rPr>
                <w:rFonts w:hint="eastAsia" w:ascii="ËÎÌå" w:hAnsi="ËÎÌå" w:eastAsia="ËÎÌå" w:cs="Times New Roman"/>
                <w:color w:val="000000"/>
                <w:kern w:val="0"/>
                <w:sz w:val="24"/>
                <w:szCs w:val="24"/>
                <w:lang w:val="en-US" w:eastAsia="zh-CN" w:bidi="ar-SA"/>
              </w:rPr>
            </w:pPr>
          </w:p>
        </w:tc>
        <w:tc>
          <w:tcPr>
            <w:tcW w:w="1779" w:type="dxa"/>
            <w:vAlign w:val="center"/>
          </w:tcPr>
          <w:p w14:paraId="1C4716DE">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ËÎÌå" w:cs="Times New Roman"/>
                <w:color w:val="000000"/>
                <w:kern w:val="0"/>
                <w:sz w:val="21"/>
                <w:szCs w:val="21"/>
                <w:lang w:val="en-US" w:eastAsia="zh-CN" w:bidi="ar-SA"/>
              </w:rPr>
            </w:pPr>
            <w:r>
              <w:rPr>
                <w:rFonts w:hint="default" w:ascii="Times New Roman" w:hAnsi="Times New Roman" w:eastAsia="ËÎÌå" w:cs="Times New Roman"/>
                <w:color w:val="000000"/>
                <w:sz w:val="21"/>
                <w:szCs w:val="21"/>
              </w:rPr>
              <w:t>磁性异物/wt%</w:t>
            </w:r>
          </w:p>
        </w:tc>
        <w:tc>
          <w:tcPr>
            <w:tcW w:w="1683" w:type="dxa"/>
            <w:vAlign w:val="center"/>
          </w:tcPr>
          <w:p w14:paraId="7708B525">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r>
              <w:rPr>
                <w:rFonts w:hint="eastAsia" w:ascii="Times New Roman" w:hAnsi="Times New Roman" w:eastAsia="Times New Roman"/>
                <w:color w:val="000000"/>
                <w:sz w:val="24"/>
                <w:szCs w:val="24"/>
              </w:rPr>
              <w:t>≤0.00001</w:t>
            </w:r>
          </w:p>
        </w:tc>
        <w:tc>
          <w:tcPr>
            <w:tcW w:w="1787" w:type="dxa"/>
            <w:vAlign w:val="center"/>
          </w:tcPr>
          <w:p w14:paraId="39755083">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r>
              <w:rPr>
                <w:rFonts w:hint="eastAsia" w:ascii="Times New Roman" w:hAnsi="Times New Roman" w:eastAsia="Times New Roman"/>
                <w:color w:val="000000"/>
                <w:sz w:val="24"/>
                <w:szCs w:val="24"/>
              </w:rPr>
              <w:t>≤0.00003</w:t>
            </w:r>
          </w:p>
        </w:tc>
        <w:tc>
          <w:tcPr>
            <w:tcW w:w="1787" w:type="dxa"/>
            <w:vAlign w:val="center"/>
          </w:tcPr>
          <w:p w14:paraId="2DA47AA0">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≤0.00003</w:t>
            </w:r>
          </w:p>
        </w:tc>
        <w:tc>
          <w:tcPr>
            <w:tcW w:w="1787" w:type="dxa"/>
            <w:vAlign w:val="top"/>
          </w:tcPr>
          <w:p w14:paraId="70B00FD6">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r>
      <w:tr w14:paraId="2099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Merge w:val="continue"/>
          </w:tcPr>
          <w:p w14:paraId="4B8DCFE8">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28F08C0E">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比表面积，m2/g</w:t>
            </w:r>
          </w:p>
        </w:tc>
        <w:tc>
          <w:tcPr>
            <w:tcW w:w="1683" w:type="dxa"/>
            <w:vAlign w:val="center"/>
          </w:tcPr>
          <w:p w14:paraId="49D8003E">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Times New Roman"/>
                <w:color w:val="000000"/>
                <w:sz w:val="24"/>
                <w:szCs w:val="24"/>
              </w:rPr>
              <w:t>≤</w:t>
            </w:r>
            <w:r>
              <w:rPr>
                <w:rFonts w:hint="eastAsia" w:eastAsia="宋体"/>
                <w:color w:val="000000"/>
                <w:sz w:val="24"/>
                <w:szCs w:val="24"/>
                <w:lang w:val="en-US" w:eastAsia="zh-CN"/>
              </w:rPr>
              <w:t>75</w:t>
            </w:r>
          </w:p>
        </w:tc>
        <w:tc>
          <w:tcPr>
            <w:tcW w:w="1787" w:type="dxa"/>
            <w:vAlign w:val="center"/>
          </w:tcPr>
          <w:p w14:paraId="53AB913D">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r>
              <w:rPr>
                <w:rFonts w:hint="eastAsia" w:ascii="Times New Roman" w:hAnsi="Times New Roman" w:eastAsia="Times New Roman"/>
                <w:color w:val="000000"/>
                <w:sz w:val="24"/>
                <w:szCs w:val="24"/>
              </w:rPr>
              <w:t>≤35</w:t>
            </w:r>
          </w:p>
        </w:tc>
        <w:tc>
          <w:tcPr>
            <w:tcW w:w="1787" w:type="dxa"/>
            <w:vAlign w:val="center"/>
          </w:tcPr>
          <w:p w14:paraId="29B27856">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≤35</w:t>
            </w:r>
          </w:p>
        </w:tc>
        <w:tc>
          <w:tcPr>
            <w:tcW w:w="1787" w:type="dxa"/>
            <w:vAlign w:val="top"/>
          </w:tcPr>
          <w:p w14:paraId="4713130C">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r>
      <w:tr w14:paraId="2C98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Merge w:val="continue"/>
          </w:tcPr>
          <w:p w14:paraId="513F6E9E">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22022B20">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粒度D10，μm</w:t>
            </w:r>
          </w:p>
        </w:tc>
        <w:tc>
          <w:tcPr>
            <w:tcW w:w="1683" w:type="dxa"/>
            <w:vAlign w:val="center"/>
          </w:tcPr>
          <w:p w14:paraId="7676CFA5">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r>
              <w:rPr>
                <w:rFonts w:hint="eastAsia" w:ascii="Times New Roman" w:hAnsi="Times New Roman" w:eastAsia="Times New Roman"/>
                <w:color w:val="000000"/>
                <w:sz w:val="24"/>
                <w:szCs w:val="24"/>
              </w:rPr>
              <w:t>≥0.5</w:t>
            </w:r>
          </w:p>
        </w:tc>
        <w:tc>
          <w:tcPr>
            <w:tcW w:w="1787" w:type="dxa"/>
            <w:vAlign w:val="center"/>
          </w:tcPr>
          <w:p w14:paraId="5D6C5F69">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r>
              <w:rPr>
                <w:rFonts w:hint="eastAsia" w:ascii="Times New Roman" w:hAnsi="Times New Roman" w:eastAsia="Times New Roman"/>
                <w:color w:val="000000"/>
                <w:sz w:val="24"/>
                <w:szCs w:val="24"/>
              </w:rPr>
              <w:t>≥3.0</w:t>
            </w:r>
          </w:p>
        </w:tc>
        <w:tc>
          <w:tcPr>
            <w:tcW w:w="1787" w:type="dxa"/>
            <w:vAlign w:val="center"/>
          </w:tcPr>
          <w:p w14:paraId="78D2BD4D">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≥0.5</w:t>
            </w:r>
          </w:p>
        </w:tc>
        <w:tc>
          <w:tcPr>
            <w:tcW w:w="1787" w:type="dxa"/>
            <w:vAlign w:val="top"/>
          </w:tcPr>
          <w:p w14:paraId="71A866EF">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olor w:val="000000"/>
                <w:sz w:val="24"/>
                <w:szCs w:val="24"/>
              </w:rPr>
            </w:pPr>
          </w:p>
        </w:tc>
      </w:tr>
      <w:tr w14:paraId="1270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Merge w:val="continue"/>
          </w:tcPr>
          <w:p w14:paraId="655F940C">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463553EA">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粒度D50，μm</w:t>
            </w:r>
          </w:p>
        </w:tc>
        <w:tc>
          <w:tcPr>
            <w:tcW w:w="1683" w:type="dxa"/>
            <w:vAlign w:val="center"/>
          </w:tcPr>
          <w:p w14:paraId="6C599C89">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r>
              <w:rPr>
                <w:rFonts w:hint="eastAsia" w:ascii="Times New Roman" w:hAnsi="Times New Roman" w:eastAsia="Times New Roman"/>
                <w:color w:val="000000"/>
                <w:sz w:val="24"/>
                <w:szCs w:val="24"/>
              </w:rPr>
              <w:t>2.0～22.0</w:t>
            </w:r>
          </w:p>
        </w:tc>
        <w:tc>
          <w:tcPr>
            <w:tcW w:w="1787" w:type="dxa"/>
            <w:vAlign w:val="center"/>
          </w:tcPr>
          <w:p w14:paraId="7CF3C9F3">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r>
              <w:rPr>
                <w:rFonts w:hint="eastAsia" w:ascii="Times New Roman" w:hAnsi="Times New Roman" w:eastAsia="Times New Roman"/>
                <w:color w:val="000000"/>
                <w:sz w:val="24"/>
                <w:szCs w:val="24"/>
              </w:rPr>
              <w:t>6.0 ～15.0</w:t>
            </w:r>
          </w:p>
        </w:tc>
        <w:tc>
          <w:tcPr>
            <w:tcW w:w="1787" w:type="dxa"/>
            <w:vAlign w:val="center"/>
          </w:tcPr>
          <w:p w14:paraId="739D5393">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2.0 ～15.0</w:t>
            </w:r>
          </w:p>
        </w:tc>
        <w:tc>
          <w:tcPr>
            <w:tcW w:w="1787" w:type="dxa"/>
            <w:vAlign w:val="top"/>
          </w:tcPr>
          <w:p w14:paraId="1586FF8D">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olor w:val="000000"/>
                <w:sz w:val="24"/>
                <w:szCs w:val="24"/>
              </w:rPr>
            </w:pPr>
          </w:p>
        </w:tc>
      </w:tr>
      <w:tr w14:paraId="3D75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Merge w:val="continue"/>
          </w:tcPr>
          <w:p w14:paraId="7D966E55">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6C3B4183">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粒度D90，μm</w:t>
            </w:r>
          </w:p>
        </w:tc>
        <w:tc>
          <w:tcPr>
            <w:tcW w:w="1683" w:type="dxa"/>
            <w:vAlign w:val="center"/>
          </w:tcPr>
          <w:p w14:paraId="34369FCD">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r>
              <w:rPr>
                <w:rFonts w:hint="eastAsia" w:ascii="Times New Roman" w:hAnsi="Times New Roman" w:eastAsia="Times New Roman"/>
                <w:color w:val="000000"/>
                <w:sz w:val="24"/>
                <w:szCs w:val="24"/>
              </w:rPr>
              <w:t>≤48</w:t>
            </w:r>
          </w:p>
        </w:tc>
        <w:tc>
          <w:tcPr>
            <w:tcW w:w="1787" w:type="dxa"/>
            <w:vAlign w:val="center"/>
          </w:tcPr>
          <w:p w14:paraId="4DB37596">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r>
              <w:rPr>
                <w:rFonts w:hint="eastAsia" w:ascii="Times New Roman" w:hAnsi="Times New Roman" w:eastAsia="Times New Roman"/>
                <w:color w:val="000000"/>
                <w:sz w:val="24"/>
                <w:szCs w:val="24"/>
              </w:rPr>
              <w:t>≤30</w:t>
            </w:r>
          </w:p>
        </w:tc>
        <w:tc>
          <w:tcPr>
            <w:tcW w:w="1787" w:type="dxa"/>
            <w:vAlign w:val="center"/>
          </w:tcPr>
          <w:p w14:paraId="526619F9">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1"/>
                <w:szCs w:val="21"/>
                <w:lang w:val="en-US" w:eastAsia="zh-CN" w:bidi="ar-SA"/>
              </w:rPr>
            </w:pPr>
            <w:r>
              <w:rPr>
                <w:rFonts w:hint="eastAsia" w:ascii="Times New Roman" w:hAnsi="Times New Roman" w:eastAsia="Times New Roman"/>
                <w:color w:val="000000"/>
                <w:sz w:val="21"/>
                <w:szCs w:val="21"/>
              </w:rPr>
              <w:t>≤30</w:t>
            </w:r>
          </w:p>
        </w:tc>
        <w:tc>
          <w:tcPr>
            <w:tcW w:w="1787" w:type="dxa"/>
            <w:vAlign w:val="top"/>
          </w:tcPr>
          <w:p w14:paraId="3F55FE18">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olor w:val="000000"/>
                <w:sz w:val="24"/>
                <w:szCs w:val="24"/>
              </w:rPr>
            </w:pPr>
          </w:p>
        </w:tc>
      </w:tr>
      <w:tr w14:paraId="6B0E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Merge w:val="continue"/>
          </w:tcPr>
          <w:p w14:paraId="0FE1ED15">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7769F5FE">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微观形貌</w:t>
            </w:r>
          </w:p>
        </w:tc>
        <w:tc>
          <w:tcPr>
            <w:tcW w:w="1683" w:type="dxa"/>
            <w:vAlign w:val="top"/>
          </w:tcPr>
          <w:p w14:paraId="6DAED69A">
            <w:pPr>
              <w:keepNext w:val="0"/>
              <w:keepLines w:val="0"/>
              <w:widowControl/>
              <w:suppressLineNumbers w:val="0"/>
              <w:spacing w:before="0" w:beforeLines="0" w:beforeAutospacing="0" w:after="0" w:afterLines="0" w:afterAutospacing="0"/>
              <w:ind w:left="0" w:right="0"/>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sz w:val="24"/>
                <w:szCs w:val="24"/>
              </w:rPr>
              <w:t>球形或类球形</w:t>
            </w:r>
          </w:p>
        </w:tc>
        <w:tc>
          <w:tcPr>
            <w:tcW w:w="1787" w:type="dxa"/>
            <w:vAlign w:val="top"/>
          </w:tcPr>
          <w:p w14:paraId="43774CD7">
            <w:pPr>
              <w:keepNext w:val="0"/>
              <w:keepLines w:val="0"/>
              <w:widowControl/>
              <w:suppressLineNumbers w:val="0"/>
              <w:spacing w:before="0" w:beforeLines="0" w:beforeAutospacing="0" w:after="0" w:afterLines="0" w:afterAutospacing="0"/>
              <w:ind w:left="0" w:right="0"/>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sz w:val="24"/>
                <w:szCs w:val="24"/>
              </w:rPr>
              <w:t>球形或类球形</w:t>
            </w:r>
          </w:p>
        </w:tc>
        <w:tc>
          <w:tcPr>
            <w:tcW w:w="1787" w:type="dxa"/>
            <w:vAlign w:val="top"/>
          </w:tcPr>
          <w:p w14:paraId="069D7A25">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4"/>
                <w:szCs w:val="24"/>
              </w:rPr>
            </w:pPr>
          </w:p>
        </w:tc>
        <w:tc>
          <w:tcPr>
            <w:tcW w:w="1787" w:type="dxa"/>
            <w:vAlign w:val="top"/>
          </w:tcPr>
          <w:p w14:paraId="68B92B80">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4"/>
                <w:szCs w:val="24"/>
              </w:rPr>
            </w:pPr>
          </w:p>
        </w:tc>
      </w:tr>
      <w:tr w14:paraId="632B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Merge w:val="continue"/>
          </w:tcPr>
          <w:p w14:paraId="0A3D9371">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0"/>
                <w:sz w:val="24"/>
                <w:szCs w:val="24"/>
                <w:lang w:val="en-US" w:eastAsia="zh-CN" w:bidi="ar-SA"/>
              </w:rPr>
            </w:pPr>
          </w:p>
        </w:tc>
        <w:tc>
          <w:tcPr>
            <w:tcW w:w="1779" w:type="dxa"/>
            <w:vAlign w:val="center"/>
          </w:tcPr>
          <w:p w14:paraId="6D169B0C">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000000"/>
                <w:kern w:val="0"/>
                <w:sz w:val="21"/>
                <w:szCs w:val="21"/>
                <w:lang w:val="en-US" w:eastAsia="zh-CN" w:bidi="ar-SA"/>
              </w:rPr>
            </w:pPr>
            <w:r>
              <w:rPr>
                <w:rFonts w:hint="default" w:ascii="Times New Roman" w:hAnsi="Times New Roman" w:eastAsia="Times New Roman" w:cs="Times New Roman"/>
                <w:color w:val="000000"/>
                <w:sz w:val="21"/>
                <w:szCs w:val="21"/>
              </w:rPr>
              <w:t>外观颜色</w:t>
            </w:r>
          </w:p>
        </w:tc>
        <w:tc>
          <w:tcPr>
            <w:tcW w:w="1683" w:type="dxa"/>
            <w:vAlign w:val="top"/>
          </w:tcPr>
          <w:p w14:paraId="2FB1FEEA">
            <w:pPr>
              <w:keepNext w:val="0"/>
              <w:keepLines w:val="0"/>
              <w:widowControl/>
              <w:suppressLineNumbers w:val="0"/>
              <w:spacing w:before="0" w:beforeLines="0" w:beforeAutospacing="0" w:after="0" w:afterLines="0" w:afterAutospacing="0"/>
              <w:ind w:left="0" w:right="0"/>
              <w:jc w:val="center"/>
              <w:rPr>
                <w:rFonts w:hint="eastAsia" w:ascii="ËÎÌå" w:hAnsi="ËÎÌå" w:eastAsia="ËÎÌå" w:cs="Times New Roman"/>
                <w:color w:val="000000"/>
                <w:kern w:val="0"/>
                <w:sz w:val="24"/>
                <w:szCs w:val="24"/>
                <w:lang w:val="en-US" w:eastAsia="zh-CN" w:bidi="ar-SA"/>
              </w:rPr>
            </w:pPr>
            <w:r>
              <w:rPr>
                <w:rFonts w:hint="default" w:ascii="ËÎÌå" w:hAnsi="ËÎÌå" w:eastAsia="ËÎÌå"/>
                <w:color w:val="000000"/>
                <w:sz w:val="24"/>
                <w:szCs w:val="24"/>
              </w:rPr>
              <w:t>外观应颜色均一 , 无结块、无夹杂物</w:t>
            </w:r>
          </w:p>
        </w:tc>
        <w:tc>
          <w:tcPr>
            <w:tcW w:w="1787" w:type="dxa"/>
            <w:vAlign w:val="top"/>
          </w:tcPr>
          <w:p w14:paraId="679EA2C3">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4"/>
                <w:szCs w:val="24"/>
              </w:rPr>
            </w:pPr>
            <w:r>
              <w:rPr>
                <w:rFonts w:hint="default" w:ascii="ËÎÌå" w:hAnsi="ËÎÌå" w:eastAsia="ËÎÌå"/>
                <w:color w:val="000000"/>
                <w:sz w:val="24"/>
                <w:szCs w:val="24"/>
              </w:rPr>
              <w:t>外观应颜色均一 , 无结块、无夹杂物</w:t>
            </w:r>
          </w:p>
        </w:tc>
        <w:tc>
          <w:tcPr>
            <w:tcW w:w="1787" w:type="dxa"/>
            <w:vAlign w:val="top"/>
          </w:tcPr>
          <w:p w14:paraId="6B235019">
            <w:pPr>
              <w:keepNext w:val="0"/>
              <w:keepLines w:val="0"/>
              <w:widowControl/>
              <w:suppressLineNumbers w:val="0"/>
              <w:spacing w:before="0" w:beforeLines="0" w:beforeAutospacing="0" w:after="0" w:afterLines="0" w:afterAutospacing="0"/>
              <w:ind w:left="0" w:right="0"/>
              <w:jc w:val="center"/>
              <w:rPr>
                <w:rFonts w:hint="eastAsia" w:ascii="ËÎÌå" w:hAnsi="ËÎÌå" w:eastAsia="ËÎÌå" w:cs="Times New Roman"/>
                <w:color w:val="000000"/>
                <w:kern w:val="0"/>
                <w:sz w:val="24"/>
                <w:szCs w:val="24"/>
                <w:lang w:val="en-US" w:eastAsia="zh-CN" w:bidi="ar-SA"/>
              </w:rPr>
            </w:pPr>
            <w:r>
              <w:rPr>
                <w:rFonts w:hint="default" w:ascii="ËÎÌå" w:hAnsi="ËÎÌå" w:eastAsia="ËÎÌå"/>
                <w:color w:val="000000"/>
                <w:sz w:val="24"/>
                <w:szCs w:val="24"/>
              </w:rPr>
              <w:t>外观应颜色均一 , 无结块、无夹杂物</w:t>
            </w:r>
          </w:p>
        </w:tc>
        <w:tc>
          <w:tcPr>
            <w:tcW w:w="1787" w:type="dxa"/>
            <w:vAlign w:val="top"/>
          </w:tcPr>
          <w:p w14:paraId="64F50F94">
            <w:pPr>
              <w:keepNext w:val="0"/>
              <w:keepLines w:val="0"/>
              <w:widowControl/>
              <w:suppressLineNumbers w:val="0"/>
              <w:spacing w:before="0" w:beforeLines="0" w:beforeAutospacing="0" w:after="0" w:afterLines="0" w:afterAutospacing="0"/>
              <w:ind w:left="0" w:right="0"/>
              <w:jc w:val="center"/>
              <w:rPr>
                <w:rFonts w:hint="eastAsia" w:ascii="宋体" w:hAnsi="宋体" w:eastAsia="宋体" w:cs="Times New Roman"/>
                <w:color w:val="000000"/>
                <w:kern w:val="0"/>
                <w:sz w:val="24"/>
                <w:szCs w:val="24"/>
                <w:lang w:val="en-US" w:eastAsia="zh-CN" w:bidi="ar-SA"/>
              </w:rPr>
            </w:pPr>
            <w:r>
              <w:rPr>
                <w:rFonts w:hint="default" w:ascii="ËÎÌå" w:hAnsi="ËÎÌå" w:eastAsia="ËÎÌå"/>
                <w:color w:val="000000"/>
                <w:sz w:val="24"/>
                <w:szCs w:val="24"/>
              </w:rPr>
              <w:t>外观应颜色均一 , 无结块、无夹杂物</w:t>
            </w:r>
          </w:p>
        </w:tc>
      </w:tr>
    </w:tbl>
    <w:p w14:paraId="589E76B3">
      <w:pPr>
        <w:keepNext w:val="0"/>
        <w:keepLines w:val="0"/>
        <w:pageBreakBefore w:val="0"/>
        <w:widowControl w:val="0"/>
        <w:kinsoku/>
        <w:wordWrap/>
        <w:overflowPunct/>
        <w:topLinePunct w:val="0"/>
        <w:autoSpaceDE/>
        <w:autoSpaceDN/>
        <w:bidi w:val="0"/>
        <w:adjustRightInd/>
        <w:snapToGrid/>
        <w:textAlignment w:val="auto"/>
        <w:rPr>
          <w:sz w:val="21"/>
          <w:szCs w:val="21"/>
        </w:rPr>
      </w:pPr>
    </w:p>
    <w:p w14:paraId="1878693A">
      <w:pPr>
        <w:widowControl w:val="0"/>
        <w:spacing w:before="156" w:beforeLines="50" w:after="156" w:afterLines="50"/>
        <w:jc w:val="both"/>
        <w:outlineLvl w:val="1"/>
        <w:rPr>
          <w:b/>
          <w:bCs/>
          <w:sz w:val="21"/>
          <w:szCs w:val="21"/>
        </w:rPr>
      </w:pPr>
      <w:r>
        <w:rPr>
          <w:b/>
          <w:bCs/>
          <w:sz w:val="21"/>
          <w:szCs w:val="21"/>
        </w:rPr>
        <w:t xml:space="preserve">3.2 </w:t>
      </w:r>
      <w:r>
        <w:rPr>
          <w:rFonts w:hint="eastAsia"/>
          <w:b/>
          <w:bCs/>
          <w:sz w:val="21"/>
          <w:szCs w:val="21"/>
        </w:rPr>
        <w:t>技术要求</w:t>
      </w:r>
    </w:p>
    <w:p w14:paraId="702B7489">
      <w:pPr>
        <w:pStyle w:val="60"/>
        <w:numPr>
          <w:ilvl w:val="2"/>
          <w:numId w:val="0"/>
        </w:numPr>
        <w:spacing w:before="156" w:beforeLines="50" w:after="156" w:afterLines="50"/>
        <w:ind w:left="0" w:leftChars="0" w:firstLine="0" w:firstLineChars="0"/>
        <w:outlineLvl w:val="2"/>
        <w:rPr>
          <w:b/>
          <w:bCs/>
          <w:szCs w:val="21"/>
        </w:rPr>
      </w:pPr>
      <w:r>
        <w:rPr>
          <w:rFonts w:hint="eastAsia" w:cs="Times New Roman"/>
          <w:b/>
          <w:bCs/>
          <w:kern w:val="2"/>
          <w:sz w:val="21"/>
          <w:szCs w:val="21"/>
          <w:lang w:val="en-US" w:eastAsia="zh-CN" w:bidi="ar-SA"/>
        </w:rPr>
        <w:t>3</w:t>
      </w:r>
      <w:r>
        <w:rPr>
          <w:rFonts w:hint="eastAsia" w:ascii="Times New Roman" w:hAnsi="Times New Roman" w:eastAsia="宋体" w:cs="Times New Roman"/>
          <w:b/>
          <w:bCs/>
          <w:kern w:val="2"/>
          <w:sz w:val="21"/>
          <w:szCs w:val="21"/>
          <w:lang w:val="en-US" w:eastAsia="zh-CN" w:bidi="ar-SA"/>
        </w:rPr>
        <w:t>.</w:t>
      </w:r>
      <w:r>
        <w:rPr>
          <w:rFonts w:hint="eastAsia" w:cs="Times New Roman"/>
          <w:b/>
          <w:bCs/>
          <w:kern w:val="2"/>
          <w:sz w:val="21"/>
          <w:szCs w:val="21"/>
          <w:lang w:val="en-US" w:eastAsia="zh-CN" w:bidi="ar-SA"/>
        </w:rPr>
        <w:t>2</w:t>
      </w:r>
      <w:r>
        <w:rPr>
          <w:rFonts w:hint="eastAsia" w:ascii="Times New Roman" w:hAnsi="Times New Roman" w:eastAsia="宋体" w:cs="Times New Roman"/>
          <w:b/>
          <w:bCs/>
          <w:kern w:val="2"/>
          <w:sz w:val="21"/>
          <w:szCs w:val="21"/>
          <w:lang w:val="en-US" w:eastAsia="zh-CN" w:bidi="ar-SA"/>
        </w:rPr>
        <w:t>.1</w:t>
      </w:r>
      <w:r>
        <w:rPr>
          <w:rFonts w:hint="eastAsia"/>
          <w:b/>
          <w:bCs/>
          <w:szCs w:val="21"/>
        </w:rPr>
        <w:t xml:space="preserve"> 化学成分</w:t>
      </w:r>
    </w:p>
    <w:p w14:paraId="5277B6A2">
      <w:pPr>
        <w:ind w:firstLine="420" w:firstLineChars="200"/>
        <w:jc w:val="both"/>
        <w:rPr>
          <w:rFonts w:hint="eastAsia" w:ascii="Times New Roman" w:hAnsi="Times New Roman" w:cs="Times New Roman"/>
          <w:sz w:val="21"/>
          <w:szCs w:val="21"/>
        </w:rPr>
      </w:pPr>
      <w:r>
        <w:rPr>
          <w:rFonts w:hint="eastAsia"/>
          <w:sz w:val="21"/>
          <w:szCs w:val="21"/>
        </w:rPr>
        <w:t>本标准根据</w:t>
      </w:r>
      <w:r>
        <w:rPr>
          <w:rFonts w:hint="eastAsia" w:ascii="Times New Roman" w:hAnsi="Times New Roman" w:cs="Times New Roman"/>
          <w:sz w:val="21"/>
          <w:szCs w:val="21"/>
        </w:rPr>
        <w:t>镍钴铝三元素复合氧化物所含元素中Ni、Co、Al三个元素为主含量，依据常规要求，其标准范围的制定是根据镍钴铝三元素复合氧化物的理论分子式及生产工艺和测试结果综合而定的。杂质元素标准范围主要是依据客户的技术规格书、原材料品位及生产工艺的实际水平来制定的，同时参考了YS/T 1125-2016《镍钴铝酸锂》、YS/T 1127-2016《镍钴铝三元素复合氢氧化物》、GB/T 26300-2010《镍钴锰三元素复合氢氧化物》、GB/T 20252《钴酸锂》、GB/T 24533《锂离子电池石墨类负极材料》、YS/T 798-2012《镍钴锰酸锂》及YS/T 825-2013《钛酸锂》几个同类材料国标行标中杂质元素的种类及标准范围的相关内容。需方有特殊要求时，按供需双方协商的杂质元素种类进行测试。</w:t>
      </w:r>
    </w:p>
    <w:p w14:paraId="217CE6A9">
      <w:pPr>
        <w:ind w:firstLine="420" w:firstLineChars="200"/>
        <w:jc w:val="both"/>
        <w:rPr>
          <w:sz w:val="21"/>
          <w:szCs w:val="21"/>
        </w:rPr>
      </w:pPr>
      <w:r>
        <w:rPr>
          <w:rFonts w:hint="eastAsia" w:ascii="Times New Roman" w:hAnsi="Times New Roman" w:cs="Times New Roman"/>
          <w:sz w:val="21"/>
          <w:szCs w:val="21"/>
        </w:rPr>
        <w:t>产品的化学成分应符合表2的规定。</w:t>
      </w:r>
    </w:p>
    <w:p w14:paraId="68D49BAF">
      <w:pPr>
        <w:tabs>
          <w:tab w:val="center" w:pos="4201"/>
          <w:tab w:val="right" w:leader="dot" w:pos="9298"/>
        </w:tabs>
        <w:autoSpaceDE w:val="0"/>
        <w:autoSpaceDN w:val="0"/>
        <w:spacing w:before="156" w:beforeLines="50" w:after="156" w:afterLines="50"/>
        <w:ind w:right="420"/>
        <w:jc w:val="center"/>
        <w:rPr>
          <w:rFonts w:hint="eastAsia"/>
          <w:b/>
          <w:bCs/>
          <w:sz w:val="21"/>
          <w:szCs w:val="21"/>
        </w:rPr>
      </w:pPr>
      <w:r>
        <w:rPr>
          <w:rFonts w:hint="eastAsia"/>
          <w:b/>
          <w:bCs/>
          <w:sz w:val="21"/>
          <w:szCs w:val="21"/>
        </w:rPr>
        <w:t>表</w:t>
      </w:r>
      <w:r>
        <w:rPr>
          <w:b/>
          <w:bCs/>
          <w:sz w:val="21"/>
          <w:szCs w:val="21"/>
        </w:rPr>
        <w:t>2</w:t>
      </w:r>
      <w:r>
        <w:rPr>
          <w:rFonts w:hint="eastAsia"/>
          <w:b/>
          <w:bCs/>
          <w:sz w:val="21"/>
          <w:szCs w:val="21"/>
        </w:rPr>
        <w:t xml:space="preserve">  化学成分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300"/>
        <w:gridCol w:w="2637"/>
        <w:gridCol w:w="2455"/>
      </w:tblGrid>
      <w:tr w14:paraId="2D14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14:paraId="3F3B4F8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b/>
                <w:bCs/>
                <w:color w:val="000000"/>
                <w:kern w:val="0"/>
                <w:sz w:val="21"/>
                <w:szCs w:val="21"/>
                <w:lang w:val="en-US" w:eastAsia="zh-CN" w:bidi="ar"/>
              </w:rPr>
              <w:t>镍钴铝三元前驱体</w:t>
            </w:r>
          </w:p>
        </w:tc>
      </w:tr>
      <w:tr w14:paraId="2CAA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gridSpan w:val="2"/>
            <w:vMerge w:val="restart"/>
            <w:vAlign w:val="center"/>
          </w:tcPr>
          <w:p w14:paraId="32764E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sz w:val="21"/>
                <w:szCs w:val="21"/>
                <w:lang w:val="en-US" w:eastAsia="zh-CN"/>
              </w:rPr>
              <w:t>元素</w:t>
            </w:r>
          </w:p>
        </w:tc>
        <w:tc>
          <w:tcPr>
            <w:tcW w:w="2637" w:type="dxa"/>
            <w:vAlign w:val="center"/>
          </w:tcPr>
          <w:p w14:paraId="125725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镍钴铝三元素复合氧化物</w:t>
            </w:r>
          </w:p>
        </w:tc>
        <w:tc>
          <w:tcPr>
            <w:tcW w:w="2455" w:type="dxa"/>
            <w:vAlign w:val="center"/>
          </w:tcPr>
          <w:p w14:paraId="58D2C7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镍钴铝三元素复合氢氧化物</w:t>
            </w:r>
          </w:p>
        </w:tc>
      </w:tr>
      <w:tr w14:paraId="5BBD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0" w:type="dxa"/>
            <w:gridSpan w:val="2"/>
            <w:vMerge w:val="continue"/>
            <w:vAlign w:val="center"/>
          </w:tcPr>
          <w:p w14:paraId="5DCF34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p>
        </w:tc>
        <w:tc>
          <w:tcPr>
            <w:tcW w:w="2637" w:type="dxa"/>
            <w:vAlign w:val="center"/>
          </w:tcPr>
          <w:p w14:paraId="488301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spacing w:val="1"/>
                <w:sz w:val="21"/>
                <w:szCs w:val="21"/>
              </w:rPr>
              <w:t>含量(质量分数)/%</w:t>
            </w:r>
          </w:p>
        </w:tc>
        <w:tc>
          <w:tcPr>
            <w:tcW w:w="2455" w:type="dxa"/>
            <w:vAlign w:val="center"/>
          </w:tcPr>
          <w:p w14:paraId="109248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spacing w:val="1"/>
                <w:sz w:val="21"/>
                <w:szCs w:val="21"/>
              </w:rPr>
              <w:t>含量(质量分数)/%</w:t>
            </w:r>
          </w:p>
        </w:tc>
      </w:tr>
      <w:tr w14:paraId="12D5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14:paraId="29B867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bookmarkStart w:id="0" w:name="OLE_LINK2" w:colFirst="3" w:colLast="3"/>
          </w:p>
          <w:p w14:paraId="0C907433">
            <w:pPr>
              <w:keepNext w:val="0"/>
              <w:keepLines w:val="0"/>
              <w:widowControl/>
              <w:suppressLineNumbers w:val="0"/>
              <w:bidi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主元素</w:t>
            </w:r>
          </w:p>
        </w:tc>
        <w:tc>
          <w:tcPr>
            <w:tcW w:w="1300" w:type="dxa"/>
            <w:vAlign w:val="center"/>
          </w:tcPr>
          <w:p w14:paraId="0B99B5B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镍 (Ni)</w:t>
            </w:r>
          </w:p>
        </w:tc>
        <w:tc>
          <w:tcPr>
            <w:tcW w:w="2637" w:type="dxa"/>
            <w:vAlign w:val="center"/>
          </w:tcPr>
          <w:p w14:paraId="1005ED8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sz w:val="21"/>
                <w:szCs w:val="21"/>
                <w:lang w:val="en-US" w:eastAsia="zh-CN"/>
              </w:rPr>
            </w:pPr>
            <w:r>
              <w:rPr>
                <w:rFonts w:hint="default" w:ascii="Times New Roman" w:hAnsi="Times New Roman" w:eastAsia="宋体" w:cs="Times New Roman"/>
                <w:spacing w:val="-4"/>
                <w:sz w:val="21"/>
                <w:szCs w:val="21"/>
              </w:rPr>
              <w:t>60.0～78.0</w:t>
            </w:r>
          </w:p>
        </w:tc>
        <w:tc>
          <w:tcPr>
            <w:tcW w:w="2455" w:type="dxa"/>
            <w:vAlign w:val="center"/>
          </w:tcPr>
          <w:p w14:paraId="79F4E01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sz w:val="21"/>
                <w:szCs w:val="21"/>
                <w:lang w:val="en-US" w:eastAsia="zh-CN"/>
              </w:rPr>
            </w:pPr>
            <w:r>
              <w:rPr>
                <w:rFonts w:hint="default" w:ascii="Times New Roman" w:hAnsi="Times New Roman" w:eastAsia="宋体" w:cs="Times New Roman"/>
                <w:spacing w:val="-4"/>
                <w:sz w:val="21"/>
                <w:szCs w:val="21"/>
              </w:rPr>
              <w:t>46.0～</w:t>
            </w:r>
            <w:r>
              <w:rPr>
                <w:rFonts w:hint="default" w:ascii="Times New Roman" w:hAnsi="Times New Roman" w:eastAsia="宋体" w:cs="Times New Roman"/>
                <w:spacing w:val="-4"/>
                <w:sz w:val="21"/>
                <w:szCs w:val="21"/>
                <w:lang w:val="en-US" w:eastAsia="zh-CN"/>
              </w:rPr>
              <w:t>61</w:t>
            </w:r>
            <w:r>
              <w:rPr>
                <w:rFonts w:hint="default" w:ascii="Times New Roman" w:hAnsi="Times New Roman" w:eastAsia="宋体" w:cs="Times New Roman"/>
                <w:spacing w:val="-4"/>
                <w:sz w:val="21"/>
                <w:szCs w:val="21"/>
              </w:rPr>
              <w:t>.0</w:t>
            </w:r>
          </w:p>
        </w:tc>
      </w:tr>
      <w:tr w14:paraId="0B82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14:paraId="316BF4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bookmarkStart w:id="1" w:name="OLE_LINK1" w:colFirst="2" w:colLast="2"/>
          </w:p>
        </w:tc>
        <w:tc>
          <w:tcPr>
            <w:tcW w:w="1300" w:type="dxa"/>
            <w:vAlign w:val="center"/>
          </w:tcPr>
          <w:p w14:paraId="41D965E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钴 (Co)</w:t>
            </w:r>
          </w:p>
        </w:tc>
        <w:tc>
          <w:tcPr>
            <w:tcW w:w="2637" w:type="dxa"/>
            <w:vAlign w:val="center"/>
          </w:tcPr>
          <w:p w14:paraId="015067E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sz w:val="21"/>
                <w:szCs w:val="21"/>
                <w:lang w:val="en-US" w:eastAsia="zh-CN"/>
              </w:rPr>
            </w:pPr>
            <w:r>
              <w:rPr>
                <w:rFonts w:hint="default" w:ascii="Times New Roman" w:hAnsi="Times New Roman" w:eastAsia="宋体" w:cs="Times New Roman"/>
                <w:spacing w:val="-4"/>
                <w:sz w:val="21"/>
                <w:szCs w:val="21"/>
              </w:rPr>
              <w:t>0.5</w:t>
            </w:r>
            <w:r>
              <w:rPr>
                <w:rFonts w:hint="default" w:ascii="Times New Roman" w:hAnsi="Times New Roman" w:eastAsia="宋体" w:cs="Times New Roman"/>
                <w:spacing w:val="-4"/>
                <w:sz w:val="21"/>
                <w:szCs w:val="21"/>
                <w:lang w:val="en-US" w:eastAsia="zh-CN"/>
              </w:rPr>
              <w:t>0</w:t>
            </w:r>
            <w:r>
              <w:rPr>
                <w:rFonts w:hint="default" w:ascii="Times New Roman" w:hAnsi="Times New Roman" w:eastAsia="宋体" w:cs="Times New Roman"/>
                <w:spacing w:val="-4"/>
                <w:sz w:val="21"/>
                <w:szCs w:val="21"/>
              </w:rPr>
              <w:t>～13.0</w:t>
            </w:r>
          </w:p>
        </w:tc>
        <w:tc>
          <w:tcPr>
            <w:tcW w:w="2455" w:type="dxa"/>
            <w:vAlign w:val="center"/>
          </w:tcPr>
          <w:p w14:paraId="2731D72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sz w:val="21"/>
                <w:szCs w:val="21"/>
                <w:lang w:val="en-US" w:eastAsia="zh-CN"/>
              </w:rPr>
            </w:pPr>
            <w:r>
              <w:rPr>
                <w:rFonts w:hint="default" w:ascii="Times New Roman" w:hAnsi="Times New Roman" w:eastAsia="宋体" w:cs="Times New Roman"/>
                <w:spacing w:val="-4"/>
                <w:sz w:val="21"/>
                <w:szCs w:val="21"/>
                <w:lang w:val="en-US" w:eastAsia="zh-CN"/>
              </w:rPr>
              <w:t>3</w:t>
            </w:r>
            <w:r>
              <w:rPr>
                <w:rFonts w:hint="default" w:ascii="Times New Roman" w:hAnsi="Times New Roman" w:eastAsia="宋体" w:cs="Times New Roman"/>
                <w:spacing w:val="-4"/>
                <w:sz w:val="21"/>
                <w:szCs w:val="21"/>
              </w:rPr>
              <w:t>.0～13.0</w:t>
            </w:r>
          </w:p>
        </w:tc>
      </w:tr>
      <w:tr w14:paraId="207D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14:paraId="102A74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p>
        </w:tc>
        <w:tc>
          <w:tcPr>
            <w:tcW w:w="1300" w:type="dxa"/>
            <w:vAlign w:val="center"/>
          </w:tcPr>
          <w:p w14:paraId="44AB0EE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铝 (Al)</w:t>
            </w:r>
          </w:p>
        </w:tc>
        <w:tc>
          <w:tcPr>
            <w:tcW w:w="2637" w:type="dxa"/>
            <w:vAlign w:val="center"/>
          </w:tcPr>
          <w:p w14:paraId="3D99340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sz w:val="21"/>
                <w:szCs w:val="21"/>
                <w:lang w:val="en-US" w:eastAsia="zh-CN"/>
              </w:rPr>
            </w:pPr>
            <w:r>
              <w:rPr>
                <w:rFonts w:hint="default" w:ascii="Times New Roman" w:hAnsi="Times New Roman" w:eastAsia="宋体" w:cs="Times New Roman"/>
                <w:spacing w:val="-4"/>
                <w:sz w:val="21"/>
                <w:szCs w:val="21"/>
              </w:rPr>
              <w:t>0.</w:t>
            </w:r>
            <w:r>
              <w:rPr>
                <w:rFonts w:hint="default" w:ascii="Times New Roman" w:hAnsi="Times New Roman" w:eastAsia="宋体" w:cs="Times New Roman"/>
                <w:spacing w:val="-4"/>
                <w:sz w:val="21"/>
                <w:szCs w:val="21"/>
                <w:lang w:val="en-US" w:eastAsia="zh-CN"/>
              </w:rPr>
              <w:t>10</w:t>
            </w:r>
            <w:r>
              <w:rPr>
                <w:rFonts w:hint="default" w:ascii="Times New Roman" w:hAnsi="Times New Roman" w:eastAsia="宋体" w:cs="Times New Roman"/>
                <w:spacing w:val="-4"/>
                <w:sz w:val="21"/>
                <w:szCs w:val="21"/>
              </w:rPr>
              <w:t>～2.0</w:t>
            </w:r>
          </w:p>
        </w:tc>
        <w:tc>
          <w:tcPr>
            <w:tcW w:w="2455" w:type="dxa"/>
            <w:vAlign w:val="center"/>
          </w:tcPr>
          <w:p w14:paraId="6CACA11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sz w:val="21"/>
                <w:szCs w:val="21"/>
                <w:lang w:val="en-US" w:eastAsia="zh-CN"/>
              </w:rPr>
            </w:pPr>
            <w:r>
              <w:rPr>
                <w:rFonts w:hint="default" w:ascii="Times New Roman" w:hAnsi="Times New Roman" w:eastAsia="宋体" w:cs="Times New Roman"/>
                <w:spacing w:val="-4"/>
                <w:sz w:val="21"/>
                <w:szCs w:val="21"/>
              </w:rPr>
              <w:t>0.</w:t>
            </w:r>
            <w:r>
              <w:rPr>
                <w:rFonts w:hint="default" w:ascii="Times New Roman" w:hAnsi="Times New Roman" w:eastAsia="宋体" w:cs="Times New Roman"/>
                <w:spacing w:val="-4"/>
                <w:sz w:val="21"/>
                <w:szCs w:val="21"/>
                <w:lang w:val="en-US" w:eastAsia="zh-CN"/>
              </w:rPr>
              <w:t>1</w:t>
            </w:r>
            <w:r>
              <w:rPr>
                <w:rFonts w:hint="default" w:ascii="Times New Roman" w:hAnsi="Times New Roman" w:eastAsia="宋体" w:cs="Times New Roman"/>
                <w:spacing w:val="-4"/>
                <w:sz w:val="21"/>
                <w:szCs w:val="21"/>
              </w:rPr>
              <w:t>0～1.7</w:t>
            </w:r>
          </w:p>
        </w:tc>
      </w:tr>
      <w:tr w14:paraId="0181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14:paraId="45FDB9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杂质元素</w:t>
            </w:r>
          </w:p>
        </w:tc>
        <w:tc>
          <w:tcPr>
            <w:tcW w:w="1300" w:type="dxa"/>
          </w:tcPr>
          <w:p w14:paraId="1D9D21B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铜(</w:t>
            </w:r>
            <w:r>
              <w:rPr>
                <w:rFonts w:hint="default" w:ascii="Times New Roman" w:hAnsi="Times New Roman" w:eastAsia="宋体" w:cs="Times New Roman"/>
                <w:spacing w:val="-3"/>
                <w:sz w:val="21"/>
                <w:szCs w:val="21"/>
              </w:rPr>
              <w:t>Cu</w:t>
            </w:r>
            <w:r>
              <w:rPr>
                <w:rFonts w:hint="default" w:ascii="Times New Roman" w:hAnsi="Times New Roman" w:eastAsia="宋体" w:cs="Times New Roman"/>
                <w:spacing w:val="-3"/>
                <w:sz w:val="21"/>
                <w:szCs w:val="21"/>
                <w:lang w:val="en-US" w:eastAsia="zh-CN"/>
              </w:rPr>
              <w:t>)</w:t>
            </w:r>
          </w:p>
        </w:tc>
        <w:tc>
          <w:tcPr>
            <w:tcW w:w="2637" w:type="dxa"/>
          </w:tcPr>
          <w:p w14:paraId="03AC68D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sz w:val="21"/>
                <w:szCs w:val="21"/>
                <w:lang w:val="en-US" w:eastAsia="zh-CN"/>
              </w:rPr>
            </w:pPr>
            <w:r>
              <w:rPr>
                <w:rFonts w:hint="default" w:ascii="Times New Roman" w:hAnsi="Times New Roman" w:eastAsia="宋体" w:cs="Times New Roman"/>
                <w:spacing w:val="-4"/>
                <w:sz w:val="21"/>
                <w:szCs w:val="21"/>
              </w:rPr>
              <w:t>≤0.005</w:t>
            </w:r>
          </w:p>
        </w:tc>
        <w:tc>
          <w:tcPr>
            <w:tcW w:w="2455" w:type="dxa"/>
          </w:tcPr>
          <w:p w14:paraId="72A6D00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spacing w:val="-4"/>
                <w:sz w:val="21"/>
                <w:szCs w:val="21"/>
              </w:rPr>
              <w:t>≤0.005</w:t>
            </w:r>
          </w:p>
        </w:tc>
      </w:tr>
      <w:tr w14:paraId="3FB1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495DE35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p>
        </w:tc>
        <w:tc>
          <w:tcPr>
            <w:tcW w:w="1300" w:type="dxa"/>
            <w:vAlign w:val="center"/>
          </w:tcPr>
          <w:p w14:paraId="511F83E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spacing w:val="-2"/>
                <w:sz w:val="21"/>
                <w:szCs w:val="21"/>
                <w:lang w:val="en-US" w:eastAsia="zh-CN"/>
              </w:rPr>
              <w:t xml:space="preserve"> 铁（</w:t>
            </w:r>
            <w:r>
              <w:rPr>
                <w:rFonts w:hint="default" w:ascii="Times New Roman" w:hAnsi="Times New Roman" w:eastAsia="宋体" w:cs="Times New Roman"/>
                <w:spacing w:val="-2"/>
                <w:sz w:val="21"/>
                <w:szCs w:val="21"/>
              </w:rPr>
              <w:t>Fe</w:t>
            </w:r>
            <w:r>
              <w:rPr>
                <w:rFonts w:hint="default" w:ascii="Times New Roman" w:hAnsi="Times New Roman" w:eastAsia="宋体" w:cs="Times New Roman"/>
                <w:spacing w:val="-2"/>
                <w:sz w:val="21"/>
                <w:szCs w:val="21"/>
                <w:lang w:val="en-US" w:eastAsia="zh-CN"/>
              </w:rPr>
              <w:t>）</w:t>
            </w:r>
          </w:p>
        </w:tc>
        <w:tc>
          <w:tcPr>
            <w:tcW w:w="2637" w:type="dxa"/>
            <w:vAlign w:val="center"/>
          </w:tcPr>
          <w:p w14:paraId="1281FA1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≤0.005</w:t>
            </w:r>
          </w:p>
        </w:tc>
        <w:tc>
          <w:tcPr>
            <w:tcW w:w="2455" w:type="dxa"/>
            <w:vAlign w:val="center"/>
          </w:tcPr>
          <w:p w14:paraId="3DC3C95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≤0.01</w:t>
            </w:r>
          </w:p>
        </w:tc>
      </w:tr>
      <w:tr w14:paraId="00FC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7C41AC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p>
        </w:tc>
        <w:tc>
          <w:tcPr>
            <w:tcW w:w="1300" w:type="dxa"/>
            <w:vAlign w:val="center"/>
          </w:tcPr>
          <w:p w14:paraId="3BC0724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lang w:val="en-US" w:eastAsia="zh-CN"/>
              </w:rPr>
              <w:t>锌（Zn）</w:t>
            </w:r>
          </w:p>
        </w:tc>
        <w:tc>
          <w:tcPr>
            <w:tcW w:w="2637" w:type="dxa"/>
            <w:vAlign w:val="center"/>
          </w:tcPr>
          <w:p w14:paraId="0E35F9E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≤0.005</w:t>
            </w:r>
          </w:p>
        </w:tc>
        <w:tc>
          <w:tcPr>
            <w:tcW w:w="2455" w:type="dxa"/>
            <w:vAlign w:val="center"/>
          </w:tcPr>
          <w:p w14:paraId="6BF8C5E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≤0.01</w:t>
            </w:r>
          </w:p>
        </w:tc>
      </w:tr>
      <w:tr w14:paraId="57C5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6FCAC0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p>
        </w:tc>
        <w:tc>
          <w:tcPr>
            <w:tcW w:w="1300" w:type="dxa"/>
            <w:vAlign w:val="center"/>
          </w:tcPr>
          <w:p w14:paraId="4B9D071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lang w:val="en-US" w:eastAsia="zh-CN"/>
              </w:rPr>
              <w:t>钙（Ca）</w:t>
            </w:r>
          </w:p>
        </w:tc>
        <w:tc>
          <w:tcPr>
            <w:tcW w:w="2637" w:type="dxa"/>
            <w:vAlign w:val="center"/>
          </w:tcPr>
          <w:p w14:paraId="3D4939D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≤0.01</w:t>
            </w:r>
            <w:r>
              <w:rPr>
                <w:rFonts w:hint="default" w:ascii="Times New Roman" w:hAnsi="Times New Roman" w:eastAsia="宋体" w:cs="Times New Roman"/>
                <w:spacing w:val="-4"/>
                <w:sz w:val="21"/>
                <w:szCs w:val="21"/>
                <w:lang w:val="en-US" w:eastAsia="zh-CN"/>
              </w:rPr>
              <w:t>0</w:t>
            </w:r>
          </w:p>
        </w:tc>
        <w:tc>
          <w:tcPr>
            <w:tcW w:w="2455" w:type="dxa"/>
            <w:vAlign w:val="center"/>
          </w:tcPr>
          <w:p w14:paraId="38C7736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≤0.03</w:t>
            </w:r>
          </w:p>
        </w:tc>
      </w:tr>
      <w:tr w14:paraId="18F4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2A661B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p>
        </w:tc>
        <w:tc>
          <w:tcPr>
            <w:tcW w:w="1300" w:type="dxa"/>
            <w:vAlign w:val="center"/>
          </w:tcPr>
          <w:p w14:paraId="1B68361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lang w:val="en-US" w:eastAsia="zh-CN"/>
              </w:rPr>
              <w:t>镁（Mg）</w:t>
            </w:r>
          </w:p>
        </w:tc>
        <w:tc>
          <w:tcPr>
            <w:tcW w:w="2637" w:type="dxa"/>
            <w:vAlign w:val="top"/>
          </w:tcPr>
          <w:p w14:paraId="2EE563F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≤0.005</w:t>
            </w:r>
          </w:p>
        </w:tc>
        <w:tc>
          <w:tcPr>
            <w:tcW w:w="2455" w:type="dxa"/>
            <w:vAlign w:val="top"/>
          </w:tcPr>
          <w:p w14:paraId="4C85E8D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≤0.03</w:t>
            </w:r>
          </w:p>
        </w:tc>
      </w:tr>
      <w:tr w14:paraId="4100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21E229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p>
        </w:tc>
        <w:tc>
          <w:tcPr>
            <w:tcW w:w="1300" w:type="dxa"/>
            <w:vAlign w:val="center"/>
          </w:tcPr>
          <w:p w14:paraId="55EB7FC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lang w:val="en-US" w:eastAsia="zh-CN"/>
              </w:rPr>
              <w:t>钠（Na）</w:t>
            </w:r>
          </w:p>
        </w:tc>
        <w:tc>
          <w:tcPr>
            <w:tcW w:w="2637" w:type="dxa"/>
            <w:vAlign w:val="top"/>
          </w:tcPr>
          <w:p w14:paraId="22C99E5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≤0.0</w:t>
            </w:r>
            <w:r>
              <w:rPr>
                <w:rFonts w:hint="default" w:ascii="Times New Roman" w:hAnsi="Times New Roman" w:eastAsia="宋体" w:cs="Times New Roman"/>
                <w:spacing w:val="-4"/>
                <w:sz w:val="21"/>
                <w:szCs w:val="21"/>
                <w:lang w:val="en-US" w:eastAsia="zh-CN"/>
              </w:rPr>
              <w:t>20</w:t>
            </w:r>
          </w:p>
        </w:tc>
        <w:tc>
          <w:tcPr>
            <w:tcW w:w="2455" w:type="dxa"/>
            <w:vAlign w:val="top"/>
          </w:tcPr>
          <w:p w14:paraId="5D0628C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en-US" w:bidi="ar-SA"/>
              </w:rPr>
            </w:pPr>
            <w:r>
              <w:rPr>
                <w:rFonts w:hint="default" w:ascii="Times New Roman" w:hAnsi="Times New Roman" w:eastAsia="宋体" w:cs="Times New Roman"/>
                <w:spacing w:val="-4"/>
                <w:sz w:val="21"/>
                <w:szCs w:val="21"/>
              </w:rPr>
              <w:t>≤0.03</w:t>
            </w:r>
          </w:p>
        </w:tc>
      </w:tr>
      <w:tr w14:paraId="29EE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79297F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p>
        </w:tc>
        <w:tc>
          <w:tcPr>
            <w:tcW w:w="1300" w:type="dxa"/>
            <w:vAlign w:val="top"/>
          </w:tcPr>
          <w:p w14:paraId="58CFD12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lang w:val="en-US" w:eastAsia="zh-CN"/>
              </w:rPr>
              <w:t>锰（Mn）</w:t>
            </w:r>
          </w:p>
        </w:tc>
        <w:tc>
          <w:tcPr>
            <w:tcW w:w="2637" w:type="dxa"/>
            <w:vAlign w:val="top"/>
          </w:tcPr>
          <w:p w14:paraId="7F9DDF4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≤0.0</w:t>
            </w:r>
            <w:r>
              <w:rPr>
                <w:rFonts w:hint="default" w:ascii="Times New Roman" w:hAnsi="Times New Roman" w:eastAsia="宋体" w:cs="Times New Roman"/>
                <w:spacing w:val="-4"/>
                <w:sz w:val="21"/>
                <w:szCs w:val="21"/>
                <w:lang w:val="en-US" w:eastAsia="zh-CN"/>
              </w:rPr>
              <w:t>0</w:t>
            </w:r>
            <w:r>
              <w:rPr>
                <w:rFonts w:hint="default" w:ascii="Times New Roman" w:hAnsi="Times New Roman" w:eastAsia="宋体" w:cs="Times New Roman"/>
                <w:spacing w:val="-4"/>
                <w:sz w:val="21"/>
                <w:szCs w:val="21"/>
              </w:rPr>
              <w:t>1</w:t>
            </w:r>
          </w:p>
        </w:tc>
        <w:tc>
          <w:tcPr>
            <w:tcW w:w="2455" w:type="dxa"/>
            <w:vAlign w:val="top"/>
          </w:tcPr>
          <w:p w14:paraId="43AB3F6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en-US" w:bidi="ar-SA"/>
              </w:rPr>
            </w:pPr>
            <w:r>
              <w:rPr>
                <w:rFonts w:hint="default" w:ascii="Times New Roman" w:hAnsi="Times New Roman" w:eastAsia="宋体" w:cs="Times New Roman"/>
                <w:spacing w:val="-4"/>
                <w:sz w:val="21"/>
                <w:szCs w:val="21"/>
              </w:rPr>
              <w:t>≤0.01</w:t>
            </w:r>
          </w:p>
        </w:tc>
      </w:tr>
      <w:tr w14:paraId="7EBC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046DB3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p>
        </w:tc>
        <w:tc>
          <w:tcPr>
            <w:tcW w:w="1300" w:type="dxa"/>
            <w:vAlign w:val="top"/>
          </w:tcPr>
          <w:p w14:paraId="564B2D9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lang w:val="en-US" w:eastAsia="zh-CN"/>
              </w:rPr>
              <w:t>SO</w:t>
            </w:r>
            <w:r>
              <w:rPr>
                <w:rFonts w:hint="default" w:ascii="Times New Roman" w:hAnsi="Times New Roman" w:eastAsia="宋体" w:cs="Times New Roman"/>
                <w:spacing w:val="-4"/>
                <w:sz w:val="21"/>
                <w:szCs w:val="21"/>
                <w:vertAlign w:val="subscript"/>
                <w:lang w:val="en-US" w:eastAsia="zh-CN"/>
              </w:rPr>
              <w:t>4</w:t>
            </w:r>
            <w:r>
              <w:rPr>
                <w:rFonts w:hint="default" w:ascii="Times New Roman" w:hAnsi="Times New Roman" w:eastAsia="宋体" w:cs="Times New Roman"/>
                <w:spacing w:val="-4"/>
                <w:sz w:val="21"/>
                <w:szCs w:val="21"/>
                <w:vertAlign w:val="superscript"/>
                <w:lang w:val="en-US" w:eastAsia="zh-CN"/>
              </w:rPr>
              <w:t>2-</w:t>
            </w:r>
          </w:p>
        </w:tc>
        <w:tc>
          <w:tcPr>
            <w:tcW w:w="2637" w:type="dxa"/>
            <w:vAlign w:val="top"/>
          </w:tcPr>
          <w:p w14:paraId="6F4969A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w:t>
            </w:r>
            <w:r>
              <w:rPr>
                <w:rFonts w:hint="default" w:ascii="Times New Roman" w:hAnsi="Times New Roman" w:eastAsia="宋体" w:cs="Times New Roman"/>
                <w:spacing w:val="-4"/>
                <w:sz w:val="21"/>
                <w:szCs w:val="21"/>
                <w:lang w:val="en-US" w:eastAsia="zh-CN"/>
              </w:rPr>
              <w:t>400</w:t>
            </w:r>
          </w:p>
        </w:tc>
        <w:tc>
          <w:tcPr>
            <w:tcW w:w="2455" w:type="dxa"/>
            <w:vAlign w:val="top"/>
          </w:tcPr>
          <w:p w14:paraId="626368A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w:t>
            </w:r>
            <w:r>
              <w:rPr>
                <w:rFonts w:hint="default" w:ascii="Times New Roman" w:hAnsi="Times New Roman" w:eastAsia="宋体" w:cs="Times New Roman"/>
                <w:spacing w:val="-4"/>
                <w:sz w:val="21"/>
                <w:szCs w:val="21"/>
                <w:lang w:val="en-US" w:eastAsia="zh-CN"/>
              </w:rPr>
              <w:t>3</w:t>
            </w:r>
          </w:p>
        </w:tc>
      </w:tr>
      <w:tr w14:paraId="3560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606D88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vertAlign w:val="baseline"/>
                <w:lang w:val="en-US" w:eastAsia="zh-CN" w:bidi="ar"/>
              </w:rPr>
            </w:pPr>
          </w:p>
        </w:tc>
        <w:tc>
          <w:tcPr>
            <w:tcW w:w="1300" w:type="dxa"/>
            <w:vAlign w:val="top"/>
          </w:tcPr>
          <w:p w14:paraId="23D5BD6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lang w:val="en-US" w:eastAsia="zh-CN"/>
              </w:rPr>
              <w:t>Cl</w:t>
            </w:r>
            <w:r>
              <w:rPr>
                <w:rFonts w:hint="default" w:ascii="Times New Roman" w:hAnsi="Times New Roman" w:eastAsia="宋体" w:cs="Times New Roman"/>
                <w:spacing w:val="-4"/>
                <w:sz w:val="21"/>
                <w:szCs w:val="21"/>
                <w:vertAlign w:val="superscript"/>
                <w:lang w:val="en-US" w:eastAsia="zh-CN"/>
              </w:rPr>
              <w:t>-</w:t>
            </w:r>
          </w:p>
        </w:tc>
        <w:tc>
          <w:tcPr>
            <w:tcW w:w="2637" w:type="dxa"/>
            <w:vAlign w:val="top"/>
          </w:tcPr>
          <w:p w14:paraId="0C3ACFF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pacing w:val="-4"/>
                <w:sz w:val="21"/>
                <w:szCs w:val="21"/>
              </w:rPr>
              <w:t>≤0.0</w:t>
            </w:r>
            <w:r>
              <w:rPr>
                <w:rFonts w:hint="default" w:ascii="Times New Roman" w:hAnsi="Times New Roman" w:eastAsia="宋体" w:cs="Times New Roman"/>
                <w:spacing w:val="-4"/>
                <w:sz w:val="21"/>
                <w:szCs w:val="21"/>
                <w:lang w:val="en-US" w:eastAsia="zh-CN"/>
              </w:rPr>
              <w:t>03</w:t>
            </w:r>
          </w:p>
        </w:tc>
        <w:tc>
          <w:tcPr>
            <w:tcW w:w="2455" w:type="dxa"/>
            <w:vAlign w:val="top"/>
          </w:tcPr>
          <w:p w14:paraId="291C691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pacing w:val="-4"/>
                <w:kern w:val="2"/>
                <w:sz w:val="21"/>
                <w:szCs w:val="21"/>
                <w:lang w:val="en-US" w:eastAsia="en-US" w:bidi="ar-SA"/>
              </w:rPr>
            </w:pPr>
            <w:r>
              <w:rPr>
                <w:rFonts w:hint="default" w:ascii="Times New Roman" w:hAnsi="Times New Roman" w:eastAsia="宋体" w:cs="Times New Roman"/>
                <w:spacing w:val="-4"/>
                <w:sz w:val="21"/>
                <w:szCs w:val="21"/>
              </w:rPr>
              <w:t>≤0.02</w:t>
            </w:r>
          </w:p>
        </w:tc>
      </w:tr>
      <w:bookmarkEnd w:id="0"/>
      <w:bookmarkEnd w:id="1"/>
    </w:tbl>
    <w:p w14:paraId="7C6B5D1B">
      <w:pPr>
        <w:pStyle w:val="7"/>
        <w:rPr>
          <w:rFonts w:hint="eastAsia"/>
        </w:rPr>
      </w:pPr>
    </w:p>
    <w:p w14:paraId="1AE5F1EB">
      <w:pPr>
        <w:pStyle w:val="60"/>
        <w:numPr>
          <w:ilvl w:val="2"/>
          <w:numId w:val="0"/>
        </w:numPr>
        <w:spacing w:before="156" w:beforeLines="50" w:after="156" w:afterLines="50"/>
        <w:ind w:left="0" w:leftChars="0" w:firstLine="0" w:firstLineChars="0"/>
        <w:outlineLvl w:val="2"/>
        <w:rPr>
          <w:b/>
          <w:bCs/>
          <w:szCs w:val="21"/>
        </w:rPr>
      </w:pPr>
      <w:r>
        <w:rPr>
          <w:rFonts w:hint="eastAsia" w:cs="Times New Roman"/>
          <w:b/>
          <w:bCs/>
          <w:kern w:val="2"/>
          <w:sz w:val="21"/>
          <w:szCs w:val="21"/>
          <w:lang w:val="en-US" w:eastAsia="zh-CN" w:bidi="ar-SA"/>
        </w:rPr>
        <w:t>3.2.2</w:t>
      </w:r>
      <w:r>
        <w:rPr>
          <w:rFonts w:hint="eastAsia"/>
          <w:b/>
          <w:bCs/>
          <w:szCs w:val="21"/>
          <w:lang w:val="en-US" w:eastAsia="zh-CN"/>
        </w:rPr>
        <w:t xml:space="preserve"> </w:t>
      </w:r>
      <w:r>
        <w:rPr>
          <w:rFonts w:hint="eastAsia"/>
          <w:b/>
          <w:bCs/>
          <w:szCs w:val="21"/>
        </w:rPr>
        <w:t>水分含量</w:t>
      </w:r>
    </w:p>
    <w:p w14:paraId="55D1AE7D">
      <w:pPr>
        <w:pStyle w:val="27"/>
        <w:tabs>
          <w:tab w:val="center" w:pos="4201"/>
          <w:tab w:val="right" w:leader="dot" w:pos="9298"/>
        </w:tabs>
        <w:spacing w:before="0" w:beforeLines="-2147483648" w:after="0" w:afterLines="-2147483648"/>
        <w:ind w:firstLine="420"/>
        <w:rPr>
          <w:sz w:val="21"/>
          <w:szCs w:val="21"/>
          <w:highlight w:val="none"/>
        </w:rPr>
      </w:pPr>
      <w:r>
        <w:rPr>
          <w:rFonts w:hint="eastAsia" w:ascii="宋体" w:hAnsi="宋体"/>
          <w:szCs w:val="21"/>
        </w:rPr>
        <w:t>水分含量对其他关键主含量和杂质含量的稳定性能造成一定影响，应进行严格控制，综合客户的使用要求和目前的生产工艺实际水平，标准规定了</w:t>
      </w:r>
      <w:r>
        <w:rPr>
          <w:rFonts w:hint="eastAsia" w:hAnsi="Times New Roman" w:cs="Times New Roman"/>
          <w:lang w:val="en-US" w:eastAsia="zh-CN"/>
        </w:rPr>
        <w:t>镍钴铝三元素复合氧化物产品的水分含量应不大于 0.6% ；复合氢氧化物产品的水分含量应不大于1.0% 。</w:t>
      </w:r>
    </w:p>
    <w:p w14:paraId="6CE50F07">
      <w:pPr>
        <w:pStyle w:val="60"/>
        <w:numPr>
          <w:ilvl w:val="2"/>
          <w:numId w:val="0"/>
        </w:numPr>
        <w:spacing w:before="156" w:beforeLines="50" w:after="156" w:afterLines="50"/>
        <w:ind w:left="0" w:leftChars="0" w:firstLine="0" w:firstLineChars="0"/>
        <w:outlineLvl w:val="2"/>
        <w:rPr>
          <w:rFonts w:hint="eastAsia" w:ascii="Times New Roman" w:hAnsi="Times New Roman" w:cs="Times New Roman"/>
          <w:b/>
          <w:bCs/>
          <w:szCs w:val="21"/>
          <w:highlight w:val="none"/>
          <w:lang w:val="en-US" w:eastAsia="zh-CN"/>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w:t>
      </w:r>
      <w:r>
        <w:rPr>
          <w:rFonts w:hint="eastAsia" w:ascii="Times New Roman" w:hAnsi="Times New Roman" w:cs="Times New Roman"/>
          <w:b/>
          <w:bCs/>
          <w:szCs w:val="21"/>
          <w:highlight w:val="none"/>
          <w:lang w:val="en-US" w:eastAsia="zh-CN"/>
        </w:rPr>
        <w:t>3 外观质量</w:t>
      </w:r>
    </w:p>
    <w:p w14:paraId="2F1A7292">
      <w:pPr>
        <w:ind w:firstLine="420" w:firstLineChars="200"/>
        <w:jc w:val="both"/>
        <w:rPr>
          <w:rFonts w:hint="eastAsia"/>
          <w:sz w:val="21"/>
          <w:szCs w:val="21"/>
          <w:highlight w:val="none"/>
        </w:rPr>
      </w:pPr>
      <w:r>
        <w:rPr>
          <w:rFonts w:hint="eastAsia"/>
          <w:sz w:val="21"/>
          <w:szCs w:val="21"/>
          <w:highlight w:val="none"/>
        </w:rPr>
        <w:t>产品的外观应为灰黑色粉末，颜色均一，无硬结块。</w:t>
      </w:r>
    </w:p>
    <w:p w14:paraId="0207D2B4">
      <w:pPr>
        <w:pStyle w:val="60"/>
        <w:numPr>
          <w:ilvl w:val="2"/>
          <w:numId w:val="0"/>
        </w:numPr>
        <w:spacing w:before="156" w:beforeLines="50" w:after="156" w:afterLines="50"/>
        <w:ind w:left="0" w:leftChars="0" w:firstLine="0" w:firstLineChars="0"/>
        <w:outlineLvl w:val="2"/>
        <w:rPr>
          <w:rFonts w:hint="eastAsia" w:ascii="Times New Roman" w:hAnsi="Times New Roman" w:cs="Times New Roman"/>
          <w:b/>
          <w:bCs/>
          <w:szCs w:val="21"/>
          <w:highlight w:val="none"/>
        </w:rPr>
      </w:pPr>
      <w:r>
        <w:rPr>
          <w:rFonts w:hint="eastAsia" w:ascii="Times New Roman" w:hAnsi="Times New Roman" w:cs="Times New Roman"/>
          <w:b/>
          <w:bCs/>
          <w:szCs w:val="21"/>
          <w:highlight w:val="none"/>
          <w:lang w:val="en-US" w:eastAsia="zh-CN"/>
        </w:rPr>
        <w:t>3.2.4 磁性异物</w:t>
      </w:r>
    </w:p>
    <w:p w14:paraId="17FA6647">
      <w:pPr>
        <w:spacing w:before="218" w:line="268" w:lineRule="auto"/>
        <w:ind w:firstLine="419"/>
        <w:jc w:val="both"/>
        <w:rPr>
          <w:rFonts w:hint="eastAsia" w:hAnsi="Times New Roman" w:cs="Times New Roman"/>
          <w:lang w:val="en-US" w:eastAsia="zh-CN"/>
        </w:rPr>
      </w:pPr>
      <w:r>
        <w:rPr>
          <w:rFonts w:hint="eastAsia" w:ascii="宋体" w:hAnsi="宋体"/>
          <w:sz w:val="21"/>
          <w:szCs w:val="21"/>
        </w:rPr>
        <w:t>材料中的磁性异物</w:t>
      </w:r>
      <w:r>
        <w:rPr>
          <w:rFonts w:hint="eastAsia" w:ascii="宋体" w:hAnsi="宋体" w:cs="Times New Roman"/>
          <w:sz w:val="21"/>
          <w:szCs w:val="21"/>
        </w:rPr>
        <w:t>会导致制备成镍钴铝酸锂后磁性异物增加</w:t>
      </w:r>
      <w:r>
        <w:rPr>
          <w:rFonts w:hint="eastAsia" w:ascii="宋体" w:hAnsi="宋体" w:cs="Times New Roman"/>
          <w:sz w:val="21"/>
          <w:szCs w:val="21"/>
          <w:lang w:eastAsia="zh-CN"/>
        </w:rPr>
        <w:t>，</w:t>
      </w:r>
      <w:r>
        <w:rPr>
          <w:rFonts w:hint="eastAsia" w:ascii="宋体" w:hAnsi="宋体" w:cs="Times New Roman"/>
          <w:sz w:val="21"/>
          <w:szCs w:val="21"/>
        </w:rPr>
        <w:t>磁性异物对电池性能影响很大，正极材料中残留的磁性异物在电池中可能会刺穿隔膜，造成短路、自放电现象，严重降低电池的安全性，因此要严格控制</w:t>
      </w:r>
      <w:r>
        <w:rPr>
          <w:rFonts w:hint="eastAsia" w:ascii="宋体" w:hAnsi="宋体" w:cs="Times New Roman"/>
          <w:sz w:val="21"/>
          <w:szCs w:val="21"/>
          <w:lang w:val="en-US" w:eastAsia="zh-CN"/>
        </w:rPr>
        <w:t>前驱体</w:t>
      </w:r>
      <w:r>
        <w:rPr>
          <w:rFonts w:hint="eastAsia" w:ascii="宋体" w:hAnsi="宋体" w:cs="Times New Roman"/>
          <w:sz w:val="21"/>
          <w:szCs w:val="21"/>
        </w:rPr>
        <w:t>材料中磁性异物的含量，根据客户需要，</w:t>
      </w:r>
      <w:r>
        <w:rPr>
          <w:rFonts w:hint="eastAsia" w:ascii="宋体" w:hAnsi="宋体" w:cs="Times New Roman"/>
          <w:sz w:val="21"/>
          <w:szCs w:val="21"/>
          <w:lang w:val="en-US" w:eastAsia="zh-CN"/>
        </w:rPr>
        <w:t>镍钴铝三元素复合氧化物产品的磁性异物含量应不大于 0.00001%；复合氢氧化物产品的磁性异物含量应不大于 0.00003%。</w:t>
      </w:r>
    </w:p>
    <w:p w14:paraId="6C531D33">
      <w:pPr>
        <w:pStyle w:val="60"/>
        <w:numPr>
          <w:ilvl w:val="2"/>
          <w:numId w:val="0"/>
        </w:numPr>
        <w:spacing w:before="156" w:beforeLines="50" w:after="156" w:afterLines="50"/>
        <w:ind w:left="0" w:leftChars="0" w:firstLine="0" w:firstLineChars="0"/>
        <w:outlineLvl w:val="2"/>
        <w:rPr>
          <w:rFonts w:hint="eastAsia"/>
          <w:b/>
          <w:bCs/>
          <w:szCs w:val="21"/>
          <w:highlight w:val="none"/>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w:t>
      </w:r>
      <w:r>
        <w:rPr>
          <w:rFonts w:hint="eastAsia" w:cs="Times New Roman"/>
          <w:b/>
          <w:bCs/>
          <w:kern w:val="2"/>
          <w:sz w:val="21"/>
          <w:szCs w:val="21"/>
          <w:lang w:val="en-US" w:eastAsia="zh-CN" w:bidi="ar-SA"/>
        </w:rPr>
        <w:t>5</w:t>
      </w:r>
      <w:r>
        <w:rPr>
          <w:rFonts w:hint="eastAsia"/>
          <w:b/>
          <w:bCs/>
          <w:szCs w:val="21"/>
          <w:highlight w:val="none"/>
          <w:lang w:val="en-US" w:eastAsia="zh-CN"/>
        </w:rPr>
        <w:t>松装</w:t>
      </w:r>
      <w:r>
        <w:rPr>
          <w:rFonts w:hint="eastAsia"/>
          <w:b/>
          <w:bCs/>
          <w:szCs w:val="21"/>
          <w:highlight w:val="none"/>
        </w:rPr>
        <w:t>密度</w:t>
      </w:r>
    </w:p>
    <w:p w14:paraId="63F4C86D">
      <w:pPr>
        <w:spacing w:before="218" w:line="268" w:lineRule="auto"/>
        <w:ind w:firstLine="419"/>
        <w:jc w:val="both"/>
        <w:rPr>
          <w:rFonts w:hint="eastAsia" w:ascii="宋体" w:hAnsi="宋体" w:cs="Times New Roman"/>
          <w:sz w:val="21"/>
          <w:szCs w:val="21"/>
          <w:lang w:val="en-US" w:eastAsia="zh-CN"/>
        </w:rPr>
      </w:pPr>
      <w:r>
        <w:rPr>
          <w:rFonts w:hint="eastAsia" w:ascii="宋体" w:hAnsi="宋体" w:cs="Times New Roman"/>
          <w:sz w:val="21"/>
          <w:szCs w:val="21"/>
        </w:rPr>
        <w:t>为了满足客户的使用要求，同时考虑到生产工艺实际水平和总体性能均衡，标准规定了</w:t>
      </w:r>
      <w:r>
        <w:rPr>
          <w:rFonts w:hint="eastAsia" w:ascii="宋体" w:hAnsi="宋体" w:cs="Times New Roman"/>
          <w:sz w:val="21"/>
          <w:szCs w:val="21"/>
          <w:lang w:val="en-US" w:eastAsia="zh-CN"/>
        </w:rPr>
        <w:t>镍钴铝三元素复合氧化物产品的松装密度应不小于 0.7 g/cm</w:t>
      </w:r>
      <w:r>
        <w:rPr>
          <w:rFonts w:hint="eastAsia" w:ascii="宋体" w:hAnsi="宋体" w:cs="Times New Roman"/>
          <w:sz w:val="21"/>
          <w:szCs w:val="21"/>
          <w:vertAlign w:val="superscript"/>
          <w:lang w:val="en-US" w:eastAsia="zh-CN"/>
        </w:rPr>
        <w:t>3</w:t>
      </w:r>
      <w:r>
        <w:rPr>
          <w:rFonts w:hint="eastAsia" w:ascii="宋体" w:hAnsi="宋体" w:cs="Times New Roman"/>
          <w:sz w:val="21"/>
          <w:szCs w:val="21"/>
          <w:lang w:val="en-US" w:eastAsia="zh-CN"/>
        </w:rPr>
        <w:t>；复合氢氧化物产品的松装密度应不小于 1.0 g/cm</w:t>
      </w:r>
      <w:r>
        <w:rPr>
          <w:rFonts w:hint="eastAsia" w:ascii="宋体" w:hAnsi="宋体" w:cs="Times New Roman"/>
          <w:sz w:val="21"/>
          <w:szCs w:val="21"/>
          <w:vertAlign w:val="superscript"/>
          <w:lang w:val="en-US" w:eastAsia="zh-CN"/>
        </w:rPr>
        <w:t>3</w:t>
      </w:r>
      <w:r>
        <w:rPr>
          <w:rFonts w:hint="eastAsia" w:ascii="宋体" w:hAnsi="宋体" w:cs="Times New Roman"/>
          <w:sz w:val="21"/>
          <w:szCs w:val="21"/>
          <w:vertAlign w:val="baseline"/>
          <w:lang w:val="en-US" w:eastAsia="zh-CN"/>
        </w:rPr>
        <w:t>。</w:t>
      </w:r>
    </w:p>
    <w:p w14:paraId="02EC7295">
      <w:pPr>
        <w:pStyle w:val="60"/>
        <w:numPr>
          <w:ilvl w:val="2"/>
          <w:numId w:val="0"/>
        </w:numPr>
        <w:spacing w:before="156" w:beforeLines="50" w:after="156" w:afterLines="50"/>
        <w:ind w:left="0" w:leftChars="0" w:firstLine="0" w:firstLineChars="0"/>
        <w:outlineLvl w:val="2"/>
        <w:rPr>
          <w:rFonts w:hint="eastAsia" w:eastAsia="宋体"/>
          <w:b/>
          <w:bCs/>
          <w:szCs w:val="21"/>
          <w:highlight w:val="none"/>
          <w:lang w:eastAsia="zh-CN"/>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w:t>
      </w:r>
      <w:r>
        <w:rPr>
          <w:rFonts w:hint="eastAsia" w:cs="Times New Roman"/>
          <w:b/>
          <w:bCs/>
          <w:kern w:val="2"/>
          <w:sz w:val="21"/>
          <w:szCs w:val="21"/>
          <w:lang w:val="en-US" w:eastAsia="zh-CN" w:bidi="ar-SA"/>
        </w:rPr>
        <w:t>6</w:t>
      </w:r>
      <w:r>
        <w:rPr>
          <w:rFonts w:hint="eastAsia"/>
          <w:b/>
          <w:bCs/>
          <w:szCs w:val="21"/>
          <w:highlight w:val="none"/>
        </w:rPr>
        <w:t xml:space="preserve"> </w:t>
      </w:r>
      <w:r>
        <w:rPr>
          <w:rFonts w:hint="eastAsia"/>
          <w:b/>
          <w:bCs/>
          <w:szCs w:val="21"/>
          <w:highlight w:val="none"/>
          <w:lang w:val="en-US" w:eastAsia="zh-CN"/>
        </w:rPr>
        <w:t>振实</w:t>
      </w:r>
      <w:r>
        <w:rPr>
          <w:rFonts w:hint="eastAsia"/>
          <w:b/>
          <w:bCs/>
          <w:szCs w:val="21"/>
          <w:highlight w:val="none"/>
        </w:rPr>
        <w:t>密度</w:t>
      </w:r>
      <w:r>
        <w:rPr>
          <w:rFonts w:hint="eastAsia"/>
          <w:b/>
          <w:bCs/>
          <w:szCs w:val="21"/>
          <w:highlight w:val="none"/>
          <w:lang w:eastAsia="zh-CN"/>
        </w:rPr>
        <w:t>。</w:t>
      </w:r>
    </w:p>
    <w:p w14:paraId="3CBB80F5">
      <w:pPr>
        <w:ind w:firstLine="420" w:firstLineChars="200"/>
        <w:jc w:val="both"/>
        <w:rPr>
          <w:rFonts w:hint="eastAsia" w:ascii="宋体" w:hAnsi="宋体" w:cs="Times New Roman"/>
          <w:sz w:val="21"/>
          <w:szCs w:val="21"/>
        </w:rPr>
      </w:pPr>
      <w:r>
        <w:rPr>
          <w:rFonts w:hint="eastAsia"/>
          <w:sz w:val="21"/>
          <w:szCs w:val="21"/>
          <w:highlight w:val="none"/>
        </w:rPr>
        <w:t>产</w:t>
      </w:r>
      <w:r>
        <w:rPr>
          <w:rFonts w:hint="eastAsia" w:ascii="宋体" w:hAnsi="宋体" w:cs="Times New Roman"/>
          <w:sz w:val="21"/>
          <w:szCs w:val="21"/>
        </w:rPr>
        <w:t>品的压实密度会影响电池的能量密度，是行业普遍关注的重要指标，</w:t>
      </w:r>
      <w:r>
        <w:rPr>
          <w:rFonts w:hint="eastAsia" w:ascii="宋体" w:hAnsi="宋体" w:cs="Times New Roman"/>
          <w:sz w:val="21"/>
          <w:szCs w:val="21"/>
          <w:lang w:val="en-US" w:eastAsia="zh-CN"/>
        </w:rPr>
        <w:t>镍钴铝三元素复合氧化物产品的振实密度应不小于 1.0 g/cm</w:t>
      </w:r>
      <w:r>
        <w:rPr>
          <w:rFonts w:hint="eastAsia" w:ascii="宋体" w:hAnsi="宋体" w:cs="Times New Roman"/>
          <w:sz w:val="21"/>
          <w:szCs w:val="21"/>
          <w:vertAlign w:val="superscript"/>
          <w:lang w:val="en-US" w:eastAsia="zh-CN"/>
        </w:rPr>
        <w:t>3</w:t>
      </w:r>
      <w:r>
        <w:rPr>
          <w:rFonts w:hint="eastAsia" w:ascii="宋体" w:hAnsi="宋体" w:cs="Times New Roman"/>
          <w:sz w:val="21"/>
          <w:szCs w:val="21"/>
          <w:lang w:val="en-US" w:eastAsia="zh-CN"/>
        </w:rPr>
        <w:t>；复合氢氧化物产品的振实密度应不小于 1.5 g/cm</w:t>
      </w:r>
      <w:r>
        <w:rPr>
          <w:rFonts w:hint="eastAsia" w:ascii="宋体" w:hAnsi="宋体" w:cs="Times New Roman"/>
          <w:sz w:val="21"/>
          <w:szCs w:val="21"/>
          <w:vertAlign w:val="superscript"/>
          <w:lang w:val="en-US" w:eastAsia="zh-CN"/>
        </w:rPr>
        <w:t>3</w:t>
      </w:r>
      <w:r>
        <w:rPr>
          <w:rFonts w:hint="eastAsia" w:ascii="宋体" w:hAnsi="宋体" w:cs="Times New Roman"/>
          <w:sz w:val="21"/>
          <w:szCs w:val="21"/>
          <w:lang w:val="en-US" w:eastAsia="zh-CN"/>
        </w:rPr>
        <w:t>。</w:t>
      </w:r>
    </w:p>
    <w:p w14:paraId="0BF49E46">
      <w:pPr>
        <w:pStyle w:val="60"/>
        <w:numPr>
          <w:ilvl w:val="2"/>
          <w:numId w:val="0"/>
        </w:numPr>
        <w:spacing w:before="156" w:beforeLines="50" w:after="156" w:afterLines="50"/>
        <w:ind w:left="0" w:leftChars="0" w:firstLine="0" w:firstLineChars="0"/>
        <w:outlineLvl w:val="2"/>
        <w:rPr>
          <w:b/>
          <w:bCs/>
          <w:szCs w:val="21"/>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w:t>
      </w:r>
      <w:r>
        <w:rPr>
          <w:rFonts w:hint="eastAsia" w:cs="Times New Roman"/>
          <w:b/>
          <w:bCs/>
          <w:kern w:val="2"/>
          <w:sz w:val="21"/>
          <w:szCs w:val="21"/>
          <w:lang w:val="en-US" w:eastAsia="zh-CN" w:bidi="ar-SA"/>
        </w:rPr>
        <w:t>7</w:t>
      </w:r>
      <w:r>
        <w:rPr>
          <w:rFonts w:hint="eastAsia"/>
          <w:b/>
          <w:bCs/>
          <w:szCs w:val="21"/>
        </w:rPr>
        <w:t xml:space="preserve"> 粒度分布</w:t>
      </w:r>
    </w:p>
    <w:p w14:paraId="4572FAFA">
      <w:pPr>
        <w:ind w:firstLine="420" w:firstLineChars="200"/>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产品的粒度分布应符合正态分布，镍钴铝三元素复合氧化物产品D10应不小于 0.5 μm;D50应在 2.0 μm～22.0 μm范围内;D90应不大于 48.0 μm；复合氢氧化物产品的D10应不小于 0.5 μm;D50应在 2.0 μm～22.0 μm范围内;D90应不大于 30.0 μm。 </w:t>
      </w:r>
    </w:p>
    <w:p w14:paraId="71EB9365">
      <w:pPr>
        <w:pStyle w:val="60"/>
        <w:numPr>
          <w:ilvl w:val="2"/>
          <w:numId w:val="0"/>
        </w:numPr>
        <w:spacing w:before="156" w:beforeLines="50" w:after="156" w:afterLines="50"/>
        <w:ind w:left="0" w:leftChars="0" w:firstLine="0" w:firstLineChars="0"/>
        <w:outlineLvl w:val="2"/>
        <w:rPr>
          <w:b/>
          <w:bCs/>
          <w:szCs w:val="21"/>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w:t>
      </w:r>
      <w:r>
        <w:rPr>
          <w:rFonts w:hint="eastAsia" w:cs="Times New Roman"/>
          <w:b/>
          <w:bCs/>
          <w:kern w:val="2"/>
          <w:sz w:val="21"/>
          <w:szCs w:val="21"/>
          <w:lang w:val="en-US" w:eastAsia="zh-CN" w:bidi="ar-SA"/>
        </w:rPr>
        <w:t>8</w:t>
      </w:r>
      <w:r>
        <w:rPr>
          <w:rFonts w:hint="eastAsia"/>
          <w:b/>
          <w:bCs/>
          <w:szCs w:val="21"/>
          <w:lang w:val="en-US" w:eastAsia="zh-CN"/>
        </w:rPr>
        <w:t xml:space="preserve"> </w:t>
      </w:r>
      <w:r>
        <w:rPr>
          <w:rFonts w:hint="eastAsia"/>
          <w:b/>
          <w:bCs/>
          <w:szCs w:val="21"/>
        </w:rPr>
        <w:t>比表面积</w:t>
      </w:r>
    </w:p>
    <w:p w14:paraId="30FAB72C">
      <w:pPr>
        <w:ind w:firstLine="420" w:firstLineChars="200"/>
        <w:jc w:val="both"/>
        <w:rPr>
          <w:rFonts w:hint="eastAsia" w:ascii="宋体" w:hAnsi="宋体" w:cs="Times New Roman"/>
          <w:sz w:val="21"/>
          <w:szCs w:val="21"/>
          <w:lang w:val="en-US" w:eastAsia="zh-CN"/>
        </w:rPr>
      </w:pPr>
      <w:r>
        <w:rPr>
          <w:rFonts w:hint="eastAsia" w:ascii="宋体" w:hAnsi="宋体" w:cs="Times New Roman"/>
          <w:sz w:val="21"/>
          <w:szCs w:val="21"/>
        </w:rPr>
        <w:t>产品的比表面积会影响产品的加工性能，根据行业需求，设定比表面积指标，</w:t>
      </w:r>
      <w:r>
        <w:rPr>
          <w:rFonts w:hint="eastAsia" w:ascii="宋体" w:hAnsi="宋体" w:cs="Times New Roman"/>
          <w:sz w:val="21"/>
          <w:szCs w:val="21"/>
          <w:lang w:val="en-US" w:eastAsia="zh-CN"/>
        </w:rPr>
        <w:t>镍钴铝三元素复合氧化物产品的比表面积应不大于 75 m</w:t>
      </w:r>
      <w:r>
        <w:rPr>
          <w:rFonts w:hint="eastAsia" w:ascii="宋体" w:hAnsi="宋体" w:cs="Times New Roman"/>
          <w:sz w:val="21"/>
          <w:szCs w:val="21"/>
          <w:vertAlign w:val="superscript"/>
          <w:lang w:val="en-US" w:eastAsia="zh-CN"/>
        </w:rPr>
        <w:t>2</w:t>
      </w:r>
      <w:r>
        <w:rPr>
          <w:rFonts w:hint="eastAsia" w:ascii="宋体" w:hAnsi="宋体" w:cs="Times New Roman"/>
          <w:sz w:val="21"/>
          <w:szCs w:val="21"/>
          <w:lang w:val="en-US" w:eastAsia="zh-CN"/>
        </w:rPr>
        <w:t>/g；复合氢氧化物产品的比表面积应不大于25 m</w:t>
      </w:r>
      <w:r>
        <w:rPr>
          <w:rFonts w:hint="eastAsia" w:ascii="宋体" w:hAnsi="宋体" w:cs="Times New Roman"/>
          <w:sz w:val="21"/>
          <w:szCs w:val="21"/>
          <w:vertAlign w:val="superscript"/>
          <w:lang w:val="en-US" w:eastAsia="zh-CN"/>
        </w:rPr>
        <w:t>2</w:t>
      </w:r>
      <w:r>
        <w:rPr>
          <w:rFonts w:hint="eastAsia" w:ascii="宋体" w:hAnsi="宋体" w:cs="Times New Roman"/>
          <w:sz w:val="21"/>
          <w:szCs w:val="21"/>
          <w:lang w:val="en-US" w:eastAsia="zh-CN"/>
        </w:rPr>
        <w:t>/g。</w:t>
      </w:r>
    </w:p>
    <w:p w14:paraId="2ECD71DE">
      <w:pPr>
        <w:pStyle w:val="27"/>
        <w:ind w:firstLine="420"/>
        <w:rPr>
          <w:rFonts w:hint="default" w:ascii="Times New Roman" w:hAnsi="Times New Roman" w:cs="Times New Roman"/>
        </w:rPr>
      </w:pPr>
    </w:p>
    <w:p w14:paraId="1EC27AC6">
      <w:pPr>
        <w:widowControl w:val="0"/>
        <w:spacing w:before="156" w:beforeLines="50" w:after="156" w:afterLines="50"/>
        <w:jc w:val="both"/>
        <w:outlineLvl w:val="1"/>
        <w:rPr>
          <w:b/>
          <w:bCs/>
          <w:sz w:val="21"/>
          <w:szCs w:val="21"/>
        </w:rPr>
      </w:pPr>
      <w:r>
        <w:rPr>
          <w:b/>
          <w:bCs/>
          <w:sz w:val="21"/>
          <w:szCs w:val="21"/>
        </w:rPr>
        <w:t xml:space="preserve">3.3 </w:t>
      </w:r>
      <w:r>
        <w:rPr>
          <w:rFonts w:hint="eastAsia"/>
          <w:b/>
          <w:bCs/>
          <w:sz w:val="21"/>
          <w:szCs w:val="21"/>
        </w:rPr>
        <w:t>试验方法确定依据</w:t>
      </w:r>
    </w:p>
    <w:p w14:paraId="363A4BDD">
      <w:pPr>
        <w:pStyle w:val="60"/>
        <w:numPr>
          <w:ilvl w:val="2"/>
          <w:numId w:val="6"/>
        </w:numPr>
        <w:spacing w:before="156" w:beforeLines="50" w:after="156" w:afterLines="50"/>
        <w:ind w:firstLineChars="0"/>
        <w:outlineLvl w:val="2"/>
        <w:rPr>
          <w:b/>
          <w:bCs/>
          <w:szCs w:val="21"/>
        </w:rPr>
      </w:pPr>
      <w:r>
        <w:rPr>
          <w:rFonts w:hint="eastAsia"/>
          <w:b/>
          <w:bCs/>
          <w:szCs w:val="21"/>
        </w:rPr>
        <w:t xml:space="preserve"> 化学成分</w:t>
      </w:r>
    </w:p>
    <w:p w14:paraId="11768F76">
      <w:pPr>
        <w:pStyle w:val="60"/>
        <w:numPr>
          <w:ilvl w:val="2"/>
          <w:numId w:val="6"/>
        </w:numPr>
        <w:spacing w:before="156" w:beforeLines="50" w:after="156" w:afterLines="50"/>
        <w:ind w:firstLineChars="0"/>
        <w:outlineLvl w:val="2"/>
        <w:rPr>
          <w:rFonts w:hint="eastAsia"/>
          <w:b/>
          <w:bCs/>
          <w:szCs w:val="21"/>
        </w:rPr>
      </w:pPr>
      <w:r>
        <w:rPr>
          <w:rFonts w:hint="eastAsia"/>
          <w:b/>
          <w:bCs/>
          <w:szCs w:val="21"/>
        </w:rPr>
        <w:t>产品化学成分的测定按</w:t>
      </w:r>
      <w:r>
        <w:rPr>
          <w:rFonts w:hint="eastAsia"/>
          <w:b/>
          <w:bCs/>
          <w:szCs w:val="21"/>
          <w:lang w:val="en-US" w:eastAsia="zh-CN"/>
        </w:rPr>
        <w:t>以下</w:t>
      </w:r>
      <w:r>
        <w:rPr>
          <w:rFonts w:hint="eastAsia"/>
          <w:b/>
          <w:bCs/>
          <w:szCs w:val="21"/>
        </w:rPr>
        <w:t>的规定进行。</w:t>
      </w:r>
    </w:p>
    <w:p w14:paraId="006D8D62">
      <w:pPr>
        <w:keepNext w:val="0"/>
        <w:keepLines w:val="0"/>
        <w:widowControl/>
        <w:suppressLineNumbers w:val="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镍钴铝三元前驱体产品化学成分的测定参照YS/T 1445.3-2021的规定执行或者按供需双方协商认可的方法进行。</w:t>
      </w:r>
    </w:p>
    <w:p w14:paraId="4CD3FE52">
      <w:pPr>
        <w:pStyle w:val="60"/>
        <w:numPr>
          <w:ilvl w:val="2"/>
          <w:numId w:val="6"/>
        </w:numPr>
        <w:spacing w:before="156" w:beforeLines="50" w:after="156" w:afterLines="50"/>
        <w:ind w:firstLineChars="0"/>
        <w:outlineLvl w:val="2"/>
        <w:rPr>
          <w:b/>
          <w:bCs/>
          <w:szCs w:val="21"/>
        </w:rPr>
      </w:pPr>
      <w:r>
        <w:rPr>
          <w:rFonts w:hint="eastAsia"/>
          <w:b/>
          <w:bCs/>
          <w:szCs w:val="21"/>
        </w:rPr>
        <w:t xml:space="preserve"> 水分含量</w:t>
      </w:r>
    </w:p>
    <w:p w14:paraId="2B9A2D3A">
      <w:pPr>
        <w:keepNext w:val="0"/>
        <w:keepLines w:val="0"/>
        <w:widowControl/>
        <w:suppressLineNumbers w:val="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镍钴铝三元前驱体产品水分含量的测定按 GB/T 6284的规定进行。</w:t>
      </w:r>
    </w:p>
    <w:p w14:paraId="358842B9">
      <w:pPr>
        <w:pStyle w:val="60"/>
        <w:numPr>
          <w:ilvl w:val="2"/>
          <w:numId w:val="6"/>
        </w:numPr>
        <w:spacing w:before="156" w:beforeLines="50" w:after="156" w:afterLines="50"/>
        <w:ind w:firstLineChars="0"/>
        <w:outlineLvl w:val="2"/>
        <w:rPr>
          <w:b/>
          <w:bCs/>
          <w:szCs w:val="21"/>
        </w:rPr>
      </w:pPr>
      <w:r>
        <w:rPr>
          <w:b/>
          <w:bCs/>
          <w:szCs w:val="21"/>
        </w:rPr>
        <w:t xml:space="preserve"> </w:t>
      </w:r>
      <w:r>
        <w:rPr>
          <w:rFonts w:hint="eastAsia"/>
          <w:b/>
          <w:bCs/>
          <w:szCs w:val="21"/>
        </w:rPr>
        <w:t>外观质量</w:t>
      </w:r>
    </w:p>
    <w:p w14:paraId="2F721B1A">
      <w:pPr>
        <w:ind w:firstLine="420" w:firstLineChars="200"/>
        <w:jc w:val="both"/>
        <w:rPr>
          <w:rFonts w:hint="eastAsia" w:ascii="宋体" w:hAnsi="Times New Roman" w:eastAsia="宋体" w:cs="Times New Roman"/>
          <w:kern w:val="0"/>
          <w:sz w:val="21"/>
          <w:szCs w:val="20"/>
          <w:lang w:val="en-US" w:eastAsia="zh-CN" w:bidi="ar-SA"/>
        </w:rPr>
      </w:pPr>
      <w:r>
        <w:rPr>
          <w:rFonts w:hint="eastAsia"/>
          <w:sz w:val="21"/>
          <w:szCs w:val="21"/>
        </w:rPr>
        <w:t>产</w:t>
      </w:r>
      <w:r>
        <w:rPr>
          <w:rFonts w:hint="eastAsia" w:ascii="宋体" w:hAnsi="Times New Roman" w:eastAsia="宋体" w:cs="Times New Roman"/>
          <w:kern w:val="0"/>
          <w:sz w:val="21"/>
          <w:szCs w:val="20"/>
          <w:lang w:val="en-US" w:eastAsia="zh-CN" w:bidi="ar-SA"/>
        </w:rPr>
        <w:t>品的外观用目视检查。</w:t>
      </w:r>
    </w:p>
    <w:p w14:paraId="22700C8E">
      <w:pPr>
        <w:pStyle w:val="60"/>
        <w:numPr>
          <w:ilvl w:val="2"/>
          <w:numId w:val="6"/>
        </w:numPr>
        <w:spacing w:before="156" w:beforeLines="50" w:after="156" w:afterLines="50"/>
        <w:ind w:firstLineChars="0"/>
        <w:outlineLvl w:val="2"/>
        <w:rPr>
          <w:rFonts w:ascii="Times New Roman" w:hAnsi="Times New Roman" w:cs="Times New Roman"/>
          <w:b/>
          <w:bCs/>
          <w:szCs w:val="21"/>
        </w:rPr>
      </w:pPr>
      <w:r>
        <w:rPr>
          <w:rFonts w:hint="eastAsia" w:ascii="Times New Roman" w:hAnsi="Times New Roman" w:cs="Times New Roman"/>
          <w:b/>
          <w:bCs/>
          <w:szCs w:val="21"/>
          <w:lang w:val="en-US" w:eastAsia="zh-CN"/>
        </w:rPr>
        <w:t xml:space="preserve"> 磁性异物</w:t>
      </w:r>
    </w:p>
    <w:p w14:paraId="4E00ED30">
      <w:pPr>
        <w:keepNext w:val="0"/>
        <w:keepLines w:val="0"/>
        <w:widowControl/>
        <w:suppressLineNumbers w:val="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镍钴铝三元前驱体产品磁性异物含量的测定按 GB/T 41704-2022 中4.1的规定进行。</w:t>
      </w:r>
    </w:p>
    <w:p w14:paraId="26F99051">
      <w:pPr>
        <w:pStyle w:val="60"/>
        <w:numPr>
          <w:ilvl w:val="2"/>
          <w:numId w:val="6"/>
        </w:numPr>
        <w:spacing w:before="156" w:beforeLines="50" w:after="156" w:afterLines="50"/>
        <w:ind w:firstLineChars="0"/>
        <w:outlineLvl w:val="2"/>
        <w:rPr>
          <w:b/>
          <w:bCs/>
          <w:szCs w:val="21"/>
        </w:rPr>
      </w:pPr>
      <w:r>
        <w:rPr>
          <w:rFonts w:hint="eastAsia"/>
          <w:b/>
          <w:bCs/>
          <w:szCs w:val="21"/>
          <w:lang w:val="en-US" w:eastAsia="zh-CN"/>
        </w:rPr>
        <w:t xml:space="preserve"> 振实</w:t>
      </w:r>
      <w:r>
        <w:rPr>
          <w:rFonts w:hint="eastAsia"/>
          <w:b/>
          <w:bCs/>
          <w:szCs w:val="21"/>
        </w:rPr>
        <w:t>密度</w:t>
      </w:r>
    </w:p>
    <w:p w14:paraId="477FAF3C">
      <w:pPr>
        <w:keepNext w:val="0"/>
        <w:keepLines w:val="0"/>
        <w:widowControl/>
        <w:suppressLineNumbers w:val="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镍钴铝三元前驱体产品振实密度的测定按 GB/T5162的规定进行。</w:t>
      </w:r>
    </w:p>
    <w:p w14:paraId="116CA150">
      <w:pPr>
        <w:pStyle w:val="60"/>
        <w:numPr>
          <w:ilvl w:val="2"/>
          <w:numId w:val="6"/>
        </w:numPr>
        <w:spacing w:before="156" w:beforeLines="50" w:after="156" w:afterLines="50"/>
        <w:ind w:firstLineChars="0"/>
        <w:outlineLvl w:val="2"/>
        <w:rPr>
          <w:b/>
          <w:bCs/>
          <w:szCs w:val="21"/>
        </w:rPr>
      </w:pPr>
      <w:r>
        <w:rPr>
          <w:rFonts w:hint="eastAsia"/>
          <w:b/>
          <w:bCs/>
          <w:szCs w:val="21"/>
          <w:lang w:val="en-US" w:eastAsia="zh-CN"/>
        </w:rPr>
        <w:t xml:space="preserve"> 松装</w:t>
      </w:r>
      <w:r>
        <w:rPr>
          <w:rFonts w:hint="eastAsia"/>
          <w:b/>
          <w:bCs/>
          <w:szCs w:val="21"/>
        </w:rPr>
        <w:t>密度</w:t>
      </w:r>
    </w:p>
    <w:p w14:paraId="55E844E8">
      <w:pPr>
        <w:keepNext w:val="0"/>
        <w:keepLines w:val="0"/>
        <w:widowControl/>
        <w:suppressLineNumbers w:val="0"/>
        <w:jc w:val="left"/>
        <w:rPr>
          <w:b/>
          <w:bCs/>
          <w:szCs w:val="21"/>
        </w:rPr>
      </w:pPr>
      <w:r>
        <w:rPr>
          <w:rFonts w:hint="eastAsia" w:ascii="宋体" w:hAnsi="Times New Roman" w:eastAsia="宋体" w:cs="Times New Roman"/>
          <w:kern w:val="0"/>
          <w:sz w:val="21"/>
          <w:szCs w:val="20"/>
          <w:lang w:val="en-US" w:eastAsia="zh-CN" w:bidi="ar-SA"/>
        </w:rPr>
        <w:t>镍钴铝三元前驱体产品松装密度的测定按 GB/T1479.1 的规定进行。</w:t>
      </w:r>
    </w:p>
    <w:p w14:paraId="4CEB1BD5">
      <w:pPr>
        <w:keepNext w:val="0"/>
        <w:keepLines w:val="0"/>
        <w:widowControl/>
        <w:suppressLineNumbers w:val="0"/>
        <w:jc w:val="left"/>
        <w:rPr>
          <w:rFonts w:hint="eastAsia" w:ascii="宋体" w:hAnsi="Times New Roman" w:eastAsia="宋体" w:cs="Times New Roman"/>
          <w:kern w:val="0"/>
          <w:sz w:val="21"/>
          <w:szCs w:val="20"/>
          <w:lang w:val="en-US" w:eastAsia="zh-CN" w:bidi="ar-SA"/>
        </w:rPr>
      </w:pPr>
    </w:p>
    <w:p w14:paraId="396FB511">
      <w:pPr>
        <w:pStyle w:val="60"/>
        <w:numPr>
          <w:ilvl w:val="2"/>
          <w:numId w:val="6"/>
        </w:numPr>
        <w:spacing w:before="156" w:beforeLines="50" w:after="156" w:afterLines="50"/>
        <w:ind w:firstLineChars="0"/>
        <w:outlineLvl w:val="2"/>
        <w:rPr>
          <w:b/>
          <w:bCs/>
          <w:szCs w:val="21"/>
        </w:rPr>
      </w:pPr>
      <w:r>
        <w:rPr>
          <w:rFonts w:hint="eastAsia"/>
          <w:b/>
          <w:bCs/>
          <w:szCs w:val="21"/>
          <w:lang w:val="en-US" w:eastAsia="zh-CN"/>
        </w:rPr>
        <w:t xml:space="preserve"> </w:t>
      </w:r>
      <w:r>
        <w:rPr>
          <w:rFonts w:hint="eastAsia"/>
          <w:b/>
          <w:bCs/>
          <w:szCs w:val="21"/>
        </w:rPr>
        <w:t>粒度分布</w:t>
      </w:r>
    </w:p>
    <w:p w14:paraId="245F768F">
      <w:pPr>
        <w:ind w:firstLine="420" w:firstLineChars="200"/>
        <w:jc w:val="both"/>
        <w:rPr>
          <w:sz w:val="21"/>
          <w:szCs w:val="21"/>
        </w:rPr>
      </w:pPr>
      <w:r>
        <w:rPr>
          <w:rFonts w:hint="eastAsia"/>
          <w:sz w:val="21"/>
          <w:szCs w:val="21"/>
        </w:rPr>
        <w:t>参照锂离子电池正极材料粒度分布的测试方法，本文件中产品粒度分布的测定按GB/T 19077的规定进行。</w:t>
      </w:r>
    </w:p>
    <w:p w14:paraId="69B68D7A">
      <w:pPr>
        <w:pStyle w:val="60"/>
        <w:numPr>
          <w:ilvl w:val="2"/>
          <w:numId w:val="6"/>
        </w:numPr>
        <w:spacing w:before="156" w:beforeLines="50" w:after="156" w:afterLines="50"/>
        <w:ind w:firstLineChars="0"/>
        <w:outlineLvl w:val="2"/>
        <w:rPr>
          <w:b/>
          <w:bCs/>
          <w:szCs w:val="21"/>
        </w:rPr>
      </w:pPr>
      <w:r>
        <w:rPr>
          <w:rFonts w:hint="eastAsia"/>
          <w:b/>
          <w:bCs/>
          <w:szCs w:val="21"/>
          <w:lang w:val="en-US" w:eastAsia="zh-CN"/>
        </w:rPr>
        <w:t xml:space="preserve"> </w:t>
      </w:r>
      <w:r>
        <w:rPr>
          <w:rFonts w:hint="eastAsia"/>
          <w:b/>
          <w:bCs/>
          <w:szCs w:val="21"/>
        </w:rPr>
        <w:t>比表面积</w:t>
      </w:r>
    </w:p>
    <w:p w14:paraId="798DB6B8">
      <w:pPr>
        <w:ind w:firstLine="420" w:firstLineChars="200"/>
        <w:jc w:val="both"/>
        <w:rPr>
          <w:sz w:val="21"/>
          <w:szCs w:val="21"/>
        </w:rPr>
      </w:pPr>
      <w:r>
        <w:rPr>
          <w:rFonts w:hint="eastAsia"/>
          <w:sz w:val="21"/>
          <w:szCs w:val="21"/>
        </w:rPr>
        <w:t>参照锂离子电池正极材料比表面积的测试方法，本文件中产品比表面积的测定按GB/T 19587的规定进行。</w:t>
      </w:r>
    </w:p>
    <w:p w14:paraId="14CBC7BB">
      <w:pPr>
        <w:widowControl w:val="0"/>
        <w:spacing w:before="312" w:beforeLines="100" w:after="312" w:afterLines="100"/>
        <w:jc w:val="both"/>
        <w:outlineLvl w:val="0"/>
        <w:rPr>
          <w:b/>
          <w:bCs/>
        </w:rPr>
      </w:pPr>
      <w:r>
        <w:rPr>
          <w:rFonts w:hint="eastAsia"/>
          <w:b/>
          <w:bCs/>
        </w:rPr>
        <w:t>四、</w:t>
      </w:r>
      <w:r>
        <w:rPr>
          <w:b/>
          <w:bCs/>
        </w:rPr>
        <w:t>标准中涉及的专利情况</w:t>
      </w:r>
    </w:p>
    <w:p w14:paraId="064D5A44">
      <w:pPr>
        <w:widowControl w:val="0"/>
        <w:ind w:firstLine="420" w:firstLineChars="200"/>
        <w:jc w:val="both"/>
        <w:rPr>
          <w:sz w:val="21"/>
          <w:szCs w:val="21"/>
        </w:rPr>
      </w:pPr>
      <w:r>
        <w:rPr>
          <w:sz w:val="21"/>
          <w:szCs w:val="21"/>
        </w:rPr>
        <w:t>本文件不涉及专利问题。</w:t>
      </w:r>
    </w:p>
    <w:p w14:paraId="57AEA4A3">
      <w:pPr>
        <w:widowControl w:val="0"/>
        <w:spacing w:before="312" w:beforeLines="100" w:after="312" w:afterLines="100"/>
        <w:jc w:val="both"/>
        <w:outlineLvl w:val="0"/>
        <w:rPr>
          <w:b/>
          <w:bCs/>
        </w:rPr>
      </w:pPr>
      <w:r>
        <w:rPr>
          <w:rFonts w:hint="eastAsia"/>
          <w:b/>
          <w:bCs/>
        </w:rPr>
        <w:t>五、</w:t>
      </w:r>
      <w:r>
        <w:rPr>
          <w:b/>
          <w:bCs/>
        </w:rPr>
        <w:t>标准预期达到的社会效益等情况</w:t>
      </w:r>
    </w:p>
    <w:p w14:paraId="1A270829">
      <w:pPr>
        <w:widowControl w:val="0"/>
        <w:spacing w:before="156" w:beforeLines="50" w:after="156" w:afterLines="50"/>
        <w:jc w:val="both"/>
        <w:outlineLvl w:val="1"/>
        <w:rPr>
          <w:b/>
          <w:bCs/>
          <w:sz w:val="21"/>
          <w:szCs w:val="21"/>
        </w:rPr>
      </w:pPr>
      <w:r>
        <w:rPr>
          <w:b/>
          <w:bCs/>
          <w:sz w:val="21"/>
          <w:szCs w:val="21"/>
        </w:rPr>
        <w:t>5.1 标准编写的目的和意义</w:t>
      </w:r>
    </w:p>
    <w:p w14:paraId="60D2013F">
      <w:pPr>
        <w:ind w:firstLine="420" w:firstLineChars="20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受益于“中国制造2025”的重大发展战略和新能源汽车产业政策，我国已形成了全球最大的电动汽车市场。电池作为电动汽车的核心部件之一，其性能直接制约新能源汽车的综合性能，而电池的性能又极大地受制于四大材料中的正极材料。在当前电动汽车对高续航里程、高安全性能的苛刻要求下，</w:t>
      </w:r>
      <w:r>
        <w:rPr>
          <w:rFonts w:hint="eastAsia" w:ascii="Times New Roman" w:hAnsi="Times New Roman" w:cs="Times New Roman"/>
          <w:sz w:val="21"/>
          <w:szCs w:val="21"/>
        </w:rPr>
        <w:t>镍钴锰三元</w:t>
      </w:r>
      <w:r>
        <w:rPr>
          <w:rFonts w:hint="eastAsia" w:ascii="Times New Roman" w:hAnsi="Times New Roman" w:cs="Times New Roman"/>
          <w:sz w:val="21"/>
          <w:szCs w:val="21"/>
          <w:lang w:val="en-US" w:eastAsia="zh-CN"/>
        </w:rPr>
        <w:t>锂电正极</w:t>
      </w:r>
      <w:r>
        <w:rPr>
          <w:rFonts w:hint="eastAsia" w:ascii="Times New Roman" w:hAnsi="Times New Roman" w:cs="Times New Roman"/>
          <w:sz w:val="21"/>
          <w:szCs w:val="21"/>
        </w:rPr>
        <w:t>材料</w:t>
      </w:r>
      <w:r>
        <w:rPr>
          <w:rFonts w:hint="eastAsia" w:ascii="Times New Roman" w:hAnsi="Times New Roman" w:cs="Times New Roman"/>
          <w:sz w:val="21"/>
          <w:szCs w:val="21"/>
          <w:lang w:val="en-US" w:eastAsia="zh-CN"/>
        </w:rPr>
        <w:t>因其优异的性质（如高的能量密度、功率密度以及强的续航能力等）成为研究的热点，成为市场中的明星材料。镍钴锰、镍钴铝系三元锂电正极材料已经在一些车企中应用，推动了产业链的发展，与之对应的前驱体材料产业也取得了快速的发展，性能处在不断优化与改善中。</w:t>
      </w:r>
    </w:p>
    <w:p w14:paraId="2BF5BA96">
      <w:pPr>
        <w:ind w:firstLine="420" w:firstLineChars="20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近年来，随着世界各国大力发展新能源汽车，电池作为其动力系统的核心，也被各国大力发展，而三元正极材料作为目前的主流新能源材料，其更新换代速度逐年加快，由最初的111、523、622等中低镍，发展到现在的811高镍产品，甚至更高的9系高镍产品，电池容量越来越高，成本越来越低，但随之而来的是其循环变差以及产品安全隐患增大的重大问题。</w:t>
      </w:r>
    </w:p>
    <w:p w14:paraId="6C106B6D">
      <w:pPr>
        <w:ind w:firstLine="420" w:firstLineChars="20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相比于中低镍的三元正极材料，8系9系的三元正极材料由于其镍含量的大幅度提高，其电池容量显著提高，但也由于其镍含量的提高，在电池充放电过程中，结构中更多的+3价镍与+2价镍之间发生阳离子混排，更易造成正极材料结构塌陷，破坏电池的正极结构，降低其容量和循环性，并且引发其安全问题。而中低镍的三元正极材料，其镍含量较低，相对的钴、锰的含量则大幅度提高，这两种元素有效的提高了电池的循环性能，保持了材料的稳定性，但其在较大程度上牺牲了电池的容量。而镍钴铝产品相比于镍钴锰产品，由于铝的存在，极大程度的稳定了正极材料的结构，拥有比镍钴锰更优的安全性能，且成本更低。</w:t>
      </w:r>
      <w:r>
        <w:rPr>
          <w:rFonts w:hint="default" w:ascii="Times New Roman" w:hAnsi="Times New Roman" w:cs="Times New Roman"/>
          <w:sz w:val="21"/>
          <w:szCs w:val="21"/>
          <w:lang w:val="en-US" w:eastAsia="zh-CN"/>
        </w:rPr>
        <w:t>过渡金属铝元素的加入所形成的Al-O化学键强度远大于Ni(Co，Mn)-O化学键，从化学性质上增强了正极的稳定性，进而使得NCA</w:t>
      </w:r>
      <w:r>
        <w:rPr>
          <w:rFonts w:hint="eastAsia" w:ascii="Times New Roman" w:hAnsi="Times New Roman" w:cs="Times New Roman"/>
          <w:sz w:val="21"/>
          <w:szCs w:val="21"/>
          <w:lang w:val="en-US" w:eastAsia="zh-CN"/>
        </w:rPr>
        <w:t>三</w:t>
      </w:r>
      <w:r>
        <w:rPr>
          <w:rFonts w:hint="default" w:ascii="Times New Roman" w:hAnsi="Times New Roman" w:cs="Times New Roman"/>
          <w:sz w:val="21"/>
          <w:szCs w:val="21"/>
          <w:lang w:val="en-US" w:eastAsia="zh-CN"/>
        </w:rPr>
        <w:t>元电池H2—H3不可逆相变的电压在经过多次循环后仍然保持稳定状态，且Li元素在正极的脱嵌过程中不易释放氧元素，减少了过渡金属的溶解，提升了晶体结构的稳定性。</w:t>
      </w:r>
    </w:p>
    <w:p w14:paraId="09C8B2F9">
      <w:pPr>
        <w:ind w:firstLine="420" w:firstLineChars="200"/>
        <w:jc w:val="both"/>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展望未来，随着规模量产落地，</w:t>
      </w:r>
      <w:r>
        <w:rPr>
          <w:rFonts w:hint="eastAsia" w:ascii="Times New Roman" w:hAnsi="Times New Roman" w:cs="Times New Roman"/>
          <w:sz w:val="21"/>
          <w:szCs w:val="21"/>
          <w:lang w:val="en-US" w:eastAsia="zh-CN"/>
        </w:rPr>
        <w:t>正极材料是锂离子电池最核心的关键材料，决定了电池的能量密度和成本。因此，开发高性能、低成本、高安全的正极材料是推动锂离子电池产业化和市场快速应用的关键。</w:t>
      </w:r>
    </w:p>
    <w:p w14:paraId="62484EB0">
      <w:pPr>
        <w:ind w:firstLine="420" w:firstLineChars="200"/>
        <w:jc w:val="both"/>
        <w:rPr>
          <w:rFonts w:hint="default" w:ascii="Times New Roman" w:hAnsi="Times New Roman" w:cs="Times New Roman"/>
          <w:i w:val="0"/>
          <w:iCs/>
          <w:color w:val="auto"/>
          <w:sz w:val="18"/>
        </w:rPr>
      </w:pPr>
      <w:r>
        <w:rPr>
          <w:rFonts w:hint="eastAsia" w:ascii="Times New Roman" w:hAnsi="Times New Roman" w:cs="Times New Roman"/>
          <w:sz w:val="21"/>
          <w:szCs w:val="21"/>
          <w:lang w:val="en-US" w:eastAsia="zh-CN"/>
        </w:rPr>
        <w:t>综上所述，</w:t>
      </w:r>
      <w:r>
        <w:rPr>
          <w:rFonts w:hint="eastAsia" w:ascii="Times New Roman" w:hAnsi="Times New Roman" w:cs="Times New Roman"/>
          <w:sz w:val="21"/>
          <w:szCs w:val="21"/>
        </w:rPr>
        <w:t>为了提高产品质量</w:t>
      </w:r>
      <w:r>
        <w:rPr>
          <w:rFonts w:hint="eastAsia" w:ascii="Times New Roman" w:hAnsi="Times New Roman" w:cs="Times New Roman"/>
          <w:sz w:val="21"/>
          <w:szCs w:val="21"/>
          <w:lang w:val="en-US" w:eastAsia="zh-CN"/>
        </w:rPr>
        <w:t>缩短材料进入产业化阶段的调整期</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使产业链中各企业对原料质量有共同的参考标准</w:t>
      </w:r>
      <w:r>
        <w:rPr>
          <w:rFonts w:hint="eastAsia" w:ascii="Times New Roman" w:hAnsi="Times New Roman" w:cs="Times New Roman"/>
          <w:sz w:val="21"/>
          <w:szCs w:val="21"/>
          <w:lang w:val="en-US" w:eastAsia="zh-CN"/>
        </w:rPr>
        <w:t>进而有效遏制各行其是现象</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并</w:t>
      </w:r>
      <w:r>
        <w:rPr>
          <w:rFonts w:hint="eastAsia" w:ascii="Times New Roman" w:hAnsi="Times New Roman" w:cs="Times New Roman"/>
          <w:sz w:val="21"/>
          <w:szCs w:val="21"/>
        </w:rPr>
        <w:t>保障整条产业链飞速稳定发展，</w:t>
      </w:r>
      <w:r>
        <w:rPr>
          <w:rFonts w:hint="eastAsia" w:ascii="Times New Roman" w:hAnsi="Times New Roman" w:cs="Times New Roman"/>
          <w:sz w:val="21"/>
          <w:szCs w:val="21"/>
          <w:lang w:val="en-US" w:eastAsia="zh-CN"/>
        </w:rPr>
        <w:t>最终促进我国电池制造水平更上一层楼，</w:t>
      </w:r>
      <w:r>
        <w:rPr>
          <w:rFonts w:hint="eastAsia" w:ascii="Times New Roman" w:hAnsi="Times New Roman" w:cs="Times New Roman"/>
          <w:sz w:val="21"/>
          <w:szCs w:val="21"/>
        </w:rPr>
        <w:t>制定该产品的行业标准</w:t>
      </w:r>
      <w:r>
        <w:rPr>
          <w:rFonts w:hint="eastAsia" w:ascii="Times New Roman" w:hAnsi="Times New Roman" w:cs="Times New Roman"/>
          <w:sz w:val="21"/>
          <w:szCs w:val="21"/>
          <w:lang w:val="en-US" w:eastAsia="zh-CN"/>
        </w:rPr>
        <w:t>不仅是具有深远意义的更加也是势在必行的</w:t>
      </w:r>
      <w:r>
        <w:rPr>
          <w:rFonts w:hint="eastAsia" w:ascii="Times New Roman" w:hAnsi="Times New Roman" w:cs="Times New Roman"/>
          <w:sz w:val="21"/>
          <w:szCs w:val="21"/>
        </w:rPr>
        <w:t>。</w:t>
      </w:r>
    </w:p>
    <w:p w14:paraId="763D6671">
      <w:pPr>
        <w:widowControl w:val="0"/>
        <w:spacing w:before="156" w:beforeLines="50" w:after="156" w:afterLines="50"/>
        <w:jc w:val="both"/>
        <w:outlineLvl w:val="1"/>
        <w:rPr>
          <w:b/>
          <w:bCs/>
          <w:sz w:val="21"/>
          <w:szCs w:val="21"/>
        </w:rPr>
      </w:pPr>
      <w:r>
        <w:rPr>
          <w:b/>
          <w:bCs/>
          <w:sz w:val="21"/>
          <w:szCs w:val="21"/>
        </w:rPr>
        <w:t>5.2 标准预期的作用和效益</w:t>
      </w:r>
    </w:p>
    <w:p w14:paraId="27067798">
      <w:pPr>
        <w:widowControl w:val="0"/>
        <w:ind w:firstLine="420" w:firstLineChars="200"/>
        <w:jc w:val="both"/>
        <w:rPr>
          <w:sz w:val="21"/>
          <w:szCs w:val="21"/>
        </w:rPr>
      </w:pPr>
      <w:r>
        <w:rPr>
          <w:rFonts w:hint="eastAsia" w:ascii="Times New Roman" w:hAnsi="Times New Roman" w:cs="Times New Roman"/>
          <w:sz w:val="21"/>
          <w:szCs w:val="21"/>
          <w:lang w:val="en-US" w:eastAsia="zh-CN"/>
        </w:rPr>
        <w:t>随着前驱体材料产业也取得了快速的发展，性能处在不断优化与改善提高产品质量。本标准的修订将有助于缩短材料进入产业化阶段的调整期，使产业链中各企业对原料质量有共同的参考标准进而有效遏制各行其是现象，并保障整条产业链飞速稳定发展，最终促进我国电池制造水平更上一层楼。</w:t>
      </w:r>
    </w:p>
    <w:p w14:paraId="2DCA318A">
      <w:pPr>
        <w:widowControl w:val="0"/>
        <w:spacing w:before="312" w:beforeLines="100" w:after="312" w:afterLines="100"/>
        <w:jc w:val="both"/>
        <w:outlineLvl w:val="0"/>
        <w:rPr>
          <w:b/>
          <w:bCs/>
        </w:rPr>
      </w:pPr>
      <w:r>
        <w:rPr>
          <w:rFonts w:hint="eastAsia"/>
          <w:b/>
          <w:bCs/>
        </w:rPr>
        <w:t>六、</w:t>
      </w:r>
      <w:r>
        <w:rPr>
          <w:b/>
          <w:bCs/>
        </w:rPr>
        <w:t>采用国际标准和国外先进标准的情况</w:t>
      </w:r>
    </w:p>
    <w:p w14:paraId="536EA261">
      <w:pPr>
        <w:widowControl w:val="0"/>
        <w:ind w:firstLine="420" w:firstLineChars="200"/>
        <w:jc w:val="both"/>
        <w:rPr>
          <w:b/>
          <w:bCs/>
          <w:sz w:val="21"/>
          <w:szCs w:val="21"/>
        </w:rPr>
      </w:pPr>
      <w:r>
        <w:rPr>
          <w:rFonts w:hint="eastAsia"/>
          <w:sz w:val="21"/>
          <w:szCs w:val="21"/>
        </w:rPr>
        <w:t>本文件为我国首次制定，</w:t>
      </w:r>
      <w:r>
        <w:rPr>
          <w:sz w:val="21"/>
          <w:szCs w:val="21"/>
        </w:rPr>
        <w:t>经查询，本文件与国内外现行标准及制定中的标准无重复交叉情况。</w:t>
      </w:r>
    </w:p>
    <w:p w14:paraId="1CDA3642">
      <w:pPr>
        <w:widowControl w:val="0"/>
        <w:spacing w:before="312" w:beforeLines="100" w:after="312" w:afterLines="100"/>
        <w:jc w:val="both"/>
        <w:outlineLvl w:val="0"/>
        <w:rPr>
          <w:b/>
          <w:bCs/>
          <w:sz w:val="21"/>
          <w:szCs w:val="21"/>
        </w:rPr>
      </w:pPr>
      <w:r>
        <w:rPr>
          <w:rFonts w:hint="eastAsia"/>
          <w:b/>
          <w:bCs/>
        </w:rPr>
        <w:t>七、</w:t>
      </w:r>
      <w:r>
        <w:rPr>
          <w:b/>
          <w:bCs/>
        </w:rPr>
        <w:t>与现行法律、法规、强制性国家标准及相关标准协调配套情况</w:t>
      </w:r>
    </w:p>
    <w:p w14:paraId="15A6D75A">
      <w:pPr>
        <w:widowControl w:val="0"/>
        <w:ind w:firstLine="420" w:firstLineChars="200"/>
        <w:jc w:val="both"/>
        <w:rPr>
          <w:sz w:val="21"/>
          <w:szCs w:val="21"/>
        </w:rPr>
      </w:pPr>
      <w:r>
        <w:rPr>
          <w:sz w:val="21"/>
          <w:szCs w:val="21"/>
        </w:rPr>
        <w:t>本文件与有关的现行法律、法规和强制性国家标准没有冲突。标准涉及内容全面、条款详细、在编制过程中吸纳了国内相关先进技术</w:t>
      </w:r>
      <w:r>
        <w:rPr>
          <w:rFonts w:hint="eastAsia"/>
          <w:sz w:val="21"/>
          <w:szCs w:val="21"/>
        </w:rPr>
        <w:t>，整体达到先进水平。</w:t>
      </w:r>
    </w:p>
    <w:p w14:paraId="2EE22CB9">
      <w:pPr>
        <w:widowControl w:val="0"/>
        <w:spacing w:before="312" w:beforeLines="100" w:after="312" w:afterLines="100"/>
        <w:jc w:val="both"/>
        <w:outlineLvl w:val="0"/>
        <w:rPr>
          <w:b/>
          <w:bCs/>
        </w:rPr>
      </w:pPr>
      <w:r>
        <w:rPr>
          <w:rFonts w:hint="eastAsia"/>
          <w:b/>
          <w:bCs/>
        </w:rPr>
        <w:t>八、</w:t>
      </w:r>
      <w:r>
        <w:rPr>
          <w:b/>
          <w:bCs/>
        </w:rPr>
        <w:t>重大分歧意见的处理经过和依据</w:t>
      </w:r>
    </w:p>
    <w:p w14:paraId="4A4BD186">
      <w:pPr>
        <w:widowControl w:val="0"/>
        <w:ind w:firstLine="420" w:firstLineChars="200"/>
        <w:jc w:val="both"/>
        <w:rPr>
          <w:b/>
          <w:bCs/>
          <w:sz w:val="21"/>
          <w:szCs w:val="21"/>
        </w:rPr>
      </w:pPr>
      <w:r>
        <w:rPr>
          <w:sz w:val="21"/>
          <w:szCs w:val="21"/>
        </w:rPr>
        <w:t>无。</w:t>
      </w:r>
    </w:p>
    <w:p w14:paraId="58088B84">
      <w:pPr>
        <w:widowControl w:val="0"/>
        <w:spacing w:before="312" w:beforeLines="100" w:after="312" w:afterLines="100"/>
        <w:jc w:val="both"/>
        <w:outlineLvl w:val="0"/>
        <w:rPr>
          <w:b/>
          <w:bCs/>
        </w:rPr>
      </w:pPr>
      <w:r>
        <w:rPr>
          <w:rFonts w:hint="eastAsia"/>
          <w:b/>
          <w:bCs/>
        </w:rPr>
        <w:t>九、</w:t>
      </w:r>
      <w:r>
        <w:rPr>
          <w:b/>
          <w:bCs/>
        </w:rPr>
        <w:t>标准作为强制性或推荐性标准的建议</w:t>
      </w:r>
    </w:p>
    <w:p w14:paraId="378A9B5C">
      <w:pPr>
        <w:widowControl w:val="0"/>
        <w:ind w:firstLine="420" w:firstLineChars="200"/>
        <w:jc w:val="both"/>
        <w:rPr>
          <w:sz w:val="21"/>
          <w:szCs w:val="21"/>
        </w:rPr>
      </w:pPr>
      <w:r>
        <w:rPr>
          <w:rFonts w:hint="eastAsia"/>
          <w:sz w:val="21"/>
          <w:szCs w:val="21"/>
        </w:rPr>
        <w:t>建议本文件为推荐性</w:t>
      </w:r>
      <w:r>
        <w:rPr>
          <w:rFonts w:hint="eastAsia"/>
          <w:sz w:val="21"/>
          <w:szCs w:val="21"/>
          <w:lang w:val="en-US" w:eastAsia="zh-CN"/>
        </w:rPr>
        <w:t>行业</w:t>
      </w:r>
      <w:r>
        <w:rPr>
          <w:rFonts w:hint="eastAsia"/>
          <w:sz w:val="21"/>
          <w:szCs w:val="21"/>
        </w:rPr>
        <w:t>标准，供相关组织参考采用。</w:t>
      </w:r>
    </w:p>
    <w:p w14:paraId="13A1DFE4">
      <w:pPr>
        <w:widowControl w:val="0"/>
        <w:spacing w:before="312" w:beforeLines="100" w:after="312" w:afterLines="100"/>
        <w:jc w:val="both"/>
        <w:outlineLvl w:val="0"/>
        <w:rPr>
          <w:b/>
          <w:bCs/>
        </w:rPr>
      </w:pPr>
      <w:r>
        <w:rPr>
          <w:rFonts w:hint="eastAsia"/>
          <w:b/>
          <w:bCs/>
        </w:rPr>
        <w:t>十、</w:t>
      </w:r>
      <w:r>
        <w:rPr>
          <w:b/>
          <w:bCs/>
        </w:rPr>
        <w:t>贯彻标准的要求和措施建议</w:t>
      </w:r>
    </w:p>
    <w:p w14:paraId="257CF905">
      <w:pPr>
        <w:widowControl w:val="0"/>
        <w:ind w:firstLine="420" w:firstLineChars="200"/>
        <w:jc w:val="both"/>
        <w:rPr>
          <w:b/>
          <w:bCs/>
          <w:sz w:val="21"/>
          <w:szCs w:val="21"/>
        </w:rPr>
      </w:pPr>
      <w:r>
        <w:rPr>
          <w:sz w:val="21"/>
          <w:szCs w:val="21"/>
        </w:rPr>
        <w:t>建议向</w:t>
      </w:r>
      <w:r>
        <w:rPr>
          <w:rFonts w:hint="eastAsia"/>
          <w:sz w:val="21"/>
          <w:szCs w:val="21"/>
          <w:lang w:val="en-US" w:eastAsia="zh-CN"/>
        </w:rPr>
        <w:t>镍钴铝三元前驱体</w:t>
      </w:r>
      <w:r>
        <w:rPr>
          <w:sz w:val="21"/>
          <w:szCs w:val="21"/>
        </w:rPr>
        <w:t>研发、生产、销售、检测</w:t>
      </w:r>
      <w:r>
        <w:rPr>
          <w:rFonts w:hint="eastAsia"/>
          <w:sz w:val="21"/>
          <w:szCs w:val="21"/>
        </w:rPr>
        <w:t>等</w:t>
      </w:r>
      <w:r>
        <w:rPr>
          <w:sz w:val="21"/>
          <w:szCs w:val="21"/>
        </w:rPr>
        <w:t>相关企业和单位积极贯彻本文件的内容。</w:t>
      </w:r>
    </w:p>
    <w:p w14:paraId="68A5B77E">
      <w:pPr>
        <w:widowControl w:val="0"/>
        <w:spacing w:before="312" w:beforeLines="100" w:after="312" w:afterLines="100"/>
        <w:jc w:val="both"/>
        <w:outlineLvl w:val="0"/>
        <w:rPr>
          <w:b/>
          <w:bCs/>
        </w:rPr>
      </w:pPr>
      <w:r>
        <w:rPr>
          <w:rFonts w:hint="eastAsia"/>
          <w:b/>
          <w:bCs/>
        </w:rPr>
        <w:t>十一、</w:t>
      </w:r>
      <w:r>
        <w:rPr>
          <w:b/>
          <w:bCs/>
        </w:rPr>
        <w:t>废止现行有关标准的建议</w:t>
      </w:r>
    </w:p>
    <w:p w14:paraId="39A5EFE2">
      <w:pPr>
        <w:widowControl w:val="0"/>
        <w:ind w:firstLine="420" w:firstLineChars="200"/>
        <w:jc w:val="both"/>
        <w:rPr>
          <w:b/>
          <w:bCs/>
          <w:sz w:val="21"/>
          <w:szCs w:val="21"/>
        </w:rPr>
      </w:pPr>
      <w:r>
        <w:rPr>
          <w:sz w:val="21"/>
          <w:szCs w:val="21"/>
        </w:rPr>
        <w:t>无。</w:t>
      </w:r>
    </w:p>
    <w:p w14:paraId="2A480DF4">
      <w:pPr>
        <w:widowControl w:val="0"/>
        <w:spacing w:before="312" w:beforeLines="100" w:after="312" w:afterLines="100"/>
        <w:jc w:val="both"/>
        <w:outlineLvl w:val="0"/>
        <w:rPr>
          <w:b/>
          <w:bCs/>
        </w:rPr>
      </w:pPr>
      <w:r>
        <w:rPr>
          <w:rFonts w:hint="eastAsia"/>
          <w:b/>
          <w:bCs/>
        </w:rPr>
        <w:t>十二、</w:t>
      </w:r>
      <w:r>
        <w:rPr>
          <w:b/>
          <w:bCs/>
        </w:rPr>
        <w:t>其他应予说明的事项</w:t>
      </w:r>
    </w:p>
    <w:p w14:paraId="4BAB8C02">
      <w:pPr>
        <w:widowControl w:val="0"/>
        <w:ind w:firstLine="420" w:firstLineChars="200"/>
        <w:jc w:val="both"/>
        <w:rPr>
          <w:sz w:val="21"/>
          <w:szCs w:val="21"/>
        </w:rPr>
      </w:pPr>
      <w:r>
        <w:rPr>
          <w:sz w:val="21"/>
          <w:szCs w:val="21"/>
        </w:rPr>
        <w:t>无。</w:t>
      </w:r>
    </w:p>
    <w:p w14:paraId="55577CE7">
      <w:pPr>
        <w:widowControl w:val="0"/>
        <w:ind w:left="4830" w:hanging="4830" w:hangingChars="2300"/>
        <w:jc w:val="right"/>
        <w:rPr>
          <w:sz w:val="21"/>
          <w:szCs w:val="21"/>
        </w:rPr>
      </w:pPr>
    </w:p>
    <w:p w14:paraId="68C1CE93">
      <w:pPr>
        <w:widowControl w:val="0"/>
        <w:ind w:left="4849" w:right="210" w:hanging="5520" w:hangingChars="2300"/>
        <w:jc w:val="right"/>
        <w:rPr>
          <w:b/>
          <w:bCs/>
          <w:sz w:val="21"/>
          <w:szCs w:val="21"/>
        </w:rPr>
      </w:pPr>
      <w:r>
        <w:rPr>
          <w:rFonts w:hint="eastAsia" w:ascii="黑体" w:eastAsia="黑体"/>
          <w:sz w:val="24"/>
        </w:rPr>
        <w:t>《镍钴铝三</w:t>
      </w:r>
      <w:r>
        <w:rPr>
          <w:rFonts w:hint="eastAsia" w:ascii="黑体" w:eastAsia="黑体"/>
          <w:sz w:val="24"/>
          <w:lang w:val="en-US" w:eastAsia="zh-CN"/>
        </w:rPr>
        <w:t>元前驱体</w:t>
      </w:r>
      <w:r>
        <w:rPr>
          <w:rFonts w:hint="eastAsia" w:ascii="黑体" w:eastAsia="黑体"/>
          <w:sz w:val="24"/>
        </w:rPr>
        <w:t>》标准编制组</w:t>
      </w:r>
      <w:r>
        <w:rPr>
          <w:rFonts w:hint="eastAsia"/>
          <w:b/>
          <w:bCs/>
          <w:sz w:val="21"/>
          <w:szCs w:val="21"/>
        </w:rPr>
        <w:t>标准</w:t>
      </w:r>
      <w:r>
        <w:rPr>
          <w:b/>
          <w:bCs/>
          <w:sz w:val="21"/>
          <w:szCs w:val="21"/>
        </w:rPr>
        <w:t>编制组</w:t>
      </w:r>
    </w:p>
    <w:p w14:paraId="71747FB1">
      <w:pPr>
        <w:widowControl w:val="0"/>
        <w:jc w:val="both"/>
        <w:rPr>
          <w:b/>
          <w:bCs/>
          <w:sz w:val="21"/>
          <w:szCs w:val="21"/>
        </w:rPr>
      </w:pPr>
      <w:r>
        <w:rPr>
          <w:b/>
          <w:bCs/>
          <w:sz w:val="21"/>
          <w:szCs w:val="21"/>
        </w:rPr>
        <w:t xml:space="preserve">                                                                        202</w:t>
      </w:r>
      <w:r>
        <w:rPr>
          <w:rFonts w:hint="eastAsia"/>
          <w:b/>
          <w:bCs/>
          <w:sz w:val="21"/>
          <w:szCs w:val="21"/>
          <w:lang w:val="en-US" w:eastAsia="zh-CN"/>
        </w:rPr>
        <w:t>4</w:t>
      </w:r>
      <w:r>
        <w:rPr>
          <w:b/>
          <w:bCs/>
          <w:sz w:val="21"/>
          <w:szCs w:val="21"/>
        </w:rPr>
        <w:t>年</w:t>
      </w:r>
      <w:r>
        <w:rPr>
          <w:rFonts w:hint="eastAsia"/>
          <w:b/>
          <w:bCs/>
          <w:sz w:val="21"/>
          <w:szCs w:val="21"/>
          <w:lang w:val="en-US" w:eastAsia="zh-CN"/>
        </w:rPr>
        <w:t>8</w:t>
      </w:r>
      <w:r>
        <w:rPr>
          <w:b/>
          <w:bCs/>
          <w:sz w:val="21"/>
          <w:szCs w:val="21"/>
        </w:rPr>
        <w:t>月</w:t>
      </w:r>
    </w:p>
    <w:p w14:paraId="0C2ADFDE">
      <w:pPr>
        <w:pStyle w:val="6"/>
        <w:ind w:firstLine="0" w:firstLineChars="0"/>
        <w:jc w:val="center"/>
        <w:rPr>
          <w:rFonts w:hint="eastAsia" w:eastAsiaTheme="minorEastAsia"/>
          <w:sz w:val="32"/>
          <w:szCs w:val="21"/>
        </w:rPr>
      </w:pPr>
    </w:p>
    <w:p w14:paraId="40C1A735">
      <w:pPr>
        <w:pStyle w:val="6"/>
        <w:ind w:firstLine="0" w:firstLineChars="0"/>
        <w:jc w:val="center"/>
        <w:rPr>
          <w:rFonts w:hint="eastAsia" w:eastAsiaTheme="minorEastAsia"/>
          <w:sz w:val="32"/>
          <w:szCs w:val="21"/>
        </w:rPr>
      </w:pPr>
    </w:p>
    <w:p w14:paraId="33A2C233">
      <w:pPr>
        <w:pStyle w:val="6"/>
        <w:ind w:firstLine="0" w:firstLineChars="0"/>
        <w:jc w:val="center"/>
        <w:rPr>
          <w:rFonts w:hint="eastAsia" w:eastAsiaTheme="minorEastAsia"/>
          <w:sz w:val="32"/>
          <w:szCs w:val="21"/>
        </w:rPr>
      </w:pPr>
    </w:p>
    <w:p w14:paraId="7CCB99D2">
      <w:pPr>
        <w:pStyle w:val="6"/>
        <w:ind w:firstLine="0" w:firstLineChars="0"/>
        <w:jc w:val="center"/>
        <w:rPr>
          <w:rFonts w:hint="eastAsia" w:eastAsiaTheme="minorEastAsia"/>
          <w:sz w:val="32"/>
          <w:szCs w:val="21"/>
        </w:rPr>
      </w:pPr>
    </w:p>
    <w:p w14:paraId="75712043">
      <w:pPr>
        <w:pStyle w:val="6"/>
        <w:ind w:firstLine="0" w:firstLineChars="0"/>
        <w:jc w:val="center"/>
        <w:rPr>
          <w:rFonts w:hint="eastAsia" w:eastAsiaTheme="minorEastAsia"/>
          <w:sz w:val="32"/>
          <w:szCs w:val="21"/>
        </w:rPr>
      </w:pPr>
    </w:p>
    <w:p w14:paraId="0E60604B">
      <w:pPr>
        <w:pStyle w:val="6"/>
        <w:ind w:firstLine="0" w:firstLineChars="0"/>
        <w:jc w:val="center"/>
        <w:rPr>
          <w:rFonts w:hint="eastAsia" w:eastAsiaTheme="minorEastAsia"/>
          <w:sz w:val="32"/>
          <w:szCs w:val="21"/>
        </w:rPr>
      </w:pPr>
    </w:p>
    <w:p w14:paraId="0588FDE8">
      <w:pPr>
        <w:pStyle w:val="6"/>
        <w:ind w:firstLine="0" w:firstLineChars="0"/>
        <w:jc w:val="center"/>
        <w:rPr>
          <w:rFonts w:hint="eastAsia" w:eastAsiaTheme="minorEastAsia"/>
          <w:sz w:val="32"/>
          <w:szCs w:val="21"/>
        </w:rPr>
      </w:pPr>
    </w:p>
    <w:p w14:paraId="2C0978B3">
      <w:pPr>
        <w:pStyle w:val="6"/>
        <w:ind w:firstLine="0" w:firstLineChars="0"/>
        <w:jc w:val="center"/>
        <w:rPr>
          <w:rFonts w:hint="eastAsia" w:eastAsiaTheme="minorEastAsia"/>
          <w:sz w:val="32"/>
          <w:szCs w:val="21"/>
        </w:rPr>
      </w:pPr>
    </w:p>
    <w:p w14:paraId="0153CED0">
      <w:pPr>
        <w:pStyle w:val="6"/>
        <w:ind w:firstLine="0" w:firstLineChars="0"/>
        <w:jc w:val="center"/>
        <w:rPr>
          <w:rFonts w:hint="eastAsia" w:eastAsiaTheme="minorEastAsia"/>
          <w:sz w:val="32"/>
          <w:szCs w:val="21"/>
        </w:rPr>
      </w:pPr>
    </w:p>
    <w:p w14:paraId="67A84445">
      <w:pPr>
        <w:pStyle w:val="6"/>
        <w:ind w:firstLine="0" w:firstLineChars="0"/>
        <w:jc w:val="center"/>
        <w:rPr>
          <w:rFonts w:hint="eastAsia" w:eastAsiaTheme="minorEastAsia"/>
          <w:sz w:val="32"/>
          <w:szCs w:val="21"/>
        </w:rPr>
      </w:pPr>
    </w:p>
    <w:p w14:paraId="40BF0AD0">
      <w:pPr>
        <w:pStyle w:val="6"/>
        <w:ind w:firstLine="0" w:firstLineChars="0"/>
        <w:jc w:val="center"/>
        <w:rPr>
          <w:rFonts w:hint="eastAsia" w:eastAsiaTheme="minorEastAsia"/>
          <w:sz w:val="32"/>
          <w:szCs w:val="21"/>
        </w:rPr>
      </w:pPr>
    </w:p>
    <w:p w14:paraId="5B931D84">
      <w:pPr>
        <w:pStyle w:val="6"/>
        <w:ind w:firstLine="0" w:firstLineChars="0"/>
        <w:jc w:val="center"/>
        <w:rPr>
          <w:rFonts w:hint="eastAsia" w:eastAsiaTheme="minorEastAsia"/>
          <w:sz w:val="32"/>
          <w:szCs w:val="21"/>
        </w:rPr>
      </w:pPr>
    </w:p>
    <w:p w14:paraId="2AECD6A7">
      <w:pPr>
        <w:pStyle w:val="6"/>
        <w:ind w:firstLine="0" w:firstLineChars="0"/>
        <w:jc w:val="center"/>
        <w:rPr>
          <w:rFonts w:hint="eastAsia" w:eastAsiaTheme="minorEastAsia"/>
          <w:sz w:val="32"/>
          <w:szCs w:val="21"/>
        </w:rPr>
      </w:pPr>
    </w:p>
    <w:p w14:paraId="5781E1C1">
      <w:pPr>
        <w:pStyle w:val="6"/>
        <w:ind w:firstLine="0" w:firstLineChars="0"/>
        <w:jc w:val="center"/>
        <w:rPr>
          <w:rFonts w:hint="eastAsia" w:eastAsiaTheme="minorEastAsia"/>
          <w:sz w:val="32"/>
          <w:szCs w:val="21"/>
        </w:rPr>
      </w:pPr>
    </w:p>
    <w:p w14:paraId="775E89B7">
      <w:pPr>
        <w:pStyle w:val="6"/>
        <w:ind w:firstLine="0" w:firstLineChars="0"/>
        <w:jc w:val="center"/>
        <w:rPr>
          <w:rFonts w:hint="eastAsia" w:eastAsiaTheme="minorEastAsia"/>
          <w:sz w:val="32"/>
          <w:szCs w:val="21"/>
        </w:rPr>
      </w:pPr>
    </w:p>
    <w:p w14:paraId="23B9CDB0">
      <w:pPr>
        <w:pStyle w:val="6"/>
        <w:ind w:firstLine="0" w:firstLineChars="0"/>
        <w:jc w:val="center"/>
        <w:rPr>
          <w:rFonts w:hint="eastAsia" w:eastAsiaTheme="minorEastAsia"/>
          <w:sz w:val="32"/>
          <w:szCs w:val="21"/>
        </w:rPr>
      </w:pPr>
    </w:p>
    <w:p w14:paraId="1281D2D0">
      <w:pPr>
        <w:pStyle w:val="6"/>
        <w:ind w:firstLine="0" w:firstLineChars="0"/>
        <w:jc w:val="center"/>
        <w:rPr>
          <w:rFonts w:hint="eastAsia" w:eastAsiaTheme="minorEastAsia"/>
          <w:sz w:val="32"/>
          <w:szCs w:val="21"/>
        </w:rPr>
      </w:pPr>
    </w:p>
    <w:p w14:paraId="27980B8E">
      <w:pPr>
        <w:pStyle w:val="6"/>
        <w:ind w:firstLine="0" w:firstLineChars="0"/>
        <w:jc w:val="center"/>
        <w:rPr>
          <w:rFonts w:hint="eastAsia" w:eastAsiaTheme="minorEastAsia"/>
          <w:sz w:val="32"/>
          <w:szCs w:val="21"/>
        </w:rPr>
      </w:pPr>
    </w:p>
    <w:p w14:paraId="1642F370">
      <w:pPr>
        <w:pStyle w:val="6"/>
        <w:ind w:firstLine="0" w:firstLineChars="0"/>
        <w:jc w:val="center"/>
        <w:rPr>
          <w:rFonts w:eastAsiaTheme="minorEastAsia"/>
          <w:sz w:val="32"/>
          <w:szCs w:val="21"/>
        </w:rPr>
      </w:pPr>
      <w:r>
        <w:rPr>
          <w:rFonts w:hint="eastAsia" w:eastAsiaTheme="minorEastAsia"/>
          <w:sz w:val="32"/>
          <w:szCs w:val="21"/>
        </w:rPr>
        <w:t>标准（</w:t>
      </w:r>
      <w:r>
        <w:rPr>
          <w:rFonts w:hint="eastAsia" w:eastAsiaTheme="minorEastAsia"/>
          <w:sz w:val="32"/>
          <w:szCs w:val="21"/>
          <w:lang w:val="en-US" w:eastAsia="zh-CN"/>
        </w:rPr>
        <w:t>讨论</w:t>
      </w:r>
      <w:r>
        <w:rPr>
          <w:rFonts w:hint="eastAsia" w:eastAsiaTheme="minorEastAsia"/>
          <w:sz w:val="32"/>
          <w:szCs w:val="21"/>
        </w:rPr>
        <w:t>稿）_</w:t>
      </w:r>
      <w:r>
        <w:rPr>
          <w:rFonts w:eastAsiaTheme="minorEastAsia"/>
          <w:sz w:val="32"/>
          <w:szCs w:val="21"/>
        </w:rPr>
        <w:t>意见汇总处理表</w:t>
      </w:r>
    </w:p>
    <w:p w14:paraId="2167249D">
      <w:pPr>
        <w:widowControl w:val="0"/>
        <w:ind w:firstLine="420" w:firstLineChars="200"/>
        <w:jc w:val="both"/>
        <w:rPr>
          <w:sz w:val="21"/>
          <w:szCs w:val="21"/>
        </w:rPr>
      </w:pPr>
      <w:r>
        <w:rPr>
          <w:sz w:val="21"/>
          <w:szCs w:val="21"/>
        </w:rPr>
        <w:t>标准项目名称：《</w:t>
      </w:r>
      <w:r>
        <w:rPr>
          <w:rFonts w:hint="eastAsia"/>
          <w:sz w:val="21"/>
          <w:szCs w:val="21"/>
          <w:lang w:val="en-US" w:eastAsia="zh-CN"/>
        </w:rPr>
        <w:t>镍钴铝三元前驱体</w:t>
      </w:r>
      <w:r>
        <w:rPr>
          <w:rFonts w:hint="eastAsia"/>
          <w:sz w:val="21"/>
          <w:szCs w:val="21"/>
        </w:rPr>
        <w:t>》</w:t>
      </w:r>
    </w:p>
    <w:p w14:paraId="614DADCF">
      <w:pPr>
        <w:widowControl w:val="0"/>
        <w:ind w:firstLine="420" w:firstLineChars="200"/>
        <w:jc w:val="both"/>
        <w:rPr>
          <w:rFonts w:hint="default" w:ascii="宋体" w:hAnsi="宋体" w:eastAsia="宋体" w:cs="宋体"/>
          <w:sz w:val="21"/>
          <w:szCs w:val="21"/>
          <w:lang w:val="en-US" w:eastAsia="zh-CN"/>
        </w:rPr>
      </w:pPr>
      <w:r>
        <w:rPr>
          <w:sz w:val="21"/>
          <w:szCs w:val="21"/>
        </w:rPr>
        <w:t>标准起草单位：</w:t>
      </w:r>
      <w:r>
        <w:rPr>
          <w:rFonts w:hint="eastAsia" w:ascii="宋体" w:hAnsi="宋体" w:cs="宋体"/>
          <w:sz w:val="21"/>
          <w:szCs w:val="21"/>
          <w:lang w:val="en-US" w:eastAsia="zh-CN"/>
        </w:rPr>
        <w:t>中伟新材料股份有限公司</w:t>
      </w:r>
    </w:p>
    <w:p w14:paraId="374E2EED">
      <w:pPr>
        <w:widowControl w:val="0"/>
        <w:ind w:firstLine="420" w:firstLineChars="200"/>
        <w:jc w:val="both"/>
        <w:rPr>
          <w:rFonts w:eastAsiaTheme="minorEastAsia"/>
          <w:sz w:val="21"/>
          <w:szCs w:val="21"/>
        </w:rPr>
      </w:pPr>
      <w:r>
        <w:rPr>
          <w:rFonts w:eastAsiaTheme="minorEastAsia"/>
          <w:sz w:val="21"/>
          <w:szCs w:val="21"/>
        </w:rPr>
        <w:t>承办人：</w:t>
      </w:r>
      <w:r>
        <w:rPr>
          <w:rFonts w:hint="eastAsia" w:eastAsiaTheme="minorEastAsia"/>
          <w:sz w:val="21"/>
          <w:szCs w:val="21"/>
          <w:lang w:val="en-US" w:eastAsia="zh-CN"/>
        </w:rPr>
        <w:t>XX</w:t>
      </w:r>
      <w:r>
        <w:rPr>
          <w:rFonts w:eastAsiaTheme="minorEastAsia"/>
          <w:sz w:val="21"/>
          <w:szCs w:val="21"/>
        </w:rPr>
        <w:t>；电话：</w:t>
      </w:r>
      <w:r>
        <w:rPr>
          <w:rFonts w:hint="eastAsia" w:eastAsiaTheme="minorEastAsia"/>
          <w:sz w:val="21"/>
          <w:szCs w:val="21"/>
          <w:lang w:val="en-US" w:eastAsia="zh-CN"/>
        </w:rPr>
        <w:t>XXXX</w:t>
      </w:r>
      <w:r>
        <w:rPr>
          <w:rFonts w:eastAsiaTheme="minorEastAsia"/>
          <w:sz w:val="21"/>
          <w:szCs w:val="21"/>
        </w:rPr>
        <w:t>；邮箱：</w:t>
      </w:r>
      <w:r>
        <w:rPr>
          <w:rFonts w:hint="eastAsia" w:eastAsiaTheme="minorEastAsia"/>
          <w:lang w:val="en-US" w:eastAsia="zh-CN"/>
        </w:rPr>
        <w:t>XXXXXXXXX</w:t>
      </w:r>
      <w:r>
        <w:rPr>
          <w:rFonts w:eastAsiaTheme="minorEastAsia"/>
          <w:sz w:val="21"/>
          <w:szCs w:val="21"/>
        </w:rPr>
        <w:t xml:space="preserve">   202</w:t>
      </w:r>
      <w:r>
        <w:rPr>
          <w:rFonts w:hint="eastAsia" w:eastAsiaTheme="minorEastAsia"/>
          <w:sz w:val="21"/>
          <w:szCs w:val="21"/>
          <w:lang w:val="en-US" w:eastAsia="zh-CN"/>
        </w:rPr>
        <w:t>4</w:t>
      </w:r>
      <w:r>
        <w:rPr>
          <w:rFonts w:eastAsiaTheme="minorEastAsia"/>
          <w:sz w:val="21"/>
          <w:szCs w:val="21"/>
        </w:rPr>
        <w:t>年</w:t>
      </w:r>
      <w:r>
        <w:rPr>
          <w:rFonts w:hint="eastAsia" w:eastAsiaTheme="minorEastAsia"/>
          <w:sz w:val="21"/>
          <w:szCs w:val="21"/>
          <w:lang w:val="en-US" w:eastAsia="zh-CN"/>
        </w:rPr>
        <w:t>8</w:t>
      </w:r>
      <w:r>
        <w:rPr>
          <w:rFonts w:eastAsiaTheme="minorEastAsia"/>
          <w:sz w:val="21"/>
          <w:szCs w:val="21"/>
        </w:rPr>
        <w:t>月</w:t>
      </w:r>
      <w:r>
        <w:rPr>
          <w:rFonts w:hint="eastAsia" w:eastAsiaTheme="minorEastAsia"/>
          <w:sz w:val="21"/>
          <w:szCs w:val="21"/>
          <w:lang w:val="en-US" w:eastAsia="zh-CN"/>
        </w:rPr>
        <w:t>24</w:t>
      </w:r>
      <w:r>
        <w:rPr>
          <w:rFonts w:eastAsiaTheme="minorEastAsia"/>
          <w:sz w:val="21"/>
          <w:szCs w:val="21"/>
        </w:rPr>
        <w:t>日填写</w:t>
      </w:r>
    </w:p>
    <w:tbl>
      <w:tblPr>
        <w:tblStyle w:val="13"/>
        <w:tblW w:w="45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664"/>
        <w:gridCol w:w="2729"/>
        <w:gridCol w:w="1375"/>
        <w:gridCol w:w="2174"/>
      </w:tblGrid>
      <w:tr w14:paraId="1EAC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pct"/>
            <w:vAlign w:val="center"/>
          </w:tcPr>
          <w:p w14:paraId="478056C7">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序号</w:t>
            </w:r>
          </w:p>
        </w:tc>
        <w:tc>
          <w:tcPr>
            <w:tcW w:w="914" w:type="pct"/>
            <w:vAlign w:val="center"/>
          </w:tcPr>
          <w:p w14:paraId="429528FD">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标准</w:t>
            </w:r>
          </w:p>
          <w:p w14:paraId="34D86AA9">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章条编号</w:t>
            </w:r>
          </w:p>
        </w:tc>
        <w:tc>
          <w:tcPr>
            <w:tcW w:w="1499" w:type="pct"/>
            <w:vAlign w:val="center"/>
          </w:tcPr>
          <w:p w14:paraId="506B00C6">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意见内容</w:t>
            </w:r>
          </w:p>
        </w:tc>
        <w:tc>
          <w:tcPr>
            <w:tcW w:w="755" w:type="pct"/>
            <w:vAlign w:val="center"/>
          </w:tcPr>
          <w:p w14:paraId="5BF5E435">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提出单位</w:t>
            </w:r>
          </w:p>
        </w:tc>
        <w:tc>
          <w:tcPr>
            <w:tcW w:w="1194" w:type="pct"/>
            <w:vAlign w:val="center"/>
          </w:tcPr>
          <w:p w14:paraId="76BAD041">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处理意见</w:t>
            </w:r>
          </w:p>
        </w:tc>
      </w:tr>
      <w:tr w14:paraId="5AF7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pct"/>
            <w:vAlign w:val="center"/>
          </w:tcPr>
          <w:p w14:paraId="716026B2">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1</w:t>
            </w:r>
          </w:p>
        </w:tc>
        <w:tc>
          <w:tcPr>
            <w:tcW w:w="914" w:type="pct"/>
            <w:vAlign w:val="center"/>
          </w:tcPr>
          <w:p w14:paraId="25AAF19E">
            <w:pPr>
              <w:keepNext w:val="0"/>
              <w:keepLines w:val="0"/>
              <w:widowControl/>
              <w:suppressLineNumbers w:val="0"/>
              <w:spacing w:before="0" w:beforeAutospacing="0" w:after="0" w:afterAutospacing="0"/>
              <w:ind w:left="0" w:right="0"/>
              <w:jc w:val="center"/>
              <w:rPr>
                <w:rFonts w:hint="default"/>
                <w:sz w:val="18"/>
                <w:szCs w:val="18"/>
              </w:rPr>
            </w:pPr>
          </w:p>
        </w:tc>
        <w:tc>
          <w:tcPr>
            <w:tcW w:w="1499" w:type="pct"/>
            <w:vAlign w:val="center"/>
          </w:tcPr>
          <w:p w14:paraId="6A752106">
            <w:pPr>
              <w:pStyle w:val="67"/>
              <w:keepNext w:val="0"/>
              <w:keepLines w:val="0"/>
              <w:suppressLineNumbers w:val="0"/>
              <w:spacing w:before="0" w:beforeAutospacing="0" w:after="0" w:afterAutospacing="0" w:line="240" w:lineRule="atLeast"/>
              <w:ind w:left="0" w:right="0"/>
              <w:rPr>
                <w:rFonts w:hint="default"/>
                <w:sz w:val="18"/>
                <w:szCs w:val="18"/>
              </w:rPr>
            </w:pPr>
          </w:p>
        </w:tc>
        <w:tc>
          <w:tcPr>
            <w:tcW w:w="755" w:type="pct"/>
            <w:vAlign w:val="center"/>
          </w:tcPr>
          <w:p w14:paraId="05B8BC83">
            <w:pPr>
              <w:keepNext w:val="0"/>
              <w:keepLines w:val="0"/>
              <w:widowControl/>
              <w:suppressLineNumbers w:val="0"/>
              <w:spacing w:before="0" w:beforeAutospacing="0" w:after="0" w:afterAutospacing="0"/>
              <w:ind w:left="0" w:right="0"/>
              <w:jc w:val="center"/>
              <w:rPr>
                <w:rFonts w:hint="default"/>
                <w:sz w:val="18"/>
                <w:szCs w:val="18"/>
              </w:rPr>
            </w:pPr>
          </w:p>
        </w:tc>
        <w:tc>
          <w:tcPr>
            <w:tcW w:w="1194" w:type="pct"/>
            <w:vAlign w:val="center"/>
          </w:tcPr>
          <w:p w14:paraId="4C05C52F">
            <w:pPr>
              <w:keepNext w:val="0"/>
              <w:keepLines w:val="0"/>
              <w:widowControl/>
              <w:suppressLineNumbers w:val="0"/>
              <w:spacing w:before="0" w:beforeAutospacing="0" w:after="0" w:afterAutospacing="0"/>
              <w:ind w:left="0" w:right="0"/>
              <w:jc w:val="center"/>
              <w:rPr>
                <w:rFonts w:hint="default"/>
                <w:sz w:val="18"/>
                <w:szCs w:val="18"/>
              </w:rPr>
            </w:pPr>
          </w:p>
        </w:tc>
      </w:tr>
      <w:tr w14:paraId="37B1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pct"/>
            <w:vAlign w:val="center"/>
          </w:tcPr>
          <w:p w14:paraId="28CDF581">
            <w:pPr>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2</w:t>
            </w:r>
          </w:p>
        </w:tc>
        <w:tc>
          <w:tcPr>
            <w:tcW w:w="914" w:type="pct"/>
            <w:vAlign w:val="center"/>
          </w:tcPr>
          <w:p w14:paraId="2671DE27">
            <w:pPr>
              <w:keepNext w:val="0"/>
              <w:keepLines w:val="0"/>
              <w:widowControl/>
              <w:suppressLineNumbers w:val="0"/>
              <w:spacing w:before="0" w:beforeAutospacing="0" w:after="0" w:afterAutospacing="0"/>
              <w:ind w:left="0" w:right="0"/>
              <w:jc w:val="center"/>
              <w:rPr>
                <w:rFonts w:hint="default"/>
                <w:sz w:val="18"/>
                <w:szCs w:val="18"/>
              </w:rPr>
            </w:pPr>
          </w:p>
        </w:tc>
        <w:tc>
          <w:tcPr>
            <w:tcW w:w="1499" w:type="pct"/>
            <w:vAlign w:val="center"/>
          </w:tcPr>
          <w:p w14:paraId="1FEA9D59">
            <w:pPr>
              <w:keepNext w:val="0"/>
              <w:keepLines w:val="0"/>
              <w:widowControl/>
              <w:suppressLineNumbers w:val="0"/>
              <w:autoSpaceDE w:val="0"/>
              <w:autoSpaceDN w:val="0"/>
              <w:adjustRightInd w:val="0"/>
              <w:spacing w:before="0" w:beforeAutospacing="0" w:after="0" w:afterAutospacing="0"/>
              <w:ind w:left="0" w:right="0"/>
              <w:jc w:val="center"/>
              <w:rPr>
                <w:rFonts w:hint="default"/>
                <w:sz w:val="18"/>
                <w:szCs w:val="18"/>
              </w:rPr>
            </w:pPr>
          </w:p>
        </w:tc>
        <w:tc>
          <w:tcPr>
            <w:tcW w:w="755" w:type="pct"/>
            <w:vAlign w:val="center"/>
          </w:tcPr>
          <w:p w14:paraId="3F707DF7">
            <w:pPr>
              <w:keepNext w:val="0"/>
              <w:keepLines w:val="0"/>
              <w:widowControl/>
              <w:suppressLineNumbers w:val="0"/>
              <w:spacing w:before="0" w:beforeAutospacing="0" w:after="0" w:afterAutospacing="0"/>
              <w:ind w:left="0" w:right="0"/>
              <w:jc w:val="center"/>
              <w:rPr>
                <w:rFonts w:hint="default"/>
                <w:sz w:val="18"/>
                <w:szCs w:val="18"/>
              </w:rPr>
            </w:pPr>
          </w:p>
        </w:tc>
        <w:tc>
          <w:tcPr>
            <w:tcW w:w="1194" w:type="pct"/>
            <w:vAlign w:val="center"/>
          </w:tcPr>
          <w:p w14:paraId="5EE21782">
            <w:pPr>
              <w:keepNext w:val="0"/>
              <w:keepLines w:val="0"/>
              <w:widowControl/>
              <w:suppressLineNumbers w:val="0"/>
              <w:spacing w:before="0" w:beforeAutospacing="0" w:after="0" w:afterAutospacing="0"/>
              <w:ind w:left="0" w:right="0"/>
              <w:jc w:val="center"/>
              <w:rPr>
                <w:rFonts w:hint="default"/>
                <w:sz w:val="18"/>
                <w:szCs w:val="18"/>
              </w:rPr>
            </w:pPr>
          </w:p>
        </w:tc>
      </w:tr>
    </w:tbl>
    <w:p w14:paraId="0168D63A">
      <w:pPr>
        <w:pStyle w:val="6"/>
        <w:ind w:firstLine="0" w:firstLineChars="0"/>
      </w:pPr>
    </w:p>
    <w:sectPr>
      <w:footerReference r:id="rId5" w:type="default"/>
      <w:footerReference r:id="rId6"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1)">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ËÎ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7BB3">
    <w:pPr>
      <w:pStyle w:val="9"/>
      <w:jc w:val="center"/>
    </w:pPr>
    <w:r>
      <w:fldChar w:fldCharType="begin"/>
    </w:r>
    <w:r>
      <w:instrText xml:space="preserve">PAGE   \* MERGEFORMAT</w:instrText>
    </w:r>
    <w:r>
      <w:fldChar w:fldCharType="separate"/>
    </w:r>
    <w:r>
      <w:rPr>
        <w:lang w:val="zh-CN"/>
      </w:rPr>
      <w:t>3</w:t>
    </w:r>
    <w:r>
      <w:fldChar w:fldCharType="end"/>
    </w:r>
  </w:p>
  <w:p w14:paraId="746342F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905AE">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2</w:t>
    </w:r>
    <w:r>
      <w:fldChar w:fldCharType="end"/>
    </w:r>
  </w:p>
  <w:p w14:paraId="2E9919D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0942A">
    <w:pPr>
      <w:pStyle w:val="9"/>
      <w:framePr w:wrap="around" w:vAnchor="text" w:hAnchor="margin" w:xAlign="right" w:y="1"/>
      <w:rPr>
        <w:rStyle w:val="18"/>
      </w:rPr>
    </w:pPr>
    <w:r>
      <w:fldChar w:fldCharType="begin"/>
    </w:r>
    <w:r>
      <w:rPr>
        <w:rStyle w:val="18"/>
      </w:rPr>
      <w:instrText xml:space="preserve">PAGE  </w:instrText>
    </w:r>
    <w:r>
      <w:fldChar w:fldCharType="separate"/>
    </w:r>
    <w:r>
      <w:rPr>
        <w:rStyle w:val="18"/>
      </w:rPr>
      <w:t>8</w:t>
    </w:r>
    <w:r>
      <w:fldChar w:fldCharType="end"/>
    </w:r>
  </w:p>
  <w:p w14:paraId="2E56D37F">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B8873">
    <w:pPr>
      <w:pStyle w:val="9"/>
      <w:framePr w:wrap="around" w:vAnchor="text" w:hAnchor="margin" w:xAlign="right" w:y="1"/>
      <w:rPr>
        <w:rStyle w:val="18"/>
      </w:rPr>
    </w:pPr>
    <w:r>
      <w:fldChar w:fldCharType="begin"/>
    </w:r>
    <w:r>
      <w:rPr>
        <w:rStyle w:val="18"/>
      </w:rPr>
      <w:instrText xml:space="preserve">PAGE  </w:instrText>
    </w:r>
    <w:r>
      <w:fldChar w:fldCharType="end"/>
    </w:r>
  </w:p>
  <w:p w14:paraId="1DF4F672">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A2847"/>
    <w:multiLevelType w:val="multilevel"/>
    <w:tmpl w:val="18CA2847"/>
    <w:lvl w:ilvl="0" w:tentative="0">
      <w:start w:val="1"/>
      <w:numFmt w:val="lowerLetter"/>
      <w:pStyle w:val="39"/>
      <w:lvlText w:val="%1、"/>
      <w:lvlJc w:val="left"/>
      <w:pPr>
        <w:tabs>
          <w:tab w:val="left" w:pos="340"/>
        </w:tabs>
        <w:ind w:left="34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A207D40"/>
    <w:multiLevelType w:val="multilevel"/>
    <w:tmpl w:val="4A207D40"/>
    <w:lvl w:ilvl="0" w:tentative="0">
      <w:start w:val="1"/>
      <w:numFmt w:val="decimal"/>
      <w:pStyle w:val="56"/>
      <w:lvlText w:val="2.3.%1"/>
      <w:lvlJc w:val="left"/>
      <w:pPr>
        <w:tabs>
          <w:tab w:val="left" w:pos="1960"/>
        </w:tabs>
        <w:ind w:left="19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46260FA"/>
    <w:multiLevelType w:val="multilevel"/>
    <w:tmpl w:val="646260FA"/>
    <w:lvl w:ilvl="0" w:tentative="0">
      <w:start w:val="1"/>
      <w:numFmt w:val="decimal"/>
      <w:pStyle w:val="36"/>
      <w:suff w:val="nothing"/>
      <w:lvlText w:val="表%1　"/>
      <w:lvlJc w:val="left"/>
      <w:pPr>
        <w:ind w:left="2693" w:firstLine="0"/>
      </w:pPr>
      <w:rPr>
        <w:rFonts w:hint="eastAsia" w:ascii="黑体" w:hAnsi="Times New Roman" w:eastAsia="黑体"/>
        <w:b w:val="0"/>
        <w:i w:val="0"/>
        <w:sz w:val="21"/>
        <w:lang w:val="en-US"/>
      </w:rPr>
    </w:lvl>
    <w:lvl w:ilvl="1" w:tentative="0">
      <w:start w:val="1"/>
      <w:numFmt w:val="decimal"/>
      <w:lvlText w:val="%1.%2"/>
      <w:lvlJc w:val="left"/>
      <w:pPr>
        <w:tabs>
          <w:tab w:val="left" w:pos="-410"/>
        </w:tabs>
        <w:ind w:left="-410" w:hanging="567"/>
      </w:pPr>
      <w:rPr>
        <w:rFonts w:hint="eastAsia"/>
      </w:rPr>
    </w:lvl>
    <w:lvl w:ilvl="2" w:tentative="0">
      <w:start w:val="1"/>
      <w:numFmt w:val="decimal"/>
      <w:lvlText w:val="%1.%2.%3"/>
      <w:lvlJc w:val="left"/>
      <w:pPr>
        <w:tabs>
          <w:tab w:val="left" w:pos="16"/>
        </w:tabs>
        <w:ind w:left="16" w:hanging="567"/>
      </w:pPr>
      <w:rPr>
        <w:rFonts w:hint="eastAsia"/>
      </w:rPr>
    </w:lvl>
    <w:lvl w:ilvl="3" w:tentative="0">
      <w:start w:val="1"/>
      <w:numFmt w:val="decimal"/>
      <w:lvlText w:val="%1.%2.%3.%4"/>
      <w:lvlJc w:val="left"/>
      <w:pPr>
        <w:tabs>
          <w:tab w:val="left" w:pos="582"/>
        </w:tabs>
        <w:ind w:left="582" w:hanging="708"/>
      </w:pPr>
      <w:rPr>
        <w:rFonts w:hint="eastAsia"/>
      </w:rPr>
    </w:lvl>
    <w:lvl w:ilvl="4" w:tentative="0">
      <w:start w:val="1"/>
      <w:numFmt w:val="decimal"/>
      <w:lvlText w:val="%1.%2.%3.%4.%5"/>
      <w:lvlJc w:val="left"/>
      <w:pPr>
        <w:tabs>
          <w:tab w:val="left" w:pos="1149"/>
        </w:tabs>
        <w:ind w:left="1149" w:hanging="850"/>
      </w:pPr>
      <w:rPr>
        <w:rFonts w:hint="eastAsia"/>
      </w:rPr>
    </w:lvl>
    <w:lvl w:ilvl="5" w:tentative="0">
      <w:start w:val="1"/>
      <w:numFmt w:val="decimal"/>
      <w:lvlText w:val="%1.%2.%3.%4.%5.%6"/>
      <w:lvlJc w:val="left"/>
      <w:pPr>
        <w:tabs>
          <w:tab w:val="left" w:pos="1858"/>
        </w:tabs>
        <w:ind w:left="1858" w:hanging="1134"/>
      </w:pPr>
      <w:rPr>
        <w:rFonts w:hint="eastAsia"/>
      </w:rPr>
    </w:lvl>
    <w:lvl w:ilvl="6" w:tentative="0">
      <w:start w:val="1"/>
      <w:numFmt w:val="decimal"/>
      <w:lvlText w:val="%1.%2.%3.%4.%5.%6.%7"/>
      <w:lvlJc w:val="left"/>
      <w:pPr>
        <w:tabs>
          <w:tab w:val="left" w:pos="2425"/>
        </w:tabs>
        <w:ind w:left="2425" w:hanging="1276"/>
      </w:pPr>
      <w:rPr>
        <w:rFonts w:hint="eastAsia"/>
      </w:rPr>
    </w:lvl>
    <w:lvl w:ilvl="7" w:tentative="0">
      <w:start w:val="1"/>
      <w:numFmt w:val="decimal"/>
      <w:lvlText w:val="%1.%2.%3.%4.%5.%6.%7.%8"/>
      <w:lvlJc w:val="left"/>
      <w:pPr>
        <w:tabs>
          <w:tab w:val="left" w:pos="2992"/>
        </w:tabs>
        <w:ind w:left="2992" w:hanging="1418"/>
      </w:pPr>
      <w:rPr>
        <w:rFonts w:hint="eastAsia"/>
      </w:rPr>
    </w:lvl>
    <w:lvl w:ilvl="8" w:tentative="0">
      <w:start w:val="1"/>
      <w:numFmt w:val="decimal"/>
      <w:lvlText w:val="%1.%2.%3.%4.%5.%6.%7.%8.%9"/>
      <w:lvlJc w:val="left"/>
      <w:pPr>
        <w:tabs>
          <w:tab w:val="left" w:pos="3700"/>
        </w:tabs>
        <w:ind w:left="3700" w:hanging="1700"/>
      </w:pPr>
      <w:rPr>
        <w:rFonts w:hint="eastAsia"/>
      </w:rPr>
    </w:lvl>
  </w:abstractNum>
  <w:abstractNum w:abstractNumId="3">
    <w:nsid w:val="657D3FBC"/>
    <w:multiLevelType w:val="multilevel"/>
    <w:tmpl w:val="657D3FBC"/>
    <w:lvl w:ilvl="0" w:tentative="0">
      <w:start w:val="1"/>
      <w:numFmt w:val="upperLetter"/>
      <w:pStyle w:val="53"/>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99E2AE3"/>
    <w:multiLevelType w:val="multilevel"/>
    <w:tmpl w:val="699E2AE3"/>
    <w:lvl w:ilvl="0" w:tentative="0">
      <w:start w:val="3"/>
      <w:numFmt w:val="decimal"/>
      <w:lvlText w:val="%1"/>
      <w:lvlJc w:val="left"/>
      <w:pPr>
        <w:ind w:left="0" w:firstLine="0"/>
      </w:pPr>
      <w:rPr>
        <w:rFonts w:hint="eastAsia"/>
      </w:rPr>
    </w:lvl>
    <w:lvl w:ilvl="1" w:tentative="0">
      <w:start w:val="3"/>
      <w:numFmt w:val="decimal"/>
      <w:lvlText w:val="%2.3"/>
      <w:lvlJc w:val="left"/>
      <w:pPr>
        <w:ind w:left="0" w:firstLine="0"/>
      </w:pPr>
      <w:rPr>
        <w:rFonts w:hint="default"/>
        <w:b/>
        <w:bCs/>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79324953"/>
    <w:multiLevelType w:val="multilevel"/>
    <w:tmpl w:val="79324953"/>
    <w:lvl w:ilvl="0" w:tentative="0">
      <w:start w:val="1"/>
      <w:numFmt w:val="none"/>
      <w:pStyle w:val="40"/>
      <w:suff w:val="nothing"/>
      <w:lvlText w:val="%1"/>
      <w:lvlJc w:val="left"/>
      <w:pPr>
        <w:ind w:left="0" w:firstLine="0"/>
      </w:pPr>
      <w:rPr>
        <w:rFonts w:hint="default" w:ascii="Times New Roman" w:hAnsi="Times New Roman"/>
        <w:b/>
        <w:bCs/>
        <w:i w:val="0"/>
        <w:iCs w:val="0"/>
        <w:sz w:val="21"/>
        <w:szCs w:val="24"/>
      </w:rPr>
    </w:lvl>
    <w:lvl w:ilvl="1" w:tentative="0">
      <w:start w:val="6"/>
      <w:numFmt w:val="decimal"/>
      <w:pStyle w:val="50"/>
      <w:suff w:val="nothing"/>
      <w:lvlText w:val="%1%2　"/>
      <w:lvlJc w:val="left"/>
      <w:pPr>
        <w:ind w:left="0" w:firstLine="0"/>
      </w:pPr>
      <w:rPr>
        <w:rFonts w:hint="eastAsia" w:ascii="黑体" w:hAnsi="Times New Roman" w:eastAsia="黑体"/>
        <w:b w:val="0"/>
        <w:i w:val="0"/>
        <w:sz w:val="21"/>
        <w:szCs w:val="21"/>
      </w:rPr>
    </w:lvl>
    <w:lvl w:ilvl="2" w:tentative="0">
      <w:start w:val="1"/>
      <w:numFmt w:val="decimal"/>
      <w:lvlRestart w:val="1"/>
      <w:pStyle w:val="37"/>
      <w:suff w:val="nothing"/>
      <w:lvlText w:val="%1%2.%3　"/>
      <w:lvlJc w:val="left"/>
      <w:pPr>
        <w:ind w:left="0" w:firstLine="0"/>
      </w:pPr>
      <w:rPr>
        <w:rFonts w:hint="eastAsia" w:ascii="黑体" w:hAnsi="宋体" w:eastAsia="黑体"/>
        <w:b w:val="0"/>
        <w:i w:val="0"/>
        <w:sz w:val="21"/>
        <w:szCs w:val="21"/>
      </w:rPr>
    </w:lvl>
    <w:lvl w:ilvl="3" w:tentative="0">
      <w:start w:val="1"/>
      <w:numFmt w:val="decimal"/>
      <w:suff w:val="nothing"/>
      <w:lvlText w:val="%1%2.%3.%4　"/>
      <w:lvlJc w:val="left"/>
      <w:pPr>
        <w:ind w:left="0" w:firstLine="0"/>
      </w:pPr>
      <w:rPr>
        <w:rFonts w:hint="eastAsia" w:ascii="黑体" w:hAnsi="宋体" w:eastAsia="黑体"/>
        <w:b w:val="0"/>
        <w:i w:val="0"/>
        <w:sz w:val="21"/>
        <w:szCs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0"/>
      <w:numFmt w:val="none"/>
      <w:pStyle w:val="41"/>
      <w:lvlText w:val=""/>
      <w:lvlJc w:val="left"/>
      <w:pPr>
        <w:tabs>
          <w:tab w:val="left" w:pos="360"/>
        </w:tabs>
        <w:ind w:left="0" w:firstLine="0"/>
      </w:pPr>
      <w:rPr>
        <w:rFonts w:hint="eastAsia"/>
      </w:rPr>
    </w:lvl>
    <w:lvl w:ilvl="6" w:tentative="0">
      <w:start w:val="1"/>
      <w:numFmt w:val="decimal"/>
      <w:pStyle w:val="4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OGVmZDI2MTAwY2Q0N2EyMGVmNTk0MGQxNTkxMzcifQ=="/>
    <w:docVar w:name="KSO_WPS_MARK_KEY" w:val="3a57737e-5894-458b-aaad-739a601e374b"/>
  </w:docVars>
  <w:rsids>
    <w:rsidRoot w:val="00172A27"/>
    <w:rsid w:val="00026FCA"/>
    <w:rsid w:val="00030C5E"/>
    <w:rsid w:val="000464A7"/>
    <w:rsid w:val="00071533"/>
    <w:rsid w:val="00077E37"/>
    <w:rsid w:val="000B77F5"/>
    <w:rsid w:val="00101062"/>
    <w:rsid w:val="00142D23"/>
    <w:rsid w:val="00160037"/>
    <w:rsid w:val="00166F1B"/>
    <w:rsid w:val="001E6D65"/>
    <w:rsid w:val="001F0BCD"/>
    <w:rsid w:val="001F5EAA"/>
    <w:rsid w:val="0027232F"/>
    <w:rsid w:val="00286D62"/>
    <w:rsid w:val="002A07F6"/>
    <w:rsid w:val="002C3E0E"/>
    <w:rsid w:val="002D7DAC"/>
    <w:rsid w:val="002F20F9"/>
    <w:rsid w:val="00311B25"/>
    <w:rsid w:val="003250E9"/>
    <w:rsid w:val="003432F9"/>
    <w:rsid w:val="003474D3"/>
    <w:rsid w:val="00364F52"/>
    <w:rsid w:val="003747FC"/>
    <w:rsid w:val="00392069"/>
    <w:rsid w:val="003D1A20"/>
    <w:rsid w:val="0041699A"/>
    <w:rsid w:val="004E0AD9"/>
    <w:rsid w:val="0054425F"/>
    <w:rsid w:val="00545FE8"/>
    <w:rsid w:val="00564F6E"/>
    <w:rsid w:val="005770B5"/>
    <w:rsid w:val="005B5169"/>
    <w:rsid w:val="005B73CA"/>
    <w:rsid w:val="005C13DB"/>
    <w:rsid w:val="005D02B9"/>
    <w:rsid w:val="006817F8"/>
    <w:rsid w:val="00694455"/>
    <w:rsid w:val="006E1B3C"/>
    <w:rsid w:val="00706A52"/>
    <w:rsid w:val="00715840"/>
    <w:rsid w:val="00727393"/>
    <w:rsid w:val="00743A44"/>
    <w:rsid w:val="0077339A"/>
    <w:rsid w:val="007903F6"/>
    <w:rsid w:val="007A189A"/>
    <w:rsid w:val="007B1803"/>
    <w:rsid w:val="007C6CB7"/>
    <w:rsid w:val="007C74CC"/>
    <w:rsid w:val="007D1D03"/>
    <w:rsid w:val="007D26E9"/>
    <w:rsid w:val="008544C8"/>
    <w:rsid w:val="008560D6"/>
    <w:rsid w:val="008603B0"/>
    <w:rsid w:val="00892EDE"/>
    <w:rsid w:val="008C10E9"/>
    <w:rsid w:val="008D4CFD"/>
    <w:rsid w:val="009041DE"/>
    <w:rsid w:val="009102AB"/>
    <w:rsid w:val="009109FC"/>
    <w:rsid w:val="00936E66"/>
    <w:rsid w:val="00962639"/>
    <w:rsid w:val="009752D4"/>
    <w:rsid w:val="009922EF"/>
    <w:rsid w:val="009C1405"/>
    <w:rsid w:val="009C3617"/>
    <w:rsid w:val="00A40201"/>
    <w:rsid w:val="00A55BF9"/>
    <w:rsid w:val="00A574C1"/>
    <w:rsid w:val="00A64A5C"/>
    <w:rsid w:val="00A72BF4"/>
    <w:rsid w:val="00AF5118"/>
    <w:rsid w:val="00B04D70"/>
    <w:rsid w:val="00B10E8F"/>
    <w:rsid w:val="00B17667"/>
    <w:rsid w:val="00B249B4"/>
    <w:rsid w:val="00B5346A"/>
    <w:rsid w:val="00B824DD"/>
    <w:rsid w:val="00BD799E"/>
    <w:rsid w:val="00BE668B"/>
    <w:rsid w:val="00BF4338"/>
    <w:rsid w:val="00C07BF0"/>
    <w:rsid w:val="00C67296"/>
    <w:rsid w:val="00CD45AD"/>
    <w:rsid w:val="00CD7BC8"/>
    <w:rsid w:val="00D027D9"/>
    <w:rsid w:val="00D11FD2"/>
    <w:rsid w:val="00D17B71"/>
    <w:rsid w:val="00D26B71"/>
    <w:rsid w:val="00D646DF"/>
    <w:rsid w:val="00D808CE"/>
    <w:rsid w:val="00E20B56"/>
    <w:rsid w:val="00EA2E1D"/>
    <w:rsid w:val="00EB1D57"/>
    <w:rsid w:val="00EB63BF"/>
    <w:rsid w:val="00EC36BC"/>
    <w:rsid w:val="00EF666D"/>
    <w:rsid w:val="00F1075B"/>
    <w:rsid w:val="00F45F54"/>
    <w:rsid w:val="00FA6CEA"/>
    <w:rsid w:val="00FD2B1C"/>
    <w:rsid w:val="00FD630D"/>
    <w:rsid w:val="02326A8E"/>
    <w:rsid w:val="15D500B5"/>
    <w:rsid w:val="188E5061"/>
    <w:rsid w:val="199B414C"/>
    <w:rsid w:val="277F6830"/>
    <w:rsid w:val="2E0A080E"/>
    <w:rsid w:val="30C96FC7"/>
    <w:rsid w:val="36DC1E1D"/>
    <w:rsid w:val="3A574DDB"/>
    <w:rsid w:val="3CDD2743"/>
    <w:rsid w:val="3FA26AF9"/>
    <w:rsid w:val="434C5ED2"/>
    <w:rsid w:val="4422669A"/>
    <w:rsid w:val="48131563"/>
    <w:rsid w:val="4ACA3FE3"/>
    <w:rsid w:val="4DA45865"/>
    <w:rsid w:val="56703055"/>
    <w:rsid w:val="5D103A73"/>
    <w:rsid w:val="5F7F6E5A"/>
    <w:rsid w:val="69CC4E56"/>
    <w:rsid w:val="6AE17C54"/>
    <w:rsid w:val="6E78190F"/>
    <w:rsid w:val="736633DF"/>
    <w:rsid w:val="773F135E"/>
    <w:rsid w:val="793D26C2"/>
    <w:rsid w:val="797A63B2"/>
    <w:rsid w:val="7D03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30"/>
    <w:qFormat/>
    <w:uiPriority w:val="9"/>
    <w:pPr>
      <w:spacing w:before="100" w:beforeAutospacing="1" w:after="100" w:afterAutospacing="1"/>
      <w:outlineLvl w:val="2"/>
    </w:pPr>
    <w:rPr>
      <w:rFonts w:ascii="宋体" w:hAnsi="宋体" w:cs="宋体"/>
      <w:b/>
      <w:bCs/>
      <w:sz w:val="27"/>
      <w:szCs w:val="27"/>
    </w:rPr>
  </w:style>
  <w:style w:type="character" w:default="1" w:styleId="16">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31"/>
    <w:qFormat/>
    <w:uiPriority w:val="0"/>
    <w:pPr>
      <w:widowControl w:val="0"/>
      <w:adjustRightInd w:val="0"/>
      <w:spacing w:line="312" w:lineRule="atLeast"/>
      <w:textAlignment w:val="baseline"/>
    </w:pPr>
    <w:rPr>
      <w:rFonts w:ascii="CG Times (W1)" w:hAnsi="CG Times (W1)" w:eastAsia="仿宋_GB2312" w:cs="CG Times (W1)"/>
      <w:sz w:val="30"/>
      <w:szCs w:val="30"/>
    </w:rPr>
  </w:style>
  <w:style w:type="paragraph" w:styleId="5">
    <w:name w:val="Date"/>
    <w:basedOn w:val="1"/>
    <w:next w:val="1"/>
    <w:link w:val="32"/>
    <w:qFormat/>
    <w:uiPriority w:val="0"/>
    <w:pPr>
      <w:widowControl w:val="0"/>
      <w:ind w:left="100" w:leftChars="2500"/>
      <w:jc w:val="both"/>
    </w:pPr>
    <w:rPr>
      <w:kern w:val="2"/>
      <w:sz w:val="21"/>
    </w:rPr>
  </w:style>
  <w:style w:type="paragraph" w:styleId="6">
    <w:name w:val="Body Text Indent 2"/>
    <w:link w:val="71"/>
    <w:qFormat/>
    <w:uiPriority w:val="0"/>
    <w:pPr>
      <w:spacing w:line="360" w:lineRule="auto"/>
      <w:ind w:firstLine="510" w:firstLineChars="200"/>
      <w:jc w:val="both"/>
    </w:pPr>
    <w:rPr>
      <w:rFonts w:ascii="Times New Roman" w:hAnsi="Times New Roman" w:eastAsia="宋体" w:cs="Times New Roman"/>
      <w:kern w:val="0"/>
      <w:sz w:val="24"/>
      <w:szCs w:val="24"/>
      <w:lang w:val="en-US" w:eastAsia="zh-CN" w:bidi="ar-SA"/>
    </w:rPr>
  </w:style>
  <w:style w:type="paragraph" w:styleId="7">
    <w:name w:val="endnote text"/>
    <w:basedOn w:val="1"/>
    <w:unhideWhenUsed/>
    <w:qFormat/>
    <w:uiPriority w:val="99"/>
    <w:pPr>
      <w:snapToGrid w:val="0"/>
    </w:pPr>
    <w:rPr>
      <w:rFonts w:ascii="Calibri" w:hAnsi="Calibri"/>
      <w:szCs w:val="24"/>
    </w:rPr>
  </w:style>
  <w:style w:type="paragraph" w:styleId="8">
    <w:name w:val="Balloon Text"/>
    <w:basedOn w:val="1"/>
    <w:link w:val="29"/>
    <w:unhideWhenUsed/>
    <w:qFormat/>
    <w:uiPriority w:val="0"/>
    <w:rPr>
      <w:sz w:val="18"/>
      <w:szCs w:val="18"/>
    </w:rPr>
  </w:style>
  <w:style w:type="paragraph" w:styleId="9">
    <w:name w:val="footer"/>
    <w:basedOn w:val="1"/>
    <w:link w:val="26"/>
    <w:unhideWhenUsed/>
    <w:qFormat/>
    <w:uiPriority w:val="0"/>
    <w:pPr>
      <w:tabs>
        <w:tab w:val="center" w:pos="4153"/>
        <w:tab w:val="right" w:pos="8306"/>
      </w:tabs>
      <w:snapToGrid w:val="0"/>
    </w:pPr>
    <w:rPr>
      <w:sz w:val="18"/>
      <w:szCs w:val="18"/>
    </w:rPr>
  </w:style>
  <w:style w:type="paragraph" w:styleId="10">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33"/>
    <w:qFormat/>
    <w:uiPriority w:val="0"/>
    <w:pPr>
      <w:widowControl w:val="0"/>
      <w:jc w:val="both"/>
    </w:pPr>
    <w:rPr>
      <w:rFonts w:ascii="Courier New" w:hAnsi="Courier New" w:cs="Courier New"/>
      <w:kern w:val="2"/>
      <w:sz w:val="20"/>
      <w:szCs w:val="20"/>
    </w:rPr>
  </w:style>
  <w:style w:type="paragraph" w:styleId="12">
    <w:name w:val="Normal (Web)"/>
    <w:basedOn w:val="1"/>
    <w:semiHidden/>
    <w:unhideWhenUsed/>
    <w:qFormat/>
    <w:uiPriority w:val="99"/>
    <w:pPr>
      <w:spacing w:before="100" w:beforeAutospacing="1" w:after="100" w:afterAutospacing="1"/>
    </w:pPr>
    <w:rPr>
      <w:rFonts w:ascii="宋体" w:hAnsi="宋体" w:cs="宋体"/>
    </w:rPr>
  </w:style>
  <w:style w:type="table" w:styleId="14">
    <w:name w:val="Table Grid"/>
    <w:basedOn w:val="13"/>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Light List Accent 5"/>
    <w:basedOn w:val="13"/>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character" w:styleId="17">
    <w:name w:val="Strong"/>
    <w:basedOn w:val="16"/>
    <w:qFormat/>
    <w:uiPriority w:val="22"/>
    <w:rPr>
      <w:b/>
    </w:rPr>
  </w:style>
  <w:style w:type="character" w:styleId="18">
    <w:name w:val="page number"/>
    <w:qFormat/>
    <w:uiPriority w:val="0"/>
  </w:style>
  <w:style w:type="character" w:styleId="19">
    <w:name w:val="FollowedHyperlink"/>
    <w:unhideWhenUsed/>
    <w:qFormat/>
    <w:uiPriority w:val="99"/>
    <w:rPr>
      <w:color w:val="954F72"/>
      <w:u w:val="single"/>
    </w:rPr>
  </w:style>
  <w:style w:type="character" w:styleId="20">
    <w:name w:val="Emphasis"/>
    <w:basedOn w:val="16"/>
    <w:qFormat/>
    <w:uiPriority w:val="20"/>
    <w:rPr>
      <w:i/>
      <w:iCs/>
    </w:rPr>
  </w:style>
  <w:style w:type="character" w:styleId="21">
    <w:name w:val="Hyperlink"/>
    <w:unhideWhenUsed/>
    <w:qFormat/>
    <w:uiPriority w:val="99"/>
    <w:rPr>
      <w:color w:val="0563C1"/>
      <w:u w:val="single"/>
    </w:rPr>
  </w:style>
  <w:style w:type="character" w:styleId="22">
    <w:name w:val="HTML Code"/>
    <w:qFormat/>
    <w:uiPriority w:val="0"/>
    <w:rPr>
      <w:rFonts w:ascii="Courier New" w:hAnsi="Courier New"/>
      <w:sz w:val="20"/>
      <w:szCs w:val="20"/>
    </w:rPr>
  </w:style>
  <w:style w:type="character" w:styleId="23">
    <w:name w:val="annotation reference"/>
    <w:qFormat/>
    <w:uiPriority w:val="0"/>
    <w:rPr>
      <w:sz w:val="21"/>
      <w:szCs w:val="21"/>
    </w:rPr>
  </w:style>
  <w:style w:type="character" w:styleId="24">
    <w:name w:val="HTML Cite"/>
    <w:qFormat/>
    <w:uiPriority w:val="0"/>
    <w:rPr>
      <w:i/>
      <w:iCs/>
    </w:rPr>
  </w:style>
  <w:style w:type="character" w:customStyle="1" w:styleId="25">
    <w:name w:val="页眉 字符"/>
    <w:basedOn w:val="16"/>
    <w:link w:val="10"/>
    <w:qFormat/>
    <w:uiPriority w:val="0"/>
    <w:rPr>
      <w:sz w:val="18"/>
      <w:szCs w:val="18"/>
    </w:rPr>
  </w:style>
  <w:style w:type="character" w:customStyle="1" w:styleId="26">
    <w:name w:val="页脚 字符"/>
    <w:basedOn w:val="16"/>
    <w:link w:val="9"/>
    <w:qFormat/>
    <w:uiPriority w:val="0"/>
    <w:rPr>
      <w:sz w:val="18"/>
      <w:szCs w:val="18"/>
    </w:rPr>
  </w:style>
  <w:style w:type="paragraph" w:customStyle="1" w:styleId="27">
    <w:name w:val="段"/>
    <w:link w:val="34"/>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8">
    <w:name w:val="一级条标题"/>
    <w:basedOn w:val="1"/>
    <w:next w:val="27"/>
    <w:qFormat/>
    <w:uiPriority w:val="0"/>
    <w:pPr>
      <w:jc w:val="both"/>
      <w:outlineLvl w:val="2"/>
    </w:pPr>
    <w:rPr>
      <w:rFonts w:ascii="黑体" w:eastAsia="黑体"/>
      <w:sz w:val="21"/>
      <w:szCs w:val="20"/>
    </w:rPr>
  </w:style>
  <w:style w:type="character" w:customStyle="1" w:styleId="29">
    <w:name w:val="批注框文本 字符"/>
    <w:basedOn w:val="16"/>
    <w:link w:val="8"/>
    <w:qFormat/>
    <w:uiPriority w:val="0"/>
    <w:rPr>
      <w:rFonts w:ascii="Times New Roman" w:hAnsi="Times New Roman" w:eastAsia="宋体" w:cs="Times New Roman"/>
      <w:kern w:val="0"/>
      <w:sz w:val="18"/>
      <w:szCs w:val="18"/>
    </w:rPr>
  </w:style>
  <w:style w:type="character" w:customStyle="1" w:styleId="30">
    <w:name w:val="标题 3 字符"/>
    <w:basedOn w:val="16"/>
    <w:link w:val="3"/>
    <w:qFormat/>
    <w:uiPriority w:val="9"/>
    <w:rPr>
      <w:rFonts w:ascii="宋体" w:hAnsi="宋体" w:eastAsia="宋体" w:cs="宋体"/>
      <w:b/>
      <w:bCs/>
      <w:kern w:val="0"/>
      <w:sz w:val="27"/>
      <w:szCs w:val="27"/>
    </w:rPr>
  </w:style>
  <w:style w:type="character" w:customStyle="1" w:styleId="31">
    <w:name w:val="批注文字 字符"/>
    <w:basedOn w:val="16"/>
    <w:link w:val="4"/>
    <w:qFormat/>
    <w:uiPriority w:val="0"/>
    <w:rPr>
      <w:rFonts w:ascii="CG Times (W1)" w:hAnsi="CG Times (W1)" w:eastAsia="仿宋_GB2312" w:cs="CG Times (W1)"/>
      <w:kern w:val="0"/>
      <w:sz w:val="30"/>
      <w:szCs w:val="30"/>
    </w:rPr>
  </w:style>
  <w:style w:type="character" w:customStyle="1" w:styleId="32">
    <w:name w:val="日期 字符"/>
    <w:basedOn w:val="16"/>
    <w:link w:val="5"/>
    <w:qFormat/>
    <w:uiPriority w:val="0"/>
    <w:rPr>
      <w:rFonts w:ascii="Times New Roman" w:hAnsi="Times New Roman" w:eastAsia="宋体" w:cs="Times New Roman"/>
      <w:szCs w:val="24"/>
    </w:rPr>
  </w:style>
  <w:style w:type="character" w:customStyle="1" w:styleId="33">
    <w:name w:val="HTML 预设格式 字符"/>
    <w:basedOn w:val="16"/>
    <w:link w:val="11"/>
    <w:qFormat/>
    <w:uiPriority w:val="0"/>
    <w:rPr>
      <w:rFonts w:ascii="Courier New" w:hAnsi="Courier New" w:eastAsia="宋体" w:cs="Courier New"/>
      <w:sz w:val="20"/>
      <w:szCs w:val="20"/>
    </w:rPr>
  </w:style>
  <w:style w:type="character" w:customStyle="1" w:styleId="34">
    <w:name w:val="段 Char Char"/>
    <w:link w:val="27"/>
    <w:qFormat/>
    <w:uiPriority w:val="0"/>
    <w:rPr>
      <w:rFonts w:ascii="宋体" w:hAnsi="Times New Roman" w:eastAsia="宋体" w:cs="Times New Roman"/>
      <w:kern w:val="0"/>
      <w:szCs w:val="20"/>
    </w:rPr>
  </w:style>
  <w:style w:type="paragraph" w:customStyle="1" w:styleId="35">
    <w:name w:val="Char Char Char Char Char Char"/>
    <w:basedOn w:val="1"/>
    <w:qFormat/>
    <w:uiPriority w:val="0"/>
    <w:pPr>
      <w:widowControl w:val="0"/>
      <w:spacing w:beforeLines="100" w:afterLines="50" w:line="600" w:lineRule="exact"/>
      <w:ind w:firstLine="200" w:firstLineChars="200"/>
      <w:jc w:val="both"/>
    </w:pPr>
    <w:rPr>
      <w:kern w:val="2"/>
      <w:sz w:val="21"/>
    </w:rPr>
  </w:style>
  <w:style w:type="paragraph" w:customStyle="1" w:styleId="36">
    <w:name w:val="正文表标题"/>
    <w:next w:val="27"/>
    <w:qFormat/>
    <w:uiPriority w:val="99"/>
    <w:pPr>
      <w:numPr>
        <w:ilvl w:val="0"/>
        <w:numId w:val="1"/>
      </w:numPr>
      <w:jc w:val="center"/>
    </w:pPr>
    <w:rPr>
      <w:rFonts w:ascii="黑体" w:hAnsi="Times New Roman" w:eastAsia="黑体" w:cs="Times New Roman"/>
      <w:kern w:val="0"/>
      <w:sz w:val="21"/>
      <w:szCs w:val="20"/>
      <w:lang w:val="en-US" w:eastAsia="zh-CN" w:bidi="ar-SA"/>
    </w:rPr>
  </w:style>
  <w:style w:type="paragraph" w:customStyle="1" w:styleId="37">
    <w:name w:val="样式 一级条标题 + 宋体"/>
    <w:basedOn w:val="1"/>
    <w:qFormat/>
    <w:uiPriority w:val="0"/>
    <w:pPr>
      <w:numPr>
        <w:ilvl w:val="2"/>
        <w:numId w:val="2"/>
      </w:numPr>
      <w:spacing w:line="360" w:lineRule="exact"/>
      <w:outlineLvl w:val="2"/>
    </w:pPr>
    <w:rPr>
      <w:rFonts w:ascii="宋体" w:hAnsi="宋体"/>
      <w:sz w:val="21"/>
      <w:szCs w:val="20"/>
    </w:rPr>
  </w:style>
  <w:style w:type="paragraph" w:customStyle="1" w:styleId="38">
    <w:name w:val="前言、引言标题"/>
    <w:next w:val="1"/>
    <w:qFormat/>
    <w:uiPriority w:val="99"/>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9">
    <w:name w:val="样式 宋体 行距: 1.5 倍行距"/>
    <w:basedOn w:val="1"/>
    <w:qFormat/>
    <w:uiPriority w:val="0"/>
    <w:pPr>
      <w:widowControl w:val="0"/>
      <w:numPr>
        <w:ilvl w:val="0"/>
        <w:numId w:val="3"/>
      </w:numPr>
      <w:spacing w:line="360" w:lineRule="auto"/>
      <w:jc w:val="both"/>
    </w:pPr>
    <w:rPr>
      <w:rFonts w:ascii="宋体" w:hAnsi="宋体" w:cs="宋体"/>
      <w:kern w:val="2"/>
      <w:sz w:val="21"/>
      <w:szCs w:val="20"/>
    </w:rPr>
  </w:style>
  <w:style w:type="paragraph" w:customStyle="1" w:styleId="40">
    <w:name w:val="前言标题"/>
    <w:basedOn w:val="1"/>
    <w:qFormat/>
    <w:uiPriority w:val="0"/>
    <w:pPr>
      <w:widowControl w:val="0"/>
      <w:numPr>
        <w:ilvl w:val="0"/>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41">
    <w:name w:val="标准文件_四级条标题"/>
    <w:basedOn w:val="1"/>
    <w:qFormat/>
    <w:uiPriority w:val="0"/>
    <w:pPr>
      <w:widowControl w:val="0"/>
      <w:numPr>
        <w:ilvl w:val="5"/>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42">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43">
    <w:name w:val="标准文件_五级条标题"/>
    <w:basedOn w:val="1"/>
    <w:qFormat/>
    <w:uiPriority w:val="0"/>
    <w:pPr>
      <w:widowControl w:val="0"/>
      <w:numPr>
        <w:ilvl w:val="6"/>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44">
    <w:name w:val="Char Char Char Char"/>
    <w:basedOn w:val="1"/>
    <w:qFormat/>
    <w:uiPriority w:val="0"/>
    <w:pPr>
      <w:widowControl w:val="0"/>
      <w:spacing w:beforeLines="100" w:afterLines="50" w:line="600" w:lineRule="exact"/>
      <w:ind w:firstLine="200" w:firstLineChars="200"/>
      <w:jc w:val="both"/>
    </w:pPr>
    <w:rPr>
      <w:kern w:val="2"/>
      <w:sz w:val="21"/>
    </w:rPr>
  </w:style>
  <w:style w:type="paragraph" w:customStyle="1" w:styleId="45">
    <w:name w:val="三级条标题"/>
    <w:basedOn w:val="46"/>
    <w:next w:val="1"/>
    <w:qFormat/>
    <w:uiPriority w:val="99"/>
    <w:pPr>
      <w:ind w:left="735"/>
      <w:outlineLvl w:val="4"/>
    </w:pPr>
  </w:style>
  <w:style w:type="paragraph" w:customStyle="1" w:styleId="46">
    <w:name w:val="二级条标题"/>
    <w:basedOn w:val="28"/>
    <w:next w:val="1"/>
    <w:qFormat/>
    <w:uiPriority w:val="99"/>
    <w:pPr>
      <w:jc w:val="left"/>
      <w:outlineLvl w:val="3"/>
    </w:pPr>
    <w:rPr>
      <w:rFonts w:ascii="Times New Roman"/>
    </w:rPr>
  </w:style>
  <w:style w:type="paragraph" w:customStyle="1" w:styleId="47">
    <w:name w:val="标准文件_正文表标题"/>
    <w:next w:val="1"/>
    <w:qFormat/>
    <w:uiPriority w:val="0"/>
    <w:pPr>
      <w:tabs>
        <w:tab w:val="left" w:pos="0"/>
      </w:tabs>
      <w:jc w:val="center"/>
    </w:pPr>
    <w:rPr>
      <w:rFonts w:ascii="黑体" w:hAnsi="Times New Roman" w:eastAsia="黑体" w:cs="Times New Roman"/>
      <w:kern w:val="0"/>
      <w:sz w:val="21"/>
      <w:szCs w:val="20"/>
      <w:lang w:val="en-US" w:eastAsia="zh-CN" w:bidi="ar-SA"/>
    </w:rPr>
  </w:style>
  <w:style w:type="paragraph" w:customStyle="1" w:styleId="48">
    <w:name w:val="五级条标题"/>
    <w:basedOn w:val="49"/>
    <w:next w:val="1"/>
    <w:qFormat/>
    <w:uiPriority w:val="99"/>
    <w:pPr>
      <w:outlineLvl w:val="6"/>
    </w:pPr>
  </w:style>
  <w:style w:type="paragraph" w:customStyle="1" w:styleId="49">
    <w:name w:val="四级条标题"/>
    <w:basedOn w:val="45"/>
    <w:next w:val="1"/>
    <w:qFormat/>
    <w:uiPriority w:val="99"/>
    <w:pPr>
      <w:ind w:left="0"/>
      <w:outlineLvl w:val="5"/>
    </w:pPr>
  </w:style>
  <w:style w:type="paragraph" w:customStyle="1" w:styleId="50">
    <w:name w:val="标准文件_章标题"/>
    <w:basedOn w:val="1"/>
    <w:qFormat/>
    <w:uiPriority w:val="0"/>
    <w:pPr>
      <w:widowControl w:val="0"/>
      <w:numPr>
        <w:ilvl w:val="1"/>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51">
    <w:name w:val="标准文件_三级条标题"/>
    <w:basedOn w:val="1"/>
    <w:qFormat/>
    <w:uiPriority w:val="0"/>
    <w:pPr>
      <w:widowControl w:val="0"/>
      <w:numPr>
        <w:ilvl w:val="4"/>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52">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customStyle="1" w:styleId="53">
    <w:name w:val="附录标识"/>
    <w:basedOn w:val="38"/>
    <w:qFormat/>
    <w:uiPriority w:val="0"/>
    <w:pPr>
      <w:numPr>
        <w:ilvl w:val="0"/>
        <w:numId w:val="4"/>
      </w:numPr>
      <w:tabs>
        <w:tab w:val="left" w:pos="6405"/>
      </w:tabs>
      <w:spacing w:after="200"/>
    </w:pPr>
    <w:rPr>
      <w:sz w:val="21"/>
    </w:rPr>
  </w:style>
  <w:style w:type="paragraph" w:customStyle="1" w:styleId="54">
    <w:name w:val="Char Char Char Char Char Char Char Char Char Char"/>
    <w:basedOn w:val="1"/>
    <w:qFormat/>
    <w:uiPriority w:val="0"/>
    <w:pPr>
      <w:spacing w:after="160" w:line="240" w:lineRule="exact"/>
    </w:pPr>
    <w:rPr>
      <w:rFonts w:ascii="Arial" w:hAnsi="Arial" w:cs="Arial"/>
      <w:b/>
      <w:bCs/>
      <w:lang w:eastAsia="en-US"/>
    </w:rPr>
  </w:style>
  <w:style w:type="paragraph" w:customStyle="1" w:styleId="55">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56">
    <w:name w:val="目次、标准名称标题"/>
    <w:basedOn w:val="38"/>
    <w:next w:val="27"/>
    <w:qFormat/>
    <w:uiPriority w:val="99"/>
    <w:pPr>
      <w:numPr>
        <w:ilvl w:val="0"/>
        <w:numId w:val="5"/>
      </w:numPr>
      <w:spacing w:line="460" w:lineRule="exact"/>
    </w:pPr>
  </w:style>
  <w:style w:type="paragraph" w:customStyle="1" w:styleId="57">
    <w:name w:val="Char Char Char"/>
    <w:basedOn w:val="1"/>
    <w:qFormat/>
    <w:uiPriority w:val="0"/>
    <w:pPr>
      <w:spacing w:after="160" w:line="240" w:lineRule="exact"/>
    </w:pPr>
    <w:rPr>
      <w:rFonts w:ascii="Verdana" w:hAnsi="Verdana"/>
      <w:sz w:val="20"/>
      <w:szCs w:val="20"/>
      <w:lang w:eastAsia="en-US"/>
    </w:rPr>
  </w:style>
  <w:style w:type="character" w:customStyle="1" w:styleId="58">
    <w:name w:val="段 Char"/>
    <w:qFormat/>
    <w:uiPriority w:val="0"/>
    <w:rPr>
      <w:rFonts w:ascii="宋体"/>
      <w:sz w:val="21"/>
      <w:lang w:val="en-US" w:eastAsia="zh-CN" w:bidi="ar-SA"/>
    </w:rPr>
  </w:style>
  <w:style w:type="character" w:customStyle="1" w:styleId="59">
    <w:name w:val="fontstyle01"/>
    <w:qFormat/>
    <w:uiPriority w:val="0"/>
    <w:rPr>
      <w:rFonts w:hint="eastAsia" w:ascii="宋体" w:hAnsi="宋体" w:eastAsia="宋体"/>
      <w:color w:val="000000"/>
      <w:sz w:val="22"/>
      <w:szCs w:val="22"/>
    </w:rPr>
  </w:style>
  <w:style w:type="paragraph" w:styleId="60">
    <w:name w:val="List Paragraph"/>
    <w:basedOn w:val="1"/>
    <w:qFormat/>
    <w:uiPriority w:val="34"/>
    <w:pPr>
      <w:widowControl w:val="0"/>
      <w:ind w:firstLine="420" w:firstLineChars="200"/>
      <w:jc w:val="both"/>
    </w:pPr>
    <w:rPr>
      <w:kern w:val="2"/>
      <w:sz w:val="21"/>
    </w:rPr>
  </w:style>
  <w:style w:type="paragraph" w:customStyle="1" w:styleId="61">
    <w:name w:val="附录五级条标题"/>
    <w:basedOn w:val="62"/>
    <w:next w:val="27"/>
    <w:qFormat/>
    <w:uiPriority w:val="0"/>
    <w:pPr>
      <w:outlineLvl w:val="6"/>
    </w:pPr>
  </w:style>
  <w:style w:type="paragraph" w:customStyle="1" w:styleId="62">
    <w:name w:val="附录四级条标题"/>
    <w:basedOn w:val="63"/>
    <w:next w:val="27"/>
    <w:qFormat/>
    <w:uiPriority w:val="0"/>
    <w:pPr>
      <w:outlineLvl w:val="5"/>
    </w:pPr>
  </w:style>
  <w:style w:type="paragraph" w:customStyle="1" w:styleId="63">
    <w:name w:val="附录三级条标题"/>
    <w:basedOn w:val="64"/>
    <w:next w:val="27"/>
    <w:qFormat/>
    <w:uiPriority w:val="0"/>
    <w:pPr>
      <w:outlineLvl w:val="4"/>
    </w:pPr>
  </w:style>
  <w:style w:type="paragraph" w:customStyle="1" w:styleId="64">
    <w:name w:val="附录二级条标题"/>
    <w:basedOn w:val="65"/>
    <w:next w:val="27"/>
    <w:qFormat/>
    <w:uiPriority w:val="0"/>
    <w:pPr>
      <w:ind w:left="0"/>
      <w:outlineLvl w:val="3"/>
    </w:pPr>
  </w:style>
  <w:style w:type="paragraph" w:customStyle="1" w:styleId="65">
    <w:name w:val="附录一级条标题"/>
    <w:basedOn w:val="66"/>
    <w:next w:val="27"/>
    <w:qFormat/>
    <w:uiPriority w:val="0"/>
    <w:pPr>
      <w:autoSpaceDN w:val="0"/>
      <w:spacing w:beforeLines="0" w:afterLines="0"/>
      <w:ind w:left="851"/>
      <w:outlineLvl w:val="2"/>
    </w:pPr>
  </w:style>
  <w:style w:type="paragraph" w:customStyle="1" w:styleId="66">
    <w:name w:val="附录章标题"/>
    <w:next w:val="2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67">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69">
    <w:name w:val="fontstyle11"/>
    <w:basedOn w:val="16"/>
    <w:qFormat/>
    <w:uiPriority w:val="0"/>
    <w:rPr>
      <w:rFonts w:hint="default" w:ascii="TimesNewRomanPSMT" w:hAnsi="TimesNewRomanPSMT"/>
      <w:color w:val="000000"/>
      <w:sz w:val="22"/>
      <w:szCs w:val="22"/>
    </w:rPr>
  </w:style>
  <w:style w:type="character" w:customStyle="1" w:styleId="70">
    <w:name w:val="fontstyle31"/>
    <w:basedOn w:val="16"/>
    <w:qFormat/>
    <w:uiPriority w:val="0"/>
    <w:rPr>
      <w:rFonts w:hint="eastAsia" w:ascii="宋体" w:hAnsi="宋体" w:eastAsia="宋体"/>
      <w:color w:val="000000"/>
      <w:sz w:val="22"/>
      <w:szCs w:val="22"/>
    </w:rPr>
  </w:style>
  <w:style w:type="character" w:customStyle="1" w:styleId="71">
    <w:name w:val="正文文本缩进 2 字符"/>
    <w:basedOn w:val="16"/>
    <w:link w:val="6"/>
    <w:qFormat/>
    <w:uiPriority w:val="0"/>
    <w:rPr>
      <w:rFonts w:ascii="Times New Roman" w:hAnsi="Times New Roman" w:eastAsia="宋体" w:cs="Times New Roman"/>
      <w:kern w:val="0"/>
      <w:sz w:val="24"/>
      <w:szCs w:val="24"/>
    </w:rPr>
  </w:style>
  <w:style w:type="character" w:customStyle="1" w:styleId="72">
    <w:name w:val="Unresolved Mention"/>
    <w:basedOn w:val="16"/>
    <w:semiHidden/>
    <w:unhideWhenUsed/>
    <w:qFormat/>
    <w:uiPriority w:val="99"/>
    <w:rPr>
      <w:color w:val="605E5C"/>
      <w:shd w:val="clear" w:color="auto" w:fill="E1DFDD"/>
    </w:rPr>
  </w:style>
  <w:style w:type="table" w:customStyle="1" w:styleId="73">
    <w:name w:val="Grid Table 1 Light"/>
    <w:basedOn w:val="1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4">
    <w:name w:val="Grid Table Light"/>
    <w:basedOn w:val="1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75">
    <w:name w:val="Revision"/>
    <w:hidden/>
    <w:semiHidden/>
    <w:qFormat/>
    <w:uiPriority w:val="99"/>
    <w:rPr>
      <w:rFonts w:ascii="Times New Roman" w:hAnsi="Times New Roman" w:eastAsia="宋体" w:cs="Times New Roman"/>
      <w:kern w:val="0"/>
      <w:sz w:val="24"/>
      <w:szCs w:val="24"/>
      <w:lang w:val="en-US" w:eastAsia="zh-CN" w:bidi="ar-SA"/>
    </w:rPr>
  </w:style>
  <w:style w:type="character" w:styleId="76">
    <w:name w:val="Placeholder Text"/>
    <w:basedOn w:val="16"/>
    <w:semiHidden/>
    <w:qFormat/>
    <w:uiPriority w:val="99"/>
    <w:rPr>
      <w:color w:val="808080"/>
    </w:rPr>
  </w:style>
  <w:style w:type="character" w:customStyle="1" w:styleId="77">
    <w:name w:val="font11"/>
    <w:basedOn w:val="16"/>
    <w:qFormat/>
    <w:uiPriority w:val="0"/>
    <w:rPr>
      <w:rFonts w:hint="eastAsia" w:ascii="宋体" w:hAnsi="宋体" w:eastAsia="宋体" w:cs="宋体"/>
      <w:color w:val="000000"/>
      <w:sz w:val="22"/>
      <w:szCs w:val="22"/>
      <w:u w:val="none"/>
    </w:rPr>
  </w:style>
  <w:style w:type="paragraph" w:customStyle="1" w:styleId="78">
    <w:name w:val="Table Text"/>
    <w:basedOn w:val="1"/>
    <w:semiHidden/>
    <w:qFormat/>
    <w:uiPriority w:val="0"/>
    <w:rPr>
      <w:rFonts w:ascii="宋体" w:hAnsi="宋体" w:eastAsia="宋体" w:cs="宋体"/>
      <w:sz w:val="18"/>
      <w:szCs w:val="18"/>
      <w:lang w:val="en-US" w:eastAsia="en-US" w:bidi="ar-SA"/>
    </w:rPr>
  </w:style>
  <w:style w:type="table" w:customStyle="1" w:styleId="7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7CAF-0FA1-4268-81C3-350D6BF3EF95}">
  <ds:schemaRefs/>
</ds:datastoreItem>
</file>

<file path=docProps/app.xml><?xml version="1.0" encoding="utf-8"?>
<Properties xmlns="http://schemas.openxmlformats.org/officeDocument/2006/extended-properties" xmlns:vt="http://schemas.openxmlformats.org/officeDocument/2006/docPropsVTypes">
  <Template>Normal</Template>
  <Pages>10</Pages>
  <Words>6444</Words>
  <Characters>7398</Characters>
  <Lines>1</Lines>
  <Paragraphs>1</Paragraphs>
  <TotalTime>78</TotalTime>
  <ScaleCrop>false</ScaleCrop>
  <LinksUpToDate>false</LinksUpToDate>
  <CharactersWithSpaces>7586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2023-03-06T03:24:00Z</dcterms:created>
  <dc:creator>Windows 用户</dc:creator>
  <cp:lastModifiedBy>ss</cp:lastModifiedBy>
  <cp:lastPrinted>2022-11-05T14:54:00Z</cp:lastPrinted>
  <dcterms:modified xsi:type="dcterms:W3CDTF">2024-08-26T14:40:57Z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112B5EEA8C1B4DE5A0DE5B8E912D6043_13</vt:lpwstr>
  </property>
</Properties>
</file>