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8B571">
      <w:pPr>
        <w:pStyle w:val="26"/>
      </w:pPr>
      <w:bookmarkStart w:id="2" w:name="_GoBack"/>
      <w:bookmarkEnd w:id="2"/>
      <w:bookmarkStart w:id="0" w:name="SectionMark0"/>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8889365</wp:posOffset>
                </wp:positionV>
                <wp:extent cx="6121400" cy="0"/>
                <wp:effectExtent l="0" t="0" r="12700"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699.95pt;height:0pt;width:482pt;z-index:251659264;mso-width-relative:page;mso-height-relative:page;" filled="f" stroked="t" coordsize="21600,21600" o:gfxdata="UEsDBAoAAAAAAIdO4kAAAAAAAAAAAAAAAAAEAAAAZHJzL1BLAwQUAAAACACHTuJAMYH++9c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YH++9cAAAAK&#10;AQAADwAAAAAAAAABACAAAAAiAAAAZHJzL2Rvd25yZXYueG1sUEsBAhQAFAAAAAgAh07iQC3UaNHk&#10;AQAArQMAAA4AAAAAAAAAAQAgAAAAJgEAAGRycy9lMm9Eb2MueG1sUEsFBgAAAAAGAAYAWQEAAHwF&#10;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2272665</wp:posOffset>
                </wp:positionV>
                <wp:extent cx="6121400" cy="0"/>
                <wp:effectExtent l="0" t="0" r="12700"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178.95pt;height:0pt;width:482pt;z-index:251660288;mso-width-relative:page;mso-height-relative:page;" filled="f" stroked="t" coordsize="21600,21600" o:gfxdata="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vstu1wAAAAgB&#10;AAAPAAAAAAAAAAEAIAAAACIAAABkcnMvZG93bnJldi54bWxQSwECFAAUAAAACACHTuJA+EPlGeMB&#10;AACtAwAADgAAAAAAAAABACAAAAAmAQAAZHJzL2Uyb0RvYy54bWxQSwUGAAAAAAYABgBZAQAAewUA&#10;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333375</wp:posOffset>
                </wp:positionH>
                <wp:positionV relativeFrom="margin">
                  <wp:posOffset>8970645</wp:posOffset>
                </wp:positionV>
                <wp:extent cx="5334000" cy="59436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334000" cy="594360"/>
                        </a:xfrm>
                        <a:prstGeom prst="rect">
                          <a:avLst/>
                        </a:prstGeom>
                        <a:solidFill>
                          <a:srgbClr val="FFFFFF"/>
                        </a:solidFill>
                        <a:ln>
                          <a:noFill/>
                        </a:ln>
                      </wps:spPr>
                      <wps:txbx>
                        <w:txbxContent>
                          <w:p w14:paraId="08658F94">
                            <w:pPr>
                              <w:pStyle w:val="27"/>
                              <w:spacing w:line="0" w:lineRule="atLeast"/>
                              <w:ind w:right="-30"/>
                              <w:jc w:val="both"/>
                              <w:rPr>
                                <w:rFonts w:hAnsi="宋体"/>
                                <w:spacing w:val="0"/>
                                <w:w w:val="125"/>
                                <w:szCs w:val="36"/>
                              </w:rPr>
                            </w:pPr>
                          </w:p>
                          <w:p w14:paraId="5FA79FBB">
                            <w:pPr>
                              <w:pStyle w:val="27"/>
                              <w:spacing w:line="0" w:lineRule="atLeast"/>
                              <w:ind w:right="-30" w:firstLine="1590" w:firstLineChars="495"/>
                              <w:jc w:val="both"/>
                              <w:rPr>
                                <w:rFonts w:hAnsi="宋体"/>
                                <w:spacing w:val="0"/>
                                <w:szCs w:val="36"/>
                              </w:rPr>
                            </w:pPr>
                            <w:r>
                              <w:rPr>
                                <w:rFonts w:hint="eastAsia"/>
                                <w:spacing w:val="0"/>
                                <w:w w:val="100"/>
                                <w:sz w:val="32"/>
                                <w:szCs w:val="32"/>
                              </w:rPr>
                              <w:t>中华人民共和国工业和信息化部</w:t>
                            </w:r>
                            <w:r>
                              <w:rPr>
                                <w:rFonts w:hint="eastAsia" w:hAnsi="宋体"/>
                                <w:spacing w:val="0"/>
                                <w:sz w:val="24"/>
                                <w:szCs w:val="24"/>
                              </w:rPr>
                              <w:t xml:space="preserve">   发 布</w:t>
                            </w:r>
                          </w:p>
                          <w:p w14:paraId="58AA2773">
                            <w:pPr>
                              <w:pStyle w:val="27"/>
                              <w:spacing w:line="0" w:lineRule="atLeast"/>
                              <w:rPr>
                                <w:rFonts w:hAnsi="宋体"/>
                                <w:spacing w:val="0"/>
                                <w:szCs w:val="36"/>
                              </w:rPr>
                            </w:pPr>
                          </w:p>
                          <w:p w14:paraId="7D51AC62">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25pt;margin-top:706.35pt;height:46.8pt;width:420pt;mso-position-horizontal-relative:margin;mso-position-vertical-relative:margin;z-index:251661312;mso-width-relative:page;mso-height-relative:page;" fillcolor="#FFFFFF" filled="t" stroked="f" coordsize="21600,21600" o:gfxdata="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3d&#10;qVbaAAAADAEAAA8AAAAAAAAAAQAgAAAAIgAAAGRycy9kb3ducmV2LnhtbFBLAQIUABQAAAAIAIdO&#10;4kAD7tGSIQIAAC4EAAAOAAAAAAAAAAEAIAAAACkBAABkcnMvZTJvRG9jLnhtbFBLBQYAAAAABgAG&#10;AFkBAAC8BQAAAAA=&#10;">
                <v:fill on="t" focussize="0,0"/>
                <v:stroke on="f"/>
                <v:imagedata o:title=""/>
                <o:lock v:ext="edit" aspectratio="f"/>
                <v:textbox inset="0mm,0mm,0mm,0mm">
                  <w:txbxContent>
                    <w:p w14:paraId="08658F94">
                      <w:pPr>
                        <w:pStyle w:val="27"/>
                        <w:spacing w:line="0" w:lineRule="atLeast"/>
                        <w:ind w:right="-30"/>
                        <w:jc w:val="both"/>
                        <w:rPr>
                          <w:rFonts w:hAnsi="宋体"/>
                          <w:spacing w:val="0"/>
                          <w:w w:val="125"/>
                          <w:szCs w:val="36"/>
                        </w:rPr>
                      </w:pPr>
                    </w:p>
                    <w:p w14:paraId="5FA79FBB">
                      <w:pPr>
                        <w:pStyle w:val="27"/>
                        <w:spacing w:line="0" w:lineRule="atLeast"/>
                        <w:ind w:right="-30" w:firstLine="1590" w:firstLineChars="495"/>
                        <w:jc w:val="both"/>
                        <w:rPr>
                          <w:rFonts w:hAnsi="宋体"/>
                          <w:spacing w:val="0"/>
                          <w:szCs w:val="36"/>
                        </w:rPr>
                      </w:pPr>
                      <w:r>
                        <w:rPr>
                          <w:rFonts w:hint="eastAsia"/>
                          <w:spacing w:val="0"/>
                          <w:w w:val="100"/>
                          <w:sz w:val="32"/>
                          <w:szCs w:val="32"/>
                        </w:rPr>
                        <w:t>中华人民共和国工业和信息化部</w:t>
                      </w:r>
                      <w:r>
                        <w:rPr>
                          <w:rFonts w:hint="eastAsia" w:hAnsi="宋体"/>
                          <w:spacing w:val="0"/>
                          <w:sz w:val="24"/>
                          <w:szCs w:val="24"/>
                        </w:rPr>
                        <w:t xml:space="preserve">   发 布</w:t>
                      </w:r>
                    </w:p>
                    <w:p w14:paraId="58AA2773">
                      <w:pPr>
                        <w:pStyle w:val="27"/>
                        <w:spacing w:line="0" w:lineRule="atLeast"/>
                        <w:rPr>
                          <w:rFonts w:hAnsi="宋体"/>
                          <w:spacing w:val="0"/>
                          <w:szCs w:val="36"/>
                        </w:rPr>
                      </w:pPr>
                    </w:p>
                    <w:p w14:paraId="7D51AC62">
                      <w:pPr>
                        <w:jc w:val="center"/>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31A2284">
                            <w:pPr>
                              <w:pStyle w:val="22"/>
                            </w:pPr>
                            <w:r>
                              <w:rPr>
                                <w:rFonts w:hint="eastAsia"/>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NmbcFR8CAAAuBAAADgAAAAAAAAABACAAAAApAQAAZHJzL2Uyb0RvYy54bWxQSwUGAAAAAAYABgBZ&#10;AQAAugUAAAAA&#10;">
                <v:fill on="t" focussize="0,0"/>
                <v:stroke on="f"/>
                <v:imagedata o:title=""/>
                <o:lock v:ext="edit" aspectratio="f"/>
                <v:textbox inset="0mm,0mm,0mm,0mm">
                  <w:txbxContent>
                    <w:p w14:paraId="731A2284">
                      <w:pPr>
                        <w:pStyle w:val="22"/>
                      </w:pP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CE5C81F">
                            <w:pPr>
                              <w:pStyle w:val="20"/>
                            </w:pPr>
                            <w:r>
                              <w:rPr>
                                <w:rFonts w:hint="eastAsia"/>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82yojY&#10;AAAACgEAAA8AAAAAAAAAAQAgAAAAIgAAAGRycy9kb3ducmV2LnhtbFBLAQIUABQAAAAIAIdO4kDa&#10;4yaTIAIAAC4EAAAOAAAAAAAAAAEAIAAAACcBAABkcnMvZTJvRG9jLnhtbFBLBQYAAAAABgAGAFkB&#10;AAC5BQAAAAA=&#10;">
                <v:fill on="t" focussize="0,0"/>
                <v:stroke on="f"/>
                <v:imagedata o:title=""/>
                <o:lock v:ext="edit" aspectratio="f"/>
                <v:textbox inset="0mm,0mm,0mm,0mm">
                  <w:txbxContent>
                    <w:p w14:paraId="6CE5C81F">
                      <w:pPr>
                        <w:pStyle w:val="20"/>
                      </w:pPr>
                      <w:r>
                        <w:rPr>
                          <w:rFonts w:hint="eastAsia"/>
                        </w:rPr>
                        <w:t>××××-××-××发布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3635375</wp:posOffset>
                </wp:positionV>
                <wp:extent cx="5969000" cy="4586605"/>
                <wp:effectExtent l="0" t="0" r="0" b="44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969000" cy="4586605"/>
                        </a:xfrm>
                        <a:prstGeom prst="rect">
                          <a:avLst/>
                        </a:prstGeom>
                        <a:solidFill>
                          <a:srgbClr val="FFFFFF"/>
                        </a:solidFill>
                        <a:ln>
                          <a:noFill/>
                        </a:ln>
                      </wps:spPr>
                      <wps:txbx>
                        <w:txbxContent>
                          <w:p w14:paraId="4A8FDCDB">
                            <w:pPr>
                              <w:jc w:val="center"/>
                              <w:rPr>
                                <w:rFonts w:ascii="黑体" w:eastAsia="黑体"/>
                                <w:sz w:val="52"/>
                                <w:szCs w:val="52"/>
                              </w:rPr>
                            </w:pPr>
                            <w:r>
                              <w:rPr>
                                <w:rFonts w:hint="eastAsia" w:ascii="黑体" w:eastAsia="黑体"/>
                                <w:sz w:val="52"/>
                                <w:szCs w:val="52"/>
                              </w:rPr>
                              <w:t>有色重金属冶炼渣回收铁精粉</w:t>
                            </w:r>
                          </w:p>
                          <w:p w14:paraId="62834A52">
                            <w:pPr>
                              <w:pStyle w:val="23"/>
                              <w:rPr>
                                <w:rFonts w:ascii="黑体" w:eastAsia="黑体"/>
                                <w:szCs w:val="21"/>
                              </w:rPr>
                            </w:pPr>
                            <w:r>
                              <w:rPr>
                                <w:rFonts w:hint="eastAsia" w:ascii="黑体" w:eastAsia="黑体"/>
                                <w:szCs w:val="21"/>
                              </w:rPr>
                              <w:t>Retrieved iron ore from nonferrous smelting slags</w:t>
                            </w:r>
                          </w:p>
                          <w:p w14:paraId="202B8E29">
                            <w:pPr>
                              <w:pStyle w:val="23"/>
                            </w:pPr>
                            <w:r>
                              <w:rPr>
                                <w:rFonts w:hint="eastAsia"/>
                              </w:rPr>
                              <w:t>（送审稿）</w:t>
                            </w:r>
                          </w:p>
                          <w:p w14:paraId="7E1CE19D">
                            <w:pPr>
                              <w:pStyle w:val="2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1.15pt;width:470pt;mso-position-horizontal-relative:margin;mso-position-vertical-relative:margin;z-index:251664384;mso-width-relative:page;mso-height-relative:page;" fillcolor="#FFFFFF" filled="t" stroked="f" coordsize="21600,21600" o:gfxdata="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ylR&#10;KdgAAAAJAQAADwAAAAAAAAABACAAAAAiAAAAZHJzL2Rvd25yZXYueG1sUEsBAhQAFAAAAAgAh07i&#10;QPa7N4QiAgAALwQAAA4AAAAAAAAAAQAgAAAAJwEAAGRycy9lMm9Eb2MueG1sUEsFBgAAAAAGAAYA&#10;WQEAALsFAAAAAA==&#10;">
                <v:fill on="t" focussize="0,0"/>
                <v:stroke on="f"/>
                <v:imagedata o:title=""/>
                <o:lock v:ext="edit" aspectratio="f"/>
                <v:textbox inset="0mm,0mm,0mm,0mm">
                  <w:txbxContent>
                    <w:p w14:paraId="4A8FDCDB">
                      <w:pPr>
                        <w:jc w:val="center"/>
                        <w:rPr>
                          <w:rFonts w:ascii="黑体" w:eastAsia="黑体"/>
                          <w:sz w:val="52"/>
                          <w:szCs w:val="52"/>
                        </w:rPr>
                      </w:pPr>
                      <w:r>
                        <w:rPr>
                          <w:rFonts w:hint="eastAsia" w:ascii="黑体" w:eastAsia="黑体"/>
                          <w:sz w:val="52"/>
                          <w:szCs w:val="52"/>
                        </w:rPr>
                        <w:t>有色重金属冶炼渣回收铁精粉</w:t>
                      </w:r>
                    </w:p>
                    <w:p w14:paraId="62834A52">
                      <w:pPr>
                        <w:pStyle w:val="23"/>
                        <w:rPr>
                          <w:rFonts w:ascii="黑体" w:eastAsia="黑体"/>
                          <w:szCs w:val="21"/>
                        </w:rPr>
                      </w:pPr>
                      <w:r>
                        <w:rPr>
                          <w:rFonts w:hint="eastAsia" w:ascii="黑体" w:eastAsia="黑体"/>
                          <w:szCs w:val="21"/>
                        </w:rPr>
                        <w:t>Retrieved iron ore from nonferrous smelting slags</w:t>
                      </w:r>
                    </w:p>
                    <w:p w14:paraId="202B8E29">
                      <w:pPr>
                        <w:pStyle w:val="23"/>
                      </w:pPr>
                      <w:r>
                        <w:rPr>
                          <w:rFonts w:hint="eastAsia"/>
                        </w:rPr>
                        <w:t>（送审稿）</w:t>
                      </w:r>
                    </w:p>
                    <w:p w14:paraId="7E1CE19D">
                      <w:pPr>
                        <w:pStyle w:val="28"/>
                      </w:pP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241300</wp:posOffset>
                </wp:positionH>
                <wp:positionV relativeFrom="margin">
                  <wp:posOffset>1401445</wp:posOffset>
                </wp:positionV>
                <wp:extent cx="5802630" cy="860425"/>
                <wp:effectExtent l="0" t="0" r="762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1C4C6FB7">
                            <w:pPr>
                              <w:pStyle w:val="16"/>
                              <w:rPr>
                                <w:rFonts w:ascii="黑体" w:eastAsia="黑体"/>
                                <w:lang w:val="de-DE"/>
                              </w:rPr>
                            </w:pPr>
                            <w:r>
                              <w:rPr>
                                <w:rFonts w:hint="eastAsia" w:ascii="黑体" w:eastAsia="黑体"/>
                                <w:lang w:val="de-DE"/>
                              </w:rPr>
                              <w:t xml:space="preserve">YS/T </w:t>
                            </w:r>
                            <w:r>
                              <w:rPr>
                                <w:rFonts w:hint="eastAsia" w:ascii="黑体" w:eastAsia="黑体"/>
                              </w:rPr>
                              <w:t>1092</w:t>
                            </w:r>
                            <w:r>
                              <w:rPr>
                                <w:rFonts w:hint="eastAsia" w:ascii="黑体" w:eastAsia="黑体"/>
                                <w:lang w:val="de-DE"/>
                              </w:rPr>
                              <w:t>-</w:t>
                            </w:r>
                            <w:r>
                              <w:rPr>
                                <w:rFonts w:hint="eastAsia" w:ascii="黑体" w:eastAsia="黑体"/>
                              </w:rPr>
                              <w:t>202</w:t>
                            </w:r>
                            <w:r>
                              <w:rPr>
                                <w:rFonts w:hint="eastAsia" w:ascii="黑体" w:eastAsia="黑体"/>
                                <w:lang w:val="de-DE"/>
                              </w:rPr>
                              <w:t>×</w:t>
                            </w:r>
                          </w:p>
                          <w:p w14:paraId="6745BE6A">
                            <w:pPr>
                              <w:pStyle w:val="16"/>
                              <w:wordWrap w:val="0"/>
                              <w:rPr>
                                <w:rFonts w:ascii="黑体" w:eastAsia="黑体"/>
                                <w:lang w:val="de-DE"/>
                              </w:rPr>
                            </w:pPr>
                            <w:r>
                              <w:rPr>
                                <w:rFonts w:hint="eastAsia" w:ascii="黑体" w:eastAsia="黑体"/>
                                <w:lang w:val="de-DE"/>
                              </w:rPr>
                              <w:t xml:space="preserve">代替YS/T </w:t>
                            </w:r>
                            <w:r>
                              <w:rPr>
                                <w:rFonts w:ascii="黑体" w:eastAsia="黑体"/>
                                <w:lang w:val="de-DE"/>
                              </w:rPr>
                              <w:t>1092-2015</w:t>
                            </w:r>
                          </w:p>
                          <w:p w14:paraId="2487B2E7">
                            <w:pPr>
                              <w:pStyle w:val="21"/>
                              <w:rPr>
                                <w:lang w:val="de-DE"/>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9pt;margin-top:110.35pt;height:67.75pt;width:456.9pt;mso-position-horizontal-relative:margin;mso-position-vertical-relative:margin;z-index:251665408;mso-width-relative:page;mso-height-relative:page;" fillcolor="#FFFFFF" filled="t" stroked="f" coordsize="21600,21600" o:gfxdata="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Oi83p&#10;2QAAAAoBAAAPAAAAAAAAAAEAIAAAACIAAABkcnMvZG93bnJldi54bWxQSwECFAAUAAAACACHTuJA&#10;EcQRsiACAAAuBAAADgAAAAAAAAABACAAAAAoAQAAZHJzL2Uyb0RvYy54bWxQSwUGAAAAAAYABgBZ&#10;AQAAugUAAAAA&#10;">
                <v:fill on="t" focussize="0,0"/>
                <v:stroke on="f"/>
                <v:imagedata o:title=""/>
                <o:lock v:ext="edit" aspectratio="f"/>
                <v:textbox inset="0mm,0mm,0mm,0mm">
                  <w:txbxContent>
                    <w:p w14:paraId="1C4C6FB7">
                      <w:pPr>
                        <w:pStyle w:val="16"/>
                        <w:rPr>
                          <w:rFonts w:ascii="黑体" w:eastAsia="黑体"/>
                          <w:lang w:val="de-DE"/>
                        </w:rPr>
                      </w:pPr>
                      <w:r>
                        <w:rPr>
                          <w:rFonts w:hint="eastAsia" w:ascii="黑体" w:eastAsia="黑体"/>
                          <w:lang w:val="de-DE"/>
                        </w:rPr>
                        <w:t xml:space="preserve">YS/T </w:t>
                      </w:r>
                      <w:r>
                        <w:rPr>
                          <w:rFonts w:hint="eastAsia" w:ascii="黑体" w:eastAsia="黑体"/>
                        </w:rPr>
                        <w:t>1092</w:t>
                      </w:r>
                      <w:r>
                        <w:rPr>
                          <w:rFonts w:hint="eastAsia" w:ascii="黑体" w:eastAsia="黑体"/>
                          <w:lang w:val="de-DE"/>
                        </w:rPr>
                        <w:t>-</w:t>
                      </w:r>
                      <w:r>
                        <w:rPr>
                          <w:rFonts w:hint="eastAsia" w:ascii="黑体" w:eastAsia="黑体"/>
                        </w:rPr>
                        <w:t>202</w:t>
                      </w:r>
                      <w:r>
                        <w:rPr>
                          <w:rFonts w:hint="eastAsia" w:ascii="黑体" w:eastAsia="黑体"/>
                          <w:lang w:val="de-DE"/>
                        </w:rPr>
                        <w:t>×</w:t>
                      </w:r>
                    </w:p>
                    <w:p w14:paraId="6745BE6A">
                      <w:pPr>
                        <w:pStyle w:val="16"/>
                        <w:wordWrap w:val="0"/>
                        <w:rPr>
                          <w:rFonts w:ascii="黑体" w:eastAsia="黑体"/>
                          <w:lang w:val="de-DE"/>
                        </w:rPr>
                      </w:pPr>
                      <w:r>
                        <w:rPr>
                          <w:rFonts w:hint="eastAsia" w:ascii="黑体" w:eastAsia="黑体"/>
                          <w:lang w:val="de-DE"/>
                        </w:rPr>
                        <w:t xml:space="preserve">代替YS/T </w:t>
                      </w:r>
                      <w:r>
                        <w:rPr>
                          <w:rFonts w:ascii="黑体" w:eastAsia="黑体"/>
                          <w:lang w:val="de-DE"/>
                        </w:rPr>
                        <w:t>1092-2015</w:t>
                      </w:r>
                    </w:p>
                    <w:p w14:paraId="2487B2E7">
                      <w:pPr>
                        <w:pStyle w:val="21"/>
                        <w:rPr>
                          <w:lang w:val="de-DE"/>
                        </w:rPr>
                      </w:pP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0124C761">
                            <w:pPr>
                              <w:pStyle w:val="19"/>
                              <w:rPr>
                                <w:rFonts w:ascii="黑体" w:eastAsia="黑体"/>
                                <w:w w:val="100"/>
                                <w:szCs w:val="52"/>
                              </w:rPr>
                            </w:pPr>
                            <w:r>
                              <w:rPr>
                                <w:rFonts w:hint="eastAsia" w:ascii="黑体" w:eastAsia="黑体"/>
                                <w:w w:val="100"/>
                                <w:szCs w:val="52"/>
                              </w:rPr>
                              <w:t>中华人民共和国有色金属行业标准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643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DkcF1wAA&#10;AAgBAAAPAAAAAAAAAAEAIAAAACIAAABkcnMvZG93bnJldi54bWxQSwECFAAUAAAACACHTuJAC8xF&#10;ER8CAAAuBAAADgAAAAAAAAABACAAAAAmAQAAZHJzL2Uyb0RvYy54bWxQSwUGAAAAAAYABgBZAQAA&#10;twUAAAAA&#10;">
                <v:fill on="t" focussize="0,0"/>
                <v:stroke on="f"/>
                <v:imagedata o:title=""/>
                <o:lock v:ext="edit" aspectratio="f"/>
                <v:textbox inset="0mm,0mm,0mm,0mm">
                  <w:txbxContent>
                    <w:p w14:paraId="0124C761">
                      <w:pPr>
                        <w:pStyle w:val="19"/>
                        <w:rPr>
                          <w:rFonts w:ascii="黑体" w:eastAsia="黑体"/>
                          <w:w w:val="100"/>
                          <w:szCs w:val="52"/>
                        </w:rPr>
                      </w:pPr>
                      <w:r>
                        <w:rPr>
                          <w:rFonts w:hint="eastAsia" w:ascii="黑体" w:eastAsia="黑体"/>
                          <w:w w:val="100"/>
                          <w:szCs w:val="52"/>
                        </w:rPr>
                        <w:t>中华人民共和国有色金属行业标准</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0</wp:posOffset>
                </wp:positionV>
                <wp:extent cx="2540000" cy="657860"/>
                <wp:effectExtent l="0" t="0" r="0" b="88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79A0800F">
                            <w:pPr>
                              <w:pStyle w:val="24"/>
                              <w:rPr>
                                <w:rFonts w:ascii="黑体"/>
                              </w:rPr>
                            </w:pPr>
                            <w:r>
                              <w:rPr>
                                <w:rFonts w:ascii="黑体"/>
                              </w:rPr>
                              <w:t>ICS 77.</w:t>
                            </w:r>
                            <w:r>
                              <w:rPr>
                                <w:rFonts w:hint="eastAsia" w:ascii="黑体"/>
                              </w:rPr>
                              <w:t>020</w:t>
                            </w:r>
                          </w:p>
                          <w:p w14:paraId="7A73E174">
                            <w:pPr>
                              <w:pStyle w:val="24"/>
                              <w:rPr>
                                <w:rFonts w:ascii="黑体"/>
                              </w:rPr>
                            </w:pPr>
                            <w:r>
                              <w:rPr>
                                <w:rFonts w:hint="eastAsia" w:ascii="黑体"/>
                              </w:rPr>
                              <w:t>CCS H 6</w:t>
                            </w:r>
                            <w:r>
                              <w:rPr>
                                <w:rFonts w:ascii="黑体"/>
                              </w:rPr>
                              <w:t>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745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7Mvg0wAAAAUB&#10;AAAPAAAAAAAAAAEAIAAAACIAAABkcnMvZG93bnJldi54bWxQSwECFAAUAAAACACHTuJA0xcQUiAC&#10;AAAuBAAADgAAAAAAAAABACAAAAAiAQAAZHJzL2Uyb0RvYy54bWxQSwUGAAAAAAYABgBZAQAAtAUA&#10;AAAA&#10;">
                <v:fill on="t" focussize="0,0"/>
                <v:stroke on="f"/>
                <v:imagedata o:title=""/>
                <o:lock v:ext="edit" aspectratio="f"/>
                <v:textbox inset="0mm,0mm,0mm,0mm">
                  <w:txbxContent>
                    <w:p w14:paraId="79A0800F">
                      <w:pPr>
                        <w:pStyle w:val="24"/>
                        <w:rPr>
                          <w:rFonts w:ascii="黑体"/>
                        </w:rPr>
                      </w:pPr>
                      <w:r>
                        <w:rPr>
                          <w:rFonts w:ascii="黑体"/>
                        </w:rPr>
                        <w:t>ICS 77.</w:t>
                      </w:r>
                      <w:r>
                        <w:rPr>
                          <w:rFonts w:hint="eastAsia" w:ascii="黑体"/>
                        </w:rPr>
                        <w:t>020</w:t>
                      </w:r>
                    </w:p>
                    <w:p w14:paraId="7A73E174">
                      <w:pPr>
                        <w:pStyle w:val="24"/>
                        <w:rPr>
                          <w:rFonts w:ascii="黑体"/>
                        </w:rPr>
                      </w:pPr>
                      <w:r>
                        <w:rPr>
                          <w:rFonts w:hint="eastAsia" w:ascii="黑体"/>
                        </w:rPr>
                        <w:t>CCS H 6</w:t>
                      </w:r>
                      <w:r>
                        <w:rPr>
                          <w:rFonts w:ascii="黑体"/>
                        </w:rPr>
                        <w:t>2</w:t>
                      </w:r>
                    </w:p>
                  </w:txbxContent>
                </v:textbox>
                <w10:anchorlock/>
              </v:shape>
            </w:pict>
          </mc:Fallback>
        </mc:AlternateContent>
      </w:r>
    </w:p>
    <w:p w14:paraId="04FD0A9D"/>
    <w:p w14:paraId="1FB52687">
      <w:pPr>
        <w:pStyle w:val="25"/>
        <w:framePr w:w="0" w:hRule="auto" w:wrap="auto" w:vAnchor="margin" w:hAnchor="text" w:xAlign="left" w:yAlign="inline"/>
      </w:pPr>
      <w:r>
        <w:tab/>
      </w:r>
      <w:r>
        <w:t>YS</w:t>
      </w:r>
    </w:p>
    <w:p w14:paraId="06E6CC4F">
      <w:pPr>
        <w:tabs>
          <w:tab w:val="left" w:pos="8490"/>
        </w:tabs>
      </w:pPr>
    </w:p>
    <w:p w14:paraId="032A26C6"/>
    <w:p w14:paraId="29411106">
      <w:pPr>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p>
    <w:bookmarkEnd w:id="0"/>
    <w:p w14:paraId="42382D5A">
      <w:pPr>
        <w:spacing w:line="380" w:lineRule="exact"/>
        <w:jc w:val="center"/>
        <w:rPr>
          <w:rFonts w:ascii="黑体" w:eastAsia="黑体"/>
          <w:bCs/>
          <w:sz w:val="30"/>
        </w:rPr>
      </w:pPr>
      <w:bookmarkStart w:id="1" w:name="SectionMark2"/>
      <w:r>
        <w:rPr>
          <w:rFonts w:hint="eastAsia" w:ascii="黑体" w:eastAsia="黑体"/>
          <w:bCs/>
          <w:sz w:val="30"/>
        </w:rPr>
        <w:t>前</w:t>
      </w:r>
      <w:r>
        <w:rPr>
          <w:rFonts w:ascii="黑体" w:eastAsia="黑体"/>
          <w:bCs/>
          <w:sz w:val="30"/>
        </w:rPr>
        <w:t xml:space="preserve">  </w:t>
      </w:r>
      <w:r>
        <w:rPr>
          <w:rFonts w:hint="eastAsia" w:ascii="黑体" w:eastAsia="黑体"/>
          <w:bCs/>
          <w:sz w:val="30"/>
        </w:rPr>
        <w:t>言</w:t>
      </w:r>
    </w:p>
    <w:p w14:paraId="2C40D452">
      <w:pPr>
        <w:spacing w:line="380" w:lineRule="exact"/>
        <w:jc w:val="center"/>
        <w:rPr>
          <w:rFonts w:ascii="黑体" w:eastAsia="黑体"/>
          <w:bCs/>
          <w:sz w:val="30"/>
        </w:rPr>
      </w:pPr>
    </w:p>
    <w:bookmarkEnd w:id="1"/>
    <w:p w14:paraId="6594FE5D">
      <w:pPr>
        <w:pStyle w:val="12"/>
        <w:ind w:firstLine="420"/>
        <w:rPr>
          <w:sz w:val="21"/>
          <w:szCs w:val="21"/>
        </w:rPr>
      </w:pPr>
      <w:r>
        <w:rPr>
          <w:rFonts w:hint="eastAsia"/>
          <w:sz w:val="21"/>
          <w:szCs w:val="21"/>
        </w:rPr>
        <w:t>本文件按照GB/T 1.1-2020《标准化工作导则 第1部分：标准化文件的结构和起草规则》的规定起草。</w:t>
      </w:r>
    </w:p>
    <w:p w14:paraId="1465E75D">
      <w:pPr>
        <w:ind w:firstLine="420"/>
        <w:rPr>
          <w:rFonts w:ascii="宋体" w:hAnsi="宋体"/>
        </w:rPr>
      </w:pPr>
      <w:r>
        <w:rPr>
          <w:rFonts w:hint="eastAsia" w:ascii="宋体" w:hAnsi="宋体"/>
        </w:rPr>
        <w:t>本文件代替YS/T 1092-2015《有色</w:t>
      </w:r>
      <w:r>
        <w:rPr>
          <w:rFonts w:ascii="宋体" w:hAnsi="宋体"/>
        </w:rPr>
        <w:t>重金属冶炼渣回收的铁精粉</w:t>
      </w:r>
      <w:r>
        <w:rPr>
          <w:rFonts w:hint="eastAsia" w:ascii="宋体" w:hAnsi="宋体"/>
        </w:rPr>
        <w:t>》，</w:t>
      </w:r>
      <w:r>
        <w:rPr>
          <w:rFonts w:ascii="宋体" w:hAnsi="宋体"/>
        </w:rPr>
        <w:t>与</w:t>
      </w:r>
      <w:r>
        <w:rPr>
          <w:rFonts w:hint="eastAsia" w:ascii="宋体" w:hAnsi="宋体"/>
        </w:rPr>
        <w:t>YS/T</w:t>
      </w:r>
      <w:r>
        <w:rPr>
          <w:rFonts w:ascii="宋体" w:hAnsi="宋体"/>
        </w:rPr>
        <w:t xml:space="preserve"> 1092-2015</w:t>
      </w:r>
      <w:r>
        <w:rPr>
          <w:rFonts w:hint="eastAsia" w:ascii="宋体" w:hAnsi="宋体"/>
        </w:rPr>
        <w:t>相比</w:t>
      </w:r>
      <w:r>
        <w:rPr>
          <w:rFonts w:ascii="宋体" w:hAnsi="宋体"/>
        </w:rPr>
        <w:t>，</w:t>
      </w:r>
      <w:r>
        <w:rPr>
          <w:rFonts w:hint="eastAsia" w:ascii="宋体" w:hAnsi="宋体"/>
        </w:rPr>
        <w:t>除</w:t>
      </w:r>
      <w:r>
        <w:rPr>
          <w:rFonts w:ascii="宋体" w:hAnsi="宋体"/>
        </w:rPr>
        <w:t>结构调整和</w:t>
      </w:r>
      <w:r>
        <w:rPr>
          <w:rFonts w:hint="eastAsia" w:ascii="宋体" w:hAnsi="宋体"/>
        </w:rPr>
        <w:t>编辑性</w:t>
      </w:r>
      <w:r>
        <w:rPr>
          <w:rFonts w:ascii="宋体" w:hAnsi="宋体"/>
        </w:rPr>
        <w:t>改动外，主要技术变化</w:t>
      </w:r>
      <w:r>
        <w:rPr>
          <w:rFonts w:hint="eastAsia" w:ascii="宋体" w:hAnsi="宋体"/>
        </w:rPr>
        <w:t>如下</w:t>
      </w:r>
      <w:r>
        <w:rPr>
          <w:rFonts w:ascii="宋体" w:hAnsi="宋体"/>
        </w:rPr>
        <w:t>：</w:t>
      </w:r>
    </w:p>
    <w:p w14:paraId="4AC0E9B2">
      <w:pPr>
        <w:ind w:firstLine="420"/>
        <w:rPr>
          <w:rFonts w:ascii="宋体" w:hAnsi="宋体"/>
        </w:rPr>
      </w:pPr>
      <w:r>
        <w:rPr>
          <w:rFonts w:hint="eastAsia" w:ascii="宋体" w:hAnsi="宋体"/>
        </w:rPr>
        <w:t>a）更改了标准的范围，增加了镍、钴冶炼渣回收铁精粉内容（见第1章，2015年版的第1章）；</w:t>
      </w:r>
    </w:p>
    <w:p w14:paraId="0D5C7682">
      <w:pPr>
        <w:ind w:firstLine="420"/>
        <w:rPr>
          <w:rFonts w:ascii="宋体" w:hAnsi="宋体"/>
        </w:rPr>
      </w:pPr>
      <w:r>
        <w:rPr>
          <w:rFonts w:hint="eastAsia" w:ascii="宋体" w:hAnsi="宋体"/>
        </w:rPr>
        <w:t>b）更改了产品的分级，增加了</w:t>
      </w:r>
      <w:r>
        <w:rPr>
          <w:rFonts w:ascii="宋体" w:hAnsi="宋体"/>
        </w:rPr>
        <w:t>镍、钴冶炼渣回收铁精粉分级</w:t>
      </w:r>
      <w:r>
        <w:rPr>
          <w:rFonts w:hint="eastAsia" w:ascii="宋体" w:hAnsi="宋体"/>
        </w:rPr>
        <w:t>内容</w:t>
      </w:r>
      <w:r>
        <w:rPr>
          <w:rFonts w:ascii="宋体" w:hAnsi="宋体"/>
        </w:rPr>
        <w:t>；</w:t>
      </w:r>
      <w:r>
        <w:rPr>
          <w:rFonts w:hint="eastAsia" w:ascii="宋体" w:hAnsi="宋体"/>
        </w:rPr>
        <w:t>增加了锌冶炼渣回收铁精粉的四级品指标（见4.1，2015年版</w:t>
      </w:r>
      <w:r>
        <w:rPr>
          <w:rFonts w:ascii="宋体" w:hAnsi="宋体"/>
        </w:rPr>
        <w:t>的</w:t>
      </w:r>
      <w:r>
        <w:rPr>
          <w:rFonts w:hint="eastAsia" w:ascii="宋体" w:hAnsi="宋体"/>
        </w:rPr>
        <w:t>3.1）；</w:t>
      </w:r>
    </w:p>
    <w:p w14:paraId="4226AD7A">
      <w:pPr>
        <w:ind w:firstLine="420"/>
        <w:rPr>
          <w:rFonts w:ascii="宋体" w:hAnsi="宋体"/>
        </w:rPr>
      </w:pPr>
      <w:r>
        <w:rPr>
          <w:rFonts w:hint="eastAsia" w:ascii="宋体" w:hAnsi="宋体"/>
        </w:rPr>
        <w:t>c）更改了铜、锌冶炼渣回收铁精粉化学成分要求；增加了镍、钴冶炼渣回收铁精粉化学成分要求（见4.2，2015年版</w:t>
      </w:r>
      <w:r>
        <w:rPr>
          <w:rFonts w:ascii="宋体" w:hAnsi="宋体"/>
        </w:rPr>
        <w:t>的</w:t>
      </w:r>
      <w:r>
        <w:rPr>
          <w:rFonts w:hint="eastAsia" w:ascii="宋体" w:hAnsi="宋体"/>
        </w:rPr>
        <w:t>3.2）；</w:t>
      </w:r>
    </w:p>
    <w:p w14:paraId="66C9DC0B">
      <w:pPr>
        <w:ind w:firstLine="420"/>
        <w:rPr>
          <w:rFonts w:ascii="宋体" w:hAnsi="宋体"/>
        </w:rPr>
      </w:pPr>
      <w:r>
        <w:rPr>
          <w:rFonts w:hint="eastAsia" w:ascii="宋体" w:hAnsi="宋体"/>
        </w:rPr>
        <w:t>d）更改了产品水分要求（见4.3，2015年版</w:t>
      </w:r>
      <w:r>
        <w:rPr>
          <w:rFonts w:ascii="宋体" w:hAnsi="宋体"/>
        </w:rPr>
        <w:t>的</w:t>
      </w:r>
      <w:r>
        <w:rPr>
          <w:rFonts w:hint="eastAsia" w:ascii="宋体" w:hAnsi="宋体"/>
        </w:rPr>
        <w:t>3.3）；</w:t>
      </w:r>
    </w:p>
    <w:p w14:paraId="1BC5465C">
      <w:pPr>
        <w:ind w:firstLine="420"/>
        <w:rPr>
          <w:rFonts w:ascii="宋体" w:hAnsi="宋体"/>
        </w:rPr>
      </w:pPr>
      <w:r>
        <w:rPr>
          <w:rFonts w:hint="eastAsia" w:ascii="宋体" w:hAnsi="宋体"/>
        </w:rPr>
        <w:t>e）更改了外观质量要求，增加了不应出现明水的内容（见4.4，2015年版的3.3）；</w:t>
      </w:r>
    </w:p>
    <w:p w14:paraId="57047B96">
      <w:pPr>
        <w:ind w:firstLine="420"/>
        <w:rPr>
          <w:rFonts w:ascii="宋体" w:hAnsi="宋体"/>
        </w:rPr>
      </w:pPr>
      <w:r>
        <w:rPr>
          <w:rFonts w:hint="eastAsia" w:ascii="宋体" w:hAnsi="宋体"/>
        </w:rPr>
        <w:t>f）更改了试验方法的要求（见第5章，201</w:t>
      </w:r>
      <w:r>
        <w:rPr>
          <w:rFonts w:ascii="宋体" w:hAnsi="宋体"/>
        </w:rPr>
        <w:t>5</w:t>
      </w:r>
      <w:r>
        <w:rPr>
          <w:rFonts w:hint="eastAsia" w:ascii="宋体" w:hAnsi="宋体"/>
        </w:rPr>
        <w:t>年版</w:t>
      </w:r>
      <w:r>
        <w:rPr>
          <w:rFonts w:ascii="宋体" w:hAnsi="宋体"/>
        </w:rPr>
        <w:t>的第</w:t>
      </w:r>
      <w:r>
        <w:rPr>
          <w:rFonts w:hint="eastAsia" w:ascii="宋体" w:hAnsi="宋体"/>
        </w:rPr>
        <w:t>4章）</w:t>
      </w:r>
      <w:r>
        <w:rPr>
          <w:rFonts w:ascii="宋体" w:hAnsi="宋体"/>
        </w:rPr>
        <w:t>；</w:t>
      </w:r>
    </w:p>
    <w:p w14:paraId="232C92EB">
      <w:pPr>
        <w:ind w:firstLine="420"/>
        <w:rPr>
          <w:rFonts w:ascii="宋体" w:hAnsi="宋体"/>
        </w:rPr>
      </w:pPr>
      <w:r>
        <w:rPr>
          <w:rFonts w:hint="eastAsia" w:ascii="宋体" w:hAnsi="宋体"/>
        </w:rPr>
        <w:t>g）更改了检验项目的要求（见6.3，201</w:t>
      </w:r>
      <w:r>
        <w:rPr>
          <w:rFonts w:ascii="宋体" w:hAnsi="宋体"/>
        </w:rPr>
        <w:t>5</w:t>
      </w:r>
      <w:r>
        <w:rPr>
          <w:rFonts w:hint="eastAsia" w:ascii="宋体" w:hAnsi="宋体"/>
        </w:rPr>
        <w:t>年版</w:t>
      </w:r>
      <w:r>
        <w:rPr>
          <w:rFonts w:ascii="宋体" w:hAnsi="宋体"/>
        </w:rPr>
        <w:t>的</w:t>
      </w:r>
      <w:r>
        <w:rPr>
          <w:rFonts w:hint="eastAsia" w:ascii="宋体" w:hAnsi="宋体"/>
        </w:rPr>
        <w:t>5.3）；</w:t>
      </w:r>
    </w:p>
    <w:p w14:paraId="4BC11C0B">
      <w:pPr>
        <w:ind w:firstLine="420"/>
        <w:rPr>
          <w:rFonts w:ascii="宋体" w:hAnsi="宋体"/>
        </w:rPr>
      </w:pPr>
      <w:r>
        <w:rPr>
          <w:rFonts w:hint="eastAsia" w:ascii="宋体" w:hAnsi="宋体"/>
        </w:rPr>
        <w:t>h）更改了取样和制样的要求（见6.4.2，201</w:t>
      </w:r>
      <w:r>
        <w:rPr>
          <w:rFonts w:ascii="宋体" w:hAnsi="宋体"/>
        </w:rPr>
        <w:t>5</w:t>
      </w:r>
      <w:r>
        <w:rPr>
          <w:rFonts w:hint="eastAsia" w:ascii="宋体" w:hAnsi="宋体"/>
        </w:rPr>
        <w:t>年版</w:t>
      </w:r>
      <w:r>
        <w:rPr>
          <w:rFonts w:ascii="宋体" w:hAnsi="宋体"/>
        </w:rPr>
        <w:t>的</w:t>
      </w:r>
      <w:r>
        <w:rPr>
          <w:rFonts w:hint="eastAsia" w:ascii="宋体" w:hAnsi="宋体"/>
        </w:rPr>
        <w:t>5.4.2）；</w:t>
      </w:r>
    </w:p>
    <w:p w14:paraId="42D2EC9D">
      <w:pPr>
        <w:ind w:firstLine="420"/>
        <w:rPr>
          <w:rFonts w:ascii="宋体" w:hAnsi="宋体"/>
        </w:rPr>
      </w:pPr>
      <w:r>
        <w:rPr>
          <w:rFonts w:hint="eastAsia" w:ascii="宋体" w:hAnsi="宋体"/>
        </w:rPr>
        <w:t>i）更改了检验结果的判定内容</w:t>
      </w:r>
      <w:r>
        <w:rPr>
          <w:rFonts w:hint="eastAsia" w:ascii="宋体" w:hAnsi="宋体" w:cs="宋体"/>
          <w:szCs w:val="21"/>
        </w:rPr>
        <w:t>；</w:t>
      </w:r>
      <w:r>
        <w:rPr>
          <w:rFonts w:hint="eastAsia" w:ascii="宋体" w:hAnsi="宋体"/>
        </w:rPr>
        <w:t>（见6.5，201</w:t>
      </w:r>
      <w:r>
        <w:rPr>
          <w:rFonts w:ascii="宋体" w:hAnsi="宋体"/>
        </w:rPr>
        <w:t>5</w:t>
      </w:r>
      <w:r>
        <w:rPr>
          <w:rFonts w:hint="eastAsia" w:ascii="宋体" w:hAnsi="宋体"/>
        </w:rPr>
        <w:t>年版</w:t>
      </w:r>
      <w:r>
        <w:rPr>
          <w:rFonts w:ascii="宋体" w:hAnsi="宋体"/>
        </w:rPr>
        <w:t>的</w:t>
      </w:r>
      <w:r>
        <w:rPr>
          <w:rFonts w:hint="eastAsia" w:ascii="宋体" w:hAnsi="宋体"/>
        </w:rPr>
        <w:t>5.5）；</w:t>
      </w:r>
    </w:p>
    <w:p w14:paraId="57F59A06">
      <w:pPr>
        <w:ind w:firstLine="420"/>
        <w:rPr>
          <w:rFonts w:ascii="宋体" w:hAnsi="宋体"/>
        </w:rPr>
      </w:pPr>
      <w:r>
        <w:rPr>
          <w:rFonts w:hint="eastAsia" w:ascii="宋体" w:hAnsi="宋体"/>
        </w:rPr>
        <w:t>j）更改了包装、运输、贮存及随行文件内容（见第7章，201</w:t>
      </w:r>
      <w:r>
        <w:rPr>
          <w:rFonts w:ascii="宋体" w:hAnsi="宋体"/>
        </w:rPr>
        <w:t>5</w:t>
      </w:r>
      <w:r>
        <w:rPr>
          <w:rFonts w:hint="eastAsia" w:ascii="宋体" w:hAnsi="宋体"/>
        </w:rPr>
        <w:t>年版</w:t>
      </w:r>
      <w:r>
        <w:rPr>
          <w:rFonts w:ascii="宋体" w:hAnsi="宋体"/>
        </w:rPr>
        <w:t>的第</w:t>
      </w:r>
      <w:r>
        <w:rPr>
          <w:rFonts w:hint="eastAsia" w:ascii="宋体" w:hAnsi="宋体"/>
        </w:rPr>
        <w:t>6章）。</w:t>
      </w:r>
    </w:p>
    <w:p w14:paraId="608605A9">
      <w:pPr>
        <w:ind w:firstLine="420"/>
        <w:rPr>
          <w:rFonts w:ascii="宋体" w:hAnsi="宋体"/>
        </w:rPr>
      </w:pPr>
      <w:r>
        <w:rPr>
          <w:rFonts w:hint="eastAsia" w:ascii="宋体" w:hAnsi="宋体"/>
        </w:rPr>
        <w:t>请注意本文件的某些内容可能涉及专利。本文件的发布机构不承担识别专利的责任。</w:t>
      </w:r>
    </w:p>
    <w:p w14:paraId="5FBFF028">
      <w:pPr>
        <w:ind w:firstLine="420"/>
        <w:rPr>
          <w:rFonts w:ascii="宋体" w:hAnsi="宋体"/>
        </w:rPr>
      </w:pPr>
      <w:r>
        <w:rPr>
          <w:rFonts w:hint="eastAsia" w:ascii="宋体" w:hAnsi="宋体"/>
        </w:rPr>
        <w:t>本文件由全国有色金属标准化技术委员会（SAC/TC243）提出并归口。</w:t>
      </w:r>
    </w:p>
    <w:p w14:paraId="4B21110A">
      <w:pPr>
        <w:ind w:firstLine="420"/>
        <w:rPr>
          <w:rFonts w:ascii="宋体" w:hAnsi="宋体"/>
        </w:rPr>
      </w:pPr>
      <w:r>
        <w:rPr>
          <w:rFonts w:hint="eastAsia" w:ascii="宋体" w:hAnsi="宋体"/>
        </w:rPr>
        <w:t>本文件起草单位：铜陵有色金属集团控股有限公司、河南豫光金铅集团铅盐有限责任公司、衢州华友钴新材料有限公司、金川集团股份有限公司、北方铜业股份有限公司、呼伦贝尔驰宏矿业有限公司、北海顺应新能源材料有限公司、河南中原黄金冶炼厂有限责任公司、格林美股份有限公司、赤峰金通铜业有限公司、阳新弘盛铜业有限公司。</w:t>
      </w:r>
    </w:p>
    <w:p w14:paraId="1F404EB3">
      <w:pPr>
        <w:ind w:firstLine="420"/>
        <w:rPr>
          <w:rFonts w:ascii="宋体" w:hAnsi="宋体"/>
        </w:rPr>
      </w:pPr>
      <w:r>
        <w:rPr>
          <w:rFonts w:hint="eastAsia" w:ascii="宋体" w:hAnsi="宋体"/>
        </w:rPr>
        <w:t xml:space="preserve">本文件主要起草人： </w:t>
      </w:r>
    </w:p>
    <w:p w14:paraId="4C4EB537">
      <w:pPr>
        <w:ind w:firstLine="420"/>
        <w:rPr>
          <w:rFonts w:ascii="宋体" w:hAnsi="宋体"/>
        </w:rPr>
      </w:pPr>
      <w:r>
        <w:rPr>
          <w:rFonts w:hint="eastAsia" w:ascii="宋体" w:hAnsi="宋体"/>
        </w:rPr>
        <w:t>本文件2015年首次发布为YS/T 1092-2015，本次为第一次修订。</w:t>
      </w:r>
    </w:p>
    <w:p w14:paraId="199E17C3">
      <w:pPr>
        <w:ind w:firstLine="420"/>
        <w:rPr>
          <w:rFonts w:ascii="宋体" w:hAnsi="宋体"/>
        </w:rPr>
      </w:pPr>
    </w:p>
    <w:p w14:paraId="59118DCC">
      <w:pPr>
        <w:jc w:val="center"/>
        <w:rPr>
          <w:rFonts w:hAnsi="宋体"/>
        </w:rPr>
      </w:pPr>
    </w:p>
    <w:p w14:paraId="64F4F822">
      <w:pPr>
        <w:jc w:val="center"/>
        <w:rPr>
          <w:rFonts w:hAnsi="宋体"/>
        </w:rPr>
      </w:pPr>
    </w:p>
    <w:p w14:paraId="6B758613">
      <w:pPr>
        <w:rPr>
          <w:rFonts w:hAnsi="宋体"/>
        </w:rPr>
      </w:pPr>
    </w:p>
    <w:p w14:paraId="4C26EE13">
      <w:pPr>
        <w:jc w:val="center"/>
        <w:rPr>
          <w:rFonts w:hAnsi="宋体"/>
        </w:rPr>
      </w:pPr>
    </w:p>
    <w:p w14:paraId="791DFD50">
      <w:pPr>
        <w:jc w:val="center"/>
        <w:rPr>
          <w:rFonts w:hAnsi="宋体"/>
        </w:rPr>
      </w:pPr>
    </w:p>
    <w:p w14:paraId="13288498">
      <w:pPr>
        <w:jc w:val="center"/>
        <w:rPr>
          <w:rFonts w:hAnsi="宋体"/>
        </w:rPr>
      </w:pPr>
    </w:p>
    <w:p w14:paraId="744B0F06">
      <w:pPr>
        <w:rPr>
          <w:rFonts w:hAnsi="宋体"/>
        </w:rPr>
      </w:pPr>
    </w:p>
    <w:p w14:paraId="140F9EA7">
      <w:pPr>
        <w:jc w:val="center"/>
        <w:rPr>
          <w:rFonts w:hAnsi="宋体"/>
        </w:rPr>
      </w:pPr>
    </w:p>
    <w:p w14:paraId="5C2F7DB0">
      <w:pPr>
        <w:jc w:val="center"/>
        <w:rPr>
          <w:rFonts w:hAnsi="宋体"/>
        </w:rPr>
        <w:sectPr>
          <w:footerReference r:id="rId7" w:type="default"/>
          <w:pgSz w:w="11907" w:h="16839"/>
          <w:pgMar w:top="1418" w:right="1134" w:bottom="1134" w:left="1418" w:header="1418" w:footer="1134" w:gutter="0"/>
          <w:pgNumType w:fmt="upperRoman" w:start="1"/>
          <w:cols w:space="720" w:num="1"/>
          <w:docGrid w:type="lines" w:linePitch="312" w:charSpace="0"/>
        </w:sectPr>
      </w:pPr>
    </w:p>
    <w:p w14:paraId="09689381">
      <w:pPr>
        <w:jc w:val="center"/>
        <w:rPr>
          <w:rFonts w:ascii="黑体" w:eastAsia="黑体"/>
          <w:sz w:val="32"/>
          <w:szCs w:val="32"/>
        </w:rPr>
      </w:pPr>
      <w:r>
        <w:rPr>
          <w:rFonts w:hint="eastAsia" w:ascii="黑体" w:eastAsia="黑体"/>
          <w:sz w:val="32"/>
          <w:szCs w:val="32"/>
        </w:rPr>
        <w:t>有色重金属冶炼渣回收铁精粉</w:t>
      </w:r>
    </w:p>
    <w:p w14:paraId="271F0901">
      <w:pPr>
        <w:spacing w:before="156" w:beforeLines="50" w:after="156" w:afterLines="50"/>
        <w:rPr>
          <w:rFonts w:ascii="黑体" w:eastAsia="黑体"/>
          <w:szCs w:val="21"/>
        </w:rPr>
      </w:pPr>
      <w:r>
        <w:rPr>
          <w:rFonts w:hint="eastAsia" w:ascii="黑体" w:eastAsia="黑体"/>
          <w:szCs w:val="21"/>
        </w:rPr>
        <w:t>1  范围</w:t>
      </w:r>
    </w:p>
    <w:p w14:paraId="57CD9542">
      <w:pPr>
        <w:ind w:firstLine="420"/>
        <w:rPr>
          <w:rFonts w:ascii="宋体" w:hAnsi="宋体"/>
          <w:szCs w:val="21"/>
        </w:rPr>
      </w:pPr>
      <w:r>
        <w:rPr>
          <w:rFonts w:hint="eastAsia" w:ascii="宋体" w:hAnsi="宋体"/>
          <w:szCs w:val="21"/>
        </w:rPr>
        <w:t>本文件规定了有色重金属冶炼渣回收铁精粉的要求、试验方法、检验规则、包装、运输、贮存及随行文件、订货单内容等。</w:t>
      </w:r>
    </w:p>
    <w:p w14:paraId="50930764">
      <w:pPr>
        <w:ind w:firstLine="420"/>
        <w:rPr>
          <w:rFonts w:ascii="宋体" w:hAnsi="宋体"/>
          <w:szCs w:val="21"/>
        </w:rPr>
      </w:pPr>
      <w:r>
        <w:rPr>
          <w:rFonts w:hint="eastAsia" w:ascii="宋体" w:hAnsi="宋体"/>
          <w:szCs w:val="21"/>
        </w:rPr>
        <w:t>本文件适用于有色重金属铜、锌、镍、钴</w:t>
      </w:r>
      <w:r>
        <w:rPr>
          <w:rFonts w:ascii="宋体" w:hAnsi="宋体"/>
          <w:szCs w:val="21"/>
        </w:rPr>
        <w:t>冶炼过程中所产生</w:t>
      </w:r>
      <w:r>
        <w:rPr>
          <w:rFonts w:hint="eastAsia" w:ascii="宋体" w:hAnsi="宋体"/>
          <w:szCs w:val="21"/>
        </w:rPr>
        <w:t>的冶炼</w:t>
      </w:r>
      <w:r>
        <w:rPr>
          <w:rFonts w:ascii="宋体" w:hAnsi="宋体"/>
          <w:szCs w:val="21"/>
        </w:rPr>
        <w:t>渣</w:t>
      </w:r>
      <w:r>
        <w:rPr>
          <w:rFonts w:hint="eastAsia" w:ascii="宋体" w:hAnsi="宋体"/>
          <w:szCs w:val="21"/>
        </w:rPr>
        <w:t>，</w:t>
      </w:r>
      <w:r>
        <w:rPr>
          <w:rFonts w:ascii="宋体" w:hAnsi="宋体"/>
          <w:szCs w:val="21"/>
        </w:rPr>
        <w:t>经</w:t>
      </w:r>
      <w:r>
        <w:rPr>
          <w:rFonts w:hint="eastAsia" w:ascii="宋体" w:hAnsi="宋体"/>
          <w:szCs w:val="21"/>
        </w:rPr>
        <w:t>选矿或其他</w:t>
      </w:r>
      <w:r>
        <w:rPr>
          <w:rFonts w:ascii="宋体" w:hAnsi="宋体"/>
          <w:szCs w:val="21"/>
        </w:rPr>
        <w:t>方法</w:t>
      </w:r>
      <w:r>
        <w:rPr>
          <w:rFonts w:hint="eastAsia" w:ascii="宋体" w:hAnsi="宋体"/>
          <w:szCs w:val="21"/>
        </w:rPr>
        <w:t>回收</w:t>
      </w:r>
      <w:r>
        <w:rPr>
          <w:rFonts w:ascii="宋体" w:hAnsi="宋体"/>
          <w:szCs w:val="21"/>
        </w:rPr>
        <w:t>得到</w:t>
      </w:r>
      <w:r>
        <w:rPr>
          <w:rFonts w:hint="eastAsia" w:ascii="宋体" w:hAnsi="宋体"/>
          <w:szCs w:val="21"/>
        </w:rPr>
        <w:t>的铁精粉，主要用于钢铁行业的配料。</w:t>
      </w:r>
    </w:p>
    <w:p w14:paraId="2770BDB4">
      <w:pPr>
        <w:spacing w:before="156" w:beforeLines="50" w:after="156" w:afterLines="50"/>
        <w:rPr>
          <w:rFonts w:ascii="黑体" w:eastAsia="黑体"/>
          <w:szCs w:val="21"/>
        </w:rPr>
      </w:pPr>
      <w:r>
        <w:rPr>
          <w:rFonts w:hint="eastAsia" w:ascii="黑体" w:eastAsia="黑体"/>
          <w:szCs w:val="21"/>
        </w:rPr>
        <w:t>2  规范性引用文件</w:t>
      </w:r>
    </w:p>
    <w:p w14:paraId="033F59A9">
      <w:pPr>
        <w:ind w:firstLine="42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Style w:val="6"/>
        <w:tblW w:w="0" w:type="auto"/>
        <w:tblInd w:w="528" w:type="dxa"/>
        <w:tblLayout w:type="fixed"/>
        <w:tblCellMar>
          <w:top w:w="0" w:type="dxa"/>
          <w:left w:w="108" w:type="dxa"/>
          <w:bottom w:w="0" w:type="dxa"/>
          <w:right w:w="108" w:type="dxa"/>
        </w:tblCellMar>
      </w:tblPr>
      <w:tblGrid>
        <w:gridCol w:w="8610"/>
      </w:tblGrid>
      <w:tr w14:paraId="1C32431E">
        <w:tblPrEx>
          <w:tblCellMar>
            <w:top w:w="0" w:type="dxa"/>
            <w:left w:w="108" w:type="dxa"/>
            <w:bottom w:w="0" w:type="dxa"/>
            <w:right w:w="108" w:type="dxa"/>
          </w:tblCellMar>
        </w:tblPrEx>
        <w:tc>
          <w:tcPr>
            <w:tcW w:w="8610" w:type="dxa"/>
          </w:tcPr>
          <w:p w14:paraId="56D1892B">
            <w:pPr>
              <w:rPr>
                <w:rFonts w:ascii="宋体" w:hAnsi="宋体"/>
                <w:szCs w:val="21"/>
              </w:rPr>
            </w:pPr>
            <w:r>
              <w:rPr>
                <w:rFonts w:hint="eastAsia" w:ascii="宋体" w:hAnsi="宋体"/>
                <w:szCs w:val="21"/>
              </w:rPr>
              <w:t>GB/T 2460  硫铁矿和硫精矿  采样与样品制备方法</w:t>
            </w:r>
          </w:p>
          <w:p w14:paraId="24EF1B83">
            <w:pPr>
              <w:rPr>
                <w:rFonts w:ascii="宋体" w:hAnsi="宋体"/>
                <w:szCs w:val="21"/>
              </w:rPr>
            </w:pPr>
            <w:r>
              <w:rPr>
                <w:rFonts w:hint="eastAsia" w:ascii="宋体" w:hAnsi="宋体"/>
                <w:szCs w:val="21"/>
              </w:rPr>
              <w:t>GB/T 6730.2  铁矿石  水分含量的测定  重量法</w:t>
            </w:r>
          </w:p>
          <w:p w14:paraId="0BF196D7">
            <w:pPr>
              <w:rPr>
                <w:rFonts w:ascii="宋体" w:hAnsi="宋体"/>
                <w:szCs w:val="21"/>
              </w:rPr>
            </w:pPr>
            <w:r>
              <w:rPr>
                <w:rFonts w:hint="eastAsia" w:ascii="宋体" w:hAnsi="宋体"/>
                <w:szCs w:val="21"/>
              </w:rPr>
              <w:t>GB/T 6730.10  铁矿石  硅含量的测定  重量法</w:t>
            </w:r>
          </w:p>
          <w:p w14:paraId="6C5CF391">
            <w:pPr>
              <w:rPr>
                <w:rFonts w:ascii="宋体" w:hAnsi="宋体"/>
                <w:szCs w:val="21"/>
              </w:rPr>
            </w:pPr>
            <w:r>
              <w:rPr>
                <w:rFonts w:hint="eastAsia" w:ascii="宋体" w:hAnsi="宋体"/>
                <w:szCs w:val="21"/>
              </w:rPr>
              <w:t xml:space="preserve">GB/T 6730.11  铁矿石  铝含量的测定  EDTA滴定法 </w:t>
            </w:r>
          </w:p>
          <w:p w14:paraId="5CC2F911">
            <w:pPr>
              <w:rPr>
                <w:rFonts w:ascii="宋体" w:hAnsi="宋体"/>
                <w:szCs w:val="21"/>
              </w:rPr>
            </w:pPr>
            <w:r>
              <w:rPr>
                <w:rFonts w:hint="eastAsia" w:ascii="宋体" w:hAnsi="宋体"/>
                <w:szCs w:val="21"/>
              </w:rPr>
              <w:t>GB/T 6730.16  铁矿石  硫含量的测定  硫酸钡重量法</w:t>
            </w:r>
          </w:p>
          <w:p w14:paraId="47E0F919">
            <w:pPr>
              <w:rPr>
                <w:rFonts w:ascii="宋体" w:hAnsi="宋体"/>
                <w:szCs w:val="21"/>
              </w:rPr>
            </w:pPr>
            <w:r>
              <w:rPr>
                <w:rFonts w:hint="eastAsia" w:ascii="宋体" w:hAnsi="宋体"/>
                <w:szCs w:val="21"/>
              </w:rPr>
              <w:t>GB/T 6730.18  铁矿石  磷含量的测定  钼蓝分光光度法</w:t>
            </w:r>
          </w:p>
          <w:p w14:paraId="1EFB80CE">
            <w:pPr>
              <w:rPr>
                <w:rFonts w:ascii="宋体" w:hAnsi="宋体"/>
                <w:szCs w:val="21"/>
              </w:rPr>
            </w:pPr>
            <w:r>
              <w:rPr>
                <w:rFonts w:hint="eastAsia" w:ascii="宋体" w:hAnsi="宋体"/>
                <w:szCs w:val="21"/>
              </w:rPr>
              <w:t>GB/T 6730.35  铁矿石  铜含量的测定  双环己酮草酰二腙分光光度法</w:t>
            </w:r>
          </w:p>
          <w:p w14:paraId="73CE9269">
            <w:pPr>
              <w:rPr>
                <w:rFonts w:ascii="宋体" w:hAnsi="宋体"/>
                <w:szCs w:val="21"/>
              </w:rPr>
            </w:pPr>
            <w:r>
              <w:rPr>
                <w:rFonts w:hint="eastAsia" w:ascii="宋体" w:hAnsi="宋体"/>
                <w:szCs w:val="21"/>
              </w:rPr>
              <w:t>GB/T 6730.36  铁矿石  铜含量的测定  火焰原子吸收光谱法</w:t>
            </w:r>
          </w:p>
          <w:p w14:paraId="178AF3EA">
            <w:pPr>
              <w:rPr>
                <w:rFonts w:ascii="宋体" w:hAnsi="宋体"/>
                <w:szCs w:val="21"/>
              </w:rPr>
            </w:pPr>
            <w:r>
              <w:rPr>
                <w:rFonts w:hint="eastAsia" w:ascii="宋体" w:hAnsi="宋体"/>
                <w:szCs w:val="21"/>
              </w:rPr>
              <w:t>GB/T 6730.45  铁矿石  砷含量的测定  砷化氢分离-砷钼蓝分光光度法</w:t>
            </w:r>
          </w:p>
          <w:p w14:paraId="5DB1031D">
            <w:pPr>
              <w:rPr>
                <w:rFonts w:ascii="宋体" w:hAnsi="宋体"/>
                <w:szCs w:val="21"/>
              </w:rPr>
            </w:pPr>
            <w:r>
              <w:rPr>
                <w:rFonts w:hint="eastAsia" w:ascii="宋体" w:hAnsi="宋体"/>
                <w:szCs w:val="21"/>
              </w:rPr>
              <w:t>GB/T 6730.46  铁矿石  砷含量的测定  蒸馏分离-砷钼蓝分光光度法</w:t>
            </w:r>
          </w:p>
          <w:p w14:paraId="4426AA42">
            <w:pPr>
              <w:rPr>
                <w:rFonts w:ascii="宋体" w:hAnsi="宋体"/>
                <w:szCs w:val="21"/>
              </w:rPr>
            </w:pPr>
            <w:r>
              <w:rPr>
                <w:rFonts w:hint="eastAsia" w:ascii="宋体" w:hAnsi="宋体"/>
                <w:szCs w:val="21"/>
              </w:rPr>
              <w:t>GB/T 6730.53  铁矿石  锌含量的测定  火焰原子吸收光谱法</w:t>
            </w:r>
          </w:p>
          <w:p w14:paraId="60BC9CA8">
            <w:pPr>
              <w:rPr>
                <w:rFonts w:ascii="宋体" w:hAnsi="宋体"/>
                <w:szCs w:val="21"/>
              </w:rPr>
            </w:pPr>
            <w:r>
              <w:rPr>
                <w:rFonts w:hint="eastAsia" w:ascii="宋体" w:hAnsi="宋体"/>
                <w:szCs w:val="21"/>
              </w:rPr>
              <w:t>GB/T 6730.56  铁矿石  铝含量的测定  火焰原子吸收光谱法</w:t>
            </w:r>
          </w:p>
          <w:p w14:paraId="0B9F8431">
            <w:pPr>
              <w:rPr>
                <w:rFonts w:ascii="宋体" w:hAnsi="宋体"/>
                <w:szCs w:val="21"/>
              </w:rPr>
            </w:pPr>
            <w:r>
              <w:rPr>
                <w:rFonts w:hint="eastAsia" w:ascii="宋体" w:hAnsi="宋体"/>
                <w:szCs w:val="21"/>
              </w:rPr>
              <w:t>GB/T 6730.65  铁矿石  全铁含量的测定  三氯化钛还原重铬酸钾滴定法（常规方法）</w:t>
            </w:r>
          </w:p>
          <w:p w14:paraId="08340DF0">
            <w:pPr>
              <w:rPr>
                <w:rFonts w:ascii="宋体" w:hAnsi="宋体"/>
                <w:szCs w:val="21"/>
              </w:rPr>
            </w:pPr>
            <w:r>
              <w:rPr>
                <w:rFonts w:hint="eastAsia" w:ascii="宋体" w:hAnsi="宋体"/>
                <w:szCs w:val="21"/>
              </w:rPr>
              <w:t>GB/T 8170  数值修约规则与极限数值的表示和判定</w:t>
            </w:r>
          </w:p>
        </w:tc>
      </w:tr>
    </w:tbl>
    <w:p w14:paraId="3224061C">
      <w:pPr>
        <w:spacing w:before="156" w:beforeLines="50" w:after="156" w:afterLines="50"/>
        <w:rPr>
          <w:rFonts w:ascii="黑体" w:eastAsia="黑体"/>
          <w:szCs w:val="21"/>
        </w:rPr>
      </w:pPr>
      <w:r>
        <w:rPr>
          <w:rFonts w:hint="eastAsia" w:ascii="黑体" w:eastAsia="黑体"/>
          <w:szCs w:val="21"/>
        </w:rPr>
        <w:t>3  术语和定义</w:t>
      </w:r>
    </w:p>
    <w:p w14:paraId="3A28B1C7">
      <w:pPr>
        <w:ind w:firstLine="420"/>
        <w:rPr>
          <w:rFonts w:ascii="宋体" w:hAnsi="宋体"/>
          <w:szCs w:val="21"/>
        </w:rPr>
      </w:pPr>
      <w:r>
        <w:rPr>
          <w:rFonts w:hint="eastAsia" w:ascii="宋体" w:hAnsi="宋体"/>
          <w:szCs w:val="21"/>
        </w:rPr>
        <w:t>本文件没有需要界定的术语和定义。</w:t>
      </w:r>
    </w:p>
    <w:p w14:paraId="304D3175">
      <w:pPr>
        <w:spacing w:before="156" w:beforeLines="50" w:after="156" w:afterLines="50"/>
        <w:rPr>
          <w:rFonts w:ascii="黑体" w:eastAsia="黑体"/>
          <w:szCs w:val="21"/>
        </w:rPr>
      </w:pPr>
      <w:r>
        <w:rPr>
          <w:rFonts w:hint="eastAsia" w:ascii="黑体" w:eastAsia="黑体"/>
          <w:szCs w:val="21"/>
        </w:rPr>
        <w:t>4  要求</w:t>
      </w:r>
    </w:p>
    <w:p w14:paraId="43E7CBBD">
      <w:pPr>
        <w:tabs>
          <w:tab w:val="center" w:pos="4677"/>
        </w:tabs>
        <w:spacing w:before="156" w:beforeLines="50" w:after="156" w:afterLines="50"/>
        <w:rPr>
          <w:rFonts w:ascii="黑体" w:hAnsi="宋体" w:eastAsia="黑体"/>
          <w:szCs w:val="21"/>
        </w:rPr>
      </w:pPr>
      <w:r>
        <w:rPr>
          <w:rFonts w:hint="eastAsia" w:ascii="黑体" w:hAnsi="宋体" w:eastAsia="黑体"/>
          <w:szCs w:val="21"/>
        </w:rPr>
        <w:t>4.1  产品分级</w:t>
      </w:r>
    </w:p>
    <w:p w14:paraId="7DF9EE41">
      <w:pPr>
        <w:ind w:firstLine="420"/>
        <w:rPr>
          <w:rFonts w:ascii="宋体" w:hAnsi="宋体"/>
          <w:szCs w:val="21"/>
        </w:rPr>
      </w:pPr>
      <w:r>
        <w:rPr>
          <w:rFonts w:hint="eastAsia" w:ascii="宋体" w:hAnsi="宋体"/>
          <w:szCs w:val="21"/>
        </w:rPr>
        <w:t>根据产品来源和</w:t>
      </w:r>
      <w:r>
        <w:rPr>
          <w:rFonts w:hint="eastAsia"/>
          <w:lang w:val="en-GB"/>
        </w:rPr>
        <w:t>主含量（全</w:t>
      </w:r>
      <w:r>
        <w:rPr>
          <w:rFonts w:hint="eastAsia" w:ascii="宋体" w:hAnsi="宋体"/>
          <w:szCs w:val="21"/>
        </w:rPr>
        <w:t>铁）的质量分数不同，将铜、锌、镍、钴冶炼渣所产生的产品分为三个品种，其中铜冶炼渣回收铁精粉分为二个品级，锌冶炼渣回收铁精粉分为四个品级，镍、钴冶炼渣回收铁精粉分为三个品级。</w:t>
      </w:r>
    </w:p>
    <w:p w14:paraId="5254CEE0">
      <w:pPr>
        <w:spacing w:before="156" w:beforeLines="50" w:after="156" w:afterLines="50"/>
        <w:rPr>
          <w:rFonts w:ascii="黑体" w:hAnsi="宋体" w:eastAsia="黑体"/>
          <w:szCs w:val="21"/>
        </w:rPr>
      </w:pPr>
      <w:r>
        <w:rPr>
          <w:rFonts w:hint="eastAsia" w:ascii="黑体" w:hAnsi="宋体" w:eastAsia="黑体"/>
          <w:szCs w:val="21"/>
        </w:rPr>
        <w:t>4.2  化学成分</w:t>
      </w:r>
    </w:p>
    <w:p w14:paraId="2E78361A">
      <w:pPr>
        <w:ind w:firstLine="420"/>
        <w:rPr>
          <w:rFonts w:ascii="宋体" w:hAnsi="宋体"/>
          <w:szCs w:val="21"/>
        </w:rPr>
      </w:pPr>
      <w:r>
        <w:rPr>
          <w:rFonts w:hint="eastAsia" w:ascii="宋体" w:hAnsi="宋体"/>
          <w:szCs w:val="21"/>
        </w:rPr>
        <w:t>产品化学成分应符合表1的规定。</w:t>
      </w:r>
    </w:p>
    <w:p w14:paraId="3A7F7085">
      <w:pPr>
        <w:jc w:val="center"/>
        <w:rPr>
          <w:rFonts w:ascii="宋体" w:hAnsi="宋体"/>
          <w:szCs w:val="21"/>
        </w:rPr>
      </w:pPr>
      <w:r>
        <w:rPr>
          <w:rFonts w:hint="eastAsia" w:ascii="黑体" w:hAnsi="宋体" w:eastAsia="黑体"/>
          <w:szCs w:val="21"/>
        </w:rPr>
        <w:t>表1  产品化学成分</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756"/>
        <w:gridCol w:w="991"/>
        <w:gridCol w:w="578"/>
        <w:gridCol w:w="697"/>
        <w:gridCol w:w="731"/>
        <w:gridCol w:w="848"/>
        <w:gridCol w:w="697"/>
        <w:gridCol w:w="697"/>
        <w:gridCol w:w="695"/>
      </w:tblGrid>
      <w:tr w14:paraId="4E7F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vMerge w:val="restart"/>
            <w:vAlign w:val="center"/>
          </w:tcPr>
          <w:p w14:paraId="1B5637A2">
            <w:pPr>
              <w:autoSpaceDE w:val="0"/>
              <w:autoSpaceDN w:val="0"/>
              <w:jc w:val="center"/>
              <w:rPr>
                <w:kern w:val="0"/>
                <w:sz w:val="18"/>
                <w:szCs w:val="18"/>
              </w:rPr>
            </w:pPr>
            <w:r>
              <w:rPr>
                <w:kern w:val="0"/>
                <w:sz w:val="18"/>
                <w:szCs w:val="18"/>
              </w:rPr>
              <w:t>品种</w:t>
            </w:r>
          </w:p>
        </w:tc>
        <w:tc>
          <w:tcPr>
            <w:tcW w:w="395" w:type="pct"/>
            <w:vMerge w:val="restart"/>
            <w:vAlign w:val="center"/>
          </w:tcPr>
          <w:p w14:paraId="3D2DB4BF">
            <w:pPr>
              <w:autoSpaceDE w:val="0"/>
              <w:autoSpaceDN w:val="0"/>
              <w:rPr>
                <w:kern w:val="0"/>
                <w:sz w:val="18"/>
                <w:szCs w:val="18"/>
              </w:rPr>
            </w:pPr>
            <w:r>
              <w:rPr>
                <w:kern w:val="0"/>
                <w:sz w:val="18"/>
                <w:szCs w:val="18"/>
              </w:rPr>
              <w:t>品级</w:t>
            </w:r>
          </w:p>
        </w:tc>
        <w:tc>
          <w:tcPr>
            <w:tcW w:w="3100" w:type="pct"/>
            <w:gridSpan w:val="8"/>
            <w:vAlign w:val="center"/>
          </w:tcPr>
          <w:p w14:paraId="0E330640">
            <w:pPr>
              <w:autoSpaceDE w:val="0"/>
              <w:autoSpaceDN w:val="0"/>
              <w:jc w:val="center"/>
              <w:rPr>
                <w:kern w:val="0"/>
                <w:sz w:val="18"/>
                <w:szCs w:val="18"/>
              </w:rPr>
            </w:pPr>
            <w:r>
              <w:rPr>
                <w:kern w:val="0"/>
                <w:sz w:val="18"/>
                <w:szCs w:val="18"/>
              </w:rPr>
              <w:t>化学成分（质量分数）/％</w:t>
            </w:r>
          </w:p>
        </w:tc>
      </w:tr>
      <w:tr w14:paraId="097C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vMerge w:val="continue"/>
            <w:vAlign w:val="center"/>
          </w:tcPr>
          <w:p w14:paraId="4B0A43E6">
            <w:pPr>
              <w:autoSpaceDE w:val="0"/>
              <w:autoSpaceDN w:val="0"/>
              <w:rPr>
                <w:kern w:val="0"/>
                <w:sz w:val="18"/>
                <w:szCs w:val="18"/>
              </w:rPr>
            </w:pPr>
          </w:p>
        </w:tc>
        <w:tc>
          <w:tcPr>
            <w:tcW w:w="395" w:type="pct"/>
            <w:vMerge w:val="continue"/>
            <w:vAlign w:val="center"/>
          </w:tcPr>
          <w:p w14:paraId="23F875A9">
            <w:pPr>
              <w:autoSpaceDE w:val="0"/>
              <w:autoSpaceDN w:val="0"/>
              <w:rPr>
                <w:kern w:val="0"/>
                <w:sz w:val="18"/>
                <w:szCs w:val="18"/>
              </w:rPr>
            </w:pPr>
          </w:p>
        </w:tc>
        <w:tc>
          <w:tcPr>
            <w:tcW w:w="518" w:type="pct"/>
            <w:vMerge w:val="restart"/>
            <w:vAlign w:val="center"/>
          </w:tcPr>
          <w:p w14:paraId="24E0DDA1">
            <w:pPr>
              <w:autoSpaceDE w:val="0"/>
              <w:autoSpaceDN w:val="0"/>
              <w:jc w:val="center"/>
              <w:rPr>
                <w:kern w:val="0"/>
                <w:sz w:val="18"/>
                <w:szCs w:val="18"/>
              </w:rPr>
            </w:pPr>
            <w:r>
              <w:rPr>
                <w:kern w:val="0"/>
                <w:sz w:val="18"/>
                <w:szCs w:val="18"/>
              </w:rPr>
              <w:t>TFe</w:t>
            </w:r>
          </w:p>
          <w:p w14:paraId="1554EB40">
            <w:pPr>
              <w:autoSpaceDE w:val="0"/>
              <w:autoSpaceDN w:val="0"/>
              <w:jc w:val="center"/>
              <w:rPr>
                <w:kern w:val="0"/>
                <w:sz w:val="18"/>
                <w:szCs w:val="18"/>
              </w:rPr>
            </w:pPr>
            <w:r>
              <w:rPr>
                <w:kern w:val="0"/>
                <w:sz w:val="18"/>
                <w:szCs w:val="18"/>
              </w:rPr>
              <w:t>不小于</w:t>
            </w:r>
          </w:p>
        </w:tc>
        <w:tc>
          <w:tcPr>
            <w:tcW w:w="2582" w:type="pct"/>
            <w:gridSpan w:val="7"/>
            <w:vAlign w:val="center"/>
          </w:tcPr>
          <w:p w14:paraId="45FCE752">
            <w:pPr>
              <w:autoSpaceDE w:val="0"/>
              <w:autoSpaceDN w:val="0"/>
              <w:jc w:val="center"/>
              <w:rPr>
                <w:kern w:val="0"/>
                <w:sz w:val="18"/>
                <w:szCs w:val="18"/>
              </w:rPr>
            </w:pPr>
            <w:r>
              <w:rPr>
                <w:kern w:val="0"/>
                <w:sz w:val="18"/>
                <w:szCs w:val="18"/>
              </w:rPr>
              <w:t>杂质含量（不大于）</w:t>
            </w:r>
          </w:p>
        </w:tc>
      </w:tr>
      <w:tr w14:paraId="26D7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05" w:type="pct"/>
            <w:vMerge w:val="continue"/>
            <w:vAlign w:val="center"/>
          </w:tcPr>
          <w:p w14:paraId="7F56BF3A">
            <w:pPr>
              <w:autoSpaceDE w:val="0"/>
              <w:autoSpaceDN w:val="0"/>
              <w:rPr>
                <w:kern w:val="0"/>
                <w:sz w:val="18"/>
                <w:szCs w:val="18"/>
              </w:rPr>
            </w:pPr>
          </w:p>
        </w:tc>
        <w:tc>
          <w:tcPr>
            <w:tcW w:w="395" w:type="pct"/>
            <w:vMerge w:val="continue"/>
            <w:vAlign w:val="center"/>
          </w:tcPr>
          <w:p w14:paraId="71D68844">
            <w:pPr>
              <w:autoSpaceDE w:val="0"/>
              <w:autoSpaceDN w:val="0"/>
              <w:rPr>
                <w:kern w:val="0"/>
                <w:sz w:val="18"/>
                <w:szCs w:val="18"/>
              </w:rPr>
            </w:pPr>
          </w:p>
        </w:tc>
        <w:tc>
          <w:tcPr>
            <w:tcW w:w="518" w:type="pct"/>
            <w:vMerge w:val="continue"/>
            <w:vAlign w:val="center"/>
          </w:tcPr>
          <w:p w14:paraId="4BA947AE">
            <w:pPr>
              <w:autoSpaceDE w:val="0"/>
              <w:autoSpaceDN w:val="0"/>
              <w:rPr>
                <w:kern w:val="0"/>
                <w:sz w:val="18"/>
                <w:szCs w:val="18"/>
              </w:rPr>
            </w:pPr>
          </w:p>
        </w:tc>
        <w:tc>
          <w:tcPr>
            <w:tcW w:w="302" w:type="pct"/>
            <w:vAlign w:val="center"/>
          </w:tcPr>
          <w:p w14:paraId="15253A00">
            <w:pPr>
              <w:autoSpaceDE w:val="0"/>
              <w:autoSpaceDN w:val="0"/>
              <w:jc w:val="center"/>
              <w:rPr>
                <w:kern w:val="0"/>
                <w:sz w:val="18"/>
                <w:szCs w:val="18"/>
              </w:rPr>
            </w:pPr>
            <w:r>
              <w:rPr>
                <w:kern w:val="0"/>
                <w:sz w:val="18"/>
                <w:szCs w:val="18"/>
              </w:rPr>
              <w:t>S</w:t>
            </w:r>
          </w:p>
        </w:tc>
        <w:tc>
          <w:tcPr>
            <w:tcW w:w="364" w:type="pct"/>
            <w:vAlign w:val="center"/>
          </w:tcPr>
          <w:p w14:paraId="588E2AD3">
            <w:pPr>
              <w:autoSpaceDE w:val="0"/>
              <w:autoSpaceDN w:val="0"/>
              <w:jc w:val="center"/>
              <w:rPr>
                <w:kern w:val="0"/>
                <w:sz w:val="18"/>
                <w:szCs w:val="18"/>
              </w:rPr>
            </w:pPr>
            <w:r>
              <w:rPr>
                <w:kern w:val="0"/>
                <w:sz w:val="18"/>
                <w:szCs w:val="18"/>
              </w:rPr>
              <w:t>P</w:t>
            </w:r>
          </w:p>
        </w:tc>
        <w:tc>
          <w:tcPr>
            <w:tcW w:w="382" w:type="pct"/>
            <w:vAlign w:val="center"/>
          </w:tcPr>
          <w:p w14:paraId="76E659CA">
            <w:pPr>
              <w:autoSpaceDE w:val="0"/>
              <w:autoSpaceDN w:val="0"/>
              <w:jc w:val="center"/>
              <w:rPr>
                <w:kern w:val="0"/>
                <w:sz w:val="18"/>
                <w:szCs w:val="18"/>
              </w:rPr>
            </w:pPr>
            <w:r>
              <w:rPr>
                <w:kern w:val="0"/>
                <w:sz w:val="18"/>
                <w:szCs w:val="18"/>
              </w:rPr>
              <w:t>SiO</w:t>
            </w:r>
            <w:r>
              <w:rPr>
                <w:kern w:val="0"/>
                <w:sz w:val="18"/>
                <w:szCs w:val="18"/>
                <w:vertAlign w:val="subscript"/>
              </w:rPr>
              <w:t>2</w:t>
            </w:r>
          </w:p>
        </w:tc>
        <w:tc>
          <w:tcPr>
            <w:tcW w:w="443" w:type="pct"/>
            <w:vAlign w:val="center"/>
          </w:tcPr>
          <w:p w14:paraId="32C0BC73">
            <w:pPr>
              <w:autoSpaceDE w:val="0"/>
              <w:autoSpaceDN w:val="0"/>
              <w:jc w:val="center"/>
              <w:rPr>
                <w:kern w:val="0"/>
                <w:sz w:val="18"/>
                <w:szCs w:val="18"/>
              </w:rPr>
            </w:pPr>
            <w:r>
              <w:rPr>
                <w:kern w:val="0"/>
                <w:sz w:val="18"/>
                <w:szCs w:val="18"/>
              </w:rPr>
              <w:t>Al</w:t>
            </w:r>
            <w:r>
              <w:rPr>
                <w:kern w:val="0"/>
                <w:sz w:val="18"/>
                <w:szCs w:val="18"/>
                <w:vertAlign w:val="subscript"/>
              </w:rPr>
              <w:t>2</w:t>
            </w:r>
            <w:r>
              <w:rPr>
                <w:kern w:val="0"/>
                <w:sz w:val="18"/>
                <w:szCs w:val="18"/>
              </w:rPr>
              <w:t>O</w:t>
            </w:r>
            <w:r>
              <w:rPr>
                <w:kern w:val="0"/>
                <w:sz w:val="18"/>
                <w:szCs w:val="18"/>
                <w:vertAlign w:val="subscript"/>
              </w:rPr>
              <w:t>3</w:t>
            </w:r>
          </w:p>
        </w:tc>
        <w:tc>
          <w:tcPr>
            <w:tcW w:w="364" w:type="pct"/>
            <w:vAlign w:val="center"/>
          </w:tcPr>
          <w:p w14:paraId="6628204F">
            <w:pPr>
              <w:autoSpaceDE w:val="0"/>
              <w:autoSpaceDN w:val="0"/>
              <w:jc w:val="center"/>
              <w:rPr>
                <w:kern w:val="0"/>
                <w:sz w:val="18"/>
                <w:szCs w:val="18"/>
              </w:rPr>
            </w:pPr>
            <w:r>
              <w:rPr>
                <w:kern w:val="0"/>
                <w:sz w:val="18"/>
                <w:szCs w:val="18"/>
              </w:rPr>
              <w:t>As</w:t>
            </w:r>
          </w:p>
        </w:tc>
        <w:tc>
          <w:tcPr>
            <w:tcW w:w="364" w:type="pct"/>
            <w:vAlign w:val="center"/>
          </w:tcPr>
          <w:p w14:paraId="06C10BE7">
            <w:pPr>
              <w:autoSpaceDE w:val="0"/>
              <w:autoSpaceDN w:val="0"/>
              <w:jc w:val="center"/>
              <w:rPr>
                <w:kern w:val="0"/>
                <w:sz w:val="18"/>
                <w:szCs w:val="18"/>
              </w:rPr>
            </w:pPr>
            <w:r>
              <w:rPr>
                <w:kern w:val="0"/>
                <w:sz w:val="18"/>
                <w:szCs w:val="18"/>
              </w:rPr>
              <w:t>Cu</w:t>
            </w:r>
          </w:p>
        </w:tc>
        <w:tc>
          <w:tcPr>
            <w:tcW w:w="364" w:type="pct"/>
            <w:vAlign w:val="center"/>
          </w:tcPr>
          <w:p w14:paraId="4C8AA778">
            <w:pPr>
              <w:autoSpaceDE w:val="0"/>
              <w:autoSpaceDN w:val="0"/>
              <w:jc w:val="center"/>
              <w:rPr>
                <w:kern w:val="0"/>
                <w:sz w:val="18"/>
                <w:szCs w:val="18"/>
              </w:rPr>
            </w:pPr>
            <w:r>
              <w:rPr>
                <w:kern w:val="0"/>
                <w:sz w:val="18"/>
                <w:szCs w:val="18"/>
              </w:rPr>
              <w:t>Zn</w:t>
            </w:r>
          </w:p>
        </w:tc>
      </w:tr>
      <w:tr w14:paraId="0090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05" w:type="pct"/>
            <w:vMerge w:val="restart"/>
            <w:vAlign w:val="center"/>
          </w:tcPr>
          <w:p w14:paraId="69F61AA6">
            <w:pPr>
              <w:autoSpaceDE w:val="0"/>
              <w:autoSpaceDN w:val="0"/>
              <w:jc w:val="center"/>
              <w:rPr>
                <w:kern w:val="0"/>
                <w:sz w:val="18"/>
                <w:szCs w:val="18"/>
              </w:rPr>
            </w:pPr>
            <w:r>
              <w:rPr>
                <w:kern w:val="0"/>
                <w:sz w:val="18"/>
                <w:szCs w:val="18"/>
              </w:rPr>
              <w:t>铜冶炼渣回收</w:t>
            </w:r>
          </w:p>
          <w:p w14:paraId="2B9BC7CA">
            <w:pPr>
              <w:autoSpaceDE w:val="0"/>
              <w:autoSpaceDN w:val="0"/>
              <w:jc w:val="center"/>
              <w:rPr>
                <w:kern w:val="0"/>
                <w:sz w:val="18"/>
                <w:szCs w:val="18"/>
              </w:rPr>
            </w:pPr>
            <w:r>
              <w:rPr>
                <w:kern w:val="0"/>
                <w:sz w:val="18"/>
                <w:szCs w:val="18"/>
              </w:rPr>
              <w:t>铁精粉</w:t>
            </w:r>
          </w:p>
        </w:tc>
        <w:tc>
          <w:tcPr>
            <w:tcW w:w="395" w:type="pct"/>
            <w:vAlign w:val="center"/>
          </w:tcPr>
          <w:p w14:paraId="78A15450">
            <w:pPr>
              <w:autoSpaceDE w:val="0"/>
              <w:autoSpaceDN w:val="0"/>
              <w:rPr>
                <w:kern w:val="0"/>
                <w:sz w:val="18"/>
                <w:szCs w:val="18"/>
              </w:rPr>
            </w:pPr>
            <w:r>
              <w:rPr>
                <w:kern w:val="0"/>
                <w:sz w:val="18"/>
                <w:szCs w:val="18"/>
              </w:rPr>
              <w:t>一级</w:t>
            </w:r>
          </w:p>
        </w:tc>
        <w:tc>
          <w:tcPr>
            <w:tcW w:w="518" w:type="pct"/>
            <w:vAlign w:val="center"/>
          </w:tcPr>
          <w:p w14:paraId="2097937D">
            <w:pPr>
              <w:autoSpaceDE w:val="0"/>
              <w:autoSpaceDN w:val="0"/>
              <w:jc w:val="center"/>
              <w:rPr>
                <w:kern w:val="0"/>
                <w:sz w:val="18"/>
                <w:szCs w:val="18"/>
              </w:rPr>
            </w:pPr>
            <w:r>
              <w:rPr>
                <w:kern w:val="0"/>
                <w:sz w:val="18"/>
                <w:szCs w:val="18"/>
              </w:rPr>
              <w:t>50</w:t>
            </w:r>
          </w:p>
        </w:tc>
        <w:tc>
          <w:tcPr>
            <w:tcW w:w="302" w:type="pct"/>
            <w:vAlign w:val="center"/>
          </w:tcPr>
          <w:p w14:paraId="4F2939FE">
            <w:pPr>
              <w:autoSpaceDE w:val="0"/>
              <w:autoSpaceDN w:val="0"/>
              <w:jc w:val="center"/>
              <w:rPr>
                <w:kern w:val="0"/>
                <w:sz w:val="18"/>
                <w:szCs w:val="18"/>
                <w:highlight w:val="yellow"/>
              </w:rPr>
            </w:pPr>
            <w:r>
              <w:rPr>
                <w:kern w:val="0"/>
                <w:sz w:val="18"/>
                <w:szCs w:val="18"/>
              </w:rPr>
              <w:t>0.</w:t>
            </w:r>
            <w:r>
              <w:rPr>
                <w:rFonts w:hint="eastAsia"/>
                <w:kern w:val="0"/>
                <w:sz w:val="18"/>
                <w:szCs w:val="18"/>
              </w:rPr>
              <w:t>3</w:t>
            </w:r>
          </w:p>
        </w:tc>
        <w:tc>
          <w:tcPr>
            <w:tcW w:w="364" w:type="pct"/>
            <w:vAlign w:val="center"/>
          </w:tcPr>
          <w:p w14:paraId="463DE7F0">
            <w:pPr>
              <w:autoSpaceDE w:val="0"/>
              <w:autoSpaceDN w:val="0"/>
              <w:jc w:val="center"/>
              <w:rPr>
                <w:kern w:val="0"/>
                <w:sz w:val="18"/>
                <w:szCs w:val="18"/>
              </w:rPr>
            </w:pPr>
            <w:r>
              <w:rPr>
                <w:kern w:val="0"/>
                <w:sz w:val="18"/>
                <w:szCs w:val="18"/>
              </w:rPr>
              <w:t>0.04</w:t>
            </w:r>
          </w:p>
        </w:tc>
        <w:tc>
          <w:tcPr>
            <w:tcW w:w="382" w:type="pct"/>
            <w:vAlign w:val="center"/>
          </w:tcPr>
          <w:p w14:paraId="26C6EAA9">
            <w:pPr>
              <w:autoSpaceDE w:val="0"/>
              <w:autoSpaceDN w:val="0"/>
              <w:jc w:val="center"/>
              <w:rPr>
                <w:kern w:val="0"/>
                <w:sz w:val="18"/>
                <w:szCs w:val="18"/>
                <w:highlight w:val="yellow"/>
              </w:rPr>
            </w:pPr>
            <w:r>
              <w:rPr>
                <w:rFonts w:hint="eastAsia"/>
                <w:kern w:val="0"/>
                <w:sz w:val="18"/>
                <w:szCs w:val="18"/>
                <w:highlight w:val="yellow"/>
              </w:rPr>
              <w:t>21</w:t>
            </w:r>
          </w:p>
        </w:tc>
        <w:tc>
          <w:tcPr>
            <w:tcW w:w="443" w:type="pct"/>
            <w:vAlign w:val="center"/>
          </w:tcPr>
          <w:p w14:paraId="600DC5D1">
            <w:pPr>
              <w:autoSpaceDE w:val="0"/>
              <w:autoSpaceDN w:val="0"/>
              <w:jc w:val="center"/>
              <w:rPr>
                <w:kern w:val="0"/>
                <w:sz w:val="18"/>
                <w:szCs w:val="18"/>
                <w:highlight w:val="yellow"/>
              </w:rPr>
            </w:pPr>
            <w:r>
              <w:rPr>
                <w:rFonts w:hint="eastAsia"/>
                <w:kern w:val="0"/>
                <w:sz w:val="18"/>
                <w:szCs w:val="18"/>
              </w:rPr>
              <w:t>2.0</w:t>
            </w:r>
          </w:p>
        </w:tc>
        <w:tc>
          <w:tcPr>
            <w:tcW w:w="364" w:type="pct"/>
            <w:vAlign w:val="center"/>
          </w:tcPr>
          <w:p w14:paraId="06AF8BE2">
            <w:pPr>
              <w:autoSpaceDE w:val="0"/>
              <w:autoSpaceDN w:val="0"/>
              <w:jc w:val="center"/>
              <w:rPr>
                <w:kern w:val="0"/>
                <w:sz w:val="18"/>
                <w:szCs w:val="18"/>
              </w:rPr>
            </w:pPr>
            <w:r>
              <w:rPr>
                <w:kern w:val="0"/>
                <w:sz w:val="18"/>
                <w:szCs w:val="18"/>
              </w:rPr>
              <w:t>0.15</w:t>
            </w:r>
          </w:p>
        </w:tc>
        <w:tc>
          <w:tcPr>
            <w:tcW w:w="364" w:type="pct"/>
            <w:vAlign w:val="center"/>
          </w:tcPr>
          <w:p w14:paraId="67206A74">
            <w:pPr>
              <w:autoSpaceDE w:val="0"/>
              <w:autoSpaceDN w:val="0"/>
              <w:jc w:val="center"/>
              <w:rPr>
                <w:kern w:val="0"/>
                <w:sz w:val="18"/>
                <w:szCs w:val="18"/>
              </w:rPr>
            </w:pPr>
            <w:r>
              <w:rPr>
                <w:kern w:val="0"/>
                <w:sz w:val="18"/>
                <w:szCs w:val="18"/>
              </w:rPr>
              <w:t>0.4</w:t>
            </w:r>
          </w:p>
        </w:tc>
        <w:tc>
          <w:tcPr>
            <w:tcW w:w="364" w:type="pct"/>
            <w:vAlign w:val="center"/>
          </w:tcPr>
          <w:p w14:paraId="1F0043B3">
            <w:pPr>
              <w:autoSpaceDE w:val="0"/>
              <w:autoSpaceDN w:val="0"/>
              <w:jc w:val="center"/>
              <w:rPr>
                <w:kern w:val="0"/>
                <w:sz w:val="18"/>
                <w:szCs w:val="18"/>
              </w:rPr>
            </w:pPr>
            <w:r>
              <w:rPr>
                <w:rFonts w:hint="eastAsia"/>
                <w:kern w:val="0"/>
                <w:sz w:val="18"/>
                <w:szCs w:val="18"/>
                <w:highlight w:val="yellow"/>
              </w:rPr>
              <w:t>2</w:t>
            </w:r>
            <w:r>
              <w:rPr>
                <w:kern w:val="0"/>
                <w:sz w:val="18"/>
                <w:szCs w:val="18"/>
                <w:highlight w:val="yellow"/>
              </w:rPr>
              <w:t>.5</w:t>
            </w:r>
          </w:p>
        </w:tc>
      </w:tr>
      <w:tr w14:paraId="244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vMerge w:val="continue"/>
            <w:vAlign w:val="center"/>
          </w:tcPr>
          <w:p w14:paraId="1174E2B3">
            <w:pPr>
              <w:autoSpaceDE w:val="0"/>
              <w:autoSpaceDN w:val="0"/>
              <w:jc w:val="center"/>
              <w:rPr>
                <w:kern w:val="0"/>
                <w:sz w:val="18"/>
                <w:szCs w:val="18"/>
              </w:rPr>
            </w:pPr>
          </w:p>
        </w:tc>
        <w:tc>
          <w:tcPr>
            <w:tcW w:w="395" w:type="pct"/>
            <w:vAlign w:val="center"/>
          </w:tcPr>
          <w:p w14:paraId="4AC5887A">
            <w:pPr>
              <w:autoSpaceDE w:val="0"/>
              <w:autoSpaceDN w:val="0"/>
              <w:rPr>
                <w:kern w:val="0"/>
                <w:sz w:val="18"/>
                <w:szCs w:val="18"/>
              </w:rPr>
            </w:pPr>
            <w:r>
              <w:rPr>
                <w:kern w:val="0"/>
                <w:sz w:val="18"/>
                <w:szCs w:val="18"/>
              </w:rPr>
              <w:t>二级</w:t>
            </w:r>
          </w:p>
        </w:tc>
        <w:tc>
          <w:tcPr>
            <w:tcW w:w="518" w:type="pct"/>
            <w:vAlign w:val="center"/>
          </w:tcPr>
          <w:p w14:paraId="70C6B618">
            <w:pPr>
              <w:autoSpaceDE w:val="0"/>
              <w:autoSpaceDN w:val="0"/>
              <w:jc w:val="center"/>
              <w:rPr>
                <w:kern w:val="0"/>
                <w:sz w:val="18"/>
                <w:szCs w:val="18"/>
              </w:rPr>
            </w:pPr>
            <w:r>
              <w:rPr>
                <w:kern w:val="0"/>
                <w:sz w:val="18"/>
                <w:szCs w:val="18"/>
              </w:rPr>
              <w:t>46</w:t>
            </w:r>
          </w:p>
        </w:tc>
        <w:tc>
          <w:tcPr>
            <w:tcW w:w="302" w:type="pct"/>
            <w:vAlign w:val="center"/>
          </w:tcPr>
          <w:p w14:paraId="3050AE04">
            <w:pPr>
              <w:autoSpaceDE w:val="0"/>
              <w:autoSpaceDN w:val="0"/>
              <w:jc w:val="center"/>
              <w:rPr>
                <w:kern w:val="0"/>
                <w:sz w:val="18"/>
                <w:szCs w:val="18"/>
                <w:highlight w:val="yellow"/>
              </w:rPr>
            </w:pPr>
            <w:r>
              <w:rPr>
                <w:kern w:val="0"/>
                <w:sz w:val="18"/>
                <w:szCs w:val="18"/>
              </w:rPr>
              <w:t>0</w:t>
            </w:r>
            <w:r>
              <w:rPr>
                <w:rFonts w:hint="eastAsia"/>
                <w:kern w:val="0"/>
                <w:sz w:val="18"/>
                <w:szCs w:val="18"/>
              </w:rPr>
              <w:t>.4</w:t>
            </w:r>
          </w:p>
        </w:tc>
        <w:tc>
          <w:tcPr>
            <w:tcW w:w="364" w:type="pct"/>
            <w:vAlign w:val="center"/>
          </w:tcPr>
          <w:p w14:paraId="30CD11A3">
            <w:pPr>
              <w:autoSpaceDE w:val="0"/>
              <w:autoSpaceDN w:val="0"/>
              <w:jc w:val="center"/>
              <w:rPr>
                <w:kern w:val="0"/>
                <w:sz w:val="18"/>
                <w:szCs w:val="18"/>
              </w:rPr>
            </w:pPr>
            <w:r>
              <w:rPr>
                <w:kern w:val="0"/>
                <w:sz w:val="18"/>
                <w:szCs w:val="18"/>
              </w:rPr>
              <w:t>0.05</w:t>
            </w:r>
          </w:p>
        </w:tc>
        <w:tc>
          <w:tcPr>
            <w:tcW w:w="382" w:type="pct"/>
            <w:vAlign w:val="center"/>
          </w:tcPr>
          <w:p w14:paraId="3BB34A4C">
            <w:pPr>
              <w:autoSpaceDE w:val="0"/>
              <w:autoSpaceDN w:val="0"/>
              <w:jc w:val="center"/>
              <w:rPr>
                <w:kern w:val="0"/>
                <w:sz w:val="18"/>
                <w:szCs w:val="18"/>
                <w:highlight w:val="yellow"/>
              </w:rPr>
            </w:pPr>
            <w:r>
              <w:rPr>
                <w:rFonts w:hint="eastAsia"/>
                <w:kern w:val="0"/>
                <w:sz w:val="18"/>
                <w:szCs w:val="18"/>
                <w:highlight w:val="yellow"/>
              </w:rPr>
              <w:t>23</w:t>
            </w:r>
          </w:p>
        </w:tc>
        <w:tc>
          <w:tcPr>
            <w:tcW w:w="443" w:type="pct"/>
            <w:vAlign w:val="center"/>
          </w:tcPr>
          <w:p w14:paraId="77C8141C">
            <w:pPr>
              <w:autoSpaceDE w:val="0"/>
              <w:autoSpaceDN w:val="0"/>
              <w:jc w:val="center"/>
              <w:rPr>
                <w:kern w:val="0"/>
                <w:sz w:val="18"/>
                <w:szCs w:val="18"/>
                <w:highlight w:val="yellow"/>
              </w:rPr>
            </w:pPr>
            <w:r>
              <w:rPr>
                <w:rFonts w:hint="eastAsia"/>
                <w:kern w:val="0"/>
                <w:sz w:val="18"/>
                <w:szCs w:val="18"/>
              </w:rPr>
              <w:t>3.0</w:t>
            </w:r>
          </w:p>
        </w:tc>
        <w:tc>
          <w:tcPr>
            <w:tcW w:w="364" w:type="pct"/>
            <w:vAlign w:val="center"/>
          </w:tcPr>
          <w:p w14:paraId="35DCA4BF">
            <w:pPr>
              <w:autoSpaceDE w:val="0"/>
              <w:autoSpaceDN w:val="0"/>
              <w:jc w:val="center"/>
              <w:rPr>
                <w:kern w:val="0"/>
                <w:sz w:val="18"/>
                <w:szCs w:val="18"/>
              </w:rPr>
            </w:pPr>
            <w:r>
              <w:rPr>
                <w:kern w:val="0"/>
                <w:sz w:val="18"/>
                <w:szCs w:val="18"/>
              </w:rPr>
              <w:t>0.25</w:t>
            </w:r>
          </w:p>
        </w:tc>
        <w:tc>
          <w:tcPr>
            <w:tcW w:w="364" w:type="pct"/>
            <w:vAlign w:val="center"/>
          </w:tcPr>
          <w:p w14:paraId="4F675554">
            <w:pPr>
              <w:autoSpaceDE w:val="0"/>
              <w:autoSpaceDN w:val="0"/>
              <w:jc w:val="center"/>
              <w:rPr>
                <w:kern w:val="0"/>
                <w:sz w:val="18"/>
                <w:szCs w:val="18"/>
              </w:rPr>
            </w:pPr>
            <w:r>
              <w:rPr>
                <w:kern w:val="0"/>
                <w:sz w:val="18"/>
                <w:szCs w:val="18"/>
              </w:rPr>
              <w:t>0.5</w:t>
            </w:r>
          </w:p>
        </w:tc>
        <w:tc>
          <w:tcPr>
            <w:tcW w:w="364" w:type="pct"/>
            <w:vAlign w:val="center"/>
          </w:tcPr>
          <w:p w14:paraId="1FBBCDE1">
            <w:pPr>
              <w:autoSpaceDE w:val="0"/>
              <w:autoSpaceDN w:val="0"/>
              <w:jc w:val="center"/>
              <w:rPr>
                <w:kern w:val="0"/>
                <w:sz w:val="18"/>
                <w:szCs w:val="18"/>
              </w:rPr>
            </w:pPr>
            <w:r>
              <w:rPr>
                <w:kern w:val="0"/>
                <w:sz w:val="18"/>
                <w:szCs w:val="18"/>
              </w:rPr>
              <w:t>4.0</w:t>
            </w:r>
          </w:p>
        </w:tc>
      </w:tr>
      <w:tr w14:paraId="2E3E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vMerge w:val="restart"/>
            <w:vAlign w:val="center"/>
          </w:tcPr>
          <w:p w14:paraId="23474330">
            <w:pPr>
              <w:autoSpaceDE w:val="0"/>
              <w:autoSpaceDN w:val="0"/>
              <w:jc w:val="center"/>
              <w:rPr>
                <w:kern w:val="0"/>
                <w:sz w:val="18"/>
                <w:szCs w:val="18"/>
              </w:rPr>
            </w:pPr>
            <w:r>
              <w:rPr>
                <w:kern w:val="0"/>
                <w:sz w:val="18"/>
                <w:szCs w:val="18"/>
              </w:rPr>
              <w:t>锌冶炼渣回收</w:t>
            </w:r>
          </w:p>
          <w:p w14:paraId="0B429CDB">
            <w:pPr>
              <w:autoSpaceDE w:val="0"/>
              <w:autoSpaceDN w:val="0"/>
              <w:jc w:val="center"/>
              <w:rPr>
                <w:kern w:val="0"/>
                <w:sz w:val="18"/>
                <w:szCs w:val="18"/>
              </w:rPr>
            </w:pPr>
            <w:r>
              <w:rPr>
                <w:kern w:val="0"/>
                <w:sz w:val="18"/>
                <w:szCs w:val="18"/>
              </w:rPr>
              <w:t>铁精粉</w:t>
            </w:r>
          </w:p>
        </w:tc>
        <w:tc>
          <w:tcPr>
            <w:tcW w:w="395" w:type="pct"/>
            <w:vAlign w:val="center"/>
          </w:tcPr>
          <w:p w14:paraId="75770FF9">
            <w:pPr>
              <w:autoSpaceDE w:val="0"/>
              <w:autoSpaceDN w:val="0"/>
              <w:rPr>
                <w:kern w:val="0"/>
                <w:sz w:val="18"/>
                <w:szCs w:val="18"/>
              </w:rPr>
            </w:pPr>
            <w:r>
              <w:rPr>
                <w:kern w:val="0"/>
                <w:sz w:val="18"/>
                <w:szCs w:val="18"/>
              </w:rPr>
              <w:t>一级</w:t>
            </w:r>
          </w:p>
        </w:tc>
        <w:tc>
          <w:tcPr>
            <w:tcW w:w="518" w:type="pct"/>
            <w:vAlign w:val="center"/>
          </w:tcPr>
          <w:p w14:paraId="282E6C42">
            <w:pPr>
              <w:autoSpaceDE w:val="0"/>
              <w:autoSpaceDN w:val="0"/>
              <w:jc w:val="center"/>
              <w:rPr>
                <w:kern w:val="0"/>
                <w:sz w:val="18"/>
                <w:szCs w:val="18"/>
              </w:rPr>
            </w:pPr>
            <w:r>
              <w:rPr>
                <w:rFonts w:hint="eastAsia"/>
                <w:kern w:val="0"/>
                <w:sz w:val="18"/>
                <w:szCs w:val="18"/>
              </w:rPr>
              <w:t>70</w:t>
            </w:r>
          </w:p>
        </w:tc>
        <w:tc>
          <w:tcPr>
            <w:tcW w:w="302" w:type="pct"/>
            <w:vAlign w:val="center"/>
          </w:tcPr>
          <w:p w14:paraId="3BE3C9B3">
            <w:pPr>
              <w:autoSpaceDE w:val="0"/>
              <w:autoSpaceDN w:val="0"/>
              <w:jc w:val="center"/>
              <w:rPr>
                <w:kern w:val="0"/>
                <w:sz w:val="18"/>
                <w:szCs w:val="18"/>
              </w:rPr>
            </w:pPr>
            <w:r>
              <w:rPr>
                <w:kern w:val="0"/>
                <w:sz w:val="18"/>
                <w:szCs w:val="18"/>
              </w:rPr>
              <w:t>5.0</w:t>
            </w:r>
          </w:p>
        </w:tc>
        <w:tc>
          <w:tcPr>
            <w:tcW w:w="364" w:type="pct"/>
            <w:vAlign w:val="center"/>
          </w:tcPr>
          <w:p w14:paraId="421D8DDA">
            <w:pPr>
              <w:autoSpaceDE w:val="0"/>
              <w:autoSpaceDN w:val="0"/>
              <w:jc w:val="center"/>
              <w:rPr>
                <w:kern w:val="0"/>
                <w:sz w:val="18"/>
                <w:szCs w:val="18"/>
              </w:rPr>
            </w:pPr>
            <w:r>
              <w:rPr>
                <w:kern w:val="0"/>
                <w:sz w:val="18"/>
                <w:szCs w:val="18"/>
              </w:rPr>
              <w:t>0.06</w:t>
            </w:r>
          </w:p>
        </w:tc>
        <w:tc>
          <w:tcPr>
            <w:tcW w:w="382" w:type="pct"/>
            <w:vAlign w:val="center"/>
          </w:tcPr>
          <w:p w14:paraId="50543BD1">
            <w:pPr>
              <w:autoSpaceDE w:val="0"/>
              <w:autoSpaceDN w:val="0"/>
              <w:jc w:val="center"/>
              <w:rPr>
                <w:kern w:val="0"/>
                <w:sz w:val="18"/>
                <w:szCs w:val="18"/>
              </w:rPr>
            </w:pPr>
            <w:r>
              <w:rPr>
                <w:kern w:val="0"/>
                <w:sz w:val="18"/>
                <w:szCs w:val="18"/>
              </w:rPr>
              <w:t>5</w:t>
            </w:r>
          </w:p>
        </w:tc>
        <w:tc>
          <w:tcPr>
            <w:tcW w:w="443" w:type="pct"/>
            <w:vAlign w:val="center"/>
          </w:tcPr>
          <w:p w14:paraId="052FFA8F">
            <w:pPr>
              <w:autoSpaceDE w:val="0"/>
              <w:autoSpaceDN w:val="0"/>
              <w:jc w:val="center"/>
              <w:rPr>
                <w:kern w:val="0"/>
                <w:sz w:val="18"/>
                <w:szCs w:val="18"/>
              </w:rPr>
            </w:pPr>
            <w:r>
              <w:rPr>
                <w:kern w:val="0"/>
                <w:sz w:val="18"/>
                <w:szCs w:val="18"/>
              </w:rPr>
              <w:t>2.</w:t>
            </w:r>
            <w:r>
              <w:rPr>
                <w:rFonts w:hint="eastAsia"/>
                <w:kern w:val="0"/>
                <w:sz w:val="18"/>
                <w:szCs w:val="18"/>
              </w:rPr>
              <w:t>0</w:t>
            </w:r>
          </w:p>
        </w:tc>
        <w:tc>
          <w:tcPr>
            <w:tcW w:w="364" w:type="pct"/>
            <w:vAlign w:val="center"/>
          </w:tcPr>
          <w:p w14:paraId="7CEFDC5F">
            <w:pPr>
              <w:autoSpaceDE w:val="0"/>
              <w:autoSpaceDN w:val="0"/>
              <w:jc w:val="center"/>
              <w:rPr>
                <w:kern w:val="0"/>
                <w:sz w:val="18"/>
                <w:szCs w:val="18"/>
              </w:rPr>
            </w:pPr>
            <w:r>
              <w:rPr>
                <w:kern w:val="0"/>
                <w:sz w:val="18"/>
                <w:szCs w:val="18"/>
              </w:rPr>
              <w:t>0.</w:t>
            </w:r>
            <w:r>
              <w:rPr>
                <w:rFonts w:hint="eastAsia"/>
                <w:kern w:val="0"/>
                <w:sz w:val="18"/>
                <w:szCs w:val="18"/>
              </w:rPr>
              <w:t>7</w:t>
            </w:r>
          </w:p>
        </w:tc>
        <w:tc>
          <w:tcPr>
            <w:tcW w:w="364" w:type="pct"/>
            <w:vAlign w:val="center"/>
          </w:tcPr>
          <w:p w14:paraId="7C4176D6">
            <w:pPr>
              <w:autoSpaceDE w:val="0"/>
              <w:autoSpaceDN w:val="0"/>
              <w:jc w:val="center"/>
              <w:rPr>
                <w:kern w:val="0"/>
                <w:sz w:val="18"/>
                <w:szCs w:val="18"/>
              </w:rPr>
            </w:pPr>
            <w:r>
              <w:rPr>
                <w:kern w:val="0"/>
                <w:sz w:val="18"/>
                <w:szCs w:val="18"/>
              </w:rPr>
              <w:t>1.3</w:t>
            </w:r>
          </w:p>
        </w:tc>
        <w:tc>
          <w:tcPr>
            <w:tcW w:w="364" w:type="pct"/>
            <w:vAlign w:val="center"/>
          </w:tcPr>
          <w:p w14:paraId="2852A2C5">
            <w:pPr>
              <w:autoSpaceDE w:val="0"/>
              <w:autoSpaceDN w:val="0"/>
              <w:jc w:val="center"/>
              <w:rPr>
                <w:kern w:val="0"/>
                <w:sz w:val="18"/>
                <w:szCs w:val="18"/>
              </w:rPr>
            </w:pPr>
            <w:r>
              <w:rPr>
                <w:kern w:val="0"/>
                <w:sz w:val="18"/>
                <w:szCs w:val="18"/>
              </w:rPr>
              <w:t>1.5</w:t>
            </w:r>
          </w:p>
        </w:tc>
      </w:tr>
      <w:tr w14:paraId="2463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vMerge w:val="continue"/>
            <w:vAlign w:val="center"/>
          </w:tcPr>
          <w:p w14:paraId="2C0A1D3A">
            <w:pPr>
              <w:autoSpaceDE w:val="0"/>
              <w:autoSpaceDN w:val="0"/>
              <w:jc w:val="center"/>
              <w:rPr>
                <w:kern w:val="0"/>
                <w:sz w:val="18"/>
                <w:szCs w:val="18"/>
              </w:rPr>
            </w:pPr>
          </w:p>
        </w:tc>
        <w:tc>
          <w:tcPr>
            <w:tcW w:w="395" w:type="pct"/>
            <w:vAlign w:val="center"/>
          </w:tcPr>
          <w:p w14:paraId="0E368E78">
            <w:pPr>
              <w:autoSpaceDE w:val="0"/>
              <w:autoSpaceDN w:val="0"/>
              <w:rPr>
                <w:kern w:val="0"/>
                <w:sz w:val="18"/>
                <w:szCs w:val="18"/>
              </w:rPr>
            </w:pPr>
            <w:r>
              <w:rPr>
                <w:kern w:val="0"/>
                <w:sz w:val="18"/>
                <w:szCs w:val="18"/>
              </w:rPr>
              <w:t>二级</w:t>
            </w:r>
          </w:p>
        </w:tc>
        <w:tc>
          <w:tcPr>
            <w:tcW w:w="518" w:type="pct"/>
            <w:vAlign w:val="center"/>
          </w:tcPr>
          <w:p w14:paraId="2B2834C7">
            <w:pPr>
              <w:autoSpaceDE w:val="0"/>
              <w:autoSpaceDN w:val="0"/>
              <w:jc w:val="center"/>
              <w:rPr>
                <w:kern w:val="0"/>
                <w:sz w:val="18"/>
                <w:szCs w:val="18"/>
              </w:rPr>
            </w:pPr>
            <w:r>
              <w:rPr>
                <w:rFonts w:hint="eastAsia"/>
                <w:kern w:val="0"/>
                <w:sz w:val="18"/>
                <w:szCs w:val="18"/>
              </w:rPr>
              <w:t>65</w:t>
            </w:r>
          </w:p>
        </w:tc>
        <w:tc>
          <w:tcPr>
            <w:tcW w:w="302" w:type="pct"/>
            <w:vAlign w:val="center"/>
          </w:tcPr>
          <w:p w14:paraId="68AF70B3">
            <w:pPr>
              <w:autoSpaceDE w:val="0"/>
              <w:autoSpaceDN w:val="0"/>
              <w:jc w:val="center"/>
              <w:rPr>
                <w:kern w:val="0"/>
                <w:sz w:val="18"/>
                <w:szCs w:val="18"/>
              </w:rPr>
            </w:pPr>
            <w:r>
              <w:rPr>
                <w:kern w:val="0"/>
                <w:sz w:val="18"/>
                <w:szCs w:val="18"/>
              </w:rPr>
              <w:t>5.5</w:t>
            </w:r>
          </w:p>
        </w:tc>
        <w:tc>
          <w:tcPr>
            <w:tcW w:w="364" w:type="pct"/>
            <w:vAlign w:val="center"/>
          </w:tcPr>
          <w:p w14:paraId="7AD72FCF">
            <w:pPr>
              <w:autoSpaceDE w:val="0"/>
              <w:autoSpaceDN w:val="0"/>
              <w:jc w:val="center"/>
              <w:rPr>
                <w:kern w:val="0"/>
                <w:sz w:val="18"/>
                <w:szCs w:val="18"/>
              </w:rPr>
            </w:pPr>
            <w:r>
              <w:rPr>
                <w:kern w:val="0"/>
                <w:sz w:val="18"/>
                <w:szCs w:val="18"/>
              </w:rPr>
              <w:t>0.08</w:t>
            </w:r>
          </w:p>
        </w:tc>
        <w:tc>
          <w:tcPr>
            <w:tcW w:w="382" w:type="pct"/>
            <w:vAlign w:val="center"/>
          </w:tcPr>
          <w:p w14:paraId="53EF3713">
            <w:pPr>
              <w:autoSpaceDE w:val="0"/>
              <w:autoSpaceDN w:val="0"/>
              <w:jc w:val="center"/>
              <w:rPr>
                <w:kern w:val="0"/>
                <w:sz w:val="18"/>
                <w:szCs w:val="18"/>
              </w:rPr>
            </w:pPr>
            <w:r>
              <w:rPr>
                <w:rFonts w:hint="eastAsia"/>
                <w:kern w:val="0"/>
                <w:sz w:val="18"/>
                <w:szCs w:val="18"/>
              </w:rPr>
              <w:t>6</w:t>
            </w:r>
          </w:p>
        </w:tc>
        <w:tc>
          <w:tcPr>
            <w:tcW w:w="443" w:type="pct"/>
            <w:vAlign w:val="center"/>
          </w:tcPr>
          <w:p w14:paraId="55AC2499">
            <w:pPr>
              <w:autoSpaceDE w:val="0"/>
              <w:autoSpaceDN w:val="0"/>
              <w:jc w:val="center"/>
              <w:rPr>
                <w:kern w:val="0"/>
                <w:sz w:val="18"/>
                <w:szCs w:val="18"/>
              </w:rPr>
            </w:pPr>
            <w:r>
              <w:rPr>
                <w:kern w:val="0"/>
                <w:sz w:val="18"/>
                <w:szCs w:val="18"/>
              </w:rPr>
              <w:t>2.5</w:t>
            </w:r>
          </w:p>
        </w:tc>
        <w:tc>
          <w:tcPr>
            <w:tcW w:w="364" w:type="pct"/>
            <w:vAlign w:val="center"/>
          </w:tcPr>
          <w:p w14:paraId="3B41E0F0">
            <w:pPr>
              <w:autoSpaceDE w:val="0"/>
              <w:autoSpaceDN w:val="0"/>
              <w:jc w:val="center"/>
              <w:rPr>
                <w:kern w:val="0"/>
                <w:sz w:val="18"/>
                <w:szCs w:val="18"/>
              </w:rPr>
            </w:pPr>
            <w:r>
              <w:rPr>
                <w:kern w:val="0"/>
                <w:sz w:val="18"/>
                <w:szCs w:val="18"/>
              </w:rPr>
              <w:t>0.8</w:t>
            </w:r>
          </w:p>
        </w:tc>
        <w:tc>
          <w:tcPr>
            <w:tcW w:w="364" w:type="pct"/>
            <w:vAlign w:val="center"/>
          </w:tcPr>
          <w:p w14:paraId="723C1800">
            <w:pPr>
              <w:autoSpaceDE w:val="0"/>
              <w:autoSpaceDN w:val="0"/>
              <w:jc w:val="center"/>
              <w:rPr>
                <w:kern w:val="0"/>
                <w:sz w:val="18"/>
                <w:szCs w:val="18"/>
              </w:rPr>
            </w:pPr>
            <w:r>
              <w:rPr>
                <w:kern w:val="0"/>
                <w:sz w:val="18"/>
                <w:szCs w:val="18"/>
              </w:rPr>
              <w:t>1.5</w:t>
            </w:r>
          </w:p>
        </w:tc>
        <w:tc>
          <w:tcPr>
            <w:tcW w:w="364" w:type="pct"/>
            <w:vAlign w:val="center"/>
          </w:tcPr>
          <w:p w14:paraId="75145EB6">
            <w:pPr>
              <w:autoSpaceDE w:val="0"/>
              <w:autoSpaceDN w:val="0"/>
              <w:jc w:val="center"/>
              <w:rPr>
                <w:kern w:val="0"/>
                <w:sz w:val="18"/>
                <w:szCs w:val="18"/>
              </w:rPr>
            </w:pPr>
            <w:r>
              <w:rPr>
                <w:kern w:val="0"/>
                <w:sz w:val="18"/>
                <w:szCs w:val="18"/>
              </w:rPr>
              <w:t>1.8</w:t>
            </w:r>
          </w:p>
        </w:tc>
      </w:tr>
      <w:tr w14:paraId="52F9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vMerge w:val="continue"/>
            <w:vAlign w:val="center"/>
          </w:tcPr>
          <w:p w14:paraId="6EC14262">
            <w:pPr>
              <w:autoSpaceDE w:val="0"/>
              <w:autoSpaceDN w:val="0"/>
              <w:jc w:val="center"/>
              <w:rPr>
                <w:kern w:val="0"/>
                <w:sz w:val="18"/>
                <w:szCs w:val="18"/>
              </w:rPr>
            </w:pPr>
          </w:p>
        </w:tc>
        <w:tc>
          <w:tcPr>
            <w:tcW w:w="395" w:type="pct"/>
            <w:vAlign w:val="center"/>
          </w:tcPr>
          <w:p w14:paraId="2449D1AB">
            <w:pPr>
              <w:autoSpaceDE w:val="0"/>
              <w:autoSpaceDN w:val="0"/>
              <w:rPr>
                <w:kern w:val="0"/>
                <w:sz w:val="18"/>
                <w:szCs w:val="18"/>
              </w:rPr>
            </w:pPr>
            <w:r>
              <w:rPr>
                <w:kern w:val="0"/>
                <w:sz w:val="18"/>
                <w:szCs w:val="18"/>
              </w:rPr>
              <w:t>三级</w:t>
            </w:r>
          </w:p>
        </w:tc>
        <w:tc>
          <w:tcPr>
            <w:tcW w:w="518" w:type="pct"/>
            <w:vAlign w:val="center"/>
          </w:tcPr>
          <w:p w14:paraId="1FC3AE2E">
            <w:pPr>
              <w:autoSpaceDE w:val="0"/>
              <w:autoSpaceDN w:val="0"/>
              <w:jc w:val="center"/>
              <w:rPr>
                <w:kern w:val="0"/>
                <w:sz w:val="18"/>
                <w:szCs w:val="18"/>
              </w:rPr>
            </w:pPr>
            <w:r>
              <w:rPr>
                <w:rFonts w:hint="eastAsia"/>
                <w:kern w:val="0"/>
                <w:sz w:val="18"/>
                <w:szCs w:val="18"/>
              </w:rPr>
              <w:t>60</w:t>
            </w:r>
          </w:p>
        </w:tc>
        <w:tc>
          <w:tcPr>
            <w:tcW w:w="302" w:type="pct"/>
            <w:vAlign w:val="center"/>
          </w:tcPr>
          <w:p w14:paraId="2DDF26F9">
            <w:pPr>
              <w:autoSpaceDE w:val="0"/>
              <w:autoSpaceDN w:val="0"/>
              <w:jc w:val="center"/>
              <w:rPr>
                <w:kern w:val="0"/>
                <w:sz w:val="18"/>
                <w:szCs w:val="18"/>
              </w:rPr>
            </w:pPr>
            <w:r>
              <w:rPr>
                <w:kern w:val="0"/>
                <w:sz w:val="18"/>
                <w:szCs w:val="18"/>
              </w:rPr>
              <w:t>6.0</w:t>
            </w:r>
          </w:p>
        </w:tc>
        <w:tc>
          <w:tcPr>
            <w:tcW w:w="364" w:type="pct"/>
            <w:vAlign w:val="center"/>
          </w:tcPr>
          <w:p w14:paraId="195EDA35">
            <w:pPr>
              <w:autoSpaceDE w:val="0"/>
              <w:autoSpaceDN w:val="0"/>
              <w:jc w:val="center"/>
              <w:rPr>
                <w:kern w:val="0"/>
                <w:sz w:val="18"/>
                <w:szCs w:val="18"/>
              </w:rPr>
            </w:pPr>
            <w:r>
              <w:rPr>
                <w:kern w:val="0"/>
                <w:sz w:val="18"/>
                <w:szCs w:val="18"/>
              </w:rPr>
              <w:t>0.10</w:t>
            </w:r>
          </w:p>
        </w:tc>
        <w:tc>
          <w:tcPr>
            <w:tcW w:w="382" w:type="pct"/>
            <w:vAlign w:val="center"/>
          </w:tcPr>
          <w:p w14:paraId="68820FD2">
            <w:pPr>
              <w:autoSpaceDE w:val="0"/>
              <w:autoSpaceDN w:val="0"/>
              <w:jc w:val="center"/>
              <w:rPr>
                <w:kern w:val="0"/>
                <w:sz w:val="18"/>
                <w:szCs w:val="18"/>
              </w:rPr>
            </w:pPr>
            <w:r>
              <w:rPr>
                <w:rFonts w:hint="eastAsia"/>
                <w:kern w:val="0"/>
                <w:sz w:val="18"/>
                <w:szCs w:val="18"/>
              </w:rPr>
              <w:t>7</w:t>
            </w:r>
          </w:p>
        </w:tc>
        <w:tc>
          <w:tcPr>
            <w:tcW w:w="443" w:type="pct"/>
            <w:vAlign w:val="center"/>
          </w:tcPr>
          <w:p w14:paraId="10E13BEF">
            <w:pPr>
              <w:autoSpaceDE w:val="0"/>
              <w:autoSpaceDN w:val="0"/>
              <w:jc w:val="center"/>
              <w:rPr>
                <w:kern w:val="0"/>
                <w:sz w:val="18"/>
                <w:szCs w:val="18"/>
              </w:rPr>
            </w:pPr>
            <w:r>
              <w:rPr>
                <w:kern w:val="0"/>
                <w:sz w:val="18"/>
                <w:szCs w:val="18"/>
              </w:rPr>
              <w:t>3.0</w:t>
            </w:r>
          </w:p>
        </w:tc>
        <w:tc>
          <w:tcPr>
            <w:tcW w:w="364" w:type="pct"/>
            <w:vAlign w:val="center"/>
          </w:tcPr>
          <w:p w14:paraId="67771252">
            <w:pPr>
              <w:autoSpaceDE w:val="0"/>
              <w:autoSpaceDN w:val="0"/>
              <w:jc w:val="center"/>
              <w:rPr>
                <w:kern w:val="0"/>
                <w:sz w:val="18"/>
                <w:szCs w:val="18"/>
              </w:rPr>
            </w:pPr>
            <w:r>
              <w:rPr>
                <w:kern w:val="0"/>
                <w:sz w:val="18"/>
                <w:szCs w:val="18"/>
              </w:rPr>
              <w:t>0.9</w:t>
            </w:r>
          </w:p>
        </w:tc>
        <w:tc>
          <w:tcPr>
            <w:tcW w:w="364" w:type="pct"/>
            <w:vAlign w:val="center"/>
          </w:tcPr>
          <w:p w14:paraId="25A89333">
            <w:pPr>
              <w:autoSpaceDE w:val="0"/>
              <w:autoSpaceDN w:val="0"/>
              <w:jc w:val="center"/>
              <w:rPr>
                <w:kern w:val="0"/>
                <w:sz w:val="18"/>
                <w:szCs w:val="18"/>
              </w:rPr>
            </w:pPr>
            <w:r>
              <w:rPr>
                <w:kern w:val="0"/>
                <w:sz w:val="18"/>
                <w:szCs w:val="18"/>
              </w:rPr>
              <w:t>1.8</w:t>
            </w:r>
          </w:p>
        </w:tc>
        <w:tc>
          <w:tcPr>
            <w:tcW w:w="364" w:type="pct"/>
            <w:vAlign w:val="center"/>
          </w:tcPr>
          <w:p w14:paraId="44C6E8E6">
            <w:pPr>
              <w:autoSpaceDE w:val="0"/>
              <w:autoSpaceDN w:val="0"/>
              <w:jc w:val="center"/>
              <w:rPr>
                <w:kern w:val="0"/>
                <w:sz w:val="18"/>
                <w:szCs w:val="18"/>
              </w:rPr>
            </w:pPr>
            <w:r>
              <w:rPr>
                <w:rFonts w:hint="eastAsia"/>
                <w:kern w:val="0"/>
                <w:sz w:val="18"/>
                <w:szCs w:val="18"/>
              </w:rPr>
              <w:t>2.0</w:t>
            </w:r>
          </w:p>
        </w:tc>
      </w:tr>
      <w:tr w14:paraId="1624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vMerge w:val="continue"/>
            <w:vAlign w:val="center"/>
          </w:tcPr>
          <w:p w14:paraId="4C7C9551">
            <w:pPr>
              <w:autoSpaceDE w:val="0"/>
              <w:autoSpaceDN w:val="0"/>
              <w:jc w:val="center"/>
              <w:rPr>
                <w:kern w:val="0"/>
                <w:sz w:val="18"/>
                <w:szCs w:val="18"/>
              </w:rPr>
            </w:pPr>
          </w:p>
        </w:tc>
        <w:tc>
          <w:tcPr>
            <w:tcW w:w="395" w:type="pct"/>
            <w:vAlign w:val="center"/>
          </w:tcPr>
          <w:p w14:paraId="1559E5BF">
            <w:pPr>
              <w:autoSpaceDE w:val="0"/>
              <w:autoSpaceDN w:val="0"/>
              <w:rPr>
                <w:kern w:val="0"/>
                <w:sz w:val="18"/>
                <w:szCs w:val="18"/>
                <w:highlight w:val="yellow"/>
              </w:rPr>
            </w:pPr>
            <w:r>
              <w:rPr>
                <w:kern w:val="0"/>
                <w:sz w:val="18"/>
                <w:szCs w:val="18"/>
                <w:highlight w:val="yellow"/>
              </w:rPr>
              <w:t>四级</w:t>
            </w:r>
          </w:p>
        </w:tc>
        <w:tc>
          <w:tcPr>
            <w:tcW w:w="518" w:type="pct"/>
            <w:vAlign w:val="center"/>
          </w:tcPr>
          <w:p w14:paraId="5CF34587">
            <w:pPr>
              <w:autoSpaceDE w:val="0"/>
              <w:autoSpaceDN w:val="0"/>
              <w:jc w:val="center"/>
              <w:rPr>
                <w:kern w:val="0"/>
                <w:sz w:val="18"/>
                <w:szCs w:val="18"/>
                <w:highlight w:val="yellow"/>
              </w:rPr>
            </w:pPr>
            <w:r>
              <w:rPr>
                <w:rFonts w:hint="eastAsia"/>
                <w:kern w:val="0"/>
                <w:sz w:val="18"/>
                <w:szCs w:val="18"/>
                <w:highlight w:val="yellow"/>
              </w:rPr>
              <w:t>53</w:t>
            </w:r>
          </w:p>
        </w:tc>
        <w:tc>
          <w:tcPr>
            <w:tcW w:w="302" w:type="pct"/>
            <w:vAlign w:val="center"/>
          </w:tcPr>
          <w:p w14:paraId="4AE0FB93">
            <w:pPr>
              <w:autoSpaceDE w:val="0"/>
              <w:autoSpaceDN w:val="0"/>
              <w:jc w:val="center"/>
              <w:rPr>
                <w:kern w:val="0"/>
                <w:sz w:val="18"/>
                <w:szCs w:val="18"/>
                <w:highlight w:val="yellow"/>
              </w:rPr>
            </w:pPr>
            <w:r>
              <w:rPr>
                <w:rFonts w:hint="eastAsia"/>
                <w:kern w:val="0"/>
                <w:sz w:val="18"/>
                <w:szCs w:val="18"/>
                <w:highlight w:val="yellow"/>
              </w:rPr>
              <w:t>6.5</w:t>
            </w:r>
          </w:p>
        </w:tc>
        <w:tc>
          <w:tcPr>
            <w:tcW w:w="364" w:type="pct"/>
            <w:vAlign w:val="center"/>
          </w:tcPr>
          <w:p w14:paraId="208B69D7">
            <w:pPr>
              <w:autoSpaceDE w:val="0"/>
              <w:autoSpaceDN w:val="0"/>
              <w:jc w:val="center"/>
              <w:rPr>
                <w:kern w:val="0"/>
                <w:sz w:val="18"/>
                <w:szCs w:val="18"/>
                <w:highlight w:val="yellow"/>
              </w:rPr>
            </w:pPr>
            <w:r>
              <w:rPr>
                <w:rFonts w:hint="eastAsia"/>
                <w:kern w:val="0"/>
                <w:sz w:val="18"/>
                <w:szCs w:val="18"/>
                <w:highlight w:val="yellow"/>
              </w:rPr>
              <w:t>0.15</w:t>
            </w:r>
          </w:p>
        </w:tc>
        <w:tc>
          <w:tcPr>
            <w:tcW w:w="382" w:type="pct"/>
            <w:vAlign w:val="center"/>
          </w:tcPr>
          <w:p w14:paraId="16A7F1AD">
            <w:pPr>
              <w:autoSpaceDE w:val="0"/>
              <w:autoSpaceDN w:val="0"/>
              <w:jc w:val="center"/>
              <w:rPr>
                <w:kern w:val="0"/>
                <w:sz w:val="18"/>
                <w:szCs w:val="18"/>
                <w:highlight w:val="yellow"/>
              </w:rPr>
            </w:pPr>
            <w:r>
              <w:rPr>
                <w:rFonts w:hint="eastAsia"/>
                <w:kern w:val="0"/>
                <w:sz w:val="18"/>
                <w:szCs w:val="18"/>
                <w:highlight w:val="yellow"/>
              </w:rPr>
              <w:t>9</w:t>
            </w:r>
          </w:p>
        </w:tc>
        <w:tc>
          <w:tcPr>
            <w:tcW w:w="443" w:type="pct"/>
            <w:vAlign w:val="center"/>
          </w:tcPr>
          <w:p w14:paraId="5187FE78">
            <w:pPr>
              <w:autoSpaceDE w:val="0"/>
              <w:autoSpaceDN w:val="0"/>
              <w:jc w:val="center"/>
              <w:rPr>
                <w:kern w:val="0"/>
                <w:sz w:val="18"/>
                <w:szCs w:val="18"/>
                <w:highlight w:val="yellow"/>
              </w:rPr>
            </w:pPr>
            <w:r>
              <w:rPr>
                <w:rFonts w:hint="eastAsia"/>
                <w:kern w:val="0"/>
                <w:sz w:val="18"/>
                <w:szCs w:val="18"/>
                <w:highlight w:val="yellow"/>
              </w:rPr>
              <w:t>4.0</w:t>
            </w:r>
          </w:p>
        </w:tc>
        <w:tc>
          <w:tcPr>
            <w:tcW w:w="364" w:type="pct"/>
            <w:vAlign w:val="center"/>
          </w:tcPr>
          <w:p w14:paraId="2AC3D4DF">
            <w:pPr>
              <w:autoSpaceDE w:val="0"/>
              <w:autoSpaceDN w:val="0"/>
              <w:jc w:val="center"/>
              <w:rPr>
                <w:kern w:val="0"/>
                <w:sz w:val="18"/>
                <w:szCs w:val="18"/>
                <w:highlight w:val="yellow"/>
              </w:rPr>
            </w:pPr>
            <w:r>
              <w:rPr>
                <w:rFonts w:hint="eastAsia"/>
                <w:kern w:val="0"/>
                <w:sz w:val="18"/>
                <w:szCs w:val="18"/>
                <w:highlight w:val="yellow"/>
              </w:rPr>
              <w:t>1.0</w:t>
            </w:r>
          </w:p>
        </w:tc>
        <w:tc>
          <w:tcPr>
            <w:tcW w:w="364" w:type="pct"/>
            <w:vAlign w:val="center"/>
          </w:tcPr>
          <w:p w14:paraId="10605F7E">
            <w:pPr>
              <w:autoSpaceDE w:val="0"/>
              <w:autoSpaceDN w:val="0"/>
              <w:jc w:val="center"/>
              <w:rPr>
                <w:kern w:val="0"/>
                <w:sz w:val="18"/>
                <w:szCs w:val="18"/>
                <w:highlight w:val="yellow"/>
              </w:rPr>
            </w:pPr>
            <w:r>
              <w:rPr>
                <w:rFonts w:hint="eastAsia"/>
                <w:kern w:val="0"/>
                <w:sz w:val="18"/>
                <w:szCs w:val="18"/>
                <w:highlight w:val="yellow"/>
              </w:rPr>
              <w:t>2.1</w:t>
            </w:r>
          </w:p>
        </w:tc>
        <w:tc>
          <w:tcPr>
            <w:tcW w:w="364" w:type="pct"/>
            <w:vAlign w:val="center"/>
          </w:tcPr>
          <w:p w14:paraId="008535E2">
            <w:pPr>
              <w:autoSpaceDE w:val="0"/>
              <w:autoSpaceDN w:val="0"/>
              <w:jc w:val="center"/>
              <w:rPr>
                <w:kern w:val="0"/>
                <w:sz w:val="18"/>
                <w:szCs w:val="18"/>
                <w:highlight w:val="yellow"/>
              </w:rPr>
            </w:pPr>
            <w:r>
              <w:rPr>
                <w:rFonts w:hint="eastAsia"/>
                <w:kern w:val="0"/>
                <w:sz w:val="18"/>
                <w:szCs w:val="18"/>
                <w:highlight w:val="yellow"/>
              </w:rPr>
              <w:t>2.5</w:t>
            </w:r>
          </w:p>
        </w:tc>
      </w:tr>
      <w:tr w14:paraId="368D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05" w:type="pct"/>
            <w:vMerge w:val="restart"/>
            <w:vAlign w:val="center"/>
          </w:tcPr>
          <w:p w14:paraId="6236AEBA">
            <w:pPr>
              <w:autoSpaceDE w:val="0"/>
              <w:autoSpaceDN w:val="0"/>
              <w:jc w:val="center"/>
              <w:rPr>
                <w:kern w:val="0"/>
                <w:sz w:val="18"/>
                <w:szCs w:val="18"/>
              </w:rPr>
            </w:pPr>
            <w:r>
              <w:rPr>
                <w:kern w:val="0"/>
                <w:sz w:val="18"/>
                <w:szCs w:val="18"/>
              </w:rPr>
              <w:t>镍、钴冶炼渣回收铁精粉</w:t>
            </w:r>
          </w:p>
        </w:tc>
        <w:tc>
          <w:tcPr>
            <w:tcW w:w="395" w:type="pct"/>
            <w:vAlign w:val="center"/>
          </w:tcPr>
          <w:p w14:paraId="74A4C639">
            <w:pPr>
              <w:autoSpaceDE w:val="0"/>
              <w:autoSpaceDN w:val="0"/>
              <w:jc w:val="center"/>
              <w:rPr>
                <w:kern w:val="0"/>
                <w:sz w:val="18"/>
                <w:szCs w:val="18"/>
              </w:rPr>
            </w:pPr>
            <w:r>
              <w:rPr>
                <w:kern w:val="0"/>
                <w:sz w:val="18"/>
                <w:szCs w:val="18"/>
              </w:rPr>
              <w:t>一级</w:t>
            </w:r>
          </w:p>
        </w:tc>
        <w:tc>
          <w:tcPr>
            <w:tcW w:w="518" w:type="pct"/>
            <w:vAlign w:val="center"/>
          </w:tcPr>
          <w:p w14:paraId="1617BF51">
            <w:pPr>
              <w:autoSpaceDE w:val="0"/>
              <w:autoSpaceDN w:val="0"/>
              <w:jc w:val="center"/>
              <w:rPr>
                <w:kern w:val="0"/>
                <w:sz w:val="18"/>
                <w:szCs w:val="18"/>
                <w:highlight w:val="yellow"/>
              </w:rPr>
            </w:pPr>
            <w:r>
              <w:rPr>
                <w:rFonts w:hint="eastAsia"/>
                <w:kern w:val="0"/>
                <w:sz w:val="18"/>
                <w:szCs w:val="18"/>
                <w:highlight w:val="yellow"/>
              </w:rPr>
              <w:t>57</w:t>
            </w:r>
          </w:p>
        </w:tc>
        <w:tc>
          <w:tcPr>
            <w:tcW w:w="302" w:type="pct"/>
            <w:vAlign w:val="center"/>
          </w:tcPr>
          <w:p w14:paraId="7AEEF55B">
            <w:pPr>
              <w:autoSpaceDE w:val="0"/>
              <w:autoSpaceDN w:val="0"/>
              <w:jc w:val="center"/>
              <w:rPr>
                <w:kern w:val="0"/>
                <w:sz w:val="18"/>
                <w:szCs w:val="18"/>
              </w:rPr>
            </w:pPr>
            <w:r>
              <w:rPr>
                <w:kern w:val="0"/>
                <w:sz w:val="18"/>
                <w:szCs w:val="18"/>
              </w:rPr>
              <w:t>2.5</w:t>
            </w:r>
          </w:p>
        </w:tc>
        <w:tc>
          <w:tcPr>
            <w:tcW w:w="364" w:type="pct"/>
            <w:vAlign w:val="center"/>
          </w:tcPr>
          <w:p w14:paraId="284668B5">
            <w:pPr>
              <w:autoSpaceDE w:val="0"/>
              <w:autoSpaceDN w:val="0"/>
              <w:jc w:val="center"/>
              <w:rPr>
                <w:kern w:val="0"/>
                <w:sz w:val="18"/>
                <w:szCs w:val="18"/>
              </w:rPr>
            </w:pPr>
            <w:r>
              <w:rPr>
                <w:kern w:val="0"/>
                <w:sz w:val="18"/>
                <w:szCs w:val="18"/>
              </w:rPr>
              <w:t>0.</w:t>
            </w:r>
            <w:r>
              <w:rPr>
                <w:rFonts w:hint="eastAsia"/>
                <w:kern w:val="0"/>
                <w:sz w:val="18"/>
                <w:szCs w:val="18"/>
              </w:rPr>
              <w:t>4</w:t>
            </w:r>
          </w:p>
        </w:tc>
        <w:tc>
          <w:tcPr>
            <w:tcW w:w="382" w:type="pct"/>
            <w:vAlign w:val="center"/>
          </w:tcPr>
          <w:p w14:paraId="2276642C">
            <w:pPr>
              <w:autoSpaceDE w:val="0"/>
              <w:autoSpaceDN w:val="0"/>
              <w:jc w:val="center"/>
              <w:rPr>
                <w:kern w:val="0"/>
                <w:sz w:val="18"/>
                <w:szCs w:val="18"/>
              </w:rPr>
            </w:pPr>
            <w:r>
              <w:rPr>
                <w:kern w:val="0"/>
                <w:sz w:val="18"/>
                <w:szCs w:val="18"/>
              </w:rPr>
              <w:t>6</w:t>
            </w:r>
          </w:p>
        </w:tc>
        <w:tc>
          <w:tcPr>
            <w:tcW w:w="443" w:type="pct"/>
            <w:vAlign w:val="center"/>
          </w:tcPr>
          <w:p w14:paraId="0750A393">
            <w:pPr>
              <w:autoSpaceDE w:val="0"/>
              <w:autoSpaceDN w:val="0"/>
              <w:jc w:val="center"/>
              <w:rPr>
                <w:kern w:val="0"/>
                <w:sz w:val="18"/>
                <w:szCs w:val="18"/>
              </w:rPr>
            </w:pPr>
            <w:r>
              <w:rPr>
                <w:kern w:val="0"/>
                <w:sz w:val="18"/>
                <w:szCs w:val="18"/>
              </w:rPr>
              <w:t>2.5</w:t>
            </w:r>
          </w:p>
        </w:tc>
        <w:tc>
          <w:tcPr>
            <w:tcW w:w="364" w:type="pct"/>
            <w:vAlign w:val="center"/>
          </w:tcPr>
          <w:p w14:paraId="00943254">
            <w:pPr>
              <w:autoSpaceDE w:val="0"/>
              <w:autoSpaceDN w:val="0"/>
              <w:jc w:val="center"/>
              <w:rPr>
                <w:kern w:val="0"/>
                <w:sz w:val="18"/>
                <w:szCs w:val="18"/>
              </w:rPr>
            </w:pPr>
            <w:r>
              <w:rPr>
                <w:kern w:val="0"/>
                <w:sz w:val="18"/>
                <w:szCs w:val="18"/>
              </w:rPr>
              <w:t>0.</w:t>
            </w:r>
            <w:r>
              <w:rPr>
                <w:rFonts w:hint="eastAsia"/>
                <w:kern w:val="0"/>
                <w:sz w:val="18"/>
                <w:szCs w:val="18"/>
              </w:rPr>
              <w:t>20</w:t>
            </w:r>
          </w:p>
        </w:tc>
        <w:tc>
          <w:tcPr>
            <w:tcW w:w="364" w:type="pct"/>
            <w:vAlign w:val="center"/>
          </w:tcPr>
          <w:p w14:paraId="02123AC1">
            <w:pPr>
              <w:autoSpaceDE w:val="0"/>
              <w:autoSpaceDN w:val="0"/>
              <w:jc w:val="center"/>
              <w:rPr>
                <w:kern w:val="0"/>
                <w:sz w:val="18"/>
                <w:szCs w:val="18"/>
              </w:rPr>
            </w:pPr>
            <w:r>
              <w:rPr>
                <w:kern w:val="0"/>
                <w:sz w:val="18"/>
                <w:szCs w:val="18"/>
              </w:rPr>
              <w:t>0.</w:t>
            </w:r>
            <w:r>
              <w:rPr>
                <w:rFonts w:hint="eastAsia"/>
                <w:kern w:val="0"/>
                <w:sz w:val="18"/>
                <w:szCs w:val="18"/>
              </w:rPr>
              <w:t>5</w:t>
            </w:r>
          </w:p>
        </w:tc>
        <w:tc>
          <w:tcPr>
            <w:tcW w:w="364" w:type="pct"/>
            <w:vAlign w:val="center"/>
          </w:tcPr>
          <w:p w14:paraId="1CEFDF3E">
            <w:pPr>
              <w:autoSpaceDE w:val="0"/>
              <w:autoSpaceDN w:val="0"/>
              <w:jc w:val="center"/>
              <w:rPr>
                <w:kern w:val="0"/>
                <w:sz w:val="18"/>
                <w:szCs w:val="18"/>
              </w:rPr>
            </w:pPr>
            <w:r>
              <w:rPr>
                <w:kern w:val="0"/>
                <w:sz w:val="18"/>
                <w:szCs w:val="18"/>
              </w:rPr>
              <w:t>0.10</w:t>
            </w:r>
          </w:p>
        </w:tc>
      </w:tr>
      <w:tr w14:paraId="6BAD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05" w:type="pct"/>
            <w:vMerge w:val="continue"/>
            <w:vAlign w:val="center"/>
          </w:tcPr>
          <w:p w14:paraId="353F21E3">
            <w:pPr>
              <w:autoSpaceDE w:val="0"/>
              <w:autoSpaceDN w:val="0"/>
              <w:jc w:val="center"/>
              <w:rPr>
                <w:kern w:val="0"/>
                <w:sz w:val="18"/>
                <w:szCs w:val="18"/>
              </w:rPr>
            </w:pPr>
          </w:p>
        </w:tc>
        <w:tc>
          <w:tcPr>
            <w:tcW w:w="395" w:type="pct"/>
            <w:vAlign w:val="center"/>
          </w:tcPr>
          <w:p w14:paraId="6D97A0A2">
            <w:pPr>
              <w:autoSpaceDE w:val="0"/>
              <w:autoSpaceDN w:val="0"/>
              <w:jc w:val="center"/>
              <w:rPr>
                <w:kern w:val="0"/>
                <w:sz w:val="18"/>
                <w:szCs w:val="18"/>
              </w:rPr>
            </w:pPr>
            <w:r>
              <w:rPr>
                <w:kern w:val="0"/>
                <w:sz w:val="18"/>
                <w:szCs w:val="18"/>
              </w:rPr>
              <w:t>二级</w:t>
            </w:r>
          </w:p>
        </w:tc>
        <w:tc>
          <w:tcPr>
            <w:tcW w:w="518" w:type="pct"/>
            <w:vAlign w:val="center"/>
          </w:tcPr>
          <w:p w14:paraId="3B1AB65D">
            <w:pPr>
              <w:autoSpaceDE w:val="0"/>
              <w:autoSpaceDN w:val="0"/>
              <w:jc w:val="center"/>
              <w:rPr>
                <w:kern w:val="0"/>
                <w:sz w:val="18"/>
                <w:szCs w:val="18"/>
                <w:highlight w:val="yellow"/>
              </w:rPr>
            </w:pPr>
            <w:r>
              <w:rPr>
                <w:rFonts w:hint="eastAsia"/>
                <w:kern w:val="0"/>
                <w:sz w:val="18"/>
                <w:szCs w:val="18"/>
                <w:highlight w:val="yellow"/>
              </w:rPr>
              <w:t>53</w:t>
            </w:r>
          </w:p>
        </w:tc>
        <w:tc>
          <w:tcPr>
            <w:tcW w:w="302" w:type="pct"/>
            <w:vAlign w:val="center"/>
          </w:tcPr>
          <w:p w14:paraId="6533867E">
            <w:pPr>
              <w:autoSpaceDE w:val="0"/>
              <w:autoSpaceDN w:val="0"/>
              <w:jc w:val="center"/>
              <w:rPr>
                <w:kern w:val="0"/>
                <w:sz w:val="18"/>
                <w:szCs w:val="18"/>
              </w:rPr>
            </w:pPr>
            <w:r>
              <w:rPr>
                <w:kern w:val="0"/>
                <w:sz w:val="18"/>
                <w:szCs w:val="18"/>
              </w:rPr>
              <w:t>3.0</w:t>
            </w:r>
          </w:p>
        </w:tc>
        <w:tc>
          <w:tcPr>
            <w:tcW w:w="364" w:type="pct"/>
            <w:vAlign w:val="center"/>
          </w:tcPr>
          <w:p w14:paraId="04A1D1DF">
            <w:pPr>
              <w:autoSpaceDE w:val="0"/>
              <w:autoSpaceDN w:val="0"/>
              <w:jc w:val="center"/>
              <w:rPr>
                <w:kern w:val="0"/>
                <w:sz w:val="18"/>
                <w:szCs w:val="18"/>
              </w:rPr>
            </w:pPr>
            <w:r>
              <w:rPr>
                <w:kern w:val="0"/>
                <w:sz w:val="18"/>
                <w:szCs w:val="18"/>
              </w:rPr>
              <w:t>0.</w:t>
            </w:r>
            <w:r>
              <w:rPr>
                <w:rFonts w:hint="eastAsia"/>
                <w:kern w:val="0"/>
                <w:sz w:val="18"/>
                <w:szCs w:val="18"/>
              </w:rPr>
              <w:t>6</w:t>
            </w:r>
          </w:p>
        </w:tc>
        <w:tc>
          <w:tcPr>
            <w:tcW w:w="382" w:type="pct"/>
            <w:vAlign w:val="center"/>
          </w:tcPr>
          <w:p w14:paraId="059D6D1F">
            <w:pPr>
              <w:autoSpaceDE w:val="0"/>
              <w:autoSpaceDN w:val="0"/>
              <w:jc w:val="center"/>
              <w:rPr>
                <w:kern w:val="0"/>
                <w:sz w:val="18"/>
                <w:szCs w:val="18"/>
              </w:rPr>
            </w:pPr>
            <w:r>
              <w:rPr>
                <w:kern w:val="0"/>
                <w:sz w:val="18"/>
                <w:szCs w:val="18"/>
              </w:rPr>
              <w:t>8</w:t>
            </w:r>
          </w:p>
        </w:tc>
        <w:tc>
          <w:tcPr>
            <w:tcW w:w="443" w:type="pct"/>
            <w:vAlign w:val="center"/>
          </w:tcPr>
          <w:p w14:paraId="2073F47E">
            <w:pPr>
              <w:autoSpaceDE w:val="0"/>
              <w:autoSpaceDN w:val="0"/>
              <w:jc w:val="center"/>
              <w:rPr>
                <w:kern w:val="0"/>
                <w:sz w:val="18"/>
                <w:szCs w:val="18"/>
              </w:rPr>
            </w:pPr>
            <w:r>
              <w:rPr>
                <w:kern w:val="0"/>
                <w:sz w:val="18"/>
                <w:szCs w:val="18"/>
              </w:rPr>
              <w:t>3.0</w:t>
            </w:r>
          </w:p>
        </w:tc>
        <w:tc>
          <w:tcPr>
            <w:tcW w:w="364" w:type="pct"/>
            <w:vAlign w:val="center"/>
          </w:tcPr>
          <w:p w14:paraId="5E21A267">
            <w:pPr>
              <w:autoSpaceDE w:val="0"/>
              <w:autoSpaceDN w:val="0"/>
              <w:jc w:val="center"/>
              <w:rPr>
                <w:kern w:val="0"/>
                <w:sz w:val="18"/>
                <w:szCs w:val="18"/>
              </w:rPr>
            </w:pPr>
            <w:r>
              <w:rPr>
                <w:kern w:val="0"/>
                <w:sz w:val="18"/>
                <w:szCs w:val="18"/>
              </w:rPr>
              <w:t>0.2</w:t>
            </w:r>
            <w:r>
              <w:rPr>
                <w:rFonts w:hint="eastAsia"/>
                <w:kern w:val="0"/>
                <w:sz w:val="18"/>
                <w:szCs w:val="18"/>
              </w:rPr>
              <w:t>5</w:t>
            </w:r>
          </w:p>
        </w:tc>
        <w:tc>
          <w:tcPr>
            <w:tcW w:w="364" w:type="pct"/>
            <w:vAlign w:val="center"/>
          </w:tcPr>
          <w:p w14:paraId="214D8E69">
            <w:pPr>
              <w:autoSpaceDE w:val="0"/>
              <w:autoSpaceDN w:val="0"/>
              <w:jc w:val="center"/>
              <w:rPr>
                <w:kern w:val="0"/>
                <w:sz w:val="18"/>
                <w:szCs w:val="18"/>
              </w:rPr>
            </w:pPr>
            <w:r>
              <w:rPr>
                <w:kern w:val="0"/>
                <w:sz w:val="18"/>
                <w:szCs w:val="18"/>
              </w:rPr>
              <w:t>0.</w:t>
            </w:r>
            <w:r>
              <w:rPr>
                <w:rFonts w:hint="eastAsia"/>
                <w:kern w:val="0"/>
                <w:sz w:val="18"/>
                <w:szCs w:val="18"/>
              </w:rPr>
              <w:t>6</w:t>
            </w:r>
          </w:p>
        </w:tc>
        <w:tc>
          <w:tcPr>
            <w:tcW w:w="364" w:type="pct"/>
            <w:vAlign w:val="center"/>
          </w:tcPr>
          <w:p w14:paraId="4738137C">
            <w:pPr>
              <w:autoSpaceDE w:val="0"/>
              <w:autoSpaceDN w:val="0"/>
              <w:jc w:val="center"/>
              <w:rPr>
                <w:kern w:val="0"/>
                <w:sz w:val="18"/>
                <w:szCs w:val="18"/>
              </w:rPr>
            </w:pPr>
            <w:r>
              <w:rPr>
                <w:kern w:val="0"/>
                <w:sz w:val="18"/>
                <w:szCs w:val="18"/>
              </w:rPr>
              <w:t>0.15</w:t>
            </w:r>
          </w:p>
        </w:tc>
      </w:tr>
      <w:tr w14:paraId="3C22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pct"/>
            <w:vMerge w:val="continue"/>
            <w:vAlign w:val="center"/>
          </w:tcPr>
          <w:p w14:paraId="5EDE2689">
            <w:pPr>
              <w:autoSpaceDE w:val="0"/>
              <w:autoSpaceDN w:val="0"/>
              <w:jc w:val="center"/>
              <w:rPr>
                <w:kern w:val="0"/>
                <w:sz w:val="18"/>
                <w:szCs w:val="18"/>
              </w:rPr>
            </w:pPr>
          </w:p>
        </w:tc>
        <w:tc>
          <w:tcPr>
            <w:tcW w:w="395" w:type="pct"/>
            <w:vAlign w:val="center"/>
          </w:tcPr>
          <w:p w14:paraId="7E6925F7">
            <w:pPr>
              <w:autoSpaceDE w:val="0"/>
              <w:autoSpaceDN w:val="0"/>
              <w:jc w:val="center"/>
              <w:rPr>
                <w:kern w:val="0"/>
                <w:sz w:val="18"/>
                <w:szCs w:val="18"/>
              </w:rPr>
            </w:pPr>
            <w:r>
              <w:rPr>
                <w:kern w:val="0"/>
                <w:sz w:val="18"/>
                <w:szCs w:val="18"/>
              </w:rPr>
              <w:t>三级</w:t>
            </w:r>
          </w:p>
        </w:tc>
        <w:tc>
          <w:tcPr>
            <w:tcW w:w="518" w:type="pct"/>
            <w:vAlign w:val="center"/>
          </w:tcPr>
          <w:p w14:paraId="72E01871">
            <w:pPr>
              <w:autoSpaceDE w:val="0"/>
              <w:autoSpaceDN w:val="0"/>
              <w:jc w:val="center"/>
              <w:rPr>
                <w:kern w:val="0"/>
                <w:sz w:val="18"/>
                <w:szCs w:val="18"/>
                <w:highlight w:val="yellow"/>
              </w:rPr>
            </w:pPr>
            <w:r>
              <w:rPr>
                <w:rFonts w:hint="eastAsia"/>
                <w:kern w:val="0"/>
                <w:sz w:val="18"/>
                <w:szCs w:val="18"/>
                <w:highlight w:val="yellow"/>
              </w:rPr>
              <w:t>46</w:t>
            </w:r>
          </w:p>
        </w:tc>
        <w:tc>
          <w:tcPr>
            <w:tcW w:w="302" w:type="pct"/>
            <w:vAlign w:val="center"/>
          </w:tcPr>
          <w:p w14:paraId="7C8131F1">
            <w:pPr>
              <w:autoSpaceDE w:val="0"/>
              <w:autoSpaceDN w:val="0"/>
              <w:jc w:val="center"/>
              <w:rPr>
                <w:kern w:val="0"/>
                <w:sz w:val="18"/>
                <w:szCs w:val="18"/>
              </w:rPr>
            </w:pPr>
            <w:r>
              <w:rPr>
                <w:kern w:val="0"/>
                <w:sz w:val="18"/>
                <w:szCs w:val="18"/>
              </w:rPr>
              <w:t>3.5</w:t>
            </w:r>
          </w:p>
        </w:tc>
        <w:tc>
          <w:tcPr>
            <w:tcW w:w="364" w:type="pct"/>
            <w:vAlign w:val="center"/>
          </w:tcPr>
          <w:p w14:paraId="2ED9A706">
            <w:pPr>
              <w:autoSpaceDE w:val="0"/>
              <w:autoSpaceDN w:val="0"/>
              <w:jc w:val="center"/>
              <w:rPr>
                <w:kern w:val="0"/>
                <w:sz w:val="18"/>
                <w:szCs w:val="18"/>
              </w:rPr>
            </w:pPr>
            <w:r>
              <w:rPr>
                <w:rFonts w:hint="eastAsia"/>
                <w:kern w:val="0"/>
                <w:sz w:val="18"/>
                <w:szCs w:val="18"/>
              </w:rPr>
              <w:t>1.0</w:t>
            </w:r>
          </w:p>
        </w:tc>
        <w:tc>
          <w:tcPr>
            <w:tcW w:w="382" w:type="pct"/>
            <w:vAlign w:val="center"/>
          </w:tcPr>
          <w:p w14:paraId="3FD4A5CE">
            <w:pPr>
              <w:autoSpaceDE w:val="0"/>
              <w:autoSpaceDN w:val="0"/>
              <w:jc w:val="center"/>
              <w:rPr>
                <w:kern w:val="0"/>
                <w:sz w:val="18"/>
                <w:szCs w:val="18"/>
              </w:rPr>
            </w:pPr>
            <w:r>
              <w:rPr>
                <w:kern w:val="0"/>
                <w:sz w:val="18"/>
                <w:szCs w:val="18"/>
              </w:rPr>
              <w:t>10</w:t>
            </w:r>
          </w:p>
        </w:tc>
        <w:tc>
          <w:tcPr>
            <w:tcW w:w="443" w:type="pct"/>
            <w:vAlign w:val="center"/>
          </w:tcPr>
          <w:p w14:paraId="2FEB2C0A">
            <w:pPr>
              <w:autoSpaceDE w:val="0"/>
              <w:autoSpaceDN w:val="0"/>
              <w:jc w:val="center"/>
              <w:rPr>
                <w:kern w:val="0"/>
                <w:sz w:val="18"/>
                <w:szCs w:val="18"/>
              </w:rPr>
            </w:pPr>
            <w:r>
              <w:rPr>
                <w:kern w:val="0"/>
                <w:sz w:val="18"/>
                <w:szCs w:val="18"/>
              </w:rPr>
              <w:t>3.5</w:t>
            </w:r>
          </w:p>
        </w:tc>
        <w:tc>
          <w:tcPr>
            <w:tcW w:w="364" w:type="pct"/>
            <w:vAlign w:val="center"/>
          </w:tcPr>
          <w:p w14:paraId="0E083136">
            <w:pPr>
              <w:autoSpaceDE w:val="0"/>
              <w:autoSpaceDN w:val="0"/>
              <w:jc w:val="center"/>
              <w:rPr>
                <w:kern w:val="0"/>
                <w:sz w:val="18"/>
                <w:szCs w:val="18"/>
              </w:rPr>
            </w:pPr>
            <w:r>
              <w:rPr>
                <w:kern w:val="0"/>
                <w:sz w:val="18"/>
                <w:szCs w:val="18"/>
              </w:rPr>
              <w:t>0.</w:t>
            </w:r>
            <w:r>
              <w:rPr>
                <w:rFonts w:hint="eastAsia"/>
                <w:kern w:val="0"/>
                <w:sz w:val="18"/>
                <w:szCs w:val="18"/>
              </w:rPr>
              <w:t>30</w:t>
            </w:r>
          </w:p>
        </w:tc>
        <w:tc>
          <w:tcPr>
            <w:tcW w:w="364" w:type="pct"/>
            <w:vAlign w:val="center"/>
          </w:tcPr>
          <w:p w14:paraId="5CEEB27A">
            <w:pPr>
              <w:autoSpaceDE w:val="0"/>
              <w:autoSpaceDN w:val="0"/>
              <w:jc w:val="center"/>
              <w:rPr>
                <w:kern w:val="0"/>
                <w:sz w:val="18"/>
                <w:szCs w:val="18"/>
              </w:rPr>
            </w:pPr>
            <w:r>
              <w:rPr>
                <w:kern w:val="0"/>
                <w:sz w:val="18"/>
                <w:szCs w:val="18"/>
              </w:rPr>
              <w:t>0.</w:t>
            </w:r>
            <w:r>
              <w:rPr>
                <w:rFonts w:hint="eastAsia"/>
                <w:kern w:val="0"/>
                <w:sz w:val="18"/>
                <w:szCs w:val="18"/>
              </w:rPr>
              <w:t>7</w:t>
            </w:r>
          </w:p>
        </w:tc>
        <w:tc>
          <w:tcPr>
            <w:tcW w:w="364" w:type="pct"/>
            <w:vAlign w:val="center"/>
          </w:tcPr>
          <w:p w14:paraId="05DB1FC0">
            <w:pPr>
              <w:autoSpaceDE w:val="0"/>
              <w:autoSpaceDN w:val="0"/>
              <w:jc w:val="center"/>
              <w:rPr>
                <w:kern w:val="0"/>
                <w:sz w:val="18"/>
                <w:szCs w:val="18"/>
              </w:rPr>
            </w:pPr>
            <w:r>
              <w:rPr>
                <w:kern w:val="0"/>
                <w:sz w:val="18"/>
                <w:szCs w:val="18"/>
              </w:rPr>
              <w:t>0.20</w:t>
            </w:r>
          </w:p>
        </w:tc>
      </w:tr>
      <w:tr w14:paraId="5E03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Pr>
          <w:p w14:paraId="4D120860">
            <w:pPr>
              <w:autoSpaceDE w:val="0"/>
              <w:autoSpaceDN w:val="0"/>
              <w:rPr>
                <w:kern w:val="0"/>
                <w:sz w:val="18"/>
                <w:szCs w:val="18"/>
              </w:rPr>
            </w:pPr>
            <w:r>
              <w:rPr>
                <w:rFonts w:hint="eastAsia" w:ascii="黑体" w:hAnsi="黑体" w:eastAsia="黑体" w:cs="黑体"/>
                <w:kern w:val="0"/>
                <w:sz w:val="18"/>
                <w:szCs w:val="18"/>
              </w:rPr>
              <w:t>注：</w:t>
            </w:r>
            <w:r>
              <w:rPr>
                <w:kern w:val="0"/>
                <w:sz w:val="18"/>
                <w:szCs w:val="18"/>
              </w:rPr>
              <w:t>对杂质种类和含量有特殊要求的，</w:t>
            </w:r>
            <w:r>
              <w:rPr>
                <w:rFonts w:hint="eastAsia"/>
                <w:kern w:val="0"/>
                <w:sz w:val="18"/>
                <w:szCs w:val="18"/>
              </w:rPr>
              <w:t>由供需双方协商确定</w:t>
            </w:r>
            <w:r>
              <w:rPr>
                <w:kern w:val="0"/>
                <w:sz w:val="18"/>
                <w:szCs w:val="18"/>
              </w:rPr>
              <w:t>。</w:t>
            </w:r>
          </w:p>
        </w:tc>
      </w:tr>
    </w:tbl>
    <w:p w14:paraId="0E135BC2">
      <w:pPr>
        <w:spacing w:before="156" w:beforeLines="50"/>
        <w:rPr>
          <w:rFonts w:ascii="宋体" w:hAnsi="宋体"/>
          <w:szCs w:val="21"/>
        </w:rPr>
      </w:pPr>
      <w:r>
        <w:rPr>
          <w:rFonts w:hint="eastAsia" w:ascii="黑体" w:hAnsi="宋体" w:eastAsia="黑体"/>
          <w:szCs w:val="21"/>
        </w:rPr>
        <w:t>4.3</w:t>
      </w:r>
      <w:r>
        <w:rPr>
          <w:rFonts w:hint="eastAsia" w:ascii="宋体" w:hAnsi="宋体"/>
          <w:szCs w:val="21"/>
        </w:rPr>
        <w:t xml:space="preserve">  </w:t>
      </w:r>
      <w:r>
        <w:rPr>
          <w:rFonts w:hint="eastAsia" w:ascii="黑体" w:hAnsi="宋体" w:eastAsia="黑体"/>
          <w:szCs w:val="21"/>
        </w:rPr>
        <w:t>水分</w:t>
      </w:r>
    </w:p>
    <w:p w14:paraId="6A4C52B5">
      <w:pPr>
        <w:spacing w:before="156" w:beforeLines="50"/>
        <w:ind w:firstLine="420" w:firstLineChars="200"/>
        <w:rPr>
          <w:rFonts w:ascii="宋体" w:hAnsi="宋体"/>
          <w:szCs w:val="21"/>
        </w:rPr>
      </w:pPr>
      <w:r>
        <w:rPr>
          <w:rFonts w:hint="eastAsia" w:ascii="宋体" w:hAnsi="宋体"/>
          <w:szCs w:val="21"/>
        </w:rPr>
        <w:t>产品冰冻期水分应不大于8％。</w:t>
      </w:r>
    </w:p>
    <w:p w14:paraId="5C111992">
      <w:pPr>
        <w:rPr>
          <w:rFonts w:ascii="宋体" w:hAnsi="宋体"/>
          <w:szCs w:val="21"/>
        </w:rPr>
      </w:pPr>
      <w:r>
        <w:rPr>
          <w:rFonts w:hint="eastAsia" w:ascii="黑体" w:hAnsi="宋体" w:eastAsia="黑体"/>
          <w:szCs w:val="21"/>
        </w:rPr>
        <w:t>4.4</w:t>
      </w:r>
      <w:r>
        <w:rPr>
          <w:rFonts w:hint="eastAsia" w:ascii="宋体" w:hAnsi="宋体"/>
          <w:szCs w:val="21"/>
        </w:rPr>
        <w:t xml:space="preserve">  </w:t>
      </w:r>
      <w:r>
        <w:rPr>
          <w:rFonts w:hint="eastAsia" w:ascii="黑体" w:hAnsi="宋体" w:eastAsia="黑体"/>
          <w:szCs w:val="21"/>
        </w:rPr>
        <w:t>外观质量</w:t>
      </w:r>
    </w:p>
    <w:p w14:paraId="4BFA97FB">
      <w:pPr>
        <w:spacing w:before="156" w:beforeLines="50"/>
        <w:ind w:firstLine="420" w:firstLineChars="200"/>
        <w:rPr>
          <w:rFonts w:ascii="宋体" w:hAnsi="宋体"/>
          <w:szCs w:val="21"/>
        </w:rPr>
      </w:pPr>
      <w:r>
        <w:rPr>
          <w:rFonts w:hint="eastAsia" w:ascii="宋体" w:hAnsi="宋体"/>
          <w:szCs w:val="21"/>
        </w:rPr>
        <w:t>产品中不应混入其他外来夹杂物，</w:t>
      </w:r>
      <w:r>
        <w:rPr>
          <w:rFonts w:hint="eastAsia" w:ascii="宋体" w:hAnsi="宋体"/>
          <w:szCs w:val="21"/>
          <w:highlight w:val="yellow"/>
        </w:rPr>
        <w:t>不应出现明水，</w:t>
      </w:r>
      <w:r>
        <w:rPr>
          <w:rFonts w:hint="eastAsia" w:ascii="宋体" w:hAnsi="宋体"/>
          <w:szCs w:val="21"/>
        </w:rPr>
        <w:t>同批铁精粉应均匀。</w:t>
      </w:r>
    </w:p>
    <w:p w14:paraId="016084B3">
      <w:pPr>
        <w:spacing w:before="156" w:beforeLines="50" w:after="156" w:afterLines="50"/>
        <w:rPr>
          <w:rFonts w:ascii="黑体" w:hAnsi="宋体" w:eastAsia="黑体"/>
        </w:rPr>
      </w:pPr>
      <w:r>
        <w:rPr>
          <w:rFonts w:hint="eastAsia" w:ascii="黑体" w:hAnsi="宋体" w:eastAsia="黑体"/>
        </w:rPr>
        <w:t>5  试验方法</w:t>
      </w:r>
    </w:p>
    <w:p w14:paraId="42DE8D63">
      <w:pPr>
        <w:spacing w:before="156" w:beforeLines="50"/>
        <w:rPr>
          <w:rFonts w:ascii="宋体" w:hAnsi="宋体"/>
          <w:szCs w:val="21"/>
        </w:rPr>
      </w:pPr>
      <w:r>
        <w:rPr>
          <w:rFonts w:hint="eastAsia" w:ascii="黑体" w:hAnsi="宋体" w:eastAsia="黑体"/>
          <w:szCs w:val="21"/>
        </w:rPr>
        <w:t xml:space="preserve">5.1  </w:t>
      </w:r>
      <w:r>
        <w:rPr>
          <w:rFonts w:hint="eastAsia" w:ascii="宋体" w:hAnsi="宋体"/>
          <w:szCs w:val="21"/>
        </w:rPr>
        <w:t>产品</w:t>
      </w:r>
      <w:r>
        <w:rPr>
          <w:rFonts w:ascii="宋体" w:hAnsi="宋体"/>
          <w:szCs w:val="21"/>
        </w:rPr>
        <w:t>化学成分</w:t>
      </w:r>
      <w:r>
        <w:rPr>
          <w:rFonts w:hint="eastAsia" w:ascii="宋体" w:hAnsi="宋体"/>
          <w:szCs w:val="21"/>
        </w:rPr>
        <w:t>的</w:t>
      </w:r>
      <w:r>
        <w:rPr>
          <w:rFonts w:ascii="宋体" w:hAnsi="宋体"/>
          <w:szCs w:val="21"/>
        </w:rPr>
        <w:t>测定按以下文件的规定进行：</w:t>
      </w:r>
    </w:p>
    <w:p w14:paraId="3A3236D6">
      <w:pPr>
        <w:ind w:firstLine="525" w:firstLineChars="250"/>
        <w:rPr>
          <w:rFonts w:ascii="宋体" w:hAnsi="宋体"/>
        </w:rPr>
      </w:pPr>
      <w:r>
        <w:rPr>
          <w:rFonts w:hint="eastAsia" w:ascii="宋体" w:hAnsi="宋体"/>
          <w:szCs w:val="21"/>
        </w:rPr>
        <w:t>a）全铁含量的测定按</w:t>
      </w:r>
      <w:r>
        <w:rPr>
          <w:rFonts w:ascii="宋体" w:hAnsi="宋体"/>
          <w:szCs w:val="21"/>
        </w:rPr>
        <w:t>GB</w:t>
      </w:r>
      <w:r>
        <w:rPr>
          <w:rFonts w:hint="eastAsia" w:ascii="宋体" w:hAnsi="宋体"/>
          <w:szCs w:val="21"/>
        </w:rPr>
        <w:t>/T 6730.65的规定进行</w:t>
      </w:r>
      <w:r>
        <w:rPr>
          <w:rFonts w:hint="eastAsia" w:ascii="宋体" w:hAnsi="宋体"/>
        </w:rPr>
        <w:t>；</w:t>
      </w:r>
    </w:p>
    <w:p w14:paraId="0A41C63B">
      <w:pPr>
        <w:ind w:firstLine="525" w:firstLineChars="250"/>
        <w:rPr>
          <w:rFonts w:ascii="宋体" w:hAnsi="宋体"/>
          <w:szCs w:val="21"/>
        </w:rPr>
      </w:pPr>
      <w:r>
        <w:rPr>
          <w:rFonts w:hint="eastAsia" w:ascii="宋体" w:hAnsi="宋体"/>
          <w:szCs w:val="21"/>
        </w:rPr>
        <w:t>b）硫含量的测定按</w:t>
      </w:r>
      <w:r>
        <w:rPr>
          <w:rFonts w:ascii="宋体" w:hAnsi="宋体"/>
          <w:szCs w:val="21"/>
        </w:rPr>
        <w:t>GB</w:t>
      </w:r>
      <w:r>
        <w:rPr>
          <w:rFonts w:hint="eastAsia" w:ascii="宋体" w:hAnsi="宋体"/>
          <w:szCs w:val="21"/>
        </w:rPr>
        <w:t>/T 6730.16的规定进行</w:t>
      </w:r>
      <w:r>
        <w:rPr>
          <w:rFonts w:hint="eastAsia" w:ascii="宋体" w:hAnsi="宋体"/>
        </w:rPr>
        <w:t>。</w:t>
      </w:r>
    </w:p>
    <w:p w14:paraId="55A967A7">
      <w:pPr>
        <w:ind w:firstLine="525" w:firstLineChars="250"/>
        <w:rPr>
          <w:rFonts w:ascii="宋体" w:hAnsi="宋体"/>
          <w:szCs w:val="21"/>
        </w:rPr>
      </w:pPr>
      <w:r>
        <w:rPr>
          <w:rFonts w:hint="eastAsia" w:ascii="宋体" w:hAnsi="宋体"/>
          <w:szCs w:val="21"/>
        </w:rPr>
        <w:t>c）磷含量的测定按</w:t>
      </w:r>
      <w:r>
        <w:rPr>
          <w:rFonts w:ascii="宋体" w:hAnsi="宋体"/>
          <w:szCs w:val="21"/>
        </w:rPr>
        <w:t>GB</w:t>
      </w:r>
      <w:r>
        <w:rPr>
          <w:rFonts w:hint="eastAsia" w:ascii="宋体" w:hAnsi="宋体"/>
          <w:szCs w:val="21"/>
        </w:rPr>
        <w:t>/T 6730.18的规定进行。</w:t>
      </w:r>
    </w:p>
    <w:p w14:paraId="4B3F1107">
      <w:pPr>
        <w:ind w:firstLine="525" w:firstLineChars="250"/>
        <w:rPr>
          <w:rFonts w:ascii="宋体" w:hAnsi="宋体"/>
          <w:szCs w:val="21"/>
        </w:rPr>
      </w:pPr>
      <w:r>
        <w:rPr>
          <w:rFonts w:hint="eastAsia" w:ascii="宋体" w:hAnsi="宋体"/>
          <w:szCs w:val="21"/>
        </w:rPr>
        <w:t>d）二氧化硅含量的测定按</w:t>
      </w:r>
      <w:r>
        <w:rPr>
          <w:rFonts w:ascii="宋体" w:hAnsi="宋体"/>
          <w:szCs w:val="21"/>
        </w:rPr>
        <w:t>GB</w:t>
      </w:r>
      <w:r>
        <w:rPr>
          <w:rFonts w:hint="eastAsia" w:ascii="宋体" w:hAnsi="宋体"/>
          <w:szCs w:val="21"/>
        </w:rPr>
        <w:t>/T 6730.10的规定进行。</w:t>
      </w:r>
    </w:p>
    <w:p w14:paraId="4B505433">
      <w:pPr>
        <w:ind w:firstLine="525" w:firstLineChars="250"/>
        <w:rPr>
          <w:rFonts w:ascii="宋体" w:hAnsi="宋体"/>
          <w:szCs w:val="21"/>
        </w:rPr>
      </w:pPr>
      <w:r>
        <w:rPr>
          <w:rFonts w:hint="eastAsia" w:ascii="宋体" w:hAnsi="宋体"/>
          <w:szCs w:val="21"/>
        </w:rPr>
        <w:t>e）三氧化二铝含量的测定按</w:t>
      </w:r>
      <w:r>
        <w:rPr>
          <w:rFonts w:ascii="宋体" w:hAnsi="宋体"/>
          <w:szCs w:val="21"/>
        </w:rPr>
        <w:t>GB</w:t>
      </w:r>
      <w:r>
        <w:rPr>
          <w:rFonts w:hint="eastAsia" w:ascii="宋体" w:hAnsi="宋体"/>
          <w:szCs w:val="21"/>
        </w:rPr>
        <w:t>/T 6730.11或</w:t>
      </w:r>
      <w:r>
        <w:rPr>
          <w:rFonts w:ascii="宋体" w:hAnsi="宋体"/>
          <w:szCs w:val="21"/>
        </w:rPr>
        <w:t>GB</w:t>
      </w:r>
      <w:r>
        <w:rPr>
          <w:rFonts w:hint="eastAsia" w:ascii="宋体" w:hAnsi="宋体"/>
          <w:szCs w:val="21"/>
        </w:rPr>
        <w:t>/T 6730.56的规定进行，仲裁按</w:t>
      </w:r>
      <w:r>
        <w:rPr>
          <w:rFonts w:ascii="宋体" w:hAnsi="宋体"/>
          <w:szCs w:val="21"/>
        </w:rPr>
        <w:t>GB</w:t>
      </w:r>
      <w:r>
        <w:rPr>
          <w:rFonts w:hint="eastAsia" w:ascii="宋体" w:hAnsi="宋体"/>
          <w:szCs w:val="21"/>
        </w:rPr>
        <w:t>/T 6730.11的规定进行。</w:t>
      </w:r>
    </w:p>
    <w:p w14:paraId="1989D14F">
      <w:pPr>
        <w:ind w:firstLine="525" w:firstLineChars="250"/>
        <w:rPr>
          <w:rFonts w:ascii="宋体" w:hAnsi="宋体"/>
          <w:szCs w:val="21"/>
        </w:rPr>
      </w:pPr>
      <w:r>
        <w:rPr>
          <w:rFonts w:hint="eastAsia" w:ascii="宋体" w:hAnsi="宋体"/>
          <w:szCs w:val="21"/>
        </w:rPr>
        <w:t>f）砷含量的测定按</w:t>
      </w:r>
      <w:r>
        <w:rPr>
          <w:rFonts w:ascii="宋体" w:hAnsi="宋体"/>
          <w:szCs w:val="21"/>
        </w:rPr>
        <w:t>GB</w:t>
      </w:r>
      <w:r>
        <w:rPr>
          <w:rFonts w:hint="eastAsia" w:ascii="宋体" w:hAnsi="宋体"/>
          <w:szCs w:val="21"/>
        </w:rPr>
        <w:t>/T 6730.45或</w:t>
      </w:r>
      <w:r>
        <w:rPr>
          <w:rFonts w:ascii="宋体" w:hAnsi="宋体"/>
          <w:szCs w:val="21"/>
        </w:rPr>
        <w:t>GB</w:t>
      </w:r>
      <w:r>
        <w:rPr>
          <w:rFonts w:hint="eastAsia" w:ascii="宋体" w:hAnsi="宋体"/>
          <w:szCs w:val="21"/>
        </w:rPr>
        <w:t>/T 6730.46的规定进行，仲裁按</w:t>
      </w:r>
      <w:r>
        <w:rPr>
          <w:rFonts w:ascii="宋体" w:hAnsi="宋体"/>
          <w:szCs w:val="21"/>
        </w:rPr>
        <w:t>GB</w:t>
      </w:r>
      <w:r>
        <w:rPr>
          <w:rFonts w:hint="eastAsia" w:ascii="宋体" w:hAnsi="宋体"/>
          <w:szCs w:val="21"/>
        </w:rPr>
        <w:t>/T 6730.45的规定进行</w:t>
      </w:r>
      <w:r>
        <w:rPr>
          <w:rFonts w:hint="eastAsia" w:ascii="宋体" w:hAnsi="宋体"/>
        </w:rPr>
        <w:t>。</w:t>
      </w:r>
    </w:p>
    <w:p w14:paraId="7BCB34F8">
      <w:pPr>
        <w:ind w:firstLine="525" w:firstLineChars="250"/>
        <w:rPr>
          <w:rFonts w:ascii="宋体" w:hAnsi="宋体"/>
          <w:szCs w:val="21"/>
        </w:rPr>
      </w:pPr>
      <w:r>
        <w:rPr>
          <w:rFonts w:hint="eastAsia" w:ascii="宋体" w:hAnsi="宋体"/>
          <w:szCs w:val="21"/>
        </w:rPr>
        <w:t>g）铜含量的测定按</w:t>
      </w:r>
      <w:r>
        <w:rPr>
          <w:rFonts w:ascii="宋体" w:hAnsi="宋体"/>
          <w:szCs w:val="21"/>
        </w:rPr>
        <w:t>GB</w:t>
      </w:r>
      <w:r>
        <w:rPr>
          <w:rFonts w:hint="eastAsia" w:ascii="宋体" w:hAnsi="宋体"/>
          <w:szCs w:val="21"/>
        </w:rPr>
        <w:t>/T 6730.35或</w:t>
      </w:r>
      <w:r>
        <w:rPr>
          <w:rFonts w:ascii="宋体" w:hAnsi="宋体"/>
          <w:szCs w:val="21"/>
        </w:rPr>
        <w:t>GB</w:t>
      </w:r>
      <w:r>
        <w:rPr>
          <w:rFonts w:hint="eastAsia" w:ascii="宋体" w:hAnsi="宋体"/>
          <w:szCs w:val="21"/>
        </w:rPr>
        <w:t>/T 6730.36的规定进行，仲裁按</w:t>
      </w:r>
      <w:r>
        <w:rPr>
          <w:rFonts w:ascii="宋体" w:hAnsi="宋体"/>
          <w:szCs w:val="21"/>
        </w:rPr>
        <w:t>GB</w:t>
      </w:r>
      <w:r>
        <w:rPr>
          <w:rFonts w:hint="eastAsia" w:ascii="宋体" w:hAnsi="宋体"/>
          <w:szCs w:val="21"/>
        </w:rPr>
        <w:t>/T 6730.36的规定进行。</w:t>
      </w:r>
    </w:p>
    <w:p w14:paraId="3DB856B6">
      <w:pPr>
        <w:ind w:firstLine="525" w:firstLineChars="250"/>
        <w:rPr>
          <w:rFonts w:ascii="宋体" w:hAnsi="宋体"/>
          <w:szCs w:val="21"/>
        </w:rPr>
      </w:pPr>
      <w:r>
        <w:rPr>
          <w:rFonts w:hint="eastAsia" w:ascii="宋体" w:hAnsi="宋体"/>
          <w:szCs w:val="21"/>
        </w:rPr>
        <w:t>h）锌含量的测定按</w:t>
      </w:r>
      <w:r>
        <w:rPr>
          <w:rFonts w:ascii="宋体" w:hAnsi="宋体"/>
          <w:szCs w:val="21"/>
        </w:rPr>
        <w:t>GB</w:t>
      </w:r>
      <w:r>
        <w:rPr>
          <w:rFonts w:hint="eastAsia" w:ascii="宋体" w:hAnsi="宋体"/>
          <w:szCs w:val="21"/>
        </w:rPr>
        <w:t>/T 6730.53的规定进行。</w:t>
      </w:r>
    </w:p>
    <w:p w14:paraId="0E787674">
      <w:pPr>
        <w:rPr>
          <w:rFonts w:ascii="宋体" w:hAnsi="宋体"/>
          <w:szCs w:val="21"/>
        </w:rPr>
      </w:pPr>
      <w:r>
        <w:rPr>
          <w:rFonts w:hint="eastAsia" w:ascii="黑体" w:hAnsi="宋体" w:eastAsia="黑体"/>
          <w:szCs w:val="21"/>
        </w:rPr>
        <w:t>5.2</w:t>
      </w:r>
      <w:r>
        <w:rPr>
          <w:rFonts w:hint="eastAsia" w:ascii="宋体" w:hAnsi="宋体"/>
          <w:szCs w:val="21"/>
        </w:rPr>
        <w:t xml:space="preserve">  产品水分含量的测定GB/T 6730.2的规定进行。</w:t>
      </w:r>
    </w:p>
    <w:p w14:paraId="11EDA4B1">
      <w:pPr>
        <w:rPr>
          <w:rFonts w:ascii="宋体" w:hAnsi="宋体"/>
          <w:szCs w:val="21"/>
        </w:rPr>
      </w:pPr>
      <w:r>
        <w:rPr>
          <w:rFonts w:hint="eastAsia" w:ascii="黑体" w:hAnsi="宋体" w:eastAsia="黑体"/>
          <w:szCs w:val="21"/>
        </w:rPr>
        <w:t>5.3</w:t>
      </w:r>
      <w:r>
        <w:rPr>
          <w:rFonts w:hint="eastAsia" w:ascii="宋体" w:hAnsi="宋体"/>
          <w:szCs w:val="21"/>
        </w:rPr>
        <w:t xml:space="preserve">  产品的外观质量采用目视法检查。</w:t>
      </w:r>
    </w:p>
    <w:p w14:paraId="57F489DC">
      <w:pPr>
        <w:spacing w:before="156" w:beforeLines="50" w:after="156" w:afterLines="50"/>
        <w:rPr>
          <w:rFonts w:ascii="黑体" w:hAnsi="宋体" w:eastAsia="黑体"/>
        </w:rPr>
      </w:pPr>
      <w:r>
        <w:rPr>
          <w:rFonts w:hint="eastAsia" w:ascii="黑体" w:hAnsi="宋体" w:eastAsia="黑体"/>
        </w:rPr>
        <w:t>6  检验规则</w:t>
      </w:r>
    </w:p>
    <w:p w14:paraId="0181C20F">
      <w:pPr>
        <w:spacing w:before="156" w:beforeLines="50" w:after="156" w:afterLines="50"/>
        <w:rPr>
          <w:rFonts w:ascii="黑体" w:hAnsi="宋体" w:eastAsia="黑体"/>
          <w:szCs w:val="21"/>
        </w:rPr>
      </w:pPr>
      <w:r>
        <w:rPr>
          <w:rFonts w:hint="eastAsia" w:ascii="黑体" w:hAnsi="宋体" w:eastAsia="黑体"/>
          <w:szCs w:val="21"/>
        </w:rPr>
        <w:t>6.1  检查和验收</w:t>
      </w:r>
    </w:p>
    <w:p w14:paraId="709F3A62">
      <w:pPr>
        <w:rPr>
          <w:rFonts w:ascii="宋体" w:hAnsi="宋体"/>
          <w:szCs w:val="21"/>
        </w:rPr>
      </w:pPr>
      <w:r>
        <w:rPr>
          <w:rFonts w:hint="eastAsia" w:ascii="黑体" w:hAnsi="宋体" w:eastAsia="黑体"/>
          <w:szCs w:val="21"/>
        </w:rPr>
        <w:t xml:space="preserve">6.1.1  </w:t>
      </w:r>
      <w:r>
        <w:rPr>
          <w:rFonts w:hint="eastAsia" w:ascii="宋体" w:hAnsi="宋体"/>
          <w:szCs w:val="21"/>
        </w:rPr>
        <w:t>产品由供方进行检验，产品质量应符合本文件的规定及订货单要求。</w:t>
      </w:r>
    </w:p>
    <w:p w14:paraId="297FF833">
      <w:pPr>
        <w:rPr>
          <w:rFonts w:ascii="宋体" w:hAnsi="宋体"/>
          <w:szCs w:val="21"/>
        </w:rPr>
      </w:pPr>
      <w:r>
        <w:rPr>
          <w:rFonts w:hint="eastAsia" w:ascii="黑体" w:hAnsi="宋体" w:eastAsia="黑体"/>
          <w:szCs w:val="21"/>
        </w:rPr>
        <w:t>6.1.2</w:t>
      </w:r>
      <w:r>
        <w:rPr>
          <w:rFonts w:hint="eastAsia" w:ascii="宋体" w:hAnsi="宋体"/>
          <w:szCs w:val="21"/>
        </w:rPr>
        <w:t xml:space="preserve">  需方可按照本标准的规定对收到的产品进行检查检验。如检验结果与本文件（或订货单）的规定不符时，应在收到产品之日起，15天内以书面形式向供方提出，供需双方协商解决；</w:t>
      </w:r>
      <w:r>
        <w:rPr>
          <w:rFonts w:hint="eastAsia" w:ascii="宋体" w:hAnsi="宋体"/>
        </w:rPr>
        <w:t>如需仲裁，供需双方应在实施仲裁前约定仲裁规则。</w:t>
      </w:r>
    </w:p>
    <w:p w14:paraId="78B4982C">
      <w:pPr>
        <w:spacing w:before="156" w:beforeLines="50" w:after="156" w:afterLines="50"/>
        <w:rPr>
          <w:rFonts w:ascii="黑体" w:hAnsi="宋体" w:eastAsia="黑体"/>
          <w:szCs w:val="21"/>
        </w:rPr>
      </w:pPr>
      <w:r>
        <w:rPr>
          <w:rFonts w:hint="eastAsia" w:ascii="黑体" w:hAnsi="宋体" w:eastAsia="黑体"/>
          <w:szCs w:val="21"/>
        </w:rPr>
        <w:t>6.2  组批</w:t>
      </w:r>
    </w:p>
    <w:p w14:paraId="091FCFE4">
      <w:pPr>
        <w:ind w:firstLine="420"/>
        <w:rPr>
          <w:rFonts w:ascii="黑体" w:hAnsi="宋体" w:eastAsia="黑体"/>
          <w:szCs w:val="21"/>
        </w:rPr>
      </w:pPr>
      <w:r>
        <w:rPr>
          <w:rFonts w:hint="eastAsia" w:ascii="宋体" w:hAnsi="宋体"/>
          <w:szCs w:val="21"/>
        </w:rPr>
        <w:t>产品应成批交货，每批应由同一品种、品级组成，每批质量不超过1000t。</w:t>
      </w:r>
    </w:p>
    <w:p w14:paraId="4D48C228">
      <w:pPr>
        <w:spacing w:before="156" w:beforeLines="50" w:after="156" w:afterLines="50"/>
        <w:rPr>
          <w:rFonts w:ascii="黑体" w:hAnsi="宋体" w:eastAsia="黑体"/>
          <w:szCs w:val="21"/>
        </w:rPr>
      </w:pPr>
      <w:r>
        <w:rPr>
          <w:rFonts w:hint="eastAsia" w:ascii="黑体" w:hAnsi="宋体" w:eastAsia="黑体"/>
          <w:szCs w:val="21"/>
        </w:rPr>
        <w:t>6.3  检验项目</w:t>
      </w:r>
    </w:p>
    <w:p w14:paraId="2ED335D1">
      <w:pPr>
        <w:pStyle w:val="12"/>
        <w:ind w:firstLine="420"/>
        <w:rPr>
          <w:rFonts w:hAnsi="宋体"/>
          <w:sz w:val="21"/>
          <w:szCs w:val="21"/>
        </w:rPr>
      </w:pPr>
      <w:r>
        <w:rPr>
          <w:rFonts w:hint="eastAsia" w:hAnsi="宋体"/>
          <w:sz w:val="21"/>
          <w:szCs w:val="21"/>
        </w:rPr>
        <w:t>每批产品均应进行外观质量、水分、全铁含量的检验；杂质元素的检验项目和检验周期由供需双方协商确定。</w:t>
      </w:r>
    </w:p>
    <w:p w14:paraId="7B97A621">
      <w:pPr>
        <w:spacing w:before="156" w:beforeLines="50" w:after="156" w:afterLines="50"/>
        <w:rPr>
          <w:rFonts w:ascii="黑体" w:hAnsi="宋体" w:eastAsia="黑体"/>
          <w:szCs w:val="21"/>
        </w:rPr>
      </w:pPr>
      <w:r>
        <w:rPr>
          <w:rFonts w:hint="eastAsia" w:ascii="黑体" w:hAnsi="宋体" w:eastAsia="黑体"/>
          <w:szCs w:val="21"/>
        </w:rPr>
        <w:t>6.4  取样和制样</w:t>
      </w:r>
    </w:p>
    <w:p w14:paraId="5827AD90">
      <w:pPr>
        <w:rPr>
          <w:rFonts w:ascii="宋体" w:hAnsi="宋体"/>
          <w:szCs w:val="21"/>
        </w:rPr>
      </w:pPr>
      <w:r>
        <w:rPr>
          <w:rFonts w:hint="eastAsia" w:ascii="黑体" w:hAnsi="宋体" w:eastAsia="黑体"/>
          <w:szCs w:val="21"/>
        </w:rPr>
        <w:t>6.4.1</w:t>
      </w:r>
      <w:r>
        <w:rPr>
          <w:rFonts w:hint="eastAsia" w:ascii="宋体" w:hAnsi="宋体"/>
          <w:szCs w:val="21"/>
        </w:rPr>
        <w:t xml:space="preserve">  取样、制样按GB/T 2460的规定进行。</w:t>
      </w:r>
    </w:p>
    <w:p w14:paraId="3AC9725D">
      <w:pPr>
        <w:tabs>
          <w:tab w:val="left" w:pos="8505"/>
        </w:tabs>
        <w:rPr>
          <w:rFonts w:ascii="宋体" w:hAnsi="宋体"/>
          <w:szCs w:val="21"/>
        </w:rPr>
      </w:pPr>
      <w:r>
        <w:rPr>
          <w:rFonts w:hint="eastAsia" w:ascii="黑体" w:hAnsi="宋体" w:eastAsia="黑体"/>
          <w:szCs w:val="21"/>
        </w:rPr>
        <w:t xml:space="preserve">6.4.2  </w:t>
      </w:r>
      <w:r>
        <w:rPr>
          <w:rFonts w:hint="eastAsia" w:ascii="宋体" w:hAnsi="宋体"/>
          <w:szCs w:val="21"/>
        </w:rPr>
        <w:t>将所制样品分成4份：一份为供方样，一份为需方样，一份为备查样,一份为仲裁样；备查样、仲裁样由供方或双方协商的检验方保存，保存期</w:t>
      </w:r>
      <w:r>
        <w:rPr>
          <w:rFonts w:hint="eastAsia" w:ascii="宋体" w:hAnsi="宋体"/>
          <w:szCs w:val="21"/>
          <w:highlight w:val="yellow"/>
        </w:rPr>
        <w:t>60</w:t>
      </w:r>
      <w:r>
        <w:rPr>
          <w:rFonts w:hint="eastAsia" w:ascii="宋体" w:hAnsi="宋体"/>
          <w:szCs w:val="21"/>
        </w:rPr>
        <w:t>天。</w:t>
      </w:r>
    </w:p>
    <w:p w14:paraId="0BD8FC7A">
      <w:pPr>
        <w:spacing w:before="156" w:beforeLines="50" w:after="156" w:afterLines="50"/>
        <w:rPr>
          <w:rFonts w:ascii="黑体" w:hAnsi="宋体" w:eastAsia="黑体"/>
          <w:szCs w:val="21"/>
        </w:rPr>
      </w:pPr>
      <w:r>
        <w:rPr>
          <w:rFonts w:hint="eastAsia" w:ascii="黑体" w:hAnsi="宋体" w:eastAsia="黑体"/>
          <w:szCs w:val="21"/>
        </w:rPr>
        <w:t>6.5   检验结果的判定</w:t>
      </w:r>
    </w:p>
    <w:p w14:paraId="5F5044F9">
      <w:pPr>
        <w:rPr>
          <w:rFonts w:ascii="宋体" w:hAnsi="宋体"/>
          <w:szCs w:val="21"/>
        </w:rPr>
      </w:pPr>
      <w:r>
        <w:rPr>
          <w:rFonts w:hint="eastAsia" w:ascii="黑体" w:hAnsi="宋体" w:eastAsia="黑体"/>
          <w:szCs w:val="21"/>
        </w:rPr>
        <w:t>6.5.1</w:t>
      </w:r>
      <w:r>
        <w:rPr>
          <w:rFonts w:hint="eastAsia" w:ascii="宋体" w:hAnsi="宋体"/>
          <w:szCs w:val="21"/>
        </w:rPr>
        <w:t xml:space="preserve">  同一检验批内，当产品不同品种、品级混装时，则该批全铁含量按最低品位作为最终结果。</w:t>
      </w:r>
    </w:p>
    <w:p w14:paraId="72B1009D">
      <w:pPr>
        <w:rPr>
          <w:rFonts w:ascii="宋体" w:hAnsi="宋体"/>
          <w:szCs w:val="21"/>
        </w:rPr>
      </w:pPr>
      <w:r>
        <w:rPr>
          <w:rFonts w:hint="eastAsia" w:ascii="黑体" w:hAnsi="宋体" w:eastAsia="黑体"/>
          <w:szCs w:val="21"/>
        </w:rPr>
        <w:t xml:space="preserve">6.5.2 </w:t>
      </w:r>
      <w:r>
        <w:rPr>
          <w:rFonts w:hint="eastAsia" w:ascii="宋体" w:hAnsi="宋体"/>
          <w:szCs w:val="21"/>
        </w:rPr>
        <w:t xml:space="preserve"> 同一检验批内，发现产品颜色明显不一致或混入其他外来夹杂物，则判该批不合格。</w:t>
      </w:r>
    </w:p>
    <w:p w14:paraId="13DC92B8">
      <w:pPr>
        <w:rPr>
          <w:rFonts w:ascii="宋体" w:hAnsi="宋体"/>
          <w:szCs w:val="21"/>
        </w:rPr>
      </w:pPr>
      <w:r>
        <w:rPr>
          <w:rFonts w:hint="eastAsia" w:ascii="黑体" w:hAnsi="宋体" w:eastAsia="黑体"/>
          <w:szCs w:val="21"/>
        </w:rPr>
        <w:t xml:space="preserve">6.5.3  </w:t>
      </w:r>
      <w:r>
        <w:rPr>
          <w:rFonts w:hint="eastAsia" w:ascii="宋体" w:hAnsi="宋体"/>
          <w:szCs w:val="21"/>
        </w:rPr>
        <w:t>产品水分不符合要求规定，则判该批不合格。</w:t>
      </w:r>
    </w:p>
    <w:p w14:paraId="5EB40A82">
      <w:pPr>
        <w:rPr>
          <w:rFonts w:ascii="宋体" w:hAnsi="宋体"/>
          <w:szCs w:val="21"/>
        </w:rPr>
      </w:pPr>
      <w:r>
        <w:rPr>
          <w:rFonts w:hint="eastAsia" w:ascii="黑体" w:hAnsi="宋体" w:eastAsia="黑体"/>
          <w:szCs w:val="21"/>
        </w:rPr>
        <w:t xml:space="preserve">6.5.4  </w:t>
      </w:r>
      <w:r>
        <w:rPr>
          <w:rFonts w:hint="eastAsia" w:ascii="宋体" w:hAnsi="宋体"/>
          <w:szCs w:val="21"/>
        </w:rPr>
        <w:t>检验结果的数值按GB/T 8170的规定进行修约，并采用修约值比较法判定。</w:t>
      </w:r>
    </w:p>
    <w:p w14:paraId="733D824D">
      <w:pPr>
        <w:spacing w:before="156" w:beforeLines="50" w:after="156" w:afterLines="50"/>
        <w:rPr>
          <w:rFonts w:ascii="黑体" w:hAnsi="宋体" w:eastAsia="黑体"/>
        </w:rPr>
      </w:pPr>
      <w:r>
        <w:rPr>
          <w:rFonts w:hint="eastAsia" w:ascii="黑体" w:hAnsi="宋体" w:eastAsia="黑体"/>
        </w:rPr>
        <w:t>7  包装、运输、贮存及随行文件</w:t>
      </w:r>
    </w:p>
    <w:p w14:paraId="107A6D58">
      <w:pPr>
        <w:spacing w:before="156" w:beforeLines="50" w:after="156" w:afterLines="50"/>
        <w:rPr>
          <w:rFonts w:ascii="黑体" w:hAnsi="宋体" w:eastAsia="黑体"/>
          <w:szCs w:val="21"/>
        </w:rPr>
      </w:pPr>
      <w:r>
        <w:rPr>
          <w:rFonts w:hint="eastAsia" w:ascii="黑体" w:hAnsi="宋体" w:eastAsia="黑体"/>
          <w:szCs w:val="21"/>
        </w:rPr>
        <w:t>7.1  包装、运输、贮存</w:t>
      </w:r>
    </w:p>
    <w:p w14:paraId="23B47C4F">
      <w:pPr>
        <w:spacing w:line="320" w:lineRule="exact"/>
        <w:rPr>
          <w:rFonts w:ascii="宋体" w:hAnsi="宋体" w:cs="宋体"/>
          <w:szCs w:val="18"/>
        </w:rPr>
      </w:pPr>
      <w:r>
        <w:rPr>
          <w:rFonts w:hint="eastAsia" w:ascii="黑体" w:hAnsi="黑体" w:eastAsia="黑体" w:cs="黑体"/>
          <w:szCs w:val="18"/>
        </w:rPr>
        <w:t xml:space="preserve">7.1.1  </w:t>
      </w:r>
      <w:r>
        <w:rPr>
          <w:rFonts w:hint="eastAsia" w:ascii="宋体" w:hAnsi="宋体" w:cs="宋体"/>
          <w:szCs w:val="18"/>
        </w:rPr>
        <w:t>产品为散装，或由供需双方协商其它包装方式。</w:t>
      </w:r>
    </w:p>
    <w:p w14:paraId="40BAAB1B">
      <w:pPr>
        <w:spacing w:line="320" w:lineRule="exact"/>
        <w:rPr>
          <w:rFonts w:ascii="宋体" w:hAnsi="宋体" w:cs="宋体"/>
          <w:szCs w:val="18"/>
        </w:rPr>
      </w:pPr>
      <w:r>
        <w:rPr>
          <w:rFonts w:hint="eastAsia" w:ascii="黑体" w:hAnsi="黑体" w:eastAsia="黑体" w:cs="黑体"/>
          <w:szCs w:val="18"/>
        </w:rPr>
        <w:t xml:space="preserve">7.1.2  </w:t>
      </w:r>
      <w:r>
        <w:rPr>
          <w:rFonts w:hint="eastAsia" w:ascii="宋体" w:hAnsi="宋体" w:cs="宋体"/>
          <w:szCs w:val="18"/>
        </w:rPr>
        <w:t>产品在运输过程中应有防水、防散落、防飞扬等措施。</w:t>
      </w:r>
    </w:p>
    <w:p w14:paraId="5D6FE2C0">
      <w:pPr>
        <w:spacing w:line="320" w:lineRule="exact"/>
        <w:rPr>
          <w:rFonts w:ascii="宋体" w:hAnsi="宋体" w:cs="宋体"/>
          <w:szCs w:val="18"/>
        </w:rPr>
      </w:pPr>
      <w:r>
        <w:rPr>
          <w:rFonts w:hint="eastAsia" w:ascii="黑体" w:hAnsi="黑体" w:eastAsia="黑体" w:cs="黑体"/>
          <w:szCs w:val="18"/>
        </w:rPr>
        <w:t xml:space="preserve">7.1.3  </w:t>
      </w:r>
      <w:r>
        <w:rPr>
          <w:rFonts w:hint="eastAsia" w:ascii="宋体" w:hAnsi="宋体" w:cs="宋体"/>
          <w:szCs w:val="18"/>
        </w:rPr>
        <w:t>不同品种、品级的产品应分开堆放，防暴晒、防雨淋、防污染、防渗漏。</w:t>
      </w:r>
    </w:p>
    <w:p w14:paraId="004E0A95">
      <w:pPr>
        <w:spacing w:before="156" w:beforeLines="50" w:after="156" w:afterLines="50"/>
        <w:rPr>
          <w:rFonts w:ascii="黑体" w:hAnsi="宋体" w:eastAsia="黑体"/>
          <w:szCs w:val="21"/>
        </w:rPr>
      </w:pPr>
      <w:r>
        <w:rPr>
          <w:rFonts w:hint="eastAsia" w:ascii="黑体" w:hAnsi="宋体" w:eastAsia="黑体"/>
          <w:szCs w:val="21"/>
        </w:rPr>
        <w:t>7.2  随行文件</w:t>
      </w:r>
    </w:p>
    <w:p w14:paraId="627F7D19">
      <w:pPr>
        <w:pStyle w:val="12"/>
        <w:ind w:firstLine="420"/>
        <w:rPr>
          <w:rFonts w:hAnsi="宋体"/>
          <w:sz w:val="21"/>
          <w:szCs w:val="21"/>
        </w:rPr>
      </w:pPr>
      <w:r>
        <w:rPr>
          <w:rFonts w:hint="eastAsia" w:hAnsi="宋体"/>
          <w:sz w:val="21"/>
          <w:szCs w:val="21"/>
        </w:rPr>
        <w:t>每批产品应附有随行文件，其中除应包括供方信息、产品信息、本文件编号、出厂日期或包装日期外，还宜包括：</w:t>
      </w:r>
    </w:p>
    <w:p w14:paraId="0CEE0567">
      <w:pPr>
        <w:numPr>
          <w:ilvl w:val="0"/>
          <w:numId w:val="1"/>
        </w:numPr>
        <w:ind w:firstLine="405"/>
        <w:rPr>
          <w:rFonts w:ascii="宋体" w:hAnsi="宋体"/>
          <w:szCs w:val="18"/>
        </w:rPr>
      </w:pPr>
      <w:r>
        <w:rPr>
          <w:rFonts w:hint="eastAsia" w:ascii="宋体" w:hAnsi="宋体"/>
          <w:szCs w:val="18"/>
        </w:rPr>
        <w:t>产品质量保证书：</w:t>
      </w:r>
    </w:p>
    <w:p w14:paraId="29FAEAFF">
      <w:pPr>
        <w:rPr>
          <w:rFonts w:ascii="宋体" w:hAnsi="宋体"/>
          <w:szCs w:val="18"/>
        </w:rPr>
      </w:pPr>
      <w:r>
        <w:rPr>
          <w:rFonts w:hint="eastAsia" w:ascii="宋体" w:hAnsi="宋体"/>
          <w:szCs w:val="18"/>
        </w:rPr>
        <w:t xml:space="preserve">      </w:t>
      </w:r>
      <w:r>
        <w:rPr>
          <w:rFonts w:hint="eastAsia" w:ascii="宋体" w:hAnsi="宋体" w:cs="宋体"/>
          <w:szCs w:val="21"/>
        </w:rPr>
        <w:t>·</w:t>
      </w:r>
      <w:r>
        <w:rPr>
          <w:rFonts w:hint="eastAsia" w:ascii="宋体" w:hAnsi="宋体"/>
          <w:szCs w:val="18"/>
        </w:rPr>
        <w:t>产品的主要性能及技术参数；</w:t>
      </w:r>
    </w:p>
    <w:p w14:paraId="38D607D6">
      <w:pPr>
        <w:rPr>
          <w:rFonts w:ascii="宋体" w:hAnsi="宋体" w:cs="宋体"/>
          <w:szCs w:val="18"/>
        </w:rPr>
      </w:pPr>
      <w:r>
        <w:rPr>
          <w:rFonts w:hint="eastAsia" w:ascii="宋体" w:hAnsi="宋体"/>
          <w:szCs w:val="18"/>
        </w:rPr>
        <w:t xml:space="preserve">      </w:t>
      </w:r>
      <w:r>
        <w:rPr>
          <w:rFonts w:hint="eastAsia" w:ascii="宋体" w:hAnsi="宋体" w:cs="宋体"/>
          <w:szCs w:val="21"/>
        </w:rPr>
        <w:t>·</w:t>
      </w:r>
      <w:r>
        <w:rPr>
          <w:rFonts w:hint="eastAsia" w:ascii="宋体" w:hAnsi="宋体" w:cs="宋体"/>
          <w:szCs w:val="18"/>
        </w:rPr>
        <w:t>产品特点；</w:t>
      </w:r>
    </w:p>
    <w:p w14:paraId="651E15CE">
      <w:pPr>
        <w:tabs>
          <w:tab w:val="left" w:pos="952"/>
        </w:tabs>
        <w:ind w:firstLine="630" w:firstLineChars="300"/>
        <w:rPr>
          <w:rFonts w:ascii="宋体" w:hAnsi="宋体" w:cs="宋体"/>
          <w:szCs w:val="18"/>
        </w:rPr>
      </w:pPr>
      <w:r>
        <w:rPr>
          <w:rFonts w:hint="eastAsia" w:ascii="宋体" w:hAnsi="宋体" w:cs="宋体"/>
          <w:szCs w:val="18"/>
        </w:rPr>
        <w:t>·对产品质量所负的责任；</w:t>
      </w:r>
    </w:p>
    <w:p w14:paraId="24B9BBF2">
      <w:pPr>
        <w:tabs>
          <w:tab w:val="left" w:pos="952"/>
        </w:tabs>
        <w:ind w:firstLine="630" w:firstLineChars="300"/>
        <w:rPr>
          <w:rFonts w:ascii="宋体" w:hAnsi="宋体" w:cs="宋体"/>
          <w:szCs w:val="18"/>
        </w:rPr>
      </w:pPr>
      <w:r>
        <w:rPr>
          <w:rFonts w:hint="eastAsia" w:ascii="宋体" w:hAnsi="宋体" w:cs="宋体"/>
          <w:szCs w:val="18"/>
        </w:rPr>
        <w:t>·产品获得的质量认证及带供方技术监督部门检印的各项分析检验结果。</w:t>
      </w:r>
    </w:p>
    <w:p w14:paraId="5AEABF7F">
      <w:pPr>
        <w:numPr>
          <w:ilvl w:val="0"/>
          <w:numId w:val="1"/>
        </w:numPr>
        <w:ind w:firstLine="405"/>
        <w:rPr>
          <w:rFonts w:ascii="宋体" w:hAnsi="宋体"/>
          <w:szCs w:val="18"/>
        </w:rPr>
      </w:pPr>
      <w:r>
        <w:rPr>
          <w:rFonts w:hint="eastAsia" w:ascii="宋体" w:hAnsi="宋体"/>
          <w:szCs w:val="18"/>
        </w:rPr>
        <w:t>产品合格证：</w:t>
      </w:r>
    </w:p>
    <w:p w14:paraId="31CB0819">
      <w:pPr>
        <w:ind w:firstLine="630" w:firstLineChars="300"/>
        <w:rPr>
          <w:rFonts w:ascii="宋体" w:hAnsi="宋体"/>
          <w:szCs w:val="18"/>
        </w:rPr>
      </w:pPr>
      <w:r>
        <w:rPr>
          <w:rFonts w:hint="eastAsia" w:ascii="宋体" w:hAnsi="宋体" w:cs="宋体"/>
          <w:szCs w:val="18"/>
        </w:rPr>
        <w:t>·</w:t>
      </w:r>
      <w:r>
        <w:rPr>
          <w:rFonts w:hint="eastAsia" w:ascii="宋体" w:hAnsi="宋体"/>
          <w:szCs w:val="18"/>
        </w:rPr>
        <w:t>检验项目及其结果或检验结论；</w:t>
      </w:r>
    </w:p>
    <w:p w14:paraId="6E20878C">
      <w:pPr>
        <w:rPr>
          <w:rFonts w:ascii="宋体" w:hAnsi="宋体" w:cs="宋体"/>
          <w:szCs w:val="18"/>
        </w:rPr>
      </w:pPr>
      <w:r>
        <w:rPr>
          <w:rFonts w:hint="eastAsia" w:ascii="宋体" w:hAnsi="宋体"/>
          <w:szCs w:val="18"/>
        </w:rPr>
        <w:t xml:space="preserve">      </w:t>
      </w:r>
      <w:r>
        <w:rPr>
          <w:rFonts w:hint="eastAsia" w:ascii="宋体" w:hAnsi="宋体" w:cs="宋体"/>
          <w:szCs w:val="18"/>
        </w:rPr>
        <w:t>·批量或批号；</w:t>
      </w:r>
    </w:p>
    <w:p w14:paraId="15370933">
      <w:pPr>
        <w:tabs>
          <w:tab w:val="left" w:pos="952"/>
        </w:tabs>
        <w:ind w:firstLine="630" w:firstLineChars="300"/>
        <w:rPr>
          <w:rFonts w:ascii="宋体" w:hAnsi="宋体" w:cs="宋体"/>
          <w:szCs w:val="18"/>
        </w:rPr>
      </w:pPr>
      <w:r>
        <w:rPr>
          <w:rFonts w:hint="eastAsia" w:ascii="宋体" w:hAnsi="宋体" w:cs="宋体"/>
          <w:szCs w:val="18"/>
        </w:rPr>
        <w:t>·检验日期；</w:t>
      </w:r>
    </w:p>
    <w:p w14:paraId="59E11194">
      <w:pPr>
        <w:ind w:firstLine="630" w:firstLineChars="300"/>
        <w:rPr>
          <w:rFonts w:ascii="宋体" w:hAnsi="宋体"/>
          <w:szCs w:val="18"/>
        </w:rPr>
      </w:pPr>
      <w:r>
        <w:rPr>
          <w:rFonts w:hint="eastAsia" w:ascii="宋体" w:hAnsi="宋体" w:cs="宋体"/>
          <w:szCs w:val="18"/>
        </w:rPr>
        <w:t>·检验员签名或盖章。</w:t>
      </w:r>
    </w:p>
    <w:p w14:paraId="58E8142D">
      <w:pPr>
        <w:ind w:firstLine="405"/>
        <w:rPr>
          <w:rFonts w:ascii="宋体" w:hAnsi="宋体"/>
          <w:szCs w:val="18"/>
        </w:rPr>
      </w:pPr>
      <w:r>
        <w:rPr>
          <w:rFonts w:ascii="宋体" w:hAnsi="宋体"/>
          <w:szCs w:val="18"/>
        </w:rPr>
        <w:t xml:space="preserve">c) </w:t>
      </w:r>
      <w:r>
        <w:rPr>
          <w:rFonts w:hint="eastAsia" w:ascii="宋体" w:hAnsi="宋体"/>
          <w:szCs w:val="18"/>
        </w:rPr>
        <w:t xml:space="preserve"> 产品质量控制过程中的检验报告及成品检验报告；</w:t>
      </w:r>
      <w:r>
        <w:rPr>
          <w:rFonts w:ascii="宋体" w:hAnsi="宋体"/>
          <w:szCs w:val="18"/>
        </w:rPr>
        <w:t xml:space="preserve"> </w:t>
      </w:r>
    </w:p>
    <w:p w14:paraId="6921E0B1">
      <w:pPr>
        <w:ind w:firstLine="420" w:firstLineChars="200"/>
        <w:rPr>
          <w:rFonts w:ascii="宋体" w:hAnsi="宋体"/>
          <w:szCs w:val="18"/>
        </w:rPr>
      </w:pPr>
      <w:r>
        <w:rPr>
          <w:rFonts w:hint="eastAsia" w:ascii="宋体" w:hAnsi="宋体"/>
          <w:szCs w:val="18"/>
        </w:rPr>
        <w:t>d)  产品使用说明：正确搬运、使用、贮存方法等；</w:t>
      </w:r>
    </w:p>
    <w:p w14:paraId="42A3D10D">
      <w:pPr>
        <w:ind w:firstLine="420" w:firstLineChars="200"/>
        <w:rPr>
          <w:rFonts w:ascii="宋体" w:hAnsi="宋体"/>
          <w:szCs w:val="18"/>
        </w:rPr>
      </w:pPr>
      <w:r>
        <w:rPr>
          <w:rFonts w:hint="eastAsia" w:ascii="宋体" w:hAnsi="宋体"/>
          <w:szCs w:val="18"/>
        </w:rPr>
        <w:t>e</w:t>
      </w:r>
      <w:r>
        <w:rPr>
          <w:rFonts w:ascii="宋体" w:hAnsi="宋体"/>
          <w:szCs w:val="18"/>
        </w:rPr>
        <w:t xml:space="preserve">) </w:t>
      </w:r>
      <w:r>
        <w:rPr>
          <w:rFonts w:hint="eastAsia" w:ascii="宋体" w:hAnsi="宋体"/>
          <w:szCs w:val="18"/>
        </w:rPr>
        <w:t xml:space="preserve"> 其他。</w:t>
      </w:r>
    </w:p>
    <w:p w14:paraId="12B4C949">
      <w:pPr>
        <w:spacing w:before="156" w:beforeLines="50" w:after="156" w:afterLines="50"/>
        <w:rPr>
          <w:rFonts w:ascii="黑体" w:hAnsi="宋体" w:eastAsia="黑体"/>
        </w:rPr>
      </w:pPr>
      <w:r>
        <w:rPr>
          <w:rFonts w:hint="eastAsia" w:ascii="黑体" w:hAnsi="宋体" w:eastAsia="黑体"/>
        </w:rPr>
        <w:t>8  订货单内容</w:t>
      </w:r>
    </w:p>
    <w:p w14:paraId="11C41E06">
      <w:pPr>
        <w:pStyle w:val="30"/>
        <w:spacing w:before="0" w:beforeLines="0" w:after="0" w:afterLines="0"/>
        <w:ind w:firstLine="420" w:firstLineChars="200"/>
        <w:rPr>
          <w:rFonts w:ascii="宋体" w:hAnsi="宋体" w:eastAsia="宋体"/>
        </w:rPr>
      </w:pPr>
      <w:r>
        <w:rPr>
          <w:rFonts w:hint="eastAsia" w:ascii="宋体" w:hAnsi="宋体" w:eastAsia="宋体"/>
        </w:rPr>
        <w:t>需方可根据自身的需要，在订购本文件所列产品的订货单内，列出如下内容</w:t>
      </w:r>
      <w:r>
        <w:rPr>
          <w:rFonts w:ascii="宋体" w:hAnsi="宋体" w:eastAsia="宋体"/>
        </w:rPr>
        <w:t xml:space="preserve">： </w:t>
      </w:r>
    </w:p>
    <w:p w14:paraId="364E0343">
      <w:pPr>
        <w:pStyle w:val="30"/>
        <w:spacing w:before="0" w:beforeLines="0" w:after="0" w:afterLines="0"/>
        <w:ind w:firstLine="420" w:firstLineChars="200"/>
        <w:rPr>
          <w:rFonts w:ascii="宋体" w:hAnsi="宋体" w:eastAsia="宋体"/>
        </w:rPr>
      </w:pPr>
      <w:r>
        <w:rPr>
          <w:rFonts w:hint="eastAsia" w:ascii="宋体" w:hAnsi="宋体" w:eastAsia="宋体"/>
        </w:rPr>
        <w:t>a)</w:t>
      </w:r>
      <w:r>
        <w:rPr>
          <w:rFonts w:ascii="宋体" w:hAnsi="宋体" w:eastAsia="宋体"/>
        </w:rPr>
        <w:t xml:space="preserve"> 产品名称</w:t>
      </w:r>
      <w:r>
        <w:rPr>
          <w:rFonts w:hint="eastAsia" w:ascii="宋体" w:hAnsi="宋体" w:eastAsia="宋体"/>
        </w:rPr>
        <w:t>；</w:t>
      </w:r>
    </w:p>
    <w:p w14:paraId="47338974">
      <w:pPr>
        <w:pStyle w:val="30"/>
        <w:spacing w:before="0" w:beforeLines="0" w:after="0" w:afterLines="0"/>
        <w:ind w:firstLine="420" w:firstLineChars="200"/>
        <w:rPr>
          <w:rFonts w:ascii="宋体" w:hAnsi="宋体" w:eastAsia="宋体"/>
        </w:rPr>
      </w:pPr>
      <w:r>
        <w:rPr>
          <w:rFonts w:hint="eastAsia" w:ascii="宋体" w:hAnsi="宋体" w:eastAsia="宋体"/>
        </w:rPr>
        <w:t>b)</w:t>
      </w:r>
      <w:r>
        <w:rPr>
          <w:rFonts w:ascii="宋体" w:hAnsi="宋体" w:eastAsia="宋体"/>
        </w:rPr>
        <w:t xml:space="preserve"> 品级</w:t>
      </w:r>
      <w:r>
        <w:rPr>
          <w:rFonts w:hint="eastAsia" w:ascii="宋体" w:hAnsi="宋体" w:eastAsia="宋体"/>
        </w:rPr>
        <w:t>；</w:t>
      </w:r>
    </w:p>
    <w:p w14:paraId="3EEE30F2">
      <w:pPr>
        <w:pStyle w:val="30"/>
        <w:spacing w:before="0" w:beforeLines="0" w:after="0" w:afterLines="0"/>
        <w:ind w:firstLine="420" w:firstLineChars="200"/>
        <w:rPr>
          <w:rFonts w:ascii="宋体" w:hAnsi="宋体" w:eastAsia="宋体"/>
        </w:rPr>
      </w:pPr>
      <w:r>
        <w:rPr>
          <w:rFonts w:hint="eastAsia" w:ascii="宋体" w:hAnsi="宋体" w:eastAsia="宋体"/>
        </w:rPr>
        <w:t>c)</w:t>
      </w:r>
      <w:r>
        <w:rPr>
          <w:rFonts w:ascii="宋体" w:hAnsi="宋体" w:eastAsia="宋体"/>
        </w:rPr>
        <w:t xml:space="preserve"> 杂质含量的特殊要求</w:t>
      </w:r>
      <w:r>
        <w:rPr>
          <w:rFonts w:hint="eastAsia" w:ascii="宋体" w:hAnsi="宋体" w:eastAsia="宋体"/>
        </w:rPr>
        <w:t>；</w:t>
      </w:r>
    </w:p>
    <w:p w14:paraId="32267F5F">
      <w:pPr>
        <w:pStyle w:val="30"/>
        <w:spacing w:before="0" w:beforeLines="0" w:after="0" w:afterLines="0"/>
        <w:ind w:firstLine="420" w:firstLineChars="200"/>
        <w:rPr>
          <w:rFonts w:ascii="宋体" w:hAnsi="宋体" w:eastAsia="宋体"/>
        </w:rPr>
      </w:pPr>
      <w:r>
        <w:rPr>
          <w:rFonts w:hint="eastAsia" w:ascii="宋体" w:hAnsi="宋体" w:eastAsia="宋体"/>
        </w:rPr>
        <w:t>d)</w:t>
      </w:r>
      <w:r>
        <w:rPr>
          <w:rFonts w:ascii="宋体" w:hAnsi="宋体" w:eastAsia="宋体"/>
        </w:rPr>
        <w:t xml:space="preserve"> 净重</w:t>
      </w:r>
      <w:r>
        <w:rPr>
          <w:rFonts w:hint="eastAsia" w:ascii="宋体" w:hAnsi="宋体" w:eastAsia="宋体"/>
        </w:rPr>
        <w:t>；</w:t>
      </w:r>
    </w:p>
    <w:p w14:paraId="7DE9B0D3">
      <w:pPr>
        <w:pStyle w:val="30"/>
        <w:spacing w:before="0" w:beforeLines="0" w:after="0" w:afterLines="0"/>
        <w:ind w:firstLine="420" w:firstLineChars="200"/>
        <w:rPr>
          <w:rFonts w:ascii="宋体" w:hAnsi="宋体" w:eastAsia="宋体"/>
        </w:rPr>
      </w:pPr>
      <w:r>
        <w:rPr>
          <w:rFonts w:hint="eastAsia" w:ascii="宋体" w:hAnsi="宋体" w:eastAsia="宋体"/>
        </w:rPr>
        <w:t>e)</w:t>
      </w:r>
      <w:r>
        <w:rPr>
          <w:rFonts w:ascii="宋体" w:hAnsi="宋体" w:eastAsia="宋体"/>
        </w:rPr>
        <w:t xml:space="preserve"> 本</w:t>
      </w:r>
      <w:r>
        <w:rPr>
          <w:rFonts w:hint="eastAsia" w:ascii="宋体" w:hAnsi="宋体" w:eastAsia="宋体"/>
        </w:rPr>
        <w:t>文件</w:t>
      </w:r>
      <w:r>
        <w:rPr>
          <w:rFonts w:ascii="宋体" w:hAnsi="宋体" w:eastAsia="宋体"/>
        </w:rPr>
        <w:t>编号</w:t>
      </w:r>
      <w:r>
        <w:rPr>
          <w:rFonts w:hint="eastAsia" w:ascii="宋体" w:hAnsi="宋体" w:eastAsia="宋体"/>
        </w:rPr>
        <w:t>；</w:t>
      </w:r>
    </w:p>
    <w:p w14:paraId="6E59A855">
      <w:pPr>
        <w:pStyle w:val="30"/>
        <w:spacing w:before="0" w:beforeLines="0" w:after="0" w:afterLines="0"/>
        <w:ind w:firstLine="420" w:firstLineChars="200"/>
        <w:rPr>
          <w:rFonts w:ascii="宋体" w:hAnsi="宋体" w:eastAsia="宋体"/>
        </w:rPr>
      </w:pPr>
      <w:r>
        <w:rPr>
          <w:rFonts w:hint="eastAsia" w:ascii="宋体" w:hAnsi="宋体" w:eastAsia="宋体"/>
        </w:rPr>
        <w:t>f)</w:t>
      </w:r>
      <w:r>
        <w:rPr>
          <w:rFonts w:ascii="宋体" w:hAnsi="宋体" w:eastAsia="宋体"/>
        </w:rPr>
        <w:t xml:space="preserve"> 其他</w:t>
      </w:r>
      <w:r>
        <w:rPr>
          <w:rFonts w:hint="eastAsia" w:ascii="宋体" w:hAnsi="宋体" w:eastAsia="宋体"/>
        </w:rPr>
        <w:t>。</w:t>
      </w:r>
      <w:r>
        <mc:AlternateContent>
          <mc:Choice Requires="wps">
            <w:drawing>
              <wp:anchor distT="0" distB="0" distL="114300" distR="114300" simplePos="0" relativeHeight="251668480" behindDoc="0" locked="0" layoutInCell="1" allowOverlap="1">
                <wp:simplePos x="0" y="0"/>
                <wp:positionH relativeFrom="column">
                  <wp:posOffset>2200275</wp:posOffset>
                </wp:positionH>
                <wp:positionV relativeFrom="paragraph">
                  <wp:posOffset>721360</wp:posOffset>
                </wp:positionV>
                <wp:extent cx="17335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173.25pt;margin-top:56.8pt;height:0pt;width:136.5pt;z-index:251668480;mso-width-relative:page;mso-height-relative:page;" filled="f" stroked="t" coordsize="21600,21600" o:gfxdata="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UPvItgAAAAL&#10;AQAADwAAAAAAAAABACAAAAAiAAAAZHJzL2Rvd25yZXYueG1sUEsBAhQAFAAAAAgAh07iQLCd66Lj&#10;AQAAqwMAAA4AAAAAAAAAAQAgAAAAJwEAAGRycy9lMm9Eb2MueG1sUEsFBgAAAAAGAAYAWQEAAHwF&#10;AAAAAA==&#10;">
                <v:fill on="f" focussize="0,0"/>
                <v:stroke weight="1.25pt" color="#000000" joinstyle="round"/>
                <v:imagedata o:title=""/>
                <o:lock v:ext="edit" aspectratio="f"/>
              </v:line>
            </w:pict>
          </mc:Fallback>
        </mc:AlternateContent>
      </w:r>
    </w:p>
    <w:sectPr>
      <w:footerReference r:id="rId8" w:type="default"/>
      <w:footerReference r:id="rId9" w:type="even"/>
      <w:pgSz w:w="11906" w:h="16838"/>
      <w:pgMar w:top="1418" w:right="1134"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CBBD">
    <w:pPr>
      <w:pStyle w:val="17"/>
      <w:rPr>
        <w:rStyle w:val="8"/>
      </w:rPr>
    </w:pPr>
    <w:r>
      <w:fldChar w:fldCharType="begin"/>
    </w:r>
    <w:r>
      <w:rPr>
        <w:rStyle w:val="8"/>
      </w:rPr>
      <w:instrText xml:space="preserve">PAGE  </w:instrText>
    </w:r>
    <w:r>
      <w:fldChar w:fldCharType="separate"/>
    </w:r>
    <w:r>
      <w:rPr>
        <w:rStyle w:val="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294C">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lang w:val="en-US"/>
      </w:rPr>
      <w:t>2</w:t>
    </w:r>
    <w:r>
      <w:fldChar w:fldCharType="end"/>
    </w:r>
  </w:p>
  <w:p w14:paraId="3B58C9E5">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C483">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I</w:t>
    </w:r>
    <w:r>
      <w:fldChar w:fldCharType="end"/>
    </w:r>
  </w:p>
  <w:p w14:paraId="31129A80">
    <w:pPr>
      <w:pStyle w:val="17"/>
      <w:ind w:right="360" w:firstLine="360"/>
      <w:rPr>
        <w:rStyle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84D84">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14:paraId="25895564">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22B7">
    <w:pPr>
      <w:pStyle w:val="4"/>
      <w:framePr w:wrap="around" w:vAnchor="text" w:hAnchor="margin" w:xAlign="right" w:y="1"/>
      <w:rPr>
        <w:rStyle w:val="8"/>
      </w:rPr>
    </w:pPr>
    <w:r>
      <w:fldChar w:fldCharType="begin"/>
    </w:r>
    <w:r>
      <w:rPr>
        <w:rStyle w:val="8"/>
      </w:rPr>
      <w:instrText xml:space="preserve">PAGE  </w:instrText>
    </w:r>
    <w:r>
      <w:fldChar w:fldCharType="end"/>
    </w:r>
  </w:p>
  <w:p w14:paraId="32BF8D4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8848">
    <w:pPr>
      <w:pStyle w:val="18"/>
      <w:ind w:right="420" w:firstLine="7455" w:firstLineChars="3550"/>
      <w:jc w:val="both"/>
      <w:rPr>
        <w:rFonts w:ascii="黑体" w:eastAsia="黑体"/>
      </w:rPr>
    </w:pPr>
    <w:r>
      <w:rPr>
        <w:rFonts w:hint="eastAsia" w:ascii="黑体" w:eastAsia="黑体"/>
      </w:rPr>
      <w:t xml:space="preserve">YS/T </w:t>
    </w:r>
    <w:r>
      <w:rPr>
        <w:rFonts w:ascii="黑体" w:eastAsia="黑体"/>
      </w:rPr>
      <w:t>1092-202×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B0CB">
    <w:pPr>
      <w:pStyle w:val="1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634ED"/>
    <w:multiLevelType w:val="singleLevel"/>
    <w:tmpl w:val="0F8634ED"/>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8E12F6"/>
    <w:rsid w:val="00011C1B"/>
    <w:rsid w:val="00027245"/>
    <w:rsid w:val="000368EF"/>
    <w:rsid w:val="00045CEA"/>
    <w:rsid w:val="00062A61"/>
    <w:rsid w:val="00067B1A"/>
    <w:rsid w:val="000703C3"/>
    <w:rsid w:val="0007187B"/>
    <w:rsid w:val="00071DBD"/>
    <w:rsid w:val="0007601E"/>
    <w:rsid w:val="0008206D"/>
    <w:rsid w:val="000A2452"/>
    <w:rsid w:val="000A4177"/>
    <w:rsid w:val="000D0B6A"/>
    <w:rsid w:val="000E1109"/>
    <w:rsid w:val="000E546A"/>
    <w:rsid w:val="000E58B3"/>
    <w:rsid w:val="000F266E"/>
    <w:rsid w:val="000F75FC"/>
    <w:rsid w:val="00106AAA"/>
    <w:rsid w:val="0011687D"/>
    <w:rsid w:val="00131813"/>
    <w:rsid w:val="00134F12"/>
    <w:rsid w:val="00137175"/>
    <w:rsid w:val="00141551"/>
    <w:rsid w:val="00142261"/>
    <w:rsid w:val="00161803"/>
    <w:rsid w:val="00165E2E"/>
    <w:rsid w:val="001704E7"/>
    <w:rsid w:val="00172029"/>
    <w:rsid w:val="00194A0A"/>
    <w:rsid w:val="001A79B3"/>
    <w:rsid w:val="001C14FA"/>
    <w:rsid w:val="001C2F8F"/>
    <w:rsid w:val="001D096A"/>
    <w:rsid w:val="001E1065"/>
    <w:rsid w:val="001E31A4"/>
    <w:rsid w:val="001E53F4"/>
    <w:rsid w:val="001F0D8C"/>
    <w:rsid w:val="002010C7"/>
    <w:rsid w:val="002046F4"/>
    <w:rsid w:val="00211B9B"/>
    <w:rsid w:val="00213221"/>
    <w:rsid w:val="002138F4"/>
    <w:rsid w:val="00214401"/>
    <w:rsid w:val="002156B3"/>
    <w:rsid w:val="00223B97"/>
    <w:rsid w:val="002265ED"/>
    <w:rsid w:val="00242D44"/>
    <w:rsid w:val="002458E0"/>
    <w:rsid w:val="00252632"/>
    <w:rsid w:val="00256C2A"/>
    <w:rsid w:val="00256DF5"/>
    <w:rsid w:val="00263A7C"/>
    <w:rsid w:val="00263CEE"/>
    <w:rsid w:val="00271FEB"/>
    <w:rsid w:val="00272841"/>
    <w:rsid w:val="00285BD9"/>
    <w:rsid w:val="002A200A"/>
    <w:rsid w:val="002C3D40"/>
    <w:rsid w:val="002C51D3"/>
    <w:rsid w:val="002D3202"/>
    <w:rsid w:val="002D7CE9"/>
    <w:rsid w:val="002E2AD6"/>
    <w:rsid w:val="002E78A1"/>
    <w:rsid w:val="002F097F"/>
    <w:rsid w:val="00303534"/>
    <w:rsid w:val="00303DA6"/>
    <w:rsid w:val="00307AB7"/>
    <w:rsid w:val="00317EBE"/>
    <w:rsid w:val="003248A7"/>
    <w:rsid w:val="00351E10"/>
    <w:rsid w:val="00367786"/>
    <w:rsid w:val="003727B8"/>
    <w:rsid w:val="003776A2"/>
    <w:rsid w:val="003802A5"/>
    <w:rsid w:val="003B6615"/>
    <w:rsid w:val="003C4CBB"/>
    <w:rsid w:val="003D0F84"/>
    <w:rsid w:val="003D5BB4"/>
    <w:rsid w:val="003D5FE7"/>
    <w:rsid w:val="003E0051"/>
    <w:rsid w:val="003E0FBF"/>
    <w:rsid w:val="003E2DD5"/>
    <w:rsid w:val="003E48AB"/>
    <w:rsid w:val="003E69D0"/>
    <w:rsid w:val="003E74FF"/>
    <w:rsid w:val="003F0BCE"/>
    <w:rsid w:val="003F51C0"/>
    <w:rsid w:val="00402B1B"/>
    <w:rsid w:val="0041536C"/>
    <w:rsid w:val="00416465"/>
    <w:rsid w:val="004224B1"/>
    <w:rsid w:val="00425441"/>
    <w:rsid w:val="00427AC4"/>
    <w:rsid w:val="00430397"/>
    <w:rsid w:val="004306F0"/>
    <w:rsid w:val="00432005"/>
    <w:rsid w:val="00432AEF"/>
    <w:rsid w:val="00436AF8"/>
    <w:rsid w:val="00453130"/>
    <w:rsid w:val="00472C2A"/>
    <w:rsid w:val="00481491"/>
    <w:rsid w:val="00492070"/>
    <w:rsid w:val="0049605A"/>
    <w:rsid w:val="004979BE"/>
    <w:rsid w:val="004A3D34"/>
    <w:rsid w:val="004A698C"/>
    <w:rsid w:val="004B459C"/>
    <w:rsid w:val="004B626B"/>
    <w:rsid w:val="004E1455"/>
    <w:rsid w:val="004E3644"/>
    <w:rsid w:val="004F3AEF"/>
    <w:rsid w:val="00512CC7"/>
    <w:rsid w:val="00531B2F"/>
    <w:rsid w:val="005322D2"/>
    <w:rsid w:val="00547B4C"/>
    <w:rsid w:val="005661EF"/>
    <w:rsid w:val="00566F22"/>
    <w:rsid w:val="005709F0"/>
    <w:rsid w:val="0058176D"/>
    <w:rsid w:val="00581AB1"/>
    <w:rsid w:val="00585E37"/>
    <w:rsid w:val="0058777F"/>
    <w:rsid w:val="00596AA5"/>
    <w:rsid w:val="005A3C7A"/>
    <w:rsid w:val="005A551F"/>
    <w:rsid w:val="005A5823"/>
    <w:rsid w:val="005A6484"/>
    <w:rsid w:val="005B2097"/>
    <w:rsid w:val="005B3739"/>
    <w:rsid w:val="005C1288"/>
    <w:rsid w:val="005D02DD"/>
    <w:rsid w:val="005D35D0"/>
    <w:rsid w:val="005D3F90"/>
    <w:rsid w:val="005E33F0"/>
    <w:rsid w:val="005F3C04"/>
    <w:rsid w:val="005F6174"/>
    <w:rsid w:val="005F63B9"/>
    <w:rsid w:val="006033FA"/>
    <w:rsid w:val="00614D7A"/>
    <w:rsid w:val="00631624"/>
    <w:rsid w:val="00633383"/>
    <w:rsid w:val="00636192"/>
    <w:rsid w:val="0064050F"/>
    <w:rsid w:val="006459B9"/>
    <w:rsid w:val="00652C14"/>
    <w:rsid w:val="00657407"/>
    <w:rsid w:val="006658D2"/>
    <w:rsid w:val="00674EF8"/>
    <w:rsid w:val="0067511A"/>
    <w:rsid w:val="00695B36"/>
    <w:rsid w:val="006971CD"/>
    <w:rsid w:val="0069740A"/>
    <w:rsid w:val="006A215A"/>
    <w:rsid w:val="006B1F9E"/>
    <w:rsid w:val="006C23B3"/>
    <w:rsid w:val="006F28E4"/>
    <w:rsid w:val="006F35BB"/>
    <w:rsid w:val="006F4CB8"/>
    <w:rsid w:val="00702064"/>
    <w:rsid w:val="00707CDF"/>
    <w:rsid w:val="00716299"/>
    <w:rsid w:val="00737AF2"/>
    <w:rsid w:val="0076549E"/>
    <w:rsid w:val="00767352"/>
    <w:rsid w:val="007674B2"/>
    <w:rsid w:val="007677AB"/>
    <w:rsid w:val="0077041A"/>
    <w:rsid w:val="00791CA4"/>
    <w:rsid w:val="00794C77"/>
    <w:rsid w:val="00796B75"/>
    <w:rsid w:val="007A25E9"/>
    <w:rsid w:val="007B57FE"/>
    <w:rsid w:val="007B678F"/>
    <w:rsid w:val="007B6C5A"/>
    <w:rsid w:val="007D2889"/>
    <w:rsid w:val="007D48A3"/>
    <w:rsid w:val="007D7277"/>
    <w:rsid w:val="007F12D7"/>
    <w:rsid w:val="0080437F"/>
    <w:rsid w:val="00805485"/>
    <w:rsid w:val="00813997"/>
    <w:rsid w:val="0081722A"/>
    <w:rsid w:val="008361E0"/>
    <w:rsid w:val="0084569F"/>
    <w:rsid w:val="00852F58"/>
    <w:rsid w:val="00856180"/>
    <w:rsid w:val="008665C0"/>
    <w:rsid w:val="00876631"/>
    <w:rsid w:val="00883F03"/>
    <w:rsid w:val="00884B24"/>
    <w:rsid w:val="0089183F"/>
    <w:rsid w:val="00893380"/>
    <w:rsid w:val="008A5DE4"/>
    <w:rsid w:val="008B0F09"/>
    <w:rsid w:val="008B6876"/>
    <w:rsid w:val="008B6C66"/>
    <w:rsid w:val="008C5BF3"/>
    <w:rsid w:val="008C6A7C"/>
    <w:rsid w:val="008C6AA0"/>
    <w:rsid w:val="008E12F6"/>
    <w:rsid w:val="008E1D8F"/>
    <w:rsid w:val="008E4591"/>
    <w:rsid w:val="00920D9C"/>
    <w:rsid w:val="009216DB"/>
    <w:rsid w:val="00924E5C"/>
    <w:rsid w:val="00931488"/>
    <w:rsid w:val="00952262"/>
    <w:rsid w:val="00965767"/>
    <w:rsid w:val="00967B48"/>
    <w:rsid w:val="00972566"/>
    <w:rsid w:val="00980148"/>
    <w:rsid w:val="00984789"/>
    <w:rsid w:val="00985014"/>
    <w:rsid w:val="00985EED"/>
    <w:rsid w:val="00986BA2"/>
    <w:rsid w:val="00986FBC"/>
    <w:rsid w:val="0099423E"/>
    <w:rsid w:val="00996C51"/>
    <w:rsid w:val="00996F0D"/>
    <w:rsid w:val="009B275B"/>
    <w:rsid w:val="009B3D81"/>
    <w:rsid w:val="009B4E7B"/>
    <w:rsid w:val="009B61A9"/>
    <w:rsid w:val="009B62B6"/>
    <w:rsid w:val="009D3B2D"/>
    <w:rsid w:val="009D48B7"/>
    <w:rsid w:val="009D4CA4"/>
    <w:rsid w:val="009D5B48"/>
    <w:rsid w:val="009E0C3D"/>
    <w:rsid w:val="009E6C4F"/>
    <w:rsid w:val="00A010E9"/>
    <w:rsid w:val="00A0219D"/>
    <w:rsid w:val="00A05F7E"/>
    <w:rsid w:val="00A111B5"/>
    <w:rsid w:val="00A13218"/>
    <w:rsid w:val="00A1332A"/>
    <w:rsid w:val="00A17C05"/>
    <w:rsid w:val="00A2409B"/>
    <w:rsid w:val="00A361F4"/>
    <w:rsid w:val="00A365F9"/>
    <w:rsid w:val="00A46145"/>
    <w:rsid w:val="00A51D30"/>
    <w:rsid w:val="00A664E0"/>
    <w:rsid w:val="00A7282C"/>
    <w:rsid w:val="00A7435B"/>
    <w:rsid w:val="00A750A5"/>
    <w:rsid w:val="00A836E5"/>
    <w:rsid w:val="00AA18D1"/>
    <w:rsid w:val="00AA2A09"/>
    <w:rsid w:val="00AB4469"/>
    <w:rsid w:val="00AB6061"/>
    <w:rsid w:val="00AB65AC"/>
    <w:rsid w:val="00AB7E32"/>
    <w:rsid w:val="00AC030E"/>
    <w:rsid w:val="00AC0916"/>
    <w:rsid w:val="00AC33EB"/>
    <w:rsid w:val="00AC5AC1"/>
    <w:rsid w:val="00AD551F"/>
    <w:rsid w:val="00AD77DC"/>
    <w:rsid w:val="00AE2A4F"/>
    <w:rsid w:val="00AE6494"/>
    <w:rsid w:val="00AF0A58"/>
    <w:rsid w:val="00AF3EB4"/>
    <w:rsid w:val="00AF4409"/>
    <w:rsid w:val="00AF7171"/>
    <w:rsid w:val="00B057B7"/>
    <w:rsid w:val="00B06517"/>
    <w:rsid w:val="00B16F01"/>
    <w:rsid w:val="00B2068A"/>
    <w:rsid w:val="00B22039"/>
    <w:rsid w:val="00B27449"/>
    <w:rsid w:val="00B4175E"/>
    <w:rsid w:val="00B511D9"/>
    <w:rsid w:val="00B5730F"/>
    <w:rsid w:val="00B57663"/>
    <w:rsid w:val="00B60228"/>
    <w:rsid w:val="00B61B9A"/>
    <w:rsid w:val="00B6288E"/>
    <w:rsid w:val="00B62CAD"/>
    <w:rsid w:val="00B84C71"/>
    <w:rsid w:val="00B8792D"/>
    <w:rsid w:val="00B93B68"/>
    <w:rsid w:val="00B9631F"/>
    <w:rsid w:val="00BA1140"/>
    <w:rsid w:val="00BA50E0"/>
    <w:rsid w:val="00BB2DCB"/>
    <w:rsid w:val="00BB3F26"/>
    <w:rsid w:val="00BC0440"/>
    <w:rsid w:val="00BC608A"/>
    <w:rsid w:val="00BC610F"/>
    <w:rsid w:val="00BD3E3D"/>
    <w:rsid w:val="00BD61EA"/>
    <w:rsid w:val="00BE0316"/>
    <w:rsid w:val="00BE36C5"/>
    <w:rsid w:val="00BE7A74"/>
    <w:rsid w:val="00BF104B"/>
    <w:rsid w:val="00C04819"/>
    <w:rsid w:val="00C0714E"/>
    <w:rsid w:val="00C15286"/>
    <w:rsid w:val="00C21A66"/>
    <w:rsid w:val="00C261DE"/>
    <w:rsid w:val="00C32CB6"/>
    <w:rsid w:val="00C36873"/>
    <w:rsid w:val="00C41217"/>
    <w:rsid w:val="00C52544"/>
    <w:rsid w:val="00C607B6"/>
    <w:rsid w:val="00C758E1"/>
    <w:rsid w:val="00C814B5"/>
    <w:rsid w:val="00C824C9"/>
    <w:rsid w:val="00C86DD4"/>
    <w:rsid w:val="00C904E7"/>
    <w:rsid w:val="00C911F8"/>
    <w:rsid w:val="00CA2073"/>
    <w:rsid w:val="00CB0C7A"/>
    <w:rsid w:val="00CB27AD"/>
    <w:rsid w:val="00CB2C23"/>
    <w:rsid w:val="00CC3117"/>
    <w:rsid w:val="00CC6A2A"/>
    <w:rsid w:val="00CD4DD4"/>
    <w:rsid w:val="00CE0D2F"/>
    <w:rsid w:val="00CE3CBC"/>
    <w:rsid w:val="00CE7526"/>
    <w:rsid w:val="00CF220D"/>
    <w:rsid w:val="00D03F49"/>
    <w:rsid w:val="00D13242"/>
    <w:rsid w:val="00D26C06"/>
    <w:rsid w:val="00D715CF"/>
    <w:rsid w:val="00D72628"/>
    <w:rsid w:val="00D7302E"/>
    <w:rsid w:val="00D736D5"/>
    <w:rsid w:val="00D765AE"/>
    <w:rsid w:val="00D80654"/>
    <w:rsid w:val="00D81D60"/>
    <w:rsid w:val="00D91304"/>
    <w:rsid w:val="00D95BF4"/>
    <w:rsid w:val="00D96A23"/>
    <w:rsid w:val="00DA53AC"/>
    <w:rsid w:val="00DA6B96"/>
    <w:rsid w:val="00DC1527"/>
    <w:rsid w:val="00DC2C39"/>
    <w:rsid w:val="00DD09B1"/>
    <w:rsid w:val="00DD5731"/>
    <w:rsid w:val="00DD6FB9"/>
    <w:rsid w:val="00DE6BF9"/>
    <w:rsid w:val="00DE732A"/>
    <w:rsid w:val="00DF0E05"/>
    <w:rsid w:val="00DF4F7B"/>
    <w:rsid w:val="00DF70BE"/>
    <w:rsid w:val="00E02B64"/>
    <w:rsid w:val="00E0357B"/>
    <w:rsid w:val="00E04A0C"/>
    <w:rsid w:val="00E04C2F"/>
    <w:rsid w:val="00E15040"/>
    <w:rsid w:val="00E43E08"/>
    <w:rsid w:val="00E44546"/>
    <w:rsid w:val="00E4458E"/>
    <w:rsid w:val="00E5366A"/>
    <w:rsid w:val="00E64962"/>
    <w:rsid w:val="00E703EB"/>
    <w:rsid w:val="00E70C56"/>
    <w:rsid w:val="00E71D7C"/>
    <w:rsid w:val="00E859C0"/>
    <w:rsid w:val="00E92C02"/>
    <w:rsid w:val="00E96E01"/>
    <w:rsid w:val="00E97B53"/>
    <w:rsid w:val="00EA29DE"/>
    <w:rsid w:val="00EA35FA"/>
    <w:rsid w:val="00EC3202"/>
    <w:rsid w:val="00ED1003"/>
    <w:rsid w:val="00ED4BCF"/>
    <w:rsid w:val="00EF1A81"/>
    <w:rsid w:val="00F0397E"/>
    <w:rsid w:val="00F17101"/>
    <w:rsid w:val="00F2797F"/>
    <w:rsid w:val="00F37210"/>
    <w:rsid w:val="00F54E52"/>
    <w:rsid w:val="00F56DEB"/>
    <w:rsid w:val="00F658F8"/>
    <w:rsid w:val="00F7052C"/>
    <w:rsid w:val="00F71E4A"/>
    <w:rsid w:val="00F82407"/>
    <w:rsid w:val="00F87F46"/>
    <w:rsid w:val="00FA2026"/>
    <w:rsid w:val="00FB4211"/>
    <w:rsid w:val="00FB47E0"/>
    <w:rsid w:val="00FB65C9"/>
    <w:rsid w:val="00FC01F2"/>
    <w:rsid w:val="00FC7D65"/>
    <w:rsid w:val="00FE3D94"/>
    <w:rsid w:val="00FE4711"/>
    <w:rsid w:val="00FE4DF0"/>
    <w:rsid w:val="015806F3"/>
    <w:rsid w:val="05D52961"/>
    <w:rsid w:val="0B5A72A3"/>
    <w:rsid w:val="0BFA64B9"/>
    <w:rsid w:val="0F6E0ECF"/>
    <w:rsid w:val="194C4FB9"/>
    <w:rsid w:val="1FBF69A5"/>
    <w:rsid w:val="20DE5859"/>
    <w:rsid w:val="23E046B6"/>
    <w:rsid w:val="2478644E"/>
    <w:rsid w:val="24841FFE"/>
    <w:rsid w:val="27FD3AA9"/>
    <w:rsid w:val="28BC6D32"/>
    <w:rsid w:val="2A591132"/>
    <w:rsid w:val="2D247310"/>
    <w:rsid w:val="355A1A53"/>
    <w:rsid w:val="3CCD559F"/>
    <w:rsid w:val="51982D9A"/>
    <w:rsid w:val="54E06C1E"/>
    <w:rsid w:val="609C4808"/>
    <w:rsid w:val="68074395"/>
    <w:rsid w:val="712E1D9D"/>
    <w:rsid w:val="7A86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29"/>
    <w:semiHidden/>
    <w:unhideWhenUsed/>
    <w:qFormat/>
    <w:uiPriority w:val="99"/>
    <w:rPr>
      <w:sz w:val="18"/>
      <w:szCs w:val="18"/>
    </w:rPr>
  </w:style>
  <w:style w:type="paragraph" w:styleId="4">
    <w:name w:val="footer"/>
    <w:basedOn w:val="1"/>
    <w:link w:val="13"/>
    <w:qFormat/>
    <w:uiPriority w:val="0"/>
    <w:pPr>
      <w:tabs>
        <w:tab w:val="center" w:pos="4153"/>
        <w:tab w:val="right" w:pos="8306"/>
      </w:tabs>
      <w:snapToGrid w:val="0"/>
      <w:ind w:right="210" w:rightChars="100"/>
      <w:jc w:val="right"/>
    </w:pPr>
    <w:rPr>
      <w:kern w:val="0"/>
      <w:sz w:val="18"/>
      <w:szCs w:val="18"/>
      <w:lang w:val="zh-CN"/>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kern w:val="0"/>
      <w:sz w:val="18"/>
      <w:szCs w:val="18"/>
      <w:lang w:val="zh-CN"/>
    </w:rPr>
  </w:style>
  <w:style w:type="character" w:styleId="8">
    <w:name w:val="page number"/>
    <w:qFormat/>
    <w:uiPriority w:val="0"/>
    <w:rPr>
      <w:rFonts w:ascii="Times New Roman" w:hAnsi="Times New Roman" w:eastAsia="宋体"/>
      <w:sz w:val="18"/>
    </w:rPr>
  </w:style>
  <w:style w:type="character" w:styleId="9">
    <w:name w:val="Hyperlink"/>
    <w:unhideWhenUsed/>
    <w:qFormat/>
    <w:uiPriority w:val="99"/>
    <w:rPr>
      <w:color w:val="0000FF"/>
      <w:u w:val="single"/>
    </w:rPr>
  </w:style>
  <w:style w:type="character" w:styleId="10">
    <w:name w:val="annotation reference"/>
    <w:basedOn w:val="7"/>
    <w:semiHidden/>
    <w:unhideWhenUsed/>
    <w:uiPriority w:val="99"/>
    <w:rPr>
      <w:sz w:val="21"/>
      <w:szCs w:val="21"/>
    </w:rPr>
  </w:style>
  <w:style w:type="character" w:customStyle="1" w:styleId="11">
    <w:name w:val="段 Char"/>
    <w:link w:val="12"/>
    <w:qFormat/>
    <w:uiPriority w:val="0"/>
    <w:rPr>
      <w:rFonts w:ascii="宋体" w:hAnsi="Times New Roman"/>
      <w:lang w:val="en-US" w:eastAsia="zh-CN" w:bidi="ar-SA"/>
    </w:rPr>
  </w:style>
  <w:style w:type="paragraph" w:customStyle="1" w:styleId="12">
    <w:name w:val="段"/>
    <w:link w:val="11"/>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3">
    <w:name w:val="页脚 Char"/>
    <w:link w:val="4"/>
    <w:qFormat/>
    <w:uiPriority w:val="0"/>
    <w:rPr>
      <w:rFonts w:ascii="Times New Roman" w:hAnsi="Times New Roman" w:eastAsia="宋体" w:cs="Times New Roman"/>
      <w:sz w:val="18"/>
      <w:szCs w:val="18"/>
    </w:rPr>
  </w:style>
  <w:style w:type="character" w:customStyle="1" w:styleId="14">
    <w:name w:val="页眉 Char"/>
    <w:link w:val="5"/>
    <w:qFormat/>
    <w:uiPriority w:val="0"/>
    <w:rPr>
      <w:rFonts w:ascii="Times New Roman" w:hAnsi="Times New Roman" w:eastAsia="宋体" w:cs="Times New Roman"/>
      <w:sz w:val="18"/>
      <w:szCs w:val="18"/>
    </w:rPr>
  </w:style>
  <w:style w:type="paragraph" w:customStyle="1" w:styleId="15">
    <w:name w:val="标准书眉一"/>
    <w:qFormat/>
    <w:uiPriority w:val="0"/>
    <w:pPr>
      <w:jc w:val="both"/>
    </w:pPr>
    <w:rPr>
      <w:rFonts w:ascii="Times New Roman" w:hAnsi="Times New Roman" w:eastAsia="宋体" w:cs="Times New Roman"/>
      <w:lang w:val="en-US" w:eastAsia="zh-CN" w:bidi="ar-SA"/>
    </w:rPr>
  </w:style>
  <w:style w:type="paragraph" w:customStyle="1" w:styleId="1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1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
    <w:name w:val="封面标准代替信息"/>
    <w:basedOn w:val="16"/>
    <w:qFormat/>
    <w:uiPriority w:val="0"/>
    <w:pPr>
      <w:framePr w:wrap="around"/>
      <w:spacing w:before="57"/>
    </w:pPr>
    <w:rPr>
      <w:rFonts w:ascii="宋体"/>
      <w:sz w:val="21"/>
    </w:rPr>
  </w:style>
  <w:style w:type="paragraph" w:customStyle="1" w:styleId="22">
    <w:name w:val="实施日期"/>
    <w:basedOn w:val="20"/>
    <w:qFormat/>
    <w:uiPriority w:val="0"/>
    <w:pPr>
      <w:framePr w:hSpace="0" w:wrap="around" w:xAlign="right"/>
      <w:jc w:val="right"/>
    </w:pPr>
  </w:style>
  <w:style w:type="paragraph" w:customStyle="1" w:styleId="2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6">
    <w:name w:val="封面正文"/>
    <w:qFormat/>
    <w:uiPriority w:val="0"/>
    <w:pPr>
      <w:jc w:val="both"/>
    </w:pPr>
    <w:rPr>
      <w:rFonts w:ascii="Times New Roman" w:hAnsi="Times New Roman" w:eastAsia="宋体" w:cs="Times New Roman"/>
      <w:lang w:val="en-US" w:eastAsia="zh-CN" w:bidi="ar-SA"/>
    </w:rPr>
  </w:style>
  <w:style w:type="paragraph" w:customStyle="1" w:styleId="27">
    <w:name w:val="发布部门"/>
    <w:next w:val="1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29">
    <w:name w:val="批注框文本 Char"/>
    <w:link w:val="3"/>
    <w:semiHidden/>
    <w:qFormat/>
    <w:uiPriority w:val="99"/>
    <w:rPr>
      <w:rFonts w:ascii="Times New Roman" w:hAnsi="Times New Roman"/>
      <w:kern w:val="2"/>
      <w:sz w:val="18"/>
      <w:szCs w:val="18"/>
    </w:rPr>
  </w:style>
  <w:style w:type="paragraph" w:customStyle="1" w:styleId="30">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2692</Words>
  <Characters>3310</Characters>
  <Lines>26</Lines>
  <Paragraphs>7</Paragraphs>
  <TotalTime>1</TotalTime>
  <ScaleCrop>false</ScaleCrop>
  <LinksUpToDate>false</LinksUpToDate>
  <CharactersWithSpaces>3530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2024-08-25T07:50:00Z</dcterms:created>
  <dc:creator>530La</dc:creator>
  <cp:lastModifiedBy>ss</cp:lastModifiedBy>
  <cp:lastPrinted>2024-05-20T03:29:00Z</cp:lastPrinted>
  <dcterms:modified xsi:type="dcterms:W3CDTF">2024-08-26T14:43:55Z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5987427383F44A24B242D6826CCFBB70_13</vt:lpwstr>
  </property>
</Properties>
</file>