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75EB5">
      <w:pPr>
        <w:spacing w:line="480" w:lineRule="auto"/>
        <w:jc w:val="center"/>
        <w:rPr>
          <w:rFonts w:ascii="黑体" w:hAnsi="黑体" w:eastAsia="黑体" w:cs="黑体"/>
          <w:b/>
          <w:bCs/>
          <w:w w:val="90"/>
          <w:sz w:val="32"/>
          <w:szCs w:val="32"/>
        </w:rPr>
      </w:pPr>
      <w:bookmarkStart w:id="0" w:name="_Hlk82435718"/>
      <w:r>
        <w:rPr>
          <w:rFonts w:hint="eastAsia" w:ascii="黑体" w:hAnsi="黑体" w:eastAsia="黑体" w:cs="黑体"/>
          <w:b/>
          <w:bCs/>
          <w:w w:val="90"/>
          <w:sz w:val="32"/>
          <w:szCs w:val="32"/>
        </w:rPr>
        <w:t>稀土行业标准</w:t>
      </w:r>
      <w:r>
        <w:rPr>
          <w:rFonts w:ascii="黑体" w:hAnsi="黑体" w:eastAsia="黑体" w:cs="黑体"/>
          <w:b/>
          <w:bCs/>
          <w:w w:val="90"/>
          <w:sz w:val="32"/>
          <w:szCs w:val="32"/>
        </w:rPr>
        <w:t>《</w:t>
      </w:r>
      <w:r>
        <w:rPr>
          <w:rFonts w:hint="eastAsia" w:ascii="黑体" w:hAnsi="黑体" w:eastAsia="黑体" w:cs="黑体"/>
          <w:b/>
          <w:bCs/>
          <w:w w:val="90"/>
          <w:sz w:val="32"/>
          <w:szCs w:val="32"/>
          <w:lang w:val="en-US" w:eastAsia="zh-CN"/>
        </w:rPr>
        <w:t>闪烁晶体用高纯无水稀土溴化物</w:t>
      </w:r>
      <w:r>
        <w:rPr>
          <w:rFonts w:ascii="黑体" w:hAnsi="黑体" w:eastAsia="黑体" w:cs="黑体"/>
          <w:b/>
          <w:bCs/>
          <w:w w:val="90"/>
          <w:sz w:val="32"/>
          <w:szCs w:val="32"/>
        </w:rPr>
        <w:t>》</w:t>
      </w:r>
      <w:bookmarkEnd w:id="0"/>
      <w:r>
        <w:rPr>
          <w:rFonts w:hint="eastAsia" w:ascii="黑体" w:hAnsi="黑体" w:eastAsia="黑体" w:cs="黑体"/>
          <w:b/>
          <w:bCs/>
          <w:w w:val="90"/>
          <w:sz w:val="32"/>
          <w:szCs w:val="32"/>
          <w:lang w:val="en-US" w:eastAsia="zh-CN"/>
        </w:rPr>
        <w:t>送</w:t>
      </w:r>
      <w:r>
        <w:rPr>
          <w:rFonts w:hint="eastAsia" w:ascii="黑体" w:hAnsi="黑体" w:eastAsia="黑体" w:cs="黑体"/>
          <w:b/>
          <w:bCs/>
          <w:w w:val="90"/>
          <w:sz w:val="32"/>
          <w:szCs w:val="32"/>
        </w:rPr>
        <w:t>审稿</w:t>
      </w:r>
    </w:p>
    <w:p w14:paraId="4FC490B5">
      <w:pPr>
        <w:spacing w:line="480" w:lineRule="auto"/>
        <w:jc w:val="center"/>
        <w:rPr>
          <w:rFonts w:ascii="黑体" w:hAnsi="黑体" w:eastAsia="黑体" w:cs="黑体"/>
          <w:b/>
          <w:bCs/>
          <w:w w:val="90"/>
          <w:sz w:val="32"/>
          <w:szCs w:val="32"/>
        </w:rPr>
      </w:pPr>
      <w:r>
        <w:rPr>
          <w:rFonts w:ascii="黑体" w:hAnsi="黑体" w:eastAsia="黑体" w:cs="黑体"/>
          <w:b/>
          <w:bCs/>
          <w:w w:val="90"/>
          <w:sz w:val="32"/>
          <w:szCs w:val="32"/>
        </w:rPr>
        <w:t>编制说明</w:t>
      </w:r>
    </w:p>
    <w:p w14:paraId="6AB9A4CE">
      <w:pPr>
        <w:spacing w:before="156" w:beforeLines="50" w:after="156" w:afterLines="50" w:line="312" w:lineRule="auto"/>
        <w:rPr>
          <w:rFonts w:ascii="黑体" w:hAnsi="宋体" w:eastAsia="黑体"/>
          <w:b/>
          <w:sz w:val="24"/>
        </w:rPr>
      </w:pPr>
      <w:r>
        <w:rPr>
          <w:rFonts w:hint="eastAsia" w:ascii="黑体" w:hAnsi="宋体" w:eastAsia="黑体"/>
          <w:b/>
          <w:sz w:val="24"/>
        </w:rPr>
        <w:t>一、工作简况</w:t>
      </w:r>
    </w:p>
    <w:p w14:paraId="600CDD85">
      <w:pPr>
        <w:pStyle w:val="120"/>
        <w:tabs>
          <w:tab w:val="clear" w:pos="675"/>
        </w:tabs>
        <w:spacing w:before="156" w:beforeLines="50" w:after="156" w:afterLines="50" w:line="360" w:lineRule="auto"/>
        <w:ind w:left="0" w:firstLine="0"/>
        <w:rPr>
          <w:rFonts w:hAnsi="黑体"/>
          <w:b/>
          <w:sz w:val="24"/>
          <w:szCs w:val="22"/>
        </w:rPr>
      </w:pPr>
      <w:r>
        <w:rPr>
          <w:rFonts w:hint="eastAsia" w:hAnsi="黑体"/>
          <w:b/>
          <w:sz w:val="24"/>
          <w:szCs w:val="22"/>
        </w:rPr>
        <w:t>（一）</w:t>
      </w:r>
      <w:r>
        <w:rPr>
          <w:rFonts w:hAnsi="黑体"/>
          <w:b/>
          <w:sz w:val="24"/>
          <w:szCs w:val="22"/>
        </w:rPr>
        <w:t>任务来源</w:t>
      </w:r>
    </w:p>
    <w:p w14:paraId="251DE8A7">
      <w:pPr>
        <w:spacing w:line="360" w:lineRule="auto"/>
        <w:ind w:firstLine="480" w:firstLineChars="200"/>
        <w:rPr>
          <w:sz w:val="24"/>
          <w:szCs w:val="32"/>
        </w:rPr>
      </w:pPr>
      <w:r>
        <w:rPr>
          <w:rFonts w:hint="eastAsia"/>
          <w:sz w:val="24"/>
          <w:szCs w:val="32"/>
        </w:rPr>
        <w:t>根据国家标准委、工业和信息化部下达的有关标准制修订计划的通知，以及202</w:t>
      </w:r>
      <w:r>
        <w:rPr>
          <w:sz w:val="24"/>
          <w:szCs w:val="32"/>
        </w:rPr>
        <w:t>3</w:t>
      </w:r>
      <w:r>
        <w:rPr>
          <w:rFonts w:hint="eastAsia"/>
          <w:sz w:val="24"/>
          <w:szCs w:val="32"/>
        </w:rPr>
        <w:t xml:space="preserve"> 年稀土标委会工作安排，202</w:t>
      </w:r>
      <w:r>
        <w:rPr>
          <w:sz w:val="24"/>
          <w:szCs w:val="32"/>
        </w:rPr>
        <w:t>3</w:t>
      </w:r>
      <w:r>
        <w:rPr>
          <w:rFonts w:hint="eastAsia"/>
          <w:sz w:val="24"/>
          <w:szCs w:val="32"/>
        </w:rPr>
        <w:t>年第四次稀土标准工作会议正式下达《</w:t>
      </w:r>
      <w:r>
        <w:rPr>
          <w:rFonts w:hint="eastAsia"/>
          <w:sz w:val="24"/>
          <w:szCs w:val="32"/>
          <w:lang w:val="en-US" w:eastAsia="zh-CN"/>
        </w:rPr>
        <w:t>闪烁晶体用高纯无水稀土溴化物</w:t>
      </w:r>
      <w:r>
        <w:rPr>
          <w:rFonts w:hint="eastAsia"/>
          <w:sz w:val="24"/>
          <w:szCs w:val="32"/>
        </w:rPr>
        <w:t>》行业标准制定项目计划，标准计划号为</w:t>
      </w:r>
      <w:r>
        <w:rPr>
          <w:sz w:val="24"/>
          <w:szCs w:val="32"/>
        </w:rPr>
        <w:t>2023-008</w:t>
      </w:r>
      <w:r>
        <w:rPr>
          <w:rFonts w:hint="eastAsia"/>
          <w:sz w:val="24"/>
          <w:szCs w:val="32"/>
          <w:lang w:val="en-US" w:eastAsia="zh-CN"/>
        </w:rPr>
        <w:t>7</w:t>
      </w:r>
      <w:r>
        <w:rPr>
          <w:sz w:val="24"/>
          <w:szCs w:val="32"/>
        </w:rPr>
        <w:t>T-XB</w:t>
      </w:r>
      <w:r>
        <w:rPr>
          <w:rFonts w:hint="eastAsia"/>
          <w:sz w:val="24"/>
          <w:szCs w:val="32"/>
        </w:rPr>
        <w:t>，完成年限为</w:t>
      </w:r>
      <w:r>
        <w:rPr>
          <w:sz w:val="24"/>
          <w:szCs w:val="32"/>
        </w:rPr>
        <w:t>2025</w:t>
      </w:r>
      <w:r>
        <w:rPr>
          <w:rFonts w:hint="eastAsia"/>
          <w:sz w:val="24"/>
          <w:szCs w:val="32"/>
        </w:rPr>
        <w:t>年。</w:t>
      </w:r>
      <w:r>
        <w:rPr>
          <w:sz w:val="24"/>
          <w:szCs w:val="32"/>
        </w:rPr>
        <w:t>本文件由全国稀土标准化技术委员会（SAC/TC 229）提出并归口，由</w:t>
      </w:r>
      <w:r>
        <w:rPr>
          <w:rFonts w:hint="eastAsia" w:ascii="宋体" w:hAnsi="宋体"/>
          <w:sz w:val="24"/>
          <w:lang w:val="zh-CN"/>
        </w:rPr>
        <w:t>有研稀土新材料股份有限公司、</w:t>
      </w:r>
      <w:r>
        <w:rPr>
          <w:rFonts w:hint="eastAsia" w:ascii="宋体" w:hAnsi="宋体"/>
          <w:sz w:val="24"/>
          <w:lang w:val="zh-CN" w:eastAsia="zh-CN"/>
        </w:rPr>
        <w:t>天津包钢稀土研究院有限责任公司、国合通用测试评价认证股份有限公司、雄安稀土功能材料创新中心有限公司、包头稀土研究院，北京玻璃研究院有限公司、江苏布拉维光学科技有限公司、厦门中烁光电科技有限公司、哈尔滨工业大学、厦门稀土材料研究所、赣州稀土矿业有限公司、国瑞科创稀土功能材料（赣州）有限公司、内蒙古中科蒙稀新材料有限责任公司</w:t>
      </w:r>
      <w:r>
        <w:rPr>
          <w:sz w:val="24"/>
          <w:szCs w:val="32"/>
        </w:rPr>
        <w:t>等</w:t>
      </w:r>
      <w:r>
        <w:rPr>
          <w:rFonts w:hint="eastAsia"/>
          <w:sz w:val="24"/>
          <w:szCs w:val="32"/>
        </w:rPr>
        <w:t>多家</w:t>
      </w:r>
      <w:r>
        <w:rPr>
          <w:sz w:val="24"/>
          <w:szCs w:val="32"/>
        </w:rPr>
        <w:t>单位</w:t>
      </w:r>
      <w:r>
        <w:rPr>
          <w:rFonts w:hint="eastAsia"/>
          <w:sz w:val="24"/>
          <w:szCs w:val="32"/>
        </w:rPr>
        <w:t>共同参与起草</w:t>
      </w:r>
      <w:r>
        <w:rPr>
          <w:sz w:val="24"/>
          <w:szCs w:val="32"/>
        </w:rPr>
        <w:t>。</w:t>
      </w:r>
    </w:p>
    <w:p w14:paraId="1C4333B1">
      <w:pPr>
        <w:pStyle w:val="120"/>
        <w:tabs>
          <w:tab w:val="clear" w:pos="675"/>
        </w:tabs>
        <w:spacing w:before="156" w:beforeLines="50" w:after="156" w:afterLines="50" w:line="360" w:lineRule="auto"/>
        <w:ind w:left="0" w:firstLine="0"/>
        <w:rPr>
          <w:rFonts w:hAnsi="黑体"/>
          <w:b/>
          <w:bCs/>
          <w:sz w:val="22"/>
          <w:szCs w:val="21"/>
        </w:rPr>
      </w:pPr>
      <w:r>
        <w:rPr>
          <w:rFonts w:hint="eastAsia" w:hAnsi="黑体"/>
          <w:b/>
          <w:bCs/>
          <w:sz w:val="22"/>
          <w:szCs w:val="21"/>
        </w:rPr>
        <w:t>（二）</w:t>
      </w:r>
      <w:bookmarkStart w:id="1" w:name="_Toc451633880"/>
      <w:r>
        <w:rPr>
          <w:rFonts w:hint="eastAsia" w:hAnsi="黑体"/>
          <w:b/>
          <w:bCs/>
          <w:sz w:val="22"/>
          <w:szCs w:val="21"/>
        </w:rPr>
        <w:t>主要参加单位和工作成员及其所做的工作</w:t>
      </w:r>
      <w:bookmarkEnd w:id="1"/>
    </w:p>
    <w:p w14:paraId="2C118217">
      <w:pPr>
        <w:spacing w:line="360" w:lineRule="auto"/>
        <w:ind w:firstLine="480" w:firstLineChars="200"/>
        <w:rPr>
          <w:sz w:val="24"/>
          <w:szCs w:val="32"/>
        </w:rPr>
      </w:pPr>
      <w:r>
        <w:rPr>
          <w:rFonts w:hint="eastAsia"/>
          <w:sz w:val="24"/>
          <w:szCs w:val="32"/>
        </w:rPr>
        <w:t>本标准牵头起草单位有研稀土新材料股份有限公司（简称“有研稀土”）</w:t>
      </w:r>
      <w:r>
        <w:rPr>
          <w:sz w:val="24"/>
          <w:szCs w:val="32"/>
        </w:rPr>
        <w:t>负责</w:t>
      </w:r>
      <w:r>
        <w:rPr>
          <w:rFonts w:hint="eastAsia"/>
          <w:sz w:val="24"/>
          <w:szCs w:val="32"/>
        </w:rPr>
        <w:t>组织标准</w:t>
      </w:r>
      <w:r>
        <w:rPr>
          <w:sz w:val="24"/>
          <w:szCs w:val="32"/>
        </w:rPr>
        <w:t>调研、验证、标准起草</w:t>
      </w:r>
      <w:r>
        <w:rPr>
          <w:rFonts w:hint="eastAsia"/>
          <w:sz w:val="24"/>
          <w:szCs w:val="32"/>
        </w:rPr>
        <w:t>、</w:t>
      </w:r>
      <w:r>
        <w:rPr>
          <w:sz w:val="24"/>
          <w:szCs w:val="32"/>
        </w:rPr>
        <w:t>预审、审定报批工作</w:t>
      </w:r>
      <w:r>
        <w:rPr>
          <w:rFonts w:hint="eastAsia"/>
          <w:sz w:val="24"/>
          <w:szCs w:val="32"/>
        </w:rPr>
        <w:t>。有研稀土是</w:t>
      </w:r>
      <w:r>
        <w:rPr>
          <w:sz w:val="24"/>
          <w:szCs w:val="32"/>
        </w:rPr>
        <w:t>2001</w:t>
      </w:r>
      <w:r>
        <w:rPr>
          <w:rFonts w:hint="eastAsia"/>
          <w:sz w:val="24"/>
          <w:szCs w:val="32"/>
        </w:rPr>
        <w:t>年由中国有研科技集团有限公司（原北京有色金属研究总院）作为主发起人对“稀土国家工程研究中心”进行整体改制而设立的股份公司，有研稀土新材料股份有限公司（简称有研稀土）隶属于中央企业中国有研科技集团有限公司，是国家高新技术企业、国家企业技术中心，拥有国内稀土领域唯一的国家工程研究中心：稀土国家工程研究中心。其前身1952年开始稀土研究，是我国最早从事稀土研究开发的单位之一，也是我国稀土工业技术的主要发源地。有研稀土一直积极参与标准的制修订工作，牵头</w:t>
      </w:r>
      <w:r>
        <w:rPr>
          <w:sz w:val="24"/>
          <w:szCs w:val="32"/>
        </w:rPr>
        <w:t>/</w:t>
      </w:r>
      <w:r>
        <w:rPr>
          <w:rFonts w:hint="eastAsia"/>
          <w:sz w:val="24"/>
          <w:szCs w:val="32"/>
        </w:rPr>
        <w:t>参与制定了《高纯金属铽》、《高纯金属镝》、《高纯金属镱》、《金属钬》、《氟化镝》、《氟化钕》、《稀土术语</w:t>
      </w:r>
      <w:r>
        <w:rPr>
          <w:sz w:val="24"/>
          <w:szCs w:val="32"/>
        </w:rPr>
        <w:t>-</w:t>
      </w:r>
      <w:r>
        <w:rPr>
          <w:rFonts w:hint="eastAsia"/>
          <w:sz w:val="24"/>
          <w:szCs w:val="32"/>
        </w:rPr>
        <w:t>稀土金属及合金》、《稀土术语</w:t>
      </w:r>
      <w:r>
        <w:rPr>
          <w:sz w:val="24"/>
          <w:szCs w:val="32"/>
        </w:rPr>
        <w:t>-</w:t>
      </w:r>
      <w:r>
        <w:rPr>
          <w:rFonts w:hint="eastAsia"/>
          <w:sz w:val="24"/>
          <w:szCs w:val="32"/>
        </w:rPr>
        <w:t>稀土矿产品及化合物》、《快淬钕铁硼永磁粉》、《粘结钕铁硼永磁材料》、《钕铁硼速凝薄片合金》等多项稀土国际标准/国家标准/行业标准。多次参与制修订国务院新闻办《中国的稀土状况与政策》白皮书，工信部《稀土行业发展规划（2016-2020年）》、《稀土行业规范条件》、科技部《稀土化合物及金属技术发展战略研究报告》，中国工程院科技咨询项目《稀土功能材料及应用发展战略研究》等稀土政策以及重点报告，为稀土行业发展献言献策。</w:t>
      </w:r>
    </w:p>
    <w:p w14:paraId="504AFC2E">
      <w:pPr>
        <w:spacing w:line="360" w:lineRule="auto"/>
        <w:ind w:firstLine="480" w:firstLineChars="200"/>
        <w:rPr>
          <w:sz w:val="24"/>
          <w:szCs w:val="32"/>
        </w:rPr>
      </w:pPr>
      <w:r>
        <w:rPr>
          <w:rFonts w:hint="eastAsia"/>
          <w:sz w:val="24"/>
          <w:szCs w:val="32"/>
        </w:rPr>
        <w:t>标准参与起草单位由</w:t>
      </w:r>
      <w:r>
        <w:rPr>
          <w:rFonts w:hint="eastAsia" w:ascii="宋体" w:hAnsi="宋体"/>
          <w:sz w:val="24"/>
          <w:lang w:val="zh-CN" w:eastAsia="zh-CN"/>
        </w:rPr>
        <w:t>天津包钢稀土研究院有限责任公司、国合通用测试评价认证股份有限公司、雄安稀土功能材料创新中心有限公司、包头稀土研究院，北京玻璃研究院有限公司、江苏布拉维光学科技有限公司、厦门中烁光电科技有限公司、哈尔滨工业大学、厦门稀土材料研究所、赣州稀土矿业有限公司、国瑞科创稀土功能材料（赣州）有限公司、内蒙古中科蒙稀新材料有限责任公司</w:t>
      </w:r>
      <w:r>
        <w:rPr>
          <w:rFonts w:hint="eastAsia"/>
          <w:sz w:val="24"/>
          <w:szCs w:val="32"/>
        </w:rPr>
        <w:t>等多家单位组成，涵盖了国内</w:t>
      </w:r>
      <w:r>
        <w:rPr>
          <w:rFonts w:hint="eastAsia"/>
          <w:sz w:val="24"/>
          <w:szCs w:val="32"/>
          <w:lang w:val="en-US" w:eastAsia="zh-CN"/>
        </w:rPr>
        <w:t>闪烁晶体用高纯无水稀土溴化物</w:t>
      </w:r>
      <w:r>
        <w:rPr>
          <w:rFonts w:hint="eastAsia"/>
          <w:sz w:val="24"/>
          <w:szCs w:val="32"/>
        </w:rPr>
        <w:t>生产</w:t>
      </w:r>
      <w:r>
        <w:rPr>
          <w:rFonts w:hint="eastAsia"/>
          <w:sz w:val="24"/>
          <w:szCs w:val="32"/>
          <w:lang w:eastAsia="zh-CN"/>
        </w:rPr>
        <w:t>、</w:t>
      </w:r>
      <w:r>
        <w:rPr>
          <w:rFonts w:hint="eastAsia"/>
          <w:sz w:val="24"/>
          <w:szCs w:val="32"/>
          <w:lang w:val="en-US" w:eastAsia="zh-CN"/>
        </w:rPr>
        <w:t>应用</w:t>
      </w:r>
      <w:r>
        <w:rPr>
          <w:rFonts w:hint="eastAsia"/>
          <w:sz w:val="24"/>
          <w:szCs w:val="32"/>
        </w:rPr>
        <w:t>优势单位，为本标准的制定提供</w:t>
      </w:r>
      <w:r>
        <w:rPr>
          <w:rFonts w:hint="eastAsia"/>
          <w:sz w:val="24"/>
          <w:szCs w:val="32"/>
          <w:lang w:val="en-US" w:eastAsia="zh-CN"/>
        </w:rPr>
        <w:t>了良好的</w:t>
      </w:r>
      <w:r>
        <w:rPr>
          <w:rFonts w:hint="eastAsia"/>
          <w:sz w:val="24"/>
          <w:szCs w:val="32"/>
        </w:rPr>
        <w:t>技术内容</w:t>
      </w:r>
      <w:r>
        <w:rPr>
          <w:rFonts w:hint="eastAsia"/>
          <w:sz w:val="24"/>
          <w:szCs w:val="32"/>
          <w:lang w:val="en-US" w:eastAsia="zh-CN"/>
        </w:rPr>
        <w:t>支撑</w:t>
      </w:r>
      <w:r>
        <w:rPr>
          <w:rFonts w:hint="eastAsia"/>
          <w:sz w:val="24"/>
          <w:szCs w:val="32"/>
        </w:rPr>
        <w:t>。</w:t>
      </w:r>
    </w:p>
    <w:p w14:paraId="19787119">
      <w:pPr>
        <w:spacing w:line="360" w:lineRule="auto"/>
        <w:ind w:firstLine="480" w:firstLineChars="200"/>
        <w:rPr>
          <w:sz w:val="24"/>
          <w:szCs w:val="32"/>
        </w:rPr>
      </w:pPr>
      <w:r>
        <w:rPr>
          <w:rFonts w:hint="eastAsia"/>
          <w:sz w:val="24"/>
          <w:szCs w:val="32"/>
        </w:rPr>
        <w:t>本标准共同起草单位及参与标准制定人的情况见表1。</w:t>
      </w:r>
    </w:p>
    <w:p w14:paraId="16551749">
      <w:pPr>
        <w:spacing w:line="360" w:lineRule="auto"/>
        <w:ind w:firstLine="435"/>
        <w:jc w:val="center"/>
        <w:rPr>
          <w:rFonts w:ascii="黑体" w:hAnsi="黑体" w:eastAsia="黑体"/>
          <w:szCs w:val="21"/>
        </w:rPr>
      </w:pPr>
      <w:r>
        <w:rPr>
          <w:rFonts w:hint="eastAsia" w:ascii="黑体" w:hAnsi="黑体" w:eastAsia="黑体"/>
          <w:szCs w:val="21"/>
        </w:rPr>
        <w:t>表1 主要起草人及工作职责</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620"/>
      </w:tblGrid>
      <w:tr w14:paraId="7233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4106" w:type="dxa"/>
          </w:tcPr>
          <w:p w14:paraId="018D172B">
            <w:pPr>
              <w:spacing w:line="360" w:lineRule="auto"/>
              <w:ind w:firstLine="435"/>
              <w:jc w:val="center"/>
              <w:rPr>
                <w:rFonts w:hAnsi="宋体"/>
                <w:szCs w:val="21"/>
              </w:rPr>
            </w:pPr>
            <w:r>
              <w:rPr>
                <w:szCs w:val="21"/>
              </w:rPr>
              <w:t>单位</w:t>
            </w:r>
            <w:r>
              <w:rPr>
                <w:rFonts w:hint="eastAsia"/>
                <w:szCs w:val="21"/>
              </w:rPr>
              <w:t>名称</w:t>
            </w:r>
          </w:p>
        </w:tc>
        <w:tc>
          <w:tcPr>
            <w:tcW w:w="5620" w:type="dxa"/>
          </w:tcPr>
          <w:p w14:paraId="6BCB1FB8">
            <w:pPr>
              <w:spacing w:line="360" w:lineRule="auto"/>
              <w:ind w:firstLine="435"/>
              <w:jc w:val="center"/>
              <w:rPr>
                <w:rFonts w:hAnsi="宋体"/>
                <w:szCs w:val="21"/>
              </w:rPr>
            </w:pPr>
            <w:r>
              <w:rPr>
                <w:rFonts w:hint="eastAsia" w:hAnsi="宋体"/>
                <w:szCs w:val="21"/>
              </w:rPr>
              <w:t>工作职责</w:t>
            </w:r>
          </w:p>
        </w:tc>
      </w:tr>
      <w:tr w14:paraId="2E30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4106" w:type="dxa"/>
            <w:vAlign w:val="center"/>
          </w:tcPr>
          <w:p w14:paraId="29D91297">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有研稀土新材料股份有限公司</w:t>
            </w:r>
          </w:p>
        </w:tc>
        <w:tc>
          <w:tcPr>
            <w:tcW w:w="5620" w:type="dxa"/>
            <w:vAlign w:val="center"/>
          </w:tcPr>
          <w:p w14:paraId="4775A0AA">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w:t>
            </w:r>
            <w:r>
              <w:rPr>
                <w:rFonts w:ascii="Times New Roman" w:cs="Times New Roman"/>
                <w:kern w:val="2"/>
                <w:sz w:val="21"/>
                <w:szCs w:val="21"/>
              </w:rPr>
              <w:t>1</w:t>
            </w:r>
            <w:r>
              <w:rPr>
                <w:rFonts w:hint="eastAsia" w:ascii="Times New Roman" w:cs="Times New Roman"/>
                <w:kern w:val="2"/>
                <w:sz w:val="21"/>
                <w:szCs w:val="21"/>
              </w:rPr>
              <w:t>）牵头制定</w:t>
            </w:r>
            <w:r>
              <w:rPr>
                <w:rFonts w:hint="eastAsia" w:ascii="Times New Roman" w:cs="Times New Roman"/>
                <w:kern w:val="2"/>
                <w:sz w:val="21"/>
                <w:szCs w:val="21"/>
                <w:lang w:eastAsia="zh-CN"/>
              </w:rPr>
              <w:t>《</w:t>
            </w:r>
            <w:r>
              <w:rPr>
                <w:rFonts w:hint="eastAsia" w:ascii="Times New Roman" w:cs="Times New Roman"/>
                <w:kern w:val="2"/>
                <w:sz w:val="21"/>
                <w:szCs w:val="21"/>
                <w:lang w:val="en-US" w:eastAsia="zh-CN"/>
              </w:rPr>
              <w:t>闪烁晶体用高纯无水稀土溴化物》行业标准</w:t>
            </w:r>
            <w:r>
              <w:rPr>
                <w:rFonts w:hint="eastAsia" w:ascii="Times New Roman" w:cs="Times New Roman"/>
                <w:kern w:val="2"/>
                <w:sz w:val="21"/>
                <w:szCs w:val="21"/>
              </w:rPr>
              <w:t>，负责项目任务的组织管理、落实和执行等；</w:t>
            </w:r>
          </w:p>
          <w:p w14:paraId="6C2BE241">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（2）成立</w:t>
            </w:r>
            <w:r>
              <w:rPr>
                <w:rFonts w:hint="eastAsia" w:ascii="Times New Roman" w:cs="Times New Roman"/>
                <w:kern w:val="2"/>
                <w:sz w:val="21"/>
                <w:szCs w:val="21"/>
                <w:lang w:eastAsia="zh-CN"/>
              </w:rPr>
              <w:t>《</w:t>
            </w:r>
            <w:r>
              <w:rPr>
                <w:rFonts w:hint="eastAsia" w:ascii="Times New Roman" w:cs="Times New Roman"/>
                <w:kern w:val="2"/>
                <w:sz w:val="21"/>
                <w:szCs w:val="21"/>
                <w:lang w:val="en-US" w:eastAsia="zh-CN"/>
              </w:rPr>
              <w:t>闪烁晶体用高纯无水稀土溴化物》</w:t>
            </w:r>
            <w:r>
              <w:rPr>
                <w:rFonts w:hint="eastAsia" w:ascii="Times New Roman" w:cs="Times New Roman"/>
                <w:kern w:val="2"/>
                <w:sz w:val="21"/>
                <w:szCs w:val="21"/>
              </w:rPr>
              <w:t>行业标准项目编制小组，组织标准技术内容讨论；</w:t>
            </w:r>
          </w:p>
          <w:p w14:paraId="2C2FAAE0">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w:t>
            </w:r>
            <w:r>
              <w:rPr>
                <w:rFonts w:ascii="Times New Roman" w:cs="Times New Roman"/>
                <w:kern w:val="2"/>
                <w:sz w:val="21"/>
                <w:szCs w:val="21"/>
              </w:rPr>
              <w:t>3</w:t>
            </w:r>
            <w:r>
              <w:rPr>
                <w:rFonts w:hint="eastAsia" w:ascii="Times New Roman" w:cs="Times New Roman"/>
                <w:kern w:val="2"/>
                <w:sz w:val="21"/>
                <w:szCs w:val="21"/>
              </w:rPr>
              <w:t>）收集汇总各标准参与单位和行业内容各专家代表的意见，负责编制</w:t>
            </w:r>
            <w:r>
              <w:rPr>
                <w:rFonts w:hint="eastAsia" w:ascii="Times New Roman" w:cs="Times New Roman"/>
                <w:kern w:val="2"/>
                <w:sz w:val="21"/>
                <w:szCs w:val="21"/>
                <w:lang w:eastAsia="zh-CN"/>
              </w:rPr>
              <w:t>《</w:t>
            </w:r>
            <w:r>
              <w:rPr>
                <w:rFonts w:hint="eastAsia" w:ascii="Times New Roman" w:cs="Times New Roman"/>
                <w:kern w:val="2"/>
                <w:sz w:val="21"/>
                <w:szCs w:val="21"/>
                <w:lang w:val="en-US" w:eastAsia="zh-CN"/>
              </w:rPr>
              <w:t>闪烁晶体用高纯无水稀土溴化物》标准</w:t>
            </w:r>
            <w:r>
              <w:rPr>
                <w:rFonts w:hint="eastAsia" w:ascii="Times New Roman" w:cs="Times New Roman"/>
                <w:kern w:val="2"/>
                <w:sz w:val="21"/>
                <w:szCs w:val="21"/>
              </w:rPr>
              <w:t>征求意见稿、编制说明等文件；</w:t>
            </w:r>
          </w:p>
          <w:p w14:paraId="140810DA">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（4）调研</w:t>
            </w:r>
            <w:r>
              <w:rPr>
                <w:rFonts w:hint="eastAsia" w:ascii="Times New Roman" w:cs="Times New Roman"/>
                <w:kern w:val="2"/>
                <w:sz w:val="21"/>
                <w:szCs w:val="21"/>
                <w:lang w:val="en-US" w:eastAsia="zh-CN"/>
              </w:rPr>
              <w:t>闪烁晶体用高纯无水稀土溴化物</w:t>
            </w:r>
            <w:r>
              <w:rPr>
                <w:rFonts w:hint="eastAsia" w:ascii="Times New Roman" w:cs="Times New Roman"/>
                <w:kern w:val="2"/>
                <w:sz w:val="21"/>
                <w:szCs w:val="21"/>
              </w:rPr>
              <w:t>的应用情况及其技术要求；</w:t>
            </w:r>
          </w:p>
          <w:p w14:paraId="3C75D31E">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（5）负责完成标准报批文件。</w:t>
            </w:r>
          </w:p>
        </w:tc>
      </w:tr>
      <w:tr w14:paraId="12E7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4106" w:type="dxa"/>
            <w:vAlign w:val="center"/>
          </w:tcPr>
          <w:p w14:paraId="209232B1">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lang w:val="zh-CN" w:eastAsia="zh-CN"/>
              </w:rPr>
              <w:t>天津包钢稀土研究院有限责任公司、国合通用测试评价认证股份有限公司、雄安稀土功能材料创新中心有限公司、包头稀土研究院、北京玻璃研究院有限公司、江苏布拉维光学科技有限公司、厦门中烁光电科技有限公司、哈尔滨工业大学、厦门稀土材料研究所、赣州稀土矿业有限公司、国瑞科创稀土功能材料（赣州）有限公司、内蒙古中科蒙稀新材料有限责任公司</w:t>
            </w:r>
          </w:p>
        </w:tc>
        <w:tc>
          <w:tcPr>
            <w:tcW w:w="5620" w:type="dxa"/>
            <w:vAlign w:val="center"/>
          </w:tcPr>
          <w:p w14:paraId="5CBBE21C">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（1）</w:t>
            </w:r>
            <w:bookmarkStart w:id="2" w:name="_Hlk145068566"/>
            <w:r>
              <w:rPr>
                <w:rFonts w:hint="eastAsia" w:ascii="Times New Roman" w:cs="Times New Roman"/>
                <w:kern w:val="2"/>
                <w:sz w:val="21"/>
                <w:szCs w:val="21"/>
              </w:rPr>
              <w:t>提供各单位有关</w:t>
            </w:r>
            <w:r>
              <w:rPr>
                <w:rFonts w:hint="eastAsia" w:ascii="Times New Roman" w:cs="Times New Roman"/>
                <w:kern w:val="2"/>
                <w:sz w:val="21"/>
                <w:szCs w:val="21"/>
                <w:lang w:val="en-US" w:eastAsia="zh-CN"/>
              </w:rPr>
              <w:t>闪烁晶体用高纯无水稀土溴化物的</w:t>
            </w:r>
            <w:r>
              <w:rPr>
                <w:rFonts w:hint="eastAsia" w:ascii="Times New Roman" w:cs="Times New Roman"/>
                <w:kern w:val="2"/>
                <w:sz w:val="21"/>
                <w:szCs w:val="21"/>
              </w:rPr>
              <w:t>生产情况、产品技术指标，以及产品的应用情况</w:t>
            </w:r>
            <w:bookmarkEnd w:id="2"/>
            <w:r>
              <w:rPr>
                <w:rFonts w:hint="eastAsia" w:ascii="Times New Roman" w:cs="Times New Roman"/>
                <w:kern w:val="2"/>
                <w:sz w:val="21"/>
                <w:szCs w:val="21"/>
              </w:rPr>
              <w:t>；</w:t>
            </w:r>
          </w:p>
          <w:p w14:paraId="21BA8A3B">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（2）参与标准技术内容的讨论并给出技术意见反馈</w:t>
            </w:r>
            <w:r>
              <w:rPr>
                <w:rFonts w:hint="eastAsia" w:ascii="Times New Roman" w:cs="Times New Roman"/>
                <w:kern w:val="2"/>
                <w:sz w:val="21"/>
                <w:szCs w:val="21"/>
                <w:lang w:eastAsia="zh-CN"/>
              </w:rPr>
              <w:t>，</w:t>
            </w:r>
            <w:r>
              <w:rPr>
                <w:rFonts w:hint="eastAsia" w:ascii="Times New Roman" w:cs="Times New Roman"/>
                <w:kern w:val="2"/>
                <w:sz w:val="21"/>
                <w:szCs w:val="21"/>
                <w:lang w:val="en-US" w:eastAsia="zh-CN"/>
              </w:rPr>
              <w:t>配合编制技术附录</w:t>
            </w:r>
            <w:r>
              <w:rPr>
                <w:rFonts w:hint="eastAsia" w:ascii="Times New Roman" w:cs="Times New Roman"/>
                <w:kern w:val="2"/>
                <w:sz w:val="21"/>
                <w:szCs w:val="21"/>
              </w:rPr>
              <w:t>；</w:t>
            </w:r>
          </w:p>
          <w:p w14:paraId="637A435A">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（3）积极参与稀土标委会组织的预审会、审定会，协助标准牵头单位共同完成标准的预审、审定和报批工作。</w:t>
            </w:r>
          </w:p>
        </w:tc>
      </w:tr>
    </w:tbl>
    <w:p w14:paraId="6B2BF26F">
      <w:pPr>
        <w:pStyle w:val="120"/>
        <w:tabs>
          <w:tab w:val="clear" w:pos="675"/>
        </w:tabs>
        <w:spacing w:before="156" w:beforeLines="50" w:after="156" w:afterLines="50" w:line="360" w:lineRule="auto"/>
        <w:ind w:left="0" w:firstLine="0"/>
        <w:rPr>
          <w:rFonts w:hAnsi="黑体"/>
          <w:b/>
          <w:bCs/>
          <w:sz w:val="24"/>
          <w:szCs w:val="22"/>
        </w:rPr>
      </w:pPr>
      <w:r>
        <w:rPr>
          <w:rFonts w:hint="eastAsia" w:hAnsi="黑体"/>
          <w:b/>
          <w:bCs/>
          <w:sz w:val="24"/>
          <w:szCs w:val="22"/>
        </w:rPr>
        <w:t>（三）研制背景</w:t>
      </w:r>
    </w:p>
    <w:p w14:paraId="33D31D19">
      <w:pPr>
        <w:spacing w:line="360" w:lineRule="auto"/>
        <w:rPr>
          <w:b/>
          <w:bCs/>
          <w:sz w:val="24"/>
          <w:szCs w:val="32"/>
        </w:rPr>
      </w:pPr>
      <w:r>
        <w:rPr>
          <w:b/>
          <w:bCs/>
          <w:sz w:val="24"/>
          <w:szCs w:val="32"/>
        </w:rPr>
        <w:t>1</w:t>
      </w:r>
      <w:r>
        <w:rPr>
          <w:rFonts w:hint="eastAsia"/>
          <w:b/>
          <w:bCs/>
          <w:sz w:val="24"/>
          <w:szCs w:val="32"/>
        </w:rPr>
        <w:t>、项目的必要性简述</w:t>
      </w:r>
    </w:p>
    <w:p w14:paraId="5A48B509">
      <w:pPr>
        <w:adjustRightInd w:val="0"/>
        <w:snapToGrid w:val="0"/>
        <w:spacing w:line="360" w:lineRule="auto"/>
        <w:ind w:firstLine="480" w:firstLineChars="200"/>
        <w:rPr>
          <w:rFonts w:hint="eastAsia"/>
          <w:sz w:val="24"/>
        </w:rPr>
      </w:pPr>
      <w:r>
        <w:rPr>
          <w:rFonts w:hint="eastAsia"/>
          <w:sz w:val="24"/>
        </w:rPr>
        <w:t>以LaBr</w:t>
      </w:r>
      <w:r>
        <w:rPr>
          <w:rFonts w:hint="eastAsia"/>
          <w:sz w:val="24"/>
          <w:vertAlign w:val="subscript"/>
        </w:rPr>
        <w:t>3</w:t>
      </w:r>
      <w:r>
        <w:rPr>
          <w:rFonts w:hint="eastAsia"/>
          <w:sz w:val="24"/>
        </w:rPr>
        <w:t>:Ce、CeBr</w:t>
      </w:r>
      <w:r>
        <w:rPr>
          <w:rFonts w:hint="eastAsia"/>
          <w:sz w:val="24"/>
          <w:vertAlign w:val="subscript"/>
        </w:rPr>
        <w:t>3</w:t>
      </w:r>
      <w:r>
        <w:rPr>
          <w:rFonts w:hint="eastAsia"/>
          <w:sz w:val="24"/>
        </w:rPr>
        <w:t>、Cs</w:t>
      </w:r>
      <w:r>
        <w:rPr>
          <w:rFonts w:hint="eastAsia"/>
          <w:sz w:val="24"/>
          <w:vertAlign w:val="subscript"/>
        </w:rPr>
        <w:t>2</w:t>
      </w:r>
      <w:r>
        <w:rPr>
          <w:rFonts w:hint="eastAsia"/>
          <w:sz w:val="24"/>
        </w:rPr>
        <w:t>LiLaBr</w:t>
      </w:r>
      <w:r>
        <w:rPr>
          <w:rFonts w:hint="eastAsia"/>
          <w:sz w:val="24"/>
          <w:vertAlign w:val="subscript"/>
        </w:rPr>
        <w:t>6</w:t>
      </w:r>
      <w:r>
        <w:rPr>
          <w:rFonts w:hint="eastAsia"/>
          <w:sz w:val="24"/>
        </w:rPr>
        <w:t>:Ce（CLLB）为代表的新型高性能稀土卤化物闪烁晶体是当前无机闪烁材料的发展前沿，具有重要的应用价值和良好的市场前景</w:t>
      </w:r>
      <w:r>
        <w:rPr>
          <w:rFonts w:hint="eastAsia"/>
          <w:sz w:val="24"/>
          <w:lang w:eastAsia="zh-CN"/>
        </w:rPr>
        <w:t>，</w:t>
      </w:r>
      <w:r>
        <w:rPr>
          <w:rFonts w:hint="eastAsia"/>
          <w:sz w:val="24"/>
          <w:lang w:val="en-US" w:eastAsia="zh-CN"/>
        </w:rPr>
        <w:t>特别是在国防军工、深海深空探测前沿科学工程领域具有重大应用，</w:t>
      </w:r>
      <w:r>
        <w:rPr>
          <w:rFonts w:hint="eastAsia"/>
          <w:color w:val="000000"/>
          <w:kern w:val="0"/>
          <w:sz w:val="24"/>
        </w:rPr>
        <w:t>入选重点新材料首批次应用示范指导目录（201</w:t>
      </w:r>
      <w:r>
        <w:rPr>
          <w:rFonts w:hint="eastAsia"/>
          <w:color w:val="000000"/>
          <w:kern w:val="0"/>
          <w:sz w:val="24"/>
          <w:lang w:val="en-US" w:eastAsia="zh-CN"/>
        </w:rPr>
        <w:t>9</w:t>
      </w:r>
      <w:r>
        <w:rPr>
          <w:rFonts w:hint="eastAsia"/>
          <w:color w:val="000000"/>
          <w:kern w:val="0"/>
          <w:sz w:val="24"/>
        </w:rPr>
        <w:t>版）</w:t>
      </w:r>
      <w:r>
        <w:rPr>
          <w:rFonts w:hint="eastAsia"/>
          <w:sz w:val="24"/>
        </w:rPr>
        <w:t>。法国Saint-Gobain公司、德国Hellma Materials公司</w:t>
      </w:r>
      <w:r>
        <w:rPr>
          <w:rFonts w:hint="eastAsia"/>
          <w:sz w:val="24"/>
          <w:lang w:val="en-US" w:eastAsia="zh-CN"/>
        </w:rPr>
        <w:t>在国际上</w:t>
      </w:r>
      <w:r>
        <w:rPr>
          <w:rFonts w:hint="eastAsia"/>
          <w:sz w:val="24"/>
        </w:rPr>
        <w:t>实现了LaBr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、CLLB晶体的量产，并占据了绝大部分市场份额。国内北京玻璃研究院、河北华凯龙科技有限公司等近年来也先后推出了相应的LaBr</w:t>
      </w:r>
      <w:r>
        <w:rPr>
          <w:rFonts w:hint="eastAsia"/>
          <w:sz w:val="24"/>
          <w:vertAlign w:val="subscript"/>
        </w:rPr>
        <w:t>3</w:t>
      </w:r>
      <w:r>
        <w:rPr>
          <w:rFonts w:hint="eastAsia"/>
          <w:sz w:val="24"/>
        </w:rPr>
        <w:t>:Ce</w:t>
      </w:r>
      <w:r>
        <w:rPr>
          <w:rFonts w:hint="eastAsia"/>
          <w:sz w:val="24"/>
          <w:lang w:eastAsia="zh-CN"/>
        </w:rPr>
        <w:t>、</w:t>
      </w:r>
      <w:r>
        <w:rPr>
          <w:rFonts w:hint="eastAsia"/>
          <w:sz w:val="24"/>
          <w:lang w:val="en-US" w:eastAsia="zh-CN"/>
        </w:rPr>
        <w:t>CeBr</w:t>
      </w:r>
      <w:r>
        <w:rPr>
          <w:rFonts w:hint="eastAsia"/>
          <w:sz w:val="24"/>
          <w:vertAlign w:val="subscript"/>
          <w:lang w:val="en-US" w:eastAsia="zh-CN"/>
        </w:rPr>
        <w:t>3</w:t>
      </w:r>
      <w:r>
        <w:rPr>
          <w:rFonts w:hint="eastAsia"/>
          <w:sz w:val="24"/>
        </w:rPr>
        <w:t>晶体产品，市场整体处于快速发展阶段，对晶体生长用溴化镧、溴化铈等高纯无水稀土溴化物原料的需求逐年增加。由于稀土溴化物极易潮解，晶体生长用高纯无水原料的制备较为困难，过去长期依赖进口。</w:t>
      </w:r>
      <w:r>
        <w:rPr>
          <w:rFonts w:hint="eastAsia"/>
          <w:sz w:val="24"/>
          <w:lang w:val="en-US" w:eastAsia="zh-CN"/>
        </w:rPr>
        <w:t>有研稀土</w:t>
      </w:r>
      <w:r>
        <w:rPr>
          <w:rFonts w:hint="eastAsia"/>
          <w:sz w:val="24"/>
        </w:rPr>
        <w:t>于2016年国内率先突破闪烁晶体用高纯无水溴化镧、溴化铈等多种稀土卤化物的批量制备技术，并建成首条中试生产线。相关产品自2017年起实现了批量生产和销售，累计已实现销售超过</w:t>
      </w:r>
      <w:r>
        <w:rPr>
          <w:rFonts w:hint="eastAsia"/>
          <w:sz w:val="24"/>
          <w:lang w:val="en-US" w:eastAsia="zh-CN"/>
        </w:rPr>
        <w:t>2</w:t>
      </w:r>
      <w:r>
        <w:rPr>
          <w:rFonts w:hint="eastAsia"/>
          <w:sz w:val="24"/>
        </w:rPr>
        <w:t>吨，获得了国内外客户的广泛认可。但目前行业内对于闪烁晶体用高纯无水溴化镧、溴化铈没有统一的产品标准，对其产品质量的认定特别是微量水、氧杂质的检测也没有统一的方法，造成市场上稀土卤化物产品质量良莠不齐，阻碍</w:t>
      </w:r>
      <w:r>
        <w:rPr>
          <w:rFonts w:hint="eastAsia"/>
          <w:sz w:val="24"/>
          <w:lang w:val="en-US" w:eastAsia="zh-CN"/>
        </w:rPr>
        <w:t>了</w:t>
      </w:r>
      <w:r>
        <w:rPr>
          <w:rFonts w:hint="eastAsia"/>
          <w:sz w:val="24"/>
        </w:rPr>
        <w:t>LaBr</w:t>
      </w:r>
      <w:r>
        <w:rPr>
          <w:rFonts w:hint="eastAsia"/>
          <w:sz w:val="24"/>
          <w:vertAlign w:val="subscript"/>
        </w:rPr>
        <w:t>3</w:t>
      </w:r>
      <w:r>
        <w:rPr>
          <w:rFonts w:hint="eastAsia"/>
          <w:sz w:val="24"/>
        </w:rPr>
        <w:t>:Ce、CeBr3等稀土卤化物闪烁晶体新材料产业的健康发展，亟待予以规范。</w:t>
      </w:r>
    </w:p>
    <w:p w14:paraId="4B513CA2">
      <w:pPr>
        <w:adjustRightInd w:val="0"/>
        <w:snapToGrid w:val="0"/>
        <w:spacing w:line="360" w:lineRule="auto"/>
        <w:ind w:firstLine="480" w:firstLineChars="200"/>
        <w:rPr>
          <w:sz w:val="24"/>
        </w:rPr>
      </w:pPr>
      <w:r>
        <w:rPr>
          <w:rFonts w:hint="eastAsia"/>
          <w:sz w:val="24"/>
        </w:rPr>
        <w:t>目前LaBr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、CLLB晶体主要用于</w:t>
      </w:r>
      <w:r>
        <w:rPr>
          <w:rFonts w:hint="eastAsia"/>
          <w:sz w:val="24"/>
          <w:lang w:val="en-US" w:eastAsia="zh-CN"/>
        </w:rPr>
        <w:t>国防军工、尖端</w:t>
      </w:r>
      <w:r>
        <w:rPr>
          <w:rFonts w:hint="eastAsia"/>
          <w:sz w:val="24"/>
        </w:rPr>
        <w:t>科学仪器等高端领域，全球市场规模约3000万美元，国内市场约3000万元。随着LaBr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生长技术的进一步成熟和下游应用的扩展，其有望替代NaI:Tl、CsI:Tl、BGO、LYSO等传统闪烁晶体，在PET、SPECT等核医学领域以及安全检查、环境监测、石油测井等诸多领域获得应用，推动相关领域的技术升级和高质量发展，具有显著的经济价值。同时，由于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、CLLB晶体主要利用La、Ce等轻稀土资源，其发展也将有力促进我国稀土资源的平衡利用和轻稀土资源的高值化利用。</w:t>
      </w:r>
    </w:p>
    <w:p w14:paraId="2D81205A">
      <w:pPr>
        <w:adjustRightInd w:val="0"/>
        <w:snapToGrid w:val="0"/>
        <w:spacing w:line="360" w:lineRule="auto"/>
        <w:ind w:firstLine="480" w:firstLineChars="200"/>
        <w:rPr>
          <w:sz w:val="24"/>
        </w:rPr>
      </w:pPr>
      <w:r>
        <w:rPr>
          <w:rFonts w:hint="eastAsia"/>
          <w:sz w:val="24"/>
        </w:rPr>
        <w:t>我国虽然是稀土资源大国，但在高性能稀土闪烁晶体领域一直与欧美发达国家存在较大差距。当前，我国在以LaBr</w:t>
      </w:r>
      <w:r>
        <w:rPr>
          <w:rFonts w:hint="eastAsia"/>
          <w:sz w:val="24"/>
          <w:vertAlign w:val="subscript"/>
        </w:rPr>
        <w:t>3</w:t>
      </w:r>
      <w:r>
        <w:rPr>
          <w:rFonts w:hint="eastAsia"/>
          <w:sz w:val="24"/>
        </w:rPr>
        <w:t>:Ce、CeBr</w:t>
      </w:r>
      <w:r>
        <w:rPr>
          <w:rFonts w:hint="eastAsia"/>
          <w:sz w:val="24"/>
          <w:vertAlign w:val="subscript"/>
        </w:rPr>
        <w:t>3</w:t>
      </w:r>
      <w:r>
        <w:rPr>
          <w:rFonts w:hint="eastAsia"/>
          <w:sz w:val="24"/>
        </w:rPr>
        <w:t>为代表的新一代高性能稀土卤化物闪烁晶体材料领域已经建立了较完整的产业链，基本打通了从高纯无水原料制备、大尺寸单晶生长到下游应用器件的关键技术通道，业已具备制订相关产品标准的条件。制订本标准将有助于规范、引导我国闪烁晶体用高纯无水LaBr</w:t>
      </w:r>
      <w:r>
        <w:rPr>
          <w:rFonts w:hint="eastAsia"/>
          <w:sz w:val="24"/>
          <w:vertAlign w:val="subscript"/>
        </w:rPr>
        <w:t>3</w:t>
      </w:r>
      <w:r>
        <w:rPr>
          <w:rFonts w:hint="eastAsia"/>
          <w:sz w:val="24"/>
        </w:rPr>
        <w:t>、CeBr</w:t>
      </w:r>
      <w:r>
        <w:rPr>
          <w:rFonts w:hint="eastAsia"/>
          <w:sz w:val="24"/>
          <w:vertAlign w:val="subscript"/>
        </w:rPr>
        <w:t>3</w:t>
      </w:r>
      <w:r>
        <w:rPr>
          <w:rFonts w:hint="eastAsia"/>
          <w:sz w:val="24"/>
        </w:rPr>
        <w:t>原料的生产和应用，从而支持、推动我国LaBr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、CLLB等高性能稀土卤化物闪烁晶体材料及其下游应用产业的发展，缩小与国际领先水平的差距。</w:t>
      </w:r>
    </w:p>
    <w:p w14:paraId="6D58EC57">
      <w:pPr>
        <w:spacing w:line="360" w:lineRule="auto"/>
        <w:rPr>
          <w:b/>
          <w:bCs/>
          <w:sz w:val="24"/>
          <w:szCs w:val="32"/>
        </w:rPr>
      </w:pPr>
      <w:r>
        <w:rPr>
          <w:b/>
          <w:bCs/>
          <w:sz w:val="24"/>
          <w:szCs w:val="32"/>
        </w:rPr>
        <w:t>2</w:t>
      </w:r>
      <w:r>
        <w:rPr>
          <w:rFonts w:hint="eastAsia"/>
          <w:b/>
          <w:bCs/>
          <w:sz w:val="24"/>
          <w:szCs w:val="32"/>
        </w:rPr>
        <w:t>、项目的可行性简述</w:t>
      </w:r>
    </w:p>
    <w:p w14:paraId="2ABA4E1E">
      <w:pPr>
        <w:spacing w:line="360" w:lineRule="auto"/>
        <w:ind w:firstLine="420"/>
        <w:rPr>
          <w:color w:val="000000"/>
          <w:kern w:val="0"/>
          <w:sz w:val="24"/>
        </w:rPr>
      </w:pPr>
      <w:r>
        <w:rPr>
          <w:rFonts w:hint="eastAsia"/>
          <w:color w:val="000000"/>
          <w:kern w:val="0"/>
          <w:sz w:val="24"/>
        </w:rPr>
        <w:t>项目牵头单位和参与单位涵盖了国内主要</w:t>
      </w:r>
      <w:r>
        <w:rPr>
          <w:rFonts w:hint="eastAsia"/>
          <w:color w:val="000000"/>
          <w:kern w:val="0"/>
          <w:sz w:val="24"/>
          <w:lang w:val="en-US" w:eastAsia="zh-CN"/>
        </w:rPr>
        <w:t>的闪烁晶体用高纯无水稀土溴化物</w:t>
      </w:r>
      <w:r>
        <w:rPr>
          <w:rFonts w:hint="eastAsia"/>
          <w:color w:val="000000"/>
          <w:kern w:val="0"/>
          <w:sz w:val="24"/>
        </w:rPr>
        <w:t>生产单位和使用单位，建立了</w:t>
      </w:r>
      <w:r>
        <w:rPr>
          <w:rFonts w:hint="eastAsia"/>
          <w:color w:val="000000"/>
          <w:kern w:val="0"/>
          <w:sz w:val="24"/>
          <w:lang w:val="en-US" w:eastAsia="zh-CN"/>
        </w:rPr>
        <w:t>闪烁晶体用高纯无水稀土溴化物</w:t>
      </w:r>
      <w:r>
        <w:rPr>
          <w:rFonts w:hint="eastAsia"/>
          <w:color w:val="000000"/>
          <w:kern w:val="0"/>
          <w:sz w:val="24"/>
        </w:rPr>
        <w:t>的完整生产工艺及生产线，同时为</w:t>
      </w:r>
      <w:r>
        <w:rPr>
          <w:rFonts w:hint="eastAsia"/>
          <w:color w:val="000000"/>
          <w:kern w:val="0"/>
          <w:sz w:val="24"/>
          <w:lang w:val="en-US" w:eastAsia="zh-CN"/>
        </w:rPr>
        <w:t>闪烁晶体用高纯无水稀土溴化物</w:t>
      </w:r>
      <w:r>
        <w:rPr>
          <w:rFonts w:hint="eastAsia"/>
          <w:color w:val="000000"/>
          <w:kern w:val="0"/>
          <w:sz w:val="24"/>
        </w:rPr>
        <w:t>建立了较完善的工艺操作制度和分析检测制度，为标准技术指标的合理设定提供了良好的基础。此外，</w:t>
      </w:r>
      <w:r>
        <w:rPr>
          <w:rFonts w:hint="eastAsia"/>
          <w:color w:val="000000"/>
          <w:kern w:val="0"/>
          <w:sz w:val="24"/>
          <w:lang w:val="en-US" w:eastAsia="zh-CN"/>
        </w:rPr>
        <w:t>项目牵头单位</w:t>
      </w:r>
      <w:r>
        <w:rPr>
          <w:rFonts w:hint="eastAsia"/>
          <w:color w:val="000000"/>
          <w:kern w:val="0"/>
          <w:sz w:val="24"/>
        </w:rPr>
        <w:t>有研稀土新材料股份有限公司成立2</w:t>
      </w:r>
      <w:r>
        <w:rPr>
          <w:color w:val="000000"/>
          <w:kern w:val="0"/>
          <w:sz w:val="24"/>
        </w:rPr>
        <w:t>0</w:t>
      </w:r>
      <w:r>
        <w:rPr>
          <w:rFonts w:hint="eastAsia"/>
          <w:color w:val="000000"/>
          <w:kern w:val="0"/>
          <w:sz w:val="24"/>
        </w:rPr>
        <w:t>多年来一直积极参与标准的制修订工作，牵头</w:t>
      </w:r>
      <w:r>
        <w:rPr>
          <w:color w:val="000000"/>
          <w:kern w:val="0"/>
          <w:sz w:val="24"/>
        </w:rPr>
        <w:t>/</w:t>
      </w:r>
      <w:r>
        <w:rPr>
          <w:rFonts w:hint="eastAsia"/>
          <w:color w:val="000000"/>
          <w:kern w:val="0"/>
          <w:sz w:val="24"/>
        </w:rPr>
        <w:t>参与制定了《氟化镝》、《氟化钕》、《稀土术语</w:t>
      </w:r>
      <w:r>
        <w:rPr>
          <w:color w:val="000000"/>
          <w:kern w:val="0"/>
          <w:sz w:val="24"/>
        </w:rPr>
        <w:t>-</w:t>
      </w:r>
      <w:r>
        <w:rPr>
          <w:rFonts w:hint="eastAsia"/>
          <w:color w:val="000000"/>
          <w:kern w:val="0"/>
          <w:sz w:val="24"/>
        </w:rPr>
        <w:t>稀土金属及合金》、《稀土术语</w:t>
      </w:r>
      <w:r>
        <w:rPr>
          <w:color w:val="000000"/>
          <w:kern w:val="0"/>
          <w:sz w:val="24"/>
        </w:rPr>
        <w:t>-</w:t>
      </w:r>
      <w:r>
        <w:rPr>
          <w:rFonts w:hint="eastAsia"/>
          <w:color w:val="000000"/>
          <w:kern w:val="0"/>
          <w:sz w:val="24"/>
        </w:rPr>
        <w:t>稀土矿产品及化合物》、《快淬钕铁硼永磁粉》、《粘结钕铁硼永磁材料》、《钕铁硼速凝薄片合金》、《金属钬》、《高纯金属镝》、《高纯金属铽》等</w:t>
      </w:r>
      <w:r>
        <w:rPr>
          <w:color w:val="000000"/>
          <w:kern w:val="0"/>
          <w:sz w:val="24"/>
        </w:rPr>
        <w:t>60</w:t>
      </w:r>
      <w:r>
        <w:rPr>
          <w:rFonts w:hint="eastAsia"/>
          <w:color w:val="000000"/>
          <w:kern w:val="0"/>
          <w:sz w:val="24"/>
        </w:rPr>
        <w:t>多项稀土国际标准/国家标准/行业标准，具备承担标准制修订任务的能力。</w:t>
      </w:r>
    </w:p>
    <w:p w14:paraId="6D5C6CC6">
      <w:pPr>
        <w:pStyle w:val="120"/>
        <w:tabs>
          <w:tab w:val="clear" w:pos="675"/>
        </w:tabs>
        <w:spacing w:before="156" w:beforeLines="50" w:after="156" w:afterLines="50" w:line="360" w:lineRule="auto"/>
        <w:ind w:left="0" w:firstLine="0"/>
        <w:rPr>
          <w:rFonts w:hAnsi="黑体"/>
          <w:b/>
          <w:bCs/>
          <w:sz w:val="22"/>
          <w:szCs w:val="21"/>
        </w:rPr>
      </w:pPr>
      <w:r>
        <w:rPr>
          <w:rFonts w:hint="eastAsia" w:hAnsi="黑体"/>
          <w:b/>
          <w:bCs/>
          <w:sz w:val="22"/>
          <w:szCs w:val="21"/>
        </w:rPr>
        <w:t>（四）主要工作过程</w:t>
      </w:r>
    </w:p>
    <w:p w14:paraId="0F8F4885">
      <w:pPr>
        <w:spacing w:line="360" w:lineRule="auto"/>
        <w:rPr>
          <w:b/>
          <w:bCs/>
          <w:sz w:val="24"/>
          <w:szCs w:val="32"/>
        </w:rPr>
      </w:pPr>
      <w:r>
        <w:rPr>
          <w:b/>
          <w:bCs/>
          <w:sz w:val="24"/>
          <w:szCs w:val="32"/>
        </w:rPr>
        <w:t>1、起草阶段</w:t>
      </w:r>
    </w:p>
    <w:p w14:paraId="5D9BDF80">
      <w:pPr>
        <w:spacing w:line="360" w:lineRule="auto"/>
        <w:ind w:firstLine="420"/>
        <w:rPr>
          <w:color w:val="000000"/>
          <w:kern w:val="0"/>
          <w:sz w:val="24"/>
        </w:rPr>
      </w:pPr>
      <w:r>
        <w:rPr>
          <w:rFonts w:hint="eastAsia"/>
          <w:color w:val="000000"/>
          <w:kern w:val="0"/>
          <w:sz w:val="24"/>
        </w:rPr>
        <w:t>根据任务落实会议精神，</w:t>
      </w:r>
      <w:r>
        <w:rPr>
          <w:rFonts w:hint="eastAsia"/>
          <w:color w:val="000000"/>
          <w:kern w:val="0"/>
          <w:sz w:val="24"/>
          <w:lang w:val="en-US" w:eastAsia="zh-CN"/>
        </w:rPr>
        <w:t>有研稀土</w:t>
      </w:r>
      <w:r>
        <w:rPr>
          <w:rFonts w:hint="eastAsia"/>
          <w:color w:val="000000"/>
          <w:kern w:val="0"/>
          <w:sz w:val="24"/>
        </w:rPr>
        <w:t>牵头组建了《</w:t>
      </w:r>
      <w:r>
        <w:rPr>
          <w:rFonts w:hint="eastAsia"/>
          <w:color w:val="000000"/>
          <w:kern w:val="0"/>
          <w:sz w:val="24"/>
          <w:lang w:val="en-US" w:eastAsia="zh-CN"/>
        </w:rPr>
        <w:t>闪烁晶体用高纯无水稀土溴化物</w:t>
      </w:r>
      <w:r>
        <w:rPr>
          <w:rFonts w:hint="eastAsia"/>
          <w:color w:val="000000"/>
          <w:kern w:val="0"/>
          <w:sz w:val="24"/>
        </w:rPr>
        <w:t>》编制工作组，建立了相应工作交流群，成员涵盖了项目牵头单位和参与单位生产部门、质管办、市场部技术人员。主要进行了如下工作。</w:t>
      </w:r>
    </w:p>
    <w:p w14:paraId="2D0F9D89">
      <w:pPr>
        <w:pStyle w:val="136"/>
        <w:numPr>
          <w:ilvl w:val="0"/>
          <w:numId w:val="2"/>
        </w:numPr>
        <w:spacing w:line="360" w:lineRule="auto"/>
        <w:ind w:firstLineChars="0"/>
        <w:rPr>
          <w:color w:val="000000"/>
          <w:kern w:val="0"/>
          <w:sz w:val="24"/>
        </w:rPr>
      </w:pPr>
      <w:r>
        <w:rPr>
          <w:color w:val="000000"/>
          <w:kern w:val="0"/>
          <w:sz w:val="24"/>
        </w:rPr>
        <w:t>确立</w:t>
      </w:r>
      <w:r>
        <w:rPr>
          <w:rFonts w:hint="eastAsia"/>
          <w:color w:val="000000"/>
          <w:kern w:val="0"/>
          <w:sz w:val="24"/>
        </w:rPr>
        <w:t>了</w:t>
      </w:r>
      <w:r>
        <w:rPr>
          <w:color w:val="000000"/>
          <w:kern w:val="0"/>
          <w:sz w:val="24"/>
        </w:rPr>
        <w:t>《</w:t>
      </w:r>
      <w:r>
        <w:rPr>
          <w:rFonts w:hint="eastAsia"/>
          <w:color w:val="000000"/>
          <w:kern w:val="0"/>
          <w:sz w:val="24"/>
          <w:lang w:val="en-US" w:eastAsia="zh-CN"/>
        </w:rPr>
        <w:t>闪烁晶体用高纯无水稀土溴化物</w:t>
      </w:r>
      <w:r>
        <w:rPr>
          <w:color w:val="000000"/>
          <w:kern w:val="0"/>
          <w:sz w:val="24"/>
        </w:rPr>
        <w:t xml:space="preserve">》行标起草遵循的基本原则； </w:t>
      </w:r>
    </w:p>
    <w:p w14:paraId="73B10767">
      <w:pPr>
        <w:pStyle w:val="136"/>
        <w:numPr>
          <w:ilvl w:val="0"/>
          <w:numId w:val="2"/>
        </w:numPr>
        <w:spacing w:line="360" w:lineRule="auto"/>
        <w:ind w:firstLineChars="0"/>
        <w:rPr>
          <w:color w:val="000000"/>
          <w:kern w:val="0"/>
          <w:sz w:val="24"/>
        </w:rPr>
      </w:pPr>
      <w:r>
        <w:rPr>
          <w:color w:val="000000"/>
          <w:kern w:val="0"/>
          <w:sz w:val="24"/>
        </w:rPr>
        <w:t>对生产、使用厂家进行调研取样、收集资料；</w:t>
      </w:r>
    </w:p>
    <w:p w14:paraId="3073D393">
      <w:pPr>
        <w:pStyle w:val="136"/>
        <w:numPr>
          <w:ilvl w:val="0"/>
          <w:numId w:val="2"/>
        </w:numPr>
        <w:spacing w:line="360" w:lineRule="auto"/>
        <w:ind w:firstLineChars="0"/>
        <w:rPr>
          <w:color w:val="000000"/>
          <w:kern w:val="0"/>
          <w:sz w:val="24"/>
        </w:rPr>
      </w:pPr>
      <w:r>
        <w:rPr>
          <w:color w:val="000000"/>
          <w:kern w:val="0"/>
          <w:sz w:val="24"/>
        </w:rPr>
        <w:t>查阅相关标准；</w:t>
      </w:r>
    </w:p>
    <w:p w14:paraId="0AC5B0E9">
      <w:pPr>
        <w:pStyle w:val="136"/>
        <w:numPr>
          <w:ilvl w:val="0"/>
          <w:numId w:val="2"/>
        </w:numPr>
        <w:spacing w:line="360" w:lineRule="auto"/>
        <w:ind w:firstLineChars="0"/>
        <w:rPr>
          <w:color w:val="000000"/>
          <w:kern w:val="0"/>
          <w:sz w:val="24"/>
        </w:rPr>
      </w:pPr>
      <w:r>
        <w:rPr>
          <w:color w:val="000000"/>
          <w:kern w:val="0"/>
          <w:sz w:val="24"/>
        </w:rPr>
        <w:t>确定产品主要技术内容；</w:t>
      </w:r>
    </w:p>
    <w:p w14:paraId="70A78E76">
      <w:pPr>
        <w:pStyle w:val="136"/>
        <w:numPr>
          <w:ilvl w:val="0"/>
          <w:numId w:val="2"/>
        </w:numPr>
        <w:spacing w:line="360" w:lineRule="auto"/>
        <w:ind w:firstLineChars="0"/>
        <w:rPr>
          <w:color w:val="000000"/>
          <w:kern w:val="0"/>
          <w:sz w:val="24"/>
        </w:rPr>
      </w:pPr>
      <w:r>
        <w:rPr>
          <w:color w:val="000000"/>
          <w:kern w:val="0"/>
          <w:sz w:val="24"/>
        </w:rPr>
        <w:t>确定建立仲裁方法；</w:t>
      </w:r>
    </w:p>
    <w:p w14:paraId="6785647F">
      <w:pPr>
        <w:pStyle w:val="136"/>
        <w:numPr>
          <w:ilvl w:val="0"/>
          <w:numId w:val="2"/>
        </w:numPr>
        <w:spacing w:line="360" w:lineRule="auto"/>
        <w:ind w:firstLineChars="0"/>
        <w:rPr>
          <w:color w:val="000000"/>
          <w:kern w:val="0"/>
          <w:sz w:val="24"/>
        </w:rPr>
      </w:pPr>
      <w:r>
        <w:rPr>
          <w:color w:val="000000"/>
          <w:kern w:val="0"/>
          <w:sz w:val="24"/>
        </w:rPr>
        <w:t>对产品进行分析测试；</w:t>
      </w:r>
    </w:p>
    <w:p w14:paraId="516C9182">
      <w:pPr>
        <w:pStyle w:val="136"/>
        <w:numPr>
          <w:ilvl w:val="0"/>
          <w:numId w:val="2"/>
        </w:numPr>
        <w:spacing w:line="360" w:lineRule="auto"/>
        <w:ind w:firstLineChars="0"/>
        <w:rPr>
          <w:color w:val="000000"/>
          <w:kern w:val="0"/>
          <w:sz w:val="24"/>
        </w:rPr>
      </w:pPr>
      <w:r>
        <w:rPr>
          <w:color w:val="000000"/>
          <w:kern w:val="0"/>
          <w:sz w:val="24"/>
        </w:rPr>
        <w:t>根据测试数据确定技术指标取值范围；</w:t>
      </w:r>
    </w:p>
    <w:p w14:paraId="3EC4F5B6">
      <w:pPr>
        <w:pStyle w:val="136"/>
        <w:numPr>
          <w:ilvl w:val="0"/>
          <w:numId w:val="2"/>
        </w:numPr>
        <w:spacing w:line="360" w:lineRule="auto"/>
        <w:ind w:firstLineChars="0"/>
        <w:rPr>
          <w:color w:val="000000"/>
          <w:kern w:val="0"/>
          <w:sz w:val="24"/>
        </w:rPr>
      </w:pPr>
      <w:r>
        <w:rPr>
          <w:color w:val="000000"/>
          <w:kern w:val="0"/>
          <w:sz w:val="24"/>
        </w:rPr>
        <w:t>编写征求意见稿</w:t>
      </w:r>
      <w:r>
        <w:rPr>
          <w:rFonts w:hint="eastAsia"/>
          <w:color w:val="000000"/>
          <w:kern w:val="0"/>
          <w:sz w:val="24"/>
        </w:rPr>
        <w:t>等文件</w:t>
      </w:r>
      <w:r>
        <w:rPr>
          <w:color w:val="000000"/>
          <w:kern w:val="0"/>
          <w:sz w:val="24"/>
        </w:rPr>
        <w:t>。</w:t>
      </w:r>
    </w:p>
    <w:p w14:paraId="6FB0BA0B">
      <w:pPr>
        <w:pStyle w:val="136"/>
        <w:numPr>
          <w:ilvl w:val="0"/>
          <w:numId w:val="2"/>
        </w:numPr>
        <w:spacing w:line="360" w:lineRule="auto"/>
        <w:ind w:firstLineChars="0"/>
        <w:rPr>
          <w:color w:val="000000"/>
          <w:kern w:val="0"/>
          <w:sz w:val="24"/>
        </w:rPr>
      </w:pPr>
      <w:r>
        <w:rPr>
          <w:color w:val="000000"/>
          <w:kern w:val="0"/>
          <w:sz w:val="24"/>
        </w:rPr>
        <w:t>咨询生产厂家及用户，认真听取了用户和专家对产品的意见，汇总后编写征求意见稿。</w:t>
      </w:r>
    </w:p>
    <w:p w14:paraId="707FB987">
      <w:pPr>
        <w:spacing w:line="360" w:lineRule="auto"/>
        <w:rPr>
          <w:b/>
          <w:bCs/>
          <w:sz w:val="24"/>
          <w:szCs w:val="32"/>
        </w:rPr>
      </w:pPr>
      <w:r>
        <w:rPr>
          <w:b/>
          <w:bCs/>
          <w:sz w:val="24"/>
          <w:szCs w:val="32"/>
        </w:rPr>
        <w:t>2、</w:t>
      </w:r>
      <w:r>
        <w:rPr>
          <w:rFonts w:hint="eastAsia"/>
          <w:b/>
          <w:bCs/>
          <w:sz w:val="24"/>
          <w:szCs w:val="32"/>
        </w:rPr>
        <w:t>征求意见阶段</w:t>
      </w:r>
    </w:p>
    <w:p w14:paraId="33BA9FF4">
      <w:pPr>
        <w:spacing w:line="360" w:lineRule="auto"/>
        <w:ind w:firstLine="420"/>
        <w:rPr>
          <w:sz w:val="24"/>
        </w:rPr>
      </w:pPr>
      <w:r>
        <w:rPr>
          <w:rFonts w:hint="eastAsia"/>
          <w:color w:val="000000"/>
          <w:kern w:val="0"/>
          <w:sz w:val="24"/>
          <w:lang w:val="en-US" w:eastAsia="zh-CN"/>
        </w:rPr>
        <w:t>2023年9月</w:t>
      </w:r>
      <w:r>
        <w:rPr>
          <w:rFonts w:hint="eastAsia"/>
          <w:color w:val="000000"/>
          <w:kern w:val="0"/>
          <w:sz w:val="24"/>
        </w:rPr>
        <w:t>，牵头单位通过</w:t>
      </w:r>
      <w:r>
        <w:rPr>
          <w:rFonts w:hint="eastAsia"/>
          <w:color w:val="000000"/>
          <w:kern w:val="0"/>
          <w:sz w:val="24"/>
          <w:lang w:val="en-US" w:eastAsia="zh-CN"/>
        </w:rPr>
        <w:t>邮件、微信工作群等方式向标准参与起到单位及其他相关单位发出</w:t>
      </w:r>
      <w:r>
        <w:rPr>
          <w:rFonts w:hint="eastAsia"/>
          <w:color w:val="000000"/>
          <w:kern w:val="0"/>
          <w:sz w:val="24"/>
        </w:rPr>
        <w:t>《</w:t>
      </w:r>
      <w:r>
        <w:rPr>
          <w:rFonts w:hint="eastAsia"/>
          <w:color w:val="000000"/>
          <w:kern w:val="0"/>
          <w:sz w:val="24"/>
          <w:lang w:val="en-US" w:eastAsia="zh-CN"/>
        </w:rPr>
        <w:t>闪烁晶体用高纯无水稀土溴化物</w:t>
      </w:r>
      <w:r>
        <w:rPr>
          <w:rFonts w:hint="eastAsia"/>
          <w:color w:val="000000"/>
          <w:kern w:val="0"/>
          <w:sz w:val="24"/>
        </w:rPr>
        <w:t>》征求意见稿。本标准发送《征求意见稿》的单位数1</w:t>
      </w:r>
      <w:r>
        <w:rPr>
          <w:rFonts w:hint="eastAsia"/>
          <w:color w:val="000000"/>
          <w:kern w:val="0"/>
          <w:sz w:val="24"/>
          <w:lang w:val="en-US" w:eastAsia="zh-CN"/>
        </w:rPr>
        <w:t>6</w:t>
      </w:r>
      <w:r>
        <w:rPr>
          <w:rFonts w:hint="eastAsia"/>
          <w:color w:val="000000"/>
          <w:kern w:val="0"/>
          <w:sz w:val="24"/>
        </w:rPr>
        <w:t>个，回函的单位数</w:t>
      </w:r>
      <w:r>
        <w:rPr>
          <w:color w:val="000000"/>
          <w:kern w:val="0"/>
          <w:sz w:val="24"/>
        </w:rPr>
        <w:t>1</w:t>
      </w:r>
      <w:r>
        <w:rPr>
          <w:rFonts w:hint="eastAsia"/>
          <w:color w:val="000000"/>
          <w:kern w:val="0"/>
          <w:sz w:val="24"/>
          <w:lang w:val="en-US" w:eastAsia="zh-CN"/>
        </w:rPr>
        <w:t>4</w:t>
      </w:r>
      <w:r>
        <w:rPr>
          <w:rFonts w:hint="eastAsia"/>
          <w:color w:val="000000"/>
          <w:kern w:val="0"/>
          <w:sz w:val="24"/>
        </w:rPr>
        <w:t>个，函并有建议或意见的单位数</w:t>
      </w:r>
      <w:r>
        <w:rPr>
          <w:rFonts w:hint="eastAsia"/>
          <w:color w:val="000000"/>
          <w:kern w:val="0"/>
          <w:sz w:val="24"/>
          <w:lang w:val="en-US" w:eastAsia="zh-CN"/>
        </w:rPr>
        <w:t>7</w:t>
      </w:r>
      <w:r>
        <w:rPr>
          <w:rFonts w:hint="eastAsia"/>
          <w:color w:val="000000"/>
          <w:kern w:val="0"/>
          <w:sz w:val="24"/>
        </w:rPr>
        <w:t>个。具体意见见汇总表。</w:t>
      </w:r>
    </w:p>
    <w:p w14:paraId="79EF85E7">
      <w:pPr>
        <w:spacing w:line="360" w:lineRule="auto"/>
        <w:rPr>
          <w:b/>
          <w:bCs/>
          <w:sz w:val="24"/>
          <w:szCs w:val="32"/>
        </w:rPr>
      </w:pPr>
      <w:r>
        <w:rPr>
          <w:rFonts w:hint="eastAsia"/>
          <w:b/>
          <w:bCs/>
          <w:sz w:val="24"/>
          <w:szCs w:val="32"/>
        </w:rPr>
        <w:t>3、预审阶段</w:t>
      </w:r>
    </w:p>
    <w:p w14:paraId="7B2ABAB4">
      <w:pPr>
        <w:spacing w:line="360" w:lineRule="auto"/>
        <w:ind w:firstLine="480"/>
        <w:rPr>
          <w:sz w:val="24"/>
        </w:rPr>
      </w:pPr>
      <w:r>
        <w:rPr>
          <w:sz w:val="24"/>
        </w:rPr>
        <w:t>2024年</w:t>
      </w:r>
      <w:r>
        <w:rPr>
          <w:rFonts w:hint="eastAsia"/>
          <w:sz w:val="24"/>
        </w:rPr>
        <w:t>3</w:t>
      </w:r>
      <w:r>
        <w:rPr>
          <w:sz w:val="24"/>
        </w:rPr>
        <w:t>月</w:t>
      </w:r>
      <w:r>
        <w:rPr>
          <w:rFonts w:hint="eastAsia"/>
          <w:sz w:val="24"/>
        </w:rPr>
        <w:t>14</w:t>
      </w:r>
      <w:r>
        <w:rPr>
          <w:sz w:val="24"/>
        </w:rPr>
        <w:t>日，</w:t>
      </w:r>
      <w:r>
        <w:rPr>
          <w:rFonts w:hint="eastAsia"/>
          <w:sz w:val="24"/>
        </w:rPr>
        <w:t>云南省昆明市召开2024 年第二次稀土标准工作会议，来自稀土行业的4</w:t>
      </w:r>
      <w:r>
        <w:rPr>
          <w:sz w:val="24"/>
        </w:rPr>
        <w:t>0</w:t>
      </w:r>
      <w:r>
        <w:rPr>
          <w:rFonts w:hint="eastAsia"/>
          <w:sz w:val="24"/>
        </w:rPr>
        <w:t>余名行业内专家代表参会，</w:t>
      </w:r>
      <w:r>
        <w:rPr>
          <w:sz w:val="24"/>
        </w:rPr>
        <w:t>与会专家对《</w:t>
      </w:r>
      <w:r>
        <w:rPr>
          <w:rFonts w:hint="eastAsia"/>
          <w:sz w:val="24"/>
          <w:lang w:val="en-US" w:eastAsia="zh-CN"/>
        </w:rPr>
        <w:t>闪烁晶体用高纯无水稀土溴化物</w:t>
      </w:r>
      <w:r>
        <w:rPr>
          <w:sz w:val="24"/>
        </w:rPr>
        <w:t>》（计划编号：</w:t>
      </w:r>
      <w:r>
        <w:rPr>
          <w:rFonts w:hint="eastAsia"/>
          <w:sz w:val="24"/>
        </w:rPr>
        <w:t>2</w:t>
      </w:r>
      <w:r>
        <w:rPr>
          <w:sz w:val="24"/>
        </w:rPr>
        <w:t>02</w:t>
      </w:r>
      <w:r>
        <w:rPr>
          <w:rFonts w:hint="eastAsia"/>
          <w:sz w:val="24"/>
          <w:lang w:val="en-US" w:eastAsia="zh-CN"/>
        </w:rPr>
        <w:t>3</w:t>
      </w:r>
      <w:r>
        <w:rPr>
          <w:rFonts w:hint="eastAsia"/>
          <w:sz w:val="24"/>
        </w:rPr>
        <w:t>-</w:t>
      </w:r>
      <w:r>
        <w:rPr>
          <w:sz w:val="24"/>
        </w:rPr>
        <w:t>0</w:t>
      </w:r>
      <w:r>
        <w:rPr>
          <w:rFonts w:hint="eastAsia"/>
          <w:sz w:val="24"/>
          <w:lang w:val="en-US" w:eastAsia="zh-CN"/>
        </w:rPr>
        <w:t>087</w:t>
      </w:r>
      <w:r>
        <w:rPr>
          <w:rFonts w:hint="eastAsia"/>
          <w:sz w:val="24"/>
        </w:rPr>
        <w:t>T-XB</w:t>
      </w:r>
      <w:r>
        <w:rPr>
          <w:sz w:val="24"/>
        </w:rPr>
        <w:t>）行业标准进行了审定。专家组审阅了相关资料，听取了标准牵头单位的工作汇报，经质询、讨论，形成</w:t>
      </w:r>
      <w:r>
        <w:rPr>
          <w:rFonts w:hint="eastAsia"/>
          <w:sz w:val="24"/>
        </w:rPr>
        <w:t>意见</w:t>
      </w:r>
      <w:r>
        <w:rPr>
          <w:sz w:val="24"/>
        </w:rPr>
        <w:t>如下：</w:t>
      </w:r>
    </w:p>
    <w:p w14:paraId="407771DB">
      <w:pPr>
        <w:spacing w:line="360" w:lineRule="auto"/>
        <w:ind w:firstLine="480"/>
        <w:rPr>
          <w:sz w:val="24"/>
        </w:rPr>
      </w:pPr>
      <w:r>
        <w:rPr>
          <w:sz w:val="24"/>
        </w:rPr>
        <w:t>（</w:t>
      </w:r>
      <w:r>
        <w:rPr>
          <w:rFonts w:hint="eastAsia"/>
          <w:sz w:val="24"/>
          <w:lang w:val="en-US" w:eastAsia="zh-CN"/>
        </w:rPr>
        <w:t>1</w:t>
      </w:r>
      <w:r>
        <w:rPr>
          <w:sz w:val="24"/>
        </w:rPr>
        <w:t>）、按最新格式要求修改封面格式。</w:t>
      </w:r>
    </w:p>
    <w:p w14:paraId="20B6931D">
      <w:pPr>
        <w:spacing w:line="360" w:lineRule="auto"/>
        <w:ind w:firstLine="480"/>
        <w:rPr>
          <w:rFonts w:hint="eastAsia"/>
          <w:sz w:val="24"/>
          <w:lang w:val="en-US" w:eastAsia="zh-CN"/>
        </w:rPr>
      </w:pPr>
      <w:r>
        <w:rPr>
          <w:sz w:val="24"/>
        </w:rPr>
        <w:t>（</w:t>
      </w:r>
      <w:r>
        <w:rPr>
          <w:rFonts w:hint="eastAsia"/>
          <w:sz w:val="24"/>
          <w:lang w:val="en-US" w:eastAsia="zh-CN"/>
        </w:rPr>
        <w:t>2</w:t>
      </w:r>
      <w:r>
        <w:rPr>
          <w:sz w:val="24"/>
        </w:rPr>
        <w:t>）、</w:t>
      </w:r>
      <w:r>
        <w:rPr>
          <w:rFonts w:hint="eastAsia"/>
          <w:sz w:val="24"/>
          <w:lang w:val="en-US" w:eastAsia="zh-CN"/>
        </w:rPr>
        <w:t>前言部分增加专利免责说明：“请注意本文件的有些内容可能涉及专利。本文件的发布机构不承担识别专利的责任。”</w:t>
      </w:r>
    </w:p>
    <w:p w14:paraId="251797F4">
      <w:pPr>
        <w:spacing w:line="360" w:lineRule="auto"/>
        <w:ind w:firstLine="480"/>
        <w:rPr>
          <w:rFonts w:hint="eastAsia"/>
          <w:sz w:val="24"/>
          <w:lang w:val="en-US" w:eastAsia="zh-CN"/>
        </w:rPr>
      </w:pPr>
      <w:r>
        <w:rPr>
          <w:sz w:val="24"/>
        </w:rPr>
        <w:t>（</w:t>
      </w:r>
      <w:r>
        <w:rPr>
          <w:rFonts w:hint="eastAsia"/>
          <w:sz w:val="24"/>
          <w:lang w:val="en-US" w:eastAsia="zh-CN"/>
        </w:rPr>
        <w:t>3</w:t>
      </w:r>
      <w:r>
        <w:rPr>
          <w:sz w:val="24"/>
        </w:rPr>
        <w:t>）、</w:t>
      </w:r>
      <w:r>
        <w:rPr>
          <w:rFonts w:hint="eastAsia"/>
          <w:sz w:val="24"/>
          <w:lang w:val="en-US" w:eastAsia="zh-CN"/>
        </w:rPr>
        <w:t>1 增加稀土溴化物的“分类”，将“质量说明书”修改为“随行文件”。</w:t>
      </w:r>
    </w:p>
    <w:p w14:paraId="4B15A22D">
      <w:pPr>
        <w:spacing w:line="360" w:lineRule="auto"/>
        <w:ind w:firstLine="480"/>
        <w:rPr>
          <w:rFonts w:hint="default"/>
          <w:sz w:val="24"/>
          <w:lang w:val="en-US" w:eastAsia="zh-CN"/>
        </w:rPr>
      </w:pPr>
      <w:r>
        <w:rPr>
          <w:sz w:val="24"/>
        </w:rPr>
        <w:t>（</w:t>
      </w:r>
      <w:r>
        <w:rPr>
          <w:rFonts w:hint="eastAsia"/>
          <w:sz w:val="24"/>
          <w:lang w:val="en-US" w:eastAsia="zh-CN"/>
        </w:rPr>
        <w:t>4</w:t>
      </w:r>
      <w:r>
        <w:rPr>
          <w:sz w:val="24"/>
        </w:rPr>
        <w:t>）、</w:t>
      </w:r>
      <w:r>
        <w:rPr>
          <w:rFonts w:hint="eastAsia"/>
          <w:sz w:val="24"/>
          <w:lang w:val="en-US" w:eastAsia="zh-CN"/>
        </w:rPr>
        <w:t>2 引用文件</w:t>
      </w:r>
      <w:r>
        <w:rPr>
          <w:sz w:val="24"/>
        </w:rPr>
        <w:t>GB/T 181154</w:t>
      </w:r>
      <w:r>
        <w:rPr>
          <w:rFonts w:hint="eastAsia"/>
          <w:sz w:val="24"/>
          <w:lang w:val="en-US" w:eastAsia="zh-CN"/>
        </w:rPr>
        <w:t>.1和</w:t>
      </w:r>
      <w:r>
        <w:rPr>
          <w:sz w:val="24"/>
        </w:rPr>
        <w:t>GB/T 181154</w:t>
      </w:r>
      <w:r>
        <w:rPr>
          <w:rFonts w:hint="eastAsia"/>
          <w:sz w:val="24"/>
          <w:lang w:val="en-US" w:eastAsia="zh-CN"/>
        </w:rPr>
        <w:t>.2的内容应具体单列。</w:t>
      </w:r>
    </w:p>
    <w:p w14:paraId="648EFF85">
      <w:pPr>
        <w:spacing w:line="360" w:lineRule="auto"/>
        <w:ind w:firstLine="480"/>
        <w:rPr>
          <w:rFonts w:hint="default"/>
          <w:sz w:val="24"/>
          <w:lang w:val="en-US" w:eastAsia="zh-CN"/>
        </w:rPr>
      </w:pPr>
      <w:r>
        <w:rPr>
          <w:sz w:val="24"/>
        </w:rPr>
        <w:t>（</w:t>
      </w:r>
      <w:r>
        <w:rPr>
          <w:rFonts w:hint="eastAsia"/>
          <w:sz w:val="24"/>
          <w:lang w:val="en-US" w:eastAsia="zh-CN"/>
        </w:rPr>
        <w:t>5</w:t>
      </w:r>
      <w:r>
        <w:rPr>
          <w:sz w:val="24"/>
        </w:rPr>
        <w:t>）、</w:t>
      </w:r>
      <w:r>
        <w:rPr>
          <w:rFonts w:hint="eastAsia"/>
          <w:sz w:val="24"/>
          <w:lang w:val="en-US" w:eastAsia="zh-CN"/>
        </w:rPr>
        <w:t>将“4.1产品分类”提前，作为第三部分；对牌号表示方法略作修改，将“SC”提前，如“LaBr3-4N-SC”修改为“SC-LaBr3-4N”。</w:t>
      </w:r>
    </w:p>
    <w:p w14:paraId="3A435D15">
      <w:pPr>
        <w:spacing w:line="360" w:lineRule="auto"/>
        <w:ind w:firstLine="480"/>
        <w:rPr>
          <w:rFonts w:hint="default"/>
          <w:sz w:val="24"/>
          <w:lang w:val="en-US" w:eastAsia="zh-CN"/>
        </w:rPr>
      </w:pPr>
      <w:r>
        <w:rPr>
          <w:sz w:val="24"/>
        </w:rPr>
        <w:t>（</w:t>
      </w:r>
      <w:r>
        <w:rPr>
          <w:rFonts w:hint="eastAsia"/>
          <w:sz w:val="24"/>
          <w:lang w:val="en-US" w:eastAsia="zh-CN"/>
        </w:rPr>
        <w:t>6</w:t>
      </w:r>
      <w:r>
        <w:rPr>
          <w:sz w:val="24"/>
        </w:rPr>
        <w:t>）、</w:t>
      </w:r>
      <w:r>
        <w:rPr>
          <w:rFonts w:hint="eastAsia"/>
          <w:sz w:val="24"/>
          <w:lang w:val="en-US" w:eastAsia="zh-CN"/>
        </w:rPr>
        <w:t>表1和表2建议合并；增加REO的含量范围要求；修改表格格式，每个元素单列一行；删除对部分不敏感杂质元素（Li、</w:t>
      </w:r>
      <w:r>
        <w:rPr>
          <w:sz w:val="24"/>
        </w:rPr>
        <w:t>Ga、In、Ge、Sn</w:t>
      </w:r>
      <w:r>
        <w:rPr>
          <w:rFonts w:hint="eastAsia"/>
          <w:sz w:val="24"/>
          <w:lang w:eastAsia="zh-CN"/>
        </w:rPr>
        <w:t>、</w:t>
      </w:r>
      <w:r>
        <w:rPr>
          <w:rFonts w:hint="eastAsia"/>
          <w:sz w:val="24"/>
          <w:lang w:val="en-US" w:eastAsia="zh-CN"/>
        </w:rPr>
        <w:t>F、Cl、I、S）的含量要求。</w:t>
      </w:r>
    </w:p>
    <w:p w14:paraId="32DF691A">
      <w:pPr>
        <w:spacing w:line="360" w:lineRule="auto"/>
        <w:ind w:firstLine="480"/>
        <w:rPr>
          <w:rFonts w:hint="default"/>
          <w:sz w:val="24"/>
          <w:lang w:val="en-US" w:eastAsia="zh-CN"/>
        </w:rPr>
      </w:pPr>
      <w:r>
        <w:rPr>
          <w:sz w:val="24"/>
        </w:rPr>
        <w:t>（</w:t>
      </w:r>
      <w:r>
        <w:rPr>
          <w:rFonts w:hint="eastAsia"/>
          <w:sz w:val="24"/>
          <w:lang w:val="en-US" w:eastAsia="zh-CN"/>
        </w:rPr>
        <w:t>7</w:t>
      </w:r>
      <w:r>
        <w:rPr>
          <w:sz w:val="24"/>
        </w:rPr>
        <w:t>）、</w:t>
      </w:r>
      <w:r>
        <w:rPr>
          <w:rFonts w:hint="eastAsia"/>
          <w:sz w:val="24"/>
          <w:lang w:val="en-US" w:eastAsia="zh-CN"/>
        </w:rPr>
        <w:t>在4.1.3之后增加</w:t>
      </w:r>
      <w:r>
        <w:rPr>
          <w:sz w:val="24"/>
        </w:rPr>
        <w:t>GB/T 12690</w:t>
      </w:r>
      <w:r>
        <w:rPr>
          <w:rFonts w:hint="eastAsia"/>
          <w:sz w:val="24"/>
          <w:lang w:val="en-US" w:eastAsia="zh-CN"/>
        </w:rPr>
        <w:t>未涉及的其他非稀土杂质的测试方法，以资料性附录的形式提供。</w:t>
      </w:r>
    </w:p>
    <w:p w14:paraId="42A460F3">
      <w:pPr>
        <w:spacing w:line="360" w:lineRule="auto"/>
        <w:ind w:firstLine="480"/>
        <w:rPr>
          <w:rFonts w:hint="eastAsia"/>
          <w:sz w:val="24"/>
          <w:lang w:val="en-US" w:eastAsia="zh-CN"/>
        </w:rPr>
      </w:pPr>
      <w:r>
        <w:rPr>
          <w:sz w:val="24"/>
        </w:rPr>
        <w:t>（</w:t>
      </w:r>
      <w:r>
        <w:rPr>
          <w:rFonts w:hint="eastAsia"/>
          <w:sz w:val="24"/>
          <w:lang w:val="en-US" w:eastAsia="zh-CN"/>
        </w:rPr>
        <w:t>8</w:t>
      </w:r>
      <w:r>
        <w:rPr>
          <w:sz w:val="24"/>
        </w:rPr>
        <w:t>）、</w:t>
      </w:r>
      <w:r>
        <w:rPr>
          <w:rFonts w:hint="eastAsia"/>
          <w:sz w:val="24"/>
          <w:lang w:val="en-US" w:eastAsia="zh-CN"/>
        </w:rPr>
        <w:t>4.1.4水杂质的分析方法以资料性附录的形式提供。</w:t>
      </w:r>
    </w:p>
    <w:p w14:paraId="7BB26834">
      <w:pPr>
        <w:spacing w:line="360" w:lineRule="auto"/>
        <w:ind w:firstLine="480"/>
        <w:rPr>
          <w:rFonts w:hint="eastAsia"/>
          <w:sz w:val="24"/>
          <w:lang w:val="en-US" w:eastAsia="zh-CN"/>
        </w:rPr>
      </w:pPr>
      <w:r>
        <w:rPr>
          <w:sz w:val="24"/>
        </w:rPr>
        <w:t>（</w:t>
      </w:r>
      <w:r>
        <w:rPr>
          <w:rFonts w:hint="eastAsia"/>
          <w:sz w:val="24"/>
          <w:lang w:val="en-US" w:eastAsia="zh-CN"/>
        </w:rPr>
        <w:t>9</w:t>
      </w:r>
      <w:r>
        <w:rPr>
          <w:sz w:val="24"/>
        </w:rPr>
        <w:t>）、</w:t>
      </w:r>
      <w:r>
        <w:rPr>
          <w:rFonts w:hint="eastAsia"/>
          <w:sz w:val="24"/>
          <w:lang w:val="en-US" w:eastAsia="zh-CN"/>
        </w:rPr>
        <w:t>4.1.5氧杂质的分析方法以资料性附录的形式提供。</w:t>
      </w:r>
    </w:p>
    <w:p w14:paraId="169A783E">
      <w:pPr>
        <w:spacing w:line="360" w:lineRule="auto"/>
        <w:ind w:firstLine="480"/>
        <w:rPr>
          <w:rFonts w:hint="eastAsia"/>
          <w:sz w:val="24"/>
          <w:lang w:val="en-US" w:eastAsia="zh-CN"/>
        </w:rPr>
      </w:pPr>
      <w:r>
        <w:rPr>
          <w:sz w:val="24"/>
        </w:rPr>
        <w:t>（</w:t>
      </w:r>
      <w:r>
        <w:rPr>
          <w:rFonts w:hint="eastAsia"/>
          <w:sz w:val="24"/>
          <w:lang w:val="en-US" w:eastAsia="zh-CN"/>
        </w:rPr>
        <w:t>10</w:t>
      </w:r>
      <w:r>
        <w:rPr>
          <w:sz w:val="24"/>
        </w:rPr>
        <w:t>）、</w:t>
      </w:r>
      <w:r>
        <w:rPr>
          <w:rFonts w:hint="eastAsia"/>
          <w:sz w:val="24"/>
          <w:lang w:val="en-US" w:eastAsia="zh-CN"/>
        </w:rPr>
        <w:t>将</w:t>
      </w:r>
      <w:r>
        <w:rPr>
          <w:rFonts w:hint="eastAsia"/>
          <w:sz w:val="24"/>
          <w:lang w:eastAsia="zh-CN"/>
        </w:rPr>
        <w:t>“</w:t>
      </w:r>
      <w:r>
        <w:rPr>
          <w:rFonts w:hint="eastAsia"/>
          <w:sz w:val="24"/>
          <w:lang w:val="en-US" w:eastAsia="zh-CN"/>
        </w:rPr>
        <w:t>4.2数值修约”改为4.3，“4.3外观质量”提前为4.2。</w:t>
      </w:r>
    </w:p>
    <w:p w14:paraId="0AAEFB50">
      <w:pPr>
        <w:spacing w:line="360" w:lineRule="auto"/>
        <w:ind w:firstLine="480"/>
        <w:rPr>
          <w:sz w:val="24"/>
        </w:rPr>
      </w:pPr>
      <w:r>
        <w:rPr>
          <w:sz w:val="24"/>
        </w:rPr>
        <w:t>（</w:t>
      </w:r>
      <w:r>
        <w:rPr>
          <w:rFonts w:hint="eastAsia"/>
          <w:sz w:val="24"/>
          <w:lang w:val="en-US" w:eastAsia="zh-CN"/>
        </w:rPr>
        <w:t>11</w:t>
      </w:r>
      <w:r>
        <w:rPr>
          <w:sz w:val="24"/>
        </w:rPr>
        <w:t>）、</w:t>
      </w:r>
      <w:r>
        <w:rPr>
          <w:rFonts w:hint="eastAsia"/>
          <w:sz w:val="24"/>
          <w:lang w:val="en-US" w:eastAsia="zh-CN"/>
        </w:rPr>
        <w:t>将</w:t>
      </w:r>
      <w:r>
        <w:rPr>
          <w:rFonts w:hint="eastAsia"/>
          <w:sz w:val="24"/>
        </w:rPr>
        <w:t>5.4.1</w:t>
      </w:r>
      <w:r>
        <w:rPr>
          <w:rFonts w:hint="eastAsia"/>
          <w:sz w:val="24"/>
          <w:lang w:val="en-US" w:eastAsia="zh-CN"/>
        </w:rPr>
        <w:t>改为：“</w:t>
      </w:r>
      <w:r>
        <w:rPr>
          <w:rFonts w:hint="eastAsia"/>
          <w:sz w:val="24"/>
        </w:rPr>
        <w:t>化学成分分析结果不符合时，则判该批产品为不合格</w:t>
      </w:r>
      <w:r>
        <w:rPr>
          <w:rFonts w:hint="eastAsia"/>
          <w:sz w:val="24"/>
          <w:lang w:eastAsia="zh-CN"/>
        </w:rPr>
        <w:t>”</w:t>
      </w:r>
      <w:r>
        <w:rPr>
          <w:rFonts w:hint="eastAsia"/>
          <w:sz w:val="24"/>
        </w:rPr>
        <w:t>。</w:t>
      </w:r>
    </w:p>
    <w:p w14:paraId="408F84F4">
      <w:pPr>
        <w:spacing w:line="360" w:lineRule="auto"/>
        <w:rPr>
          <w:b/>
          <w:bCs/>
          <w:sz w:val="24"/>
          <w:szCs w:val="32"/>
        </w:rPr>
      </w:pPr>
      <w:r>
        <w:rPr>
          <w:rFonts w:hint="eastAsia"/>
          <w:b/>
          <w:bCs/>
          <w:sz w:val="24"/>
          <w:szCs w:val="32"/>
        </w:rPr>
        <w:t>4、审定阶段</w:t>
      </w:r>
    </w:p>
    <w:p w14:paraId="08FEB48B">
      <w:pPr>
        <w:spacing w:line="360" w:lineRule="auto"/>
        <w:ind w:firstLine="480" w:firstLineChars="200"/>
        <w:rPr>
          <w:rFonts w:hint="eastAsia"/>
          <w:sz w:val="24"/>
          <w:szCs w:val="32"/>
        </w:rPr>
      </w:pPr>
      <w:r>
        <w:rPr>
          <w:rFonts w:hint="eastAsia"/>
          <w:sz w:val="24"/>
          <w:szCs w:val="32"/>
        </w:rPr>
        <w:t>标准项目牵头单位根据预审会逐条意见进行过了文本修改，形成了标准送审征求意见稿，并</w:t>
      </w:r>
      <w:r>
        <w:rPr>
          <w:rFonts w:hint="eastAsia"/>
          <w:sz w:val="24"/>
          <w:szCs w:val="32"/>
          <w:lang w:val="en-US" w:eastAsia="zh-CN"/>
        </w:rPr>
        <w:t>于</w:t>
      </w:r>
      <w:r>
        <w:rPr>
          <w:rFonts w:hint="eastAsia"/>
          <w:sz w:val="24"/>
          <w:szCs w:val="32"/>
        </w:rPr>
        <w:t>2024年</w:t>
      </w:r>
      <w:r>
        <w:rPr>
          <w:rFonts w:hint="eastAsia"/>
          <w:sz w:val="24"/>
          <w:szCs w:val="32"/>
          <w:lang w:val="en-US" w:eastAsia="zh-CN"/>
        </w:rPr>
        <w:t>8</w:t>
      </w:r>
      <w:r>
        <w:rPr>
          <w:rFonts w:hint="eastAsia"/>
          <w:sz w:val="24"/>
          <w:szCs w:val="32"/>
        </w:rPr>
        <w:t>月</w:t>
      </w:r>
      <w:r>
        <w:rPr>
          <w:rFonts w:hint="eastAsia"/>
          <w:sz w:val="24"/>
          <w:szCs w:val="32"/>
          <w:lang w:eastAsia="zh-CN"/>
        </w:rPr>
        <w:t>，</w:t>
      </w:r>
      <w:r>
        <w:rPr>
          <w:rFonts w:hint="eastAsia"/>
          <w:sz w:val="24"/>
          <w:szCs w:val="32"/>
          <w:lang w:val="en-US" w:eastAsia="zh-CN"/>
        </w:rPr>
        <w:t>由</w:t>
      </w:r>
      <w:r>
        <w:rPr>
          <w:rFonts w:hint="eastAsia"/>
          <w:sz w:val="24"/>
          <w:szCs w:val="32"/>
        </w:rPr>
        <w:t>牵头单位通过邮件</w:t>
      </w:r>
      <w:r>
        <w:rPr>
          <w:rFonts w:hint="eastAsia"/>
          <w:sz w:val="24"/>
          <w:szCs w:val="32"/>
          <w:lang w:eastAsia="zh-CN"/>
        </w:rPr>
        <w:t>、</w:t>
      </w:r>
      <w:r>
        <w:rPr>
          <w:rFonts w:hint="eastAsia"/>
          <w:sz w:val="24"/>
          <w:szCs w:val="32"/>
          <w:lang w:val="en-US" w:eastAsia="zh-CN"/>
        </w:rPr>
        <w:t>微信等</w:t>
      </w:r>
      <w:r>
        <w:rPr>
          <w:rFonts w:hint="eastAsia"/>
          <w:sz w:val="24"/>
          <w:szCs w:val="32"/>
        </w:rPr>
        <w:t>形式向产品生产单位及下游应用单位发送了《</w:t>
      </w:r>
      <w:r>
        <w:rPr>
          <w:rFonts w:hint="eastAsia"/>
          <w:color w:val="000000"/>
          <w:kern w:val="0"/>
          <w:sz w:val="24"/>
          <w:lang w:val="en-US" w:eastAsia="zh-CN"/>
        </w:rPr>
        <w:t>闪烁晶体用高纯无水稀土溴化物</w:t>
      </w:r>
      <w:r>
        <w:rPr>
          <w:rFonts w:hint="eastAsia"/>
          <w:sz w:val="24"/>
          <w:szCs w:val="32"/>
        </w:rPr>
        <w:t>》送审征求意见稿</w:t>
      </w:r>
      <w:r>
        <w:rPr>
          <w:rFonts w:hint="eastAsia"/>
          <w:sz w:val="24"/>
          <w:szCs w:val="32"/>
          <w:lang w:eastAsia="zh-CN"/>
        </w:rPr>
        <w:t>，</w:t>
      </w:r>
      <w:r>
        <w:rPr>
          <w:rFonts w:hint="eastAsia"/>
          <w:sz w:val="24"/>
          <w:szCs w:val="32"/>
        </w:rPr>
        <w:t>发送的单位数</w:t>
      </w:r>
      <w:r>
        <w:rPr>
          <w:rFonts w:hint="eastAsia"/>
          <w:sz w:val="24"/>
          <w:szCs w:val="32"/>
          <w:lang w:val="en-US" w:eastAsia="zh-CN"/>
        </w:rPr>
        <w:t>15</w:t>
      </w:r>
      <w:r>
        <w:rPr>
          <w:rFonts w:hint="eastAsia"/>
          <w:sz w:val="24"/>
          <w:szCs w:val="32"/>
        </w:rPr>
        <w:t>个，回函的单位数1</w:t>
      </w:r>
      <w:r>
        <w:rPr>
          <w:rFonts w:hint="eastAsia"/>
          <w:sz w:val="24"/>
          <w:szCs w:val="32"/>
          <w:lang w:val="en-US" w:eastAsia="zh-CN"/>
        </w:rPr>
        <w:t>3</w:t>
      </w:r>
      <w:r>
        <w:rPr>
          <w:rFonts w:hint="eastAsia"/>
          <w:sz w:val="24"/>
          <w:szCs w:val="32"/>
        </w:rPr>
        <w:t>个，</w:t>
      </w:r>
      <w:r>
        <w:rPr>
          <w:rFonts w:hint="eastAsia"/>
          <w:sz w:val="24"/>
          <w:szCs w:val="32"/>
          <w:lang w:val="en-US" w:eastAsia="zh-CN"/>
        </w:rPr>
        <w:t>回</w:t>
      </w:r>
      <w:r>
        <w:rPr>
          <w:rFonts w:hint="eastAsia"/>
          <w:sz w:val="24"/>
          <w:szCs w:val="32"/>
        </w:rPr>
        <w:t>函并有建议或意见的单位数6个。主要意见如下：</w:t>
      </w:r>
    </w:p>
    <w:p w14:paraId="6848AFEF">
      <w:pPr>
        <w:spacing w:line="360" w:lineRule="auto"/>
        <w:ind w:firstLine="480" w:firstLineChars="200"/>
        <w:rPr>
          <w:rFonts w:hint="eastAsia"/>
          <w:sz w:val="24"/>
          <w:szCs w:val="32"/>
          <w:lang w:eastAsia="zh-CN"/>
        </w:rPr>
      </w:pPr>
      <w:r>
        <w:rPr>
          <w:rFonts w:hint="eastAsia"/>
          <w:sz w:val="24"/>
          <w:szCs w:val="32"/>
          <w:lang w:eastAsia="zh-CN"/>
        </w:rPr>
        <w:t>（</w:t>
      </w:r>
      <w:r>
        <w:rPr>
          <w:rFonts w:hint="eastAsia"/>
          <w:sz w:val="24"/>
          <w:szCs w:val="32"/>
          <w:lang w:val="en-US" w:eastAsia="zh-CN"/>
        </w:rPr>
        <w:t>1</w:t>
      </w:r>
      <w:r>
        <w:rPr>
          <w:rFonts w:hint="eastAsia"/>
          <w:sz w:val="24"/>
          <w:szCs w:val="32"/>
          <w:lang w:eastAsia="zh-CN"/>
        </w:rPr>
        <w:t>）</w:t>
      </w:r>
      <w:r>
        <w:rPr>
          <w:rFonts w:hint="eastAsia"/>
          <w:sz w:val="24"/>
          <w:szCs w:val="32"/>
          <w:lang w:val="en-US" w:eastAsia="zh-CN"/>
        </w:rPr>
        <w:t>4.1表1中</w:t>
      </w:r>
      <w:r>
        <w:rPr>
          <w:rFonts w:hint="eastAsia"/>
          <w:sz w:val="24"/>
          <w:szCs w:val="32"/>
          <w:lang w:eastAsia="zh-CN"/>
        </w:rPr>
        <w:t>“REBr</w:t>
      </w:r>
      <w:r>
        <w:rPr>
          <w:rFonts w:hint="eastAsia"/>
          <w:sz w:val="24"/>
          <w:szCs w:val="32"/>
          <w:vertAlign w:val="subscript"/>
          <w:lang w:eastAsia="zh-CN"/>
        </w:rPr>
        <w:t>3</w:t>
      </w:r>
      <w:r>
        <w:rPr>
          <w:rFonts w:hint="eastAsia"/>
          <w:sz w:val="24"/>
          <w:szCs w:val="32"/>
          <w:lang w:eastAsia="zh-CN"/>
        </w:rPr>
        <w:t>，不小于”</w:t>
      </w:r>
      <w:r>
        <w:rPr>
          <w:rFonts w:hint="eastAsia"/>
          <w:sz w:val="24"/>
          <w:szCs w:val="32"/>
          <w:lang w:val="en-US" w:eastAsia="zh-CN"/>
        </w:rPr>
        <w:t>相应</w:t>
      </w:r>
      <w:r>
        <w:rPr>
          <w:rFonts w:hint="eastAsia"/>
          <w:sz w:val="24"/>
          <w:szCs w:val="32"/>
          <w:lang w:eastAsia="zh-CN"/>
        </w:rPr>
        <w:t>数值</w:t>
      </w:r>
      <w:r>
        <w:rPr>
          <w:rFonts w:hint="eastAsia"/>
          <w:sz w:val="24"/>
          <w:szCs w:val="32"/>
          <w:lang w:val="en-US" w:eastAsia="zh-CN"/>
        </w:rPr>
        <w:t>建议</w:t>
      </w:r>
      <w:r>
        <w:rPr>
          <w:rFonts w:hint="eastAsia"/>
          <w:sz w:val="24"/>
          <w:szCs w:val="32"/>
          <w:lang w:eastAsia="zh-CN"/>
        </w:rPr>
        <w:t>均取小数点后4位（99.9900和99.9990），</w:t>
      </w:r>
      <w:r>
        <w:rPr>
          <w:rFonts w:hint="eastAsia"/>
          <w:sz w:val="24"/>
          <w:szCs w:val="32"/>
          <w:lang w:val="en-US" w:eastAsia="zh-CN"/>
        </w:rPr>
        <w:t>以避免因</w:t>
      </w:r>
      <w:r>
        <w:rPr>
          <w:rFonts w:hint="eastAsia"/>
          <w:sz w:val="24"/>
          <w:szCs w:val="32"/>
          <w:lang w:eastAsia="zh-CN"/>
        </w:rPr>
        <w:t>数值修约带来准确度的降低。</w:t>
      </w:r>
    </w:p>
    <w:p w14:paraId="742A1DF2">
      <w:pPr>
        <w:numPr>
          <w:ilvl w:val="0"/>
          <w:numId w:val="3"/>
        </w:numPr>
        <w:spacing w:line="360" w:lineRule="auto"/>
        <w:ind w:firstLine="480" w:firstLineChars="200"/>
        <w:rPr>
          <w:rFonts w:hint="eastAsia"/>
          <w:sz w:val="24"/>
          <w:szCs w:val="32"/>
          <w:lang w:eastAsia="zh-CN"/>
        </w:rPr>
      </w:pPr>
      <w:r>
        <w:rPr>
          <w:rFonts w:hint="eastAsia"/>
          <w:sz w:val="24"/>
          <w:szCs w:val="32"/>
          <w:lang w:val="en-US" w:eastAsia="zh-CN"/>
        </w:rPr>
        <w:t>5.1化学成分测试方法中，</w:t>
      </w:r>
      <w:r>
        <w:rPr>
          <w:rFonts w:hint="eastAsia"/>
          <w:sz w:val="24"/>
          <w:szCs w:val="32"/>
          <w:lang w:eastAsia="zh-CN"/>
        </w:rPr>
        <w:t>GB/T 12690.7测定硅的方法下限最低为0.0010%，与表1中最低Si含量不相符；GB/T12690.10方法下限最低为0.0010%，与表1中最低磷量不相符。</w:t>
      </w:r>
    </w:p>
    <w:p w14:paraId="4F202AE6">
      <w:pPr>
        <w:numPr>
          <w:ilvl w:val="0"/>
          <w:numId w:val="3"/>
        </w:numPr>
        <w:spacing w:line="360" w:lineRule="auto"/>
        <w:ind w:firstLine="480" w:firstLineChars="200"/>
        <w:rPr>
          <w:rFonts w:hint="eastAsia"/>
          <w:sz w:val="24"/>
          <w:szCs w:val="32"/>
          <w:lang w:val="en-US" w:eastAsia="zh-CN"/>
        </w:rPr>
      </w:pPr>
      <w:r>
        <w:rPr>
          <w:rFonts w:hint="eastAsia"/>
          <w:sz w:val="24"/>
          <w:szCs w:val="32"/>
          <w:lang w:eastAsia="zh-CN"/>
        </w:rPr>
        <w:t>附录A、B、C应</w:t>
      </w:r>
      <w:r>
        <w:rPr>
          <w:rFonts w:hint="eastAsia"/>
          <w:sz w:val="24"/>
          <w:szCs w:val="32"/>
          <w:lang w:val="en-US" w:eastAsia="zh-CN"/>
        </w:rPr>
        <w:t>为</w:t>
      </w:r>
      <w:r>
        <w:rPr>
          <w:rFonts w:hint="eastAsia"/>
          <w:sz w:val="24"/>
          <w:szCs w:val="32"/>
          <w:lang w:eastAsia="zh-CN"/>
        </w:rPr>
        <w:t>规范性附录，而不是资料性</w:t>
      </w:r>
      <w:r>
        <w:rPr>
          <w:rFonts w:hint="eastAsia"/>
          <w:sz w:val="24"/>
          <w:szCs w:val="32"/>
          <w:lang w:val="en-US" w:eastAsia="zh-CN"/>
        </w:rPr>
        <w:t>附录。</w:t>
      </w:r>
    </w:p>
    <w:p w14:paraId="1A6CF3B3">
      <w:pPr>
        <w:spacing w:line="360" w:lineRule="auto"/>
        <w:ind w:firstLine="480" w:firstLineChars="200"/>
        <w:rPr>
          <w:rFonts w:hint="eastAsia"/>
          <w:sz w:val="24"/>
          <w:szCs w:val="32"/>
          <w:lang w:eastAsia="zh-CN"/>
        </w:rPr>
      </w:pPr>
      <w:r>
        <w:rPr>
          <w:rFonts w:hint="eastAsia"/>
          <w:sz w:val="24"/>
          <w:szCs w:val="32"/>
          <w:lang w:eastAsia="zh-CN"/>
        </w:rPr>
        <w:t>（</w:t>
      </w:r>
      <w:r>
        <w:rPr>
          <w:rFonts w:hint="eastAsia"/>
          <w:sz w:val="24"/>
          <w:szCs w:val="32"/>
          <w:lang w:val="en-US" w:eastAsia="zh-CN"/>
        </w:rPr>
        <w:t>4</w:t>
      </w:r>
      <w:r>
        <w:rPr>
          <w:rFonts w:hint="eastAsia"/>
          <w:sz w:val="24"/>
          <w:szCs w:val="32"/>
          <w:lang w:eastAsia="zh-CN"/>
        </w:rPr>
        <w:t>）</w:t>
      </w:r>
      <w:r>
        <w:rPr>
          <w:rFonts w:hint="eastAsia"/>
          <w:sz w:val="24"/>
          <w:szCs w:val="32"/>
          <w:lang w:val="en-US" w:eastAsia="zh-CN"/>
        </w:rPr>
        <w:t>附录A中表A.2应</w:t>
      </w:r>
      <w:r>
        <w:rPr>
          <w:rFonts w:hint="eastAsia"/>
          <w:sz w:val="24"/>
          <w:szCs w:val="32"/>
          <w:lang w:eastAsia="zh-CN"/>
        </w:rPr>
        <w:t>分别列出每个待测元素所对应的内标元素。</w:t>
      </w:r>
    </w:p>
    <w:p w14:paraId="4A740711">
      <w:pPr>
        <w:spacing w:line="360" w:lineRule="auto"/>
        <w:ind w:firstLine="480" w:firstLineChars="200"/>
        <w:rPr>
          <w:rFonts w:hint="eastAsia"/>
          <w:sz w:val="24"/>
          <w:szCs w:val="32"/>
          <w:lang w:val="en-US" w:eastAsia="zh-CN"/>
        </w:rPr>
      </w:pPr>
      <w:r>
        <w:rPr>
          <w:rFonts w:hint="eastAsia"/>
          <w:sz w:val="24"/>
          <w:szCs w:val="32"/>
          <w:lang w:eastAsia="zh-CN"/>
        </w:rPr>
        <w:t>（</w:t>
      </w:r>
      <w:r>
        <w:rPr>
          <w:rFonts w:hint="eastAsia"/>
          <w:sz w:val="24"/>
          <w:szCs w:val="32"/>
          <w:lang w:val="en-US" w:eastAsia="zh-CN"/>
        </w:rPr>
        <w:t>5</w:t>
      </w:r>
      <w:r>
        <w:rPr>
          <w:rFonts w:hint="eastAsia"/>
          <w:sz w:val="24"/>
          <w:szCs w:val="32"/>
          <w:lang w:eastAsia="zh-CN"/>
        </w:rPr>
        <w:t>）</w:t>
      </w:r>
      <w:r>
        <w:rPr>
          <w:rFonts w:hint="eastAsia"/>
          <w:sz w:val="24"/>
          <w:szCs w:val="32"/>
          <w:lang w:val="en-US" w:eastAsia="zh-CN"/>
        </w:rPr>
        <w:t>修改了部分格式、语言表述、标点等方面的错误。</w:t>
      </w:r>
    </w:p>
    <w:p w14:paraId="3A8CDE47">
      <w:pPr>
        <w:spacing w:line="360" w:lineRule="auto"/>
        <w:ind w:firstLine="480" w:firstLineChars="200"/>
        <w:rPr>
          <w:rFonts w:hint="default"/>
          <w:sz w:val="24"/>
          <w:szCs w:val="32"/>
          <w:lang w:val="en-US" w:eastAsia="zh-CN"/>
        </w:rPr>
      </w:pPr>
      <w:r>
        <w:rPr>
          <w:rFonts w:hint="eastAsia"/>
          <w:sz w:val="24"/>
          <w:szCs w:val="32"/>
          <w:lang w:val="en-US" w:eastAsia="zh-CN"/>
        </w:rPr>
        <w:t>具体</w:t>
      </w:r>
      <w:r>
        <w:rPr>
          <w:rFonts w:hint="eastAsia"/>
          <w:color w:val="000000"/>
          <w:kern w:val="0"/>
          <w:sz w:val="24"/>
        </w:rPr>
        <w:t>意见见汇总表。</w:t>
      </w:r>
      <w:bookmarkStart w:id="5" w:name="_GoBack"/>
      <w:bookmarkEnd w:id="5"/>
    </w:p>
    <w:p w14:paraId="02D4F3A0">
      <w:pPr>
        <w:spacing w:line="360" w:lineRule="auto"/>
        <w:rPr>
          <w:b/>
          <w:bCs/>
          <w:sz w:val="24"/>
          <w:szCs w:val="32"/>
        </w:rPr>
      </w:pPr>
      <w:r>
        <w:rPr>
          <w:rFonts w:hint="eastAsia"/>
          <w:b/>
          <w:bCs/>
          <w:sz w:val="24"/>
          <w:szCs w:val="32"/>
        </w:rPr>
        <w:t>5、报批阶段</w:t>
      </w:r>
    </w:p>
    <w:p w14:paraId="2E2DF073">
      <w:pPr>
        <w:spacing w:before="156" w:beforeLines="50" w:after="156" w:afterLines="50" w:line="312" w:lineRule="auto"/>
        <w:rPr>
          <w:rFonts w:ascii="黑体" w:hAnsi="黑体" w:eastAsia="黑体"/>
        </w:rPr>
      </w:pPr>
      <w:r>
        <w:rPr>
          <w:rFonts w:hint="eastAsia" w:ascii="黑体" w:hAnsi="黑体" w:eastAsia="黑体"/>
        </w:rPr>
        <w:t xml:space="preserve"> </w:t>
      </w:r>
      <w:r>
        <w:rPr>
          <w:rFonts w:ascii="黑体" w:hAnsi="黑体" w:eastAsia="黑体"/>
        </w:rPr>
        <w:t xml:space="preserve"> </w:t>
      </w:r>
    </w:p>
    <w:p w14:paraId="50EF0CB2">
      <w:pPr>
        <w:spacing w:before="156" w:beforeLines="50" w:after="156" w:afterLines="50" w:line="312" w:lineRule="auto"/>
        <w:rPr>
          <w:rFonts w:ascii="黑体" w:hAnsi="宋体" w:eastAsia="黑体"/>
          <w:bCs/>
          <w:sz w:val="24"/>
        </w:rPr>
      </w:pPr>
      <w:r>
        <w:rPr>
          <w:rFonts w:hint="eastAsia" w:ascii="黑体" w:hAnsi="宋体" w:eastAsia="黑体"/>
          <w:bCs/>
          <w:sz w:val="24"/>
        </w:rPr>
        <w:t>二、标准编制原则、主要内容及其确定依据</w:t>
      </w:r>
    </w:p>
    <w:p w14:paraId="1E562A20">
      <w:pPr>
        <w:spacing w:before="156" w:beforeLines="50" w:after="156" w:afterLines="50" w:line="360" w:lineRule="auto"/>
        <w:rPr>
          <w:rFonts w:ascii="黑体" w:hAnsi="宋体" w:eastAsia="黑体"/>
          <w:bCs/>
          <w:sz w:val="24"/>
        </w:rPr>
      </w:pPr>
      <w:r>
        <w:rPr>
          <w:rFonts w:hint="eastAsia" w:ascii="黑体" w:hAnsi="宋体" w:eastAsia="黑体"/>
          <w:bCs/>
          <w:sz w:val="24"/>
        </w:rPr>
        <w:t>1、本标准起草过程中遵循以下原则</w:t>
      </w:r>
    </w:p>
    <w:p w14:paraId="62D33CE1">
      <w:pPr>
        <w:spacing w:line="360" w:lineRule="auto"/>
        <w:ind w:firstLine="480" w:firstLineChars="200"/>
        <w:rPr>
          <w:color w:val="000000"/>
          <w:kern w:val="0"/>
          <w:sz w:val="24"/>
        </w:rPr>
      </w:pPr>
      <w:r>
        <w:rPr>
          <w:rFonts w:hint="eastAsia"/>
          <w:color w:val="000000"/>
          <w:kern w:val="0"/>
          <w:sz w:val="24"/>
        </w:rPr>
        <w:t>（1）</w:t>
      </w:r>
      <w:r>
        <w:rPr>
          <w:color w:val="000000"/>
          <w:kern w:val="0"/>
          <w:sz w:val="24"/>
        </w:rPr>
        <w:t>本标准是根据GB/T</w:t>
      </w:r>
      <w:r>
        <w:rPr>
          <w:rFonts w:hint="eastAsia"/>
          <w:color w:val="000000"/>
          <w:kern w:val="0"/>
          <w:sz w:val="24"/>
        </w:rPr>
        <w:t xml:space="preserve"> </w:t>
      </w:r>
      <w:r>
        <w:rPr>
          <w:color w:val="000000"/>
          <w:kern w:val="0"/>
          <w:sz w:val="24"/>
        </w:rPr>
        <w:t>1.1-2020《标准化工作导则 第1部分:标准化文件的结构和起草规则》和GB/T</w:t>
      </w:r>
      <w:r>
        <w:rPr>
          <w:rFonts w:hint="eastAsia"/>
          <w:color w:val="000000"/>
          <w:kern w:val="0"/>
          <w:sz w:val="24"/>
        </w:rPr>
        <w:t xml:space="preserve"> </w:t>
      </w:r>
      <w:r>
        <w:rPr>
          <w:color w:val="000000"/>
          <w:kern w:val="0"/>
          <w:sz w:val="24"/>
        </w:rPr>
        <w:t>20001.4-20</w:t>
      </w:r>
      <w:r>
        <w:rPr>
          <w:rFonts w:hint="eastAsia"/>
          <w:color w:val="000000"/>
          <w:kern w:val="0"/>
          <w:sz w:val="24"/>
        </w:rPr>
        <w:t>15</w:t>
      </w:r>
      <w:r>
        <w:rPr>
          <w:color w:val="000000"/>
          <w:kern w:val="0"/>
          <w:sz w:val="24"/>
        </w:rPr>
        <w:t>《标准编写规则 第4部分：</w:t>
      </w:r>
      <w:r>
        <w:rPr>
          <w:rFonts w:hint="eastAsia"/>
          <w:color w:val="000000"/>
          <w:kern w:val="0"/>
          <w:sz w:val="24"/>
        </w:rPr>
        <w:t>试验方法标准</w:t>
      </w:r>
      <w:r>
        <w:rPr>
          <w:color w:val="000000"/>
          <w:kern w:val="0"/>
          <w:sz w:val="24"/>
        </w:rPr>
        <w:t>》的要求进行编写的</w:t>
      </w:r>
      <w:r>
        <w:rPr>
          <w:rFonts w:hint="eastAsia"/>
          <w:color w:val="000000"/>
          <w:kern w:val="0"/>
          <w:sz w:val="24"/>
        </w:rPr>
        <w:t>；</w:t>
      </w:r>
    </w:p>
    <w:p w14:paraId="15C024A6">
      <w:pPr>
        <w:spacing w:line="360" w:lineRule="auto"/>
        <w:ind w:firstLine="480" w:firstLineChars="200"/>
        <w:rPr>
          <w:color w:val="000000"/>
          <w:kern w:val="0"/>
          <w:sz w:val="24"/>
        </w:rPr>
      </w:pPr>
      <w:r>
        <w:rPr>
          <w:rFonts w:hint="eastAsia"/>
          <w:color w:val="000000"/>
          <w:kern w:val="0"/>
          <w:sz w:val="24"/>
        </w:rPr>
        <w:t>（2）充分满足市场要求的原则；</w:t>
      </w:r>
    </w:p>
    <w:p w14:paraId="2D5BAA0F">
      <w:pPr>
        <w:spacing w:line="360" w:lineRule="auto"/>
        <w:ind w:firstLine="480" w:firstLineChars="200"/>
        <w:rPr>
          <w:color w:val="000000"/>
          <w:kern w:val="0"/>
          <w:sz w:val="24"/>
        </w:rPr>
      </w:pPr>
      <w:r>
        <w:rPr>
          <w:rFonts w:hint="eastAsia"/>
          <w:color w:val="000000"/>
          <w:kern w:val="0"/>
          <w:sz w:val="24"/>
        </w:rPr>
        <w:t>（3）</w:t>
      </w:r>
      <w:r>
        <w:rPr>
          <w:rFonts w:hint="eastAsia"/>
          <w:color w:val="000000"/>
          <w:kern w:val="0"/>
          <w:sz w:val="24"/>
          <w:lang w:val="en-US" w:eastAsia="zh-CN"/>
        </w:rPr>
        <w:t>避</w:t>
      </w:r>
      <w:r>
        <w:rPr>
          <w:rFonts w:hint="eastAsia"/>
          <w:color w:val="000000"/>
          <w:kern w:val="0"/>
          <w:sz w:val="24"/>
        </w:rPr>
        <w:t>繁就简的原则；</w:t>
      </w:r>
    </w:p>
    <w:p w14:paraId="09B6B462">
      <w:pPr>
        <w:spacing w:line="360" w:lineRule="auto"/>
        <w:ind w:firstLine="480" w:firstLineChars="200"/>
        <w:rPr>
          <w:color w:val="000000"/>
          <w:kern w:val="0"/>
          <w:sz w:val="24"/>
        </w:rPr>
      </w:pPr>
      <w:r>
        <w:rPr>
          <w:rFonts w:hint="eastAsia"/>
          <w:color w:val="000000"/>
          <w:kern w:val="0"/>
          <w:sz w:val="24"/>
        </w:rPr>
        <w:t>（4）有利于创新发展的原则。</w:t>
      </w:r>
    </w:p>
    <w:p w14:paraId="1A72DEC2">
      <w:pPr>
        <w:spacing w:before="156" w:beforeLines="50" w:after="156" w:afterLines="50" w:line="312" w:lineRule="auto"/>
        <w:rPr>
          <w:rFonts w:ascii="黑体" w:hAnsi="宋体" w:eastAsia="黑体"/>
          <w:bCs/>
          <w:sz w:val="24"/>
        </w:rPr>
      </w:pPr>
      <w:r>
        <w:rPr>
          <w:rFonts w:hint="eastAsia" w:ascii="黑体" w:hAnsi="宋体" w:eastAsia="黑体"/>
          <w:bCs/>
          <w:sz w:val="24"/>
        </w:rPr>
        <w:t>2、主要技术内容及其确定的依据</w:t>
      </w:r>
    </w:p>
    <w:p w14:paraId="6446D130">
      <w:pPr>
        <w:spacing w:line="360" w:lineRule="auto"/>
        <w:rPr>
          <w:rFonts w:ascii="宋体" w:hAnsi="宋体"/>
          <w:color w:val="000000"/>
          <w:kern w:val="0"/>
          <w:szCs w:val="20"/>
        </w:rPr>
      </w:pPr>
      <w:r>
        <w:rPr>
          <w:rFonts w:hint="eastAsia" w:ascii="黑体" w:hAnsi="宋体" w:eastAsia="黑体"/>
          <w:bCs/>
          <w:sz w:val="24"/>
        </w:rPr>
        <w:t>2</w:t>
      </w:r>
      <w:r>
        <w:rPr>
          <w:rFonts w:ascii="黑体" w:hAnsi="宋体" w:eastAsia="黑体"/>
          <w:bCs/>
          <w:sz w:val="24"/>
        </w:rPr>
        <w:t>.1</w:t>
      </w:r>
      <w:r>
        <w:rPr>
          <w:rFonts w:hint="eastAsia" w:ascii="黑体" w:hAnsi="宋体" w:eastAsia="黑体"/>
          <w:bCs/>
          <w:sz w:val="24"/>
        </w:rPr>
        <w:t>主要技术内容</w:t>
      </w:r>
    </w:p>
    <w:p w14:paraId="2A6A0481">
      <w:pPr>
        <w:spacing w:line="360" w:lineRule="auto"/>
        <w:ind w:firstLine="480" w:firstLineChars="200"/>
        <w:rPr>
          <w:sz w:val="24"/>
        </w:rPr>
      </w:pPr>
      <w:r>
        <w:rPr>
          <w:rFonts w:hint="eastAsia"/>
          <w:sz w:val="24"/>
        </w:rPr>
        <w:t>（1）范围</w:t>
      </w:r>
    </w:p>
    <w:p w14:paraId="5CFA8743">
      <w:pPr>
        <w:spacing w:line="360" w:lineRule="auto"/>
        <w:ind w:firstLine="480" w:firstLineChars="200"/>
        <w:rPr>
          <w:rFonts w:hint="eastAsia"/>
          <w:sz w:val="24"/>
        </w:rPr>
      </w:pPr>
      <w:r>
        <w:rPr>
          <w:rFonts w:hint="eastAsia"/>
          <w:sz w:val="24"/>
        </w:rPr>
        <w:t>本</w:t>
      </w:r>
      <w:r>
        <w:rPr>
          <w:rFonts w:hint="eastAsia"/>
          <w:sz w:val="24"/>
          <w:lang w:val="en-US" w:eastAsia="zh-CN"/>
        </w:rPr>
        <w:t>文件</w:t>
      </w:r>
      <w:r>
        <w:rPr>
          <w:rFonts w:hint="eastAsia"/>
          <w:sz w:val="24"/>
        </w:rPr>
        <w:t>规定了闪烁晶体用高纯无水稀土溴化物的</w:t>
      </w:r>
      <w:r>
        <w:rPr>
          <w:rFonts w:hint="eastAsia"/>
          <w:sz w:val="24"/>
          <w:lang w:val="en-US" w:eastAsia="zh-CN"/>
        </w:rPr>
        <w:t>分类、技术</w:t>
      </w:r>
      <w:r>
        <w:rPr>
          <w:rFonts w:hint="eastAsia"/>
          <w:sz w:val="24"/>
        </w:rPr>
        <w:t>要求、试验方法、检测规则与标志、包装、运输、贮存和</w:t>
      </w:r>
      <w:r>
        <w:rPr>
          <w:rFonts w:hint="eastAsia"/>
          <w:sz w:val="24"/>
          <w:lang w:val="en-US" w:eastAsia="zh-CN"/>
        </w:rPr>
        <w:t>随行文件</w:t>
      </w:r>
      <w:r>
        <w:rPr>
          <w:rFonts w:hint="eastAsia"/>
          <w:sz w:val="24"/>
        </w:rPr>
        <w:t>。</w:t>
      </w:r>
    </w:p>
    <w:p w14:paraId="25D9F2FA">
      <w:pPr>
        <w:spacing w:line="360" w:lineRule="auto"/>
        <w:ind w:firstLine="480" w:firstLineChars="200"/>
        <w:rPr>
          <w:rFonts w:hint="eastAsia"/>
          <w:sz w:val="24"/>
        </w:rPr>
      </w:pPr>
      <w:r>
        <w:rPr>
          <w:rFonts w:hint="eastAsia"/>
          <w:sz w:val="24"/>
        </w:rPr>
        <w:t>本</w:t>
      </w:r>
      <w:r>
        <w:rPr>
          <w:rFonts w:hint="eastAsia"/>
          <w:sz w:val="24"/>
          <w:lang w:val="en-US" w:eastAsia="zh-CN"/>
        </w:rPr>
        <w:t>文件</w:t>
      </w:r>
      <w:r>
        <w:rPr>
          <w:rFonts w:hint="eastAsia"/>
          <w:sz w:val="24"/>
        </w:rPr>
        <w:t>适用于高纯无水稀土溴化物的生产和使用，主要用于闪烁晶体材料领域。</w:t>
      </w:r>
    </w:p>
    <w:p w14:paraId="03148B02">
      <w:pPr>
        <w:spacing w:line="360" w:lineRule="auto"/>
        <w:ind w:firstLine="480" w:firstLineChars="200"/>
        <w:rPr>
          <w:sz w:val="24"/>
        </w:rPr>
      </w:pPr>
      <w:r>
        <w:rPr>
          <w:rFonts w:hint="eastAsia"/>
          <w:sz w:val="24"/>
        </w:rPr>
        <w:t>（2）产品分类</w:t>
      </w:r>
    </w:p>
    <w:p w14:paraId="3B1419D7">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高纯无水稀土溴化物主要分为高纯无水溴化镧和高纯无水溴化铈。高纯无水溴化镧产品按化学成分分为SC</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LaBr3-4N、SC</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LaBr3-5N两个牌号，高纯无水溴化铈产品按化学成分分为SC</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CeBr3-4N、SC</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CeBr3-5N两个牌号。</w:t>
      </w:r>
    </w:p>
    <w:p w14:paraId="17BFD701">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高纯无水稀土溴化物</w:t>
      </w:r>
      <w:r>
        <w:rPr>
          <w:rFonts w:hint="eastAsia" w:ascii="Times New Roman" w:hAnsi="Times New Roman" w:cs="Times New Roman"/>
          <w:sz w:val="24"/>
          <w:szCs w:val="24"/>
          <w:lang w:val="en-US" w:eastAsia="zh-CN"/>
        </w:rPr>
        <w:t>牌号分为三个层次。第一个层次表示产品用途，用</w:t>
      </w:r>
      <w:r>
        <w:rPr>
          <w:rFonts w:hint="eastAsia" w:ascii="Times New Roman" w:hAnsi="Times New Roman" w:cs="Times New Roman"/>
          <w:sz w:val="24"/>
          <w:szCs w:val="24"/>
        </w:rPr>
        <w:t>闪烁晶体英文名称Scintillation Crystal的首字母缩写“SC”</w:t>
      </w:r>
      <w:r>
        <w:rPr>
          <w:rFonts w:hint="eastAsia" w:ascii="Times New Roman" w:hAnsi="Times New Roman" w:cs="Times New Roman"/>
          <w:sz w:val="24"/>
          <w:szCs w:val="24"/>
          <w:lang w:val="en-US" w:eastAsia="zh-CN"/>
        </w:rPr>
        <w:t>表示</w:t>
      </w:r>
      <w:r>
        <w:rPr>
          <w:rFonts w:hint="eastAsia" w:ascii="Times New Roman" w:hAnsi="Times New Roman" w:cs="Times New Roman"/>
          <w:sz w:val="24"/>
          <w:szCs w:val="24"/>
        </w:rPr>
        <w:t>，代表产品应用领域为闪烁晶体领域</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第二个层次表示</w:t>
      </w:r>
      <w:r>
        <w:rPr>
          <w:rFonts w:hint="eastAsia" w:ascii="Times New Roman" w:hAnsi="Times New Roman" w:cs="Times New Roman"/>
          <w:sz w:val="24"/>
          <w:szCs w:val="24"/>
        </w:rPr>
        <w:t>高纯无水稀土溴化物</w:t>
      </w:r>
      <w:r>
        <w:rPr>
          <w:rFonts w:hint="eastAsia" w:ascii="Times New Roman" w:hAnsi="Times New Roman" w:cs="Times New Roman"/>
          <w:sz w:val="24"/>
          <w:szCs w:val="24"/>
          <w:lang w:val="en-US" w:eastAsia="zh-CN"/>
        </w:rPr>
        <w:t>产品种类，用化学式表示；第三个层次表示产品的纯度。具体表示方法如下：</w:t>
      </w:r>
    </w:p>
    <w:p w14:paraId="0BB592C8">
      <w:pPr>
        <w:spacing w:line="360" w:lineRule="auto"/>
        <w:ind w:firstLine="480" w:firstLineChars="200"/>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drawing>
          <wp:inline distT="0" distB="0" distL="114300" distR="114300">
            <wp:extent cx="2725420" cy="999490"/>
            <wp:effectExtent l="0" t="0" r="5080" b="3810"/>
            <wp:docPr id="2" name="图片 2" descr="牌号表示方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牌号表示方法"/>
                    <pic:cNvPicPr>
                      <a:picLocks noChangeAspect="1"/>
                    </pic:cNvPicPr>
                  </pic:nvPicPr>
                  <pic:blipFill>
                    <a:blip r:embed="rId5"/>
                    <a:stretch>
                      <a:fillRect/>
                    </a:stretch>
                  </pic:blipFill>
                  <pic:spPr>
                    <a:xfrm>
                      <a:off x="0" y="0"/>
                      <a:ext cx="2725420" cy="999490"/>
                    </a:xfrm>
                    <a:prstGeom prst="rect">
                      <a:avLst/>
                    </a:prstGeom>
                    <a:noFill/>
                    <a:ln>
                      <a:noFill/>
                    </a:ln>
                  </pic:spPr>
                </pic:pic>
              </a:graphicData>
            </a:graphic>
          </wp:inline>
        </w:drawing>
      </w:r>
    </w:p>
    <w:p w14:paraId="4402A949">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牌号示例：</w:t>
      </w:r>
      <w:r>
        <w:rPr>
          <w:rFonts w:hint="eastAsia" w:ascii="Times New Roman" w:hAnsi="Times New Roman" w:cs="Times New Roman"/>
          <w:sz w:val="24"/>
          <w:szCs w:val="24"/>
          <w:lang w:val="en-US" w:eastAsia="zh-CN"/>
        </w:rPr>
        <w:t>S</w:t>
      </w:r>
      <w:r>
        <w:rPr>
          <w:rFonts w:hint="eastAsia" w:ascii="Times New Roman" w:hAnsi="Times New Roman" w:cs="Times New Roman"/>
          <w:sz w:val="24"/>
          <w:szCs w:val="24"/>
        </w:rPr>
        <w:t>C-La</w:t>
      </w:r>
      <w:r>
        <w:rPr>
          <w:rFonts w:hint="eastAsia" w:ascii="Times New Roman" w:hAnsi="Times New Roman" w:cs="Times New Roman"/>
          <w:sz w:val="24"/>
          <w:szCs w:val="24"/>
          <w:lang w:val="en-US" w:eastAsia="zh-CN"/>
        </w:rPr>
        <w:t>Br</w:t>
      </w:r>
      <w:r>
        <w:rPr>
          <w:rFonts w:hint="eastAsia" w:ascii="Times New Roman" w:hAnsi="Times New Roman" w:cs="Times New Roman"/>
          <w:sz w:val="24"/>
          <w:szCs w:val="24"/>
        </w:rPr>
        <w:t>3-4N表示</w:t>
      </w:r>
      <w:r>
        <w:rPr>
          <w:rFonts w:hint="eastAsia" w:ascii="Times New Roman" w:hAnsi="Times New Roman" w:cs="Times New Roman"/>
          <w:sz w:val="24"/>
          <w:szCs w:val="24"/>
          <w:lang w:val="en-US" w:eastAsia="zh-CN"/>
        </w:rPr>
        <w:t>绝对</w:t>
      </w:r>
      <w:r>
        <w:rPr>
          <w:rFonts w:hint="eastAsia" w:ascii="Times New Roman" w:hAnsi="Times New Roman" w:cs="Times New Roman"/>
          <w:sz w:val="24"/>
          <w:szCs w:val="24"/>
        </w:rPr>
        <w:t>纯度为99.99%的</w:t>
      </w:r>
      <w:r>
        <w:rPr>
          <w:rFonts w:hint="eastAsia" w:ascii="Times New Roman" w:hAnsi="Times New Roman" w:cs="Times New Roman"/>
          <w:sz w:val="24"/>
          <w:szCs w:val="24"/>
          <w:lang w:val="en-US" w:eastAsia="zh-CN"/>
        </w:rPr>
        <w:t>闪烁晶体用高纯无水溴化镧</w:t>
      </w:r>
      <w:r>
        <w:rPr>
          <w:rFonts w:hint="eastAsia" w:ascii="Times New Roman" w:hAnsi="Times New Roman" w:cs="Times New Roman"/>
          <w:sz w:val="24"/>
          <w:szCs w:val="24"/>
        </w:rPr>
        <w:t>产品。</w:t>
      </w:r>
    </w:p>
    <w:p w14:paraId="59108289">
      <w:pPr>
        <w:spacing w:line="360" w:lineRule="auto"/>
        <w:ind w:firstLine="480" w:firstLineChars="200"/>
        <w:rPr>
          <w:sz w:val="24"/>
        </w:rPr>
      </w:pPr>
      <w:r>
        <w:rPr>
          <w:rFonts w:hint="eastAsia"/>
          <w:sz w:val="24"/>
        </w:rPr>
        <w:t>（3）技术要求</w:t>
      </w:r>
    </w:p>
    <w:p w14:paraId="3CB7D2C0">
      <w:pPr>
        <w:spacing w:line="360" w:lineRule="auto"/>
        <w:ind w:firstLine="480" w:firstLineChars="200"/>
        <w:rPr>
          <w:rFonts w:ascii="Times New Roman" w:hAnsi="Times New Roman" w:cs="Times New Roman"/>
        </w:rPr>
      </w:pPr>
      <w:bookmarkStart w:id="3" w:name="_Hlk100430621"/>
      <w:r>
        <w:rPr>
          <w:rFonts w:hint="eastAsia" w:ascii="Times New Roman" w:hAnsi="Times New Roman" w:cs="Times New Roman"/>
          <w:sz w:val="24"/>
          <w:szCs w:val="24"/>
        </w:rPr>
        <w:t>产品的化学成分</w:t>
      </w:r>
      <w:bookmarkStart w:id="4" w:name="_Hlk160782349"/>
      <w:r>
        <w:rPr>
          <w:rFonts w:hint="eastAsia" w:ascii="Times New Roman" w:hAnsi="Times New Roman" w:cs="Times New Roman"/>
          <w:sz w:val="24"/>
          <w:szCs w:val="24"/>
        </w:rPr>
        <w:t>应符合表</w:t>
      </w:r>
      <w:r>
        <w:rPr>
          <w:rFonts w:ascii="Times New Roman" w:hAnsi="Times New Roman" w:cs="Times New Roman"/>
          <w:sz w:val="24"/>
          <w:szCs w:val="24"/>
        </w:rPr>
        <w:t>1</w:t>
      </w:r>
      <w:r>
        <w:rPr>
          <w:rFonts w:hint="eastAsia" w:ascii="Times New Roman" w:hAnsi="Times New Roman" w:cs="Times New Roman"/>
          <w:sz w:val="24"/>
          <w:szCs w:val="24"/>
        </w:rPr>
        <w:t>的规定</w:t>
      </w:r>
      <w:bookmarkEnd w:id="4"/>
      <w:r>
        <w:rPr>
          <w:rFonts w:ascii="Times New Roman" w:hAnsi="Times New Roman" w:cs="Times New Roman"/>
          <w:sz w:val="24"/>
          <w:szCs w:val="24"/>
        </w:rPr>
        <w:t>。需方如有特殊要求，供需双方可另行协议。</w:t>
      </w:r>
    </w:p>
    <w:bookmarkEnd w:id="3"/>
    <w:p w14:paraId="36C42047">
      <w:pPr>
        <w:adjustRightInd w:val="0"/>
        <w:snapToGrid w:val="0"/>
        <w:spacing w:before="300" w:beforeLines="50" w:after="300" w:afterLines="50" w:line="360" w:lineRule="exact"/>
        <w:jc w:val="center"/>
        <w:rPr>
          <w:rFonts w:ascii="宋体" w:hAnsi="宋体" w:eastAsia="黑体" w:cs="黑体"/>
          <w:bCs/>
        </w:rPr>
      </w:pPr>
      <w:r>
        <w:rPr>
          <w:rFonts w:hint="eastAsia" w:ascii="宋体" w:hAnsi="宋体" w:eastAsia="黑体" w:cs="黑体"/>
          <w:bCs/>
        </w:rPr>
        <w:t>表</w:t>
      </w:r>
      <w:r>
        <w:rPr>
          <w:rFonts w:ascii="宋体" w:hAnsi="宋体" w:eastAsia="黑体" w:cs="黑体"/>
          <w:bCs/>
        </w:rPr>
        <w:t>1</w:t>
      </w:r>
      <w:r>
        <w:rPr>
          <w:rFonts w:hint="eastAsia" w:ascii="宋体" w:hAnsi="宋体" w:eastAsia="黑体" w:cs="黑体"/>
          <w:bCs/>
        </w:rPr>
        <w:t xml:space="preserve">  产品的化学成分</w:t>
      </w:r>
    </w:p>
    <w:tbl>
      <w:tblPr>
        <w:tblStyle w:val="88"/>
        <w:tblW w:w="94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562"/>
        <w:gridCol w:w="1475"/>
        <w:gridCol w:w="1465"/>
        <w:gridCol w:w="1743"/>
        <w:gridCol w:w="1747"/>
      </w:tblGrid>
      <w:tr w14:paraId="25253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970" w:type="dxa"/>
            <w:gridSpan w:val="4"/>
            <w:noWrap w:val="0"/>
            <w:vAlign w:val="center"/>
          </w:tcPr>
          <w:p w14:paraId="7F14E966">
            <w:pPr>
              <w:pStyle w:val="253"/>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产品牌号</w:t>
            </w:r>
          </w:p>
        </w:tc>
        <w:tc>
          <w:tcPr>
            <w:tcW w:w="1743" w:type="dxa"/>
            <w:noWrap w:val="0"/>
            <w:vAlign w:val="center"/>
          </w:tcPr>
          <w:p w14:paraId="54443B1B">
            <w:pPr>
              <w:pStyle w:val="253"/>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S</w:t>
            </w:r>
            <w:r>
              <w:rPr>
                <w:rFonts w:hint="default" w:ascii="Times New Roman" w:hAnsi="Times New Roman" w:cs="Times New Roman"/>
                <w:sz w:val="18"/>
                <w:szCs w:val="18"/>
              </w:rPr>
              <w:t>C-RE</w:t>
            </w:r>
            <w:r>
              <w:rPr>
                <w:rFonts w:hint="default" w:ascii="Times New Roman" w:hAnsi="Times New Roman" w:cs="Times New Roman"/>
                <w:sz w:val="18"/>
                <w:szCs w:val="18"/>
                <w:lang w:val="en-US" w:eastAsia="zh-CN"/>
              </w:rPr>
              <w:t>Br</w:t>
            </w:r>
            <w:r>
              <w:rPr>
                <w:rFonts w:hint="default" w:ascii="Times New Roman" w:hAnsi="Times New Roman" w:cs="Times New Roman"/>
                <w:sz w:val="18"/>
                <w:szCs w:val="18"/>
                <w:vertAlign w:val="subscript"/>
              </w:rPr>
              <w:t>3</w:t>
            </w:r>
            <w:r>
              <w:rPr>
                <w:rFonts w:hint="default" w:ascii="Times New Roman" w:hAnsi="Times New Roman" w:cs="Times New Roman"/>
                <w:sz w:val="18"/>
                <w:szCs w:val="18"/>
              </w:rPr>
              <w:t>-4N</w:t>
            </w:r>
          </w:p>
        </w:tc>
        <w:tc>
          <w:tcPr>
            <w:tcW w:w="1747" w:type="dxa"/>
            <w:noWrap w:val="0"/>
            <w:vAlign w:val="top"/>
          </w:tcPr>
          <w:p w14:paraId="345DCBE2">
            <w:pPr>
              <w:pStyle w:val="253"/>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S</w:t>
            </w:r>
            <w:r>
              <w:rPr>
                <w:rFonts w:hint="default" w:ascii="Times New Roman" w:hAnsi="Times New Roman" w:cs="Times New Roman"/>
                <w:sz w:val="18"/>
                <w:szCs w:val="18"/>
              </w:rPr>
              <w:t>C-RE</w:t>
            </w:r>
            <w:r>
              <w:rPr>
                <w:rFonts w:hint="default" w:ascii="Times New Roman" w:hAnsi="Times New Roman" w:cs="Times New Roman"/>
                <w:sz w:val="18"/>
                <w:szCs w:val="18"/>
                <w:lang w:val="en-US" w:eastAsia="zh-CN"/>
              </w:rPr>
              <w:t>Br</w:t>
            </w:r>
            <w:r>
              <w:rPr>
                <w:rFonts w:hint="default" w:ascii="Times New Roman" w:hAnsi="Times New Roman" w:cs="Times New Roman"/>
                <w:sz w:val="18"/>
                <w:szCs w:val="18"/>
                <w:vertAlign w:val="subscript"/>
              </w:rPr>
              <w:t>3</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5</w:t>
            </w:r>
            <w:r>
              <w:rPr>
                <w:rFonts w:hint="default" w:ascii="Times New Roman" w:hAnsi="Times New Roman" w:cs="Times New Roman"/>
                <w:sz w:val="18"/>
                <w:szCs w:val="18"/>
              </w:rPr>
              <w:t>N</w:t>
            </w:r>
          </w:p>
        </w:tc>
      </w:tr>
      <w:tr w14:paraId="7B082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8" w:type="dxa"/>
            <w:vMerge w:val="restart"/>
            <w:noWrap w:val="0"/>
            <w:vAlign w:val="center"/>
          </w:tcPr>
          <w:p w14:paraId="4B6170AA">
            <w:pPr>
              <w:pStyle w:val="253"/>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化学成分，（质量分数）/%</w:t>
            </w:r>
          </w:p>
        </w:tc>
        <w:tc>
          <w:tcPr>
            <w:tcW w:w="4502" w:type="dxa"/>
            <w:gridSpan w:val="3"/>
            <w:noWrap w:val="0"/>
            <w:vAlign w:val="center"/>
          </w:tcPr>
          <w:p w14:paraId="50F083B3">
            <w:pPr>
              <w:pStyle w:val="253"/>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vertAlign w:val="superscript"/>
              </w:rPr>
              <w:t>a,b</w:t>
            </w:r>
            <w:r>
              <w:rPr>
                <w:rFonts w:hint="default" w:ascii="Times New Roman" w:hAnsi="Times New Roman" w:cs="Times New Roman"/>
                <w:sz w:val="18"/>
                <w:szCs w:val="18"/>
              </w:rPr>
              <w:t>RE</w:t>
            </w:r>
            <w:r>
              <w:rPr>
                <w:rFonts w:hint="default" w:ascii="Times New Roman" w:hAnsi="Times New Roman" w:cs="Times New Roman"/>
                <w:sz w:val="18"/>
                <w:szCs w:val="18"/>
                <w:lang w:val="en-US" w:eastAsia="zh-CN"/>
              </w:rPr>
              <w:t>Br</w:t>
            </w:r>
            <w:r>
              <w:rPr>
                <w:rFonts w:hint="default" w:ascii="Times New Roman" w:hAnsi="Times New Roman" w:cs="Times New Roman"/>
                <w:sz w:val="18"/>
                <w:szCs w:val="18"/>
                <w:vertAlign w:val="subscript"/>
              </w:rPr>
              <w:t>3</w:t>
            </w:r>
            <w:r>
              <w:rPr>
                <w:rFonts w:hint="default" w:ascii="Times New Roman" w:hAnsi="Times New Roman" w:cs="Times New Roman"/>
                <w:sz w:val="18"/>
                <w:szCs w:val="18"/>
              </w:rPr>
              <w:t>，不小于</w:t>
            </w:r>
          </w:p>
        </w:tc>
        <w:tc>
          <w:tcPr>
            <w:tcW w:w="1743" w:type="dxa"/>
            <w:noWrap w:val="0"/>
            <w:vAlign w:val="center"/>
          </w:tcPr>
          <w:p w14:paraId="5682B471">
            <w:pPr>
              <w:pStyle w:val="253"/>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99.9</w:t>
            </w:r>
            <w:r>
              <w:rPr>
                <w:rFonts w:hint="default" w:ascii="Times New Roman" w:hAnsi="Times New Roman" w:cs="Times New Roman"/>
                <w:sz w:val="18"/>
                <w:szCs w:val="18"/>
                <w:lang w:val="en-US" w:eastAsia="zh-CN"/>
              </w:rPr>
              <w:t>9</w:t>
            </w:r>
            <w:r>
              <w:rPr>
                <w:rFonts w:hint="eastAsia" w:cs="Times New Roman"/>
                <w:sz w:val="18"/>
                <w:szCs w:val="18"/>
                <w:lang w:val="en-US" w:eastAsia="zh-CN"/>
              </w:rPr>
              <w:t>00</w:t>
            </w:r>
          </w:p>
        </w:tc>
        <w:tc>
          <w:tcPr>
            <w:tcW w:w="1747" w:type="dxa"/>
            <w:noWrap w:val="0"/>
            <w:vAlign w:val="top"/>
          </w:tcPr>
          <w:p w14:paraId="406C1EC8">
            <w:pPr>
              <w:pStyle w:val="253"/>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99.9</w:t>
            </w:r>
            <w:r>
              <w:rPr>
                <w:rFonts w:hint="default" w:ascii="Times New Roman" w:hAnsi="Times New Roman" w:cs="Times New Roman"/>
                <w:sz w:val="18"/>
                <w:szCs w:val="18"/>
                <w:lang w:val="en-US" w:eastAsia="zh-CN"/>
              </w:rPr>
              <w:t>99</w:t>
            </w:r>
            <w:r>
              <w:rPr>
                <w:rFonts w:hint="eastAsia" w:cs="Times New Roman"/>
                <w:sz w:val="18"/>
                <w:szCs w:val="18"/>
                <w:lang w:val="en-US" w:eastAsia="zh-CN"/>
              </w:rPr>
              <w:t>0</w:t>
            </w:r>
          </w:p>
        </w:tc>
      </w:tr>
      <w:tr w14:paraId="4E22E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3B81F824">
            <w:pPr>
              <w:pStyle w:val="253"/>
              <w:spacing w:line="360" w:lineRule="exact"/>
              <w:jc w:val="center"/>
              <w:rPr>
                <w:rFonts w:hint="default" w:ascii="Times New Roman" w:hAnsi="Times New Roman" w:cs="Times New Roman"/>
                <w:sz w:val="18"/>
                <w:szCs w:val="18"/>
              </w:rPr>
            </w:pPr>
          </w:p>
        </w:tc>
        <w:tc>
          <w:tcPr>
            <w:tcW w:w="1562" w:type="dxa"/>
            <w:vMerge w:val="restart"/>
            <w:noWrap w:val="0"/>
            <w:vAlign w:val="center"/>
          </w:tcPr>
          <w:p w14:paraId="0F72538B">
            <w:pPr>
              <w:pStyle w:val="253"/>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杂质含量，不大于</w:t>
            </w:r>
          </w:p>
        </w:tc>
        <w:tc>
          <w:tcPr>
            <w:tcW w:w="2940" w:type="dxa"/>
            <w:gridSpan w:val="2"/>
            <w:noWrap w:val="0"/>
            <w:vAlign w:val="center"/>
          </w:tcPr>
          <w:p w14:paraId="1C677EB1">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vertAlign w:val="superscript"/>
              </w:rPr>
              <w:t>c</w:t>
            </w:r>
            <w:r>
              <w:rPr>
                <w:rFonts w:hint="default" w:ascii="Times New Roman" w:hAnsi="Times New Roman" w:cs="Times New Roman"/>
                <w:sz w:val="18"/>
                <w:szCs w:val="18"/>
              </w:rPr>
              <w:t>稀土杂质</w:t>
            </w:r>
          </w:p>
        </w:tc>
        <w:tc>
          <w:tcPr>
            <w:tcW w:w="1743" w:type="dxa"/>
            <w:noWrap w:val="0"/>
            <w:vAlign w:val="center"/>
          </w:tcPr>
          <w:p w14:paraId="4662B49E">
            <w:pPr>
              <w:pStyle w:val="253"/>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05</w:t>
            </w:r>
            <w:r>
              <w:rPr>
                <w:rFonts w:hint="default" w:ascii="Times New Roman" w:hAnsi="Times New Roman" w:cs="Times New Roman"/>
                <w:sz w:val="18"/>
                <w:szCs w:val="18"/>
              </w:rPr>
              <w:t>0</w:t>
            </w:r>
          </w:p>
        </w:tc>
        <w:tc>
          <w:tcPr>
            <w:tcW w:w="1747" w:type="dxa"/>
            <w:noWrap w:val="0"/>
            <w:vAlign w:val="top"/>
          </w:tcPr>
          <w:p w14:paraId="34410D23">
            <w:pPr>
              <w:pStyle w:val="253"/>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005</w:t>
            </w:r>
          </w:p>
        </w:tc>
      </w:tr>
      <w:tr w14:paraId="67585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3E31E83D">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36578AF">
            <w:pPr>
              <w:pStyle w:val="253"/>
              <w:spacing w:line="360" w:lineRule="exact"/>
              <w:jc w:val="center"/>
              <w:rPr>
                <w:rFonts w:hint="default" w:ascii="Times New Roman" w:hAnsi="Times New Roman" w:cs="Times New Roman"/>
                <w:sz w:val="18"/>
                <w:szCs w:val="18"/>
              </w:rPr>
            </w:pPr>
          </w:p>
        </w:tc>
        <w:tc>
          <w:tcPr>
            <w:tcW w:w="2940" w:type="dxa"/>
            <w:gridSpan w:val="2"/>
            <w:noWrap w:val="0"/>
            <w:vAlign w:val="center"/>
          </w:tcPr>
          <w:p w14:paraId="25BD6E65">
            <w:pPr>
              <w:spacing w:line="360" w:lineRule="exact"/>
              <w:jc w:val="center"/>
              <w:rPr>
                <w:rFonts w:hint="default" w:ascii="Times New Roman" w:hAnsi="Times New Roman" w:eastAsia="宋体" w:cs="Times New Roman"/>
                <w:sz w:val="18"/>
                <w:szCs w:val="18"/>
                <w:vertAlign w:val="superscript"/>
                <w:lang w:val="en-US" w:eastAsia="zh-CN"/>
              </w:rPr>
            </w:pPr>
            <w:r>
              <w:rPr>
                <w:rFonts w:hint="default" w:ascii="Times New Roman" w:hAnsi="Times New Roman" w:eastAsia="宋体" w:cs="Times New Roman"/>
                <w:sz w:val="18"/>
                <w:szCs w:val="18"/>
                <w:vertAlign w:val="superscript"/>
                <w:lang w:val="en-US" w:eastAsia="zh-CN"/>
              </w:rPr>
              <w:t>c</w:t>
            </w:r>
            <w:r>
              <w:rPr>
                <w:rFonts w:hint="default" w:ascii="Times New Roman" w:hAnsi="Times New Roman" w:eastAsia="宋体" w:cs="Times New Roman"/>
                <w:sz w:val="18"/>
                <w:szCs w:val="18"/>
                <w:lang w:val="en-US" w:eastAsia="zh-CN"/>
              </w:rPr>
              <w:t>单一稀土杂质</w:t>
            </w:r>
          </w:p>
        </w:tc>
        <w:tc>
          <w:tcPr>
            <w:tcW w:w="1743" w:type="dxa"/>
            <w:noWrap w:val="0"/>
            <w:vAlign w:val="center"/>
          </w:tcPr>
          <w:p w14:paraId="730BE8DD">
            <w:pPr>
              <w:pStyle w:val="253"/>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0.0010</w:t>
            </w:r>
          </w:p>
        </w:tc>
        <w:tc>
          <w:tcPr>
            <w:tcW w:w="1747" w:type="dxa"/>
            <w:noWrap w:val="0"/>
            <w:vAlign w:val="top"/>
          </w:tcPr>
          <w:p w14:paraId="47D59F81">
            <w:pPr>
              <w:pStyle w:val="253"/>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0.0002</w:t>
            </w:r>
          </w:p>
        </w:tc>
      </w:tr>
      <w:tr w14:paraId="2362F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236A75FD">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653E6D1">
            <w:pPr>
              <w:pStyle w:val="253"/>
              <w:spacing w:line="360" w:lineRule="exact"/>
              <w:jc w:val="center"/>
              <w:rPr>
                <w:rFonts w:hint="default" w:ascii="Times New Roman" w:hAnsi="Times New Roman" w:cs="Times New Roman"/>
                <w:sz w:val="18"/>
                <w:szCs w:val="18"/>
              </w:rPr>
            </w:pPr>
          </w:p>
        </w:tc>
        <w:tc>
          <w:tcPr>
            <w:tcW w:w="1475" w:type="dxa"/>
            <w:vMerge w:val="restart"/>
            <w:noWrap w:val="0"/>
            <w:vAlign w:val="center"/>
          </w:tcPr>
          <w:p w14:paraId="00E7E053">
            <w:pPr>
              <w:pStyle w:val="253"/>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I类</w:t>
            </w:r>
            <w:r>
              <w:rPr>
                <w:rFonts w:hint="default" w:ascii="Times New Roman" w:hAnsi="Times New Roman" w:cs="Times New Roman"/>
                <w:sz w:val="18"/>
                <w:szCs w:val="18"/>
              </w:rPr>
              <w:t>非稀土杂质</w:t>
            </w:r>
          </w:p>
        </w:tc>
        <w:tc>
          <w:tcPr>
            <w:tcW w:w="1465" w:type="dxa"/>
            <w:noWrap w:val="0"/>
            <w:vAlign w:val="center"/>
          </w:tcPr>
          <w:p w14:paraId="2A7ED81D">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Li</w:t>
            </w:r>
          </w:p>
        </w:tc>
        <w:tc>
          <w:tcPr>
            <w:tcW w:w="1743" w:type="dxa"/>
            <w:noWrap w:val="0"/>
            <w:vAlign w:val="center"/>
          </w:tcPr>
          <w:p w14:paraId="7D730395">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0.0010</w:t>
            </w:r>
          </w:p>
        </w:tc>
        <w:tc>
          <w:tcPr>
            <w:tcW w:w="1747" w:type="dxa"/>
            <w:noWrap w:val="0"/>
            <w:vAlign w:val="center"/>
          </w:tcPr>
          <w:p w14:paraId="21A08A53">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0.0005</w:t>
            </w:r>
          </w:p>
        </w:tc>
      </w:tr>
      <w:tr w14:paraId="4B29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7B5C4337">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4B8C3B34">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350F9C30">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75039B5F">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Na</w:t>
            </w:r>
          </w:p>
        </w:tc>
        <w:tc>
          <w:tcPr>
            <w:tcW w:w="1743" w:type="dxa"/>
            <w:noWrap w:val="0"/>
            <w:vAlign w:val="center"/>
          </w:tcPr>
          <w:p w14:paraId="117097BD">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1747" w:type="dxa"/>
            <w:noWrap w:val="0"/>
            <w:vAlign w:val="center"/>
          </w:tcPr>
          <w:p w14:paraId="15841F10">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07BB8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263EFF7D">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665FF856">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10794B75">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09517D81">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Mg</w:t>
            </w:r>
          </w:p>
        </w:tc>
        <w:tc>
          <w:tcPr>
            <w:tcW w:w="1743" w:type="dxa"/>
            <w:noWrap w:val="0"/>
            <w:vAlign w:val="center"/>
          </w:tcPr>
          <w:p w14:paraId="0DCEB594">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0.0010</w:t>
            </w:r>
          </w:p>
        </w:tc>
        <w:tc>
          <w:tcPr>
            <w:tcW w:w="1747" w:type="dxa"/>
            <w:noWrap w:val="0"/>
            <w:vAlign w:val="center"/>
          </w:tcPr>
          <w:p w14:paraId="6E9BBBBB">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17CDC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1BA86C76">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04F3F46D">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2A0BC57C">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66C20A05">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Al</w:t>
            </w:r>
          </w:p>
        </w:tc>
        <w:tc>
          <w:tcPr>
            <w:tcW w:w="1743" w:type="dxa"/>
            <w:noWrap w:val="0"/>
            <w:vAlign w:val="center"/>
          </w:tcPr>
          <w:p w14:paraId="680A496B">
            <w:pPr>
              <w:spacing w:line="360" w:lineRule="exact"/>
              <w:jc w:val="center"/>
              <w:rPr>
                <w:rFonts w:hint="default" w:ascii="Times New Roman" w:hAnsi="Times New Roman" w:cs="Times New Roman"/>
                <w:b/>
                <w:bCs/>
                <w:sz w:val="18"/>
                <w:szCs w:val="18"/>
              </w:rPr>
            </w:pPr>
            <w:r>
              <w:rPr>
                <w:rFonts w:hint="default" w:ascii="Times New Roman" w:hAnsi="Times New Roman" w:cs="Times New Roman"/>
                <w:sz w:val="18"/>
                <w:szCs w:val="18"/>
              </w:rPr>
              <w:t>0.0010</w:t>
            </w:r>
          </w:p>
        </w:tc>
        <w:tc>
          <w:tcPr>
            <w:tcW w:w="1747" w:type="dxa"/>
            <w:noWrap w:val="0"/>
            <w:vAlign w:val="center"/>
          </w:tcPr>
          <w:p w14:paraId="45651C8D">
            <w:pPr>
              <w:spacing w:line="360" w:lineRule="exact"/>
              <w:jc w:val="center"/>
              <w:rPr>
                <w:rFonts w:hint="default" w:ascii="Times New Roman" w:hAnsi="Times New Roman" w:cs="Times New Roman"/>
                <w:b/>
                <w:bCs/>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5057E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426EFC29">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14CB2033">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55FD8618">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4C6666E3">
            <w:pPr>
              <w:spacing w:line="36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Si</w:t>
            </w:r>
          </w:p>
        </w:tc>
        <w:tc>
          <w:tcPr>
            <w:tcW w:w="1743" w:type="dxa"/>
            <w:noWrap w:val="0"/>
            <w:vAlign w:val="center"/>
          </w:tcPr>
          <w:p w14:paraId="48083953">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1747" w:type="dxa"/>
            <w:noWrap w:val="0"/>
            <w:vAlign w:val="center"/>
          </w:tcPr>
          <w:p w14:paraId="2DB09AC0">
            <w:pPr>
              <w:spacing w:line="360" w:lineRule="exact"/>
              <w:jc w:val="center"/>
              <w:rPr>
                <w:rFonts w:hint="default" w:ascii="Times New Roman" w:hAnsi="Times New Roman" w:cs="Times New Roman"/>
                <w:sz w:val="18"/>
                <w:szCs w:val="18"/>
                <w:lang w:val="en-US"/>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6DC27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1E6C1960">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4A23BBD9">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10E7EDCA">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497FC846">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P</w:t>
            </w:r>
          </w:p>
        </w:tc>
        <w:tc>
          <w:tcPr>
            <w:tcW w:w="1743" w:type="dxa"/>
            <w:noWrap w:val="0"/>
            <w:vAlign w:val="center"/>
          </w:tcPr>
          <w:p w14:paraId="5FEA2EA5">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1747" w:type="dxa"/>
            <w:noWrap w:val="0"/>
            <w:vAlign w:val="center"/>
          </w:tcPr>
          <w:p w14:paraId="16090D73">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5E45B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54D348B8">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1B0F36A">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399A9EF9">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2A2F0B9B">
            <w:pPr>
              <w:spacing w:line="360" w:lineRule="exact"/>
              <w:jc w:val="center"/>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val="en-US" w:eastAsia="zh-CN"/>
              </w:rPr>
              <w:t>K</w:t>
            </w:r>
          </w:p>
        </w:tc>
        <w:tc>
          <w:tcPr>
            <w:tcW w:w="1743" w:type="dxa"/>
            <w:noWrap w:val="0"/>
            <w:vAlign w:val="center"/>
          </w:tcPr>
          <w:p w14:paraId="2F4C8904">
            <w:pPr>
              <w:spacing w:line="36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0.0010</w:t>
            </w:r>
          </w:p>
        </w:tc>
        <w:tc>
          <w:tcPr>
            <w:tcW w:w="1747" w:type="dxa"/>
            <w:noWrap w:val="0"/>
            <w:vAlign w:val="center"/>
          </w:tcPr>
          <w:p w14:paraId="7ECF550A">
            <w:pPr>
              <w:spacing w:line="36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0.00</w:t>
            </w:r>
            <w:r>
              <w:rPr>
                <w:rFonts w:hint="default" w:ascii="Times New Roman" w:hAnsi="Times New Roman" w:cs="Times New Roman"/>
                <w:sz w:val="18"/>
                <w:szCs w:val="18"/>
                <w:highlight w:val="none"/>
                <w:lang w:val="en-US" w:eastAsia="zh-CN"/>
              </w:rPr>
              <w:t>05</w:t>
            </w:r>
          </w:p>
        </w:tc>
      </w:tr>
      <w:tr w14:paraId="4FDD8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3B46B997">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1FEC7C5E">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1810241E">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23275418">
            <w:pPr>
              <w:spacing w:line="36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Ca</w:t>
            </w:r>
          </w:p>
        </w:tc>
        <w:tc>
          <w:tcPr>
            <w:tcW w:w="1743" w:type="dxa"/>
            <w:noWrap w:val="0"/>
            <w:vAlign w:val="center"/>
          </w:tcPr>
          <w:p w14:paraId="59166531">
            <w:pPr>
              <w:spacing w:line="360" w:lineRule="exact"/>
              <w:jc w:val="center"/>
              <w:rPr>
                <w:rFonts w:hint="default" w:ascii="Times New Roman" w:hAnsi="Times New Roman" w:cs="Times New Roman"/>
                <w:sz w:val="18"/>
                <w:szCs w:val="18"/>
                <w:lang w:val="en-US"/>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10</w:t>
            </w:r>
          </w:p>
        </w:tc>
        <w:tc>
          <w:tcPr>
            <w:tcW w:w="1747" w:type="dxa"/>
            <w:noWrap w:val="0"/>
            <w:vAlign w:val="center"/>
          </w:tcPr>
          <w:p w14:paraId="20102B95">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34A70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2ABA2637">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06ABC019">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1DBBF7B9">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417495A0">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Rb</w:t>
            </w:r>
          </w:p>
        </w:tc>
        <w:tc>
          <w:tcPr>
            <w:tcW w:w="1743" w:type="dxa"/>
            <w:noWrap w:val="0"/>
            <w:vAlign w:val="center"/>
          </w:tcPr>
          <w:p w14:paraId="093C80D0">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1747" w:type="dxa"/>
            <w:noWrap w:val="0"/>
            <w:vAlign w:val="center"/>
          </w:tcPr>
          <w:p w14:paraId="1BD2F216">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1FE6B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5168A66F">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4FFF1491">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20542162">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2E621627">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Sr</w:t>
            </w:r>
          </w:p>
        </w:tc>
        <w:tc>
          <w:tcPr>
            <w:tcW w:w="1743" w:type="dxa"/>
            <w:noWrap w:val="0"/>
            <w:vAlign w:val="center"/>
          </w:tcPr>
          <w:p w14:paraId="14B340D5">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1747" w:type="dxa"/>
            <w:noWrap w:val="0"/>
            <w:vAlign w:val="center"/>
          </w:tcPr>
          <w:p w14:paraId="6C2D4225">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344C9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014A9E3A">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2F2E0218">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33654120">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2FC1D22D">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Cs</w:t>
            </w:r>
          </w:p>
        </w:tc>
        <w:tc>
          <w:tcPr>
            <w:tcW w:w="1743" w:type="dxa"/>
            <w:noWrap w:val="0"/>
            <w:vAlign w:val="center"/>
          </w:tcPr>
          <w:p w14:paraId="727DC622">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1747" w:type="dxa"/>
            <w:noWrap w:val="0"/>
            <w:vAlign w:val="center"/>
          </w:tcPr>
          <w:p w14:paraId="163EF32A">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61963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5C1F9D5A">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B13CE1E">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0946EF74">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55B1E7F5">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Ba</w:t>
            </w:r>
          </w:p>
        </w:tc>
        <w:tc>
          <w:tcPr>
            <w:tcW w:w="1743" w:type="dxa"/>
            <w:noWrap w:val="0"/>
            <w:vAlign w:val="center"/>
          </w:tcPr>
          <w:p w14:paraId="60BC849C">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0.0010</w:t>
            </w:r>
          </w:p>
        </w:tc>
        <w:tc>
          <w:tcPr>
            <w:tcW w:w="1747" w:type="dxa"/>
            <w:noWrap w:val="0"/>
            <w:vAlign w:val="center"/>
          </w:tcPr>
          <w:p w14:paraId="6FCDFBE2">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r>
      <w:tr w14:paraId="204D6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05C654E5">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45DF346">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610929C5">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22645A4B">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合量</w:t>
            </w:r>
          </w:p>
        </w:tc>
        <w:tc>
          <w:tcPr>
            <w:tcW w:w="1743" w:type="dxa"/>
            <w:noWrap w:val="0"/>
            <w:vAlign w:val="center"/>
          </w:tcPr>
          <w:p w14:paraId="7DD4E8DF">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0.0040</w:t>
            </w:r>
          </w:p>
        </w:tc>
        <w:tc>
          <w:tcPr>
            <w:tcW w:w="1747" w:type="dxa"/>
            <w:noWrap w:val="0"/>
            <w:vAlign w:val="center"/>
          </w:tcPr>
          <w:p w14:paraId="2B75F7EE">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0.0010</w:t>
            </w:r>
          </w:p>
        </w:tc>
      </w:tr>
      <w:tr w14:paraId="6AC06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37B4DDA6">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91EA06E">
            <w:pPr>
              <w:pStyle w:val="253"/>
              <w:spacing w:line="360" w:lineRule="exact"/>
              <w:jc w:val="center"/>
              <w:rPr>
                <w:rFonts w:hint="default" w:ascii="Times New Roman" w:hAnsi="Times New Roman" w:cs="Times New Roman"/>
                <w:sz w:val="18"/>
                <w:szCs w:val="18"/>
              </w:rPr>
            </w:pPr>
          </w:p>
        </w:tc>
        <w:tc>
          <w:tcPr>
            <w:tcW w:w="1475" w:type="dxa"/>
            <w:vMerge w:val="restart"/>
            <w:noWrap w:val="0"/>
            <w:vAlign w:val="center"/>
          </w:tcPr>
          <w:p w14:paraId="5FA68A8C">
            <w:pPr>
              <w:pStyle w:val="253"/>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II类非稀土杂质</w:t>
            </w:r>
          </w:p>
        </w:tc>
        <w:tc>
          <w:tcPr>
            <w:tcW w:w="1465" w:type="dxa"/>
            <w:noWrap w:val="0"/>
            <w:vAlign w:val="center"/>
          </w:tcPr>
          <w:p w14:paraId="2D3903C3">
            <w:pPr>
              <w:spacing w:line="36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Ti</w:t>
            </w:r>
          </w:p>
        </w:tc>
        <w:tc>
          <w:tcPr>
            <w:tcW w:w="1743" w:type="dxa"/>
            <w:noWrap w:val="0"/>
            <w:vAlign w:val="center"/>
          </w:tcPr>
          <w:p w14:paraId="064A913A">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262DE21B">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4D104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6EB42C28">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A478216">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29217BB7">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47195882">
            <w:pPr>
              <w:spacing w:line="36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V</w:t>
            </w:r>
          </w:p>
        </w:tc>
        <w:tc>
          <w:tcPr>
            <w:tcW w:w="1743" w:type="dxa"/>
            <w:noWrap w:val="0"/>
            <w:vAlign w:val="center"/>
          </w:tcPr>
          <w:p w14:paraId="15CF58C0">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75E7244D">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236C6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41F12D48">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0F4A8B11">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746CC507">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57F6CC6C">
            <w:pPr>
              <w:spacing w:line="36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Cr</w:t>
            </w:r>
          </w:p>
        </w:tc>
        <w:tc>
          <w:tcPr>
            <w:tcW w:w="1743" w:type="dxa"/>
            <w:noWrap w:val="0"/>
            <w:vAlign w:val="center"/>
          </w:tcPr>
          <w:p w14:paraId="2D5B1426">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6E8C68C7">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6EA07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0EF961F0">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230DB9F7">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38A5E4D5">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4FB38F03">
            <w:pPr>
              <w:spacing w:line="36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Mn</w:t>
            </w:r>
          </w:p>
        </w:tc>
        <w:tc>
          <w:tcPr>
            <w:tcW w:w="1743" w:type="dxa"/>
            <w:noWrap w:val="0"/>
            <w:vAlign w:val="center"/>
          </w:tcPr>
          <w:p w14:paraId="68764B08">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07285572">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70DA6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0A2FE249">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42497AB9">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02C377FF">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13D4A145">
            <w:pPr>
              <w:spacing w:line="36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Fe</w:t>
            </w:r>
          </w:p>
        </w:tc>
        <w:tc>
          <w:tcPr>
            <w:tcW w:w="1743" w:type="dxa"/>
            <w:noWrap w:val="0"/>
            <w:vAlign w:val="center"/>
          </w:tcPr>
          <w:p w14:paraId="398D0D8A">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69ACE06D">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14C87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447E69BE">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ADB2F70">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3DCD8780">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20A3451B">
            <w:pPr>
              <w:spacing w:line="36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Co</w:t>
            </w:r>
          </w:p>
        </w:tc>
        <w:tc>
          <w:tcPr>
            <w:tcW w:w="1743" w:type="dxa"/>
            <w:noWrap w:val="0"/>
            <w:vAlign w:val="center"/>
          </w:tcPr>
          <w:p w14:paraId="5802DDB9">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3238D80C">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74B5C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6256FFE9">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48AE74C7">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2FFAC739">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7D50F9E0">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Ni</w:t>
            </w:r>
          </w:p>
        </w:tc>
        <w:tc>
          <w:tcPr>
            <w:tcW w:w="1743" w:type="dxa"/>
            <w:noWrap w:val="0"/>
            <w:vAlign w:val="center"/>
          </w:tcPr>
          <w:p w14:paraId="227F600D">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2AFB6584">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76EAF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4B58ECE9">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3EA1962A">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7539EF5B">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2CE92669">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Cu</w:t>
            </w:r>
          </w:p>
        </w:tc>
        <w:tc>
          <w:tcPr>
            <w:tcW w:w="1743" w:type="dxa"/>
            <w:noWrap w:val="0"/>
            <w:vAlign w:val="center"/>
          </w:tcPr>
          <w:p w14:paraId="220D2392">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0B48BB29">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5154A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3F316C13">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B36097E">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7A4BB01F">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6009DE6C">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Zn</w:t>
            </w:r>
          </w:p>
        </w:tc>
        <w:tc>
          <w:tcPr>
            <w:tcW w:w="1743" w:type="dxa"/>
            <w:noWrap w:val="0"/>
            <w:vAlign w:val="center"/>
          </w:tcPr>
          <w:p w14:paraId="2810A44A">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05E65A49">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7C51A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5EBF09C2">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651CA5B6">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2EC4F0FF">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0DED95BA">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Cd</w:t>
            </w:r>
          </w:p>
        </w:tc>
        <w:tc>
          <w:tcPr>
            <w:tcW w:w="1743" w:type="dxa"/>
            <w:noWrap w:val="0"/>
            <w:vAlign w:val="center"/>
          </w:tcPr>
          <w:p w14:paraId="2EAA9F48">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4ACFC6EA">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764D7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2CC87283">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0626475F">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1427832E">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0B677DFF">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In</w:t>
            </w:r>
          </w:p>
        </w:tc>
        <w:tc>
          <w:tcPr>
            <w:tcW w:w="1743" w:type="dxa"/>
            <w:noWrap w:val="0"/>
            <w:vAlign w:val="center"/>
          </w:tcPr>
          <w:p w14:paraId="399B5BF8">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1C824E10">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2073A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7532205F">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5E9C39C2">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593BDA10">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26138FA0">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w:t>
            </w:r>
          </w:p>
        </w:tc>
        <w:tc>
          <w:tcPr>
            <w:tcW w:w="1743" w:type="dxa"/>
            <w:noWrap w:val="0"/>
            <w:vAlign w:val="center"/>
          </w:tcPr>
          <w:p w14:paraId="7E6673BF">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2E08A232">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2872B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2BB616E4">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10537436">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70598B9B">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468BC9BD">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Pb</w:t>
            </w:r>
          </w:p>
        </w:tc>
        <w:tc>
          <w:tcPr>
            <w:tcW w:w="1743" w:type="dxa"/>
            <w:noWrap w:val="0"/>
            <w:vAlign w:val="center"/>
          </w:tcPr>
          <w:p w14:paraId="2B7E4EE6">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05</w:t>
            </w:r>
          </w:p>
        </w:tc>
        <w:tc>
          <w:tcPr>
            <w:tcW w:w="1747" w:type="dxa"/>
            <w:noWrap w:val="0"/>
            <w:vAlign w:val="center"/>
          </w:tcPr>
          <w:p w14:paraId="1248A1F5">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0.00</w:t>
            </w:r>
            <w:r>
              <w:rPr>
                <w:rFonts w:hint="default" w:ascii="Times New Roman" w:hAnsi="Times New Roman" w:cs="Times New Roman"/>
                <w:sz w:val="18"/>
                <w:szCs w:val="18"/>
                <w:lang w:val="en-US" w:eastAsia="zh-CN"/>
              </w:rPr>
              <w:t>02</w:t>
            </w:r>
          </w:p>
        </w:tc>
      </w:tr>
      <w:tr w14:paraId="513D2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0F29546D">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2F019B34">
            <w:pPr>
              <w:pStyle w:val="253"/>
              <w:spacing w:line="360" w:lineRule="exact"/>
              <w:jc w:val="center"/>
              <w:rPr>
                <w:rFonts w:hint="default" w:ascii="Times New Roman" w:hAnsi="Times New Roman" w:cs="Times New Roman"/>
                <w:sz w:val="18"/>
                <w:szCs w:val="18"/>
              </w:rPr>
            </w:pPr>
          </w:p>
        </w:tc>
        <w:tc>
          <w:tcPr>
            <w:tcW w:w="1475" w:type="dxa"/>
            <w:vMerge w:val="continue"/>
            <w:noWrap w:val="0"/>
            <w:vAlign w:val="center"/>
          </w:tcPr>
          <w:p w14:paraId="5D933F24">
            <w:pPr>
              <w:pStyle w:val="253"/>
              <w:spacing w:line="360" w:lineRule="exact"/>
              <w:jc w:val="center"/>
              <w:rPr>
                <w:rFonts w:hint="default" w:ascii="Times New Roman" w:hAnsi="Times New Roman" w:cs="Times New Roman"/>
                <w:sz w:val="18"/>
                <w:szCs w:val="18"/>
              </w:rPr>
            </w:pPr>
          </w:p>
        </w:tc>
        <w:tc>
          <w:tcPr>
            <w:tcW w:w="1465" w:type="dxa"/>
            <w:noWrap w:val="0"/>
            <w:vAlign w:val="center"/>
          </w:tcPr>
          <w:p w14:paraId="5C76E0C2">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合量</w:t>
            </w:r>
          </w:p>
        </w:tc>
        <w:tc>
          <w:tcPr>
            <w:tcW w:w="1743" w:type="dxa"/>
            <w:noWrap w:val="0"/>
            <w:vAlign w:val="center"/>
          </w:tcPr>
          <w:p w14:paraId="4EE73B8E">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0.0010</w:t>
            </w:r>
          </w:p>
        </w:tc>
        <w:tc>
          <w:tcPr>
            <w:tcW w:w="1747" w:type="dxa"/>
            <w:noWrap w:val="0"/>
            <w:vAlign w:val="top"/>
          </w:tcPr>
          <w:p w14:paraId="57D39A96">
            <w:pPr>
              <w:spacing w:line="3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0.0005</w:t>
            </w:r>
          </w:p>
        </w:tc>
      </w:tr>
      <w:tr w14:paraId="61305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27F43275">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7D3F232F">
            <w:pPr>
              <w:pStyle w:val="253"/>
              <w:spacing w:line="360" w:lineRule="exact"/>
              <w:jc w:val="center"/>
              <w:rPr>
                <w:rFonts w:hint="default" w:ascii="Times New Roman" w:hAnsi="Times New Roman" w:cs="Times New Roman"/>
                <w:sz w:val="18"/>
                <w:szCs w:val="18"/>
              </w:rPr>
            </w:pPr>
          </w:p>
        </w:tc>
        <w:tc>
          <w:tcPr>
            <w:tcW w:w="2940" w:type="dxa"/>
            <w:gridSpan w:val="2"/>
            <w:noWrap w:val="0"/>
            <w:vAlign w:val="center"/>
          </w:tcPr>
          <w:p w14:paraId="2ECF6A75">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H</w:t>
            </w:r>
            <w:r>
              <w:rPr>
                <w:rFonts w:hint="default" w:ascii="Times New Roman" w:hAnsi="Times New Roman" w:cs="Times New Roman"/>
                <w:sz w:val="18"/>
                <w:szCs w:val="18"/>
                <w:vertAlign w:val="subscript"/>
                <w:lang w:val="en-US" w:eastAsia="zh-CN"/>
              </w:rPr>
              <w:t>2</w:t>
            </w:r>
            <w:r>
              <w:rPr>
                <w:rFonts w:hint="default" w:ascii="Times New Roman" w:hAnsi="Times New Roman" w:cs="Times New Roman"/>
                <w:sz w:val="18"/>
                <w:szCs w:val="18"/>
                <w:lang w:val="en-US" w:eastAsia="zh-CN"/>
              </w:rPr>
              <w:t>O</w:t>
            </w:r>
          </w:p>
        </w:tc>
        <w:tc>
          <w:tcPr>
            <w:tcW w:w="1743" w:type="dxa"/>
            <w:noWrap w:val="0"/>
            <w:vAlign w:val="center"/>
          </w:tcPr>
          <w:p w14:paraId="4A6F13AE">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010</w:t>
            </w:r>
          </w:p>
        </w:tc>
        <w:tc>
          <w:tcPr>
            <w:tcW w:w="1747" w:type="dxa"/>
            <w:noWrap w:val="0"/>
            <w:vAlign w:val="top"/>
          </w:tcPr>
          <w:p w14:paraId="6C6192BB">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010</w:t>
            </w:r>
          </w:p>
        </w:tc>
      </w:tr>
      <w:tr w14:paraId="1A35F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1E6270A5">
            <w:pPr>
              <w:pStyle w:val="253"/>
              <w:spacing w:line="360" w:lineRule="exact"/>
              <w:jc w:val="center"/>
              <w:rPr>
                <w:rFonts w:hint="default" w:ascii="Times New Roman" w:hAnsi="Times New Roman" w:cs="Times New Roman"/>
                <w:sz w:val="18"/>
                <w:szCs w:val="18"/>
              </w:rPr>
            </w:pPr>
          </w:p>
        </w:tc>
        <w:tc>
          <w:tcPr>
            <w:tcW w:w="1562" w:type="dxa"/>
            <w:vMerge w:val="continue"/>
            <w:noWrap w:val="0"/>
            <w:vAlign w:val="center"/>
          </w:tcPr>
          <w:p w14:paraId="63E819D7">
            <w:pPr>
              <w:pStyle w:val="253"/>
              <w:spacing w:line="360" w:lineRule="exact"/>
              <w:jc w:val="center"/>
              <w:rPr>
                <w:rFonts w:hint="default" w:ascii="Times New Roman" w:hAnsi="Times New Roman" w:cs="Times New Roman"/>
                <w:sz w:val="18"/>
                <w:szCs w:val="18"/>
              </w:rPr>
            </w:pPr>
          </w:p>
        </w:tc>
        <w:tc>
          <w:tcPr>
            <w:tcW w:w="2940" w:type="dxa"/>
            <w:gridSpan w:val="2"/>
            <w:noWrap w:val="0"/>
            <w:vAlign w:val="center"/>
          </w:tcPr>
          <w:p w14:paraId="3DA7452A">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O</w:t>
            </w:r>
          </w:p>
        </w:tc>
        <w:tc>
          <w:tcPr>
            <w:tcW w:w="1743" w:type="dxa"/>
            <w:noWrap w:val="0"/>
            <w:vAlign w:val="center"/>
          </w:tcPr>
          <w:p w14:paraId="7EE25B1A">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0.0100</w:t>
            </w:r>
          </w:p>
        </w:tc>
        <w:tc>
          <w:tcPr>
            <w:tcW w:w="1747" w:type="dxa"/>
            <w:noWrap w:val="0"/>
            <w:vAlign w:val="top"/>
          </w:tcPr>
          <w:p w14:paraId="029B53E4">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0.0050</w:t>
            </w:r>
          </w:p>
        </w:tc>
      </w:tr>
      <w:tr w14:paraId="5F0C2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68" w:type="dxa"/>
            <w:vMerge w:val="continue"/>
            <w:noWrap w:val="0"/>
            <w:vAlign w:val="center"/>
          </w:tcPr>
          <w:p w14:paraId="333B6292">
            <w:pPr>
              <w:pStyle w:val="253"/>
              <w:spacing w:line="360" w:lineRule="exact"/>
              <w:jc w:val="center"/>
              <w:rPr>
                <w:rFonts w:hint="default" w:ascii="Times New Roman" w:hAnsi="Times New Roman" w:cs="Times New Roman"/>
                <w:sz w:val="18"/>
                <w:szCs w:val="18"/>
              </w:rPr>
            </w:pPr>
          </w:p>
        </w:tc>
        <w:tc>
          <w:tcPr>
            <w:tcW w:w="4502" w:type="dxa"/>
            <w:gridSpan w:val="3"/>
            <w:noWrap w:val="0"/>
            <w:vAlign w:val="center"/>
          </w:tcPr>
          <w:p w14:paraId="213E5F63">
            <w:pPr>
              <w:spacing w:line="360" w:lineRule="exact"/>
              <w:jc w:val="center"/>
              <w:rPr>
                <w:rFonts w:hint="default" w:ascii="Times New Roman" w:hAnsi="Times New Roman" w:cs="Times New Roman"/>
                <w:sz w:val="18"/>
                <w:szCs w:val="18"/>
              </w:rPr>
            </w:pPr>
            <w:r>
              <w:rPr>
                <w:rFonts w:hint="default" w:ascii="Times New Roman" w:hAnsi="Times New Roman" w:cs="Times New Roman"/>
                <w:sz w:val="18"/>
                <w:szCs w:val="18"/>
                <w:vertAlign w:val="superscript"/>
                <w:lang w:val="en-US" w:eastAsia="zh-CN"/>
              </w:rPr>
              <w:t>d</w:t>
            </w:r>
            <w:r>
              <w:rPr>
                <w:rFonts w:hint="default" w:ascii="Times New Roman" w:hAnsi="Times New Roman" w:cs="Times New Roman"/>
                <w:sz w:val="18"/>
                <w:szCs w:val="18"/>
              </w:rPr>
              <w:t>杂质合量，不大于</w:t>
            </w:r>
          </w:p>
        </w:tc>
        <w:tc>
          <w:tcPr>
            <w:tcW w:w="1743" w:type="dxa"/>
            <w:noWrap w:val="0"/>
            <w:vAlign w:val="center"/>
          </w:tcPr>
          <w:p w14:paraId="7AA6BF2D">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100</w:t>
            </w:r>
          </w:p>
        </w:tc>
        <w:tc>
          <w:tcPr>
            <w:tcW w:w="1747" w:type="dxa"/>
            <w:noWrap w:val="0"/>
            <w:vAlign w:val="top"/>
          </w:tcPr>
          <w:p w14:paraId="5B342D77">
            <w:pPr>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0.0010</w:t>
            </w:r>
          </w:p>
        </w:tc>
      </w:tr>
      <w:tr w14:paraId="5F6CC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60" w:type="dxa"/>
            <w:gridSpan w:val="6"/>
            <w:noWrap w:val="0"/>
            <w:vAlign w:val="center"/>
          </w:tcPr>
          <w:p w14:paraId="1AC15D71">
            <w:pPr>
              <w:spacing w:line="360" w:lineRule="exact"/>
              <w:ind w:firstLine="360" w:firstLineChars="200"/>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注：</w:t>
            </w:r>
            <w:r>
              <w:rPr>
                <w:rFonts w:hint="default" w:ascii="Times New Roman" w:hAnsi="Times New Roman" w:cs="Times New Roman"/>
                <w:sz w:val="18"/>
                <w:szCs w:val="18"/>
                <w:vertAlign w:val="superscript"/>
              </w:rPr>
              <w:t>a</w:t>
            </w:r>
            <w:r>
              <w:rPr>
                <w:rFonts w:hint="default" w:ascii="Times New Roman" w:hAnsi="Times New Roman" w:cs="Times New Roman"/>
                <w:sz w:val="18"/>
                <w:szCs w:val="18"/>
              </w:rPr>
              <w:t>RE</w:t>
            </w:r>
            <w:r>
              <w:rPr>
                <w:rFonts w:hint="default" w:ascii="Times New Roman" w:hAnsi="Times New Roman" w:cs="Times New Roman"/>
                <w:sz w:val="18"/>
                <w:szCs w:val="18"/>
                <w:lang w:val="en-US" w:eastAsia="zh-CN"/>
              </w:rPr>
              <w:t>Br</w:t>
            </w:r>
            <w:r>
              <w:rPr>
                <w:rFonts w:hint="default" w:ascii="Times New Roman" w:hAnsi="Times New Roman" w:cs="Times New Roman"/>
                <w:sz w:val="18"/>
                <w:szCs w:val="18"/>
                <w:vertAlign w:val="subscript"/>
              </w:rPr>
              <w:t>3</w:t>
            </w:r>
            <w:r>
              <w:rPr>
                <w:rFonts w:hint="default" w:ascii="Times New Roman" w:hAnsi="Times New Roman" w:cs="Times New Roman"/>
                <w:sz w:val="18"/>
                <w:szCs w:val="18"/>
              </w:rPr>
              <w:t>的含量由计算得出，即[100-Σ表1所列杂质含量(除</w:t>
            </w:r>
            <w:r>
              <w:rPr>
                <w:rFonts w:hint="default" w:ascii="Times New Roman" w:hAnsi="Times New Roman" w:cs="Times New Roman"/>
                <w:sz w:val="18"/>
                <w:szCs w:val="18"/>
                <w:lang w:val="en-US" w:eastAsia="zh-CN"/>
              </w:rPr>
              <w:t>H</w:t>
            </w:r>
            <w:r>
              <w:rPr>
                <w:rFonts w:hint="default" w:ascii="Times New Roman" w:hAnsi="Times New Roman" w:cs="Times New Roman"/>
                <w:sz w:val="18"/>
                <w:szCs w:val="18"/>
                <w:vertAlign w:val="subscript"/>
                <w:lang w:val="en-US" w:eastAsia="zh-CN"/>
              </w:rPr>
              <w:t>2</w:t>
            </w:r>
            <w:r>
              <w:rPr>
                <w:rFonts w:hint="default" w:ascii="Times New Roman" w:hAnsi="Times New Roman" w:cs="Times New Roman"/>
                <w:sz w:val="18"/>
                <w:szCs w:val="18"/>
                <w:lang w:val="en-US" w:eastAsia="zh-CN"/>
              </w:rPr>
              <w:t>O、O</w:t>
            </w:r>
            <w:r>
              <w:rPr>
                <w:rFonts w:hint="default" w:ascii="Times New Roman" w:hAnsi="Times New Roman" w:cs="Times New Roman"/>
                <w:sz w:val="18"/>
                <w:szCs w:val="18"/>
              </w:rPr>
              <w:t>杂质含量外)]%</w:t>
            </w:r>
            <w:r>
              <w:rPr>
                <w:rFonts w:hint="default" w:ascii="Times New Roman" w:hAnsi="Times New Roman" w:eastAsia="黑体" w:cs="Times New Roman"/>
                <w:sz w:val="18"/>
                <w:szCs w:val="18"/>
              </w:rPr>
              <w:t>；</w:t>
            </w:r>
          </w:p>
          <w:p w14:paraId="28DA8718">
            <w:pPr>
              <w:spacing w:line="360" w:lineRule="exact"/>
              <w:ind w:firstLine="720" w:firstLineChars="400"/>
              <w:rPr>
                <w:rFonts w:hint="default" w:ascii="Times New Roman" w:hAnsi="Times New Roman" w:cs="Times New Roman"/>
                <w:sz w:val="18"/>
                <w:szCs w:val="18"/>
              </w:rPr>
            </w:pPr>
            <w:r>
              <w:rPr>
                <w:rFonts w:hint="default" w:ascii="Times New Roman" w:hAnsi="Times New Roman" w:cs="Times New Roman"/>
                <w:sz w:val="18"/>
                <w:szCs w:val="18"/>
                <w:vertAlign w:val="superscript"/>
              </w:rPr>
              <w:t>b</w:t>
            </w:r>
            <w:r>
              <w:rPr>
                <w:rFonts w:hint="default" w:ascii="Times New Roman" w:hAnsi="Times New Roman" w:cs="Times New Roman"/>
                <w:sz w:val="18"/>
                <w:szCs w:val="18"/>
              </w:rPr>
              <w:t>RE为La</w:t>
            </w:r>
            <w:r>
              <w:rPr>
                <w:rFonts w:hint="default" w:ascii="Times New Roman" w:hAnsi="Times New Roman" w:cs="Times New Roman"/>
                <w:sz w:val="18"/>
                <w:szCs w:val="18"/>
                <w:lang w:val="en-US" w:eastAsia="zh-CN"/>
              </w:rPr>
              <w:t>或Ce</w:t>
            </w:r>
            <w:r>
              <w:rPr>
                <w:rFonts w:hint="default" w:ascii="Times New Roman" w:hAnsi="Times New Roman" w:cs="Times New Roman"/>
                <w:sz w:val="18"/>
                <w:szCs w:val="18"/>
              </w:rPr>
              <w:t>；</w:t>
            </w:r>
          </w:p>
          <w:p w14:paraId="407A0C47">
            <w:pPr>
              <w:spacing w:line="360" w:lineRule="exact"/>
              <w:ind w:firstLine="720" w:firstLineChars="400"/>
              <w:rPr>
                <w:rFonts w:hint="default" w:ascii="Times New Roman" w:hAnsi="Times New Roman" w:cs="Times New Roman"/>
                <w:sz w:val="18"/>
                <w:szCs w:val="18"/>
                <w:lang w:eastAsia="zh-CN"/>
              </w:rPr>
            </w:pPr>
            <w:r>
              <w:rPr>
                <w:rFonts w:hint="default" w:ascii="Times New Roman" w:hAnsi="Times New Roman" w:cs="Times New Roman"/>
                <w:sz w:val="18"/>
                <w:szCs w:val="18"/>
                <w:vertAlign w:val="superscript"/>
              </w:rPr>
              <w:t>c</w:t>
            </w:r>
            <w:r>
              <w:rPr>
                <w:rFonts w:hint="default" w:ascii="Times New Roman" w:hAnsi="Times New Roman" w:cs="Times New Roman"/>
                <w:sz w:val="18"/>
                <w:szCs w:val="18"/>
              </w:rPr>
              <w:t>稀土杂质为除主稀土元素、Pm之外的其他1</w:t>
            </w:r>
            <w:r>
              <w:rPr>
                <w:rFonts w:hint="default" w:ascii="Times New Roman" w:hAnsi="Times New Roman" w:cs="Times New Roman"/>
                <w:sz w:val="18"/>
                <w:szCs w:val="18"/>
                <w:lang w:val="en-US" w:eastAsia="zh-CN"/>
              </w:rPr>
              <w:t>5</w:t>
            </w:r>
            <w:r>
              <w:rPr>
                <w:rFonts w:hint="default" w:ascii="Times New Roman" w:hAnsi="Times New Roman" w:cs="Times New Roman"/>
                <w:sz w:val="18"/>
                <w:szCs w:val="18"/>
              </w:rPr>
              <w:t>种稀土元素</w:t>
            </w:r>
            <w:r>
              <w:rPr>
                <w:rFonts w:hint="default" w:ascii="Times New Roman" w:hAnsi="Times New Roman" w:cs="Times New Roman"/>
                <w:sz w:val="18"/>
                <w:szCs w:val="18"/>
                <w:lang w:eastAsia="zh-CN"/>
              </w:rPr>
              <w:t>；</w:t>
            </w:r>
          </w:p>
          <w:p w14:paraId="4094421A">
            <w:pPr>
              <w:spacing w:line="360" w:lineRule="exact"/>
              <w:ind w:firstLine="720" w:firstLineChars="400"/>
              <w:rPr>
                <w:rFonts w:hint="default" w:ascii="Times New Roman" w:hAnsi="Times New Roman" w:cs="Times New Roman"/>
                <w:sz w:val="18"/>
                <w:szCs w:val="18"/>
              </w:rPr>
            </w:pPr>
            <w:r>
              <w:rPr>
                <w:rFonts w:hint="default" w:ascii="Times New Roman" w:hAnsi="Times New Roman" w:cs="Times New Roman"/>
                <w:sz w:val="18"/>
                <w:szCs w:val="18"/>
                <w:vertAlign w:val="superscript"/>
                <w:lang w:val="en-US" w:eastAsia="zh-CN"/>
              </w:rPr>
              <w:t>d</w:t>
            </w:r>
            <w:r>
              <w:rPr>
                <w:rFonts w:hint="default" w:ascii="Times New Roman" w:hAnsi="Times New Roman" w:cs="Times New Roman"/>
                <w:sz w:val="18"/>
                <w:szCs w:val="18"/>
                <w:lang w:val="en-US" w:eastAsia="zh-CN"/>
              </w:rPr>
              <w:t>杂质合量为稀土杂质、I类非稀土杂质、II类非稀土杂质之和，不包括H</w:t>
            </w:r>
            <w:r>
              <w:rPr>
                <w:rFonts w:hint="default" w:ascii="Times New Roman" w:hAnsi="Times New Roman" w:cs="Times New Roman"/>
                <w:sz w:val="18"/>
                <w:szCs w:val="18"/>
                <w:vertAlign w:val="subscript"/>
                <w:lang w:val="en-US" w:eastAsia="zh-CN"/>
              </w:rPr>
              <w:t>2</w:t>
            </w:r>
            <w:r>
              <w:rPr>
                <w:rFonts w:hint="default" w:ascii="Times New Roman" w:hAnsi="Times New Roman" w:cs="Times New Roman"/>
                <w:sz w:val="18"/>
                <w:szCs w:val="18"/>
                <w:lang w:val="en-US" w:eastAsia="zh-CN"/>
              </w:rPr>
              <w:t>O、O杂质含量</w:t>
            </w:r>
            <w:r>
              <w:rPr>
                <w:rFonts w:hint="default" w:ascii="Times New Roman" w:hAnsi="Times New Roman" w:cs="Times New Roman"/>
                <w:sz w:val="18"/>
                <w:szCs w:val="18"/>
              </w:rPr>
              <w:t>。</w:t>
            </w:r>
          </w:p>
        </w:tc>
      </w:tr>
    </w:tbl>
    <w:p w14:paraId="6124F33E">
      <w:pPr>
        <w:spacing w:line="360" w:lineRule="auto"/>
        <w:ind w:firstLine="480" w:firstLineChars="200"/>
        <w:rPr>
          <w:rFonts w:hint="eastAsia"/>
          <w:sz w:val="24"/>
        </w:rPr>
      </w:pPr>
      <w:r>
        <w:rPr>
          <w:rFonts w:hint="default" w:ascii="Times New Roman" w:hAnsi="Times New Roman" w:cs="Times New Roman"/>
          <w:sz w:val="24"/>
          <w:lang w:val="en-US" w:eastAsia="zh-CN"/>
        </w:rPr>
        <w:t>外观质量上，</w:t>
      </w:r>
      <w:r>
        <w:rPr>
          <w:rFonts w:hint="default" w:ascii="Times New Roman" w:hAnsi="Times New Roman" w:cs="Times New Roman"/>
          <w:sz w:val="24"/>
        </w:rPr>
        <w:t>产品为白色粉末或沙状颗粒，粒径</w:t>
      </w:r>
      <w:r>
        <w:rPr>
          <w:rFonts w:hint="eastAsia"/>
          <w:sz w:val="24"/>
        </w:rPr>
        <w:t>均匀</w:t>
      </w:r>
      <w:r>
        <w:rPr>
          <w:rFonts w:hint="eastAsia"/>
          <w:sz w:val="24"/>
          <w:lang w:eastAsia="zh-CN"/>
        </w:rPr>
        <w:t>，</w:t>
      </w:r>
      <w:r>
        <w:rPr>
          <w:rFonts w:hint="eastAsia"/>
          <w:sz w:val="24"/>
        </w:rPr>
        <w:t>洁净，无目视可见的夹杂物。</w:t>
      </w:r>
    </w:p>
    <w:p w14:paraId="6FEA8198">
      <w:pPr>
        <w:spacing w:line="360" w:lineRule="auto"/>
        <w:ind w:firstLine="480" w:firstLineChars="200"/>
        <w:rPr>
          <w:sz w:val="24"/>
        </w:rPr>
      </w:pPr>
      <w:r>
        <w:rPr>
          <w:rFonts w:hint="eastAsia"/>
          <w:sz w:val="24"/>
        </w:rPr>
        <w:t>（4）试验方法</w:t>
      </w:r>
    </w:p>
    <w:p w14:paraId="63DB263B">
      <w:pPr>
        <w:spacing w:line="360" w:lineRule="auto"/>
        <w:ind w:firstLine="480" w:firstLineChars="200"/>
        <w:rPr>
          <w:rFonts w:hint="eastAsia"/>
          <w:sz w:val="24"/>
        </w:rPr>
      </w:pPr>
      <w:r>
        <w:rPr>
          <w:rFonts w:hint="eastAsia"/>
          <w:sz w:val="24"/>
        </w:rPr>
        <w:t>稀土杂质</w:t>
      </w:r>
      <w:r>
        <w:rPr>
          <w:rFonts w:hint="eastAsia"/>
          <w:sz w:val="24"/>
          <w:lang w:eastAsia="zh-CN"/>
        </w:rPr>
        <w:t>（</w:t>
      </w:r>
      <w:r>
        <w:rPr>
          <w:rFonts w:hint="eastAsia"/>
          <w:sz w:val="24"/>
          <w:lang w:val="en-US" w:eastAsia="zh-CN"/>
        </w:rPr>
        <w:t>钪除外</w:t>
      </w:r>
      <w:r>
        <w:rPr>
          <w:rFonts w:hint="eastAsia"/>
          <w:sz w:val="24"/>
          <w:lang w:eastAsia="zh-CN"/>
        </w:rPr>
        <w:t>）</w:t>
      </w:r>
      <w:r>
        <w:rPr>
          <w:rFonts w:hint="eastAsia"/>
          <w:sz w:val="24"/>
        </w:rPr>
        <w:t>含量的</w:t>
      </w:r>
      <w:r>
        <w:rPr>
          <w:rFonts w:hint="eastAsia"/>
          <w:sz w:val="24"/>
          <w:lang w:val="en-US" w:eastAsia="zh-CN"/>
        </w:rPr>
        <w:t>测定按</w:t>
      </w:r>
      <w:r>
        <w:rPr>
          <w:rFonts w:hint="eastAsia"/>
          <w:sz w:val="24"/>
        </w:rPr>
        <w:t>照GB/T 18115.1</w:t>
      </w:r>
      <w:r>
        <w:rPr>
          <w:rFonts w:hint="eastAsia"/>
          <w:sz w:val="24"/>
          <w:lang w:val="en-US" w:eastAsia="zh-CN"/>
        </w:rPr>
        <w:t>和</w:t>
      </w:r>
      <w:r>
        <w:rPr>
          <w:rFonts w:hint="eastAsia"/>
          <w:sz w:val="24"/>
        </w:rPr>
        <w:t>GB/T 18115.</w:t>
      </w:r>
      <w:r>
        <w:rPr>
          <w:rFonts w:hint="eastAsia"/>
          <w:sz w:val="24"/>
          <w:lang w:val="en-US" w:eastAsia="zh-CN"/>
        </w:rPr>
        <w:t>2</w:t>
      </w:r>
      <w:r>
        <w:rPr>
          <w:rFonts w:hint="eastAsia"/>
          <w:sz w:val="24"/>
        </w:rPr>
        <w:t>的规定进行。</w:t>
      </w:r>
    </w:p>
    <w:p w14:paraId="54523FFB">
      <w:pPr>
        <w:spacing w:line="360" w:lineRule="auto"/>
        <w:ind w:firstLine="480" w:firstLineChars="200"/>
        <w:rPr>
          <w:rFonts w:hint="eastAsia"/>
          <w:sz w:val="24"/>
          <w:lang w:val="en-US" w:eastAsia="zh-CN"/>
        </w:rPr>
      </w:pPr>
      <w:r>
        <w:rPr>
          <w:rFonts w:hint="eastAsia"/>
          <w:sz w:val="24"/>
          <w:lang w:val="en-US" w:eastAsia="zh-CN"/>
        </w:rPr>
        <w:t>钴、锰、铅、镍、铜、锌、铝、铬、镁、镉、钒、铁量的测定按照GB/T 12690.5的规定进行。</w:t>
      </w:r>
    </w:p>
    <w:p w14:paraId="779BEF72">
      <w:pPr>
        <w:spacing w:line="360" w:lineRule="auto"/>
        <w:ind w:firstLine="480" w:firstLineChars="200"/>
        <w:rPr>
          <w:rFonts w:hint="eastAsia"/>
          <w:sz w:val="24"/>
          <w:lang w:val="en-US" w:eastAsia="zh-CN"/>
        </w:rPr>
      </w:pPr>
      <w:r>
        <w:rPr>
          <w:rFonts w:hint="eastAsia"/>
          <w:sz w:val="24"/>
          <w:lang w:val="en-US" w:eastAsia="zh-CN"/>
        </w:rPr>
        <w:t>硅量的测定按照GB/T 12690.7的规定进行。</w:t>
      </w:r>
    </w:p>
    <w:p w14:paraId="16909B8B">
      <w:pPr>
        <w:spacing w:line="360" w:lineRule="auto"/>
        <w:ind w:firstLine="480" w:firstLineChars="200"/>
        <w:rPr>
          <w:rFonts w:hint="eastAsia"/>
          <w:sz w:val="24"/>
          <w:lang w:val="en-US" w:eastAsia="zh-CN"/>
        </w:rPr>
      </w:pPr>
      <w:r>
        <w:rPr>
          <w:rFonts w:hint="eastAsia"/>
          <w:sz w:val="24"/>
          <w:lang w:val="en-US" w:eastAsia="zh-CN"/>
        </w:rPr>
        <w:t>钠量的测定按照GB/T 12690.8的规定进行。</w:t>
      </w:r>
    </w:p>
    <w:p w14:paraId="3871052D">
      <w:pPr>
        <w:spacing w:line="360" w:lineRule="auto"/>
        <w:ind w:firstLine="480" w:firstLineChars="200"/>
        <w:rPr>
          <w:rFonts w:hint="eastAsia"/>
          <w:sz w:val="24"/>
          <w:lang w:val="en-US" w:eastAsia="zh-CN"/>
        </w:rPr>
      </w:pPr>
      <w:r>
        <w:rPr>
          <w:rFonts w:hint="eastAsia"/>
          <w:sz w:val="24"/>
          <w:lang w:val="en-US" w:eastAsia="zh-CN"/>
        </w:rPr>
        <w:t>磷量的测定按照GB/T 12690.10的规定进行。</w:t>
      </w:r>
    </w:p>
    <w:p w14:paraId="0A2D278D">
      <w:pPr>
        <w:spacing w:line="360" w:lineRule="auto"/>
        <w:ind w:firstLine="480" w:firstLineChars="200"/>
        <w:rPr>
          <w:rFonts w:hint="eastAsia"/>
          <w:sz w:val="24"/>
          <w:lang w:val="en-US" w:eastAsia="zh-CN"/>
        </w:rPr>
      </w:pPr>
      <w:r>
        <w:rPr>
          <w:rFonts w:hint="eastAsia"/>
          <w:sz w:val="24"/>
          <w:lang w:val="en-US" w:eastAsia="zh-CN"/>
        </w:rPr>
        <w:t>钙量的测定按照GB/T 12690.15的规定进行。</w:t>
      </w:r>
    </w:p>
    <w:p w14:paraId="0642B5D7">
      <w:pPr>
        <w:spacing w:line="360" w:lineRule="auto"/>
        <w:ind w:firstLine="480" w:firstLineChars="200"/>
        <w:rPr>
          <w:rFonts w:hint="eastAsia"/>
          <w:sz w:val="24"/>
          <w:lang w:val="en-US" w:eastAsia="zh-CN"/>
        </w:rPr>
      </w:pPr>
      <w:r>
        <w:rPr>
          <w:rFonts w:hint="eastAsia"/>
          <w:sz w:val="24"/>
          <w:lang w:val="en-US" w:eastAsia="zh-CN"/>
        </w:rPr>
        <w:t>锂、钪、钛、铷、锶、铟、铯、钡、钨量的测定按照附录A的规定进行。</w:t>
      </w:r>
    </w:p>
    <w:p w14:paraId="40258D10">
      <w:pPr>
        <w:spacing w:line="360" w:lineRule="auto"/>
        <w:ind w:firstLine="480" w:firstLineChars="200"/>
        <w:rPr>
          <w:rFonts w:hint="eastAsia"/>
          <w:sz w:val="24"/>
          <w:lang w:val="en-US" w:eastAsia="zh-CN"/>
        </w:rPr>
      </w:pPr>
      <w:r>
        <w:rPr>
          <w:rFonts w:hint="eastAsia"/>
          <w:sz w:val="24"/>
          <w:lang w:val="en-US" w:eastAsia="zh-CN"/>
        </w:rPr>
        <w:t>氧含量的测定按照附录B的规定进行。</w:t>
      </w:r>
    </w:p>
    <w:p w14:paraId="522C3A8B">
      <w:pPr>
        <w:spacing w:line="360" w:lineRule="auto"/>
        <w:ind w:firstLine="480" w:firstLineChars="200"/>
        <w:rPr>
          <w:rFonts w:hint="eastAsia"/>
          <w:sz w:val="24"/>
          <w:lang w:val="en-US" w:eastAsia="zh-CN"/>
        </w:rPr>
      </w:pPr>
      <w:r>
        <w:rPr>
          <w:rFonts w:hint="eastAsia"/>
          <w:sz w:val="24"/>
          <w:lang w:val="en-US" w:eastAsia="zh-CN"/>
        </w:rPr>
        <w:t>水含量的测定按照附录C的规定进行。</w:t>
      </w:r>
    </w:p>
    <w:p w14:paraId="490D8AAD">
      <w:pPr>
        <w:spacing w:before="156" w:beforeLines="50" w:after="156" w:afterLines="50" w:line="312" w:lineRule="auto"/>
        <w:rPr>
          <w:rFonts w:ascii="黑体" w:hAnsi="宋体" w:eastAsia="黑体"/>
          <w:bCs/>
          <w:sz w:val="24"/>
        </w:rPr>
      </w:pPr>
      <w:r>
        <w:rPr>
          <w:rFonts w:hint="eastAsia" w:ascii="黑体" w:hAnsi="宋体" w:eastAsia="黑体"/>
          <w:bCs/>
          <w:sz w:val="24"/>
        </w:rPr>
        <w:t>2、主要技术依据</w:t>
      </w:r>
    </w:p>
    <w:p w14:paraId="6A0F7AA4">
      <w:pPr>
        <w:spacing w:line="360" w:lineRule="auto"/>
        <w:ind w:firstLine="480" w:firstLineChars="200"/>
        <w:rPr>
          <w:rFonts w:hint="eastAsia" w:eastAsia="宋体"/>
          <w:sz w:val="24"/>
          <w:lang w:val="en-US" w:eastAsia="zh-CN"/>
        </w:rPr>
      </w:pPr>
      <w:r>
        <w:rPr>
          <w:rFonts w:hint="eastAsia"/>
          <w:sz w:val="24"/>
        </w:rPr>
        <w:t>闪烁晶体广泛应用于核医学、高能物理、安全检查、环境监测、石油测井、地质勘探、工业检测等领域，具有重要的社会和经济价值。全球每年需求超过300吨，价值约4亿美元，带动下游产值超千亿元。LaBr</w:t>
      </w:r>
      <w:r>
        <w:rPr>
          <w:rFonts w:hint="eastAsia"/>
          <w:sz w:val="24"/>
          <w:vertAlign w:val="subscript"/>
        </w:rPr>
        <w:t>3</w:t>
      </w:r>
      <w:r>
        <w:rPr>
          <w:rFonts w:hint="eastAsia"/>
          <w:sz w:val="24"/>
        </w:rPr>
        <w:t>:Ce、CeBr</w:t>
      </w:r>
      <w:r>
        <w:rPr>
          <w:rFonts w:hint="eastAsia"/>
          <w:sz w:val="24"/>
          <w:vertAlign w:val="subscript"/>
        </w:rPr>
        <w:t>3</w:t>
      </w:r>
      <w:r>
        <w:rPr>
          <w:rFonts w:hint="eastAsia"/>
          <w:sz w:val="24"/>
        </w:rPr>
        <w:t>、Cs</w:t>
      </w:r>
      <w:r>
        <w:rPr>
          <w:rFonts w:hint="eastAsia"/>
          <w:sz w:val="24"/>
          <w:vertAlign w:val="subscript"/>
        </w:rPr>
        <w:t>2</w:t>
      </w:r>
      <w:r>
        <w:rPr>
          <w:rFonts w:hint="eastAsia"/>
          <w:sz w:val="24"/>
        </w:rPr>
        <w:t>LiLaBr</w:t>
      </w:r>
      <w:r>
        <w:rPr>
          <w:rFonts w:hint="eastAsia"/>
          <w:sz w:val="24"/>
          <w:vertAlign w:val="subscript"/>
        </w:rPr>
        <w:t>6</w:t>
      </w:r>
      <w:r>
        <w:rPr>
          <w:rFonts w:hint="eastAsia"/>
          <w:sz w:val="24"/>
        </w:rPr>
        <w:t>：Ce（CLLB）等晶体是新一代高性能稀土闪烁晶体的代表，具有高光产额、高能量分辨率、快衰减等优异性能，CLLB晶体还可实现中子-伽马的多模探测，性能全面优于传统的NaI:Tl、CsI:Tl等晶体，因而在核医学等各种领域都有极佳的应用前景，是当前国际无机闪烁晶体材料领域的产业发展重点。</w:t>
      </w:r>
      <w:r>
        <w:rPr>
          <w:rFonts w:hint="eastAsia"/>
          <w:sz w:val="24"/>
          <w:lang w:val="en-US" w:eastAsia="zh-CN"/>
        </w:rPr>
        <w:t>高性能稀土卤化物闪烁晶体的发展，对LaBr</w:t>
      </w:r>
      <w:r>
        <w:rPr>
          <w:rFonts w:hint="eastAsia"/>
          <w:sz w:val="24"/>
          <w:vertAlign w:val="subscript"/>
          <w:lang w:val="en-US" w:eastAsia="zh-CN"/>
        </w:rPr>
        <w:t>3</w:t>
      </w:r>
      <w:r>
        <w:rPr>
          <w:rFonts w:hint="eastAsia"/>
          <w:sz w:val="24"/>
          <w:lang w:val="en-US" w:eastAsia="zh-CN"/>
        </w:rPr>
        <w:t>、CeBr</w:t>
      </w:r>
      <w:r>
        <w:rPr>
          <w:rFonts w:hint="eastAsia"/>
          <w:sz w:val="24"/>
          <w:vertAlign w:val="subscript"/>
          <w:lang w:val="en-US" w:eastAsia="zh-CN"/>
        </w:rPr>
        <w:t>3</w:t>
      </w:r>
      <w:r>
        <w:rPr>
          <w:rFonts w:hint="eastAsia"/>
          <w:sz w:val="24"/>
          <w:lang w:val="en-US" w:eastAsia="zh-CN"/>
        </w:rPr>
        <w:t>等高纯无水稀土溴化物原料产生了迫切需求，但由于</w:t>
      </w:r>
      <w:r>
        <w:rPr>
          <w:rFonts w:hint="eastAsia"/>
          <w:sz w:val="24"/>
        </w:rPr>
        <w:t>LaBr</w:t>
      </w:r>
      <w:r>
        <w:rPr>
          <w:rFonts w:hint="eastAsia"/>
          <w:sz w:val="24"/>
          <w:vertAlign w:val="subscript"/>
        </w:rPr>
        <w:t>3</w:t>
      </w:r>
      <w:r>
        <w:rPr>
          <w:rFonts w:hint="eastAsia"/>
          <w:sz w:val="24"/>
        </w:rPr>
        <w:t>、CeBr</w:t>
      </w:r>
      <w:r>
        <w:rPr>
          <w:rFonts w:hint="eastAsia"/>
          <w:sz w:val="24"/>
          <w:vertAlign w:val="subscript"/>
        </w:rPr>
        <w:t>3</w:t>
      </w:r>
      <w:r>
        <w:rPr>
          <w:rFonts w:hint="eastAsia"/>
          <w:sz w:val="24"/>
        </w:rPr>
        <w:t>原料本身极易吸潮，其制备十分困难。过去晶体用高纯无水原料主要由美国Sigma-aldrich和美国APL公司垄断，国内长期依赖高价进口</w:t>
      </w:r>
      <w:r>
        <w:rPr>
          <w:rFonts w:hint="eastAsia"/>
          <w:sz w:val="24"/>
          <w:lang w:eastAsia="zh-CN"/>
        </w:rPr>
        <w:t>。</w:t>
      </w:r>
    </w:p>
    <w:p w14:paraId="4157D1AB">
      <w:pPr>
        <w:spacing w:line="360" w:lineRule="auto"/>
        <w:ind w:firstLine="480" w:firstLineChars="200"/>
        <w:rPr>
          <w:rFonts w:hint="eastAsia"/>
          <w:sz w:val="24"/>
        </w:rPr>
      </w:pPr>
      <w:r>
        <w:rPr>
          <w:rFonts w:hint="eastAsia"/>
          <w:sz w:val="24"/>
        </w:rPr>
        <w:t>本标准起草单位通过技术开发、产品分析、对标分析与市场调研相结合的手段，科学确定了</w:t>
      </w:r>
      <w:r>
        <w:rPr>
          <w:rFonts w:hint="eastAsia"/>
          <w:sz w:val="24"/>
          <w:lang w:val="en-US" w:eastAsia="zh-CN"/>
        </w:rPr>
        <w:t>闪烁晶体</w:t>
      </w:r>
      <w:r>
        <w:rPr>
          <w:rFonts w:hint="eastAsia"/>
          <w:sz w:val="24"/>
        </w:rPr>
        <w:t>用</w:t>
      </w:r>
      <w:r>
        <w:rPr>
          <w:rFonts w:hint="eastAsia"/>
          <w:sz w:val="24"/>
          <w:lang w:val="en-US" w:eastAsia="zh-CN"/>
        </w:rPr>
        <w:t>高纯无水稀土溴化物</w:t>
      </w:r>
      <w:r>
        <w:rPr>
          <w:rFonts w:hint="eastAsia"/>
          <w:sz w:val="24"/>
        </w:rPr>
        <w:t>的关键特性和关键参数，规范了指标评价体系。一是</w:t>
      </w:r>
      <w:r>
        <w:rPr>
          <w:rFonts w:hint="eastAsia"/>
          <w:sz w:val="24"/>
          <w:lang w:val="en-US" w:eastAsia="zh-CN"/>
        </w:rPr>
        <w:t>对其化学成分进行了详细规定</w:t>
      </w:r>
      <w:r>
        <w:rPr>
          <w:rFonts w:hint="eastAsia"/>
          <w:sz w:val="24"/>
        </w:rPr>
        <w:t>，</w:t>
      </w:r>
      <w:r>
        <w:rPr>
          <w:rFonts w:hint="eastAsia"/>
          <w:sz w:val="24"/>
          <w:lang w:val="en-US" w:eastAsia="zh-CN"/>
        </w:rPr>
        <w:t>结合单晶生长</w:t>
      </w:r>
      <w:r>
        <w:rPr>
          <w:rFonts w:hint="eastAsia"/>
          <w:sz w:val="24"/>
        </w:rPr>
        <w:t>实际应用要求，</w:t>
      </w:r>
      <w:r>
        <w:rPr>
          <w:rFonts w:hint="eastAsia"/>
          <w:sz w:val="24"/>
          <w:lang w:val="en-US" w:eastAsia="zh-CN"/>
        </w:rPr>
        <w:t>明确了15种稀土杂质、25种非稀土杂质的含量要求，并重点</w:t>
      </w:r>
      <w:r>
        <w:rPr>
          <w:rFonts w:hint="eastAsia"/>
          <w:sz w:val="24"/>
        </w:rPr>
        <w:t>严格限定了</w:t>
      </w:r>
      <w:r>
        <w:rPr>
          <w:rFonts w:hint="eastAsia"/>
          <w:sz w:val="24"/>
          <w:lang w:val="en-US" w:eastAsia="zh-CN"/>
        </w:rPr>
        <w:t>稀土溴化物</w:t>
      </w:r>
      <w:r>
        <w:rPr>
          <w:rFonts w:hint="eastAsia"/>
          <w:sz w:val="24"/>
        </w:rPr>
        <w:t>的</w:t>
      </w:r>
      <w:r>
        <w:rPr>
          <w:rFonts w:hint="eastAsia"/>
          <w:sz w:val="24"/>
          <w:lang w:val="en-US" w:eastAsia="zh-CN"/>
        </w:rPr>
        <w:t>水</w:t>
      </w:r>
      <w:r>
        <w:rPr>
          <w:rFonts w:hint="eastAsia"/>
          <w:sz w:val="24"/>
        </w:rPr>
        <w:t>含量和</w:t>
      </w:r>
      <w:r>
        <w:rPr>
          <w:rFonts w:hint="eastAsia"/>
          <w:sz w:val="24"/>
          <w:lang w:val="en-US" w:eastAsia="zh-CN"/>
        </w:rPr>
        <w:t>氧</w:t>
      </w:r>
      <w:r>
        <w:rPr>
          <w:rFonts w:hint="eastAsia"/>
          <w:sz w:val="24"/>
        </w:rPr>
        <w:t>含量</w:t>
      </w:r>
      <w:r>
        <w:rPr>
          <w:rFonts w:hint="eastAsia"/>
          <w:sz w:val="24"/>
          <w:lang w:val="en-US" w:eastAsia="zh-CN"/>
        </w:rPr>
        <w:t>。</w:t>
      </w:r>
      <w:r>
        <w:rPr>
          <w:rFonts w:hint="eastAsia"/>
          <w:sz w:val="24"/>
        </w:rPr>
        <w:t>二是</w:t>
      </w:r>
      <w:r>
        <w:rPr>
          <w:rFonts w:hint="eastAsia"/>
          <w:sz w:val="24"/>
          <w:lang w:val="en-US" w:eastAsia="zh-CN"/>
        </w:rPr>
        <w:t>对各种杂质的化学分析方法进行了规范，特别是针对部分缺乏检测标准的痕量金属杂质及水、氧微量杂质的分析困难，重点对其定量分析方法进行了明确</w:t>
      </w:r>
      <w:r>
        <w:rPr>
          <w:rFonts w:hint="eastAsia"/>
          <w:sz w:val="24"/>
        </w:rPr>
        <w:t>。</w:t>
      </w:r>
    </w:p>
    <w:p w14:paraId="3F599B6A">
      <w:pPr>
        <w:spacing w:line="360" w:lineRule="auto"/>
        <w:ind w:firstLine="480" w:firstLineChars="200"/>
        <w:rPr>
          <w:rFonts w:hint="default" w:eastAsia="宋体"/>
          <w:sz w:val="24"/>
          <w:lang w:val="en-US" w:eastAsia="zh-CN"/>
        </w:rPr>
      </w:pPr>
      <w:r>
        <w:rPr>
          <w:rFonts w:hint="eastAsia"/>
          <w:sz w:val="24"/>
          <w:lang w:val="en-US" w:eastAsia="zh-CN"/>
        </w:rPr>
        <w:t>15种稀土杂质（钪除外）及钴、锰、铅、镍、铜、锌、铝、铬、镁、镉、钒、铁、硅、钠、磷、钙等16种其它杂质可基于GB/T 12690现有检测方法进行检测。但锂、钪、钛、铷、锶、铟、铯、钡、钨等9种杂质含量的检测缺乏可参考的现行标准。针对这一情况，编制组委托国合通用测试评价认证股份有限公司进行了相应的检测方法开发。通</w:t>
      </w:r>
      <w:r>
        <w:rPr>
          <w:rFonts w:hint="eastAsia" w:ascii="Times New Roman" w:hAnsi="Times New Roman" w:cs="Times New Roman"/>
          <w:color w:val="000000"/>
          <w:kern w:val="0"/>
          <w:sz w:val="24"/>
          <w:szCs w:val="24"/>
        </w:rPr>
        <w:t>过</w:t>
      </w:r>
      <w:r>
        <w:rPr>
          <w:rFonts w:hint="eastAsia" w:ascii="Times New Roman" w:hAnsi="Times New Roman" w:cs="Times New Roman"/>
          <w:color w:val="000000"/>
          <w:kern w:val="0"/>
          <w:sz w:val="24"/>
          <w:szCs w:val="24"/>
          <w:lang w:val="en-US" w:eastAsia="zh-CN"/>
        </w:rPr>
        <w:t>试验研究，</w:t>
      </w:r>
      <w:r>
        <w:rPr>
          <w:rFonts w:hint="eastAsia" w:ascii="Times New Roman" w:hAnsi="Times New Roman" w:cs="Times New Roman"/>
          <w:color w:val="000000"/>
          <w:kern w:val="0"/>
          <w:sz w:val="24"/>
          <w:szCs w:val="24"/>
        </w:rPr>
        <w:t>建立了电感耦合等离子体质谱（ICP-MS）</w:t>
      </w:r>
      <w:r>
        <w:rPr>
          <w:rFonts w:hint="eastAsia" w:ascii="Times New Roman" w:hAnsi="Times New Roman" w:cs="Times New Roman"/>
          <w:color w:val="000000"/>
          <w:kern w:val="0"/>
          <w:sz w:val="24"/>
          <w:szCs w:val="24"/>
          <w:lang w:val="en-US" w:eastAsia="zh-CN"/>
        </w:rPr>
        <w:t>法</w:t>
      </w:r>
      <w:r>
        <w:rPr>
          <w:rFonts w:hint="eastAsia" w:ascii="Times New Roman" w:hAnsi="Times New Roman" w:cs="Times New Roman"/>
          <w:color w:val="000000"/>
          <w:kern w:val="0"/>
          <w:sz w:val="24"/>
          <w:szCs w:val="24"/>
        </w:rPr>
        <w:t>测定高纯</w:t>
      </w:r>
      <w:r>
        <w:rPr>
          <w:rFonts w:hint="eastAsia" w:ascii="Times New Roman" w:hAnsi="Times New Roman" w:cs="Times New Roman"/>
          <w:color w:val="000000"/>
          <w:kern w:val="0"/>
          <w:sz w:val="24"/>
          <w:szCs w:val="24"/>
          <w:lang w:val="en-US" w:eastAsia="zh-CN"/>
        </w:rPr>
        <w:t>溴化</w:t>
      </w:r>
      <w:r>
        <w:rPr>
          <w:rFonts w:hint="eastAsia" w:ascii="Times New Roman" w:hAnsi="Times New Roman" w:cs="Times New Roman"/>
          <w:color w:val="000000"/>
          <w:kern w:val="0"/>
          <w:sz w:val="24"/>
          <w:szCs w:val="24"/>
        </w:rPr>
        <w:t>镧</w:t>
      </w:r>
      <w:r>
        <w:rPr>
          <w:rFonts w:hint="eastAsia" w:ascii="Times New Roman" w:hAnsi="Times New Roman" w:cs="Times New Roman"/>
          <w:color w:val="000000"/>
          <w:kern w:val="0"/>
          <w:sz w:val="24"/>
          <w:szCs w:val="24"/>
          <w:lang w:val="en-US" w:eastAsia="zh-CN"/>
        </w:rPr>
        <w:t>和溴化铈中</w:t>
      </w:r>
      <w:r>
        <w:rPr>
          <w:rFonts w:hint="eastAsia" w:ascii="Times New Roman" w:hAnsi="Times New Roman" w:eastAsia="宋体" w:cs="Times New Roman"/>
          <w:sz w:val="24"/>
          <w:szCs w:val="24"/>
          <w:lang w:val="en-US" w:eastAsia="zh-CN"/>
        </w:rPr>
        <w:t>Li、Sc、Ti、Rb、Sr、In、Cs、Ba、W</w:t>
      </w:r>
      <w:r>
        <w:rPr>
          <w:rFonts w:hint="eastAsia" w:ascii="Times New Roman" w:hAnsi="Times New Roman" w:eastAsia="宋体" w:cs="Times New Roman"/>
          <w:bCs/>
          <w:sz w:val="24"/>
          <w:szCs w:val="24"/>
        </w:rPr>
        <w:t>共</w:t>
      </w:r>
      <w:r>
        <w:rPr>
          <w:rFonts w:hint="eastAsia" w:ascii="Times New Roman" w:hAnsi="Times New Roman" w:eastAsia="宋体" w:cs="Times New Roman"/>
          <w:bCs/>
          <w:sz w:val="24"/>
          <w:szCs w:val="24"/>
          <w:lang w:val="en-US" w:eastAsia="zh-CN"/>
        </w:rPr>
        <w:t>9</w:t>
      </w:r>
      <w:r>
        <w:rPr>
          <w:rFonts w:hint="eastAsia" w:ascii="Times New Roman" w:hAnsi="Times New Roman" w:eastAsia="宋体" w:cs="Times New Roman"/>
          <w:bCs/>
          <w:sz w:val="24"/>
          <w:szCs w:val="24"/>
        </w:rPr>
        <w:t>种</w:t>
      </w:r>
      <w:r>
        <w:rPr>
          <w:rFonts w:hint="eastAsia" w:ascii="Times New Roman" w:hAnsi="Times New Roman" w:cs="Times New Roman"/>
          <w:color w:val="000000"/>
          <w:kern w:val="0"/>
          <w:sz w:val="24"/>
          <w:szCs w:val="24"/>
        </w:rPr>
        <w:t>痕量杂质元素含量的</w:t>
      </w:r>
      <w:r>
        <w:rPr>
          <w:rFonts w:hint="eastAsia" w:ascii="Times New Roman" w:hAnsi="Times New Roman" w:cs="Times New Roman"/>
          <w:color w:val="000000"/>
          <w:kern w:val="0"/>
          <w:sz w:val="24"/>
          <w:szCs w:val="24"/>
          <w:lang w:val="en-US" w:eastAsia="zh-CN"/>
        </w:rPr>
        <w:t>分析</w:t>
      </w:r>
      <w:r>
        <w:rPr>
          <w:rFonts w:hint="eastAsia" w:ascii="Times New Roman" w:hAnsi="Times New Roman" w:cs="Times New Roman"/>
          <w:color w:val="000000"/>
          <w:kern w:val="0"/>
          <w:sz w:val="24"/>
          <w:szCs w:val="24"/>
        </w:rPr>
        <w:t>方法。</w:t>
      </w:r>
      <w:r>
        <w:rPr>
          <w:rFonts w:hint="eastAsia" w:ascii="Times New Roman" w:hAnsi="Times New Roman" w:cs="Times New Roman"/>
          <w:color w:val="000000"/>
          <w:kern w:val="0"/>
          <w:sz w:val="24"/>
          <w:szCs w:val="24"/>
          <w:lang w:val="en-US" w:eastAsia="zh-CN"/>
        </w:rPr>
        <w:t>通过不同测试模式下的干扰消除效果考察，最终选择</w:t>
      </w:r>
      <w:r>
        <w:rPr>
          <w:rFonts w:hint="eastAsia" w:ascii="Times New Roman" w:hAnsi="Times New Roman" w:cs="Times New Roman"/>
          <w:color w:val="000000"/>
          <w:kern w:val="0"/>
          <w:sz w:val="24"/>
          <w:szCs w:val="24"/>
        </w:rPr>
        <w:t>Nogas模式</w:t>
      </w:r>
      <w:r>
        <w:rPr>
          <w:rFonts w:hint="eastAsia" w:ascii="Times New Roman" w:hAnsi="Times New Roman" w:cs="Times New Roman"/>
          <w:color w:val="000000"/>
          <w:kern w:val="0"/>
          <w:sz w:val="24"/>
          <w:szCs w:val="24"/>
          <w:lang w:val="en-US" w:eastAsia="zh-CN"/>
        </w:rPr>
        <w:t>进行测定</w:t>
      </w:r>
      <w:r>
        <w:rPr>
          <w:rFonts w:hint="eastAsia" w:ascii="Times New Roman" w:hAnsi="Times New Roman" w:cs="Times New Roman"/>
          <w:color w:val="000000"/>
          <w:kern w:val="0"/>
          <w:sz w:val="24"/>
          <w:szCs w:val="24"/>
        </w:rPr>
        <w:t>。采用内标法</w:t>
      </w:r>
      <w:r>
        <w:rPr>
          <w:rFonts w:hint="eastAsia" w:ascii="Times New Roman" w:hAnsi="Times New Roman" w:cs="Times New Roman"/>
          <w:color w:val="000000"/>
          <w:kern w:val="0"/>
          <w:sz w:val="24"/>
          <w:szCs w:val="24"/>
          <w:lang w:val="en-US" w:eastAsia="zh-CN"/>
        </w:rPr>
        <w:t>校正基体效应，</w:t>
      </w:r>
      <w:r>
        <w:rPr>
          <w:rFonts w:hint="eastAsia" w:ascii="Times New Roman" w:hAnsi="Times New Roman" w:cs="Times New Roman"/>
          <w:color w:val="000000"/>
          <w:kern w:val="0"/>
          <w:sz w:val="24"/>
          <w:szCs w:val="24"/>
        </w:rPr>
        <w:t>在</w:t>
      </w:r>
      <w:r>
        <w:rPr>
          <w:rFonts w:hint="eastAsia" w:ascii="Times New Roman" w:hAnsi="Times New Roman" w:cs="Times New Roman"/>
          <w:color w:val="000000"/>
          <w:kern w:val="0"/>
          <w:sz w:val="24"/>
          <w:szCs w:val="24"/>
          <w:lang w:val="en-US" w:eastAsia="zh-CN"/>
        </w:rPr>
        <w:t>优化</w:t>
      </w:r>
      <w:r>
        <w:rPr>
          <w:rFonts w:hint="eastAsia" w:ascii="Times New Roman" w:hAnsi="Times New Roman" w:cs="Times New Roman"/>
          <w:color w:val="000000"/>
          <w:kern w:val="0"/>
          <w:sz w:val="24"/>
          <w:szCs w:val="24"/>
        </w:rPr>
        <w:t>的</w:t>
      </w:r>
      <w:r>
        <w:rPr>
          <w:rFonts w:hint="eastAsia" w:ascii="Times New Roman" w:hAnsi="Times New Roman" w:cs="Times New Roman"/>
          <w:color w:val="000000"/>
          <w:kern w:val="0"/>
          <w:sz w:val="24"/>
          <w:szCs w:val="24"/>
          <w:lang w:val="en-US" w:eastAsia="zh-CN"/>
        </w:rPr>
        <w:t>仪器工作</w:t>
      </w:r>
      <w:r>
        <w:rPr>
          <w:rFonts w:hint="eastAsia" w:ascii="Times New Roman" w:hAnsi="Times New Roman" w:cs="Times New Roman"/>
          <w:color w:val="000000"/>
          <w:kern w:val="0"/>
          <w:sz w:val="24"/>
          <w:szCs w:val="24"/>
        </w:rPr>
        <w:t>条件下，</w:t>
      </w:r>
      <w:r>
        <w:rPr>
          <w:rFonts w:hint="eastAsia" w:ascii="Times New Roman" w:hAnsi="Times New Roman" w:cs="Times New Roman"/>
          <w:color w:val="000000"/>
          <w:kern w:val="0"/>
          <w:sz w:val="24"/>
          <w:szCs w:val="24"/>
          <w:lang w:val="en-US" w:eastAsia="zh-CN"/>
        </w:rPr>
        <w:t>确定Sc的</w:t>
      </w:r>
      <w:r>
        <w:rPr>
          <w:rFonts w:hint="eastAsia" w:ascii="Times New Roman" w:hAnsi="Times New Roman" w:cs="Times New Roman"/>
          <w:color w:val="000000"/>
          <w:kern w:val="0"/>
          <w:sz w:val="24"/>
          <w:szCs w:val="24"/>
        </w:rPr>
        <w:t>测定</w:t>
      </w:r>
      <w:r>
        <w:rPr>
          <w:rFonts w:hint="eastAsia" w:cs="Times New Roman"/>
          <w:color w:val="000000"/>
          <w:kern w:val="0"/>
          <w:sz w:val="24"/>
          <w:szCs w:val="24"/>
          <w:lang w:val="en-US" w:eastAsia="zh-CN"/>
        </w:rPr>
        <w:t>范围</w:t>
      </w:r>
      <w:r>
        <w:rPr>
          <w:rFonts w:hint="eastAsia" w:ascii="Times New Roman" w:hAnsi="Times New Roman" w:cs="Times New Roman"/>
          <w:color w:val="000000"/>
          <w:kern w:val="0"/>
          <w:sz w:val="24"/>
          <w:szCs w:val="24"/>
          <w:lang w:val="en-US" w:eastAsia="zh-CN"/>
        </w:rPr>
        <w:t>为</w:t>
      </w:r>
      <w:r>
        <w:rPr>
          <w:rFonts w:hint="eastAsia" w:ascii="Times New Roman" w:hAnsi="Times New Roman" w:cs="Times New Roman"/>
          <w:color w:val="000000"/>
          <w:kern w:val="0"/>
          <w:sz w:val="24"/>
          <w:szCs w:val="24"/>
        </w:rPr>
        <w:t>0.</w:t>
      </w:r>
      <w:r>
        <w:rPr>
          <w:rFonts w:hint="eastAsia" w:ascii="Times New Roman" w:hAnsi="Times New Roman" w:cs="Times New Roman"/>
          <w:color w:val="000000"/>
          <w:kern w:val="0"/>
          <w:sz w:val="24"/>
          <w:szCs w:val="24"/>
          <w:lang w:val="en-US" w:eastAsia="zh-CN"/>
        </w:rPr>
        <w:t>00005%</w:t>
      </w:r>
      <w:r>
        <w:rPr>
          <w:rFonts w:hint="eastAsia" w:ascii="Times New Roman" w:hAnsi="Times New Roman" w:cs="Times New Roman"/>
          <w:color w:val="000000"/>
          <w:kern w:val="0"/>
          <w:sz w:val="24"/>
          <w:szCs w:val="24"/>
        </w:rPr>
        <w:t>~0.</w:t>
      </w:r>
      <w:r>
        <w:rPr>
          <w:rFonts w:hint="eastAsia" w:ascii="Times New Roman" w:hAnsi="Times New Roman" w:cs="Times New Roman"/>
          <w:color w:val="000000"/>
          <w:kern w:val="0"/>
          <w:sz w:val="24"/>
          <w:szCs w:val="24"/>
          <w:lang w:val="en-US" w:eastAsia="zh-CN"/>
        </w:rPr>
        <w:t>0050%</w:t>
      </w:r>
      <w:r>
        <w:rPr>
          <w:rFonts w:hint="eastAsia" w:ascii="Times New Roman" w:hAnsi="Times New Roman" w:cs="Times New Roman"/>
          <w:color w:val="000000"/>
          <w:kern w:val="0"/>
          <w:sz w:val="24"/>
          <w:szCs w:val="24"/>
        </w:rPr>
        <w:t>，</w:t>
      </w:r>
      <w:r>
        <w:rPr>
          <w:rFonts w:hint="eastAsia" w:cs="Times New Roman"/>
          <w:color w:val="000000"/>
          <w:kern w:val="0"/>
          <w:sz w:val="24"/>
          <w:szCs w:val="24"/>
          <w:lang w:val="en-US" w:eastAsia="zh-CN"/>
        </w:rPr>
        <w:t>K的测定范围为</w:t>
      </w:r>
      <w:r>
        <w:rPr>
          <w:rFonts w:hint="eastAsia" w:ascii="Times New Roman" w:hAnsi="Times New Roman" w:cs="Times New Roman"/>
          <w:color w:val="000000"/>
          <w:kern w:val="0"/>
          <w:sz w:val="24"/>
          <w:szCs w:val="24"/>
        </w:rPr>
        <w:t>0.</w:t>
      </w:r>
      <w:r>
        <w:rPr>
          <w:rFonts w:hint="eastAsia" w:ascii="Times New Roman" w:hAnsi="Times New Roman" w:cs="Times New Roman"/>
          <w:color w:val="000000"/>
          <w:kern w:val="0"/>
          <w:sz w:val="24"/>
          <w:szCs w:val="24"/>
          <w:lang w:val="en-US" w:eastAsia="zh-CN"/>
        </w:rPr>
        <w:t>0005%</w:t>
      </w:r>
      <w:r>
        <w:rPr>
          <w:rFonts w:hint="eastAsia" w:ascii="Times New Roman" w:hAnsi="Times New Roman" w:cs="Times New Roman"/>
          <w:color w:val="000000"/>
          <w:kern w:val="0"/>
          <w:sz w:val="24"/>
          <w:szCs w:val="24"/>
        </w:rPr>
        <w:t>~0.</w:t>
      </w:r>
      <w:r>
        <w:rPr>
          <w:rFonts w:hint="eastAsia" w:ascii="Times New Roman" w:hAnsi="Times New Roman" w:cs="Times New Roman"/>
          <w:color w:val="000000"/>
          <w:kern w:val="0"/>
          <w:sz w:val="24"/>
          <w:szCs w:val="24"/>
          <w:lang w:val="en-US" w:eastAsia="zh-CN"/>
        </w:rPr>
        <w:t>0050%</w:t>
      </w:r>
      <w:r>
        <w:rPr>
          <w:rFonts w:hint="eastAsia" w:cs="Times New Roman"/>
          <w:color w:val="000000"/>
          <w:kern w:val="0"/>
          <w:sz w:val="24"/>
          <w:szCs w:val="24"/>
          <w:lang w:val="en-US" w:eastAsia="zh-CN"/>
        </w:rPr>
        <w:t>，</w:t>
      </w:r>
      <w:r>
        <w:rPr>
          <w:rFonts w:hint="eastAsia" w:ascii="Times New Roman" w:hAnsi="Times New Roman" w:cs="Times New Roman"/>
          <w:color w:val="000000"/>
          <w:kern w:val="0"/>
          <w:sz w:val="24"/>
          <w:szCs w:val="24"/>
          <w:lang w:val="en-US" w:eastAsia="zh-CN"/>
        </w:rPr>
        <w:t>其他元素的</w:t>
      </w:r>
      <w:r>
        <w:rPr>
          <w:rFonts w:hint="eastAsia" w:ascii="Times New Roman" w:hAnsi="Times New Roman" w:cs="Times New Roman"/>
          <w:color w:val="000000"/>
          <w:kern w:val="0"/>
          <w:sz w:val="24"/>
          <w:szCs w:val="24"/>
        </w:rPr>
        <w:t>测</w:t>
      </w:r>
      <w:r>
        <w:rPr>
          <w:rFonts w:hint="eastAsia" w:cs="Times New Roman"/>
          <w:color w:val="000000"/>
          <w:kern w:val="0"/>
          <w:sz w:val="24"/>
          <w:szCs w:val="24"/>
          <w:lang w:val="en-US" w:eastAsia="zh-CN"/>
        </w:rPr>
        <w:t>定范围</w:t>
      </w:r>
      <w:r>
        <w:rPr>
          <w:rFonts w:hint="eastAsia" w:ascii="Times New Roman" w:hAnsi="Times New Roman" w:cs="Times New Roman"/>
          <w:color w:val="000000"/>
          <w:kern w:val="0"/>
          <w:sz w:val="24"/>
          <w:szCs w:val="24"/>
          <w:lang w:val="en-US" w:eastAsia="zh-CN"/>
        </w:rPr>
        <w:t>为</w:t>
      </w:r>
      <w:r>
        <w:rPr>
          <w:rFonts w:hint="eastAsia" w:ascii="Times New Roman" w:hAnsi="Times New Roman" w:cs="Times New Roman"/>
          <w:color w:val="000000"/>
          <w:kern w:val="0"/>
          <w:sz w:val="24"/>
          <w:szCs w:val="24"/>
        </w:rPr>
        <w:t>0.</w:t>
      </w:r>
      <w:r>
        <w:rPr>
          <w:rFonts w:hint="eastAsia" w:ascii="Times New Roman" w:hAnsi="Times New Roman" w:cs="Times New Roman"/>
          <w:color w:val="000000"/>
          <w:kern w:val="0"/>
          <w:sz w:val="24"/>
          <w:szCs w:val="24"/>
          <w:lang w:val="en-US" w:eastAsia="zh-CN"/>
        </w:rPr>
        <w:t>0001%</w:t>
      </w:r>
      <w:r>
        <w:rPr>
          <w:rFonts w:hint="eastAsia" w:ascii="Times New Roman" w:hAnsi="Times New Roman" w:cs="Times New Roman"/>
          <w:color w:val="000000"/>
          <w:kern w:val="0"/>
          <w:sz w:val="24"/>
          <w:szCs w:val="24"/>
        </w:rPr>
        <w:t>~0.</w:t>
      </w:r>
      <w:r>
        <w:rPr>
          <w:rFonts w:hint="eastAsia" w:ascii="Times New Roman" w:hAnsi="Times New Roman" w:cs="Times New Roman"/>
          <w:color w:val="000000"/>
          <w:kern w:val="0"/>
          <w:sz w:val="24"/>
          <w:szCs w:val="24"/>
          <w:lang w:val="en-US" w:eastAsia="zh-CN"/>
        </w:rPr>
        <w:t>0050%。</w:t>
      </w:r>
      <w:r>
        <w:rPr>
          <w:rFonts w:hint="eastAsia" w:ascii="Times New Roman" w:hAnsi="Times New Roman" w:eastAsia="宋体" w:cs="Times New Roman"/>
          <w:bCs/>
          <w:sz w:val="24"/>
          <w:szCs w:val="24"/>
          <w:lang w:val="en-US" w:eastAsia="zh-CN"/>
        </w:rPr>
        <w:t>采用</w:t>
      </w:r>
      <w:r>
        <w:rPr>
          <w:rFonts w:hint="eastAsia" w:ascii="Times New Roman" w:hAnsi="Times New Roman" w:cs="Times New Roman"/>
          <w:color w:val="000000"/>
          <w:kern w:val="0"/>
          <w:sz w:val="24"/>
          <w:szCs w:val="24"/>
          <w:lang w:val="en-US" w:eastAsia="zh-CN"/>
        </w:rPr>
        <w:t>选定的试验</w:t>
      </w:r>
      <w:r>
        <w:rPr>
          <w:rFonts w:hint="eastAsia" w:ascii="Times New Roman" w:hAnsi="Times New Roman" w:cs="Times New Roman"/>
          <w:color w:val="000000"/>
          <w:kern w:val="0"/>
          <w:sz w:val="24"/>
          <w:szCs w:val="24"/>
        </w:rPr>
        <w:t>方法，对高纯</w:t>
      </w:r>
      <w:r>
        <w:rPr>
          <w:rFonts w:hint="eastAsia" w:ascii="Times New Roman" w:hAnsi="Times New Roman" w:cs="Times New Roman"/>
          <w:color w:val="000000"/>
          <w:kern w:val="0"/>
          <w:sz w:val="24"/>
          <w:szCs w:val="24"/>
          <w:lang w:val="en-US" w:eastAsia="zh-CN"/>
        </w:rPr>
        <w:t>溴化</w:t>
      </w:r>
      <w:r>
        <w:rPr>
          <w:rFonts w:hint="eastAsia" w:ascii="Times New Roman" w:hAnsi="Times New Roman" w:cs="Times New Roman"/>
          <w:color w:val="000000"/>
          <w:kern w:val="0"/>
          <w:sz w:val="24"/>
          <w:szCs w:val="24"/>
        </w:rPr>
        <w:t>镧</w:t>
      </w:r>
      <w:r>
        <w:rPr>
          <w:rFonts w:hint="eastAsia" w:ascii="Times New Roman" w:hAnsi="Times New Roman" w:cs="Times New Roman"/>
          <w:color w:val="000000"/>
          <w:kern w:val="0"/>
          <w:sz w:val="24"/>
          <w:szCs w:val="24"/>
          <w:lang w:val="en-US" w:eastAsia="zh-CN"/>
        </w:rPr>
        <w:t>和溴化铈</w:t>
      </w:r>
      <w:r>
        <w:rPr>
          <w:rFonts w:hint="eastAsia" w:ascii="Times New Roman" w:hAnsi="Times New Roman" w:cs="Times New Roman"/>
          <w:color w:val="000000"/>
          <w:kern w:val="0"/>
          <w:sz w:val="24"/>
          <w:szCs w:val="24"/>
        </w:rPr>
        <w:t>样品</w:t>
      </w:r>
      <w:r>
        <w:rPr>
          <w:rFonts w:hint="eastAsia" w:ascii="Times New Roman" w:hAnsi="Times New Roman" w:cs="Times New Roman"/>
          <w:color w:val="000000"/>
          <w:kern w:val="0"/>
          <w:sz w:val="24"/>
          <w:szCs w:val="24"/>
          <w:lang w:val="en-US" w:eastAsia="zh-CN"/>
        </w:rPr>
        <w:t>开展</w:t>
      </w:r>
      <w:r>
        <w:rPr>
          <w:rFonts w:hint="eastAsia" w:ascii="Times New Roman" w:hAnsi="Times New Roman" w:cs="Times New Roman"/>
          <w:color w:val="000000"/>
          <w:kern w:val="0"/>
          <w:sz w:val="24"/>
          <w:szCs w:val="24"/>
        </w:rPr>
        <w:t>精密度实验，各</w:t>
      </w:r>
      <w:r>
        <w:rPr>
          <w:rFonts w:hint="eastAsia" w:ascii="Times New Roman" w:hAnsi="Times New Roman" w:cs="Times New Roman"/>
          <w:color w:val="000000"/>
          <w:kern w:val="0"/>
          <w:sz w:val="24"/>
          <w:szCs w:val="24"/>
          <w:lang w:val="en-US" w:eastAsia="zh-CN"/>
        </w:rPr>
        <w:t>待测</w:t>
      </w:r>
      <w:r>
        <w:rPr>
          <w:rFonts w:hint="eastAsia" w:ascii="Times New Roman" w:hAnsi="Times New Roman" w:cs="Times New Roman"/>
          <w:color w:val="000000"/>
          <w:kern w:val="0"/>
          <w:sz w:val="24"/>
          <w:szCs w:val="24"/>
        </w:rPr>
        <w:t>元素</w:t>
      </w:r>
      <w:r>
        <w:rPr>
          <w:rFonts w:hint="eastAsia" w:ascii="Times New Roman" w:hAnsi="Times New Roman" w:cs="Times New Roman"/>
          <w:color w:val="000000"/>
          <w:kern w:val="0"/>
          <w:sz w:val="24"/>
          <w:szCs w:val="24"/>
          <w:lang w:val="en-US" w:eastAsia="zh-CN"/>
        </w:rPr>
        <w:t>测定</w:t>
      </w:r>
      <w:r>
        <w:rPr>
          <w:rFonts w:hint="eastAsia" w:ascii="Times New Roman" w:hAnsi="Times New Roman" w:cs="Times New Roman"/>
          <w:color w:val="000000"/>
          <w:kern w:val="0"/>
          <w:sz w:val="24"/>
          <w:szCs w:val="24"/>
        </w:rPr>
        <w:t>结果相对标准偏差</w:t>
      </w:r>
      <w:r>
        <w:rPr>
          <w:rFonts w:hint="eastAsia" w:ascii="Times New Roman" w:hAnsi="Times New Roman" w:cs="Times New Roman"/>
          <w:color w:val="000000"/>
          <w:kern w:val="0"/>
          <w:sz w:val="24"/>
          <w:szCs w:val="24"/>
          <w:lang w:eastAsia="zh-CN"/>
        </w:rPr>
        <w:t>（</w:t>
      </w:r>
      <w:r>
        <w:rPr>
          <w:rFonts w:hint="eastAsia" w:ascii="Times New Roman" w:hAnsi="Times New Roman" w:cs="Times New Roman"/>
          <w:color w:val="000000"/>
          <w:kern w:val="0"/>
          <w:sz w:val="24"/>
          <w:szCs w:val="24"/>
          <w:lang w:val="en-US" w:eastAsia="zh-CN"/>
        </w:rPr>
        <w:t>n=7</w:t>
      </w:r>
      <w:r>
        <w:rPr>
          <w:rFonts w:hint="eastAsia" w:ascii="Times New Roman" w:hAnsi="Times New Roman" w:cs="Times New Roman"/>
          <w:color w:val="000000"/>
          <w:kern w:val="0"/>
          <w:sz w:val="24"/>
          <w:szCs w:val="24"/>
          <w:lang w:eastAsia="zh-CN"/>
        </w:rPr>
        <w:t>）</w:t>
      </w:r>
      <w:r>
        <w:rPr>
          <w:rFonts w:hint="eastAsia" w:ascii="Times New Roman" w:hAnsi="Times New Roman" w:cs="Times New Roman"/>
          <w:color w:val="000000"/>
          <w:kern w:val="0"/>
          <w:sz w:val="24"/>
          <w:szCs w:val="24"/>
          <w:lang w:val="en-US" w:eastAsia="zh-CN"/>
        </w:rPr>
        <w:t>均小于</w:t>
      </w:r>
      <w:r>
        <w:rPr>
          <w:rFonts w:hint="eastAsia" w:ascii="Times New Roman" w:hAnsi="Times New Roman" w:cs="Times New Roman"/>
          <w:color w:val="000000"/>
          <w:kern w:val="0"/>
          <w:sz w:val="24"/>
          <w:szCs w:val="24"/>
        </w:rPr>
        <w:t>10%，精密度良好。加标回收试验回收率</w:t>
      </w:r>
      <w:r>
        <w:rPr>
          <w:rFonts w:hint="eastAsia" w:ascii="Times New Roman" w:hAnsi="Times New Roman" w:cs="Times New Roman"/>
          <w:color w:val="000000"/>
          <w:kern w:val="0"/>
          <w:sz w:val="24"/>
          <w:szCs w:val="24"/>
          <w:lang w:val="en-US" w:eastAsia="zh-CN"/>
        </w:rPr>
        <w:t>为92.9</w:t>
      </w:r>
      <w:r>
        <w:rPr>
          <w:rFonts w:hint="eastAsia" w:ascii="Times New Roman" w:hAnsi="Times New Roman" w:cs="Times New Roman"/>
          <w:color w:val="000000"/>
          <w:kern w:val="0"/>
          <w:sz w:val="24"/>
          <w:szCs w:val="24"/>
        </w:rPr>
        <w:t>%~11</w:t>
      </w:r>
      <w:r>
        <w:rPr>
          <w:rFonts w:hint="eastAsia" w:ascii="Times New Roman" w:hAnsi="Times New Roman" w:cs="Times New Roman"/>
          <w:color w:val="000000"/>
          <w:kern w:val="0"/>
          <w:sz w:val="24"/>
          <w:szCs w:val="24"/>
          <w:lang w:val="en-US" w:eastAsia="zh-CN"/>
        </w:rPr>
        <w:t>3</w:t>
      </w:r>
      <w:r>
        <w:rPr>
          <w:rFonts w:hint="eastAsia"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val="en-US" w:eastAsia="zh-CN"/>
        </w:rPr>
        <w:t>4</w:t>
      </w:r>
      <w:r>
        <w:rPr>
          <w:rFonts w:hint="eastAsia"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eastAsia="zh-CN"/>
        </w:rPr>
        <w:t>，</w:t>
      </w:r>
      <w:r>
        <w:rPr>
          <w:rFonts w:hint="eastAsia" w:ascii="Times New Roman" w:hAnsi="Times New Roman" w:cs="Times New Roman"/>
          <w:color w:val="000000"/>
          <w:kern w:val="0"/>
          <w:sz w:val="24"/>
          <w:szCs w:val="24"/>
          <w:lang w:val="en-US" w:eastAsia="zh-CN"/>
        </w:rPr>
        <w:t>回收率良好</w:t>
      </w:r>
      <w:r>
        <w:rPr>
          <w:rFonts w:hint="eastAsia" w:ascii="Times New Roman" w:hAnsi="Times New Roman" w:cs="Times New Roman"/>
          <w:color w:val="000000"/>
          <w:kern w:val="0"/>
          <w:sz w:val="24"/>
          <w:szCs w:val="24"/>
          <w:lang w:eastAsia="zh-CN"/>
        </w:rPr>
        <w:t>。</w:t>
      </w:r>
    </w:p>
    <w:p w14:paraId="7DE33F6E">
      <w:pPr>
        <w:spacing w:line="360" w:lineRule="auto"/>
        <w:ind w:firstLine="480" w:firstLineChars="200"/>
        <w:rPr>
          <w:rFonts w:hint="default"/>
          <w:sz w:val="24"/>
          <w:lang w:val="en-US"/>
        </w:rPr>
      </w:pPr>
      <w:r>
        <w:rPr>
          <w:rFonts w:hint="eastAsia"/>
          <w:sz w:val="24"/>
        </w:rPr>
        <w:t>水杂质的分析</w:t>
      </w:r>
      <w:r>
        <w:rPr>
          <w:rFonts w:hint="eastAsia"/>
          <w:sz w:val="24"/>
          <w:lang w:val="en-US" w:eastAsia="zh-CN"/>
        </w:rPr>
        <w:t>采用卡尔费休库仑法。使用与卡式炉联用的卡尔费休库仑法滴定仪，通过</w:t>
      </w:r>
      <w:r>
        <w:rPr>
          <w:rFonts w:hint="eastAsia"/>
          <w:sz w:val="24"/>
        </w:rPr>
        <w:t>水分蒸发器间接滴定法进行</w:t>
      </w:r>
      <w:r>
        <w:rPr>
          <w:rFonts w:hint="eastAsia"/>
          <w:sz w:val="24"/>
          <w:lang w:val="en-US" w:eastAsia="zh-CN"/>
        </w:rPr>
        <w:t>检测</w:t>
      </w:r>
      <w:r>
        <w:rPr>
          <w:rFonts w:hint="eastAsia"/>
          <w:sz w:val="24"/>
          <w:lang w:eastAsia="zh-CN"/>
        </w:rPr>
        <w:t>。</w:t>
      </w:r>
      <w:r>
        <w:rPr>
          <w:rFonts w:hint="eastAsia"/>
          <w:sz w:val="24"/>
          <w:lang w:val="en-US" w:eastAsia="zh-CN"/>
        </w:rPr>
        <w:t>该方法是石油化工等行业测量化学品中微量水分的经典方法，也是项目起草单位有研稀土新材料股份有限公司、</w:t>
      </w:r>
      <w:r>
        <w:rPr>
          <w:rFonts w:hint="eastAsia" w:ascii="宋体" w:hAnsi="宋体"/>
          <w:sz w:val="24"/>
          <w:lang w:val="zh-CN" w:eastAsia="zh-CN"/>
        </w:rPr>
        <w:t>天津包钢稀土研究院有限责任公司</w:t>
      </w:r>
      <w:r>
        <w:rPr>
          <w:rFonts w:hint="eastAsia" w:ascii="宋体" w:hAnsi="宋体"/>
          <w:sz w:val="24"/>
          <w:lang w:val="en-US" w:eastAsia="zh-CN"/>
        </w:rPr>
        <w:t>等在</w:t>
      </w:r>
      <w:r>
        <w:rPr>
          <w:rFonts w:hint="eastAsia"/>
          <w:sz w:val="24"/>
          <w:lang w:val="en-US" w:eastAsia="zh-CN"/>
        </w:rPr>
        <w:t>高纯无水溴化镧、溴化铈生产中所实际采用的成熟方法。本标准针对高纯无水稀土溴化物极易吸潮、检测限要求高的问题，重点对制样和测试环境进行了规范，要求所有称量、进样操作均应在惰性气氛环境（水、氧含量不高于0.0001%）中进行，分析设备整体或进样系统也应置于该惰性气氛环境中，同时所用安培瓶、载气管路应保持充分干燥，从而有效避免环境干扰，保证检测精度。同时明确了加热温度（240±5℃）、漂浮值（低于10μg/min）等主要测试参数。</w:t>
      </w:r>
    </w:p>
    <w:p w14:paraId="630DEBA8">
      <w:pPr>
        <w:spacing w:line="360" w:lineRule="auto"/>
        <w:ind w:firstLine="480" w:firstLineChars="200"/>
        <w:rPr>
          <w:rFonts w:hint="default"/>
          <w:sz w:val="24"/>
          <w:lang w:val="en-US"/>
        </w:rPr>
      </w:pPr>
      <w:r>
        <w:rPr>
          <w:rFonts w:hint="eastAsia"/>
          <w:sz w:val="24"/>
        </w:rPr>
        <w:t>氧杂质的分析</w:t>
      </w:r>
      <w:r>
        <w:rPr>
          <w:rFonts w:hint="eastAsia"/>
          <w:sz w:val="24"/>
          <w:lang w:val="en-US" w:eastAsia="zh-CN"/>
        </w:rPr>
        <w:t>采用脉冲红外吸收法。该方法是测量钢铁、稀土金属及合金中氧含量的经典方法，也是项目起草单位有研稀土新材料股份有限公司、</w:t>
      </w:r>
      <w:r>
        <w:rPr>
          <w:rFonts w:hint="eastAsia" w:ascii="宋体" w:hAnsi="宋体"/>
          <w:sz w:val="24"/>
          <w:lang w:val="zh-CN" w:eastAsia="zh-CN"/>
        </w:rPr>
        <w:t>天津包钢稀土研究院有限责任公司</w:t>
      </w:r>
      <w:r>
        <w:rPr>
          <w:rFonts w:hint="eastAsia" w:ascii="宋体" w:hAnsi="宋体"/>
          <w:sz w:val="24"/>
          <w:lang w:val="en-US" w:eastAsia="zh-CN"/>
        </w:rPr>
        <w:t>等在</w:t>
      </w:r>
      <w:r>
        <w:rPr>
          <w:rFonts w:hint="eastAsia"/>
          <w:sz w:val="24"/>
          <w:lang w:val="en-US" w:eastAsia="zh-CN"/>
        </w:rPr>
        <w:t>高纯无水溴化镧、溴化铈生产中所实际采用的成熟方法。本标准同样是针对高纯无水稀土溴化物极易吸潮、检测限要求高的问题，重点对制样和测试环境进行了规范，要求所有称量、进样操作均应在惰性气氛环境（水、氧含量不高于0.0001%）中进行，分析设备整体或进样系统也置于该惰性气氛环境中，从而有效避免环境干扰，保证检测精度。</w:t>
      </w:r>
    </w:p>
    <w:p w14:paraId="234B2E95">
      <w:pPr>
        <w:spacing w:before="156" w:beforeLines="50" w:after="156" w:afterLines="50" w:line="312" w:lineRule="auto"/>
        <w:rPr>
          <w:rFonts w:ascii="黑体" w:hAnsi="宋体" w:eastAsia="黑体"/>
          <w:bCs/>
          <w:sz w:val="24"/>
        </w:rPr>
      </w:pPr>
      <w:r>
        <w:rPr>
          <w:rFonts w:hint="eastAsia" w:ascii="黑体" w:hAnsi="宋体" w:eastAsia="黑体"/>
          <w:bCs/>
          <w:sz w:val="24"/>
        </w:rPr>
        <w:t>三、预期达到的社会效益</w:t>
      </w:r>
    </w:p>
    <w:p w14:paraId="5C3CAE6A">
      <w:pPr>
        <w:spacing w:line="360" w:lineRule="auto"/>
        <w:ind w:firstLine="480" w:firstLineChars="200"/>
        <w:rPr>
          <w:sz w:val="24"/>
        </w:rPr>
      </w:pPr>
      <w:r>
        <w:rPr>
          <w:rFonts w:hint="eastAsia"/>
          <w:sz w:val="24"/>
        </w:rPr>
        <w:t>本标准方法的建立可</w:t>
      </w:r>
      <w:r>
        <w:rPr>
          <w:rFonts w:hint="eastAsia"/>
          <w:sz w:val="24"/>
          <w:lang w:val="en-US" w:eastAsia="zh-CN"/>
        </w:rPr>
        <w:t>有效规范闪烁晶体用高纯无水稀土溴化物原料的生产，指导促进其产品质量的提升</w:t>
      </w:r>
      <w:r>
        <w:rPr>
          <w:rFonts w:hint="eastAsia"/>
          <w:sz w:val="24"/>
        </w:rPr>
        <w:t>，</w:t>
      </w:r>
      <w:r>
        <w:rPr>
          <w:rFonts w:hint="eastAsia"/>
          <w:sz w:val="24"/>
          <w:lang w:val="en-US" w:eastAsia="zh-CN"/>
        </w:rPr>
        <w:t>进而有力支撑</w:t>
      </w:r>
      <w:r>
        <w:rPr>
          <w:rFonts w:hint="eastAsia"/>
          <w:sz w:val="24"/>
        </w:rPr>
        <w:t>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w:t>
      </w:r>
      <w:r>
        <w:rPr>
          <w:rFonts w:hint="eastAsia"/>
          <w:sz w:val="24"/>
          <w:lang w:val="en-US" w:eastAsia="zh-CN"/>
        </w:rPr>
        <w:t>等高性能稀土卤化物闪烁</w:t>
      </w:r>
      <w:r>
        <w:rPr>
          <w:rFonts w:hint="eastAsia"/>
          <w:sz w:val="24"/>
        </w:rPr>
        <w:t>晶体</w:t>
      </w:r>
      <w:r>
        <w:rPr>
          <w:rFonts w:hint="eastAsia"/>
          <w:sz w:val="24"/>
          <w:lang w:val="en-US" w:eastAsia="zh-CN"/>
        </w:rPr>
        <w:t>产业的发展</w:t>
      </w:r>
      <w:r>
        <w:rPr>
          <w:rFonts w:hint="eastAsia"/>
          <w:sz w:val="24"/>
        </w:rPr>
        <w:t>，</w:t>
      </w:r>
      <w:r>
        <w:rPr>
          <w:rFonts w:hint="eastAsia"/>
          <w:sz w:val="24"/>
          <w:lang w:val="en-US" w:eastAsia="zh-CN"/>
        </w:rPr>
        <w:t>具有显著的社会和经济效益</w:t>
      </w:r>
      <w:r>
        <w:rPr>
          <w:rFonts w:hint="eastAsia"/>
          <w:sz w:val="24"/>
        </w:rPr>
        <w:t>。</w:t>
      </w:r>
    </w:p>
    <w:p w14:paraId="28CA78FE">
      <w:pPr>
        <w:spacing w:line="360" w:lineRule="auto"/>
        <w:ind w:firstLine="480" w:firstLineChars="200"/>
        <w:rPr>
          <w:sz w:val="24"/>
        </w:rPr>
      </w:pPr>
      <w:r>
        <w:rPr>
          <w:rFonts w:hint="eastAsia"/>
          <w:sz w:val="24"/>
        </w:rPr>
        <w:t>《</w:t>
      </w:r>
      <w:r>
        <w:rPr>
          <w:rFonts w:hint="eastAsia"/>
          <w:sz w:val="24"/>
          <w:lang w:val="en-US" w:eastAsia="zh-CN"/>
        </w:rPr>
        <w:t>闪烁晶体用高纯无水稀土溴化物</w:t>
      </w:r>
      <w:r>
        <w:rPr>
          <w:rFonts w:hint="eastAsia"/>
          <w:sz w:val="24"/>
        </w:rPr>
        <w:t>》标准为首次制定，规定了</w:t>
      </w:r>
      <w:r>
        <w:rPr>
          <w:rFonts w:hint="eastAsia"/>
          <w:sz w:val="24"/>
          <w:lang w:val="en-US" w:eastAsia="zh-CN"/>
        </w:rPr>
        <w:t>闪烁晶体</w:t>
      </w:r>
      <w:r>
        <w:rPr>
          <w:rFonts w:hint="eastAsia"/>
          <w:sz w:val="24"/>
        </w:rPr>
        <w:t>用</w:t>
      </w:r>
      <w:r>
        <w:rPr>
          <w:rFonts w:hint="eastAsia"/>
          <w:sz w:val="24"/>
          <w:lang w:val="en-US" w:eastAsia="zh-CN"/>
        </w:rPr>
        <w:t>高纯无水稀土溴化物</w:t>
      </w:r>
      <w:r>
        <w:rPr>
          <w:rFonts w:hint="eastAsia"/>
          <w:sz w:val="24"/>
        </w:rPr>
        <w:t>的分类、技术要求、试验方法、检验规则等内容，其技术指标已达到国际先进水平，满足了</w:t>
      </w:r>
      <w:r>
        <w:rPr>
          <w:rFonts w:hint="eastAsia"/>
          <w:sz w:val="24"/>
          <w:lang w:val="en-US" w:eastAsia="zh-CN"/>
        </w:rPr>
        <w:t>闪烁晶体</w:t>
      </w:r>
      <w:r>
        <w:rPr>
          <w:rFonts w:hint="eastAsia"/>
          <w:sz w:val="24"/>
        </w:rPr>
        <w:t>应用要求。本文本起草单位包含了国内</w:t>
      </w:r>
      <w:r>
        <w:rPr>
          <w:rFonts w:hint="eastAsia"/>
          <w:sz w:val="24"/>
          <w:lang w:val="en-US" w:eastAsia="zh-CN"/>
        </w:rPr>
        <w:t>闪烁晶体用高纯无水稀土溴化物的</w:t>
      </w:r>
      <w:r>
        <w:rPr>
          <w:rFonts w:hint="eastAsia"/>
          <w:sz w:val="24"/>
        </w:rPr>
        <w:t>优势</w:t>
      </w:r>
      <w:r>
        <w:rPr>
          <w:rFonts w:hint="eastAsia"/>
          <w:sz w:val="24"/>
          <w:lang w:val="en-US" w:eastAsia="zh-CN"/>
        </w:rPr>
        <w:t>生产单位和</w:t>
      </w:r>
      <w:r>
        <w:rPr>
          <w:rFonts w:hint="eastAsia"/>
          <w:sz w:val="24"/>
        </w:rPr>
        <w:t>主要</w:t>
      </w:r>
      <w:r>
        <w:rPr>
          <w:rFonts w:hint="eastAsia"/>
          <w:sz w:val="24"/>
          <w:lang w:val="en-US" w:eastAsia="zh-CN"/>
        </w:rPr>
        <w:t>应用</w:t>
      </w:r>
      <w:r>
        <w:rPr>
          <w:rFonts w:hint="eastAsia"/>
          <w:sz w:val="24"/>
        </w:rPr>
        <w:t>单位，内容全面、详实，条款清晰，可操作性强，</w:t>
      </w:r>
      <w:r>
        <w:rPr>
          <w:rFonts w:hint="eastAsia"/>
          <w:sz w:val="24"/>
          <w:lang w:val="en-US" w:eastAsia="zh-CN"/>
        </w:rPr>
        <w:t>有效</w:t>
      </w:r>
      <w:r>
        <w:rPr>
          <w:rFonts w:hint="eastAsia"/>
          <w:sz w:val="24"/>
        </w:rPr>
        <w:t>提升了我国</w:t>
      </w:r>
      <w:r>
        <w:rPr>
          <w:rFonts w:hint="eastAsia"/>
          <w:sz w:val="24"/>
          <w:lang w:val="en-US" w:eastAsia="zh-CN"/>
        </w:rPr>
        <w:t>在高纯无水稀土卤化物基础材料</w:t>
      </w:r>
      <w:r>
        <w:rPr>
          <w:rFonts w:hint="eastAsia"/>
          <w:sz w:val="24"/>
        </w:rPr>
        <w:t>领域的国际竞争力，可为我国</w:t>
      </w:r>
      <w:r>
        <w:rPr>
          <w:rFonts w:hint="eastAsia"/>
          <w:sz w:val="24"/>
          <w:lang w:val="en-US" w:eastAsia="zh-CN"/>
        </w:rPr>
        <w:t>高性能稀土闪烁晶体等</w:t>
      </w:r>
      <w:r>
        <w:rPr>
          <w:rFonts w:hint="eastAsia"/>
          <w:sz w:val="24"/>
        </w:rPr>
        <w:t>新材料</w:t>
      </w:r>
      <w:r>
        <w:rPr>
          <w:rFonts w:hint="eastAsia"/>
          <w:sz w:val="24"/>
          <w:lang w:val="en-US" w:eastAsia="zh-CN"/>
        </w:rPr>
        <w:t>产业的发展</w:t>
      </w:r>
      <w:r>
        <w:rPr>
          <w:rFonts w:hint="eastAsia"/>
          <w:sz w:val="24"/>
        </w:rPr>
        <w:t>提供</w:t>
      </w:r>
      <w:r>
        <w:rPr>
          <w:rFonts w:hint="eastAsia"/>
          <w:sz w:val="24"/>
          <w:lang w:val="en-US" w:eastAsia="zh-CN"/>
        </w:rPr>
        <w:t>坚实的</w:t>
      </w:r>
      <w:r>
        <w:rPr>
          <w:rFonts w:hint="eastAsia"/>
          <w:sz w:val="24"/>
        </w:rPr>
        <w:t>物质保障，对促进我国经济发展和科技进步具有现实和长远的战略意义。</w:t>
      </w:r>
    </w:p>
    <w:p w14:paraId="6BA6D4AA">
      <w:pPr>
        <w:spacing w:before="156" w:beforeLines="50" w:after="156" w:afterLines="50" w:line="312" w:lineRule="auto"/>
        <w:rPr>
          <w:rFonts w:ascii="黑体" w:hAnsi="宋体" w:eastAsia="黑体"/>
          <w:bCs/>
          <w:sz w:val="24"/>
        </w:rPr>
      </w:pPr>
      <w:r>
        <w:rPr>
          <w:rFonts w:hint="eastAsia" w:ascii="黑体" w:hAnsi="宋体" w:eastAsia="黑体"/>
          <w:bCs/>
          <w:sz w:val="24"/>
        </w:rPr>
        <w:t>四、与国际、国外同类标准技术内容的对比情况</w:t>
      </w:r>
    </w:p>
    <w:p w14:paraId="3190FD85">
      <w:pPr>
        <w:spacing w:line="360" w:lineRule="auto"/>
        <w:ind w:firstLine="480" w:firstLineChars="200"/>
        <w:rPr>
          <w:rFonts w:hint="default" w:eastAsia="宋体"/>
          <w:sz w:val="24"/>
          <w:lang w:val="en-US" w:eastAsia="zh-CN"/>
        </w:rPr>
      </w:pPr>
      <w:r>
        <w:rPr>
          <w:rFonts w:hint="eastAsia"/>
          <w:sz w:val="24"/>
          <w:lang w:val="en-US" w:eastAsia="zh-CN"/>
        </w:rPr>
        <w:t>欧美国家在高性能稀土卤化物闪烁晶体材料及其高纯原料方面长期占据国际主导地位，技术水平领先我国10年以上</w:t>
      </w:r>
      <w:r>
        <w:rPr>
          <w:rFonts w:hint="eastAsia"/>
          <w:sz w:val="24"/>
        </w:rPr>
        <w:t>。法国Saint-Gobain公司、德国Hellma Materials公司</w:t>
      </w:r>
      <w:r>
        <w:rPr>
          <w:rFonts w:hint="eastAsia"/>
          <w:sz w:val="24"/>
          <w:lang w:val="en-US" w:eastAsia="zh-CN"/>
        </w:rPr>
        <w:t>基本垄断了</w:t>
      </w:r>
      <w:r>
        <w:rPr>
          <w:rFonts w:hint="eastAsia"/>
          <w:sz w:val="24"/>
        </w:rPr>
        <w:t>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、CLLB晶体的</w:t>
      </w:r>
      <w:r>
        <w:rPr>
          <w:rFonts w:hint="eastAsia"/>
          <w:sz w:val="24"/>
          <w:lang w:val="en-US" w:eastAsia="zh-CN"/>
        </w:rPr>
        <w:t>国际市场，晶体尺寸和性能指标遥遥领先。美国Sigma-Aldrich公司、APL公司等则基本垄断了闪烁晶体用高纯无水LaBr</w:t>
      </w:r>
      <w:r>
        <w:rPr>
          <w:rFonts w:hint="eastAsia"/>
          <w:sz w:val="24"/>
          <w:vertAlign w:val="subscript"/>
          <w:lang w:val="en-US" w:eastAsia="zh-CN"/>
        </w:rPr>
        <w:t>3</w:t>
      </w:r>
      <w:r>
        <w:rPr>
          <w:rFonts w:hint="eastAsia"/>
          <w:sz w:val="24"/>
          <w:lang w:val="en-US" w:eastAsia="zh-CN"/>
        </w:rPr>
        <w:t>、CeBr</w:t>
      </w:r>
      <w:r>
        <w:rPr>
          <w:rFonts w:hint="eastAsia"/>
          <w:sz w:val="24"/>
          <w:vertAlign w:val="subscript"/>
          <w:lang w:val="en-US" w:eastAsia="zh-CN"/>
        </w:rPr>
        <w:t>3</w:t>
      </w:r>
      <w:r>
        <w:rPr>
          <w:rFonts w:hint="eastAsia"/>
          <w:sz w:val="24"/>
          <w:lang w:val="en-US" w:eastAsia="zh-CN"/>
        </w:rPr>
        <w:t>等原料的国际市场，其产品纯度可达5N。</w:t>
      </w:r>
      <w:r>
        <w:rPr>
          <w:rFonts w:hint="eastAsia"/>
          <w:sz w:val="24"/>
        </w:rPr>
        <w:t>国内北京玻璃研究院、河北华凯龙科技有限公司</w:t>
      </w:r>
      <w:r>
        <w:rPr>
          <w:rFonts w:hint="eastAsia"/>
          <w:sz w:val="24"/>
          <w:lang w:eastAsia="zh-CN"/>
        </w:rPr>
        <w:t>、</w:t>
      </w:r>
      <w:r>
        <w:rPr>
          <w:rFonts w:hint="eastAsia"/>
          <w:sz w:val="24"/>
          <w:lang w:val="en-US" w:eastAsia="zh-CN"/>
        </w:rPr>
        <w:t>江苏布拉维光学科技有限公司</w:t>
      </w:r>
      <w:r>
        <w:rPr>
          <w:rFonts w:hint="eastAsia"/>
          <w:sz w:val="24"/>
        </w:rPr>
        <w:t>等近年来先后</w:t>
      </w:r>
      <w:r>
        <w:rPr>
          <w:rFonts w:hint="eastAsia"/>
          <w:sz w:val="24"/>
          <w:lang w:val="en-US" w:eastAsia="zh-CN"/>
        </w:rPr>
        <w:t>实现了</w:t>
      </w:r>
      <w:r>
        <w:rPr>
          <w:rFonts w:hint="eastAsia"/>
          <w:sz w:val="24"/>
        </w:rPr>
        <w:t>LaBr</w:t>
      </w:r>
      <w:r>
        <w:rPr>
          <w:rFonts w:hint="eastAsia"/>
          <w:sz w:val="24"/>
          <w:vertAlign w:val="subscript"/>
        </w:rPr>
        <w:t>3</w:t>
      </w:r>
      <w:r>
        <w:rPr>
          <w:rFonts w:hint="eastAsia"/>
          <w:sz w:val="24"/>
        </w:rPr>
        <w:t>:Ce</w:t>
      </w:r>
      <w:r>
        <w:rPr>
          <w:rFonts w:hint="eastAsia"/>
          <w:sz w:val="24"/>
          <w:lang w:eastAsia="zh-CN"/>
        </w:rPr>
        <w:t>、</w:t>
      </w:r>
      <w:r>
        <w:rPr>
          <w:rFonts w:hint="eastAsia"/>
          <w:sz w:val="24"/>
          <w:lang w:val="en-US" w:eastAsia="zh-CN"/>
        </w:rPr>
        <w:t>CeBr</w:t>
      </w:r>
      <w:r>
        <w:rPr>
          <w:rFonts w:hint="eastAsia"/>
          <w:sz w:val="24"/>
          <w:vertAlign w:val="subscript"/>
          <w:lang w:val="en-US" w:eastAsia="zh-CN"/>
        </w:rPr>
        <w:t>3</w:t>
      </w:r>
      <w:r>
        <w:rPr>
          <w:rFonts w:hint="eastAsia"/>
          <w:sz w:val="24"/>
        </w:rPr>
        <w:t>晶体</w:t>
      </w:r>
      <w:r>
        <w:rPr>
          <w:rFonts w:hint="eastAsia"/>
          <w:sz w:val="24"/>
          <w:lang w:val="en-US" w:eastAsia="zh-CN"/>
        </w:rPr>
        <w:t>的产业化</w:t>
      </w:r>
      <w:r>
        <w:rPr>
          <w:rFonts w:hint="eastAsia"/>
          <w:sz w:val="24"/>
        </w:rPr>
        <w:t>，</w:t>
      </w:r>
      <w:r>
        <w:rPr>
          <w:rFonts w:hint="eastAsia"/>
          <w:sz w:val="24"/>
          <w:lang w:val="en-US" w:eastAsia="zh-CN"/>
        </w:rPr>
        <w:t>技术水平得到了快速提升，相关产品在国防安全、深空探测等重大工程实现了规模应用，虽然产品指标离</w:t>
      </w:r>
      <w:r>
        <w:rPr>
          <w:rFonts w:hint="eastAsia"/>
          <w:sz w:val="24"/>
        </w:rPr>
        <w:t>Saint-Gobain</w:t>
      </w:r>
      <w:r>
        <w:rPr>
          <w:rFonts w:hint="eastAsia"/>
          <w:sz w:val="24"/>
          <w:lang w:val="en-US" w:eastAsia="zh-CN"/>
        </w:rPr>
        <w:t>最高水平仍有一定差距，但总体技术水平已达到国际先进水平，国内市场占有率达到60%以上。闪烁晶体用高纯无水稀土溴化物原料方面，有研稀土</w:t>
      </w:r>
      <w:r>
        <w:rPr>
          <w:rFonts w:hint="eastAsia"/>
          <w:sz w:val="24"/>
        </w:rPr>
        <w:t>于2016年国内率先突破</w:t>
      </w:r>
      <w:r>
        <w:rPr>
          <w:rFonts w:hint="eastAsia"/>
          <w:sz w:val="24"/>
          <w:lang w:val="en-US" w:eastAsia="zh-CN"/>
        </w:rPr>
        <w:t>其</w:t>
      </w:r>
      <w:r>
        <w:rPr>
          <w:rFonts w:hint="eastAsia"/>
          <w:sz w:val="24"/>
        </w:rPr>
        <w:t>批量制备技术并建成首条中试生产线</w:t>
      </w:r>
      <w:r>
        <w:rPr>
          <w:rFonts w:hint="eastAsia"/>
          <w:sz w:val="24"/>
          <w:lang w:eastAsia="zh-CN"/>
        </w:rPr>
        <w:t>，</w:t>
      </w:r>
      <w:r>
        <w:rPr>
          <w:rFonts w:hint="eastAsia"/>
          <w:sz w:val="24"/>
        </w:rPr>
        <w:t>相关产品自2017年起实现了批量生产和销售，</w:t>
      </w:r>
      <w:r>
        <w:rPr>
          <w:rFonts w:hint="eastAsia"/>
          <w:sz w:val="24"/>
          <w:lang w:val="en-US" w:eastAsia="zh-CN"/>
        </w:rPr>
        <w:t>产品纯度达到进口同等水平，迄今</w:t>
      </w:r>
      <w:r>
        <w:rPr>
          <w:rFonts w:hint="eastAsia"/>
          <w:sz w:val="24"/>
        </w:rPr>
        <w:t>累计已实现销售超过</w:t>
      </w:r>
      <w:r>
        <w:rPr>
          <w:rFonts w:hint="eastAsia"/>
          <w:sz w:val="24"/>
          <w:lang w:val="en-US" w:eastAsia="zh-CN"/>
        </w:rPr>
        <w:t>2</w:t>
      </w:r>
      <w:r>
        <w:rPr>
          <w:rFonts w:hint="eastAsia"/>
          <w:sz w:val="24"/>
        </w:rPr>
        <w:t>吨，获得了国内外客户的广泛认可。</w:t>
      </w:r>
      <w:r>
        <w:rPr>
          <w:rFonts w:hint="eastAsia"/>
          <w:sz w:val="24"/>
          <w:lang w:val="en-US" w:eastAsia="zh-CN"/>
        </w:rPr>
        <w:t>天津包钢稀土研究院有限责任公司等企业也实现了相关产品的产业化。目前国产高纯无水稀土溴化物原料已获得下游晶体生产企业的充分认可，国内市场占有率达到80%以上，整体技术水平达到国际先进水平。</w:t>
      </w:r>
    </w:p>
    <w:p w14:paraId="212B5F08">
      <w:pPr>
        <w:spacing w:before="156" w:beforeLines="50" w:after="156" w:afterLines="50" w:line="312" w:lineRule="auto"/>
        <w:rPr>
          <w:rFonts w:hint="eastAsia" w:ascii="黑体" w:hAnsi="宋体" w:eastAsia="黑体"/>
          <w:bCs/>
          <w:sz w:val="24"/>
        </w:rPr>
      </w:pPr>
      <w:r>
        <w:rPr>
          <w:rFonts w:hint="eastAsia" w:ascii="黑体" w:hAnsi="宋体" w:eastAsia="黑体"/>
          <w:bCs/>
          <w:sz w:val="24"/>
        </w:rPr>
        <w:t>五、采标情况，以及是否合规引用或采用国际国外标准</w:t>
      </w:r>
    </w:p>
    <w:p w14:paraId="7D2BC83C">
      <w:pPr>
        <w:spacing w:line="360" w:lineRule="auto"/>
        <w:ind w:firstLine="480" w:firstLineChars="200"/>
        <w:rPr>
          <w:sz w:val="24"/>
        </w:rPr>
      </w:pPr>
      <w:r>
        <w:rPr>
          <w:rFonts w:hint="eastAsia"/>
          <w:sz w:val="24"/>
        </w:rPr>
        <w:t>经查</w:t>
      </w:r>
      <w:r>
        <w:rPr>
          <w:sz w:val="24"/>
        </w:rPr>
        <w:t>，</w:t>
      </w:r>
      <w:r>
        <w:rPr>
          <w:rFonts w:hint="eastAsia"/>
          <w:sz w:val="24"/>
        </w:rPr>
        <w:t>本标准的制订与现有的标准及制订中的标准协调配套，无重复交叉现象。</w:t>
      </w:r>
    </w:p>
    <w:p w14:paraId="2C51B7EE">
      <w:pPr>
        <w:spacing w:before="156" w:beforeLines="50" w:after="156" w:afterLines="50" w:line="312" w:lineRule="auto"/>
        <w:rPr>
          <w:rFonts w:hint="eastAsia" w:ascii="黑体" w:hAnsi="宋体" w:eastAsia="黑体"/>
          <w:bCs/>
          <w:sz w:val="24"/>
        </w:rPr>
      </w:pPr>
      <w:r>
        <w:rPr>
          <w:rFonts w:hint="eastAsia" w:ascii="黑体" w:hAnsi="宋体" w:eastAsia="黑体"/>
          <w:bCs/>
          <w:sz w:val="24"/>
        </w:rPr>
        <w:t>六、与有关法律、法规的关系</w:t>
      </w:r>
    </w:p>
    <w:p w14:paraId="6D42BD84">
      <w:pPr>
        <w:spacing w:line="360" w:lineRule="auto"/>
        <w:ind w:firstLine="480" w:firstLineChars="200"/>
        <w:rPr>
          <w:sz w:val="24"/>
        </w:rPr>
      </w:pPr>
      <w:r>
        <w:rPr>
          <w:rFonts w:hint="eastAsia"/>
          <w:sz w:val="24"/>
        </w:rPr>
        <w:t>本标准本文件按照GB/T 1.1-2020《标准化工作导则 第1部分：标准化文件的结构和起草规则》的规定起草。本标准与现行法律、法规和相关标准相协调、无冲突。</w:t>
      </w:r>
    </w:p>
    <w:p w14:paraId="11274191">
      <w:pPr>
        <w:spacing w:before="156" w:beforeLines="50" w:after="156" w:afterLines="50" w:line="312" w:lineRule="auto"/>
        <w:rPr>
          <w:rFonts w:hint="eastAsia" w:ascii="黑体" w:hAnsi="宋体" w:eastAsia="黑体"/>
          <w:bCs/>
          <w:sz w:val="24"/>
        </w:rPr>
      </w:pPr>
      <w:r>
        <w:rPr>
          <w:rFonts w:hint="eastAsia" w:ascii="黑体" w:hAnsi="宋体" w:eastAsia="黑体"/>
          <w:bCs/>
          <w:sz w:val="24"/>
        </w:rPr>
        <w:t>七、重大分歧意见的处理经过和依据</w:t>
      </w:r>
    </w:p>
    <w:p w14:paraId="7B4441C6">
      <w:pPr>
        <w:spacing w:line="360" w:lineRule="auto"/>
        <w:ind w:firstLine="480" w:firstLineChars="200"/>
        <w:rPr>
          <w:sz w:val="24"/>
        </w:rPr>
      </w:pPr>
      <w:r>
        <w:rPr>
          <w:rFonts w:hint="eastAsia"/>
          <w:sz w:val="24"/>
        </w:rPr>
        <w:t>无重大分歧。</w:t>
      </w:r>
    </w:p>
    <w:p w14:paraId="7C926B13">
      <w:pPr>
        <w:spacing w:before="156" w:beforeLines="50" w:after="156" w:afterLines="50" w:line="312" w:lineRule="auto"/>
        <w:rPr>
          <w:rFonts w:hint="eastAsia" w:ascii="黑体" w:hAnsi="宋体" w:eastAsia="黑体"/>
          <w:bCs/>
          <w:sz w:val="24"/>
        </w:rPr>
      </w:pPr>
      <w:r>
        <w:rPr>
          <w:rFonts w:hint="eastAsia" w:ascii="黑体" w:hAnsi="宋体" w:eastAsia="黑体"/>
          <w:bCs/>
          <w:sz w:val="24"/>
        </w:rPr>
        <w:t>八、涉及专利的有关说明</w:t>
      </w:r>
    </w:p>
    <w:p w14:paraId="5BC462E8">
      <w:pPr>
        <w:spacing w:line="360" w:lineRule="auto"/>
        <w:ind w:firstLine="480" w:firstLineChars="200"/>
        <w:rPr>
          <w:sz w:val="24"/>
        </w:rPr>
      </w:pPr>
      <w:r>
        <w:rPr>
          <w:rFonts w:hint="eastAsia"/>
          <w:sz w:val="24"/>
        </w:rPr>
        <w:t>本标准未涉及相关知识产权。</w:t>
      </w:r>
    </w:p>
    <w:p w14:paraId="0E06D119">
      <w:pPr>
        <w:spacing w:before="156" w:beforeLines="50" w:after="156" w:afterLines="50" w:line="312" w:lineRule="auto"/>
        <w:rPr>
          <w:rFonts w:hint="eastAsia" w:ascii="黑体" w:hAnsi="宋体" w:eastAsia="黑体"/>
          <w:bCs/>
          <w:sz w:val="24"/>
        </w:rPr>
      </w:pPr>
      <w:r>
        <w:rPr>
          <w:rFonts w:hint="eastAsia" w:ascii="黑体" w:hAnsi="宋体" w:eastAsia="黑体"/>
          <w:bCs/>
          <w:sz w:val="24"/>
        </w:rPr>
        <w:t>九、贯彻标准的要求，以及组织措施、技术措施、过渡期和实施日期的建议等措施建议</w:t>
      </w:r>
    </w:p>
    <w:p w14:paraId="0DEF118A">
      <w:pPr>
        <w:spacing w:line="360" w:lineRule="auto"/>
        <w:ind w:firstLine="480" w:firstLineChars="200"/>
        <w:rPr>
          <w:szCs w:val="21"/>
        </w:rPr>
      </w:pPr>
      <w:r>
        <w:rPr>
          <w:rFonts w:hint="eastAsia"/>
          <w:sz w:val="24"/>
        </w:rPr>
        <w:t>发布后需要撰写宣贯推广材料，可以选择公众号、网站或其他方式进行宣贯推广。</w:t>
      </w:r>
    </w:p>
    <w:p w14:paraId="674810EE">
      <w:pPr>
        <w:spacing w:before="156" w:beforeLines="50" w:after="156" w:afterLines="50" w:line="312" w:lineRule="auto"/>
        <w:rPr>
          <w:rFonts w:hint="eastAsia" w:ascii="黑体" w:hAnsi="宋体" w:eastAsia="黑体"/>
          <w:bCs/>
          <w:sz w:val="24"/>
        </w:rPr>
      </w:pPr>
      <w:r>
        <w:rPr>
          <w:rFonts w:hint="eastAsia" w:ascii="黑体" w:hAnsi="宋体" w:eastAsia="黑体"/>
          <w:bCs/>
          <w:sz w:val="24"/>
        </w:rPr>
        <w:t>十、其他应当说明的事项</w:t>
      </w:r>
    </w:p>
    <w:p w14:paraId="339D68CD">
      <w:pPr>
        <w:spacing w:line="360" w:lineRule="auto"/>
        <w:ind w:firstLine="480" w:firstLineChars="200"/>
        <w:rPr>
          <w:sz w:val="24"/>
        </w:rPr>
      </w:pPr>
      <w:r>
        <w:rPr>
          <w:rFonts w:hint="eastAsia"/>
          <w:sz w:val="24"/>
        </w:rPr>
        <w:t>无。</w:t>
      </w:r>
    </w:p>
    <w:p w14:paraId="450D3FB2">
      <w:pPr>
        <w:spacing w:line="312" w:lineRule="auto"/>
        <w:rPr>
          <w:rFonts w:ascii="黑体" w:eastAsia="黑体"/>
          <w:sz w:val="24"/>
        </w:rPr>
      </w:pPr>
    </w:p>
    <w:p w14:paraId="49283840">
      <w:pPr>
        <w:spacing w:line="360" w:lineRule="auto"/>
        <w:ind w:firstLine="420" w:firstLineChars="200"/>
        <w:jc w:val="right"/>
        <w:rPr>
          <w:szCs w:val="21"/>
        </w:rPr>
      </w:pPr>
      <w:r>
        <w:rPr>
          <w:rFonts w:hint="eastAsia"/>
          <w:szCs w:val="21"/>
        </w:rPr>
        <w:t>《</w:t>
      </w:r>
      <w:r>
        <w:rPr>
          <w:rFonts w:hint="eastAsia"/>
          <w:szCs w:val="21"/>
          <w:lang w:val="en-US" w:eastAsia="zh-CN"/>
        </w:rPr>
        <w:t>闪烁晶体用高纯无水稀土溴化物</w:t>
      </w:r>
      <w:r>
        <w:rPr>
          <w:rFonts w:hint="eastAsia"/>
          <w:szCs w:val="21"/>
        </w:rPr>
        <w:t>》</w:t>
      </w:r>
      <w:r>
        <w:rPr>
          <w:rFonts w:hint="eastAsia"/>
        </w:rPr>
        <w:t>标准编制工作组</w:t>
      </w:r>
    </w:p>
    <w:p w14:paraId="2E649D6C">
      <w:pPr>
        <w:pStyle w:val="117"/>
        <w:spacing w:before="0" w:line="312" w:lineRule="auto"/>
        <w:ind w:left="5250" w:leftChars="2500" w:right="420" w:firstLine="1260" w:firstLineChars="600"/>
        <w:jc w:val="right"/>
        <w:rPr>
          <w:sz w:val="21"/>
          <w:szCs w:val="21"/>
        </w:rPr>
      </w:pPr>
      <w:r>
        <w:rPr>
          <w:rFonts w:hint="eastAsia"/>
          <w:sz w:val="21"/>
          <w:szCs w:val="21"/>
          <w:lang w:val="en-US" w:eastAsia="zh-CN"/>
        </w:rPr>
        <w:t>2024</w:t>
      </w:r>
      <w:r>
        <w:rPr>
          <w:sz w:val="21"/>
          <w:szCs w:val="21"/>
        </w:rPr>
        <w:t>年</w:t>
      </w:r>
      <w:r>
        <w:rPr>
          <w:rFonts w:hint="eastAsia"/>
          <w:sz w:val="21"/>
          <w:szCs w:val="21"/>
        </w:rPr>
        <w:t xml:space="preserve"> </w:t>
      </w:r>
      <w:r>
        <w:rPr>
          <w:rFonts w:hint="eastAsia"/>
          <w:sz w:val="21"/>
          <w:szCs w:val="21"/>
          <w:lang w:val="en-US" w:eastAsia="zh-CN"/>
        </w:rPr>
        <w:t>8</w:t>
      </w:r>
      <w:r>
        <w:rPr>
          <w:sz w:val="21"/>
          <w:szCs w:val="21"/>
        </w:rPr>
        <w:t>月</w:t>
      </w:r>
      <w:r>
        <w:rPr>
          <w:rFonts w:hint="eastAsia"/>
          <w:sz w:val="21"/>
          <w:szCs w:val="21"/>
        </w:rPr>
        <w:t xml:space="preserve"> </w:t>
      </w:r>
      <w:r>
        <w:rPr>
          <w:rFonts w:hint="eastAsia"/>
          <w:sz w:val="21"/>
          <w:szCs w:val="21"/>
          <w:lang w:val="en-US" w:eastAsia="zh-CN"/>
        </w:rPr>
        <w:t>28</w:t>
      </w:r>
      <w:r>
        <w:rPr>
          <w:sz w:val="21"/>
          <w:szCs w:val="21"/>
        </w:rPr>
        <w:t xml:space="preserve"> </w:t>
      </w:r>
      <w:r>
        <w:rPr>
          <w:rFonts w:hint="eastAsia"/>
          <w:sz w:val="21"/>
          <w:szCs w:val="21"/>
        </w:rPr>
        <w:t>日</w:t>
      </w:r>
    </w:p>
    <w:sectPr>
      <w:footerReference r:id="rId3"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7295">
    <w:pPr>
      <w:pStyle w:val="55"/>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71E1A"/>
    <w:multiLevelType w:val="singleLevel"/>
    <w:tmpl w:val="C6E71E1A"/>
    <w:lvl w:ilvl="0" w:tentative="0">
      <w:start w:val="2"/>
      <w:numFmt w:val="decimal"/>
      <w:suff w:val="nothing"/>
      <w:lvlText w:val="（%1）"/>
      <w:lvlJc w:val="left"/>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157431E0"/>
    <w:multiLevelType w:val="multilevel"/>
    <w:tmpl w:val="157431E0"/>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ZTg1N2Y1ZGExYTBiYjY3YjQ4OGMyODI1ZWUxZWYifQ=="/>
  </w:docVars>
  <w:rsids>
    <w:rsidRoot w:val="00B623AB"/>
    <w:rsid w:val="00000843"/>
    <w:rsid w:val="000046B0"/>
    <w:rsid w:val="00006A40"/>
    <w:rsid w:val="00010180"/>
    <w:rsid w:val="00012DB2"/>
    <w:rsid w:val="00013887"/>
    <w:rsid w:val="00014853"/>
    <w:rsid w:val="0002096F"/>
    <w:rsid w:val="00022382"/>
    <w:rsid w:val="00022FF0"/>
    <w:rsid w:val="0002359F"/>
    <w:rsid w:val="00024B42"/>
    <w:rsid w:val="00024D3B"/>
    <w:rsid w:val="00025D84"/>
    <w:rsid w:val="00026D78"/>
    <w:rsid w:val="00032195"/>
    <w:rsid w:val="000332A6"/>
    <w:rsid w:val="00033691"/>
    <w:rsid w:val="000340A9"/>
    <w:rsid w:val="00035035"/>
    <w:rsid w:val="00036C57"/>
    <w:rsid w:val="00041496"/>
    <w:rsid w:val="00044491"/>
    <w:rsid w:val="00046319"/>
    <w:rsid w:val="00046620"/>
    <w:rsid w:val="00047D95"/>
    <w:rsid w:val="00050085"/>
    <w:rsid w:val="00050948"/>
    <w:rsid w:val="0005146E"/>
    <w:rsid w:val="000526A0"/>
    <w:rsid w:val="0005350B"/>
    <w:rsid w:val="0005484E"/>
    <w:rsid w:val="00061D34"/>
    <w:rsid w:val="00061D46"/>
    <w:rsid w:val="00062070"/>
    <w:rsid w:val="0006432D"/>
    <w:rsid w:val="0006477B"/>
    <w:rsid w:val="000713B9"/>
    <w:rsid w:val="0007254D"/>
    <w:rsid w:val="00072756"/>
    <w:rsid w:val="00072CC5"/>
    <w:rsid w:val="00073C3A"/>
    <w:rsid w:val="000747A8"/>
    <w:rsid w:val="00075084"/>
    <w:rsid w:val="00076C45"/>
    <w:rsid w:val="00081A9E"/>
    <w:rsid w:val="00081DA4"/>
    <w:rsid w:val="00083A57"/>
    <w:rsid w:val="000842C3"/>
    <w:rsid w:val="00085404"/>
    <w:rsid w:val="00091BB7"/>
    <w:rsid w:val="00091DD9"/>
    <w:rsid w:val="00095722"/>
    <w:rsid w:val="000A0C8C"/>
    <w:rsid w:val="000A0CA9"/>
    <w:rsid w:val="000A180E"/>
    <w:rsid w:val="000A1CC0"/>
    <w:rsid w:val="000A1DCD"/>
    <w:rsid w:val="000A2986"/>
    <w:rsid w:val="000A54AC"/>
    <w:rsid w:val="000A569E"/>
    <w:rsid w:val="000A5CC2"/>
    <w:rsid w:val="000A7FF3"/>
    <w:rsid w:val="000B14A6"/>
    <w:rsid w:val="000B3127"/>
    <w:rsid w:val="000B605E"/>
    <w:rsid w:val="000C08C0"/>
    <w:rsid w:val="000C44B2"/>
    <w:rsid w:val="000C44E3"/>
    <w:rsid w:val="000C5C6D"/>
    <w:rsid w:val="000C7808"/>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2F9"/>
    <w:rsid w:val="000F3489"/>
    <w:rsid w:val="0010034F"/>
    <w:rsid w:val="00100D28"/>
    <w:rsid w:val="00100E6F"/>
    <w:rsid w:val="00101BCE"/>
    <w:rsid w:val="001056BB"/>
    <w:rsid w:val="001074F0"/>
    <w:rsid w:val="00110508"/>
    <w:rsid w:val="001115A6"/>
    <w:rsid w:val="00112CBC"/>
    <w:rsid w:val="001139D5"/>
    <w:rsid w:val="00113F5D"/>
    <w:rsid w:val="0011570F"/>
    <w:rsid w:val="00116D8F"/>
    <w:rsid w:val="00122903"/>
    <w:rsid w:val="001241A8"/>
    <w:rsid w:val="0012792A"/>
    <w:rsid w:val="001345DA"/>
    <w:rsid w:val="00134E2D"/>
    <w:rsid w:val="00135E64"/>
    <w:rsid w:val="00136064"/>
    <w:rsid w:val="00137D4C"/>
    <w:rsid w:val="001424D5"/>
    <w:rsid w:val="001438F6"/>
    <w:rsid w:val="0014628B"/>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770F7"/>
    <w:rsid w:val="00181F19"/>
    <w:rsid w:val="00182D22"/>
    <w:rsid w:val="00186DB8"/>
    <w:rsid w:val="00187FC9"/>
    <w:rsid w:val="0019163F"/>
    <w:rsid w:val="00192E96"/>
    <w:rsid w:val="00194EB2"/>
    <w:rsid w:val="001954DA"/>
    <w:rsid w:val="00196497"/>
    <w:rsid w:val="001A02DA"/>
    <w:rsid w:val="001A0910"/>
    <w:rsid w:val="001A1931"/>
    <w:rsid w:val="001A1A3D"/>
    <w:rsid w:val="001A287E"/>
    <w:rsid w:val="001A56C8"/>
    <w:rsid w:val="001A78A3"/>
    <w:rsid w:val="001A7F0B"/>
    <w:rsid w:val="001B24C8"/>
    <w:rsid w:val="001B3592"/>
    <w:rsid w:val="001B5781"/>
    <w:rsid w:val="001C113E"/>
    <w:rsid w:val="001C11B4"/>
    <w:rsid w:val="001C2754"/>
    <w:rsid w:val="001C35AF"/>
    <w:rsid w:val="001C47A8"/>
    <w:rsid w:val="001C4AB5"/>
    <w:rsid w:val="001C5722"/>
    <w:rsid w:val="001C5E29"/>
    <w:rsid w:val="001C6263"/>
    <w:rsid w:val="001D18F0"/>
    <w:rsid w:val="001D1A3E"/>
    <w:rsid w:val="001D200A"/>
    <w:rsid w:val="001D24F0"/>
    <w:rsid w:val="001D27F6"/>
    <w:rsid w:val="001D57BC"/>
    <w:rsid w:val="001D6080"/>
    <w:rsid w:val="001D783C"/>
    <w:rsid w:val="001D7A87"/>
    <w:rsid w:val="001E7268"/>
    <w:rsid w:val="001F4370"/>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5D0C"/>
    <w:rsid w:val="002261C7"/>
    <w:rsid w:val="00226891"/>
    <w:rsid w:val="002344C3"/>
    <w:rsid w:val="002367F4"/>
    <w:rsid w:val="00237934"/>
    <w:rsid w:val="002408F8"/>
    <w:rsid w:val="00240D65"/>
    <w:rsid w:val="002414FB"/>
    <w:rsid w:val="00242023"/>
    <w:rsid w:val="00242752"/>
    <w:rsid w:val="00242AAA"/>
    <w:rsid w:val="00243777"/>
    <w:rsid w:val="00245818"/>
    <w:rsid w:val="00245A31"/>
    <w:rsid w:val="0024636D"/>
    <w:rsid w:val="002464C4"/>
    <w:rsid w:val="002474F1"/>
    <w:rsid w:val="00252865"/>
    <w:rsid w:val="00252CB5"/>
    <w:rsid w:val="002569A0"/>
    <w:rsid w:val="00257050"/>
    <w:rsid w:val="00261B33"/>
    <w:rsid w:val="002634A5"/>
    <w:rsid w:val="00263B9F"/>
    <w:rsid w:val="00264880"/>
    <w:rsid w:val="002658D8"/>
    <w:rsid w:val="00265C4B"/>
    <w:rsid w:val="00270709"/>
    <w:rsid w:val="002707CF"/>
    <w:rsid w:val="00271256"/>
    <w:rsid w:val="002724F8"/>
    <w:rsid w:val="00273376"/>
    <w:rsid w:val="00275581"/>
    <w:rsid w:val="00276D32"/>
    <w:rsid w:val="00277B5B"/>
    <w:rsid w:val="00277FC2"/>
    <w:rsid w:val="00283872"/>
    <w:rsid w:val="002841A5"/>
    <w:rsid w:val="002842F4"/>
    <w:rsid w:val="00291D93"/>
    <w:rsid w:val="0029258B"/>
    <w:rsid w:val="00292C1B"/>
    <w:rsid w:val="002935AF"/>
    <w:rsid w:val="00293F55"/>
    <w:rsid w:val="00294B68"/>
    <w:rsid w:val="00295158"/>
    <w:rsid w:val="00295954"/>
    <w:rsid w:val="00296C10"/>
    <w:rsid w:val="00297A7C"/>
    <w:rsid w:val="002A086B"/>
    <w:rsid w:val="002A5D1B"/>
    <w:rsid w:val="002A6909"/>
    <w:rsid w:val="002A7884"/>
    <w:rsid w:val="002B10D8"/>
    <w:rsid w:val="002B1184"/>
    <w:rsid w:val="002B1448"/>
    <w:rsid w:val="002B1476"/>
    <w:rsid w:val="002B1CDE"/>
    <w:rsid w:val="002B1E00"/>
    <w:rsid w:val="002B1EB8"/>
    <w:rsid w:val="002B39F3"/>
    <w:rsid w:val="002B4539"/>
    <w:rsid w:val="002B6730"/>
    <w:rsid w:val="002B6D40"/>
    <w:rsid w:val="002B743A"/>
    <w:rsid w:val="002B7F73"/>
    <w:rsid w:val="002C2432"/>
    <w:rsid w:val="002C5386"/>
    <w:rsid w:val="002C6032"/>
    <w:rsid w:val="002C7564"/>
    <w:rsid w:val="002D4DC6"/>
    <w:rsid w:val="002D542A"/>
    <w:rsid w:val="002D7674"/>
    <w:rsid w:val="002E0737"/>
    <w:rsid w:val="002E1550"/>
    <w:rsid w:val="002E1898"/>
    <w:rsid w:val="002E5F1C"/>
    <w:rsid w:val="002F1734"/>
    <w:rsid w:val="002F27B9"/>
    <w:rsid w:val="002F3670"/>
    <w:rsid w:val="002F4FEE"/>
    <w:rsid w:val="003017C7"/>
    <w:rsid w:val="00302CA7"/>
    <w:rsid w:val="00305363"/>
    <w:rsid w:val="003058C5"/>
    <w:rsid w:val="003059DC"/>
    <w:rsid w:val="00305AB4"/>
    <w:rsid w:val="00306F45"/>
    <w:rsid w:val="003070AE"/>
    <w:rsid w:val="00311372"/>
    <w:rsid w:val="003149E0"/>
    <w:rsid w:val="003152A4"/>
    <w:rsid w:val="0031608B"/>
    <w:rsid w:val="00323A91"/>
    <w:rsid w:val="003245D6"/>
    <w:rsid w:val="00326117"/>
    <w:rsid w:val="00331DA0"/>
    <w:rsid w:val="003320EC"/>
    <w:rsid w:val="003336E8"/>
    <w:rsid w:val="00333F1C"/>
    <w:rsid w:val="003359DE"/>
    <w:rsid w:val="00335BF9"/>
    <w:rsid w:val="00336817"/>
    <w:rsid w:val="003371FA"/>
    <w:rsid w:val="00340092"/>
    <w:rsid w:val="003402ED"/>
    <w:rsid w:val="003406E3"/>
    <w:rsid w:val="003430B3"/>
    <w:rsid w:val="00343124"/>
    <w:rsid w:val="00352BC9"/>
    <w:rsid w:val="00356B4B"/>
    <w:rsid w:val="003639DC"/>
    <w:rsid w:val="00363C9B"/>
    <w:rsid w:val="00363FF5"/>
    <w:rsid w:val="00364128"/>
    <w:rsid w:val="00366C1C"/>
    <w:rsid w:val="0037060E"/>
    <w:rsid w:val="00370FF7"/>
    <w:rsid w:val="00371AA3"/>
    <w:rsid w:val="00372782"/>
    <w:rsid w:val="00373131"/>
    <w:rsid w:val="00376DAF"/>
    <w:rsid w:val="00376F19"/>
    <w:rsid w:val="00383889"/>
    <w:rsid w:val="00385C99"/>
    <w:rsid w:val="00386103"/>
    <w:rsid w:val="00386212"/>
    <w:rsid w:val="003918BA"/>
    <w:rsid w:val="003922C1"/>
    <w:rsid w:val="00392AC9"/>
    <w:rsid w:val="0039367A"/>
    <w:rsid w:val="003939C9"/>
    <w:rsid w:val="00395B19"/>
    <w:rsid w:val="0039640D"/>
    <w:rsid w:val="00397E32"/>
    <w:rsid w:val="003A1523"/>
    <w:rsid w:val="003A1FDB"/>
    <w:rsid w:val="003A32D4"/>
    <w:rsid w:val="003A4DF7"/>
    <w:rsid w:val="003A640C"/>
    <w:rsid w:val="003B2497"/>
    <w:rsid w:val="003B3203"/>
    <w:rsid w:val="003B4C78"/>
    <w:rsid w:val="003B65F5"/>
    <w:rsid w:val="003B789C"/>
    <w:rsid w:val="003B7E75"/>
    <w:rsid w:val="003B7F17"/>
    <w:rsid w:val="003C0B7C"/>
    <w:rsid w:val="003C0CDA"/>
    <w:rsid w:val="003C1F6D"/>
    <w:rsid w:val="003C25C6"/>
    <w:rsid w:val="003C492E"/>
    <w:rsid w:val="003C5392"/>
    <w:rsid w:val="003C5F0B"/>
    <w:rsid w:val="003C7814"/>
    <w:rsid w:val="003D6BA4"/>
    <w:rsid w:val="003D79E6"/>
    <w:rsid w:val="003D7F1D"/>
    <w:rsid w:val="003E0A25"/>
    <w:rsid w:val="003E1178"/>
    <w:rsid w:val="003E2665"/>
    <w:rsid w:val="003E47D4"/>
    <w:rsid w:val="003E4CEB"/>
    <w:rsid w:val="003E5574"/>
    <w:rsid w:val="003E7121"/>
    <w:rsid w:val="003F03FD"/>
    <w:rsid w:val="003F30D9"/>
    <w:rsid w:val="003F34E7"/>
    <w:rsid w:val="003F5178"/>
    <w:rsid w:val="003F60EB"/>
    <w:rsid w:val="003F67B0"/>
    <w:rsid w:val="0040007C"/>
    <w:rsid w:val="0040009E"/>
    <w:rsid w:val="00400ED1"/>
    <w:rsid w:val="0040148A"/>
    <w:rsid w:val="00402FE6"/>
    <w:rsid w:val="00404E31"/>
    <w:rsid w:val="004057F1"/>
    <w:rsid w:val="00405AFC"/>
    <w:rsid w:val="00411827"/>
    <w:rsid w:val="00415749"/>
    <w:rsid w:val="00416330"/>
    <w:rsid w:val="004169D7"/>
    <w:rsid w:val="00424F60"/>
    <w:rsid w:val="004306FA"/>
    <w:rsid w:val="0043072C"/>
    <w:rsid w:val="00432949"/>
    <w:rsid w:val="00433247"/>
    <w:rsid w:val="00435C45"/>
    <w:rsid w:val="00437F04"/>
    <w:rsid w:val="004425AD"/>
    <w:rsid w:val="0044631C"/>
    <w:rsid w:val="004468D7"/>
    <w:rsid w:val="0044747A"/>
    <w:rsid w:val="00451D1D"/>
    <w:rsid w:val="0045247E"/>
    <w:rsid w:val="00457F66"/>
    <w:rsid w:val="00462132"/>
    <w:rsid w:val="00462904"/>
    <w:rsid w:val="00465D91"/>
    <w:rsid w:val="004662C5"/>
    <w:rsid w:val="00471A2D"/>
    <w:rsid w:val="004804B2"/>
    <w:rsid w:val="00480F24"/>
    <w:rsid w:val="004814CC"/>
    <w:rsid w:val="00483671"/>
    <w:rsid w:val="004837ED"/>
    <w:rsid w:val="0048575A"/>
    <w:rsid w:val="00486081"/>
    <w:rsid w:val="00493E0A"/>
    <w:rsid w:val="0049424A"/>
    <w:rsid w:val="004961DA"/>
    <w:rsid w:val="00496ADE"/>
    <w:rsid w:val="004A28AA"/>
    <w:rsid w:val="004A2C5B"/>
    <w:rsid w:val="004A3A2A"/>
    <w:rsid w:val="004A513C"/>
    <w:rsid w:val="004B415A"/>
    <w:rsid w:val="004B41B0"/>
    <w:rsid w:val="004B5F05"/>
    <w:rsid w:val="004C090F"/>
    <w:rsid w:val="004C0C60"/>
    <w:rsid w:val="004C144D"/>
    <w:rsid w:val="004C63B3"/>
    <w:rsid w:val="004C6DE0"/>
    <w:rsid w:val="004D1285"/>
    <w:rsid w:val="004D2442"/>
    <w:rsid w:val="004D6DFA"/>
    <w:rsid w:val="004D7802"/>
    <w:rsid w:val="004D7BA0"/>
    <w:rsid w:val="004E282E"/>
    <w:rsid w:val="004E7AD9"/>
    <w:rsid w:val="004E7DC3"/>
    <w:rsid w:val="004F0AC8"/>
    <w:rsid w:val="004F1485"/>
    <w:rsid w:val="004F59CD"/>
    <w:rsid w:val="00503416"/>
    <w:rsid w:val="00503CC1"/>
    <w:rsid w:val="005041BD"/>
    <w:rsid w:val="00504C6F"/>
    <w:rsid w:val="00505AB2"/>
    <w:rsid w:val="0050616B"/>
    <w:rsid w:val="00510AE9"/>
    <w:rsid w:val="00511935"/>
    <w:rsid w:val="00511DB7"/>
    <w:rsid w:val="00512455"/>
    <w:rsid w:val="005139E1"/>
    <w:rsid w:val="00514BE8"/>
    <w:rsid w:val="00515853"/>
    <w:rsid w:val="0051585A"/>
    <w:rsid w:val="005164FF"/>
    <w:rsid w:val="00526898"/>
    <w:rsid w:val="005275AB"/>
    <w:rsid w:val="00534F8A"/>
    <w:rsid w:val="00535E44"/>
    <w:rsid w:val="00540267"/>
    <w:rsid w:val="005421E7"/>
    <w:rsid w:val="0054331E"/>
    <w:rsid w:val="00543D44"/>
    <w:rsid w:val="0054659E"/>
    <w:rsid w:val="005469A5"/>
    <w:rsid w:val="00546DF5"/>
    <w:rsid w:val="005475AF"/>
    <w:rsid w:val="00550CA0"/>
    <w:rsid w:val="00551151"/>
    <w:rsid w:val="0055122C"/>
    <w:rsid w:val="00553C5B"/>
    <w:rsid w:val="00554A02"/>
    <w:rsid w:val="00561BAB"/>
    <w:rsid w:val="0056535D"/>
    <w:rsid w:val="0056539D"/>
    <w:rsid w:val="005671B8"/>
    <w:rsid w:val="005675C7"/>
    <w:rsid w:val="00570BC3"/>
    <w:rsid w:val="005731B4"/>
    <w:rsid w:val="00573F64"/>
    <w:rsid w:val="005761B2"/>
    <w:rsid w:val="005812BF"/>
    <w:rsid w:val="00582060"/>
    <w:rsid w:val="0058298B"/>
    <w:rsid w:val="00584051"/>
    <w:rsid w:val="00584DCF"/>
    <w:rsid w:val="00587778"/>
    <w:rsid w:val="00587D84"/>
    <w:rsid w:val="0059018B"/>
    <w:rsid w:val="005901FE"/>
    <w:rsid w:val="00590DF2"/>
    <w:rsid w:val="00591B99"/>
    <w:rsid w:val="00592A0B"/>
    <w:rsid w:val="0059441F"/>
    <w:rsid w:val="00595C2D"/>
    <w:rsid w:val="00596F20"/>
    <w:rsid w:val="005A433E"/>
    <w:rsid w:val="005A6367"/>
    <w:rsid w:val="005A7FAD"/>
    <w:rsid w:val="005B07F8"/>
    <w:rsid w:val="005B16F8"/>
    <w:rsid w:val="005B2B1D"/>
    <w:rsid w:val="005B340F"/>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637B"/>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3007"/>
    <w:rsid w:val="00615CD1"/>
    <w:rsid w:val="006237B0"/>
    <w:rsid w:val="006264DE"/>
    <w:rsid w:val="00632305"/>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1D6C"/>
    <w:rsid w:val="006727AA"/>
    <w:rsid w:val="00673812"/>
    <w:rsid w:val="00673F33"/>
    <w:rsid w:val="006748C4"/>
    <w:rsid w:val="00674D40"/>
    <w:rsid w:val="00675AA1"/>
    <w:rsid w:val="006773F1"/>
    <w:rsid w:val="00677B56"/>
    <w:rsid w:val="006815E1"/>
    <w:rsid w:val="00681710"/>
    <w:rsid w:val="00682BB5"/>
    <w:rsid w:val="006846AC"/>
    <w:rsid w:val="00684C40"/>
    <w:rsid w:val="00685707"/>
    <w:rsid w:val="00686631"/>
    <w:rsid w:val="006870CA"/>
    <w:rsid w:val="006877FE"/>
    <w:rsid w:val="006905BF"/>
    <w:rsid w:val="006920D7"/>
    <w:rsid w:val="0069252E"/>
    <w:rsid w:val="0069286E"/>
    <w:rsid w:val="00696C74"/>
    <w:rsid w:val="00697CE8"/>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6F5BCE"/>
    <w:rsid w:val="006F6C77"/>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787A"/>
    <w:rsid w:val="007415D6"/>
    <w:rsid w:val="007436BB"/>
    <w:rsid w:val="00745573"/>
    <w:rsid w:val="00745D4F"/>
    <w:rsid w:val="00746EF3"/>
    <w:rsid w:val="00747E57"/>
    <w:rsid w:val="00750CFC"/>
    <w:rsid w:val="00752374"/>
    <w:rsid w:val="00752ACC"/>
    <w:rsid w:val="00752FB4"/>
    <w:rsid w:val="00754E21"/>
    <w:rsid w:val="00755B27"/>
    <w:rsid w:val="007621D8"/>
    <w:rsid w:val="00764446"/>
    <w:rsid w:val="007654A1"/>
    <w:rsid w:val="007661BF"/>
    <w:rsid w:val="00766258"/>
    <w:rsid w:val="00766B68"/>
    <w:rsid w:val="00771198"/>
    <w:rsid w:val="00772149"/>
    <w:rsid w:val="00772C3A"/>
    <w:rsid w:val="0077459D"/>
    <w:rsid w:val="00781499"/>
    <w:rsid w:val="0078372D"/>
    <w:rsid w:val="0078634D"/>
    <w:rsid w:val="00790EBF"/>
    <w:rsid w:val="007931D5"/>
    <w:rsid w:val="007967ED"/>
    <w:rsid w:val="00796FFE"/>
    <w:rsid w:val="007A16E2"/>
    <w:rsid w:val="007A1934"/>
    <w:rsid w:val="007A3FC1"/>
    <w:rsid w:val="007A7D54"/>
    <w:rsid w:val="007B1B7D"/>
    <w:rsid w:val="007B29F0"/>
    <w:rsid w:val="007B5DB0"/>
    <w:rsid w:val="007B688D"/>
    <w:rsid w:val="007B74F4"/>
    <w:rsid w:val="007B7D0F"/>
    <w:rsid w:val="007C2A43"/>
    <w:rsid w:val="007C35DE"/>
    <w:rsid w:val="007C3DD1"/>
    <w:rsid w:val="007C44E1"/>
    <w:rsid w:val="007C5B98"/>
    <w:rsid w:val="007C5E4E"/>
    <w:rsid w:val="007D201C"/>
    <w:rsid w:val="007D27BC"/>
    <w:rsid w:val="007D3170"/>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43CF"/>
    <w:rsid w:val="008130E4"/>
    <w:rsid w:val="008148E9"/>
    <w:rsid w:val="00815B0F"/>
    <w:rsid w:val="0082271E"/>
    <w:rsid w:val="00822777"/>
    <w:rsid w:val="00822FFF"/>
    <w:rsid w:val="008237DA"/>
    <w:rsid w:val="00825D21"/>
    <w:rsid w:val="008260E1"/>
    <w:rsid w:val="0082615F"/>
    <w:rsid w:val="00826C6B"/>
    <w:rsid w:val="0083190B"/>
    <w:rsid w:val="00831DFF"/>
    <w:rsid w:val="00832B3D"/>
    <w:rsid w:val="00835BDA"/>
    <w:rsid w:val="00842D20"/>
    <w:rsid w:val="00842FB8"/>
    <w:rsid w:val="008459EE"/>
    <w:rsid w:val="0084647D"/>
    <w:rsid w:val="00847FD9"/>
    <w:rsid w:val="00854297"/>
    <w:rsid w:val="00854C07"/>
    <w:rsid w:val="0086177D"/>
    <w:rsid w:val="00862280"/>
    <w:rsid w:val="008629F1"/>
    <w:rsid w:val="00872C9E"/>
    <w:rsid w:val="00873AC3"/>
    <w:rsid w:val="008774AA"/>
    <w:rsid w:val="00880BF7"/>
    <w:rsid w:val="00880F82"/>
    <w:rsid w:val="00881B81"/>
    <w:rsid w:val="008840BA"/>
    <w:rsid w:val="0088659E"/>
    <w:rsid w:val="008A3569"/>
    <w:rsid w:val="008A3C8F"/>
    <w:rsid w:val="008A3FF9"/>
    <w:rsid w:val="008A4E27"/>
    <w:rsid w:val="008B105E"/>
    <w:rsid w:val="008B51B2"/>
    <w:rsid w:val="008B6805"/>
    <w:rsid w:val="008C306D"/>
    <w:rsid w:val="008C513A"/>
    <w:rsid w:val="008C5E1E"/>
    <w:rsid w:val="008C6A2D"/>
    <w:rsid w:val="008C73F2"/>
    <w:rsid w:val="008C754F"/>
    <w:rsid w:val="008C7D9B"/>
    <w:rsid w:val="008D2104"/>
    <w:rsid w:val="008D3F5C"/>
    <w:rsid w:val="008D4991"/>
    <w:rsid w:val="008E1C30"/>
    <w:rsid w:val="008E22B8"/>
    <w:rsid w:val="008E2B02"/>
    <w:rsid w:val="008E2C62"/>
    <w:rsid w:val="008E340B"/>
    <w:rsid w:val="008E3E70"/>
    <w:rsid w:val="008F2540"/>
    <w:rsid w:val="008F2BBB"/>
    <w:rsid w:val="008F4D39"/>
    <w:rsid w:val="008F56A9"/>
    <w:rsid w:val="008F58FF"/>
    <w:rsid w:val="008F5C0C"/>
    <w:rsid w:val="00907A92"/>
    <w:rsid w:val="00911458"/>
    <w:rsid w:val="009118E6"/>
    <w:rsid w:val="00914B60"/>
    <w:rsid w:val="0091772E"/>
    <w:rsid w:val="00920149"/>
    <w:rsid w:val="0092194B"/>
    <w:rsid w:val="009227CD"/>
    <w:rsid w:val="009254EF"/>
    <w:rsid w:val="009256A5"/>
    <w:rsid w:val="00927C5A"/>
    <w:rsid w:val="009322D7"/>
    <w:rsid w:val="009324A6"/>
    <w:rsid w:val="00932EAA"/>
    <w:rsid w:val="00937C2A"/>
    <w:rsid w:val="0094536C"/>
    <w:rsid w:val="00945C50"/>
    <w:rsid w:val="009507EE"/>
    <w:rsid w:val="009514E6"/>
    <w:rsid w:val="00952E60"/>
    <w:rsid w:val="0095338D"/>
    <w:rsid w:val="00953D99"/>
    <w:rsid w:val="00954F1C"/>
    <w:rsid w:val="00955412"/>
    <w:rsid w:val="00955795"/>
    <w:rsid w:val="009579E5"/>
    <w:rsid w:val="00957CCE"/>
    <w:rsid w:val="0096152F"/>
    <w:rsid w:val="0096234C"/>
    <w:rsid w:val="00963674"/>
    <w:rsid w:val="00964A13"/>
    <w:rsid w:val="009660B1"/>
    <w:rsid w:val="009660F9"/>
    <w:rsid w:val="009720A6"/>
    <w:rsid w:val="00974F87"/>
    <w:rsid w:val="00977009"/>
    <w:rsid w:val="00977426"/>
    <w:rsid w:val="00977B7F"/>
    <w:rsid w:val="0098380E"/>
    <w:rsid w:val="00983DA9"/>
    <w:rsid w:val="00984BB9"/>
    <w:rsid w:val="009855CE"/>
    <w:rsid w:val="009855F9"/>
    <w:rsid w:val="00985D50"/>
    <w:rsid w:val="00987010"/>
    <w:rsid w:val="00990368"/>
    <w:rsid w:val="00990D94"/>
    <w:rsid w:val="00991880"/>
    <w:rsid w:val="009938AE"/>
    <w:rsid w:val="00996ADD"/>
    <w:rsid w:val="00997FEF"/>
    <w:rsid w:val="009A06F2"/>
    <w:rsid w:val="009A2C15"/>
    <w:rsid w:val="009A48B0"/>
    <w:rsid w:val="009A4DE2"/>
    <w:rsid w:val="009B2597"/>
    <w:rsid w:val="009B2744"/>
    <w:rsid w:val="009B79AC"/>
    <w:rsid w:val="009C2665"/>
    <w:rsid w:val="009C2CC3"/>
    <w:rsid w:val="009C5117"/>
    <w:rsid w:val="009C76E1"/>
    <w:rsid w:val="009D2729"/>
    <w:rsid w:val="009D7D73"/>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0107"/>
    <w:rsid w:val="00A248DD"/>
    <w:rsid w:val="00A25709"/>
    <w:rsid w:val="00A267A6"/>
    <w:rsid w:val="00A27A5C"/>
    <w:rsid w:val="00A31303"/>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6CCD"/>
    <w:rsid w:val="00A600BB"/>
    <w:rsid w:val="00A60FC6"/>
    <w:rsid w:val="00A61069"/>
    <w:rsid w:val="00A6172F"/>
    <w:rsid w:val="00A62258"/>
    <w:rsid w:val="00A62D3A"/>
    <w:rsid w:val="00A66175"/>
    <w:rsid w:val="00A70DB7"/>
    <w:rsid w:val="00A72A11"/>
    <w:rsid w:val="00A73569"/>
    <w:rsid w:val="00A73B25"/>
    <w:rsid w:val="00A76449"/>
    <w:rsid w:val="00A77438"/>
    <w:rsid w:val="00A7773A"/>
    <w:rsid w:val="00A77C1A"/>
    <w:rsid w:val="00A8120B"/>
    <w:rsid w:val="00A818D3"/>
    <w:rsid w:val="00A82995"/>
    <w:rsid w:val="00A82F63"/>
    <w:rsid w:val="00A834B6"/>
    <w:rsid w:val="00A847A8"/>
    <w:rsid w:val="00A84C6B"/>
    <w:rsid w:val="00A8711B"/>
    <w:rsid w:val="00A976FA"/>
    <w:rsid w:val="00A97C9F"/>
    <w:rsid w:val="00AA2645"/>
    <w:rsid w:val="00AA265A"/>
    <w:rsid w:val="00AA540B"/>
    <w:rsid w:val="00AB04D8"/>
    <w:rsid w:val="00AB07C9"/>
    <w:rsid w:val="00AB0D20"/>
    <w:rsid w:val="00AB10A7"/>
    <w:rsid w:val="00AB171A"/>
    <w:rsid w:val="00AB3133"/>
    <w:rsid w:val="00AB640E"/>
    <w:rsid w:val="00AC1627"/>
    <w:rsid w:val="00AC20AF"/>
    <w:rsid w:val="00AC355C"/>
    <w:rsid w:val="00AC475D"/>
    <w:rsid w:val="00AC5876"/>
    <w:rsid w:val="00AC5F01"/>
    <w:rsid w:val="00AD0DDB"/>
    <w:rsid w:val="00AD2E9B"/>
    <w:rsid w:val="00AD33C0"/>
    <w:rsid w:val="00AD44EC"/>
    <w:rsid w:val="00AD5C61"/>
    <w:rsid w:val="00AD7A38"/>
    <w:rsid w:val="00AD7DDD"/>
    <w:rsid w:val="00AE1106"/>
    <w:rsid w:val="00AE24F5"/>
    <w:rsid w:val="00AE3993"/>
    <w:rsid w:val="00AE3DD5"/>
    <w:rsid w:val="00AE7126"/>
    <w:rsid w:val="00AE723E"/>
    <w:rsid w:val="00AE728B"/>
    <w:rsid w:val="00AE752B"/>
    <w:rsid w:val="00AF4851"/>
    <w:rsid w:val="00AF573E"/>
    <w:rsid w:val="00AF6243"/>
    <w:rsid w:val="00B01873"/>
    <w:rsid w:val="00B01E95"/>
    <w:rsid w:val="00B02981"/>
    <w:rsid w:val="00B02AD7"/>
    <w:rsid w:val="00B072E8"/>
    <w:rsid w:val="00B13F4A"/>
    <w:rsid w:val="00B14E54"/>
    <w:rsid w:val="00B1517C"/>
    <w:rsid w:val="00B154A8"/>
    <w:rsid w:val="00B212D4"/>
    <w:rsid w:val="00B220F1"/>
    <w:rsid w:val="00B22A98"/>
    <w:rsid w:val="00B251A5"/>
    <w:rsid w:val="00B25B50"/>
    <w:rsid w:val="00B2693C"/>
    <w:rsid w:val="00B269C0"/>
    <w:rsid w:val="00B2769A"/>
    <w:rsid w:val="00B27EB5"/>
    <w:rsid w:val="00B3119E"/>
    <w:rsid w:val="00B33660"/>
    <w:rsid w:val="00B3625D"/>
    <w:rsid w:val="00B36291"/>
    <w:rsid w:val="00B3732C"/>
    <w:rsid w:val="00B37472"/>
    <w:rsid w:val="00B40C88"/>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292C"/>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30EF"/>
    <w:rsid w:val="00BB4A8F"/>
    <w:rsid w:val="00BB6830"/>
    <w:rsid w:val="00BB7322"/>
    <w:rsid w:val="00BC09A7"/>
    <w:rsid w:val="00BC1EBE"/>
    <w:rsid w:val="00BC677B"/>
    <w:rsid w:val="00BC7247"/>
    <w:rsid w:val="00BC7A3E"/>
    <w:rsid w:val="00BC7AD2"/>
    <w:rsid w:val="00BD1292"/>
    <w:rsid w:val="00BD3E12"/>
    <w:rsid w:val="00BD7B69"/>
    <w:rsid w:val="00BE07C9"/>
    <w:rsid w:val="00BE7122"/>
    <w:rsid w:val="00BF013A"/>
    <w:rsid w:val="00BF1244"/>
    <w:rsid w:val="00BF592D"/>
    <w:rsid w:val="00BF6444"/>
    <w:rsid w:val="00BF75A5"/>
    <w:rsid w:val="00C01788"/>
    <w:rsid w:val="00C02390"/>
    <w:rsid w:val="00C027EA"/>
    <w:rsid w:val="00C1097A"/>
    <w:rsid w:val="00C13B4D"/>
    <w:rsid w:val="00C15AC4"/>
    <w:rsid w:val="00C16FCF"/>
    <w:rsid w:val="00C17870"/>
    <w:rsid w:val="00C17DCE"/>
    <w:rsid w:val="00C21113"/>
    <w:rsid w:val="00C22C6B"/>
    <w:rsid w:val="00C24CA2"/>
    <w:rsid w:val="00C27544"/>
    <w:rsid w:val="00C2763A"/>
    <w:rsid w:val="00C317D1"/>
    <w:rsid w:val="00C32990"/>
    <w:rsid w:val="00C33B55"/>
    <w:rsid w:val="00C35A0F"/>
    <w:rsid w:val="00C35D4C"/>
    <w:rsid w:val="00C40DAE"/>
    <w:rsid w:val="00C417FC"/>
    <w:rsid w:val="00C5225B"/>
    <w:rsid w:val="00C5372F"/>
    <w:rsid w:val="00C563D2"/>
    <w:rsid w:val="00C57F39"/>
    <w:rsid w:val="00C62684"/>
    <w:rsid w:val="00C63201"/>
    <w:rsid w:val="00C659BF"/>
    <w:rsid w:val="00C65B29"/>
    <w:rsid w:val="00C66710"/>
    <w:rsid w:val="00C7010E"/>
    <w:rsid w:val="00C76442"/>
    <w:rsid w:val="00C76B98"/>
    <w:rsid w:val="00C831AB"/>
    <w:rsid w:val="00C85A32"/>
    <w:rsid w:val="00C86AA6"/>
    <w:rsid w:val="00C915A4"/>
    <w:rsid w:val="00C91E10"/>
    <w:rsid w:val="00C92209"/>
    <w:rsid w:val="00C96A7D"/>
    <w:rsid w:val="00CA0C05"/>
    <w:rsid w:val="00CA283F"/>
    <w:rsid w:val="00CA383D"/>
    <w:rsid w:val="00CA3E13"/>
    <w:rsid w:val="00CA454A"/>
    <w:rsid w:val="00CB10E8"/>
    <w:rsid w:val="00CB1633"/>
    <w:rsid w:val="00CB39F2"/>
    <w:rsid w:val="00CB3E68"/>
    <w:rsid w:val="00CB6673"/>
    <w:rsid w:val="00CB6D97"/>
    <w:rsid w:val="00CB7BE6"/>
    <w:rsid w:val="00CC4EA7"/>
    <w:rsid w:val="00CC57B8"/>
    <w:rsid w:val="00CC731D"/>
    <w:rsid w:val="00CC7D45"/>
    <w:rsid w:val="00CD1681"/>
    <w:rsid w:val="00CD25A3"/>
    <w:rsid w:val="00CD473E"/>
    <w:rsid w:val="00CD479F"/>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32E3"/>
    <w:rsid w:val="00CF423F"/>
    <w:rsid w:val="00CF66E5"/>
    <w:rsid w:val="00D00049"/>
    <w:rsid w:val="00D0344B"/>
    <w:rsid w:val="00D052FF"/>
    <w:rsid w:val="00D053A8"/>
    <w:rsid w:val="00D05572"/>
    <w:rsid w:val="00D059BD"/>
    <w:rsid w:val="00D10123"/>
    <w:rsid w:val="00D12858"/>
    <w:rsid w:val="00D1465C"/>
    <w:rsid w:val="00D14B3A"/>
    <w:rsid w:val="00D23C7C"/>
    <w:rsid w:val="00D2514B"/>
    <w:rsid w:val="00D25FCD"/>
    <w:rsid w:val="00D266BF"/>
    <w:rsid w:val="00D27ADE"/>
    <w:rsid w:val="00D31C8B"/>
    <w:rsid w:val="00D3251C"/>
    <w:rsid w:val="00D3293E"/>
    <w:rsid w:val="00D358A0"/>
    <w:rsid w:val="00D364E8"/>
    <w:rsid w:val="00D376A4"/>
    <w:rsid w:val="00D37E79"/>
    <w:rsid w:val="00D40031"/>
    <w:rsid w:val="00D45373"/>
    <w:rsid w:val="00D46973"/>
    <w:rsid w:val="00D521B3"/>
    <w:rsid w:val="00D537C1"/>
    <w:rsid w:val="00D56730"/>
    <w:rsid w:val="00D5684E"/>
    <w:rsid w:val="00D60CF1"/>
    <w:rsid w:val="00D61C50"/>
    <w:rsid w:val="00D61D4E"/>
    <w:rsid w:val="00D627A0"/>
    <w:rsid w:val="00D62BBB"/>
    <w:rsid w:val="00D63D6E"/>
    <w:rsid w:val="00D64543"/>
    <w:rsid w:val="00D65801"/>
    <w:rsid w:val="00D66FE0"/>
    <w:rsid w:val="00D67E36"/>
    <w:rsid w:val="00D71BE4"/>
    <w:rsid w:val="00D768FE"/>
    <w:rsid w:val="00D77C0E"/>
    <w:rsid w:val="00D812CF"/>
    <w:rsid w:val="00D81811"/>
    <w:rsid w:val="00D81A5C"/>
    <w:rsid w:val="00D90C73"/>
    <w:rsid w:val="00D91930"/>
    <w:rsid w:val="00D92B70"/>
    <w:rsid w:val="00D931AE"/>
    <w:rsid w:val="00D9464C"/>
    <w:rsid w:val="00D96002"/>
    <w:rsid w:val="00D97683"/>
    <w:rsid w:val="00D979B0"/>
    <w:rsid w:val="00DA0101"/>
    <w:rsid w:val="00DA0918"/>
    <w:rsid w:val="00DA2967"/>
    <w:rsid w:val="00DA43A9"/>
    <w:rsid w:val="00DA4676"/>
    <w:rsid w:val="00DA582E"/>
    <w:rsid w:val="00DB5A16"/>
    <w:rsid w:val="00DB5C63"/>
    <w:rsid w:val="00DC60EE"/>
    <w:rsid w:val="00DD2E25"/>
    <w:rsid w:val="00DD33FA"/>
    <w:rsid w:val="00DD3BAF"/>
    <w:rsid w:val="00DD6D4E"/>
    <w:rsid w:val="00DD70C1"/>
    <w:rsid w:val="00DE2A89"/>
    <w:rsid w:val="00DE2AFA"/>
    <w:rsid w:val="00DE33AF"/>
    <w:rsid w:val="00DE4206"/>
    <w:rsid w:val="00DE5B96"/>
    <w:rsid w:val="00DE5FE5"/>
    <w:rsid w:val="00DE68A7"/>
    <w:rsid w:val="00DE6BD9"/>
    <w:rsid w:val="00DF4E97"/>
    <w:rsid w:val="00E01E44"/>
    <w:rsid w:val="00E02A78"/>
    <w:rsid w:val="00E02FC9"/>
    <w:rsid w:val="00E0461D"/>
    <w:rsid w:val="00E06F2D"/>
    <w:rsid w:val="00E16860"/>
    <w:rsid w:val="00E16B6F"/>
    <w:rsid w:val="00E172AB"/>
    <w:rsid w:val="00E17AC3"/>
    <w:rsid w:val="00E203A5"/>
    <w:rsid w:val="00E20C9D"/>
    <w:rsid w:val="00E22DE0"/>
    <w:rsid w:val="00E23BDD"/>
    <w:rsid w:val="00E23F95"/>
    <w:rsid w:val="00E24DCD"/>
    <w:rsid w:val="00E27E4C"/>
    <w:rsid w:val="00E3074A"/>
    <w:rsid w:val="00E33610"/>
    <w:rsid w:val="00E338F5"/>
    <w:rsid w:val="00E340A6"/>
    <w:rsid w:val="00E344A8"/>
    <w:rsid w:val="00E345D5"/>
    <w:rsid w:val="00E36E30"/>
    <w:rsid w:val="00E45521"/>
    <w:rsid w:val="00E50610"/>
    <w:rsid w:val="00E50944"/>
    <w:rsid w:val="00E51658"/>
    <w:rsid w:val="00E51966"/>
    <w:rsid w:val="00E52C95"/>
    <w:rsid w:val="00E55128"/>
    <w:rsid w:val="00E5542E"/>
    <w:rsid w:val="00E60000"/>
    <w:rsid w:val="00E62774"/>
    <w:rsid w:val="00E64D09"/>
    <w:rsid w:val="00E669AD"/>
    <w:rsid w:val="00E73FAC"/>
    <w:rsid w:val="00E75019"/>
    <w:rsid w:val="00E76EF5"/>
    <w:rsid w:val="00E861EA"/>
    <w:rsid w:val="00E928CC"/>
    <w:rsid w:val="00E966A3"/>
    <w:rsid w:val="00E97A93"/>
    <w:rsid w:val="00EA2C6B"/>
    <w:rsid w:val="00EA3F4A"/>
    <w:rsid w:val="00EA4584"/>
    <w:rsid w:val="00EA545B"/>
    <w:rsid w:val="00EA5E1E"/>
    <w:rsid w:val="00EA7123"/>
    <w:rsid w:val="00EB4EEB"/>
    <w:rsid w:val="00EB5D51"/>
    <w:rsid w:val="00EB60D2"/>
    <w:rsid w:val="00EB635C"/>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1BC9"/>
    <w:rsid w:val="00F1212E"/>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2415"/>
    <w:rsid w:val="00F34739"/>
    <w:rsid w:val="00F35194"/>
    <w:rsid w:val="00F355C3"/>
    <w:rsid w:val="00F35782"/>
    <w:rsid w:val="00F37DE2"/>
    <w:rsid w:val="00F40404"/>
    <w:rsid w:val="00F41187"/>
    <w:rsid w:val="00F416AD"/>
    <w:rsid w:val="00F468E5"/>
    <w:rsid w:val="00F46975"/>
    <w:rsid w:val="00F46BF3"/>
    <w:rsid w:val="00F5004E"/>
    <w:rsid w:val="00F503DE"/>
    <w:rsid w:val="00F51D56"/>
    <w:rsid w:val="00F525E0"/>
    <w:rsid w:val="00F5492A"/>
    <w:rsid w:val="00F56A99"/>
    <w:rsid w:val="00F57066"/>
    <w:rsid w:val="00F57F6E"/>
    <w:rsid w:val="00F63C66"/>
    <w:rsid w:val="00F63F99"/>
    <w:rsid w:val="00F64BF1"/>
    <w:rsid w:val="00F65E63"/>
    <w:rsid w:val="00F66868"/>
    <w:rsid w:val="00F672FB"/>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0402"/>
    <w:rsid w:val="00FB3C87"/>
    <w:rsid w:val="00FB57B9"/>
    <w:rsid w:val="00FB5882"/>
    <w:rsid w:val="00FB5D6B"/>
    <w:rsid w:val="00FB7CDE"/>
    <w:rsid w:val="00FC1558"/>
    <w:rsid w:val="00FC4C72"/>
    <w:rsid w:val="00FC4E6F"/>
    <w:rsid w:val="00FD01B2"/>
    <w:rsid w:val="00FD0A8D"/>
    <w:rsid w:val="00FD1EA7"/>
    <w:rsid w:val="00FD27A1"/>
    <w:rsid w:val="00FD684E"/>
    <w:rsid w:val="00FE2243"/>
    <w:rsid w:val="00FE32DA"/>
    <w:rsid w:val="00FE33BB"/>
    <w:rsid w:val="00FE3922"/>
    <w:rsid w:val="00FE572D"/>
    <w:rsid w:val="00FE6B87"/>
    <w:rsid w:val="00FE7DF6"/>
    <w:rsid w:val="00FF2309"/>
    <w:rsid w:val="00FF595B"/>
    <w:rsid w:val="00FF6D53"/>
    <w:rsid w:val="00FF7B8D"/>
    <w:rsid w:val="0159126E"/>
    <w:rsid w:val="01D678F7"/>
    <w:rsid w:val="029307AF"/>
    <w:rsid w:val="03577B23"/>
    <w:rsid w:val="05381B24"/>
    <w:rsid w:val="0B116715"/>
    <w:rsid w:val="0F3A6943"/>
    <w:rsid w:val="101C0036"/>
    <w:rsid w:val="11C75F80"/>
    <w:rsid w:val="195335C5"/>
    <w:rsid w:val="1EF20EC1"/>
    <w:rsid w:val="1F2B3DF2"/>
    <w:rsid w:val="1F617A64"/>
    <w:rsid w:val="1F884258"/>
    <w:rsid w:val="1FB84608"/>
    <w:rsid w:val="20260329"/>
    <w:rsid w:val="272C2997"/>
    <w:rsid w:val="27F4501D"/>
    <w:rsid w:val="2FB4573E"/>
    <w:rsid w:val="326C4480"/>
    <w:rsid w:val="32F60766"/>
    <w:rsid w:val="34EB79D4"/>
    <w:rsid w:val="36FC0066"/>
    <w:rsid w:val="3B6B7938"/>
    <w:rsid w:val="3E012A32"/>
    <w:rsid w:val="44F81687"/>
    <w:rsid w:val="493823F6"/>
    <w:rsid w:val="4B8B4F59"/>
    <w:rsid w:val="4C787046"/>
    <w:rsid w:val="4CA0721A"/>
    <w:rsid w:val="4E946E98"/>
    <w:rsid w:val="4F921E4E"/>
    <w:rsid w:val="51785CC0"/>
    <w:rsid w:val="52B94C95"/>
    <w:rsid w:val="5391176E"/>
    <w:rsid w:val="548F1092"/>
    <w:rsid w:val="55833198"/>
    <w:rsid w:val="630A0FDD"/>
    <w:rsid w:val="6E4B434F"/>
    <w:rsid w:val="707748C2"/>
    <w:rsid w:val="719D6674"/>
    <w:rsid w:val="71FC3A2A"/>
    <w:rsid w:val="73E21E46"/>
    <w:rsid w:val="7B5805EA"/>
    <w:rsid w:val="7BEF597D"/>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autoRedefine/>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autoRedefine/>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autoRedefine/>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autoRedefine/>
    <w:qFormat/>
    <w:uiPriority w:val="0"/>
    <w:pPr>
      <w:tabs>
        <w:tab w:val="left" w:pos="480"/>
        <w:tab w:val="left" w:pos="1200"/>
      </w:tabs>
      <w:ind w:left="480" w:hanging="480"/>
    </w:pPr>
  </w:style>
  <w:style w:type="paragraph" w:styleId="34">
    <w:name w:val="Body Text"/>
    <w:basedOn w:val="1"/>
    <w:link w:val="155"/>
    <w:autoRedefine/>
    <w:qFormat/>
    <w:uiPriority w:val="0"/>
    <w:pPr>
      <w:spacing w:after="120"/>
    </w:pPr>
  </w:style>
  <w:style w:type="paragraph" w:styleId="35">
    <w:name w:val="Body Text Indent"/>
    <w:basedOn w:val="1"/>
    <w:link w:val="157"/>
    <w:autoRedefine/>
    <w:qFormat/>
    <w:uiPriority w:val="0"/>
    <w:pPr>
      <w:spacing w:after="120"/>
      <w:ind w:left="420" w:leftChars="200"/>
    </w:pPr>
  </w:style>
  <w:style w:type="paragraph" w:styleId="36">
    <w:name w:val="List Number 3"/>
    <w:basedOn w:val="1"/>
    <w:autoRedefine/>
    <w:qFormat/>
    <w:uiPriority w:val="0"/>
    <w:pPr>
      <w:tabs>
        <w:tab w:val="left" w:pos="360"/>
        <w:tab w:val="left" w:pos="1200"/>
      </w:tabs>
      <w:ind w:left="360" w:hanging="360"/>
    </w:pPr>
  </w:style>
  <w:style w:type="paragraph" w:styleId="37">
    <w:name w:val="List 2"/>
    <w:basedOn w:val="1"/>
    <w:autoRedefine/>
    <w:qFormat/>
    <w:uiPriority w:val="0"/>
    <w:pPr>
      <w:ind w:left="100" w:leftChars="200" w:hanging="200" w:hangingChars="200"/>
      <w:contextualSpacing/>
    </w:pPr>
  </w:style>
  <w:style w:type="paragraph" w:styleId="38">
    <w:name w:val="List Continue"/>
    <w:basedOn w:val="1"/>
    <w:autoRedefine/>
    <w:qFormat/>
    <w:uiPriority w:val="0"/>
    <w:pPr>
      <w:spacing w:after="120"/>
      <w:ind w:left="420" w:leftChars="200"/>
    </w:pPr>
  </w:style>
  <w:style w:type="paragraph" w:styleId="39">
    <w:name w:val="Block Text"/>
    <w:basedOn w:val="1"/>
    <w:autoRedefine/>
    <w:qFormat/>
    <w:uiPriority w:val="0"/>
    <w:pPr>
      <w:spacing w:after="120"/>
      <w:ind w:left="1440" w:leftChars="700" w:right="1440" w:rightChars="700"/>
    </w:pPr>
  </w:style>
  <w:style w:type="paragraph" w:styleId="40">
    <w:name w:val="List Bullet 2"/>
    <w:basedOn w:val="1"/>
    <w:autoRedefine/>
    <w:qFormat/>
    <w:uiPriority w:val="0"/>
    <w:pPr>
      <w:tabs>
        <w:tab w:val="left" w:pos="720"/>
        <w:tab w:val="left" w:pos="780"/>
      </w:tabs>
      <w:ind w:left="720" w:hanging="360"/>
    </w:pPr>
  </w:style>
  <w:style w:type="paragraph" w:styleId="41">
    <w:name w:val="HTML Address"/>
    <w:basedOn w:val="1"/>
    <w:link w:val="161"/>
    <w:autoRedefine/>
    <w:qFormat/>
    <w:uiPriority w:val="0"/>
    <w:rPr>
      <w:i/>
      <w:iCs/>
    </w:rPr>
  </w:style>
  <w:style w:type="paragraph" w:styleId="42">
    <w:name w:val="index 4"/>
    <w:basedOn w:val="1"/>
    <w:next w:val="1"/>
    <w:autoRedefine/>
    <w:qFormat/>
    <w:uiPriority w:val="0"/>
    <w:pPr>
      <w:ind w:left="600" w:leftChars="600"/>
    </w:pPr>
  </w:style>
  <w:style w:type="paragraph" w:styleId="43">
    <w:name w:val="toc 5"/>
    <w:basedOn w:val="1"/>
    <w:next w:val="1"/>
    <w:autoRedefine/>
    <w:qFormat/>
    <w:uiPriority w:val="0"/>
    <w:pPr>
      <w:ind w:left="1680" w:leftChars="800"/>
    </w:pPr>
  </w:style>
  <w:style w:type="paragraph" w:styleId="44">
    <w:name w:val="toc 3"/>
    <w:basedOn w:val="1"/>
    <w:next w:val="1"/>
    <w:autoRedefine/>
    <w:qFormat/>
    <w:uiPriority w:val="0"/>
    <w:pPr>
      <w:tabs>
        <w:tab w:val="right" w:leader="dot" w:pos="8296"/>
      </w:tabs>
      <w:spacing w:line="312" w:lineRule="auto"/>
      <w:ind w:left="400" w:leftChars="400"/>
    </w:pPr>
    <w:rPr>
      <w:sz w:val="24"/>
    </w:rPr>
  </w:style>
  <w:style w:type="paragraph" w:styleId="45">
    <w:name w:val="Plain Text"/>
    <w:basedOn w:val="1"/>
    <w:link w:val="133"/>
    <w:autoRedefine/>
    <w:qFormat/>
    <w:uiPriority w:val="0"/>
    <w:rPr>
      <w:rFonts w:ascii="宋体" w:hAnsi="Courier New" w:cs="Courier New"/>
      <w:szCs w:val="21"/>
    </w:rPr>
  </w:style>
  <w:style w:type="paragraph" w:styleId="46">
    <w:name w:val="List Bullet 5"/>
    <w:basedOn w:val="1"/>
    <w:autoRedefine/>
    <w:qFormat/>
    <w:uiPriority w:val="0"/>
    <w:pPr>
      <w:tabs>
        <w:tab w:val="left" w:pos="840"/>
        <w:tab w:val="left" w:pos="2040"/>
      </w:tabs>
      <w:ind w:left="840" w:hanging="420"/>
    </w:pPr>
  </w:style>
  <w:style w:type="paragraph" w:styleId="47">
    <w:name w:val="List Number 4"/>
    <w:basedOn w:val="1"/>
    <w:autoRedefine/>
    <w:qFormat/>
    <w:uiPriority w:val="0"/>
    <w:pPr>
      <w:tabs>
        <w:tab w:val="left" w:pos="960"/>
        <w:tab w:val="left" w:pos="1620"/>
      </w:tabs>
      <w:ind w:left="960" w:hanging="720"/>
    </w:pPr>
  </w:style>
  <w:style w:type="paragraph" w:styleId="48">
    <w:name w:val="toc 8"/>
    <w:basedOn w:val="1"/>
    <w:next w:val="1"/>
    <w:autoRedefine/>
    <w:qFormat/>
    <w:uiPriority w:val="0"/>
    <w:pPr>
      <w:ind w:left="2940" w:leftChars="1400"/>
    </w:pPr>
  </w:style>
  <w:style w:type="paragraph" w:styleId="49">
    <w:name w:val="index 3"/>
    <w:basedOn w:val="1"/>
    <w:next w:val="1"/>
    <w:autoRedefine/>
    <w:qFormat/>
    <w:uiPriority w:val="0"/>
    <w:pPr>
      <w:ind w:left="400" w:leftChars="400"/>
    </w:pPr>
  </w:style>
  <w:style w:type="paragraph" w:styleId="50">
    <w:name w:val="Date"/>
    <w:basedOn w:val="1"/>
    <w:next w:val="1"/>
    <w:link w:val="131"/>
    <w:autoRedefine/>
    <w:qFormat/>
    <w:uiPriority w:val="0"/>
    <w:pPr>
      <w:ind w:left="100" w:leftChars="2500"/>
    </w:pPr>
  </w:style>
  <w:style w:type="paragraph" w:styleId="51">
    <w:name w:val="Body Text Indent 2"/>
    <w:basedOn w:val="1"/>
    <w:link w:val="171"/>
    <w:autoRedefine/>
    <w:qFormat/>
    <w:uiPriority w:val="0"/>
    <w:pPr>
      <w:spacing w:after="120" w:line="480" w:lineRule="auto"/>
      <w:ind w:left="420" w:leftChars="200"/>
    </w:pPr>
  </w:style>
  <w:style w:type="paragraph" w:styleId="52">
    <w:name w:val="endnote text"/>
    <w:basedOn w:val="1"/>
    <w:link w:val="169"/>
    <w:autoRedefine/>
    <w:qFormat/>
    <w:uiPriority w:val="0"/>
    <w:pPr>
      <w:snapToGrid w:val="0"/>
      <w:jc w:val="left"/>
    </w:pPr>
  </w:style>
  <w:style w:type="paragraph" w:styleId="53">
    <w:name w:val="List Continue 5"/>
    <w:basedOn w:val="1"/>
    <w:autoRedefine/>
    <w:qFormat/>
    <w:uiPriority w:val="0"/>
    <w:pPr>
      <w:spacing w:after="120"/>
      <w:ind w:left="2100" w:leftChars="1000"/>
    </w:pPr>
  </w:style>
  <w:style w:type="paragraph" w:styleId="54">
    <w:name w:val="Balloon Text"/>
    <w:basedOn w:val="1"/>
    <w:link w:val="135"/>
    <w:autoRedefine/>
    <w:qFormat/>
    <w:uiPriority w:val="0"/>
    <w:rPr>
      <w:sz w:val="18"/>
      <w:szCs w:val="18"/>
    </w:rPr>
  </w:style>
  <w:style w:type="paragraph" w:styleId="55">
    <w:name w:val="footer"/>
    <w:basedOn w:val="1"/>
    <w:link w:val="124"/>
    <w:autoRedefine/>
    <w:qFormat/>
    <w:uiPriority w:val="99"/>
    <w:pPr>
      <w:tabs>
        <w:tab w:val="center" w:pos="4153"/>
        <w:tab w:val="right" w:pos="8306"/>
      </w:tabs>
      <w:snapToGrid w:val="0"/>
      <w:jc w:val="left"/>
    </w:pPr>
    <w:rPr>
      <w:sz w:val="18"/>
    </w:rPr>
  </w:style>
  <w:style w:type="paragraph" w:styleId="56">
    <w:name w:val="envelope return"/>
    <w:basedOn w:val="1"/>
    <w:autoRedefine/>
    <w:qFormat/>
    <w:uiPriority w:val="0"/>
    <w:pPr>
      <w:snapToGrid w:val="0"/>
    </w:pPr>
    <w:rPr>
      <w:rFonts w:ascii="Arial" w:hAnsi="Arial" w:cs="Arial"/>
    </w:rPr>
  </w:style>
  <w:style w:type="paragraph" w:styleId="57">
    <w:name w:val="header"/>
    <w:basedOn w:val="1"/>
    <w:link w:val="12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autoRedefine/>
    <w:qFormat/>
    <w:uiPriority w:val="0"/>
    <w:pPr>
      <w:ind w:left="100" w:leftChars="2100"/>
    </w:pPr>
  </w:style>
  <w:style w:type="paragraph" w:styleId="59">
    <w:name w:val="toc 1"/>
    <w:basedOn w:val="1"/>
    <w:next w:val="1"/>
    <w:autoRedefine/>
    <w:qFormat/>
    <w:uiPriority w:val="0"/>
    <w:pPr>
      <w:tabs>
        <w:tab w:val="right" w:leader="dot" w:pos="8296"/>
      </w:tabs>
      <w:spacing w:line="312" w:lineRule="auto"/>
    </w:pPr>
    <w:rPr>
      <w:sz w:val="24"/>
    </w:rPr>
  </w:style>
  <w:style w:type="paragraph" w:styleId="60">
    <w:name w:val="List Continue 4"/>
    <w:basedOn w:val="1"/>
    <w:autoRedefine/>
    <w:qFormat/>
    <w:uiPriority w:val="0"/>
    <w:pPr>
      <w:spacing w:after="120"/>
      <w:ind w:left="1680" w:leftChars="800"/>
    </w:pPr>
  </w:style>
  <w:style w:type="paragraph" w:styleId="61">
    <w:name w:val="toc 4"/>
    <w:basedOn w:val="1"/>
    <w:next w:val="1"/>
    <w:autoRedefine/>
    <w:qFormat/>
    <w:uiPriority w:val="0"/>
    <w:pPr>
      <w:ind w:left="1260" w:leftChars="600"/>
    </w:pPr>
  </w:style>
  <w:style w:type="paragraph" w:styleId="62">
    <w:name w:val="index heading"/>
    <w:basedOn w:val="1"/>
    <w:next w:val="63"/>
    <w:autoRedefine/>
    <w:qFormat/>
    <w:uiPriority w:val="0"/>
    <w:rPr>
      <w:rFonts w:ascii="Arial" w:hAnsi="Arial" w:cs="Arial"/>
      <w:b/>
      <w:bCs/>
    </w:rPr>
  </w:style>
  <w:style w:type="paragraph" w:styleId="63">
    <w:name w:val="index 1"/>
    <w:basedOn w:val="1"/>
    <w:next w:val="1"/>
    <w:autoRedefine/>
    <w:qFormat/>
    <w:uiPriority w:val="0"/>
  </w:style>
  <w:style w:type="paragraph" w:styleId="64">
    <w:name w:val="Subtitle"/>
    <w:basedOn w:val="1"/>
    <w:link w:val="172"/>
    <w:autoRedefine/>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autoRedefine/>
    <w:qFormat/>
    <w:uiPriority w:val="0"/>
    <w:pPr>
      <w:tabs>
        <w:tab w:val="left" w:pos="2040"/>
      </w:tabs>
    </w:pPr>
  </w:style>
  <w:style w:type="paragraph" w:styleId="66">
    <w:name w:val="List"/>
    <w:basedOn w:val="1"/>
    <w:autoRedefine/>
    <w:qFormat/>
    <w:uiPriority w:val="0"/>
    <w:pPr>
      <w:ind w:left="200" w:hanging="200" w:hangingChars="200"/>
    </w:pPr>
  </w:style>
  <w:style w:type="paragraph" w:styleId="67">
    <w:name w:val="footnote text"/>
    <w:basedOn w:val="1"/>
    <w:link w:val="165"/>
    <w:autoRedefine/>
    <w:qFormat/>
    <w:uiPriority w:val="0"/>
    <w:pPr>
      <w:snapToGrid w:val="0"/>
      <w:jc w:val="left"/>
    </w:pPr>
    <w:rPr>
      <w:sz w:val="18"/>
      <w:szCs w:val="18"/>
    </w:rPr>
  </w:style>
  <w:style w:type="paragraph" w:styleId="68">
    <w:name w:val="toc 6"/>
    <w:basedOn w:val="1"/>
    <w:next w:val="1"/>
    <w:autoRedefine/>
    <w:qFormat/>
    <w:uiPriority w:val="0"/>
    <w:pPr>
      <w:ind w:left="2100" w:leftChars="1000"/>
    </w:pPr>
  </w:style>
  <w:style w:type="paragraph" w:styleId="69">
    <w:name w:val="List 5"/>
    <w:basedOn w:val="1"/>
    <w:autoRedefine/>
    <w:qFormat/>
    <w:uiPriority w:val="0"/>
    <w:pPr>
      <w:ind w:left="100" w:leftChars="800" w:hanging="200" w:hangingChars="200"/>
    </w:pPr>
  </w:style>
  <w:style w:type="paragraph" w:styleId="70">
    <w:name w:val="Body Text Indent 3"/>
    <w:basedOn w:val="1"/>
    <w:link w:val="162"/>
    <w:autoRedefine/>
    <w:qFormat/>
    <w:uiPriority w:val="99"/>
    <w:pPr>
      <w:spacing w:after="120"/>
      <w:ind w:left="420" w:leftChars="200"/>
    </w:pPr>
    <w:rPr>
      <w:sz w:val="16"/>
      <w:szCs w:val="16"/>
    </w:rPr>
  </w:style>
  <w:style w:type="paragraph" w:styleId="71">
    <w:name w:val="index 7"/>
    <w:basedOn w:val="1"/>
    <w:next w:val="1"/>
    <w:autoRedefine/>
    <w:qFormat/>
    <w:uiPriority w:val="0"/>
    <w:pPr>
      <w:ind w:left="1200" w:leftChars="1200"/>
    </w:pPr>
  </w:style>
  <w:style w:type="paragraph" w:styleId="72">
    <w:name w:val="index 9"/>
    <w:basedOn w:val="1"/>
    <w:next w:val="1"/>
    <w:autoRedefine/>
    <w:qFormat/>
    <w:uiPriority w:val="0"/>
    <w:pPr>
      <w:ind w:left="1600" w:leftChars="1600"/>
    </w:pPr>
  </w:style>
  <w:style w:type="paragraph" w:styleId="73">
    <w:name w:val="table of figures"/>
    <w:basedOn w:val="1"/>
    <w:next w:val="1"/>
    <w:autoRedefine/>
    <w:qFormat/>
    <w:uiPriority w:val="0"/>
    <w:pPr>
      <w:ind w:left="200" w:leftChars="200" w:hanging="200" w:hangingChars="200"/>
    </w:pPr>
  </w:style>
  <w:style w:type="paragraph" w:styleId="74">
    <w:name w:val="toc 2"/>
    <w:basedOn w:val="1"/>
    <w:next w:val="1"/>
    <w:autoRedefine/>
    <w:qFormat/>
    <w:uiPriority w:val="0"/>
    <w:pPr>
      <w:tabs>
        <w:tab w:val="right" w:leader="dot" w:pos="8296"/>
      </w:tabs>
      <w:spacing w:line="312" w:lineRule="auto"/>
      <w:ind w:left="420" w:leftChars="200"/>
    </w:pPr>
    <w:rPr>
      <w:sz w:val="24"/>
    </w:rPr>
  </w:style>
  <w:style w:type="paragraph" w:styleId="75">
    <w:name w:val="toc 9"/>
    <w:basedOn w:val="1"/>
    <w:next w:val="1"/>
    <w:autoRedefine/>
    <w:qFormat/>
    <w:uiPriority w:val="0"/>
    <w:pPr>
      <w:ind w:left="3360" w:leftChars="1600"/>
    </w:pPr>
  </w:style>
  <w:style w:type="paragraph" w:styleId="76">
    <w:name w:val="Body Text 2"/>
    <w:basedOn w:val="1"/>
    <w:link w:val="167"/>
    <w:autoRedefine/>
    <w:qFormat/>
    <w:uiPriority w:val="0"/>
    <w:pPr>
      <w:spacing w:after="120" w:line="480" w:lineRule="auto"/>
    </w:pPr>
  </w:style>
  <w:style w:type="paragraph" w:styleId="77">
    <w:name w:val="List 4"/>
    <w:basedOn w:val="1"/>
    <w:autoRedefine/>
    <w:qFormat/>
    <w:uiPriority w:val="0"/>
    <w:pPr>
      <w:ind w:left="100" w:leftChars="600" w:hanging="200" w:hangingChars="200"/>
    </w:pPr>
  </w:style>
  <w:style w:type="paragraph" w:styleId="78">
    <w:name w:val="List Continue 2"/>
    <w:basedOn w:val="1"/>
    <w:autoRedefine/>
    <w:qFormat/>
    <w:uiPriority w:val="0"/>
    <w:pPr>
      <w:spacing w:after="120"/>
      <w:ind w:left="840" w:leftChars="400"/>
    </w:pPr>
  </w:style>
  <w:style w:type="paragraph" w:styleId="79">
    <w:name w:val="Message Header"/>
    <w:basedOn w:val="1"/>
    <w:link w:val="17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autoRedefine/>
    <w:qFormat/>
    <w:uiPriority w:val="0"/>
    <w:pPr>
      <w:spacing w:after="120"/>
      <w:ind w:left="1260" w:leftChars="600"/>
    </w:pPr>
  </w:style>
  <w:style w:type="paragraph" w:styleId="83">
    <w:name w:val="index 2"/>
    <w:basedOn w:val="1"/>
    <w:next w:val="1"/>
    <w:autoRedefine/>
    <w:qFormat/>
    <w:uiPriority w:val="0"/>
    <w:pPr>
      <w:ind w:left="200" w:leftChars="200"/>
    </w:pPr>
  </w:style>
  <w:style w:type="paragraph" w:styleId="84">
    <w:name w:val="Title"/>
    <w:basedOn w:val="1"/>
    <w:link w:val="127"/>
    <w:autoRedefine/>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autoRedefine/>
    <w:qFormat/>
    <w:uiPriority w:val="0"/>
    <w:rPr>
      <w:b/>
      <w:bCs/>
      <w:szCs w:val="24"/>
    </w:rPr>
  </w:style>
  <w:style w:type="paragraph" w:styleId="86">
    <w:name w:val="Body Text First Indent"/>
    <w:basedOn w:val="34"/>
    <w:link w:val="156"/>
    <w:autoRedefine/>
    <w:qFormat/>
    <w:uiPriority w:val="0"/>
    <w:pPr>
      <w:ind w:firstLine="420" w:firstLineChars="100"/>
    </w:pPr>
  </w:style>
  <w:style w:type="paragraph" w:styleId="87">
    <w:name w:val="Body Text First Indent 2"/>
    <w:basedOn w:val="35"/>
    <w:link w:val="158"/>
    <w:autoRedefine/>
    <w:qFormat/>
    <w:uiPriority w:val="0"/>
    <w:pPr>
      <w:ind w:firstLine="420" w:firstLineChars="200"/>
    </w:pPr>
  </w:style>
  <w:style w:type="table" w:styleId="89">
    <w:name w:val="Table Grid"/>
    <w:basedOn w:val="8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22"/>
    <w:rPr>
      <w:b/>
      <w:bCs/>
    </w:rPr>
  </w:style>
  <w:style w:type="character" w:styleId="92">
    <w:name w:val="endnote reference"/>
    <w:autoRedefine/>
    <w:qFormat/>
    <w:uiPriority w:val="0"/>
    <w:rPr>
      <w:vertAlign w:val="superscript"/>
    </w:rPr>
  </w:style>
  <w:style w:type="character" w:styleId="93">
    <w:name w:val="page number"/>
    <w:basedOn w:val="90"/>
    <w:autoRedefine/>
    <w:unhideWhenUsed/>
    <w:qFormat/>
    <w:uiPriority w:val="0"/>
    <w:rPr>
      <w:rFonts w:ascii="Times New Roman" w:hAnsi="Times New Roman" w:eastAsia="宋体"/>
      <w:sz w:val="18"/>
    </w:rPr>
  </w:style>
  <w:style w:type="character" w:styleId="94">
    <w:name w:val="FollowedHyperlink"/>
    <w:basedOn w:val="90"/>
    <w:autoRedefine/>
    <w:qFormat/>
    <w:uiPriority w:val="99"/>
    <w:rPr>
      <w:color w:val="800080" w:themeColor="followedHyperlink"/>
      <w:u w:val="single"/>
      <w14:textFill>
        <w14:solidFill>
          <w14:schemeClr w14:val="folHlink"/>
        </w14:solidFill>
      </w14:textFill>
    </w:rPr>
  </w:style>
  <w:style w:type="character" w:styleId="95">
    <w:name w:val="Emphasis"/>
    <w:autoRedefine/>
    <w:qFormat/>
    <w:uiPriority w:val="20"/>
    <w:rPr>
      <w:i/>
      <w:iCs/>
    </w:rPr>
  </w:style>
  <w:style w:type="character" w:styleId="96">
    <w:name w:val="line number"/>
    <w:basedOn w:val="90"/>
    <w:autoRedefine/>
    <w:qFormat/>
    <w:uiPriority w:val="0"/>
  </w:style>
  <w:style w:type="character" w:styleId="97">
    <w:name w:val="HTML Definition"/>
    <w:autoRedefine/>
    <w:qFormat/>
    <w:uiPriority w:val="0"/>
    <w:rPr>
      <w:i/>
      <w:iCs/>
    </w:rPr>
  </w:style>
  <w:style w:type="character" w:styleId="98">
    <w:name w:val="HTML Typewriter"/>
    <w:autoRedefine/>
    <w:qFormat/>
    <w:uiPriority w:val="0"/>
    <w:rPr>
      <w:rFonts w:ascii="Courier New" w:hAnsi="Courier New" w:cs="Courier New"/>
      <w:sz w:val="20"/>
      <w:szCs w:val="20"/>
    </w:rPr>
  </w:style>
  <w:style w:type="character" w:styleId="99">
    <w:name w:val="HTML Acronym"/>
    <w:basedOn w:val="90"/>
    <w:autoRedefine/>
    <w:qFormat/>
    <w:uiPriority w:val="0"/>
  </w:style>
  <w:style w:type="character" w:styleId="100">
    <w:name w:val="HTML Variable"/>
    <w:autoRedefine/>
    <w:qFormat/>
    <w:uiPriority w:val="0"/>
    <w:rPr>
      <w:i/>
      <w:iCs/>
    </w:rPr>
  </w:style>
  <w:style w:type="character" w:styleId="101">
    <w:name w:val="Hyperlink"/>
    <w:basedOn w:val="90"/>
    <w:autoRedefine/>
    <w:qFormat/>
    <w:uiPriority w:val="99"/>
    <w:rPr>
      <w:color w:val="0000FF"/>
      <w:u w:val="single"/>
    </w:rPr>
  </w:style>
  <w:style w:type="character" w:styleId="102">
    <w:name w:val="HTML Code"/>
    <w:autoRedefine/>
    <w:qFormat/>
    <w:uiPriority w:val="0"/>
    <w:rPr>
      <w:rFonts w:ascii="Courier New" w:hAnsi="Courier New" w:cs="Courier New"/>
      <w:sz w:val="20"/>
      <w:szCs w:val="20"/>
    </w:rPr>
  </w:style>
  <w:style w:type="character" w:styleId="103">
    <w:name w:val="annotation reference"/>
    <w:basedOn w:val="90"/>
    <w:autoRedefine/>
    <w:qFormat/>
    <w:uiPriority w:val="0"/>
    <w:rPr>
      <w:sz w:val="21"/>
      <w:szCs w:val="21"/>
    </w:rPr>
  </w:style>
  <w:style w:type="character" w:styleId="104">
    <w:name w:val="HTML Cite"/>
    <w:autoRedefine/>
    <w:qFormat/>
    <w:uiPriority w:val="0"/>
    <w:rPr>
      <w:i/>
      <w:iCs/>
    </w:rPr>
  </w:style>
  <w:style w:type="character" w:styleId="105">
    <w:name w:val="footnote reference"/>
    <w:autoRedefine/>
    <w:qFormat/>
    <w:uiPriority w:val="0"/>
    <w:rPr>
      <w:vertAlign w:val="superscript"/>
    </w:rPr>
  </w:style>
  <w:style w:type="character" w:styleId="106">
    <w:name w:val="HTML Keyboard"/>
    <w:autoRedefine/>
    <w:qFormat/>
    <w:uiPriority w:val="0"/>
    <w:rPr>
      <w:rFonts w:ascii="Courier New" w:hAnsi="Courier New" w:cs="Courier New"/>
      <w:sz w:val="20"/>
      <w:szCs w:val="20"/>
    </w:rPr>
  </w:style>
  <w:style w:type="character" w:styleId="107">
    <w:name w:val="HTML Sample"/>
    <w:autoRedefine/>
    <w:qFormat/>
    <w:uiPriority w:val="0"/>
    <w:rPr>
      <w:rFonts w:ascii="Courier New" w:hAnsi="Courier New" w:cs="Courier New"/>
    </w:rPr>
  </w:style>
  <w:style w:type="character" w:customStyle="1" w:styleId="108">
    <w:name w:val="标题 1 字符"/>
    <w:basedOn w:val="90"/>
    <w:link w:val="3"/>
    <w:autoRedefine/>
    <w:qFormat/>
    <w:uiPriority w:val="0"/>
    <w:rPr>
      <w:b/>
      <w:bCs/>
      <w:kern w:val="44"/>
      <w:sz w:val="44"/>
      <w:szCs w:val="44"/>
    </w:rPr>
  </w:style>
  <w:style w:type="character" w:customStyle="1" w:styleId="109">
    <w:name w:val="标题 2 字符"/>
    <w:basedOn w:val="90"/>
    <w:link w:val="4"/>
    <w:autoRedefine/>
    <w:qFormat/>
    <w:uiPriority w:val="0"/>
    <w:rPr>
      <w:rFonts w:ascii="Arial" w:hAnsi="Arial" w:eastAsia="黑体"/>
      <w:b/>
      <w:bCs/>
      <w:kern w:val="2"/>
      <w:sz w:val="32"/>
      <w:szCs w:val="32"/>
    </w:rPr>
  </w:style>
  <w:style w:type="character" w:customStyle="1" w:styleId="110">
    <w:name w:val="标题 3 字符"/>
    <w:basedOn w:val="90"/>
    <w:link w:val="5"/>
    <w:autoRedefine/>
    <w:qFormat/>
    <w:uiPriority w:val="0"/>
    <w:rPr>
      <w:b/>
      <w:bCs/>
      <w:kern w:val="2"/>
      <w:sz w:val="32"/>
      <w:szCs w:val="32"/>
    </w:rPr>
  </w:style>
  <w:style w:type="character" w:customStyle="1" w:styleId="111">
    <w:name w:val="标题 4 字符"/>
    <w:basedOn w:val="90"/>
    <w:link w:val="6"/>
    <w:qFormat/>
    <w:uiPriority w:val="0"/>
    <w:rPr>
      <w:rFonts w:ascii="Arial" w:hAnsi="Arial" w:eastAsia="黑体"/>
      <w:b/>
      <w:bCs/>
      <w:kern w:val="2"/>
      <w:sz w:val="28"/>
      <w:szCs w:val="28"/>
    </w:rPr>
  </w:style>
  <w:style w:type="character" w:customStyle="1" w:styleId="112">
    <w:name w:val="标题 5 字符"/>
    <w:basedOn w:val="90"/>
    <w:link w:val="7"/>
    <w:autoRedefine/>
    <w:qFormat/>
    <w:uiPriority w:val="0"/>
    <w:rPr>
      <w:b/>
      <w:bCs/>
      <w:kern w:val="2"/>
      <w:sz w:val="28"/>
      <w:szCs w:val="28"/>
    </w:rPr>
  </w:style>
  <w:style w:type="character" w:customStyle="1" w:styleId="113">
    <w:name w:val="标题 6 字符"/>
    <w:basedOn w:val="90"/>
    <w:link w:val="8"/>
    <w:autoRedefine/>
    <w:qFormat/>
    <w:uiPriority w:val="0"/>
    <w:rPr>
      <w:rFonts w:ascii="Arial" w:hAnsi="Arial" w:eastAsia="黑体"/>
      <w:b/>
      <w:bCs/>
      <w:kern w:val="2"/>
      <w:sz w:val="24"/>
      <w:szCs w:val="24"/>
    </w:rPr>
  </w:style>
  <w:style w:type="character" w:customStyle="1" w:styleId="114">
    <w:name w:val="标题 7 字符"/>
    <w:basedOn w:val="90"/>
    <w:link w:val="9"/>
    <w:autoRedefine/>
    <w:qFormat/>
    <w:uiPriority w:val="0"/>
    <w:rPr>
      <w:b/>
      <w:bCs/>
      <w:kern w:val="2"/>
      <w:sz w:val="24"/>
      <w:szCs w:val="24"/>
    </w:rPr>
  </w:style>
  <w:style w:type="character" w:customStyle="1" w:styleId="115">
    <w:name w:val="标题 8 字符"/>
    <w:basedOn w:val="90"/>
    <w:link w:val="10"/>
    <w:autoRedefine/>
    <w:qFormat/>
    <w:uiPriority w:val="0"/>
    <w:rPr>
      <w:rFonts w:ascii="Arial" w:hAnsi="Arial" w:eastAsia="黑体"/>
      <w:kern w:val="2"/>
      <w:sz w:val="24"/>
      <w:szCs w:val="24"/>
    </w:rPr>
  </w:style>
  <w:style w:type="character" w:customStyle="1" w:styleId="116">
    <w:name w:val="标题 9 字符"/>
    <w:basedOn w:val="90"/>
    <w:link w:val="11"/>
    <w:autoRedefine/>
    <w:qFormat/>
    <w:uiPriority w:val="0"/>
    <w:rPr>
      <w:rFonts w:ascii="Arial" w:hAnsi="Arial" w:eastAsia="黑体"/>
      <w:kern w:val="2"/>
      <w:sz w:val="21"/>
      <w:szCs w:val="21"/>
    </w:rPr>
  </w:style>
  <w:style w:type="paragraph" w:customStyle="1" w:styleId="117">
    <w:name w:val="封面标准英文名称"/>
    <w:autoRedefine/>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autoRedefine/>
    <w:qFormat/>
    <w:uiPriority w:val="0"/>
    <w:pPr>
      <w:adjustRightInd w:val="0"/>
      <w:spacing w:line="312" w:lineRule="atLeast"/>
      <w:jc w:val="center"/>
      <w:textAlignment w:val="baseline"/>
    </w:pPr>
    <w:rPr>
      <w:kern w:val="0"/>
      <w:szCs w:val="20"/>
    </w:rPr>
  </w:style>
  <w:style w:type="paragraph" w:customStyle="1" w:styleId="119">
    <w:name w:val="封面标准号2"/>
    <w:basedOn w:val="1"/>
    <w:autoRedefine/>
    <w:qFormat/>
    <w:uiPriority w:val="0"/>
  </w:style>
  <w:style w:type="paragraph" w:customStyle="1" w:styleId="120">
    <w:name w:val="章标题"/>
    <w:next w:val="1"/>
    <w:autoRedefine/>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autoRedefine/>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8"/>
    <w:autoRedefine/>
    <w:qFormat/>
    <w:uiPriority w:val="0"/>
    <w:rPr>
      <w:kern w:val="2"/>
      <w:sz w:val="21"/>
      <w:szCs w:val="21"/>
    </w:rPr>
  </w:style>
  <w:style w:type="character" w:customStyle="1" w:styleId="123">
    <w:name w:val="页眉 字符"/>
    <w:basedOn w:val="90"/>
    <w:link w:val="57"/>
    <w:autoRedefine/>
    <w:qFormat/>
    <w:uiPriority w:val="0"/>
    <w:rPr>
      <w:kern w:val="2"/>
      <w:sz w:val="18"/>
      <w:szCs w:val="24"/>
    </w:rPr>
  </w:style>
  <w:style w:type="character" w:customStyle="1" w:styleId="124">
    <w:name w:val="页脚 字符"/>
    <w:basedOn w:val="90"/>
    <w:link w:val="55"/>
    <w:autoRedefine/>
    <w:qFormat/>
    <w:uiPriority w:val="99"/>
    <w:rPr>
      <w:kern w:val="2"/>
      <w:sz w:val="18"/>
      <w:szCs w:val="24"/>
    </w:rPr>
  </w:style>
  <w:style w:type="paragraph" w:customStyle="1" w:styleId="125">
    <w:name w:val="列出段落1"/>
    <w:basedOn w:val="1"/>
    <w:autoRedefine/>
    <w:qFormat/>
    <w:uiPriority w:val="0"/>
    <w:pPr>
      <w:ind w:firstLine="420" w:firstLineChars="200"/>
    </w:pPr>
    <w:rPr>
      <w:rFonts w:ascii="Calibri" w:hAnsi="Calibri" w:cs="黑体"/>
      <w:szCs w:val="22"/>
    </w:rPr>
  </w:style>
  <w:style w:type="paragraph" w:customStyle="1" w:styleId="126">
    <w:name w:val="Char Char Char Char"/>
    <w:basedOn w:val="1"/>
    <w:autoRedefine/>
    <w:qFormat/>
    <w:uiPriority w:val="0"/>
    <w:pPr>
      <w:widowControl/>
      <w:spacing w:after="160" w:line="240" w:lineRule="exact"/>
      <w:jc w:val="left"/>
    </w:pPr>
  </w:style>
  <w:style w:type="character" w:customStyle="1" w:styleId="127">
    <w:name w:val="标题 字符"/>
    <w:basedOn w:val="90"/>
    <w:link w:val="84"/>
    <w:autoRedefine/>
    <w:qFormat/>
    <w:uiPriority w:val="0"/>
    <w:rPr>
      <w:rFonts w:ascii="Arial" w:hAnsi="Arial" w:cs="Arial"/>
      <w:b/>
      <w:bCs/>
      <w:kern w:val="2"/>
      <w:sz w:val="32"/>
      <w:szCs w:val="32"/>
    </w:rPr>
  </w:style>
  <w:style w:type="character" w:customStyle="1" w:styleId="128">
    <w:name w:val="t_tag"/>
    <w:basedOn w:val="90"/>
    <w:autoRedefine/>
    <w:qFormat/>
    <w:uiPriority w:val="0"/>
  </w:style>
  <w:style w:type="character" w:customStyle="1" w:styleId="129">
    <w:name w:val="apple-converted-space"/>
    <w:basedOn w:val="90"/>
    <w:autoRedefine/>
    <w:qFormat/>
    <w:uiPriority w:val="0"/>
  </w:style>
  <w:style w:type="character" w:customStyle="1" w:styleId="130">
    <w:name w:val="apple-style-span"/>
    <w:basedOn w:val="90"/>
    <w:autoRedefine/>
    <w:qFormat/>
    <w:uiPriority w:val="0"/>
  </w:style>
  <w:style w:type="character" w:customStyle="1" w:styleId="131">
    <w:name w:val="日期 字符"/>
    <w:basedOn w:val="90"/>
    <w:link w:val="50"/>
    <w:autoRedefine/>
    <w:qFormat/>
    <w:uiPriority w:val="0"/>
    <w:rPr>
      <w:kern w:val="2"/>
      <w:sz w:val="21"/>
      <w:szCs w:val="24"/>
    </w:rPr>
  </w:style>
  <w:style w:type="character" w:customStyle="1" w:styleId="132">
    <w:name w:val="HTML 预设格式 字符"/>
    <w:basedOn w:val="90"/>
    <w:link w:val="80"/>
    <w:autoRedefine/>
    <w:qFormat/>
    <w:uiPriority w:val="99"/>
    <w:rPr>
      <w:rFonts w:ascii="宋体" w:hAnsi="宋体" w:cs="宋体"/>
      <w:sz w:val="24"/>
      <w:szCs w:val="24"/>
    </w:rPr>
  </w:style>
  <w:style w:type="character" w:customStyle="1" w:styleId="133">
    <w:name w:val="纯文本 字符"/>
    <w:basedOn w:val="90"/>
    <w:link w:val="45"/>
    <w:autoRedefine/>
    <w:qFormat/>
    <w:uiPriority w:val="0"/>
    <w:rPr>
      <w:rFonts w:ascii="宋体" w:hAnsi="Courier New" w:cs="Courier New"/>
      <w:kern w:val="2"/>
      <w:sz w:val="21"/>
      <w:szCs w:val="21"/>
    </w:rPr>
  </w:style>
  <w:style w:type="character" w:customStyle="1" w:styleId="134">
    <w:name w:val="批注主题 字符"/>
    <w:basedOn w:val="122"/>
    <w:link w:val="85"/>
    <w:autoRedefine/>
    <w:qFormat/>
    <w:uiPriority w:val="0"/>
    <w:rPr>
      <w:b/>
      <w:bCs/>
      <w:kern w:val="2"/>
      <w:sz w:val="21"/>
      <w:szCs w:val="24"/>
    </w:rPr>
  </w:style>
  <w:style w:type="character" w:customStyle="1" w:styleId="135">
    <w:name w:val="批注框文本 字符"/>
    <w:basedOn w:val="90"/>
    <w:link w:val="54"/>
    <w:autoRedefine/>
    <w:qFormat/>
    <w:uiPriority w:val="0"/>
    <w:rPr>
      <w:kern w:val="2"/>
      <w:sz w:val="18"/>
      <w:szCs w:val="18"/>
    </w:rPr>
  </w:style>
  <w:style w:type="paragraph" w:styleId="136">
    <w:name w:val="List Paragraph"/>
    <w:basedOn w:val="1"/>
    <w:autoRedefine/>
    <w:qFormat/>
    <w:uiPriority w:val="99"/>
    <w:pPr>
      <w:ind w:firstLine="420" w:firstLineChars="200"/>
    </w:pPr>
  </w:style>
  <w:style w:type="character" w:customStyle="1" w:styleId="137">
    <w:name w:val="段 Char Char"/>
    <w:basedOn w:val="90"/>
    <w:link w:val="121"/>
    <w:autoRedefine/>
    <w:qFormat/>
    <w:uiPriority w:val="0"/>
    <w:rPr>
      <w:rFonts w:ascii="宋体" w:hAnsi="宋体"/>
      <w:sz w:val="21"/>
    </w:rPr>
  </w:style>
  <w:style w:type="character" w:customStyle="1" w:styleId="138">
    <w:name w:val="short_text1"/>
    <w:basedOn w:val="90"/>
    <w:autoRedefine/>
    <w:qFormat/>
    <w:uiPriority w:val="0"/>
    <w:rPr>
      <w:sz w:val="19"/>
      <w:szCs w:val="19"/>
    </w:rPr>
  </w:style>
  <w:style w:type="paragraph" w:customStyle="1" w:styleId="139">
    <w:name w:val="2"/>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autoRedefine/>
    <w:qFormat/>
    <w:uiPriority w:val="0"/>
    <w:rPr>
      <w:vertAlign w:val="superscript"/>
    </w:rPr>
  </w:style>
  <w:style w:type="character" w:customStyle="1" w:styleId="141">
    <w:name w:val="z题名页日期"/>
    <w:autoRedefine/>
    <w:qFormat/>
    <w:uiPriority w:val="0"/>
    <w:rPr>
      <w:rFonts w:ascii="Times New Roman" w:hAnsi="Times New Roman" w:eastAsia="宋体"/>
      <w:spacing w:val="0"/>
      <w:sz w:val="28"/>
    </w:rPr>
  </w:style>
  <w:style w:type="character" w:customStyle="1" w:styleId="142">
    <w:name w:val="z题名页其他"/>
    <w:autoRedefine/>
    <w:qFormat/>
    <w:uiPriority w:val="0"/>
    <w:rPr>
      <w:rFonts w:ascii="Times New Roman" w:hAnsi="Times New Roman" w:eastAsia="宋体"/>
      <w:sz w:val="21"/>
    </w:rPr>
  </w:style>
  <w:style w:type="character" w:customStyle="1" w:styleId="143">
    <w:name w:val="datatitle1"/>
    <w:autoRedefine/>
    <w:qFormat/>
    <w:uiPriority w:val="0"/>
    <w:rPr>
      <w:b/>
      <w:bCs/>
      <w:color w:val="10619F"/>
      <w:sz w:val="21"/>
      <w:szCs w:val="21"/>
    </w:rPr>
  </w:style>
  <w:style w:type="character" w:customStyle="1" w:styleId="144">
    <w:name w:val="z题名页作者"/>
    <w:basedOn w:val="145"/>
    <w:autoRedefine/>
    <w:qFormat/>
    <w:uiPriority w:val="0"/>
    <w:rPr>
      <w:rFonts w:ascii="Times New Roman" w:hAnsi="Times New Roman" w:eastAsia="宋体"/>
      <w:sz w:val="28"/>
    </w:rPr>
  </w:style>
  <w:style w:type="character" w:customStyle="1" w:styleId="145">
    <w:name w:val="z题名页题名"/>
    <w:autoRedefine/>
    <w:qFormat/>
    <w:uiPriority w:val="0"/>
    <w:rPr>
      <w:rFonts w:ascii="Times New Roman" w:hAnsi="Times New Roman" w:eastAsia="宋体"/>
      <w:sz w:val="28"/>
    </w:rPr>
  </w:style>
  <w:style w:type="character" w:customStyle="1" w:styleId="146">
    <w:name w:val="z封面题名"/>
    <w:autoRedefine/>
    <w:qFormat/>
    <w:uiPriority w:val="0"/>
    <w:rPr>
      <w:rFonts w:ascii="Times New Roman" w:hAnsi="Times New Roman" w:eastAsia="宋体"/>
      <w:b/>
      <w:spacing w:val="0"/>
      <w:sz w:val="36"/>
    </w:rPr>
  </w:style>
  <w:style w:type="character" w:customStyle="1" w:styleId="147">
    <w:name w:val="z封面其他"/>
    <w:autoRedefine/>
    <w:qFormat/>
    <w:uiPriority w:val="0"/>
    <w:rPr>
      <w:rFonts w:ascii="Times New Roman" w:hAnsi="Times New Roman" w:eastAsia="宋体"/>
      <w:spacing w:val="0"/>
      <w:sz w:val="30"/>
    </w:rPr>
  </w:style>
  <w:style w:type="character" w:customStyle="1" w:styleId="148">
    <w:name w:val="u关键词"/>
    <w:autoRedefine/>
    <w:qFormat/>
    <w:uiPriority w:val="0"/>
    <w:rPr>
      <w:rFonts w:ascii="Times New Roman" w:hAnsi="Times New Roman" w:eastAsia="黑体"/>
      <w:b/>
      <w:sz w:val="24"/>
    </w:rPr>
  </w:style>
  <w:style w:type="character" w:customStyle="1" w:styleId="149">
    <w:name w:val="u正文 Char Char"/>
    <w:link w:val="150"/>
    <w:autoRedefine/>
    <w:qFormat/>
    <w:uiPriority w:val="0"/>
    <w:rPr>
      <w:rFonts w:cs="宋体"/>
      <w:kern w:val="2"/>
      <w:sz w:val="24"/>
      <w:szCs w:val="24"/>
    </w:rPr>
  </w:style>
  <w:style w:type="paragraph" w:customStyle="1" w:styleId="150">
    <w:name w:val="u正文 Char"/>
    <w:basedOn w:val="1"/>
    <w:link w:val="149"/>
    <w:autoRedefine/>
    <w:qFormat/>
    <w:uiPriority w:val="0"/>
    <w:pPr>
      <w:spacing w:beforeLines="10" w:afterLines="10" w:line="312" w:lineRule="auto"/>
      <w:ind w:firstLine="200" w:firstLineChars="200"/>
    </w:pPr>
    <w:rPr>
      <w:rFonts w:cs="宋体"/>
      <w:sz w:val="24"/>
    </w:rPr>
  </w:style>
  <w:style w:type="character" w:customStyle="1" w:styleId="151">
    <w:name w:val="z封二题名"/>
    <w:autoRedefine/>
    <w:qFormat/>
    <w:uiPriority w:val="0"/>
    <w:rPr>
      <w:rFonts w:ascii="Times New Roman" w:hAnsi="Times New Roman" w:eastAsia="宋体"/>
      <w:sz w:val="36"/>
    </w:rPr>
  </w:style>
  <w:style w:type="character" w:customStyle="1" w:styleId="152">
    <w:name w:val="z书脊"/>
    <w:autoRedefine/>
    <w:qFormat/>
    <w:uiPriority w:val="0"/>
    <w:rPr>
      <w:rFonts w:ascii="Times New Roman" w:hAnsi="Times New Roman" w:eastAsia="宋体"/>
      <w:b/>
      <w:sz w:val="32"/>
    </w:rPr>
  </w:style>
  <w:style w:type="character" w:customStyle="1" w:styleId="153">
    <w:name w:val="z封二其他"/>
    <w:autoRedefine/>
    <w:qFormat/>
    <w:uiPriority w:val="0"/>
    <w:rPr>
      <w:rFonts w:ascii="Times New Roman" w:hAnsi="Times New Roman" w:eastAsia="宋体"/>
      <w:sz w:val="24"/>
    </w:rPr>
  </w:style>
  <w:style w:type="character" w:customStyle="1" w:styleId="154">
    <w:name w:val="宏文本 字符"/>
    <w:basedOn w:val="90"/>
    <w:link w:val="2"/>
    <w:autoRedefine/>
    <w:qFormat/>
    <w:uiPriority w:val="0"/>
    <w:rPr>
      <w:rFonts w:ascii="Courier New" w:hAnsi="Courier New" w:cs="Courier New"/>
      <w:kern w:val="2"/>
      <w:sz w:val="24"/>
      <w:szCs w:val="24"/>
    </w:rPr>
  </w:style>
  <w:style w:type="character" w:customStyle="1" w:styleId="155">
    <w:name w:val="正文文本 字符"/>
    <w:basedOn w:val="90"/>
    <w:link w:val="34"/>
    <w:qFormat/>
    <w:uiPriority w:val="0"/>
    <w:rPr>
      <w:kern w:val="2"/>
      <w:sz w:val="21"/>
      <w:szCs w:val="24"/>
    </w:rPr>
  </w:style>
  <w:style w:type="character" w:customStyle="1" w:styleId="156">
    <w:name w:val="正文文本首行缩进 字符"/>
    <w:basedOn w:val="155"/>
    <w:link w:val="86"/>
    <w:qFormat/>
    <w:uiPriority w:val="0"/>
    <w:rPr>
      <w:kern w:val="2"/>
      <w:sz w:val="21"/>
      <w:szCs w:val="24"/>
    </w:rPr>
  </w:style>
  <w:style w:type="character" w:customStyle="1" w:styleId="157">
    <w:name w:val="正文文本缩进 字符"/>
    <w:basedOn w:val="90"/>
    <w:link w:val="35"/>
    <w:qFormat/>
    <w:uiPriority w:val="0"/>
    <w:rPr>
      <w:kern w:val="2"/>
      <w:sz w:val="21"/>
      <w:szCs w:val="24"/>
    </w:rPr>
  </w:style>
  <w:style w:type="character" w:customStyle="1" w:styleId="158">
    <w:name w:val="正文文本首行缩进 2 字符"/>
    <w:basedOn w:val="157"/>
    <w:link w:val="87"/>
    <w:qFormat/>
    <w:uiPriority w:val="0"/>
    <w:rPr>
      <w:kern w:val="2"/>
      <w:sz w:val="21"/>
      <w:szCs w:val="24"/>
    </w:rPr>
  </w:style>
  <w:style w:type="character" w:customStyle="1" w:styleId="159">
    <w:name w:val="文档结构图 字符"/>
    <w:basedOn w:val="90"/>
    <w:link w:val="26"/>
    <w:qFormat/>
    <w:uiPriority w:val="0"/>
    <w:rPr>
      <w:kern w:val="2"/>
      <w:sz w:val="21"/>
      <w:szCs w:val="24"/>
      <w:shd w:val="clear" w:color="auto" w:fill="000080"/>
    </w:rPr>
  </w:style>
  <w:style w:type="character" w:customStyle="1" w:styleId="160">
    <w:name w:val="正文文本 3 字符"/>
    <w:basedOn w:val="90"/>
    <w:link w:val="31"/>
    <w:qFormat/>
    <w:uiPriority w:val="0"/>
    <w:rPr>
      <w:kern w:val="2"/>
      <w:sz w:val="16"/>
      <w:szCs w:val="16"/>
    </w:rPr>
  </w:style>
  <w:style w:type="character" w:customStyle="1" w:styleId="161">
    <w:name w:val="HTML 地址 字符"/>
    <w:basedOn w:val="90"/>
    <w:link w:val="41"/>
    <w:qFormat/>
    <w:uiPriority w:val="0"/>
    <w:rPr>
      <w:i/>
      <w:iCs/>
      <w:kern w:val="2"/>
      <w:sz w:val="21"/>
      <w:szCs w:val="24"/>
    </w:rPr>
  </w:style>
  <w:style w:type="character" w:customStyle="1" w:styleId="162">
    <w:name w:val="正文文本缩进 3 字符"/>
    <w:basedOn w:val="90"/>
    <w:link w:val="70"/>
    <w:qFormat/>
    <w:uiPriority w:val="99"/>
    <w:rPr>
      <w:kern w:val="2"/>
      <w:sz w:val="16"/>
      <w:szCs w:val="16"/>
    </w:rPr>
  </w:style>
  <w:style w:type="character" w:customStyle="1" w:styleId="163">
    <w:name w:val="电子邮件签名 字符"/>
    <w:basedOn w:val="90"/>
    <w:link w:val="19"/>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6"/>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0"/>
    <w:qFormat/>
    <w:uiPriority w:val="0"/>
    <w:rPr>
      <w:kern w:val="2"/>
      <w:sz w:val="21"/>
      <w:szCs w:val="24"/>
    </w:rPr>
  </w:style>
  <w:style w:type="character" w:customStyle="1" w:styleId="169">
    <w:name w:val="尾注文本 字符"/>
    <w:basedOn w:val="90"/>
    <w:link w:val="52"/>
    <w:qFormat/>
    <w:uiPriority w:val="0"/>
    <w:rPr>
      <w:kern w:val="2"/>
      <w:sz w:val="21"/>
      <w:szCs w:val="24"/>
    </w:rPr>
  </w:style>
  <w:style w:type="character" w:customStyle="1" w:styleId="170">
    <w:name w:val="结束语 字符"/>
    <w:basedOn w:val="90"/>
    <w:link w:val="32"/>
    <w:qFormat/>
    <w:uiPriority w:val="0"/>
    <w:rPr>
      <w:kern w:val="2"/>
      <w:sz w:val="21"/>
      <w:szCs w:val="24"/>
    </w:rPr>
  </w:style>
  <w:style w:type="character" w:customStyle="1" w:styleId="171">
    <w:name w:val="正文文本缩进 2 字符"/>
    <w:basedOn w:val="90"/>
    <w:link w:val="51"/>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paragraph" w:customStyle="1" w:styleId="252">
    <w:name w:val="p17"/>
    <w:basedOn w:val="1"/>
    <w:qFormat/>
    <w:uiPriority w:val="0"/>
    <w:pPr>
      <w:widowControl/>
      <w:ind w:firstLine="420"/>
    </w:pPr>
    <w:rPr>
      <w:rFonts w:ascii="宋体" w:hAnsi="宋体" w:cs="宋体"/>
      <w:kern w:val="0"/>
      <w:szCs w:val="21"/>
    </w:rPr>
  </w:style>
  <w:style w:type="paragraph" w:customStyle="1" w:styleId="253">
    <w:name w:val="p0"/>
    <w:basedOn w:val="1"/>
    <w:qFormat/>
    <w:uiPriority w:val="0"/>
    <w:pPr>
      <w:widowControl/>
    </w:pPr>
    <w:rPr>
      <w:kern w:val="0"/>
      <w:szCs w:val="21"/>
    </w:rPr>
  </w:style>
  <w:style w:type="paragraph" w:customStyle="1" w:styleId="2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5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56">
    <w:name w:val="p19"/>
    <w:basedOn w:val="1"/>
    <w:qFormat/>
    <w:uiPriority w:val="0"/>
    <w:pPr>
      <w:widowControl/>
      <w:ind w:firstLine="420"/>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3386-67D3-401E-A780-22DBDC0C65EE}">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11</Pages>
  <Words>7971</Words>
  <Characters>9254</Characters>
  <Lines>67</Lines>
  <Paragraphs>19</Paragraphs>
  <TotalTime>0</TotalTime>
  <ScaleCrop>false</ScaleCrop>
  <LinksUpToDate>false</LinksUpToDate>
  <CharactersWithSpaces>9289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2020-11-30T07:58:00Z</dcterms:created>
  <dc:creator>zljy05</dc:creator>
  <cp:lastModifiedBy>余金秋</cp:lastModifiedBy>
  <cp:lastPrinted>2018-08-20T12:57:00Z</cp:lastPrinted>
  <dcterms:modified xsi:type="dcterms:W3CDTF">2024-08-30T03:11:51Z</dcterms:modified>
  <dc:title>再生锌化学分析方法</dc:title>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91FAA315E05A40A192F0831A3BA987E7</vt:lpwstr>
  </property>
</Properties>
</file>