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4B8CF">
      <w:r>
        <w:drawing>
          <wp:anchor distT="0" distB="0" distL="114300" distR="114300" simplePos="0" relativeHeight="251660288" behindDoc="0" locked="1" layoutInCell="1" allowOverlap="1">
            <wp:simplePos x="0" y="0"/>
            <wp:positionH relativeFrom="margin">
              <wp:posOffset>4514215</wp:posOffset>
            </wp:positionH>
            <wp:positionV relativeFrom="margin">
              <wp:posOffset>30480</wp:posOffset>
            </wp:positionV>
            <wp:extent cx="1403350" cy="721360"/>
            <wp:effectExtent l="19050" t="0" r="6350" b="0"/>
            <wp:wrapNone/>
            <wp:docPr id="33" name="HB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BPicture"/>
                    <pic:cNvPicPr>
                      <a:picLocks noChangeAspect="1" noChangeArrowheads="1"/>
                    </pic:cNvPicPr>
                  </pic:nvPicPr>
                  <pic:blipFill>
                    <a:blip r:embed="rId16" cstate="print"/>
                    <a:srcRect/>
                    <a:stretch>
                      <a:fillRect/>
                    </a:stretch>
                  </pic:blipFill>
                  <pic:spPr>
                    <a:xfrm>
                      <a:off x="0" y="0"/>
                      <a:ext cx="1403350" cy="721360"/>
                    </a:xfrm>
                    <a:prstGeom prst="rect">
                      <a:avLst/>
                    </a:prstGeom>
                    <a:noFill/>
                  </pic:spPr>
                </pic:pic>
              </a:graphicData>
            </a:graphic>
          </wp:anchor>
        </w:drawing>
      </w:r>
    </w:p>
    <w:p w14:paraId="53797875">
      <w:pPr>
        <w:rPr>
          <w:rFonts w:hint="default" w:eastAsia="宋体"/>
          <w:lang w:val="en-US" w:eastAsia="zh-CN"/>
        </w:rPr>
      </w:pPr>
      <w:r>
        <w:rPr>
          <w:rFonts w:hint="eastAsia"/>
          <w:lang w:val="en-US" w:eastAsia="zh-CN"/>
        </w:rPr>
        <w:t>CCCCS</w:t>
      </w:r>
    </w:p>
    <w:p w14:paraId="21905E59"/>
    <w:p w14:paraId="51D7224B"/>
    <w:p w14:paraId="172BD0CD"/>
    <w:p w14:paraId="636EEC24"/>
    <w:p w14:paraId="223265DE"/>
    <w:p w14:paraId="5691D304">
      <w:pPr>
        <w:sectPr>
          <w:headerReference r:id="rId4" w:type="first"/>
          <w:footerReference r:id="rId5" w:type="default"/>
          <w:headerReference r:id="rId3" w:type="even"/>
          <w:footerReference r:id="rId6" w:type="even"/>
          <w:pgSz w:w="11906" w:h="16838"/>
          <w:pgMar w:top="567" w:right="850" w:bottom="1134" w:left="1418" w:header="1418" w:footer="1134" w:gutter="0"/>
          <w:pgNumType w:fmt="decimal" w:start="1"/>
          <w:cols w:space="720" w:num="1"/>
          <w:formProt w:val="0"/>
          <w:docGrid w:type="lines" w:linePitch="312" w:charSpace="0"/>
        </w:sectPr>
      </w:pPr>
      <w:r>
        <w:pict>
          <v:line id="Line 5" o:spid="_x0000_s1026" o:spt="20" style="position:absolute;left:0pt;margin-left:-0.1pt;margin-top:66.45pt;height:0.05pt;width:482pt;z-index:251663360;mso-width-relative:page;mso-height-relative:page;" coordsize="21600,21600" o:gfxdata="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pT&#10;RZbWAAAACQEAAA8AAAAAAAAAAQAgAAAAIgAAAGRycy9kb3ducmV2LnhtbFBLAQIUABQAAAAIAIdO&#10;4kDK2QyrswEAAFQDAAAOAAAAAAAAAAEAIAAAACUBAABkcnMvZTJvRG9jLnhtbFBLBQYAAAAABgAG&#10;AFkBAABKBQAAAAA=&#10;">
            <v:path arrowok="t"/>
            <v:fill focussize="0,0"/>
            <v:stroke/>
            <v:imagedata o:title=""/>
            <o:lock v:ext="edit"/>
          </v:line>
        </w:pict>
      </w:r>
      <w:r>
        <w:pict>
          <v:line id="直线 23" o:spid="_x0000_s1035" o:spt="20" style="position:absolute;left:0pt;flip:y;margin-left:-4pt;margin-top:600.45pt;height:1.5pt;width:485.9pt;z-index:251665408;mso-width-relative:page;mso-height-relative:page;" coordsize="21600,21600" o:gfxdata="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N1UNNcAAAAMAQAADwAAAAAAAAABACAAAAAiAAAAZHJzL2Rv&#10;d25yZXYueG1sUEsBAhQAFAAAAAgAh07iQKKwqC3JAQAAYwMAAA4AAAAAAAAAAQAgAAAAJgEAAGRy&#10;cy9lMm9Eb2MueG1sUEsFBgAAAAAGAAYAWQEAAGEFAAAAAA==&#10;">
            <v:path arrowok="t"/>
            <v:fill focussize="0,0"/>
            <v:stroke/>
            <v:imagedata o:title=""/>
            <o:lock v:ext="edit"/>
          </v:line>
        </w:pict>
      </w:r>
      <w:r>
        <w:pict>
          <v:shape id="文本框 34" o:spid="_x0000_s1034" o:spt="202" type="#_x0000_t202" style="position:absolute;left:0pt;margin-left:361.1pt;margin-top:619.95pt;height:35.25pt;width:44.95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">
            <v:path/>
            <v:fill on="f" focussize="0,0"/>
            <v:stroke on="f" joinstyle="miter"/>
            <v:imagedata o:title=""/>
            <o:lock v:ext="edit"/>
            <v:textbox inset="7.21pt,1.27mm,7.21pt,1.27mm">
              <w:txbxContent>
                <w:p w14:paraId="7A931A90">
                  <w:pPr>
                    <w:rPr>
                      <w:b/>
                      <w:bCs/>
                      <w:sz w:val="28"/>
                      <w:szCs w:val="28"/>
                    </w:rPr>
                  </w:pPr>
                  <w:r>
                    <w:rPr>
                      <w:rFonts w:hint="eastAsia"/>
                      <w:b/>
                      <w:bCs/>
                      <w:sz w:val="28"/>
                      <w:szCs w:val="28"/>
                    </w:rPr>
                    <w:t>发布</w:t>
                  </w:r>
                </w:p>
              </w:txbxContent>
            </v:textbox>
          </v:shape>
        </w:pict>
      </w:r>
      <w:r>
        <w:pict>
          <v:shape id="文本框 32" o:spid="_x0000_s1027" o:spt="202" type="#_x0000_t202" style="position:absolute;left:0pt;margin-left:38.2pt;margin-top:619.95pt;height:46.4pt;width:317.25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">
            <v:path/>
            <v:fill on="f" focussize="0,0"/>
            <v:stroke on="f" joinstyle="miter"/>
            <v:imagedata o:title=""/>
            <o:lock v:ext="edit"/>
            <v:textbox inset="7.21pt,1.27mm,7.21pt,1.27mm">
              <w:txbxContent>
                <w:p w14:paraId="74B8B8E1">
                  <w:pPr>
                    <w:spacing w:line="340" w:lineRule="exact"/>
                    <w:jc w:val="distribute"/>
                    <w:rPr>
                      <w:rFonts w:ascii="华文中宋" w:hAnsi="华文中宋" w:eastAsia="华文中宋" w:cs="华文中宋"/>
                      <w:b/>
                      <w:spacing w:val="-5"/>
                      <w:sz w:val="32"/>
                      <w:szCs w:val="32"/>
                    </w:rPr>
                  </w:pPr>
                  <w:r>
                    <w:rPr>
                      <w:rFonts w:hint="eastAsia" w:ascii="华文中宋" w:hAnsi="华文中宋" w:eastAsia="华文中宋" w:cs="华文中宋"/>
                      <w:b/>
                      <w:spacing w:val="-5"/>
                      <w:sz w:val="32"/>
                      <w:szCs w:val="32"/>
                    </w:rPr>
                    <w:t>国家</w:t>
                  </w:r>
                  <w:r>
                    <w:rPr>
                      <w:rFonts w:hint="eastAsia" w:ascii="华文中宋" w:hAnsi="华文中宋" w:eastAsia="华文中宋" w:cs="华文中宋"/>
                      <w:b/>
                      <w:spacing w:val="-5"/>
                      <w:sz w:val="32"/>
                      <w:szCs w:val="32"/>
                      <w:lang w:eastAsia="zh-CN"/>
                    </w:rPr>
                    <w:t>市场</w:t>
                  </w:r>
                  <w:r>
                    <w:rPr>
                      <w:rFonts w:hint="eastAsia" w:ascii="华文中宋" w:hAnsi="华文中宋" w:eastAsia="华文中宋" w:cs="华文中宋"/>
                      <w:b/>
                      <w:spacing w:val="-5"/>
                      <w:sz w:val="32"/>
                      <w:szCs w:val="32"/>
                    </w:rPr>
                    <w:t>监督</w:t>
                  </w:r>
                  <w:r>
                    <w:rPr>
                      <w:rFonts w:hint="eastAsia" w:ascii="华文中宋" w:hAnsi="华文中宋" w:eastAsia="华文中宋" w:cs="华文中宋"/>
                      <w:b/>
                      <w:spacing w:val="-5"/>
                      <w:sz w:val="32"/>
                      <w:szCs w:val="32"/>
                      <w:lang w:eastAsia="zh-CN"/>
                    </w:rPr>
                    <w:t>管理</w:t>
                  </w:r>
                  <w:r>
                    <w:rPr>
                      <w:rFonts w:hint="eastAsia" w:ascii="华文中宋" w:hAnsi="华文中宋" w:eastAsia="华文中宋" w:cs="华文中宋"/>
                      <w:b/>
                      <w:spacing w:val="-5"/>
                      <w:sz w:val="32"/>
                      <w:szCs w:val="32"/>
                    </w:rPr>
                    <w:t>总局</w:t>
                  </w:r>
                </w:p>
                <w:p w14:paraId="5E967584">
                  <w:pPr>
                    <w:spacing w:line="340" w:lineRule="exact"/>
                    <w:jc w:val="distribute"/>
                  </w:pPr>
                  <w:r>
                    <w:rPr>
                      <w:rFonts w:hint="eastAsia" w:ascii="华文中宋" w:hAnsi="华文中宋" w:eastAsia="华文中宋" w:cs="华文中宋"/>
                      <w:b/>
                      <w:sz w:val="32"/>
                      <w:szCs w:val="32"/>
                    </w:rPr>
                    <w:t>国家标准化管理委员会</w:t>
                  </w:r>
                </w:p>
              </w:txbxContent>
            </v:textbox>
          </v:shape>
        </w:pict>
      </w:r>
      <w:r>
        <w:pict>
          <v:shape id="fmFrame6" o:spid="_x0000_s1028" o:spt="202" type="#_x0000_t202" style="position:absolute;left:0pt;margin-left:360.55pt;margin-top:685.65pt;height:24pt;width:121.35pt;mso-position-horizontal-relative:margin;mso-position-vertical-relative:margin;z-index:2516684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">
            <v:path/>
            <v:fill focussize="0,0"/>
            <v:stroke on="f" joinstyle="miter"/>
            <v:imagedata o:title=""/>
            <o:lock v:ext="edit"/>
            <v:textbox inset="0mm,0mm,0mm,0mm">
              <w:txbxContent>
                <w:p w14:paraId="7A4611EA">
                  <w:pPr>
                    <w:pStyle w:val="77"/>
                    <w:jc w:val="center"/>
                    <w:rPr>
                      <w:rFonts w:ascii="黑体" w:hAnsi="宋体"/>
                      <w:b/>
                      <w:bCs/>
                      <w:szCs w:val="28"/>
                    </w:rPr>
                  </w:pPr>
                  <w:r>
                    <w:rPr>
                      <w:rFonts w:hint="eastAsia" w:ascii="黑体" w:hAnsi="宋体" w:cs="华文中宋"/>
                      <w:b/>
                      <w:bCs/>
                      <w:szCs w:val="28"/>
                    </w:rPr>
                    <w:t>20</w:t>
                  </w:r>
                  <w:r>
                    <w:rPr>
                      <w:rFonts w:hint="eastAsia" w:ascii="黑体" w:hAnsi="宋体" w:cs="华文中宋"/>
                      <w:b/>
                      <w:bCs/>
                      <w:szCs w:val="28"/>
                      <w:lang w:val="en-US" w:eastAsia="zh-CN"/>
                    </w:rPr>
                    <w:t>2</w:t>
                  </w:r>
                  <w:r>
                    <w:rPr>
                      <w:rFonts w:hint="eastAsia" w:ascii="黑体" w:hAnsi="宋体" w:cs="华文中宋"/>
                      <w:b/>
                      <w:bCs/>
                      <w:szCs w:val="28"/>
                    </w:rPr>
                    <w:t>X-XX-XX 实施</w:t>
                  </w:r>
                </w:p>
              </w:txbxContent>
            </v:textbox>
            <w10:anchorlock/>
          </v:shape>
        </w:pict>
      </w:r>
      <w:r>
        <w:pict>
          <v:shape id="fmFrame5" o:spid="_x0000_s1029" o:spt="202" type="#_x0000_t202" style="position:absolute;left:0pt;margin-left:-4.05pt;margin-top:684.3pt;height:25.35pt;width:112.55pt;mso-position-horizontal-relative:margin;mso-position-vertical-relative:margin;z-index:25166745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">
            <v:path/>
            <v:fill focussize="0,0"/>
            <v:stroke on="f" joinstyle="miter"/>
            <v:imagedata o:title=""/>
            <o:lock v:ext="edit"/>
            <v:textbox inset="0mm,0mm,0mm,0mm">
              <w:txbxContent>
                <w:p w14:paraId="1BA31EB3">
                  <w:pPr>
                    <w:pStyle w:val="53"/>
                    <w:rPr>
                      <w:rFonts w:ascii="黑体" w:hAnsi="宋体" w:cs="华文中宋"/>
                      <w:b/>
                      <w:bCs/>
                      <w:szCs w:val="28"/>
                    </w:rPr>
                  </w:pPr>
                  <w:r>
                    <w:rPr>
                      <w:rFonts w:hint="eastAsia" w:ascii="黑体" w:hAnsi="宋体" w:cs="华文中宋"/>
                      <w:b/>
                      <w:bCs/>
                      <w:szCs w:val="28"/>
                    </w:rPr>
                    <w:t>20</w:t>
                  </w:r>
                  <w:r>
                    <w:rPr>
                      <w:rFonts w:hint="eastAsia" w:ascii="黑体" w:hAnsi="宋体" w:cs="华文中宋"/>
                      <w:b/>
                      <w:bCs/>
                      <w:szCs w:val="28"/>
                      <w:lang w:val="en-US" w:eastAsia="zh-CN"/>
                    </w:rPr>
                    <w:t>2</w:t>
                  </w:r>
                  <w:r>
                    <w:rPr>
                      <w:rFonts w:hint="eastAsia" w:ascii="黑体" w:hAnsi="宋体" w:cs="华文中宋"/>
                      <w:b/>
                      <w:bCs/>
                      <w:szCs w:val="28"/>
                    </w:rPr>
                    <w:t>X-XX-XX发布</w:t>
                  </w:r>
                </w:p>
              </w:txbxContent>
            </v:textbox>
            <w10:anchorlock/>
          </v:shape>
        </w:pict>
      </w:r>
      <w:r>
        <w:pict>
          <v:shape id="fmFrame4" o:spid="_x0000_s1030" o:spt="202" type="#_x0000_t202" style="position:absolute;left:0pt;margin-left:4.5pt;margin-top:216.15pt;height:394.5pt;width:470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">
            <v:path/>
            <v:fill focussize="0,0"/>
            <v:stroke on="f" joinstyle="miter"/>
            <v:imagedata o:title=""/>
            <o:lock v:ext="edit"/>
            <v:textbox inset="0mm,0mm,0mm,0mm">
              <w:txbxContent>
                <w:p w14:paraId="31849924">
                  <w:pPr>
                    <w:pStyle w:val="70"/>
                    <w:rPr>
                      <w:rFonts w:hint="eastAsia" w:hAnsi="Times New Roman" w:cs="Times New Roman"/>
                    </w:rPr>
                  </w:pPr>
                </w:p>
                <w:p w14:paraId="3AA0C0A5">
                  <w:pPr>
                    <w:pStyle w:val="70"/>
                    <w:rPr>
                      <w:rFonts w:hint="eastAsia" w:hAnsi="Times New Roman" w:cs="Times New Roman"/>
                    </w:rPr>
                  </w:pPr>
                  <w:r>
                    <w:rPr>
                      <w:rFonts w:hint="eastAsia" w:hAnsi="Times New Roman" w:cs="Times New Roman"/>
                    </w:rPr>
                    <w:t>稀土金属及其氧化物中非稀土杂质</w:t>
                  </w:r>
                </w:p>
                <w:p w14:paraId="50365505">
                  <w:pPr>
                    <w:pStyle w:val="70"/>
                    <w:rPr>
                      <w:rFonts w:hint="eastAsia" w:hAnsi="Times New Roman" w:cs="Times New Roman"/>
                    </w:rPr>
                  </w:pPr>
                  <w:r>
                    <w:rPr>
                      <w:rFonts w:hint="eastAsia" w:hAnsi="Times New Roman" w:cs="Times New Roman"/>
                    </w:rPr>
                    <w:t>化学分析方法 第1</w:t>
                  </w:r>
                  <w:r>
                    <w:rPr>
                      <w:rFonts w:hint="eastAsia" w:hAnsi="Times New Roman" w:cs="Times New Roman"/>
                      <w:lang w:val="en-US" w:eastAsia="zh-CN"/>
                    </w:rPr>
                    <w:t>1</w:t>
                  </w:r>
                  <w:r>
                    <w:rPr>
                      <w:rFonts w:hint="eastAsia" w:hAnsi="Times New Roman" w:cs="Times New Roman"/>
                    </w:rPr>
                    <w:t>部分：</w:t>
                  </w:r>
                  <w:r>
                    <w:rPr>
                      <w:rFonts w:hint="eastAsia" w:hAnsi="Times New Roman" w:cs="Times New Roman"/>
                      <w:lang w:eastAsia="zh-CN"/>
                    </w:rPr>
                    <w:t>镁</w:t>
                  </w:r>
                  <w:r>
                    <w:rPr>
                      <w:rFonts w:hint="eastAsia" w:hAnsi="Times New Roman" w:cs="Times New Roman"/>
                    </w:rPr>
                    <w:t>量的测定</w:t>
                  </w:r>
                </w:p>
                <w:p w14:paraId="3CFCAB39">
                  <w:pPr>
                    <w:pStyle w:val="70"/>
                    <w:rPr>
                      <w:rFonts w:hint="eastAsia" w:hAnsi="Times New Roman" w:cs="Times New Roman"/>
                    </w:rPr>
                  </w:pPr>
                  <w:r>
                    <w:rPr>
                      <w:rFonts w:hint="eastAsia" w:hAnsi="Times New Roman" w:cs="Times New Roman"/>
                    </w:rPr>
                    <w:t>火焰原子吸收光谱法</w:t>
                  </w:r>
                </w:p>
                <w:p w14:paraId="7401F212">
                  <w:pPr>
                    <w:pStyle w:val="70"/>
                    <w:rPr>
                      <w:rFonts w:hint="default" w:ascii="Times New Roman" w:hAnsi="Times New Roman" w:cs="Times New Roman"/>
                      <w:sz w:val="28"/>
                      <w:szCs w:val="28"/>
                    </w:rPr>
                  </w:pPr>
                  <w:r>
                    <w:rPr>
                      <w:rFonts w:hint="default" w:ascii="Times New Roman" w:hAnsi="Times New Roman" w:cs="Times New Roman"/>
                      <w:sz w:val="28"/>
                      <w:szCs w:val="28"/>
                    </w:rPr>
                    <w:t>Chemical analysis methods for</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non-rare earth impurities of rare earth metals and their oxides- Part 1</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 xml:space="preserve">:Determination of </w:t>
                  </w:r>
                  <w:r>
                    <w:rPr>
                      <w:rFonts w:hint="default" w:ascii="Times New Roman" w:hAnsi="Times New Roman" w:cs="Times New Roman"/>
                      <w:sz w:val="28"/>
                      <w:szCs w:val="28"/>
                      <w:lang w:val="en-US" w:eastAsia="zh-CN"/>
                    </w:rPr>
                    <w:t>magnes</w:t>
                  </w:r>
                  <w:r>
                    <w:rPr>
                      <w:rFonts w:hint="default" w:ascii="Times New Roman" w:hAnsi="Times New Roman" w:cs="Times New Roman"/>
                      <w:sz w:val="28"/>
                      <w:szCs w:val="28"/>
                    </w:rPr>
                    <w:t>ium content</w:t>
                  </w:r>
                </w:p>
                <w:p w14:paraId="5107BE67">
                  <w:pPr>
                    <w:pStyle w:val="70"/>
                    <w:rPr>
                      <w:rFonts w:hint="default" w:ascii="Times New Roman" w:hAnsi="Times New Roman" w:eastAsia="黑体" w:cs="Times New Roman"/>
                      <w:sz w:val="28"/>
                      <w:szCs w:val="28"/>
                      <w:lang w:val="en-US" w:eastAsia="zh-CN"/>
                    </w:rPr>
                  </w:pPr>
                  <w:r>
                    <w:rPr>
                      <w:rFonts w:hint="eastAsia" w:ascii="Times New Roman" w:hAnsi="Times New Roman" w:cs="Times New Roman"/>
                      <w:sz w:val="28"/>
                      <w:szCs w:val="28"/>
                      <w:lang w:val="en-US" w:eastAsia="zh-CN"/>
                    </w:rPr>
                    <w:t>—Flame atomic absorption spectrometric method</w:t>
                  </w:r>
                </w:p>
                <w:p w14:paraId="4BF57028">
                  <w:pPr>
                    <w:pStyle w:val="70"/>
                    <w:rPr>
                      <w:rFonts w:hint="eastAsia" w:ascii="宋体" w:hAnsi="宋体" w:eastAsia="宋体" w:cs="宋体"/>
                      <w:sz w:val="28"/>
                      <w:szCs w:val="28"/>
                    </w:rPr>
                  </w:pPr>
                  <w:r>
                    <w:rPr>
                      <w:rFonts w:hint="eastAsia" w:ascii="宋体" w:hAnsi="宋体" w:eastAsia="宋体" w:cs="宋体"/>
                      <w:sz w:val="28"/>
                      <w:szCs w:val="28"/>
                      <w:lang w:val="en-US" w:eastAsia="zh-CN"/>
                    </w:rPr>
                    <w:t>(预审</w:t>
                  </w:r>
                  <w:r>
                    <w:rPr>
                      <w:rFonts w:hint="eastAsia" w:ascii="宋体" w:hAnsi="宋体" w:eastAsia="宋体" w:cs="宋体"/>
                      <w:sz w:val="28"/>
                      <w:szCs w:val="28"/>
                    </w:rPr>
                    <w:t>稿）</w:t>
                  </w:r>
                </w:p>
              </w:txbxContent>
            </v:textbox>
            <w10:anchorlock/>
          </v:shape>
        </w:pict>
      </w:r>
      <w:r>
        <w:pict>
          <v:shape id="fmFrame3" o:spid="_x0000_s1031" o:spt="202" type="#_x0000_t202" style="position:absolute;left:0pt;margin-left:-18.75pt;margin-top:109.7pt;height:57.7pt;width:510.4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">
            <v:path/>
            <v:fill focussize="0,0"/>
            <v:stroke on="f" joinstyle="miter"/>
            <v:imagedata o:title=""/>
            <o:lock v:ext="edit"/>
            <v:textbox inset="0mm,0mm,0mm,0mm">
              <w:txbxContent>
                <w:p w14:paraId="2BE3F84A">
                  <w:pPr>
                    <w:pStyle w:val="145"/>
                    <w:ind w:right="560"/>
                    <w:rPr>
                      <w:b/>
                      <w:sz w:val="24"/>
                      <w:szCs w:val="24"/>
                    </w:rPr>
                  </w:pPr>
                  <w:r>
                    <w:rPr>
                      <w:rFonts w:ascii="Times New Roman" w:eastAsia="华文中宋"/>
                      <w:b/>
                      <w:sz w:val="24"/>
                      <w:szCs w:val="24"/>
                    </w:rPr>
                    <w:t>GB/T</w:t>
                  </w:r>
                  <w:r>
                    <w:rPr>
                      <w:rFonts w:hint="eastAsia" w:ascii="Times New Roman" w:eastAsia="华文中宋"/>
                      <w:b/>
                      <w:sz w:val="24"/>
                      <w:szCs w:val="24"/>
                    </w:rPr>
                    <w:t>12960.</w:t>
                  </w:r>
                  <w:r>
                    <w:rPr>
                      <w:rFonts w:ascii="Times New Roman" w:eastAsia="华文中宋"/>
                      <w:b/>
                      <w:sz w:val="24"/>
                      <w:szCs w:val="24"/>
                    </w:rPr>
                    <w:t>1</w:t>
                  </w:r>
                  <w:r>
                    <w:rPr>
                      <w:rFonts w:hint="eastAsia" w:ascii="Times New Roman" w:eastAsia="华文中宋"/>
                      <w:b/>
                      <w:sz w:val="24"/>
                      <w:szCs w:val="24"/>
                      <w:lang w:val="en-US" w:eastAsia="zh-CN"/>
                    </w:rPr>
                    <w:t>1</w:t>
                  </w:r>
                  <w:r>
                    <w:rPr>
                      <w:rFonts w:ascii="Times New Roman" w:eastAsia="华文中宋"/>
                      <w:b/>
                      <w:sz w:val="24"/>
                      <w:szCs w:val="24"/>
                    </w:rPr>
                    <w:t>—</w:t>
                  </w:r>
                  <w:r>
                    <w:rPr>
                      <w:rFonts w:hint="eastAsia" w:ascii="Times New Roman" w:eastAsia="华文中宋"/>
                      <w:b/>
                      <w:sz w:val="24"/>
                      <w:szCs w:val="24"/>
                    </w:rPr>
                    <w:t>20</w:t>
                  </w:r>
                  <w:r>
                    <w:rPr>
                      <w:rFonts w:hint="eastAsia" w:ascii="Times New Roman" w:eastAsia="华文中宋"/>
                      <w:b/>
                      <w:sz w:val="24"/>
                      <w:szCs w:val="24"/>
                      <w:lang w:val="en-US" w:eastAsia="zh-CN"/>
                    </w:rPr>
                    <w:t>2</w:t>
                  </w:r>
                  <w:r>
                    <w:rPr>
                      <w:rFonts w:ascii="Times New Roman" w:eastAsia="华文中宋"/>
                      <w:b/>
                      <w:sz w:val="24"/>
                      <w:szCs w:val="24"/>
                    </w:rPr>
                    <w:t>X</w:t>
                  </w:r>
                </w:p>
                <w:p w14:paraId="0B36C402">
                  <w:pPr>
                    <w:pStyle w:val="145"/>
                    <w:spacing w:before="0"/>
                    <w:ind w:right="560"/>
                    <w:rPr>
                      <w:rFonts w:hint="default" w:eastAsia="宋体"/>
                      <w:sz w:val="24"/>
                      <w:szCs w:val="24"/>
                      <w:lang w:val="en-US" w:eastAsia="zh-CN"/>
                    </w:rPr>
                  </w:pPr>
                  <w:r>
                    <w:rPr>
                      <w:rFonts w:hint="eastAsia" w:ascii="宋体" w:hAnsi="宋体" w:eastAsia="宋体" w:cs="宋体"/>
                      <w:bCs/>
                      <w:sz w:val="21"/>
                      <w:szCs w:val="21"/>
                    </w:rPr>
                    <w:t>代替G</w:t>
                  </w:r>
                  <w:r>
                    <w:rPr>
                      <w:rFonts w:ascii="Times New Roman" w:eastAsia="宋体"/>
                      <w:bCs/>
                      <w:sz w:val="21"/>
                      <w:szCs w:val="21"/>
                    </w:rPr>
                    <w:t xml:space="preserve">B/T </w:t>
                  </w:r>
                  <w:r>
                    <w:rPr>
                      <w:rFonts w:hint="eastAsia" w:ascii="Times New Roman" w:eastAsia="宋体"/>
                      <w:bCs/>
                      <w:sz w:val="21"/>
                      <w:szCs w:val="21"/>
                    </w:rPr>
                    <w:t>12690.</w:t>
                  </w:r>
                  <w:r>
                    <w:rPr>
                      <w:rFonts w:ascii="Times New Roman" w:eastAsia="宋体"/>
                      <w:bCs/>
                      <w:sz w:val="21"/>
                      <w:szCs w:val="21"/>
                    </w:rPr>
                    <w:t>1</w:t>
                  </w:r>
                  <w:r>
                    <w:rPr>
                      <w:rFonts w:hint="eastAsia" w:ascii="Times New Roman" w:eastAsia="宋体"/>
                      <w:bCs/>
                      <w:sz w:val="21"/>
                      <w:szCs w:val="21"/>
                      <w:lang w:val="en-US" w:eastAsia="zh-CN"/>
                    </w:rPr>
                    <w:t>1</w:t>
                  </w:r>
                  <w:r>
                    <w:rPr>
                      <w:rFonts w:hint="eastAsia" w:ascii="Times New Roman" w:eastAsia="宋体"/>
                      <w:bCs/>
                      <w:sz w:val="21"/>
                      <w:szCs w:val="21"/>
                    </w:rPr>
                    <w:t>-20</w:t>
                  </w:r>
                  <w:r>
                    <w:rPr>
                      <w:rFonts w:hint="eastAsia" w:ascii="Times New Roman" w:eastAsia="宋体"/>
                      <w:bCs/>
                      <w:sz w:val="21"/>
                      <w:szCs w:val="21"/>
                      <w:lang w:val="en-US" w:eastAsia="zh-CN"/>
                    </w:rPr>
                    <w:t>03</w:t>
                  </w:r>
                </w:p>
              </w:txbxContent>
            </v:textbox>
            <w10:anchorlock/>
          </v:shape>
        </w:pict>
      </w:r>
      <w:r>
        <w:pict>
          <v:shape id="fmFrame2" o:spid="_x0000_s1032" o:spt="202" type="#_x0000_t202" style="position:absolute;left:0pt;margin-left:-0.1pt;margin-top:71.25pt;height:38.45pt;width:481.9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">
            <v:path/>
            <v:fill focussize="0,0"/>
            <v:stroke on="f" joinstyle="miter"/>
            <v:imagedata o:title=""/>
            <o:lock v:ext="edit"/>
            <v:textbox inset="0mm,0mm,0mm,0mm" style="mso-fit-shape-to-text:t;">
              <w:txbxContent>
                <w:p w14:paraId="6E70E8CA">
                  <w:pPr>
                    <w:pStyle w:val="93"/>
                    <w:rPr>
                      <w:rFonts w:ascii="宋体" w:eastAsia="宋体" w:cs="宋体"/>
                      <w:b/>
                      <w:w w:val="130"/>
                      <w:sz w:val="52"/>
                    </w:rPr>
                  </w:pPr>
                  <w:r>
                    <w:rPr>
                      <w:rFonts w:hint="eastAsia" w:ascii="华文中宋" w:hAnsi="华文中宋" w:eastAsia="华文中宋" w:cs="华文中宋"/>
                      <w:b/>
                      <w:spacing w:val="0"/>
                      <w:w w:val="130"/>
                      <w:sz w:val="52"/>
                    </w:rPr>
                    <w:t>中华人民共和国国家标准</w:t>
                  </w:r>
                </w:p>
              </w:txbxContent>
            </v:textbox>
            <w10:anchorlock/>
          </v:shape>
        </w:pict>
      </w:r>
      <w:r>
        <w:pict>
          <v:shape id="fmFrame1" o:spid="_x0000_s1033" o:spt="202" type="#_x0000_t202" style="position:absolute;left:0pt;margin-left:-0.1pt;margin-top:-2.1pt;height:39.95pt;width:200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">
            <v:path/>
            <v:fill focussize="0,0"/>
            <v:stroke on="f" joinstyle="miter"/>
            <v:imagedata o:title=""/>
            <o:lock v:ext="edit"/>
            <v:textbox inset="0mm,0mm,0mm,0mm">
              <w:txbxContent>
                <w:p w14:paraId="6C2430F4">
                  <w:pPr>
                    <w:pStyle w:val="127"/>
                    <w:rPr>
                      <w:color w:val="FF0000"/>
                    </w:rPr>
                  </w:pPr>
                  <w:r>
                    <w:t>ICS 77.120.99</w:t>
                  </w:r>
                </w:p>
                <w:p w14:paraId="67DB9DC8">
                  <w:pPr>
                    <w:pStyle w:val="127"/>
                    <w:rPr>
                      <w:rFonts w:hint="default" w:eastAsia="黑体"/>
                      <w:lang w:val="en-US" w:eastAsia="zh-CN"/>
                    </w:rPr>
                  </w:pPr>
                  <w:r>
                    <w:rPr>
                      <w:rFonts w:hint="eastAsia"/>
                      <w:lang w:val="en-US" w:eastAsia="zh-CN"/>
                    </w:rPr>
                    <w:t>CCS H</w:t>
                  </w:r>
                  <w:r>
                    <w:t xml:space="preserve"> </w:t>
                  </w:r>
                  <w:r>
                    <w:rPr>
                      <w:rFonts w:hint="eastAsia"/>
                      <w:lang w:val="en-US" w:eastAsia="zh-CN"/>
                    </w:rPr>
                    <w:t>14</w:t>
                  </w:r>
                </w:p>
                <w:p w14:paraId="008C1F97">
                  <w:pPr>
                    <w:pStyle w:val="127"/>
                    <w:rPr>
                      <w:rFonts w:eastAsia="宋体"/>
                    </w:rPr>
                  </w:pPr>
                </w:p>
              </w:txbxContent>
            </v:textbox>
            <w10:anchorlock/>
          </v:shape>
        </w:pict>
      </w:r>
    </w:p>
    <w:p w14:paraId="383977D1">
      <w:pPr>
        <w:pStyle w:val="73"/>
        <w:keepNext/>
        <w:keepLines w:val="0"/>
        <w:pageBreakBefore/>
        <w:widowControl/>
        <w:kinsoku/>
        <w:wordWrap/>
        <w:overflowPunct/>
        <w:topLinePunct w:val="0"/>
        <w:autoSpaceDE/>
        <w:autoSpaceDN/>
        <w:bidi w:val="0"/>
        <w:adjustRightInd/>
        <w:snapToGrid/>
        <w:spacing w:line="300" w:lineRule="exact"/>
        <w:textAlignment w:val="auto"/>
      </w:pPr>
      <w:r>
        <w:rPr>
          <w:rFonts w:hint="eastAsia"/>
        </w:rPr>
        <w:t>前  言</w:t>
      </w:r>
    </w:p>
    <w:p w14:paraId="67CDD898">
      <w:pPr>
        <w:keepNext w:val="0"/>
        <w:keepLines w:val="0"/>
        <w:widowControl/>
        <w:suppressLineNumbers w:val="0"/>
        <w:ind w:firstLine="840" w:firstLineChars="400"/>
        <w:jc w:val="left"/>
        <w:rPr>
          <w:rFonts w:hint="eastAsia" w:ascii="宋体" w:hAnsi="宋体" w:eastAsia="宋体" w:cs="宋体"/>
          <w:sz w:val="21"/>
          <w:szCs w:val="21"/>
        </w:rPr>
      </w:pPr>
      <w:r>
        <w:rPr>
          <w:rFonts w:hint="eastAsia"/>
        </w:rPr>
        <w:t>本</w:t>
      </w:r>
      <w:r>
        <w:rPr>
          <w:rFonts w:hint="eastAsia"/>
          <w:lang w:eastAsia="zh-CN"/>
        </w:rPr>
        <w:t>文件</w:t>
      </w:r>
      <w:r>
        <w:rPr>
          <w:rFonts w:hint="eastAsia"/>
        </w:rPr>
        <w:t>按照GB/T 1.1-20</w:t>
      </w:r>
      <w:r>
        <w:rPr>
          <w:rFonts w:hint="eastAsia"/>
          <w:lang w:val="en-US" w:eastAsia="zh-CN"/>
        </w:rPr>
        <w:t>20</w:t>
      </w:r>
      <w:r>
        <w:rPr>
          <w:rFonts w:hint="eastAsia" w:ascii="宋体" w:hAnsi="宋体" w:eastAsia="宋体" w:cs="宋体"/>
          <w:color w:val="000000"/>
          <w:kern w:val="0"/>
          <w:sz w:val="21"/>
          <w:szCs w:val="21"/>
          <w:lang w:val="en-US" w:eastAsia="zh-CN" w:bidi="ar"/>
        </w:rPr>
        <w:t>《标准化工作导则 第1部分：标准化文件的结构和起草规则》</w:t>
      </w:r>
      <w:r>
        <w:rPr>
          <w:rFonts w:hint="eastAsia" w:ascii="宋体" w:hAnsi="宋体" w:cs="宋体"/>
          <w:color w:val="000000"/>
          <w:kern w:val="0"/>
          <w:sz w:val="21"/>
          <w:szCs w:val="21"/>
          <w:lang w:val="en-US" w:eastAsia="zh-CN" w:bidi="ar"/>
        </w:rPr>
        <w:t>的</w:t>
      </w:r>
    </w:p>
    <w:p w14:paraId="1F225C0A">
      <w:pPr>
        <w:pStyle w:val="33"/>
        <w:spacing w:line="360" w:lineRule="auto"/>
      </w:pPr>
      <w:r>
        <w:rPr>
          <w:rFonts w:hint="eastAsia"/>
        </w:rPr>
        <w:t>规</w:t>
      </w:r>
      <w:r>
        <w:rPr>
          <w:rFonts w:hint="eastAsia"/>
          <w:lang w:eastAsia="zh-CN"/>
        </w:rPr>
        <w:t>定</w:t>
      </w:r>
      <w:r>
        <w:rPr>
          <w:rFonts w:hint="eastAsia"/>
        </w:rPr>
        <w:t>起草。</w:t>
      </w:r>
    </w:p>
    <w:p w14:paraId="65C404AA">
      <w:pPr>
        <w:pStyle w:val="101"/>
        <w:snapToGrid w:val="0"/>
        <w:spacing w:line="360" w:lineRule="auto"/>
        <w:ind w:right="210" w:firstLine="840" w:firstLineChars="400"/>
        <w:jc w:val="both"/>
        <w:rPr>
          <w:rFonts w:hint="eastAsia" w:hAnsi="宋体" w:eastAsia="宋体"/>
          <w:szCs w:val="21"/>
          <w:lang w:eastAsia="zh-CN"/>
        </w:rPr>
      </w:pPr>
      <w:r>
        <w:rPr>
          <w:szCs w:val="21"/>
        </w:rPr>
        <w:t>本</w:t>
      </w:r>
      <w:r>
        <w:rPr>
          <w:rFonts w:hint="eastAsia"/>
          <w:szCs w:val="21"/>
          <w:lang w:eastAsia="zh-CN"/>
        </w:rPr>
        <w:t>文件是</w:t>
      </w:r>
      <w:r>
        <w:rPr>
          <w:szCs w:val="21"/>
        </w:rPr>
        <w:t>GB/T 12690</w:t>
      </w:r>
      <w:r>
        <w:rPr>
          <w:rFonts w:hAnsi="宋体"/>
          <w:szCs w:val="21"/>
        </w:rPr>
        <w:t>《稀土金属及其氧化物中非稀土杂质化学分析方法》</w:t>
      </w:r>
      <w:r>
        <w:rPr>
          <w:rFonts w:hint="eastAsia" w:hAnsi="宋体"/>
          <w:szCs w:val="21"/>
          <w:lang w:eastAsia="zh-CN"/>
        </w:rPr>
        <w:t>的</w:t>
      </w:r>
      <w:r>
        <w:rPr>
          <w:rFonts w:hAnsi="宋体"/>
          <w:szCs w:val="21"/>
        </w:rPr>
        <w:t>第</w:t>
      </w:r>
      <w:r>
        <w:rPr>
          <w:rFonts w:hint="eastAsia" w:hAnsi="宋体"/>
          <w:szCs w:val="21"/>
        </w:rPr>
        <w:t>1</w:t>
      </w:r>
      <w:r>
        <w:rPr>
          <w:rFonts w:hint="eastAsia"/>
          <w:szCs w:val="21"/>
          <w:lang w:val="en-US" w:eastAsia="zh-CN"/>
        </w:rPr>
        <w:t>1</w:t>
      </w:r>
      <w:r>
        <w:rPr>
          <w:rFonts w:hAnsi="宋体"/>
          <w:szCs w:val="21"/>
        </w:rPr>
        <w:t>部分</w:t>
      </w:r>
      <w:r>
        <w:rPr>
          <w:rFonts w:hint="eastAsia" w:hAnsi="宋体"/>
          <w:szCs w:val="21"/>
          <w:lang w:eastAsia="zh-CN"/>
        </w:rPr>
        <w:t>，</w:t>
      </w:r>
      <w:r>
        <w:rPr>
          <w:szCs w:val="21"/>
        </w:rPr>
        <w:t>GB/T 12690</w:t>
      </w:r>
      <w:r>
        <w:rPr>
          <w:rFonts w:hint="eastAsia"/>
          <w:szCs w:val="21"/>
          <w:lang w:eastAsia="zh-CN"/>
        </w:rPr>
        <w:t>已经发布了以下部分</w:t>
      </w:r>
      <w:r>
        <w:rPr>
          <w:rFonts w:hint="eastAsia" w:hAnsi="宋体"/>
          <w:szCs w:val="21"/>
          <w:lang w:eastAsia="zh-CN"/>
        </w:rPr>
        <w:t>：</w:t>
      </w:r>
    </w:p>
    <w:p w14:paraId="1D550F28">
      <w:pPr>
        <w:pStyle w:val="101"/>
        <w:snapToGrid w:val="0"/>
        <w:spacing w:line="360" w:lineRule="auto"/>
        <w:ind w:firstLine="420" w:firstLineChars="200"/>
        <w:jc w:val="both"/>
        <w:rPr>
          <w:szCs w:val="21"/>
        </w:rPr>
      </w:pPr>
      <w:r>
        <w:rPr>
          <w:szCs w:val="21"/>
        </w:rPr>
        <w:t>――</w:t>
      </w:r>
      <w:r>
        <w:rPr>
          <w:rFonts w:hAnsi="宋体"/>
          <w:szCs w:val="21"/>
        </w:rPr>
        <w:t>第</w:t>
      </w:r>
      <w:r>
        <w:rPr>
          <w:szCs w:val="21"/>
        </w:rPr>
        <w:t>1</w:t>
      </w:r>
      <w:r>
        <w:rPr>
          <w:rFonts w:hAnsi="宋体"/>
          <w:szCs w:val="21"/>
        </w:rPr>
        <w:t>部分：</w:t>
      </w:r>
      <w:r>
        <w:rPr>
          <w:rFonts w:hAnsi="Verdana"/>
          <w:szCs w:val="21"/>
        </w:rPr>
        <w:t>碳、硫量的测定</w:t>
      </w:r>
      <w:r>
        <w:rPr>
          <w:rFonts w:hint="eastAsia" w:hAnsi="Verdana"/>
          <w:szCs w:val="21"/>
          <w:lang w:val="en-US" w:eastAsia="zh-CN"/>
        </w:rPr>
        <w:t xml:space="preserve">  </w:t>
      </w:r>
      <w:r>
        <w:rPr>
          <w:rFonts w:hAnsi="Verdana"/>
          <w:szCs w:val="21"/>
        </w:rPr>
        <w:t>高频</w:t>
      </w:r>
      <w:r>
        <w:rPr>
          <w:szCs w:val="21"/>
        </w:rPr>
        <w:t>-</w:t>
      </w:r>
      <w:r>
        <w:rPr>
          <w:rFonts w:hAnsi="Verdana"/>
          <w:szCs w:val="21"/>
        </w:rPr>
        <w:t>红外吸收法；</w:t>
      </w:r>
    </w:p>
    <w:p w14:paraId="6697D78D">
      <w:pPr>
        <w:pStyle w:val="101"/>
        <w:snapToGrid w:val="0"/>
        <w:spacing w:line="360" w:lineRule="auto"/>
        <w:ind w:firstLine="420" w:firstLineChars="200"/>
        <w:jc w:val="both"/>
        <w:rPr>
          <w:szCs w:val="21"/>
        </w:rPr>
      </w:pPr>
      <w:r>
        <w:rPr>
          <w:szCs w:val="21"/>
        </w:rPr>
        <w:t>――</w:t>
      </w:r>
      <w:r>
        <w:rPr>
          <w:rFonts w:hAnsi="宋体"/>
          <w:szCs w:val="21"/>
        </w:rPr>
        <w:t>第</w:t>
      </w:r>
      <w:r>
        <w:rPr>
          <w:szCs w:val="21"/>
        </w:rPr>
        <w:t>2</w:t>
      </w:r>
      <w:r>
        <w:rPr>
          <w:rFonts w:hAnsi="宋体"/>
          <w:szCs w:val="21"/>
        </w:rPr>
        <w:t>部分：</w:t>
      </w:r>
      <w:r>
        <w:rPr>
          <w:rFonts w:hAnsi="Verdana"/>
          <w:szCs w:val="21"/>
        </w:rPr>
        <w:t>稀土氧化物中灼减量的测定</w:t>
      </w:r>
      <w:r>
        <w:rPr>
          <w:rFonts w:hint="eastAsia" w:hAnsi="Verdana"/>
          <w:szCs w:val="21"/>
          <w:lang w:val="en-US" w:eastAsia="zh-CN"/>
        </w:rPr>
        <w:t xml:space="preserve">  </w:t>
      </w:r>
      <w:r>
        <w:rPr>
          <w:rFonts w:hAnsi="Verdana"/>
          <w:szCs w:val="21"/>
        </w:rPr>
        <w:t>重量法；</w:t>
      </w:r>
    </w:p>
    <w:p w14:paraId="2F691F04">
      <w:pPr>
        <w:pStyle w:val="101"/>
        <w:snapToGrid w:val="0"/>
        <w:spacing w:line="360" w:lineRule="auto"/>
        <w:ind w:firstLine="420" w:firstLineChars="200"/>
        <w:jc w:val="both"/>
        <w:rPr>
          <w:szCs w:val="21"/>
        </w:rPr>
      </w:pPr>
      <w:r>
        <w:rPr>
          <w:szCs w:val="21"/>
        </w:rPr>
        <w:t>――</w:t>
      </w:r>
      <w:r>
        <w:rPr>
          <w:rFonts w:hAnsi="宋体"/>
          <w:szCs w:val="21"/>
        </w:rPr>
        <w:t>第</w:t>
      </w:r>
      <w:r>
        <w:rPr>
          <w:szCs w:val="21"/>
        </w:rPr>
        <w:t>3</w:t>
      </w:r>
      <w:r>
        <w:rPr>
          <w:rFonts w:hAnsi="宋体"/>
          <w:szCs w:val="21"/>
        </w:rPr>
        <w:t>部</w:t>
      </w:r>
      <w:r>
        <w:rPr>
          <w:rFonts w:ascii="宋体" w:hAnsi="宋体"/>
          <w:szCs w:val="21"/>
        </w:rPr>
        <w:t>分</w:t>
      </w:r>
      <w:r>
        <w:rPr>
          <w:rFonts w:hAnsi="宋体"/>
          <w:szCs w:val="21"/>
        </w:rPr>
        <w:t>：</w:t>
      </w:r>
      <w:r>
        <w:rPr>
          <w:rFonts w:hAnsi="Verdana"/>
          <w:szCs w:val="21"/>
        </w:rPr>
        <w:t>稀土氧化物中水分量的测定</w:t>
      </w:r>
      <w:r>
        <w:rPr>
          <w:rFonts w:hint="eastAsia" w:hAnsi="Verdana"/>
          <w:szCs w:val="21"/>
          <w:lang w:val="en-US" w:eastAsia="zh-CN"/>
        </w:rPr>
        <w:t xml:space="preserve">  </w:t>
      </w:r>
      <w:r>
        <w:rPr>
          <w:rFonts w:hAnsi="Verdana"/>
          <w:szCs w:val="21"/>
        </w:rPr>
        <w:t>重量法；</w:t>
      </w:r>
    </w:p>
    <w:p w14:paraId="54F350E2">
      <w:pPr>
        <w:pStyle w:val="101"/>
        <w:snapToGrid w:val="0"/>
        <w:spacing w:line="360" w:lineRule="auto"/>
        <w:ind w:left="735" w:leftChars="200" w:hanging="315" w:hangingChars="150"/>
        <w:jc w:val="both"/>
        <w:rPr>
          <w:szCs w:val="21"/>
        </w:rPr>
      </w:pPr>
      <w:r>
        <w:rPr>
          <w:szCs w:val="21"/>
        </w:rPr>
        <w:t>――</w:t>
      </w:r>
      <w:r>
        <w:rPr>
          <w:rFonts w:hAnsi="宋体"/>
          <w:szCs w:val="21"/>
        </w:rPr>
        <w:t>第</w:t>
      </w:r>
      <w:r>
        <w:rPr>
          <w:szCs w:val="21"/>
        </w:rPr>
        <w:t>4</w:t>
      </w:r>
      <w:r>
        <w:rPr>
          <w:rFonts w:hAnsi="宋体"/>
          <w:szCs w:val="21"/>
        </w:rPr>
        <w:t>部分：</w:t>
      </w:r>
      <w:r>
        <w:rPr>
          <w:rFonts w:hAnsi="Verdana"/>
          <w:szCs w:val="21"/>
        </w:rPr>
        <w:t>氧、氮量的测定</w:t>
      </w:r>
      <w:r>
        <w:rPr>
          <w:rFonts w:hint="eastAsia" w:hAnsi="Verdana"/>
          <w:szCs w:val="21"/>
          <w:lang w:val="en-US" w:eastAsia="zh-CN"/>
        </w:rPr>
        <w:t xml:space="preserve">  </w:t>
      </w:r>
      <w:r>
        <w:rPr>
          <w:rFonts w:hAnsi="Verdana"/>
          <w:szCs w:val="21"/>
        </w:rPr>
        <w:t>脉冲</w:t>
      </w:r>
      <w:r>
        <w:rPr>
          <w:szCs w:val="21"/>
        </w:rPr>
        <w:t>-</w:t>
      </w:r>
      <w:r>
        <w:rPr>
          <w:rFonts w:hAnsi="Verdana"/>
          <w:szCs w:val="21"/>
        </w:rPr>
        <w:t>红外吸收法和脉冲</w:t>
      </w:r>
      <w:r>
        <w:rPr>
          <w:szCs w:val="21"/>
        </w:rPr>
        <w:t>-</w:t>
      </w:r>
      <w:r>
        <w:rPr>
          <w:rFonts w:hAnsi="Verdana"/>
          <w:szCs w:val="21"/>
        </w:rPr>
        <w:t>热导法；</w:t>
      </w:r>
    </w:p>
    <w:p w14:paraId="10B178A7">
      <w:pPr>
        <w:pStyle w:val="101"/>
        <w:snapToGrid w:val="0"/>
        <w:spacing w:line="360" w:lineRule="auto"/>
        <w:ind w:left="735" w:leftChars="200" w:right="210" w:hanging="315" w:hangingChars="150"/>
        <w:jc w:val="both"/>
        <w:rPr>
          <w:rFonts w:hint="eastAsia" w:eastAsia="宋体"/>
          <w:szCs w:val="21"/>
          <w:lang w:eastAsia="zh-CN"/>
        </w:rPr>
      </w:pPr>
      <w:r>
        <w:rPr>
          <w:szCs w:val="21"/>
        </w:rPr>
        <w:t>――</w:t>
      </w:r>
      <w:r>
        <w:rPr>
          <w:rFonts w:hAnsi="宋体"/>
          <w:szCs w:val="21"/>
        </w:rPr>
        <w:t>第</w:t>
      </w:r>
      <w:r>
        <w:rPr>
          <w:szCs w:val="21"/>
        </w:rPr>
        <w:t>5</w:t>
      </w:r>
      <w:r>
        <w:rPr>
          <w:rFonts w:hAnsi="宋体"/>
          <w:szCs w:val="21"/>
        </w:rPr>
        <w:t>部分：</w:t>
      </w:r>
      <w:r>
        <w:rPr>
          <w:rFonts w:hint="eastAsia" w:hAnsi="Verdana"/>
          <w:szCs w:val="21"/>
        </w:rPr>
        <w:t>钴、锰、铅、镍、铜、锌、铝、铬、镁、镉、钒、铁量的测定</w:t>
      </w:r>
      <w:r>
        <w:rPr>
          <w:rFonts w:hint="eastAsia" w:hAnsi="Verdana"/>
          <w:szCs w:val="21"/>
          <w:lang w:eastAsia="zh-CN"/>
        </w:rPr>
        <w:t>；</w:t>
      </w:r>
    </w:p>
    <w:p w14:paraId="1D6D46F3">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6</w:t>
      </w:r>
      <w:r>
        <w:rPr>
          <w:rFonts w:hAnsi="宋体"/>
          <w:szCs w:val="21"/>
        </w:rPr>
        <w:t>部分：</w:t>
      </w:r>
      <w:r>
        <w:rPr>
          <w:rFonts w:hAnsi="Verdana"/>
          <w:szCs w:val="21"/>
        </w:rPr>
        <w:t>铁量的测定</w:t>
      </w:r>
      <w:r>
        <w:rPr>
          <w:rFonts w:hint="eastAsia" w:hAnsi="Verdana"/>
          <w:szCs w:val="21"/>
          <w:lang w:val="en-US" w:eastAsia="zh-CN"/>
        </w:rPr>
        <w:t xml:space="preserve">  </w:t>
      </w:r>
      <w:r>
        <w:rPr>
          <w:rFonts w:hAnsi="Verdana"/>
          <w:szCs w:val="21"/>
        </w:rPr>
        <w:t>硫氰酸钾、</w:t>
      </w:r>
      <w:r>
        <w:rPr>
          <w:szCs w:val="21"/>
        </w:rPr>
        <w:t>1</w:t>
      </w:r>
      <w:r>
        <w:rPr>
          <w:rFonts w:hAnsi="Verdana"/>
          <w:szCs w:val="21"/>
        </w:rPr>
        <w:t>，</w:t>
      </w:r>
      <w:r>
        <w:rPr>
          <w:szCs w:val="21"/>
        </w:rPr>
        <w:t>10-</w:t>
      </w:r>
      <w:r>
        <w:rPr>
          <w:rFonts w:hAnsi="Verdana"/>
          <w:szCs w:val="21"/>
        </w:rPr>
        <w:t>二氮杂菲分光光度法；</w:t>
      </w:r>
    </w:p>
    <w:p w14:paraId="6E4AF768">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7</w:t>
      </w:r>
      <w:r>
        <w:rPr>
          <w:rFonts w:hAnsi="宋体"/>
          <w:szCs w:val="21"/>
        </w:rPr>
        <w:t>部分：</w:t>
      </w:r>
      <w:r>
        <w:rPr>
          <w:rFonts w:hAnsi="Verdana"/>
          <w:szCs w:val="21"/>
        </w:rPr>
        <w:t>硅量的测定；</w:t>
      </w:r>
    </w:p>
    <w:p w14:paraId="007613A9">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8</w:t>
      </w:r>
      <w:r>
        <w:rPr>
          <w:rFonts w:hAnsi="宋体"/>
          <w:szCs w:val="21"/>
        </w:rPr>
        <w:t>部分：</w:t>
      </w:r>
      <w:r>
        <w:rPr>
          <w:rFonts w:hAnsi="Verdana"/>
          <w:szCs w:val="21"/>
        </w:rPr>
        <w:t>钠量的测定；</w:t>
      </w:r>
    </w:p>
    <w:p w14:paraId="5655691F">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9</w:t>
      </w:r>
      <w:r>
        <w:rPr>
          <w:rFonts w:hAnsi="宋体"/>
          <w:szCs w:val="21"/>
        </w:rPr>
        <w:t>部分：</w:t>
      </w:r>
      <w:r>
        <w:rPr>
          <w:rFonts w:hAnsi="Verdana"/>
          <w:szCs w:val="21"/>
        </w:rPr>
        <w:t>氯量的测定</w:t>
      </w:r>
      <w:r>
        <w:rPr>
          <w:rFonts w:hint="eastAsia" w:hAnsi="Verdana"/>
          <w:szCs w:val="21"/>
          <w:lang w:val="en-US" w:eastAsia="zh-CN"/>
        </w:rPr>
        <w:t xml:space="preserve">  </w:t>
      </w:r>
      <w:r>
        <w:rPr>
          <w:rFonts w:hAnsi="Verdana"/>
          <w:szCs w:val="21"/>
        </w:rPr>
        <w:t>硝酸银比浊法；</w:t>
      </w:r>
    </w:p>
    <w:p w14:paraId="01A086D7">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10</w:t>
      </w:r>
      <w:r>
        <w:rPr>
          <w:rFonts w:hAnsi="宋体"/>
          <w:szCs w:val="21"/>
        </w:rPr>
        <w:t>部分：</w:t>
      </w:r>
      <w:r>
        <w:rPr>
          <w:rFonts w:hAnsi="Verdana"/>
          <w:szCs w:val="21"/>
        </w:rPr>
        <w:t>磷量的测定</w:t>
      </w:r>
      <w:r>
        <w:rPr>
          <w:rFonts w:hint="eastAsia" w:hAnsi="Verdana"/>
          <w:szCs w:val="21"/>
          <w:lang w:val="en-US" w:eastAsia="zh-CN"/>
        </w:rPr>
        <w:t xml:space="preserve">  </w:t>
      </w:r>
      <w:r>
        <w:rPr>
          <w:rFonts w:hAnsi="Verdana"/>
          <w:szCs w:val="21"/>
        </w:rPr>
        <w:t>钼蓝分光光度法；</w:t>
      </w:r>
    </w:p>
    <w:p w14:paraId="55221541">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11</w:t>
      </w:r>
      <w:r>
        <w:rPr>
          <w:rFonts w:hAnsi="宋体"/>
          <w:szCs w:val="21"/>
        </w:rPr>
        <w:t>部分：</w:t>
      </w:r>
      <w:r>
        <w:rPr>
          <w:rFonts w:hAnsi="Verdana"/>
          <w:szCs w:val="21"/>
        </w:rPr>
        <w:t>镁量的测定</w:t>
      </w:r>
      <w:r>
        <w:rPr>
          <w:rFonts w:hint="eastAsia" w:hAnsi="Verdana"/>
          <w:szCs w:val="21"/>
          <w:lang w:val="en-US" w:eastAsia="zh-CN"/>
        </w:rPr>
        <w:t xml:space="preserve">  </w:t>
      </w:r>
      <w:r>
        <w:rPr>
          <w:rFonts w:hAnsi="Verdana"/>
          <w:szCs w:val="21"/>
        </w:rPr>
        <w:t>火焰原子吸收光谱法；</w:t>
      </w:r>
    </w:p>
    <w:p w14:paraId="496095C1">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12</w:t>
      </w:r>
      <w:r>
        <w:rPr>
          <w:rFonts w:hAnsi="宋体"/>
          <w:szCs w:val="21"/>
        </w:rPr>
        <w:t>部分：</w:t>
      </w:r>
      <w:r>
        <w:rPr>
          <w:rFonts w:hAnsi="Verdana"/>
          <w:szCs w:val="21"/>
        </w:rPr>
        <w:t>钍量的测定</w:t>
      </w:r>
      <w:r>
        <w:rPr>
          <w:rFonts w:hint="eastAsia" w:hAnsi="Verdana"/>
          <w:szCs w:val="21"/>
          <w:lang w:val="en-US" w:eastAsia="zh-CN"/>
        </w:rPr>
        <w:t xml:space="preserve">  偶氮胂</w:t>
      </w:r>
      <w:r>
        <w:rPr>
          <w:rFonts w:hint="eastAsia" w:hAnsi="Verdana"/>
          <w:szCs w:val="21"/>
          <w:lang w:eastAsia="zh-CN"/>
        </w:rPr>
        <w:t>Ⅲ分光光度法和电感耦合等离子体质谱法</w:t>
      </w:r>
      <w:r>
        <w:rPr>
          <w:rFonts w:hAnsi="Verdana"/>
          <w:szCs w:val="21"/>
        </w:rPr>
        <w:t>；</w:t>
      </w:r>
    </w:p>
    <w:p w14:paraId="3B695830">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13</w:t>
      </w:r>
      <w:r>
        <w:rPr>
          <w:rFonts w:hAnsi="宋体"/>
          <w:szCs w:val="21"/>
        </w:rPr>
        <w:t>部分：</w:t>
      </w:r>
      <w:r>
        <w:rPr>
          <w:rFonts w:hAnsi="Verdana"/>
          <w:szCs w:val="21"/>
        </w:rPr>
        <w:t>钼、钨量的测定</w:t>
      </w:r>
      <w:r>
        <w:rPr>
          <w:rFonts w:hint="eastAsia" w:hAnsi="Verdana"/>
          <w:szCs w:val="21"/>
          <w:lang w:val="en-US" w:eastAsia="zh-CN"/>
        </w:rPr>
        <w:t xml:space="preserve"> </w:t>
      </w:r>
      <w:r>
        <w:rPr>
          <w:rFonts w:hint="eastAsia" w:hAnsi="Verdana"/>
          <w:szCs w:val="21"/>
          <w:lang w:eastAsia="zh-CN"/>
        </w:rPr>
        <w:t>电感耦合等离子体光谱法和电感耦合等离子体质谱法</w:t>
      </w:r>
      <w:r>
        <w:rPr>
          <w:rFonts w:hAnsi="Verdana"/>
          <w:szCs w:val="21"/>
        </w:rPr>
        <w:t>；</w:t>
      </w:r>
    </w:p>
    <w:p w14:paraId="4B784D2D">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14</w:t>
      </w:r>
      <w:r>
        <w:rPr>
          <w:rFonts w:hAnsi="宋体"/>
          <w:szCs w:val="21"/>
        </w:rPr>
        <w:t>部分：</w:t>
      </w:r>
      <w:r>
        <w:rPr>
          <w:rFonts w:hAnsi="Verdana"/>
          <w:szCs w:val="21"/>
        </w:rPr>
        <w:t>钛量的测定；</w:t>
      </w:r>
    </w:p>
    <w:p w14:paraId="3B1AB0D5">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15</w:t>
      </w:r>
      <w:r>
        <w:rPr>
          <w:rFonts w:hAnsi="宋体"/>
          <w:szCs w:val="21"/>
        </w:rPr>
        <w:t>部分：</w:t>
      </w:r>
      <w:r>
        <w:rPr>
          <w:rFonts w:hAnsi="Verdana"/>
          <w:szCs w:val="21"/>
        </w:rPr>
        <w:t>钙量的测定；</w:t>
      </w:r>
    </w:p>
    <w:p w14:paraId="3C1A4E5C">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16</w:t>
      </w:r>
      <w:r>
        <w:rPr>
          <w:rFonts w:hAnsi="宋体"/>
          <w:szCs w:val="21"/>
        </w:rPr>
        <w:t>部分：</w:t>
      </w:r>
      <w:r>
        <w:rPr>
          <w:rFonts w:hAnsi="Verdana"/>
          <w:szCs w:val="21"/>
        </w:rPr>
        <w:t>氟量的测定</w:t>
      </w:r>
      <w:r>
        <w:rPr>
          <w:rFonts w:hint="eastAsia" w:hAnsi="Verdana"/>
          <w:szCs w:val="21"/>
          <w:lang w:val="en-US" w:eastAsia="zh-CN"/>
        </w:rPr>
        <w:t xml:space="preserve">  </w:t>
      </w:r>
      <w:r>
        <w:rPr>
          <w:rFonts w:hAnsi="Verdana"/>
          <w:szCs w:val="21"/>
        </w:rPr>
        <w:t>离子选择性电极法；</w:t>
      </w:r>
    </w:p>
    <w:p w14:paraId="6FA2E0A4">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17</w:t>
      </w:r>
      <w:r>
        <w:rPr>
          <w:rFonts w:hAnsi="宋体"/>
          <w:szCs w:val="21"/>
        </w:rPr>
        <w:t>部分：</w:t>
      </w:r>
      <w:r>
        <w:rPr>
          <w:rFonts w:hAnsi="Verdana"/>
          <w:szCs w:val="21"/>
        </w:rPr>
        <w:t>稀土金属中铌、钽量的测定；</w:t>
      </w:r>
    </w:p>
    <w:p w14:paraId="5294AB32">
      <w:pPr>
        <w:pStyle w:val="101"/>
        <w:snapToGrid w:val="0"/>
        <w:spacing w:line="360" w:lineRule="auto"/>
        <w:ind w:right="210" w:firstLine="420" w:firstLineChars="200"/>
        <w:jc w:val="both"/>
        <w:rPr>
          <w:rFonts w:hint="eastAsia" w:hAnsi="Verdana"/>
          <w:szCs w:val="21"/>
          <w:lang w:eastAsia="zh-CN"/>
        </w:rPr>
      </w:pPr>
      <w:r>
        <w:rPr>
          <w:szCs w:val="21"/>
        </w:rPr>
        <w:t>――</w:t>
      </w:r>
      <w:r>
        <w:rPr>
          <w:rFonts w:hAnsi="宋体"/>
          <w:szCs w:val="21"/>
        </w:rPr>
        <w:t>第</w:t>
      </w:r>
      <w:r>
        <w:rPr>
          <w:szCs w:val="21"/>
        </w:rPr>
        <w:t>18</w:t>
      </w:r>
      <w:r>
        <w:rPr>
          <w:rFonts w:hAnsi="宋体"/>
          <w:szCs w:val="21"/>
        </w:rPr>
        <w:t>部分：锆</w:t>
      </w:r>
      <w:r>
        <w:rPr>
          <w:rFonts w:hAnsi="Verdana"/>
          <w:szCs w:val="21"/>
        </w:rPr>
        <w:t>量的测定</w:t>
      </w:r>
      <w:r>
        <w:rPr>
          <w:rFonts w:hint="eastAsia" w:hAnsi="Verdana"/>
          <w:szCs w:val="21"/>
          <w:lang w:eastAsia="zh-CN"/>
        </w:rPr>
        <w:t>；</w:t>
      </w:r>
    </w:p>
    <w:p w14:paraId="1CB21096">
      <w:pPr>
        <w:pStyle w:val="101"/>
        <w:snapToGrid w:val="0"/>
        <w:spacing w:line="360" w:lineRule="auto"/>
        <w:ind w:right="210" w:firstLine="420" w:firstLineChars="200"/>
        <w:jc w:val="both"/>
        <w:rPr>
          <w:rFonts w:hint="eastAsia" w:eastAsia="宋体"/>
          <w:szCs w:val="21"/>
          <w:lang w:eastAsia="zh-CN"/>
        </w:rPr>
      </w:pPr>
      <w:r>
        <w:rPr>
          <w:szCs w:val="21"/>
        </w:rPr>
        <w:t>――</w:t>
      </w:r>
      <w:r>
        <w:rPr>
          <w:rFonts w:hAnsi="宋体"/>
          <w:szCs w:val="21"/>
        </w:rPr>
        <w:t>第</w:t>
      </w:r>
      <w:r>
        <w:rPr>
          <w:szCs w:val="21"/>
        </w:rPr>
        <w:t>1</w:t>
      </w:r>
      <w:r>
        <w:rPr>
          <w:rFonts w:hint="eastAsia"/>
          <w:szCs w:val="21"/>
          <w:lang w:val="en-US" w:eastAsia="zh-CN"/>
        </w:rPr>
        <w:t>9</w:t>
      </w:r>
      <w:r>
        <w:rPr>
          <w:rFonts w:hAnsi="宋体"/>
          <w:szCs w:val="21"/>
        </w:rPr>
        <w:t>部分：</w:t>
      </w:r>
      <w:r>
        <w:rPr>
          <w:rFonts w:hint="eastAsia" w:hAnsi="宋体"/>
          <w:szCs w:val="21"/>
          <w:lang w:eastAsia="zh-CN"/>
        </w:rPr>
        <w:t>砷、汞</w:t>
      </w:r>
      <w:r>
        <w:rPr>
          <w:rFonts w:hAnsi="Verdana"/>
          <w:szCs w:val="21"/>
        </w:rPr>
        <w:t>量的测定。</w:t>
      </w:r>
    </w:p>
    <w:p w14:paraId="1A66CC97">
      <w:pPr>
        <w:pStyle w:val="101"/>
        <w:snapToGrid w:val="0"/>
        <w:spacing w:line="360" w:lineRule="auto"/>
        <w:ind w:right="210" w:firstLine="420" w:firstLineChars="200"/>
        <w:jc w:val="both"/>
      </w:pPr>
      <w:r>
        <w:rPr>
          <w:szCs w:val="21"/>
        </w:rPr>
        <w:t>本</w:t>
      </w:r>
      <w:r>
        <w:rPr>
          <w:rFonts w:hint="eastAsia"/>
          <w:szCs w:val="21"/>
          <w:lang w:eastAsia="zh-CN"/>
        </w:rPr>
        <w:t>文件</w:t>
      </w:r>
      <w:r>
        <w:rPr>
          <w:szCs w:val="21"/>
        </w:rPr>
        <w:t>代替GB/T 12690.1</w:t>
      </w:r>
      <w:r>
        <w:rPr>
          <w:rFonts w:hint="eastAsia"/>
          <w:szCs w:val="21"/>
          <w:lang w:val="en-US" w:eastAsia="zh-CN"/>
        </w:rPr>
        <w:t>1</w:t>
      </w:r>
      <w:r>
        <w:rPr>
          <w:szCs w:val="21"/>
        </w:rPr>
        <w:t>-200</w:t>
      </w:r>
      <w:r>
        <w:rPr>
          <w:rFonts w:hint="eastAsia"/>
          <w:szCs w:val="21"/>
          <w:lang w:val="en-US" w:eastAsia="zh-CN"/>
        </w:rPr>
        <w:t>3</w:t>
      </w:r>
      <w:r>
        <w:rPr>
          <w:szCs w:val="21"/>
        </w:rPr>
        <w:t>《稀土金属及其氧化物中非稀土杂质化学分析方法</w:t>
      </w:r>
      <w:r>
        <w:rPr>
          <w:rFonts w:hint="eastAsia"/>
          <w:szCs w:val="21"/>
          <w:lang w:val="en-US" w:eastAsia="zh-CN"/>
        </w:rPr>
        <w:t xml:space="preserve"> </w:t>
      </w:r>
      <w:r>
        <w:rPr>
          <w:rFonts w:hint="eastAsia"/>
          <w:szCs w:val="21"/>
          <w:lang w:eastAsia="zh-CN"/>
        </w:rPr>
        <w:t>镁量</w:t>
      </w:r>
      <w:r>
        <w:rPr>
          <w:rFonts w:hint="eastAsia"/>
          <w:szCs w:val="21"/>
        </w:rPr>
        <w:t>的测定火焰原子吸收光谱法</w:t>
      </w:r>
      <w:r>
        <w:rPr>
          <w:szCs w:val="21"/>
        </w:rPr>
        <w:t>》。</w:t>
      </w:r>
      <w:r>
        <w:rPr>
          <w:rFonts w:hint="eastAsia"/>
        </w:rPr>
        <w:t>与GB/T 12690.</w:t>
      </w:r>
      <w:r>
        <w:t>1</w:t>
      </w:r>
      <w:r>
        <w:rPr>
          <w:rFonts w:hint="eastAsia"/>
          <w:lang w:val="en-US" w:eastAsia="zh-CN"/>
        </w:rPr>
        <w:t>1</w:t>
      </w:r>
      <w:r>
        <w:rPr>
          <w:rFonts w:hint="eastAsia"/>
        </w:rPr>
        <w:t>-200</w:t>
      </w:r>
      <w:r>
        <w:rPr>
          <w:rFonts w:hint="eastAsia"/>
          <w:lang w:val="en-US" w:eastAsia="zh-CN"/>
        </w:rPr>
        <w:t>3</w:t>
      </w:r>
      <w:r>
        <w:rPr>
          <w:rFonts w:hint="eastAsia"/>
        </w:rPr>
        <w:t xml:space="preserve"> 相比，</w:t>
      </w:r>
      <w:r>
        <w:rPr>
          <w:rFonts w:hint="eastAsia"/>
          <w:lang w:eastAsia="zh-CN"/>
        </w:rPr>
        <w:t>除结构调整和编辑性修改外，</w:t>
      </w:r>
      <w:r>
        <w:rPr>
          <w:rFonts w:hint="eastAsia"/>
        </w:rPr>
        <w:t>主要技术变化如下：</w:t>
      </w:r>
    </w:p>
    <w:p w14:paraId="072EE2DE">
      <w:pPr>
        <w:pStyle w:val="33"/>
        <w:adjustRightInd w:val="0"/>
        <w:spacing w:line="360" w:lineRule="auto"/>
        <w:rPr>
          <w:rFonts w:hint="eastAsia" w:cs="宋体" w:asciiTheme="minorEastAsia" w:hAnsiTheme="minorEastAsia" w:eastAsiaTheme="minorEastAsia"/>
          <w:lang w:val="en-US" w:eastAsia="zh-CN"/>
        </w:rPr>
      </w:pPr>
      <w:r>
        <w:rPr>
          <w:rFonts w:hint="eastAsia" w:asciiTheme="minorEastAsia" w:hAnsiTheme="minorEastAsia" w:eastAsiaTheme="minorEastAsia"/>
          <w:lang w:val="en-US" w:eastAsia="zh-CN"/>
        </w:rPr>
        <w:t>a)</w:t>
      </w:r>
      <w:r>
        <w:rPr>
          <w:rFonts w:hint="eastAsia" w:asciiTheme="minorEastAsia" w:hAnsiTheme="minorEastAsia" w:eastAsiaTheme="minorEastAsia"/>
          <w:lang w:eastAsia="zh-CN"/>
        </w:rPr>
        <w:t>增加了“规范性引用文件”</w:t>
      </w:r>
      <w:r>
        <w:rPr>
          <w:rFonts w:hint="eastAsia" w:asciiTheme="minorEastAsia" w:hAnsiTheme="minorEastAsia" w:eastAsiaTheme="minorEastAsia"/>
          <w:color w:val="auto"/>
          <w:lang w:eastAsia="zh-CN"/>
        </w:rPr>
        <w:t>“术语和定义”两章</w:t>
      </w:r>
      <w:r>
        <w:rPr>
          <w:rFonts w:hint="eastAsia" w:asciiTheme="minorEastAsia" w:hAnsiTheme="minorEastAsia" w:eastAsiaTheme="minorEastAsia"/>
          <w:lang w:eastAsia="zh-CN"/>
        </w:rPr>
        <w:t>（见第</w:t>
      </w:r>
      <w:r>
        <w:rPr>
          <w:rFonts w:hint="eastAsia" w:asciiTheme="minorEastAsia" w:hAnsiTheme="minorEastAsia" w:eastAsiaTheme="minorEastAsia"/>
          <w:lang w:val="en-US" w:eastAsia="zh-CN"/>
        </w:rPr>
        <w:t>2章、第3章</w:t>
      </w:r>
      <w:r>
        <w:rPr>
          <w:rFonts w:hint="eastAsia" w:asciiTheme="minorEastAsia" w:hAnsiTheme="minorEastAsia" w:eastAsiaTheme="minorEastAsia"/>
          <w:lang w:eastAsia="zh-CN"/>
        </w:rPr>
        <w:t>）；</w:t>
      </w:r>
    </w:p>
    <w:p w14:paraId="39CD4BD8">
      <w:pPr>
        <w:pStyle w:val="33"/>
        <w:adjustRightInd w:val="0"/>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b)增加了对分析中试剂和用水的说明（见第5章）</w:t>
      </w:r>
    </w:p>
    <w:p w14:paraId="10808AB3">
      <w:pPr>
        <w:pStyle w:val="33"/>
        <w:adjustRightInd w:val="0"/>
        <w:spacing w:line="360" w:lineRule="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c)</w:t>
      </w:r>
      <w:r>
        <w:rPr>
          <w:rFonts w:hint="eastAsia" w:ascii="宋体" w:hAnsi="宋体" w:eastAsia="宋体"/>
          <w:b w:val="0"/>
          <w:bCs w:val="0"/>
          <w:lang w:val="en-US" w:eastAsia="zh-CN"/>
        </w:rPr>
        <w:t>增加了标准曲线法（</w:t>
      </w:r>
      <w:r>
        <w:rPr>
          <w:rFonts w:hint="eastAsia" w:ascii="宋体" w:hAnsi="Calibri" w:eastAsia="宋体"/>
          <w:b w:val="0"/>
          <w:bCs w:val="0"/>
          <w:lang w:val="en-US" w:eastAsia="zh-CN"/>
        </w:rPr>
        <w:t>见</w:t>
      </w:r>
      <w:r>
        <w:rPr>
          <w:rFonts w:hint="eastAsia"/>
          <w:b w:val="0"/>
          <w:bCs w:val="0"/>
          <w:lang w:val="en-US" w:eastAsia="zh-CN"/>
        </w:rPr>
        <w:t>8</w:t>
      </w:r>
      <w:r>
        <w:rPr>
          <w:rFonts w:hint="eastAsia" w:ascii="宋体" w:hAnsi="Calibri" w:eastAsia="宋体"/>
          <w:b w:val="0"/>
          <w:bCs w:val="0"/>
          <w:lang w:val="en-US" w:eastAsia="zh-CN"/>
        </w:rPr>
        <w:t>.4.</w:t>
      </w:r>
      <w:r>
        <w:rPr>
          <w:rFonts w:hint="eastAsia"/>
          <w:b w:val="0"/>
          <w:bCs w:val="0"/>
          <w:lang w:val="en-US" w:eastAsia="zh-CN"/>
        </w:rPr>
        <w:t>4</w:t>
      </w:r>
      <w:r>
        <w:rPr>
          <w:rFonts w:hint="eastAsia" w:ascii="宋体" w:hAnsi="宋体" w:eastAsia="宋体"/>
          <w:b w:val="0"/>
          <w:bCs w:val="0"/>
          <w:lang w:val="en-US" w:eastAsia="zh-CN"/>
        </w:rPr>
        <w:t>）</w:t>
      </w:r>
      <w:r>
        <w:rPr>
          <w:rFonts w:hint="eastAsia" w:asciiTheme="minorEastAsia" w:hAnsiTheme="minorEastAsia" w:eastAsiaTheme="minorEastAsia"/>
          <w:lang w:val="en-US" w:eastAsia="zh-CN"/>
        </w:rPr>
        <w:t>；</w:t>
      </w:r>
    </w:p>
    <w:p w14:paraId="1EA4BFC3">
      <w:pPr>
        <w:pStyle w:val="33"/>
        <w:adjustRightInd w:val="0"/>
        <w:spacing w:line="360"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d）更</w:t>
      </w:r>
      <w:r>
        <w:rPr>
          <w:rFonts w:hint="eastAsia" w:asciiTheme="minorEastAsia" w:hAnsiTheme="minorEastAsia" w:eastAsiaTheme="minorEastAsia"/>
          <w:lang w:eastAsia="zh-CN"/>
        </w:rPr>
        <w:t>改了氧化物样品的处理条件</w:t>
      </w:r>
      <w:r>
        <w:rPr>
          <w:rFonts w:asciiTheme="minorEastAsia" w:hAnsiTheme="minorEastAsia" w:eastAsiaTheme="minorEastAsia"/>
        </w:rPr>
        <w:t>由</w:t>
      </w:r>
      <w:r>
        <w:rPr>
          <w:rFonts w:hint="eastAsia" w:asciiTheme="minorEastAsia" w:hAnsiTheme="minorEastAsia" w:eastAsiaTheme="minorEastAsia"/>
          <w:lang w:eastAsia="zh-CN"/>
        </w:rPr>
        <w:t>“</w:t>
      </w:r>
      <w:r>
        <w:rPr>
          <w:rFonts w:hint="eastAsia" w:asciiTheme="minorEastAsia" w:hAnsiTheme="minorEastAsia" w:eastAsiaTheme="minorEastAsia"/>
        </w:rPr>
        <w:t>氧化物试样需经</w:t>
      </w:r>
      <w:r>
        <w:rPr>
          <w:rFonts w:asciiTheme="minorEastAsia" w:hAnsiTheme="minorEastAsia" w:eastAsiaTheme="minorEastAsia"/>
        </w:rPr>
        <w:t>900℃</w:t>
      </w:r>
      <w:r>
        <w:rPr>
          <w:rFonts w:hint="eastAsia" w:asciiTheme="minorEastAsia" w:hAnsiTheme="minorEastAsia" w:eastAsiaTheme="minorEastAsia"/>
        </w:rPr>
        <w:t>预灼烧</w:t>
      </w:r>
      <w:r>
        <w:rPr>
          <w:rFonts w:hint="eastAsia" w:asciiTheme="minorEastAsia" w:hAnsiTheme="minorEastAsia" w:eastAsiaTheme="minorEastAsia"/>
          <w:lang w:val="en-US" w:eastAsia="zh-CN"/>
        </w:rPr>
        <w:t>1</w:t>
      </w:r>
      <w:r>
        <w:rPr>
          <w:rFonts w:cs="HiddenHorzOCR" w:asciiTheme="minorEastAsia" w:hAnsiTheme="minorEastAsia" w:eastAsiaTheme="minorEastAsia"/>
          <w:kern w:val="0"/>
          <w:sz w:val="21"/>
          <w:szCs w:val="21"/>
        </w:rPr>
        <w:t>h</w:t>
      </w:r>
      <w:r>
        <w:rPr>
          <w:rFonts w:hint="eastAsia" w:asciiTheme="minorEastAsia" w:hAnsiTheme="minorEastAsia" w:eastAsiaTheme="minorEastAsia"/>
          <w:lang w:eastAsia="zh-CN"/>
        </w:rPr>
        <w:t>”改</w:t>
      </w:r>
      <w:r>
        <w:rPr>
          <w:rFonts w:asciiTheme="minorEastAsia" w:hAnsiTheme="minorEastAsia" w:eastAsiaTheme="minorEastAsia"/>
        </w:rPr>
        <w:t>为</w:t>
      </w:r>
      <w:r>
        <w:rPr>
          <w:rFonts w:hint="eastAsia" w:asciiTheme="minorEastAsia" w:hAnsiTheme="minorEastAsia" w:eastAsiaTheme="minorEastAsia"/>
          <w:lang w:eastAsia="zh-CN"/>
        </w:rPr>
        <w:t>“</w:t>
      </w:r>
      <w:r>
        <w:rPr>
          <w:rFonts w:hint="eastAsia" w:asciiTheme="minorEastAsia" w:hAnsiTheme="minorEastAsia" w:eastAsiaTheme="minorEastAsia"/>
        </w:rPr>
        <w:t>氧化物</w:t>
      </w:r>
      <w:r>
        <w:rPr>
          <w:rFonts w:hint="eastAsia" w:asciiTheme="minorEastAsia" w:hAnsiTheme="minorEastAsia" w:eastAsiaTheme="minorEastAsia"/>
          <w:lang w:eastAsia="zh-CN"/>
        </w:rPr>
        <w:t>样品</w:t>
      </w:r>
      <w:r>
        <w:rPr>
          <w:rFonts w:hint="eastAsia" w:asciiTheme="minorEastAsia" w:hAnsiTheme="minorEastAsia" w:eastAsiaTheme="minorEastAsia"/>
        </w:rPr>
        <w:t>于</w:t>
      </w:r>
      <w:r>
        <w:rPr>
          <w:rFonts w:asciiTheme="minorEastAsia" w:hAnsiTheme="minorEastAsia" w:eastAsiaTheme="minorEastAsia"/>
        </w:rPr>
        <w:t>105</w:t>
      </w:r>
      <w:r>
        <w:rPr>
          <w:rFonts w:hint="eastAsia" w:cs="宋体" w:asciiTheme="minorEastAsia" w:hAnsiTheme="minorEastAsia" w:eastAsiaTheme="minorEastAsia"/>
        </w:rPr>
        <w:t>℃</w:t>
      </w:r>
      <w:r>
        <w:rPr>
          <w:rFonts w:hint="eastAsia" w:asciiTheme="minorEastAsia" w:hAnsiTheme="minorEastAsia" w:eastAsiaTheme="minorEastAsia"/>
        </w:rPr>
        <w:t>烘</w:t>
      </w:r>
      <w:r>
        <w:rPr>
          <w:rFonts w:asciiTheme="minorEastAsia" w:hAnsiTheme="minorEastAsia" w:eastAsiaTheme="minorEastAsia"/>
        </w:rPr>
        <w:t>1h</w:t>
      </w:r>
      <w:r>
        <w:rPr>
          <w:rFonts w:hint="eastAsia" w:asciiTheme="minorEastAsia" w:hAnsiTheme="minorEastAsia" w:eastAsiaTheme="minorEastAsia"/>
          <w:lang w:eastAsia="zh-CN"/>
        </w:rPr>
        <w:t>”；</w:t>
      </w:r>
    </w:p>
    <w:p w14:paraId="14AB8AE8">
      <w:pPr>
        <w:pStyle w:val="33"/>
        <w:adjustRightInd w:val="0"/>
        <w:spacing w:line="360" w:lineRule="auto"/>
        <w:rPr>
          <w:rFonts w:hint="eastAsia" w:asciiTheme="minorEastAsia" w:hAnsiTheme="minorEastAsia" w:eastAsiaTheme="minorEastAsia"/>
          <w:lang w:eastAsia="zh-CN"/>
        </w:rPr>
      </w:pPr>
      <w:r>
        <w:rPr>
          <w:rFonts w:hint="eastAsia" w:ascii="宋体" w:hAnsi="宋体" w:cs="宋体"/>
          <w:lang w:val="en-US" w:eastAsia="zh-CN"/>
        </w:rPr>
        <w:t>e</w:t>
      </w:r>
      <w:r>
        <w:rPr>
          <w:rFonts w:hint="eastAsia" w:ascii="宋体" w:hAnsi="宋体" w:eastAsia="宋体" w:cs="宋体"/>
          <w:lang w:val="en-US" w:eastAsia="zh-CN"/>
        </w:rPr>
        <w:t>)</w:t>
      </w:r>
      <w:r>
        <w:rPr>
          <w:rFonts w:hint="eastAsia" w:asciiTheme="minorEastAsia" w:hAnsiTheme="minorEastAsia" w:eastAsiaTheme="minorEastAsia"/>
          <w:lang w:eastAsia="zh-CN"/>
        </w:rPr>
        <w:t>更改</w:t>
      </w:r>
      <w:r>
        <w:rPr>
          <w:rFonts w:hint="eastAsia"/>
          <w:lang w:val="en-US" w:eastAsia="zh-CN"/>
        </w:rPr>
        <w:t>被测元素的进样浓度（见8.1）；</w:t>
      </w:r>
    </w:p>
    <w:p w14:paraId="6C03E98D">
      <w:pPr>
        <w:spacing w:line="360" w:lineRule="auto"/>
        <w:ind w:right="210"/>
        <w:jc w:val="left"/>
        <w:rPr>
          <w:rFonts w:hint="default"/>
          <w:lang w:val="en-US" w:eastAsia="zh-CN"/>
        </w:rPr>
      </w:pPr>
      <w:r>
        <w:rPr>
          <w:rFonts w:hint="eastAsia"/>
          <w:lang w:val="en-US" w:eastAsia="zh-CN"/>
        </w:rPr>
        <w:t xml:space="preserve">    </w:t>
      </w:r>
      <w:r>
        <w:rPr>
          <w:rFonts w:hint="eastAsia" w:asciiTheme="minorEastAsia" w:hAnsiTheme="minorEastAsia" w:eastAsiaTheme="minorEastAsia"/>
          <w:lang w:val="en-US" w:eastAsia="zh-CN"/>
        </w:rPr>
        <w:t>f)</w:t>
      </w:r>
      <w:r>
        <w:rPr>
          <w:rFonts w:hint="eastAsia" w:ascii="宋体" w:hAnsi="宋体" w:eastAsia="宋体" w:cs="宋体"/>
          <w:lang w:val="en-US" w:eastAsia="zh-CN"/>
        </w:rPr>
        <w:t xml:space="preserve"> </w:t>
      </w:r>
      <w:r>
        <w:rPr>
          <w:rFonts w:hint="eastAsia" w:asciiTheme="minorEastAsia" w:hAnsiTheme="minorEastAsia" w:eastAsiaTheme="minorEastAsia"/>
          <w:lang w:val="en-US" w:eastAsia="zh-CN"/>
        </w:rPr>
        <w:t>更</w:t>
      </w:r>
      <w:r>
        <w:rPr>
          <w:rFonts w:hint="eastAsia" w:asciiTheme="minorEastAsia" w:hAnsiTheme="minorEastAsia" w:eastAsiaTheme="minorEastAsia"/>
          <w:lang w:eastAsia="zh-CN"/>
        </w:rPr>
        <w:t>改了</w:t>
      </w:r>
      <w:r>
        <w:rPr>
          <w:rFonts w:hint="eastAsia"/>
          <w:lang w:val="en-US" w:eastAsia="zh-CN"/>
        </w:rPr>
        <w:t>工作曲线的线性范围；（见</w:t>
      </w:r>
      <w:r>
        <w:rPr>
          <w:rFonts w:hint="eastAsia" w:asciiTheme="majorEastAsia" w:hAnsiTheme="majorEastAsia" w:eastAsiaTheme="majorEastAsia" w:cstheme="majorEastAsia"/>
          <w:lang w:val="en-US" w:eastAsia="zh-CN"/>
        </w:rPr>
        <w:t>8.4</w:t>
      </w:r>
      <w:r>
        <w:rPr>
          <w:rFonts w:hint="eastAsia"/>
          <w:lang w:val="en-US" w:eastAsia="zh-CN"/>
        </w:rPr>
        <w:t>）；</w:t>
      </w:r>
    </w:p>
    <w:p w14:paraId="0ADF7465">
      <w:pPr>
        <w:spacing w:line="360" w:lineRule="auto"/>
        <w:ind w:right="210" w:firstLine="420" w:firstLineChars="200"/>
        <w:jc w:val="left"/>
        <w:rPr>
          <w:rFonts w:hint="eastAsia"/>
          <w:lang w:val="en-US" w:eastAsia="zh-CN"/>
        </w:rPr>
      </w:pPr>
      <w:r>
        <w:rPr>
          <w:rFonts w:hint="eastAsia" w:asciiTheme="minorEastAsia" w:hAnsiTheme="minorEastAsia" w:eastAsiaTheme="minorEastAsia"/>
          <w:lang w:val="en-US" w:eastAsia="zh-CN"/>
        </w:rPr>
        <w:t>g）更</w:t>
      </w:r>
      <w:r>
        <w:rPr>
          <w:rFonts w:hint="eastAsia" w:asciiTheme="minorEastAsia" w:hAnsiTheme="minorEastAsia" w:eastAsiaTheme="minorEastAsia"/>
          <w:lang w:eastAsia="zh-CN"/>
        </w:rPr>
        <w:t>改“精密度”，将“允许差”更改为</w:t>
      </w:r>
      <w:r>
        <w:rPr>
          <w:rFonts w:hint="eastAsia"/>
          <w:lang w:val="en-US" w:eastAsia="zh-CN"/>
        </w:rPr>
        <w:t>“再现性”（</w:t>
      </w:r>
      <w:r>
        <w:rPr>
          <w:rFonts w:hint="eastAsia" w:ascii="宋体" w:hAnsi="宋体" w:eastAsia="宋体" w:cs="宋体"/>
          <w:lang w:val="en-US" w:eastAsia="zh-CN"/>
        </w:rPr>
        <w:t>见10.2 ,2003年版的8.2</w:t>
      </w:r>
      <w:r>
        <w:rPr>
          <w:rFonts w:hint="eastAsia"/>
          <w:lang w:val="en-US" w:eastAsia="zh-CN"/>
        </w:rPr>
        <w:t>）；</w:t>
      </w:r>
    </w:p>
    <w:p w14:paraId="5D184BD9">
      <w:pPr>
        <w:spacing w:line="360" w:lineRule="auto"/>
        <w:ind w:right="210"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h)删除了质量保证和控制（见2003年版的第9章）；</w:t>
      </w:r>
    </w:p>
    <w:p w14:paraId="25A03E3A">
      <w:pPr>
        <w:spacing w:line="360" w:lineRule="auto"/>
        <w:ind w:right="210"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i）删除了仪器工作条件（见2003年版的附录A）。</w:t>
      </w:r>
    </w:p>
    <w:p w14:paraId="53ADC87B">
      <w:pPr>
        <w:spacing w:line="360" w:lineRule="auto"/>
        <w:ind w:right="210" w:firstLine="420" w:firstLineChars="200"/>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请注意本文件的某些内容可能涉及专利，本文件的发布机构不承担识别专利的责任。</w:t>
      </w:r>
    </w:p>
    <w:p w14:paraId="0CFE173A">
      <w:pPr>
        <w:pStyle w:val="33"/>
        <w:spacing w:line="360" w:lineRule="auto"/>
      </w:pPr>
      <w:r>
        <w:rPr>
          <w:rFonts w:hint="eastAsia"/>
        </w:rPr>
        <w:t>本</w:t>
      </w:r>
      <w:r>
        <w:rPr>
          <w:rFonts w:hint="eastAsia"/>
          <w:lang w:eastAsia="zh-CN"/>
        </w:rPr>
        <w:t>文件</w:t>
      </w:r>
      <w:r>
        <w:rPr>
          <w:rFonts w:hint="eastAsia"/>
        </w:rPr>
        <w:t>由全国稀土标准化技术委员会（SAC/TC 229）提出并归口。</w:t>
      </w:r>
    </w:p>
    <w:p w14:paraId="13298FC6">
      <w:pPr>
        <w:pStyle w:val="33"/>
        <w:spacing w:line="360" w:lineRule="auto"/>
        <w:rPr>
          <w:color w:val="000000" w:themeColor="text1"/>
        </w:rPr>
      </w:pPr>
      <w:r>
        <w:rPr>
          <w:rFonts w:hint="eastAsia"/>
          <w:color w:val="000000" w:themeColor="text1"/>
        </w:rPr>
        <w:t>本</w:t>
      </w:r>
      <w:r>
        <w:rPr>
          <w:rFonts w:hint="eastAsia"/>
          <w:color w:val="000000" w:themeColor="text1"/>
          <w:lang w:eastAsia="zh-CN"/>
        </w:rPr>
        <w:t>文件</w:t>
      </w:r>
      <w:r>
        <w:rPr>
          <w:rFonts w:hint="eastAsia"/>
          <w:color w:val="000000" w:themeColor="text1"/>
        </w:rPr>
        <w:t>起草单位：</w:t>
      </w:r>
      <w:r>
        <w:rPr>
          <w:rFonts w:hint="eastAsia"/>
          <w:color w:val="000000" w:themeColor="text1"/>
          <w:lang w:eastAsia="zh-CN"/>
        </w:rPr>
        <w:t>江</w:t>
      </w:r>
      <w:r>
        <w:rPr>
          <w:rFonts w:hAnsi="宋体"/>
          <w:color w:val="000000"/>
          <w:szCs w:val="21"/>
        </w:rPr>
        <w:t>阴加华新材料资源有限公司</w:t>
      </w:r>
      <w:r>
        <w:rPr>
          <w:rFonts w:hint="eastAsia"/>
          <w:color w:val="000000" w:themeColor="text1"/>
        </w:rPr>
        <w:t>、</w:t>
      </w:r>
      <w:r>
        <w:rPr>
          <w:rFonts w:hint="eastAsia"/>
          <w:color w:val="000000" w:themeColor="text1"/>
          <w:lang w:eastAsia="zh-CN"/>
        </w:rPr>
        <w:t>中稀（凉山）稀土有限公司、国家钨与稀土产品质量监督检验中心、定南大华新材料资源有限公司、国瑞科创稀土功能材料（赣州）有限公司、包头市三隆稀有金属材料有限责任公司、包头市宏博特科技有限公司</w:t>
      </w:r>
      <w:r>
        <w:rPr>
          <w:rFonts w:hint="eastAsia"/>
          <w:color w:val="000000" w:themeColor="text1"/>
        </w:rPr>
        <w:t>。</w:t>
      </w:r>
    </w:p>
    <w:p w14:paraId="1E12872E">
      <w:pPr>
        <w:pStyle w:val="33"/>
        <w:spacing w:line="360" w:lineRule="auto"/>
      </w:pPr>
      <w:r>
        <w:rPr>
          <w:rFonts w:hint="eastAsia"/>
          <w:color w:val="000000" w:themeColor="text1"/>
        </w:rPr>
        <w:t>本</w:t>
      </w:r>
      <w:r>
        <w:rPr>
          <w:rFonts w:hint="eastAsia"/>
          <w:color w:val="000000" w:themeColor="text1"/>
          <w:lang w:eastAsia="zh-CN"/>
        </w:rPr>
        <w:t>文件</w:t>
      </w:r>
      <w:r>
        <w:rPr>
          <w:rFonts w:hint="eastAsia"/>
          <w:color w:val="000000" w:themeColor="text1"/>
        </w:rPr>
        <w:t>主要起草人：</w:t>
      </w:r>
    </w:p>
    <w:p w14:paraId="44B93CC8">
      <w:pPr>
        <w:pStyle w:val="33"/>
        <w:spacing w:line="360" w:lineRule="auto"/>
      </w:pPr>
      <w:r>
        <w:rPr>
          <w:rFonts w:hint="eastAsia"/>
        </w:rPr>
        <w:t>本</w:t>
      </w:r>
      <w:r>
        <w:rPr>
          <w:rFonts w:hint="eastAsia"/>
          <w:lang w:eastAsia="zh-CN"/>
        </w:rPr>
        <w:t>文件及其</w:t>
      </w:r>
      <w:r>
        <w:rPr>
          <w:rFonts w:hint="eastAsia"/>
        </w:rPr>
        <w:t>所代替</w:t>
      </w:r>
      <w:r>
        <w:rPr>
          <w:rFonts w:hint="eastAsia"/>
          <w:lang w:eastAsia="zh-CN"/>
        </w:rPr>
        <w:t>文件</w:t>
      </w:r>
      <w:r>
        <w:rPr>
          <w:rFonts w:hint="eastAsia"/>
        </w:rPr>
        <w:t>的历次版本发布情况为：</w:t>
      </w:r>
    </w:p>
    <w:p w14:paraId="57E4211B">
      <w:pPr>
        <w:pStyle w:val="33"/>
        <w:spacing w:line="360" w:lineRule="auto"/>
        <w:rPr>
          <w:rFonts w:hint="eastAsia" w:hAnsi="宋体"/>
          <w:bCs/>
          <w:color w:val="000000"/>
          <w:lang w:val="en-US" w:eastAsia="zh-CN"/>
        </w:rPr>
      </w:pPr>
      <w:r>
        <w:rPr>
          <w:rFonts w:hAnsi="宋体"/>
          <w:color w:val="000000"/>
        </w:rPr>
        <w:t>——</w:t>
      </w:r>
      <w:r>
        <w:rPr>
          <w:rFonts w:hint="eastAsia" w:hAnsi="宋体"/>
          <w:color w:val="000000"/>
          <w:lang w:val="en-US" w:eastAsia="zh-CN"/>
        </w:rPr>
        <w:t>1990年首次发布为</w:t>
      </w:r>
      <w:r>
        <w:rPr>
          <w:rFonts w:hAnsi="宋体"/>
          <w:bCs/>
          <w:color w:val="000000"/>
        </w:rPr>
        <w:t>GB/T 12690.</w:t>
      </w:r>
      <w:r>
        <w:rPr>
          <w:rFonts w:hint="eastAsia" w:hAnsi="宋体"/>
          <w:bCs/>
          <w:color w:val="000000"/>
          <w:lang w:val="en-US" w:eastAsia="zh-CN"/>
        </w:rPr>
        <w:t>25</w:t>
      </w:r>
      <w:r>
        <w:rPr>
          <w:rFonts w:hAnsi="宋体"/>
          <w:bCs/>
          <w:color w:val="000000"/>
        </w:rPr>
        <w:t>-</w:t>
      </w:r>
      <w:r>
        <w:rPr>
          <w:rFonts w:hint="eastAsia" w:hAnsi="宋体"/>
          <w:bCs/>
          <w:color w:val="000000"/>
        </w:rPr>
        <w:t>1990</w:t>
      </w:r>
      <w:r>
        <w:rPr>
          <w:rFonts w:hint="eastAsia" w:hAnsi="宋体"/>
          <w:bCs/>
          <w:color w:val="000000"/>
          <w:lang w:val="en-US" w:eastAsia="zh-CN"/>
        </w:rPr>
        <w:t>，</w:t>
      </w:r>
      <w:r>
        <w:rPr>
          <w:rFonts w:hint="eastAsia" w:hAnsi="宋体"/>
          <w:color w:val="000000"/>
          <w:lang w:val="en-US" w:eastAsia="zh-CN"/>
        </w:rPr>
        <w:t>2003年第一次修订为</w:t>
      </w:r>
      <w:r>
        <w:rPr>
          <w:rFonts w:hAnsi="宋体"/>
          <w:bCs/>
          <w:color w:val="000000"/>
        </w:rPr>
        <w:t>GB/T 12690.</w:t>
      </w:r>
      <w:r>
        <w:rPr>
          <w:rFonts w:hint="eastAsia" w:hAnsi="宋体"/>
          <w:bCs/>
          <w:color w:val="000000"/>
          <w:lang w:val="en-US" w:eastAsia="zh-CN"/>
        </w:rPr>
        <w:t>11-2003；</w:t>
      </w:r>
    </w:p>
    <w:p w14:paraId="19113430">
      <w:pPr>
        <w:pStyle w:val="33"/>
        <w:spacing w:line="360" w:lineRule="auto"/>
        <w:rPr>
          <w:sz w:val="28"/>
          <w:szCs w:val="28"/>
        </w:rPr>
        <w:sectPr>
          <w:headerReference r:id="rId7" w:type="default"/>
          <w:footerReference r:id="rId9" w:type="default"/>
          <w:headerReference r:id="rId8" w:type="even"/>
          <w:footerReference r:id="rId10" w:type="even"/>
          <w:pgSz w:w="11906" w:h="16838"/>
          <w:pgMar w:top="1417" w:right="1134" w:bottom="1134" w:left="1417" w:header="1418" w:footer="1134" w:gutter="0"/>
          <w:pgNumType w:fmt="decimal" w:start="1"/>
          <w:cols w:space="720" w:num="1"/>
          <w:formProt w:val="0"/>
          <w:docGrid w:type="lines" w:linePitch="312" w:charSpace="0"/>
        </w:sectPr>
      </w:pPr>
      <w:r>
        <w:rPr>
          <w:rFonts w:asciiTheme="minorEastAsia" w:hAnsiTheme="minorEastAsia" w:eastAsiaTheme="minorEastAsia"/>
          <w:sz w:val="21"/>
          <w:szCs w:val="21"/>
        </w:rPr>
        <w:t>——</w:t>
      </w:r>
      <w:r>
        <w:rPr>
          <w:rFonts w:hint="eastAsia" w:hAnsi="宋体" w:eastAsiaTheme="minorEastAsia"/>
          <w:bCs/>
          <w:color w:val="000000"/>
          <w:sz w:val="21"/>
          <w:szCs w:val="21"/>
          <w:lang w:eastAsia="zh-CN"/>
        </w:rPr>
        <w:t>本次为第二次修订。</w:t>
      </w:r>
      <w:r>
        <w:rPr>
          <w:rFonts w:hAnsi="宋体"/>
          <w:color w:val="000000"/>
          <w:sz w:val="28"/>
          <w:szCs w:val="28"/>
        </w:rPr>
        <w:br w:type="page"/>
      </w:r>
    </w:p>
    <w:p w14:paraId="2A0D80FF">
      <w:pPr>
        <w:pStyle w:val="70"/>
        <w:spacing w:line="360" w:lineRule="auto"/>
        <w:rPr>
          <w:rFonts w:hint="eastAsia"/>
          <w:sz w:val="32"/>
          <w:szCs w:val="32"/>
          <w:lang w:eastAsia="zh-CN"/>
        </w:rPr>
      </w:pPr>
    </w:p>
    <w:p w14:paraId="6E8DC0D3">
      <w:pPr>
        <w:pStyle w:val="70"/>
        <w:spacing w:line="360" w:lineRule="auto"/>
        <w:rPr>
          <w:rFonts w:hint="eastAsia"/>
          <w:sz w:val="32"/>
          <w:szCs w:val="32"/>
          <w:lang w:eastAsia="zh-CN"/>
        </w:rPr>
      </w:pPr>
      <w:r>
        <w:rPr>
          <w:rFonts w:hint="eastAsia"/>
          <w:sz w:val="32"/>
          <w:szCs w:val="32"/>
          <w:lang w:eastAsia="zh-CN"/>
        </w:rPr>
        <w:t>引</w:t>
      </w:r>
      <w:r>
        <w:rPr>
          <w:rFonts w:hint="eastAsia"/>
          <w:sz w:val="32"/>
          <w:szCs w:val="32"/>
          <w:lang w:val="en-US" w:eastAsia="zh-CN"/>
        </w:rPr>
        <w:t xml:space="preserve">   </w:t>
      </w:r>
      <w:r>
        <w:rPr>
          <w:rFonts w:hint="eastAsia"/>
          <w:sz w:val="32"/>
          <w:szCs w:val="32"/>
          <w:lang w:eastAsia="zh-CN"/>
        </w:rPr>
        <w:t>言</w:t>
      </w:r>
    </w:p>
    <w:p w14:paraId="391BF8ED">
      <w:pPr>
        <w:pStyle w:val="70"/>
        <w:spacing w:line="480" w:lineRule="auto"/>
        <w:rPr>
          <w:rFonts w:hint="eastAsia"/>
          <w:sz w:val="32"/>
          <w:szCs w:val="32"/>
          <w:lang w:eastAsia="zh-CN"/>
        </w:rPr>
      </w:pPr>
    </w:p>
    <w:p w14:paraId="13511139">
      <w:pPr>
        <w:pStyle w:val="70"/>
        <w:tabs>
          <w:tab w:val="left" w:pos="407"/>
        </w:tabs>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在稀土产品化学成分分析领域，我国已经建立了针对稀土总量、非稀土杂质、稀土杂质等检测的较为全面的标准体系。</w:t>
      </w:r>
      <w:r>
        <w:rPr>
          <w:rFonts w:hint="eastAsia" w:ascii="宋体" w:hAnsi="宋体" w:eastAsia="宋体" w:cs="宋体"/>
          <w:sz w:val="21"/>
          <w:szCs w:val="21"/>
          <w:lang w:val="en-US" w:eastAsia="zh-CN"/>
        </w:rPr>
        <w:t>GB/T12690《稀土金属及其氧化物中非稀土杂质化学分析方法》以原标准GB/T12690.12～26-1990《稀土金属及其氧化物化学分析方法》为基础，合并了GB/T8762.3-1988《荧光级氧化钇中酸溶性二氧化硅量测定  钼蓝分光光度法》、GB/T8762.4-1988《荧光级氧化钇中氧化铁、氧化铅、氧化镍和氧化铜量测定  发射光谱法》、GB/T8762.6-1988《荧光级氧化铕中氧化铅、氧化镍、氧化铁和氧化铜量测定  发射光谱法》、GB/T11074.3～7-1989《氧化钐化学分析方法》等标准，最后形成对所有稀土金属及其氧化物中非稀土杂质的综合分析方法标准，经整合后的系列方法标准引用了先进的检测方法，并基本覆盖了全部稀土金属及其稀土氧化物基体。为稀土金属及其氧化物中非稀土杂质含量的测定提供了快捷、准确的方法规范，具有良好的操作性。</w:t>
      </w:r>
    </w:p>
    <w:p w14:paraId="35C8E1C7">
      <w:pPr>
        <w:pStyle w:val="70"/>
        <w:tabs>
          <w:tab w:val="left" w:pos="407"/>
        </w:tabs>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根据检测对象、检测方法的不同以及各稀土金属与稀土氧化物基体的差异等，GB/T12690由19个部分构成：</w:t>
      </w:r>
    </w:p>
    <w:p w14:paraId="04CAF4FC">
      <w:pPr>
        <w:pStyle w:val="101"/>
        <w:snapToGrid w:val="0"/>
        <w:spacing w:line="360" w:lineRule="auto"/>
        <w:ind w:firstLine="280" w:firstLineChars="100"/>
        <w:jc w:val="both"/>
        <w:rPr>
          <w:szCs w:val="21"/>
        </w:rPr>
      </w:pPr>
      <w:r>
        <w:rPr>
          <w:rFonts w:hint="eastAsia"/>
          <w:sz w:val="28"/>
          <w:szCs w:val="28"/>
          <w:lang w:val="en-US" w:eastAsia="zh-CN"/>
        </w:rPr>
        <w:t xml:space="preserve"> </w:t>
      </w:r>
      <w:r>
        <w:rPr>
          <w:szCs w:val="21"/>
        </w:rPr>
        <w:t>――</w:t>
      </w:r>
      <w:r>
        <w:rPr>
          <w:rFonts w:hAnsi="宋体"/>
          <w:szCs w:val="21"/>
        </w:rPr>
        <w:t>第</w:t>
      </w:r>
      <w:r>
        <w:rPr>
          <w:szCs w:val="21"/>
        </w:rPr>
        <w:t>1</w:t>
      </w:r>
      <w:r>
        <w:rPr>
          <w:rFonts w:hAnsi="宋体"/>
          <w:szCs w:val="21"/>
        </w:rPr>
        <w:t>部分：</w:t>
      </w:r>
      <w:r>
        <w:rPr>
          <w:rFonts w:hAnsi="Verdana"/>
          <w:szCs w:val="21"/>
        </w:rPr>
        <w:t>碳、硫量的测定</w:t>
      </w:r>
      <w:r>
        <w:rPr>
          <w:rFonts w:hint="eastAsia" w:hAnsi="Verdana"/>
          <w:szCs w:val="21"/>
          <w:lang w:val="en-US" w:eastAsia="zh-CN"/>
        </w:rPr>
        <w:t xml:space="preserve">  </w:t>
      </w:r>
      <w:r>
        <w:rPr>
          <w:rFonts w:hAnsi="Verdana"/>
          <w:szCs w:val="21"/>
        </w:rPr>
        <w:t>高频</w:t>
      </w:r>
      <w:r>
        <w:rPr>
          <w:szCs w:val="21"/>
        </w:rPr>
        <w:t>-</w:t>
      </w:r>
      <w:r>
        <w:rPr>
          <w:rFonts w:hAnsi="Verdana"/>
          <w:szCs w:val="21"/>
        </w:rPr>
        <w:t>红外吸收法；</w:t>
      </w:r>
    </w:p>
    <w:p w14:paraId="595B604B">
      <w:pPr>
        <w:pStyle w:val="101"/>
        <w:snapToGrid w:val="0"/>
        <w:spacing w:line="360" w:lineRule="auto"/>
        <w:ind w:firstLine="420" w:firstLineChars="200"/>
        <w:jc w:val="both"/>
        <w:rPr>
          <w:szCs w:val="21"/>
        </w:rPr>
      </w:pPr>
      <w:r>
        <w:rPr>
          <w:szCs w:val="21"/>
        </w:rPr>
        <w:t>――</w:t>
      </w:r>
      <w:r>
        <w:rPr>
          <w:rFonts w:hAnsi="宋体"/>
          <w:szCs w:val="21"/>
        </w:rPr>
        <w:t>第</w:t>
      </w:r>
      <w:r>
        <w:rPr>
          <w:szCs w:val="21"/>
        </w:rPr>
        <w:t>2</w:t>
      </w:r>
      <w:r>
        <w:rPr>
          <w:rFonts w:hAnsi="宋体"/>
          <w:szCs w:val="21"/>
        </w:rPr>
        <w:t>部分：</w:t>
      </w:r>
      <w:r>
        <w:rPr>
          <w:rFonts w:hAnsi="Verdana"/>
          <w:szCs w:val="21"/>
        </w:rPr>
        <w:t>稀土氧化物中灼减量的测定</w:t>
      </w:r>
      <w:r>
        <w:rPr>
          <w:rFonts w:hint="eastAsia" w:hAnsi="Verdana"/>
          <w:szCs w:val="21"/>
          <w:lang w:val="en-US" w:eastAsia="zh-CN"/>
        </w:rPr>
        <w:t xml:space="preserve">  </w:t>
      </w:r>
      <w:r>
        <w:rPr>
          <w:rFonts w:hAnsi="Verdana"/>
          <w:szCs w:val="21"/>
        </w:rPr>
        <w:t>重量法；</w:t>
      </w:r>
    </w:p>
    <w:p w14:paraId="514C030C">
      <w:pPr>
        <w:pStyle w:val="101"/>
        <w:snapToGrid w:val="0"/>
        <w:spacing w:line="360" w:lineRule="auto"/>
        <w:ind w:firstLine="420" w:firstLineChars="200"/>
        <w:jc w:val="both"/>
        <w:rPr>
          <w:szCs w:val="21"/>
        </w:rPr>
      </w:pPr>
      <w:r>
        <w:rPr>
          <w:szCs w:val="21"/>
        </w:rPr>
        <w:t>――</w:t>
      </w:r>
      <w:r>
        <w:rPr>
          <w:rFonts w:hAnsi="宋体"/>
          <w:szCs w:val="21"/>
        </w:rPr>
        <w:t>第</w:t>
      </w:r>
      <w:r>
        <w:rPr>
          <w:szCs w:val="21"/>
        </w:rPr>
        <w:t>3</w:t>
      </w:r>
      <w:r>
        <w:rPr>
          <w:rFonts w:hAnsi="宋体"/>
          <w:szCs w:val="21"/>
        </w:rPr>
        <w:t>部</w:t>
      </w:r>
      <w:r>
        <w:rPr>
          <w:rFonts w:ascii="宋体" w:hAnsi="宋体"/>
          <w:szCs w:val="21"/>
        </w:rPr>
        <w:t>分</w:t>
      </w:r>
      <w:r>
        <w:rPr>
          <w:rFonts w:hAnsi="宋体"/>
          <w:szCs w:val="21"/>
        </w:rPr>
        <w:t>：</w:t>
      </w:r>
      <w:r>
        <w:rPr>
          <w:rFonts w:hAnsi="Verdana"/>
          <w:szCs w:val="21"/>
        </w:rPr>
        <w:t>稀土氧化物中水分量的测定</w:t>
      </w:r>
      <w:r>
        <w:rPr>
          <w:rFonts w:hint="eastAsia" w:hAnsi="Verdana"/>
          <w:szCs w:val="21"/>
          <w:lang w:val="en-US" w:eastAsia="zh-CN"/>
        </w:rPr>
        <w:t xml:space="preserve">  </w:t>
      </w:r>
      <w:r>
        <w:rPr>
          <w:rFonts w:hAnsi="Verdana"/>
          <w:szCs w:val="21"/>
        </w:rPr>
        <w:t>重量法；</w:t>
      </w:r>
    </w:p>
    <w:p w14:paraId="0376B1F6">
      <w:pPr>
        <w:pStyle w:val="101"/>
        <w:snapToGrid w:val="0"/>
        <w:spacing w:line="360" w:lineRule="auto"/>
        <w:ind w:left="735" w:leftChars="200" w:hanging="315" w:hangingChars="150"/>
        <w:jc w:val="both"/>
        <w:rPr>
          <w:szCs w:val="21"/>
        </w:rPr>
      </w:pPr>
      <w:r>
        <w:rPr>
          <w:szCs w:val="21"/>
        </w:rPr>
        <w:t>――</w:t>
      </w:r>
      <w:r>
        <w:rPr>
          <w:rFonts w:hAnsi="宋体"/>
          <w:szCs w:val="21"/>
        </w:rPr>
        <w:t>第</w:t>
      </w:r>
      <w:r>
        <w:rPr>
          <w:szCs w:val="21"/>
        </w:rPr>
        <w:t>4</w:t>
      </w:r>
      <w:r>
        <w:rPr>
          <w:rFonts w:hAnsi="宋体"/>
          <w:szCs w:val="21"/>
        </w:rPr>
        <w:t>部分：</w:t>
      </w:r>
      <w:r>
        <w:rPr>
          <w:rFonts w:hAnsi="Verdana"/>
          <w:szCs w:val="21"/>
        </w:rPr>
        <w:t>氧、氮量的测定</w:t>
      </w:r>
      <w:r>
        <w:rPr>
          <w:rFonts w:hint="eastAsia" w:hAnsi="Verdana"/>
          <w:szCs w:val="21"/>
          <w:lang w:val="en-US" w:eastAsia="zh-CN"/>
        </w:rPr>
        <w:t xml:space="preserve">  </w:t>
      </w:r>
      <w:r>
        <w:rPr>
          <w:rFonts w:hAnsi="Verdana"/>
          <w:szCs w:val="21"/>
        </w:rPr>
        <w:t>脉冲</w:t>
      </w:r>
      <w:r>
        <w:rPr>
          <w:szCs w:val="21"/>
        </w:rPr>
        <w:t>-</w:t>
      </w:r>
      <w:r>
        <w:rPr>
          <w:rFonts w:hAnsi="Verdana"/>
          <w:szCs w:val="21"/>
        </w:rPr>
        <w:t>红外吸收法和脉冲</w:t>
      </w:r>
      <w:r>
        <w:rPr>
          <w:szCs w:val="21"/>
        </w:rPr>
        <w:t>-</w:t>
      </w:r>
      <w:r>
        <w:rPr>
          <w:rFonts w:hAnsi="Verdana"/>
          <w:szCs w:val="21"/>
        </w:rPr>
        <w:t>热导法；</w:t>
      </w:r>
    </w:p>
    <w:p w14:paraId="5AFA0000">
      <w:pPr>
        <w:pStyle w:val="101"/>
        <w:snapToGrid w:val="0"/>
        <w:spacing w:line="360" w:lineRule="auto"/>
        <w:ind w:left="735" w:leftChars="200" w:right="210" w:hanging="315" w:hangingChars="150"/>
        <w:jc w:val="both"/>
        <w:rPr>
          <w:rFonts w:hint="eastAsia" w:eastAsia="宋体"/>
          <w:szCs w:val="21"/>
          <w:lang w:eastAsia="zh-CN"/>
        </w:rPr>
      </w:pPr>
      <w:r>
        <w:rPr>
          <w:szCs w:val="21"/>
        </w:rPr>
        <w:t>――</w:t>
      </w:r>
      <w:r>
        <w:rPr>
          <w:rFonts w:hAnsi="宋体"/>
          <w:szCs w:val="21"/>
        </w:rPr>
        <w:t>第</w:t>
      </w:r>
      <w:r>
        <w:rPr>
          <w:szCs w:val="21"/>
        </w:rPr>
        <w:t>5</w:t>
      </w:r>
      <w:r>
        <w:rPr>
          <w:rFonts w:hAnsi="宋体"/>
          <w:szCs w:val="21"/>
        </w:rPr>
        <w:t>部分：</w:t>
      </w:r>
      <w:r>
        <w:rPr>
          <w:rFonts w:hint="eastAsia" w:hAnsi="Verdana"/>
          <w:szCs w:val="21"/>
        </w:rPr>
        <w:t>钴、锰、铅、镍、铜、锌、铝、铬、镁、镉、钒、铁量的测定</w:t>
      </w:r>
      <w:r>
        <w:rPr>
          <w:rFonts w:hint="eastAsia" w:hAnsi="Verdana"/>
          <w:szCs w:val="21"/>
          <w:lang w:eastAsia="zh-CN"/>
        </w:rPr>
        <w:t>；</w:t>
      </w:r>
    </w:p>
    <w:p w14:paraId="2F4BFF61">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6</w:t>
      </w:r>
      <w:r>
        <w:rPr>
          <w:rFonts w:hAnsi="宋体"/>
          <w:szCs w:val="21"/>
        </w:rPr>
        <w:t>部分：</w:t>
      </w:r>
      <w:r>
        <w:rPr>
          <w:rFonts w:hAnsi="Verdana"/>
          <w:szCs w:val="21"/>
        </w:rPr>
        <w:t>铁量的测定</w:t>
      </w:r>
      <w:r>
        <w:rPr>
          <w:rFonts w:hint="eastAsia" w:hAnsi="Verdana"/>
          <w:szCs w:val="21"/>
          <w:lang w:val="en-US" w:eastAsia="zh-CN"/>
        </w:rPr>
        <w:t xml:space="preserve">  </w:t>
      </w:r>
      <w:r>
        <w:rPr>
          <w:rFonts w:hAnsi="Verdana"/>
          <w:szCs w:val="21"/>
        </w:rPr>
        <w:t>硫氰酸钾、</w:t>
      </w:r>
      <w:r>
        <w:rPr>
          <w:szCs w:val="21"/>
        </w:rPr>
        <w:t>1</w:t>
      </w:r>
      <w:r>
        <w:rPr>
          <w:rFonts w:hAnsi="Verdana"/>
          <w:szCs w:val="21"/>
        </w:rPr>
        <w:t>，</w:t>
      </w:r>
      <w:r>
        <w:rPr>
          <w:szCs w:val="21"/>
        </w:rPr>
        <w:t>10-</w:t>
      </w:r>
      <w:r>
        <w:rPr>
          <w:rFonts w:hAnsi="Verdana"/>
          <w:szCs w:val="21"/>
        </w:rPr>
        <w:t>二氮杂菲分光光度法；</w:t>
      </w:r>
    </w:p>
    <w:p w14:paraId="14B2E0D7">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7</w:t>
      </w:r>
      <w:r>
        <w:rPr>
          <w:rFonts w:hAnsi="宋体"/>
          <w:szCs w:val="21"/>
        </w:rPr>
        <w:t>部分：</w:t>
      </w:r>
      <w:r>
        <w:rPr>
          <w:rFonts w:hAnsi="Verdana"/>
          <w:szCs w:val="21"/>
        </w:rPr>
        <w:t>硅量的测定；</w:t>
      </w:r>
    </w:p>
    <w:p w14:paraId="532BEE59">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8</w:t>
      </w:r>
      <w:r>
        <w:rPr>
          <w:rFonts w:hAnsi="宋体"/>
          <w:szCs w:val="21"/>
        </w:rPr>
        <w:t>部分：</w:t>
      </w:r>
      <w:r>
        <w:rPr>
          <w:rFonts w:hAnsi="Verdana"/>
          <w:szCs w:val="21"/>
        </w:rPr>
        <w:t>钠量的测定；</w:t>
      </w:r>
    </w:p>
    <w:p w14:paraId="476FD9B4">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9</w:t>
      </w:r>
      <w:r>
        <w:rPr>
          <w:rFonts w:hAnsi="宋体"/>
          <w:szCs w:val="21"/>
        </w:rPr>
        <w:t>部分：</w:t>
      </w:r>
      <w:r>
        <w:rPr>
          <w:rFonts w:hAnsi="Verdana"/>
          <w:szCs w:val="21"/>
        </w:rPr>
        <w:t>氯量的测定</w:t>
      </w:r>
      <w:r>
        <w:rPr>
          <w:rFonts w:hint="eastAsia" w:hAnsi="Verdana"/>
          <w:szCs w:val="21"/>
          <w:lang w:val="en-US" w:eastAsia="zh-CN"/>
        </w:rPr>
        <w:t xml:space="preserve">  </w:t>
      </w:r>
      <w:r>
        <w:rPr>
          <w:rFonts w:hAnsi="Verdana"/>
          <w:szCs w:val="21"/>
        </w:rPr>
        <w:t>硝酸银比浊法；</w:t>
      </w:r>
    </w:p>
    <w:p w14:paraId="3E6863E9">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10</w:t>
      </w:r>
      <w:r>
        <w:rPr>
          <w:rFonts w:hAnsi="宋体"/>
          <w:szCs w:val="21"/>
        </w:rPr>
        <w:t>部分：</w:t>
      </w:r>
      <w:r>
        <w:rPr>
          <w:rFonts w:hAnsi="Verdana"/>
          <w:szCs w:val="21"/>
        </w:rPr>
        <w:t>磷量的测定</w:t>
      </w:r>
      <w:r>
        <w:rPr>
          <w:rFonts w:hint="eastAsia" w:hAnsi="Verdana"/>
          <w:szCs w:val="21"/>
          <w:lang w:val="en-US" w:eastAsia="zh-CN"/>
        </w:rPr>
        <w:t xml:space="preserve">  </w:t>
      </w:r>
      <w:r>
        <w:rPr>
          <w:rFonts w:hAnsi="Verdana"/>
          <w:szCs w:val="21"/>
        </w:rPr>
        <w:t>钼蓝分光光度法；</w:t>
      </w:r>
    </w:p>
    <w:p w14:paraId="3924E8C4">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11</w:t>
      </w:r>
      <w:r>
        <w:rPr>
          <w:rFonts w:hAnsi="宋体"/>
          <w:szCs w:val="21"/>
        </w:rPr>
        <w:t>部分：</w:t>
      </w:r>
      <w:r>
        <w:rPr>
          <w:rFonts w:hAnsi="Verdana"/>
          <w:szCs w:val="21"/>
        </w:rPr>
        <w:t>镁量的测定</w:t>
      </w:r>
      <w:r>
        <w:rPr>
          <w:rFonts w:hint="eastAsia" w:hAnsi="Verdana"/>
          <w:szCs w:val="21"/>
          <w:lang w:val="en-US" w:eastAsia="zh-CN"/>
        </w:rPr>
        <w:t xml:space="preserve">  </w:t>
      </w:r>
      <w:r>
        <w:rPr>
          <w:rFonts w:hAnsi="Verdana"/>
          <w:szCs w:val="21"/>
        </w:rPr>
        <w:t>火焰原子吸收光谱法；</w:t>
      </w:r>
    </w:p>
    <w:p w14:paraId="35FEA720">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12</w:t>
      </w:r>
      <w:r>
        <w:rPr>
          <w:rFonts w:hAnsi="宋体"/>
          <w:szCs w:val="21"/>
        </w:rPr>
        <w:t>部分：</w:t>
      </w:r>
      <w:r>
        <w:rPr>
          <w:rFonts w:hAnsi="Verdana"/>
          <w:szCs w:val="21"/>
        </w:rPr>
        <w:t>钍</w:t>
      </w:r>
      <w:r>
        <w:rPr>
          <w:rFonts w:hint="eastAsia" w:hAnsi="Verdana"/>
          <w:szCs w:val="21"/>
          <w:lang w:eastAsia="zh-CN"/>
        </w:rPr>
        <w:t>、铀</w:t>
      </w:r>
      <w:r>
        <w:rPr>
          <w:rFonts w:hAnsi="Verdana"/>
          <w:szCs w:val="21"/>
        </w:rPr>
        <w:t>量的测定</w:t>
      </w:r>
      <w:r>
        <w:rPr>
          <w:rFonts w:hint="eastAsia" w:hAnsi="Verdana"/>
          <w:szCs w:val="21"/>
          <w:lang w:val="en-US" w:eastAsia="zh-CN"/>
        </w:rPr>
        <w:t xml:space="preserve">  </w:t>
      </w:r>
      <w:r>
        <w:rPr>
          <w:rFonts w:hint="eastAsia" w:hAnsi="Verdana"/>
          <w:szCs w:val="21"/>
          <w:lang w:eastAsia="zh-CN"/>
        </w:rPr>
        <w:t>电感耦合等离子体质谱法</w:t>
      </w:r>
      <w:r>
        <w:rPr>
          <w:rFonts w:hAnsi="Verdana"/>
          <w:szCs w:val="21"/>
        </w:rPr>
        <w:t>；</w:t>
      </w:r>
    </w:p>
    <w:p w14:paraId="1A0E7621">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13</w:t>
      </w:r>
      <w:r>
        <w:rPr>
          <w:rFonts w:hAnsi="宋体"/>
          <w:szCs w:val="21"/>
        </w:rPr>
        <w:t>部分：</w:t>
      </w:r>
      <w:r>
        <w:rPr>
          <w:rFonts w:hAnsi="Verdana"/>
          <w:szCs w:val="21"/>
        </w:rPr>
        <w:t>钼、钨量的测定</w:t>
      </w:r>
      <w:r>
        <w:rPr>
          <w:rFonts w:hint="eastAsia" w:hAnsi="Verdana"/>
          <w:szCs w:val="21"/>
          <w:lang w:val="en-US" w:eastAsia="zh-CN"/>
        </w:rPr>
        <w:t xml:space="preserve">  </w:t>
      </w:r>
      <w:r>
        <w:rPr>
          <w:rFonts w:hint="eastAsia" w:hAnsi="Verdana"/>
          <w:szCs w:val="21"/>
          <w:lang w:eastAsia="zh-CN"/>
        </w:rPr>
        <w:t>电感耦合等离子体光谱法和电感耦合等离子体质谱法</w:t>
      </w:r>
      <w:r>
        <w:rPr>
          <w:rFonts w:hAnsi="Verdana"/>
          <w:szCs w:val="21"/>
        </w:rPr>
        <w:t>；</w:t>
      </w:r>
    </w:p>
    <w:p w14:paraId="5C43F76D">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14</w:t>
      </w:r>
      <w:r>
        <w:rPr>
          <w:rFonts w:hAnsi="宋体"/>
          <w:szCs w:val="21"/>
        </w:rPr>
        <w:t>部分：</w:t>
      </w:r>
      <w:r>
        <w:rPr>
          <w:rFonts w:hAnsi="Verdana"/>
          <w:szCs w:val="21"/>
        </w:rPr>
        <w:t>钛量的测定；</w:t>
      </w:r>
    </w:p>
    <w:p w14:paraId="1B823E3E">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15</w:t>
      </w:r>
      <w:r>
        <w:rPr>
          <w:rFonts w:hAnsi="宋体"/>
          <w:szCs w:val="21"/>
        </w:rPr>
        <w:t>部分：</w:t>
      </w:r>
      <w:r>
        <w:rPr>
          <w:rFonts w:hAnsi="Verdana"/>
          <w:szCs w:val="21"/>
        </w:rPr>
        <w:t>钙量的测定；</w:t>
      </w:r>
    </w:p>
    <w:p w14:paraId="681943BF">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16</w:t>
      </w:r>
      <w:r>
        <w:rPr>
          <w:rFonts w:hAnsi="宋体"/>
          <w:szCs w:val="21"/>
        </w:rPr>
        <w:t>部分：</w:t>
      </w:r>
      <w:r>
        <w:rPr>
          <w:rFonts w:hAnsi="Verdana"/>
          <w:szCs w:val="21"/>
        </w:rPr>
        <w:t>氟量的测定</w:t>
      </w:r>
      <w:r>
        <w:rPr>
          <w:rFonts w:hint="eastAsia" w:hAnsi="Verdana"/>
          <w:szCs w:val="21"/>
          <w:lang w:val="en-US" w:eastAsia="zh-CN"/>
        </w:rPr>
        <w:t xml:space="preserve">  </w:t>
      </w:r>
      <w:r>
        <w:rPr>
          <w:rFonts w:hAnsi="Verdana"/>
          <w:szCs w:val="21"/>
        </w:rPr>
        <w:t>离子选择性电极法；</w:t>
      </w:r>
    </w:p>
    <w:p w14:paraId="4B739265">
      <w:pPr>
        <w:pStyle w:val="101"/>
        <w:snapToGrid w:val="0"/>
        <w:spacing w:line="360" w:lineRule="auto"/>
        <w:ind w:right="210" w:firstLine="420" w:firstLineChars="200"/>
        <w:jc w:val="both"/>
        <w:rPr>
          <w:szCs w:val="21"/>
        </w:rPr>
      </w:pPr>
      <w:r>
        <w:rPr>
          <w:szCs w:val="21"/>
        </w:rPr>
        <w:t>――</w:t>
      </w:r>
      <w:r>
        <w:rPr>
          <w:rFonts w:hAnsi="宋体"/>
          <w:szCs w:val="21"/>
        </w:rPr>
        <w:t>第</w:t>
      </w:r>
      <w:r>
        <w:rPr>
          <w:szCs w:val="21"/>
        </w:rPr>
        <w:t>17</w:t>
      </w:r>
      <w:r>
        <w:rPr>
          <w:rFonts w:hAnsi="宋体"/>
          <w:szCs w:val="21"/>
        </w:rPr>
        <w:t>部分：</w:t>
      </w:r>
      <w:r>
        <w:rPr>
          <w:rFonts w:hAnsi="Verdana"/>
          <w:szCs w:val="21"/>
        </w:rPr>
        <w:t>稀土金属中铌、钽量的测定；</w:t>
      </w:r>
    </w:p>
    <w:p w14:paraId="6E127E82">
      <w:pPr>
        <w:pStyle w:val="101"/>
        <w:snapToGrid w:val="0"/>
        <w:spacing w:line="360" w:lineRule="auto"/>
        <w:ind w:right="210" w:firstLine="420" w:firstLineChars="200"/>
        <w:jc w:val="both"/>
        <w:rPr>
          <w:rFonts w:hint="eastAsia" w:hAnsi="Verdana"/>
          <w:szCs w:val="21"/>
          <w:lang w:eastAsia="zh-CN"/>
        </w:rPr>
      </w:pPr>
      <w:r>
        <w:rPr>
          <w:szCs w:val="21"/>
        </w:rPr>
        <w:t>――</w:t>
      </w:r>
      <w:r>
        <w:rPr>
          <w:rFonts w:hAnsi="宋体"/>
          <w:szCs w:val="21"/>
        </w:rPr>
        <w:t>第</w:t>
      </w:r>
      <w:r>
        <w:rPr>
          <w:szCs w:val="21"/>
        </w:rPr>
        <w:t>18</w:t>
      </w:r>
      <w:r>
        <w:rPr>
          <w:rFonts w:hAnsi="宋体"/>
          <w:szCs w:val="21"/>
        </w:rPr>
        <w:t>部分：锆</w:t>
      </w:r>
      <w:r>
        <w:rPr>
          <w:rFonts w:hAnsi="Verdana"/>
          <w:szCs w:val="21"/>
        </w:rPr>
        <w:t>量的测定</w:t>
      </w:r>
      <w:r>
        <w:rPr>
          <w:rFonts w:hint="eastAsia" w:hAnsi="Verdana"/>
          <w:szCs w:val="21"/>
          <w:lang w:eastAsia="zh-CN"/>
        </w:rPr>
        <w:t>；</w:t>
      </w:r>
    </w:p>
    <w:p w14:paraId="4F7E1CA5">
      <w:pPr>
        <w:pStyle w:val="101"/>
        <w:snapToGrid w:val="0"/>
        <w:spacing w:line="360" w:lineRule="auto"/>
        <w:ind w:right="210" w:firstLine="420" w:firstLineChars="200"/>
        <w:jc w:val="both"/>
        <w:rPr>
          <w:rFonts w:hint="eastAsia" w:eastAsia="宋体"/>
          <w:szCs w:val="21"/>
          <w:lang w:eastAsia="zh-CN"/>
        </w:rPr>
      </w:pPr>
      <w:r>
        <w:rPr>
          <w:szCs w:val="21"/>
        </w:rPr>
        <w:t>――</w:t>
      </w:r>
      <w:r>
        <w:rPr>
          <w:rFonts w:hAnsi="宋体"/>
          <w:szCs w:val="21"/>
        </w:rPr>
        <w:t>第</w:t>
      </w:r>
      <w:r>
        <w:rPr>
          <w:szCs w:val="21"/>
        </w:rPr>
        <w:t>1</w:t>
      </w:r>
      <w:r>
        <w:rPr>
          <w:rFonts w:hint="eastAsia"/>
          <w:szCs w:val="21"/>
          <w:lang w:val="en-US" w:eastAsia="zh-CN"/>
        </w:rPr>
        <w:t>9</w:t>
      </w:r>
      <w:r>
        <w:rPr>
          <w:rFonts w:hAnsi="宋体"/>
          <w:szCs w:val="21"/>
        </w:rPr>
        <w:t>部分：</w:t>
      </w:r>
      <w:r>
        <w:rPr>
          <w:rFonts w:hint="eastAsia" w:hAnsi="宋体"/>
          <w:szCs w:val="21"/>
          <w:lang w:eastAsia="zh-CN"/>
        </w:rPr>
        <w:t>砷、汞</w:t>
      </w:r>
      <w:r>
        <w:rPr>
          <w:rFonts w:hAnsi="Verdana"/>
          <w:szCs w:val="21"/>
        </w:rPr>
        <w:t>量的测定。</w:t>
      </w:r>
    </w:p>
    <w:p w14:paraId="1AF39BB2">
      <w:pPr>
        <w:pStyle w:val="7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各个部分标准按稀土金属及其氧化物生产与贸易中常规的检测元素一次设立，各部分包括一种或多种检测方法，分别明确适用范围、试剂材料与试验设备的选择，规范实验步骤，并经过多家实验室多次试验和验证给出精密度数据，为稀土金属及其氧化物品质核查建立严谨、规范的标准化工作基础。</w:t>
      </w:r>
    </w:p>
    <w:p w14:paraId="2EF2256C">
      <w:pPr>
        <w:pStyle w:val="70"/>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color w:val="auto"/>
          <w:sz w:val="28"/>
          <w:szCs w:val="28"/>
        </w:rPr>
      </w:pPr>
      <w:r>
        <w:rPr>
          <w:rFonts w:hint="eastAsia" w:ascii="宋体" w:hAnsi="宋体" w:eastAsia="宋体" w:cs="宋体"/>
          <w:color w:val="auto"/>
          <w:sz w:val="21"/>
          <w:szCs w:val="21"/>
          <w:lang w:val="en-US" w:eastAsia="zh-CN"/>
        </w:rPr>
        <w:t>本次修订增加了工作曲线法，根据镁含量的高低分别采用标准曲线法和标准加入法测定，确保了标准方法的先进性，增强了标准的适用性。同时通过多家实验室试验、验证，修订了“允许差”条款为“再现性”条款，在标准中给出了覆盖高、中、低点的重复性、再现性限值，使方法的精密度要求更趋于完善。</w:t>
      </w:r>
    </w:p>
    <w:p w14:paraId="074EA3FF">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6E7F8242">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0DCBD0CB">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1A3297CA">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6878DEE7">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2F107589">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6A50FA7D">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398111C6">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4E9C63D3">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33DE23C4">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06D7CDFC">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6F2D4AB0">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3DCF67D1">
      <w:pPr>
        <w:pStyle w:val="70"/>
        <w:keepNext w:val="0"/>
        <w:keepLines w:val="0"/>
        <w:pageBreakBefore w:val="0"/>
        <w:widowControl w:val="0"/>
        <w:kinsoku/>
        <w:wordWrap/>
        <w:overflowPunct/>
        <w:topLinePunct w:val="0"/>
        <w:autoSpaceDE/>
        <w:autoSpaceDN/>
        <w:bidi w:val="0"/>
        <w:adjustRightInd/>
        <w:snapToGrid/>
        <w:spacing w:line="120" w:lineRule="auto"/>
        <w:jc w:val="center"/>
        <w:textAlignment w:val="center"/>
        <w:rPr>
          <w:rFonts w:hint="eastAsia"/>
          <w:sz w:val="28"/>
          <w:szCs w:val="28"/>
        </w:rPr>
      </w:pPr>
    </w:p>
    <w:p w14:paraId="5401A4AA">
      <w:pPr>
        <w:pStyle w:val="70"/>
        <w:keepNext w:val="0"/>
        <w:keepLines w:val="0"/>
        <w:pageBreakBefore w:val="0"/>
        <w:widowControl w:val="0"/>
        <w:kinsoku/>
        <w:wordWrap/>
        <w:overflowPunct/>
        <w:topLinePunct w:val="0"/>
        <w:autoSpaceDE/>
        <w:autoSpaceDN/>
        <w:bidi w:val="0"/>
        <w:adjustRightInd/>
        <w:snapToGrid/>
        <w:spacing w:line="120" w:lineRule="auto"/>
        <w:jc w:val="both"/>
        <w:textAlignment w:val="center"/>
        <w:rPr>
          <w:rFonts w:hint="eastAsia"/>
          <w:sz w:val="28"/>
          <w:szCs w:val="28"/>
        </w:rPr>
      </w:pPr>
    </w:p>
    <w:p w14:paraId="3DDA2389">
      <w:pPr>
        <w:pStyle w:val="70"/>
        <w:keepNext w:val="0"/>
        <w:keepLines w:val="0"/>
        <w:pageBreakBefore w:val="0"/>
        <w:widowControl w:val="0"/>
        <w:kinsoku/>
        <w:wordWrap/>
        <w:overflowPunct/>
        <w:topLinePunct w:val="0"/>
        <w:autoSpaceDE/>
        <w:autoSpaceDN/>
        <w:bidi w:val="0"/>
        <w:adjustRightInd/>
        <w:snapToGrid/>
        <w:spacing w:line="120" w:lineRule="auto"/>
        <w:jc w:val="both"/>
        <w:textAlignment w:val="center"/>
        <w:rPr>
          <w:rFonts w:hint="eastAsia"/>
          <w:sz w:val="28"/>
          <w:szCs w:val="28"/>
        </w:rPr>
      </w:pPr>
    </w:p>
    <w:p w14:paraId="7498E291">
      <w:pPr>
        <w:pStyle w:val="70"/>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sz w:val="28"/>
          <w:szCs w:val="28"/>
        </w:rPr>
      </w:pPr>
      <w:r>
        <w:rPr>
          <w:rFonts w:hint="eastAsia"/>
          <w:sz w:val="28"/>
          <w:szCs w:val="28"/>
        </w:rPr>
        <w:t>稀土金属及其氧化物</w:t>
      </w:r>
      <w:r>
        <w:rPr>
          <w:rFonts w:hint="eastAsia"/>
          <w:sz w:val="28"/>
          <w:szCs w:val="28"/>
          <w:lang w:eastAsia="zh-CN"/>
        </w:rPr>
        <w:t>中非稀土杂质</w:t>
      </w:r>
      <w:r>
        <w:rPr>
          <w:rFonts w:hint="eastAsia"/>
          <w:sz w:val="28"/>
          <w:szCs w:val="28"/>
        </w:rPr>
        <w:t>化学分析方法</w:t>
      </w:r>
    </w:p>
    <w:p w14:paraId="29082C0A">
      <w:pPr>
        <w:pStyle w:val="70"/>
        <w:keepNext w:val="0"/>
        <w:keepLines w:val="0"/>
        <w:pageBreakBefore w:val="0"/>
        <w:widowControl w:val="0"/>
        <w:kinsoku/>
        <w:wordWrap/>
        <w:overflowPunct/>
        <w:topLinePunct w:val="0"/>
        <w:autoSpaceDE/>
        <w:autoSpaceDN/>
        <w:bidi w:val="0"/>
        <w:adjustRightInd/>
        <w:snapToGrid w:val="0"/>
        <w:spacing w:line="240" w:lineRule="auto"/>
        <w:textAlignment w:val="center"/>
        <w:rPr>
          <w:rFonts w:hint="eastAsia"/>
          <w:sz w:val="28"/>
          <w:szCs w:val="28"/>
        </w:rPr>
      </w:pPr>
      <w:r>
        <w:rPr>
          <w:rFonts w:hint="eastAsia"/>
          <w:sz w:val="28"/>
          <w:szCs w:val="28"/>
          <w:lang w:eastAsia="zh-CN"/>
        </w:rPr>
        <w:t>第</w:t>
      </w:r>
      <w:r>
        <w:rPr>
          <w:rFonts w:hint="eastAsia"/>
          <w:sz w:val="28"/>
          <w:szCs w:val="28"/>
          <w:lang w:val="en-US" w:eastAsia="zh-CN"/>
        </w:rPr>
        <w:t>11部分：</w:t>
      </w:r>
      <w:r>
        <w:rPr>
          <w:rFonts w:hint="eastAsia"/>
          <w:sz w:val="28"/>
          <w:szCs w:val="28"/>
        </w:rPr>
        <w:t xml:space="preserve">镁量的测定 </w:t>
      </w:r>
    </w:p>
    <w:p w14:paraId="184E8E09">
      <w:pPr>
        <w:pStyle w:val="70"/>
        <w:keepNext w:val="0"/>
        <w:keepLines w:val="0"/>
        <w:pageBreakBefore w:val="0"/>
        <w:widowControl w:val="0"/>
        <w:kinsoku/>
        <w:wordWrap/>
        <w:overflowPunct/>
        <w:topLinePunct w:val="0"/>
        <w:autoSpaceDE/>
        <w:autoSpaceDN/>
        <w:bidi w:val="0"/>
        <w:adjustRightInd/>
        <w:snapToGrid w:val="0"/>
        <w:spacing w:line="240" w:lineRule="auto"/>
        <w:textAlignment w:val="center"/>
        <w:rPr>
          <w:rFonts w:hint="eastAsia"/>
          <w:sz w:val="28"/>
          <w:szCs w:val="28"/>
        </w:rPr>
      </w:pPr>
      <w:r>
        <w:rPr>
          <w:rFonts w:hint="eastAsia"/>
          <w:sz w:val="28"/>
          <w:szCs w:val="28"/>
        </w:rPr>
        <w:t xml:space="preserve"> 火焰原子吸收光谱法</w:t>
      </w:r>
    </w:p>
    <w:p w14:paraId="4AE2E287">
      <w:pPr>
        <w:pStyle w:val="70"/>
        <w:keepNext w:val="0"/>
        <w:keepLines w:val="0"/>
        <w:pageBreakBefore w:val="0"/>
        <w:widowControl w:val="0"/>
        <w:kinsoku/>
        <w:wordWrap/>
        <w:overflowPunct/>
        <w:topLinePunct w:val="0"/>
        <w:autoSpaceDE/>
        <w:autoSpaceDN/>
        <w:bidi w:val="0"/>
        <w:adjustRightInd/>
        <w:snapToGrid w:val="0"/>
        <w:spacing w:line="240" w:lineRule="auto"/>
        <w:textAlignment w:val="center"/>
        <w:rPr>
          <w:rFonts w:hint="eastAsia"/>
          <w:sz w:val="28"/>
          <w:szCs w:val="28"/>
        </w:rPr>
      </w:pPr>
    </w:p>
    <w:p w14:paraId="099C45B6">
      <w:pPr>
        <w:pStyle w:val="70"/>
        <w:spacing w:line="240" w:lineRule="auto"/>
        <w:ind w:firstLine="420" w:firstLineChars="200"/>
        <w:jc w:val="left"/>
        <w:rPr>
          <w:rFonts w:hint="eastAsia"/>
          <w:sz w:val="21"/>
          <w:szCs w:val="21"/>
          <w:lang w:val="en-US" w:eastAsia="zh-CN"/>
        </w:rPr>
      </w:pPr>
    </w:p>
    <w:p w14:paraId="11C58EEE">
      <w:pPr>
        <w:pStyle w:val="70"/>
        <w:spacing w:line="240" w:lineRule="auto"/>
        <w:ind w:firstLine="420" w:firstLineChars="200"/>
        <w:jc w:val="left"/>
        <w:rPr>
          <w:rFonts w:hint="eastAsia" w:eastAsia="黑体"/>
          <w:sz w:val="21"/>
          <w:szCs w:val="21"/>
          <w:lang w:val="en-US" w:eastAsia="zh-CN"/>
        </w:rPr>
      </w:pPr>
      <w:r>
        <w:rPr>
          <w:rFonts w:hint="eastAsia"/>
          <w:sz w:val="21"/>
          <w:szCs w:val="21"/>
          <w:lang w:val="en-US" w:eastAsia="zh-CN"/>
        </w:rPr>
        <w:t>警示：使用本文件的人员应具备正规实验室工作的实践经验，本文件并未指出所有可能的安全问题。使用者应具有一定的专业知识和技能并充分认识到不当的操作可能引起的气体泄漏、火灾或其他严重后果。</w:t>
      </w:r>
    </w:p>
    <w:p w14:paraId="2BE137A5">
      <w:pPr>
        <w:pStyle w:val="2"/>
        <w:numPr>
          <w:ilvl w:val="0"/>
          <w:numId w:val="0"/>
        </w:numPr>
        <w:spacing w:after="0" w:line="240" w:lineRule="auto"/>
        <w:ind w:leftChars="0"/>
        <w:rPr>
          <w:rFonts w:hint="eastAsia" w:ascii="黑体" w:hAnsi="黑体" w:eastAsia="黑体" w:cs="黑体"/>
        </w:rPr>
      </w:pPr>
      <w:r>
        <w:rPr>
          <w:rFonts w:hint="eastAsia" w:ascii="黑体" w:hAnsi="黑体" w:eastAsia="黑体" w:cs="黑体"/>
          <w:lang w:val="en-US" w:eastAsia="zh-CN"/>
        </w:rPr>
        <w:t xml:space="preserve">1  </w:t>
      </w:r>
      <w:r>
        <w:rPr>
          <w:rFonts w:hint="eastAsia" w:ascii="黑体" w:hAnsi="黑体" w:eastAsia="黑体" w:cs="黑体"/>
        </w:rPr>
        <w:t>范围</w:t>
      </w:r>
    </w:p>
    <w:p w14:paraId="3A1BF652">
      <w:pPr>
        <w:spacing w:line="360" w:lineRule="auto"/>
        <w:ind w:firstLine="420" w:firstLineChars="200"/>
        <w:jc w:val="left"/>
        <w:rPr>
          <w:rFonts w:ascii="宋体" w:hAnsi="宋体"/>
        </w:rPr>
      </w:pPr>
      <w:r>
        <w:rPr>
          <w:rFonts w:hint="eastAsia" w:ascii="宋体" w:hAnsi="宋体"/>
        </w:rPr>
        <w:t>本</w:t>
      </w:r>
      <w:r>
        <w:rPr>
          <w:rFonts w:hint="eastAsia" w:ascii="宋体" w:hAnsi="宋体"/>
          <w:lang w:eastAsia="zh-CN"/>
        </w:rPr>
        <w:t>文件</w:t>
      </w:r>
      <w:r>
        <w:rPr>
          <w:rFonts w:hint="eastAsia"/>
          <w:lang w:eastAsia="zh-CN"/>
        </w:rPr>
        <w:t>描述</w:t>
      </w:r>
      <w:r>
        <w:rPr>
          <w:rFonts w:hint="eastAsia"/>
        </w:rPr>
        <w:t>了稀土金属及其氧化物中</w:t>
      </w:r>
      <w:r>
        <w:rPr>
          <w:rFonts w:hint="eastAsia"/>
          <w:lang w:eastAsia="zh-CN"/>
        </w:rPr>
        <w:t>镁</w:t>
      </w:r>
      <w:r>
        <w:rPr>
          <w:rFonts w:hint="eastAsia"/>
        </w:rPr>
        <w:t>含量的测定方法。</w:t>
      </w:r>
    </w:p>
    <w:p w14:paraId="37E03DE4">
      <w:pPr>
        <w:pStyle w:val="33"/>
        <w:spacing w:line="360" w:lineRule="auto"/>
      </w:pPr>
      <w:r>
        <w:rPr>
          <w:rFonts w:hint="eastAsia" w:hAnsi="宋体"/>
        </w:rPr>
        <w:t>本</w:t>
      </w:r>
      <w:r>
        <w:rPr>
          <w:rFonts w:hint="eastAsia" w:hAnsi="宋体"/>
          <w:lang w:eastAsia="zh-CN"/>
        </w:rPr>
        <w:t>文件</w:t>
      </w:r>
      <w:r>
        <w:rPr>
          <w:rFonts w:hint="eastAsia"/>
        </w:rPr>
        <w:t>适用于稀土金属及其氧化物中</w:t>
      </w:r>
      <w:r>
        <w:rPr>
          <w:rFonts w:hint="eastAsia"/>
          <w:lang w:eastAsia="zh-CN"/>
        </w:rPr>
        <w:t>镁</w:t>
      </w:r>
      <w:r>
        <w:rPr>
          <w:rFonts w:hint="eastAsia"/>
        </w:rPr>
        <w:t>含量的测定</w:t>
      </w:r>
      <w:r>
        <w:rPr>
          <w:rFonts w:hint="eastAsia" w:hAnsi="宋体"/>
        </w:rPr>
        <w:t>。</w:t>
      </w:r>
      <w:r>
        <w:rPr>
          <w:rFonts w:hint="eastAsia"/>
          <w:lang w:eastAsia="zh-CN"/>
        </w:rPr>
        <w:t>测定范围（质量分数）</w:t>
      </w:r>
      <w:r>
        <w:rPr>
          <w:rFonts w:hint="eastAsia"/>
        </w:rPr>
        <w:t>：0.0</w:t>
      </w:r>
      <w:r>
        <w:t>0</w:t>
      </w:r>
      <w:r>
        <w:rPr>
          <w:rFonts w:hint="eastAsia"/>
        </w:rPr>
        <w:t>0</w:t>
      </w:r>
      <w:r>
        <w:rPr>
          <w:rFonts w:hint="eastAsia"/>
          <w:lang w:val="en-US" w:eastAsia="zh-CN"/>
        </w:rPr>
        <w:t>5</w:t>
      </w:r>
      <w:r>
        <w:rPr>
          <w:rFonts w:hint="eastAsia"/>
        </w:rPr>
        <w:t>%～0.</w:t>
      </w:r>
      <w:r>
        <w:rPr>
          <w:rFonts w:hint="eastAsia"/>
          <w:lang w:val="en-US" w:eastAsia="zh-CN"/>
        </w:rPr>
        <w:t>30</w:t>
      </w:r>
      <w:r>
        <w:rPr>
          <w:rFonts w:hint="eastAsia"/>
        </w:rPr>
        <w:t>%</w:t>
      </w:r>
      <w:r>
        <w:rPr>
          <w:rFonts w:hint="eastAsia" w:hAnsi="宋体" w:cs="宋体"/>
          <w:color w:val="000000"/>
        </w:rPr>
        <w:t>。</w:t>
      </w:r>
    </w:p>
    <w:p w14:paraId="48DC7992">
      <w:pPr>
        <w:pStyle w:val="173"/>
        <w:snapToGrid w:val="0"/>
        <w:spacing w:before="312" w:beforeLines="100" w:after="312" w:afterLines="100"/>
        <w:ind w:firstLine="0" w:firstLineChars="0"/>
        <w:outlineLvl w:val="1"/>
        <w:rPr>
          <w:rFonts w:hint="eastAsia" w:ascii="黑体" w:hAnsi="黑体" w:eastAsia="黑体" w:cs="黑体"/>
          <w:color w:val="auto"/>
          <w:szCs w:val="21"/>
          <w:highlight w:val="yellow"/>
        </w:rPr>
      </w:pPr>
      <w:bookmarkStart w:id="0" w:name="_Ref496623692"/>
      <w:r>
        <w:rPr>
          <w:rFonts w:hint="eastAsia" w:ascii="黑体" w:hAnsi="黑体" w:eastAsia="黑体" w:cs="黑体"/>
          <w:color w:val="auto"/>
          <w:szCs w:val="21"/>
        </w:rPr>
        <w:t>2　规范性引用文件</w:t>
      </w:r>
    </w:p>
    <w:p w14:paraId="4D0D5D9F">
      <w:pPr>
        <w:snapToGrid w:val="0"/>
        <w:spacing w:line="360" w:lineRule="auto"/>
        <w:ind w:firstLine="420"/>
        <w:rPr>
          <w:bCs/>
          <w:color w:val="auto"/>
          <w:szCs w:val="21"/>
          <w:highlight w:val="yellow"/>
        </w:rPr>
      </w:pPr>
      <w:r>
        <w:rPr>
          <w:bCs/>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388AB52">
      <w:pPr>
        <w:snapToGrid w:val="0"/>
        <w:spacing w:line="360" w:lineRule="auto"/>
        <w:ind w:firstLine="420"/>
        <w:rPr>
          <w:rFonts w:hint="eastAsia" w:ascii="宋体" w:hAnsi="宋体" w:cs="宋体"/>
          <w:bCs/>
          <w:color w:val="auto"/>
          <w:szCs w:val="21"/>
        </w:rPr>
      </w:pPr>
      <w:r>
        <w:rPr>
          <w:rFonts w:hint="eastAsia" w:ascii="宋体" w:hAnsi="宋体" w:cs="宋体"/>
          <w:bCs/>
          <w:color w:val="auto"/>
          <w:szCs w:val="21"/>
        </w:rPr>
        <w:t>GB/T</w:t>
      </w:r>
      <w:r>
        <w:rPr>
          <w:rFonts w:hint="eastAsia" w:ascii="宋体" w:hAnsi="宋体" w:cs="宋体"/>
          <w:color w:val="auto"/>
        </w:rPr>
        <w:t> </w:t>
      </w:r>
      <w:r>
        <w:rPr>
          <w:rFonts w:hint="eastAsia" w:ascii="宋体" w:hAnsi="宋体" w:cs="宋体"/>
          <w:bCs/>
          <w:color w:val="auto"/>
          <w:szCs w:val="21"/>
        </w:rPr>
        <w:t>6379.2</w:t>
      </w:r>
      <w:r>
        <w:rPr>
          <w:rFonts w:hint="eastAsia" w:ascii="宋体" w:hAnsi="宋体" w:cs="宋体"/>
          <w:color w:val="auto"/>
        </w:rPr>
        <w:t>　</w:t>
      </w:r>
      <w:r>
        <w:rPr>
          <w:rFonts w:hint="eastAsia" w:ascii="宋体" w:hAnsi="宋体" w:cs="宋体"/>
          <w:bCs/>
          <w:color w:val="auto"/>
          <w:szCs w:val="21"/>
        </w:rPr>
        <w:t>测量方法与结果的准确度（正确度与精密度）</w:t>
      </w:r>
      <w:r>
        <w:rPr>
          <w:rFonts w:hint="eastAsia" w:ascii="宋体" w:hAnsi="宋体" w:cs="宋体"/>
          <w:color w:val="auto"/>
          <w:szCs w:val="21"/>
        </w:rPr>
        <w:t>　</w:t>
      </w:r>
      <w:r>
        <w:rPr>
          <w:rFonts w:hint="eastAsia" w:ascii="宋体" w:hAnsi="宋体" w:cs="宋体"/>
          <w:bCs/>
          <w:color w:val="auto"/>
          <w:szCs w:val="21"/>
        </w:rPr>
        <w:t>第2部分：确定标准测量方法重复性与再现性的基本方法</w:t>
      </w:r>
    </w:p>
    <w:p w14:paraId="7DDD389A">
      <w:pPr>
        <w:snapToGrid w:val="0"/>
        <w:spacing w:line="360" w:lineRule="auto"/>
        <w:ind w:firstLine="420"/>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GB/T6682  分析实验室用水规格和试验方法</w:t>
      </w:r>
    </w:p>
    <w:p w14:paraId="686829F9">
      <w:pPr>
        <w:snapToGrid w:val="0"/>
        <w:spacing w:line="360" w:lineRule="auto"/>
        <w:ind w:firstLine="420"/>
        <w:rPr>
          <w:rFonts w:hint="eastAsia" w:ascii="宋体" w:hAnsi="宋体" w:cs="宋体"/>
          <w:bCs/>
          <w:color w:val="auto"/>
          <w:szCs w:val="21"/>
        </w:rPr>
      </w:pPr>
      <w:r>
        <w:rPr>
          <w:rFonts w:hint="eastAsia" w:ascii="宋体" w:hAnsi="宋体" w:cs="宋体"/>
          <w:bCs/>
          <w:color w:val="auto"/>
          <w:szCs w:val="21"/>
        </w:rPr>
        <w:t>GB/T</w:t>
      </w:r>
      <w:r>
        <w:rPr>
          <w:rFonts w:hint="eastAsia" w:ascii="宋体" w:hAnsi="宋体" w:cs="宋体"/>
          <w:color w:val="auto"/>
        </w:rPr>
        <w:t> </w:t>
      </w:r>
      <w:r>
        <w:rPr>
          <w:rFonts w:hint="eastAsia" w:ascii="宋体" w:hAnsi="宋体" w:cs="宋体"/>
          <w:bCs/>
          <w:color w:val="auto"/>
          <w:szCs w:val="21"/>
        </w:rPr>
        <w:t>8170</w:t>
      </w:r>
      <w:r>
        <w:rPr>
          <w:rFonts w:hint="eastAsia" w:ascii="宋体" w:hAnsi="宋体" w:cs="宋体"/>
          <w:color w:val="auto"/>
        </w:rPr>
        <w:t>　</w:t>
      </w:r>
      <w:r>
        <w:rPr>
          <w:rFonts w:hint="eastAsia" w:ascii="宋体" w:hAnsi="宋体" w:cs="宋体"/>
          <w:bCs/>
          <w:color w:val="auto"/>
          <w:szCs w:val="21"/>
        </w:rPr>
        <w:t>数值修约规则与极限数值的表示和判定</w:t>
      </w:r>
    </w:p>
    <w:p w14:paraId="22DD3057">
      <w:pPr>
        <w:pStyle w:val="173"/>
        <w:snapToGrid w:val="0"/>
        <w:spacing w:before="312" w:beforeLines="100" w:after="312" w:afterLines="100"/>
        <w:ind w:firstLine="0" w:firstLineChars="0"/>
        <w:outlineLvl w:val="1"/>
        <w:rPr>
          <w:rFonts w:hint="eastAsia" w:ascii="黑体" w:hAnsi="黑体" w:eastAsia="黑体" w:cs="黑体"/>
          <w:color w:val="auto"/>
          <w:szCs w:val="21"/>
          <w:highlight w:val="yellow"/>
        </w:rPr>
      </w:pPr>
      <w:r>
        <w:rPr>
          <w:rFonts w:hint="eastAsia" w:ascii="黑体" w:hAnsi="黑体" w:eastAsia="黑体" w:cs="黑体"/>
          <w:color w:val="auto"/>
          <w:szCs w:val="21"/>
        </w:rPr>
        <w:t>3　术语和定义</w:t>
      </w:r>
    </w:p>
    <w:p w14:paraId="1595C32F">
      <w:pPr>
        <w:adjustRightInd w:val="0"/>
        <w:snapToGrid w:val="0"/>
        <w:ind w:firstLine="420"/>
        <w:rPr>
          <w:color w:val="auto"/>
        </w:rPr>
      </w:pPr>
      <w:r>
        <w:rPr>
          <w:bCs/>
          <w:color w:val="auto"/>
          <w:szCs w:val="21"/>
        </w:rPr>
        <w:t>本文件</w:t>
      </w:r>
      <w:r>
        <w:rPr>
          <w:rFonts w:hint="eastAsia"/>
          <w:bCs/>
          <w:color w:val="auto"/>
          <w:szCs w:val="21"/>
        </w:rPr>
        <w:t>没有需要界定的术语和定义</w:t>
      </w:r>
      <w:r>
        <w:rPr>
          <w:color w:val="auto"/>
        </w:rPr>
        <w:t>。</w:t>
      </w:r>
    </w:p>
    <w:bookmarkEnd w:id="0"/>
    <w:p w14:paraId="47468A32"/>
    <w:p w14:paraId="04726AFE">
      <w:pPr>
        <w:pStyle w:val="3"/>
        <w:numPr>
          <w:ilvl w:val="1"/>
          <w:numId w:val="0"/>
        </w:numPr>
        <w:spacing w:before="0" w:after="0"/>
        <w:ind w:leftChars="0"/>
        <w:rPr>
          <w:rFonts w:hint="eastAsia" w:ascii="黑体" w:hAnsi="黑体" w:eastAsia="黑体" w:cs="黑体"/>
          <w:bCs w:val="0"/>
          <w:color w:val="auto"/>
          <w:kern w:val="2"/>
          <w:sz w:val="21"/>
          <w:szCs w:val="21"/>
          <w:lang w:val="en-US" w:eastAsia="zh-CN" w:bidi="ar-SA"/>
        </w:rPr>
      </w:pPr>
      <w:r>
        <w:rPr>
          <w:rFonts w:hint="eastAsia" w:ascii="黑体" w:hAnsi="黑体" w:eastAsia="黑体" w:cs="黑体"/>
          <w:lang w:val="en-US" w:eastAsia="zh-CN"/>
        </w:rPr>
        <w:t>4  方</w:t>
      </w:r>
      <w:r>
        <w:rPr>
          <w:rFonts w:hint="eastAsia" w:ascii="黑体" w:hAnsi="黑体" w:eastAsia="黑体" w:cs="黑体"/>
          <w:bCs w:val="0"/>
          <w:color w:val="auto"/>
          <w:kern w:val="2"/>
          <w:sz w:val="21"/>
          <w:szCs w:val="21"/>
          <w:lang w:val="en-US" w:eastAsia="zh-CN" w:bidi="ar-SA"/>
        </w:rPr>
        <w:t>法提要</w:t>
      </w:r>
    </w:p>
    <w:p w14:paraId="525612C5">
      <w:pPr>
        <w:spacing w:line="360" w:lineRule="auto"/>
        <w:ind w:firstLine="420" w:firstLineChars="200"/>
        <w:rPr>
          <w:rFonts w:hint="eastAsia" w:ascii="宋体" w:hAnsi="宋体" w:cs="宋体"/>
          <w:color w:val="000000"/>
          <w:lang w:eastAsia="zh-CN"/>
        </w:rPr>
      </w:pPr>
      <w:r>
        <w:rPr>
          <w:rFonts w:hint="eastAsia" w:ascii="宋体" w:hAnsi="宋体"/>
        </w:rPr>
        <w:t>试</w:t>
      </w:r>
      <w:r>
        <w:rPr>
          <w:rFonts w:hint="eastAsia" w:ascii="宋体" w:hAnsi="宋体"/>
          <w:lang w:eastAsia="zh-CN"/>
        </w:rPr>
        <w:t>样经</w:t>
      </w:r>
      <w:r>
        <w:rPr>
          <w:rFonts w:hint="eastAsia" w:ascii="宋体" w:hAnsi="宋体"/>
        </w:rPr>
        <w:t>盐酸或硝酸溶解，在稀酸介质中，</w:t>
      </w:r>
      <w:r>
        <w:rPr>
          <w:rFonts w:hint="eastAsia" w:ascii="宋体" w:hAnsi="宋体"/>
          <w:lang w:eastAsia="zh-CN"/>
        </w:rPr>
        <w:t>使用空气</w:t>
      </w:r>
      <w:r>
        <w:rPr>
          <w:rFonts w:hint="eastAsia" w:ascii="宋体" w:hAnsi="宋体"/>
          <w:lang w:val="en-US" w:eastAsia="zh-CN"/>
        </w:rPr>
        <w:t>-乙炔火焰，于原子吸收光谱仪波长285.2nm处测量镁的吸光度，</w:t>
      </w:r>
      <w:r>
        <w:rPr>
          <w:rFonts w:hint="eastAsia" w:ascii="宋体" w:hAnsi="宋体" w:cs="宋体"/>
          <w:color w:val="000000"/>
          <w:lang w:eastAsia="zh-CN"/>
        </w:rPr>
        <w:t>用</w:t>
      </w:r>
      <w:r>
        <w:rPr>
          <w:rFonts w:hint="eastAsia" w:ascii="宋体" w:hAnsi="宋体" w:cs="宋体"/>
          <w:color w:val="000000"/>
        </w:rPr>
        <w:t>标准加入法</w:t>
      </w:r>
      <w:r>
        <w:rPr>
          <w:rFonts w:hint="eastAsia" w:ascii="宋体" w:hAnsi="宋体" w:cs="宋体"/>
          <w:color w:val="000000"/>
          <w:lang w:val="en-US" w:eastAsia="zh-CN"/>
        </w:rPr>
        <w:t>或</w:t>
      </w:r>
      <w:r>
        <w:rPr>
          <w:rFonts w:hint="eastAsia" w:ascii="宋体" w:hAnsi="宋体" w:cs="宋体"/>
          <w:color w:val="000000"/>
          <w:lang w:eastAsia="zh-CN"/>
        </w:rPr>
        <w:t>标准曲线法计算镁的含量。</w:t>
      </w:r>
    </w:p>
    <w:p w14:paraId="160880DD">
      <w:pPr>
        <w:rPr>
          <w:rFonts w:hint="default" w:eastAsia="宋体"/>
          <w:lang w:val="en-US" w:eastAsia="zh-CN"/>
        </w:rPr>
      </w:pPr>
    </w:p>
    <w:p w14:paraId="4C31FBD5">
      <w:pPr>
        <w:rPr>
          <w:rFonts w:hint="eastAsia" w:ascii="黑体" w:hAnsi="黑体" w:eastAsia="黑体" w:cs="黑体"/>
          <w:color w:val="auto"/>
          <w:szCs w:val="21"/>
        </w:rPr>
      </w:pPr>
      <w:r>
        <w:rPr>
          <w:rFonts w:hint="eastAsia" w:ascii="黑体" w:hAnsi="黑体" w:eastAsia="黑体" w:cs="黑体"/>
          <w:lang w:val="en-US" w:eastAsia="zh-CN"/>
        </w:rPr>
        <w:t xml:space="preserve">5  </w:t>
      </w:r>
      <w:r>
        <w:rPr>
          <w:rFonts w:hint="eastAsia" w:ascii="黑体" w:hAnsi="黑体" w:eastAsia="黑体" w:cs="黑体"/>
          <w:color w:val="auto"/>
          <w:szCs w:val="21"/>
        </w:rPr>
        <w:t>试剂或材料</w:t>
      </w:r>
    </w:p>
    <w:p w14:paraId="0F5B5CA8">
      <w:pPr>
        <w:spacing w:line="360" w:lineRule="auto"/>
        <w:ind w:firstLine="420" w:firstLineChars="200"/>
        <w:rPr>
          <w:rFonts w:hint="eastAsia" w:eastAsia="黑体"/>
          <w:color w:val="auto"/>
          <w:szCs w:val="21"/>
        </w:rPr>
      </w:pPr>
      <w:r>
        <w:rPr>
          <w:rFonts w:hint="eastAsia" w:ascii="Times New Roman"/>
          <w:color w:val="auto"/>
        </w:rPr>
        <w:t>除另有说明，在分析中仅使用确认为</w:t>
      </w:r>
      <w:r>
        <w:rPr>
          <w:rFonts w:hint="eastAsia"/>
          <w:bCs/>
          <w:color w:val="auto"/>
          <w:kern w:val="2"/>
          <w:szCs w:val="24"/>
          <w:lang w:eastAsia="zh-CN"/>
        </w:rPr>
        <w:t>优级</w:t>
      </w:r>
      <w:r>
        <w:rPr>
          <w:rFonts w:ascii="Times New Roman"/>
          <w:bCs/>
          <w:color w:val="auto"/>
          <w:kern w:val="2"/>
          <w:szCs w:val="24"/>
        </w:rPr>
        <w:t>纯及以上试剂</w:t>
      </w:r>
      <w:r>
        <w:rPr>
          <w:rFonts w:hint="eastAsia" w:ascii="Times New Roman"/>
          <w:color w:val="auto"/>
        </w:rPr>
        <w:t>和</w:t>
      </w:r>
      <w:r>
        <w:rPr>
          <w:rFonts w:hint="eastAsia"/>
          <w:bCs/>
          <w:color w:val="auto"/>
          <w:kern w:val="2"/>
          <w:szCs w:val="24"/>
          <w:lang w:eastAsia="zh-CN"/>
        </w:rPr>
        <w:t>符合</w:t>
      </w:r>
      <w:r>
        <w:rPr>
          <w:rFonts w:hint="eastAsia"/>
          <w:bCs/>
          <w:color w:val="auto"/>
          <w:kern w:val="2"/>
          <w:szCs w:val="24"/>
          <w:lang w:val="en-US" w:eastAsia="zh-CN"/>
        </w:rPr>
        <w:t>GB/T6682规定的二级水及以上蒸馏水或相当纯度的水，优先使用有证标准溶液</w:t>
      </w:r>
      <w:r>
        <w:rPr>
          <w:rFonts w:ascii="Times New Roman"/>
          <w:bCs/>
          <w:color w:val="auto"/>
          <w:kern w:val="2"/>
          <w:szCs w:val="24"/>
        </w:rPr>
        <w:t>。</w:t>
      </w:r>
    </w:p>
    <w:p w14:paraId="39087829">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5.1  </w:t>
      </w:r>
      <w:r>
        <w:rPr>
          <w:rFonts w:hint="eastAsia" w:ascii="宋体" w:hAnsi="宋体" w:eastAsia="宋体" w:cs="宋体"/>
          <w:color w:val="auto"/>
          <w:szCs w:val="21"/>
        </w:rPr>
        <w:t>过氧化氢</w:t>
      </w:r>
      <w:r>
        <w:rPr>
          <w:rFonts w:hint="eastAsia" w:ascii="宋体" w:hAnsi="宋体" w:eastAsia="宋体" w:cs="宋体"/>
          <w:szCs w:val="21"/>
        </w:rPr>
        <w:t>[</w:t>
      </w:r>
      <w:r>
        <w:rPr>
          <w:rFonts w:hint="default" w:ascii="Times New Roman" w:hAnsi="Times New Roman" w:eastAsia="宋体" w:cs="Times New Roman"/>
          <w:i/>
        </w:rPr>
        <w:t>w</w:t>
      </w:r>
      <w:r>
        <w:rPr>
          <w:rFonts w:hint="eastAsia" w:ascii="宋体" w:hAnsi="宋体" w:eastAsia="宋体" w:cs="宋体"/>
        </w:rPr>
        <w:t>（H</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2</w:t>
      </w:r>
      <w:r>
        <w:rPr>
          <w:rFonts w:hint="eastAsia" w:ascii="宋体" w:hAnsi="宋体" w:eastAsia="宋体" w:cs="宋体"/>
        </w:rPr>
        <w:t>）≥</w:t>
      </w:r>
      <w:r>
        <w:rPr>
          <w:rFonts w:hint="eastAsia" w:ascii="宋体" w:hAnsi="宋体" w:eastAsia="宋体" w:cs="宋体"/>
          <w:szCs w:val="21"/>
        </w:rPr>
        <w:t>30%]</w:t>
      </w:r>
      <w:r>
        <w:rPr>
          <w:rFonts w:hint="eastAsia" w:ascii="宋体" w:hAnsi="宋体" w:eastAsia="宋体" w:cs="宋体"/>
          <w:color w:val="auto"/>
          <w:szCs w:val="21"/>
          <w:lang w:val="en-US" w:eastAsia="zh-CN"/>
        </w:rPr>
        <w:t>。</w:t>
      </w:r>
      <w:bookmarkStart w:id="1" w:name="_Ref496624522"/>
    </w:p>
    <w:p w14:paraId="106644A5">
      <w:pPr>
        <w:spacing w:line="360" w:lineRule="auto"/>
        <w:rPr>
          <w:rFonts w:hint="eastAsia" w:ascii="宋体" w:hAnsi="宋体" w:eastAsia="宋体" w:cs="宋体"/>
        </w:rPr>
      </w:pPr>
      <w:r>
        <w:rPr>
          <w:rFonts w:hint="eastAsia" w:ascii="宋体" w:hAnsi="宋体" w:eastAsia="宋体" w:cs="宋体"/>
          <w:lang w:val="en-US" w:eastAsia="zh-CN"/>
        </w:rPr>
        <w:t xml:space="preserve">5.2  </w:t>
      </w:r>
      <w:r>
        <w:rPr>
          <w:rFonts w:hint="eastAsia" w:ascii="宋体" w:hAnsi="宋体" w:eastAsia="宋体" w:cs="宋体"/>
        </w:rPr>
        <w:t>盐酸（1+1）。</w:t>
      </w:r>
      <w:bookmarkEnd w:id="1"/>
    </w:p>
    <w:p w14:paraId="2A3F10EA">
      <w:pPr>
        <w:pStyle w:val="4"/>
        <w:numPr>
          <w:ilvl w:val="2"/>
          <w:numId w:val="0"/>
        </w:numPr>
        <w:spacing w:before="0" w:after="0" w:line="360" w:lineRule="auto"/>
        <w:ind w:leftChars="0" w:right="210" w:rightChars="100"/>
        <w:rPr>
          <w:rFonts w:hint="eastAsia" w:ascii="宋体" w:hAnsi="宋体" w:eastAsia="宋体" w:cs="宋体"/>
        </w:rPr>
      </w:pPr>
      <w:bookmarkStart w:id="2" w:name="_Ref496624898"/>
      <w:r>
        <w:rPr>
          <w:rFonts w:hint="eastAsia" w:ascii="宋体" w:hAnsi="宋体" w:eastAsia="宋体" w:cs="宋体"/>
          <w:lang w:val="en-US" w:eastAsia="zh-CN"/>
        </w:rPr>
        <w:t xml:space="preserve">5.3  </w:t>
      </w:r>
      <w:r>
        <w:rPr>
          <w:rFonts w:hint="eastAsia" w:ascii="宋体" w:hAnsi="宋体" w:eastAsia="宋体" w:cs="宋体"/>
        </w:rPr>
        <w:t>硝酸（1+1）。</w:t>
      </w:r>
      <w:bookmarkEnd w:id="2"/>
    </w:p>
    <w:p w14:paraId="4D23A5E8">
      <w:pPr>
        <w:pStyle w:val="22"/>
        <w:spacing w:line="360" w:lineRule="auto"/>
        <w:rPr>
          <w:rFonts w:hint="eastAsia"/>
        </w:rPr>
      </w:pPr>
      <w:r>
        <w:rPr>
          <w:rFonts w:hint="eastAsia" w:ascii="宋体" w:hAnsi="宋体" w:eastAsia="宋体" w:cs="宋体"/>
          <w:lang w:val="en-US" w:eastAsia="zh-CN"/>
        </w:rPr>
        <w:t>5.4</w:t>
      </w:r>
      <w:r>
        <w:rPr>
          <w:rFonts w:hint="eastAsia" w:ascii="宋体" w:hAnsi="宋体" w:eastAsia="宋体" w:cs="宋体"/>
        </w:rPr>
        <w:t xml:space="preserve"> 镁标准贮存溶液:称取0.4146g经800</w:t>
      </w:r>
      <w:r>
        <w:rPr>
          <w:rFonts w:hint="eastAsia" w:ascii="宋体" w:hAnsi="宋体" w:eastAsia="宋体" w:cs="宋体"/>
          <w:vertAlign w:val="superscript"/>
        </w:rPr>
        <w:t>0</w:t>
      </w:r>
      <w:r>
        <w:rPr>
          <w:rFonts w:hint="eastAsia" w:ascii="宋体" w:hAnsi="宋体" w:eastAsia="宋体" w:cs="宋体"/>
        </w:rPr>
        <w:t>C</w:t>
      </w:r>
      <w:r>
        <w:rPr>
          <w:rFonts w:hint="eastAsia"/>
        </w:rPr>
        <w:t>灼烧至恒重的氧化镁[</w:t>
      </w:r>
      <w:r>
        <w:rPr>
          <w:rFonts w:hint="default" w:ascii="Times New Roman" w:hAnsi="Times New Roman" w:cs="Times New Roman"/>
          <w:i/>
          <w:iCs w:val="0"/>
        </w:rPr>
        <w:t>w</w:t>
      </w:r>
      <w:r>
        <w:rPr>
          <w:rFonts w:cs="黑体"/>
        </w:rPr>
        <w:t>（</w:t>
      </w:r>
      <w:r>
        <w:rPr>
          <w:rFonts w:hint="eastAsia" w:cs="黑体"/>
        </w:rPr>
        <w:t>Mg</w:t>
      </w:r>
      <w:r>
        <w:rPr>
          <w:rFonts w:cs="黑体"/>
        </w:rPr>
        <w:t>O）</w:t>
      </w:r>
      <w:r>
        <w:rPr>
          <w:rFonts w:hint="eastAsia" w:cs="黑体"/>
        </w:rPr>
        <w:t>≥</w:t>
      </w:r>
      <w:r>
        <w:rPr>
          <w:rFonts w:cs="黑体"/>
        </w:rPr>
        <w:t>99.9</w:t>
      </w:r>
      <w:r>
        <w:rPr>
          <w:rFonts w:hint="eastAsia" w:cs="黑体"/>
        </w:rPr>
        <w:t>5</w:t>
      </w:r>
      <w:r>
        <w:rPr>
          <w:rFonts w:cs="黑体"/>
        </w:rPr>
        <w:t>%</w:t>
      </w:r>
      <w:r>
        <w:t>]</w:t>
      </w:r>
      <w:r>
        <w:rPr>
          <w:rFonts w:hint="eastAsia"/>
          <w:lang w:eastAsia="zh-CN"/>
        </w:rPr>
        <w:t>于</w:t>
      </w:r>
      <w:r>
        <w:rPr>
          <w:rFonts w:hint="eastAsia"/>
        </w:rPr>
        <w:t>100mL烧杯中,加10mL</w:t>
      </w:r>
      <w:r>
        <w:rPr>
          <w:rFonts w:hint="eastAsia"/>
          <w:lang w:eastAsia="zh-CN"/>
        </w:rPr>
        <w:t>水，</w:t>
      </w:r>
      <w:r>
        <w:rPr>
          <w:rFonts w:hint="eastAsia"/>
        </w:rPr>
        <w:t>10mL盐酸(</w:t>
      </w:r>
      <w:r>
        <w:rPr>
          <w:rFonts w:hint="eastAsia"/>
          <w:lang w:val="en-US" w:eastAsia="zh-CN"/>
        </w:rPr>
        <w:t>5.2</w:t>
      </w:r>
      <w:r>
        <w:rPr>
          <w:rFonts w:hint="eastAsia"/>
        </w:rPr>
        <w:t>)</w:t>
      </w:r>
      <w:r>
        <w:rPr>
          <w:rFonts w:hint="eastAsia"/>
          <w:lang w:eastAsia="zh-CN"/>
        </w:rPr>
        <w:t>加热</w:t>
      </w:r>
      <w:r>
        <w:rPr>
          <w:rFonts w:hint="eastAsia"/>
        </w:rPr>
        <w:t>溶解。煮沸除尽二氧化碳,冷却至室温,移入500mL容量瓶中,用水稀释至刻度,混匀。此溶液1mL含500</w:t>
      </w:r>
      <w:r>
        <w:rPr>
          <w:rFonts w:hint="eastAsia" w:ascii="Batang" w:hAnsi="Batang" w:eastAsia="Batang" w:cs="Batang"/>
        </w:rPr>
        <w:t>μg</w:t>
      </w:r>
      <w:r>
        <w:rPr>
          <w:rFonts w:hint="eastAsia"/>
        </w:rPr>
        <w:t>镁。</w:t>
      </w:r>
    </w:p>
    <w:p w14:paraId="7E53BBBD">
      <w:pPr>
        <w:pStyle w:val="22"/>
        <w:spacing w:line="360" w:lineRule="auto"/>
        <w:rPr>
          <w:rFonts w:hint="eastAsia"/>
        </w:rPr>
      </w:pPr>
      <w:r>
        <w:rPr>
          <w:rFonts w:hint="eastAsia" w:ascii="宋体" w:hAnsi="宋体" w:eastAsia="宋体" w:cs="宋体"/>
          <w:lang w:val="en-US" w:eastAsia="zh-CN"/>
        </w:rPr>
        <w:t>5.5</w:t>
      </w:r>
      <w:r>
        <w:rPr>
          <w:rFonts w:hint="eastAsia" w:ascii="宋体" w:hAnsi="宋体" w:eastAsia="宋体" w:cs="宋体"/>
        </w:rPr>
        <w:t>镁标准溶液:</w:t>
      </w:r>
      <w:r>
        <w:rPr>
          <w:rFonts w:hint="eastAsia" w:ascii="宋体" w:hAnsi="宋体" w:eastAsia="宋体" w:cs="宋体"/>
          <w:color w:val="auto"/>
        </w:rPr>
        <w:t>移取</w:t>
      </w:r>
      <w:r>
        <w:rPr>
          <w:rFonts w:hint="eastAsia" w:ascii="宋体" w:hAnsi="宋体" w:eastAsia="宋体" w:cs="宋体"/>
          <w:color w:val="auto"/>
          <w:lang w:val="en-US" w:eastAsia="zh-CN"/>
        </w:rPr>
        <w:t>5</w:t>
      </w:r>
      <w:r>
        <w:rPr>
          <w:rFonts w:hint="eastAsia" w:ascii="宋体" w:hAnsi="宋体" w:eastAsia="宋体" w:cs="宋体"/>
          <w:color w:val="auto"/>
        </w:rPr>
        <w:t>.00mL镁标准贮存溶液(</w:t>
      </w:r>
      <w:r>
        <w:rPr>
          <w:rFonts w:hint="eastAsia" w:ascii="宋体" w:hAnsi="宋体" w:eastAsia="宋体" w:cs="宋体"/>
          <w:color w:val="auto"/>
          <w:lang w:val="en-US" w:eastAsia="zh-CN"/>
        </w:rPr>
        <w:t>5</w:t>
      </w:r>
      <w:r>
        <w:rPr>
          <w:rFonts w:hint="eastAsia" w:ascii="宋体" w:hAnsi="宋体" w:eastAsia="宋体" w:cs="宋体"/>
          <w:color w:val="auto"/>
        </w:rPr>
        <w:t>.4)于</w:t>
      </w:r>
      <w:r>
        <w:rPr>
          <w:rFonts w:hint="eastAsia" w:ascii="宋体" w:hAnsi="宋体" w:eastAsia="宋体" w:cs="宋体"/>
          <w:color w:val="auto"/>
          <w:lang w:val="en-US" w:eastAsia="zh-CN"/>
        </w:rPr>
        <w:t>5</w:t>
      </w:r>
      <w:r>
        <w:rPr>
          <w:rFonts w:hint="eastAsia" w:ascii="宋体" w:hAnsi="宋体" w:eastAsia="宋体" w:cs="宋体"/>
          <w:color w:val="auto"/>
        </w:rPr>
        <w:t>00mL容量瓶中,用水稀释至刻度,混匀。此溶液</w:t>
      </w:r>
      <w:r>
        <w:rPr>
          <w:rFonts w:hint="eastAsia"/>
          <w:color w:val="auto"/>
        </w:rPr>
        <w:t>1mL含</w:t>
      </w:r>
      <w:r>
        <w:rPr>
          <w:rFonts w:hint="eastAsia"/>
          <w:color w:val="auto"/>
          <w:lang w:val="en-US" w:eastAsia="zh-CN"/>
        </w:rPr>
        <w:t>5.0</w:t>
      </w:r>
      <w:r>
        <w:rPr>
          <w:rFonts w:hint="eastAsia" w:ascii="Batang" w:hAnsi="Batang" w:eastAsia="Batang" w:cs="Batang"/>
        </w:rPr>
        <w:t>μg</w:t>
      </w:r>
      <w:r>
        <w:rPr>
          <w:rFonts w:hint="eastAsia"/>
          <w:color w:val="auto"/>
        </w:rPr>
        <w:t>镁。</w:t>
      </w:r>
    </w:p>
    <w:p w14:paraId="5D28849D">
      <w:pPr>
        <w:spacing w:line="360" w:lineRule="auto"/>
        <w:rPr>
          <w:rFonts w:hint="eastAsia"/>
          <w:color w:val="auto"/>
        </w:rPr>
      </w:pPr>
      <w:r>
        <w:rPr>
          <w:rFonts w:hint="eastAsia" w:ascii="宋体" w:hAnsi="宋体" w:eastAsia="宋体" w:cs="宋体"/>
          <w:lang w:val="en-US" w:eastAsia="zh-CN"/>
        </w:rPr>
        <w:t>5.6</w:t>
      </w:r>
      <w:r>
        <w:rPr>
          <w:rFonts w:hint="eastAsia" w:ascii="宋体" w:hAnsi="宋体" w:eastAsia="宋体" w:cs="宋体"/>
        </w:rPr>
        <w:t>镁标准溶液:</w:t>
      </w:r>
      <w:r>
        <w:rPr>
          <w:rFonts w:hint="eastAsia" w:ascii="宋体" w:hAnsi="宋体" w:eastAsia="宋体" w:cs="宋体"/>
          <w:color w:val="auto"/>
        </w:rPr>
        <w:t>移取</w:t>
      </w:r>
      <w:r>
        <w:rPr>
          <w:rFonts w:hint="eastAsia" w:ascii="宋体" w:hAnsi="宋体" w:eastAsia="宋体" w:cs="宋体"/>
          <w:color w:val="auto"/>
          <w:lang w:val="en-US" w:eastAsia="zh-CN"/>
        </w:rPr>
        <w:t>3</w:t>
      </w:r>
      <w:r>
        <w:rPr>
          <w:rFonts w:hint="eastAsia" w:ascii="宋体" w:hAnsi="宋体" w:eastAsia="宋体" w:cs="宋体"/>
          <w:color w:val="auto"/>
        </w:rPr>
        <w:t>.00mL镁标准贮存溶液(</w:t>
      </w:r>
      <w:r>
        <w:rPr>
          <w:rFonts w:hint="eastAsia" w:ascii="宋体" w:hAnsi="宋体" w:eastAsia="宋体" w:cs="宋体"/>
          <w:color w:val="auto"/>
          <w:lang w:val="en-US" w:eastAsia="zh-CN"/>
        </w:rPr>
        <w:t>5</w:t>
      </w:r>
      <w:r>
        <w:rPr>
          <w:rFonts w:hint="eastAsia" w:ascii="宋体" w:hAnsi="宋体" w:eastAsia="宋体" w:cs="宋体"/>
          <w:color w:val="auto"/>
        </w:rPr>
        <w:t>.4)于</w:t>
      </w:r>
      <w:r>
        <w:rPr>
          <w:rFonts w:hint="eastAsia" w:ascii="宋体" w:hAnsi="宋体" w:eastAsia="宋体" w:cs="宋体"/>
          <w:color w:val="auto"/>
          <w:lang w:val="en-US" w:eastAsia="zh-CN"/>
        </w:rPr>
        <w:t>10</w:t>
      </w:r>
      <w:r>
        <w:rPr>
          <w:rFonts w:hint="eastAsia" w:ascii="宋体" w:hAnsi="宋体" w:eastAsia="宋体" w:cs="宋体"/>
          <w:color w:val="auto"/>
        </w:rPr>
        <w:t>00mL容量瓶中,用水稀释至刻度,混匀。此溶液1mL含</w:t>
      </w:r>
      <w:r>
        <w:rPr>
          <w:rFonts w:hint="eastAsia" w:ascii="宋体" w:hAnsi="宋体" w:eastAsia="宋体" w:cs="宋体"/>
          <w:color w:val="auto"/>
          <w:lang w:val="en-US" w:eastAsia="zh-CN"/>
        </w:rPr>
        <w:t>1.5</w:t>
      </w:r>
      <w:r>
        <w:rPr>
          <w:rFonts w:hint="eastAsia" w:ascii="Batang" w:hAnsi="Batang" w:eastAsia="Batang" w:cs="Batang"/>
        </w:rPr>
        <w:t>μg</w:t>
      </w:r>
      <w:r>
        <w:rPr>
          <w:rFonts w:hint="eastAsia" w:ascii="宋体" w:hAnsi="宋体" w:eastAsia="宋体" w:cs="宋体"/>
          <w:color w:val="auto"/>
        </w:rPr>
        <w:t>镁</w:t>
      </w:r>
      <w:r>
        <w:rPr>
          <w:rFonts w:hint="eastAsia"/>
          <w:color w:val="auto"/>
        </w:rPr>
        <w:t>。</w:t>
      </w:r>
    </w:p>
    <w:p w14:paraId="743D8EF8">
      <w:pPr>
        <w:spacing w:line="480" w:lineRule="auto"/>
        <w:rPr>
          <w:rFonts w:hint="eastAsia" w:ascii="黑体" w:hAnsi="黑体" w:eastAsia="黑体" w:cs="黑体"/>
          <w:lang w:val="en-US" w:eastAsia="zh-CN"/>
        </w:rPr>
      </w:pPr>
      <w:r>
        <w:rPr>
          <w:rFonts w:hint="eastAsia" w:ascii="黑体" w:hAnsi="黑体" w:eastAsia="黑体" w:cs="黑体"/>
          <w:lang w:val="en-US" w:eastAsia="zh-CN"/>
        </w:rPr>
        <w:t>6  仪器设备</w:t>
      </w:r>
    </w:p>
    <w:p w14:paraId="5A3C0549">
      <w:pPr>
        <w:pStyle w:val="22"/>
        <w:spacing w:line="360" w:lineRule="auto"/>
        <w:ind w:firstLine="420" w:firstLineChars="200"/>
        <w:rPr>
          <w:rFonts w:hint="eastAsia"/>
        </w:rPr>
      </w:pPr>
      <w:r>
        <w:rPr>
          <w:rFonts w:hint="eastAsia"/>
        </w:rPr>
        <w:t>原子吸收</w:t>
      </w:r>
      <w:r>
        <w:rPr>
          <w:rFonts w:hint="eastAsia"/>
          <w:lang w:eastAsia="zh-CN"/>
        </w:rPr>
        <w:t>光谱仪</w:t>
      </w:r>
      <w:r>
        <w:rPr>
          <w:rFonts w:hint="eastAsia"/>
        </w:rPr>
        <w:t>,附镁空心阴极灯。</w:t>
      </w:r>
    </w:p>
    <w:p w14:paraId="3E518135">
      <w:pPr>
        <w:pStyle w:val="22"/>
        <w:spacing w:line="360" w:lineRule="auto"/>
        <w:ind w:firstLine="420" w:firstLineChars="200"/>
        <w:rPr>
          <w:rFonts w:hint="eastAsia"/>
        </w:rPr>
      </w:pPr>
      <w:r>
        <w:rPr>
          <w:rFonts w:hint="eastAsia"/>
        </w:rPr>
        <w:t>在仪器最佳工作条件下,凡能达到下列指标者均可使用。</w:t>
      </w:r>
    </w:p>
    <w:p w14:paraId="38CB1594">
      <w:pPr>
        <w:pStyle w:val="22"/>
        <w:spacing w:line="360" w:lineRule="auto"/>
        <w:ind w:firstLine="420" w:firstLineChars="200"/>
      </w:pPr>
      <w:r>
        <w:rPr>
          <w:szCs w:val="21"/>
        </w:rPr>
        <w:t>――</w:t>
      </w:r>
      <w:r>
        <w:rPr>
          <w:rFonts w:hint="eastAsia"/>
          <w:lang w:eastAsia="zh-CN"/>
        </w:rPr>
        <w:t>特征浓度</w:t>
      </w:r>
      <w:r>
        <w:rPr>
          <w:rFonts w:hint="eastAsia"/>
        </w:rPr>
        <w:t>:在与测量样品溶液的基体相一致的溶液中,镁的特征浓度</w:t>
      </w:r>
      <w:r>
        <w:rPr>
          <w:rFonts w:hint="eastAsia"/>
          <w:lang w:eastAsia="zh-CN"/>
        </w:rPr>
        <w:t>应</w:t>
      </w:r>
      <w:r>
        <w:rPr>
          <w:rFonts w:hint="eastAsia"/>
        </w:rPr>
        <w:t>不大于</w:t>
      </w:r>
      <w:r>
        <w:t xml:space="preserve"> </w:t>
      </w:r>
      <w:r>
        <w:rPr>
          <w:rFonts w:hint="eastAsia"/>
        </w:rPr>
        <w:t>0.0055</w:t>
      </w:r>
      <w:r>
        <w:rPr>
          <w:rFonts w:hint="eastAsia" w:ascii="Batang" w:hAnsi="Batang" w:eastAsia="Batang" w:cs="Batang"/>
        </w:rPr>
        <w:t>μg/</w:t>
      </w:r>
      <w:r>
        <w:rPr>
          <w:rFonts w:hint="eastAsia" w:ascii="宋体" w:hAnsi="宋体" w:eastAsia="宋体" w:cs="宋体"/>
          <w:color w:val="auto"/>
        </w:rPr>
        <w:t>mL</w:t>
      </w:r>
      <w:r>
        <w:rPr>
          <w:rFonts w:hint="eastAsia"/>
        </w:rPr>
        <w:t>。</w:t>
      </w:r>
    </w:p>
    <w:p w14:paraId="1A998F6B">
      <w:pPr>
        <w:pStyle w:val="22"/>
        <w:spacing w:line="360" w:lineRule="auto"/>
        <w:ind w:firstLine="420" w:firstLineChars="200"/>
        <w:rPr>
          <w:rFonts w:hint="eastAsia" w:eastAsia="宋体"/>
          <w:lang w:val="en-US" w:eastAsia="zh-CN"/>
        </w:rPr>
      </w:pPr>
      <w:r>
        <w:rPr>
          <w:szCs w:val="21"/>
        </w:rPr>
        <w:t>――</w:t>
      </w:r>
      <w:r>
        <w:rPr>
          <w:rFonts w:hint="eastAsia"/>
        </w:rPr>
        <w:t>精密度:用最高浓度的标准溶液测量10次吸光度,其标准偏差应不超过吸光度平均</w:t>
      </w:r>
      <w:r>
        <w:rPr>
          <w:rFonts w:hint="eastAsia"/>
          <w:lang w:eastAsia="zh-CN"/>
        </w:rPr>
        <w:t>值</w:t>
      </w:r>
      <w:r>
        <w:rPr>
          <w:rFonts w:hint="eastAsia"/>
        </w:rPr>
        <w:t>的</w:t>
      </w: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t>%</w:t>
      </w:r>
      <w:r>
        <w:rPr>
          <w:rFonts w:hint="eastAsia"/>
        </w:rPr>
        <w:t>；用最低浓度的标准溶液(不是</w:t>
      </w:r>
      <w:r>
        <w:rPr>
          <w:rFonts w:hint="eastAsia"/>
          <w:lang w:eastAsia="zh-CN"/>
        </w:rPr>
        <w:t>“</w:t>
      </w:r>
      <w:r>
        <w:rPr>
          <w:rFonts w:hint="eastAsia"/>
        </w:rPr>
        <w:t>零</w:t>
      </w:r>
      <w:r>
        <w:rPr>
          <w:rFonts w:hint="eastAsia"/>
          <w:lang w:eastAsia="zh-CN"/>
        </w:rPr>
        <w:t>”浓度</w:t>
      </w:r>
      <w:r>
        <w:rPr>
          <w:rFonts w:hint="eastAsia"/>
        </w:rPr>
        <w:t>溶液)测量10次吸光度,其标准偏差应不超过最高浓度标准溶液平均吸光度的0.5%</w:t>
      </w:r>
      <w:r>
        <w:rPr>
          <w:rFonts w:hint="eastAsia"/>
          <w:lang w:eastAsia="zh-CN"/>
        </w:rPr>
        <w:t>。</w:t>
      </w:r>
    </w:p>
    <w:p w14:paraId="5964B4F0">
      <w:pPr>
        <w:pStyle w:val="22"/>
        <w:spacing w:line="360" w:lineRule="auto"/>
        <w:ind w:firstLine="420" w:firstLineChars="200"/>
        <w:rPr>
          <w:rFonts w:hint="eastAsia" w:ascii="黑体" w:hAnsi="黑体" w:eastAsia="黑体" w:cs="黑体"/>
          <w:lang w:val="en-US" w:eastAsia="zh-CN"/>
        </w:rPr>
      </w:pPr>
      <w:r>
        <w:rPr>
          <w:szCs w:val="21"/>
        </w:rPr>
        <w:t>――</w:t>
      </w:r>
      <w:r>
        <w:rPr>
          <w:rFonts w:hint="eastAsia"/>
        </w:rPr>
        <w:t>工作曲线线性:将工作曲线按浓度等分成五段,最高段的吸光度差值与最低段的吸光度差值之比应不小于0.7。</w:t>
      </w:r>
    </w:p>
    <w:p w14:paraId="54C754E3">
      <w:pPr>
        <w:pStyle w:val="3"/>
        <w:numPr>
          <w:ilvl w:val="1"/>
          <w:numId w:val="0"/>
        </w:numPr>
        <w:spacing w:before="0" w:after="0" w:line="480" w:lineRule="auto"/>
        <w:ind w:leftChars="0"/>
        <w:rPr>
          <w:rFonts w:hint="eastAsia" w:ascii="黑体" w:hAnsi="黑体" w:eastAsia="黑体" w:cs="黑体"/>
          <w:lang w:eastAsia="zh-CN"/>
        </w:rPr>
      </w:pPr>
      <w:r>
        <w:rPr>
          <w:rFonts w:hint="eastAsia" w:ascii="黑体" w:hAnsi="黑体" w:eastAsia="黑体" w:cs="黑体"/>
          <w:lang w:val="en-US" w:eastAsia="zh-CN"/>
        </w:rPr>
        <w:t xml:space="preserve">7  </w:t>
      </w:r>
      <w:r>
        <w:rPr>
          <w:rFonts w:hint="eastAsia" w:ascii="黑体" w:hAnsi="黑体" w:eastAsia="黑体" w:cs="黑体"/>
          <w:lang w:eastAsia="zh-CN"/>
        </w:rPr>
        <w:t>样品</w:t>
      </w:r>
    </w:p>
    <w:p w14:paraId="759EE5CA">
      <w:pPr>
        <w:pStyle w:val="4"/>
        <w:numPr>
          <w:ilvl w:val="2"/>
          <w:numId w:val="0"/>
        </w:numPr>
        <w:spacing w:before="0" w:after="0"/>
        <w:ind w:leftChars="0" w:right="210" w:rightChars="100"/>
        <w:rPr>
          <w:rFonts w:asciiTheme="minorEastAsia" w:hAnsiTheme="minorEastAsia"/>
        </w:rPr>
      </w:pPr>
      <w:r>
        <w:rPr>
          <w:rFonts w:hint="eastAsia" w:asciiTheme="minorEastAsia" w:hAnsiTheme="minorEastAsia"/>
          <w:lang w:val="en-US" w:eastAsia="zh-CN"/>
        </w:rPr>
        <w:t>7.1 稀土</w:t>
      </w:r>
      <w:r>
        <w:rPr>
          <w:rFonts w:hint="eastAsia" w:asciiTheme="minorEastAsia" w:hAnsiTheme="minorEastAsia"/>
        </w:rPr>
        <w:t>氧化物</w:t>
      </w:r>
      <w:r>
        <w:rPr>
          <w:rFonts w:hint="eastAsia" w:asciiTheme="minorEastAsia" w:hAnsiTheme="minorEastAsia"/>
          <w:lang w:eastAsia="zh-CN"/>
        </w:rPr>
        <w:t>样品</w:t>
      </w:r>
      <w:r>
        <w:rPr>
          <w:rFonts w:hint="eastAsia" w:asciiTheme="minorEastAsia" w:hAnsiTheme="minorEastAsia"/>
        </w:rPr>
        <w:t>于</w:t>
      </w:r>
      <w:r>
        <w:rPr>
          <w:rFonts w:asciiTheme="minorEastAsia" w:hAnsiTheme="minorEastAsia"/>
        </w:rPr>
        <w:t xml:space="preserve">105 </w:t>
      </w:r>
      <w:r>
        <w:rPr>
          <w:rFonts w:hint="eastAsia" w:cs="宋体" w:asciiTheme="minorEastAsia" w:hAnsiTheme="minorEastAsia"/>
        </w:rPr>
        <w:t>℃</w:t>
      </w:r>
      <w:r>
        <w:rPr>
          <w:rFonts w:hint="eastAsia" w:asciiTheme="minorEastAsia" w:hAnsiTheme="minorEastAsia"/>
        </w:rPr>
        <w:t>烘</w:t>
      </w:r>
      <w:r>
        <w:rPr>
          <w:rFonts w:asciiTheme="minorEastAsia" w:hAnsiTheme="minorEastAsia"/>
        </w:rPr>
        <w:t>1 h</w:t>
      </w:r>
      <w:r>
        <w:rPr>
          <w:rFonts w:hint="eastAsia" w:asciiTheme="minorEastAsia" w:hAnsiTheme="minorEastAsia"/>
        </w:rPr>
        <w:t>，置于干燥器中，冷却至室温，立即称</w:t>
      </w:r>
      <w:r>
        <w:rPr>
          <w:rFonts w:hint="eastAsia" w:asciiTheme="minorEastAsia" w:hAnsiTheme="minorEastAsia"/>
          <w:lang w:eastAsia="zh-CN"/>
        </w:rPr>
        <w:t>量</w:t>
      </w:r>
      <w:r>
        <w:rPr>
          <w:rFonts w:hint="eastAsia" w:asciiTheme="minorEastAsia" w:hAnsiTheme="minorEastAsia"/>
        </w:rPr>
        <w:t>。</w:t>
      </w:r>
    </w:p>
    <w:p w14:paraId="7CE51198">
      <w:pPr>
        <w:pStyle w:val="4"/>
        <w:numPr>
          <w:ilvl w:val="2"/>
          <w:numId w:val="0"/>
        </w:numPr>
        <w:spacing w:before="0" w:after="0"/>
        <w:ind w:leftChars="0" w:right="210" w:rightChars="100"/>
      </w:pPr>
      <w:r>
        <w:rPr>
          <w:rFonts w:hint="eastAsia" w:ascii="宋体" w:hAnsi="宋体" w:eastAsia="宋体" w:cs="宋体"/>
          <w:lang w:val="en-US" w:eastAsia="zh-CN"/>
        </w:rPr>
        <w:t>7.2</w:t>
      </w:r>
      <w:r>
        <w:rPr>
          <w:rFonts w:hint="eastAsia"/>
          <w:lang w:val="en-US" w:eastAsia="zh-CN"/>
        </w:rPr>
        <w:t xml:space="preserve"> 稀土</w:t>
      </w:r>
      <w:r>
        <w:rPr>
          <w:rFonts w:hint="eastAsia"/>
        </w:rPr>
        <w:t>金属</w:t>
      </w:r>
      <w:r>
        <w:rPr>
          <w:rFonts w:hint="eastAsia"/>
          <w:lang w:eastAsia="zh-CN"/>
        </w:rPr>
        <w:t>样品需</w:t>
      </w:r>
      <w:r>
        <w:rPr>
          <w:rFonts w:hint="eastAsia"/>
        </w:rPr>
        <w:t>去掉表面氧化层，取样后</w:t>
      </w:r>
      <w:r>
        <w:rPr>
          <w:rFonts w:hint="eastAsia"/>
          <w:lang w:eastAsia="zh-CN"/>
        </w:rPr>
        <w:t>，</w:t>
      </w:r>
      <w:r>
        <w:rPr>
          <w:rFonts w:hint="eastAsia"/>
        </w:rPr>
        <w:t>立即称</w:t>
      </w:r>
      <w:r>
        <w:rPr>
          <w:rFonts w:hint="eastAsia"/>
          <w:lang w:eastAsia="zh-CN"/>
        </w:rPr>
        <w:t>量</w:t>
      </w:r>
      <w:r>
        <w:rPr>
          <w:rFonts w:hint="eastAsia"/>
        </w:rPr>
        <w:t>。</w:t>
      </w:r>
    </w:p>
    <w:p w14:paraId="724A1607">
      <w:pPr>
        <w:pStyle w:val="3"/>
        <w:numPr>
          <w:ilvl w:val="1"/>
          <w:numId w:val="0"/>
        </w:numPr>
        <w:spacing w:before="0" w:after="0"/>
        <w:ind w:leftChars="0"/>
      </w:pPr>
      <w:r>
        <w:rPr>
          <w:rFonts w:hint="eastAsia"/>
          <w:lang w:val="en-US" w:eastAsia="zh-CN"/>
        </w:rPr>
        <w:t xml:space="preserve">8  </w:t>
      </w:r>
      <w:r>
        <w:rPr>
          <w:rFonts w:hint="eastAsia" w:ascii="黑体" w:hAnsi="黑体" w:eastAsia="黑体" w:cs="黑体"/>
          <w:lang w:eastAsia="zh-CN"/>
        </w:rPr>
        <w:t>试验</w:t>
      </w:r>
      <w:r>
        <w:rPr>
          <w:rFonts w:hint="eastAsia" w:ascii="黑体" w:hAnsi="黑体" w:eastAsia="黑体" w:cs="黑体"/>
        </w:rPr>
        <w:t>步骤</w:t>
      </w:r>
    </w:p>
    <w:p w14:paraId="3245740E">
      <w:pPr>
        <w:pStyle w:val="4"/>
        <w:numPr>
          <w:ilvl w:val="2"/>
          <w:numId w:val="0"/>
        </w:numPr>
        <w:spacing w:before="0" w:after="0"/>
        <w:ind w:leftChars="0" w:right="210" w:rightChars="100"/>
      </w:pPr>
      <w:bookmarkStart w:id="3" w:name="_Ref498336560"/>
      <w:r>
        <w:rPr>
          <w:rFonts w:hint="eastAsia"/>
          <w:lang w:val="en-US" w:eastAsia="zh-CN"/>
        </w:rPr>
        <w:t xml:space="preserve">8.1  </w:t>
      </w:r>
      <w:r>
        <w:rPr>
          <w:rFonts w:hint="eastAsia" w:ascii="黑体" w:hAnsi="黑体" w:eastAsia="黑体" w:cs="黑体"/>
        </w:rPr>
        <w:t>试料</w:t>
      </w:r>
      <w:bookmarkEnd w:id="3"/>
    </w:p>
    <w:p w14:paraId="76B8A34F">
      <w:pPr>
        <w:ind w:firstLine="420" w:firstLineChars="200"/>
      </w:pPr>
      <w:r>
        <w:rPr>
          <w:rFonts w:hint="eastAsia"/>
        </w:rPr>
        <w:t>按</w:t>
      </w:r>
      <w:r>
        <w:rPr>
          <w:rFonts w:hint="eastAsia"/>
          <w:lang w:eastAsia="zh-CN"/>
        </w:rPr>
        <w:t>表</w:t>
      </w:r>
      <w:r>
        <w:rPr>
          <w:rFonts w:hint="eastAsia"/>
          <w:lang w:val="en-US" w:eastAsia="zh-CN"/>
        </w:rPr>
        <w:t>1</w:t>
      </w:r>
      <w:r>
        <w:rPr>
          <w:rFonts w:hint="eastAsia"/>
        </w:rPr>
        <w:t>称取样</w:t>
      </w:r>
      <w:r>
        <w:rPr>
          <w:rFonts w:hint="eastAsia"/>
          <w:lang w:eastAsia="zh-CN"/>
        </w:rPr>
        <w:t>品</w:t>
      </w:r>
      <w:r>
        <w:rPr>
          <w:rFonts w:hint="eastAsia"/>
        </w:rPr>
        <w:t>（</w:t>
      </w:r>
      <w:r>
        <w:rPr>
          <w:rFonts w:hint="eastAsia"/>
          <w:lang w:val="en-US" w:eastAsia="zh-CN"/>
        </w:rPr>
        <w:t>7）</w:t>
      </w:r>
      <w:r>
        <w:rPr>
          <w:rFonts w:hint="eastAsia"/>
        </w:rPr>
        <w:t>，精确至</w:t>
      </w:r>
      <w:r>
        <w:t>0.00</w:t>
      </w:r>
      <w:r>
        <w:rPr>
          <w:color w:val="auto"/>
        </w:rPr>
        <w:t>01g</w:t>
      </w:r>
      <w:r>
        <w:rPr>
          <w:rFonts w:hint="eastAsia"/>
          <w:color w:val="auto"/>
        </w:rPr>
        <w:t>。</w:t>
      </w:r>
    </w:p>
    <w:p w14:paraId="6540F23D">
      <w:pPr>
        <w:pStyle w:val="14"/>
        <w:keepNext/>
        <w:spacing w:before="0" w:after="0"/>
        <w:jc w:val="center"/>
        <w:rPr>
          <w:rFonts w:hint="eastAsia"/>
        </w:rPr>
      </w:pPr>
      <w:bookmarkStart w:id="4" w:name="_Ref496628954"/>
    </w:p>
    <w:p w14:paraId="36591EE3">
      <w:pPr>
        <w:rPr>
          <w:rFonts w:hint="eastAsia"/>
        </w:rPr>
      </w:pPr>
    </w:p>
    <w:p w14:paraId="317B36FF">
      <w:pPr>
        <w:pStyle w:val="14"/>
        <w:keepNext/>
        <w:spacing w:before="0" w:after="0" w:line="360" w:lineRule="auto"/>
        <w:jc w:val="center"/>
        <w:rPr>
          <w:rFonts w:hint="eastAsia" w:ascii="黑体" w:hAnsi="黑体" w:eastAsia="黑体" w:cs="黑体"/>
          <w:sz w:val="21"/>
          <w:szCs w:val="21"/>
          <w:lang w:val="en-US" w:eastAsia="zh-CN"/>
        </w:rPr>
      </w:pPr>
      <w:r>
        <w:rPr>
          <w:rFonts w:hint="eastAsia" w:ascii="黑体" w:hAnsi="黑体" w:eastAsia="黑体" w:cs="黑体"/>
          <w:sz w:val="21"/>
          <w:szCs w:val="21"/>
        </w:rPr>
        <w:t>表</w:t>
      </w:r>
      <w:bookmarkEnd w:id="4"/>
      <w:r>
        <w:rPr>
          <w:rFonts w:hint="eastAsia" w:ascii="黑体" w:hAnsi="黑体" w:eastAsia="黑体" w:cs="黑体"/>
          <w:sz w:val="21"/>
          <w:szCs w:val="21"/>
          <w:lang w:val="en-US" w:eastAsia="zh-CN"/>
        </w:rPr>
        <w:t>1</w:t>
      </w:r>
      <w:r>
        <w:rPr>
          <w:rFonts w:hint="eastAsia" w:ascii="黑体" w:hAnsi="黑体" w:cs="黑体"/>
          <w:sz w:val="21"/>
          <w:szCs w:val="21"/>
          <w:lang w:val="en-US" w:eastAsia="zh-CN"/>
        </w:rPr>
        <w:t xml:space="preserve">  </w:t>
      </w:r>
      <w:r>
        <w:rPr>
          <w:rFonts w:hint="eastAsia" w:ascii="黑体" w:hAnsi="黑体" w:eastAsia="黑体" w:cs="黑体"/>
          <w:sz w:val="21"/>
          <w:szCs w:val="21"/>
          <w:lang w:val="en-US" w:eastAsia="zh-CN"/>
        </w:rPr>
        <w:t>试料量及定容体积</w:t>
      </w:r>
    </w:p>
    <w:tbl>
      <w:tblPr>
        <w:tblStyle w:val="44"/>
        <w:tblW w:w="972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590"/>
        <w:gridCol w:w="1148"/>
        <w:gridCol w:w="1545"/>
        <w:gridCol w:w="2212"/>
        <w:gridCol w:w="1170"/>
        <w:gridCol w:w="1035"/>
        <w:gridCol w:w="1020"/>
      </w:tblGrid>
      <w:tr w14:paraId="4CA5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542" w:hRule="atLeast"/>
        </w:trPr>
        <w:tc>
          <w:tcPr>
            <w:tcW w:w="1590" w:type="dxa"/>
            <w:tcBorders>
              <w:top w:val="single" w:color="auto" w:sz="12" w:space="0"/>
              <w:left w:val="single" w:color="auto" w:sz="12" w:space="0"/>
              <w:bottom w:val="single" w:color="auto" w:sz="12" w:space="0"/>
            </w:tcBorders>
            <w:noWrap w:val="0"/>
            <w:vAlign w:val="top"/>
          </w:tcPr>
          <w:p w14:paraId="538519E3">
            <w:pPr>
              <w:jc w:val="center"/>
              <w:rPr>
                <w:rFonts w:hint="eastAsia" w:ascii="宋体" w:hAnsi="宋体"/>
                <w:sz w:val="18"/>
              </w:rPr>
            </w:pPr>
            <w:r>
              <w:rPr>
                <w:rFonts w:hint="eastAsia" w:ascii="宋体" w:hAnsi="宋体"/>
                <w:color w:val="000000"/>
                <w:sz w:val="18"/>
                <w:szCs w:val="18"/>
                <w:lang w:eastAsia="zh-CN"/>
              </w:rPr>
              <w:t>镁的质量分数</w:t>
            </w:r>
            <w:r>
              <w:rPr>
                <w:rFonts w:hint="default" w:ascii="Times New Roman" w:hAnsi="Times New Roman" w:cs="Times New Roman"/>
                <w:i/>
                <w:sz w:val="18"/>
                <w:szCs w:val="18"/>
              </w:rPr>
              <w:t>w</w:t>
            </w:r>
            <w:r>
              <w:rPr>
                <w:rFonts w:ascii="宋体" w:hAnsi="宋体"/>
                <w:color w:val="000000"/>
                <w:sz w:val="18"/>
                <w:szCs w:val="18"/>
              </w:rPr>
              <w:t>/%</w:t>
            </w:r>
          </w:p>
        </w:tc>
        <w:tc>
          <w:tcPr>
            <w:tcW w:w="1148" w:type="dxa"/>
            <w:tcBorders>
              <w:top w:val="single" w:color="auto" w:sz="12" w:space="0"/>
              <w:bottom w:val="single" w:color="auto" w:sz="12" w:space="0"/>
            </w:tcBorders>
            <w:noWrap w:val="0"/>
            <w:vAlign w:val="top"/>
          </w:tcPr>
          <w:p w14:paraId="216F46B9">
            <w:pPr>
              <w:jc w:val="center"/>
              <w:rPr>
                <w:rFonts w:hint="default" w:ascii="宋体" w:hAnsi="宋体" w:eastAsia="宋体"/>
                <w:sz w:val="18"/>
                <w:lang w:val="en-US" w:eastAsia="zh-CN"/>
              </w:rPr>
            </w:pPr>
            <w:r>
              <w:rPr>
                <w:rFonts w:hint="eastAsia" w:ascii="宋体" w:hAnsi="宋体"/>
                <w:sz w:val="18"/>
              </w:rPr>
              <w:t>试</w:t>
            </w:r>
            <w:r>
              <w:rPr>
                <w:rFonts w:hint="eastAsia" w:ascii="宋体" w:hAnsi="宋体"/>
                <w:sz w:val="18"/>
                <w:lang w:eastAsia="zh-CN"/>
              </w:rPr>
              <w:t>样量</w:t>
            </w:r>
            <w:r>
              <w:rPr>
                <w:rFonts w:hint="eastAsia" w:ascii="宋体" w:hAnsi="宋体"/>
                <w:sz w:val="18"/>
                <w:lang w:val="en-US" w:eastAsia="zh-CN"/>
              </w:rPr>
              <w:t>/</w:t>
            </w:r>
          </w:p>
          <w:p w14:paraId="0E4A79F8">
            <w:pPr>
              <w:jc w:val="center"/>
              <w:rPr>
                <w:rFonts w:ascii="宋体" w:hAnsi="宋体"/>
                <w:sz w:val="18"/>
              </w:rPr>
            </w:pPr>
            <w:r>
              <w:rPr>
                <w:rFonts w:ascii="宋体" w:hAnsi="宋体"/>
                <w:sz w:val="18"/>
              </w:rPr>
              <w:t>g</w:t>
            </w:r>
          </w:p>
        </w:tc>
        <w:tc>
          <w:tcPr>
            <w:tcW w:w="1545" w:type="dxa"/>
            <w:tcBorders>
              <w:top w:val="single" w:color="auto" w:sz="12" w:space="0"/>
              <w:bottom w:val="single" w:color="auto" w:sz="12" w:space="0"/>
            </w:tcBorders>
            <w:noWrap w:val="0"/>
            <w:vAlign w:val="top"/>
          </w:tcPr>
          <w:p w14:paraId="50DC6C12">
            <w:pPr>
              <w:jc w:val="center"/>
              <w:rPr>
                <w:rFonts w:hint="eastAsia" w:ascii="宋体" w:hAnsi="宋体"/>
                <w:sz w:val="18"/>
              </w:rPr>
            </w:pPr>
            <w:r>
              <w:rPr>
                <w:rFonts w:hint="eastAsia" w:ascii="宋体" w:hAnsi="宋体"/>
                <w:sz w:val="18"/>
              </w:rPr>
              <w:t>溶</w:t>
            </w:r>
            <w:r>
              <w:rPr>
                <w:rFonts w:hint="eastAsia" w:ascii="宋体" w:hAnsi="宋体"/>
                <w:sz w:val="18"/>
                <w:lang w:eastAsia="zh-CN"/>
              </w:rPr>
              <w:t>解除二氧化铈外的试料加入</w:t>
            </w:r>
            <w:r>
              <w:rPr>
                <w:rFonts w:hint="eastAsia" w:ascii="宋体" w:hAnsi="宋体"/>
                <w:sz w:val="18"/>
              </w:rPr>
              <w:t>盐酸</w:t>
            </w:r>
            <w:r>
              <w:rPr>
                <w:rFonts w:hint="eastAsia" w:ascii="宋体" w:hAnsi="宋体"/>
                <w:sz w:val="18"/>
                <w:lang w:eastAsia="zh-CN"/>
              </w:rPr>
              <w:t>（</w:t>
            </w:r>
            <w:r>
              <w:rPr>
                <w:rFonts w:hint="eastAsia" w:ascii="宋体" w:hAnsi="宋体"/>
                <w:sz w:val="18"/>
                <w:lang w:val="en-US" w:eastAsia="zh-CN"/>
              </w:rPr>
              <w:t>5.2</w:t>
            </w:r>
            <w:r>
              <w:rPr>
                <w:rFonts w:hint="eastAsia" w:ascii="宋体" w:hAnsi="宋体"/>
                <w:sz w:val="18"/>
                <w:lang w:eastAsia="zh-CN"/>
              </w:rPr>
              <w:t>）</w:t>
            </w:r>
            <w:r>
              <w:rPr>
                <w:rFonts w:hint="eastAsia" w:ascii="宋体" w:hAnsi="宋体"/>
                <w:sz w:val="18"/>
              </w:rPr>
              <w:t>体积</w:t>
            </w:r>
            <w:r>
              <w:rPr>
                <w:rFonts w:hint="eastAsia" w:ascii="宋体" w:hAnsi="宋体"/>
                <w:sz w:val="18"/>
                <w:lang w:val="en-US" w:eastAsia="zh-CN"/>
              </w:rPr>
              <w:t>/</w:t>
            </w:r>
            <w:r>
              <w:rPr>
                <w:rFonts w:ascii="宋体" w:hAnsi="宋体"/>
                <w:sz w:val="18"/>
              </w:rPr>
              <w:t>mL</w:t>
            </w:r>
          </w:p>
        </w:tc>
        <w:tc>
          <w:tcPr>
            <w:tcW w:w="2212" w:type="dxa"/>
            <w:tcBorders>
              <w:top w:val="single" w:color="auto" w:sz="12" w:space="0"/>
              <w:bottom w:val="single" w:color="auto" w:sz="12" w:space="0"/>
            </w:tcBorders>
            <w:noWrap w:val="0"/>
            <w:vAlign w:val="top"/>
          </w:tcPr>
          <w:p w14:paraId="42FC12FA">
            <w:pPr>
              <w:jc w:val="center"/>
              <w:rPr>
                <w:rFonts w:hint="eastAsia" w:ascii="宋体" w:hAnsi="宋体" w:eastAsia="宋体"/>
                <w:sz w:val="18"/>
                <w:lang w:eastAsia="zh-CN"/>
              </w:rPr>
            </w:pPr>
            <w:r>
              <w:rPr>
                <w:rFonts w:hint="eastAsia" w:ascii="宋体" w:hAnsi="宋体"/>
                <w:sz w:val="18"/>
              </w:rPr>
              <w:t>溶</w:t>
            </w:r>
            <w:r>
              <w:rPr>
                <w:rFonts w:hint="eastAsia" w:ascii="宋体" w:hAnsi="宋体"/>
                <w:sz w:val="18"/>
                <w:lang w:eastAsia="zh-CN"/>
              </w:rPr>
              <w:t>解二氧化铈试料</w:t>
            </w:r>
            <w:r>
              <w:rPr>
                <w:rFonts w:hint="eastAsia" w:ascii="宋体" w:hAnsi="宋体"/>
                <w:sz w:val="18"/>
              </w:rPr>
              <w:t>加</w:t>
            </w:r>
            <w:r>
              <w:rPr>
                <w:rFonts w:hint="eastAsia" w:ascii="宋体" w:hAnsi="宋体"/>
                <w:sz w:val="18"/>
                <w:lang w:eastAsia="zh-CN"/>
              </w:rPr>
              <w:t>入</w:t>
            </w:r>
            <w:r>
              <w:rPr>
                <w:rFonts w:hint="eastAsia" w:ascii="宋体" w:hAnsi="宋体"/>
                <w:sz w:val="18"/>
              </w:rPr>
              <w:t>硝酸</w:t>
            </w:r>
            <w:r>
              <w:rPr>
                <w:rFonts w:hint="eastAsia" w:ascii="宋体" w:hAnsi="宋体"/>
                <w:sz w:val="18"/>
                <w:lang w:eastAsia="zh-CN"/>
              </w:rPr>
              <w:t>（</w:t>
            </w:r>
            <w:r>
              <w:rPr>
                <w:rFonts w:hint="eastAsia" w:ascii="宋体" w:hAnsi="宋体"/>
                <w:sz w:val="18"/>
                <w:lang w:val="en-US" w:eastAsia="zh-CN"/>
              </w:rPr>
              <w:t>5.3</w:t>
            </w:r>
            <w:r>
              <w:rPr>
                <w:rFonts w:hint="eastAsia" w:ascii="宋体" w:hAnsi="宋体"/>
                <w:sz w:val="18"/>
                <w:lang w:eastAsia="zh-CN"/>
              </w:rPr>
              <w:t>）</w:t>
            </w:r>
            <w:r>
              <w:rPr>
                <w:rFonts w:hint="eastAsia" w:ascii="宋体" w:hAnsi="宋体"/>
                <w:sz w:val="18"/>
              </w:rPr>
              <w:t>体积</w:t>
            </w:r>
            <w:r>
              <w:rPr>
                <w:rFonts w:hint="eastAsia" w:ascii="宋体" w:hAnsi="宋体"/>
                <w:sz w:val="18"/>
                <w:lang w:eastAsia="zh-CN"/>
              </w:rPr>
              <w:t>与过氧化氢（</w:t>
            </w:r>
            <w:r>
              <w:rPr>
                <w:rFonts w:hint="eastAsia" w:ascii="宋体" w:hAnsi="宋体"/>
                <w:sz w:val="18"/>
                <w:lang w:val="en-US" w:eastAsia="zh-CN"/>
              </w:rPr>
              <w:t>5.1）体积比</w:t>
            </w:r>
            <w:r>
              <w:rPr>
                <w:rFonts w:ascii="宋体" w:hAnsi="宋体"/>
                <w:sz w:val="18"/>
              </w:rPr>
              <w:t>mL</w:t>
            </w:r>
            <w:r>
              <w:rPr>
                <w:rFonts w:hint="eastAsia" w:ascii="宋体" w:hAnsi="宋体"/>
                <w:sz w:val="18"/>
                <w:lang w:eastAsia="zh-CN"/>
              </w:rPr>
              <w:t>：</w:t>
            </w:r>
            <w:r>
              <w:rPr>
                <w:rFonts w:ascii="宋体" w:hAnsi="宋体"/>
                <w:sz w:val="18"/>
              </w:rPr>
              <w:t>mL</w:t>
            </w:r>
          </w:p>
        </w:tc>
        <w:tc>
          <w:tcPr>
            <w:tcW w:w="1170" w:type="dxa"/>
            <w:tcBorders>
              <w:top w:val="single" w:color="auto" w:sz="12" w:space="0"/>
              <w:bottom w:val="single" w:color="auto" w:sz="12" w:space="0"/>
            </w:tcBorders>
            <w:noWrap w:val="0"/>
            <w:vAlign w:val="top"/>
          </w:tcPr>
          <w:p w14:paraId="6CF99E3D">
            <w:pPr>
              <w:jc w:val="center"/>
              <w:rPr>
                <w:rFonts w:ascii="宋体" w:hAnsi="宋体"/>
                <w:sz w:val="18"/>
              </w:rPr>
            </w:pPr>
            <w:r>
              <w:rPr>
                <w:rFonts w:hint="eastAsia" w:ascii="宋体" w:hAnsi="宋体"/>
                <w:sz w:val="18"/>
              </w:rPr>
              <w:t>试液总体积</w:t>
            </w:r>
            <w:r>
              <w:rPr>
                <w:rFonts w:hint="eastAsia" w:ascii="宋体" w:hAnsi="宋体"/>
                <w:sz w:val="18"/>
                <w:lang w:val="en-US" w:eastAsia="zh-CN"/>
              </w:rPr>
              <w:t>/</w:t>
            </w:r>
            <w:r>
              <w:rPr>
                <w:rFonts w:ascii="宋体" w:hAnsi="宋体"/>
                <w:sz w:val="18"/>
              </w:rPr>
              <w:t>mL</w:t>
            </w:r>
          </w:p>
        </w:tc>
        <w:tc>
          <w:tcPr>
            <w:tcW w:w="1035" w:type="dxa"/>
            <w:tcBorders>
              <w:top w:val="single" w:color="auto" w:sz="12" w:space="0"/>
              <w:bottom w:val="single" w:color="auto" w:sz="12" w:space="0"/>
              <w:right w:val="single" w:color="auto" w:sz="12" w:space="0"/>
            </w:tcBorders>
            <w:noWrap w:val="0"/>
            <w:vAlign w:val="top"/>
          </w:tcPr>
          <w:p w14:paraId="054C206C">
            <w:pPr>
              <w:jc w:val="center"/>
              <w:rPr>
                <w:rFonts w:ascii="宋体" w:hAnsi="宋体"/>
                <w:sz w:val="18"/>
              </w:rPr>
            </w:pPr>
            <w:r>
              <w:rPr>
                <w:rFonts w:hint="eastAsia" w:ascii="宋体" w:hAnsi="宋体"/>
                <w:sz w:val="18"/>
              </w:rPr>
              <w:t>移取试液体积</w:t>
            </w:r>
            <w:r>
              <w:rPr>
                <w:rFonts w:hint="eastAsia" w:ascii="宋体" w:hAnsi="宋体"/>
                <w:sz w:val="18"/>
                <w:lang w:val="en-US" w:eastAsia="zh-CN"/>
              </w:rPr>
              <w:t>/</w:t>
            </w:r>
            <w:r>
              <w:rPr>
                <w:rFonts w:ascii="宋体" w:hAnsi="宋体"/>
                <w:sz w:val="18"/>
              </w:rPr>
              <w:t>mL</w:t>
            </w:r>
          </w:p>
        </w:tc>
        <w:tc>
          <w:tcPr>
            <w:tcW w:w="1020" w:type="dxa"/>
            <w:tcBorders>
              <w:top w:val="single" w:color="auto" w:sz="12" w:space="0"/>
              <w:bottom w:val="single" w:color="auto" w:sz="12" w:space="0"/>
              <w:right w:val="single" w:color="auto" w:sz="12" w:space="0"/>
            </w:tcBorders>
            <w:noWrap w:val="0"/>
            <w:vAlign w:val="top"/>
          </w:tcPr>
          <w:p w14:paraId="704519A0">
            <w:pPr>
              <w:jc w:val="center"/>
              <w:rPr>
                <w:rFonts w:hint="eastAsia" w:ascii="宋体" w:hAnsi="宋体"/>
                <w:sz w:val="18"/>
                <w:lang w:val="en-US" w:eastAsia="zh-CN"/>
              </w:rPr>
            </w:pPr>
            <w:r>
              <w:rPr>
                <w:rFonts w:hint="eastAsia" w:ascii="宋体" w:hAnsi="宋体"/>
                <w:sz w:val="18"/>
                <w:lang w:val="en-US" w:eastAsia="zh-CN"/>
              </w:rPr>
              <w:t>被测试液体积/</w:t>
            </w:r>
            <w:r>
              <w:rPr>
                <w:rFonts w:ascii="宋体" w:hAnsi="宋体"/>
                <w:sz w:val="18"/>
              </w:rPr>
              <w:t>mL</w:t>
            </w:r>
          </w:p>
        </w:tc>
      </w:tr>
      <w:tr w14:paraId="5AF0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20" w:hRule="atLeast"/>
        </w:trPr>
        <w:tc>
          <w:tcPr>
            <w:tcW w:w="1590" w:type="dxa"/>
            <w:tcBorders>
              <w:top w:val="single" w:color="auto" w:sz="12" w:space="0"/>
              <w:left w:val="single" w:color="auto" w:sz="12" w:space="0"/>
            </w:tcBorders>
            <w:noWrap w:val="0"/>
            <w:vAlign w:val="center"/>
          </w:tcPr>
          <w:p w14:paraId="431C779A">
            <w:pPr>
              <w:jc w:val="left"/>
              <w:rPr>
                <w:rFonts w:hint="default" w:ascii="宋体" w:hAnsi="宋体" w:eastAsia="宋体"/>
                <w:sz w:val="18"/>
                <w:lang w:val="en-US" w:eastAsia="zh-CN"/>
              </w:rPr>
            </w:pPr>
            <w:r>
              <w:rPr>
                <w:rFonts w:hint="eastAsia" w:ascii="宋体" w:hAnsi="宋体"/>
                <w:sz w:val="18"/>
              </w:rPr>
              <w:t>0.000</w:t>
            </w:r>
            <w:r>
              <w:rPr>
                <w:rFonts w:hint="eastAsia" w:ascii="宋体" w:hAnsi="宋体"/>
                <w:sz w:val="18"/>
                <w:lang w:val="en-US" w:eastAsia="zh-CN"/>
              </w:rPr>
              <w:t>5</w:t>
            </w:r>
            <w:r>
              <w:rPr>
                <w:rFonts w:hint="eastAsia" w:ascii="宋体" w:hAnsi="宋体"/>
                <w:sz w:val="18"/>
              </w:rPr>
              <w:t>～0.00</w:t>
            </w:r>
            <w:r>
              <w:rPr>
                <w:rFonts w:hint="eastAsia" w:ascii="宋体" w:hAnsi="宋体"/>
                <w:sz w:val="18"/>
                <w:lang w:val="en-US" w:eastAsia="zh-CN"/>
              </w:rPr>
              <w:t>25</w:t>
            </w:r>
          </w:p>
        </w:tc>
        <w:tc>
          <w:tcPr>
            <w:tcW w:w="1148" w:type="dxa"/>
            <w:tcBorders>
              <w:top w:val="single" w:color="auto" w:sz="12" w:space="0"/>
            </w:tcBorders>
            <w:noWrap w:val="0"/>
            <w:vAlign w:val="center"/>
          </w:tcPr>
          <w:p w14:paraId="4388C0F1">
            <w:pPr>
              <w:pStyle w:val="28"/>
              <w:pBdr>
                <w:bottom w:val="none" w:color="auto" w:sz="0" w:space="0"/>
              </w:pBdr>
              <w:snapToGrid/>
              <w:jc w:val="center"/>
              <w:rPr>
                <w:rFonts w:hint="eastAsia" w:ascii="宋体" w:hAnsi="宋体"/>
                <w:szCs w:val="24"/>
              </w:rPr>
            </w:pPr>
            <w:r>
              <w:rPr>
                <w:rFonts w:hint="eastAsia" w:ascii="宋体" w:hAnsi="宋体"/>
                <w:szCs w:val="24"/>
                <w:lang w:val="en-US" w:eastAsia="zh-CN"/>
              </w:rPr>
              <w:t>1</w:t>
            </w:r>
            <w:r>
              <w:rPr>
                <w:rFonts w:hint="eastAsia" w:ascii="宋体" w:hAnsi="宋体"/>
                <w:szCs w:val="24"/>
              </w:rPr>
              <w:t>.00</w:t>
            </w:r>
          </w:p>
        </w:tc>
        <w:tc>
          <w:tcPr>
            <w:tcW w:w="1545" w:type="dxa"/>
            <w:tcBorders>
              <w:top w:val="single" w:color="auto" w:sz="12" w:space="0"/>
            </w:tcBorders>
            <w:noWrap w:val="0"/>
            <w:vAlign w:val="center"/>
          </w:tcPr>
          <w:p w14:paraId="49901362">
            <w:pPr>
              <w:jc w:val="center"/>
              <w:rPr>
                <w:rFonts w:hint="eastAsia" w:ascii="宋体" w:hAnsi="宋体" w:eastAsia="宋体"/>
                <w:sz w:val="18"/>
                <w:lang w:eastAsia="zh-CN"/>
              </w:rPr>
            </w:pPr>
            <w:r>
              <w:rPr>
                <w:rFonts w:hint="eastAsia" w:ascii="宋体" w:hAnsi="宋体"/>
                <w:sz w:val="18"/>
                <w:lang w:val="en-US" w:eastAsia="zh-CN"/>
              </w:rPr>
              <w:t>7</w:t>
            </w:r>
          </w:p>
        </w:tc>
        <w:tc>
          <w:tcPr>
            <w:tcW w:w="2212" w:type="dxa"/>
            <w:tcBorders>
              <w:top w:val="single" w:color="auto" w:sz="12" w:space="0"/>
            </w:tcBorders>
            <w:noWrap w:val="0"/>
            <w:vAlign w:val="center"/>
          </w:tcPr>
          <w:p w14:paraId="51414ED8">
            <w:pPr>
              <w:jc w:val="center"/>
              <w:rPr>
                <w:rFonts w:hint="default" w:ascii="宋体" w:hAnsi="宋体" w:eastAsia="宋体"/>
                <w:sz w:val="18"/>
                <w:lang w:val="en-US" w:eastAsia="zh-CN"/>
              </w:rPr>
            </w:pPr>
            <w:r>
              <w:rPr>
                <w:rFonts w:hint="eastAsia" w:ascii="宋体" w:hAnsi="宋体"/>
                <w:color w:val="auto"/>
                <w:sz w:val="18"/>
                <w:lang w:val="en-US" w:eastAsia="zh-CN"/>
              </w:rPr>
              <w:t>7:3</w:t>
            </w:r>
          </w:p>
        </w:tc>
        <w:tc>
          <w:tcPr>
            <w:tcW w:w="1170" w:type="dxa"/>
            <w:tcBorders>
              <w:top w:val="single" w:color="auto" w:sz="12" w:space="0"/>
            </w:tcBorders>
            <w:noWrap w:val="0"/>
            <w:vAlign w:val="center"/>
          </w:tcPr>
          <w:p w14:paraId="6144C970">
            <w:pPr>
              <w:jc w:val="center"/>
              <w:rPr>
                <w:rFonts w:hint="eastAsia" w:ascii="宋体" w:hAnsi="宋体"/>
                <w:sz w:val="18"/>
              </w:rPr>
            </w:pPr>
            <w:r>
              <w:rPr>
                <w:rFonts w:hint="eastAsia" w:ascii="宋体" w:hAnsi="宋体"/>
                <w:sz w:val="18"/>
              </w:rPr>
              <w:t>50.00</w:t>
            </w:r>
          </w:p>
        </w:tc>
        <w:tc>
          <w:tcPr>
            <w:tcW w:w="1035" w:type="dxa"/>
            <w:tcBorders>
              <w:top w:val="single" w:color="auto" w:sz="12" w:space="0"/>
              <w:right w:val="single" w:color="auto" w:sz="12" w:space="0"/>
            </w:tcBorders>
            <w:noWrap w:val="0"/>
            <w:vAlign w:val="center"/>
          </w:tcPr>
          <w:p w14:paraId="564A01C7">
            <w:pPr>
              <w:jc w:val="center"/>
              <w:rPr>
                <w:rFonts w:hint="eastAsia" w:ascii="宋体" w:hAnsi="宋体"/>
                <w:sz w:val="18"/>
              </w:rPr>
            </w:pPr>
            <w:r>
              <w:rPr>
                <w:rFonts w:hint="eastAsia" w:ascii="宋体" w:hAnsi="宋体"/>
                <w:sz w:val="18"/>
              </w:rPr>
              <w:t>10.00</w:t>
            </w:r>
          </w:p>
        </w:tc>
        <w:tc>
          <w:tcPr>
            <w:tcW w:w="1020" w:type="dxa"/>
            <w:vMerge w:val="restart"/>
            <w:tcBorders>
              <w:top w:val="single" w:color="auto" w:sz="12" w:space="0"/>
              <w:right w:val="single" w:color="auto" w:sz="12" w:space="0"/>
            </w:tcBorders>
            <w:noWrap w:val="0"/>
            <w:vAlign w:val="center"/>
          </w:tcPr>
          <w:p w14:paraId="3E3AEEC9">
            <w:pPr>
              <w:jc w:val="center"/>
              <w:rPr>
                <w:rFonts w:hint="eastAsia" w:ascii="宋体" w:hAnsi="宋体"/>
                <w:sz w:val="18"/>
              </w:rPr>
            </w:pPr>
            <w:r>
              <w:rPr>
                <w:rFonts w:hint="eastAsia" w:ascii="宋体" w:hAnsi="宋体"/>
                <w:color w:val="auto"/>
                <w:sz w:val="18"/>
                <w:lang w:val="en-US" w:eastAsia="zh-CN"/>
              </w:rPr>
              <w:t>25</w:t>
            </w:r>
          </w:p>
        </w:tc>
      </w:tr>
      <w:tr w14:paraId="1194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5" w:hRule="atLeast"/>
        </w:trPr>
        <w:tc>
          <w:tcPr>
            <w:tcW w:w="1590" w:type="dxa"/>
            <w:tcBorders>
              <w:left w:val="single" w:color="auto" w:sz="12" w:space="0"/>
            </w:tcBorders>
            <w:noWrap w:val="0"/>
            <w:vAlign w:val="center"/>
          </w:tcPr>
          <w:p w14:paraId="1EFC6243">
            <w:pPr>
              <w:jc w:val="left"/>
              <w:rPr>
                <w:rFonts w:hint="default" w:ascii="宋体" w:hAnsi="宋体" w:eastAsia="宋体"/>
                <w:sz w:val="18"/>
                <w:lang w:val="en-US" w:eastAsia="zh-CN"/>
              </w:rPr>
            </w:pPr>
            <w:r>
              <w:rPr>
                <w:rFonts w:hint="eastAsia" w:ascii="宋体" w:hAnsi="宋体"/>
                <w:sz w:val="18"/>
              </w:rPr>
              <w:t>&gt;0.00</w:t>
            </w:r>
            <w:r>
              <w:rPr>
                <w:rFonts w:hint="eastAsia" w:ascii="宋体" w:hAnsi="宋体"/>
                <w:sz w:val="18"/>
                <w:lang w:val="en-US" w:eastAsia="zh-CN"/>
              </w:rPr>
              <w:t>25</w:t>
            </w:r>
            <w:r>
              <w:rPr>
                <w:rFonts w:hint="eastAsia" w:ascii="宋体" w:hAnsi="宋体"/>
                <w:sz w:val="18"/>
              </w:rPr>
              <w:t>～0.0</w:t>
            </w:r>
            <w:r>
              <w:rPr>
                <w:rFonts w:hint="eastAsia" w:ascii="宋体" w:hAnsi="宋体"/>
                <w:sz w:val="18"/>
                <w:lang w:val="en-US" w:eastAsia="zh-CN"/>
              </w:rPr>
              <w:t xml:space="preserve">070 </w:t>
            </w:r>
          </w:p>
        </w:tc>
        <w:tc>
          <w:tcPr>
            <w:tcW w:w="1148" w:type="dxa"/>
            <w:noWrap w:val="0"/>
            <w:vAlign w:val="center"/>
          </w:tcPr>
          <w:p w14:paraId="5EB7AD49">
            <w:pPr>
              <w:jc w:val="center"/>
              <w:rPr>
                <w:rFonts w:hint="eastAsia" w:ascii="宋体" w:hAnsi="宋体"/>
                <w:color w:val="auto"/>
                <w:sz w:val="18"/>
              </w:rPr>
            </w:pPr>
            <w:r>
              <w:rPr>
                <w:rFonts w:hint="eastAsia" w:ascii="宋体" w:hAnsi="宋体"/>
                <w:color w:val="auto"/>
                <w:sz w:val="18"/>
              </w:rPr>
              <w:t>1.00</w:t>
            </w:r>
          </w:p>
        </w:tc>
        <w:tc>
          <w:tcPr>
            <w:tcW w:w="1545" w:type="dxa"/>
            <w:noWrap w:val="0"/>
            <w:vAlign w:val="center"/>
          </w:tcPr>
          <w:p w14:paraId="018BA191">
            <w:pPr>
              <w:jc w:val="center"/>
              <w:rPr>
                <w:rFonts w:hint="eastAsia" w:ascii="宋体" w:hAnsi="宋体" w:eastAsia="宋体"/>
                <w:color w:val="auto"/>
                <w:sz w:val="18"/>
                <w:lang w:eastAsia="zh-CN"/>
              </w:rPr>
            </w:pPr>
            <w:r>
              <w:rPr>
                <w:rFonts w:hint="eastAsia" w:ascii="宋体" w:hAnsi="宋体"/>
                <w:color w:val="auto"/>
                <w:sz w:val="18"/>
                <w:lang w:val="en-US" w:eastAsia="zh-CN"/>
              </w:rPr>
              <w:t>7</w:t>
            </w:r>
          </w:p>
        </w:tc>
        <w:tc>
          <w:tcPr>
            <w:tcW w:w="2212" w:type="dxa"/>
            <w:noWrap w:val="0"/>
            <w:vAlign w:val="center"/>
          </w:tcPr>
          <w:p w14:paraId="6D357CFF">
            <w:pPr>
              <w:jc w:val="center"/>
              <w:rPr>
                <w:rFonts w:hint="default" w:ascii="宋体" w:hAnsi="宋体" w:eastAsia="宋体"/>
                <w:color w:val="auto"/>
                <w:sz w:val="18"/>
                <w:lang w:val="en-US" w:eastAsia="zh-CN"/>
              </w:rPr>
            </w:pPr>
            <w:r>
              <w:rPr>
                <w:rFonts w:hint="eastAsia" w:ascii="宋体" w:hAnsi="宋体"/>
                <w:color w:val="auto"/>
                <w:sz w:val="18"/>
                <w:lang w:val="en-US" w:eastAsia="zh-CN"/>
              </w:rPr>
              <w:t>7:3</w:t>
            </w:r>
          </w:p>
        </w:tc>
        <w:tc>
          <w:tcPr>
            <w:tcW w:w="1170" w:type="dxa"/>
            <w:noWrap w:val="0"/>
            <w:vAlign w:val="center"/>
          </w:tcPr>
          <w:p w14:paraId="2F066C0A">
            <w:pPr>
              <w:jc w:val="center"/>
              <w:rPr>
                <w:rFonts w:hint="eastAsia" w:ascii="宋体" w:hAnsi="宋体"/>
                <w:color w:val="auto"/>
                <w:sz w:val="18"/>
              </w:rPr>
            </w:pPr>
            <w:r>
              <w:rPr>
                <w:rFonts w:hint="eastAsia" w:ascii="宋体" w:hAnsi="宋体"/>
                <w:color w:val="auto"/>
                <w:sz w:val="18"/>
                <w:lang w:val="en-US" w:eastAsia="zh-CN"/>
              </w:rPr>
              <w:t>100</w:t>
            </w:r>
            <w:r>
              <w:rPr>
                <w:rFonts w:hint="eastAsia" w:ascii="宋体" w:hAnsi="宋体"/>
                <w:color w:val="auto"/>
                <w:sz w:val="18"/>
              </w:rPr>
              <w:t>.00</w:t>
            </w:r>
          </w:p>
        </w:tc>
        <w:tc>
          <w:tcPr>
            <w:tcW w:w="1035" w:type="dxa"/>
            <w:tcBorders>
              <w:right w:val="single" w:color="auto" w:sz="12" w:space="0"/>
            </w:tcBorders>
            <w:noWrap w:val="0"/>
            <w:vAlign w:val="center"/>
          </w:tcPr>
          <w:p w14:paraId="2CF837E6">
            <w:pPr>
              <w:jc w:val="center"/>
              <w:rPr>
                <w:rFonts w:hint="eastAsia" w:ascii="宋体" w:hAnsi="宋体"/>
                <w:color w:val="auto"/>
                <w:sz w:val="18"/>
              </w:rPr>
            </w:pPr>
            <w:r>
              <w:rPr>
                <w:rFonts w:hint="eastAsia" w:ascii="宋体" w:hAnsi="宋体"/>
                <w:color w:val="auto"/>
                <w:sz w:val="18"/>
              </w:rPr>
              <w:t>5.00</w:t>
            </w:r>
          </w:p>
        </w:tc>
        <w:tc>
          <w:tcPr>
            <w:tcW w:w="1020" w:type="dxa"/>
            <w:vMerge w:val="continue"/>
            <w:tcBorders>
              <w:right w:val="single" w:color="auto" w:sz="12" w:space="0"/>
            </w:tcBorders>
            <w:noWrap w:val="0"/>
            <w:vAlign w:val="center"/>
          </w:tcPr>
          <w:p w14:paraId="64B1A64B">
            <w:pPr>
              <w:jc w:val="center"/>
              <w:rPr>
                <w:rFonts w:hint="eastAsia" w:ascii="宋体" w:hAnsi="宋体"/>
                <w:color w:val="auto"/>
                <w:sz w:val="18"/>
              </w:rPr>
            </w:pPr>
          </w:p>
        </w:tc>
      </w:tr>
      <w:tr w14:paraId="61D4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5" w:hRule="atLeast"/>
        </w:trPr>
        <w:tc>
          <w:tcPr>
            <w:tcW w:w="1590" w:type="dxa"/>
            <w:tcBorders>
              <w:left w:val="single" w:color="auto" w:sz="12" w:space="0"/>
            </w:tcBorders>
            <w:noWrap w:val="0"/>
            <w:vAlign w:val="center"/>
          </w:tcPr>
          <w:p w14:paraId="399DC01D">
            <w:pPr>
              <w:jc w:val="both"/>
              <w:rPr>
                <w:rFonts w:hint="default" w:ascii="宋体" w:hAnsi="宋体" w:eastAsia="宋体"/>
                <w:sz w:val="18"/>
                <w:lang w:val="en-US" w:eastAsia="zh-CN"/>
              </w:rPr>
            </w:pPr>
            <w:r>
              <w:rPr>
                <w:rFonts w:hint="eastAsia" w:ascii="宋体" w:hAnsi="宋体"/>
                <w:sz w:val="18"/>
              </w:rPr>
              <w:t>&gt;0.0</w:t>
            </w:r>
            <w:r>
              <w:rPr>
                <w:rFonts w:hint="eastAsia" w:ascii="宋体" w:hAnsi="宋体"/>
                <w:sz w:val="18"/>
                <w:lang w:val="en-US" w:eastAsia="zh-CN"/>
              </w:rPr>
              <w:t>070</w:t>
            </w:r>
            <w:r>
              <w:rPr>
                <w:rFonts w:hint="eastAsia" w:ascii="宋体" w:hAnsi="宋体"/>
                <w:sz w:val="18"/>
              </w:rPr>
              <w:t>～0.0</w:t>
            </w:r>
            <w:r>
              <w:rPr>
                <w:rFonts w:hint="eastAsia" w:ascii="宋体" w:hAnsi="宋体"/>
                <w:sz w:val="18"/>
                <w:lang w:val="en-US" w:eastAsia="zh-CN"/>
              </w:rPr>
              <w:t>15</w:t>
            </w:r>
          </w:p>
        </w:tc>
        <w:tc>
          <w:tcPr>
            <w:tcW w:w="1148" w:type="dxa"/>
            <w:noWrap w:val="0"/>
            <w:vAlign w:val="center"/>
          </w:tcPr>
          <w:p w14:paraId="10540E31">
            <w:pPr>
              <w:jc w:val="center"/>
              <w:rPr>
                <w:rFonts w:hint="default" w:ascii="宋体" w:hAnsi="宋体" w:eastAsia="宋体"/>
                <w:color w:val="auto"/>
                <w:sz w:val="18"/>
                <w:lang w:val="en-US" w:eastAsia="zh-CN"/>
              </w:rPr>
            </w:pPr>
            <w:r>
              <w:rPr>
                <w:rFonts w:hint="eastAsia" w:ascii="宋体" w:hAnsi="宋体"/>
                <w:color w:val="auto"/>
                <w:sz w:val="18"/>
                <w:lang w:val="en-US" w:eastAsia="zh-CN"/>
              </w:rPr>
              <w:t>0.50</w:t>
            </w:r>
          </w:p>
        </w:tc>
        <w:tc>
          <w:tcPr>
            <w:tcW w:w="1545" w:type="dxa"/>
            <w:noWrap w:val="0"/>
            <w:vAlign w:val="center"/>
          </w:tcPr>
          <w:p w14:paraId="24E0CBA0">
            <w:pPr>
              <w:jc w:val="center"/>
              <w:rPr>
                <w:rFonts w:hint="eastAsia" w:ascii="宋体" w:hAnsi="宋体" w:eastAsia="宋体"/>
                <w:color w:val="auto"/>
                <w:sz w:val="18"/>
                <w:lang w:eastAsia="zh-CN"/>
              </w:rPr>
            </w:pPr>
            <w:r>
              <w:rPr>
                <w:rFonts w:hint="eastAsia" w:ascii="宋体" w:hAnsi="宋体"/>
                <w:color w:val="auto"/>
                <w:sz w:val="18"/>
                <w:lang w:val="en-US" w:eastAsia="zh-CN"/>
              </w:rPr>
              <w:t>6</w:t>
            </w:r>
          </w:p>
        </w:tc>
        <w:tc>
          <w:tcPr>
            <w:tcW w:w="2212" w:type="dxa"/>
            <w:noWrap w:val="0"/>
            <w:vAlign w:val="center"/>
          </w:tcPr>
          <w:p w14:paraId="6ACEFE3F">
            <w:pPr>
              <w:jc w:val="center"/>
              <w:rPr>
                <w:rFonts w:hint="default" w:ascii="宋体" w:hAnsi="宋体" w:eastAsia="宋体"/>
                <w:color w:val="auto"/>
                <w:sz w:val="18"/>
                <w:lang w:val="en-US" w:eastAsia="zh-CN"/>
              </w:rPr>
            </w:pPr>
            <w:r>
              <w:rPr>
                <w:rFonts w:hint="eastAsia" w:ascii="宋体" w:hAnsi="宋体"/>
                <w:color w:val="auto"/>
                <w:sz w:val="18"/>
                <w:lang w:val="en-US" w:eastAsia="zh-CN"/>
              </w:rPr>
              <w:t>6:2</w:t>
            </w:r>
          </w:p>
        </w:tc>
        <w:tc>
          <w:tcPr>
            <w:tcW w:w="1170" w:type="dxa"/>
            <w:noWrap w:val="0"/>
            <w:vAlign w:val="center"/>
          </w:tcPr>
          <w:p w14:paraId="792FF1D4">
            <w:pPr>
              <w:jc w:val="center"/>
              <w:rPr>
                <w:rFonts w:hint="eastAsia" w:ascii="宋体" w:hAnsi="宋体"/>
                <w:color w:val="auto"/>
                <w:sz w:val="18"/>
              </w:rPr>
            </w:pPr>
            <w:r>
              <w:rPr>
                <w:rFonts w:hint="eastAsia" w:ascii="宋体" w:hAnsi="宋体"/>
                <w:color w:val="auto"/>
                <w:sz w:val="18"/>
                <w:lang w:val="en-US" w:eastAsia="zh-CN"/>
              </w:rPr>
              <w:t>100</w:t>
            </w:r>
            <w:r>
              <w:rPr>
                <w:rFonts w:hint="eastAsia" w:ascii="宋体" w:hAnsi="宋体"/>
                <w:color w:val="auto"/>
                <w:sz w:val="18"/>
              </w:rPr>
              <w:t>.00</w:t>
            </w:r>
          </w:p>
        </w:tc>
        <w:tc>
          <w:tcPr>
            <w:tcW w:w="1035" w:type="dxa"/>
            <w:tcBorders>
              <w:right w:val="single" w:color="auto" w:sz="12" w:space="0"/>
            </w:tcBorders>
            <w:noWrap w:val="0"/>
            <w:vAlign w:val="center"/>
          </w:tcPr>
          <w:p w14:paraId="29300975">
            <w:pPr>
              <w:jc w:val="center"/>
              <w:rPr>
                <w:rFonts w:hint="eastAsia" w:ascii="宋体" w:hAnsi="宋体"/>
                <w:color w:val="auto"/>
                <w:sz w:val="18"/>
              </w:rPr>
            </w:pPr>
            <w:r>
              <w:rPr>
                <w:rFonts w:hint="eastAsia" w:ascii="宋体" w:hAnsi="宋体"/>
                <w:color w:val="auto"/>
                <w:sz w:val="18"/>
                <w:lang w:val="en-US" w:eastAsia="zh-CN"/>
              </w:rPr>
              <w:t>5</w:t>
            </w:r>
            <w:r>
              <w:rPr>
                <w:rFonts w:hint="eastAsia" w:ascii="宋体" w:hAnsi="宋体"/>
                <w:color w:val="auto"/>
                <w:sz w:val="18"/>
              </w:rPr>
              <w:t>.00</w:t>
            </w:r>
          </w:p>
        </w:tc>
        <w:tc>
          <w:tcPr>
            <w:tcW w:w="1020" w:type="dxa"/>
            <w:vMerge w:val="continue"/>
            <w:tcBorders>
              <w:right w:val="single" w:color="auto" w:sz="12" w:space="0"/>
            </w:tcBorders>
            <w:noWrap w:val="0"/>
            <w:vAlign w:val="top"/>
          </w:tcPr>
          <w:p w14:paraId="48346AFE">
            <w:pPr>
              <w:jc w:val="center"/>
              <w:rPr>
                <w:rFonts w:hint="eastAsia" w:ascii="宋体" w:hAnsi="宋体"/>
                <w:color w:val="auto"/>
                <w:sz w:val="18"/>
                <w:lang w:val="en-US" w:eastAsia="zh-CN"/>
              </w:rPr>
            </w:pPr>
          </w:p>
        </w:tc>
      </w:tr>
      <w:tr w14:paraId="276E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5" w:hRule="atLeast"/>
        </w:trPr>
        <w:tc>
          <w:tcPr>
            <w:tcW w:w="1590" w:type="dxa"/>
            <w:tcBorders>
              <w:left w:val="single" w:color="auto" w:sz="12" w:space="0"/>
              <w:bottom w:val="single" w:color="auto" w:sz="12" w:space="0"/>
            </w:tcBorders>
            <w:noWrap w:val="0"/>
            <w:vAlign w:val="center"/>
          </w:tcPr>
          <w:p w14:paraId="223D64A5">
            <w:pPr>
              <w:jc w:val="both"/>
              <w:rPr>
                <w:rFonts w:hint="default" w:ascii="宋体" w:hAnsi="宋体"/>
                <w:sz w:val="18"/>
                <w:lang w:val="en-US"/>
              </w:rPr>
            </w:pPr>
            <w:r>
              <w:rPr>
                <w:rFonts w:hint="eastAsia" w:ascii="宋体" w:hAnsi="宋体"/>
                <w:sz w:val="18"/>
              </w:rPr>
              <w:t>&gt;0.0</w:t>
            </w:r>
            <w:r>
              <w:rPr>
                <w:rFonts w:hint="eastAsia" w:ascii="宋体" w:hAnsi="宋体"/>
                <w:sz w:val="18"/>
                <w:lang w:val="en-US" w:eastAsia="zh-CN"/>
              </w:rPr>
              <w:t>15</w:t>
            </w:r>
            <w:r>
              <w:rPr>
                <w:rFonts w:hint="eastAsia" w:ascii="宋体" w:hAnsi="宋体"/>
                <w:sz w:val="18"/>
              </w:rPr>
              <w:t>～0.0</w:t>
            </w:r>
            <w:r>
              <w:rPr>
                <w:rFonts w:hint="eastAsia" w:ascii="宋体" w:hAnsi="宋体"/>
                <w:sz w:val="18"/>
                <w:lang w:val="en-US" w:eastAsia="zh-CN"/>
              </w:rPr>
              <w:t>50</w:t>
            </w:r>
          </w:p>
        </w:tc>
        <w:tc>
          <w:tcPr>
            <w:tcW w:w="1148" w:type="dxa"/>
            <w:tcBorders>
              <w:bottom w:val="single" w:color="auto" w:sz="12" w:space="0"/>
            </w:tcBorders>
            <w:noWrap w:val="0"/>
            <w:vAlign w:val="center"/>
          </w:tcPr>
          <w:p w14:paraId="6750C2C0">
            <w:pPr>
              <w:jc w:val="center"/>
              <w:rPr>
                <w:rFonts w:hint="default" w:ascii="宋体" w:hAnsi="宋体" w:eastAsia="宋体"/>
                <w:color w:val="auto"/>
                <w:sz w:val="18"/>
                <w:lang w:val="en-US" w:eastAsia="zh-CN"/>
              </w:rPr>
            </w:pPr>
            <w:r>
              <w:rPr>
                <w:rFonts w:hint="eastAsia" w:ascii="宋体" w:hAnsi="宋体"/>
                <w:color w:val="auto"/>
                <w:sz w:val="18"/>
                <w:lang w:val="en-US" w:eastAsia="zh-CN"/>
              </w:rPr>
              <w:t>0.20</w:t>
            </w:r>
          </w:p>
        </w:tc>
        <w:tc>
          <w:tcPr>
            <w:tcW w:w="1545" w:type="dxa"/>
            <w:tcBorders>
              <w:bottom w:val="single" w:color="auto" w:sz="12" w:space="0"/>
            </w:tcBorders>
            <w:noWrap w:val="0"/>
            <w:vAlign w:val="center"/>
          </w:tcPr>
          <w:p w14:paraId="35D86EB1">
            <w:pPr>
              <w:jc w:val="center"/>
              <w:rPr>
                <w:rFonts w:hint="eastAsia" w:ascii="宋体" w:hAnsi="宋体" w:eastAsia="宋体"/>
                <w:color w:val="auto"/>
                <w:sz w:val="18"/>
                <w:lang w:val="en-US" w:eastAsia="zh-CN"/>
              </w:rPr>
            </w:pPr>
            <w:r>
              <w:rPr>
                <w:rFonts w:hint="eastAsia" w:ascii="宋体" w:hAnsi="宋体"/>
                <w:color w:val="auto"/>
                <w:sz w:val="18"/>
                <w:lang w:val="en-US" w:eastAsia="zh-CN"/>
              </w:rPr>
              <w:t>5</w:t>
            </w:r>
          </w:p>
        </w:tc>
        <w:tc>
          <w:tcPr>
            <w:tcW w:w="2212" w:type="dxa"/>
            <w:tcBorders>
              <w:bottom w:val="single" w:color="auto" w:sz="12" w:space="0"/>
            </w:tcBorders>
            <w:noWrap w:val="0"/>
            <w:vAlign w:val="center"/>
          </w:tcPr>
          <w:p w14:paraId="63896BFD">
            <w:pPr>
              <w:jc w:val="center"/>
              <w:rPr>
                <w:rFonts w:hint="default" w:ascii="宋体" w:hAnsi="宋体" w:eastAsia="宋体"/>
                <w:color w:val="auto"/>
                <w:sz w:val="18"/>
                <w:lang w:val="en-US" w:eastAsia="zh-CN"/>
              </w:rPr>
            </w:pPr>
            <w:r>
              <w:rPr>
                <w:rFonts w:hint="eastAsia" w:ascii="宋体" w:hAnsi="宋体"/>
                <w:color w:val="auto"/>
                <w:sz w:val="18"/>
                <w:lang w:val="en-US" w:eastAsia="zh-CN"/>
              </w:rPr>
              <w:t>5:1.5</w:t>
            </w:r>
          </w:p>
        </w:tc>
        <w:tc>
          <w:tcPr>
            <w:tcW w:w="1170" w:type="dxa"/>
            <w:tcBorders>
              <w:bottom w:val="single" w:color="auto" w:sz="12" w:space="0"/>
            </w:tcBorders>
            <w:noWrap w:val="0"/>
            <w:vAlign w:val="center"/>
          </w:tcPr>
          <w:p w14:paraId="664965A2">
            <w:pPr>
              <w:jc w:val="center"/>
              <w:rPr>
                <w:rFonts w:hint="eastAsia" w:ascii="宋体" w:hAnsi="宋体"/>
                <w:color w:val="auto"/>
                <w:sz w:val="18"/>
              </w:rPr>
            </w:pPr>
            <w:r>
              <w:rPr>
                <w:rFonts w:hint="eastAsia" w:ascii="宋体" w:hAnsi="宋体"/>
                <w:color w:val="auto"/>
                <w:sz w:val="18"/>
              </w:rPr>
              <w:t>100.00</w:t>
            </w:r>
          </w:p>
        </w:tc>
        <w:tc>
          <w:tcPr>
            <w:tcW w:w="1035" w:type="dxa"/>
            <w:tcBorders>
              <w:bottom w:val="single" w:color="auto" w:sz="12" w:space="0"/>
              <w:right w:val="single" w:color="auto" w:sz="12" w:space="0"/>
            </w:tcBorders>
            <w:noWrap w:val="0"/>
            <w:vAlign w:val="center"/>
          </w:tcPr>
          <w:p w14:paraId="2F2BF54F">
            <w:pPr>
              <w:jc w:val="center"/>
              <w:rPr>
                <w:rFonts w:hint="eastAsia" w:ascii="宋体" w:hAnsi="宋体"/>
                <w:color w:val="auto"/>
                <w:sz w:val="18"/>
              </w:rPr>
            </w:pPr>
            <w:r>
              <w:rPr>
                <w:rFonts w:hint="eastAsia" w:ascii="宋体" w:hAnsi="宋体"/>
                <w:color w:val="auto"/>
                <w:sz w:val="18"/>
                <w:lang w:val="en-US" w:eastAsia="zh-CN"/>
              </w:rPr>
              <w:t>5</w:t>
            </w:r>
            <w:r>
              <w:rPr>
                <w:rFonts w:hint="eastAsia" w:ascii="宋体" w:hAnsi="宋体"/>
                <w:color w:val="auto"/>
                <w:sz w:val="18"/>
              </w:rPr>
              <w:t>.00</w:t>
            </w:r>
          </w:p>
        </w:tc>
        <w:tc>
          <w:tcPr>
            <w:tcW w:w="1020" w:type="dxa"/>
            <w:vMerge w:val="continue"/>
            <w:tcBorders>
              <w:bottom w:val="single" w:color="auto" w:sz="12" w:space="0"/>
              <w:right w:val="single" w:color="auto" w:sz="12" w:space="0"/>
            </w:tcBorders>
            <w:noWrap w:val="0"/>
            <w:vAlign w:val="center"/>
          </w:tcPr>
          <w:p w14:paraId="50CEC85C">
            <w:pPr>
              <w:jc w:val="center"/>
              <w:rPr>
                <w:rFonts w:hint="eastAsia" w:ascii="宋体" w:hAnsi="宋体"/>
                <w:color w:val="auto"/>
                <w:sz w:val="18"/>
                <w:lang w:val="en-US" w:eastAsia="zh-CN"/>
              </w:rPr>
            </w:pPr>
          </w:p>
        </w:tc>
      </w:tr>
      <w:tr w14:paraId="0C94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5" w:hRule="atLeast"/>
        </w:trPr>
        <w:tc>
          <w:tcPr>
            <w:tcW w:w="1590" w:type="dxa"/>
            <w:tcBorders>
              <w:top w:val="single" w:color="auto" w:sz="12" w:space="0"/>
              <w:left w:val="single" w:color="auto" w:sz="12" w:space="0"/>
            </w:tcBorders>
            <w:noWrap w:val="0"/>
            <w:vAlign w:val="center"/>
          </w:tcPr>
          <w:p w14:paraId="42D3A6C4">
            <w:pPr>
              <w:jc w:val="both"/>
              <w:rPr>
                <w:rFonts w:hint="default" w:ascii="宋体" w:hAnsi="宋体" w:eastAsia="宋体"/>
                <w:sz w:val="18"/>
                <w:lang w:val="en-US" w:eastAsia="zh-CN"/>
              </w:rPr>
            </w:pPr>
            <w:r>
              <w:rPr>
                <w:rFonts w:hint="eastAsia" w:ascii="宋体" w:hAnsi="宋体"/>
                <w:sz w:val="18"/>
              </w:rPr>
              <w:t>&gt;0.</w:t>
            </w:r>
            <w:r>
              <w:rPr>
                <w:rFonts w:hint="eastAsia" w:ascii="宋体" w:hAnsi="宋体"/>
                <w:sz w:val="18"/>
                <w:lang w:val="en-US" w:eastAsia="zh-CN"/>
              </w:rPr>
              <w:t>050</w:t>
            </w:r>
            <w:r>
              <w:rPr>
                <w:rFonts w:hint="eastAsia" w:ascii="宋体" w:hAnsi="宋体"/>
                <w:sz w:val="18"/>
              </w:rPr>
              <w:t>～0.</w:t>
            </w:r>
            <w:r>
              <w:rPr>
                <w:rFonts w:hint="eastAsia" w:ascii="宋体" w:hAnsi="宋体"/>
                <w:sz w:val="18"/>
                <w:lang w:val="en-US" w:eastAsia="zh-CN"/>
              </w:rPr>
              <w:t>15</w:t>
            </w:r>
          </w:p>
        </w:tc>
        <w:tc>
          <w:tcPr>
            <w:tcW w:w="1148" w:type="dxa"/>
            <w:tcBorders>
              <w:top w:val="single" w:color="auto" w:sz="12" w:space="0"/>
            </w:tcBorders>
            <w:noWrap w:val="0"/>
            <w:vAlign w:val="center"/>
          </w:tcPr>
          <w:p w14:paraId="2F90BF18">
            <w:pPr>
              <w:jc w:val="center"/>
              <w:rPr>
                <w:rFonts w:hint="default" w:ascii="宋体" w:hAnsi="宋体" w:eastAsia="宋体"/>
                <w:color w:val="auto"/>
                <w:sz w:val="18"/>
                <w:lang w:val="en-US" w:eastAsia="zh-CN"/>
              </w:rPr>
            </w:pPr>
            <w:r>
              <w:rPr>
                <w:rFonts w:hint="eastAsia" w:ascii="宋体" w:hAnsi="宋体"/>
                <w:color w:val="auto"/>
                <w:sz w:val="18"/>
              </w:rPr>
              <w:t>0.</w:t>
            </w:r>
            <w:r>
              <w:rPr>
                <w:rFonts w:hint="eastAsia" w:ascii="宋体" w:hAnsi="宋体"/>
                <w:color w:val="auto"/>
                <w:sz w:val="18"/>
                <w:lang w:val="en-US" w:eastAsia="zh-CN"/>
              </w:rPr>
              <w:t>5</w:t>
            </w:r>
            <w:r>
              <w:rPr>
                <w:rFonts w:hint="eastAsia" w:ascii="宋体" w:hAnsi="宋体"/>
                <w:color w:val="auto"/>
                <w:sz w:val="18"/>
              </w:rPr>
              <w:t>0</w:t>
            </w:r>
          </w:p>
        </w:tc>
        <w:tc>
          <w:tcPr>
            <w:tcW w:w="1545" w:type="dxa"/>
            <w:tcBorders>
              <w:top w:val="single" w:color="auto" w:sz="12" w:space="0"/>
            </w:tcBorders>
            <w:noWrap w:val="0"/>
            <w:vAlign w:val="center"/>
          </w:tcPr>
          <w:p w14:paraId="1D479437">
            <w:pPr>
              <w:jc w:val="center"/>
              <w:rPr>
                <w:rFonts w:hint="eastAsia" w:ascii="宋体" w:hAnsi="宋体" w:eastAsia="宋体"/>
                <w:color w:val="auto"/>
                <w:sz w:val="18"/>
                <w:lang w:val="en-US" w:eastAsia="zh-CN"/>
              </w:rPr>
            </w:pPr>
            <w:r>
              <w:rPr>
                <w:rFonts w:hint="eastAsia" w:ascii="宋体" w:hAnsi="宋体"/>
                <w:color w:val="auto"/>
                <w:sz w:val="18"/>
                <w:lang w:val="en-US" w:eastAsia="zh-CN"/>
              </w:rPr>
              <w:t>6</w:t>
            </w:r>
          </w:p>
        </w:tc>
        <w:tc>
          <w:tcPr>
            <w:tcW w:w="2212" w:type="dxa"/>
            <w:tcBorders>
              <w:top w:val="single" w:color="auto" w:sz="12" w:space="0"/>
            </w:tcBorders>
            <w:noWrap w:val="0"/>
            <w:vAlign w:val="center"/>
          </w:tcPr>
          <w:p w14:paraId="280DCF0F">
            <w:pPr>
              <w:jc w:val="center"/>
              <w:rPr>
                <w:rFonts w:hint="default" w:ascii="宋体" w:hAnsi="宋体" w:eastAsia="宋体"/>
                <w:color w:val="auto"/>
                <w:sz w:val="18"/>
                <w:lang w:val="en-US" w:eastAsia="zh-CN"/>
              </w:rPr>
            </w:pPr>
            <w:r>
              <w:rPr>
                <w:rFonts w:hint="eastAsia" w:ascii="宋体" w:hAnsi="宋体"/>
                <w:color w:val="auto"/>
                <w:sz w:val="18"/>
                <w:lang w:val="en-US" w:eastAsia="zh-CN"/>
              </w:rPr>
              <w:t>6:2</w:t>
            </w:r>
          </w:p>
        </w:tc>
        <w:tc>
          <w:tcPr>
            <w:tcW w:w="1170" w:type="dxa"/>
            <w:tcBorders>
              <w:top w:val="single" w:color="auto" w:sz="12" w:space="0"/>
            </w:tcBorders>
            <w:noWrap w:val="0"/>
            <w:vAlign w:val="center"/>
          </w:tcPr>
          <w:p w14:paraId="6777E7D6">
            <w:pPr>
              <w:jc w:val="center"/>
              <w:rPr>
                <w:rFonts w:hint="eastAsia" w:ascii="宋体" w:hAnsi="宋体"/>
                <w:color w:val="auto"/>
                <w:sz w:val="18"/>
              </w:rPr>
            </w:pPr>
            <w:r>
              <w:rPr>
                <w:rFonts w:hint="eastAsia" w:ascii="宋体" w:hAnsi="宋体"/>
                <w:color w:val="auto"/>
                <w:sz w:val="18"/>
                <w:lang w:val="en-US" w:eastAsia="zh-CN"/>
              </w:rPr>
              <w:t>200</w:t>
            </w:r>
            <w:r>
              <w:rPr>
                <w:rFonts w:hint="eastAsia" w:ascii="宋体" w:hAnsi="宋体"/>
                <w:color w:val="auto"/>
                <w:sz w:val="18"/>
              </w:rPr>
              <w:t>.00</w:t>
            </w:r>
          </w:p>
        </w:tc>
        <w:tc>
          <w:tcPr>
            <w:tcW w:w="1035" w:type="dxa"/>
            <w:tcBorders>
              <w:top w:val="single" w:color="auto" w:sz="12" w:space="0"/>
              <w:right w:val="single" w:color="auto" w:sz="12" w:space="0"/>
            </w:tcBorders>
            <w:noWrap w:val="0"/>
            <w:vAlign w:val="center"/>
          </w:tcPr>
          <w:p w14:paraId="6DB75995">
            <w:pPr>
              <w:jc w:val="center"/>
              <w:rPr>
                <w:rFonts w:hint="eastAsia" w:ascii="宋体" w:hAnsi="宋体"/>
                <w:color w:val="auto"/>
                <w:sz w:val="18"/>
              </w:rPr>
            </w:pPr>
            <w:r>
              <w:rPr>
                <w:rFonts w:hint="eastAsia" w:ascii="宋体" w:hAnsi="宋体"/>
                <w:color w:val="auto"/>
                <w:sz w:val="18"/>
                <w:lang w:val="en-US" w:eastAsia="zh-CN"/>
              </w:rPr>
              <w:t>5</w:t>
            </w:r>
            <w:r>
              <w:rPr>
                <w:rFonts w:hint="eastAsia" w:ascii="宋体" w:hAnsi="宋体"/>
                <w:color w:val="auto"/>
                <w:sz w:val="18"/>
              </w:rPr>
              <w:t>.00</w:t>
            </w:r>
          </w:p>
        </w:tc>
        <w:tc>
          <w:tcPr>
            <w:tcW w:w="1020" w:type="dxa"/>
            <w:vMerge w:val="restart"/>
            <w:tcBorders>
              <w:top w:val="single" w:color="auto" w:sz="12" w:space="0"/>
              <w:right w:val="single" w:color="auto" w:sz="12" w:space="0"/>
            </w:tcBorders>
            <w:noWrap w:val="0"/>
            <w:vAlign w:val="top"/>
          </w:tcPr>
          <w:p w14:paraId="4B41B97B">
            <w:pPr>
              <w:jc w:val="center"/>
              <w:rPr>
                <w:rFonts w:hint="eastAsia" w:ascii="宋体" w:hAnsi="宋体"/>
                <w:color w:val="auto"/>
                <w:sz w:val="18"/>
                <w:lang w:val="en-US" w:eastAsia="zh-CN"/>
              </w:rPr>
            </w:pPr>
          </w:p>
          <w:p w14:paraId="2F02BF19">
            <w:pPr>
              <w:jc w:val="center"/>
              <w:rPr>
                <w:rFonts w:hint="default" w:ascii="宋体" w:hAnsi="宋体"/>
                <w:color w:val="auto"/>
                <w:sz w:val="18"/>
                <w:lang w:val="en-US" w:eastAsia="zh-CN"/>
              </w:rPr>
            </w:pPr>
            <w:r>
              <w:rPr>
                <w:rFonts w:hint="eastAsia" w:ascii="宋体" w:hAnsi="宋体"/>
                <w:color w:val="auto"/>
                <w:sz w:val="18"/>
                <w:lang w:val="en-US" w:eastAsia="zh-CN"/>
              </w:rPr>
              <w:t>100</w:t>
            </w:r>
          </w:p>
        </w:tc>
      </w:tr>
      <w:tr w14:paraId="23C7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465" w:hRule="atLeast"/>
        </w:trPr>
        <w:tc>
          <w:tcPr>
            <w:tcW w:w="1590" w:type="dxa"/>
            <w:tcBorders>
              <w:left w:val="single" w:color="auto" w:sz="12" w:space="0"/>
              <w:bottom w:val="single" w:color="auto" w:sz="12" w:space="0"/>
            </w:tcBorders>
            <w:noWrap w:val="0"/>
            <w:vAlign w:val="center"/>
          </w:tcPr>
          <w:p w14:paraId="5531E159">
            <w:pPr>
              <w:jc w:val="both"/>
              <w:rPr>
                <w:rFonts w:hint="default" w:ascii="宋体" w:hAnsi="宋体"/>
                <w:sz w:val="18"/>
                <w:lang w:val="en-US"/>
              </w:rPr>
            </w:pPr>
            <w:r>
              <w:rPr>
                <w:rFonts w:hint="eastAsia" w:ascii="宋体" w:hAnsi="宋体"/>
                <w:sz w:val="18"/>
              </w:rPr>
              <w:t>&gt;0.</w:t>
            </w:r>
            <w:r>
              <w:rPr>
                <w:rFonts w:hint="eastAsia" w:ascii="宋体" w:hAnsi="宋体"/>
                <w:sz w:val="18"/>
                <w:lang w:val="en-US" w:eastAsia="zh-CN"/>
              </w:rPr>
              <w:t>15</w:t>
            </w:r>
            <w:r>
              <w:rPr>
                <w:rFonts w:hint="eastAsia" w:ascii="宋体" w:hAnsi="宋体"/>
                <w:sz w:val="18"/>
              </w:rPr>
              <w:t>～0.</w:t>
            </w:r>
            <w:r>
              <w:rPr>
                <w:rFonts w:hint="eastAsia" w:ascii="宋体" w:hAnsi="宋体"/>
                <w:sz w:val="18"/>
                <w:lang w:val="en-US" w:eastAsia="zh-CN"/>
              </w:rPr>
              <w:t>30</w:t>
            </w:r>
          </w:p>
        </w:tc>
        <w:tc>
          <w:tcPr>
            <w:tcW w:w="1148" w:type="dxa"/>
            <w:tcBorders>
              <w:bottom w:val="single" w:color="auto" w:sz="12" w:space="0"/>
            </w:tcBorders>
            <w:noWrap w:val="0"/>
            <w:vAlign w:val="center"/>
          </w:tcPr>
          <w:p w14:paraId="367E66D8">
            <w:pPr>
              <w:jc w:val="center"/>
              <w:rPr>
                <w:rFonts w:hint="default" w:ascii="宋体" w:hAnsi="宋体" w:eastAsia="宋体"/>
                <w:color w:val="auto"/>
                <w:sz w:val="18"/>
                <w:lang w:val="en-US" w:eastAsia="zh-CN"/>
              </w:rPr>
            </w:pPr>
            <w:r>
              <w:rPr>
                <w:rFonts w:hint="eastAsia" w:ascii="宋体" w:hAnsi="宋体"/>
                <w:color w:val="auto"/>
                <w:sz w:val="18"/>
                <w:lang w:val="en-US" w:eastAsia="zh-CN"/>
              </w:rPr>
              <w:t>0.30</w:t>
            </w:r>
          </w:p>
        </w:tc>
        <w:tc>
          <w:tcPr>
            <w:tcW w:w="1545" w:type="dxa"/>
            <w:tcBorders>
              <w:bottom w:val="single" w:color="auto" w:sz="12" w:space="0"/>
            </w:tcBorders>
            <w:noWrap w:val="0"/>
            <w:vAlign w:val="center"/>
          </w:tcPr>
          <w:p w14:paraId="4964A196">
            <w:pPr>
              <w:jc w:val="center"/>
              <w:rPr>
                <w:rFonts w:hint="default" w:ascii="宋体" w:hAnsi="宋体"/>
                <w:color w:val="auto"/>
                <w:sz w:val="18"/>
                <w:lang w:val="en-US" w:eastAsia="zh-CN"/>
              </w:rPr>
            </w:pPr>
            <w:r>
              <w:rPr>
                <w:rFonts w:hint="eastAsia" w:ascii="宋体" w:hAnsi="宋体"/>
                <w:color w:val="auto"/>
                <w:sz w:val="18"/>
                <w:lang w:val="en-US" w:eastAsia="zh-CN"/>
              </w:rPr>
              <w:t>5</w:t>
            </w:r>
          </w:p>
        </w:tc>
        <w:tc>
          <w:tcPr>
            <w:tcW w:w="2212" w:type="dxa"/>
            <w:tcBorders>
              <w:bottom w:val="single" w:color="auto" w:sz="12" w:space="0"/>
            </w:tcBorders>
            <w:noWrap w:val="0"/>
            <w:vAlign w:val="center"/>
          </w:tcPr>
          <w:p w14:paraId="2245B5D6">
            <w:pPr>
              <w:jc w:val="center"/>
              <w:rPr>
                <w:rFonts w:hint="default" w:ascii="宋体" w:hAnsi="宋体"/>
                <w:color w:val="auto"/>
                <w:sz w:val="18"/>
                <w:lang w:val="en-US" w:eastAsia="zh-CN"/>
              </w:rPr>
            </w:pPr>
            <w:r>
              <w:rPr>
                <w:rFonts w:hint="eastAsia" w:ascii="宋体" w:hAnsi="宋体"/>
                <w:color w:val="auto"/>
                <w:sz w:val="18"/>
                <w:lang w:val="en-US" w:eastAsia="zh-CN"/>
              </w:rPr>
              <w:t>5:1.5</w:t>
            </w:r>
          </w:p>
        </w:tc>
        <w:tc>
          <w:tcPr>
            <w:tcW w:w="1170" w:type="dxa"/>
            <w:tcBorders>
              <w:bottom w:val="single" w:color="auto" w:sz="12" w:space="0"/>
            </w:tcBorders>
            <w:noWrap w:val="0"/>
            <w:vAlign w:val="center"/>
          </w:tcPr>
          <w:p w14:paraId="7971AE9C">
            <w:pPr>
              <w:jc w:val="center"/>
              <w:rPr>
                <w:rFonts w:hint="default" w:ascii="宋体" w:hAnsi="宋体"/>
                <w:color w:val="auto"/>
                <w:sz w:val="18"/>
                <w:lang w:val="en-US" w:eastAsia="zh-CN"/>
              </w:rPr>
            </w:pPr>
            <w:r>
              <w:rPr>
                <w:rFonts w:hint="eastAsia" w:ascii="宋体" w:hAnsi="宋体"/>
                <w:color w:val="auto"/>
                <w:sz w:val="18"/>
                <w:lang w:val="en-US" w:eastAsia="zh-CN"/>
              </w:rPr>
              <w:t>200.00</w:t>
            </w:r>
          </w:p>
        </w:tc>
        <w:tc>
          <w:tcPr>
            <w:tcW w:w="1035" w:type="dxa"/>
            <w:tcBorders>
              <w:bottom w:val="single" w:color="auto" w:sz="12" w:space="0"/>
              <w:right w:val="single" w:color="auto" w:sz="12" w:space="0"/>
            </w:tcBorders>
            <w:noWrap w:val="0"/>
            <w:vAlign w:val="center"/>
          </w:tcPr>
          <w:p w14:paraId="166CFAD0">
            <w:pPr>
              <w:jc w:val="center"/>
              <w:rPr>
                <w:rFonts w:hint="default" w:ascii="宋体" w:hAnsi="宋体"/>
                <w:color w:val="auto"/>
                <w:sz w:val="18"/>
                <w:lang w:val="en-US" w:eastAsia="zh-CN"/>
              </w:rPr>
            </w:pPr>
            <w:r>
              <w:rPr>
                <w:rFonts w:hint="eastAsia" w:ascii="宋体" w:hAnsi="宋体"/>
                <w:color w:val="auto"/>
                <w:sz w:val="18"/>
                <w:lang w:val="en-US" w:eastAsia="zh-CN"/>
              </w:rPr>
              <w:t>5.00</w:t>
            </w:r>
          </w:p>
        </w:tc>
        <w:tc>
          <w:tcPr>
            <w:tcW w:w="1020" w:type="dxa"/>
            <w:vMerge w:val="continue"/>
            <w:tcBorders>
              <w:bottom w:val="single" w:color="auto" w:sz="12" w:space="0"/>
              <w:right w:val="single" w:color="auto" w:sz="12" w:space="0"/>
            </w:tcBorders>
            <w:noWrap w:val="0"/>
            <w:vAlign w:val="center"/>
          </w:tcPr>
          <w:p w14:paraId="75A65A9E">
            <w:pPr>
              <w:jc w:val="center"/>
              <w:rPr>
                <w:rFonts w:hint="eastAsia" w:ascii="宋体" w:hAnsi="宋体"/>
                <w:color w:val="auto"/>
                <w:sz w:val="18"/>
                <w:lang w:val="en-US" w:eastAsia="zh-CN"/>
              </w:rPr>
            </w:pPr>
          </w:p>
        </w:tc>
      </w:tr>
    </w:tbl>
    <w:p w14:paraId="624E9FAA">
      <w:pPr>
        <w:pStyle w:val="4"/>
        <w:numPr>
          <w:ilvl w:val="2"/>
          <w:numId w:val="0"/>
        </w:numPr>
        <w:spacing w:before="0" w:after="0" w:line="360" w:lineRule="auto"/>
        <w:ind w:leftChars="0" w:right="210" w:rightChars="100"/>
        <w:rPr>
          <w:rFonts w:hint="eastAsia" w:ascii="宋体" w:hAnsi="宋体" w:eastAsia="宋体" w:cs="宋体"/>
          <w:color w:val="auto"/>
          <w:lang w:eastAsia="zh-CN"/>
        </w:rPr>
      </w:pPr>
      <w:r>
        <w:rPr>
          <w:rFonts w:hint="eastAsia" w:ascii="黑体" w:hAnsi="黑体" w:eastAsia="黑体" w:cs="黑体"/>
          <w:color w:val="auto"/>
          <w:lang w:val="en-US" w:eastAsia="zh-CN"/>
        </w:rPr>
        <w:t>8.2</w:t>
      </w:r>
      <w:r>
        <w:rPr>
          <w:rFonts w:hint="eastAsia" w:ascii="宋体" w:hAnsi="宋体" w:eastAsia="宋体" w:cs="宋体"/>
          <w:color w:val="auto"/>
          <w:lang w:val="en-US" w:eastAsia="zh-CN"/>
        </w:rPr>
        <w:t xml:space="preserve"> </w:t>
      </w:r>
      <w:r>
        <w:rPr>
          <w:rFonts w:hint="eastAsia" w:ascii="黑体" w:hAnsi="黑体" w:eastAsia="黑体" w:cs="黑体"/>
          <w:color w:val="auto"/>
          <w:lang w:eastAsia="zh-CN"/>
        </w:rPr>
        <w:t>平行试验</w:t>
      </w:r>
    </w:p>
    <w:p w14:paraId="00C4809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平行做两份试验</w:t>
      </w:r>
      <w:r>
        <w:rPr>
          <w:rFonts w:hint="eastAsia" w:ascii="宋体" w:hAnsi="宋体" w:eastAsia="宋体" w:cs="宋体"/>
          <w:color w:val="auto"/>
        </w:rPr>
        <w:t>。</w:t>
      </w:r>
    </w:p>
    <w:p w14:paraId="15B07EE8">
      <w:pPr>
        <w:pStyle w:val="4"/>
        <w:numPr>
          <w:ilvl w:val="2"/>
          <w:numId w:val="0"/>
        </w:numPr>
        <w:spacing w:before="0" w:after="0" w:line="360" w:lineRule="auto"/>
        <w:ind w:leftChars="0" w:right="210" w:rightChars="100"/>
        <w:rPr>
          <w:rFonts w:hint="eastAsia" w:ascii="黑体" w:hAnsi="黑体" w:eastAsia="黑体" w:cs="黑体"/>
          <w:color w:val="auto"/>
        </w:rPr>
      </w:pPr>
      <w:r>
        <w:rPr>
          <w:rFonts w:hint="eastAsia" w:ascii="黑体" w:hAnsi="黑体" w:eastAsia="黑体" w:cs="黑体"/>
          <w:color w:val="auto"/>
          <w:lang w:val="en-US" w:eastAsia="zh-CN"/>
        </w:rPr>
        <w:t xml:space="preserve">8.3 </w:t>
      </w:r>
      <w:r>
        <w:rPr>
          <w:rFonts w:hint="eastAsia" w:ascii="黑体" w:hAnsi="黑体" w:eastAsia="黑体" w:cs="黑体"/>
          <w:color w:val="auto"/>
        </w:rPr>
        <w:t>空白试验</w:t>
      </w:r>
    </w:p>
    <w:p w14:paraId="1F6D9EE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随同试料做空白试验。</w:t>
      </w:r>
    </w:p>
    <w:p w14:paraId="46835A87">
      <w:pPr>
        <w:pStyle w:val="22"/>
        <w:spacing w:line="360" w:lineRule="auto"/>
        <w:rPr>
          <w:rFonts w:hint="eastAsia" w:ascii="黑体" w:hAnsi="黑体" w:eastAsia="黑体" w:cs="黑体"/>
          <w:color w:val="auto"/>
          <w:lang w:eastAsia="zh-CN"/>
        </w:rPr>
      </w:pPr>
      <w:r>
        <w:rPr>
          <w:rFonts w:hint="eastAsia" w:ascii="黑体" w:hAnsi="黑体" w:eastAsia="黑体" w:cs="黑体"/>
          <w:color w:val="auto"/>
          <w:lang w:val="en-US" w:eastAsia="zh-CN"/>
        </w:rPr>
        <w:t xml:space="preserve">8.4 </w:t>
      </w:r>
      <w:r>
        <w:rPr>
          <w:rFonts w:hint="eastAsia" w:ascii="黑体" w:hAnsi="黑体" w:eastAsia="黑体" w:cs="黑体"/>
          <w:color w:val="auto"/>
          <w:lang w:eastAsia="zh-CN"/>
        </w:rPr>
        <w:t>测定</w:t>
      </w:r>
    </w:p>
    <w:p w14:paraId="344140C1">
      <w:pPr>
        <w:pStyle w:val="22"/>
        <w:spacing w:line="360" w:lineRule="auto"/>
        <w:rPr>
          <w:rFonts w:hint="eastAsia" w:ascii="宋体" w:hAnsi="宋体" w:eastAsia="宋体" w:cs="宋体"/>
          <w:color w:val="auto"/>
        </w:rPr>
      </w:pPr>
      <w:r>
        <w:rPr>
          <w:rFonts w:hint="eastAsia" w:ascii="宋体" w:hAnsi="宋体" w:eastAsia="宋体" w:cs="宋体"/>
          <w:color w:val="auto"/>
          <w:lang w:val="en-US" w:eastAsia="zh-CN"/>
        </w:rPr>
        <w:t>8.4.1</w:t>
      </w:r>
      <w:r>
        <w:rPr>
          <w:rFonts w:hint="eastAsia" w:ascii="宋体" w:hAnsi="宋体" w:eastAsia="宋体" w:cs="宋体"/>
          <w:color w:val="auto"/>
        </w:rPr>
        <w:t xml:space="preserve"> </w:t>
      </w:r>
      <w:r>
        <w:rPr>
          <w:rFonts w:hint="eastAsia" w:ascii="宋体" w:hAnsi="宋体" w:eastAsia="宋体" w:cs="宋体"/>
          <w:color w:val="auto"/>
          <w:lang w:eastAsia="zh-CN"/>
        </w:rPr>
        <w:t>按表</w:t>
      </w:r>
      <w:r>
        <w:rPr>
          <w:rFonts w:hint="eastAsia" w:ascii="宋体" w:hAnsi="宋体" w:eastAsia="宋体" w:cs="宋体"/>
          <w:color w:val="auto"/>
          <w:lang w:val="en-US" w:eastAsia="zh-CN"/>
        </w:rPr>
        <w:t>1称取除</w:t>
      </w:r>
      <w:r>
        <w:rPr>
          <w:rFonts w:hint="eastAsia" w:ascii="宋体" w:hAnsi="宋体" w:eastAsia="宋体" w:cs="宋体"/>
          <w:color w:val="auto"/>
        </w:rPr>
        <w:t>二氧化铈</w:t>
      </w:r>
      <w:r>
        <w:rPr>
          <w:rFonts w:hint="eastAsia" w:ascii="宋体" w:hAnsi="宋体" w:eastAsia="宋体" w:cs="宋体"/>
          <w:color w:val="auto"/>
          <w:lang w:eastAsia="zh-CN"/>
        </w:rPr>
        <w:t>外的</w:t>
      </w:r>
      <w:r>
        <w:rPr>
          <w:rFonts w:hint="eastAsia" w:ascii="宋体" w:hAnsi="宋体" w:eastAsia="宋体" w:cs="宋体"/>
          <w:color w:val="auto"/>
        </w:rPr>
        <w:t>试料</w:t>
      </w:r>
      <w:r>
        <w:rPr>
          <w:rFonts w:hint="eastAsia" w:ascii="宋体" w:hAnsi="宋体" w:eastAsia="宋体" w:cs="宋体"/>
          <w:color w:val="auto"/>
          <w:lang w:eastAsia="zh-CN"/>
        </w:rPr>
        <w:t>（</w:t>
      </w:r>
      <w:r>
        <w:rPr>
          <w:rFonts w:hint="eastAsia" w:ascii="宋体" w:hAnsi="宋体" w:eastAsia="宋体" w:cs="宋体"/>
          <w:color w:val="auto"/>
          <w:lang w:val="en-US" w:eastAsia="zh-CN"/>
        </w:rPr>
        <w:t>8.1）</w:t>
      </w:r>
      <w:r>
        <w:rPr>
          <w:rFonts w:hint="eastAsia" w:ascii="宋体" w:hAnsi="宋体" w:eastAsia="宋体" w:cs="宋体"/>
          <w:color w:val="auto"/>
        </w:rPr>
        <w:t>置于100mL烧杯中,加入盐酸(</w:t>
      </w:r>
      <w:r>
        <w:rPr>
          <w:rFonts w:hint="eastAsia" w:ascii="宋体" w:hAnsi="宋体" w:eastAsia="宋体" w:cs="宋体"/>
          <w:color w:val="auto"/>
          <w:lang w:val="en-US" w:eastAsia="zh-CN"/>
        </w:rPr>
        <w:t>5.2</w:t>
      </w:r>
      <w:r>
        <w:rPr>
          <w:rFonts w:hint="eastAsia" w:ascii="宋体" w:hAnsi="宋体" w:eastAsia="宋体" w:cs="宋体"/>
          <w:color w:val="auto"/>
        </w:rPr>
        <w:t>),</w:t>
      </w:r>
      <w:r>
        <w:rPr>
          <w:rFonts w:hint="eastAsia" w:ascii="宋体" w:hAnsi="宋体" w:eastAsia="宋体" w:cs="宋体"/>
          <w:color w:val="auto"/>
          <w:lang w:eastAsia="zh-CN"/>
        </w:rPr>
        <w:t>低温</w:t>
      </w:r>
      <w:r>
        <w:rPr>
          <w:rFonts w:hint="eastAsia" w:ascii="宋体" w:hAnsi="宋体" w:eastAsia="宋体" w:cs="宋体"/>
          <w:color w:val="auto"/>
        </w:rPr>
        <w:t>加热至溶解完全,冷却至室温</w:t>
      </w:r>
      <w:r>
        <w:rPr>
          <w:rFonts w:hint="eastAsia" w:ascii="宋体" w:hAnsi="宋体" w:eastAsia="宋体" w:cs="宋体"/>
          <w:color w:val="auto"/>
          <w:lang w:eastAsia="zh-CN"/>
        </w:rPr>
        <w:t>，</w:t>
      </w:r>
      <w:r>
        <w:rPr>
          <w:rFonts w:hint="eastAsia" w:ascii="宋体" w:hAnsi="宋体" w:eastAsia="宋体" w:cs="宋体"/>
          <w:color w:val="auto"/>
        </w:rPr>
        <w:t>移入容量瓶中,用水稀释至刻度,混匀。</w:t>
      </w:r>
    </w:p>
    <w:p w14:paraId="7A9F4897">
      <w:pPr>
        <w:pStyle w:val="22"/>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8.4.</w:t>
      </w:r>
      <w:r>
        <w:rPr>
          <w:rFonts w:hint="eastAsia" w:hAnsi="宋体" w:cs="宋体"/>
          <w:color w:val="auto"/>
          <w:lang w:val="en-US" w:eastAsia="zh-CN"/>
        </w:rPr>
        <w:t>2</w:t>
      </w:r>
      <w:r>
        <w:rPr>
          <w:rFonts w:hint="eastAsia" w:ascii="宋体" w:hAnsi="宋体" w:eastAsia="宋体" w:cs="宋体"/>
          <w:color w:val="auto"/>
        </w:rPr>
        <w:t xml:space="preserve"> </w:t>
      </w:r>
      <w:r>
        <w:rPr>
          <w:rFonts w:hint="eastAsia" w:ascii="宋体" w:hAnsi="宋体" w:eastAsia="宋体" w:cs="宋体"/>
          <w:color w:val="auto"/>
          <w:lang w:eastAsia="zh-CN"/>
        </w:rPr>
        <w:t>按表</w:t>
      </w:r>
      <w:r>
        <w:rPr>
          <w:rFonts w:hint="eastAsia" w:ascii="宋体" w:hAnsi="宋体" w:eastAsia="宋体" w:cs="宋体"/>
          <w:color w:val="auto"/>
          <w:lang w:val="en-US" w:eastAsia="zh-CN"/>
        </w:rPr>
        <w:t>1称取</w:t>
      </w:r>
      <w:r>
        <w:rPr>
          <w:rFonts w:hint="eastAsia" w:ascii="宋体" w:hAnsi="宋体" w:eastAsia="宋体" w:cs="宋体"/>
          <w:color w:val="auto"/>
        </w:rPr>
        <w:t>二氧化铈试料</w:t>
      </w:r>
      <w:r>
        <w:rPr>
          <w:rFonts w:hint="eastAsia" w:ascii="宋体" w:hAnsi="宋体" w:eastAsia="宋体" w:cs="宋体"/>
          <w:color w:val="auto"/>
          <w:lang w:eastAsia="zh-CN"/>
        </w:rPr>
        <w:t>（</w:t>
      </w:r>
      <w:r>
        <w:rPr>
          <w:rFonts w:hint="eastAsia" w:ascii="宋体" w:hAnsi="宋体" w:eastAsia="宋体" w:cs="宋体"/>
          <w:color w:val="auto"/>
          <w:lang w:val="en-US" w:eastAsia="zh-CN"/>
        </w:rPr>
        <w:t>8.1）</w:t>
      </w:r>
      <w:r>
        <w:rPr>
          <w:rFonts w:hint="eastAsia" w:ascii="宋体" w:hAnsi="宋体" w:eastAsia="宋体" w:cs="宋体"/>
          <w:color w:val="auto"/>
        </w:rPr>
        <w:t>置于100mL烧杯中，加入硝酸(</w:t>
      </w:r>
      <w:r>
        <w:rPr>
          <w:rFonts w:hint="eastAsia" w:ascii="宋体" w:hAnsi="宋体" w:eastAsia="宋体" w:cs="宋体"/>
          <w:color w:val="auto"/>
          <w:lang w:val="en-US" w:eastAsia="zh-CN"/>
        </w:rPr>
        <w:t>5.3</w:t>
      </w:r>
      <w:r>
        <w:rPr>
          <w:rFonts w:hint="eastAsia" w:ascii="宋体" w:hAnsi="宋体" w:eastAsia="宋体" w:cs="宋体"/>
          <w:color w:val="auto"/>
        </w:rPr>
        <w:t>)</w:t>
      </w:r>
      <w:r>
        <w:rPr>
          <w:rFonts w:hint="eastAsia" w:ascii="宋体" w:hAnsi="宋体" w:eastAsia="宋体" w:cs="宋体"/>
          <w:color w:val="auto"/>
          <w:lang w:eastAsia="zh-CN"/>
        </w:rPr>
        <w:t>和</w:t>
      </w:r>
      <w:r>
        <w:rPr>
          <w:rFonts w:hint="eastAsia" w:ascii="宋体" w:hAnsi="宋体" w:eastAsia="宋体" w:cs="宋体"/>
          <w:color w:val="auto"/>
        </w:rPr>
        <w:t>过氧化氢(</w:t>
      </w:r>
      <w:r>
        <w:rPr>
          <w:rFonts w:hint="eastAsia" w:ascii="宋体" w:hAnsi="宋体" w:eastAsia="宋体" w:cs="宋体"/>
          <w:color w:val="auto"/>
          <w:lang w:val="en-US" w:eastAsia="zh-CN"/>
        </w:rPr>
        <w:t>5.1</w:t>
      </w:r>
      <w:r>
        <w:rPr>
          <w:rFonts w:hint="eastAsia" w:ascii="宋体" w:hAnsi="宋体" w:eastAsia="宋体" w:cs="宋体"/>
          <w:color w:val="auto"/>
        </w:rPr>
        <w:t>),</w:t>
      </w:r>
      <w:r>
        <w:rPr>
          <w:rFonts w:hint="eastAsia" w:ascii="宋体" w:hAnsi="宋体" w:eastAsia="宋体" w:cs="宋体"/>
          <w:color w:val="auto"/>
          <w:lang w:eastAsia="zh-CN"/>
        </w:rPr>
        <w:t>低温</w:t>
      </w:r>
      <w:r>
        <w:rPr>
          <w:rFonts w:hint="eastAsia" w:ascii="宋体" w:hAnsi="宋体" w:eastAsia="宋体" w:cs="宋体"/>
          <w:color w:val="auto"/>
        </w:rPr>
        <w:t>加热至溶解完全,将溶液蒸至2</w:t>
      </w:r>
      <w:r>
        <w:rPr>
          <w:rFonts w:hint="eastAsia" w:ascii="宋体" w:hAnsi="宋体" w:eastAsia="宋体" w:cs="宋体"/>
          <w:color w:val="auto"/>
          <w:lang w:val="en-US" w:eastAsia="zh-CN"/>
        </w:rPr>
        <w:t>mL</w:t>
      </w:r>
      <w:r>
        <w:rPr>
          <w:rFonts w:hint="eastAsia" w:ascii="宋体" w:hAnsi="宋体" w:eastAsia="宋体" w:cs="宋体"/>
          <w:color w:val="auto"/>
          <w:lang w:eastAsia="zh-CN"/>
        </w:rPr>
        <w:t>～</w:t>
      </w:r>
      <w:r>
        <w:rPr>
          <w:rFonts w:hint="eastAsia" w:ascii="宋体" w:hAnsi="宋体" w:eastAsia="宋体" w:cs="宋体"/>
          <w:color w:val="auto"/>
        </w:rPr>
        <w:t>3mL,冷却至室温</w:t>
      </w:r>
      <w:r>
        <w:rPr>
          <w:rFonts w:hint="eastAsia" w:ascii="宋体" w:hAnsi="宋体" w:eastAsia="宋体" w:cs="宋体"/>
          <w:color w:val="auto"/>
          <w:lang w:eastAsia="zh-CN"/>
        </w:rPr>
        <w:t>，</w:t>
      </w:r>
      <w:r>
        <w:rPr>
          <w:rFonts w:hint="eastAsia" w:ascii="宋体" w:hAnsi="宋体" w:eastAsia="宋体" w:cs="宋体"/>
          <w:color w:val="auto"/>
        </w:rPr>
        <w:t>移入容量瓶中,用水稀释至刻度,混匀。</w:t>
      </w:r>
    </w:p>
    <w:p w14:paraId="3F6BEDC0">
      <w:pPr>
        <w:pStyle w:val="22"/>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8.4.</w:t>
      </w:r>
      <w:r>
        <w:rPr>
          <w:rFonts w:hint="eastAsia" w:hAnsi="宋体" w:cs="宋体"/>
          <w:color w:val="auto"/>
          <w:lang w:val="en-US" w:eastAsia="zh-CN"/>
        </w:rPr>
        <w:t>3</w:t>
      </w:r>
      <w:r>
        <w:rPr>
          <w:rFonts w:hint="eastAsia" w:ascii="宋体" w:hAnsi="宋体" w:eastAsia="宋体" w:cs="宋体"/>
          <w:color w:val="auto"/>
          <w:lang w:eastAsia="zh-CN"/>
        </w:rPr>
        <w:t>标准加入法</w:t>
      </w:r>
      <w:r>
        <w:rPr>
          <w:rFonts w:hint="eastAsia" w:ascii="宋体" w:hAnsi="宋体" w:eastAsia="宋体" w:cs="宋体"/>
          <w:color w:val="auto"/>
          <w:lang w:val="en-US" w:eastAsia="zh-CN"/>
        </w:rPr>
        <w:t>（适用于镁含量范围：0.0005%~0.050%)</w:t>
      </w:r>
    </w:p>
    <w:p w14:paraId="2CD867BB">
      <w:pPr>
        <w:pStyle w:val="22"/>
        <w:spacing w:line="360" w:lineRule="auto"/>
        <w:rPr>
          <w:rFonts w:hint="eastAsia" w:ascii="宋体" w:hAnsi="宋体" w:eastAsia="宋体" w:cs="宋体"/>
          <w:color w:val="auto"/>
        </w:rPr>
      </w:pPr>
      <w:r>
        <w:rPr>
          <w:rFonts w:hint="eastAsia" w:ascii="宋体" w:hAnsi="宋体" w:eastAsia="宋体" w:cs="宋体"/>
          <w:color w:val="auto"/>
          <w:lang w:val="en-US" w:eastAsia="zh-CN"/>
        </w:rPr>
        <w:t>8.4.</w:t>
      </w:r>
      <w:r>
        <w:rPr>
          <w:rFonts w:hint="eastAsia" w:hAnsi="宋体" w:cs="宋体"/>
          <w:color w:val="auto"/>
          <w:lang w:val="en-US" w:eastAsia="zh-CN"/>
        </w:rPr>
        <w:t>3.1</w:t>
      </w:r>
      <w:r>
        <w:rPr>
          <w:rFonts w:hint="eastAsia" w:ascii="宋体" w:hAnsi="宋体" w:eastAsia="宋体" w:cs="宋体"/>
          <w:color w:val="auto"/>
          <w:lang w:val="en-US" w:eastAsia="zh-CN"/>
        </w:rPr>
        <w:t>按表1</w:t>
      </w:r>
      <w:r>
        <w:rPr>
          <w:rFonts w:hint="eastAsia" w:ascii="宋体" w:hAnsi="宋体" w:eastAsia="宋体" w:cs="宋体"/>
          <w:color w:val="auto"/>
        </w:rPr>
        <w:t>移取4份试液于一组</w:t>
      </w:r>
      <w:r>
        <w:rPr>
          <w:rFonts w:hint="eastAsia" w:ascii="宋体" w:hAnsi="宋体" w:eastAsia="宋体" w:cs="宋体"/>
          <w:color w:val="auto"/>
          <w:lang w:val="en-US" w:eastAsia="zh-CN"/>
        </w:rPr>
        <w:t>25</w:t>
      </w:r>
      <w:r>
        <w:rPr>
          <w:rFonts w:hint="eastAsia" w:ascii="宋体" w:hAnsi="宋体" w:eastAsia="宋体" w:cs="宋体"/>
          <w:color w:val="auto"/>
        </w:rPr>
        <w:t>mL</w:t>
      </w:r>
      <w:r>
        <w:rPr>
          <w:rFonts w:hint="eastAsia" w:ascii="宋体" w:hAnsi="宋体" w:eastAsia="宋体" w:cs="宋体"/>
          <w:color w:val="auto"/>
          <w:lang w:eastAsia="zh-CN"/>
        </w:rPr>
        <w:t>比色管</w:t>
      </w:r>
      <w:r>
        <w:rPr>
          <w:rFonts w:hint="eastAsia" w:ascii="宋体" w:hAnsi="宋体" w:eastAsia="宋体" w:cs="宋体"/>
          <w:color w:val="auto"/>
        </w:rPr>
        <w:t>中,分别加入0mL、</w:t>
      </w:r>
      <w:r>
        <w:rPr>
          <w:rFonts w:hint="eastAsia" w:ascii="宋体" w:hAnsi="宋体" w:eastAsia="宋体" w:cs="宋体"/>
          <w:color w:val="auto"/>
          <w:lang w:val="en-US" w:eastAsia="zh-CN"/>
        </w:rPr>
        <w:t>1.00</w:t>
      </w:r>
      <w:r>
        <w:rPr>
          <w:rFonts w:hint="eastAsia" w:ascii="宋体" w:hAnsi="宋体" w:eastAsia="宋体" w:cs="宋体"/>
          <w:color w:val="auto"/>
        </w:rPr>
        <w:t>mL、</w:t>
      </w:r>
      <w:r>
        <w:rPr>
          <w:rFonts w:hint="eastAsia" w:ascii="宋体" w:hAnsi="宋体" w:eastAsia="宋体" w:cs="宋体"/>
          <w:color w:val="auto"/>
          <w:lang w:val="en-US" w:eastAsia="zh-CN"/>
        </w:rPr>
        <w:t>2</w:t>
      </w:r>
      <w:r>
        <w:rPr>
          <w:rFonts w:hint="eastAsia" w:ascii="宋体" w:hAnsi="宋体" w:eastAsia="宋体" w:cs="宋体"/>
          <w:color w:val="auto"/>
        </w:rPr>
        <w:t>.00mL</w:t>
      </w:r>
      <w:r>
        <w:rPr>
          <w:rFonts w:hint="eastAsia" w:ascii="宋体" w:hAnsi="宋体" w:eastAsia="宋体" w:cs="宋体"/>
          <w:color w:val="auto"/>
          <w:shd w:val="clear" w:color="auto" w:fill="FFFFFF"/>
        </w:rPr>
        <w:t>、</w:t>
      </w:r>
      <w:r>
        <w:rPr>
          <w:rFonts w:hint="eastAsia" w:ascii="宋体" w:hAnsi="宋体" w:eastAsia="宋体" w:cs="宋体"/>
          <w:color w:val="auto"/>
          <w:lang w:val="en-US" w:eastAsia="zh-CN"/>
        </w:rPr>
        <w:t>3.0</w:t>
      </w:r>
      <w:r>
        <w:rPr>
          <w:rFonts w:hint="eastAsia" w:ascii="宋体" w:hAnsi="宋体" w:eastAsia="宋体" w:cs="宋体"/>
          <w:color w:val="auto"/>
        </w:rPr>
        <w:t>0mL 镁标准溶液(</w:t>
      </w:r>
      <w:r>
        <w:rPr>
          <w:rFonts w:hint="eastAsia" w:ascii="宋体" w:hAnsi="宋体" w:eastAsia="宋体" w:cs="宋体"/>
          <w:color w:val="auto"/>
          <w:lang w:val="en-US" w:eastAsia="zh-CN"/>
        </w:rPr>
        <w:t>5</w:t>
      </w: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),用水稀至刻度,混匀。</w:t>
      </w:r>
    </w:p>
    <w:p w14:paraId="775FAC31">
      <w:pPr>
        <w:pStyle w:val="22"/>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8.4.</w:t>
      </w:r>
      <w:r>
        <w:rPr>
          <w:rFonts w:hint="eastAsia" w:hAnsi="宋体" w:cs="宋体"/>
          <w:color w:val="auto"/>
          <w:lang w:val="en-US" w:eastAsia="zh-CN"/>
        </w:rPr>
        <w:t>3.2</w:t>
      </w:r>
      <w:r>
        <w:rPr>
          <w:rFonts w:hint="eastAsia" w:ascii="宋体" w:hAnsi="宋体" w:eastAsia="宋体" w:cs="宋体"/>
          <w:color w:val="auto"/>
          <w:lang w:val="en-US" w:eastAsia="zh-CN"/>
        </w:rPr>
        <w:t>使</w:t>
      </w:r>
      <w:r>
        <w:rPr>
          <w:rFonts w:hint="eastAsia" w:ascii="宋体" w:hAnsi="宋体" w:eastAsia="宋体" w:cs="宋体"/>
          <w:color w:val="auto"/>
        </w:rPr>
        <w:t>用空气-乙炔火焰,在原子吸收</w:t>
      </w:r>
      <w:r>
        <w:rPr>
          <w:rFonts w:hint="eastAsia" w:ascii="宋体" w:hAnsi="宋体" w:eastAsia="宋体" w:cs="宋体"/>
          <w:color w:val="auto"/>
          <w:lang w:eastAsia="zh-CN"/>
        </w:rPr>
        <w:t>光谱仪</w:t>
      </w:r>
      <w:r>
        <w:rPr>
          <w:rFonts w:hint="eastAsia" w:ascii="宋体" w:hAnsi="宋体" w:eastAsia="宋体" w:cs="宋体"/>
          <w:color w:val="auto"/>
        </w:rPr>
        <w:t>波长285.2nm处,以水调零，测量试液的吸光度。以镁浓度为横坐标,吸光度为纵坐标绘制标准加入曲线</w:t>
      </w:r>
      <w:r>
        <w:rPr>
          <w:rFonts w:hint="eastAsia" w:ascii="宋体" w:hAnsi="宋体" w:eastAsia="宋体" w:cs="宋体"/>
          <w:color w:val="auto"/>
          <w:lang w:eastAsia="zh-CN"/>
        </w:rPr>
        <w:t>，</w:t>
      </w:r>
      <w:r>
        <w:rPr>
          <w:rFonts w:hint="eastAsia" w:ascii="宋体" w:hAnsi="宋体" w:eastAsia="宋体" w:cs="宋体"/>
          <w:color w:val="auto"/>
        </w:rPr>
        <w:t>用外推法从标准加入曲线上查得被测溶液的镁浓度。</w:t>
      </w:r>
    </w:p>
    <w:p w14:paraId="78C47C21">
      <w:pPr>
        <w:pStyle w:val="22"/>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8.4.</w:t>
      </w:r>
      <w:r>
        <w:rPr>
          <w:rFonts w:hint="eastAsia" w:hAnsi="宋体" w:cs="宋体"/>
          <w:color w:val="auto"/>
          <w:lang w:val="en-US" w:eastAsia="zh-CN"/>
        </w:rPr>
        <w:t>4</w:t>
      </w:r>
      <w:r>
        <w:rPr>
          <w:rFonts w:hint="eastAsia" w:ascii="宋体" w:hAnsi="宋体" w:eastAsia="宋体" w:cs="宋体"/>
          <w:color w:val="auto"/>
          <w:lang w:val="en-US" w:eastAsia="zh-CN"/>
        </w:rPr>
        <w:t>标准曲线法（适用于镁含量范围：</w:t>
      </w:r>
      <w:r>
        <w:rPr>
          <w:rFonts w:hint="eastAsia" w:ascii="宋体" w:hAnsi="宋体" w:eastAsia="宋体" w:cs="宋体"/>
          <w:lang w:val="en-US" w:eastAsia="zh-CN"/>
        </w:rPr>
        <w:t>＞</w:t>
      </w:r>
      <w:r>
        <w:rPr>
          <w:rFonts w:hint="eastAsia" w:ascii="宋体" w:hAnsi="宋体" w:eastAsia="宋体" w:cs="宋体"/>
          <w:color w:val="auto"/>
          <w:lang w:val="en-US" w:eastAsia="zh-CN"/>
        </w:rPr>
        <w:t>0.050%~0.30%)</w:t>
      </w:r>
    </w:p>
    <w:p w14:paraId="1C20CDA1">
      <w:pPr>
        <w:pStyle w:val="22"/>
        <w:spacing w:line="360" w:lineRule="auto"/>
        <w:rPr>
          <w:rFonts w:hint="eastAsia" w:ascii="宋体" w:hAnsi="宋体" w:eastAsia="宋体" w:cs="宋体"/>
          <w:color w:val="auto"/>
          <w:lang w:val="en-US" w:eastAsia="zh-CN"/>
        </w:rPr>
      </w:pPr>
      <w:r>
        <w:rPr>
          <w:rFonts w:hint="eastAsia" w:hAnsi="宋体" w:cs="宋体"/>
          <w:color w:val="auto"/>
          <w:lang w:val="en-US" w:eastAsia="zh-CN"/>
        </w:rPr>
        <w:t>8</w:t>
      </w:r>
      <w:r>
        <w:rPr>
          <w:rFonts w:hint="eastAsia" w:ascii="宋体" w:hAnsi="宋体" w:eastAsia="宋体" w:cs="宋体"/>
          <w:color w:val="auto"/>
          <w:lang w:val="en-US" w:eastAsia="zh-CN"/>
        </w:rPr>
        <w:t>.4.</w:t>
      </w:r>
      <w:r>
        <w:rPr>
          <w:rFonts w:hint="eastAsia" w:hAnsi="宋体" w:cs="宋体"/>
          <w:color w:val="auto"/>
          <w:lang w:val="en-US" w:eastAsia="zh-CN"/>
        </w:rPr>
        <w:t>4.1</w:t>
      </w:r>
      <w:r>
        <w:rPr>
          <w:rFonts w:hint="eastAsia" w:ascii="宋体" w:hAnsi="宋体" w:eastAsia="宋体" w:cs="宋体"/>
          <w:color w:val="auto"/>
          <w:lang w:val="en-US" w:eastAsia="zh-CN"/>
        </w:rPr>
        <w:t>按表1移取试液于100mL容量瓶中，加入2mL盐酸（5.2）或硝酸（5.3），用水稀释至刻度，混匀。</w:t>
      </w:r>
    </w:p>
    <w:p w14:paraId="6037A812">
      <w:pPr>
        <w:pStyle w:val="22"/>
        <w:spacing w:line="360" w:lineRule="auto"/>
        <w:rPr>
          <w:rFonts w:hint="eastAsia" w:ascii="宋体" w:hAnsi="宋体" w:eastAsia="宋体" w:cs="宋体"/>
          <w:color w:val="auto"/>
          <w:lang w:eastAsia="zh-CN"/>
        </w:rPr>
      </w:pPr>
      <w:r>
        <w:rPr>
          <w:rFonts w:hint="eastAsia" w:hAnsi="宋体" w:cs="宋体"/>
          <w:color w:val="auto"/>
          <w:lang w:val="en-US" w:eastAsia="zh-CN"/>
        </w:rPr>
        <w:t>8</w:t>
      </w:r>
      <w:r>
        <w:rPr>
          <w:rFonts w:hint="eastAsia" w:ascii="宋体" w:hAnsi="宋体" w:eastAsia="宋体" w:cs="宋体"/>
          <w:color w:val="auto"/>
          <w:lang w:val="en-US" w:eastAsia="zh-CN"/>
        </w:rPr>
        <w:t>.4.</w:t>
      </w:r>
      <w:r>
        <w:rPr>
          <w:rFonts w:hint="eastAsia" w:hAnsi="宋体" w:cs="宋体"/>
          <w:color w:val="auto"/>
          <w:lang w:val="en-US" w:eastAsia="zh-CN"/>
        </w:rPr>
        <w:t>4.2</w:t>
      </w:r>
      <w:r>
        <w:rPr>
          <w:rFonts w:hint="eastAsia" w:ascii="宋体" w:hAnsi="宋体" w:eastAsia="宋体" w:cs="宋体"/>
          <w:color w:val="auto"/>
          <w:lang w:val="en-US" w:eastAsia="zh-CN"/>
        </w:rPr>
        <w:t>使</w:t>
      </w:r>
      <w:r>
        <w:rPr>
          <w:rFonts w:hint="eastAsia" w:ascii="宋体" w:hAnsi="宋体" w:eastAsia="宋体" w:cs="宋体"/>
          <w:color w:val="auto"/>
        </w:rPr>
        <w:t>用空气-乙炔火焰,在原子吸收</w:t>
      </w:r>
      <w:r>
        <w:rPr>
          <w:rFonts w:hint="eastAsia" w:ascii="宋体" w:hAnsi="宋体" w:eastAsia="宋体" w:cs="宋体"/>
          <w:color w:val="auto"/>
          <w:lang w:eastAsia="zh-CN"/>
        </w:rPr>
        <w:t>光谱仪</w:t>
      </w:r>
      <w:r>
        <w:rPr>
          <w:rFonts w:hint="eastAsia" w:ascii="宋体" w:hAnsi="宋体" w:eastAsia="宋体" w:cs="宋体"/>
          <w:color w:val="auto"/>
        </w:rPr>
        <w:t>波长285.2nm处,以水调零，测量试液的吸光度。</w:t>
      </w:r>
      <w:r>
        <w:rPr>
          <w:rFonts w:hint="eastAsia" w:ascii="宋体" w:hAnsi="宋体" w:eastAsia="宋体" w:cs="宋体"/>
          <w:color w:val="auto"/>
          <w:lang w:eastAsia="zh-CN"/>
        </w:rPr>
        <w:t>在工作曲线上查得被测试液的镁浓度。</w:t>
      </w:r>
    </w:p>
    <w:p w14:paraId="62D9DF5E">
      <w:pPr>
        <w:pStyle w:val="22"/>
        <w:spacing w:line="360" w:lineRule="auto"/>
        <w:rPr>
          <w:rFonts w:hint="eastAsia" w:ascii="宋体" w:hAnsi="宋体" w:eastAsia="宋体" w:cs="宋体"/>
          <w:color w:val="auto"/>
        </w:rPr>
      </w:pPr>
      <w:r>
        <w:rPr>
          <w:rFonts w:hint="eastAsia" w:hAnsi="宋体" w:cs="宋体"/>
          <w:color w:val="auto"/>
          <w:lang w:val="en-US" w:eastAsia="zh-CN"/>
        </w:rPr>
        <w:t>8</w:t>
      </w:r>
      <w:r>
        <w:rPr>
          <w:rFonts w:hint="eastAsia" w:ascii="宋体" w:hAnsi="宋体" w:eastAsia="宋体" w:cs="宋体"/>
          <w:color w:val="auto"/>
          <w:lang w:val="en-US" w:eastAsia="zh-CN"/>
        </w:rPr>
        <w:t>.4.</w:t>
      </w:r>
      <w:r>
        <w:rPr>
          <w:rFonts w:hint="eastAsia" w:hAnsi="宋体" w:cs="宋体"/>
          <w:color w:val="auto"/>
          <w:lang w:val="en-US" w:eastAsia="zh-CN"/>
        </w:rPr>
        <w:t>4.3</w:t>
      </w:r>
      <w:r>
        <w:rPr>
          <w:rFonts w:hint="eastAsia" w:ascii="宋体" w:hAnsi="宋体" w:eastAsia="宋体" w:cs="宋体"/>
          <w:color w:val="auto"/>
          <w:lang w:val="en-US" w:eastAsia="zh-CN"/>
        </w:rPr>
        <w:t>工作曲线的绘制与测定：移取</w:t>
      </w:r>
      <w:r>
        <w:rPr>
          <w:rFonts w:hint="eastAsia" w:ascii="宋体" w:hAnsi="宋体" w:eastAsia="宋体" w:cs="宋体"/>
          <w:color w:val="auto"/>
        </w:rPr>
        <w:t>0mL、</w:t>
      </w:r>
      <w:r>
        <w:rPr>
          <w:rFonts w:hint="eastAsia" w:ascii="宋体" w:hAnsi="宋体" w:eastAsia="宋体" w:cs="宋体"/>
          <w:color w:val="auto"/>
          <w:lang w:val="en-US" w:eastAsia="zh-CN"/>
        </w:rPr>
        <w:t>1.00</w:t>
      </w:r>
      <w:r>
        <w:rPr>
          <w:rFonts w:hint="eastAsia" w:ascii="宋体" w:hAnsi="宋体" w:eastAsia="宋体" w:cs="宋体"/>
          <w:color w:val="auto"/>
        </w:rPr>
        <w:t>mL、</w:t>
      </w:r>
      <w:r>
        <w:rPr>
          <w:rFonts w:hint="eastAsia" w:ascii="宋体" w:hAnsi="宋体" w:eastAsia="宋体" w:cs="宋体"/>
          <w:color w:val="auto"/>
          <w:lang w:val="en-US" w:eastAsia="zh-CN"/>
        </w:rPr>
        <w:t>2</w:t>
      </w:r>
      <w:r>
        <w:rPr>
          <w:rFonts w:hint="eastAsia" w:ascii="宋体" w:hAnsi="宋体" w:eastAsia="宋体" w:cs="宋体"/>
          <w:color w:val="auto"/>
        </w:rPr>
        <w:t>.00mL</w:t>
      </w:r>
      <w:r>
        <w:rPr>
          <w:rFonts w:hint="eastAsia" w:ascii="宋体" w:hAnsi="宋体" w:eastAsia="宋体" w:cs="宋体"/>
          <w:color w:val="auto"/>
          <w:shd w:val="clear" w:color="auto" w:fill="FFFFFF"/>
        </w:rPr>
        <w:t>、</w:t>
      </w:r>
      <w:r>
        <w:rPr>
          <w:rFonts w:hint="eastAsia" w:ascii="宋体" w:hAnsi="宋体" w:eastAsia="宋体" w:cs="宋体"/>
          <w:color w:val="auto"/>
          <w:lang w:val="en-US" w:eastAsia="zh-CN"/>
        </w:rPr>
        <w:t>3.0</w:t>
      </w:r>
      <w:r>
        <w:rPr>
          <w:rFonts w:hint="eastAsia" w:ascii="宋体" w:hAnsi="宋体" w:eastAsia="宋体" w:cs="宋体"/>
          <w:color w:val="auto"/>
        </w:rPr>
        <w:t>0mL</w:t>
      </w:r>
      <w:r>
        <w:rPr>
          <w:rFonts w:hint="eastAsia" w:ascii="宋体" w:hAnsi="宋体" w:eastAsia="宋体" w:cs="宋体"/>
          <w:color w:val="auto"/>
          <w:lang w:eastAsia="zh-CN"/>
        </w:rPr>
        <w:t>、</w:t>
      </w:r>
      <w:r>
        <w:rPr>
          <w:rFonts w:hint="eastAsia" w:ascii="宋体" w:hAnsi="宋体" w:eastAsia="宋体" w:cs="宋体"/>
          <w:color w:val="auto"/>
        </w:rPr>
        <w:t xml:space="preserve"> </w:t>
      </w:r>
      <w:r>
        <w:rPr>
          <w:rFonts w:hint="eastAsia" w:ascii="宋体" w:hAnsi="宋体" w:eastAsia="宋体" w:cs="宋体"/>
          <w:color w:val="auto"/>
          <w:lang w:val="en-US" w:eastAsia="zh-CN"/>
        </w:rPr>
        <w:t>4</w:t>
      </w:r>
      <w:r>
        <w:rPr>
          <w:rFonts w:hint="eastAsia" w:ascii="宋体" w:hAnsi="宋体" w:eastAsia="宋体" w:cs="宋体"/>
          <w:color w:val="auto"/>
        </w:rPr>
        <w:t>.00mL</w:t>
      </w:r>
      <w:r>
        <w:rPr>
          <w:rFonts w:hint="eastAsia" w:ascii="宋体" w:hAnsi="宋体" w:eastAsia="宋体" w:cs="宋体"/>
          <w:color w:val="auto"/>
          <w:lang w:eastAsia="zh-CN"/>
        </w:rPr>
        <w:t>、</w:t>
      </w:r>
      <w:r>
        <w:rPr>
          <w:rFonts w:hint="eastAsia" w:ascii="宋体" w:hAnsi="宋体" w:eastAsia="宋体" w:cs="宋体"/>
          <w:color w:val="auto"/>
        </w:rPr>
        <w:t xml:space="preserve"> </w:t>
      </w:r>
      <w:r>
        <w:rPr>
          <w:rFonts w:hint="eastAsia" w:ascii="宋体" w:hAnsi="宋体" w:eastAsia="宋体" w:cs="宋体"/>
          <w:color w:val="auto"/>
          <w:lang w:val="en-US" w:eastAsia="zh-CN"/>
        </w:rPr>
        <w:t>5</w:t>
      </w:r>
      <w:r>
        <w:rPr>
          <w:rFonts w:hint="eastAsia" w:ascii="宋体" w:hAnsi="宋体" w:eastAsia="宋体" w:cs="宋体"/>
          <w:color w:val="auto"/>
        </w:rPr>
        <w:t>.00mL</w:t>
      </w:r>
      <w:r>
        <w:rPr>
          <w:rFonts w:hint="eastAsia" w:ascii="宋体" w:hAnsi="宋体" w:eastAsia="宋体" w:cs="宋体"/>
          <w:color w:val="auto"/>
          <w:lang w:eastAsia="zh-CN"/>
        </w:rPr>
        <w:t>镁标准溶液（</w:t>
      </w:r>
      <w:r>
        <w:rPr>
          <w:rFonts w:hint="eastAsia" w:ascii="宋体" w:hAnsi="宋体" w:eastAsia="宋体" w:cs="宋体"/>
          <w:color w:val="auto"/>
          <w:lang w:val="en-US" w:eastAsia="zh-CN"/>
        </w:rPr>
        <w:t>5.5）于一组100mL容量瓶中，加入2mL盐酸（5.2）或硝酸（5.3），用水稀释至刻度，混匀。按仪器工作条件在</w:t>
      </w:r>
      <w:r>
        <w:rPr>
          <w:rFonts w:hint="eastAsia" w:ascii="宋体" w:hAnsi="宋体" w:eastAsia="宋体" w:cs="宋体"/>
          <w:color w:val="auto"/>
        </w:rPr>
        <w:t>波长285.2nm处,以水调零，测量试液的吸光度</w:t>
      </w:r>
      <w:r>
        <w:rPr>
          <w:rFonts w:hint="eastAsia" w:ascii="宋体" w:hAnsi="宋体" w:eastAsia="宋体" w:cs="宋体"/>
          <w:color w:val="auto"/>
          <w:lang w:eastAsia="zh-CN"/>
        </w:rPr>
        <w:t>，以镁浓度为横坐标，吸光度为纵坐标绘制工作曲线。</w:t>
      </w:r>
      <w:r>
        <w:rPr>
          <w:rFonts w:hint="eastAsia" w:ascii="宋体" w:hAnsi="宋体" w:eastAsia="宋体" w:cs="宋体"/>
          <w:color w:val="auto"/>
        </w:rPr>
        <w:t xml:space="preserve"> </w:t>
      </w:r>
    </w:p>
    <w:p w14:paraId="4146419A">
      <w:pPr>
        <w:pStyle w:val="22"/>
        <w:spacing w:line="480" w:lineRule="auto"/>
        <w:rPr>
          <w:rFonts w:hint="eastAsia" w:eastAsia="黑体"/>
          <w:color w:val="auto"/>
          <w:lang w:eastAsia="zh-CN"/>
        </w:rPr>
      </w:pPr>
      <w:r>
        <w:rPr>
          <w:rFonts w:hint="eastAsia" w:ascii="黑体" w:eastAsia="黑体"/>
          <w:color w:val="auto"/>
          <w:lang w:val="en-US" w:eastAsia="zh-CN"/>
        </w:rPr>
        <w:t>9</w:t>
      </w:r>
      <w:r>
        <w:rPr>
          <w:rFonts w:hint="eastAsia" w:ascii="黑体" w:eastAsia="黑体"/>
          <w:color w:val="auto"/>
        </w:rPr>
        <w:t xml:space="preserve"> </w:t>
      </w:r>
      <w:r>
        <w:rPr>
          <w:rFonts w:hint="eastAsia" w:ascii="黑体" w:eastAsia="黑体"/>
          <w:color w:val="auto"/>
          <w:lang w:eastAsia="zh-CN"/>
        </w:rPr>
        <w:t>试验数据处理</w:t>
      </w:r>
    </w:p>
    <w:p w14:paraId="48294EA6">
      <w:pPr>
        <w:pStyle w:val="22"/>
        <w:ind w:firstLine="420" w:firstLineChars="200"/>
        <w:rPr>
          <w:rFonts w:hint="eastAsia" w:eastAsia="宋体"/>
          <w:color w:val="auto"/>
          <w:lang w:eastAsia="zh-CN"/>
        </w:rPr>
      </w:pPr>
      <w:r>
        <w:rPr>
          <w:rFonts w:hint="eastAsia"/>
          <w:color w:val="auto"/>
          <w:lang w:eastAsia="zh-CN"/>
        </w:rPr>
        <w:t>镁或氧化镁的含量以质量分数</w:t>
      </w:r>
      <w:r>
        <w:rPr>
          <w:rFonts w:hint="default" w:ascii="Times New Roman" w:hAnsi="Times New Roman" w:cs="Times New Roman"/>
          <w:i/>
        </w:rPr>
        <w:t>w</w:t>
      </w:r>
      <w:r>
        <w:rPr>
          <w:rFonts w:hint="eastAsia"/>
          <w:color w:val="auto"/>
          <w:lang w:eastAsia="zh-CN"/>
        </w:rPr>
        <w:t>计</w:t>
      </w:r>
      <w:r>
        <w:rPr>
          <w:rFonts w:hint="eastAsia"/>
          <w:color w:val="auto"/>
        </w:rPr>
        <w:t xml:space="preserve"> </w:t>
      </w:r>
      <w:r>
        <w:rPr>
          <w:rFonts w:hint="eastAsia"/>
          <w:color w:val="auto"/>
          <w:lang w:val="en-US" w:eastAsia="zh-CN"/>
        </w:rPr>
        <w:t>,</w:t>
      </w:r>
      <w:r>
        <w:rPr>
          <w:rFonts w:hint="eastAsia"/>
          <w:color w:val="auto"/>
        </w:rPr>
        <w:t>按式(1)计算</w:t>
      </w:r>
      <w:r>
        <w:rPr>
          <w:rFonts w:hint="eastAsia"/>
          <w:color w:val="auto"/>
          <w:lang w:val="en-US" w:eastAsia="zh-CN"/>
        </w:rPr>
        <w:t>:</w:t>
      </w:r>
    </w:p>
    <w:p w14:paraId="26266FDC">
      <w:pPr>
        <w:pStyle w:val="22"/>
        <w:rPr>
          <w:rFonts w:hint="eastAsia"/>
          <w:color w:val="auto"/>
        </w:rPr>
      </w:pPr>
    </w:p>
    <w:p w14:paraId="71AF53E0">
      <w:pPr>
        <w:pStyle w:val="22"/>
        <w:ind w:left="3780" w:hanging="3780" w:hangingChars="1800"/>
      </w:pPr>
      <w:r>
        <w:rPr>
          <w:rFonts w:hint="eastAsia"/>
          <w:color w:val="auto"/>
        </w:rPr>
        <w:t xml:space="preserve">         </w:t>
      </w:r>
      <w:r>
        <w:rPr>
          <w:color w:val="auto"/>
          <w:position w:val="-22"/>
        </w:rPr>
        <w:object>
          <v:shape id="_x0000_i1025" o:spt="75" type="#_x0000_t75" style="height:33pt;width:178pt;" o:ole="t" filled="f" o:preferrelative="t" stroked="f" coordsize="21600,21600">
            <v:path/>
            <v:fill on="f" focussize="0,0"/>
            <v:stroke on="f"/>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hAnsi="宋体"/>
          <w:color w:val="auto"/>
        </w:rPr>
        <w:t>…………</w:t>
      </w:r>
      <w:r>
        <w:rPr>
          <w:rFonts w:hint="eastAsia" w:hAnsi="宋体"/>
        </w:rPr>
        <w:t>…………………</w:t>
      </w:r>
      <w:r>
        <w:t xml:space="preserve"> (1)</w:t>
      </w:r>
    </w:p>
    <w:p w14:paraId="7FC06F4F">
      <w:pPr>
        <w:pStyle w:val="22"/>
        <w:ind w:firstLine="420" w:firstLineChars="200"/>
        <w:rPr>
          <w:rFonts w:hAnsi="宋体"/>
        </w:rPr>
      </w:pPr>
      <w:r>
        <w:rPr>
          <w:rFonts w:hint="eastAsia" w:hAnsi="宋体"/>
        </w:rPr>
        <w:t>式中:</w:t>
      </w:r>
      <w:r>
        <w:rPr>
          <w:rFonts w:hAnsi="宋体"/>
        </w:rPr>
        <w:t xml:space="preserve"> </w:t>
      </w:r>
    </w:p>
    <w:p w14:paraId="1E3A989B">
      <w:pPr>
        <w:pStyle w:val="22"/>
        <w:spacing w:line="360" w:lineRule="auto"/>
        <w:rPr>
          <w:rFonts w:hint="default" w:hAnsi="宋体" w:cs="宋体"/>
          <w:color w:val="auto"/>
          <w:lang w:val="en-US" w:eastAsia="zh-CN"/>
        </w:rPr>
      </w:pPr>
      <w:r>
        <w:rPr>
          <w:rFonts w:hint="eastAsia" w:hAnsi="宋体" w:cs="宋体"/>
          <w:color w:val="auto"/>
          <w:lang w:val="en-US" w:eastAsia="zh-CN"/>
        </w:rPr>
        <w:t>k - 1.6582,镁的氧化物与其单质的换算系数，（计算镁含量时，k=1 ）</w:t>
      </w:r>
    </w:p>
    <w:p w14:paraId="18633C5F">
      <w:pPr>
        <w:pStyle w:val="22"/>
        <w:spacing w:line="360" w:lineRule="auto"/>
        <w:rPr>
          <w:rFonts w:hint="eastAsia" w:hAnsi="宋体" w:cs="宋体"/>
          <w:color w:val="auto"/>
          <w:lang w:eastAsia="zh-CN"/>
        </w:rPr>
      </w:pPr>
      <w:r>
        <w:rPr>
          <w:rFonts w:hint="eastAsia" w:hAnsi="宋体" w:cs="宋体"/>
          <w:i/>
          <w:iCs/>
          <w:color w:val="auto"/>
          <w:lang w:eastAsia="zh-CN"/>
        </w:rPr>
        <w:t>ρ</w:t>
      </w:r>
      <w:r>
        <w:rPr>
          <w:rFonts w:hint="eastAsia" w:hAnsi="宋体" w:cs="宋体"/>
          <w:color w:val="auto"/>
          <w:lang w:val="en-US" w:eastAsia="zh-CN"/>
        </w:rPr>
        <w:t xml:space="preserve"> </w:t>
      </w:r>
      <w:r>
        <w:rPr>
          <w:rFonts w:hint="eastAsia" w:hAnsi="宋体" w:cs="宋体"/>
          <w:color w:val="auto"/>
          <w:lang w:eastAsia="zh-CN"/>
        </w:rPr>
        <w:t>-由标准曲线</w:t>
      </w:r>
      <w:r>
        <w:rPr>
          <w:rFonts w:hint="eastAsia" w:hAnsi="宋体" w:cs="宋体"/>
          <w:color w:val="auto"/>
          <w:lang w:val="en-US" w:eastAsia="zh-CN"/>
        </w:rPr>
        <w:t>查</w:t>
      </w:r>
      <w:r>
        <w:rPr>
          <w:rFonts w:hint="eastAsia" w:hAnsi="宋体" w:cs="宋体"/>
          <w:color w:val="auto"/>
          <w:lang w:eastAsia="zh-CN"/>
        </w:rPr>
        <w:t>得的被测溶液中镁的质量浓度，单位为微克每毫升（µg/mL）；</w:t>
      </w:r>
    </w:p>
    <w:p w14:paraId="27513590">
      <w:pPr>
        <w:pStyle w:val="22"/>
        <w:spacing w:line="360" w:lineRule="auto"/>
        <w:rPr>
          <w:rFonts w:hint="eastAsia" w:hAnsi="宋体" w:cs="宋体"/>
          <w:color w:val="auto"/>
          <w:lang w:eastAsia="zh-CN"/>
        </w:rPr>
      </w:pPr>
      <w:r>
        <w:rPr>
          <w:rFonts w:hint="eastAsia" w:hAnsi="宋体" w:cs="宋体"/>
          <w:i/>
          <w:iCs/>
          <w:color w:val="auto"/>
          <w:lang w:eastAsia="zh-CN"/>
        </w:rPr>
        <w:t>ρ</w:t>
      </w:r>
      <w:r>
        <w:rPr>
          <w:rFonts w:hint="eastAsia" w:hAnsi="宋体" w:cs="宋体"/>
          <w:color w:val="auto"/>
          <w:vertAlign w:val="subscript"/>
          <w:lang w:eastAsia="zh-CN"/>
        </w:rPr>
        <w:t>o</w:t>
      </w:r>
      <w:r>
        <w:rPr>
          <w:rFonts w:hint="eastAsia" w:hAnsi="宋体" w:cs="宋体"/>
          <w:color w:val="auto"/>
          <w:lang w:val="en-US" w:eastAsia="zh-CN"/>
        </w:rPr>
        <w:t xml:space="preserve"> </w:t>
      </w:r>
      <w:r>
        <w:rPr>
          <w:rFonts w:hint="eastAsia" w:hAnsi="宋体" w:cs="宋体"/>
          <w:color w:val="auto"/>
          <w:lang w:eastAsia="zh-CN"/>
        </w:rPr>
        <w:t>-</w:t>
      </w:r>
      <w:r>
        <w:rPr>
          <w:rFonts w:hint="eastAsia" w:hAnsi="宋体" w:cs="宋体"/>
          <w:color w:val="auto"/>
          <w:lang w:val="en-US" w:eastAsia="zh-CN"/>
        </w:rPr>
        <w:t xml:space="preserve"> </w:t>
      </w:r>
      <w:r>
        <w:rPr>
          <w:rFonts w:hint="eastAsia" w:hAnsi="宋体" w:cs="宋体"/>
          <w:color w:val="auto"/>
          <w:lang w:eastAsia="zh-CN"/>
        </w:rPr>
        <w:t>由标准曲线</w:t>
      </w:r>
      <w:r>
        <w:rPr>
          <w:rFonts w:hint="eastAsia" w:hAnsi="宋体" w:cs="宋体"/>
          <w:color w:val="auto"/>
          <w:lang w:val="en-US" w:eastAsia="zh-CN"/>
        </w:rPr>
        <w:t>查</w:t>
      </w:r>
      <w:r>
        <w:rPr>
          <w:rFonts w:hint="eastAsia" w:hAnsi="宋体" w:cs="宋体"/>
          <w:color w:val="auto"/>
          <w:lang w:eastAsia="zh-CN"/>
        </w:rPr>
        <w:t>得的随同试料空白溶液中镁的质量浓度，单位为微克每毫升（µg/mL）；</w:t>
      </w:r>
    </w:p>
    <w:p w14:paraId="0B7BE975">
      <w:pPr>
        <w:pStyle w:val="22"/>
        <w:spacing w:line="360" w:lineRule="auto"/>
        <w:rPr>
          <w:rFonts w:hint="eastAsia" w:hAnsi="宋体" w:cs="宋体"/>
          <w:color w:val="auto"/>
          <w:lang w:eastAsia="zh-CN"/>
        </w:rPr>
      </w:pPr>
      <w:r>
        <w:rPr>
          <w:rFonts w:hint="eastAsia" w:hAnsi="宋体" w:cs="宋体"/>
          <w:i/>
          <w:iCs/>
          <w:color w:val="auto"/>
          <w:lang w:eastAsia="zh-CN"/>
        </w:rPr>
        <w:t>V</w:t>
      </w:r>
      <w:r>
        <w:rPr>
          <w:rFonts w:hint="eastAsia" w:hAnsi="宋体" w:cs="宋体"/>
          <w:color w:val="auto"/>
          <w:lang w:val="en-US" w:eastAsia="zh-CN"/>
        </w:rPr>
        <w:t xml:space="preserve"> </w:t>
      </w:r>
      <w:r>
        <w:rPr>
          <w:rFonts w:hint="eastAsia" w:hAnsi="宋体" w:cs="宋体"/>
          <w:color w:val="auto"/>
          <w:lang w:eastAsia="zh-CN"/>
        </w:rPr>
        <w:t xml:space="preserve"> -</w:t>
      </w:r>
      <w:r>
        <w:rPr>
          <w:rFonts w:hint="eastAsia" w:hAnsi="宋体" w:cs="宋体"/>
          <w:color w:val="auto"/>
          <w:lang w:val="en-US" w:eastAsia="zh-CN"/>
        </w:rPr>
        <w:t xml:space="preserve"> </w:t>
      </w:r>
      <w:r>
        <w:rPr>
          <w:rFonts w:hint="eastAsia" w:hAnsi="宋体" w:cs="宋体"/>
          <w:color w:val="auto"/>
          <w:lang w:eastAsia="zh-CN"/>
        </w:rPr>
        <w:t>试液的总体积,单位为毫升（mL）；</w:t>
      </w:r>
      <w:bookmarkStart w:id="5" w:name="_GoBack"/>
      <w:bookmarkEnd w:id="5"/>
    </w:p>
    <w:p w14:paraId="07C5217F">
      <w:pPr>
        <w:pStyle w:val="22"/>
        <w:spacing w:line="360" w:lineRule="auto"/>
        <w:rPr>
          <w:rFonts w:hint="eastAsia" w:hAnsi="宋体" w:cs="宋体"/>
          <w:color w:val="auto"/>
          <w:lang w:eastAsia="zh-CN"/>
        </w:rPr>
      </w:pPr>
      <w:r>
        <w:rPr>
          <w:rFonts w:hint="eastAsia" w:hAnsi="宋体" w:cs="宋体"/>
          <w:i/>
          <w:iCs/>
          <w:color w:val="auto"/>
          <w:lang w:val="en-US" w:eastAsia="zh-CN"/>
        </w:rPr>
        <w:t>V</w:t>
      </w:r>
      <w:r>
        <w:rPr>
          <w:rFonts w:hint="eastAsia" w:hAnsi="宋体" w:cs="宋体"/>
          <w:color w:val="auto"/>
          <w:vertAlign w:val="subscript"/>
          <w:lang w:eastAsia="zh-CN"/>
        </w:rPr>
        <w:t>1</w:t>
      </w:r>
      <w:r>
        <w:rPr>
          <w:rFonts w:hint="eastAsia" w:hAnsi="宋体" w:cs="宋体"/>
          <w:color w:val="auto"/>
          <w:lang w:val="en-US" w:eastAsia="zh-CN"/>
        </w:rPr>
        <w:t xml:space="preserve"> </w:t>
      </w:r>
      <w:r>
        <w:rPr>
          <w:rFonts w:hint="eastAsia" w:hAnsi="宋体" w:cs="宋体"/>
          <w:color w:val="auto"/>
          <w:lang w:eastAsia="zh-CN"/>
        </w:rPr>
        <w:t xml:space="preserve"> </w:t>
      </w:r>
      <w:r>
        <w:rPr>
          <w:rFonts w:hint="eastAsia" w:hAnsi="宋体" w:cs="宋体"/>
          <w:color w:val="auto"/>
          <w:lang w:val="en-US" w:eastAsia="zh-CN"/>
        </w:rPr>
        <w:t xml:space="preserve"> </w:t>
      </w:r>
      <w:r>
        <w:rPr>
          <w:rFonts w:hint="eastAsia" w:hAnsi="宋体" w:cs="宋体"/>
          <w:color w:val="auto"/>
          <w:lang w:eastAsia="zh-CN"/>
        </w:rPr>
        <w:t>-</w:t>
      </w:r>
      <w:r>
        <w:rPr>
          <w:rFonts w:hint="eastAsia" w:hAnsi="宋体" w:cs="宋体"/>
          <w:color w:val="auto"/>
          <w:lang w:val="en-US" w:eastAsia="zh-CN"/>
        </w:rPr>
        <w:t xml:space="preserve"> </w:t>
      </w:r>
      <w:r>
        <w:rPr>
          <w:rFonts w:hint="eastAsia" w:hAnsi="宋体" w:cs="宋体"/>
          <w:color w:val="auto"/>
          <w:lang w:eastAsia="zh-CN"/>
        </w:rPr>
        <w:t>移取试液的体积,单位为毫升（mL）；</w:t>
      </w:r>
    </w:p>
    <w:p w14:paraId="55C1DB6D">
      <w:pPr>
        <w:pStyle w:val="22"/>
        <w:spacing w:line="360" w:lineRule="auto"/>
        <w:rPr>
          <w:rFonts w:hint="eastAsia" w:hAnsi="宋体" w:cs="宋体"/>
          <w:color w:val="auto"/>
          <w:lang w:eastAsia="zh-CN"/>
        </w:rPr>
      </w:pPr>
      <w:r>
        <w:rPr>
          <w:rFonts w:hint="eastAsia" w:hAnsi="宋体" w:cs="宋体"/>
          <w:i/>
          <w:iCs/>
          <w:color w:val="auto"/>
          <w:lang w:val="en-US" w:eastAsia="zh-CN"/>
        </w:rPr>
        <w:t>V</w:t>
      </w:r>
      <w:r>
        <w:rPr>
          <w:rFonts w:hint="eastAsia" w:hAnsi="宋体" w:cs="宋体"/>
          <w:color w:val="auto"/>
          <w:vertAlign w:val="subscript"/>
          <w:lang w:eastAsia="zh-CN"/>
        </w:rPr>
        <w:t>2</w:t>
      </w:r>
      <w:r>
        <w:rPr>
          <w:rFonts w:hint="eastAsia" w:hAnsi="宋体" w:cs="宋体"/>
          <w:color w:val="auto"/>
          <w:lang w:val="en-US" w:eastAsia="zh-CN"/>
        </w:rPr>
        <w:t xml:space="preserve"> </w:t>
      </w:r>
      <w:r>
        <w:rPr>
          <w:rFonts w:hint="eastAsia" w:hAnsi="宋体" w:cs="宋体"/>
          <w:color w:val="auto"/>
          <w:lang w:eastAsia="zh-CN"/>
        </w:rPr>
        <w:t xml:space="preserve"> -</w:t>
      </w:r>
      <w:r>
        <w:rPr>
          <w:rFonts w:hint="eastAsia" w:hAnsi="宋体" w:cs="宋体"/>
          <w:color w:val="auto"/>
          <w:lang w:val="en-US" w:eastAsia="zh-CN"/>
        </w:rPr>
        <w:t xml:space="preserve"> </w:t>
      </w:r>
      <w:r>
        <w:rPr>
          <w:rFonts w:hint="eastAsia" w:hAnsi="宋体" w:cs="宋体"/>
          <w:color w:val="auto"/>
          <w:lang w:eastAsia="zh-CN"/>
        </w:rPr>
        <w:t>被测试液的体积,单位为毫升（mL）；</w:t>
      </w:r>
    </w:p>
    <w:p w14:paraId="08BB90A9">
      <w:pPr>
        <w:pStyle w:val="22"/>
        <w:spacing w:line="360" w:lineRule="auto"/>
        <w:rPr>
          <w:rFonts w:hint="eastAsia" w:hAnsi="宋体" w:cs="宋体"/>
          <w:color w:val="auto"/>
          <w:lang w:eastAsia="zh-CN"/>
        </w:rPr>
      </w:pPr>
      <w:r>
        <w:rPr>
          <w:rFonts w:hint="eastAsia" w:hAnsi="宋体" w:cs="宋体"/>
          <w:color w:val="auto"/>
          <w:lang w:eastAsia="zh-CN"/>
        </w:rPr>
        <w:t>m -</w:t>
      </w:r>
      <w:r>
        <w:rPr>
          <w:rFonts w:hint="eastAsia" w:hAnsi="宋体" w:cs="宋体"/>
          <w:color w:val="auto"/>
          <w:lang w:val="en-US" w:eastAsia="zh-CN"/>
        </w:rPr>
        <w:t xml:space="preserve"> 样品</w:t>
      </w:r>
      <w:r>
        <w:rPr>
          <w:rFonts w:hint="eastAsia" w:hAnsi="宋体" w:cs="宋体"/>
          <w:color w:val="auto"/>
          <w:lang w:eastAsia="zh-CN"/>
        </w:rPr>
        <w:t>的质量,单位为克（g）。</w:t>
      </w:r>
    </w:p>
    <w:p w14:paraId="726CD289">
      <w:pPr>
        <w:pStyle w:val="22"/>
        <w:spacing w:line="360" w:lineRule="auto"/>
        <w:ind w:firstLine="420" w:firstLineChars="200"/>
        <w:rPr>
          <w:rFonts w:hint="eastAsia"/>
        </w:rPr>
      </w:pPr>
      <w:r>
        <w:rPr>
          <w:rFonts w:hint="eastAsia"/>
          <w:lang w:eastAsia="zh-CN"/>
        </w:rPr>
        <w:t>镁的质量分数</w:t>
      </w:r>
      <w:r>
        <w:rPr>
          <w:rFonts w:hint="eastAsia"/>
        </w:rPr>
        <w:t xml:space="preserve"> </w:t>
      </w:r>
      <w:r>
        <w:rPr>
          <w:rFonts w:hint="default" w:ascii="Times New Roman" w:hAnsi="Times New Roman" w:cs="Times New Roman"/>
          <w:i/>
        </w:rPr>
        <w:t>w</w:t>
      </w:r>
      <w:r>
        <w:rPr>
          <w:rFonts w:hint="eastAsia"/>
          <w:lang w:val="en-US" w:eastAsia="zh-CN"/>
        </w:rPr>
        <w:t>＜0.0010%时，计算结果保留1位有效数字，</w:t>
      </w:r>
      <w:r>
        <w:rPr>
          <w:rFonts w:hint="eastAsia"/>
          <w:lang w:eastAsia="zh-CN"/>
        </w:rPr>
        <w:t>镁的质量分数</w:t>
      </w:r>
      <w:r>
        <w:rPr>
          <w:rFonts w:hint="eastAsia"/>
        </w:rPr>
        <w:t xml:space="preserve"> </w:t>
      </w:r>
      <w:r>
        <w:rPr>
          <w:rFonts w:hint="default" w:ascii="Times New Roman" w:hAnsi="Times New Roman" w:cs="Times New Roman"/>
          <w:i/>
        </w:rPr>
        <w:t>w</w:t>
      </w:r>
      <w:r>
        <w:rPr>
          <w:rFonts w:hint="eastAsia"/>
          <w:lang w:val="en-US" w:eastAsia="zh-CN"/>
        </w:rPr>
        <w:t>≥0.0010%时</w:t>
      </w:r>
      <w:r>
        <w:rPr>
          <w:rFonts w:hint="eastAsia"/>
        </w:rPr>
        <w:t xml:space="preserve"> </w:t>
      </w:r>
      <w:r>
        <w:rPr>
          <w:rFonts w:hint="eastAsia"/>
          <w:lang w:eastAsia="zh-CN"/>
        </w:rPr>
        <w:t>，保留两位有效数字，数值修约按照</w:t>
      </w:r>
      <w:r>
        <w:rPr>
          <w:rFonts w:hint="eastAsia"/>
          <w:lang w:val="en-US" w:eastAsia="zh-CN"/>
        </w:rPr>
        <w:t>GB/T8170规定执行。</w:t>
      </w:r>
    </w:p>
    <w:p w14:paraId="0DD5CCB7">
      <w:pPr>
        <w:pStyle w:val="3"/>
        <w:numPr>
          <w:ilvl w:val="1"/>
          <w:numId w:val="0"/>
        </w:numPr>
        <w:spacing w:before="0" w:after="0" w:line="480" w:lineRule="auto"/>
        <w:ind w:leftChars="0"/>
        <w:rPr>
          <w:rFonts w:hint="eastAsia" w:ascii="黑体" w:hAnsi="Courier New" w:eastAsia="黑体" w:cs="宋体"/>
          <w:bCs w:val="0"/>
          <w:color w:val="auto"/>
          <w:kern w:val="2"/>
          <w:sz w:val="21"/>
          <w:szCs w:val="22"/>
          <w:lang w:val="en-US" w:eastAsia="zh-CN" w:bidi="ar-SA"/>
        </w:rPr>
      </w:pPr>
      <w:r>
        <w:rPr>
          <w:rFonts w:hint="eastAsia"/>
          <w:lang w:val="en-US" w:eastAsia="zh-CN"/>
        </w:rPr>
        <w:t xml:space="preserve">10  </w:t>
      </w:r>
      <w:r>
        <w:rPr>
          <w:rFonts w:hint="eastAsia" w:ascii="黑体" w:hAnsi="Courier New" w:eastAsia="黑体" w:cs="宋体"/>
          <w:bCs w:val="0"/>
          <w:color w:val="auto"/>
          <w:kern w:val="2"/>
          <w:sz w:val="21"/>
          <w:szCs w:val="22"/>
          <w:lang w:val="en-US" w:eastAsia="zh-CN" w:bidi="ar-SA"/>
        </w:rPr>
        <w:t>精密度</w:t>
      </w:r>
    </w:p>
    <w:p w14:paraId="2035B0CE">
      <w:pPr>
        <w:pStyle w:val="4"/>
        <w:numPr>
          <w:ilvl w:val="2"/>
          <w:numId w:val="0"/>
        </w:numPr>
        <w:spacing w:before="0" w:after="0"/>
        <w:ind w:leftChars="0" w:right="210" w:rightChars="100"/>
        <w:rPr>
          <w:rFonts w:hint="eastAsia" w:ascii="黑体" w:hAnsi="Courier New" w:eastAsia="黑体" w:cs="宋体"/>
          <w:bCs w:val="0"/>
          <w:color w:val="auto"/>
          <w:kern w:val="2"/>
          <w:sz w:val="21"/>
          <w:szCs w:val="22"/>
          <w:lang w:val="en-US" w:eastAsia="zh-CN" w:bidi="ar-SA"/>
        </w:rPr>
      </w:pPr>
      <w:r>
        <w:rPr>
          <w:rFonts w:hint="eastAsia" w:ascii="黑体" w:hAnsi="Courier New" w:eastAsia="黑体" w:cs="宋体"/>
          <w:bCs w:val="0"/>
          <w:color w:val="auto"/>
          <w:kern w:val="2"/>
          <w:sz w:val="21"/>
          <w:szCs w:val="22"/>
          <w:lang w:val="en-US" w:eastAsia="zh-CN" w:bidi="ar-SA"/>
        </w:rPr>
        <w:t>10.1 精密度原始数据及统计</w:t>
      </w:r>
    </w:p>
    <w:p w14:paraId="29A075FC">
      <w:pPr>
        <w:spacing w:line="360" w:lineRule="auto"/>
        <w:rPr>
          <w:rFonts w:hint="default"/>
          <w:lang w:val="en-US" w:eastAsia="zh-CN"/>
        </w:rPr>
      </w:pPr>
      <w:r>
        <w:rPr>
          <w:rFonts w:hint="eastAsia" w:ascii="黑体" w:hAnsi="Courier New" w:eastAsia="黑体" w:cs="宋体"/>
          <w:bCs w:val="0"/>
          <w:color w:val="auto"/>
          <w:kern w:val="2"/>
          <w:sz w:val="21"/>
          <w:szCs w:val="22"/>
          <w:lang w:val="en-US" w:eastAsia="zh-CN" w:bidi="ar-SA"/>
        </w:rPr>
        <w:t xml:space="preserve">    </w:t>
      </w:r>
      <w:r>
        <w:rPr>
          <w:rFonts w:hint="eastAsia" w:ascii="宋体" w:hAnsi="宋体" w:eastAsia="宋体" w:cs="宋体"/>
          <w:bCs w:val="0"/>
          <w:color w:val="auto"/>
          <w:kern w:val="2"/>
          <w:sz w:val="21"/>
          <w:szCs w:val="22"/>
          <w:lang w:val="en-US" w:eastAsia="zh-CN" w:bidi="ar-SA"/>
        </w:rPr>
        <w:t>精密度数据</w:t>
      </w:r>
      <w:r>
        <w:rPr>
          <w:rFonts w:hint="eastAsia" w:ascii="宋体" w:hAnsi="宋体" w:cs="宋体"/>
          <w:bCs w:val="0"/>
          <w:color w:val="auto"/>
          <w:kern w:val="2"/>
          <w:sz w:val="21"/>
          <w:szCs w:val="22"/>
          <w:lang w:val="en-US" w:eastAsia="zh-CN" w:bidi="ar-SA"/>
        </w:rPr>
        <w:t>是在2024年，由7家实验室对8个不同水平样品进行协同试验确定的，每个实验室对每个水平的镁含量在重复性条件下独立测定11次，试验数据按GB/T6379.2进行统计分析。</w:t>
      </w:r>
    </w:p>
    <w:p w14:paraId="52DDF288">
      <w:pPr>
        <w:pStyle w:val="4"/>
        <w:numPr>
          <w:ilvl w:val="2"/>
          <w:numId w:val="0"/>
        </w:numPr>
        <w:spacing w:before="0" w:after="0"/>
        <w:ind w:leftChars="0" w:right="210" w:rightChars="100"/>
        <w:rPr>
          <w:rFonts w:hint="eastAsia" w:ascii="黑体" w:hAnsi="Courier New" w:eastAsia="黑体" w:cs="宋体"/>
          <w:bCs w:val="0"/>
          <w:color w:val="auto"/>
          <w:kern w:val="2"/>
          <w:sz w:val="21"/>
          <w:szCs w:val="22"/>
          <w:lang w:val="en-US" w:eastAsia="zh-CN" w:bidi="ar-SA"/>
        </w:rPr>
      </w:pPr>
      <w:r>
        <w:rPr>
          <w:rFonts w:hint="eastAsia" w:ascii="黑体" w:hAnsi="Courier New" w:eastAsia="黑体" w:cs="宋体"/>
          <w:bCs w:val="0"/>
          <w:color w:val="auto"/>
          <w:kern w:val="2"/>
          <w:sz w:val="21"/>
          <w:szCs w:val="22"/>
          <w:lang w:val="en-US" w:eastAsia="zh-CN" w:bidi="ar-SA"/>
        </w:rPr>
        <w:t>10.2重复性</w:t>
      </w:r>
    </w:p>
    <w:p w14:paraId="4C132D56">
      <w:pPr>
        <w:spacing w:line="360" w:lineRule="auto"/>
        <w:ind w:firstLine="420" w:firstLineChars="200"/>
      </w:pPr>
      <w:r>
        <w:rPr>
          <w:rFonts w:hint="eastAsia" w:ascii="宋体" w:hAnsi="宋体"/>
          <w:color w:val="000000"/>
          <w:szCs w:val="21"/>
        </w:rPr>
        <w:t>在重复性条件下获得的两次独立测试结果的绝对差值不超过重复性限(r)，超过重复性限(r)的情况不超过5%。重复性限(r)按表</w:t>
      </w:r>
      <w:r>
        <w:rPr>
          <w:rFonts w:hint="eastAsia" w:ascii="宋体" w:hAnsi="宋体"/>
          <w:color w:val="000000"/>
          <w:szCs w:val="21"/>
          <w:lang w:val="en-US" w:eastAsia="zh-CN"/>
        </w:rPr>
        <w:t>2</w:t>
      </w:r>
      <w:r>
        <w:rPr>
          <w:rFonts w:hint="eastAsia" w:ascii="宋体" w:hAnsi="宋体"/>
          <w:color w:val="000000"/>
          <w:szCs w:val="21"/>
        </w:rPr>
        <w:t>数据采用线性内插法</w:t>
      </w:r>
      <w:r>
        <w:rPr>
          <w:rFonts w:hint="eastAsia" w:ascii="宋体" w:hAnsi="宋体"/>
          <w:color w:val="000000"/>
          <w:szCs w:val="21"/>
          <w:lang w:eastAsia="zh-CN"/>
        </w:rPr>
        <w:t>或外延法</w:t>
      </w:r>
      <w:r>
        <w:rPr>
          <w:rFonts w:hint="eastAsia" w:ascii="宋体" w:hAnsi="宋体"/>
          <w:color w:val="000000"/>
          <w:szCs w:val="21"/>
        </w:rPr>
        <w:t>求得：</w:t>
      </w:r>
    </w:p>
    <w:p w14:paraId="725700D7">
      <w:pPr>
        <w:pStyle w:val="14"/>
        <w:keepNext/>
        <w:spacing w:before="0" w:after="0"/>
        <w:jc w:val="center"/>
        <w:rPr>
          <w:rFonts w:hint="eastAsia"/>
        </w:rPr>
      </w:pPr>
    </w:p>
    <w:p w14:paraId="1ED7BF6A">
      <w:pPr>
        <w:pStyle w:val="14"/>
        <w:keepNext/>
        <w:spacing w:before="0" w:after="0"/>
        <w:jc w:val="center"/>
        <w:rPr>
          <w:rFonts w:hint="eastAsia"/>
          <w:sz w:val="21"/>
          <w:szCs w:val="21"/>
        </w:rPr>
      </w:pPr>
    </w:p>
    <w:p w14:paraId="2EB766A3">
      <w:pPr>
        <w:rPr>
          <w:rFonts w:hint="eastAsia"/>
        </w:rPr>
      </w:pPr>
    </w:p>
    <w:p w14:paraId="6181A287">
      <w:pPr>
        <w:pStyle w:val="14"/>
        <w:keepNext/>
        <w:spacing w:before="0" w:after="0"/>
        <w:jc w:val="center"/>
        <w:rPr>
          <w:rFonts w:hint="eastAsia" w:ascii="黑体" w:hAnsi="黑体" w:eastAsia="黑体" w:cs="黑体"/>
          <w:sz w:val="21"/>
          <w:szCs w:val="21"/>
          <w:lang w:eastAsia="zh-CN"/>
        </w:rPr>
      </w:pPr>
      <w:r>
        <w:rPr>
          <w:rFonts w:hint="eastAsia"/>
          <w:sz w:val="21"/>
          <w:szCs w:val="21"/>
        </w:rPr>
        <w:t>表</w:t>
      </w:r>
      <w:r>
        <w:rPr>
          <w:rFonts w:hint="eastAsia" w:ascii="黑体" w:hAnsi="黑体" w:eastAsia="黑体" w:cs="黑体"/>
          <w:sz w:val="21"/>
          <w:szCs w:val="21"/>
          <w:lang w:val="en-US" w:eastAsia="zh-CN"/>
        </w:rPr>
        <w:t>2</w:t>
      </w:r>
      <w:r>
        <w:rPr>
          <w:rFonts w:hint="eastAsia" w:ascii="黑体" w:hAnsi="黑体" w:cs="黑体"/>
          <w:sz w:val="21"/>
          <w:szCs w:val="21"/>
          <w:lang w:val="en-US" w:eastAsia="zh-CN"/>
        </w:rPr>
        <w:t xml:space="preserve">  </w:t>
      </w:r>
      <w:r>
        <w:rPr>
          <w:rFonts w:hint="eastAsia" w:ascii="黑体" w:hAnsi="黑体" w:eastAsia="黑体" w:cs="黑体"/>
          <w:sz w:val="21"/>
          <w:szCs w:val="21"/>
          <w:lang w:val="en-US" w:eastAsia="zh-CN"/>
        </w:rPr>
        <w:t>重复性限</w:t>
      </w:r>
    </w:p>
    <w:tbl>
      <w:tblPr>
        <w:tblStyle w:val="44"/>
        <w:tblW w:w="94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47"/>
        <w:gridCol w:w="4581"/>
      </w:tblGrid>
      <w:tr w14:paraId="577A4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47" w:type="dxa"/>
            <w:tcBorders>
              <w:bottom w:val="single" w:color="auto" w:sz="12" w:space="0"/>
            </w:tcBorders>
          </w:tcPr>
          <w:p w14:paraId="31C1C902">
            <w:pPr>
              <w:spacing w:line="400" w:lineRule="exact"/>
              <w:ind w:firstLine="360" w:firstLineChars="200"/>
              <w:jc w:val="center"/>
              <w:rPr>
                <w:rFonts w:ascii="宋体" w:hAnsi="宋体"/>
                <w:color w:val="000000"/>
                <w:sz w:val="18"/>
                <w:szCs w:val="18"/>
              </w:rPr>
            </w:pPr>
            <w:r>
              <w:rPr>
                <w:rFonts w:hint="eastAsia" w:ascii="宋体" w:hAnsi="宋体"/>
                <w:color w:val="000000"/>
                <w:sz w:val="18"/>
                <w:szCs w:val="18"/>
                <w:lang w:eastAsia="zh-CN"/>
              </w:rPr>
              <w:t>镁</w:t>
            </w:r>
            <w:r>
              <w:rPr>
                <w:rFonts w:hint="eastAsia" w:ascii="宋体" w:hAnsi="宋体"/>
                <w:color w:val="000000"/>
                <w:sz w:val="18"/>
                <w:szCs w:val="18"/>
              </w:rPr>
              <w:t>质量分数</w:t>
            </w:r>
            <w:r>
              <w:rPr>
                <w:rFonts w:hint="default" w:ascii="Times New Roman" w:hAnsi="Times New Roman" w:cs="Times New Roman"/>
                <w:i/>
              </w:rPr>
              <w:t>w</w:t>
            </w:r>
            <w:r>
              <w:rPr>
                <w:rFonts w:ascii="宋体" w:hAnsi="宋体"/>
                <w:color w:val="000000"/>
                <w:sz w:val="18"/>
                <w:szCs w:val="18"/>
              </w:rPr>
              <w:t>/%</w:t>
            </w:r>
          </w:p>
        </w:tc>
        <w:tc>
          <w:tcPr>
            <w:tcW w:w="4581" w:type="dxa"/>
            <w:tcBorders>
              <w:bottom w:val="single" w:color="auto" w:sz="12" w:space="0"/>
            </w:tcBorders>
          </w:tcPr>
          <w:p w14:paraId="2B26C424">
            <w:pPr>
              <w:spacing w:line="400" w:lineRule="exact"/>
              <w:ind w:firstLine="360" w:firstLineChars="200"/>
              <w:jc w:val="center"/>
              <w:rPr>
                <w:rFonts w:ascii="宋体" w:hAnsi="宋体"/>
                <w:color w:val="000000"/>
                <w:sz w:val="18"/>
                <w:szCs w:val="18"/>
              </w:rPr>
            </w:pPr>
            <w:r>
              <w:rPr>
                <w:rFonts w:ascii="宋体" w:hAnsi="宋体"/>
                <w:color w:val="000000"/>
                <w:sz w:val="18"/>
                <w:szCs w:val="18"/>
              </w:rPr>
              <w:t>重复性限（r）/%</w:t>
            </w:r>
          </w:p>
        </w:tc>
      </w:tr>
      <w:tr w14:paraId="16AE7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Borders>
              <w:top w:val="single" w:color="auto" w:sz="12" w:space="0"/>
            </w:tcBorders>
          </w:tcPr>
          <w:p w14:paraId="44143E69">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0.0005</w:t>
            </w:r>
          </w:p>
        </w:tc>
        <w:tc>
          <w:tcPr>
            <w:tcW w:w="4581" w:type="dxa"/>
            <w:tcBorders>
              <w:top w:val="single" w:color="auto" w:sz="12" w:space="0"/>
            </w:tcBorders>
          </w:tcPr>
          <w:p w14:paraId="76D3CBDD">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w:t>
            </w:r>
          </w:p>
        </w:tc>
      </w:tr>
      <w:tr w14:paraId="4EEAE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4520FEA2">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0.0010</w:t>
            </w:r>
          </w:p>
        </w:tc>
        <w:tc>
          <w:tcPr>
            <w:tcW w:w="4581" w:type="dxa"/>
          </w:tcPr>
          <w:p w14:paraId="7CA83634">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0.00015</w:t>
            </w:r>
          </w:p>
        </w:tc>
      </w:tr>
      <w:tr w14:paraId="44896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5A56D108">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0.0030</w:t>
            </w:r>
          </w:p>
        </w:tc>
        <w:tc>
          <w:tcPr>
            <w:tcW w:w="4581" w:type="dxa"/>
          </w:tcPr>
          <w:p w14:paraId="7364E60C">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0.0004</w:t>
            </w:r>
          </w:p>
        </w:tc>
      </w:tr>
      <w:tr w14:paraId="6BB01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1DB013C5">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0.0069</w:t>
            </w:r>
          </w:p>
        </w:tc>
        <w:tc>
          <w:tcPr>
            <w:tcW w:w="4581" w:type="dxa"/>
          </w:tcPr>
          <w:p w14:paraId="37848429">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0.0006</w:t>
            </w:r>
          </w:p>
        </w:tc>
      </w:tr>
      <w:tr w14:paraId="2DE7A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141E258C">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0.0097</w:t>
            </w:r>
          </w:p>
        </w:tc>
        <w:tc>
          <w:tcPr>
            <w:tcW w:w="4581" w:type="dxa"/>
          </w:tcPr>
          <w:p w14:paraId="6D25CCC2">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0.0008</w:t>
            </w:r>
          </w:p>
        </w:tc>
      </w:tr>
      <w:tr w14:paraId="45009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4847" w:type="dxa"/>
          </w:tcPr>
          <w:p w14:paraId="779BEF74">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0.059</w:t>
            </w:r>
          </w:p>
        </w:tc>
        <w:tc>
          <w:tcPr>
            <w:tcW w:w="4581" w:type="dxa"/>
          </w:tcPr>
          <w:p w14:paraId="0E5C8D70">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0.0050</w:t>
            </w:r>
          </w:p>
        </w:tc>
      </w:tr>
      <w:tr w14:paraId="44B52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4847" w:type="dxa"/>
          </w:tcPr>
          <w:p w14:paraId="2AC40DE4">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0.11</w:t>
            </w:r>
          </w:p>
        </w:tc>
        <w:tc>
          <w:tcPr>
            <w:tcW w:w="4581" w:type="dxa"/>
          </w:tcPr>
          <w:p w14:paraId="56EFE55E">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0.012</w:t>
            </w:r>
          </w:p>
        </w:tc>
      </w:tr>
      <w:tr w14:paraId="6D343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4847" w:type="dxa"/>
          </w:tcPr>
          <w:p w14:paraId="3E6C5EAE">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0.29</w:t>
            </w:r>
          </w:p>
        </w:tc>
        <w:tc>
          <w:tcPr>
            <w:tcW w:w="4581" w:type="dxa"/>
          </w:tcPr>
          <w:p w14:paraId="399FFC50">
            <w:pPr>
              <w:spacing w:line="400" w:lineRule="exact"/>
              <w:ind w:firstLine="360" w:firstLineChars="20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0.020</w:t>
            </w:r>
          </w:p>
        </w:tc>
      </w:tr>
      <w:tr w14:paraId="5E980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9428" w:type="dxa"/>
            <w:gridSpan w:val="2"/>
          </w:tcPr>
          <w:p w14:paraId="47717484">
            <w:pPr>
              <w:spacing w:line="400" w:lineRule="exact"/>
              <w:ind w:firstLine="360" w:firstLineChars="200"/>
              <w:jc w:val="left"/>
              <w:rPr>
                <w:rFonts w:ascii="宋体" w:hAnsi="宋体"/>
                <w:sz w:val="18"/>
                <w:szCs w:val="18"/>
              </w:rPr>
            </w:pPr>
            <w:r>
              <w:rPr>
                <w:rFonts w:ascii="宋体" w:hAnsi="宋体"/>
                <w:sz w:val="18"/>
                <w:szCs w:val="18"/>
              </w:rPr>
              <w:t>注：重复性限（r）为2.8×Sr，Sr为重复性标准差。</w:t>
            </w:r>
          </w:p>
        </w:tc>
      </w:tr>
    </w:tbl>
    <w:p w14:paraId="7F116D6C">
      <w:pPr>
        <w:pStyle w:val="58"/>
        <w:numPr>
          <w:ilvl w:val="0"/>
          <w:numId w:val="0"/>
        </w:numPr>
        <w:snapToGrid w:val="0"/>
        <w:spacing w:before="156" w:beforeLines="50" w:after="156" w:afterLines="50"/>
        <w:rPr>
          <w:rFonts w:hint="eastAsia" w:ascii="黑体" w:hAnsi="黑体" w:eastAsia="黑体" w:cs="黑体"/>
          <w:kern w:val="2"/>
        </w:rPr>
      </w:pPr>
      <w:r>
        <w:rPr>
          <w:rFonts w:hint="eastAsia" w:hAnsi="黑体" w:cs="黑体"/>
          <w:lang w:val="en-US" w:eastAsia="zh-CN"/>
        </w:rPr>
        <w:t>10</w:t>
      </w:r>
      <w:r>
        <w:rPr>
          <w:rFonts w:hint="eastAsia" w:ascii="黑体" w:hAnsi="黑体" w:eastAsia="黑体" w:cs="黑体"/>
          <w:lang w:val="en-US" w:eastAsia="zh-CN"/>
        </w:rPr>
        <w:t>.</w:t>
      </w:r>
      <w:r>
        <w:rPr>
          <w:rFonts w:hint="eastAsia" w:hAnsi="黑体" w:cs="黑体"/>
          <w:lang w:val="en-US" w:eastAsia="zh-CN"/>
        </w:rPr>
        <w:t>3</w:t>
      </w:r>
      <w:r>
        <w:rPr>
          <w:rFonts w:hint="eastAsia" w:ascii="黑体" w:hAnsi="黑体" w:eastAsia="黑体" w:cs="黑体"/>
        </w:rPr>
        <w:t>　</w:t>
      </w:r>
      <w:r>
        <w:rPr>
          <w:rFonts w:hint="eastAsia" w:ascii="黑体" w:hAnsi="黑体" w:eastAsia="黑体" w:cs="黑体"/>
          <w:kern w:val="2"/>
        </w:rPr>
        <w:t>再现性</w:t>
      </w:r>
    </w:p>
    <w:p w14:paraId="4FAB2C70">
      <w:pPr>
        <w:pStyle w:val="33"/>
        <w:snapToGrid w:val="0"/>
        <w:spacing w:line="360" w:lineRule="auto"/>
        <w:ind w:firstLine="420"/>
        <w:rPr>
          <w:rFonts w:hint="eastAsia" w:ascii="宋体" w:hAnsi="宋体" w:eastAsia="宋体" w:cs="宋体"/>
        </w:rPr>
      </w:pPr>
      <w:r>
        <w:rPr>
          <w:rFonts w:hint="eastAsia" w:ascii="宋体" w:hAnsi="宋体" w:eastAsia="宋体" w:cs="宋体"/>
          <w:color w:val="000000"/>
        </w:rPr>
        <w:t>在再现性条件下获得的两次独立测试结果的绝对差值不大于再现性限（</w:t>
      </w:r>
      <w:r>
        <w:rPr>
          <w:rFonts w:hint="eastAsia" w:ascii="宋体" w:hAnsi="宋体" w:eastAsia="宋体" w:cs="宋体"/>
          <w:i/>
          <w:color w:val="000000"/>
        </w:rPr>
        <w:t>R</w:t>
      </w:r>
      <w:r>
        <w:rPr>
          <w:rFonts w:hint="eastAsia" w:ascii="宋体" w:hAnsi="宋体" w:eastAsia="宋体" w:cs="宋体"/>
          <w:color w:val="000000"/>
        </w:rPr>
        <w:t>），超过再现性限（</w:t>
      </w:r>
      <w:r>
        <w:rPr>
          <w:rFonts w:hint="eastAsia" w:ascii="宋体" w:hAnsi="宋体" w:eastAsia="宋体" w:cs="宋体"/>
          <w:i/>
          <w:color w:val="000000"/>
        </w:rPr>
        <w:t>R</w:t>
      </w:r>
      <w:r>
        <w:rPr>
          <w:rFonts w:hint="eastAsia" w:ascii="宋体" w:hAnsi="宋体" w:eastAsia="宋体" w:cs="宋体"/>
          <w:color w:val="000000"/>
        </w:rPr>
        <w:t>）的情况不超过5%，再现性限（</w:t>
      </w:r>
      <w:r>
        <w:rPr>
          <w:rFonts w:hint="eastAsia" w:ascii="宋体" w:hAnsi="宋体" w:eastAsia="宋体" w:cs="宋体"/>
          <w:i/>
          <w:color w:val="000000"/>
        </w:rPr>
        <w:t>R</w:t>
      </w:r>
      <w:r>
        <w:rPr>
          <w:rFonts w:hint="eastAsia" w:ascii="宋体" w:hAnsi="宋体" w:eastAsia="宋体" w:cs="宋体"/>
          <w:color w:val="000000"/>
        </w:rPr>
        <w:t>）按表</w:t>
      </w:r>
      <w:r>
        <w:rPr>
          <w:rFonts w:hint="eastAsia" w:ascii="宋体" w:hAnsi="宋体" w:eastAsia="宋体" w:cs="宋体"/>
          <w:color w:val="000000"/>
          <w:lang w:val="en-US" w:eastAsia="zh-CN"/>
        </w:rPr>
        <w:t>3</w:t>
      </w:r>
      <w:r>
        <w:rPr>
          <w:rFonts w:hint="eastAsia" w:ascii="宋体" w:hAnsi="宋体" w:eastAsia="宋体" w:cs="宋体"/>
          <w:color w:val="000000"/>
        </w:rPr>
        <w:t>数据采用线性内插法</w:t>
      </w:r>
      <w:r>
        <w:rPr>
          <w:rFonts w:hint="eastAsia" w:hAnsi="宋体" w:cs="宋体"/>
          <w:color w:val="000000"/>
          <w:lang w:eastAsia="zh-CN"/>
        </w:rPr>
        <w:t>或外延法</w:t>
      </w:r>
      <w:r>
        <w:rPr>
          <w:rFonts w:hint="eastAsia" w:ascii="宋体" w:hAnsi="宋体" w:eastAsia="宋体" w:cs="宋体"/>
          <w:color w:val="000000"/>
        </w:rPr>
        <w:t>求得</w:t>
      </w:r>
      <w:r>
        <w:rPr>
          <w:rFonts w:hint="eastAsia" w:ascii="宋体" w:hAnsi="宋体" w:eastAsia="宋体" w:cs="宋体"/>
        </w:rPr>
        <w:t>。</w:t>
      </w:r>
    </w:p>
    <w:p w14:paraId="46F0643C">
      <w:pPr>
        <w:pStyle w:val="22"/>
        <w:jc w:val="center"/>
        <w:rPr>
          <w:rFonts w:hint="eastAsia"/>
          <w:sz w:val="18"/>
        </w:rPr>
      </w:pPr>
      <w:r>
        <w:rPr>
          <w:rFonts w:hint="eastAsia" w:ascii="黑体" w:eastAsia="黑体"/>
        </w:rPr>
        <w:t>表</w:t>
      </w:r>
      <w:r>
        <w:rPr>
          <w:rFonts w:hint="eastAsia" w:ascii="黑体" w:eastAsia="黑体"/>
          <w:lang w:val="en-US" w:eastAsia="zh-CN"/>
        </w:rPr>
        <w:t>3</w:t>
      </w:r>
      <w:r>
        <w:rPr>
          <w:rFonts w:hint="eastAsia" w:ascii="黑体" w:eastAsia="黑体"/>
        </w:rPr>
        <w:t xml:space="preserve"> </w:t>
      </w:r>
      <w:r>
        <w:rPr>
          <w:rFonts w:hint="eastAsia" w:ascii="黑体" w:eastAsia="黑体"/>
          <w:lang w:eastAsia="zh-CN"/>
        </w:rPr>
        <w:t>再现性限</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910"/>
      </w:tblGrid>
      <w:tr w14:paraId="210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515" w:type="dxa"/>
            <w:tcBorders>
              <w:top w:val="single" w:color="auto" w:sz="12" w:space="0"/>
              <w:left w:val="single" w:color="auto" w:sz="12" w:space="0"/>
              <w:bottom w:val="single" w:color="auto" w:sz="12" w:space="0"/>
            </w:tcBorders>
            <w:noWrap w:val="0"/>
            <w:vAlign w:val="center"/>
          </w:tcPr>
          <w:p w14:paraId="394E1B74">
            <w:pPr>
              <w:pStyle w:val="22"/>
              <w:jc w:val="center"/>
              <w:rPr>
                <w:rFonts w:hint="eastAsia"/>
                <w:sz w:val="18"/>
              </w:rPr>
            </w:pPr>
            <w:r>
              <w:rPr>
                <w:rFonts w:hint="eastAsia"/>
                <w:sz w:val="18"/>
                <w:lang w:eastAsia="zh-CN"/>
              </w:rPr>
              <w:t>镁的</w:t>
            </w:r>
            <w:r>
              <w:rPr>
                <w:rFonts w:hint="eastAsia"/>
                <w:sz w:val="18"/>
              </w:rPr>
              <w:t>质量分数</w:t>
            </w:r>
            <w:r>
              <w:rPr>
                <w:rFonts w:hint="default" w:ascii="Times New Roman" w:hAnsi="Times New Roman" w:cs="Times New Roman"/>
                <w:i/>
              </w:rPr>
              <w:t>w</w:t>
            </w:r>
            <w:r>
              <w:rPr>
                <w:rFonts w:hint="eastAsia"/>
                <w:sz w:val="18"/>
              </w:rPr>
              <w:t>/%</w:t>
            </w:r>
          </w:p>
        </w:tc>
        <w:tc>
          <w:tcPr>
            <w:tcW w:w="4910" w:type="dxa"/>
            <w:tcBorders>
              <w:top w:val="single" w:color="auto" w:sz="12" w:space="0"/>
              <w:bottom w:val="single" w:color="auto" w:sz="12" w:space="0"/>
              <w:right w:val="single" w:color="auto" w:sz="12" w:space="0"/>
            </w:tcBorders>
            <w:noWrap w:val="0"/>
            <w:vAlign w:val="center"/>
          </w:tcPr>
          <w:p w14:paraId="682338AA">
            <w:pPr>
              <w:pStyle w:val="22"/>
              <w:jc w:val="center"/>
              <w:rPr>
                <w:rFonts w:hint="eastAsia"/>
                <w:sz w:val="18"/>
              </w:rPr>
            </w:pPr>
            <w:r>
              <w:rPr>
                <w:rFonts w:hint="eastAsia" w:ascii="宋体" w:hAnsi="宋体" w:cs="宋体"/>
                <w:sz w:val="18"/>
                <w:szCs w:val="18"/>
                <w:lang w:eastAsia="zh-CN"/>
              </w:rPr>
              <w:t>再现</w:t>
            </w:r>
            <w:r>
              <w:rPr>
                <w:rFonts w:hint="eastAsia" w:ascii="宋体" w:hAnsi="宋体" w:cs="宋体"/>
                <w:sz w:val="18"/>
                <w:szCs w:val="18"/>
              </w:rPr>
              <w:t>性限(</w:t>
            </w:r>
            <w:r>
              <w:rPr>
                <w:rFonts w:hint="eastAsia" w:hAnsi="宋体" w:cs="宋体"/>
                <w:i/>
                <w:color w:val="000000"/>
              </w:rPr>
              <w:t>R</w:t>
            </w:r>
            <w:r>
              <w:rPr>
                <w:rFonts w:hint="eastAsia" w:ascii="宋体" w:hAnsi="宋体" w:cs="宋体"/>
                <w:sz w:val="18"/>
                <w:szCs w:val="18"/>
              </w:rPr>
              <w:t>)</w:t>
            </w:r>
            <w:r>
              <w:rPr>
                <w:rFonts w:hint="eastAsia" w:ascii="宋体" w:hAnsi="宋体" w:cs="宋体"/>
                <w:sz w:val="18"/>
                <w:szCs w:val="18"/>
                <w:lang w:val="en-US" w:eastAsia="zh-CN"/>
              </w:rPr>
              <w:t>/%</w:t>
            </w:r>
          </w:p>
        </w:tc>
      </w:tr>
      <w:tr w14:paraId="5118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15" w:type="dxa"/>
            <w:tcBorders>
              <w:top w:val="single" w:color="auto" w:sz="12" w:space="0"/>
              <w:left w:val="single" w:color="auto" w:sz="12" w:space="0"/>
            </w:tcBorders>
            <w:noWrap w:val="0"/>
            <w:vAlign w:val="top"/>
          </w:tcPr>
          <w:p w14:paraId="45AFE2DD">
            <w:pPr>
              <w:spacing w:line="400" w:lineRule="exact"/>
              <w:ind w:firstLine="360" w:firstLineChars="200"/>
              <w:jc w:val="cente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0.0005</w:t>
            </w:r>
          </w:p>
        </w:tc>
        <w:tc>
          <w:tcPr>
            <w:tcW w:w="4910" w:type="dxa"/>
            <w:tcBorders>
              <w:top w:val="single" w:color="auto" w:sz="12" w:space="0"/>
              <w:right w:val="single" w:color="auto" w:sz="12" w:space="0"/>
            </w:tcBorders>
            <w:noWrap w:val="0"/>
            <w:vAlign w:val="center"/>
          </w:tcPr>
          <w:p w14:paraId="0573CBE5">
            <w:pPr>
              <w:pStyle w:val="22"/>
              <w:jc w:val="center"/>
              <w:rPr>
                <w:rFonts w:hint="default" w:eastAsia="宋体"/>
                <w:sz w:val="18"/>
                <w:lang w:val="en-US" w:eastAsia="zh-CN"/>
              </w:rPr>
            </w:pPr>
            <w:r>
              <w:rPr>
                <w:rFonts w:hint="eastAsia"/>
                <w:sz w:val="18"/>
                <w:lang w:val="en-US" w:eastAsia="zh-CN"/>
              </w:rPr>
              <w:t>0.0001</w:t>
            </w:r>
          </w:p>
        </w:tc>
      </w:tr>
      <w:tr w14:paraId="2D5E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515" w:type="dxa"/>
            <w:tcBorders>
              <w:left w:val="single" w:color="auto" w:sz="12" w:space="0"/>
            </w:tcBorders>
            <w:noWrap w:val="0"/>
            <w:vAlign w:val="top"/>
          </w:tcPr>
          <w:p w14:paraId="253B1ECF">
            <w:pPr>
              <w:spacing w:line="400" w:lineRule="exact"/>
              <w:ind w:firstLine="360" w:firstLineChars="200"/>
              <w:jc w:val="cente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0.0010</w:t>
            </w:r>
          </w:p>
        </w:tc>
        <w:tc>
          <w:tcPr>
            <w:tcW w:w="4910" w:type="dxa"/>
            <w:tcBorders>
              <w:right w:val="single" w:color="auto" w:sz="12" w:space="0"/>
            </w:tcBorders>
            <w:noWrap w:val="0"/>
            <w:vAlign w:val="center"/>
          </w:tcPr>
          <w:p w14:paraId="198F4681">
            <w:pPr>
              <w:pStyle w:val="22"/>
              <w:jc w:val="center"/>
              <w:rPr>
                <w:rFonts w:hint="default" w:eastAsia="宋体"/>
                <w:sz w:val="18"/>
                <w:lang w:val="en-US" w:eastAsia="zh-CN"/>
              </w:rPr>
            </w:pPr>
            <w:r>
              <w:rPr>
                <w:rFonts w:hint="eastAsia"/>
                <w:sz w:val="18"/>
                <w:lang w:val="en-US" w:eastAsia="zh-CN"/>
              </w:rPr>
              <w:t>0.0002</w:t>
            </w:r>
          </w:p>
        </w:tc>
      </w:tr>
      <w:tr w14:paraId="1284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515" w:type="dxa"/>
            <w:tcBorders>
              <w:left w:val="single" w:color="auto" w:sz="12" w:space="0"/>
              <w:bottom w:val="single" w:color="auto" w:sz="2" w:space="0"/>
            </w:tcBorders>
            <w:noWrap w:val="0"/>
            <w:vAlign w:val="top"/>
          </w:tcPr>
          <w:p w14:paraId="55ED9F98">
            <w:pPr>
              <w:spacing w:line="400" w:lineRule="exact"/>
              <w:ind w:firstLine="360" w:firstLineChars="200"/>
              <w:jc w:val="center"/>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0.0030</w:t>
            </w:r>
          </w:p>
        </w:tc>
        <w:tc>
          <w:tcPr>
            <w:tcW w:w="4910" w:type="dxa"/>
            <w:tcBorders>
              <w:bottom w:val="single" w:color="auto" w:sz="2" w:space="0"/>
              <w:right w:val="single" w:color="auto" w:sz="12" w:space="0"/>
            </w:tcBorders>
            <w:noWrap w:val="0"/>
            <w:vAlign w:val="center"/>
          </w:tcPr>
          <w:p w14:paraId="2C1F4299">
            <w:pPr>
              <w:pStyle w:val="22"/>
              <w:jc w:val="center"/>
              <w:rPr>
                <w:rFonts w:hint="default" w:eastAsia="宋体"/>
                <w:sz w:val="18"/>
                <w:lang w:val="en-US" w:eastAsia="zh-CN"/>
              </w:rPr>
            </w:pPr>
            <w:r>
              <w:rPr>
                <w:rFonts w:hint="eastAsia"/>
                <w:sz w:val="18"/>
                <w:lang w:val="en-US" w:eastAsia="zh-CN"/>
              </w:rPr>
              <w:t>0.0005</w:t>
            </w:r>
          </w:p>
        </w:tc>
      </w:tr>
      <w:tr w14:paraId="73D4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0F4B5B5B">
            <w:pPr>
              <w:spacing w:line="400" w:lineRule="exact"/>
              <w:ind w:firstLine="360" w:firstLineChars="200"/>
              <w:jc w:val="cente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0.0069</w:t>
            </w:r>
          </w:p>
        </w:tc>
        <w:tc>
          <w:tcPr>
            <w:tcW w:w="4910" w:type="dxa"/>
            <w:tcBorders>
              <w:top w:val="single" w:color="auto" w:sz="2" w:space="0"/>
              <w:bottom w:val="single" w:color="auto" w:sz="2" w:space="0"/>
              <w:right w:val="single" w:color="auto" w:sz="12" w:space="0"/>
            </w:tcBorders>
            <w:noWrap w:val="0"/>
            <w:vAlign w:val="center"/>
          </w:tcPr>
          <w:p w14:paraId="4D8D28DD">
            <w:pPr>
              <w:pStyle w:val="22"/>
              <w:jc w:val="center"/>
              <w:rPr>
                <w:rFonts w:hint="default" w:eastAsia="宋体"/>
                <w:sz w:val="18"/>
                <w:lang w:val="en-US" w:eastAsia="zh-CN"/>
              </w:rPr>
            </w:pPr>
            <w:r>
              <w:rPr>
                <w:rFonts w:hint="eastAsia"/>
                <w:sz w:val="18"/>
                <w:lang w:val="en-US" w:eastAsia="zh-CN"/>
              </w:rPr>
              <w:t>0.0010</w:t>
            </w:r>
          </w:p>
        </w:tc>
      </w:tr>
      <w:tr w14:paraId="0285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3FD5341A">
            <w:pPr>
              <w:spacing w:line="400" w:lineRule="exact"/>
              <w:ind w:firstLine="360" w:firstLineChars="200"/>
              <w:jc w:val="cente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0.0097</w:t>
            </w:r>
          </w:p>
        </w:tc>
        <w:tc>
          <w:tcPr>
            <w:tcW w:w="4910" w:type="dxa"/>
            <w:tcBorders>
              <w:top w:val="single" w:color="auto" w:sz="2" w:space="0"/>
              <w:bottom w:val="single" w:color="auto" w:sz="2" w:space="0"/>
              <w:right w:val="single" w:color="auto" w:sz="12" w:space="0"/>
            </w:tcBorders>
            <w:noWrap w:val="0"/>
            <w:vAlign w:val="center"/>
          </w:tcPr>
          <w:p w14:paraId="4A4273D0">
            <w:pPr>
              <w:pStyle w:val="22"/>
              <w:jc w:val="center"/>
              <w:rPr>
                <w:rFonts w:hint="default" w:eastAsia="宋体"/>
                <w:sz w:val="18"/>
                <w:lang w:val="en-US" w:eastAsia="zh-CN"/>
              </w:rPr>
            </w:pPr>
            <w:r>
              <w:rPr>
                <w:rFonts w:hint="eastAsia"/>
                <w:sz w:val="18"/>
                <w:lang w:val="en-US" w:eastAsia="zh-CN"/>
              </w:rPr>
              <w:t>0.0012</w:t>
            </w:r>
          </w:p>
        </w:tc>
      </w:tr>
      <w:tr w14:paraId="5ABF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19ACA6F3">
            <w:pPr>
              <w:spacing w:line="400" w:lineRule="exact"/>
              <w:ind w:firstLine="360" w:firstLineChars="200"/>
              <w:jc w:val="cente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0.059</w:t>
            </w:r>
          </w:p>
        </w:tc>
        <w:tc>
          <w:tcPr>
            <w:tcW w:w="4910" w:type="dxa"/>
            <w:tcBorders>
              <w:top w:val="single" w:color="auto" w:sz="2" w:space="0"/>
              <w:bottom w:val="single" w:color="auto" w:sz="2" w:space="0"/>
              <w:right w:val="single" w:color="auto" w:sz="12" w:space="0"/>
            </w:tcBorders>
            <w:noWrap w:val="0"/>
            <w:vAlign w:val="center"/>
          </w:tcPr>
          <w:p w14:paraId="6297A310">
            <w:pPr>
              <w:pStyle w:val="22"/>
              <w:jc w:val="center"/>
              <w:rPr>
                <w:rFonts w:hint="default" w:eastAsia="宋体"/>
                <w:sz w:val="18"/>
                <w:lang w:val="en-US" w:eastAsia="zh-CN"/>
              </w:rPr>
            </w:pPr>
            <w:r>
              <w:rPr>
                <w:rFonts w:hint="eastAsia"/>
                <w:sz w:val="18"/>
                <w:lang w:val="en-US" w:eastAsia="zh-CN"/>
              </w:rPr>
              <w:t>0.010</w:t>
            </w:r>
          </w:p>
        </w:tc>
      </w:tr>
      <w:tr w14:paraId="0438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28D2E45F">
            <w:pPr>
              <w:spacing w:line="400" w:lineRule="exact"/>
              <w:ind w:firstLine="360" w:firstLineChars="200"/>
              <w:jc w:val="cente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0.11</w:t>
            </w:r>
          </w:p>
        </w:tc>
        <w:tc>
          <w:tcPr>
            <w:tcW w:w="4910" w:type="dxa"/>
            <w:tcBorders>
              <w:top w:val="single" w:color="auto" w:sz="2" w:space="0"/>
              <w:bottom w:val="single" w:color="auto" w:sz="2" w:space="0"/>
              <w:right w:val="single" w:color="auto" w:sz="12" w:space="0"/>
            </w:tcBorders>
            <w:noWrap w:val="0"/>
            <w:vAlign w:val="center"/>
          </w:tcPr>
          <w:p w14:paraId="71FA01DF">
            <w:pPr>
              <w:pStyle w:val="22"/>
              <w:jc w:val="center"/>
              <w:rPr>
                <w:rFonts w:hint="default" w:eastAsia="宋体"/>
                <w:sz w:val="18"/>
                <w:lang w:val="en-US" w:eastAsia="zh-CN"/>
              </w:rPr>
            </w:pPr>
            <w:r>
              <w:rPr>
                <w:rFonts w:hint="eastAsia"/>
                <w:sz w:val="18"/>
                <w:lang w:val="en-US" w:eastAsia="zh-CN"/>
              </w:rPr>
              <w:t>0.020</w:t>
            </w:r>
          </w:p>
        </w:tc>
      </w:tr>
      <w:tr w14:paraId="36B6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5" w:type="dxa"/>
            <w:tcBorders>
              <w:top w:val="single" w:color="auto" w:sz="2" w:space="0"/>
              <w:left w:val="single" w:color="auto" w:sz="12" w:space="0"/>
              <w:bottom w:val="single" w:color="auto" w:sz="2" w:space="0"/>
            </w:tcBorders>
            <w:noWrap w:val="0"/>
            <w:vAlign w:val="top"/>
          </w:tcPr>
          <w:p w14:paraId="2EA383C9">
            <w:pPr>
              <w:spacing w:line="400" w:lineRule="exact"/>
              <w:ind w:firstLine="360" w:firstLineChars="200"/>
              <w:jc w:val="cente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0.29</w:t>
            </w:r>
          </w:p>
        </w:tc>
        <w:tc>
          <w:tcPr>
            <w:tcW w:w="4910" w:type="dxa"/>
            <w:tcBorders>
              <w:top w:val="single" w:color="auto" w:sz="2" w:space="0"/>
              <w:bottom w:val="single" w:color="auto" w:sz="2" w:space="0"/>
              <w:right w:val="single" w:color="auto" w:sz="12" w:space="0"/>
            </w:tcBorders>
            <w:noWrap w:val="0"/>
            <w:vAlign w:val="center"/>
          </w:tcPr>
          <w:p w14:paraId="7894540A">
            <w:pPr>
              <w:pStyle w:val="22"/>
              <w:jc w:val="center"/>
              <w:rPr>
                <w:rFonts w:hint="default" w:eastAsia="宋体"/>
                <w:sz w:val="18"/>
                <w:lang w:val="en-US" w:eastAsia="zh-CN"/>
              </w:rPr>
            </w:pPr>
            <w:r>
              <w:rPr>
                <w:rFonts w:hint="eastAsia"/>
                <w:sz w:val="18"/>
                <w:lang w:val="en-US" w:eastAsia="zh-CN"/>
              </w:rPr>
              <w:t>0.030</w:t>
            </w:r>
          </w:p>
        </w:tc>
      </w:tr>
      <w:tr w14:paraId="04CF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425" w:type="dxa"/>
            <w:gridSpan w:val="2"/>
            <w:tcBorders>
              <w:top w:val="single" w:color="auto" w:sz="2" w:space="0"/>
              <w:left w:val="single" w:color="auto" w:sz="12" w:space="0"/>
              <w:bottom w:val="single" w:color="auto" w:sz="12" w:space="0"/>
              <w:right w:val="single" w:color="auto" w:sz="12" w:space="0"/>
            </w:tcBorders>
            <w:noWrap w:val="0"/>
            <w:vAlign w:val="center"/>
          </w:tcPr>
          <w:p w14:paraId="57F6F5B0">
            <w:pPr>
              <w:spacing w:line="400" w:lineRule="exact"/>
              <w:ind w:firstLine="360" w:firstLineChars="200"/>
              <w:jc w:val="left"/>
              <w:rPr>
                <w:rFonts w:hint="eastAsia"/>
                <w:sz w:val="18"/>
              </w:rPr>
            </w:pPr>
            <w:r>
              <w:rPr>
                <w:rFonts w:ascii="宋体" w:hAnsi="宋体"/>
                <w:sz w:val="18"/>
                <w:szCs w:val="18"/>
              </w:rPr>
              <w:t>注：重复性限（</w:t>
            </w:r>
            <w:r>
              <w:rPr>
                <w:rFonts w:hint="eastAsia" w:ascii="宋体" w:hAnsi="宋体"/>
                <w:sz w:val="18"/>
                <w:szCs w:val="18"/>
                <w:lang w:val="en-US" w:eastAsia="zh-CN"/>
              </w:rPr>
              <w:t>R</w:t>
            </w:r>
            <w:r>
              <w:rPr>
                <w:rFonts w:ascii="宋体" w:hAnsi="宋体"/>
                <w:sz w:val="18"/>
                <w:szCs w:val="18"/>
              </w:rPr>
              <w:t>）为2.8×S</w:t>
            </w:r>
            <w:r>
              <w:rPr>
                <w:rFonts w:hint="eastAsia" w:ascii="宋体" w:hAnsi="宋体"/>
                <w:sz w:val="18"/>
                <w:szCs w:val="18"/>
                <w:vertAlign w:val="subscript"/>
                <w:lang w:val="en-US" w:eastAsia="zh-CN"/>
              </w:rPr>
              <w:t>R</w:t>
            </w:r>
            <w:r>
              <w:rPr>
                <w:rFonts w:ascii="宋体" w:hAnsi="宋体"/>
                <w:sz w:val="18"/>
                <w:szCs w:val="18"/>
              </w:rPr>
              <w:t>，S</w:t>
            </w:r>
            <w:r>
              <w:rPr>
                <w:rFonts w:hint="eastAsia" w:ascii="宋体" w:hAnsi="宋体"/>
                <w:sz w:val="18"/>
                <w:szCs w:val="18"/>
                <w:vertAlign w:val="subscript"/>
                <w:lang w:val="en-US" w:eastAsia="zh-CN"/>
              </w:rPr>
              <w:t>R</w:t>
            </w:r>
            <w:r>
              <w:rPr>
                <w:rFonts w:ascii="宋体" w:hAnsi="宋体"/>
                <w:sz w:val="18"/>
                <w:szCs w:val="18"/>
              </w:rPr>
              <w:t>为</w:t>
            </w:r>
            <w:r>
              <w:rPr>
                <w:rFonts w:hint="eastAsia" w:ascii="宋体" w:hAnsi="宋体"/>
                <w:sz w:val="18"/>
                <w:szCs w:val="18"/>
                <w:lang w:val="en-US" w:eastAsia="zh-CN"/>
              </w:rPr>
              <w:t>再现</w:t>
            </w:r>
            <w:r>
              <w:rPr>
                <w:rFonts w:ascii="宋体" w:hAnsi="宋体"/>
                <w:sz w:val="18"/>
                <w:szCs w:val="18"/>
              </w:rPr>
              <w:t>性标准差。</w:t>
            </w:r>
          </w:p>
        </w:tc>
      </w:tr>
    </w:tbl>
    <w:p w14:paraId="27B51EF0">
      <w:pPr>
        <w:spacing w:line="360" w:lineRule="auto"/>
        <w:ind w:firstLine="420" w:firstLineChars="200"/>
        <w:rPr>
          <w:rFonts w:hint="eastAsia" w:ascii="宋体" w:hAnsi="宋体"/>
        </w:rPr>
      </w:pPr>
    </w:p>
    <w:sectPr>
      <w:footerReference r:id="rId14" w:type="first"/>
      <w:footerReference r:id="rId12" w:type="default"/>
      <w:headerReference r:id="rId11" w:type="even"/>
      <w:footerReference r:id="rId13" w:type="even"/>
      <w:pgSz w:w="11906" w:h="16838"/>
      <w:pgMar w:top="1417" w:right="1134" w:bottom="1134" w:left="1418" w:header="1418" w:footer="1134"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HiddenHorzOCR">
    <w:altName w:val="MS Mincho"/>
    <w:panose1 w:val="00000000000000000000"/>
    <w:charset w:val="80"/>
    <w:family w:val="auto"/>
    <w:pitch w:val="default"/>
    <w:sig w:usb0="00000000" w:usb1="00000000" w:usb2="00000010" w:usb3="00000000" w:csb0="00020000"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71E79">
    <w:pPr>
      <w:pStyle w:val="27"/>
    </w:pPr>
    <w: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14:paraId="2A280205">
                <w:pPr>
                  <w:pStyle w:val="2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7D96">
    <w:pPr>
      <w:pStyle w:val="27"/>
      <w:jc w:val="center"/>
    </w:pPr>
    <w:r>
      <w:pict>
        <v:shape id="_x0000_s4099" o:spid="_x0000_s409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14:paraId="241B1293">
                <w:pPr>
                  <w:pStyle w:val="27"/>
                </w:pPr>
                <w:r>
                  <w:fldChar w:fldCharType="begin"/>
                </w:r>
                <w:r>
                  <w:instrText xml:space="preserve"> PAGE  \* MERGEFORMAT </w:instrText>
                </w:r>
                <w:r>
                  <w:fldChar w:fldCharType="separate"/>
                </w:r>
                <w:r>
                  <w:rPr>
                    <w:rFonts w:hint="eastAsia"/>
                  </w:rPr>
                  <w:t>2</w:t>
                </w:r>
                <w:r>
                  <w:rPr>
                    <w:rFonts w:hint="eastAsia"/>
                  </w:rPr>
                  <w:fldChar w:fldCharType="end"/>
                </w:r>
              </w:p>
            </w:txbxContent>
          </v:textbox>
        </v:shape>
      </w:pict>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5C70">
    <w:pPr>
      <w:pStyle w:val="27"/>
      <w:jc w:val="both"/>
    </w:pPr>
    <w:r>
      <w:pict>
        <v:shape id="_x0000_s4106" o:spid="_x0000_s4106" o:spt="202" type="#_x0000_t202" style="position:absolute;left:0pt;flip:x;margin-top:-0.7pt;height:11.05pt;width:144pt;mso-position-horizontal:center;mso-position-horizontal-relative:margin;mso-wrap-style:none;z-index:251671552;mso-width-relative:page;mso-height-relative:page;" filled="f" stroked="f" coordsize="21600,21600">
          <v:path/>
          <v:fill on="f" focussize="0,0"/>
          <v:stroke on="f" weight="1.25pt" joinstyle="miter"/>
          <v:imagedata o:title=""/>
          <o:lock v:ext="edit"/>
          <v:textbox inset="0mm,0mm,0mm,0mm">
            <w:txbxContent>
              <w:p w14:paraId="6032B3EE">
                <w:pPr>
                  <w:pStyle w:val="2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9946">
    <w:pPr>
      <w:pStyle w:val="27"/>
      <w:jc w:val="center"/>
    </w:pPr>
    <w:r>
      <w:pict>
        <v:shape id="_x0000_s4105" o:spid="_x0000_s410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1.25pt" joinstyle="miter"/>
          <v:imagedata o:title=""/>
          <o:lock v:ext="edit"/>
          <v:textbox inset="0mm,0mm,0mm,0mm" style="mso-fit-shape-to-text:t;">
            <w:txbxContent>
              <w:p w14:paraId="27376283">
                <w:pPr>
                  <w:pStyle w:val="27"/>
                </w:pPr>
                <w:r>
                  <w:fldChar w:fldCharType="begin"/>
                </w:r>
                <w:r>
                  <w:instrText xml:space="preserve"> PAGE  \* MERGEFORMAT </w:instrText>
                </w:r>
                <w:r>
                  <w:fldChar w:fldCharType="separate"/>
                </w:r>
                <w:r>
                  <w:t>2</w:t>
                </w:r>
                <w:r>
                  <w:fldChar w:fldCharType="end"/>
                </w:r>
              </w:p>
            </w:txbxContent>
          </v:textbox>
        </v:shape>
      </w:pict>
    </w:r>
    <w:r>
      <w:rPr>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8EFD">
    <w:pPr>
      <w:pStyle w:val="27"/>
      <w:jc w:val="center"/>
    </w:pPr>
    <w:r>
      <w:pict>
        <v:shape id="_x0000_s4107" o:spid="_x0000_s4107"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weight="1.25pt" joinstyle="miter"/>
          <v:imagedata o:title=""/>
          <o:lock v:ext="edit"/>
          <v:textbox inset="0mm,0mm,0mm,0mm" style="mso-fit-shape-to-text:t;">
            <w:txbxContent>
              <w:sdt>
                <w:sdtPr>
                  <w:id w:val="1395787775"/>
                </w:sdtPr>
                <w:sdtContent>
                  <w:p w14:paraId="1E0F9BA9">
                    <w:pPr>
                      <w:pStyle w:val="27"/>
                      <w:jc w:val="center"/>
                    </w:pPr>
                    <w:r>
                      <w:fldChar w:fldCharType="begin"/>
                    </w:r>
                    <w:r>
                      <w:instrText xml:space="preserve">PAGE   \* MERGEFORMAT</w:instrText>
                    </w:r>
                    <w:r>
                      <w:fldChar w:fldCharType="separate"/>
                    </w:r>
                    <w:r>
                      <w:rPr>
                        <w:lang w:val="zh-CN"/>
                      </w:rPr>
                      <w:t>17</w:t>
                    </w:r>
                    <w:r>
                      <w:rPr>
                        <w:lang w:val="zh-CN"/>
                      </w:rPr>
                      <w:fldChar w:fldCharType="end"/>
                    </w:r>
                  </w:p>
                </w:sdtContent>
              </w:sdt>
              <w:p w14:paraId="6F819EB2"/>
            </w:txbxContent>
          </v:textbox>
        </v:shape>
      </w:pict>
    </w:r>
  </w:p>
  <w:p w14:paraId="1BBB107B">
    <w:pPr>
      <w:pStyle w:val="124"/>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CF29">
    <w:pPr>
      <w:pStyle w:val="27"/>
      <w:tabs>
        <w:tab w:val="center" w:pos="4677"/>
        <w:tab w:val="right" w:pos="9264"/>
      </w:tabs>
      <w:jc w:val="left"/>
    </w:pPr>
    <w:r>
      <w:pict>
        <v:shape id="_x0000_s4108" o:spid="_x0000_s4108"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weight="1.25pt" joinstyle="miter"/>
          <v:imagedata o:title=""/>
          <o:lock v:ext="edit"/>
          <v:textbox inset="0mm,0mm,0mm,0mm" style="mso-fit-shape-to-text:t;">
            <w:txbxContent>
              <w:p w14:paraId="42324ABB">
                <w:pPr>
                  <w:pStyle w:val="27"/>
                </w:pPr>
                <w:r>
                  <w:fldChar w:fldCharType="begin"/>
                </w:r>
                <w:r>
                  <w:instrText xml:space="preserve"> PAGE  \* MERGEFORMAT </w:instrText>
                </w:r>
                <w:r>
                  <w:fldChar w:fldCharType="separate"/>
                </w:r>
                <w:r>
                  <w:t>16</w:t>
                </w:r>
                <w:r>
                  <w:fldChar w:fldCharType="end"/>
                </w:r>
              </w:p>
            </w:txbxContent>
          </v:textbox>
        </v:shape>
      </w:pict>
    </w:r>
    <w:sdt>
      <w:sdtPr>
        <w:id w:val="-1596549802"/>
      </w:sdtPr>
      <w:sdtContent>
        <w:r>
          <w:rPr>
            <w:rFonts w:hint="eastAsia"/>
          </w:rPr>
          <w:tab/>
        </w:r>
        <w:r>
          <w:rPr>
            <w:rFonts w:hint="eastAsia"/>
          </w:rPr>
          <w:tab/>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D0B6">
    <w:pPr>
      <w:pStyle w:val="27"/>
      <w:jc w:val="center"/>
    </w:pPr>
    <w:r>
      <w:pict>
        <v:shape id="_x0000_s4109" o:spid="_x0000_s410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1.25pt" joinstyle="miter"/>
          <v:imagedata o:title=""/>
          <o:lock v:ext="edit"/>
          <v:textbox inset="0mm,0mm,0mm,0mm" style="mso-fit-shape-to-text:t;">
            <w:txbxContent>
              <w:p w14:paraId="1B156B71">
                <w:pPr>
                  <w:pStyle w:val="27"/>
                </w:pPr>
                <w:r>
                  <w:fldChar w:fldCharType="begin"/>
                </w:r>
                <w:r>
                  <w:instrText xml:space="preserve"> PAGE  \* MERGEFORMAT </w:instrText>
                </w:r>
                <w:r>
                  <w:fldChar w:fldCharType="separate"/>
                </w:r>
                <w:r>
                  <w:t>3</w:t>
                </w:r>
                <w:r>
                  <w:fldChar w:fldCharType="end"/>
                </w:r>
              </w:p>
            </w:txbxContent>
          </v:textbox>
        </v:shape>
      </w:pict>
    </w:r>
    <w:r>
      <w:rPr>
        <w:rFonts w:hint="eastAsia"/>
      </w:rP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B65C">
    <w:pPr>
      <w:pStyle w:val="28"/>
      <w:rPr>
        <w:rFonts w:ascii="黑体" w:hAnsi="黑体" w:eastAsia="黑体"/>
        <w:sz w:val="21"/>
        <w:szCs w:val="21"/>
      </w:rPr>
    </w:pPr>
    <w:r>
      <w:rPr>
        <w:rFonts w:hint="eastAsia" w:ascii="黑体" w:hAnsi="黑体" w:eastAsia="黑体"/>
        <w:sz w:val="21"/>
        <w:szCs w:val="21"/>
      </w:rPr>
      <w:t>GB/T12690.1</w:t>
    </w:r>
    <w:r>
      <w:rPr>
        <w:rFonts w:hint="eastAsia" w:ascii="黑体" w:hAnsi="黑体" w:eastAsia="黑体"/>
        <w:sz w:val="21"/>
        <w:szCs w:val="21"/>
        <w:lang w:val="en-US" w:eastAsia="zh-CN"/>
      </w:rPr>
      <w:t>1</w:t>
    </w:r>
    <w:r>
      <w:rPr>
        <w:rFonts w:hint="eastAsia" w:ascii="黑体" w:hAnsi="黑体" w:eastAsia="黑体"/>
        <w:sz w:val="21"/>
        <w:szCs w:val="21"/>
      </w:rPr>
      <w:t>-20</w:t>
    </w:r>
    <w:r>
      <w:rPr>
        <w:rFonts w:hint="eastAsia" w:ascii="黑体" w:hAnsi="黑体" w:eastAsia="黑体"/>
        <w:sz w:val="21"/>
        <w:szCs w:val="21"/>
        <w:lang w:val="en-US" w:eastAsia="zh-CN"/>
      </w:rPr>
      <w:t>2</w:t>
    </w:r>
    <w:r>
      <w:rPr>
        <w:rFonts w:hint="eastAsia" w:ascii="黑体" w:hAnsi="黑体" w:eastAsia="黑体"/>
        <w:sz w:val="21"/>
        <w:szCs w:val="21"/>
      </w:rPr>
      <w:t>X</w:t>
    </w:r>
  </w:p>
  <w:p w14:paraId="0A77C0C4">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BD1F">
    <w:pPr>
      <w:pStyle w:val="28"/>
    </w:pPr>
    <w:r>
      <w:rPr>
        <w:rFonts w:hint="eastAsia"/>
      </w:rPr>
      <w:t xml:space="preserve">                                                                                       GB/T12690.</w:t>
    </w:r>
    <w:r>
      <w:t>1</w:t>
    </w:r>
    <w:r>
      <w:rPr>
        <w:rFonts w:hint="eastAsia"/>
      </w:rPr>
      <w:t>5-201X</w:t>
    </w:r>
  </w:p>
  <w:p w14:paraId="7223A7DC">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66FB">
    <w:pPr>
      <w:pStyle w:val="116"/>
      <w:jc w:val="left"/>
      <w:rPr>
        <w:rFonts w:hint="eastAsia" w:eastAsia="宋体"/>
        <w:lang w:eastAsia="zh-CN"/>
      </w:rPr>
    </w:pPr>
    <w:r>
      <w:rPr>
        <w:rFonts w:hint="eastAsia"/>
        <w:lang w:val="en-US" w:eastAsia="zh-CN"/>
      </w:rPr>
      <w:t xml:space="preserve">                                                                        </w:t>
    </w:r>
    <w:r>
      <w:rPr>
        <w:rFonts w:hint="eastAsia"/>
      </w:rPr>
      <w:t>GB/T12690.</w:t>
    </w:r>
    <w:r>
      <w:t>1</w:t>
    </w:r>
    <w:r>
      <w:rPr>
        <w:rFonts w:hint="eastAsia"/>
        <w:lang w:val="en-US" w:eastAsia="zh-CN"/>
      </w:rPr>
      <w:t>1</w:t>
    </w:r>
    <w:r>
      <w:rPr>
        <w:rFonts w:hint="eastAsia"/>
      </w:rPr>
      <w:t>-20</w:t>
    </w:r>
    <w:r>
      <w:rPr>
        <w:rFonts w:hint="eastAsia"/>
        <w:lang w:val="en-US" w:eastAsia="zh-CN"/>
      </w:rPr>
      <w:t>2</w:t>
    </w:r>
    <w:r>
      <w:rPr>
        <w:rFonts w:hint="eastAsia"/>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F893">
    <w:pPr>
      <w:pStyle w:val="28"/>
      <w:rPr>
        <w:rFonts w:ascii="黑体" w:hAnsi="黑体" w:eastAsia="黑体"/>
        <w:sz w:val="21"/>
        <w:szCs w:val="21"/>
      </w:rPr>
    </w:pPr>
    <w:r>
      <w:rPr>
        <w:rFonts w:hint="eastAsia" w:ascii="黑体" w:hAnsi="黑体" w:eastAsia="黑体"/>
        <w:sz w:val="21"/>
        <w:szCs w:val="21"/>
      </w:rPr>
      <w:t>GB/T12690.1</w:t>
    </w:r>
    <w:r>
      <w:rPr>
        <w:rFonts w:hint="eastAsia" w:ascii="黑体" w:hAnsi="黑体" w:eastAsia="黑体"/>
        <w:sz w:val="21"/>
        <w:szCs w:val="21"/>
        <w:lang w:val="en-US" w:eastAsia="zh-CN"/>
      </w:rPr>
      <w:t>1</w:t>
    </w:r>
    <w:r>
      <w:rPr>
        <w:rFonts w:hint="eastAsia" w:ascii="黑体" w:hAnsi="黑体" w:eastAsia="黑体"/>
        <w:sz w:val="21"/>
        <w:szCs w:val="21"/>
      </w:rPr>
      <w:t>-20</w:t>
    </w:r>
    <w:r>
      <w:rPr>
        <w:rFonts w:hint="eastAsia" w:ascii="黑体" w:hAnsi="黑体" w:eastAsia="黑体"/>
        <w:sz w:val="21"/>
        <w:szCs w:val="21"/>
        <w:lang w:val="en-US" w:eastAsia="zh-CN"/>
      </w:rPr>
      <w:t>2</w:t>
    </w:r>
    <w:r>
      <w:rPr>
        <w:rFonts w:hint="eastAsia" w:ascii="黑体" w:hAnsi="黑体" w:eastAsia="黑体"/>
        <w:sz w:val="21"/>
        <w:szCs w:val="21"/>
      </w:rPr>
      <w:t>X</w:t>
    </w:r>
  </w:p>
  <w:p w14:paraId="7DC6898C">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64C03">
    <w:pPr>
      <w:pStyle w:val="28"/>
      <w:rPr>
        <w:rFonts w:ascii="黑体" w:hAnsi="黑体" w:eastAsia="黑体"/>
        <w:sz w:val="21"/>
        <w:szCs w:val="21"/>
      </w:rPr>
    </w:pPr>
    <w:r>
      <w:rPr>
        <w:rFonts w:hint="eastAsia" w:ascii="黑体" w:hAnsi="黑体" w:eastAsia="黑体"/>
        <w:sz w:val="21"/>
        <w:szCs w:val="21"/>
      </w:rPr>
      <w:t>GB/T12690.1</w:t>
    </w:r>
    <w:r>
      <w:rPr>
        <w:rFonts w:hint="eastAsia" w:ascii="黑体" w:hAnsi="黑体" w:eastAsia="黑体"/>
        <w:sz w:val="21"/>
        <w:szCs w:val="21"/>
        <w:lang w:val="en-US" w:eastAsia="zh-CN"/>
      </w:rPr>
      <w:t>1</w:t>
    </w:r>
    <w:r>
      <w:rPr>
        <w:rFonts w:hint="eastAsia" w:ascii="黑体" w:hAnsi="黑体" w:eastAsia="黑体"/>
        <w:sz w:val="21"/>
        <w:szCs w:val="21"/>
      </w:rPr>
      <w:t>-20</w:t>
    </w:r>
    <w:r>
      <w:rPr>
        <w:rFonts w:hint="eastAsia" w:ascii="黑体" w:hAnsi="黑体" w:eastAsia="黑体"/>
        <w:sz w:val="21"/>
        <w:szCs w:val="21"/>
        <w:lang w:val="en-US" w:eastAsia="zh-CN"/>
      </w:rPr>
      <w:t>2</w:t>
    </w:r>
    <w:r>
      <w:rPr>
        <w:rFonts w:hint="eastAsia" w:ascii="黑体" w:hAnsi="黑体" w:eastAsia="黑体"/>
        <w:sz w:val="21"/>
        <w:szCs w:val="21"/>
      </w:rPr>
      <w:t>X</w:t>
    </w:r>
  </w:p>
  <w:p w14:paraId="6010C884">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E698A"/>
    <w:multiLevelType w:val="multilevel"/>
    <w:tmpl w:val="416E698A"/>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lvlText w:val="%1.%2.%3"/>
      <w:lvlJc w:val="left"/>
      <w:pPr>
        <w:ind w:left="0" w:firstLine="0"/>
      </w:pPr>
      <w:rPr>
        <w:rFonts w:hint="default" w:ascii="Times New Roman" w:hAnsi="Times New Roman" w:cs="Times New Roman"/>
        <w:b w:val="0"/>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jZjQ1YjY5MmZmYjUwZDRjMmU0NDA2ZTkwNTRkYTUifQ=="/>
  </w:docVars>
  <w:rsids>
    <w:rsidRoot w:val="007D0494"/>
    <w:rsid w:val="00003C4E"/>
    <w:rsid w:val="00006621"/>
    <w:rsid w:val="00011E8D"/>
    <w:rsid w:val="0002192C"/>
    <w:rsid w:val="000279FC"/>
    <w:rsid w:val="00035198"/>
    <w:rsid w:val="00042DE8"/>
    <w:rsid w:val="0004436E"/>
    <w:rsid w:val="00052442"/>
    <w:rsid w:val="000571AA"/>
    <w:rsid w:val="00057EA6"/>
    <w:rsid w:val="00060D14"/>
    <w:rsid w:val="00061157"/>
    <w:rsid w:val="00070192"/>
    <w:rsid w:val="00076AC8"/>
    <w:rsid w:val="0007758D"/>
    <w:rsid w:val="000966C3"/>
    <w:rsid w:val="00096B89"/>
    <w:rsid w:val="000A1923"/>
    <w:rsid w:val="000A2FA1"/>
    <w:rsid w:val="000C1AD3"/>
    <w:rsid w:val="000D1546"/>
    <w:rsid w:val="000D3305"/>
    <w:rsid w:val="001033B8"/>
    <w:rsid w:val="00103D1F"/>
    <w:rsid w:val="00116196"/>
    <w:rsid w:val="00120C91"/>
    <w:rsid w:val="00132BDF"/>
    <w:rsid w:val="00133837"/>
    <w:rsid w:val="001344D5"/>
    <w:rsid w:val="001347BC"/>
    <w:rsid w:val="001530C9"/>
    <w:rsid w:val="001539FF"/>
    <w:rsid w:val="00154529"/>
    <w:rsid w:val="00161293"/>
    <w:rsid w:val="00164E28"/>
    <w:rsid w:val="00167004"/>
    <w:rsid w:val="00170CBD"/>
    <w:rsid w:val="0017143B"/>
    <w:rsid w:val="00176496"/>
    <w:rsid w:val="00177727"/>
    <w:rsid w:val="00177C2C"/>
    <w:rsid w:val="00177E63"/>
    <w:rsid w:val="00183050"/>
    <w:rsid w:val="0018464A"/>
    <w:rsid w:val="001875BA"/>
    <w:rsid w:val="001A1759"/>
    <w:rsid w:val="001A3478"/>
    <w:rsid w:val="001A73CC"/>
    <w:rsid w:val="001A7D69"/>
    <w:rsid w:val="001B456C"/>
    <w:rsid w:val="001B4ABA"/>
    <w:rsid w:val="001B716B"/>
    <w:rsid w:val="001B782A"/>
    <w:rsid w:val="001C0A12"/>
    <w:rsid w:val="001C214A"/>
    <w:rsid w:val="001C354E"/>
    <w:rsid w:val="001C5DE2"/>
    <w:rsid w:val="001E3E0D"/>
    <w:rsid w:val="001F0327"/>
    <w:rsid w:val="001F5621"/>
    <w:rsid w:val="002006AE"/>
    <w:rsid w:val="00200791"/>
    <w:rsid w:val="00212CDE"/>
    <w:rsid w:val="00216A96"/>
    <w:rsid w:val="00216C61"/>
    <w:rsid w:val="00220873"/>
    <w:rsid w:val="0024029F"/>
    <w:rsid w:val="0024126B"/>
    <w:rsid w:val="00242E6B"/>
    <w:rsid w:val="00267428"/>
    <w:rsid w:val="00270F57"/>
    <w:rsid w:val="00276E75"/>
    <w:rsid w:val="00282A87"/>
    <w:rsid w:val="00283A0C"/>
    <w:rsid w:val="00292688"/>
    <w:rsid w:val="002A2785"/>
    <w:rsid w:val="002A324B"/>
    <w:rsid w:val="002A552D"/>
    <w:rsid w:val="002B5815"/>
    <w:rsid w:val="002C25B9"/>
    <w:rsid w:val="002D0CB7"/>
    <w:rsid w:val="002D39BB"/>
    <w:rsid w:val="002F1684"/>
    <w:rsid w:val="002F1FDC"/>
    <w:rsid w:val="002F74C3"/>
    <w:rsid w:val="00300065"/>
    <w:rsid w:val="00317D8C"/>
    <w:rsid w:val="00324D34"/>
    <w:rsid w:val="00330EE6"/>
    <w:rsid w:val="00334A9C"/>
    <w:rsid w:val="00335A46"/>
    <w:rsid w:val="00340F17"/>
    <w:rsid w:val="00361C7D"/>
    <w:rsid w:val="00367516"/>
    <w:rsid w:val="003716B1"/>
    <w:rsid w:val="003801AF"/>
    <w:rsid w:val="003812A0"/>
    <w:rsid w:val="00381989"/>
    <w:rsid w:val="00385A48"/>
    <w:rsid w:val="00385D2E"/>
    <w:rsid w:val="00386F00"/>
    <w:rsid w:val="00387FBD"/>
    <w:rsid w:val="00390111"/>
    <w:rsid w:val="00395290"/>
    <w:rsid w:val="0039779F"/>
    <w:rsid w:val="003A695B"/>
    <w:rsid w:val="003A717A"/>
    <w:rsid w:val="003B0D83"/>
    <w:rsid w:val="003B268A"/>
    <w:rsid w:val="003B4B4F"/>
    <w:rsid w:val="003D15E9"/>
    <w:rsid w:val="003D2F22"/>
    <w:rsid w:val="003D41DD"/>
    <w:rsid w:val="003E36E6"/>
    <w:rsid w:val="003E4411"/>
    <w:rsid w:val="003F52D4"/>
    <w:rsid w:val="00406A36"/>
    <w:rsid w:val="004134CD"/>
    <w:rsid w:val="00414262"/>
    <w:rsid w:val="00435034"/>
    <w:rsid w:val="004367EB"/>
    <w:rsid w:val="00444C46"/>
    <w:rsid w:val="00445FE9"/>
    <w:rsid w:val="0044756D"/>
    <w:rsid w:val="00450385"/>
    <w:rsid w:val="00457075"/>
    <w:rsid w:val="0046283C"/>
    <w:rsid w:val="00462B14"/>
    <w:rsid w:val="00464582"/>
    <w:rsid w:val="00476232"/>
    <w:rsid w:val="00482794"/>
    <w:rsid w:val="00483ACE"/>
    <w:rsid w:val="00485DC5"/>
    <w:rsid w:val="0049135A"/>
    <w:rsid w:val="00496385"/>
    <w:rsid w:val="004A0618"/>
    <w:rsid w:val="004A7C75"/>
    <w:rsid w:val="004B1E1F"/>
    <w:rsid w:val="004C3E9B"/>
    <w:rsid w:val="004C538C"/>
    <w:rsid w:val="004C6B82"/>
    <w:rsid w:val="004D0E13"/>
    <w:rsid w:val="004D17C2"/>
    <w:rsid w:val="004E323F"/>
    <w:rsid w:val="004E39A6"/>
    <w:rsid w:val="004E5A20"/>
    <w:rsid w:val="004E5F6A"/>
    <w:rsid w:val="004F0BFD"/>
    <w:rsid w:val="004F548B"/>
    <w:rsid w:val="004F5BA4"/>
    <w:rsid w:val="00506F4F"/>
    <w:rsid w:val="0052302D"/>
    <w:rsid w:val="00523904"/>
    <w:rsid w:val="00531E04"/>
    <w:rsid w:val="00534980"/>
    <w:rsid w:val="00553578"/>
    <w:rsid w:val="00556D12"/>
    <w:rsid w:val="00557C52"/>
    <w:rsid w:val="00576355"/>
    <w:rsid w:val="005857E8"/>
    <w:rsid w:val="00591A8D"/>
    <w:rsid w:val="00592A7B"/>
    <w:rsid w:val="005B0215"/>
    <w:rsid w:val="005B0B7B"/>
    <w:rsid w:val="005B1902"/>
    <w:rsid w:val="005B4852"/>
    <w:rsid w:val="005C554C"/>
    <w:rsid w:val="005C58E3"/>
    <w:rsid w:val="005D2A3E"/>
    <w:rsid w:val="005D325C"/>
    <w:rsid w:val="005F5060"/>
    <w:rsid w:val="005F50A2"/>
    <w:rsid w:val="006013F4"/>
    <w:rsid w:val="00602162"/>
    <w:rsid w:val="0060625A"/>
    <w:rsid w:val="00611CA6"/>
    <w:rsid w:val="006364E0"/>
    <w:rsid w:val="00643C5B"/>
    <w:rsid w:val="006500F8"/>
    <w:rsid w:val="00650671"/>
    <w:rsid w:val="0065109C"/>
    <w:rsid w:val="00660538"/>
    <w:rsid w:val="00667A9B"/>
    <w:rsid w:val="00684D30"/>
    <w:rsid w:val="00692DE2"/>
    <w:rsid w:val="006972E0"/>
    <w:rsid w:val="006B1F07"/>
    <w:rsid w:val="006B35E1"/>
    <w:rsid w:val="006B4D20"/>
    <w:rsid w:val="006B517C"/>
    <w:rsid w:val="006B6C8B"/>
    <w:rsid w:val="006C0DB0"/>
    <w:rsid w:val="006C1851"/>
    <w:rsid w:val="006C44EC"/>
    <w:rsid w:val="006C5D4B"/>
    <w:rsid w:val="006D64B0"/>
    <w:rsid w:val="006E26DB"/>
    <w:rsid w:val="006E3291"/>
    <w:rsid w:val="006E3CBB"/>
    <w:rsid w:val="006F1197"/>
    <w:rsid w:val="006F6E1A"/>
    <w:rsid w:val="00706100"/>
    <w:rsid w:val="007065DF"/>
    <w:rsid w:val="00712ED1"/>
    <w:rsid w:val="00725621"/>
    <w:rsid w:val="00731E68"/>
    <w:rsid w:val="00731F33"/>
    <w:rsid w:val="00736FA6"/>
    <w:rsid w:val="007450A6"/>
    <w:rsid w:val="00745F7E"/>
    <w:rsid w:val="00755D2E"/>
    <w:rsid w:val="007573C4"/>
    <w:rsid w:val="00762B6D"/>
    <w:rsid w:val="007658EC"/>
    <w:rsid w:val="00781ADA"/>
    <w:rsid w:val="00792784"/>
    <w:rsid w:val="00793546"/>
    <w:rsid w:val="007936BD"/>
    <w:rsid w:val="00793C30"/>
    <w:rsid w:val="00796BEB"/>
    <w:rsid w:val="007A5675"/>
    <w:rsid w:val="007B5CA1"/>
    <w:rsid w:val="007C743C"/>
    <w:rsid w:val="007D0494"/>
    <w:rsid w:val="007E5904"/>
    <w:rsid w:val="0080443E"/>
    <w:rsid w:val="008171FB"/>
    <w:rsid w:val="00817227"/>
    <w:rsid w:val="00820F0B"/>
    <w:rsid w:val="00826AD7"/>
    <w:rsid w:val="00831A02"/>
    <w:rsid w:val="008368E6"/>
    <w:rsid w:val="0083776F"/>
    <w:rsid w:val="00841B91"/>
    <w:rsid w:val="00852A0F"/>
    <w:rsid w:val="00853BAF"/>
    <w:rsid w:val="008542AB"/>
    <w:rsid w:val="00854BEB"/>
    <w:rsid w:val="00863F6B"/>
    <w:rsid w:val="008661FE"/>
    <w:rsid w:val="00884678"/>
    <w:rsid w:val="00885F53"/>
    <w:rsid w:val="00886B28"/>
    <w:rsid w:val="00896673"/>
    <w:rsid w:val="008A04D6"/>
    <w:rsid w:val="008A66F2"/>
    <w:rsid w:val="008B05E6"/>
    <w:rsid w:val="008C6189"/>
    <w:rsid w:val="008F206C"/>
    <w:rsid w:val="008F2DCC"/>
    <w:rsid w:val="008F7D2B"/>
    <w:rsid w:val="0090306F"/>
    <w:rsid w:val="009034D2"/>
    <w:rsid w:val="00905B6B"/>
    <w:rsid w:val="00910B6A"/>
    <w:rsid w:val="00910E2D"/>
    <w:rsid w:val="00914EF0"/>
    <w:rsid w:val="0091532C"/>
    <w:rsid w:val="009205C0"/>
    <w:rsid w:val="00922E59"/>
    <w:rsid w:val="009324F6"/>
    <w:rsid w:val="0093455F"/>
    <w:rsid w:val="00941B77"/>
    <w:rsid w:val="00942F22"/>
    <w:rsid w:val="00944430"/>
    <w:rsid w:val="009449EA"/>
    <w:rsid w:val="0095167C"/>
    <w:rsid w:val="00953FAC"/>
    <w:rsid w:val="00955120"/>
    <w:rsid w:val="009613C5"/>
    <w:rsid w:val="0096573E"/>
    <w:rsid w:val="009777B3"/>
    <w:rsid w:val="009903E0"/>
    <w:rsid w:val="009A4C1F"/>
    <w:rsid w:val="009C263E"/>
    <w:rsid w:val="009C5AEE"/>
    <w:rsid w:val="009C7172"/>
    <w:rsid w:val="009D0E02"/>
    <w:rsid w:val="009D1523"/>
    <w:rsid w:val="009D1EEC"/>
    <w:rsid w:val="009D6BC8"/>
    <w:rsid w:val="009D7AF7"/>
    <w:rsid w:val="009E0C33"/>
    <w:rsid w:val="00A0123B"/>
    <w:rsid w:val="00A0245B"/>
    <w:rsid w:val="00A040F5"/>
    <w:rsid w:val="00A0774A"/>
    <w:rsid w:val="00A1190C"/>
    <w:rsid w:val="00A40E57"/>
    <w:rsid w:val="00A6006F"/>
    <w:rsid w:val="00A648DD"/>
    <w:rsid w:val="00A67C11"/>
    <w:rsid w:val="00A749F4"/>
    <w:rsid w:val="00A80721"/>
    <w:rsid w:val="00A8183A"/>
    <w:rsid w:val="00A818F9"/>
    <w:rsid w:val="00A81F72"/>
    <w:rsid w:val="00A90277"/>
    <w:rsid w:val="00A9091D"/>
    <w:rsid w:val="00A91DFA"/>
    <w:rsid w:val="00AB1FEF"/>
    <w:rsid w:val="00AB3BB4"/>
    <w:rsid w:val="00AB51DA"/>
    <w:rsid w:val="00AB78F4"/>
    <w:rsid w:val="00AC6815"/>
    <w:rsid w:val="00AD217B"/>
    <w:rsid w:val="00AD7CA4"/>
    <w:rsid w:val="00AE0806"/>
    <w:rsid w:val="00AF3377"/>
    <w:rsid w:val="00AF49AE"/>
    <w:rsid w:val="00B03250"/>
    <w:rsid w:val="00B03E28"/>
    <w:rsid w:val="00B05716"/>
    <w:rsid w:val="00B07EE1"/>
    <w:rsid w:val="00B11049"/>
    <w:rsid w:val="00B11668"/>
    <w:rsid w:val="00B177E0"/>
    <w:rsid w:val="00B20292"/>
    <w:rsid w:val="00B21893"/>
    <w:rsid w:val="00B3255F"/>
    <w:rsid w:val="00B329CC"/>
    <w:rsid w:val="00B349BF"/>
    <w:rsid w:val="00B364E3"/>
    <w:rsid w:val="00B44D06"/>
    <w:rsid w:val="00B45950"/>
    <w:rsid w:val="00B47D3B"/>
    <w:rsid w:val="00B508CE"/>
    <w:rsid w:val="00B560BF"/>
    <w:rsid w:val="00B57A3D"/>
    <w:rsid w:val="00B66523"/>
    <w:rsid w:val="00B72FE1"/>
    <w:rsid w:val="00B86823"/>
    <w:rsid w:val="00B8684F"/>
    <w:rsid w:val="00B968FC"/>
    <w:rsid w:val="00BA1011"/>
    <w:rsid w:val="00BA3379"/>
    <w:rsid w:val="00BB3576"/>
    <w:rsid w:val="00BB5B5C"/>
    <w:rsid w:val="00BC3E82"/>
    <w:rsid w:val="00BD3160"/>
    <w:rsid w:val="00BD3210"/>
    <w:rsid w:val="00BF3C74"/>
    <w:rsid w:val="00BF4887"/>
    <w:rsid w:val="00C02E24"/>
    <w:rsid w:val="00C06999"/>
    <w:rsid w:val="00C247F2"/>
    <w:rsid w:val="00C306D4"/>
    <w:rsid w:val="00C32DB9"/>
    <w:rsid w:val="00C56FFB"/>
    <w:rsid w:val="00C61CFC"/>
    <w:rsid w:val="00C70A6D"/>
    <w:rsid w:val="00C73052"/>
    <w:rsid w:val="00C877D2"/>
    <w:rsid w:val="00C94B53"/>
    <w:rsid w:val="00C957B0"/>
    <w:rsid w:val="00CB07E0"/>
    <w:rsid w:val="00CC08C1"/>
    <w:rsid w:val="00CC47E7"/>
    <w:rsid w:val="00CD1874"/>
    <w:rsid w:val="00CD7E98"/>
    <w:rsid w:val="00CE03D2"/>
    <w:rsid w:val="00CE52C6"/>
    <w:rsid w:val="00CF024D"/>
    <w:rsid w:val="00CF0449"/>
    <w:rsid w:val="00CF244E"/>
    <w:rsid w:val="00CF7E80"/>
    <w:rsid w:val="00D0651F"/>
    <w:rsid w:val="00D07942"/>
    <w:rsid w:val="00D20898"/>
    <w:rsid w:val="00D23BDA"/>
    <w:rsid w:val="00D305AA"/>
    <w:rsid w:val="00D30B61"/>
    <w:rsid w:val="00D30C70"/>
    <w:rsid w:val="00D36919"/>
    <w:rsid w:val="00D41212"/>
    <w:rsid w:val="00D539F3"/>
    <w:rsid w:val="00D53DE7"/>
    <w:rsid w:val="00D63213"/>
    <w:rsid w:val="00D66FD9"/>
    <w:rsid w:val="00D675E4"/>
    <w:rsid w:val="00D70847"/>
    <w:rsid w:val="00D76434"/>
    <w:rsid w:val="00D76E0C"/>
    <w:rsid w:val="00D82E34"/>
    <w:rsid w:val="00D84AC0"/>
    <w:rsid w:val="00D87DED"/>
    <w:rsid w:val="00DA754A"/>
    <w:rsid w:val="00DA7B27"/>
    <w:rsid w:val="00DD1CE2"/>
    <w:rsid w:val="00DD3A07"/>
    <w:rsid w:val="00DD700B"/>
    <w:rsid w:val="00DE248F"/>
    <w:rsid w:val="00DE32C5"/>
    <w:rsid w:val="00DE335C"/>
    <w:rsid w:val="00DE7294"/>
    <w:rsid w:val="00DF5F95"/>
    <w:rsid w:val="00E000A2"/>
    <w:rsid w:val="00E01AFD"/>
    <w:rsid w:val="00E04404"/>
    <w:rsid w:val="00E071FB"/>
    <w:rsid w:val="00E07D5D"/>
    <w:rsid w:val="00E101C9"/>
    <w:rsid w:val="00E152DE"/>
    <w:rsid w:val="00E16B70"/>
    <w:rsid w:val="00E2148D"/>
    <w:rsid w:val="00E401B6"/>
    <w:rsid w:val="00E520D2"/>
    <w:rsid w:val="00E607BE"/>
    <w:rsid w:val="00E91803"/>
    <w:rsid w:val="00E96331"/>
    <w:rsid w:val="00EA1344"/>
    <w:rsid w:val="00EA4FEF"/>
    <w:rsid w:val="00EB7296"/>
    <w:rsid w:val="00EC6247"/>
    <w:rsid w:val="00ED5EA2"/>
    <w:rsid w:val="00EF58AE"/>
    <w:rsid w:val="00F005B8"/>
    <w:rsid w:val="00F073F5"/>
    <w:rsid w:val="00F13C2C"/>
    <w:rsid w:val="00F14BCA"/>
    <w:rsid w:val="00F14EE9"/>
    <w:rsid w:val="00F174A5"/>
    <w:rsid w:val="00F32B72"/>
    <w:rsid w:val="00F40041"/>
    <w:rsid w:val="00F43973"/>
    <w:rsid w:val="00F54AD9"/>
    <w:rsid w:val="00F619EB"/>
    <w:rsid w:val="00F6654C"/>
    <w:rsid w:val="00F67CC5"/>
    <w:rsid w:val="00F83084"/>
    <w:rsid w:val="00F846AF"/>
    <w:rsid w:val="00F91254"/>
    <w:rsid w:val="00F95242"/>
    <w:rsid w:val="00F956CA"/>
    <w:rsid w:val="00FA21C0"/>
    <w:rsid w:val="00FA67A8"/>
    <w:rsid w:val="00FB224E"/>
    <w:rsid w:val="00FC4A70"/>
    <w:rsid w:val="00FC6138"/>
    <w:rsid w:val="00FD1588"/>
    <w:rsid w:val="00FD2D61"/>
    <w:rsid w:val="00FD337E"/>
    <w:rsid w:val="00FD4E57"/>
    <w:rsid w:val="00FD6129"/>
    <w:rsid w:val="00FE1FF0"/>
    <w:rsid w:val="00FE3333"/>
    <w:rsid w:val="00FF6411"/>
    <w:rsid w:val="00FF6EC3"/>
    <w:rsid w:val="010E6376"/>
    <w:rsid w:val="037A0426"/>
    <w:rsid w:val="03AB33C6"/>
    <w:rsid w:val="04451096"/>
    <w:rsid w:val="063F21E1"/>
    <w:rsid w:val="069F67D0"/>
    <w:rsid w:val="07CA09D2"/>
    <w:rsid w:val="0919357C"/>
    <w:rsid w:val="0CC53C5B"/>
    <w:rsid w:val="0D512C50"/>
    <w:rsid w:val="0DEE2B53"/>
    <w:rsid w:val="0EDC6932"/>
    <w:rsid w:val="0EEE306B"/>
    <w:rsid w:val="12AA469B"/>
    <w:rsid w:val="13F74246"/>
    <w:rsid w:val="160207B3"/>
    <w:rsid w:val="1746135D"/>
    <w:rsid w:val="19401A3B"/>
    <w:rsid w:val="1B6C6176"/>
    <w:rsid w:val="1BAF7474"/>
    <w:rsid w:val="1CFF3BF8"/>
    <w:rsid w:val="1D9A259A"/>
    <w:rsid w:val="1EC87DD7"/>
    <w:rsid w:val="20001BC8"/>
    <w:rsid w:val="22790DF3"/>
    <w:rsid w:val="22F41BCB"/>
    <w:rsid w:val="241C57BA"/>
    <w:rsid w:val="246B781C"/>
    <w:rsid w:val="25761F3B"/>
    <w:rsid w:val="26AA7670"/>
    <w:rsid w:val="26C23FBB"/>
    <w:rsid w:val="27791CF5"/>
    <w:rsid w:val="28030D45"/>
    <w:rsid w:val="29F51767"/>
    <w:rsid w:val="2A333934"/>
    <w:rsid w:val="2AA45611"/>
    <w:rsid w:val="2B581C97"/>
    <w:rsid w:val="2CF33C37"/>
    <w:rsid w:val="30CE6686"/>
    <w:rsid w:val="349943F8"/>
    <w:rsid w:val="3A0B6776"/>
    <w:rsid w:val="3B031BC4"/>
    <w:rsid w:val="401D345F"/>
    <w:rsid w:val="408C02C9"/>
    <w:rsid w:val="41513530"/>
    <w:rsid w:val="423B4F48"/>
    <w:rsid w:val="459022B2"/>
    <w:rsid w:val="46CD6844"/>
    <w:rsid w:val="49307483"/>
    <w:rsid w:val="49E7599F"/>
    <w:rsid w:val="4AD15215"/>
    <w:rsid w:val="4E2A30ED"/>
    <w:rsid w:val="53170714"/>
    <w:rsid w:val="558D3FAF"/>
    <w:rsid w:val="56442F5A"/>
    <w:rsid w:val="57F82819"/>
    <w:rsid w:val="59CA0A62"/>
    <w:rsid w:val="5B0B62AA"/>
    <w:rsid w:val="5D734E37"/>
    <w:rsid w:val="5E91426B"/>
    <w:rsid w:val="5F7268F8"/>
    <w:rsid w:val="60E52A54"/>
    <w:rsid w:val="61520A30"/>
    <w:rsid w:val="61AD5641"/>
    <w:rsid w:val="64DD2454"/>
    <w:rsid w:val="67364042"/>
    <w:rsid w:val="68D92805"/>
    <w:rsid w:val="6DF55BD0"/>
    <w:rsid w:val="707A1557"/>
    <w:rsid w:val="72BE373C"/>
    <w:rsid w:val="79E266F3"/>
    <w:rsid w:val="7B331493"/>
    <w:rsid w:val="7B8F0584"/>
    <w:rsid w:val="7DE91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2"/>
    <w:qFormat/>
    <w:uiPriority w:val="9"/>
    <w:pPr>
      <w:keepNext/>
      <w:keepLines/>
      <w:numPr>
        <w:ilvl w:val="0"/>
        <w:numId w:val="1"/>
      </w:numPr>
      <w:spacing w:before="340" w:after="330" w:line="578" w:lineRule="auto"/>
      <w:outlineLvl w:val="0"/>
    </w:pPr>
    <w:rPr>
      <w:rFonts w:eastAsia="黑体"/>
      <w:bCs/>
      <w:kern w:val="44"/>
      <w:szCs w:val="44"/>
    </w:rPr>
  </w:style>
  <w:style w:type="paragraph" w:styleId="3">
    <w:name w:val="heading 2"/>
    <w:basedOn w:val="1"/>
    <w:next w:val="1"/>
    <w:link w:val="163"/>
    <w:unhideWhenUsed/>
    <w:qFormat/>
    <w:uiPriority w:val="9"/>
    <w:pPr>
      <w:keepNext/>
      <w:keepLines/>
      <w:numPr>
        <w:ilvl w:val="1"/>
        <w:numId w:val="1"/>
      </w:numPr>
      <w:spacing w:before="260" w:after="260" w:line="360" w:lineRule="auto"/>
      <w:outlineLvl w:val="1"/>
    </w:pPr>
    <w:rPr>
      <w:rFonts w:eastAsiaTheme="majorEastAsia" w:cstheme="majorBidi"/>
      <w:bCs/>
      <w:szCs w:val="32"/>
    </w:rPr>
  </w:style>
  <w:style w:type="paragraph" w:styleId="4">
    <w:name w:val="heading 3"/>
    <w:basedOn w:val="1"/>
    <w:next w:val="1"/>
    <w:link w:val="164"/>
    <w:unhideWhenUsed/>
    <w:qFormat/>
    <w:uiPriority w:val="9"/>
    <w:pPr>
      <w:keepNext/>
      <w:keepLines/>
      <w:numPr>
        <w:ilvl w:val="2"/>
        <w:numId w:val="1"/>
      </w:numPr>
      <w:spacing w:before="260" w:after="260" w:line="415" w:lineRule="auto"/>
      <w:ind w:right="210" w:rightChars="100"/>
      <w:jc w:val="left"/>
      <w:outlineLvl w:val="2"/>
    </w:pPr>
    <w:rPr>
      <w:rFonts w:eastAsiaTheme="minorEastAsia"/>
      <w:bCs/>
      <w:szCs w:val="32"/>
    </w:rPr>
  </w:style>
  <w:style w:type="paragraph" w:styleId="5">
    <w:name w:val="heading 4"/>
    <w:basedOn w:val="1"/>
    <w:next w:val="1"/>
    <w:link w:val="165"/>
    <w:unhideWhenUsed/>
    <w:qFormat/>
    <w:uiPriority w:val="9"/>
    <w:pPr>
      <w:keepNext/>
      <w:keepLines/>
      <w:numPr>
        <w:ilvl w:val="3"/>
        <w:numId w:val="1"/>
      </w:numPr>
      <w:spacing w:before="280" w:after="290" w:line="376" w:lineRule="auto"/>
      <w:outlineLvl w:val="3"/>
    </w:pPr>
    <w:rPr>
      <w:rFonts w:eastAsiaTheme="majorEastAsia" w:cstheme="majorBidi"/>
      <w:bCs/>
      <w:szCs w:val="28"/>
    </w:rPr>
  </w:style>
  <w:style w:type="paragraph" w:styleId="6">
    <w:name w:val="heading 5"/>
    <w:basedOn w:val="1"/>
    <w:next w:val="1"/>
    <w:link w:val="166"/>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67"/>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68"/>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169"/>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0"/>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unhideWhenUsed/>
    <w:qFormat/>
    <w:uiPriority w:val="99"/>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53"/>
    <w:semiHidden/>
    <w:qFormat/>
    <w:uiPriority w:val="0"/>
    <w:pPr>
      <w:shd w:val="clear" w:color="auto" w:fill="000080"/>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Body Text Indent"/>
    <w:basedOn w:val="1"/>
    <w:link w:val="154"/>
    <w:unhideWhenUsed/>
    <w:qFormat/>
    <w:uiPriority w:val="99"/>
    <w:pPr>
      <w:spacing w:line="300" w:lineRule="exact"/>
      <w:ind w:firstLine="420" w:firstLineChars="200"/>
    </w:pPr>
  </w:style>
  <w:style w:type="paragraph" w:styleId="19">
    <w:name w:val="index 4"/>
    <w:basedOn w:val="1"/>
    <w:next w:val="1"/>
    <w:qFormat/>
    <w:uiPriority w:val="0"/>
    <w:pPr>
      <w:ind w:left="840" w:hanging="210"/>
      <w:jc w:val="left"/>
    </w:pPr>
    <w:rPr>
      <w:rFonts w:ascii="Calibri" w:hAnsi="Calibri"/>
      <w:sz w:val="20"/>
      <w:szCs w:val="20"/>
    </w:rPr>
  </w:style>
  <w:style w:type="paragraph" w:styleId="20">
    <w:name w:val="toc 5"/>
    <w:basedOn w:val="1"/>
    <w:next w:val="1"/>
    <w:semiHidden/>
    <w:qFormat/>
    <w:uiPriority w:val="0"/>
    <w:pPr>
      <w:tabs>
        <w:tab w:val="right" w:leader="dot" w:pos="9241"/>
      </w:tabs>
      <w:ind w:firstLine="300" w:firstLineChars="300"/>
      <w:jc w:val="left"/>
    </w:pPr>
    <w:rPr>
      <w:rFonts w:ascii="宋体"/>
      <w:szCs w:val="21"/>
    </w:rPr>
  </w:style>
  <w:style w:type="paragraph" w:styleId="21">
    <w:name w:val="toc 3"/>
    <w:basedOn w:val="1"/>
    <w:next w:val="1"/>
    <w:semiHidden/>
    <w:qFormat/>
    <w:uiPriority w:val="0"/>
    <w:pPr>
      <w:tabs>
        <w:tab w:val="right" w:leader="dot" w:pos="9241"/>
      </w:tabs>
      <w:ind w:firstLine="100" w:firstLineChars="100"/>
      <w:jc w:val="left"/>
    </w:pPr>
    <w:rPr>
      <w:rFonts w:ascii="宋体"/>
      <w:szCs w:val="21"/>
    </w:rPr>
  </w:style>
  <w:style w:type="paragraph" w:styleId="22">
    <w:name w:val="Plain Text"/>
    <w:basedOn w:val="1"/>
    <w:link w:val="152"/>
    <w:unhideWhenUsed/>
    <w:qFormat/>
    <w:uiPriority w:val="0"/>
    <w:rPr>
      <w:rFonts w:hint="eastAsia" w:ascii="宋体" w:hAnsi="Courier New" w:cs="宋体"/>
      <w:szCs w:val="22"/>
    </w:rPr>
  </w:style>
  <w:style w:type="paragraph" w:styleId="23">
    <w:name w:val="toc 8"/>
    <w:basedOn w:val="1"/>
    <w:next w:val="1"/>
    <w:semiHidden/>
    <w:qFormat/>
    <w:uiPriority w:val="0"/>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rFonts w:ascii="Calibri" w:hAnsi="Calibri"/>
      <w:sz w:val="20"/>
      <w:szCs w:val="20"/>
    </w:rPr>
  </w:style>
  <w:style w:type="paragraph" w:styleId="25">
    <w:name w:val="endnote text"/>
    <w:basedOn w:val="1"/>
    <w:link w:val="156"/>
    <w:semiHidden/>
    <w:qFormat/>
    <w:uiPriority w:val="0"/>
    <w:pPr>
      <w:snapToGrid w:val="0"/>
      <w:jc w:val="left"/>
    </w:pPr>
  </w:style>
  <w:style w:type="paragraph" w:styleId="26">
    <w:name w:val="Balloon Text"/>
    <w:basedOn w:val="1"/>
    <w:link w:val="160"/>
    <w:unhideWhenUsed/>
    <w:qFormat/>
    <w:uiPriority w:val="0"/>
    <w:rPr>
      <w:sz w:val="18"/>
      <w:szCs w:val="18"/>
    </w:rPr>
  </w:style>
  <w:style w:type="paragraph" w:styleId="27">
    <w:name w:val="footer"/>
    <w:basedOn w:val="1"/>
    <w:link w:val="157"/>
    <w:qFormat/>
    <w:uiPriority w:val="99"/>
    <w:pPr>
      <w:snapToGrid w:val="0"/>
      <w:ind w:right="210" w:rightChars="100"/>
      <w:jc w:val="right"/>
    </w:pPr>
    <w:rPr>
      <w:sz w:val="18"/>
      <w:szCs w:val="18"/>
    </w:rPr>
  </w:style>
  <w:style w:type="paragraph" w:styleId="28">
    <w:name w:val="header"/>
    <w:basedOn w:val="1"/>
    <w:link w:val="147"/>
    <w:qFormat/>
    <w:uiPriority w:val="0"/>
    <w:pPr>
      <w:snapToGrid w:val="0"/>
      <w:jc w:val="left"/>
    </w:pPr>
    <w:rPr>
      <w:rFonts w:ascii="Calibri" w:hAnsi="Calibri" w:cs="黑体"/>
      <w:sz w:val="18"/>
      <w:szCs w:val="18"/>
    </w:rPr>
  </w:style>
  <w:style w:type="paragraph" w:styleId="29">
    <w:name w:val="toc 1"/>
    <w:basedOn w:val="1"/>
    <w:next w:val="1"/>
    <w:semiHidden/>
    <w:qFormat/>
    <w:uiPriority w:val="0"/>
    <w:pPr>
      <w:tabs>
        <w:tab w:val="right" w:leader="dot" w:pos="9242"/>
      </w:tabs>
      <w:spacing w:beforeLines="25" w:afterLines="25"/>
      <w:jc w:val="left"/>
    </w:pPr>
    <w:rPr>
      <w:rFonts w:ascii="宋体"/>
      <w:szCs w:val="21"/>
    </w:rPr>
  </w:style>
  <w:style w:type="paragraph" w:styleId="30">
    <w:name w:val="toc 4"/>
    <w:basedOn w:val="1"/>
    <w:next w:val="1"/>
    <w:semiHidden/>
    <w:qFormat/>
    <w:uiPriority w:val="0"/>
    <w:pPr>
      <w:tabs>
        <w:tab w:val="right" w:leader="dot" w:pos="9241"/>
      </w:tabs>
      <w:ind w:firstLine="200"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149"/>
    <w:qFormat/>
    <w:uiPriority w:val="0"/>
    <w:pPr>
      <w:tabs>
        <w:tab w:val="center" w:pos="4201"/>
        <w:tab w:val="right" w:leader="dot" w:pos="9298"/>
      </w:tabs>
      <w:autoSpaceDE w:val="0"/>
      <w:autoSpaceDN w:val="0"/>
      <w:ind w:firstLine="420" w:firstLineChars="200"/>
      <w:jc w:val="both"/>
    </w:pPr>
    <w:rPr>
      <w:rFonts w:ascii="宋体" w:hAnsi="Calibri" w:eastAsia="宋体" w:cs="黑体"/>
      <w:kern w:val="2"/>
      <w:sz w:val="21"/>
      <w:szCs w:val="22"/>
      <w:lang w:val="en-US" w:eastAsia="zh-CN" w:bidi="ar-SA"/>
    </w:rPr>
  </w:style>
  <w:style w:type="paragraph" w:styleId="34">
    <w:name w:val="Subtitle"/>
    <w:basedOn w:val="1"/>
    <w:next w:val="1"/>
    <w:link w:val="172"/>
    <w:qFormat/>
    <w:uiPriority w:val="11"/>
    <w:pPr>
      <w:spacing w:before="240" w:after="60" w:line="312" w:lineRule="auto"/>
      <w:jc w:val="center"/>
      <w:outlineLvl w:val="1"/>
    </w:pPr>
    <w:rPr>
      <w:rFonts w:eastAsia="黑体" w:asciiTheme="minorHAnsi" w:hAnsiTheme="minorHAnsi" w:cstheme="minorBidi"/>
      <w:bCs/>
      <w:kern w:val="28"/>
      <w:sz w:val="28"/>
      <w:szCs w:val="32"/>
    </w:rPr>
  </w:style>
  <w:style w:type="paragraph" w:styleId="35">
    <w:name w:val="footnote text"/>
    <w:basedOn w:val="1"/>
    <w:link w:val="159"/>
    <w:qFormat/>
    <w:uiPriority w:val="0"/>
    <w:pPr>
      <w:tabs>
        <w:tab w:val="left" w:pos="0"/>
      </w:tabs>
      <w:snapToGrid w:val="0"/>
      <w:ind w:left="720" w:hanging="357"/>
      <w:jc w:val="left"/>
    </w:pPr>
    <w:rPr>
      <w:rFonts w:ascii="宋体"/>
      <w:sz w:val="18"/>
      <w:szCs w:val="18"/>
    </w:rPr>
  </w:style>
  <w:style w:type="paragraph" w:styleId="36">
    <w:name w:val="toc 6"/>
    <w:basedOn w:val="1"/>
    <w:next w:val="1"/>
    <w:semiHidden/>
    <w:qFormat/>
    <w:uiPriority w:val="0"/>
    <w:pPr>
      <w:tabs>
        <w:tab w:val="right" w:leader="dot" w:pos="9241"/>
      </w:tabs>
      <w:ind w:firstLine="400"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semiHidden/>
    <w:qFormat/>
    <w:uiPriority w:val="0"/>
    <w:pPr>
      <w:tabs>
        <w:tab w:val="right" w:leader="dot" w:pos="9242"/>
      </w:tabs>
    </w:pPr>
    <w:rPr>
      <w:rFonts w:ascii="宋体"/>
      <w:szCs w:val="21"/>
    </w:rPr>
  </w:style>
  <w:style w:type="paragraph" w:styleId="40">
    <w:name w:val="toc 9"/>
    <w:basedOn w:val="1"/>
    <w:next w:val="1"/>
    <w:semiHidden/>
    <w:qFormat/>
    <w:uiPriority w:val="0"/>
    <w:pPr>
      <w:ind w:left="1470"/>
      <w:jc w:val="left"/>
    </w:pPr>
    <w:rPr>
      <w:sz w:val="20"/>
      <w:szCs w:val="20"/>
    </w:rPr>
  </w:style>
  <w:style w:type="paragraph" w:styleId="41">
    <w:name w:val="Normal (Web)"/>
    <w:basedOn w:val="1"/>
    <w:unhideWhenUsed/>
    <w:qFormat/>
    <w:uiPriority w:val="99"/>
    <w:rPr>
      <w:sz w:val="24"/>
    </w:rPr>
  </w:style>
  <w:style w:type="paragraph" w:styleId="42">
    <w:name w:val="index 2"/>
    <w:basedOn w:val="1"/>
    <w:next w:val="1"/>
    <w:qFormat/>
    <w:uiPriority w:val="0"/>
    <w:pPr>
      <w:ind w:left="420" w:hanging="210"/>
      <w:jc w:val="left"/>
    </w:pPr>
    <w:rPr>
      <w:rFonts w:ascii="Calibri" w:hAnsi="Calibri"/>
      <w:sz w:val="20"/>
      <w:szCs w:val="20"/>
    </w:rPr>
  </w:style>
  <w:style w:type="paragraph" w:styleId="43">
    <w:name w:val="Title"/>
    <w:basedOn w:val="1"/>
    <w:link w:val="171"/>
    <w:qFormat/>
    <w:uiPriority w:val="0"/>
    <w:pPr>
      <w:spacing w:before="240" w:after="60"/>
      <w:jc w:val="center"/>
      <w:outlineLvl w:val="0"/>
    </w:pPr>
    <w:rPr>
      <w:rFonts w:ascii="Arial" w:hAnsi="Arial" w:cs="Arial"/>
      <w:b/>
      <w:bCs/>
      <w:sz w:val="32"/>
      <w:szCs w:val="32"/>
    </w:rPr>
  </w:style>
  <w:style w:type="table" w:styleId="45">
    <w:name w:val="Table Grid"/>
    <w:basedOn w:val="44"/>
    <w:qFormat/>
    <w:uiPriority w:val="59"/>
    <w:rPr>
      <w:rFonts w:ascii="宋体" w:hAnsi="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endnote reference"/>
    <w:basedOn w:val="46"/>
    <w:semiHidden/>
    <w:qFormat/>
    <w:uiPriority w:val="0"/>
    <w:rPr>
      <w:vertAlign w:val="superscript"/>
    </w:rPr>
  </w:style>
  <w:style w:type="character" w:styleId="48">
    <w:name w:val="page number"/>
    <w:basedOn w:val="46"/>
    <w:qFormat/>
    <w:uiPriority w:val="0"/>
    <w:rPr>
      <w:rFonts w:ascii="Times New Roman" w:hAnsi="Times New Roman" w:eastAsia="宋体"/>
      <w:sz w:val="18"/>
    </w:rPr>
  </w:style>
  <w:style w:type="character" w:styleId="49">
    <w:name w:val="FollowedHyperlink"/>
    <w:basedOn w:val="46"/>
    <w:qFormat/>
    <w:uiPriority w:val="0"/>
    <w:rPr>
      <w:color w:val="800080"/>
      <w:u w:val="single"/>
    </w:rPr>
  </w:style>
  <w:style w:type="character" w:styleId="50">
    <w:name w:val="Hyperlink"/>
    <w:basedOn w:val="46"/>
    <w:qFormat/>
    <w:uiPriority w:val="0"/>
    <w:rPr>
      <w:color w:val="0000FF"/>
      <w:spacing w:val="0"/>
      <w:w w:val="100"/>
      <w:szCs w:val="21"/>
      <w:u w:val="single"/>
      <w:lang w:val="en-US" w:eastAsia="zh-CN"/>
    </w:rPr>
  </w:style>
  <w:style w:type="character" w:styleId="51">
    <w:name w:val="footnote reference"/>
    <w:basedOn w:val="46"/>
    <w:semiHidden/>
    <w:qFormat/>
    <w:uiPriority w:val="0"/>
    <w:rPr>
      <w:vertAlign w:val="superscript"/>
    </w:rPr>
  </w:style>
  <w:style w:type="paragraph" w:customStyle="1" w:styleId="52">
    <w:name w:val="其他发布日期"/>
    <w:basedOn w:val="53"/>
    <w:qFormat/>
    <w:uiPriority w:val="0"/>
    <w:pPr>
      <w:framePr w:wrap="around" w:vAnchor="page" w:hAnchor="text" w:x="1419" w:y="1"/>
    </w:pPr>
  </w:style>
  <w:style w:type="paragraph" w:customStyle="1" w:styleId="53">
    <w:name w:val="发布日期"/>
    <w:qFormat/>
    <w:uiPriority w:val="0"/>
    <w:rPr>
      <w:rFonts w:ascii="Times New Roman" w:hAnsi="Times New Roman" w:eastAsia="黑体" w:cs="Times New Roman"/>
      <w:sz w:val="28"/>
      <w:lang w:val="en-US" w:eastAsia="zh-CN" w:bidi="ar-SA"/>
    </w:r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6">
    <w:name w:val="三级条标题"/>
    <w:basedOn w:val="57"/>
    <w:next w:val="33"/>
    <w:qFormat/>
    <w:uiPriority w:val="0"/>
    <w:pPr>
      <w:outlineLvl w:val="4"/>
    </w:pPr>
  </w:style>
  <w:style w:type="paragraph" w:customStyle="1" w:styleId="57">
    <w:name w:val="二级条标题"/>
    <w:basedOn w:val="58"/>
    <w:next w:val="33"/>
    <w:qFormat/>
    <w:uiPriority w:val="0"/>
    <w:pPr>
      <w:spacing w:before="50" w:after="50"/>
      <w:outlineLvl w:val="3"/>
    </w:pPr>
  </w:style>
  <w:style w:type="paragraph" w:customStyle="1" w:styleId="58">
    <w:name w:val="一级条标题"/>
    <w:basedOn w:val="59"/>
    <w:next w:val="33"/>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9">
    <w:name w:val="章标题"/>
    <w:next w:val="3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附录五级无"/>
    <w:basedOn w:val="61"/>
    <w:qFormat/>
    <w:uiPriority w:val="0"/>
    <w:pPr>
      <w:tabs>
        <w:tab w:val="left" w:pos="360"/>
      </w:tabs>
      <w:spacing w:beforeLines="0" w:afterLines="0"/>
    </w:pPr>
    <w:rPr>
      <w:rFonts w:ascii="宋体" w:eastAsia="宋体"/>
      <w:szCs w:val="21"/>
    </w:rPr>
  </w:style>
  <w:style w:type="paragraph" w:customStyle="1" w:styleId="61">
    <w:name w:val="附录五级条标题"/>
    <w:basedOn w:val="62"/>
    <w:next w:val="33"/>
    <w:qFormat/>
    <w:uiPriority w:val="0"/>
    <w:pPr>
      <w:tabs>
        <w:tab w:val="left" w:pos="360"/>
      </w:tabs>
      <w:outlineLvl w:val="6"/>
    </w:pPr>
  </w:style>
  <w:style w:type="paragraph" w:customStyle="1" w:styleId="62">
    <w:name w:val="附录四级条标题"/>
    <w:basedOn w:val="63"/>
    <w:next w:val="33"/>
    <w:qFormat/>
    <w:uiPriority w:val="0"/>
    <w:pPr>
      <w:tabs>
        <w:tab w:val="left" w:pos="360"/>
      </w:tabs>
      <w:outlineLvl w:val="5"/>
    </w:pPr>
  </w:style>
  <w:style w:type="paragraph" w:customStyle="1" w:styleId="63">
    <w:name w:val="附录三级条标题"/>
    <w:basedOn w:val="64"/>
    <w:next w:val="33"/>
    <w:qFormat/>
    <w:uiPriority w:val="0"/>
    <w:pPr>
      <w:tabs>
        <w:tab w:val="left" w:pos="360"/>
      </w:tabs>
      <w:outlineLvl w:val="4"/>
    </w:pPr>
  </w:style>
  <w:style w:type="paragraph" w:customStyle="1" w:styleId="64">
    <w:name w:val="附录二级条标题"/>
    <w:basedOn w:val="1"/>
    <w:next w:val="3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封面标准文稿编辑信息2"/>
    <w:basedOn w:val="66"/>
    <w:qFormat/>
    <w:uiPriority w:val="0"/>
    <w:pPr>
      <w:framePr w:y="4469"/>
    </w:pPr>
  </w:style>
  <w:style w:type="paragraph" w:customStyle="1" w:styleId="66">
    <w:name w:val="封面标准文稿编辑信息"/>
    <w:basedOn w:val="67"/>
    <w:qFormat/>
    <w:uiPriority w:val="0"/>
    <w:pPr>
      <w:spacing w:before="180" w:line="180" w:lineRule="exact"/>
    </w:pPr>
    <w:rPr>
      <w:sz w:val="21"/>
    </w:rPr>
  </w:style>
  <w:style w:type="paragraph" w:customStyle="1" w:styleId="67">
    <w:name w:val="封面标准文稿类别"/>
    <w:basedOn w:val="68"/>
    <w:qFormat/>
    <w:uiPriority w:val="0"/>
    <w:pPr>
      <w:spacing w:after="160" w:line="240" w:lineRule="auto"/>
    </w:pPr>
    <w:rPr>
      <w:sz w:val="24"/>
    </w:rPr>
  </w:style>
  <w:style w:type="paragraph" w:customStyle="1" w:styleId="68">
    <w:name w:val="封面一致性程度标识"/>
    <w:basedOn w:val="69"/>
    <w:qFormat/>
    <w:uiPriority w:val="0"/>
    <w:pPr>
      <w:spacing w:before="440"/>
    </w:pPr>
    <w:rPr>
      <w:rFonts w:ascii="宋体" w:eastAsia="宋体"/>
    </w:rPr>
  </w:style>
  <w:style w:type="paragraph" w:customStyle="1" w:styleId="69">
    <w:name w:val="封面标准英文名称"/>
    <w:basedOn w:val="70"/>
    <w:qFormat/>
    <w:uiPriority w:val="0"/>
    <w:pPr>
      <w:framePr w:wrap="around" w:vAnchor="margin" w:hAnchor="text" w:y="1"/>
      <w:spacing w:before="370" w:line="400" w:lineRule="exact"/>
    </w:pPr>
    <w:rPr>
      <w:rFonts w:ascii="Times New Roman"/>
      <w:sz w:val="28"/>
      <w:szCs w:val="28"/>
    </w:rPr>
  </w:style>
  <w:style w:type="paragraph" w:customStyle="1" w:styleId="7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列项◆（三级）"/>
    <w:basedOn w:val="1"/>
    <w:qFormat/>
    <w:uiPriority w:val="0"/>
    <w:pPr>
      <w:tabs>
        <w:tab w:val="left" w:pos="1678"/>
      </w:tabs>
      <w:ind w:left="1678" w:hanging="414"/>
    </w:pPr>
    <w:rPr>
      <w:rFonts w:ascii="宋体"/>
      <w:szCs w:val="21"/>
    </w:rPr>
  </w:style>
  <w:style w:type="paragraph" w:customStyle="1" w:styleId="72">
    <w:name w:val="封面一致性程度标识2"/>
    <w:basedOn w:val="68"/>
    <w:qFormat/>
    <w:uiPriority w:val="0"/>
    <w:pPr>
      <w:framePr w:y="4469"/>
    </w:pPr>
  </w:style>
  <w:style w:type="paragraph" w:customStyle="1" w:styleId="73">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4">
    <w:name w:val="附录章标题"/>
    <w:next w:val="3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五级条标题"/>
    <w:basedOn w:val="76"/>
    <w:next w:val="33"/>
    <w:qFormat/>
    <w:uiPriority w:val="0"/>
    <w:pPr>
      <w:outlineLvl w:val="6"/>
    </w:pPr>
  </w:style>
  <w:style w:type="paragraph" w:customStyle="1" w:styleId="76">
    <w:name w:val="四级条标题"/>
    <w:basedOn w:val="56"/>
    <w:next w:val="33"/>
    <w:qFormat/>
    <w:uiPriority w:val="0"/>
    <w:pPr>
      <w:outlineLvl w:val="5"/>
    </w:pPr>
  </w:style>
  <w:style w:type="paragraph" w:customStyle="1" w:styleId="77">
    <w:name w:val="实施日期"/>
    <w:basedOn w:val="53"/>
    <w:qFormat/>
    <w:uiPriority w:val="0"/>
    <w:pPr>
      <w:framePr w:wrap="around" w:vAnchor="page" w:hAnchor="text" w:y="1"/>
      <w:jc w:val="right"/>
    </w:pPr>
  </w:style>
  <w:style w:type="paragraph" w:customStyle="1" w:styleId="78">
    <w:name w:val="正文图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9">
    <w:name w:val="五级无"/>
    <w:basedOn w:val="75"/>
    <w:qFormat/>
    <w:uiPriority w:val="0"/>
    <w:pPr>
      <w:spacing w:beforeLines="0" w:afterLines="0"/>
    </w:pPr>
    <w:rPr>
      <w:rFonts w:ascii="宋体" w:eastAsia="宋体"/>
    </w:rPr>
  </w:style>
  <w:style w:type="paragraph" w:customStyle="1" w:styleId="80">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2">
    <w:name w:val="其他实施日期"/>
    <w:basedOn w:val="77"/>
    <w:qFormat/>
    <w:uiPriority w:val="0"/>
  </w:style>
  <w:style w:type="paragraph" w:customStyle="1" w:styleId="83">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正文表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6">
    <w:name w:val="注："/>
    <w:next w:val="3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7">
    <w:name w:val="正文公式编号制表符"/>
    <w:basedOn w:val="33"/>
    <w:next w:val="33"/>
    <w:qFormat/>
    <w:uiPriority w:val="0"/>
    <w:pPr>
      <w:ind w:firstLine="0" w:firstLineChars="0"/>
    </w:pPr>
    <w:rPr>
      <w:rFonts w:ascii="Times New Roman" w:hAnsi="Times New Roman"/>
    </w:rPr>
  </w:style>
  <w:style w:type="paragraph" w:customStyle="1" w:styleId="88">
    <w:name w:val="p0"/>
    <w:basedOn w:val="1"/>
    <w:qFormat/>
    <w:uiPriority w:val="0"/>
    <w:pPr>
      <w:widowControl/>
    </w:pPr>
    <w:rPr>
      <w:kern w:val="0"/>
      <w:szCs w:val="21"/>
    </w:rPr>
  </w:style>
  <w:style w:type="paragraph" w:customStyle="1" w:styleId="89">
    <w:name w:val="附录表标号"/>
    <w:basedOn w:val="1"/>
    <w:next w:val="33"/>
    <w:qFormat/>
    <w:uiPriority w:val="0"/>
    <w:pPr>
      <w:spacing w:line="14" w:lineRule="exact"/>
      <w:ind w:left="811" w:hanging="448"/>
      <w:jc w:val="center"/>
      <w:outlineLvl w:val="0"/>
    </w:pPr>
    <w:rPr>
      <w:color w:val="FFFFFF"/>
    </w:rPr>
  </w:style>
  <w:style w:type="paragraph" w:customStyle="1" w:styleId="90">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92">
    <w:name w:val="封面标准文稿类别2"/>
    <w:basedOn w:val="67"/>
    <w:qFormat/>
    <w:uiPriority w:val="0"/>
    <w:pPr>
      <w:framePr w:y="4469"/>
    </w:pPr>
  </w:style>
  <w:style w:type="paragraph" w:customStyle="1" w:styleId="93">
    <w:name w:val="其他标准称谓"/>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95">
    <w:name w:val="附录四级无"/>
    <w:basedOn w:val="62"/>
    <w:qFormat/>
    <w:uiPriority w:val="0"/>
    <w:pPr>
      <w:spacing w:beforeLines="0" w:afterLines="0"/>
    </w:pPr>
    <w:rPr>
      <w:rFonts w:ascii="宋体" w:eastAsia="宋体"/>
      <w:szCs w:val="21"/>
    </w:rPr>
  </w:style>
  <w:style w:type="paragraph" w:customStyle="1" w:styleId="96">
    <w:name w:val="附录一级条标题"/>
    <w:basedOn w:val="74"/>
    <w:next w:val="33"/>
    <w:qFormat/>
    <w:uiPriority w:val="0"/>
    <w:pPr>
      <w:autoSpaceDN w:val="0"/>
      <w:spacing w:beforeLines="50" w:afterLines="50"/>
      <w:outlineLvl w:val="2"/>
    </w:pPr>
  </w:style>
  <w:style w:type="paragraph" w:customStyle="1" w:styleId="97">
    <w:name w:val="二级无"/>
    <w:basedOn w:val="57"/>
    <w:qFormat/>
    <w:uiPriority w:val="0"/>
    <w:pPr>
      <w:spacing w:beforeLines="0" w:afterLines="0"/>
    </w:pPr>
    <w:rPr>
      <w:rFonts w:ascii="宋体" w:eastAsia="宋体"/>
    </w:rPr>
  </w:style>
  <w:style w:type="paragraph" w:customStyle="1" w:styleId="98">
    <w:name w:val="封面标准英文名称2"/>
    <w:basedOn w:val="69"/>
    <w:qFormat/>
    <w:uiPriority w:val="0"/>
    <w:pPr>
      <w:framePr w:y="4469"/>
    </w:pPr>
  </w:style>
  <w:style w:type="paragraph" w:customStyle="1" w:styleId="99">
    <w:name w:val="示例×："/>
    <w:basedOn w:val="59"/>
    <w:qFormat/>
    <w:uiPriority w:val="0"/>
    <w:pPr>
      <w:spacing w:beforeLines="0" w:afterLines="0"/>
      <w:ind w:firstLine="363"/>
      <w:outlineLvl w:val="9"/>
    </w:pPr>
    <w:rPr>
      <w:rFonts w:ascii="宋体" w:eastAsia="宋体"/>
      <w:sz w:val="18"/>
      <w:szCs w:val="18"/>
    </w:rPr>
  </w:style>
  <w:style w:type="paragraph" w:customStyle="1" w:styleId="100">
    <w:name w:val="封面标准名称2"/>
    <w:basedOn w:val="70"/>
    <w:qFormat/>
    <w:uiPriority w:val="0"/>
    <w:pPr>
      <w:framePr w:wrap="around" w:vAnchor="margin" w:hAnchor="text" w:y="4469"/>
      <w:spacing w:beforeLines="630"/>
    </w:pPr>
  </w:style>
  <w:style w:type="paragraph" w:customStyle="1" w:styleId="101">
    <w:name w:val="标准"/>
    <w:basedOn w:val="1"/>
    <w:qFormat/>
    <w:uiPriority w:val="0"/>
    <w:pPr>
      <w:jc w:val="center"/>
    </w:pPr>
  </w:style>
  <w:style w:type="paragraph" w:customStyle="1" w:styleId="102">
    <w:name w:val="首示例"/>
    <w:next w:val="33"/>
    <w:link w:val="146"/>
    <w:qFormat/>
    <w:uiPriority w:val="0"/>
    <w:pPr>
      <w:tabs>
        <w:tab w:val="left" w:pos="360"/>
      </w:tabs>
    </w:pPr>
    <w:rPr>
      <w:rFonts w:ascii="宋体" w:hAnsi="宋体" w:eastAsia="宋体" w:cs="黑体"/>
      <w:kern w:val="2"/>
      <w:sz w:val="18"/>
      <w:szCs w:val="18"/>
      <w:lang w:val="en-US" w:eastAsia="zh-CN" w:bidi="ar-SA"/>
    </w:rPr>
  </w:style>
  <w:style w:type="paragraph" w:customStyle="1" w:styleId="103">
    <w:name w:val="列项●（二级）"/>
    <w:qFormat/>
    <w:uiPriority w:val="0"/>
    <w:pPr>
      <w:tabs>
        <w:tab w:val="left" w:pos="840"/>
      </w:tabs>
      <w:ind w:left="1264" w:hanging="413"/>
      <w:jc w:val="both"/>
    </w:pPr>
    <w:rPr>
      <w:rFonts w:ascii="宋体" w:hAnsi="Times New Roman" w:eastAsia="宋体" w:cs="Times New Roman"/>
      <w:sz w:val="21"/>
      <w:lang w:val="en-US" w:eastAsia="zh-CN" w:bidi="ar-SA"/>
    </w:rPr>
  </w:style>
  <w:style w:type="paragraph" w:customStyle="1" w:styleId="104">
    <w:name w:val="图表脚注说明"/>
    <w:basedOn w:val="1"/>
    <w:qFormat/>
    <w:uiPriority w:val="0"/>
    <w:pPr>
      <w:ind w:left="544" w:hanging="181"/>
    </w:pPr>
    <w:rPr>
      <w:rFonts w:ascii="宋体"/>
      <w:sz w:val="18"/>
      <w:szCs w:val="18"/>
    </w:rPr>
  </w:style>
  <w:style w:type="paragraph" w:customStyle="1" w:styleId="105">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6">
    <w:name w:val="封面正文"/>
    <w:qFormat/>
    <w:uiPriority w:val="0"/>
    <w:pPr>
      <w:jc w:val="both"/>
    </w:pPr>
    <w:rPr>
      <w:rFonts w:ascii="Times New Roman" w:hAnsi="Times New Roman" w:eastAsia="宋体" w:cs="Times New Roman"/>
      <w:lang w:val="en-US" w:eastAsia="zh-CN" w:bidi="ar-SA"/>
    </w:rPr>
  </w:style>
  <w:style w:type="paragraph" w:customStyle="1" w:styleId="107">
    <w:name w:val="条文脚注"/>
    <w:basedOn w:val="35"/>
    <w:qFormat/>
    <w:uiPriority w:val="0"/>
    <w:pPr>
      <w:ind w:left="0" w:firstLine="0"/>
      <w:jc w:val="both"/>
    </w:pPr>
  </w:style>
  <w:style w:type="paragraph" w:customStyle="1" w:styleId="108">
    <w:name w:val="注：（正文）"/>
    <w:basedOn w:val="86"/>
    <w:next w:val="33"/>
    <w:qFormat/>
    <w:uiPriority w:val="0"/>
  </w:style>
  <w:style w:type="paragraph" w:customStyle="1" w:styleId="109">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10">
    <w:name w:val="四级无"/>
    <w:basedOn w:val="76"/>
    <w:qFormat/>
    <w:uiPriority w:val="0"/>
    <w:pPr>
      <w:spacing w:beforeLines="0" w:afterLines="0"/>
    </w:pPr>
    <w:rPr>
      <w:rFonts w:ascii="宋体" w:eastAsia="宋体"/>
    </w:rPr>
  </w:style>
  <w:style w:type="paragraph" w:customStyle="1" w:styleId="111">
    <w:name w:val="图标脚注说明"/>
    <w:basedOn w:val="33"/>
    <w:qFormat/>
    <w:uiPriority w:val="0"/>
    <w:pPr>
      <w:ind w:left="840" w:hanging="420" w:firstLineChars="0"/>
    </w:pPr>
    <w:rPr>
      <w:sz w:val="18"/>
      <w:szCs w:val="18"/>
    </w:rPr>
  </w:style>
  <w:style w:type="paragraph" w:customStyle="1" w:styleId="112">
    <w:name w:val="示例"/>
    <w:next w:val="8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3">
    <w:name w:val="一级无"/>
    <w:basedOn w:val="58"/>
    <w:qFormat/>
    <w:uiPriority w:val="0"/>
    <w:pPr>
      <w:spacing w:beforeLines="0" w:afterLines="0"/>
    </w:pPr>
    <w:rPr>
      <w:rFonts w:ascii="宋体" w:eastAsia="宋体"/>
    </w:rPr>
  </w:style>
  <w:style w:type="paragraph" w:customStyle="1" w:styleId="114">
    <w:name w:val="附录公式"/>
    <w:basedOn w:val="33"/>
    <w:next w:val="33"/>
    <w:link w:val="150"/>
    <w:qFormat/>
    <w:uiPriority w:val="0"/>
  </w:style>
  <w:style w:type="paragraph" w:customStyle="1" w:styleId="115">
    <w:name w:val="标准书眉_偶数页"/>
    <w:basedOn w:val="116"/>
    <w:next w:val="1"/>
    <w:qFormat/>
    <w:uiPriority w:val="0"/>
    <w:pPr>
      <w:tabs>
        <w:tab w:val="center" w:pos="4154"/>
        <w:tab w:val="right" w:pos="8306"/>
      </w:tabs>
      <w:jc w:val="left"/>
    </w:pPr>
  </w:style>
  <w:style w:type="paragraph" w:customStyle="1" w:styleId="11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7">
    <w:name w:val="附录图标题"/>
    <w:basedOn w:val="1"/>
    <w:next w:val="33"/>
    <w:qFormat/>
    <w:uiPriority w:val="0"/>
    <w:pPr>
      <w:tabs>
        <w:tab w:val="left" w:pos="363"/>
      </w:tabs>
      <w:spacing w:beforeLines="50" w:afterLines="50"/>
      <w:jc w:val="center"/>
    </w:pPr>
    <w:rPr>
      <w:rFonts w:ascii="黑体" w:eastAsia="黑体"/>
      <w:szCs w:val="21"/>
    </w:rPr>
  </w:style>
  <w:style w:type="paragraph" w:customStyle="1" w:styleId="118">
    <w:name w:val="附录二级无"/>
    <w:basedOn w:val="64"/>
    <w:qFormat/>
    <w:uiPriority w:val="0"/>
    <w:pPr>
      <w:tabs>
        <w:tab w:val="clear" w:pos="360"/>
      </w:tabs>
      <w:spacing w:beforeLines="0" w:afterLines="0"/>
    </w:pPr>
    <w:rPr>
      <w:rFonts w:ascii="宋体" w:eastAsia="宋体"/>
      <w:szCs w:val="21"/>
    </w:rPr>
  </w:style>
  <w:style w:type="paragraph" w:customStyle="1" w:styleId="119">
    <w:name w:val="附录表标题"/>
    <w:basedOn w:val="1"/>
    <w:next w:val="33"/>
    <w:qFormat/>
    <w:uiPriority w:val="0"/>
    <w:pPr>
      <w:tabs>
        <w:tab w:val="left" w:pos="180"/>
      </w:tabs>
      <w:spacing w:beforeLines="50" w:afterLines="50"/>
      <w:jc w:val="center"/>
    </w:pPr>
    <w:rPr>
      <w:rFonts w:ascii="黑体" w:eastAsia="黑体"/>
      <w:szCs w:val="21"/>
    </w:rPr>
  </w:style>
  <w:style w:type="paragraph" w:customStyle="1" w:styleId="120">
    <w:name w:val="附录标识"/>
    <w:basedOn w:val="1"/>
    <w:next w:val="3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5">
    <w:name w:val="三级无"/>
    <w:basedOn w:val="56"/>
    <w:qFormat/>
    <w:uiPriority w:val="0"/>
    <w:pPr>
      <w:spacing w:beforeLines="0" w:afterLines="0"/>
    </w:pPr>
    <w:rPr>
      <w:rFonts w:ascii="宋体" w:eastAsia="宋体"/>
    </w:rPr>
  </w:style>
  <w:style w:type="paragraph" w:customStyle="1" w:styleId="126">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7">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1">
    <w:name w:val="标准书眉一"/>
    <w:qFormat/>
    <w:uiPriority w:val="0"/>
    <w:pPr>
      <w:jc w:val="both"/>
    </w:pPr>
    <w:rPr>
      <w:rFonts w:ascii="Times New Roman" w:hAnsi="Times New Roman" w:eastAsia="宋体" w:cs="Times New Roman"/>
      <w:lang w:val="en-US" w:eastAsia="zh-CN" w:bidi="ar-SA"/>
    </w:rPr>
  </w:style>
  <w:style w:type="paragraph" w:customStyle="1" w:styleId="132">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3">
    <w:name w:val="示例后文字"/>
    <w:basedOn w:val="33"/>
    <w:next w:val="33"/>
    <w:qFormat/>
    <w:uiPriority w:val="0"/>
    <w:pPr>
      <w:ind w:firstLine="360"/>
    </w:pPr>
    <w:rPr>
      <w:sz w:val="18"/>
    </w:rPr>
  </w:style>
  <w:style w:type="paragraph" w:customStyle="1" w:styleId="13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5">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6">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附录标题"/>
    <w:basedOn w:val="33"/>
    <w:next w:val="33"/>
    <w:qFormat/>
    <w:uiPriority w:val="0"/>
    <w:pPr>
      <w:ind w:firstLine="0" w:firstLineChars="0"/>
      <w:jc w:val="center"/>
    </w:pPr>
    <w:rPr>
      <w:rFonts w:ascii="黑体" w:eastAsia="黑体"/>
    </w:rPr>
  </w:style>
  <w:style w:type="paragraph" w:customStyle="1" w:styleId="139">
    <w:name w:val="附录一级无"/>
    <w:basedOn w:val="96"/>
    <w:qFormat/>
    <w:uiPriority w:val="0"/>
    <w:pPr>
      <w:tabs>
        <w:tab w:val="clear" w:pos="360"/>
      </w:tabs>
      <w:spacing w:beforeLines="0" w:afterLines="0"/>
    </w:pPr>
    <w:rPr>
      <w:rFonts w:ascii="宋体" w:eastAsia="宋体"/>
      <w:szCs w:val="21"/>
    </w:rPr>
  </w:style>
  <w:style w:type="paragraph" w:customStyle="1" w:styleId="140">
    <w:name w:val="其他发布部门"/>
    <w:basedOn w:val="83"/>
    <w:qFormat/>
    <w:uiPriority w:val="0"/>
    <w:pPr>
      <w:framePr w:y="15310"/>
      <w:spacing w:line="0" w:lineRule="atLeast"/>
    </w:pPr>
    <w:rPr>
      <w:rFonts w:ascii="黑体" w:eastAsia="黑体"/>
      <w:b w:val="0"/>
    </w:rPr>
  </w:style>
  <w:style w:type="paragraph" w:customStyle="1" w:styleId="141">
    <w:name w:val="其他标准标志"/>
    <w:basedOn w:val="142"/>
    <w:qFormat/>
    <w:uiPriority w:val="0"/>
    <w:pPr>
      <w:framePr w:w="6101" w:vAnchor="page" w:hAnchor="page" w:x="4673" w:y="942"/>
    </w:pPr>
    <w:rPr>
      <w:w w:val="130"/>
    </w:rPr>
  </w:style>
  <w:style w:type="paragraph" w:customStyle="1" w:styleId="14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3">
    <w:name w:val="附录三级无"/>
    <w:basedOn w:val="63"/>
    <w:qFormat/>
    <w:uiPriority w:val="0"/>
    <w:pPr>
      <w:spacing w:beforeLines="0" w:afterLines="0"/>
    </w:pPr>
    <w:rPr>
      <w:rFonts w:ascii="宋体" w:eastAsia="宋体"/>
      <w:szCs w:val="21"/>
    </w:rPr>
  </w:style>
  <w:style w:type="paragraph" w:customStyle="1" w:styleId="144">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45">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character" w:customStyle="1" w:styleId="146">
    <w:name w:val="首示例 Char"/>
    <w:basedOn w:val="46"/>
    <w:link w:val="102"/>
    <w:qFormat/>
    <w:uiPriority w:val="0"/>
    <w:rPr>
      <w:rFonts w:ascii="宋体" w:hAnsi="宋体" w:cs="黑体"/>
      <w:kern w:val="2"/>
      <w:sz w:val="18"/>
      <w:szCs w:val="18"/>
      <w:lang w:val="en-US" w:eastAsia="zh-CN" w:bidi="ar-SA"/>
    </w:rPr>
  </w:style>
  <w:style w:type="character" w:customStyle="1" w:styleId="147">
    <w:name w:val="页眉 Char"/>
    <w:basedOn w:val="46"/>
    <w:link w:val="28"/>
    <w:qFormat/>
    <w:uiPriority w:val="0"/>
    <w:rPr>
      <w:sz w:val="18"/>
      <w:szCs w:val="18"/>
    </w:rPr>
  </w:style>
  <w:style w:type="character" w:customStyle="1" w:styleId="148">
    <w:name w:val="发布"/>
    <w:basedOn w:val="46"/>
    <w:qFormat/>
    <w:uiPriority w:val="0"/>
    <w:rPr>
      <w:rFonts w:ascii="黑体" w:eastAsia="黑体"/>
      <w:spacing w:val="85"/>
      <w:w w:val="100"/>
      <w:position w:val="3"/>
      <w:sz w:val="28"/>
      <w:szCs w:val="28"/>
    </w:rPr>
  </w:style>
  <w:style w:type="character" w:customStyle="1" w:styleId="149">
    <w:name w:val="段 Char"/>
    <w:basedOn w:val="46"/>
    <w:link w:val="33"/>
    <w:qFormat/>
    <w:uiPriority w:val="0"/>
    <w:rPr>
      <w:rFonts w:ascii="宋体" w:hAnsi="Calibri" w:cs="黑体"/>
      <w:kern w:val="2"/>
      <w:sz w:val="21"/>
      <w:szCs w:val="22"/>
      <w:lang w:val="en-US" w:eastAsia="zh-CN" w:bidi="ar-SA"/>
    </w:rPr>
  </w:style>
  <w:style w:type="character" w:customStyle="1" w:styleId="150">
    <w:name w:val="附录公式 Char"/>
    <w:basedOn w:val="149"/>
    <w:link w:val="114"/>
    <w:qFormat/>
    <w:uiPriority w:val="0"/>
    <w:rPr>
      <w:rFonts w:ascii="宋体" w:hAnsi="Calibri" w:cs="黑体"/>
      <w:kern w:val="2"/>
      <w:sz w:val="21"/>
      <w:szCs w:val="22"/>
      <w:lang w:val="en-US" w:eastAsia="zh-CN" w:bidi="ar-SA"/>
    </w:rPr>
  </w:style>
  <w:style w:type="character" w:customStyle="1" w:styleId="151">
    <w:name w:val="sh14"/>
    <w:basedOn w:val="46"/>
    <w:qFormat/>
    <w:uiPriority w:val="0"/>
  </w:style>
  <w:style w:type="character" w:customStyle="1" w:styleId="152">
    <w:name w:val="纯文本 Char"/>
    <w:basedOn w:val="46"/>
    <w:link w:val="22"/>
    <w:qFormat/>
    <w:uiPriority w:val="0"/>
    <w:rPr>
      <w:rFonts w:ascii="宋体" w:hAnsi="Courier New" w:eastAsia="宋体" w:cs="宋体"/>
    </w:rPr>
  </w:style>
  <w:style w:type="character" w:customStyle="1" w:styleId="153">
    <w:name w:val="文档结构图 Char"/>
    <w:basedOn w:val="46"/>
    <w:link w:val="16"/>
    <w:semiHidden/>
    <w:qFormat/>
    <w:uiPriority w:val="0"/>
    <w:rPr>
      <w:rFonts w:ascii="Times New Roman" w:hAnsi="Times New Roman" w:eastAsia="宋体" w:cs="Times New Roman"/>
      <w:szCs w:val="24"/>
      <w:shd w:val="clear" w:color="auto" w:fill="000080"/>
    </w:rPr>
  </w:style>
  <w:style w:type="character" w:customStyle="1" w:styleId="154">
    <w:name w:val="正文文本缩进 Char"/>
    <w:basedOn w:val="46"/>
    <w:link w:val="18"/>
    <w:qFormat/>
    <w:uiPriority w:val="99"/>
    <w:rPr>
      <w:rFonts w:ascii="Times New Roman" w:hAnsi="Times New Roman" w:eastAsia="宋体" w:cs="Times New Roman"/>
      <w:szCs w:val="24"/>
    </w:rPr>
  </w:style>
  <w:style w:type="character" w:customStyle="1" w:styleId="155">
    <w:name w:val="纯文本 Char1"/>
    <w:basedOn w:val="46"/>
    <w:semiHidden/>
    <w:qFormat/>
    <w:uiPriority w:val="99"/>
    <w:rPr>
      <w:rFonts w:ascii="宋体" w:hAnsi="Courier New" w:eastAsia="宋体" w:cs="Courier New"/>
      <w:szCs w:val="21"/>
    </w:rPr>
  </w:style>
  <w:style w:type="character" w:customStyle="1" w:styleId="156">
    <w:name w:val="尾注文本 Char"/>
    <w:basedOn w:val="46"/>
    <w:link w:val="25"/>
    <w:semiHidden/>
    <w:qFormat/>
    <w:uiPriority w:val="0"/>
    <w:rPr>
      <w:rFonts w:ascii="Times New Roman" w:hAnsi="Times New Roman" w:eastAsia="宋体" w:cs="Times New Roman"/>
      <w:szCs w:val="24"/>
    </w:rPr>
  </w:style>
  <w:style w:type="character" w:customStyle="1" w:styleId="157">
    <w:name w:val="页脚 Char"/>
    <w:basedOn w:val="46"/>
    <w:link w:val="27"/>
    <w:qFormat/>
    <w:uiPriority w:val="99"/>
    <w:rPr>
      <w:rFonts w:ascii="Times New Roman" w:hAnsi="Times New Roman" w:eastAsia="宋体" w:cs="Times New Roman"/>
      <w:sz w:val="18"/>
      <w:szCs w:val="18"/>
    </w:rPr>
  </w:style>
  <w:style w:type="character" w:customStyle="1" w:styleId="158">
    <w:name w:val="页眉 Char1"/>
    <w:basedOn w:val="46"/>
    <w:semiHidden/>
    <w:qFormat/>
    <w:uiPriority w:val="99"/>
    <w:rPr>
      <w:rFonts w:ascii="Times New Roman" w:hAnsi="Times New Roman" w:eastAsia="宋体" w:cs="Times New Roman"/>
      <w:sz w:val="18"/>
      <w:szCs w:val="18"/>
    </w:rPr>
  </w:style>
  <w:style w:type="character" w:customStyle="1" w:styleId="159">
    <w:name w:val="脚注文本 Char"/>
    <w:basedOn w:val="46"/>
    <w:link w:val="35"/>
    <w:qFormat/>
    <w:uiPriority w:val="0"/>
    <w:rPr>
      <w:rFonts w:ascii="宋体" w:hAnsi="Times New Roman" w:eastAsia="宋体" w:cs="Times New Roman"/>
      <w:sz w:val="18"/>
      <w:szCs w:val="18"/>
    </w:rPr>
  </w:style>
  <w:style w:type="character" w:customStyle="1" w:styleId="160">
    <w:name w:val="批注框文本 Char"/>
    <w:basedOn w:val="46"/>
    <w:link w:val="26"/>
    <w:semiHidden/>
    <w:qFormat/>
    <w:uiPriority w:val="0"/>
    <w:rPr>
      <w:kern w:val="2"/>
      <w:sz w:val="18"/>
      <w:szCs w:val="18"/>
    </w:rPr>
  </w:style>
  <w:style w:type="character" w:styleId="161">
    <w:name w:val="Placeholder Text"/>
    <w:basedOn w:val="46"/>
    <w:unhideWhenUsed/>
    <w:qFormat/>
    <w:uiPriority w:val="99"/>
    <w:rPr>
      <w:color w:val="808080"/>
    </w:rPr>
  </w:style>
  <w:style w:type="character" w:customStyle="1" w:styleId="162">
    <w:name w:val="标题 1 Char"/>
    <w:basedOn w:val="46"/>
    <w:link w:val="2"/>
    <w:qFormat/>
    <w:uiPriority w:val="9"/>
    <w:rPr>
      <w:rFonts w:eastAsia="黑体"/>
      <w:bCs/>
      <w:kern w:val="44"/>
      <w:sz w:val="21"/>
      <w:szCs w:val="44"/>
    </w:rPr>
  </w:style>
  <w:style w:type="character" w:customStyle="1" w:styleId="163">
    <w:name w:val="标题 2 Char"/>
    <w:basedOn w:val="46"/>
    <w:link w:val="3"/>
    <w:qFormat/>
    <w:uiPriority w:val="9"/>
    <w:rPr>
      <w:rFonts w:eastAsiaTheme="majorEastAsia" w:cstheme="majorBidi"/>
      <w:bCs/>
      <w:kern w:val="2"/>
      <w:sz w:val="21"/>
      <w:szCs w:val="32"/>
    </w:rPr>
  </w:style>
  <w:style w:type="character" w:customStyle="1" w:styleId="164">
    <w:name w:val="标题 3 Char"/>
    <w:basedOn w:val="46"/>
    <w:link w:val="4"/>
    <w:qFormat/>
    <w:uiPriority w:val="9"/>
    <w:rPr>
      <w:rFonts w:eastAsiaTheme="minorEastAsia"/>
      <w:bCs/>
      <w:kern w:val="2"/>
      <w:sz w:val="21"/>
      <w:szCs w:val="32"/>
    </w:rPr>
  </w:style>
  <w:style w:type="character" w:customStyle="1" w:styleId="165">
    <w:name w:val="标题 4 Char"/>
    <w:basedOn w:val="46"/>
    <w:link w:val="5"/>
    <w:qFormat/>
    <w:uiPriority w:val="9"/>
    <w:rPr>
      <w:rFonts w:eastAsiaTheme="majorEastAsia" w:cstheme="majorBidi"/>
      <w:bCs/>
      <w:kern w:val="2"/>
      <w:sz w:val="21"/>
      <w:szCs w:val="28"/>
    </w:rPr>
  </w:style>
  <w:style w:type="character" w:customStyle="1" w:styleId="166">
    <w:name w:val="标题 5 Char"/>
    <w:basedOn w:val="46"/>
    <w:link w:val="6"/>
    <w:semiHidden/>
    <w:qFormat/>
    <w:uiPriority w:val="9"/>
    <w:rPr>
      <w:b/>
      <w:bCs/>
      <w:kern w:val="2"/>
      <w:sz w:val="28"/>
      <w:szCs w:val="28"/>
    </w:rPr>
  </w:style>
  <w:style w:type="character" w:customStyle="1" w:styleId="167">
    <w:name w:val="标题 6 Char"/>
    <w:basedOn w:val="46"/>
    <w:link w:val="7"/>
    <w:semiHidden/>
    <w:qFormat/>
    <w:uiPriority w:val="9"/>
    <w:rPr>
      <w:rFonts w:asciiTheme="majorHAnsi" w:hAnsiTheme="majorHAnsi" w:eastAsiaTheme="majorEastAsia" w:cstheme="majorBidi"/>
      <w:b/>
      <w:bCs/>
      <w:kern w:val="2"/>
      <w:sz w:val="24"/>
      <w:szCs w:val="24"/>
    </w:rPr>
  </w:style>
  <w:style w:type="character" w:customStyle="1" w:styleId="168">
    <w:name w:val="标题 7 Char"/>
    <w:basedOn w:val="46"/>
    <w:link w:val="8"/>
    <w:semiHidden/>
    <w:qFormat/>
    <w:uiPriority w:val="9"/>
    <w:rPr>
      <w:b/>
      <w:bCs/>
      <w:kern w:val="2"/>
      <w:sz w:val="24"/>
      <w:szCs w:val="24"/>
    </w:rPr>
  </w:style>
  <w:style w:type="character" w:customStyle="1" w:styleId="169">
    <w:name w:val="标题 8 Char"/>
    <w:basedOn w:val="46"/>
    <w:link w:val="9"/>
    <w:semiHidden/>
    <w:qFormat/>
    <w:uiPriority w:val="9"/>
    <w:rPr>
      <w:rFonts w:asciiTheme="majorHAnsi" w:hAnsiTheme="majorHAnsi" w:eastAsiaTheme="majorEastAsia" w:cstheme="majorBidi"/>
      <w:kern w:val="2"/>
      <w:sz w:val="24"/>
      <w:szCs w:val="24"/>
    </w:rPr>
  </w:style>
  <w:style w:type="character" w:customStyle="1" w:styleId="170">
    <w:name w:val="标题 9 Char"/>
    <w:basedOn w:val="46"/>
    <w:link w:val="10"/>
    <w:semiHidden/>
    <w:qFormat/>
    <w:uiPriority w:val="9"/>
    <w:rPr>
      <w:rFonts w:asciiTheme="majorHAnsi" w:hAnsiTheme="majorHAnsi" w:eastAsiaTheme="majorEastAsia" w:cstheme="majorBidi"/>
      <w:kern w:val="2"/>
      <w:sz w:val="21"/>
      <w:szCs w:val="21"/>
    </w:rPr>
  </w:style>
  <w:style w:type="character" w:customStyle="1" w:styleId="171">
    <w:name w:val="标题 Char"/>
    <w:basedOn w:val="46"/>
    <w:link w:val="43"/>
    <w:qFormat/>
    <w:uiPriority w:val="0"/>
    <w:rPr>
      <w:rFonts w:ascii="Arial" w:hAnsi="Arial" w:cs="Arial"/>
      <w:b/>
      <w:bCs/>
      <w:kern w:val="2"/>
      <w:sz w:val="32"/>
      <w:szCs w:val="32"/>
    </w:rPr>
  </w:style>
  <w:style w:type="character" w:customStyle="1" w:styleId="172">
    <w:name w:val="副标题 Char"/>
    <w:basedOn w:val="46"/>
    <w:link w:val="34"/>
    <w:qFormat/>
    <w:uiPriority w:val="11"/>
    <w:rPr>
      <w:rFonts w:eastAsia="黑体" w:asciiTheme="minorHAnsi" w:hAnsiTheme="minorHAnsi" w:cstheme="minorBidi"/>
      <w:bCs/>
      <w:kern w:val="28"/>
      <w:sz w:val="28"/>
      <w:szCs w:val="32"/>
    </w:rPr>
  </w:style>
  <w:style w:type="paragraph" w:styleId="173">
    <w:name w:val="List Paragraph"/>
    <w:basedOn w:val="1"/>
    <w:qFormat/>
    <w:uiPriority w:val="34"/>
    <w:pPr>
      <w:ind w:firstLine="420" w:firstLineChars="200"/>
    </w:pPr>
  </w:style>
  <w:style w:type="paragraph" w:customStyle="1" w:styleId="174">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106"/>
    <customShpInfo spid="_x0000_s4105"/>
    <customShpInfo spid="_x0000_s4107"/>
    <customShpInfo spid="_x0000_s4108"/>
    <customShpInfo spid="_x0000_s4109"/>
    <customShpInfo spid="_x0000_s1026"/>
    <customShpInfo spid="_x0000_s1035"/>
    <customShpInfo spid="_x0000_s1034"/>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98048-11AC-4B41-A6CE-47D6539182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4474</Words>
  <Characters>5550</Characters>
  <Lines>130</Lines>
  <Paragraphs>36</Paragraphs>
  <TotalTime>3</TotalTime>
  <ScaleCrop>false</ScaleCrop>
  <LinksUpToDate>false</LinksUpToDate>
  <CharactersWithSpaces>5714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2017-11-14T12:19:00Z</dcterms:created>
  <dc:creator>微软用户</dc:creator>
  <cp:lastModifiedBy>阿姚</cp:lastModifiedBy>
  <cp:lastPrinted>2024-08-26T02:49:00Z</cp:lastPrinted>
  <dcterms:modified xsi:type="dcterms:W3CDTF">2024-08-28T05:09:30Z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E84711D2C7294CB69EB2B6E597447AB5</vt:lpwstr>
  </property>
</Properties>
</file>