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8F6" w:rsidRDefault="006168F6">
      <w:pPr>
        <w:pStyle w:val="afff8"/>
        <w:spacing w:before="0" w:line="300" w:lineRule="auto"/>
        <w:ind w:firstLineChars="0" w:firstLine="0"/>
        <w:rPr>
          <w:rFonts w:ascii="黑体" w:eastAsia="黑体" w:hAnsi="黑体"/>
          <w:sz w:val="30"/>
          <w:szCs w:val="30"/>
        </w:rPr>
      </w:pPr>
    </w:p>
    <w:p w:rsidR="006168F6" w:rsidRDefault="006168F6">
      <w:pPr>
        <w:pStyle w:val="afff8"/>
        <w:spacing w:before="0" w:line="300" w:lineRule="auto"/>
        <w:ind w:firstLineChars="0" w:firstLine="0"/>
        <w:rPr>
          <w:rFonts w:ascii="黑体" w:eastAsia="黑体" w:hAnsi="黑体"/>
          <w:sz w:val="36"/>
          <w:szCs w:val="36"/>
        </w:rPr>
      </w:pPr>
    </w:p>
    <w:p w:rsidR="006168F6" w:rsidRDefault="006168F6">
      <w:pPr>
        <w:pStyle w:val="afff8"/>
        <w:spacing w:before="0" w:line="300" w:lineRule="auto"/>
        <w:ind w:firstLineChars="0" w:firstLine="0"/>
        <w:rPr>
          <w:rFonts w:ascii="黑体" w:eastAsia="黑体" w:hAnsi="黑体"/>
          <w:sz w:val="36"/>
          <w:szCs w:val="36"/>
        </w:rPr>
      </w:pPr>
    </w:p>
    <w:p w:rsidR="00984525" w:rsidRDefault="00B003EF">
      <w:pPr>
        <w:pStyle w:val="afff8"/>
        <w:spacing w:before="0" w:line="300" w:lineRule="auto"/>
        <w:ind w:firstLineChars="0" w:firstLine="0"/>
        <w:rPr>
          <w:rFonts w:hAnsi="宋体"/>
          <w:b/>
          <w:sz w:val="36"/>
          <w:szCs w:val="36"/>
        </w:rPr>
      </w:pPr>
      <w:r>
        <w:rPr>
          <w:rFonts w:hAnsi="宋体" w:hint="eastAsia"/>
          <w:b/>
          <w:sz w:val="36"/>
          <w:szCs w:val="36"/>
        </w:rPr>
        <w:t>稀土</w:t>
      </w:r>
      <w:r w:rsidR="00984525">
        <w:rPr>
          <w:rFonts w:hAnsi="宋体" w:hint="eastAsia"/>
          <w:b/>
          <w:sz w:val="36"/>
          <w:szCs w:val="36"/>
        </w:rPr>
        <w:t>精</w:t>
      </w:r>
      <w:r>
        <w:rPr>
          <w:rFonts w:hAnsi="宋体" w:hint="eastAsia"/>
          <w:b/>
          <w:sz w:val="36"/>
          <w:szCs w:val="36"/>
        </w:rPr>
        <w:t>矿化学分析法</w:t>
      </w:r>
    </w:p>
    <w:p w:rsidR="007B5FBB" w:rsidRPr="007B5FBB" w:rsidRDefault="00984525" w:rsidP="007B5FBB">
      <w:pPr>
        <w:jc w:val="center"/>
        <w:rPr>
          <w:rFonts w:hAnsi="宋体"/>
          <w:b/>
          <w:sz w:val="36"/>
          <w:szCs w:val="36"/>
        </w:rPr>
      </w:pPr>
      <w:r>
        <w:rPr>
          <w:rFonts w:hAnsi="宋体" w:hint="eastAsia"/>
          <w:b/>
          <w:sz w:val="36"/>
          <w:szCs w:val="36"/>
        </w:rPr>
        <w:t>第</w:t>
      </w:r>
      <w:r>
        <w:rPr>
          <w:rFonts w:hAnsi="宋体" w:hint="eastAsia"/>
          <w:b/>
          <w:sz w:val="36"/>
          <w:szCs w:val="36"/>
        </w:rPr>
        <w:t>8</w:t>
      </w:r>
      <w:r>
        <w:rPr>
          <w:rFonts w:hAnsi="宋体" w:hint="eastAsia"/>
          <w:b/>
          <w:sz w:val="36"/>
          <w:szCs w:val="36"/>
        </w:rPr>
        <w:t>部分：</w:t>
      </w:r>
      <w:r w:rsidR="007B5FBB" w:rsidRPr="007B5FBB">
        <w:rPr>
          <w:rFonts w:hAnsi="宋体" w:hint="eastAsia"/>
          <w:b/>
          <w:sz w:val="36"/>
          <w:szCs w:val="36"/>
        </w:rPr>
        <w:t>稀土氧化物量和配分量的测定</w:t>
      </w:r>
    </w:p>
    <w:p w:rsidR="006168F6" w:rsidRDefault="00984525">
      <w:pPr>
        <w:pStyle w:val="afff8"/>
        <w:spacing w:before="0" w:line="300" w:lineRule="auto"/>
        <w:ind w:firstLineChars="0" w:firstLine="0"/>
        <w:rPr>
          <w:rFonts w:ascii="宋体" w:hAnsi="宋体" w:cs="宋体"/>
          <w:sz w:val="44"/>
          <w:szCs w:val="44"/>
        </w:rPr>
      </w:pPr>
      <w:r>
        <w:rPr>
          <w:rFonts w:hAnsi="宋体" w:hint="eastAsia"/>
          <w:b/>
          <w:sz w:val="36"/>
          <w:szCs w:val="36"/>
        </w:rPr>
        <w:t>方法</w:t>
      </w:r>
      <w:r>
        <w:rPr>
          <w:rFonts w:hAnsi="宋体" w:hint="eastAsia"/>
          <w:b/>
          <w:sz w:val="36"/>
          <w:szCs w:val="36"/>
        </w:rPr>
        <w:t>2</w:t>
      </w:r>
      <w:r>
        <w:rPr>
          <w:rFonts w:hAnsi="宋体" w:hint="eastAsia"/>
          <w:b/>
          <w:sz w:val="36"/>
          <w:szCs w:val="36"/>
        </w:rPr>
        <w:t>：</w:t>
      </w:r>
      <w:r w:rsidR="00B003EF">
        <w:rPr>
          <w:rFonts w:hAnsi="宋体" w:hint="eastAsia"/>
          <w:b/>
          <w:sz w:val="36"/>
          <w:szCs w:val="36"/>
        </w:rPr>
        <w:t>电感耦合等离子体原子发射光谱法</w:t>
      </w:r>
    </w:p>
    <w:p w:rsidR="006168F6" w:rsidRDefault="006168F6">
      <w:pPr>
        <w:pStyle w:val="afff8"/>
        <w:spacing w:before="0" w:line="300" w:lineRule="auto"/>
        <w:ind w:firstLineChars="0" w:firstLine="0"/>
        <w:rPr>
          <w:rFonts w:ascii="宋体" w:hAnsi="宋体" w:cs="宋体"/>
          <w:sz w:val="32"/>
          <w:szCs w:val="32"/>
        </w:rPr>
      </w:pPr>
    </w:p>
    <w:p w:rsidR="006168F6" w:rsidRDefault="006168F6">
      <w:pPr>
        <w:pStyle w:val="afff8"/>
        <w:spacing w:before="0" w:line="300" w:lineRule="auto"/>
        <w:ind w:firstLineChars="0" w:firstLine="0"/>
        <w:rPr>
          <w:rFonts w:ascii="宋体" w:hAnsi="宋体" w:cs="宋体"/>
          <w:sz w:val="32"/>
          <w:szCs w:val="32"/>
        </w:rPr>
      </w:pPr>
    </w:p>
    <w:p w:rsidR="006168F6" w:rsidRDefault="006168F6">
      <w:pPr>
        <w:pStyle w:val="afff8"/>
        <w:spacing w:before="0" w:line="300" w:lineRule="auto"/>
        <w:ind w:firstLineChars="0" w:firstLine="0"/>
        <w:rPr>
          <w:rFonts w:ascii="宋体" w:hAnsi="宋体" w:cs="宋体"/>
          <w:sz w:val="32"/>
          <w:szCs w:val="32"/>
        </w:rPr>
      </w:pPr>
    </w:p>
    <w:p w:rsidR="006168F6" w:rsidRDefault="006168F6">
      <w:pPr>
        <w:pStyle w:val="afff8"/>
        <w:spacing w:before="0" w:line="300" w:lineRule="auto"/>
        <w:ind w:firstLineChars="0" w:firstLine="0"/>
        <w:rPr>
          <w:rFonts w:ascii="宋体" w:hAnsi="宋体" w:cs="宋体"/>
          <w:sz w:val="30"/>
          <w:szCs w:val="30"/>
        </w:rPr>
      </w:pPr>
    </w:p>
    <w:p w:rsidR="006168F6" w:rsidRDefault="00B003EF">
      <w:pPr>
        <w:widowControl/>
        <w:spacing w:line="300" w:lineRule="auto"/>
        <w:jc w:val="center"/>
        <w:rPr>
          <w:rFonts w:ascii="宋体" w:hAnsi="宋体" w:cs="宋体"/>
          <w:kern w:val="0"/>
          <w:sz w:val="36"/>
          <w:szCs w:val="36"/>
        </w:rPr>
      </w:pPr>
      <w:r>
        <w:rPr>
          <w:rFonts w:ascii="宋体" w:hAnsi="宋体" w:cs="宋体" w:hint="eastAsia"/>
          <w:kern w:val="0"/>
          <w:sz w:val="36"/>
          <w:szCs w:val="36"/>
        </w:rPr>
        <w:t>编制说明(</w:t>
      </w:r>
      <w:r w:rsidR="007B5FBB">
        <w:rPr>
          <w:rFonts w:ascii="宋体" w:hAnsi="宋体" w:cs="宋体" w:hint="eastAsia"/>
          <w:kern w:val="0"/>
          <w:sz w:val="36"/>
          <w:szCs w:val="36"/>
        </w:rPr>
        <w:t>预审</w:t>
      </w:r>
      <w:r>
        <w:rPr>
          <w:rFonts w:ascii="宋体" w:hAnsi="宋体" w:cs="宋体" w:hint="eastAsia"/>
          <w:kern w:val="0"/>
          <w:sz w:val="36"/>
          <w:szCs w:val="36"/>
        </w:rPr>
        <w:t>）</w:t>
      </w:r>
    </w:p>
    <w:p w:rsidR="006168F6" w:rsidRDefault="006168F6">
      <w:pPr>
        <w:pStyle w:val="afff8"/>
        <w:spacing w:before="0" w:line="300" w:lineRule="auto"/>
        <w:ind w:firstLineChars="0" w:firstLine="0"/>
        <w:rPr>
          <w:rFonts w:ascii="宋体" w:hAnsi="宋体" w:cs="宋体"/>
          <w:sz w:val="30"/>
          <w:szCs w:val="30"/>
        </w:rPr>
      </w:pPr>
    </w:p>
    <w:p w:rsidR="006168F6" w:rsidRDefault="006168F6">
      <w:pPr>
        <w:pStyle w:val="afff8"/>
        <w:spacing w:before="0" w:line="300" w:lineRule="auto"/>
        <w:ind w:firstLineChars="0" w:firstLine="0"/>
        <w:rPr>
          <w:rFonts w:ascii="宋体" w:hAnsi="宋体" w:cs="宋体"/>
          <w:sz w:val="30"/>
          <w:szCs w:val="30"/>
        </w:rPr>
      </w:pPr>
    </w:p>
    <w:p w:rsidR="006168F6" w:rsidRDefault="006168F6">
      <w:pPr>
        <w:pStyle w:val="afff8"/>
        <w:spacing w:before="0" w:line="300" w:lineRule="auto"/>
        <w:ind w:firstLineChars="0" w:firstLine="0"/>
        <w:rPr>
          <w:rFonts w:ascii="宋体" w:hAnsi="宋体" w:cs="宋体"/>
          <w:sz w:val="30"/>
          <w:szCs w:val="30"/>
        </w:rPr>
      </w:pPr>
    </w:p>
    <w:p w:rsidR="006168F6" w:rsidRDefault="006168F6">
      <w:pPr>
        <w:pStyle w:val="afff8"/>
        <w:spacing w:before="0" w:line="300" w:lineRule="auto"/>
        <w:ind w:firstLineChars="0" w:firstLine="0"/>
        <w:rPr>
          <w:rFonts w:ascii="宋体" w:hAnsi="宋体" w:cs="宋体"/>
          <w:sz w:val="30"/>
          <w:szCs w:val="30"/>
        </w:rPr>
      </w:pPr>
    </w:p>
    <w:p w:rsidR="006168F6" w:rsidRDefault="006168F6">
      <w:pPr>
        <w:pStyle w:val="afff8"/>
        <w:spacing w:before="0" w:line="300" w:lineRule="auto"/>
        <w:ind w:firstLineChars="0" w:firstLine="0"/>
        <w:rPr>
          <w:rFonts w:ascii="宋体" w:hAnsi="宋体" w:cs="宋体"/>
          <w:sz w:val="30"/>
          <w:szCs w:val="30"/>
        </w:rPr>
      </w:pPr>
    </w:p>
    <w:p w:rsidR="006168F6" w:rsidRDefault="006168F6">
      <w:pPr>
        <w:pStyle w:val="afff8"/>
        <w:spacing w:before="0" w:line="300" w:lineRule="auto"/>
        <w:ind w:firstLineChars="0" w:firstLine="0"/>
        <w:rPr>
          <w:rFonts w:ascii="宋体" w:hAnsi="宋体" w:cs="宋体"/>
          <w:sz w:val="30"/>
          <w:szCs w:val="30"/>
        </w:rPr>
      </w:pPr>
    </w:p>
    <w:p w:rsidR="006168F6" w:rsidRDefault="00B003EF">
      <w:pPr>
        <w:pStyle w:val="afff8"/>
        <w:spacing w:before="0" w:line="300" w:lineRule="auto"/>
        <w:ind w:firstLineChars="0" w:firstLine="0"/>
        <w:rPr>
          <w:rFonts w:ascii="宋体" w:hAnsi="宋体" w:cs="宋体"/>
          <w:sz w:val="30"/>
          <w:szCs w:val="30"/>
        </w:rPr>
      </w:pPr>
      <w:r>
        <w:rPr>
          <w:rFonts w:ascii="宋体" w:hAnsi="宋体" w:cs="宋体" w:hint="eastAsia"/>
          <w:sz w:val="30"/>
          <w:szCs w:val="30"/>
        </w:rPr>
        <w:t>中国北方稀土高科技股份有限公司</w:t>
      </w:r>
    </w:p>
    <w:p w:rsidR="006168F6" w:rsidRDefault="006168F6">
      <w:pPr>
        <w:pStyle w:val="afff8"/>
        <w:spacing w:before="0" w:line="300" w:lineRule="auto"/>
        <w:ind w:firstLineChars="0" w:firstLine="0"/>
        <w:rPr>
          <w:rFonts w:ascii="宋体" w:hAnsi="宋体" w:cs="宋体"/>
          <w:sz w:val="30"/>
          <w:szCs w:val="30"/>
        </w:rPr>
      </w:pPr>
    </w:p>
    <w:p w:rsidR="006168F6" w:rsidRDefault="006168F6">
      <w:pPr>
        <w:pStyle w:val="afff8"/>
        <w:spacing w:before="0" w:line="300" w:lineRule="auto"/>
        <w:ind w:firstLineChars="0" w:firstLine="0"/>
        <w:rPr>
          <w:rFonts w:ascii="宋体" w:hAnsi="宋体" w:cs="宋体"/>
          <w:sz w:val="30"/>
          <w:szCs w:val="30"/>
        </w:rPr>
      </w:pPr>
    </w:p>
    <w:p w:rsidR="00B003EF" w:rsidRDefault="00B003EF">
      <w:pPr>
        <w:pStyle w:val="afff8"/>
        <w:spacing w:before="0" w:line="300" w:lineRule="auto"/>
        <w:ind w:firstLineChars="0" w:firstLine="0"/>
        <w:rPr>
          <w:rFonts w:ascii="宋体" w:hAnsi="宋体" w:cs="宋体"/>
          <w:sz w:val="30"/>
          <w:szCs w:val="30"/>
        </w:rPr>
      </w:pPr>
      <w:r>
        <w:rPr>
          <w:rFonts w:ascii="宋体" w:hAnsi="宋体" w:cs="宋体" w:hint="eastAsia"/>
          <w:sz w:val="30"/>
          <w:szCs w:val="30"/>
        </w:rPr>
        <w:t>202</w:t>
      </w:r>
      <w:r w:rsidR="00984525">
        <w:rPr>
          <w:rFonts w:ascii="宋体" w:hAnsi="宋体" w:cs="宋体" w:hint="eastAsia"/>
          <w:sz w:val="30"/>
          <w:szCs w:val="30"/>
        </w:rPr>
        <w:t>4</w:t>
      </w:r>
      <w:r>
        <w:rPr>
          <w:rFonts w:ascii="宋体" w:hAnsi="宋体" w:cs="宋体" w:hint="eastAsia"/>
          <w:sz w:val="30"/>
          <w:szCs w:val="30"/>
        </w:rPr>
        <w:t>年</w:t>
      </w:r>
      <w:r w:rsidR="00984525">
        <w:rPr>
          <w:rFonts w:ascii="宋体" w:hAnsi="宋体" w:cs="宋体" w:hint="eastAsia"/>
          <w:sz w:val="30"/>
          <w:szCs w:val="30"/>
        </w:rPr>
        <w:t>7</w:t>
      </w:r>
      <w:r>
        <w:rPr>
          <w:rFonts w:ascii="宋体" w:hAnsi="宋体" w:cs="宋体" w:hint="eastAsia"/>
          <w:sz w:val="30"/>
          <w:szCs w:val="30"/>
        </w:rPr>
        <w:t>月</w:t>
      </w:r>
    </w:p>
    <w:p w:rsidR="00B003EF" w:rsidRDefault="00B003EF">
      <w:pPr>
        <w:pStyle w:val="afff8"/>
        <w:spacing w:before="0" w:line="300" w:lineRule="auto"/>
        <w:ind w:firstLineChars="0" w:firstLine="0"/>
        <w:rPr>
          <w:rFonts w:ascii="宋体" w:hAnsi="宋体" w:cs="宋体"/>
          <w:sz w:val="30"/>
          <w:szCs w:val="30"/>
        </w:rPr>
      </w:pPr>
    </w:p>
    <w:p w:rsidR="00B003EF" w:rsidRDefault="00B003EF">
      <w:pPr>
        <w:pStyle w:val="afff8"/>
        <w:spacing w:before="0" w:line="300" w:lineRule="auto"/>
        <w:ind w:firstLineChars="0" w:firstLine="0"/>
        <w:rPr>
          <w:rFonts w:ascii="宋体" w:hAnsi="宋体" w:cs="宋体"/>
          <w:sz w:val="30"/>
          <w:szCs w:val="30"/>
        </w:rPr>
      </w:pPr>
    </w:p>
    <w:p w:rsidR="007B5FBB" w:rsidRPr="007B5FBB" w:rsidRDefault="00B003EF" w:rsidP="007B5FBB">
      <w:pPr>
        <w:jc w:val="center"/>
        <w:rPr>
          <w:rFonts w:hAnsi="宋体"/>
          <w:b/>
          <w:sz w:val="36"/>
          <w:szCs w:val="36"/>
        </w:rPr>
      </w:pPr>
      <w:proofErr w:type="gramStart"/>
      <w:r>
        <w:rPr>
          <w:rFonts w:ascii="宋体" w:hAnsi="宋体" w:cs="宋体" w:hint="eastAsia"/>
          <w:b/>
          <w:w w:val="90"/>
          <w:sz w:val="30"/>
          <w:szCs w:val="30"/>
        </w:rPr>
        <w:lastRenderedPageBreak/>
        <w:t>《</w:t>
      </w:r>
      <w:proofErr w:type="gramEnd"/>
      <w:r>
        <w:rPr>
          <w:rFonts w:hAnsi="宋体" w:hint="eastAsia"/>
          <w:b/>
          <w:sz w:val="36"/>
          <w:szCs w:val="36"/>
        </w:rPr>
        <w:t>稀土</w:t>
      </w:r>
      <w:r w:rsidR="00984525">
        <w:rPr>
          <w:rFonts w:hAnsi="宋体" w:hint="eastAsia"/>
          <w:b/>
          <w:sz w:val="36"/>
          <w:szCs w:val="36"/>
        </w:rPr>
        <w:t>精</w:t>
      </w:r>
      <w:r>
        <w:rPr>
          <w:rFonts w:hAnsi="宋体" w:hint="eastAsia"/>
          <w:b/>
          <w:sz w:val="36"/>
          <w:szCs w:val="36"/>
        </w:rPr>
        <w:t>矿化学分析法</w:t>
      </w:r>
      <w:r w:rsidR="00984525">
        <w:rPr>
          <w:rFonts w:hAnsi="宋体" w:hint="eastAsia"/>
          <w:b/>
          <w:sz w:val="36"/>
          <w:szCs w:val="36"/>
        </w:rPr>
        <w:t xml:space="preserve"> </w:t>
      </w:r>
      <w:r w:rsidR="00984525">
        <w:rPr>
          <w:rFonts w:hAnsi="宋体" w:hint="eastAsia"/>
          <w:b/>
          <w:sz w:val="36"/>
          <w:szCs w:val="36"/>
        </w:rPr>
        <w:t>第</w:t>
      </w:r>
      <w:r w:rsidR="00984525">
        <w:rPr>
          <w:rFonts w:hAnsi="宋体" w:hint="eastAsia"/>
          <w:b/>
          <w:sz w:val="36"/>
          <w:szCs w:val="36"/>
        </w:rPr>
        <w:t>8</w:t>
      </w:r>
      <w:r w:rsidR="00984525">
        <w:rPr>
          <w:rFonts w:hAnsi="宋体" w:hint="eastAsia"/>
          <w:b/>
          <w:sz w:val="36"/>
          <w:szCs w:val="36"/>
        </w:rPr>
        <w:t>部分：</w:t>
      </w:r>
      <w:r w:rsidR="007B5FBB" w:rsidRPr="007B5FBB">
        <w:rPr>
          <w:rFonts w:hAnsi="宋体" w:hint="eastAsia"/>
          <w:b/>
          <w:sz w:val="36"/>
          <w:szCs w:val="36"/>
        </w:rPr>
        <w:t>稀土氧化物量和配分量的测定</w:t>
      </w:r>
    </w:p>
    <w:p w:rsidR="006168F6" w:rsidRPr="00B003EF" w:rsidRDefault="00984525" w:rsidP="00B003EF">
      <w:pPr>
        <w:pStyle w:val="afff8"/>
        <w:spacing w:before="0" w:line="300" w:lineRule="auto"/>
        <w:ind w:firstLineChars="0" w:firstLine="0"/>
        <w:rPr>
          <w:rFonts w:ascii="宋体" w:hAnsi="宋体" w:cs="宋体"/>
          <w:sz w:val="44"/>
          <w:szCs w:val="44"/>
        </w:rPr>
      </w:pPr>
      <w:r>
        <w:rPr>
          <w:rFonts w:hAnsi="宋体" w:hint="eastAsia"/>
          <w:b/>
          <w:sz w:val="36"/>
          <w:szCs w:val="36"/>
        </w:rPr>
        <w:t>方法</w:t>
      </w:r>
      <w:r>
        <w:rPr>
          <w:rFonts w:hAnsi="宋体" w:hint="eastAsia"/>
          <w:b/>
          <w:sz w:val="36"/>
          <w:szCs w:val="36"/>
        </w:rPr>
        <w:t>2</w:t>
      </w:r>
      <w:r>
        <w:rPr>
          <w:rFonts w:hAnsi="宋体" w:hint="eastAsia"/>
          <w:b/>
          <w:sz w:val="36"/>
          <w:szCs w:val="36"/>
        </w:rPr>
        <w:t>：</w:t>
      </w:r>
      <w:r w:rsidR="007B5FBB">
        <w:rPr>
          <w:rFonts w:hAnsi="宋体" w:hint="eastAsia"/>
          <w:b/>
          <w:sz w:val="36"/>
          <w:szCs w:val="36"/>
        </w:rPr>
        <w:t>十五个稀土元素氧化物配分量的测定</w:t>
      </w:r>
      <w:r w:rsidR="007B5FBB">
        <w:rPr>
          <w:rFonts w:hAnsi="宋体" w:hint="eastAsia"/>
          <w:b/>
          <w:sz w:val="36"/>
          <w:szCs w:val="36"/>
        </w:rPr>
        <w:t xml:space="preserve"> </w:t>
      </w:r>
      <w:r w:rsidR="00B003EF">
        <w:rPr>
          <w:rFonts w:hAnsi="宋体" w:hint="eastAsia"/>
          <w:b/>
          <w:sz w:val="36"/>
          <w:szCs w:val="36"/>
        </w:rPr>
        <w:t>电感耦合等离子体原子发射光谱法</w:t>
      </w:r>
      <w:r w:rsidR="00B003EF">
        <w:rPr>
          <w:rFonts w:ascii="宋体" w:hAnsi="宋体" w:cs="宋体" w:hint="eastAsia"/>
          <w:b/>
          <w:w w:val="90"/>
          <w:sz w:val="30"/>
          <w:szCs w:val="30"/>
        </w:rPr>
        <w:t>》</w:t>
      </w:r>
    </w:p>
    <w:p w:rsidR="006168F6" w:rsidRDefault="007B5FBB">
      <w:pPr>
        <w:spacing w:beforeLines="100" w:before="312"/>
        <w:jc w:val="center"/>
        <w:rPr>
          <w:rFonts w:ascii="宋体" w:hAnsi="宋体" w:cs="宋体"/>
          <w:b/>
          <w:w w:val="90"/>
          <w:sz w:val="30"/>
          <w:szCs w:val="30"/>
        </w:rPr>
      </w:pPr>
      <w:r>
        <w:rPr>
          <w:rFonts w:ascii="宋体" w:hAnsi="宋体" w:cs="宋体" w:hint="eastAsia"/>
          <w:b/>
          <w:w w:val="90"/>
          <w:sz w:val="30"/>
          <w:szCs w:val="30"/>
        </w:rPr>
        <w:t>编制说明（预审</w:t>
      </w:r>
      <w:r w:rsidR="00B003EF">
        <w:rPr>
          <w:rFonts w:ascii="宋体" w:hAnsi="宋体" w:cs="宋体" w:hint="eastAsia"/>
          <w:b/>
          <w:w w:val="90"/>
          <w:sz w:val="30"/>
          <w:szCs w:val="30"/>
        </w:rPr>
        <w:t>）</w:t>
      </w:r>
    </w:p>
    <w:p w:rsidR="006168F6" w:rsidRDefault="00B003EF">
      <w:pPr>
        <w:numPr>
          <w:ilvl w:val="0"/>
          <w:numId w:val="2"/>
        </w:numPr>
        <w:spacing w:beforeLines="50" w:before="156" w:afterLines="50" w:after="156" w:line="300" w:lineRule="auto"/>
        <w:rPr>
          <w:rFonts w:ascii="宋体" w:hAnsi="宋体" w:cs="宋体"/>
          <w:b/>
          <w:sz w:val="24"/>
        </w:rPr>
      </w:pPr>
      <w:r>
        <w:rPr>
          <w:rFonts w:ascii="宋体" w:hAnsi="宋体" w:cs="宋体" w:hint="eastAsia"/>
          <w:b/>
          <w:sz w:val="24"/>
        </w:rPr>
        <w:t>工作简况</w:t>
      </w:r>
    </w:p>
    <w:p w:rsidR="006168F6" w:rsidRDefault="00B003EF">
      <w:pPr>
        <w:pStyle w:val="afffa"/>
        <w:tabs>
          <w:tab w:val="clear" w:pos="675"/>
        </w:tabs>
        <w:spacing w:beforeLines="50" w:before="156" w:afterLines="50" w:after="156"/>
        <w:ind w:left="0" w:firstLine="0"/>
        <w:jc w:val="left"/>
        <w:rPr>
          <w:rFonts w:asciiTheme="minorEastAsia" w:eastAsiaTheme="minorEastAsia" w:hAnsiTheme="minorEastAsia" w:cs="宋体"/>
          <w:szCs w:val="21"/>
        </w:rPr>
      </w:pPr>
      <w:r>
        <w:rPr>
          <w:rFonts w:asciiTheme="minorEastAsia" w:eastAsiaTheme="minorEastAsia" w:hAnsiTheme="minorEastAsia" w:cs="宋体" w:hint="eastAsia"/>
          <w:szCs w:val="21"/>
        </w:rPr>
        <w:t>1.任务来源</w:t>
      </w:r>
    </w:p>
    <w:p w:rsidR="006168F6" w:rsidRDefault="00984525">
      <w:pPr>
        <w:ind w:firstLine="420"/>
        <w:rPr>
          <w:rFonts w:ascii="宋体" w:hAnsi="宋体" w:cs="宋体"/>
          <w:szCs w:val="20"/>
        </w:rPr>
      </w:pPr>
      <w:r>
        <w:rPr>
          <w:szCs w:val="21"/>
        </w:rPr>
        <w:t>根据</w:t>
      </w:r>
      <w:r>
        <w:rPr>
          <w:szCs w:val="21"/>
        </w:rPr>
        <w:t>2024</w:t>
      </w:r>
      <w:r>
        <w:rPr>
          <w:szCs w:val="21"/>
        </w:rPr>
        <w:t>年</w:t>
      </w:r>
      <w:r>
        <w:rPr>
          <w:szCs w:val="21"/>
        </w:rPr>
        <w:t>2</w:t>
      </w:r>
      <w:r>
        <w:rPr>
          <w:szCs w:val="21"/>
        </w:rPr>
        <w:t>月</w:t>
      </w:r>
      <w:r>
        <w:rPr>
          <w:szCs w:val="21"/>
        </w:rPr>
        <w:t>4</w:t>
      </w:r>
      <w:r>
        <w:rPr>
          <w:szCs w:val="21"/>
        </w:rPr>
        <w:t>日</w:t>
      </w:r>
      <w:r>
        <w:rPr>
          <w:szCs w:val="20"/>
        </w:rPr>
        <w:t>全国稀土标准化技术委员会下发</w:t>
      </w:r>
      <w:r>
        <w:rPr>
          <w:szCs w:val="21"/>
        </w:rPr>
        <w:t>《关于印发</w:t>
      </w:r>
      <w:r>
        <w:rPr>
          <w:szCs w:val="21"/>
        </w:rPr>
        <w:t>&lt;</w:t>
      </w:r>
      <w:r>
        <w:rPr>
          <w:szCs w:val="21"/>
        </w:rPr>
        <w:t>稀土复合钇锆陶瓷粉</w:t>
      </w:r>
      <w:r>
        <w:rPr>
          <w:szCs w:val="21"/>
        </w:rPr>
        <w:t>&gt;</w:t>
      </w:r>
      <w:r>
        <w:rPr>
          <w:szCs w:val="21"/>
        </w:rPr>
        <w:t>等</w:t>
      </w:r>
      <w:r>
        <w:rPr>
          <w:szCs w:val="21"/>
        </w:rPr>
        <w:t>24</w:t>
      </w:r>
      <w:r>
        <w:rPr>
          <w:szCs w:val="21"/>
        </w:rPr>
        <w:t>项国家、行业标准计划任务落实会议纪要的通知》要求（稀土标委</w:t>
      </w:r>
      <w:r>
        <w:rPr>
          <w:szCs w:val="21"/>
        </w:rPr>
        <w:t>[2024]6</w:t>
      </w:r>
      <w:r>
        <w:rPr>
          <w:szCs w:val="21"/>
        </w:rPr>
        <w:t>号），国家标准《</w:t>
      </w:r>
      <w:r>
        <w:rPr>
          <w:rFonts w:hint="eastAsia"/>
          <w:szCs w:val="20"/>
        </w:rPr>
        <w:t>稀土精矿化学分析方法</w:t>
      </w:r>
      <w:r>
        <w:rPr>
          <w:rFonts w:hint="eastAsia"/>
          <w:szCs w:val="20"/>
        </w:rPr>
        <w:t xml:space="preserve"> </w:t>
      </w:r>
      <w:r>
        <w:rPr>
          <w:rFonts w:hint="eastAsia"/>
          <w:szCs w:val="20"/>
        </w:rPr>
        <w:t>第</w:t>
      </w:r>
      <w:r>
        <w:rPr>
          <w:rFonts w:hint="eastAsia"/>
          <w:szCs w:val="20"/>
        </w:rPr>
        <w:t>8</w:t>
      </w:r>
      <w:r>
        <w:rPr>
          <w:rFonts w:hint="eastAsia"/>
          <w:szCs w:val="20"/>
        </w:rPr>
        <w:t>部分：稀土氧化物量和配分量的测定</w:t>
      </w:r>
      <w:r w:rsidR="007B5FBB" w:rsidRPr="007B5FBB">
        <w:rPr>
          <w:rFonts w:hint="eastAsia"/>
          <w:szCs w:val="20"/>
        </w:rPr>
        <w:t>方法</w:t>
      </w:r>
      <w:r w:rsidR="007B5FBB" w:rsidRPr="007B5FBB">
        <w:rPr>
          <w:rFonts w:hint="eastAsia"/>
          <w:szCs w:val="20"/>
        </w:rPr>
        <w:t>2</w:t>
      </w:r>
      <w:r w:rsidR="007B5FBB" w:rsidRPr="007B5FBB">
        <w:rPr>
          <w:rFonts w:hint="eastAsia"/>
          <w:szCs w:val="20"/>
        </w:rPr>
        <w:t>：十五个稀土元素氧化物配分量的测定</w:t>
      </w:r>
      <w:r w:rsidR="007B5FBB" w:rsidRPr="007B5FBB">
        <w:rPr>
          <w:rFonts w:hint="eastAsia"/>
          <w:szCs w:val="20"/>
        </w:rPr>
        <w:t xml:space="preserve"> </w:t>
      </w:r>
      <w:r w:rsidR="007B5FBB" w:rsidRPr="007B5FBB">
        <w:rPr>
          <w:rFonts w:hint="eastAsia"/>
          <w:szCs w:val="20"/>
        </w:rPr>
        <w:t>电感耦合等离子体原子发射光谱法</w:t>
      </w:r>
      <w:r>
        <w:rPr>
          <w:szCs w:val="21"/>
        </w:rPr>
        <w:t>》修订工作由全国稀土标准化技术委员会归口（项目计划编号：</w:t>
      </w:r>
      <w:r>
        <w:rPr>
          <w:szCs w:val="21"/>
        </w:rPr>
        <w:t>20231301-T-469</w:t>
      </w:r>
      <w:r>
        <w:rPr>
          <w:szCs w:val="21"/>
        </w:rPr>
        <w:t>），</w:t>
      </w:r>
      <w:r w:rsidR="007B5FBB" w:rsidRPr="009E6F10">
        <w:rPr>
          <w:rFonts w:ascii="宋体" w:hAnsi="宋体" w:cs="宋体" w:hint="eastAsia"/>
        </w:rPr>
        <w:t>中国北方稀土高科技股份有限公司</w:t>
      </w:r>
      <w:r>
        <w:rPr>
          <w:szCs w:val="21"/>
        </w:rPr>
        <w:t>负责推进，项目周期</w:t>
      </w:r>
      <w:r>
        <w:rPr>
          <w:szCs w:val="21"/>
        </w:rPr>
        <w:t>16</w:t>
      </w:r>
      <w:r>
        <w:rPr>
          <w:szCs w:val="21"/>
        </w:rPr>
        <w:t>个月。</w:t>
      </w:r>
    </w:p>
    <w:p w:rsidR="006168F6" w:rsidRDefault="00B003EF">
      <w:pPr>
        <w:pStyle w:val="afffc"/>
        <w:numPr>
          <w:ilvl w:val="0"/>
          <w:numId w:val="3"/>
        </w:numPr>
        <w:ind w:firstLineChars="0"/>
      </w:pPr>
      <w:r>
        <w:rPr>
          <w:rFonts w:hint="eastAsia"/>
        </w:rPr>
        <w:t>项目编制组简况</w:t>
      </w:r>
    </w:p>
    <w:p w:rsidR="006168F6" w:rsidRDefault="00B003EF">
      <w:pPr>
        <w:rPr>
          <w:rFonts w:ascii="宋体" w:hAnsi="宋体" w:cs="宋体"/>
        </w:rPr>
      </w:pPr>
      <w:r>
        <w:rPr>
          <w:rFonts w:ascii="宋体" w:hAnsi="宋体" w:cs="宋体" w:hint="eastAsia"/>
        </w:rPr>
        <w:t>2.1 编制组成员单位</w:t>
      </w:r>
    </w:p>
    <w:p w:rsidR="006168F6" w:rsidRDefault="00B003EF" w:rsidP="00B003EF">
      <w:pPr>
        <w:tabs>
          <w:tab w:val="left" w:pos="2070"/>
          <w:tab w:val="center" w:pos="4757"/>
        </w:tabs>
        <w:ind w:firstLineChars="200" w:firstLine="420"/>
        <w:jc w:val="left"/>
        <w:rPr>
          <w:rFonts w:ascii="宋体" w:hAnsi="宋体" w:cs="宋体"/>
        </w:rPr>
      </w:pPr>
      <w:r>
        <w:rPr>
          <w:rFonts w:ascii="宋体" w:hAnsi="宋体" w:cs="宋体" w:hint="eastAsia"/>
        </w:rPr>
        <w:t>编制组由</w:t>
      </w:r>
      <w:r w:rsidRPr="00B003EF">
        <w:rPr>
          <w:rFonts w:ascii="宋体" w:hAnsi="宋体" w:cs="宋体" w:hint="eastAsia"/>
        </w:rPr>
        <w:t>中国北方稀土高科技股份有限公司</w:t>
      </w:r>
      <w:r>
        <w:rPr>
          <w:rFonts w:ascii="宋体" w:hAnsi="宋体" w:cs="宋体" w:hint="eastAsia"/>
        </w:rPr>
        <w:t>、</w:t>
      </w:r>
      <w:proofErr w:type="gramStart"/>
      <w:r w:rsidRPr="00B003EF">
        <w:rPr>
          <w:rFonts w:ascii="宋体" w:hAnsi="宋体" w:cs="宋体" w:hint="eastAsia"/>
        </w:rPr>
        <w:t>虔</w:t>
      </w:r>
      <w:proofErr w:type="gramEnd"/>
      <w:r w:rsidRPr="00B003EF">
        <w:rPr>
          <w:rFonts w:ascii="宋体" w:hAnsi="宋体" w:cs="宋体" w:hint="eastAsia"/>
        </w:rPr>
        <w:t>东稀土</w:t>
      </w:r>
      <w:r w:rsidRPr="00B003EF">
        <w:rPr>
          <w:rFonts w:ascii="宋体" w:hAnsi="宋体" w:cs="宋体"/>
        </w:rPr>
        <w:t>集团</w:t>
      </w:r>
      <w:r w:rsidRPr="00B003EF">
        <w:rPr>
          <w:rFonts w:ascii="宋体" w:hAnsi="宋体" w:cs="宋体" w:hint="eastAsia"/>
        </w:rPr>
        <w:t>股份</w:t>
      </w:r>
      <w:r w:rsidRPr="00B003EF">
        <w:rPr>
          <w:rFonts w:ascii="宋体" w:hAnsi="宋体" w:cs="宋体"/>
        </w:rPr>
        <w:t>有限公司</w:t>
      </w:r>
      <w:r>
        <w:rPr>
          <w:rFonts w:ascii="宋体" w:hAnsi="宋体" w:cs="宋体" w:hint="eastAsia"/>
        </w:rPr>
        <w:t>、</w:t>
      </w:r>
      <w:r w:rsidRPr="00B003EF">
        <w:rPr>
          <w:rFonts w:ascii="宋体" w:hAnsi="宋体" w:cs="宋体" w:hint="eastAsia"/>
        </w:rPr>
        <w:t>湖南稀土金属材料研究院有限责任公司、</w:t>
      </w:r>
      <w:r w:rsidRPr="00B003EF">
        <w:rPr>
          <w:rFonts w:ascii="宋体" w:hAnsi="宋体" w:cs="宋体" w:hint="eastAsia"/>
          <w:color w:val="FF0000"/>
        </w:rPr>
        <w:t>厦门稀土材料研究室、</w:t>
      </w:r>
      <w:proofErr w:type="gramStart"/>
      <w:r w:rsidRPr="00B003EF">
        <w:rPr>
          <w:rFonts w:ascii="宋体" w:hAnsi="宋体" w:cs="宋体" w:hint="eastAsia"/>
        </w:rPr>
        <w:t>国家钨与稀土</w:t>
      </w:r>
      <w:proofErr w:type="gramEnd"/>
      <w:r w:rsidRPr="00B003EF">
        <w:rPr>
          <w:rFonts w:ascii="宋体" w:hAnsi="宋体" w:cs="宋体" w:hint="eastAsia"/>
        </w:rPr>
        <w:t>质量检验检测中心、国</w:t>
      </w:r>
      <w:r>
        <w:rPr>
          <w:rFonts w:ascii="宋体" w:hAnsi="宋体" w:cs="宋体" w:hint="eastAsia"/>
        </w:rPr>
        <w:t>标（北京）检验认证股份有限公司</w:t>
      </w:r>
      <w:r>
        <w:rPr>
          <w:rFonts w:ascii="宋体" w:hAnsi="宋体" w:cs="宋体" w:hint="eastAsia"/>
          <w:szCs w:val="21"/>
        </w:rPr>
        <w:t>等6家单位组成。</w:t>
      </w:r>
      <w:r>
        <w:rPr>
          <w:rFonts w:ascii="宋体" w:hAnsi="宋体" w:cs="宋体" w:hint="eastAsia"/>
        </w:rPr>
        <w:t>本项目组起草人员长期从事化学分析检测工作，多次参与国家、行业标准的制修订工作，能够保证本项目计划的顺利完成。</w:t>
      </w:r>
    </w:p>
    <w:p w:rsidR="006168F6" w:rsidRDefault="00B003EF">
      <w:pPr>
        <w:rPr>
          <w:rFonts w:ascii="宋体" w:hAnsi="宋体" w:cs="宋体"/>
        </w:rPr>
      </w:pPr>
      <w:r>
        <w:rPr>
          <w:rFonts w:ascii="宋体" w:hAnsi="宋体" w:cs="宋体" w:hint="eastAsia"/>
        </w:rPr>
        <w:t>2.2 负责起草单位简介</w:t>
      </w:r>
    </w:p>
    <w:p w:rsidR="00B003EF" w:rsidRPr="00B003EF" w:rsidRDefault="00B003EF" w:rsidP="007B5FBB">
      <w:pPr>
        <w:tabs>
          <w:tab w:val="left" w:pos="2070"/>
          <w:tab w:val="center" w:pos="4757"/>
        </w:tabs>
        <w:ind w:firstLineChars="200" w:firstLine="422"/>
        <w:jc w:val="left"/>
        <w:rPr>
          <w:rFonts w:ascii="宋体" w:hAnsi="宋体" w:cs="宋体"/>
        </w:rPr>
      </w:pPr>
      <w:r w:rsidRPr="007B5FBB">
        <w:rPr>
          <w:rFonts w:ascii="宋体" w:hAnsi="宋体" w:cs="宋体" w:hint="eastAsia"/>
          <w:b/>
        </w:rPr>
        <w:t>中国北方稀土高科技股份有限公司(以下</w:t>
      </w:r>
      <w:r w:rsidRPr="007B5FBB">
        <w:rPr>
          <w:rFonts w:ascii="宋体" w:hAnsi="宋体" w:cs="宋体"/>
          <w:b/>
        </w:rPr>
        <w:t>简称</w:t>
      </w:r>
      <w:r w:rsidRPr="007B5FBB">
        <w:rPr>
          <w:rFonts w:ascii="宋体" w:hAnsi="宋体" w:cs="宋体" w:hint="eastAsia"/>
          <w:b/>
        </w:rPr>
        <w:t>北方稀土)</w:t>
      </w:r>
      <w:r w:rsidR="00240FEC" w:rsidRPr="00B003EF">
        <w:rPr>
          <w:rFonts w:ascii="宋体" w:hAnsi="宋体" w:cs="宋体" w:hint="eastAsia"/>
        </w:rPr>
        <w:t>：</w:t>
      </w:r>
      <w:r w:rsidR="009E6F10">
        <w:rPr>
          <w:rFonts w:ascii="宋体" w:hAnsi="宋体" w:cs="宋体" w:hint="eastAsia"/>
        </w:rPr>
        <w:t>中国</w:t>
      </w:r>
      <w:r w:rsidRPr="00B003EF">
        <w:rPr>
          <w:rFonts w:ascii="宋体" w:hAnsi="宋体" w:cs="宋体" w:hint="eastAsia"/>
        </w:rPr>
        <w:t>北方稀土（集团）高科技股份有限公司中初建 于1961年，是世界最大的稀土生产、科研和贸易基地，是我国稀土行业第一家上市公司。其“白云鄂博”牌商标、“物华”牌商标为国家驰名商标，并在美国、日本等国家完成注册。2012年被评为“内蒙古自治区主席质量奖”。</w:t>
      </w:r>
    </w:p>
    <w:p w:rsidR="00B003EF" w:rsidRPr="00B003EF" w:rsidRDefault="00B003EF" w:rsidP="00B003EF">
      <w:pPr>
        <w:tabs>
          <w:tab w:val="left" w:pos="2070"/>
          <w:tab w:val="center" w:pos="4757"/>
        </w:tabs>
        <w:ind w:firstLineChars="200" w:firstLine="420"/>
        <w:jc w:val="left"/>
        <w:rPr>
          <w:rFonts w:ascii="宋体" w:hAnsi="宋体" w:cs="宋体"/>
        </w:rPr>
      </w:pPr>
      <w:r w:rsidRPr="00B003EF">
        <w:rPr>
          <w:rFonts w:ascii="宋体" w:hAnsi="宋体" w:cs="宋体" w:hint="eastAsia"/>
        </w:rPr>
        <w:t>公司主要生产经营稀土原料产品（稀土盐类、稀土氧化物及稀土金属）、稀土功能材料产品（稀土磁性材料、抛光材料、贮氢材料、发光材料、催化材料）和部分稀土应用产品（镍氢动力电池、稀土永磁磁共振仪、LED灯珠）。经过50多年的发展，北方稀土已拥有近40家包括直属厂（分公司）、全资、控股、参股公司，分布全国10个省（市）自治区，拥有稀土冶炼、功能材料、深加工应用产品的完整产业链，是跨地区、跨所有制、多领域的高科技企业集团。</w:t>
      </w:r>
    </w:p>
    <w:p w:rsidR="00B003EF" w:rsidRPr="00B003EF" w:rsidRDefault="00B003EF" w:rsidP="00B003EF">
      <w:pPr>
        <w:tabs>
          <w:tab w:val="left" w:pos="2070"/>
          <w:tab w:val="center" w:pos="4757"/>
        </w:tabs>
        <w:ind w:firstLineChars="200" w:firstLine="420"/>
        <w:jc w:val="left"/>
        <w:rPr>
          <w:rFonts w:ascii="宋体" w:hAnsi="宋体" w:cs="宋体"/>
        </w:rPr>
      </w:pPr>
      <w:r w:rsidRPr="00B003EF">
        <w:rPr>
          <w:rFonts w:ascii="宋体" w:hAnsi="宋体" w:cs="宋体" w:hint="eastAsia"/>
        </w:rPr>
        <w:t>多年来，北方稀土坚持“做精做细稀土原料，做</w:t>
      </w:r>
      <w:proofErr w:type="gramStart"/>
      <w:r w:rsidRPr="00B003EF">
        <w:rPr>
          <w:rFonts w:ascii="宋体" w:hAnsi="宋体" w:cs="宋体" w:hint="eastAsia"/>
        </w:rPr>
        <w:t>强做</w:t>
      </w:r>
      <w:proofErr w:type="gramEnd"/>
      <w:r w:rsidRPr="00B003EF">
        <w:rPr>
          <w:rFonts w:ascii="宋体" w:hAnsi="宋体" w:cs="宋体" w:hint="eastAsia"/>
        </w:rPr>
        <w:t>优稀土材料，做大下游终端应用产品”的发展思路，可生产各类稀土产品11个大类、50余种、近千个规格。目前，公司冶炼分离产能8万吨/年、稀土金属产能1万吨/年，稀土原料产能位居全球第一；稀土功能材料中磁性材料合金3万吨/年，产能居全球第一；抛光材料产能14000吨/年、贮氢合金3000吨/年，占据国内市场份额半数以上；发光材料1000吨/年。在稀土应用产品领域，已建成年产100台稀土永磁磁共振成像仪生产基地，混合汽车用圆形镍氢动力电池100万只/年能力，LED封装60亿颗/年。</w:t>
      </w:r>
    </w:p>
    <w:p w:rsidR="00B003EF" w:rsidRPr="00B003EF" w:rsidRDefault="00B003EF" w:rsidP="00B003EF">
      <w:pPr>
        <w:tabs>
          <w:tab w:val="left" w:pos="2070"/>
          <w:tab w:val="center" w:pos="4757"/>
        </w:tabs>
        <w:ind w:firstLineChars="200" w:firstLine="420"/>
        <w:jc w:val="left"/>
        <w:rPr>
          <w:rFonts w:ascii="宋体" w:hAnsi="宋体" w:cs="宋体"/>
        </w:rPr>
      </w:pPr>
      <w:r w:rsidRPr="00B003EF">
        <w:rPr>
          <w:rFonts w:ascii="宋体" w:hAnsi="宋体" w:cs="宋体" w:hint="eastAsia"/>
        </w:rPr>
        <w:t>近年来，北方稀土下游产品销售收入占比逐年增加，稀土功能材料及其延伸产品的销售收入占比超过30%，产业结构不断优化，初步构建起由规模速度型粗放增长向质量效益型集约增长转变的企业发展新模式。</w:t>
      </w:r>
    </w:p>
    <w:p w:rsidR="006168F6" w:rsidRDefault="00B003EF" w:rsidP="00B003EF">
      <w:pPr>
        <w:ind w:firstLineChars="200" w:firstLine="420"/>
        <w:rPr>
          <w:rFonts w:ascii="宋体" w:hAnsi="宋体" w:cs="宋体"/>
        </w:rPr>
      </w:pPr>
      <w:r>
        <w:rPr>
          <w:rFonts w:ascii="宋体" w:hAnsi="宋体" w:cs="宋体"/>
        </w:rPr>
        <w:t>2.3</w:t>
      </w:r>
      <w:r>
        <w:rPr>
          <w:rFonts w:ascii="宋体" w:hAnsi="宋体" w:cs="宋体" w:hint="eastAsia"/>
        </w:rPr>
        <w:t>参与起草单位简介</w:t>
      </w:r>
    </w:p>
    <w:p w:rsidR="00240FEC" w:rsidRDefault="009E6F10" w:rsidP="00240FEC">
      <w:pPr>
        <w:tabs>
          <w:tab w:val="left" w:pos="2070"/>
          <w:tab w:val="center" w:pos="4757"/>
        </w:tabs>
        <w:ind w:firstLineChars="200" w:firstLine="422"/>
        <w:jc w:val="left"/>
        <w:rPr>
          <w:rFonts w:ascii="宋体" w:hAnsi="宋体" w:cs="宋体"/>
        </w:rPr>
      </w:pPr>
      <w:proofErr w:type="gramStart"/>
      <w:r w:rsidRPr="00240FEC">
        <w:rPr>
          <w:rFonts w:ascii="宋体" w:hAnsi="宋体" w:cs="宋体" w:hint="eastAsia"/>
          <w:b/>
        </w:rPr>
        <w:t>虔</w:t>
      </w:r>
      <w:proofErr w:type="gramEnd"/>
      <w:r w:rsidRPr="00240FEC">
        <w:rPr>
          <w:rFonts w:ascii="宋体" w:hAnsi="宋体" w:cs="宋体" w:hint="eastAsia"/>
          <w:b/>
        </w:rPr>
        <w:t>东稀土</w:t>
      </w:r>
      <w:r w:rsidRPr="00240FEC">
        <w:rPr>
          <w:rFonts w:ascii="宋体" w:hAnsi="宋体" w:cs="宋体"/>
          <w:b/>
        </w:rPr>
        <w:t>集团</w:t>
      </w:r>
      <w:r w:rsidRPr="00240FEC">
        <w:rPr>
          <w:rFonts w:ascii="宋体" w:hAnsi="宋体" w:cs="宋体" w:hint="eastAsia"/>
          <w:b/>
        </w:rPr>
        <w:t>股份</w:t>
      </w:r>
      <w:r w:rsidRPr="00240FEC">
        <w:rPr>
          <w:rFonts w:ascii="宋体" w:hAnsi="宋体" w:cs="宋体"/>
          <w:b/>
        </w:rPr>
        <w:t>有限公司</w:t>
      </w:r>
      <w:r w:rsidR="00B003EF" w:rsidRPr="00240FEC">
        <w:rPr>
          <w:rFonts w:ascii="宋体" w:hAnsi="宋体" w:cs="宋体" w:hint="eastAsia"/>
          <w:b/>
        </w:rPr>
        <w:t>（以下简称</w:t>
      </w:r>
      <w:proofErr w:type="gramStart"/>
      <w:r w:rsidRPr="00240FEC">
        <w:rPr>
          <w:rFonts w:ascii="宋体" w:hAnsi="宋体" w:cs="宋体" w:hint="eastAsia"/>
          <w:b/>
        </w:rPr>
        <w:t>虔</w:t>
      </w:r>
      <w:proofErr w:type="gramEnd"/>
      <w:r w:rsidRPr="00240FEC">
        <w:rPr>
          <w:rFonts w:ascii="宋体" w:hAnsi="宋体" w:cs="宋体" w:hint="eastAsia"/>
          <w:b/>
        </w:rPr>
        <w:t>东稀土</w:t>
      </w:r>
      <w:r w:rsidR="00B003EF" w:rsidRPr="00240FEC">
        <w:rPr>
          <w:rFonts w:ascii="宋体" w:hAnsi="宋体" w:cs="宋体" w:hint="eastAsia"/>
          <w:b/>
        </w:rPr>
        <w:t>）</w:t>
      </w:r>
      <w:r w:rsidR="00240FEC" w:rsidRPr="00240FEC">
        <w:rPr>
          <w:rFonts w:ascii="宋体" w:hAnsi="宋体" w:cs="宋体" w:hint="eastAsia"/>
          <w:b/>
        </w:rPr>
        <w:t>：</w:t>
      </w:r>
      <w:r w:rsidR="00240FEC" w:rsidRPr="00240FEC">
        <w:rPr>
          <w:rFonts w:ascii="宋体" w:hAnsi="宋体" w:cs="宋体" w:hint="eastAsia"/>
        </w:rPr>
        <w:t>是一家专业从事稀土各类产品生产经营的民营企业。经过30年的快速发展，</w:t>
      </w:r>
      <w:proofErr w:type="gramStart"/>
      <w:r w:rsidR="00240FEC" w:rsidRPr="00240FEC">
        <w:rPr>
          <w:rFonts w:ascii="宋体" w:hAnsi="宋体" w:cs="宋体" w:hint="eastAsia"/>
        </w:rPr>
        <w:t>虔</w:t>
      </w:r>
      <w:proofErr w:type="gramEnd"/>
      <w:r w:rsidR="00240FEC" w:rsidRPr="00240FEC">
        <w:rPr>
          <w:rFonts w:ascii="宋体" w:hAnsi="宋体" w:cs="宋体" w:hint="eastAsia"/>
        </w:rPr>
        <w:t>东集团由最初的金属冶炼企业发展成为一家集稀土基础材料、稀土功能材料、稀土应用产品开发和稀土加工装备制造为一体的稀土开发综合性企业集团，旗下拥有赣州科力稀土新材料有限公司、</w:t>
      </w:r>
      <w:proofErr w:type="gramStart"/>
      <w:r w:rsidR="00240FEC" w:rsidRPr="00240FEC">
        <w:rPr>
          <w:rFonts w:ascii="宋体" w:hAnsi="宋体" w:cs="宋体" w:hint="eastAsia"/>
        </w:rPr>
        <w:t>东利</w:t>
      </w:r>
      <w:r w:rsidR="00240FEC" w:rsidRPr="00240FEC">
        <w:rPr>
          <w:rFonts w:ascii="宋体" w:hAnsi="宋体" w:cs="宋体" w:hint="eastAsia"/>
        </w:rPr>
        <w:lastRenderedPageBreak/>
        <w:t>高技术</w:t>
      </w:r>
      <w:proofErr w:type="gramEnd"/>
      <w:r w:rsidR="00240FEC" w:rsidRPr="00240FEC">
        <w:rPr>
          <w:rFonts w:ascii="宋体" w:hAnsi="宋体" w:cs="宋体" w:hint="eastAsia"/>
        </w:rPr>
        <w:t>、科瑞精密磁材、</w:t>
      </w:r>
      <w:proofErr w:type="gramStart"/>
      <w:r w:rsidR="00240FEC" w:rsidRPr="00240FEC">
        <w:rPr>
          <w:rFonts w:ascii="宋体" w:hAnsi="宋体" w:cs="宋体" w:hint="eastAsia"/>
        </w:rPr>
        <w:t>力赛科</w:t>
      </w:r>
      <w:proofErr w:type="gramEnd"/>
      <w:r w:rsidR="00240FEC" w:rsidRPr="00240FEC">
        <w:rPr>
          <w:rFonts w:ascii="宋体" w:hAnsi="宋体" w:cs="宋体" w:hint="eastAsia"/>
        </w:rPr>
        <w:t>等10多家子公司和控股公司。公司已初步建立了完整的科研、试验、生产、检测体系和具有国内先进水平的稀土分离、稀土金属、稀土磁性材料、稀土结构陶瓷、稀土资源回收、稀土加工设备制造等生产线。主要生产稀土化合物、稀土金属、稀土合金、磁性材料、</w:t>
      </w:r>
      <w:proofErr w:type="gramStart"/>
      <w:r w:rsidR="00240FEC" w:rsidRPr="00240FEC">
        <w:rPr>
          <w:rFonts w:ascii="宋体" w:hAnsi="宋体" w:cs="宋体" w:hint="eastAsia"/>
        </w:rPr>
        <w:t>钇锆结构</w:t>
      </w:r>
      <w:proofErr w:type="gramEnd"/>
      <w:r w:rsidR="00240FEC" w:rsidRPr="00240FEC">
        <w:rPr>
          <w:rFonts w:ascii="宋体" w:hAnsi="宋体" w:cs="宋体" w:hint="eastAsia"/>
        </w:rPr>
        <w:t>陶瓷和稀土深加工设备等60余种产品。公司自1988年创办以来，紧紧依靠科技进步，先后组织实施了国家“863计划”项目、国家“星火计划”项目、国家“火炬计划”项目、国家“重点新产品”项目、国家“创新基金计划”项目等70多个国家、省、市级新产品的研制和开发。</w:t>
      </w:r>
    </w:p>
    <w:p w:rsidR="00240FEC" w:rsidRPr="00240FEC" w:rsidRDefault="00240FEC" w:rsidP="00240FEC">
      <w:pPr>
        <w:tabs>
          <w:tab w:val="left" w:pos="2070"/>
          <w:tab w:val="center" w:pos="4757"/>
        </w:tabs>
        <w:ind w:firstLineChars="200" w:firstLine="420"/>
        <w:jc w:val="left"/>
        <w:rPr>
          <w:rFonts w:ascii="宋体" w:hAnsi="宋体" w:cs="宋体"/>
        </w:rPr>
      </w:pPr>
      <w:r w:rsidRPr="00240FEC">
        <w:rPr>
          <w:rFonts w:ascii="宋体" w:hAnsi="宋体" w:cs="宋体" w:hint="eastAsia"/>
        </w:rPr>
        <w:t>虔东集团自2002年来一直致力于标准化工作研究，至今主持制修订了多项国、行标准：《钕铁硼废料》、《稀土复合钇锆粉》、《金属铈》、《镨钕氧化物》、《金属钐》、《钕铁硼废料化学分析方法》、《钕铁硼合金化学分析方法》、《稀土废渣废水化学分析方法》等等，参与了多项标准的起草及验证工作，在稀土标准的制修订方面，累积了丰富的经验。</w:t>
      </w:r>
      <w:proofErr w:type="gramStart"/>
      <w:r w:rsidRPr="00240FEC">
        <w:rPr>
          <w:rFonts w:ascii="宋体" w:hAnsi="宋体" w:cs="宋体" w:hint="eastAsia"/>
        </w:rPr>
        <w:t>虔</w:t>
      </w:r>
      <w:proofErr w:type="gramEnd"/>
      <w:r w:rsidRPr="00240FEC">
        <w:rPr>
          <w:rFonts w:ascii="宋体" w:hAnsi="宋体" w:cs="宋体" w:hint="eastAsia"/>
        </w:rPr>
        <w:t>东稀土集团股份有限公司(以下简称</w:t>
      </w:r>
      <w:proofErr w:type="gramStart"/>
      <w:r w:rsidRPr="00240FEC">
        <w:rPr>
          <w:rFonts w:ascii="宋体" w:hAnsi="宋体" w:cs="宋体" w:hint="eastAsia"/>
        </w:rPr>
        <w:t>虔</w:t>
      </w:r>
      <w:proofErr w:type="gramEnd"/>
      <w:r w:rsidRPr="00240FEC">
        <w:rPr>
          <w:rFonts w:ascii="宋体" w:hAnsi="宋体" w:cs="宋体" w:hint="eastAsia"/>
        </w:rPr>
        <w:t>东集团)，是一家专业从事稀土各类产品生产经营的民营企业。经过30年的快速发展，</w:t>
      </w:r>
      <w:proofErr w:type="gramStart"/>
      <w:r w:rsidRPr="00240FEC">
        <w:rPr>
          <w:rFonts w:ascii="宋体" w:hAnsi="宋体" w:cs="宋体" w:hint="eastAsia"/>
        </w:rPr>
        <w:t>虔</w:t>
      </w:r>
      <w:proofErr w:type="gramEnd"/>
      <w:r w:rsidRPr="00240FEC">
        <w:rPr>
          <w:rFonts w:ascii="宋体" w:hAnsi="宋体" w:cs="宋体" w:hint="eastAsia"/>
        </w:rPr>
        <w:t>东集团由最初的金属冶炼企业发展成为一家集稀土基础材料、稀土功能材料、稀土应用产品开发和稀土加工装备制造为一体的稀土开发综合性企业集团，旗下拥有赣州科力稀土新材料有限公司、</w:t>
      </w:r>
      <w:proofErr w:type="gramStart"/>
      <w:r w:rsidRPr="00240FEC">
        <w:rPr>
          <w:rFonts w:ascii="宋体" w:hAnsi="宋体" w:cs="宋体" w:hint="eastAsia"/>
        </w:rPr>
        <w:t>东利高技术</w:t>
      </w:r>
      <w:proofErr w:type="gramEnd"/>
      <w:r w:rsidRPr="00240FEC">
        <w:rPr>
          <w:rFonts w:ascii="宋体" w:hAnsi="宋体" w:cs="宋体" w:hint="eastAsia"/>
        </w:rPr>
        <w:t>、科瑞精密磁材、</w:t>
      </w:r>
      <w:proofErr w:type="gramStart"/>
      <w:r w:rsidRPr="00240FEC">
        <w:rPr>
          <w:rFonts w:ascii="宋体" w:hAnsi="宋体" w:cs="宋体" w:hint="eastAsia"/>
        </w:rPr>
        <w:t>力赛科</w:t>
      </w:r>
      <w:proofErr w:type="gramEnd"/>
      <w:r w:rsidRPr="00240FEC">
        <w:rPr>
          <w:rFonts w:ascii="宋体" w:hAnsi="宋体" w:cs="宋体" w:hint="eastAsia"/>
        </w:rPr>
        <w:t>等10多家子公司和控股公司。公司已初步建立了完整的科研、试验、生产、检测体系和具有国内先进水平的稀土分离、稀土金属、稀土磁性材料、稀土结构陶瓷、稀土资源回收、稀土加工设备制造等生产线。主要生产稀土化合物、稀土金属、稀土合金、磁性材料、</w:t>
      </w:r>
      <w:proofErr w:type="gramStart"/>
      <w:r w:rsidRPr="00240FEC">
        <w:rPr>
          <w:rFonts w:ascii="宋体" w:hAnsi="宋体" w:cs="宋体" w:hint="eastAsia"/>
        </w:rPr>
        <w:t>钇锆结构</w:t>
      </w:r>
      <w:proofErr w:type="gramEnd"/>
      <w:r w:rsidRPr="00240FEC">
        <w:rPr>
          <w:rFonts w:ascii="宋体" w:hAnsi="宋体" w:cs="宋体" w:hint="eastAsia"/>
        </w:rPr>
        <w:t>陶瓷和稀土深加工设备等60余种产品。公司自1988年创办以来，紧紧依靠科技进步，先后组织实施了国家“863计划”项目、国家“星火计划”项目、国家“火炬计划”项目、国家“重点新产品”项目、国家“创新基金计划”项目等70多个国家、省、市级新产品的研制和开发。</w:t>
      </w:r>
    </w:p>
    <w:p w:rsidR="006168F6" w:rsidRDefault="00240FEC" w:rsidP="00240FEC">
      <w:pPr>
        <w:tabs>
          <w:tab w:val="left" w:pos="2070"/>
          <w:tab w:val="center" w:pos="4757"/>
        </w:tabs>
        <w:ind w:firstLineChars="200" w:firstLine="420"/>
        <w:jc w:val="left"/>
        <w:rPr>
          <w:rFonts w:ascii="宋体" w:hAnsi="宋体" w:cs="宋体"/>
        </w:rPr>
      </w:pPr>
      <w:proofErr w:type="gramStart"/>
      <w:r w:rsidRPr="00240FEC">
        <w:rPr>
          <w:rFonts w:ascii="宋体" w:hAnsi="宋体" w:cs="宋体" w:hint="eastAsia"/>
        </w:rPr>
        <w:t>虔</w:t>
      </w:r>
      <w:proofErr w:type="gramEnd"/>
      <w:r w:rsidRPr="00240FEC">
        <w:rPr>
          <w:rFonts w:ascii="宋体" w:hAnsi="宋体" w:cs="宋体" w:hint="eastAsia"/>
        </w:rPr>
        <w:t>东集团自2002年来一直致力于标准化工作研究，至今主持制修订了多项国、行标准：《钕铁硼废料》、《稀土复合钇锆粉》、《金属铈》、《镨钕氧化物》、《金属钐》、《钕铁硼废料化学分析方法》、《钕铁硼合金化学分析方法》、《稀土废渣废水化学分析方法》等等，参与了多项标准的起草及验证工作，在稀土标准的制修订方面，累积了丰富的经验。</w:t>
      </w:r>
    </w:p>
    <w:p w:rsidR="00DB54C6" w:rsidRPr="00DB54C6" w:rsidRDefault="009E6F10" w:rsidP="00DB54C6">
      <w:pPr>
        <w:ind w:firstLineChars="200" w:firstLine="422"/>
        <w:rPr>
          <w:rFonts w:ascii="宋体" w:hAnsi="宋体" w:cs="宋体"/>
          <w:bCs/>
        </w:rPr>
      </w:pPr>
      <w:r w:rsidRPr="00DB54C6">
        <w:rPr>
          <w:rFonts w:ascii="宋体" w:hAnsi="宋体" w:cs="宋体" w:hint="eastAsia"/>
          <w:b/>
          <w:bCs/>
        </w:rPr>
        <w:t>湖南稀土金属材料研究院有限责任公司（以下简称湖南院）</w:t>
      </w:r>
      <w:r w:rsidR="00DB54C6" w:rsidRPr="00DB54C6">
        <w:rPr>
          <w:rFonts w:ascii="宋体" w:hAnsi="宋体" w:cs="宋体"/>
          <w:b/>
          <w:bCs/>
        </w:rPr>
        <w:t>：</w:t>
      </w:r>
      <w:r w:rsidR="00DB54C6" w:rsidRPr="00DB54C6">
        <w:rPr>
          <w:rFonts w:ascii="宋体" w:hAnsi="宋体" w:cs="宋体"/>
          <w:bCs/>
        </w:rPr>
        <w:t>是本项目</w:t>
      </w:r>
      <w:r w:rsidR="00DB54C6" w:rsidRPr="00DB54C6">
        <w:rPr>
          <w:rFonts w:ascii="宋体" w:hAnsi="宋体" w:cs="宋体" w:hint="eastAsia"/>
          <w:bCs/>
        </w:rPr>
        <w:t>一验</w:t>
      </w:r>
      <w:r w:rsidR="00DB54C6" w:rsidRPr="00DB54C6">
        <w:rPr>
          <w:rFonts w:ascii="宋体" w:hAnsi="宋体" w:cs="宋体"/>
          <w:bCs/>
        </w:rPr>
        <w:t>单位，公司创建于1958年，一直从事稀土科研和军用稀土新材料研制工作，是我国最早从事稀土材料应用研究开发的科研单位，同时也是有色军工稀土新材料研制开发的定点单位。公司在氧化钪与金属钪、铝钪中间合金，高纯中重稀土氧化物、</w:t>
      </w:r>
      <w:proofErr w:type="gramStart"/>
      <w:r w:rsidR="00DB54C6" w:rsidRPr="00DB54C6">
        <w:rPr>
          <w:rFonts w:ascii="宋体" w:hAnsi="宋体" w:cs="宋体"/>
          <w:bCs/>
        </w:rPr>
        <w:t>稀土超</w:t>
      </w:r>
      <w:proofErr w:type="gramEnd"/>
      <w:r w:rsidR="00DB54C6" w:rsidRPr="00DB54C6">
        <w:rPr>
          <w:rFonts w:ascii="宋体" w:hAnsi="宋体" w:cs="宋体"/>
          <w:bCs/>
        </w:rPr>
        <w:t>细微粉、高纯稀土金属和合金型材(棒、片、粉、粒、丝、管、箔)、稀土储氢材料、六硼化镧阴极材料、稀土激光晶体材料、稀土磁致伸缩材料等方面研究处于国内领先水平。作为长期从事稀土材料开发应用单位，先后主持及参与了《六硼化镧化学分析方法》、《金属钪》、《氧化钪》、《六硼化镧》、《金属钇》、《铝钪中间合金》、《钕镁合金》、《氧化镨》、《钕镁合金化学分析方法》、《钇铝合金》、《独居石精矿》、《金属钇》、《镧铜合金》《稀土产品包装标志运输和贮存》等31项稀土标准的修制订工作。</w:t>
      </w:r>
    </w:p>
    <w:p w:rsidR="009E6F10" w:rsidRPr="00DB54C6" w:rsidRDefault="009E6F10" w:rsidP="00930651">
      <w:pPr>
        <w:ind w:firstLineChars="200" w:firstLine="422"/>
        <w:rPr>
          <w:rFonts w:ascii="宋体" w:hAnsi="宋体" w:cs="宋体"/>
          <w:b/>
          <w:bCs/>
        </w:rPr>
      </w:pPr>
    </w:p>
    <w:p w:rsidR="009E6F10" w:rsidRPr="00930651" w:rsidRDefault="009E6F10" w:rsidP="00930651">
      <w:pPr>
        <w:ind w:firstLineChars="200" w:firstLine="422"/>
        <w:rPr>
          <w:rFonts w:ascii="宋体" w:hAnsi="宋体" w:cs="宋体"/>
          <w:b/>
          <w:bCs/>
        </w:rPr>
      </w:pPr>
      <w:r w:rsidRPr="00930651">
        <w:rPr>
          <w:rFonts w:ascii="宋体" w:hAnsi="宋体" w:cs="宋体" w:hint="eastAsia"/>
          <w:b/>
          <w:bCs/>
          <w:color w:val="FF0000"/>
        </w:rPr>
        <w:t>厦门稀土材料研究室</w:t>
      </w:r>
      <w:r w:rsidRPr="00930651">
        <w:rPr>
          <w:rFonts w:ascii="宋体" w:hAnsi="宋体" w:cs="宋体" w:hint="eastAsia"/>
          <w:b/>
          <w:bCs/>
        </w:rPr>
        <w:t>（以下简称厦门稀土）</w:t>
      </w:r>
    </w:p>
    <w:p w:rsidR="009E6F10" w:rsidRPr="00930651" w:rsidRDefault="009E6F10" w:rsidP="00930651">
      <w:pPr>
        <w:ind w:firstLineChars="200" w:firstLine="422"/>
        <w:rPr>
          <w:rFonts w:ascii="宋体" w:hAnsi="宋体" w:cs="宋体"/>
          <w:b/>
          <w:bCs/>
        </w:rPr>
      </w:pPr>
      <w:proofErr w:type="gramStart"/>
      <w:r w:rsidRPr="00930651">
        <w:rPr>
          <w:rFonts w:ascii="宋体" w:hAnsi="宋体" w:cs="宋体" w:hint="eastAsia"/>
          <w:b/>
          <w:bCs/>
        </w:rPr>
        <w:t>国家钨与稀土</w:t>
      </w:r>
      <w:proofErr w:type="gramEnd"/>
      <w:r w:rsidRPr="00930651">
        <w:rPr>
          <w:rFonts w:ascii="宋体" w:hAnsi="宋体" w:cs="宋体" w:hint="eastAsia"/>
          <w:b/>
          <w:bCs/>
        </w:rPr>
        <w:t>质量检验检测中心（以下简称</w:t>
      </w:r>
      <w:proofErr w:type="gramStart"/>
      <w:r w:rsidRPr="00930651">
        <w:rPr>
          <w:rFonts w:ascii="宋体" w:hAnsi="宋体" w:cs="宋体" w:hint="eastAsia"/>
          <w:b/>
          <w:bCs/>
        </w:rPr>
        <w:t>国家钨与稀土</w:t>
      </w:r>
      <w:proofErr w:type="gramEnd"/>
      <w:r w:rsidRPr="00930651">
        <w:rPr>
          <w:rFonts w:ascii="宋体" w:hAnsi="宋体" w:cs="宋体" w:hint="eastAsia"/>
          <w:b/>
          <w:bCs/>
        </w:rPr>
        <w:t>）</w:t>
      </w:r>
    </w:p>
    <w:p w:rsidR="006168F6" w:rsidRDefault="00B003EF">
      <w:pPr>
        <w:ind w:firstLineChars="200" w:firstLine="422"/>
      </w:pPr>
      <w:r>
        <w:rPr>
          <w:rFonts w:ascii="宋体" w:hAnsi="宋体" w:cs="宋体" w:hint="eastAsia"/>
          <w:b/>
          <w:bCs/>
        </w:rPr>
        <w:t>国标（北京）检验认证股份有限公司：</w:t>
      </w:r>
      <w:r>
        <w:rPr>
          <w:rFonts w:ascii="宋体" w:hAnsi="宋体" w:cs="宋体" w:hint="eastAsia"/>
          <w:bCs/>
        </w:rPr>
        <w:t>（以下简称国标检验）</w:t>
      </w:r>
      <w:r>
        <w:rPr>
          <w:rFonts w:hint="eastAsia"/>
        </w:rPr>
        <w:t>公司隶属于国合通用测试评价认证股份公司，运营管理着国家有色金属及电子材料分析测试中心和国家有色金属质量监督检验中心，拥有一支基础理论扎实、实践经验丰富的研究和服务队伍，自</w:t>
      </w:r>
      <w:r>
        <w:rPr>
          <w:rFonts w:hint="eastAsia"/>
        </w:rPr>
        <w:t>2004</w:t>
      </w:r>
      <w:r>
        <w:rPr>
          <w:rFonts w:hint="eastAsia"/>
        </w:rPr>
        <w:t>年至今共承担了国家科技支撑计划、国家</w:t>
      </w:r>
      <w:r>
        <w:rPr>
          <w:rFonts w:hint="eastAsia"/>
        </w:rPr>
        <w:t>863</w:t>
      </w:r>
      <w:r>
        <w:rPr>
          <w:rFonts w:hint="eastAsia"/>
        </w:rPr>
        <w:t>计划、国家自然科学基金、军工配套等省部级科技项目</w:t>
      </w:r>
      <w:r>
        <w:rPr>
          <w:rFonts w:hint="eastAsia"/>
        </w:rPr>
        <w:t>40</w:t>
      </w:r>
      <w:r>
        <w:rPr>
          <w:rFonts w:hint="eastAsia"/>
        </w:rPr>
        <w:t>余项；曾获国家科技进步奖</w:t>
      </w:r>
      <w:r>
        <w:rPr>
          <w:rFonts w:hint="eastAsia"/>
        </w:rPr>
        <w:t>6</w:t>
      </w:r>
      <w:r>
        <w:rPr>
          <w:rFonts w:hint="eastAsia"/>
        </w:rPr>
        <w:t>项，国家发明奖</w:t>
      </w:r>
      <w:r>
        <w:rPr>
          <w:rFonts w:hint="eastAsia"/>
        </w:rPr>
        <w:t>3</w:t>
      </w:r>
      <w:r>
        <w:rPr>
          <w:rFonts w:hint="eastAsia"/>
        </w:rPr>
        <w:t>项，省部级科技进步一等奖</w:t>
      </w:r>
      <w:r>
        <w:rPr>
          <w:rFonts w:hint="eastAsia"/>
        </w:rPr>
        <w:t>10</w:t>
      </w:r>
      <w:r>
        <w:rPr>
          <w:rFonts w:hint="eastAsia"/>
        </w:rPr>
        <w:t>项，二、三等奖</w:t>
      </w:r>
      <w:r>
        <w:rPr>
          <w:rFonts w:hint="eastAsia"/>
        </w:rPr>
        <w:t>107</w:t>
      </w:r>
      <w:r>
        <w:rPr>
          <w:rFonts w:hint="eastAsia"/>
        </w:rPr>
        <w:t>项；近</w:t>
      </w:r>
      <w:r>
        <w:rPr>
          <w:rFonts w:hint="eastAsia"/>
        </w:rPr>
        <w:t>5</w:t>
      </w:r>
      <w:r>
        <w:rPr>
          <w:rFonts w:hint="eastAsia"/>
        </w:rPr>
        <w:t>年获得国家发明专利</w:t>
      </w:r>
      <w:r>
        <w:rPr>
          <w:rFonts w:hint="eastAsia"/>
        </w:rPr>
        <w:t>20</w:t>
      </w:r>
      <w:r>
        <w:rPr>
          <w:rFonts w:hint="eastAsia"/>
        </w:rPr>
        <w:t>余项；负责和参加起草制订分析方法国家标准、行业标准</w:t>
      </w:r>
      <w:r>
        <w:rPr>
          <w:rFonts w:hint="eastAsia"/>
        </w:rPr>
        <w:t>300</w:t>
      </w:r>
      <w:r>
        <w:rPr>
          <w:rFonts w:hint="eastAsia"/>
        </w:rPr>
        <w:t>余项；国家标准物质</w:t>
      </w:r>
      <w:r>
        <w:rPr>
          <w:rFonts w:hint="eastAsia"/>
        </w:rPr>
        <w:t>/</w:t>
      </w:r>
      <w:r>
        <w:rPr>
          <w:rFonts w:hint="eastAsia"/>
        </w:rPr>
        <w:t>标准样品</w:t>
      </w:r>
      <w:r>
        <w:rPr>
          <w:rFonts w:hint="eastAsia"/>
        </w:rPr>
        <w:t>120</w:t>
      </w:r>
      <w:r>
        <w:rPr>
          <w:rFonts w:hint="eastAsia"/>
        </w:rPr>
        <w:t>个，在国内外科技期刊上发表论文</w:t>
      </w:r>
      <w:r>
        <w:rPr>
          <w:rFonts w:hint="eastAsia"/>
        </w:rPr>
        <w:t>800</w:t>
      </w:r>
      <w:r>
        <w:rPr>
          <w:rFonts w:hint="eastAsia"/>
        </w:rPr>
        <w:t>余篇，撰写论著</w:t>
      </w:r>
      <w:r>
        <w:rPr>
          <w:rFonts w:hint="eastAsia"/>
        </w:rPr>
        <w:t>22</w:t>
      </w:r>
      <w:r>
        <w:rPr>
          <w:rFonts w:hint="eastAsia"/>
        </w:rPr>
        <w:t>部。</w:t>
      </w:r>
    </w:p>
    <w:p w:rsidR="006168F6" w:rsidRDefault="00B003EF">
      <w:pPr>
        <w:pStyle w:val="afffc"/>
        <w:numPr>
          <w:ilvl w:val="1"/>
          <w:numId w:val="3"/>
        </w:numPr>
        <w:ind w:firstLineChars="0"/>
        <w:rPr>
          <w:rFonts w:cs="宋体"/>
        </w:rPr>
      </w:pPr>
      <w:r>
        <w:rPr>
          <w:rFonts w:cs="宋体" w:hint="eastAsia"/>
        </w:rPr>
        <w:t>主要工作成员及承担工作情况</w:t>
      </w:r>
    </w:p>
    <w:p w:rsidR="006168F6" w:rsidRDefault="00B003EF">
      <w:pPr>
        <w:ind w:firstLineChars="200" w:firstLine="420"/>
        <w:rPr>
          <w:rFonts w:ascii="宋体" w:hAnsi="宋体" w:cs="宋体"/>
        </w:rPr>
      </w:pPr>
      <w:r>
        <w:rPr>
          <w:rFonts w:ascii="宋体" w:hAnsi="宋体" w:cs="宋体" w:hint="eastAsia"/>
        </w:rPr>
        <w:t>本标准主要起草人及承担工作情况见表1。</w:t>
      </w:r>
    </w:p>
    <w:p w:rsidR="006168F6" w:rsidRDefault="00B003EF">
      <w:pPr>
        <w:ind w:firstLineChars="200" w:firstLine="420"/>
        <w:jc w:val="center"/>
        <w:rPr>
          <w:rFonts w:ascii="宋体" w:hAnsi="宋体" w:cs="宋体"/>
        </w:rPr>
      </w:pPr>
      <w:r>
        <w:rPr>
          <w:rFonts w:ascii="宋体" w:hAnsi="宋体" w:cs="宋体" w:hint="eastAsia"/>
        </w:rPr>
        <w:t>表1 主要起草人及承担工作情况</w:t>
      </w:r>
    </w:p>
    <w:tbl>
      <w:tblPr>
        <w:tblStyle w:val="affe"/>
        <w:tblW w:w="5000" w:type="pct"/>
        <w:tblLook w:val="04A0" w:firstRow="1" w:lastRow="0" w:firstColumn="1" w:lastColumn="0" w:noHBand="0" w:noVBand="1"/>
      </w:tblPr>
      <w:tblGrid>
        <w:gridCol w:w="3362"/>
        <w:gridCol w:w="7060"/>
      </w:tblGrid>
      <w:tr w:rsidR="006168F6" w:rsidTr="00A963D2">
        <w:trPr>
          <w:trHeight w:val="281"/>
        </w:trPr>
        <w:tc>
          <w:tcPr>
            <w:tcW w:w="1613" w:type="pct"/>
          </w:tcPr>
          <w:p w:rsidR="006168F6" w:rsidRDefault="00B003EF">
            <w:pPr>
              <w:jc w:val="center"/>
              <w:rPr>
                <w:rFonts w:ascii="宋体" w:hAnsi="宋体" w:cs="宋体"/>
              </w:rPr>
            </w:pPr>
            <w:r>
              <w:rPr>
                <w:rFonts w:ascii="宋体" w:hAnsi="宋体" w:cs="宋体" w:hint="eastAsia"/>
              </w:rPr>
              <w:t>起草人</w:t>
            </w:r>
          </w:p>
        </w:tc>
        <w:tc>
          <w:tcPr>
            <w:tcW w:w="3387" w:type="pct"/>
          </w:tcPr>
          <w:p w:rsidR="006168F6" w:rsidRDefault="00B003EF">
            <w:pPr>
              <w:jc w:val="center"/>
              <w:rPr>
                <w:rFonts w:ascii="宋体" w:hAnsi="宋体" w:cs="宋体"/>
              </w:rPr>
            </w:pPr>
            <w:r>
              <w:rPr>
                <w:rFonts w:ascii="宋体" w:hAnsi="宋体" w:cs="宋体" w:hint="eastAsia"/>
              </w:rPr>
              <w:t>工作职责</w:t>
            </w:r>
          </w:p>
        </w:tc>
      </w:tr>
      <w:tr w:rsidR="006168F6" w:rsidTr="00A963D2">
        <w:trPr>
          <w:trHeight w:val="295"/>
        </w:trPr>
        <w:tc>
          <w:tcPr>
            <w:tcW w:w="1613" w:type="pct"/>
          </w:tcPr>
          <w:p w:rsidR="006168F6" w:rsidRDefault="00930651">
            <w:pPr>
              <w:jc w:val="center"/>
              <w:rPr>
                <w:rFonts w:ascii="宋体" w:hAnsi="宋体" w:cs="宋体"/>
              </w:rPr>
            </w:pPr>
            <w:r>
              <w:rPr>
                <w:rFonts w:ascii="宋体" w:hAnsi="宋体" w:cs="宋体"/>
              </w:rPr>
              <w:t>薛建萍、</w:t>
            </w:r>
            <w:proofErr w:type="gramStart"/>
            <w:r>
              <w:rPr>
                <w:rFonts w:ascii="宋体" w:hAnsi="宋体" w:cs="宋体"/>
              </w:rPr>
              <w:t>都业俭</w:t>
            </w:r>
            <w:proofErr w:type="gramEnd"/>
          </w:p>
        </w:tc>
        <w:tc>
          <w:tcPr>
            <w:tcW w:w="3387" w:type="pct"/>
            <w:vAlign w:val="center"/>
          </w:tcPr>
          <w:p w:rsidR="006168F6" w:rsidRDefault="00B003EF">
            <w:pPr>
              <w:pStyle w:val="affa"/>
              <w:adjustRightInd w:val="0"/>
              <w:snapToGrid w:val="0"/>
              <w:spacing w:before="0" w:beforeAutospacing="0" w:after="0" w:afterAutospacing="0" w:line="312" w:lineRule="auto"/>
              <w:rPr>
                <w:rFonts w:ascii="Times New Roman" w:hAnsi="Times New Roman" w:cs="Times New Roman"/>
                <w:kern w:val="2"/>
                <w:sz w:val="18"/>
                <w:szCs w:val="18"/>
              </w:rPr>
            </w:pPr>
            <w:r>
              <w:rPr>
                <w:rFonts w:ascii="Times New Roman" w:hAnsi="Times New Roman" w:cs="Times New Roman" w:hint="eastAsia"/>
                <w:kern w:val="2"/>
                <w:sz w:val="18"/>
                <w:szCs w:val="18"/>
              </w:rPr>
              <w:t>负责方法的起草</w:t>
            </w:r>
            <w:r w:rsidR="00AB5C65">
              <w:rPr>
                <w:rFonts w:ascii="Times New Roman" w:hAnsi="Times New Roman" w:cs="Times New Roman" w:hint="eastAsia"/>
                <w:kern w:val="2"/>
                <w:sz w:val="18"/>
                <w:szCs w:val="18"/>
              </w:rPr>
              <w:t>及相应方法研究报告撰写</w:t>
            </w:r>
            <w:r>
              <w:rPr>
                <w:rFonts w:ascii="Times New Roman" w:hAnsi="Times New Roman" w:cs="Times New Roman" w:hint="eastAsia"/>
                <w:kern w:val="2"/>
                <w:sz w:val="18"/>
                <w:szCs w:val="18"/>
              </w:rPr>
              <w:t>，各阶段标准文本、编制说明的编写、数据统计及组织协调。</w:t>
            </w:r>
          </w:p>
        </w:tc>
      </w:tr>
      <w:tr w:rsidR="006168F6" w:rsidTr="00A963D2">
        <w:trPr>
          <w:trHeight w:val="295"/>
        </w:trPr>
        <w:tc>
          <w:tcPr>
            <w:tcW w:w="1613" w:type="pct"/>
          </w:tcPr>
          <w:p w:rsidR="006168F6" w:rsidRDefault="00930651">
            <w:pPr>
              <w:jc w:val="center"/>
              <w:rPr>
                <w:rFonts w:ascii="宋体" w:hAnsi="宋体" w:cs="宋体"/>
              </w:rPr>
            </w:pPr>
            <w:r>
              <w:rPr>
                <w:rFonts w:ascii="宋体" w:hAnsi="宋体" w:cs="宋体" w:hint="eastAsia"/>
              </w:rPr>
              <w:t>孙二凤、姜玉娟、刘志宏</w:t>
            </w:r>
          </w:p>
        </w:tc>
        <w:tc>
          <w:tcPr>
            <w:tcW w:w="3387" w:type="pct"/>
            <w:vAlign w:val="center"/>
          </w:tcPr>
          <w:p w:rsidR="006168F6" w:rsidRDefault="00B003EF">
            <w:pPr>
              <w:pStyle w:val="affa"/>
              <w:adjustRightInd w:val="0"/>
              <w:snapToGrid w:val="0"/>
              <w:spacing w:before="0" w:beforeAutospacing="0" w:after="0" w:afterAutospacing="0" w:line="312" w:lineRule="auto"/>
              <w:rPr>
                <w:rFonts w:ascii="Times New Roman" w:hAnsi="Times New Roman" w:cs="Times New Roman"/>
                <w:kern w:val="2"/>
                <w:sz w:val="18"/>
                <w:szCs w:val="18"/>
              </w:rPr>
            </w:pPr>
            <w:r>
              <w:rPr>
                <w:rFonts w:ascii="Times New Roman" w:hAnsi="Times New Roman" w:cs="Times New Roman" w:hint="eastAsia"/>
                <w:kern w:val="2"/>
                <w:sz w:val="18"/>
                <w:szCs w:val="18"/>
              </w:rPr>
              <w:t>协助完成方法的起草，协助完成精密度实验数据</w:t>
            </w:r>
          </w:p>
        </w:tc>
      </w:tr>
      <w:tr w:rsidR="006168F6" w:rsidTr="00A963D2">
        <w:trPr>
          <w:trHeight w:val="295"/>
        </w:trPr>
        <w:tc>
          <w:tcPr>
            <w:tcW w:w="1613" w:type="pct"/>
          </w:tcPr>
          <w:p w:rsidR="006168F6" w:rsidRDefault="00DB54C6" w:rsidP="00DB54C6">
            <w:pPr>
              <w:tabs>
                <w:tab w:val="left" w:pos="2070"/>
                <w:tab w:val="center" w:pos="4757"/>
              </w:tabs>
              <w:rPr>
                <w:rFonts w:ascii="宋体" w:hAnsi="宋体" w:cs="宋体"/>
              </w:rPr>
            </w:pPr>
            <w:r>
              <w:rPr>
                <w:rFonts w:ascii="宋体" w:hAnsi="宋体" w:cs="宋体" w:hint="eastAsia"/>
              </w:rPr>
              <w:lastRenderedPageBreak/>
              <w:t>王贵超</w:t>
            </w:r>
            <w:r w:rsidRPr="003C5C30">
              <w:rPr>
                <w:rFonts w:ascii="宋体" w:hAnsi="宋体" w:cs="宋体" w:hint="eastAsia"/>
              </w:rPr>
              <w:t>、</w:t>
            </w:r>
            <w:r w:rsidR="00930651" w:rsidRPr="003C5C30">
              <w:rPr>
                <w:rFonts w:ascii="宋体" w:hAnsi="宋体" w:cs="宋体" w:hint="eastAsia"/>
              </w:rPr>
              <w:t>陈燕群、</w:t>
            </w:r>
            <w:r w:rsidR="003C5C30" w:rsidRPr="003C5C30">
              <w:rPr>
                <w:rFonts w:ascii="宋体" w:hAnsi="宋体" w:cs="宋体" w:hint="eastAsia"/>
              </w:rPr>
              <w:t>温斌、江媛、张春兰</w:t>
            </w:r>
          </w:p>
        </w:tc>
        <w:tc>
          <w:tcPr>
            <w:tcW w:w="3387" w:type="pct"/>
            <w:vAlign w:val="center"/>
          </w:tcPr>
          <w:p w:rsidR="006168F6" w:rsidRDefault="00B003EF">
            <w:pPr>
              <w:pStyle w:val="affa"/>
              <w:adjustRightInd w:val="0"/>
              <w:snapToGrid w:val="0"/>
              <w:spacing w:before="0" w:beforeAutospacing="0" w:after="0" w:afterAutospacing="0" w:line="312" w:lineRule="auto"/>
              <w:rPr>
                <w:rFonts w:ascii="Times New Roman" w:hAnsi="Times New Roman" w:cs="Times New Roman"/>
                <w:sz w:val="18"/>
                <w:szCs w:val="18"/>
              </w:rPr>
            </w:pPr>
            <w:r>
              <w:rPr>
                <w:rFonts w:ascii="Times New Roman" w:hAnsi="Times New Roman" w:cs="Times New Roman" w:hint="eastAsia"/>
                <w:sz w:val="18"/>
                <w:szCs w:val="18"/>
              </w:rPr>
              <w:t>作为一验</w:t>
            </w:r>
            <w:r>
              <w:rPr>
                <w:rFonts w:ascii="Times New Roman" w:hAnsi="Times New Roman" w:cs="Times New Roman"/>
                <w:sz w:val="18"/>
                <w:szCs w:val="18"/>
              </w:rPr>
              <w:t>，对</w:t>
            </w:r>
            <w:r>
              <w:rPr>
                <w:rFonts w:ascii="Times New Roman" w:hAnsi="Times New Roman" w:cs="Times New Roman" w:hint="eastAsia"/>
                <w:kern w:val="2"/>
                <w:sz w:val="18"/>
                <w:szCs w:val="18"/>
              </w:rPr>
              <w:t>标准方法</w:t>
            </w:r>
            <w:r>
              <w:rPr>
                <w:rFonts w:ascii="Times New Roman" w:hAnsi="Times New Roman" w:cs="Times New Roman"/>
                <w:sz w:val="18"/>
                <w:szCs w:val="18"/>
              </w:rPr>
              <w:t>条件实验进行了验证，并完成精密度数据</w:t>
            </w:r>
          </w:p>
        </w:tc>
      </w:tr>
      <w:tr w:rsidR="006168F6" w:rsidTr="00A963D2">
        <w:trPr>
          <w:trHeight w:val="281"/>
        </w:trPr>
        <w:tc>
          <w:tcPr>
            <w:tcW w:w="1613" w:type="pct"/>
          </w:tcPr>
          <w:p w:rsidR="006168F6" w:rsidRDefault="00930651" w:rsidP="00930651">
            <w:pPr>
              <w:tabs>
                <w:tab w:val="left" w:pos="2070"/>
                <w:tab w:val="center" w:pos="4757"/>
              </w:tabs>
              <w:rPr>
                <w:rFonts w:ascii="宋体" w:hAnsi="宋体" w:cs="宋体"/>
              </w:rPr>
            </w:pPr>
            <w:proofErr w:type="gramStart"/>
            <w:r w:rsidRPr="00930651">
              <w:rPr>
                <w:rFonts w:ascii="宋体" w:hAnsi="宋体" w:cs="宋体" w:hint="eastAsia"/>
              </w:rPr>
              <w:t>胡梦桥</w:t>
            </w:r>
            <w:proofErr w:type="gramEnd"/>
            <w:r w:rsidRPr="00930651">
              <w:rPr>
                <w:rFonts w:ascii="宋体" w:hAnsi="宋体" w:cs="宋体" w:hint="eastAsia"/>
              </w:rPr>
              <w:t>、刘佳与</w:t>
            </w:r>
            <w:r w:rsidRPr="00930651">
              <w:rPr>
                <w:rFonts w:ascii="宋体" w:hAnsi="宋体" w:cs="宋体" w:hint="eastAsia"/>
                <w:color w:val="FF0000"/>
              </w:rPr>
              <w:t>（厦门稀土、</w:t>
            </w:r>
            <w:proofErr w:type="gramStart"/>
            <w:r w:rsidRPr="00930651">
              <w:rPr>
                <w:rFonts w:ascii="宋体" w:hAnsi="宋体" w:cs="宋体" w:hint="eastAsia"/>
                <w:color w:val="FF0000"/>
              </w:rPr>
              <w:t>国家钨与稀土</w:t>
            </w:r>
            <w:proofErr w:type="gramEnd"/>
            <w:r w:rsidRPr="00930651">
              <w:rPr>
                <w:rFonts w:ascii="宋体" w:hAnsi="宋体" w:cs="宋体" w:hint="eastAsia"/>
                <w:color w:val="FF0000"/>
              </w:rPr>
              <w:t>）</w:t>
            </w:r>
          </w:p>
        </w:tc>
        <w:tc>
          <w:tcPr>
            <w:tcW w:w="3387" w:type="pct"/>
            <w:vAlign w:val="center"/>
          </w:tcPr>
          <w:p w:rsidR="006168F6" w:rsidRDefault="00B003EF">
            <w:pPr>
              <w:pStyle w:val="affa"/>
              <w:adjustRightInd w:val="0"/>
              <w:snapToGrid w:val="0"/>
              <w:spacing w:before="0" w:beforeAutospacing="0" w:after="0" w:afterAutospacing="0" w:line="312" w:lineRule="auto"/>
              <w:rPr>
                <w:rFonts w:ascii="Times New Roman" w:hAnsi="Times New Roman" w:cs="Times New Roman"/>
                <w:kern w:val="2"/>
                <w:sz w:val="18"/>
                <w:szCs w:val="18"/>
              </w:rPr>
            </w:pPr>
            <w:r>
              <w:rPr>
                <w:rFonts w:ascii="Times New Roman" w:hAnsi="Times New Roman" w:cs="Times New Roman"/>
                <w:sz w:val="18"/>
                <w:szCs w:val="18"/>
              </w:rPr>
              <w:t>作为二验，提供</w:t>
            </w:r>
            <w:r>
              <w:rPr>
                <w:rFonts w:ascii="Times New Roman" w:hAnsi="Times New Roman" w:cs="Times New Roman" w:hint="eastAsia"/>
                <w:sz w:val="18"/>
                <w:szCs w:val="18"/>
              </w:rPr>
              <w:t>验证</w:t>
            </w:r>
            <w:r>
              <w:rPr>
                <w:rFonts w:ascii="Times New Roman" w:hAnsi="Times New Roman" w:cs="Times New Roman"/>
                <w:sz w:val="18"/>
                <w:szCs w:val="18"/>
              </w:rPr>
              <w:t>方法的精密度数据</w:t>
            </w:r>
          </w:p>
        </w:tc>
      </w:tr>
    </w:tbl>
    <w:p w:rsidR="006168F6" w:rsidRDefault="00B003EF">
      <w:pPr>
        <w:pStyle w:val="afffa"/>
        <w:numPr>
          <w:ilvl w:val="0"/>
          <w:numId w:val="3"/>
        </w:numPr>
        <w:tabs>
          <w:tab w:val="clear" w:pos="675"/>
        </w:tabs>
        <w:spacing w:beforeLines="50" w:before="156" w:afterLines="50" w:after="156"/>
        <w:jc w:val="left"/>
        <w:rPr>
          <w:rFonts w:ascii="宋体" w:eastAsia="宋体" w:hAnsi="宋体" w:cs="宋体"/>
        </w:rPr>
      </w:pPr>
      <w:r>
        <w:rPr>
          <w:rFonts w:ascii="宋体" w:eastAsia="宋体" w:hAnsi="宋体" w:cs="宋体" w:hint="eastAsia"/>
        </w:rPr>
        <w:t>项目背景</w:t>
      </w:r>
    </w:p>
    <w:p w:rsidR="006168F6" w:rsidRDefault="00B003EF">
      <w:r>
        <w:rPr>
          <w:rFonts w:hint="eastAsia"/>
        </w:rPr>
        <w:t xml:space="preserve">3.1 </w:t>
      </w:r>
      <w:r>
        <w:rPr>
          <w:rFonts w:hint="eastAsia"/>
        </w:rPr>
        <w:t>项目的必要性简述</w:t>
      </w:r>
    </w:p>
    <w:p w:rsidR="00AB5C65" w:rsidRDefault="00AB5C65" w:rsidP="00AB5C65">
      <w:pPr>
        <w:ind w:firstLineChars="200" w:firstLine="420"/>
        <w:rPr>
          <w:szCs w:val="20"/>
        </w:rPr>
      </w:pPr>
      <w:r>
        <w:rPr>
          <w:rFonts w:hAnsi="Calibri"/>
        </w:rPr>
        <w:t>稀土元素氧化物配分量</w:t>
      </w:r>
      <w:r>
        <w:t>是稀土精矿生产、贸易中最重要的计价指标，根据</w:t>
      </w:r>
      <w:proofErr w:type="gramStart"/>
      <w:r>
        <w:t>国标委</w:t>
      </w:r>
      <w:proofErr w:type="gramEnd"/>
      <w:r>
        <w:t>《</w:t>
      </w:r>
      <w:r>
        <w:t>2021</w:t>
      </w:r>
      <w:r>
        <w:t>年全国标准化工作要点》和十四五发展规划</w:t>
      </w:r>
      <w:r>
        <w:t>“</w:t>
      </w:r>
      <w:r>
        <w:t>关于战略性矿产开发与利用</w:t>
      </w:r>
      <w:r>
        <w:t>”</w:t>
      </w:r>
      <w:r>
        <w:t>重点工作的要求，为了更好适应稀土行业变化，完善稀土矿产品分析测试技术和标准体系，建议根据新的行业和市场需求修订</w:t>
      </w:r>
      <w:r>
        <w:t>GB/T 18114.8</w:t>
      </w:r>
      <w:r>
        <w:t>《稀土精矿化学分析方法</w:t>
      </w:r>
      <w:r>
        <w:t xml:space="preserve"> </w:t>
      </w:r>
      <w:r>
        <w:t>第</w:t>
      </w:r>
      <w:r>
        <w:t>8</w:t>
      </w:r>
      <w:r>
        <w:t>部分：</w:t>
      </w:r>
      <w:r>
        <w:rPr>
          <w:rFonts w:hAnsi="Calibri"/>
        </w:rPr>
        <w:t>十五个稀土元素氧化物配分量的测定</w:t>
      </w:r>
      <w:r>
        <w:t>》，为稀土精矿产品的选冶工艺控制、贸易提供更好的技术保障。</w:t>
      </w:r>
      <w:r>
        <w:t>GB/T 18114.8-2010</w:t>
      </w:r>
      <w:r>
        <w:t>《稀土精矿化学分析方法</w:t>
      </w:r>
      <w:r>
        <w:t xml:space="preserve"> </w:t>
      </w:r>
      <w:r>
        <w:t>第</w:t>
      </w:r>
      <w:r>
        <w:t>8</w:t>
      </w:r>
      <w:r>
        <w:t>部分</w:t>
      </w:r>
      <w:r>
        <w:t xml:space="preserve"> </w:t>
      </w:r>
      <w:r>
        <w:rPr>
          <w:rFonts w:hAnsi="Calibri"/>
        </w:rPr>
        <w:t>十五个稀土元素氧化物配分量的测定</w:t>
      </w:r>
      <w:r>
        <w:t xml:space="preserve"> </w:t>
      </w:r>
      <w:r>
        <w:t>电感耦合等离子体发射光谱法》于</w:t>
      </w:r>
      <w:r>
        <w:t>2008</w:t>
      </w:r>
      <w:r>
        <w:t>年开始修订，</w:t>
      </w:r>
      <w:r>
        <w:t>2011</w:t>
      </w:r>
      <w:r>
        <w:t>年</w:t>
      </w:r>
      <w:r>
        <w:t>1</w:t>
      </w:r>
      <w:r>
        <w:t>月</w:t>
      </w:r>
      <w:r>
        <w:t>14</w:t>
      </w:r>
      <w:r>
        <w:t>日发布，</w:t>
      </w:r>
      <w:r>
        <w:t>2011</w:t>
      </w:r>
      <w:r>
        <w:t>年</w:t>
      </w:r>
      <w:r>
        <w:t>11</w:t>
      </w:r>
      <w:r>
        <w:t>月</w:t>
      </w:r>
      <w:r>
        <w:t>1</w:t>
      </w:r>
      <w:r>
        <w:t>日开始实施，已经运行</w:t>
      </w:r>
      <w:r>
        <w:t>10</w:t>
      </w:r>
      <w:r>
        <w:t>年，在此期间</w:t>
      </w:r>
      <w:r>
        <w:t>XB/T 102-2017</w:t>
      </w:r>
      <w:r>
        <w:t>氟碳铈矿</w:t>
      </w:r>
      <w:r>
        <w:t>-</w:t>
      </w:r>
      <w:r>
        <w:t>独居石混合精矿、</w:t>
      </w:r>
      <w:r>
        <w:t>XB/T 103-2019</w:t>
      </w:r>
      <w:r>
        <w:t>氟碳</w:t>
      </w:r>
      <w:proofErr w:type="gramStart"/>
      <w:r>
        <w:t>铈镧</w:t>
      </w:r>
      <w:proofErr w:type="gramEnd"/>
      <w:r>
        <w:t>矿精矿、</w:t>
      </w:r>
      <w:r>
        <w:t>XB/T 104-2015</w:t>
      </w:r>
      <w:r>
        <w:t>独居石精矿等产品标准已相继修订后发布实施，这些稀土精矿产品对稀土元素量和配分量仍然有严格的要求。根据</w:t>
      </w:r>
      <w:proofErr w:type="gramStart"/>
      <w:r>
        <w:t>国标委</w:t>
      </w:r>
      <w:proofErr w:type="gramEnd"/>
      <w:r>
        <w:t>《</w:t>
      </w:r>
      <w:r>
        <w:t>2021</w:t>
      </w:r>
      <w:r>
        <w:t>年全国标准化工作要点》和十四五发展规划</w:t>
      </w:r>
      <w:r>
        <w:t>“</w:t>
      </w:r>
      <w:r>
        <w:t>关于战略性矿产开发与利用</w:t>
      </w:r>
      <w:r>
        <w:t>”</w:t>
      </w:r>
      <w:r>
        <w:t>重点工作的要求，为了更好适应稀土行业变化，完善稀土矿产品分析测试技术和标准体系，根据新的行业和市场变化及需求，将旧标准中需要改进的地方进行修订。标准方法的修订将对稀土产品的市场行为提供产品质量参照，同时对国内、国外该类产品的质量提供一个可借鉴的标准参照。项目的研究具有一定的经济和广泛的社会效益。</w:t>
      </w:r>
    </w:p>
    <w:p w:rsidR="006168F6" w:rsidRPr="00AB5C65" w:rsidRDefault="00B003EF">
      <w:pPr>
        <w:rPr>
          <w:color w:val="000000" w:themeColor="text1"/>
        </w:rPr>
      </w:pPr>
      <w:r w:rsidRPr="00AB5C65">
        <w:rPr>
          <w:rFonts w:hint="eastAsia"/>
          <w:color w:val="000000" w:themeColor="text1"/>
        </w:rPr>
        <w:t xml:space="preserve">3.2 </w:t>
      </w:r>
      <w:r w:rsidRPr="00AB5C65">
        <w:rPr>
          <w:rFonts w:hint="eastAsia"/>
          <w:color w:val="000000" w:themeColor="text1"/>
        </w:rPr>
        <w:t>项目的可行性简述</w:t>
      </w:r>
    </w:p>
    <w:p w:rsidR="006168F6" w:rsidRPr="00930651" w:rsidRDefault="00AB5C65">
      <w:pPr>
        <w:pStyle w:val="-"/>
        <w:ind w:firstLine="420"/>
        <w:rPr>
          <w:color w:val="FF0000"/>
        </w:rPr>
      </w:pPr>
      <w:r w:rsidRPr="00AB5C65">
        <w:rPr>
          <w:rFonts w:cs="Times New Roman"/>
          <w:color w:val="000000" w:themeColor="text1"/>
        </w:rPr>
        <w:t>电感耦合等离子体发射光谱法</w:t>
      </w:r>
      <w:r w:rsidR="00B003EF" w:rsidRPr="00AB5C65">
        <w:rPr>
          <w:rFonts w:hint="eastAsia"/>
          <w:color w:val="000000" w:themeColor="text1"/>
        </w:rPr>
        <w:t>具有检出限低、操作简单、快速、准确等优势，在稀土行业中广泛运用、历史悠久，分析技术已非常成熟。有利于在各类检测机构推广应用，对于促进我国稀土产品的生产和贸易具有重要意义</w:t>
      </w:r>
      <w:r w:rsidR="00B003EF" w:rsidRPr="00930651">
        <w:rPr>
          <w:rFonts w:hint="eastAsia"/>
          <w:color w:val="FF0000"/>
        </w:rPr>
        <w:t>。</w:t>
      </w:r>
    </w:p>
    <w:p w:rsidR="006168F6" w:rsidRDefault="00B003EF">
      <w:pPr>
        <w:pStyle w:val="afffa"/>
        <w:numPr>
          <w:ilvl w:val="0"/>
          <w:numId w:val="3"/>
        </w:numPr>
        <w:tabs>
          <w:tab w:val="clear" w:pos="675"/>
        </w:tabs>
        <w:spacing w:beforeLines="50" w:before="156" w:afterLines="50" w:after="156"/>
        <w:jc w:val="left"/>
      </w:pPr>
      <w:r>
        <w:rPr>
          <w:rFonts w:ascii="宋体" w:eastAsia="宋体" w:hAnsi="宋体" w:cs="宋体" w:hint="eastAsia"/>
        </w:rPr>
        <w:t>主要工作过程</w:t>
      </w:r>
    </w:p>
    <w:p w:rsidR="006168F6" w:rsidRPr="00930651" w:rsidRDefault="00B003EF">
      <w:pPr>
        <w:rPr>
          <w:color w:val="FF0000"/>
        </w:rPr>
      </w:pPr>
      <w:r w:rsidRPr="00930651">
        <w:rPr>
          <w:rFonts w:hint="eastAsia"/>
          <w:color w:val="FF0000"/>
        </w:rPr>
        <w:t xml:space="preserve">4.1 </w:t>
      </w:r>
      <w:r w:rsidRPr="00930651">
        <w:rPr>
          <w:rFonts w:hint="eastAsia"/>
          <w:color w:val="FF0000"/>
        </w:rPr>
        <w:t>预研阶段</w:t>
      </w:r>
    </w:p>
    <w:p w:rsidR="006168F6" w:rsidRPr="00930651" w:rsidRDefault="00B003EF">
      <w:pPr>
        <w:rPr>
          <w:color w:val="FF0000"/>
        </w:rPr>
      </w:pPr>
      <w:r w:rsidRPr="00930651">
        <w:rPr>
          <w:rFonts w:hint="eastAsia"/>
          <w:color w:val="FF0000"/>
        </w:rPr>
        <w:t xml:space="preserve">4.2 </w:t>
      </w:r>
      <w:r w:rsidRPr="00930651">
        <w:rPr>
          <w:rFonts w:hint="eastAsia"/>
          <w:color w:val="FF0000"/>
        </w:rPr>
        <w:t>立项阶段</w:t>
      </w:r>
    </w:p>
    <w:p w:rsidR="006168F6" w:rsidRPr="00930651" w:rsidRDefault="00B003EF">
      <w:pPr>
        <w:pStyle w:val="-"/>
        <w:ind w:firstLine="420"/>
        <w:rPr>
          <w:rFonts w:cs="Times New Roman"/>
          <w:color w:val="FF0000"/>
        </w:rPr>
      </w:pPr>
      <w:r w:rsidRPr="00930651">
        <w:rPr>
          <w:rFonts w:cs="Times New Roman" w:hint="eastAsia"/>
          <w:color w:val="FF0000"/>
        </w:rPr>
        <w:t>20</w:t>
      </w:r>
      <w:r w:rsidRPr="00930651">
        <w:rPr>
          <w:rFonts w:cs="Times New Roman"/>
          <w:color w:val="FF0000"/>
        </w:rPr>
        <w:t>2</w:t>
      </w:r>
      <w:r w:rsidR="00AB5C65">
        <w:rPr>
          <w:rFonts w:cs="Times New Roman" w:hint="eastAsia"/>
          <w:color w:val="FF0000"/>
        </w:rPr>
        <w:t>X</w:t>
      </w:r>
      <w:r w:rsidRPr="00930651">
        <w:rPr>
          <w:rFonts w:cs="Times New Roman" w:hint="eastAsia"/>
          <w:color w:val="FF0000"/>
        </w:rPr>
        <w:t>年</w:t>
      </w:r>
      <w:r w:rsidR="00AB5C65">
        <w:rPr>
          <w:rFonts w:cs="Times New Roman" w:hint="eastAsia"/>
          <w:color w:val="FF0000"/>
        </w:rPr>
        <w:t>X</w:t>
      </w:r>
      <w:r w:rsidRPr="00930651">
        <w:rPr>
          <w:rFonts w:cs="Times New Roman" w:hint="eastAsia"/>
          <w:color w:val="FF0000"/>
        </w:rPr>
        <w:t>月向</w:t>
      </w:r>
      <w:proofErr w:type="gramStart"/>
      <w:r w:rsidRPr="00930651">
        <w:rPr>
          <w:rFonts w:cs="Times New Roman" w:hint="eastAsia"/>
          <w:color w:val="FF0000"/>
        </w:rPr>
        <w:t>全国稀标委</w:t>
      </w:r>
      <w:proofErr w:type="gramEnd"/>
      <w:r w:rsidRPr="00930651">
        <w:rPr>
          <w:rFonts w:cs="Times New Roman" w:hint="eastAsia"/>
          <w:color w:val="FF0000"/>
        </w:rPr>
        <w:t>秘书处提交了本项目的项目建议书、立项论证报告、草案稿，正式申请立项。全国稀土标委会对本项目立项进行了意见征集并组织了全体委员进行投票，最终通过了本项目的立项请求，并上报</w:t>
      </w:r>
      <w:proofErr w:type="gramStart"/>
      <w:r w:rsidRPr="00930651">
        <w:rPr>
          <w:rFonts w:cs="Times New Roman" w:hint="eastAsia"/>
          <w:color w:val="FF0000"/>
        </w:rPr>
        <w:t>国标委</w:t>
      </w:r>
      <w:proofErr w:type="gramEnd"/>
      <w:r w:rsidRPr="00930651">
        <w:rPr>
          <w:rFonts w:cs="Times New Roman" w:hint="eastAsia"/>
          <w:color w:val="FF0000"/>
        </w:rPr>
        <w:t>获批立项。</w:t>
      </w:r>
    </w:p>
    <w:p w:rsidR="00AB5C65" w:rsidRPr="0024797F" w:rsidRDefault="00AB5C65" w:rsidP="00AB5C65">
      <w:pPr>
        <w:ind w:firstLineChars="200" w:firstLine="420"/>
        <w:rPr>
          <w:color w:val="000000" w:themeColor="text1"/>
        </w:rPr>
      </w:pPr>
      <w:r w:rsidRPr="0024797F">
        <w:rPr>
          <w:rFonts w:hint="eastAsia"/>
          <w:color w:val="000000" w:themeColor="text1"/>
        </w:rPr>
        <w:t>2024</w:t>
      </w:r>
      <w:r w:rsidRPr="0024797F">
        <w:rPr>
          <w:rFonts w:hint="eastAsia"/>
          <w:color w:val="000000" w:themeColor="text1"/>
        </w:rPr>
        <w:t>年</w:t>
      </w:r>
      <w:r w:rsidRPr="0024797F">
        <w:rPr>
          <w:rFonts w:hint="eastAsia"/>
          <w:color w:val="000000" w:themeColor="text1"/>
        </w:rPr>
        <w:t>1</w:t>
      </w:r>
      <w:r w:rsidRPr="0024797F">
        <w:rPr>
          <w:rFonts w:hint="eastAsia"/>
          <w:color w:val="000000" w:themeColor="text1"/>
        </w:rPr>
        <w:t>月</w:t>
      </w:r>
      <w:r w:rsidRPr="0024797F">
        <w:rPr>
          <w:rFonts w:hint="eastAsia"/>
          <w:color w:val="000000" w:themeColor="text1"/>
        </w:rPr>
        <w:t>16</w:t>
      </w:r>
      <w:r w:rsidRPr="0024797F">
        <w:rPr>
          <w:rFonts w:hint="eastAsia"/>
          <w:color w:val="000000" w:themeColor="text1"/>
        </w:rPr>
        <w:t>日至</w:t>
      </w:r>
      <w:r w:rsidRPr="0024797F">
        <w:rPr>
          <w:rFonts w:hint="eastAsia"/>
          <w:color w:val="000000" w:themeColor="text1"/>
        </w:rPr>
        <w:t>1</w:t>
      </w:r>
      <w:r w:rsidRPr="0024797F">
        <w:rPr>
          <w:rFonts w:hint="eastAsia"/>
          <w:color w:val="000000" w:themeColor="text1"/>
        </w:rPr>
        <w:t>月</w:t>
      </w:r>
      <w:r w:rsidRPr="0024797F">
        <w:rPr>
          <w:rFonts w:hint="eastAsia"/>
          <w:color w:val="000000" w:themeColor="text1"/>
        </w:rPr>
        <w:t>18</w:t>
      </w:r>
      <w:r w:rsidRPr="0024797F">
        <w:rPr>
          <w:rFonts w:hint="eastAsia"/>
          <w:color w:val="000000" w:themeColor="text1"/>
        </w:rPr>
        <w:t>日全国稀土标准化技术委员会在珠海组织的</w:t>
      </w:r>
      <w:r w:rsidRPr="0024797F">
        <w:rPr>
          <w:rFonts w:hint="eastAsia"/>
          <w:color w:val="000000" w:themeColor="text1"/>
        </w:rPr>
        <w:t>2024</w:t>
      </w:r>
      <w:r w:rsidRPr="0024797F">
        <w:rPr>
          <w:rFonts w:hint="eastAsia"/>
          <w:color w:val="000000" w:themeColor="text1"/>
        </w:rPr>
        <w:t>年第一次稀土标准工作会，完成《稀土精矿化学分析方法》、《</w:t>
      </w:r>
      <w:r w:rsidRPr="0024797F">
        <w:rPr>
          <w:rFonts w:hint="eastAsia"/>
          <w:color w:val="000000" w:themeColor="text1"/>
        </w:rPr>
        <w:t>LED</w:t>
      </w:r>
      <w:r w:rsidRPr="0024797F">
        <w:rPr>
          <w:rFonts w:hint="eastAsia"/>
          <w:color w:val="000000" w:themeColor="text1"/>
        </w:rPr>
        <w:t>用稀土荧光粉试验方法》、《钕铁硼废料化学分析方法》等</w:t>
      </w:r>
      <w:r w:rsidRPr="0024797F">
        <w:rPr>
          <w:rFonts w:hint="eastAsia"/>
          <w:color w:val="000000" w:themeColor="text1"/>
        </w:rPr>
        <w:t>19</w:t>
      </w:r>
      <w:r w:rsidRPr="0024797F">
        <w:rPr>
          <w:rFonts w:hint="eastAsia"/>
          <w:color w:val="000000" w:themeColor="text1"/>
        </w:rPr>
        <w:t>项国家、行业标准计划的任务落实工作。其中《</w:t>
      </w:r>
      <w:r w:rsidRPr="0024797F">
        <w:rPr>
          <w:rFonts w:hint="eastAsia"/>
          <w:color w:val="000000" w:themeColor="text1"/>
          <w:szCs w:val="20"/>
        </w:rPr>
        <w:t>稀土精矿化学分析方法</w:t>
      </w:r>
      <w:r w:rsidRPr="0024797F">
        <w:rPr>
          <w:rFonts w:hint="eastAsia"/>
          <w:color w:val="000000" w:themeColor="text1"/>
          <w:szCs w:val="20"/>
        </w:rPr>
        <w:t xml:space="preserve"> </w:t>
      </w:r>
      <w:r w:rsidRPr="0024797F">
        <w:rPr>
          <w:rFonts w:hint="eastAsia"/>
          <w:color w:val="000000" w:themeColor="text1"/>
          <w:szCs w:val="20"/>
        </w:rPr>
        <w:t>第</w:t>
      </w:r>
      <w:r w:rsidRPr="0024797F">
        <w:rPr>
          <w:rFonts w:hint="eastAsia"/>
          <w:color w:val="000000" w:themeColor="text1"/>
          <w:szCs w:val="20"/>
        </w:rPr>
        <w:t>8</w:t>
      </w:r>
      <w:r w:rsidRPr="0024797F">
        <w:rPr>
          <w:rFonts w:hint="eastAsia"/>
          <w:color w:val="000000" w:themeColor="text1"/>
          <w:szCs w:val="20"/>
        </w:rPr>
        <w:t>部分：稀土氧化物量和配分</w:t>
      </w:r>
      <w:r w:rsidRPr="0024797F">
        <w:rPr>
          <w:rFonts w:hint="eastAsia"/>
          <w:color w:val="000000" w:themeColor="text1"/>
        </w:rPr>
        <w:t>量的测定</w:t>
      </w:r>
      <w:r w:rsidRPr="0024797F">
        <w:rPr>
          <w:rFonts w:hint="eastAsia"/>
          <w:color w:val="000000" w:themeColor="text1"/>
        </w:rPr>
        <w:t xml:space="preserve"> </w:t>
      </w:r>
      <w:r w:rsidRPr="0024797F">
        <w:rPr>
          <w:rFonts w:hint="eastAsia"/>
          <w:color w:val="000000" w:themeColor="text1"/>
        </w:rPr>
        <w:t>方法</w:t>
      </w:r>
      <w:r w:rsidRPr="0024797F">
        <w:rPr>
          <w:rFonts w:hint="eastAsia"/>
          <w:color w:val="000000" w:themeColor="text1"/>
        </w:rPr>
        <w:t>2</w:t>
      </w:r>
      <w:r w:rsidRPr="0024797F">
        <w:rPr>
          <w:rFonts w:hint="eastAsia"/>
          <w:color w:val="000000" w:themeColor="text1"/>
        </w:rPr>
        <w:t>：十五个稀土元素氧化物配分量的测定</w:t>
      </w:r>
      <w:r w:rsidRPr="0024797F">
        <w:rPr>
          <w:rFonts w:hint="eastAsia"/>
          <w:color w:val="000000" w:themeColor="text1"/>
        </w:rPr>
        <w:t xml:space="preserve"> </w:t>
      </w:r>
      <w:r w:rsidRPr="0024797F">
        <w:rPr>
          <w:rFonts w:hint="eastAsia"/>
          <w:color w:val="000000" w:themeColor="text1"/>
        </w:rPr>
        <w:t>电感耦合等离子体原子发射光谱法》由</w:t>
      </w:r>
      <w:r w:rsidR="0024797F" w:rsidRPr="0024797F">
        <w:rPr>
          <w:rFonts w:ascii="宋体" w:hAnsi="宋体" w:cs="宋体" w:hint="eastAsia"/>
          <w:color w:val="000000" w:themeColor="text1"/>
        </w:rPr>
        <w:t>中国北方稀土高科技股份有限公司</w:t>
      </w:r>
      <w:r w:rsidRPr="0024797F">
        <w:rPr>
          <w:rFonts w:hint="eastAsia"/>
          <w:color w:val="000000" w:themeColor="text1"/>
        </w:rPr>
        <w:t>负责起草单位，</w:t>
      </w:r>
      <w:proofErr w:type="gramStart"/>
      <w:r w:rsidRPr="0024797F">
        <w:rPr>
          <w:rFonts w:hint="eastAsia"/>
          <w:color w:val="000000" w:themeColor="text1"/>
        </w:rPr>
        <w:t>虔</w:t>
      </w:r>
      <w:proofErr w:type="gramEnd"/>
      <w:r w:rsidRPr="0024797F">
        <w:rPr>
          <w:rFonts w:hint="eastAsia"/>
          <w:color w:val="000000" w:themeColor="text1"/>
        </w:rPr>
        <w:t>东稀土集团股份有限公司、湖南稀土金属材料研究院有限责任公司为一验单位，</w:t>
      </w:r>
      <w:r w:rsidR="0024797F" w:rsidRPr="0024797F">
        <w:rPr>
          <w:rFonts w:ascii="宋体" w:hAnsi="宋体" w:cs="宋体" w:hint="eastAsia"/>
          <w:color w:val="000000" w:themeColor="text1"/>
        </w:rPr>
        <w:t>厦门稀土材料研究室、</w:t>
      </w:r>
      <w:proofErr w:type="gramStart"/>
      <w:r w:rsidR="0024797F" w:rsidRPr="0024797F">
        <w:rPr>
          <w:rFonts w:ascii="宋体" w:hAnsi="宋体" w:cs="宋体" w:hint="eastAsia"/>
          <w:color w:val="000000" w:themeColor="text1"/>
        </w:rPr>
        <w:t>国家钨与稀土</w:t>
      </w:r>
      <w:proofErr w:type="gramEnd"/>
      <w:r w:rsidR="0024797F" w:rsidRPr="0024797F">
        <w:rPr>
          <w:rFonts w:ascii="宋体" w:hAnsi="宋体" w:cs="宋体" w:hint="eastAsia"/>
          <w:color w:val="000000" w:themeColor="text1"/>
        </w:rPr>
        <w:t>质量检验检测中心、国标（北京）检验认证股份有限公司</w:t>
      </w:r>
      <w:proofErr w:type="gramStart"/>
      <w:r w:rsidRPr="0024797F">
        <w:rPr>
          <w:rFonts w:hint="eastAsia"/>
          <w:color w:val="000000" w:themeColor="text1"/>
        </w:rPr>
        <w:t>为二验单位</w:t>
      </w:r>
      <w:proofErr w:type="gramEnd"/>
      <w:r w:rsidRPr="0024797F">
        <w:rPr>
          <w:rFonts w:hint="eastAsia"/>
          <w:color w:val="000000" w:themeColor="text1"/>
        </w:rPr>
        <w:t>。</w:t>
      </w:r>
    </w:p>
    <w:p w:rsidR="006168F6" w:rsidRPr="0024797F" w:rsidRDefault="00B003EF">
      <w:pPr>
        <w:rPr>
          <w:color w:val="000000" w:themeColor="text1"/>
        </w:rPr>
      </w:pPr>
      <w:r w:rsidRPr="0024797F">
        <w:rPr>
          <w:rFonts w:hint="eastAsia"/>
          <w:color w:val="000000" w:themeColor="text1"/>
        </w:rPr>
        <w:t xml:space="preserve">4.3 </w:t>
      </w:r>
      <w:r w:rsidRPr="0024797F">
        <w:rPr>
          <w:rFonts w:hint="eastAsia"/>
          <w:color w:val="000000" w:themeColor="text1"/>
        </w:rPr>
        <w:t>起草阶段</w:t>
      </w:r>
    </w:p>
    <w:p w:rsidR="006168F6" w:rsidRPr="0024797F" w:rsidRDefault="0024797F">
      <w:pPr>
        <w:ind w:firstLineChars="200" w:firstLine="420"/>
        <w:rPr>
          <w:rFonts w:ascii="宋体" w:hAnsi="宋体" w:cs="宋体"/>
          <w:color w:val="000000" w:themeColor="text1"/>
        </w:rPr>
      </w:pPr>
      <w:r w:rsidRPr="0024797F">
        <w:rPr>
          <w:rFonts w:ascii="宋体" w:hAnsi="宋体" w:cs="宋体" w:hint="eastAsia"/>
          <w:color w:val="000000" w:themeColor="text1"/>
        </w:rPr>
        <w:t>中国北方稀土高科技股份有限公司</w:t>
      </w:r>
      <w:r w:rsidR="00B003EF" w:rsidRPr="0024797F">
        <w:rPr>
          <w:rFonts w:ascii="宋体" w:hAnsi="宋体" w:cs="宋体" w:hint="eastAsia"/>
          <w:color w:val="000000" w:themeColor="text1"/>
        </w:rPr>
        <w:t>接受任务后，立即</w:t>
      </w:r>
      <w:r w:rsidRPr="0024797F">
        <w:rPr>
          <w:rFonts w:ascii="宋体" w:hAnsi="宋体" w:cs="宋体" w:hint="eastAsia"/>
          <w:color w:val="000000" w:themeColor="text1"/>
        </w:rPr>
        <w:t>组织技术骨干</w:t>
      </w:r>
      <w:r w:rsidR="00B003EF" w:rsidRPr="0024797F">
        <w:rPr>
          <w:rFonts w:ascii="宋体" w:hAnsi="宋体" w:cs="宋体" w:hint="eastAsia"/>
          <w:color w:val="000000" w:themeColor="text1"/>
        </w:rPr>
        <w:t>成立了国家标准《</w:t>
      </w:r>
      <w:r w:rsidRPr="0024797F">
        <w:rPr>
          <w:rFonts w:hint="eastAsia"/>
          <w:color w:val="000000" w:themeColor="text1"/>
          <w:szCs w:val="20"/>
        </w:rPr>
        <w:t>稀土精矿化学分析方法</w:t>
      </w:r>
      <w:r w:rsidRPr="0024797F">
        <w:rPr>
          <w:rFonts w:hint="eastAsia"/>
          <w:color w:val="000000" w:themeColor="text1"/>
          <w:szCs w:val="20"/>
        </w:rPr>
        <w:t xml:space="preserve"> </w:t>
      </w:r>
      <w:r w:rsidRPr="0024797F">
        <w:rPr>
          <w:rFonts w:hint="eastAsia"/>
          <w:color w:val="000000" w:themeColor="text1"/>
          <w:szCs w:val="20"/>
        </w:rPr>
        <w:t>第</w:t>
      </w:r>
      <w:r w:rsidRPr="0024797F">
        <w:rPr>
          <w:rFonts w:hint="eastAsia"/>
          <w:color w:val="000000" w:themeColor="text1"/>
          <w:szCs w:val="20"/>
        </w:rPr>
        <w:t>8</w:t>
      </w:r>
      <w:r w:rsidRPr="0024797F">
        <w:rPr>
          <w:rFonts w:hint="eastAsia"/>
          <w:color w:val="000000" w:themeColor="text1"/>
          <w:szCs w:val="20"/>
        </w:rPr>
        <w:t>部分：稀土氧化物量和配分</w:t>
      </w:r>
      <w:r w:rsidRPr="0024797F">
        <w:rPr>
          <w:rFonts w:hint="eastAsia"/>
          <w:color w:val="000000" w:themeColor="text1"/>
        </w:rPr>
        <w:t>量的测定</w:t>
      </w:r>
      <w:r w:rsidRPr="0024797F">
        <w:rPr>
          <w:rFonts w:hint="eastAsia"/>
          <w:color w:val="000000" w:themeColor="text1"/>
        </w:rPr>
        <w:t xml:space="preserve"> </w:t>
      </w:r>
      <w:r w:rsidRPr="0024797F">
        <w:rPr>
          <w:rFonts w:hint="eastAsia"/>
          <w:color w:val="000000" w:themeColor="text1"/>
        </w:rPr>
        <w:t>方法</w:t>
      </w:r>
      <w:r w:rsidRPr="0024797F">
        <w:rPr>
          <w:rFonts w:hint="eastAsia"/>
          <w:color w:val="000000" w:themeColor="text1"/>
        </w:rPr>
        <w:t>2</w:t>
      </w:r>
      <w:r w:rsidRPr="0024797F">
        <w:rPr>
          <w:rFonts w:hint="eastAsia"/>
          <w:color w:val="000000" w:themeColor="text1"/>
        </w:rPr>
        <w:t>：十五个稀土元素氧化物配分量的测定</w:t>
      </w:r>
      <w:r w:rsidRPr="0024797F">
        <w:rPr>
          <w:rFonts w:hint="eastAsia"/>
          <w:color w:val="000000" w:themeColor="text1"/>
        </w:rPr>
        <w:t xml:space="preserve"> </w:t>
      </w:r>
      <w:r w:rsidRPr="0024797F">
        <w:rPr>
          <w:rFonts w:hint="eastAsia"/>
          <w:color w:val="000000" w:themeColor="text1"/>
        </w:rPr>
        <w:t>电感耦合等离子体原子发射光谱法</w:t>
      </w:r>
      <w:r w:rsidR="00B003EF" w:rsidRPr="0024797F">
        <w:rPr>
          <w:rFonts w:ascii="宋体" w:hAnsi="宋体" w:cs="宋体" w:hint="eastAsia"/>
          <w:color w:val="000000" w:themeColor="text1"/>
        </w:rPr>
        <w:t>》</w:t>
      </w:r>
      <w:r w:rsidRPr="0024797F">
        <w:rPr>
          <w:rFonts w:ascii="宋体" w:hAnsi="宋体" w:cs="宋体" w:hint="eastAsia"/>
          <w:color w:val="000000" w:themeColor="text1"/>
        </w:rPr>
        <w:t>国家标准</w:t>
      </w:r>
      <w:r w:rsidR="00B003EF" w:rsidRPr="0024797F">
        <w:rPr>
          <w:rFonts w:ascii="宋体" w:hAnsi="宋体" w:cs="宋体" w:hint="eastAsia"/>
          <w:color w:val="000000" w:themeColor="text1"/>
        </w:rPr>
        <w:t>研发小组。</w:t>
      </w:r>
    </w:p>
    <w:p w:rsidR="0024797F" w:rsidRDefault="0024797F" w:rsidP="0024797F">
      <w:pPr>
        <w:ind w:firstLineChars="200" w:firstLine="420"/>
      </w:pPr>
      <w:r>
        <w:rPr>
          <w:rFonts w:hint="eastAsia"/>
        </w:rPr>
        <w:t>2024</w:t>
      </w:r>
      <w:r>
        <w:rPr>
          <w:rFonts w:hint="eastAsia"/>
        </w:rPr>
        <w:t>年</w:t>
      </w:r>
      <w:r>
        <w:rPr>
          <w:rFonts w:hint="eastAsia"/>
        </w:rPr>
        <w:t>3</w:t>
      </w:r>
      <w:r>
        <w:rPr>
          <w:rFonts w:hint="eastAsia"/>
        </w:rPr>
        <w:t>月</w:t>
      </w:r>
      <w:r>
        <w:rPr>
          <w:rFonts w:hint="eastAsia"/>
        </w:rPr>
        <w:t>1</w:t>
      </w:r>
      <w:r>
        <w:rPr>
          <w:rFonts w:hint="eastAsia"/>
        </w:rPr>
        <w:t>日前，完成统一样的筛选、合成。</w:t>
      </w:r>
    </w:p>
    <w:p w:rsidR="0024797F" w:rsidRPr="00A52D6A" w:rsidRDefault="0024797F" w:rsidP="0024797F">
      <w:pPr>
        <w:ind w:firstLineChars="200" w:firstLine="420"/>
        <w:rPr>
          <w:rFonts w:ascii="宋体" w:hAnsi="宋体" w:cs="宋体"/>
          <w:color w:val="000000" w:themeColor="text1"/>
        </w:rPr>
      </w:pPr>
      <w:r w:rsidRPr="00A52D6A">
        <w:rPr>
          <w:rFonts w:ascii="宋体" w:hAnsi="宋体" w:cs="宋体" w:hint="eastAsia"/>
          <w:color w:val="000000" w:themeColor="text1"/>
        </w:rPr>
        <w:t>202</w:t>
      </w:r>
      <w:r w:rsidR="00A963D2" w:rsidRPr="00A52D6A">
        <w:rPr>
          <w:rFonts w:ascii="宋体" w:hAnsi="宋体" w:cs="宋体" w:hint="eastAsia"/>
          <w:color w:val="000000" w:themeColor="text1"/>
        </w:rPr>
        <w:t>4</w:t>
      </w:r>
      <w:r w:rsidRPr="00A52D6A">
        <w:rPr>
          <w:rFonts w:ascii="宋体" w:hAnsi="宋体" w:cs="宋体" w:hint="eastAsia"/>
          <w:color w:val="000000" w:themeColor="text1"/>
        </w:rPr>
        <w:t>年</w:t>
      </w:r>
      <w:r w:rsidR="00A963D2" w:rsidRPr="00A52D6A">
        <w:rPr>
          <w:rFonts w:hint="eastAsia"/>
          <w:color w:val="000000" w:themeColor="text1"/>
        </w:rPr>
        <w:t>3</w:t>
      </w:r>
      <w:r w:rsidRPr="00A52D6A">
        <w:rPr>
          <w:rFonts w:hint="eastAsia"/>
          <w:color w:val="000000" w:themeColor="text1"/>
        </w:rPr>
        <w:t>月</w:t>
      </w:r>
      <w:r w:rsidR="00A52D6A" w:rsidRPr="00A52D6A">
        <w:rPr>
          <w:rFonts w:hint="eastAsia"/>
          <w:color w:val="000000" w:themeColor="text1"/>
        </w:rPr>
        <w:t>10</w:t>
      </w:r>
      <w:r w:rsidRPr="00A52D6A">
        <w:rPr>
          <w:rFonts w:hint="eastAsia"/>
          <w:color w:val="000000" w:themeColor="text1"/>
        </w:rPr>
        <w:t>日</w:t>
      </w:r>
      <w:r w:rsidRPr="00A52D6A">
        <w:rPr>
          <w:rFonts w:ascii="宋体" w:hAnsi="宋体" w:cs="宋体" w:hint="eastAsia"/>
          <w:color w:val="000000" w:themeColor="text1"/>
        </w:rPr>
        <w:t>针对本方法进行了条件试验摸索，初步形成试验方法。</w:t>
      </w:r>
    </w:p>
    <w:p w:rsidR="0024797F" w:rsidRPr="00A52D6A" w:rsidRDefault="0024797F" w:rsidP="0024797F">
      <w:pPr>
        <w:ind w:firstLine="420"/>
        <w:rPr>
          <w:rFonts w:ascii="宋体" w:hAnsi="宋体" w:cs="宋体"/>
          <w:color w:val="000000" w:themeColor="text1"/>
        </w:rPr>
      </w:pPr>
      <w:r w:rsidRPr="00A52D6A">
        <w:rPr>
          <w:rFonts w:ascii="宋体" w:hAnsi="宋体" w:cs="宋体" w:hint="eastAsia"/>
          <w:color w:val="000000" w:themeColor="text1"/>
        </w:rPr>
        <w:t>202</w:t>
      </w:r>
      <w:r w:rsidR="00A52D6A" w:rsidRPr="00A52D6A">
        <w:rPr>
          <w:rFonts w:ascii="宋体" w:hAnsi="宋体" w:cs="宋体" w:hint="eastAsia"/>
          <w:color w:val="000000" w:themeColor="text1"/>
        </w:rPr>
        <w:t>4</w:t>
      </w:r>
      <w:r w:rsidRPr="00A52D6A">
        <w:rPr>
          <w:rFonts w:ascii="宋体" w:hAnsi="宋体" w:cs="宋体" w:hint="eastAsia"/>
          <w:color w:val="000000" w:themeColor="text1"/>
        </w:rPr>
        <w:t>年</w:t>
      </w:r>
      <w:r w:rsidR="00A963D2" w:rsidRPr="00A52D6A">
        <w:rPr>
          <w:rFonts w:hint="eastAsia"/>
          <w:color w:val="000000" w:themeColor="text1"/>
        </w:rPr>
        <w:t>3</w:t>
      </w:r>
      <w:r w:rsidRPr="00A52D6A">
        <w:rPr>
          <w:rFonts w:hint="eastAsia"/>
          <w:color w:val="000000" w:themeColor="text1"/>
        </w:rPr>
        <w:t xml:space="preserve"> </w:t>
      </w:r>
      <w:r w:rsidRPr="00A52D6A">
        <w:rPr>
          <w:rFonts w:hint="eastAsia"/>
          <w:color w:val="000000" w:themeColor="text1"/>
        </w:rPr>
        <w:t>月</w:t>
      </w:r>
      <w:r w:rsidR="00A52D6A" w:rsidRPr="00A52D6A">
        <w:rPr>
          <w:rFonts w:hint="eastAsia"/>
          <w:color w:val="000000" w:themeColor="text1"/>
        </w:rPr>
        <w:t>11</w:t>
      </w:r>
      <w:r w:rsidRPr="00A52D6A">
        <w:rPr>
          <w:rFonts w:hint="eastAsia"/>
          <w:color w:val="000000" w:themeColor="text1"/>
        </w:rPr>
        <w:t>日</w:t>
      </w:r>
      <w:r w:rsidR="00A963D2" w:rsidRPr="00A52D6A">
        <w:rPr>
          <w:rFonts w:hint="eastAsia"/>
          <w:color w:val="000000" w:themeColor="text1"/>
        </w:rPr>
        <w:t>-</w:t>
      </w:r>
      <w:r w:rsidR="00A52D6A" w:rsidRPr="00A52D6A">
        <w:rPr>
          <w:rFonts w:hint="eastAsia"/>
          <w:color w:val="000000" w:themeColor="text1"/>
        </w:rPr>
        <w:t>4</w:t>
      </w:r>
      <w:r w:rsidR="00A963D2" w:rsidRPr="00A52D6A">
        <w:rPr>
          <w:rFonts w:hint="eastAsia"/>
          <w:color w:val="000000" w:themeColor="text1"/>
        </w:rPr>
        <w:t>月</w:t>
      </w:r>
      <w:r w:rsidR="00A52D6A" w:rsidRPr="00A52D6A">
        <w:rPr>
          <w:rFonts w:hint="eastAsia"/>
          <w:color w:val="000000" w:themeColor="text1"/>
        </w:rPr>
        <w:t>10</w:t>
      </w:r>
      <w:r w:rsidR="00A52D6A" w:rsidRPr="00A52D6A">
        <w:rPr>
          <w:rFonts w:hint="eastAsia"/>
          <w:color w:val="000000" w:themeColor="text1"/>
        </w:rPr>
        <w:t>日</w:t>
      </w:r>
      <w:r w:rsidRPr="00A52D6A">
        <w:rPr>
          <w:rFonts w:ascii="宋体" w:hAnsi="宋体" w:cs="宋体" w:hint="eastAsia"/>
          <w:color w:val="000000" w:themeColor="text1"/>
        </w:rPr>
        <w:t>，牵头</w:t>
      </w:r>
      <w:r w:rsidRPr="00A52D6A">
        <w:rPr>
          <w:rFonts w:ascii="宋体" w:hAnsi="宋体" w:cs="宋体"/>
          <w:color w:val="000000" w:themeColor="text1"/>
        </w:rPr>
        <w:t>起草单位准备好了</w:t>
      </w:r>
      <w:r w:rsidRPr="00A52D6A">
        <w:rPr>
          <w:rFonts w:ascii="宋体" w:hAnsi="宋体" w:cs="宋体" w:hint="eastAsia"/>
          <w:color w:val="000000" w:themeColor="text1"/>
        </w:rPr>
        <w:t>试验用统一样品，开展了精密度、加标回收等试验，证明方法准确可靠。</w:t>
      </w:r>
    </w:p>
    <w:p w:rsidR="0024797F" w:rsidRPr="00A52D6A" w:rsidRDefault="0024797F" w:rsidP="0024797F">
      <w:pPr>
        <w:ind w:firstLineChars="200" w:firstLine="420"/>
        <w:rPr>
          <w:color w:val="000000" w:themeColor="text1"/>
        </w:rPr>
      </w:pPr>
      <w:r w:rsidRPr="00A52D6A">
        <w:rPr>
          <w:rFonts w:ascii="宋体" w:hAnsi="宋体" w:cs="宋体" w:hint="eastAsia"/>
          <w:color w:val="000000" w:themeColor="text1"/>
        </w:rPr>
        <w:t>202</w:t>
      </w:r>
      <w:r w:rsidR="00A52D6A" w:rsidRPr="00A52D6A">
        <w:rPr>
          <w:rFonts w:ascii="宋体" w:hAnsi="宋体" w:cs="宋体" w:hint="eastAsia"/>
          <w:color w:val="000000" w:themeColor="text1"/>
        </w:rPr>
        <w:t>4</w:t>
      </w:r>
      <w:r w:rsidRPr="00A52D6A">
        <w:rPr>
          <w:rFonts w:ascii="宋体" w:hAnsi="宋体" w:cs="宋体" w:hint="eastAsia"/>
          <w:color w:val="000000" w:themeColor="text1"/>
        </w:rPr>
        <w:t>年</w:t>
      </w:r>
      <w:r w:rsidR="00A52D6A" w:rsidRPr="00A52D6A">
        <w:rPr>
          <w:rFonts w:hint="eastAsia"/>
          <w:color w:val="000000" w:themeColor="text1"/>
        </w:rPr>
        <w:t>4</w:t>
      </w:r>
      <w:r w:rsidRPr="00A52D6A">
        <w:rPr>
          <w:rFonts w:hint="eastAsia"/>
          <w:color w:val="000000" w:themeColor="text1"/>
        </w:rPr>
        <w:t xml:space="preserve"> </w:t>
      </w:r>
      <w:r w:rsidRPr="00A52D6A">
        <w:rPr>
          <w:rFonts w:hint="eastAsia"/>
          <w:color w:val="000000" w:themeColor="text1"/>
        </w:rPr>
        <w:t>月</w:t>
      </w:r>
      <w:r w:rsidR="00A52D6A" w:rsidRPr="00A52D6A">
        <w:rPr>
          <w:rFonts w:hint="eastAsia"/>
          <w:color w:val="000000" w:themeColor="text1"/>
        </w:rPr>
        <w:t>11</w:t>
      </w:r>
      <w:r w:rsidRPr="00A52D6A">
        <w:rPr>
          <w:rFonts w:hint="eastAsia"/>
          <w:color w:val="000000" w:themeColor="text1"/>
        </w:rPr>
        <w:t>日</w:t>
      </w:r>
      <w:r w:rsidR="00A963D2" w:rsidRPr="00A52D6A">
        <w:rPr>
          <w:rFonts w:hint="eastAsia"/>
          <w:color w:val="000000" w:themeColor="text1"/>
        </w:rPr>
        <w:t>-</w:t>
      </w:r>
      <w:r w:rsidR="00A52D6A" w:rsidRPr="00A52D6A">
        <w:rPr>
          <w:rFonts w:hint="eastAsia"/>
          <w:color w:val="000000" w:themeColor="text1"/>
        </w:rPr>
        <w:t>4</w:t>
      </w:r>
      <w:r w:rsidR="00A52D6A" w:rsidRPr="00A52D6A">
        <w:rPr>
          <w:rFonts w:hint="eastAsia"/>
          <w:color w:val="000000" w:themeColor="text1"/>
        </w:rPr>
        <w:t>月</w:t>
      </w:r>
      <w:r w:rsidR="00A52D6A" w:rsidRPr="00A52D6A">
        <w:rPr>
          <w:rFonts w:hint="eastAsia"/>
          <w:color w:val="000000" w:themeColor="text1"/>
        </w:rPr>
        <w:t>24</w:t>
      </w:r>
      <w:r w:rsidR="00A52D6A" w:rsidRPr="00A52D6A">
        <w:rPr>
          <w:rFonts w:hint="eastAsia"/>
          <w:color w:val="000000" w:themeColor="text1"/>
        </w:rPr>
        <w:t>日</w:t>
      </w:r>
      <w:r w:rsidRPr="00A52D6A">
        <w:rPr>
          <w:rFonts w:ascii="宋体" w:hAnsi="宋体" w:cs="宋体" w:hint="eastAsia"/>
          <w:color w:val="000000" w:themeColor="text1"/>
        </w:rPr>
        <w:t>，牵头起草单位对实验数据进行整理，完成了分析方法研究报告的编写，并将样品和方法研究报告发给验证单位进行验证工作。</w:t>
      </w:r>
      <w:r w:rsidRPr="00A52D6A">
        <w:rPr>
          <w:rFonts w:hint="eastAsia"/>
          <w:color w:val="000000" w:themeColor="text1"/>
        </w:rPr>
        <w:t>同时邮寄稀土精矿统一样。</w:t>
      </w:r>
    </w:p>
    <w:p w:rsidR="0024797F" w:rsidRPr="00A52D6A" w:rsidRDefault="0024797F" w:rsidP="0024797F">
      <w:pPr>
        <w:ind w:firstLineChars="200" w:firstLine="420"/>
        <w:rPr>
          <w:color w:val="000000" w:themeColor="text1"/>
        </w:rPr>
      </w:pPr>
      <w:r w:rsidRPr="00A52D6A">
        <w:rPr>
          <w:rFonts w:hint="eastAsia"/>
          <w:color w:val="000000" w:themeColor="text1"/>
        </w:rPr>
        <w:lastRenderedPageBreak/>
        <w:t>2024</w:t>
      </w:r>
      <w:r w:rsidRPr="00A52D6A">
        <w:rPr>
          <w:rFonts w:hint="eastAsia"/>
          <w:color w:val="000000" w:themeColor="text1"/>
        </w:rPr>
        <w:t>年</w:t>
      </w:r>
      <w:r w:rsidR="00A52D6A" w:rsidRPr="00A52D6A">
        <w:rPr>
          <w:rFonts w:hint="eastAsia"/>
          <w:color w:val="000000" w:themeColor="text1"/>
        </w:rPr>
        <w:t>4</w:t>
      </w:r>
      <w:r w:rsidRPr="00A52D6A">
        <w:rPr>
          <w:rFonts w:hint="eastAsia"/>
          <w:color w:val="000000" w:themeColor="text1"/>
        </w:rPr>
        <w:t xml:space="preserve"> </w:t>
      </w:r>
      <w:r w:rsidRPr="00A52D6A">
        <w:rPr>
          <w:rFonts w:hint="eastAsia"/>
          <w:color w:val="000000" w:themeColor="text1"/>
        </w:rPr>
        <w:t>月</w:t>
      </w:r>
      <w:r w:rsidR="00A52D6A" w:rsidRPr="00A52D6A">
        <w:rPr>
          <w:rFonts w:hint="eastAsia"/>
          <w:color w:val="000000" w:themeColor="text1"/>
        </w:rPr>
        <w:t>24</w:t>
      </w:r>
      <w:r w:rsidRPr="00A52D6A">
        <w:rPr>
          <w:rFonts w:hint="eastAsia"/>
          <w:color w:val="000000" w:themeColor="text1"/>
        </w:rPr>
        <w:t>日</w:t>
      </w:r>
      <w:r w:rsidR="00A52D6A" w:rsidRPr="00A52D6A">
        <w:rPr>
          <w:rFonts w:hint="eastAsia"/>
          <w:color w:val="000000" w:themeColor="text1"/>
        </w:rPr>
        <w:t>-6</w:t>
      </w:r>
      <w:r w:rsidR="00A52D6A" w:rsidRPr="00A52D6A">
        <w:rPr>
          <w:rFonts w:hint="eastAsia"/>
          <w:color w:val="000000" w:themeColor="text1"/>
        </w:rPr>
        <w:t>月</w:t>
      </w:r>
      <w:r w:rsidR="00A52D6A" w:rsidRPr="00A52D6A">
        <w:rPr>
          <w:rFonts w:hint="eastAsia"/>
          <w:color w:val="000000" w:themeColor="text1"/>
        </w:rPr>
        <w:t>10</w:t>
      </w:r>
      <w:r w:rsidR="00A52D6A" w:rsidRPr="00A52D6A">
        <w:rPr>
          <w:rFonts w:hint="eastAsia"/>
          <w:color w:val="000000" w:themeColor="text1"/>
        </w:rPr>
        <w:t>日</w:t>
      </w:r>
      <w:r w:rsidRPr="00A52D6A">
        <w:rPr>
          <w:rFonts w:hint="eastAsia"/>
          <w:color w:val="000000" w:themeColor="text1"/>
        </w:rPr>
        <w:t>，验证单位返回验证报告，研发小组汇总、处理验证数据，优化实验条件；期间，由于国标</w:t>
      </w:r>
      <w:r w:rsidRPr="00A52D6A">
        <w:rPr>
          <w:rFonts w:hint="eastAsia"/>
          <w:color w:val="000000" w:themeColor="text1"/>
        </w:rPr>
        <w:t>(</w:t>
      </w:r>
      <w:r w:rsidRPr="00A52D6A">
        <w:rPr>
          <w:rFonts w:hint="eastAsia"/>
          <w:color w:val="000000" w:themeColor="text1"/>
        </w:rPr>
        <w:t>北京</w:t>
      </w:r>
      <w:r w:rsidRPr="00A52D6A">
        <w:rPr>
          <w:rFonts w:hint="eastAsia"/>
          <w:color w:val="000000" w:themeColor="text1"/>
        </w:rPr>
        <w:t>)</w:t>
      </w:r>
      <w:r w:rsidRPr="00A52D6A">
        <w:rPr>
          <w:rFonts w:hint="eastAsia"/>
          <w:color w:val="000000" w:themeColor="text1"/>
        </w:rPr>
        <w:t>检验认证有限公司做不了独居石样品</w:t>
      </w:r>
      <w:r w:rsidRPr="00A52D6A">
        <w:rPr>
          <w:rFonts w:hint="eastAsia"/>
          <w:color w:val="000000" w:themeColor="text1"/>
          <w:szCs w:val="21"/>
        </w:rPr>
        <w:t>，因此在数据处理过程中研发小组未统计</w:t>
      </w:r>
      <w:r w:rsidRPr="00A52D6A">
        <w:rPr>
          <w:rFonts w:hint="eastAsia"/>
          <w:color w:val="000000" w:themeColor="text1"/>
        </w:rPr>
        <w:t>国标</w:t>
      </w:r>
      <w:r w:rsidRPr="00A52D6A">
        <w:rPr>
          <w:rFonts w:hint="eastAsia"/>
          <w:color w:val="000000" w:themeColor="text1"/>
        </w:rPr>
        <w:t>(</w:t>
      </w:r>
      <w:r w:rsidRPr="00A52D6A">
        <w:rPr>
          <w:rFonts w:hint="eastAsia"/>
          <w:color w:val="000000" w:themeColor="text1"/>
        </w:rPr>
        <w:t>北京</w:t>
      </w:r>
      <w:r w:rsidRPr="00A52D6A">
        <w:rPr>
          <w:rFonts w:hint="eastAsia"/>
          <w:color w:val="000000" w:themeColor="text1"/>
        </w:rPr>
        <w:t>)</w:t>
      </w:r>
      <w:r w:rsidRPr="00A52D6A">
        <w:rPr>
          <w:rFonts w:hint="eastAsia"/>
          <w:color w:val="000000" w:themeColor="text1"/>
        </w:rPr>
        <w:t>检验认证有限公司独居石结果。</w:t>
      </w:r>
    </w:p>
    <w:p w:rsidR="006168F6" w:rsidRPr="00A52D6A" w:rsidRDefault="00B003EF">
      <w:pPr>
        <w:ind w:firstLine="420"/>
        <w:rPr>
          <w:rFonts w:ascii="宋体" w:hAnsi="宋体" w:cs="宋体"/>
          <w:color w:val="000000" w:themeColor="text1"/>
        </w:rPr>
      </w:pPr>
      <w:r w:rsidRPr="00A52D6A">
        <w:rPr>
          <w:rFonts w:ascii="宋体" w:hAnsi="宋体" w:cs="宋体" w:hint="eastAsia"/>
          <w:color w:val="000000" w:themeColor="text1"/>
        </w:rPr>
        <w:t>在验证过程中，各验证单位提出</w:t>
      </w:r>
      <w:r w:rsidR="0024797F" w:rsidRPr="00A52D6A">
        <w:rPr>
          <w:rFonts w:ascii="宋体" w:hAnsi="宋体" w:cs="宋体" w:hint="eastAsia"/>
          <w:color w:val="000000" w:themeColor="text1"/>
        </w:rPr>
        <w:t>的技术</w:t>
      </w:r>
      <w:r w:rsidRPr="00A52D6A">
        <w:rPr>
          <w:rFonts w:ascii="宋体" w:hAnsi="宋体" w:cs="宋体" w:hint="eastAsia"/>
          <w:color w:val="000000" w:themeColor="text1"/>
        </w:rPr>
        <w:t>意见见表2。</w:t>
      </w:r>
    </w:p>
    <w:p w:rsidR="006168F6" w:rsidRDefault="00B003EF">
      <w:pPr>
        <w:ind w:firstLine="420"/>
        <w:jc w:val="center"/>
        <w:rPr>
          <w:rFonts w:ascii="宋体" w:hAnsi="宋体" w:cs="宋体"/>
          <w:color w:val="000000" w:themeColor="text1"/>
        </w:rPr>
      </w:pPr>
      <w:r>
        <w:rPr>
          <w:rFonts w:ascii="宋体" w:hAnsi="宋体" w:cs="宋体" w:hint="eastAsia"/>
          <w:color w:val="000000" w:themeColor="text1"/>
        </w:rPr>
        <w:t>表2 验证单位意见汇总表</w:t>
      </w:r>
    </w:p>
    <w:tbl>
      <w:tblPr>
        <w:tblStyle w:val="affe"/>
        <w:tblW w:w="0" w:type="auto"/>
        <w:tblInd w:w="420" w:type="dxa"/>
        <w:tblLook w:val="04A0" w:firstRow="1" w:lastRow="0" w:firstColumn="1" w:lastColumn="0" w:noHBand="0" w:noVBand="1"/>
      </w:tblPr>
      <w:tblGrid>
        <w:gridCol w:w="822"/>
        <w:gridCol w:w="3828"/>
        <w:gridCol w:w="1417"/>
        <w:gridCol w:w="851"/>
        <w:gridCol w:w="2233"/>
      </w:tblGrid>
      <w:tr w:rsidR="006168F6" w:rsidTr="00A52D6A">
        <w:tc>
          <w:tcPr>
            <w:tcW w:w="822" w:type="dxa"/>
            <w:vAlign w:val="center"/>
          </w:tcPr>
          <w:p w:rsidR="006168F6" w:rsidRPr="00A52D6A" w:rsidRDefault="00B003EF">
            <w:pPr>
              <w:adjustRightInd w:val="0"/>
              <w:snapToGrid w:val="0"/>
              <w:spacing w:line="360" w:lineRule="auto"/>
              <w:jc w:val="center"/>
              <w:rPr>
                <w:rFonts w:asciiTheme="minorEastAsia" w:eastAsiaTheme="minorEastAsia" w:hAnsiTheme="minorEastAsia"/>
                <w:szCs w:val="21"/>
              </w:rPr>
            </w:pPr>
            <w:r w:rsidRPr="00A52D6A">
              <w:rPr>
                <w:rFonts w:asciiTheme="minorEastAsia" w:eastAsiaTheme="minorEastAsia" w:hAnsiTheme="minorEastAsia" w:hint="eastAsia"/>
                <w:szCs w:val="21"/>
              </w:rPr>
              <w:t>序号</w:t>
            </w:r>
          </w:p>
        </w:tc>
        <w:tc>
          <w:tcPr>
            <w:tcW w:w="3828" w:type="dxa"/>
            <w:vAlign w:val="center"/>
          </w:tcPr>
          <w:p w:rsidR="006168F6" w:rsidRPr="00A52D6A" w:rsidRDefault="00B003EF">
            <w:pPr>
              <w:adjustRightInd w:val="0"/>
              <w:snapToGrid w:val="0"/>
              <w:spacing w:line="360" w:lineRule="auto"/>
              <w:jc w:val="center"/>
              <w:rPr>
                <w:rFonts w:asciiTheme="minorEastAsia" w:eastAsiaTheme="minorEastAsia" w:hAnsiTheme="minorEastAsia"/>
                <w:szCs w:val="21"/>
              </w:rPr>
            </w:pPr>
            <w:r w:rsidRPr="00A52D6A">
              <w:rPr>
                <w:rFonts w:asciiTheme="minorEastAsia" w:eastAsiaTheme="minorEastAsia" w:hAnsiTheme="minorEastAsia" w:hint="eastAsia"/>
                <w:szCs w:val="21"/>
              </w:rPr>
              <w:t>意见内容</w:t>
            </w:r>
          </w:p>
        </w:tc>
        <w:tc>
          <w:tcPr>
            <w:tcW w:w="1417" w:type="dxa"/>
            <w:vAlign w:val="center"/>
          </w:tcPr>
          <w:p w:rsidR="006168F6" w:rsidRPr="00A52D6A" w:rsidRDefault="00B003EF">
            <w:pPr>
              <w:adjustRightInd w:val="0"/>
              <w:snapToGrid w:val="0"/>
              <w:spacing w:line="360" w:lineRule="auto"/>
              <w:jc w:val="center"/>
              <w:rPr>
                <w:rFonts w:asciiTheme="minorEastAsia" w:eastAsiaTheme="minorEastAsia" w:hAnsiTheme="minorEastAsia"/>
                <w:szCs w:val="21"/>
              </w:rPr>
            </w:pPr>
            <w:r w:rsidRPr="00A52D6A">
              <w:rPr>
                <w:rFonts w:asciiTheme="minorEastAsia" w:eastAsiaTheme="minorEastAsia" w:hAnsiTheme="minorEastAsia" w:hint="eastAsia"/>
                <w:szCs w:val="21"/>
              </w:rPr>
              <w:t>提出单位</w:t>
            </w:r>
          </w:p>
        </w:tc>
        <w:tc>
          <w:tcPr>
            <w:tcW w:w="851" w:type="dxa"/>
            <w:vAlign w:val="center"/>
          </w:tcPr>
          <w:p w:rsidR="006168F6" w:rsidRPr="00A52D6A" w:rsidRDefault="00B003EF">
            <w:pPr>
              <w:adjustRightInd w:val="0"/>
              <w:snapToGrid w:val="0"/>
              <w:spacing w:line="360" w:lineRule="auto"/>
              <w:jc w:val="center"/>
              <w:rPr>
                <w:rFonts w:asciiTheme="minorEastAsia" w:eastAsiaTheme="minorEastAsia" w:hAnsiTheme="minorEastAsia"/>
                <w:szCs w:val="21"/>
              </w:rPr>
            </w:pPr>
            <w:r w:rsidRPr="00A52D6A">
              <w:rPr>
                <w:rFonts w:asciiTheme="minorEastAsia" w:eastAsiaTheme="minorEastAsia" w:hAnsiTheme="minorEastAsia" w:hint="eastAsia"/>
                <w:szCs w:val="21"/>
              </w:rPr>
              <w:t>处理意见</w:t>
            </w:r>
          </w:p>
        </w:tc>
        <w:tc>
          <w:tcPr>
            <w:tcW w:w="2233" w:type="dxa"/>
            <w:vAlign w:val="center"/>
          </w:tcPr>
          <w:p w:rsidR="006168F6" w:rsidRPr="00A52D6A" w:rsidRDefault="00B003EF">
            <w:pPr>
              <w:adjustRightInd w:val="0"/>
              <w:snapToGrid w:val="0"/>
              <w:spacing w:line="360" w:lineRule="auto"/>
              <w:jc w:val="center"/>
              <w:rPr>
                <w:rFonts w:asciiTheme="minorEastAsia" w:eastAsiaTheme="minorEastAsia" w:hAnsiTheme="minorEastAsia"/>
                <w:szCs w:val="21"/>
              </w:rPr>
            </w:pPr>
            <w:r w:rsidRPr="00A52D6A">
              <w:rPr>
                <w:rFonts w:asciiTheme="minorEastAsia" w:eastAsiaTheme="minorEastAsia" w:hAnsiTheme="minorEastAsia" w:hint="eastAsia"/>
                <w:szCs w:val="21"/>
              </w:rPr>
              <w:t>备注</w:t>
            </w:r>
          </w:p>
        </w:tc>
      </w:tr>
      <w:tr w:rsidR="006168F6" w:rsidTr="00A52D6A">
        <w:trPr>
          <w:trHeight w:val="1180"/>
        </w:trPr>
        <w:tc>
          <w:tcPr>
            <w:tcW w:w="822" w:type="dxa"/>
            <w:vAlign w:val="center"/>
          </w:tcPr>
          <w:p w:rsidR="006168F6" w:rsidRPr="00A52D6A" w:rsidRDefault="00B003EF">
            <w:pPr>
              <w:adjustRightInd w:val="0"/>
              <w:snapToGrid w:val="0"/>
              <w:spacing w:line="360" w:lineRule="auto"/>
              <w:jc w:val="center"/>
              <w:rPr>
                <w:rFonts w:asciiTheme="minorEastAsia" w:eastAsiaTheme="minorEastAsia" w:hAnsiTheme="minorEastAsia" w:cs="宋体"/>
                <w:szCs w:val="21"/>
              </w:rPr>
            </w:pPr>
            <w:r w:rsidRPr="00A52D6A">
              <w:rPr>
                <w:rFonts w:asciiTheme="minorEastAsia" w:eastAsiaTheme="minorEastAsia" w:hAnsiTheme="minorEastAsia" w:cs="宋体" w:hint="eastAsia"/>
                <w:szCs w:val="21"/>
              </w:rPr>
              <w:t>1</w:t>
            </w:r>
          </w:p>
        </w:tc>
        <w:tc>
          <w:tcPr>
            <w:tcW w:w="3828" w:type="dxa"/>
            <w:vAlign w:val="center"/>
          </w:tcPr>
          <w:p w:rsidR="006168F6" w:rsidRPr="00A52D6A" w:rsidRDefault="00930651" w:rsidP="00A52D6A">
            <w:pPr>
              <w:adjustRightInd w:val="0"/>
              <w:snapToGrid w:val="0"/>
              <w:spacing w:line="360" w:lineRule="auto"/>
              <w:ind w:firstLineChars="200" w:firstLine="420"/>
              <w:jc w:val="left"/>
              <w:rPr>
                <w:rFonts w:asciiTheme="minorEastAsia" w:eastAsiaTheme="minorEastAsia" w:hAnsiTheme="minorEastAsia" w:cs="宋体"/>
                <w:szCs w:val="21"/>
              </w:rPr>
            </w:pPr>
            <w:r w:rsidRPr="00A52D6A">
              <w:rPr>
                <w:rFonts w:asciiTheme="minorEastAsia" w:eastAsiaTheme="minorEastAsia" w:hAnsiTheme="minorEastAsia" w:cs="宋体" w:hint="eastAsia"/>
                <w:szCs w:val="21"/>
              </w:rPr>
              <w:t>统一样独居石</w:t>
            </w:r>
            <w:proofErr w:type="gramStart"/>
            <w:r w:rsidRPr="00A52D6A">
              <w:rPr>
                <w:rFonts w:asciiTheme="minorEastAsia" w:eastAsiaTheme="minorEastAsia" w:hAnsiTheme="minorEastAsia" w:cs="宋体" w:hint="eastAsia"/>
                <w:szCs w:val="21"/>
              </w:rPr>
              <w:t>两根钐线的</w:t>
            </w:r>
            <w:proofErr w:type="gramEnd"/>
            <w:r w:rsidRPr="00A52D6A">
              <w:rPr>
                <w:rFonts w:asciiTheme="minorEastAsia" w:eastAsiaTheme="minorEastAsia" w:hAnsiTheme="minorEastAsia" w:cs="宋体" w:hint="eastAsia"/>
                <w:szCs w:val="21"/>
              </w:rPr>
              <w:t>结果有差异，Sm360.949比Sm428.078结果高0.3%左右，而Sm428.078线的结果与起草单位的结果一致，故建议增加谱线Sm428.078；</w:t>
            </w:r>
          </w:p>
        </w:tc>
        <w:tc>
          <w:tcPr>
            <w:tcW w:w="1417" w:type="dxa"/>
            <w:vAlign w:val="center"/>
          </w:tcPr>
          <w:p w:rsidR="006168F6" w:rsidRPr="00A52D6A" w:rsidRDefault="00930651">
            <w:pPr>
              <w:adjustRightInd w:val="0"/>
              <w:snapToGrid w:val="0"/>
              <w:spacing w:line="360" w:lineRule="auto"/>
              <w:jc w:val="center"/>
              <w:rPr>
                <w:rFonts w:asciiTheme="minorEastAsia" w:eastAsiaTheme="minorEastAsia" w:hAnsiTheme="minorEastAsia" w:cs="宋体"/>
                <w:szCs w:val="21"/>
              </w:rPr>
            </w:pPr>
            <w:proofErr w:type="gramStart"/>
            <w:r w:rsidRPr="00A52D6A">
              <w:rPr>
                <w:rFonts w:asciiTheme="minorEastAsia" w:eastAsiaTheme="minorEastAsia" w:hAnsiTheme="minorEastAsia" w:cs="宋体" w:hint="eastAsia"/>
                <w:szCs w:val="21"/>
              </w:rPr>
              <w:t>虔</w:t>
            </w:r>
            <w:proofErr w:type="gramEnd"/>
            <w:r w:rsidRPr="00A52D6A">
              <w:rPr>
                <w:rFonts w:asciiTheme="minorEastAsia" w:eastAsiaTheme="minorEastAsia" w:hAnsiTheme="minorEastAsia" w:cs="宋体" w:hint="eastAsia"/>
                <w:szCs w:val="21"/>
              </w:rPr>
              <w:t>东稀土集团股份</w:t>
            </w:r>
            <w:bookmarkStart w:id="0" w:name="_GoBack"/>
            <w:bookmarkEnd w:id="0"/>
            <w:r w:rsidRPr="00A52D6A">
              <w:rPr>
                <w:rFonts w:asciiTheme="minorEastAsia" w:eastAsiaTheme="minorEastAsia" w:hAnsiTheme="minorEastAsia" w:cs="宋体" w:hint="eastAsia"/>
                <w:szCs w:val="21"/>
              </w:rPr>
              <w:t>有限公司</w:t>
            </w:r>
          </w:p>
        </w:tc>
        <w:tc>
          <w:tcPr>
            <w:tcW w:w="851" w:type="dxa"/>
            <w:vAlign w:val="center"/>
          </w:tcPr>
          <w:p w:rsidR="006168F6" w:rsidRPr="00A52D6A" w:rsidRDefault="00FF45A7">
            <w:pPr>
              <w:adjustRightInd w:val="0"/>
              <w:snapToGrid w:val="0"/>
              <w:spacing w:line="360" w:lineRule="auto"/>
              <w:jc w:val="center"/>
              <w:rPr>
                <w:rFonts w:asciiTheme="minorEastAsia" w:eastAsiaTheme="minorEastAsia" w:hAnsiTheme="minorEastAsia" w:cs="宋体"/>
                <w:szCs w:val="21"/>
              </w:rPr>
            </w:pPr>
            <w:r w:rsidRPr="00A52D6A">
              <w:rPr>
                <w:rFonts w:asciiTheme="minorEastAsia" w:eastAsiaTheme="minorEastAsia" w:hAnsiTheme="minorEastAsia" w:cs="宋体"/>
                <w:szCs w:val="21"/>
              </w:rPr>
              <w:t>采纳</w:t>
            </w:r>
          </w:p>
        </w:tc>
        <w:tc>
          <w:tcPr>
            <w:tcW w:w="2233" w:type="dxa"/>
            <w:vAlign w:val="center"/>
          </w:tcPr>
          <w:p w:rsidR="006168F6" w:rsidRPr="00A52D6A" w:rsidRDefault="00EE140D">
            <w:pPr>
              <w:adjustRightInd w:val="0"/>
              <w:snapToGrid w:val="0"/>
              <w:spacing w:line="360" w:lineRule="auto"/>
              <w:jc w:val="center"/>
              <w:rPr>
                <w:rFonts w:asciiTheme="minorEastAsia" w:eastAsiaTheme="minorEastAsia" w:hAnsiTheme="minorEastAsia" w:cs="宋体"/>
                <w:szCs w:val="21"/>
              </w:rPr>
            </w:pPr>
            <w:r w:rsidRPr="00A52D6A">
              <w:rPr>
                <w:rFonts w:asciiTheme="minorEastAsia" w:eastAsiaTheme="minorEastAsia" w:hAnsiTheme="minorEastAsia" w:cs="宋体"/>
                <w:szCs w:val="21"/>
              </w:rPr>
              <w:t>验证可用</w:t>
            </w:r>
          </w:p>
        </w:tc>
      </w:tr>
      <w:tr w:rsidR="006168F6" w:rsidTr="00A52D6A">
        <w:tc>
          <w:tcPr>
            <w:tcW w:w="822" w:type="dxa"/>
            <w:vAlign w:val="center"/>
          </w:tcPr>
          <w:p w:rsidR="006168F6" w:rsidRPr="00A52D6A" w:rsidRDefault="00B003EF">
            <w:pPr>
              <w:adjustRightInd w:val="0"/>
              <w:snapToGrid w:val="0"/>
              <w:spacing w:line="360" w:lineRule="auto"/>
              <w:jc w:val="center"/>
              <w:rPr>
                <w:rFonts w:asciiTheme="minorEastAsia" w:eastAsiaTheme="minorEastAsia" w:hAnsiTheme="minorEastAsia" w:cs="宋体"/>
                <w:szCs w:val="21"/>
              </w:rPr>
            </w:pPr>
            <w:r w:rsidRPr="00A52D6A">
              <w:rPr>
                <w:rFonts w:asciiTheme="minorEastAsia" w:eastAsiaTheme="minorEastAsia" w:hAnsiTheme="minorEastAsia" w:cs="宋体" w:hint="eastAsia"/>
                <w:szCs w:val="21"/>
              </w:rPr>
              <w:t>2</w:t>
            </w:r>
          </w:p>
        </w:tc>
        <w:tc>
          <w:tcPr>
            <w:tcW w:w="3828" w:type="dxa"/>
            <w:vAlign w:val="center"/>
          </w:tcPr>
          <w:p w:rsidR="006168F6" w:rsidRPr="00A52D6A" w:rsidRDefault="00930651" w:rsidP="00A52D6A">
            <w:pPr>
              <w:adjustRightInd w:val="0"/>
              <w:snapToGrid w:val="0"/>
              <w:spacing w:line="360" w:lineRule="auto"/>
              <w:ind w:firstLineChars="200" w:firstLine="420"/>
              <w:jc w:val="left"/>
              <w:rPr>
                <w:rFonts w:asciiTheme="minorEastAsia" w:eastAsiaTheme="minorEastAsia" w:hAnsiTheme="minorEastAsia" w:cs="宋体"/>
                <w:szCs w:val="21"/>
              </w:rPr>
            </w:pPr>
            <w:r w:rsidRPr="00A52D6A">
              <w:rPr>
                <w:rFonts w:asciiTheme="minorEastAsia" w:eastAsiaTheme="minorEastAsia" w:hAnsiTheme="minorEastAsia" w:cs="宋体" w:hint="eastAsia"/>
                <w:szCs w:val="21"/>
              </w:rPr>
              <w:t>因谱线Tb332.440无法寻找到合适的背景扣除位置，故建议不扣除背景，因此统一样独居石中的</w:t>
            </w:r>
            <w:proofErr w:type="gramStart"/>
            <w:r w:rsidRPr="00A52D6A">
              <w:rPr>
                <w:rFonts w:asciiTheme="minorEastAsia" w:eastAsiaTheme="minorEastAsia" w:hAnsiTheme="minorEastAsia" w:cs="宋体" w:hint="eastAsia"/>
                <w:szCs w:val="21"/>
              </w:rPr>
              <w:t>铽</w:t>
            </w:r>
            <w:proofErr w:type="gramEnd"/>
            <w:r w:rsidRPr="00A52D6A">
              <w:rPr>
                <w:rFonts w:asciiTheme="minorEastAsia" w:eastAsiaTheme="minorEastAsia" w:hAnsiTheme="minorEastAsia" w:cs="宋体" w:hint="eastAsia"/>
                <w:szCs w:val="21"/>
              </w:rPr>
              <w:t>结果比起草单位偏高一点</w:t>
            </w:r>
          </w:p>
        </w:tc>
        <w:tc>
          <w:tcPr>
            <w:tcW w:w="1417" w:type="dxa"/>
            <w:vAlign w:val="center"/>
          </w:tcPr>
          <w:p w:rsidR="006168F6" w:rsidRPr="00A52D6A" w:rsidRDefault="006F5D3B" w:rsidP="006F5D3B">
            <w:pPr>
              <w:adjustRightInd w:val="0"/>
              <w:snapToGrid w:val="0"/>
              <w:spacing w:line="360" w:lineRule="auto"/>
              <w:jc w:val="center"/>
              <w:rPr>
                <w:rFonts w:asciiTheme="minorEastAsia" w:eastAsiaTheme="minorEastAsia" w:hAnsiTheme="minorEastAsia" w:cs="宋体"/>
                <w:szCs w:val="21"/>
              </w:rPr>
            </w:pPr>
            <w:proofErr w:type="gramStart"/>
            <w:r w:rsidRPr="00A52D6A">
              <w:rPr>
                <w:rFonts w:asciiTheme="minorEastAsia" w:eastAsiaTheme="minorEastAsia" w:hAnsiTheme="minorEastAsia" w:cs="宋体" w:hint="eastAsia"/>
                <w:szCs w:val="21"/>
              </w:rPr>
              <w:t>虔</w:t>
            </w:r>
            <w:proofErr w:type="gramEnd"/>
            <w:r w:rsidRPr="00A52D6A">
              <w:rPr>
                <w:rFonts w:asciiTheme="minorEastAsia" w:eastAsiaTheme="minorEastAsia" w:hAnsiTheme="minorEastAsia" w:cs="宋体" w:hint="eastAsia"/>
                <w:szCs w:val="21"/>
              </w:rPr>
              <w:t>东稀土集团股份有限公司</w:t>
            </w:r>
          </w:p>
        </w:tc>
        <w:tc>
          <w:tcPr>
            <w:tcW w:w="851" w:type="dxa"/>
            <w:vAlign w:val="center"/>
          </w:tcPr>
          <w:p w:rsidR="006168F6" w:rsidRPr="00A52D6A" w:rsidRDefault="00FF45A7" w:rsidP="006F5D3B">
            <w:pPr>
              <w:adjustRightInd w:val="0"/>
              <w:snapToGrid w:val="0"/>
              <w:spacing w:line="360" w:lineRule="auto"/>
              <w:jc w:val="center"/>
              <w:rPr>
                <w:rFonts w:asciiTheme="minorEastAsia" w:eastAsiaTheme="minorEastAsia" w:hAnsiTheme="minorEastAsia" w:cs="宋体"/>
                <w:szCs w:val="21"/>
              </w:rPr>
            </w:pPr>
            <w:r w:rsidRPr="00A52D6A">
              <w:rPr>
                <w:rFonts w:asciiTheme="minorEastAsia" w:eastAsiaTheme="minorEastAsia" w:hAnsiTheme="minorEastAsia" w:cs="宋体"/>
                <w:szCs w:val="21"/>
              </w:rPr>
              <w:t>采纳</w:t>
            </w:r>
          </w:p>
        </w:tc>
        <w:tc>
          <w:tcPr>
            <w:tcW w:w="2233" w:type="dxa"/>
            <w:vAlign w:val="center"/>
          </w:tcPr>
          <w:p w:rsidR="006168F6" w:rsidRPr="00A52D6A" w:rsidRDefault="00EE140D" w:rsidP="006F5D3B">
            <w:pPr>
              <w:adjustRightInd w:val="0"/>
              <w:snapToGrid w:val="0"/>
              <w:spacing w:line="360" w:lineRule="auto"/>
              <w:jc w:val="center"/>
              <w:rPr>
                <w:rFonts w:asciiTheme="minorEastAsia" w:eastAsiaTheme="minorEastAsia" w:hAnsiTheme="minorEastAsia" w:cs="宋体"/>
                <w:szCs w:val="21"/>
              </w:rPr>
            </w:pPr>
            <w:r w:rsidRPr="00A52D6A">
              <w:rPr>
                <w:rFonts w:asciiTheme="minorEastAsia" w:eastAsiaTheme="minorEastAsia" w:hAnsiTheme="minorEastAsia" w:cs="宋体"/>
                <w:szCs w:val="21"/>
              </w:rPr>
              <w:t>重新</w:t>
            </w:r>
            <w:r w:rsidR="00FF45A7" w:rsidRPr="00A52D6A">
              <w:rPr>
                <w:rFonts w:asciiTheme="minorEastAsia" w:eastAsiaTheme="minorEastAsia" w:hAnsiTheme="minorEastAsia" w:cs="宋体"/>
                <w:szCs w:val="21"/>
              </w:rPr>
              <w:t>调整</w:t>
            </w:r>
          </w:p>
        </w:tc>
      </w:tr>
      <w:tr w:rsidR="009A5C18" w:rsidRPr="009A5C18" w:rsidTr="00A52D6A">
        <w:tc>
          <w:tcPr>
            <w:tcW w:w="822" w:type="dxa"/>
            <w:vAlign w:val="center"/>
          </w:tcPr>
          <w:p w:rsidR="006168F6" w:rsidRPr="00A52D6A" w:rsidRDefault="009A5C18">
            <w:pPr>
              <w:adjustRightInd w:val="0"/>
              <w:snapToGrid w:val="0"/>
              <w:spacing w:line="360" w:lineRule="auto"/>
              <w:jc w:val="center"/>
              <w:rPr>
                <w:rFonts w:asciiTheme="minorEastAsia" w:eastAsiaTheme="minorEastAsia" w:hAnsiTheme="minorEastAsia" w:cs="宋体"/>
                <w:szCs w:val="21"/>
              </w:rPr>
            </w:pPr>
            <w:r w:rsidRPr="00A52D6A">
              <w:rPr>
                <w:rFonts w:asciiTheme="minorEastAsia" w:eastAsiaTheme="minorEastAsia" w:hAnsiTheme="minorEastAsia" w:cs="宋体" w:hint="eastAsia"/>
                <w:szCs w:val="21"/>
              </w:rPr>
              <w:t>3</w:t>
            </w:r>
          </w:p>
        </w:tc>
        <w:tc>
          <w:tcPr>
            <w:tcW w:w="3828" w:type="dxa"/>
            <w:vAlign w:val="center"/>
          </w:tcPr>
          <w:p w:rsidR="006168F6" w:rsidRPr="00A52D6A" w:rsidRDefault="00930651" w:rsidP="00A52D6A">
            <w:pPr>
              <w:adjustRightInd w:val="0"/>
              <w:snapToGrid w:val="0"/>
              <w:spacing w:line="360" w:lineRule="auto"/>
              <w:ind w:firstLineChars="200" w:firstLine="420"/>
              <w:jc w:val="left"/>
              <w:rPr>
                <w:rFonts w:asciiTheme="minorEastAsia" w:eastAsiaTheme="minorEastAsia" w:hAnsiTheme="minorEastAsia" w:cs="宋体"/>
                <w:szCs w:val="21"/>
              </w:rPr>
            </w:pPr>
            <w:proofErr w:type="spellStart"/>
            <w:r w:rsidRPr="00A52D6A">
              <w:rPr>
                <w:rFonts w:asciiTheme="minorEastAsia" w:eastAsiaTheme="minorEastAsia" w:hAnsiTheme="minorEastAsia" w:cs="宋体" w:hint="eastAsia"/>
                <w:szCs w:val="21"/>
              </w:rPr>
              <w:t>Ce</w:t>
            </w:r>
            <w:proofErr w:type="spellEnd"/>
            <w:r w:rsidRPr="00A52D6A">
              <w:rPr>
                <w:rFonts w:asciiTheme="minorEastAsia" w:eastAsiaTheme="minorEastAsia" w:hAnsiTheme="minorEastAsia" w:cs="宋体" w:hint="eastAsia"/>
                <w:szCs w:val="21"/>
              </w:rPr>
              <w:t>和</w:t>
            </w:r>
            <w:proofErr w:type="spellStart"/>
            <w:r w:rsidRPr="00A52D6A">
              <w:rPr>
                <w:rFonts w:asciiTheme="minorEastAsia" w:eastAsiaTheme="minorEastAsia" w:hAnsiTheme="minorEastAsia" w:cs="宋体" w:hint="eastAsia"/>
                <w:szCs w:val="21"/>
              </w:rPr>
              <w:t>Nd</w:t>
            </w:r>
            <w:proofErr w:type="spellEnd"/>
            <w:r w:rsidRPr="00A52D6A">
              <w:rPr>
                <w:rFonts w:asciiTheme="minorEastAsia" w:eastAsiaTheme="minorEastAsia" w:hAnsiTheme="minorEastAsia" w:cs="宋体" w:hint="eastAsia"/>
                <w:szCs w:val="21"/>
              </w:rPr>
              <w:t>元素的标准曲线上限不能覆盖样品测定的浓度，建议</w:t>
            </w:r>
            <w:proofErr w:type="spellStart"/>
            <w:r w:rsidRPr="00A52D6A">
              <w:rPr>
                <w:rFonts w:asciiTheme="minorEastAsia" w:eastAsiaTheme="minorEastAsia" w:hAnsiTheme="minorEastAsia" w:cs="宋体" w:hint="eastAsia"/>
                <w:szCs w:val="21"/>
              </w:rPr>
              <w:t>Ce</w:t>
            </w:r>
            <w:proofErr w:type="spellEnd"/>
            <w:r w:rsidRPr="00A52D6A">
              <w:rPr>
                <w:rFonts w:asciiTheme="minorEastAsia" w:eastAsiaTheme="minorEastAsia" w:hAnsiTheme="minorEastAsia" w:cs="宋体" w:hint="eastAsia"/>
                <w:szCs w:val="21"/>
              </w:rPr>
              <w:t>和</w:t>
            </w:r>
            <w:proofErr w:type="spellStart"/>
            <w:r w:rsidRPr="00A52D6A">
              <w:rPr>
                <w:rFonts w:asciiTheme="minorEastAsia" w:eastAsiaTheme="minorEastAsia" w:hAnsiTheme="minorEastAsia" w:cs="宋体" w:hint="eastAsia"/>
                <w:szCs w:val="21"/>
              </w:rPr>
              <w:t>Nd</w:t>
            </w:r>
            <w:proofErr w:type="spellEnd"/>
            <w:r w:rsidRPr="00A52D6A">
              <w:rPr>
                <w:rFonts w:asciiTheme="minorEastAsia" w:eastAsiaTheme="minorEastAsia" w:hAnsiTheme="minorEastAsia" w:cs="宋体" w:hint="eastAsia"/>
                <w:szCs w:val="21"/>
              </w:rPr>
              <w:t>标准曲线最高点增大配置浓度。</w:t>
            </w:r>
          </w:p>
        </w:tc>
        <w:tc>
          <w:tcPr>
            <w:tcW w:w="1417" w:type="dxa"/>
            <w:vAlign w:val="center"/>
          </w:tcPr>
          <w:p w:rsidR="006168F6" w:rsidRPr="00A52D6A" w:rsidRDefault="00B003EF" w:rsidP="006F5D3B">
            <w:pPr>
              <w:adjustRightInd w:val="0"/>
              <w:snapToGrid w:val="0"/>
              <w:spacing w:line="360" w:lineRule="auto"/>
              <w:jc w:val="center"/>
              <w:rPr>
                <w:rFonts w:asciiTheme="minorEastAsia" w:eastAsiaTheme="minorEastAsia" w:hAnsiTheme="minorEastAsia" w:cs="宋体"/>
                <w:szCs w:val="21"/>
              </w:rPr>
            </w:pPr>
            <w:r w:rsidRPr="00A52D6A">
              <w:rPr>
                <w:rFonts w:asciiTheme="minorEastAsia" w:eastAsiaTheme="minorEastAsia" w:hAnsiTheme="minorEastAsia" w:cs="宋体" w:hint="eastAsia"/>
                <w:szCs w:val="21"/>
              </w:rPr>
              <w:t>国标（北京）检验认证有限公司</w:t>
            </w:r>
          </w:p>
        </w:tc>
        <w:tc>
          <w:tcPr>
            <w:tcW w:w="851" w:type="dxa"/>
            <w:vAlign w:val="center"/>
          </w:tcPr>
          <w:p w:rsidR="006168F6" w:rsidRPr="00A52D6A" w:rsidRDefault="00661DFA" w:rsidP="006F5D3B">
            <w:pPr>
              <w:adjustRightInd w:val="0"/>
              <w:snapToGrid w:val="0"/>
              <w:spacing w:line="360" w:lineRule="auto"/>
              <w:jc w:val="center"/>
              <w:rPr>
                <w:rFonts w:asciiTheme="minorEastAsia" w:eastAsiaTheme="minorEastAsia" w:hAnsiTheme="minorEastAsia" w:cs="宋体"/>
                <w:szCs w:val="21"/>
              </w:rPr>
            </w:pPr>
            <w:r w:rsidRPr="00A52D6A">
              <w:rPr>
                <w:rFonts w:asciiTheme="minorEastAsia" w:eastAsiaTheme="minorEastAsia" w:hAnsiTheme="minorEastAsia" w:cs="宋体" w:hint="eastAsia"/>
                <w:szCs w:val="21"/>
              </w:rPr>
              <w:t>采</w:t>
            </w:r>
            <w:r w:rsidRPr="00A52D6A">
              <w:rPr>
                <w:rFonts w:asciiTheme="minorEastAsia" w:eastAsiaTheme="minorEastAsia" w:hAnsiTheme="minorEastAsia" w:cs="宋体"/>
                <w:szCs w:val="21"/>
              </w:rPr>
              <w:t>纳</w:t>
            </w:r>
          </w:p>
        </w:tc>
        <w:tc>
          <w:tcPr>
            <w:tcW w:w="2233" w:type="dxa"/>
            <w:vAlign w:val="center"/>
          </w:tcPr>
          <w:p w:rsidR="006168F6" w:rsidRPr="00A52D6A" w:rsidRDefault="00661DFA" w:rsidP="00661DFA">
            <w:pPr>
              <w:adjustRightInd w:val="0"/>
              <w:snapToGrid w:val="0"/>
              <w:spacing w:line="360" w:lineRule="auto"/>
              <w:jc w:val="center"/>
              <w:rPr>
                <w:rFonts w:asciiTheme="minorEastAsia" w:eastAsiaTheme="minorEastAsia" w:hAnsiTheme="minorEastAsia" w:cs="宋体"/>
                <w:szCs w:val="21"/>
              </w:rPr>
            </w:pPr>
            <w:proofErr w:type="spellStart"/>
            <w:r w:rsidRPr="00A52D6A">
              <w:rPr>
                <w:rFonts w:asciiTheme="minorEastAsia" w:eastAsiaTheme="minorEastAsia" w:hAnsiTheme="minorEastAsia" w:cs="宋体" w:hint="eastAsia"/>
                <w:szCs w:val="21"/>
              </w:rPr>
              <w:t>Ce</w:t>
            </w:r>
            <w:proofErr w:type="spellEnd"/>
            <w:r w:rsidRPr="00A52D6A">
              <w:rPr>
                <w:rFonts w:asciiTheme="minorEastAsia" w:eastAsiaTheme="minorEastAsia" w:hAnsiTheme="minorEastAsia" w:cs="宋体"/>
                <w:szCs w:val="21"/>
              </w:rPr>
              <w:t>增加</w:t>
            </w:r>
            <w:r w:rsidRPr="00A52D6A">
              <w:rPr>
                <w:rFonts w:asciiTheme="minorEastAsia" w:eastAsiaTheme="minorEastAsia" w:hAnsiTheme="minorEastAsia" w:cs="宋体" w:hint="eastAsia"/>
                <w:szCs w:val="21"/>
              </w:rPr>
              <w:t>60，</w:t>
            </w:r>
            <w:proofErr w:type="spellStart"/>
            <w:r w:rsidRPr="00A52D6A">
              <w:rPr>
                <w:rFonts w:asciiTheme="minorEastAsia" w:eastAsiaTheme="minorEastAsia" w:hAnsiTheme="minorEastAsia" w:cs="宋体" w:hint="eastAsia"/>
                <w:szCs w:val="21"/>
              </w:rPr>
              <w:t>Nd</w:t>
            </w:r>
            <w:proofErr w:type="spellEnd"/>
            <w:r w:rsidRPr="00A52D6A">
              <w:rPr>
                <w:rFonts w:asciiTheme="minorEastAsia" w:eastAsiaTheme="minorEastAsia" w:hAnsiTheme="minorEastAsia" w:cs="宋体" w:hint="eastAsia"/>
                <w:szCs w:val="21"/>
              </w:rPr>
              <w:t>增加20，代</w:t>
            </w:r>
            <w:r w:rsidRPr="00A52D6A">
              <w:rPr>
                <w:rFonts w:asciiTheme="minorEastAsia" w:eastAsiaTheme="minorEastAsia" w:hAnsiTheme="minorEastAsia" w:cs="宋体"/>
                <w:szCs w:val="21"/>
              </w:rPr>
              <w:t>替</w:t>
            </w:r>
            <w:r w:rsidRPr="00A52D6A">
              <w:rPr>
                <w:rFonts w:asciiTheme="minorEastAsia" w:eastAsiaTheme="minorEastAsia" w:hAnsiTheme="minorEastAsia" w:cs="宋体" w:hint="eastAsia"/>
                <w:szCs w:val="21"/>
              </w:rPr>
              <w:t>Ce50，Nd10，其他不变</w:t>
            </w:r>
            <w:r w:rsidR="009A5C18" w:rsidRPr="00A52D6A">
              <w:rPr>
                <w:rFonts w:asciiTheme="minorEastAsia" w:eastAsiaTheme="minorEastAsia" w:hAnsiTheme="minorEastAsia" w:cs="宋体" w:hint="eastAsia"/>
                <w:szCs w:val="21"/>
              </w:rPr>
              <w:t>。</w:t>
            </w:r>
          </w:p>
        </w:tc>
      </w:tr>
      <w:tr w:rsidR="006168F6" w:rsidTr="00A52D6A">
        <w:tc>
          <w:tcPr>
            <w:tcW w:w="822" w:type="dxa"/>
            <w:vAlign w:val="center"/>
          </w:tcPr>
          <w:p w:rsidR="006168F6" w:rsidRPr="00A52D6A" w:rsidRDefault="009A5C18">
            <w:pPr>
              <w:adjustRightInd w:val="0"/>
              <w:snapToGrid w:val="0"/>
              <w:spacing w:line="360" w:lineRule="auto"/>
              <w:jc w:val="center"/>
              <w:rPr>
                <w:rFonts w:asciiTheme="minorEastAsia" w:eastAsiaTheme="minorEastAsia" w:hAnsiTheme="minorEastAsia" w:cs="宋体"/>
                <w:szCs w:val="21"/>
              </w:rPr>
            </w:pPr>
            <w:r w:rsidRPr="00A52D6A">
              <w:rPr>
                <w:rFonts w:asciiTheme="minorEastAsia" w:eastAsiaTheme="minorEastAsia" w:hAnsiTheme="minorEastAsia" w:cs="宋体" w:hint="eastAsia"/>
                <w:szCs w:val="21"/>
              </w:rPr>
              <w:t>4</w:t>
            </w:r>
          </w:p>
        </w:tc>
        <w:tc>
          <w:tcPr>
            <w:tcW w:w="3828" w:type="dxa"/>
            <w:vAlign w:val="center"/>
          </w:tcPr>
          <w:p w:rsidR="006168F6" w:rsidRPr="00A52D6A" w:rsidRDefault="00930651" w:rsidP="00A52D6A">
            <w:pPr>
              <w:adjustRightInd w:val="0"/>
              <w:snapToGrid w:val="0"/>
              <w:spacing w:line="360" w:lineRule="auto"/>
              <w:ind w:firstLineChars="200" w:firstLine="420"/>
              <w:jc w:val="left"/>
              <w:rPr>
                <w:rFonts w:asciiTheme="minorEastAsia" w:eastAsiaTheme="minorEastAsia" w:hAnsiTheme="minorEastAsia" w:cs="宋体"/>
                <w:szCs w:val="21"/>
              </w:rPr>
            </w:pPr>
            <w:r w:rsidRPr="00A52D6A">
              <w:rPr>
                <w:rFonts w:asciiTheme="minorEastAsia" w:eastAsiaTheme="minorEastAsia" w:hAnsiTheme="minorEastAsia" w:cs="宋体" w:hint="eastAsia"/>
                <w:szCs w:val="21"/>
              </w:rPr>
              <w:t>碱熔处理样品溶解滤渣按方法描述采用硝酸加高氯酸无法溶解滤渣，经试验用浓盐酸加高氯酸可以很好的溶解滤渣</w:t>
            </w:r>
          </w:p>
        </w:tc>
        <w:tc>
          <w:tcPr>
            <w:tcW w:w="1417" w:type="dxa"/>
            <w:vAlign w:val="center"/>
          </w:tcPr>
          <w:p w:rsidR="006168F6" w:rsidRPr="00A52D6A" w:rsidRDefault="006F5D3B" w:rsidP="006F5D3B">
            <w:pPr>
              <w:adjustRightInd w:val="0"/>
              <w:snapToGrid w:val="0"/>
              <w:spacing w:line="360" w:lineRule="auto"/>
              <w:jc w:val="center"/>
              <w:rPr>
                <w:rFonts w:asciiTheme="minorEastAsia" w:eastAsiaTheme="minorEastAsia" w:hAnsiTheme="minorEastAsia" w:cs="宋体"/>
                <w:szCs w:val="21"/>
              </w:rPr>
            </w:pPr>
            <w:r w:rsidRPr="00A52D6A">
              <w:rPr>
                <w:rFonts w:asciiTheme="minorEastAsia" w:eastAsiaTheme="minorEastAsia" w:hAnsiTheme="minorEastAsia" w:cs="宋体" w:hint="eastAsia"/>
                <w:szCs w:val="21"/>
              </w:rPr>
              <w:t>厦门稀土材料研究室</w:t>
            </w:r>
          </w:p>
        </w:tc>
        <w:tc>
          <w:tcPr>
            <w:tcW w:w="851" w:type="dxa"/>
            <w:vAlign w:val="center"/>
          </w:tcPr>
          <w:p w:rsidR="006168F6" w:rsidRPr="00A52D6A" w:rsidRDefault="00EE140D" w:rsidP="006F5D3B">
            <w:pPr>
              <w:adjustRightInd w:val="0"/>
              <w:snapToGrid w:val="0"/>
              <w:spacing w:line="360" w:lineRule="auto"/>
              <w:jc w:val="center"/>
              <w:rPr>
                <w:rFonts w:asciiTheme="minorEastAsia" w:eastAsiaTheme="minorEastAsia" w:hAnsiTheme="minorEastAsia" w:cs="宋体"/>
                <w:szCs w:val="21"/>
              </w:rPr>
            </w:pPr>
            <w:r w:rsidRPr="00A52D6A">
              <w:rPr>
                <w:rFonts w:asciiTheme="minorEastAsia" w:eastAsiaTheme="minorEastAsia" w:hAnsiTheme="minorEastAsia" w:cs="宋体"/>
                <w:szCs w:val="21"/>
              </w:rPr>
              <w:t>不采纳</w:t>
            </w:r>
          </w:p>
        </w:tc>
        <w:tc>
          <w:tcPr>
            <w:tcW w:w="2233" w:type="dxa"/>
            <w:vAlign w:val="center"/>
          </w:tcPr>
          <w:p w:rsidR="006168F6" w:rsidRPr="00A52D6A" w:rsidRDefault="00FF45A7" w:rsidP="006F5D3B">
            <w:pPr>
              <w:adjustRightInd w:val="0"/>
              <w:snapToGrid w:val="0"/>
              <w:spacing w:line="360" w:lineRule="auto"/>
              <w:jc w:val="center"/>
              <w:rPr>
                <w:rFonts w:asciiTheme="minorEastAsia" w:eastAsiaTheme="minorEastAsia" w:hAnsiTheme="minorEastAsia" w:cs="宋体"/>
                <w:szCs w:val="21"/>
              </w:rPr>
            </w:pPr>
            <w:r w:rsidRPr="00A52D6A">
              <w:rPr>
                <w:rFonts w:asciiTheme="minorEastAsia" w:eastAsiaTheme="minorEastAsia" w:hAnsiTheme="minorEastAsia" w:cs="宋体"/>
                <w:szCs w:val="21"/>
              </w:rPr>
              <w:t>在试验过程未出现不溶解情况。</w:t>
            </w:r>
          </w:p>
        </w:tc>
      </w:tr>
      <w:tr w:rsidR="006168F6" w:rsidTr="00A52D6A">
        <w:tc>
          <w:tcPr>
            <w:tcW w:w="822" w:type="dxa"/>
            <w:vAlign w:val="center"/>
          </w:tcPr>
          <w:p w:rsidR="006168F6" w:rsidRPr="00A52D6A" w:rsidRDefault="009A5C18">
            <w:pPr>
              <w:adjustRightInd w:val="0"/>
              <w:snapToGrid w:val="0"/>
              <w:spacing w:line="360" w:lineRule="auto"/>
              <w:jc w:val="center"/>
              <w:rPr>
                <w:rFonts w:asciiTheme="minorEastAsia" w:eastAsiaTheme="minorEastAsia" w:hAnsiTheme="minorEastAsia" w:cs="宋体"/>
                <w:szCs w:val="21"/>
              </w:rPr>
            </w:pPr>
            <w:r w:rsidRPr="00A52D6A">
              <w:rPr>
                <w:rFonts w:asciiTheme="minorEastAsia" w:eastAsiaTheme="minorEastAsia" w:hAnsiTheme="minorEastAsia" w:cs="宋体" w:hint="eastAsia"/>
                <w:szCs w:val="21"/>
              </w:rPr>
              <w:t>5</w:t>
            </w:r>
          </w:p>
        </w:tc>
        <w:tc>
          <w:tcPr>
            <w:tcW w:w="3828" w:type="dxa"/>
            <w:vAlign w:val="center"/>
          </w:tcPr>
          <w:p w:rsidR="006168F6" w:rsidRPr="00A52D6A" w:rsidRDefault="00930651" w:rsidP="00A52D6A">
            <w:pPr>
              <w:adjustRightInd w:val="0"/>
              <w:snapToGrid w:val="0"/>
              <w:spacing w:line="360" w:lineRule="auto"/>
              <w:ind w:firstLineChars="200" w:firstLine="420"/>
              <w:jc w:val="left"/>
              <w:rPr>
                <w:rFonts w:asciiTheme="minorEastAsia" w:eastAsiaTheme="minorEastAsia" w:hAnsiTheme="minorEastAsia" w:cs="宋体"/>
                <w:szCs w:val="21"/>
              </w:rPr>
            </w:pPr>
            <w:r w:rsidRPr="00A52D6A">
              <w:rPr>
                <w:rFonts w:asciiTheme="minorEastAsia" w:eastAsiaTheme="minorEastAsia" w:hAnsiTheme="minorEastAsia" w:cs="宋体" w:hint="eastAsia"/>
                <w:szCs w:val="21"/>
              </w:rPr>
              <w:t>在测试时用我们的设备测</w:t>
            </w:r>
            <w:proofErr w:type="spellStart"/>
            <w:r w:rsidRPr="00A52D6A">
              <w:rPr>
                <w:rFonts w:asciiTheme="minorEastAsia" w:eastAsiaTheme="minorEastAsia" w:hAnsiTheme="minorEastAsia" w:cs="宋体" w:hint="eastAsia"/>
                <w:szCs w:val="21"/>
              </w:rPr>
              <w:t>Pr</w:t>
            </w:r>
            <w:proofErr w:type="spellEnd"/>
            <w:r w:rsidRPr="00A52D6A">
              <w:rPr>
                <w:rFonts w:asciiTheme="minorEastAsia" w:eastAsiaTheme="minorEastAsia" w:hAnsiTheme="minorEastAsia" w:cs="宋体" w:hint="eastAsia"/>
                <w:szCs w:val="21"/>
              </w:rPr>
              <w:t>时</w:t>
            </w:r>
            <w:proofErr w:type="spellStart"/>
            <w:r w:rsidRPr="00A52D6A">
              <w:rPr>
                <w:rFonts w:asciiTheme="minorEastAsia" w:eastAsiaTheme="minorEastAsia" w:hAnsiTheme="minorEastAsia" w:cs="宋体" w:hint="eastAsia"/>
                <w:szCs w:val="21"/>
              </w:rPr>
              <w:t>Nd</w:t>
            </w:r>
            <w:proofErr w:type="spellEnd"/>
            <w:r w:rsidRPr="00A52D6A">
              <w:rPr>
                <w:rFonts w:asciiTheme="minorEastAsia" w:eastAsiaTheme="minorEastAsia" w:hAnsiTheme="minorEastAsia" w:cs="宋体" w:hint="eastAsia"/>
                <w:szCs w:val="21"/>
              </w:rPr>
              <w:t>会对410.070谱线产生较大干扰，我选用Pr440.021谱线，测试结果比较符合预期。</w:t>
            </w:r>
          </w:p>
        </w:tc>
        <w:tc>
          <w:tcPr>
            <w:tcW w:w="1417" w:type="dxa"/>
            <w:vAlign w:val="center"/>
          </w:tcPr>
          <w:p w:rsidR="006168F6" w:rsidRPr="00A52D6A" w:rsidRDefault="006F5D3B" w:rsidP="006F5D3B">
            <w:pPr>
              <w:adjustRightInd w:val="0"/>
              <w:snapToGrid w:val="0"/>
              <w:spacing w:line="360" w:lineRule="auto"/>
              <w:jc w:val="center"/>
              <w:rPr>
                <w:rFonts w:asciiTheme="minorEastAsia" w:eastAsiaTheme="minorEastAsia" w:hAnsiTheme="minorEastAsia" w:cs="宋体"/>
                <w:szCs w:val="21"/>
              </w:rPr>
            </w:pPr>
            <w:r w:rsidRPr="00A52D6A">
              <w:rPr>
                <w:rFonts w:asciiTheme="minorEastAsia" w:eastAsiaTheme="minorEastAsia" w:hAnsiTheme="minorEastAsia" w:cs="宋体" w:hint="eastAsia"/>
                <w:szCs w:val="21"/>
              </w:rPr>
              <w:t>厦门稀土材料研究室</w:t>
            </w:r>
          </w:p>
        </w:tc>
        <w:tc>
          <w:tcPr>
            <w:tcW w:w="851" w:type="dxa"/>
            <w:vAlign w:val="center"/>
          </w:tcPr>
          <w:p w:rsidR="006168F6" w:rsidRPr="00A52D6A" w:rsidRDefault="00FF45A7" w:rsidP="006F5D3B">
            <w:pPr>
              <w:adjustRightInd w:val="0"/>
              <w:snapToGrid w:val="0"/>
              <w:spacing w:line="360" w:lineRule="auto"/>
              <w:jc w:val="center"/>
              <w:rPr>
                <w:rFonts w:asciiTheme="minorEastAsia" w:eastAsiaTheme="minorEastAsia" w:hAnsiTheme="minorEastAsia" w:cs="宋体"/>
                <w:szCs w:val="21"/>
              </w:rPr>
            </w:pPr>
            <w:r w:rsidRPr="00A52D6A">
              <w:rPr>
                <w:rFonts w:asciiTheme="minorEastAsia" w:eastAsiaTheme="minorEastAsia" w:hAnsiTheme="minorEastAsia" w:cs="宋体"/>
                <w:szCs w:val="21"/>
              </w:rPr>
              <w:t>不采纳</w:t>
            </w:r>
          </w:p>
        </w:tc>
        <w:tc>
          <w:tcPr>
            <w:tcW w:w="2233" w:type="dxa"/>
            <w:vAlign w:val="center"/>
          </w:tcPr>
          <w:p w:rsidR="006168F6" w:rsidRPr="00A52D6A" w:rsidRDefault="00FF45A7" w:rsidP="00FF45A7">
            <w:pPr>
              <w:adjustRightInd w:val="0"/>
              <w:snapToGrid w:val="0"/>
              <w:spacing w:line="360" w:lineRule="auto"/>
              <w:jc w:val="center"/>
              <w:rPr>
                <w:rFonts w:asciiTheme="minorEastAsia" w:eastAsiaTheme="minorEastAsia" w:hAnsiTheme="minorEastAsia" w:cs="宋体"/>
                <w:szCs w:val="21"/>
              </w:rPr>
            </w:pPr>
            <w:r w:rsidRPr="00A52D6A">
              <w:rPr>
                <w:rFonts w:asciiTheme="minorEastAsia" w:eastAsiaTheme="minorEastAsia" w:hAnsiTheme="minorEastAsia" w:cs="宋体" w:hint="eastAsia"/>
                <w:szCs w:val="21"/>
              </w:rPr>
              <w:t>两条谱线做的结果不一样，</w:t>
            </w:r>
            <w:proofErr w:type="gramStart"/>
            <w:r w:rsidRPr="00A52D6A">
              <w:rPr>
                <w:rFonts w:asciiTheme="minorEastAsia" w:eastAsiaTheme="minorEastAsia" w:hAnsiTheme="minorEastAsia" w:cs="宋体" w:hint="eastAsia"/>
                <w:szCs w:val="21"/>
              </w:rPr>
              <w:t>谱峰与</w:t>
            </w:r>
            <w:proofErr w:type="gramEnd"/>
            <w:r w:rsidRPr="00A52D6A">
              <w:rPr>
                <w:rFonts w:asciiTheme="minorEastAsia" w:eastAsiaTheme="minorEastAsia" w:hAnsiTheme="minorEastAsia" w:cs="宋体" w:hint="eastAsia"/>
                <w:szCs w:val="21"/>
              </w:rPr>
              <w:t>验证单位不相同</w:t>
            </w:r>
          </w:p>
        </w:tc>
      </w:tr>
      <w:tr w:rsidR="009A5C18" w:rsidTr="00A52D6A">
        <w:tc>
          <w:tcPr>
            <w:tcW w:w="822" w:type="dxa"/>
            <w:vAlign w:val="center"/>
          </w:tcPr>
          <w:p w:rsidR="009A5C18" w:rsidRPr="00A52D6A" w:rsidRDefault="009A5C18">
            <w:pPr>
              <w:adjustRightInd w:val="0"/>
              <w:snapToGrid w:val="0"/>
              <w:spacing w:line="360" w:lineRule="auto"/>
              <w:jc w:val="center"/>
              <w:rPr>
                <w:rFonts w:asciiTheme="minorEastAsia" w:eastAsiaTheme="minorEastAsia" w:hAnsiTheme="minorEastAsia" w:cs="宋体"/>
                <w:szCs w:val="21"/>
              </w:rPr>
            </w:pPr>
            <w:r w:rsidRPr="00A52D6A">
              <w:rPr>
                <w:rFonts w:asciiTheme="minorEastAsia" w:eastAsiaTheme="minorEastAsia" w:hAnsiTheme="minorEastAsia" w:cs="宋体" w:hint="eastAsia"/>
                <w:szCs w:val="21"/>
              </w:rPr>
              <w:t>6</w:t>
            </w:r>
          </w:p>
        </w:tc>
        <w:tc>
          <w:tcPr>
            <w:tcW w:w="3828" w:type="dxa"/>
            <w:vAlign w:val="center"/>
          </w:tcPr>
          <w:p w:rsidR="009A5C18" w:rsidRPr="00A52D6A" w:rsidRDefault="009A5C18" w:rsidP="00A52D6A">
            <w:pPr>
              <w:adjustRightInd w:val="0"/>
              <w:snapToGrid w:val="0"/>
              <w:spacing w:line="360" w:lineRule="auto"/>
              <w:ind w:firstLineChars="200" w:firstLine="420"/>
              <w:jc w:val="left"/>
              <w:rPr>
                <w:rFonts w:asciiTheme="minorEastAsia" w:eastAsiaTheme="minorEastAsia" w:hAnsiTheme="minorEastAsia" w:cs="宋体"/>
                <w:szCs w:val="21"/>
              </w:rPr>
            </w:pPr>
            <w:r w:rsidRPr="00A52D6A">
              <w:rPr>
                <w:rFonts w:asciiTheme="minorEastAsia" w:eastAsiaTheme="minorEastAsia" w:hAnsiTheme="minorEastAsia" w:cs="宋体" w:hint="eastAsia"/>
                <w:szCs w:val="21"/>
              </w:rPr>
              <w:t>预审稿中5</w:t>
            </w:r>
            <w:r w:rsidRPr="00A52D6A">
              <w:rPr>
                <w:rFonts w:asciiTheme="minorEastAsia" w:eastAsiaTheme="minorEastAsia" w:hAnsiTheme="minorEastAsia" w:cs="宋体"/>
                <w:szCs w:val="21"/>
              </w:rPr>
              <w:t>试剂和材料</w:t>
            </w:r>
            <w:r w:rsidRPr="00A52D6A">
              <w:rPr>
                <w:rFonts w:asciiTheme="minorEastAsia" w:eastAsiaTheme="minorEastAsia" w:hAnsiTheme="minorEastAsia" w:cs="宋体" w:hint="eastAsia"/>
                <w:szCs w:val="21"/>
              </w:rPr>
              <w:t xml:space="preserve"> “符合G</w:t>
            </w:r>
            <w:r w:rsidRPr="00A52D6A">
              <w:rPr>
                <w:rFonts w:asciiTheme="minorEastAsia" w:eastAsiaTheme="minorEastAsia" w:hAnsiTheme="minorEastAsia" w:cs="宋体"/>
                <w:szCs w:val="21"/>
              </w:rPr>
              <w:t>B/T6682</w:t>
            </w:r>
            <w:r w:rsidRPr="00A52D6A">
              <w:rPr>
                <w:rFonts w:asciiTheme="minorEastAsia" w:eastAsiaTheme="minorEastAsia" w:hAnsiTheme="minorEastAsia" w:cs="宋体" w:hint="eastAsia"/>
                <w:szCs w:val="21"/>
              </w:rPr>
              <w:t>规定的三级及以上蒸馏水或去离子水或纯度相当的水”中的“三级”修改为“二级”</w:t>
            </w:r>
          </w:p>
        </w:tc>
        <w:tc>
          <w:tcPr>
            <w:tcW w:w="1417" w:type="dxa"/>
            <w:vAlign w:val="center"/>
          </w:tcPr>
          <w:p w:rsidR="009A5C18" w:rsidRPr="00A52D6A" w:rsidRDefault="009A5C18" w:rsidP="006F5D3B">
            <w:pPr>
              <w:adjustRightInd w:val="0"/>
              <w:snapToGrid w:val="0"/>
              <w:spacing w:line="360" w:lineRule="auto"/>
              <w:jc w:val="center"/>
              <w:rPr>
                <w:rFonts w:asciiTheme="minorEastAsia" w:eastAsiaTheme="minorEastAsia" w:hAnsiTheme="minorEastAsia" w:cs="宋体"/>
                <w:szCs w:val="21"/>
              </w:rPr>
            </w:pPr>
            <w:proofErr w:type="gramStart"/>
            <w:r w:rsidRPr="00A52D6A">
              <w:rPr>
                <w:rFonts w:asciiTheme="minorEastAsia" w:eastAsiaTheme="minorEastAsia" w:hAnsiTheme="minorEastAsia" w:cs="宋体" w:hint="eastAsia"/>
                <w:szCs w:val="21"/>
              </w:rPr>
              <w:t>虔</w:t>
            </w:r>
            <w:proofErr w:type="gramEnd"/>
            <w:r w:rsidRPr="00A52D6A">
              <w:rPr>
                <w:rFonts w:asciiTheme="minorEastAsia" w:eastAsiaTheme="minorEastAsia" w:hAnsiTheme="minorEastAsia" w:cs="宋体" w:hint="eastAsia"/>
                <w:szCs w:val="21"/>
              </w:rPr>
              <w:t>东稀土集团股份有限公司</w:t>
            </w:r>
          </w:p>
        </w:tc>
        <w:tc>
          <w:tcPr>
            <w:tcW w:w="851" w:type="dxa"/>
            <w:vAlign w:val="center"/>
          </w:tcPr>
          <w:p w:rsidR="009A5C18" w:rsidRPr="00A52D6A" w:rsidRDefault="009A5C18" w:rsidP="006F5D3B">
            <w:pPr>
              <w:adjustRightInd w:val="0"/>
              <w:snapToGrid w:val="0"/>
              <w:spacing w:line="360" w:lineRule="auto"/>
              <w:jc w:val="center"/>
              <w:rPr>
                <w:rFonts w:asciiTheme="minorEastAsia" w:eastAsiaTheme="minorEastAsia" w:hAnsiTheme="minorEastAsia" w:cs="宋体"/>
                <w:szCs w:val="21"/>
              </w:rPr>
            </w:pPr>
            <w:r w:rsidRPr="00A52D6A">
              <w:rPr>
                <w:rFonts w:asciiTheme="minorEastAsia" w:eastAsiaTheme="minorEastAsia" w:hAnsiTheme="minorEastAsia" w:cs="宋体"/>
                <w:szCs w:val="21"/>
              </w:rPr>
              <w:t>采纳</w:t>
            </w:r>
          </w:p>
        </w:tc>
        <w:tc>
          <w:tcPr>
            <w:tcW w:w="2233" w:type="dxa"/>
            <w:vAlign w:val="center"/>
          </w:tcPr>
          <w:p w:rsidR="009A5C18" w:rsidRPr="00A52D6A" w:rsidRDefault="00E362AC" w:rsidP="00FF45A7">
            <w:pPr>
              <w:adjustRightInd w:val="0"/>
              <w:snapToGrid w:val="0"/>
              <w:spacing w:line="360" w:lineRule="auto"/>
              <w:jc w:val="center"/>
              <w:rPr>
                <w:rFonts w:asciiTheme="minorEastAsia" w:eastAsiaTheme="minorEastAsia" w:hAnsiTheme="minorEastAsia" w:cs="宋体"/>
                <w:szCs w:val="21"/>
              </w:rPr>
            </w:pPr>
            <w:r w:rsidRPr="00A52D6A">
              <w:rPr>
                <w:rFonts w:asciiTheme="minorEastAsia" w:eastAsiaTheme="minorEastAsia" w:hAnsiTheme="minorEastAsia" w:cs="宋体" w:hint="eastAsia"/>
                <w:szCs w:val="21"/>
              </w:rPr>
              <w:t>“三级”修改为“二级”</w:t>
            </w:r>
          </w:p>
        </w:tc>
      </w:tr>
      <w:tr w:rsidR="009A5C18" w:rsidTr="00A52D6A">
        <w:tc>
          <w:tcPr>
            <w:tcW w:w="822" w:type="dxa"/>
            <w:vAlign w:val="center"/>
          </w:tcPr>
          <w:p w:rsidR="009A5C18" w:rsidRPr="00A52D6A" w:rsidRDefault="009A5C18">
            <w:pPr>
              <w:adjustRightInd w:val="0"/>
              <w:snapToGrid w:val="0"/>
              <w:spacing w:line="360" w:lineRule="auto"/>
              <w:jc w:val="center"/>
              <w:rPr>
                <w:rFonts w:asciiTheme="minorEastAsia" w:eastAsiaTheme="minorEastAsia" w:hAnsiTheme="minorEastAsia" w:cs="宋体"/>
                <w:szCs w:val="21"/>
              </w:rPr>
            </w:pPr>
            <w:r w:rsidRPr="00A52D6A">
              <w:rPr>
                <w:rFonts w:asciiTheme="minorEastAsia" w:eastAsiaTheme="minorEastAsia" w:hAnsiTheme="minorEastAsia" w:cs="宋体" w:hint="eastAsia"/>
                <w:szCs w:val="21"/>
              </w:rPr>
              <w:t>7</w:t>
            </w:r>
          </w:p>
        </w:tc>
        <w:tc>
          <w:tcPr>
            <w:tcW w:w="3828" w:type="dxa"/>
            <w:vAlign w:val="center"/>
          </w:tcPr>
          <w:p w:rsidR="009A5C18" w:rsidRPr="00A52D6A" w:rsidRDefault="009A5C18" w:rsidP="00A52D6A">
            <w:pPr>
              <w:adjustRightInd w:val="0"/>
              <w:snapToGrid w:val="0"/>
              <w:spacing w:line="360" w:lineRule="auto"/>
              <w:ind w:firstLineChars="200" w:firstLine="420"/>
              <w:jc w:val="left"/>
              <w:rPr>
                <w:rFonts w:asciiTheme="minorEastAsia" w:eastAsiaTheme="minorEastAsia" w:hAnsiTheme="minorEastAsia" w:cs="宋体"/>
                <w:szCs w:val="21"/>
              </w:rPr>
            </w:pPr>
            <w:r w:rsidRPr="00A52D6A">
              <w:rPr>
                <w:rFonts w:asciiTheme="minorEastAsia" w:eastAsiaTheme="minorEastAsia" w:hAnsiTheme="minorEastAsia" w:cs="宋体" w:hint="eastAsia"/>
                <w:szCs w:val="21"/>
              </w:rPr>
              <w:t>预审稿中7.1 “样品的粒度应研磨至通过0</w:t>
            </w:r>
            <w:r w:rsidRPr="00A52D6A">
              <w:rPr>
                <w:rFonts w:asciiTheme="minorEastAsia" w:eastAsiaTheme="minorEastAsia" w:hAnsiTheme="minorEastAsia" w:cs="宋体"/>
                <w:szCs w:val="21"/>
              </w:rPr>
              <w:t>.074mm</w:t>
            </w:r>
            <w:r w:rsidRPr="00A52D6A">
              <w:rPr>
                <w:rFonts w:asciiTheme="minorEastAsia" w:eastAsiaTheme="minorEastAsia" w:hAnsiTheme="minorEastAsia" w:cs="宋体" w:hint="eastAsia"/>
                <w:szCs w:val="21"/>
              </w:rPr>
              <w:t>筛”建议修改为“样品的粒度应不大于0</w:t>
            </w:r>
            <w:r w:rsidRPr="00A52D6A">
              <w:rPr>
                <w:rFonts w:asciiTheme="minorEastAsia" w:eastAsiaTheme="minorEastAsia" w:hAnsiTheme="minorEastAsia" w:cs="宋体"/>
                <w:szCs w:val="21"/>
              </w:rPr>
              <w:t>.074mm</w:t>
            </w:r>
            <w:r w:rsidRPr="00A52D6A">
              <w:rPr>
                <w:rFonts w:asciiTheme="minorEastAsia" w:eastAsiaTheme="minorEastAsia" w:hAnsiTheme="minorEastAsia" w:cs="宋体" w:hint="eastAsia"/>
                <w:szCs w:val="21"/>
              </w:rPr>
              <w:t>”</w:t>
            </w:r>
          </w:p>
        </w:tc>
        <w:tc>
          <w:tcPr>
            <w:tcW w:w="1417" w:type="dxa"/>
            <w:vAlign w:val="center"/>
          </w:tcPr>
          <w:p w:rsidR="009A5C18" w:rsidRPr="00A52D6A" w:rsidRDefault="009A5C18" w:rsidP="006F5D3B">
            <w:pPr>
              <w:adjustRightInd w:val="0"/>
              <w:snapToGrid w:val="0"/>
              <w:spacing w:line="360" w:lineRule="auto"/>
              <w:jc w:val="center"/>
              <w:rPr>
                <w:rFonts w:asciiTheme="minorEastAsia" w:eastAsiaTheme="minorEastAsia" w:hAnsiTheme="minorEastAsia" w:cs="宋体"/>
                <w:szCs w:val="21"/>
              </w:rPr>
            </w:pPr>
            <w:proofErr w:type="gramStart"/>
            <w:r w:rsidRPr="00A52D6A">
              <w:rPr>
                <w:rFonts w:asciiTheme="minorEastAsia" w:eastAsiaTheme="minorEastAsia" w:hAnsiTheme="minorEastAsia" w:cs="宋体" w:hint="eastAsia"/>
                <w:szCs w:val="21"/>
              </w:rPr>
              <w:t>虔</w:t>
            </w:r>
            <w:proofErr w:type="gramEnd"/>
            <w:r w:rsidRPr="00A52D6A">
              <w:rPr>
                <w:rFonts w:asciiTheme="minorEastAsia" w:eastAsiaTheme="minorEastAsia" w:hAnsiTheme="minorEastAsia" w:cs="宋体" w:hint="eastAsia"/>
                <w:szCs w:val="21"/>
              </w:rPr>
              <w:t>东稀土集团股份有限公司</w:t>
            </w:r>
          </w:p>
        </w:tc>
        <w:tc>
          <w:tcPr>
            <w:tcW w:w="851" w:type="dxa"/>
            <w:vAlign w:val="center"/>
          </w:tcPr>
          <w:p w:rsidR="009A5C18" w:rsidRPr="00A52D6A" w:rsidRDefault="009A5C18" w:rsidP="006F5D3B">
            <w:pPr>
              <w:adjustRightInd w:val="0"/>
              <w:snapToGrid w:val="0"/>
              <w:spacing w:line="360" w:lineRule="auto"/>
              <w:jc w:val="center"/>
              <w:rPr>
                <w:rFonts w:asciiTheme="minorEastAsia" w:eastAsiaTheme="minorEastAsia" w:hAnsiTheme="minorEastAsia" w:cs="宋体"/>
                <w:szCs w:val="21"/>
              </w:rPr>
            </w:pPr>
            <w:r w:rsidRPr="00A52D6A">
              <w:rPr>
                <w:rFonts w:asciiTheme="minorEastAsia" w:eastAsiaTheme="minorEastAsia" w:hAnsiTheme="minorEastAsia" w:cs="宋体"/>
                <w:szCs w:val="21"/>
              </w:rPr>
              <w:t>采纳</w:t>
            </w:r>
          </w:p>
        </w:tc>
        <w:tc>
          <w:tcPr>
            <w:tcW w:w="2233" w:type="dxa"/>
            <w:vAlign w:val="center"/>
          </w:tcPr>
          <w:p w:rsidR="009A5C18" w:rsidRPr="00A52D6A" w:rsidRDefault="00E362AC" w:rsidP="00FF45A7">
            <w:pPr>
              <w:adjustRightInd w:val="0"/>
              <w:snapToGrid w:val="0"/>
              <w:spacing w:line="360" w:lineRule="auto"/>
              <w:jc w:val="center"/>
              <w:rPr>
                <w:rFonts w:asciiTheme="minorEastAsia" w:eastAsiaTheme="minorEastAsia" w:hAnsiTheme="minorEastAsia" w:cs="宋体"/>
                <w:szCs w:val="21"/>
              </w:rPr>
            </w:pPr>
            <w:r w:rsidRPr="00A52D6A">
              <w:rPr>
                <w:rFonts w:asciiTheme="minorEastAsia" w:eastAsiaTheme="minorEastAsia" w:hAnsiTheme="minorEastAsia" w:cs="宋体" w:hint="eastAsia"/>
                <w:szCs w:val="21"/>
              </w:rPr>
              <w:t>修改为“样品的粒度应不大于0</w:t>
            </w:r>
            <w:r w:rsidRPr="00A52D6A">
              <w:rPr>
                <w:rFonts w:asciiTheme="minorEastAsia" w:eastAsiaTheme="minorEastAsia" w:hAnsiTheme="minorEastAsia" w:cs="宋体"/>
                <w:szCs w:val="21"/>
              </w:rPr>
              <w:t>.074mm</w:t>
            </w:r>
            <w:r w:rsidRPr="00A52D6A">
              <w:rPr>
                <w:rFonts w:asciiTheme="minorEastAsia" w:eastAsiaTheme="minorEastAsia" w:hAnsiTheme="minorEastAsia" w:cs="宋体" w:hint="eastAsia"/>
                <w:szCs w:val="21"/>
              </w:rPr>
              <w:t>”</w:t>
            </w:r>
          </w:p>
        </w:tc>
      </w:tr>
      <w:tr w:rsidR="009A5C18" w:rsidTr="00A52D6A">
        <w:tc>
          <w:tcPr>
            <w:tcW w:w="822" w:type="dxa"/>
            <w:vAlign w:val="center"/>
          </w:tcPr>
          <w:p w:rsidR="009A5C18" w:rsidRPr="00A52D6A" w:rsidRDefault="009A5C18">
            <w:pPr>
              <w:adjustRightInd w:val="0"/>
              <w:snapToGrid w:val="0"/>
              <w:spacing w:line="360" w:lineRule="auto"/>
              <w:jc w:val="center"/>
              <w:rPr>
                <w:rFonts w:asciiTheme="minorEastAsia" w:eastAsiaTheme="minorEastAsia" w:hAnsiTheme="minorEastAsia" w:cs="宋体"/>
                <w:szCs w:val="21"/>
              </w:rPr>
            </w:pPr>
            <w:r w:rsidRPr="00A52D6A">
              <w:rPr>
                <w:rFonts w:asciiTheme="minorEastAsia" w:eastAsiaTheme="minorEastAsia" w:hAnsiTheme="minorEastAsia" w:cs="宋体" w:hint="eastAsia"/>
                <w:szCs w:val="21"/>
              </w:rPr>
              <w:t>8</w:t>
            </w:r>
          </w:p>
        </w:tc>
        <w:tc>
          <w:tcPr>
            <w:tcW w:w="3828" w:type="dxa"/>
            <w:vAlign w:val="center"/>
          </w:tcPr>
          <w:p w:rsidR="009A5C18" w:rsidRPr="00A52D6A" w:rsidRDefault="009A5C18" w:rsidP="00A52D6A">
            <w:pPr>
              <w:adjustRightInd w:val="0"/>
              <w:snapToGrid w:val="0"/>
              <w:spacing w:line="360" w:lineRule="auto"/>
              <w:ind w:firstLineChars="200" w:firstLine="420"/>
              <w:jc w:val="left"/>
              <w:rPr>
                <w:rFonts w:asciiTheme="minorEastAsia" w:eastAsiaTheme="minorEastAsia" w:hAnsiTheme="minorEastAsia" w:cs="宋体"/>
                <w:szCs w:val="21"/>
              </w:rPr>
            </w:pPr>
            <w:r w:rsidRPr="00A52D6A">
              <w:rPr>
                <w:rFonts w:asciiTheme="minorEastAsia" w:eastAsiaTheme="minorEastAsia" w:hAnsiTheme="minorEastAsia" w:cs="宋体" w:hint="eastAsia"/>
                <w:szCs w:val="21"/>
              </w:rPr>
              <w:t xml:space="preserve">预审稿中 </w:t>
            </w:r>
            <w:proofErr w:type="gramStart"/>
            <w:r w:rsidRPr="00A52D6A">
              <w:rPr>
                <w:rFonts w:asciiTheme="minorEastAsia" w:eastAsiaTheme="minorEastAsia" w:hAnsiTheme="minorEastAsia" w:cs="宋体" w:hint="eastAsia"/>
                <w:szCs w:val="21"/>
              </w:rPr>
              <w:t>“</w:t>
            </w:r>
            <w:proofErr w:type="gramEnd"/>
            <w:r w:rsidRPr="00A52D6A">
              <w:rPr>
                <w:rFonts w:asciiTheme="minorEastAsia" w:eastAsiaTheme="minorEastAsia" w:hAnsiTheme="minorEastAsia" w:cs="宋体" w:hint="eastAsia"/>
                <w:szCs w:val="21"/>
              </w:rPr>
              <w:t>8.1 试料“称取0.50g试样（7）碱溶用，称0.20g试样（7）</w:t>
            </w:r>
            <w:r w:rsidRPr="00A52D6A">
              <w:rPr>
                <w:rFonts w:asciiTheme="minorEastAsia" w:eastAsiaTheme="minorEastAsia" w:hAnsiTheme="minorEastAsia" w:cs="宋体" w:hint="eastAsia"/>
                <w:szCs w:val="21"/>
              </w:rPr>
              <w:lastRenderedPageBreak/>
              <w:t>酸溶用，精确至0.0001g。”建议“8.1.1称取0.50g试样（7）碱溶用，8.1.2称</w:t>
            </w:r>
            <w:r w:rsidR="004419A5" w:rsidRPr="00A52D6A">
              <w:rPr>
                <w:rFonts w:asciiTheme="minorEastAsia" w:eastAsiaTheme="minorEastAsia" w:hAnsiTheme="minorEastAsia" w:cs="宋体" w:hint="eastAsia"/>
                <w:szCs w:val="21"/>
              </w:rPr>
              <w:t>取</w:t>
            </w:r>
            <w:r w:rsidRPr="00A52D6A">
              <w:rPr>
                <w:rFonts w:asciiTheme="minorEastAsia" w:eastAsiaTheme="minorEastAsia" w:hAnsiTheme="minorEastAsia" w:cs="宋体" w:hint="eastAsia"/>
                <w:szCs w:val="21"/>
              </w:rPr>
              <w:t>0.20g试样（7）酸溶用，精确至0.0001g。”</w:t>
            </w:r>
          </w:p>
        </w:tc>
        <w:tc>
          <w:tcPr>
            <w:tcW w:w="1417" w:type="dxa"/>
            <w:vAlign w:val="center"/>
          </w:tcPr>
          <w:p w:rsidR="009A5C18" w:rsidRPr="00A52D6A" w:rsidRDefault="009A5C18" w:rsidP="006F5D3B">
            <w:pPr>
              <w:adjustRightInd w:val="0"/>
              <w:snapToGrid w:val="0"/>
              <w:spacing w:line="360" w:lineRule="auto"/>
              <w:jc w:val="center"/>
              <w:rPr>
                <w:rFonts w:asciiTheme="minorEastAsia" w:eastAsiaTheme="minorEastAsia" w:hAnsiTheme="minorEastAsia" w:cs="宋体"/>
                <w:szCs w:val="21"/>
              </w:rPr>
            </w:pPr>
            <w:proofErr w:type="gramStart"/>
            <w:r w:rsidRPr="00A52D6A">
              <w:rPr>
                <w:rFonts w:asciiTheme="minorEastAsia" w:eastAsiaTheme="minorEastAsia" w:hAnsiTheme="minorEastAsia" w:cs="宋体" w:hint="eastAsia"/>
                <w:szCs w:val="21"/>
              </w:rPr>
              <w:lastRenderedPageBreak/>
              <w:t>虔</w:t>
            </w:r>
            <w:proofErr w:type="gramEnd"/>
            <w:r w:rsidRPr="00A52D6A">
              <w:rPr>
                <w:rFonts w:asciiTheme="minorEastAsia" w:eastAsiaTheme="minorEastAsia" w:hAnsiTheme="minorEastAsia" w:cs="宋体" w:hint="eastAsia"/>
                <w:szCs w:val="21"/>
              </w:rPr>
              <w:t>东稀土集团股份有限</w:t>
            </w:r>
            <w:r w:rsidRPr="00A52D6A">
              <w:rPr>
                <w:rFonts w:asciiTheme="minorEastAsia" w:eastAsiaTheme="minorEastAsia" w:hAnsiTheme="minorEastAsia" w:cs="宋体" w:hint="eastAsia"/>
                <w:szCs w:val="21"/>
              </w:rPr>
              <w:lastRenderedPageBreak/>
              <w:t>公司</w:t>
            </w:r>
          </w:p>
        </w:tc>
        <w:tc>
          <w:tcPr>
            <w:tcW w:w="851" w:type="dxa"/>
            <w:vAlign w:val="center"/>
          </w:tcPr>
          <w:p w:rsidR="009A5C18" w:rsidRPr="00A52D6A" w:rsidRDefault="009A5C18" w:rsidP="006F5D3B">
            <w:pPr>
              <w:adjustRightInd w:val="0"/>
              <w:snapToGrid w:val="0"/>
              <w:spacing w:line="360" w:lineRule="auto"/>
              <w:jc w:val="center"/>
              <w:rPr>
                <w:rFonts w:asciiTheme="minorEastAsia" w:eastAsiaTheme="minorEastAsia" w:hAnsiTheme="minorEastAsia" w:cs="宋体"/>
                <w:szCs w:val="21"/>
              </w:rPr>
            </w:pPr>
            <w:r w:rsidRPr="00A52D6A">
              <w:rPr>
                <w:rFonts w:asciiTheme="minorEastAsia" w:eastAsiaTheme="minorEastAsia" w:hAnsiTheme="minorEastAsia" w:cs="宋体"/>
                <w:szCs w:val="21"/>
              </w:rPr>
              <w:lastRenderedPageBreak/>
              <w:t>采纳</w:t>
            </w:r>
          </w:p>
        </w:tc>
        <w:tc>
          <w:tcPr>
            <w:tcW w:w="2233" w:type="dxa"/>
            <w:vAlign w:val="center"/>
          </w:tcPr>
          <w:p w:rsidR="004419A5" w:rsidRPr="00A52D6A" w:rsidRDefault="004419A5" w:rsidP="00A52D6A">
            <w:pPr>
              <w:adjustRightInd w:val="0"/>
              <w:snapToGrid w:val="0"/>
              <w:spacing w:line="360" w:lineRule="auto"/>
              <w:ind w:firstLineChars="200" w:firstLine="420"/>
              <w:jc w:val="left"/>
              <w:rPr>
                <w:rFonts w:asciiTheme="minorEastAsia" w:eastAsiaTheme="minorEastAsia" w:hAnsiTheme="minorEastAsia" w:cs="宋体"/>
                <w:szCs w:val="21"/>
              </w:rPr>
            </w:pPr>
            <w:r w:rsidRPr="00A52D6A">
              <w:rPr>
                <w:rFonts w:asciiTheme="minorEastAsia" w:eastAsiaTheme="minorEastAsia" w:hAnsiTheme="minorEastAsia" w:cs="宋体" w:hint="eastAsia"/>
                <w:szCs w:val="21"/>
              </w:rPr>
              <w:t>改为：</w:t>
            </w:r>
          </w:p>
          <w:p w:rsidR="004419A5" w:rsidRPr="00A52D6A" w:rsidRDefault="004419A5" w:rsidP="00A52D6A">
            <w:pPr>
              <w:adjustRightInd w:val="0"/>
              <w:snapToGrid w:val="0"/>
              <w:spacing w:line="360" w:lineRule="auto"/>
              <w:ind w:firstLineChars="200" w:firstLine="420"/>
              <w:jc w:val="left"/>
              <w:rPr>
                <w:rFonts w:asciiTheme="minorEastAsia" w:eastAsiaTheme="minorEastAsia" w:hAnsiTheme="minorEastAsia" w:cs="宋体"/>
                <w:szCs w:val="21"/>
              </w:rPr>
            </w:pPr>
            <w:r w:rsidRPr="00A52D6A">
              <w:rPr>
                <w:rFonts w:asciiTheme="minorEastAsia" w:eastAsiaTheme="minorEastAsia" w:hAnsiTheme="minorEastAsia" w:cs="宋体" w:hint="eastAsia"/>
                <w:szCs w:val="21"/>
              </w:rPr>
              <w:t>8.1.1</w:t>
            </w:r>
            <w:proofErr w:type="gramStart"/>
            <w:r w:rsidRPr="00A52D6A">
              <w:rPr>
                <w:rFonts w:asciiTheme="minorEastAsia" w:eastAsiaTheme="minorEastAsia" w:hAnsiTheme="minorEastAsia" w:cs="宋体" w:hint="eastAsia"/>
                <w:szCs w:val="21"/>
              </w:rPr>
              <w:t>碱溶用料</w:t>
            </w:r>
            <w:proofErr w:type="gramEnd"/>
          </w:p>
          <w:p w:rsidR="004419A5" w:rsidRPr="00A52D6A" w:rsidRDefault="004419A5" w:rsidP="00A52D6A">
            <w:pPr>
              <w:adjustRightInd w:val="0"/>
              <w:snapToGrid w:val="0"/>
              <w:spacing w:line="360" w:lineRule="auto"/>
              <w:ind w:firstLineChars="200" w:firstLine="420"/>
              <w:jc w:val="left"/>
              <w:rPr>
                <w:rFonts w:asciiTheme="minorEastAsia" w:eastAsiaTheme="minorEastAsia" w:hAnsiTheme="minorEastAsia" w:cs="宋体"/>
                <w:szCs w:val="21"/>
              </w:rPr>
            </w:pPr>
            <w:r w:rsidRPr="00A52D6A">
              <w:rPr>
                <w:rFonts w:asciiTheme="minorEastAsia" w:eastAsiaTheme="minorEastAsia" w:hAnsiTheme="minorEastAsia" w:cs="宋体" w:hint="eastAsia"/>
                <w:szCs w:val="21"/>
              </w:rPr>
              <w:lastRenderedPageBreak/>
              <w:t>称取0.50g试样（7），精确至0.0001g。</w:t>
            </w:r>
          </w:p>
          <w:p w:rsidR="004419A5" w:rsidRPr="00A52D6A" w:rsidRDefault="004419A5" w:rsidP="00A52D6A">
            <w:pPr>
              <w:adjustRightInd w:val="0"/>
              <w:snapToGrid w:val="0"/>
              <w:spacing w:line="360" w:lineRule="auto"/>
              <w:ind w:firstLineChars="200" w:firstLine="420"/>
              <w:jc w:val="left"/>
              <w:rPr>
                <w:rFonts w:asciiTheme="minorEastAsia" w:eastAsiaTheme="minorEastAsia" w:hAnsiTheme="minorEastAsia" w:cs="宋体"/>
                <w:szCs w:val="21"/>
              </w:rPr>
            </w:pPr>
            <w:r w:rsidRPr="00A52D6A">
              <w:rPr>
                <w:rFonts w:asciiTheme="minorEastAsia" w:eastAsiaTheme="minorEastAsia" w:hAnsiTheme="minorEastAsia" w:cs="宋体" w:hint="eastAsia"/>
                <w:szCs w:val="21"/>
              </w:rPr>
              <w:t>8.1.2酸溶用料</w:t>
            </w:r>
          </w:p>
          <w:p w:rsidR="009A5C18" w:rsidRPr="00A52D6A" w:rsidRDefault="004419A5" w:rsidP="00A52D6A">
            <w:pPr>
              <w:adjustRightInd w:val="0"/>
              <w:snapToGrid w:val="0"/>
              <w:spacing w:line="360" w:lineRule="auto"/>
              <w:ind w:firstLineChars="200" w:firstLine="420"/>
              <w:jc w:val="left"/>
              <w:rPr>
                <w:rFonts w:asciiTheme="minorEastAsia" w:eastAsiaTheme="minorEastAsia" w:hAnsiTheme="minorEastAsia" w:cs="宋体"/>
                <w:szCs w:val="21"/>
              </w:rPr>
            </w:pPr>
            <w:r w:rsidRPr="00A52D6A">
              <w:rPr>
                <w:rFonts w:asciiTheme="minorEastAsia" w:eastAsiaTheme="minorEastAsia" w:hAnsiTheme="minorEastAsia" w:cs="宋体" w:hint="eastAsia"/>
                <w:szCs w:val="21"/>
              </w:rPr>
              <w:t>称取0.20g试样（7），精确至0.0001g。</w:t>
            </w:r>
          </w:p>
        </w:tc>
      </w:tr>
      <w:tr w:rsidR="00A963D2" w:rsidTr="00A52D6A">
        <w:tc>
          <w:tcPr>
            <w:tcW w:w="822" w:type="dxa"/>
            <w:vAlign w:val="center"/>
          </w:tcPr>
          <w:p w:rsidR="00A963D2" w:rsidRPr="00A52D6A" w:rsidRDefault="00A963D2">
            <w:pPr>
              <w:adjustRightInd w:val="0"/>
              <w:snapToGrid w:val="0"/>
              <w:spacing w:line="360" w:lineRule="auto"/>
              <w:jc w:val="center"/>
              <w:rPr>
                <w:rFonts w:asciiTheme="minorEastAsia" w:eastAsiaTheme="minorEastAsia" w:hAnsiTheme="minorEastAsia" w:cs="宋体" w:hint="eastAsia"/>
                <w:szCs w:val="21"/>
              </w:rPr>
            </w:pPr>
            <w:r w:rsidRPr="00A52D6A">
              <w:rPr>
                <w:rFonts w:asciiTheme="minorEastAsia" w:eastAsiaTheme="minorEastAsia" w:hAnsiTheme="minorEastAsia" w:cs="宋体" w:hint="eastAsia"/>
                <w:szCs w:val="21"/>
              </w:rPr>
              <w:lastRenderedPageBreak/>
              <w:t>9</w:t>
            </w:r>
          </w:p>
        </w:tc>
        <w:tc>
          <w:tcPr>
            <w:tcW w:w="3828" w:type="dxa"/>
            <w:vAlign w:val="center"/>
          </w:tcPr>
          <w:p w:rsidR="00A963D2" w:rsidRPr="00A52D6A" w:rsidRDefault="00A963D2" w:rsidP="00A963D2">
            <w:pPr>
              <w:pStyle w:val="afffa"/>
              <w:spacing w:before="312" w:after="312"/>
              <w:ind w:left="0" w:firstLine="0"/>
              <w:rPr>
                <w:rFonts w:asciiTheme="minorEastAsia" w:eastAsiaTheme="minorEastAsia" w:hAnsiTheme="minorEastAsia" w:cs="宋体" w:hint="eastAsia"/>
                <w:szCs w:val="21"/>
              </w:rPr>
            </w:pPr>
            <w:r w:rsidRPr="00A52D6A">
              <w:rPr>
                <w:rFonts w:asciiTheme="minorEastAsia" w:eastAsiaTheme="minorEastAsia" w:hAnsiTheme="minorEastAsia" w:cs="宋体" w:hint="eastAsia"/>
                <w:kern w:val="2"/>
                <w:szCs w:val="21"/>
              </w:rPr>
              <w:t>预审稿6　仪器设备</w:t>
            </w:r>
            <w:r w:rsidRPr="00A52D6A">
              <w:rPr>
                <w:rFonts w:asciiTheme="minorEastAsia" w:eastAsiaTheme="minorEastAsia" w:hAnsiTheme="minorEastAsia" w:cs="宋体" w:hint="eastAsia"/>
                <w:kern w:val="2"/>
                <w:szCs w:val="21"/>
              </w:rPr>
              <w:t>中“</w:t>
            </w:r>
            <w:r w:rsidRPr="00A52D6A">
              <w:rPr>
                <w:rFonts w:asciiTheme="minorEastAsia" w:eastAsiaTheme="minorEastAsia" w:hAnsiTheme="minorEastAsia" w:cs="宋体" w:hint="eastAsia"/>
                <w:kern w:val="2"/>
                <w:szCs w:val="21"/>
              </w:rPr>
              <w:t>本方法中各元素的分析谱线没有大于500nm的</w:t>
            </w:r>
            <w:r w:rsidRPr="00A52D6A">
              <w:rPr>
                <w:rFonts w:asciiTheme="minorEastAsia" w:eastAsiaTheme="minorEastAsia" w:hAnsiTheme="minorEastAsia" w:cs="宋体" w:hint="eastAsia"/>
                <w:kern w:val="2"/>
                <w:szCs w:val="21"/>
              </w:rPr>
              <w:t>”</w:t>
            </w:r>
            <w:r w:rsidRPr="00A52D6A">
              <w:rPr>
                <w:rFonts w:asciiTheme="minorEastAsia" w:eastAsiaTheme="minorEastAsia" w:hAnsiTheme="minorEastAsia" w:cs="宋体" w:hint="eastAsia"/>
                <w:kern w:val="2"/>
                <w:szCs w:val="21"/>
              </w:rPr>
              <w:t>，建议删除“波长范围</w:t>
            </w:r>
            <w:r w:rsidRPr="00A52D6A">
              <w:rPr>
                <w:rFonts w:asciiTheme="minorEastAsia" w:eastAsiaTheme="minorEastAsia" w:hAnsiTheme="minorEastAsia" w:cs="宋体"/>
                <w:kern w:val="2"/>
                <w:szCs w:val="21"/>
              </w:rPr>
              <w:t>200 nm~800 nm</w:t>
            </w:r>
            <w:r w:rsidRPr="00A52D6A">
              <w:rPr>
                <w:rFonts w:asciiTheme="minorEastAsia" w:eastAsiaTheme="minorEastAsia" w:hAnsiTheme="minorEastAsia" w:cs="宋体" w:hint="eastAsia"/>
                <w:kern w:val="2"/>
                <w:szCs w:val="21"/>
              </w:rPr>
              <w:t>”的要求。</w:t>
            </w:r>
          </w:p>
        </w:tc>
        <w:tc>
          <w:tcPr>
            <w:tcW w:w="1417" w:type="dxa"/>
            <w:vAlign w:val="center"/>
          </w:tcPr>
          <w:p w:rsidR="00A963D2" w:rsidRPr="00A52D6A" w:rsidRDefault="00A963D2" w:rsidP="006F5D3B">
            <w:pPr>
              <w:adjustRightInd w:val="0"/>
              <w:snapToGrid w:val="0"/>
              <w:spacing w:line="360" w:lineRule="auto"/>
              <w:jc w:val="center"/>
              <w:rPr>
                <w:rFonts w:asciiTheme="minorEastAsia" w:eastAsiaTheme="minorEastAsia" w:hAnsiTheme="minorEastAsia" w:cs="宋体" w:hint="eastAsia"/>
                <w:szCs w:val="21"/>
              </w:rPr>
            </w:pPr>
            <w:r w:rsidRPr="00A52D6A">
              <w:rPr>
                <w:rFonts w:asciiTheme="minorEastAsia" w:eastAsiaTheme="minorEastAsia" w:hAnsiTheme="minorEastAsia" w:cs="宋体" w:hint="eastAsia"/>
                <w:szCs w:val="21"/>
              </w:rPr>
              <w:t>四川省</w:t>
            </w:r>
            <w:proofErr w:type="gramStart"/>
            <w:r w:rsidRPr="00A52D6A">
              <w:rPr>
                <w:rFonts w:asciiTheme="minorEastAsia" w:eastAsiaTheme="minorEastAsia" w:hAnsiTheme="minorEastAsia" w:cs="宋体" w:hint="eastAsia"/>
                <w:szCs w:val="21"/>
              </w:rPr>
              <w:t>乐山锐丰冶金</w:t>
            </w:r>
            <w:proofErr w:type="gramEnd"/>
            <w:r w:rsidRPr="00A52D6A">
              <w:rPr>
                <w:rFonts w:asciiTheme="minorEastAsia" w:eastAsiaTheme="minorEastAsia" w:hAnsiTheme="minorEastAsia" w:cs="宋体" w:hint="eastAsia"/>
                <w:szCs w:val="21"/>
              </w:rPr>
              <w:t>有限公司</w:t>
            </w:r>
          </w:p>
        </w:tc>
        <w:tc>
          <w:tcPr>
            <w:tcW w:w="851" w:type="dxa"/>
            <w:vAlign w:val="center"/>
          </w:tcPr>
          <w:p w:rsidR="00A963D2" w:rsidRPr="00A52D6A" w:rsidRDefault="00A963D2" w:rsidP="006F5D3B">
            <w:pPr>
              <w:adjustRightInd w:val="0"/>
              <w:snapToGrid w:val="0"/>
              <w:spacing w:line="360" w:lineRule="auto"/>
              <w:jc w:val="center"/>
              <w:rPr>
                <w:rFonts w:asciiTheme="minorEastAsia" w:eastAsiaTheme="minorEastAsia" w:hAnsiTheme="minorEastAsia" w:cs="宋体"/>
                <w:szCs w:val="21"/>
              </w:rPr>
            </w:pPr>
            <w:r w:rsidRPr="00A52D6A">
              <w:rPr>
                <w:rFonts w:asciiTheme="minorEastAsia" w:eastAsiaTheme="minorEastAsia" w:hAnsiTheme="minorEastAsia" w:cs="宋体"/>
                <w:szCs w:val="21"/>
              </w:rPr>
              <w:t>讨论</w:t>
            </w:r>
          </w:p>
        </w:tc>
        <w:tc>
          <w:tcPr>
            <w:tcW w:w="2233" w:type="dxa"/>
            <w:vAlign w:val="center"/>
          </w:tcPr>
          <w:p w:rsidR="00A963D2" w:rsidRPr="00A52D6A" w:rsidRDefault="00A963D2" w:rsidP="00A52D6A">
            <w:pPr>
              <w:adjustRightInd w:val="0"/>
              <w:snapToGrid w:val="0"/>
              <w:spacing w:line="360" w:lineRule="auto"/>
              <w:ind w:firstLineChars="200" w:firstLine="420"/>
              <w:jc w:val="left"/>
              <w:rPr>
                <w:rFonts w:asciiTheme="minorEastAsia" w:eastAsiaTheme="minorEastAsia" w:hAnsiTheme="minorEastAsia" w:cs="宋体" w:hint="eastAsia"/>
                <w:szCs w:val="21"/>
              </w:rPr>
            </w:pPr>
          </w:p>
        </w:tc>
      </w:tr>
      <w:tr w:rsidR="00A963D2" w:rsidTr="00A52D6A">
        <w:tc>
          <w:tcPr>
            <w:tcW w:w="822" w:type="dxa"/>
            <w:vAlign w:val="center"/>
          </w:tcPr>
          <w:p w:rsidR="00A963D2" w:rsidRPr="00A52D6A" w:rsidRDefault="00A963D2">
            <w:pPr>
              <w:adjustRightInd w:val="0"/>
              <w:snapToGrid w:val="0"/>
              <w:spacing w:line="360" w:lineRule="auto"/>
              <w:jc w:val="center"/>
              <w:rPr>
                <w:rFonts w:asciiTheme="minorEastAsia" w:eastAsiaTheme="minorEastAsia" w:hAnsiTheme="minorEastAsia" w:cs="宋体" w:hint="eastAsia"/>
                <w:szCs w:val="21"/>
              </w:rPr>
            </w:pPr>
            <w:r w:rsidRPr="00A52D6A">
              <w:rPr>
                <w:rFonts w:asciiTheme="minorEastAsia" w:eastAsiaTheme="minorEastAsia" w:hAnsiTheme="minorEastAsia" w:cs="宋体" w:hint="eastAsia"/>
                <w:szCs w:val="21"/>
              </w:rPr>
              <w:t>10</w:t>
            </w:r>
          </w:p>
        </w:tc>
        <w:tc>
          <w:tcPr>
            <w:tcW w:w="3828" w:type="dxa"/>
            <w:vAlign w:val="center"/>
          </w:tcPr>
          <w:p w:rsidR="00A963D2" w:rsidRPr="00A52D6A" w:rsidRDefault="00A963D2" w:rsidP="00A52D6A">
            <w:pPr>
              <w:adjustRightInd w:val="0"/>
              <w:snapToGrid w:val="0"/>
              <w:spacing w:line="360" w:lineRule="auto"/>
              <w:ind w:firstLineChars="200" w:firstLine="420"/>
              <w:jc w:val="left"/>
              <w:rPr>
                <w:rFonts w:asciiTheme="minorEastAsia" w:eastAsiaTheme="minorEastAsia" w:hAnsiTheme="minorEastAsia" w:cs="宋体" w:hint="eastAsia"/>
                <w:szCs w:val="21"/>
              </w:rPr>
            </w:pPr>
            <w:r w:rsidRPr="00A52D6A">
              <w:rPr>
                <w:rFonts w:asciiTheme="minorEastAsia" w:eastAsiaTheme="minorEastAsia" w:hAnsiTheme="minorEastAsia" w:cs="宋体" w:hint="eastAsia"/>
                <w:szCs w:val="21"/>
              </w:rPr>
              <w:t>预审稿8.1</w:t>
            </w:r>
            <w:r w:rsidRPr="00A52D6A">
              <w:rPr>
                <w:rFonts w:asciiTheme="minorEastAsia" w:eastAsiaTheme="minorEastAsia" w:hAnsiTheme="minorEastAsia" w:cs="宋体" w:hint="eastAsia"/>
                <w:szCs w:val="21"/>
              </w:rPr>
              <w:t>、8.4.1中</w:t>
            </w:r>
            <w:r w:rsidRPr="00A52D6A">
              <w:rPr>
                <w:rFonts w:asciiTheme="minorEastAsia" w:eastAsiaTheme="minorEastAsia" w:hAnsiTheme="minorEastAsia" w:cs="宋体" w:hint="eastAsia"/>
                <w:szCs w:val="21"/>
              </w:rPr>
              <w:t>“碱溶”应为“碱熔”。</w:t>
            </w:r>
          </w:p>
        </w:tc>
        <w:tc>
          <w:tcPr>
            <w:tcW w:w="1417" w:type="dxa"/>
            <w:vAlign w:val="center"/>
          </w:tcPr>
          <w:p w:rsidR="00A963D2" w:rsidRPr="00A52D6A" w:rsidRDefault="00A963D2" w:rsidP="006F5D3B">
            <w:pPr>
              <w:adjustRightInd w:val="0"/>
              <w:snapToGrid w:val="0"/>
              <w:spacing w:line="360" w:lineRule="auto"/>
              <w:jc w:val="center"/>
              <w:rPr>
                <w:rFonts w:asciiTheme="minorEastAsia" w:eastAsiaTheme="minorEastAsia" w:hAnsiTheme="minorEastAsia" w:cs="宋体" w:hint="eastAsia"/>
                <w:szCs w:val="21"/>
              </w:rPr>
            </w:pPr>
            <w:r w:rsidRPr="00A52D6A">
              <w:rPr>
                <w:rFonts w:asciiTheme="minorEastAsia" w:eastAsiaTheme="minorEastAsia" w:hAnsiTheme="minorEastAsia" w:cs="宋体" w:hint="eastAsia"/>
                <w:szCs w:val="21"/>
              </w:rPr>
              <w:t>四川省</w:t>
            </w:r>
            <w:proofErr w:type="gramStart"/>
            <w:r w:rsidRPr="00A52D6A">
              <w:rPr>
                <w:rFonts w:asciiTheme="minorEastAsia" w:eastAsiaTheme="minorEastAsia" w:hAnsiTheme="minorEastAsia" w:cs="宋体" w:hint="eastAsia"/>
                <w:szCs w:val="21"/>
              </w:rPr>
              <w:t>乐山锐丰冶金</w:t>
            </w:r>
            <w:proofErr w:type="gramEnd"/>
            <w:r w:rsidRPr="00A52D6A">
              <w:rPr>
                <w:rFonts w:asciiTheme="minorEastAsia" w:eastAsiaTheme="minorEastAsia" w:hAnsiTheme="minorEastAsia" w:cs="宋体" w:hint="eastAsia"/>
                <w:szCs w:val="21"/>
              </w:rPr>
              <w:t>有限公司</w:t>
            </w:r>
          </w:p>
        </w:tc>
        <w:tc>
          <w:tcPr>
            <w:tcW w:w="851" w:type="dxa"/>
            <w:vAlign w:val="center"/>
          </w:tcPr>
          <w:p w:rsidR="00A963D2" w:rsidRPr="00A52D6A" w:rsidRDefault="00A963D2" w:rsidP="006F5D3B">
            <w:pPr>
              <w:adjustRightInd w:val="0"/>
              <w:snapToGrid w:val="0"/>
              <w:spacing w:line="360" w:lineRule="auto"/>
              <w:jc w:val="center"/>
              <w:rPr>
                <w:rFonts w:asciiTheme="minorEastAsia" w:eastAsiaTheme="minorEastAsia" w:hAnsiTheme="minorEastAsia" w:cs="宋体"/>
                <w:szCs w:val="21"/>
              </w:rPr>
            </w:pPr>
            <w:r w:rsidRPr="00A52D6A">
              <w:rPr>
                <w:rFonts w:asciiTheme="minorEastAsia" w:eastAsiaTheme="minorEastAsia" w:hAnsiTheme="minorEastAsia" w:cs="宋体"/>
                <w:szCs w:val="21"/>
              </w:rPr>
              <w:t>采纳</w:t>
            </w:r>
          </w:p>
        </w:tc>
        <w:tc>
          <w:tcPr>
            <w:tcW w:w="2233" w:type="dxa"/>
            <w:vAlign w:val="center"/>
          </w:tcPr>
          <w:p w:rsidR="00A963D2" w:rsidRPr="00A52D6A" w:rsidRDefault="00A963D2" w:rsidP="00A52D6A">
            <w:pPr>
              <w:adjustRightInd w:val="0"/>
              <w:snapToGrid w:val="0"/>
              <w:spacing w:line="360" w:lineRule="auto"/>
              <w:ind w:firstLineChars="200" w:firstLine="420"/>
              <w:jc w:val="left"/>
              <w:rPr>
                <w:rFonts w:asciiTheme="minorEastAsia" w:eastAsiaTheme="minorEastAsia" w:hAnsiTheme="minorEastAsia" w:cs="宋体" w:hint="eastAsia"/>
                <w:szCs w:val="21"/>
              </w:rPr>
            </w:pPr>
            <w:r w:rsidRPr="00A52D6A">
              <w:rPr>
                <w:rFonts w:asciiTheme="minorEastAsia" w:eastAsiaTheme="minorEastAsia" w:hAnsiTheme="minorEastAsia" w:cs="宋体" w:hint="eastAsia"/>
                <w:szCs w:val="21"/>
              </w:rPr>
              <w:t>已将此部分用其他章节相同问题更改。</w:t>
            </w:r>
          </w:p>
        </w:tc>
      </w:tr>
      <w:tr w:rsidR="00A963D2" w:rsidTr="00A52D6A">
        <w:tc>
          <w:tcPr>
            <w:tcW w:w="822" w:type="dxa"/>
            <w:vAlign w:val="center"/>
          </w:tcPr>
          <w:p w:rsidR="00A963D2" w:rsidRPr="00A52D6A" w:rsidRDefault="00A963D2">
            <w:pPr>
              <w:adjustRightInd w:val="0"/>
              <w:snapToGrid w:val="0"/>
              <w:spacing w:line="360" w:lineRule="auto"/>
              <w:jc w:val="center"/>
              <w:rPr>
                <w:rFonts w:asciiTheme="minorEastAsia" w:eastAsiaTheme="minorEastAsia" w:hAnsiTheme="minorEastAsia" w:cs="宋体" w:hint="eastAsia"/>
                <w:szCs w:val="21"/>
              </w:rPr>
            </w:pPr>
            <w:r w:rsidRPr="00A52D6A">
              <w:rPr>
                <w:rFonts w:asciiTheme="minorEastAsia" w:eastAsiaTheme="minorEastAsia" w:hAnsiTheme="minorEastAsia" w:cs="宋体" w:hint="eastAsia"/>
                <w:szCs w:val="21"/>
              </w:rPr>
              <w:t>11</w:t>
            </w:r>
          </w:p>
        </w:tc>
        <w:tc>
          <w:tcPr>
            <w:tcW w:w="3828" w:type="dxa"/>
            <w:vAlign w:val="center"/>
          </w:tcPr>
          <w:p w:rsidR="00A963D2" w:rsidRPr="00A52D6A" w:rsidRDefault="00A963D2" w:rsidP="00A52D6A">
            <w:pPr>
              <w:adjustRightInd w:val="0"/>
              <w:snapToGrid w:val="0"/>
              <w:spacing w:line="360" w:lineRule="auto"/>
              <w:ind w:firstLineChars="200" w:firstLine="420"/>
              <w:jc w:val="left"/>
              <w:rPr>
                <w:rFonts w:asciiTheme="minorEastAsia" w:eastAsiaTheme="minorEastAsia" w:hAnsiTheme="minorEastAsia" w:cs="宋体" w:hint="eastAsia"/>
                <w:szCs w:val="21"/>
              </w:rPr>
            </w:pPr>
            <w:r w:rsidRPr="00A52D6A">
              <w:rPr>
                <w:rFonts w:asciiTheme="minorEastAsia" w:eastAsiaTheme="minorEastAsia" w:hAnsiTheme="minorEastAsia" w:cs="宋体" w:hint="eastAsia"/>
                <w:szCs w:val="21"/>
              </w:rPr>
              <w:t>预审稿两个表2，标题重复，数据不一致。保留哪一个？</w:t>
            </w:r>
          </w:p>
        </w:tc>
        <w:tc>
          <w:tcPr>
            <w:tcW w:w="1417" w:type="dxa"/>
            <w:vAlign w:val="center"/>
          </w:tcPr>
          <w:p w:rsidR="00A963D2" w:rsidRPr="00A52D6A" w:rsidRDefault="00A963D2" w:rsidP="006F5D3B">
            <w:pPr>
              <w:adjustRightInd w:val="0"/>
              <w:snapToGrid w:val="0"/>
              <w:spacing w:line="360" w:lineRule="auto"/>
              <w:jc w:val="center"/>
              <w:rPr>
                <w:rFonts w:asciiTheme="minorEastAsia" w:eastAsiaTheme="minorEastAsia" w:hAnsiTheme="minorEastAsia" w:cs="宋体" w:hint="eastAsia"/>
                <w:szCs w:val="21"/>
              </w:rPr>
            </w:pPr>
            <w:r w:rsidRPr="00A52D6A">
              <w:rPr>
                <w:rFonts w:asciiTheme="minorEastAsia" w:eastAsiaTheme="minorEastAsia" w:hAnsiTheme="minorEastAsia" w:cs="宋体" w:hint="eastAsia"/>
                <w:szCs w:val="21"/>
              </w:rPr>
              <w:t>四川省</w:t>
            </w:r>
            <w:proofErr w:type="gramStart"/>
            <w:r w:rsidRPr="00A52D6A">
              <w:rPr>
                <w:rFonts w:asciiTheme="minorEastAsia" w:eastAsiaTheme="minorEastAsia" w:hAnsiTheme="minorEastAsia" w:cs="宋体" w:hint="eastAsia"/>
                <w:szCs w:val="21"/>
              </w:rPr>
              <w:t>乐山锐丰冶金</w:t>
            </w:r>
            <w:proofErr w:type="gramEnd"/>
            <w:r w:rsidRPr="00A52D6A">
              <w:rPr>
                <w:rFonts w:asciiTheme="minorEastAsia" w:eastAsiaTheme="minorEastAsia" w:hAnsiTheme="minorEastAsia" w:cs="宋体" w:hint="eastAsia"/>
                <w:szCs w:val="21"/>
              </w:rPr>
              <w:t>有限公司</w:t>
            </w:r>
          </w:p>
        </w:tc>
        <w:tc>
          <w:tcPr>
            <w:tcW w:w="851" w:type="dxa"/>
            <w:vAlign w:val="center"/>
          </w:tcPr>
          <w:p w:rsidR="00A963D2" w:rsidRPr="00A52D6A" w:rsidRDefault="00A963D2" w:rsidP="006F5D3B">
            <w:pPr>
              <w:adjustRightInd w:val="0"/>
              <w:snapToGrid w:val="0"/>
              <w:spacing w:line="360" w:lineRule="auto"/>
              <w:jc w:val="center"/>
              <w:rPr>
                <w:rFonts w:asciiTheme="minorEastAsia" w:eastAsiaTheme="minorEastAsia" w:hAnsiTheme="minorEastAsia" w:cs="宋体"/>
                <w:szCs w:val="21"/>
              </w:rPr>
            </w:pPr>
            <w:r w:rsidRPr="00A52D6A">
              <w:rPr>
                <w:rFonts w:asciiTheme="minorEastAsia" w:eastAsiaTheme="minorEastAsia" w:hAnsiTheme="minorEastAsia" w:cs="宋体"/>
                <w:szCs w:val="21"/>
              </w:rPr>
              <w:t>采纳</w:t>
            </w:r>
          </w:p>
        </w:tc>
        <w:tc>
          <w:tcPr>
            <w:tcW w:w="2233" w:type="dxa"/>
            <w:vAlign w:val="center"/>
          </w:tcPr>
          <w:p w:rsidR="00A963D2" w:rsidRPr="00A52D6A" w:rsidRDefault="00A963D2" w:rsidP="00A52D6A">
            <w:pPr>
              <w:adjustRightInd w:val="0"/>
              <w:snapToGrid w:val="0"/>
              <w:spacing w:line="360" w:lineRule="auto"/>
              <w:ind w:firstLineChars="200" w:firstLine="420"/>
              <w:jc w:val="left"/>
              <w:rPr>
                <w:rFonts w:asciiTheme="minorEastAsia" w:eastAsiaTheme="minorEastAsia" w:hAnsiTheme="minorEastAsia" w:cs="宋体" w:hint="eastAsia"/>
                <w:szCs w:val="21"/>
              </w:rPr>
            </w:pPr>
            <w:r w:rsidRPr="00A52D6A">
              <w:rPr>
                <w:rFonts w:asciiTheme="minorEastAsia" w:eastAsiaTheme="minorEastAsia" w:hAnsiTheme="minorEastAsia" w:cs="宋体" w:hint="eastAsia"/>
                <w:szCs w:val="21"/>
              </w:rPr>
              <w:t>多余部分已删除</w:t>
            </w:r>
          </w:p>
        </w:tc>
      </w:tr>
      <w:tr w:rsidR="00A963D2" w:rsidTr="00A52D6A">
        <w:tc>
          <w:tcPr>
            <w:tcW w:w="822" w:type="dxa"/>
            <w:vAlign w:val="center"/>
          </w:tcPr>
          <w:p w:rsidR="00A963D2" w:rsidRPr="00A52D6A" w:rsidRDefault="00A963D2">
            <w:pPr>
              <w:adjustRightInd w:val="0"/>
              <w:snapToGrid w:val="0"/>
              <w:spacing w:line="360" w:lineRule="auto"/>
              <w:jc w:val="center"/>
              <w:rPr>
                <w:rFonts w:asciiTheme="minorEastAsia" w:eastAsiaTheme="minorEastAsia" w:hAnsiTheme="minorEastAsia" w:cs="宋体" w:hint="eastAsia"/>
                <w:szCs w:val="21"/>
              </w:rPr>
            </w:pPr>
            <w:r w:rsidRPr="00A52D6A">
              <w:rPr>
                <w:rFonts w:asciiTheme="minorEastAsia" w:eastAsiaTheme="minorEastAsia" w:hAnsiTheme="minorEastAsia" w:cs="宋体" w:hint="eastAsia"/>
                <w:szCs w:val="21"/>
              </w:rPr>
              <w:t>12</w:t>
            </w:r>
          </w:p>
        </w:tc>
        <w:tc>
          <w:tcPr>
            <w:tcW w:w="3828" w:type="dxa"/>
            <w:vAlign w:val="center"/>
          </w:tcPr>
          <w:p w:rsidR="00A963D2" w:rsidRPr="00A52D6A" w:rsidRDefault="00A963D2" w:rsidP="00A52D6A">
            <w:pPr>
              <w:adjustRightInd w:val="0"/>
              <w:snapToGrid w:val="0"/>
              <w:spacing w:line="360" w:lineRule="auto"/>
              <w:ind w:firstLineChars="200" w:firstLine="420"/>
              <w:jc w:val="left"/>
              <w:rPr>
                <w:rFonts w:asciiTheme="minorEastAsia" w:eastAsiaTheme="minorEastAsia" w:hAnsiTheme="minorEastAsia" w:cs="宋体" w:hint="eastAsia"/>
                <w:szCs w:val="21"/>
              </w:rPr>
            </w:pPr>
            <w:r w:rsidRPr="00A52D6A">
              <w:rPr>
                <w:rFonts w:asciiTheme="minorEastAsia" w:eastAsiaTheme="minorEastAsia" w:hAnsiTheme="minorEastAsia" w:cs="宋体" w:hint="eastAsia"/>
                <w:szCs w:val="21"/>
              </w:rPr>
              <w:t>预审稿</w:t>
            </w:r>
            <w:r w:rsidRPr="00A52D6A">
              <w:rPr>
                <w:rFonts w:asciiTheme="minorEastAsia" w:eastAsiaTheme="minorEastAsia" w:hAnsiTheme="minorEastAsia" w:cs="宋体" w:hint="eastAsia"/>
                <w:szCs w:val="21"/>
              </w:rPr>
              <w:t>9</w:t>
            </w:r>
            <w:r w:rsidRPr="00A52D6A">
              <w:rPr>
                <w:rFonts w:asciiTheme="minorEastAsia" w:eastAsiaTheme="minorEastAsia" w:hAnsiTheme="minorEastAsia" w:cs="宋体" w:hint="eastAsia"/>
                <w:szCs w:val="21"/>
              </w:rPr>
              <w:t>“结果保留两位有效数字”不合适。宜改为“</w:t>
            </w:r>
            <w:r w:rsidRPr="00A52D6A">
              <w:rPr>
                <w:rFonts w:asciiTheme="minorEastAsia" w:eastAsiaTheme="minorEastAsia" w:hAnsiTheme="minorEastAsia" w:cs="宋体"/>
                <w:szCs w:val="21"/>
              </w:rPr>
              <w:t>当结果&lt;1.00 %时，保留两位有效数字；当结果≥1.00 %时，保留至小数点后两位</w:t>
            </w:r>
            <w:r w:rsidRPr="00A52D6A">
              <w:rPr>
                <w:rFonts w:asciiTheme="minorEastAsia" w:eastAsiaTheme="minorEastAsia" w:hAnsiTheme="minorEastAsia" w:cs="宋体" w:hint="eastAsia"/>
                <w:szCs w:val="21"/>
              </w:rPr>
              <w:t>”。</w:t>
            </w:r>
          </w:p>
        </w:tc>
        <w:tc>
          <w:tcPr>
            <w:tcW w:w="1417" w:type="dxa"/>
            <w:vAlign w:val="center"/>
          </w:tcPr>
          <w:p w:rsidR="00A963D2" w:rsidRPr="00A52D6A" w:rsidRDefault="00A963D2" w:rsidP="006F5D3B">
            <w:pPr>
              <w:adjustRightInd w:val="0"/>
              <w:snapToGrid w:val="0"/>
              <w:spacing w:line="360" w:lineRule="auto"/>
              <w:jc w:val="center"/>
              <w:rPr>
                <w:rFonts w:asciiTheme="minorEastAsia" w:eastAsiaTheme="minorEastAsia" w:hAnsiTheme="minorEastAsia" w:cs="宋体" w:hint="eastAsia"/>
                <w:szCs w:val="21"/>
              </w:rPr>
            </w:pPr>
            <w:r w:rsidRPr="00A52D6A">
              <w:rPr>
                <w:rFonts w:asciiTheme="minorEastAsia" w:eastAsiaTheme="minorEastAsia" w:hAnsiTheme="minorEastAsia" w:cs="宋体" w:hint="eastAsia"/>
                <w:szCs w:val="21"/>
              </w:rPr>
              <w:t>四川省</w:t>
            </w:r>
            <w:proofErr w:type="gramStart"/>
            <w:r w:rsidRPr="00A52D6A">
              <w:rPr>
                <w:rFonts w:asciiTheme="minorEastAsia" w:eastAsiaTheme="minorEastAsia" w:hAnsiTheme="minorEastAsia" w:cs="宋体" w:hint="eastAsia"/>
                <w:szCs w:val="21"/>
              </w:rPr>
              <w:t>乐山锐丰冶金</w:t>
            </w:r>
            <w:proofErr w:type="gramEnd"/>
            <w:r w:rsidRPr="00A52D6A">
              <w:rPr>
                <w:rFonts w:asciiTheme="minorEastAsia" w:eastAsiaTheme="minorEastAsia" w:hAnsiTheme="minorEastAsia" w:cs="宋体" w:hint="eastAsia"/>
                <w:szCs w:val="21"/>
              </w:rPr>
              <w:t>有限公司</w:t>
            </w:r>
          </w:p>
        </w:tc>
        <w:tc>
          <w:tcPr>
            <w:tcW w:w="851" w:type="dxa"/>
            <w:vAlign w:val="center"/>
          </w:tcPr>
          <w:p w:rsidR="00A963D2" w:rsidRPr="00A52D6A" w:rsidRDefault="00A963D2" w:rsidP="006F5D3B">
            <w:pPr>
              <w:adjustRightInd w:val="0"/>
              <w:snapToGrid w:val="0"/>
              <w:spacing w:line="360" w:lineRule="auto"/>
              <w:jc w:val="center"/>
              <w:rPr>
                <w:rFonts w:asciiTheme="minorEastAsia" w:eastAsiaTheme="minorEastAsia" w:hAnsiTheme="minorEastAsia" w:cs="宋体"/>
                <w:szCs w:val="21"/>
              </w:rPr>
            </w:pPr>
            <w:r w:rsidRPr="00A52D6A">
              <w:rPr>
                <w:rFonts w:asciiTheme="minorEastAsia" w:eastAsiaTheme="minorEastAsia" w:hAnsiTheme="minorEastAsia" w:cs="宋体"/>
                <w:szCs w:val="21"/>
              </w:rPr>
              <w:t>采纳</w:t>
            </w:r>
          </w:p>
        </w:tc>
        <w:tc>
          <w:tcPr>
            <w:tcW w:w="2233" w:type="dxa"/>
            <w:vAlign w:val="center"/>
          </w:tcPr>
          <w:p w:rsidR="00A963D2" w:rsidRPr="00A52D6A" w:rsidRDefault="00A963D2" w:rsidP="00A52D6A">
            <w:pPr>
              <w:adjustRightInd w:val="0"/>
              <w:snapToGrid w:val="0"/>
              <w:spacing w:line="360" w:lineRule="auto"/>
              <w:ind w:firstLineChars="200" w:firstLine="420"/>
              <w:jc w:val="left"/>
              <w:rPr>
                <w:rFonts w:asciiTheme="minorEastAsia" w:eastAsiaTheme="minorEastAsia" w:hAnsiTheme="minorEastAsia" w:cs="宋体" w:hint="eastAsia"/>
                <w:szCs w:val="21"/>
              </w:rPr>
            </w:pPr>
            <w:r w:rsidRPr="00A52D6A">
              <w:rPr>
                <w:rFonts w:asciiTheme="minorEastAsia" w:eastAsiaTheme="minorEastAsia" w:hAnsiTheme="minorEastAsia" w:cs="宋体" w:hint="eastAsia"/>
                <w:szCs w:val="21"/>
              </w:rPr>
              <w:t>按建议更改。</w:t>
            </w:r>
          </w:p>
        </w:tc>
      </w:tr>
      <w:tr w:rsidR="00A963D2" w:rsidTr="00A52D6A">
        <w:tc>
          <w:tcPr>
            <w:tcW w:w="822" w:type="dxa"/>
            <w:vAlign w:val="center"/>
          </w:tcPr>
          <w:p w:rsidR="00A963D2" w:rsidRPr="00A52D6A" w:rsidRDefault="00A963D2">
            <w:pPr>
              <w:adjustRightInd w:val="0"/>
              <w:snapToGrid w:val="0"/>
              <w:spacing w:line="360" w:lineRule="auto"/>
              <w:jc w:val="center"/>
              <w:rPr>
                <w:rFonts w:asciiTheme="minorEastAsia" w:eastAsiaTheme="minorEastAsia" w:hAnsiTheme="minorEastAsia" w:cs="宋体" w:hint="eastAsia"/>
                <w:szCs w:val="21"/>
              </w:rPr>
            </w:pPr>
            <w:r w:rsidRPr="00A52D6A">
              <w:rPr>
                <w:rFonts w:asciiTheme="minorEastAsia" w:eastAsiaTheme="minorEastAsia" w:hAnsiTheme="minorEastAsia" w:cs="宋体" w:hint="eastAsia"/>
                <w:szCs w:val="21"/>
              </w:rPr>
              <w:t>13</w:t>
            </w:r>
          </w:p>
        </w:tc>
        <w:tc>
          <w:tcPr>
            <w:tcW w:w="3828" w:type="dxa"/>
            <w:vAlign w:val="center"/>
          </w:tcPr>
          <w:p w:rsidR="00A963D2" w:rsidRPr="00A52D6A" w:rsidRDefault="00A963D2" w:rsidP="00A52D6A">
            <w:pPr>
              <w:adjustRightInd w:val="0"/>
              <w:snapToGrid w:val="0"/>
              <w:spacing w:line="360" w:lineRule="auto"/>
              <w:ind w:firstLineChars="200" w:firstLine="420"/>
              <w:jc w:val="left"/>
              <w:rPr>
                <w:rFonts w:asciiTheme="minorEastAsia" w:eastAsiaTheme="minorEastAsia" w:hAnsiTheme="minorEastAsia" w:hint="eastAsia"/>
                <w:spacing w:val="6"/>
                <w:szCs w:val="21"/>
              </w:rPr>
            </w:pPr>
            <w:r w:rsidRPr="00A52D6A">
              <w:rPr>
                <w:rFonts w:asciiTheme="minorEastAsia" w:eastAsiaTheme="minorEastAsia" w:hAnsiTheme="minorEastAsia" w:cs="宋体" w:hint="eastAsia"/>
                <w:szCs w:val="21"/>
              </w:rPr>
              <w:t>预审稿</w:t>
            </w:r>
            <w:r w:rsidRPr="00A52D6A">
              <w:rPr>
                <w:rFonts w:asciiTheme="minorEastAsia" w:eastAsiaTheme="minorEastAsia" w:hAnsiTheme="minorEastAsia" w:cs="宋体" w:hint="eastAsia"/>
                <w:szCs w:val="21"/>
              </w:rPr>
              <w:t>10</w:t>
            </w:r>
            <w:r w:rsidRPr="00A52D6A">
              <w:rPr>
                <w:rFonts w:asciiTheme="minorEastAsia" w:eastAsiaTheme="minorEastAsia" w:hAnsiTheme="minorEastAsia" w:cs="宋体" w:hint="eastAsia"/>
                <w:szCs w:val="21"/>
              </w:rPr>
              <w:t>“由</w:t>
            </w:r>
            <w:r w:rsidRPr="00A52D6A">
              <w:rPr>
                <w:rFonts w:asciiTheme="minorEastAsia" w:eastAsiaTheme="minorEastAsia" w:hAnsiTheme="minorEastAsia" w:cs="宋体"/>
                <w:szCs w:val="21"/>
              </w:rPr>
              <w:t>6</w:t>
            </w:r>
            <w:r w:rsidRPr="00A52D6A">
              <w:rPr>
                <w:rFonts w:asciiTheme="minorEastAsia" w:eastAsiaTheme="minorEastAsia" w:hAnsiTheme="minorEastAsia" w:cs="宋体" w:hint="eastAsia"/>
                <w:szCs w:val="21"/>
              </w:rPr>
              <w:t>家实验室对</w:t>
            </w:r>
            <w:r w:rsidRPr="00A52D6A">
              <w:rPr>
                <w:rFonts w:asciiTheme="minorEastAsia" w:eastAsiaTheme="minorEastAsia" w:hAnsiTheme="minorEastAsia" w:cs="宋体"/>
                <w:szCs w:val="21"/>
              </w:rPr>
              <w:t>50</w:t>
            </w:r>
            <w:r w:rsidRPr="00A52D6A">
              <w:rPr>
                <w:rFonts w:asciiTheme="minorEastAsia" w:eastAsiaTheme="minorEastAsia" w:hAnsiTheme="minorEastAsia" w:cs="宋体" w:hint="eastAsia"/>
                <w:szCs w:val="21"/>
              </w:rPr>
              <w:t>矿、包头矿、四川矿、独居石的</w:t>
            </w:r>
            <w:r w:rsidRPr="00A52D6A">
              <w:rPr>
                <w:rFonts w:asciiTheme="minorEastAsia" w:eastAsiaTheme="minorEastAsia" w:hAnsiTheme="minorEastAsia" w:cs="宋体"/>
                <w:szCs w:val="21"/>
              </w:rPr>
              <w:t>4</w:t>
            </w:r>
            <w:r w:rsidRPr="00A52D6A">
              <w:rPr>
                <w:rFonts w:asciiTheme="minorEastAsia" w:eastAsiaTheme="minorEastAsia" w:hAnsiTheme="minorEastAsia" w:cs="宋体" w:hint="eastAsia"/>
                <w:szCs w:val="21"/>
              </w:rPr>
              <w:t>个不同水平样品”中“</w:t>
            </w:r>
            <w:r w:rsidRPr="00A52D6A">
              <w:rPr>
                <w:rFonts w:asciiTheme="minorEastAsia" w:eastAsiaTheme="minorEastAsia" w:hAnsiTheme="minorEastAsia" w:cs="宋体"/>
                <w:szCs w:val="21"/>
              </w:rPr>
              <w:t>50</w:t>
            </w:r>
            <w:r w:rsidRPr="00A52D6A">
              <w:rPr>
                <w:rFonts w:asciiTheme="minorEastAsia" w:eastAsiaTheme="minorEastAsia" w:hAnsiTheme="minorEastAsia" w:cs="宋体" w:hint="eastAsia"/>
                <w:szCs w:val="21"/>
              </w:rPr>
              <w:t>矿、包头矿、四川矿”表达不准确，《稀土术语》中没有定义。建议修改为“由</w:t>
            </w:r>
            <w:r w:rsidRPr="00A52D6A">
              <w:rPr>
                <w:rFonts w:asciiTheme="minorEastAsia" w:eastAsiaTheme="minorEastAsia" w:hAnsiTheme="minorEastAsia" w:cs="宋体"/>
                <w:szCs w:val="21"/>
              </w:rPr>
              <w:t>6</w:t>
            </w:r>
            <w:r w:rsidRPr="00A52D6A">
              <w:rPr>
                <w:rFonts w:asciiTheme="minorEastAsia" w:eastAsiaTheme="minorEastAsia" w:hAnsiTheme="minorEastAsia" w:cs="宋体" w:hint="eastAsia"/>
                <w:szCs w:val="21"/>
              </w:rPr>
              <w:t>家实验室对稀土精矿</w:t>
            </w:r>
            <w:r w:rsidRPr="00A52D6A">
              <w:rPr>
                <w:rFonts w:asciiTheme="minorEastAsia" w:eastAsiaTheme="minorEastAsia" w:hAnsiTheme="minorEastAsia" w:cs="宋体"/>
                <w:szCs w:val="21"/>
              </w:rPr>
              <w:t>4</w:t>
            </w:r>
            <w:r w:rsidRPr="00A52D6A">
              <w:rPr>
                <w:rFonts w:asciiTheme="minorEastAsia" w:eastAsiaTheme="minorEastAsia" w:hAnsiTheme="minorEastAsia" w:cs="宋体" w:hint="eastAsia"/>
                <w:szCs w:val="21"/>
              </w:rPr>
              <w:t>个不同水平样品”</w:t>
            </w:r>
          </w:p>
        </w:tc>
        <w:tc>
          <w:tcPr>
            <w:tcW w:w="1417" w:type="dxa"/>
            <w:vAlign w:val="center"/>
          </w:tcPr>
          <w:p w:rsidR="00A963D2" w:rsidRPr="00A52D6A" w:rsidRDefault="00A963D2" w:rsidP="006F5D3B">
            <w:pPr>
              <w:adjustRightInd w:val="0"/>
              <w:snapToGrid w:val="0"/>
              <w:spacing w:line="360" w:lineRule="auto"/>
              <w:jc w:val="center"/>
              <w:rPr>
                <w:rFonts w:asciiTheme="minorEastAsia" w:eastAsiaTheme="minorEastAsia" w:hAnsiTheme="minorEastAsia" w:cs="宋体" w:hint="eastAsia"/>
                <w:szCs w:val="21"/>
              </w:rPr>
            </w:pPr>
            <w:r w:rsidRPr="00A52D6A">
              <w:rPr>
                <w:rFonts w:asciiTheme="minorEastAsia" w:eastAsiaTheme="minorEastAsia" w:hAnsiTheme="minorEastAsia" w:cs="宋体" w:hint="eastAsia"/>
                <w:szCs w:val="21"/>
              </w:rPr>
              <w:t>四川省</w:t>
            </w:r>
            <w:proofErr w:type="gramStart"/>
            <w:r w:rsidRPr="00A52D6A">
              <w:rPr>
                <w:rFonts w:asciiTheme="minorEastAsia" w:eastAsiaTheme="minorEastAsia" w:hAnsiTheme="minorEastAsia" w:cs="宋体" w:hint="eastAsia"/>
                <w:szCs w:val="21"/>
              </w:rPr>
              <w:t>乐山锐丰冶金</w:t>
            </w:r>
            <w:proofErr w:type="gramEnd"/>
            <w:r w:rsidRPr="00A52D6A">
              <w:rPr>
                <w:rFonts w:asciiTheme="minorEastAsia" w:eastAsiaTheme="minorEastAsia" w:hAnsiTheme="minorEastAsia" w:cs="宋体" w:hint="eastAsia"/>
                <w:szCs w:val="21"/>
              </w:rPr>
              <w:t>有限公司</w:t>
            </w:r>
          </w:p>
        </w:tc>
        <w:tc>
          <w:tcPr>
            <w:tcW w:w="851" w:type="dxa"/>
            <w:vAlign w:val="center"/>
          </w:tcPr>
          <w:p w:rsidR="00A963D2" w:rsidRPr="00A52D6A" w:rsidRDefault="00A963D2" w:rsidP="006F5D3B">
            <w:pPr>
              <w:adjustRightInd w:val="0"/>
              <w:snapToGrid w:val="0"/>
              <w:spacing w:line="360" w:lineRule="auto"/>
              <w:jc w:val="center"/>
              <w:rPr>
                <w:rFonts w:asciiTheme="minorEastAsia" w:eastAsiaTheme="minorEastAsia" w:hAnsiTheme="minorEastAsia" w:cs="宋体"/>
                <w:szCs w:val="21"/>
              </w:rPr>
            </w:pPr>
          </w:p>
        </w:tc>
        <w:tc>
          <w:tcPr>
            <w:tcW w:w="2233" w:type="dxa"/>
            <w:vAlign w:val="center"/>
          </w:tcPr>
          <w:p w:rsidR="00A963D2" w:rsidRPr="00A52D6A" w:rsidRDefault="00A963D2" w:rsidP="00A52D6A">
            <w:pPr>
              <w:adjustRightInd w:val="0"/>
              <w:snapToGrid w:val="0"/>
              <w:spacing w:line="360" w:lineRule="auto"/>
              <w:ind w:firstLineChars="200" w:firstLine="420"/>
              <w:jc w:val="left"/>
              <w:rPr>
                <w:rFonts w:asciiTheme="minorEastAsia" w:eastAsiaTheme="minorEastAsia" w:hAnsiTheme="minorEastAsia" w:cs="宋体" w:hint="eastAsia"/>
                <w:szCs w:val="21"/>
              </w:rPr>
            </w:pPr>
            <w:r w:rsidRPr="00A52D6A">
              <w:rPr>
                <w:rFonts w:asciiTheme="minorEastAsia" w:eastAsiaTheme="minorEastAsia" w:hAnsiTheme="minorEastAsia" w:cs="宋体" w:hint="eastAsia"/>
                <w:szCs w:val="21"/>
              </w:rPr>
              <w:t>按建议更改。</w:t>
            </w:r>
          </w:p>
        </w:tc>
      </w:tr>
    </w:tbl>
    <w:p w:rsidR="006168F6" w:rsidRDefault="00B003EF">
      <w:pPr>
        <w:numPr>
          <w:ilvl w:val="0"/>
          <w:numId w:val="2"/>
        </w:numPr>
        <w:spacing w:beforeLines="50" w:before="156" w:afterLines="50" w:after="156" w:line="300" w:lineRule="auto"/>
        <w:jc w:val="left"/>
        <w:rPr>
          <w:rFonts w:ascii="宋体" w:hAnsi="宋体" w:cs="宋体"/>
          <w:b/>
          <w:bCs/>
          <w:sz w:val="24"/>
          <w:szCs w:val="22"/>
        </w:rPr>
      </w:pPr>
      <w:r>
        <w:rPr>
          <w:rFonts w:ascii="宋体" w:hAnsi="宋体" w:cs="宋体" w:hint="eastAsia"/>
          <w:b/>
          <w:sz w:val="24"/>
        </w:rPr>
        <w:t>标准编制原则</w:t>
      </w:r>
    </w:p>
    <w:p w:rsidR="006168F6" w:rsidRDefault="00B003EF">
      <w:pPr>
        <w:pStyle w:val="afffa"/>
        <w:tabs>
          <w:tab w:val="clear" w:pos="675"/>
        </w:tabs>
        <w:spacing w:beforeLines="50" w:before="156" w:afterLines="50" w:after="156"/>
        <w:ind w:left="0" w:firstLineChars="100" w:firstLine="210"/>
        <w:jc w:val="left"/>
        <w:rPr>
          <w:rFonts w:ascii="宋体" w:eastAsia="宋体" w:hAnsi="宋体" w:cs="宋体"/>
        </w:rPr>
      </w:pPr>
      <w:r>
        <w:rPr>
          <w:rFonts w:ascii="宋体" w:eastAsia="宋体" w:hAnsi="宋体" w:cs="宋体" w:hint="eastAsia"/>
        </w:rPr>
        <w:t>本标准在起草过程中遵循以下原则：</w:t>
      </w:r>
    </w:p>
    <w:p w:rsidR="006168F6" w:rsidRDefault="00B003EF">
      <w:r>
        <w:rPr>
          <w:rFonts w:hint="eastAsia"/>
        </w:rPr>
        <w:t>1.</w:t>
      </w:r>
      <w:r>
        <w:rPr>
          <w:rFonts w:hint="eastAsia"/>
        </w:rPr>
        <w:t>规范性</w:t>
      </w:r>
    </w:p>
    <w:p w:rsidR="006168F6" w:rsidRDefault="00B003EF">
      <w:pPr>
        <w:pStyle w:val="afffc"/>
        <w:widowControl/>
        <w:rPr>
          <w:rFonts w:ascii="宋体" w:hAnsi="宋体" w:cs="宋体"/>
        </w:rPr>
      </w:pPr>
      <w:r>
        <w:rPr>
          <w:rFonts w:ascii="宋体" w:hAnsi="宋体" w:cs="宋体" w:hint="eastAsia"/>
        </w:rPr>
        <w:t>本标准是根据GB/T 1.1-2020《标准化工作导则 第1部分：标准化文件的结构和起草规则》和GB/T 20001.4-2015《标准编写规则 第4部分：试验方法标准》的要求进行编写的。</w:t>
      </w:r>
    </w:p>
    <w:p w:rsidR="006168F6" w:rsidRDefault="00B003EF">
      <w:r>
        <w:rPr>
          <w:rFonts w:hint="eastAsia"/>
        </w:rPr>
        <w:t>2.</w:t>
      </w:r>
      <w:r>
        <w:rPr>
          <w:rFonts w:hint="eastAsia"/>
        </w:rPr>
        <w:t>适用性</w:t>
      </w:r>
    </w:p>
    <w:p w:rsidR="006168F6" w:rsidRDefault="00B003EF">
      <w:pPr>
        <w:widowControl/>
        <w:ind w:firstLineChars="200" w:firstLine="420"/>
        <w:rPr>
          <w:rFonts w:ascii="宋体" w:hAnsi="宋体" w:cs="宋体"/>
        </w:rPr>
      </w:pPr>
      <w:r>
        <w:rPr>
          <w:rFonts w:ascii="宋体" w:hAnsi="宋体" w:cs="宋体" w:hint="eastAsia"/>
        </w:rPr>
        <w:t>本标准根据现有</w:t>
      </w:r>
      <w:r>
        <w:rPr>
          <w:rFonts w:ascii="宋体" w:hAnsi="宋体" w:cs="宋体"/>
        </w:rPr>
        <w:t>产品</w:t>
      </w:r>
      <w:r>
        <w:rPr>
          <w:rFonts w:ascii="宋体" w:hAnsi="宋体" w:cs="宋体" w:hint="eastAsia"/>
        </w:rPr>
        <w:t>标准所规定的各项指标要求，参考生产工艺与贸易的实际情况制定的。本标准在制定时着重于准确、简单、快速、成本低的特点，能更好的满足客户及操作人员的要求。</w:t>
      </w:r>
    </w:p>
    <w:p w:rsidR="006168F6" w:rsidRDefault="00B003EF">
      <w:pPr>
        <w:pStyle w:val="afffa"/>
        <w:tabs>
          <w:tab w:val="clear" w:pos="675"/>
        </w:tabs>
        <w:spacing w:beforeLines="50" w:before="156" w:afterLines="50" w:after="156"/>
        <w:ind w:left="0" w:firstLine="0"/>
        <w:jc w:val="left"/>
        <w:rPr>
          <w:rFonts w:ascii="宋体" w:eastAsia="宋体" w:hAnsi="宋体" w:cs="宋体"/>
          <w:b/>
          <w:bCs/>
          <w:sz w:val="24"/>
          <w:szCs w:val="22"/>
        </w:rPr>
      </w:pPr>
      <w:r>
        <w:rPr>
          <w:rFonts w:ascii="宋体" w:eastAsia="宋体" w:hAnsi="宋体" w:cs="宋体" w:hint="eastAsia"/>
          <w:b/>
          <w:bCs/>
          <w:sz w:val="24"/>
          <w:szCs w:val="22"/>
        </w:rPr>
        <w:lastRenderedPageBreak/>
        <w:t>三、标准</w:t>
      </w:r>
      <w:r>
        <w:rPr>
          <w:rFonts w:ascii="宋体" w:eastAsia="宋体" w:hAnsi="宋体" w:cs="宋体"/>
          <w:b/>
          <w:bCs/>
          <w:sz w:val="24"/>
          <w:szCs w:val="22"/>
        </w:rPr>
        <w:t>主要技术内容、确定的依据</w:t>
      </w:r>
      <w:r>
        <w:rPr>
          <w:rFonts w:ascii="宋体" w:eastAsia="宋体" w:hAnsi="宋体" w:cs="宋体" w:hint="eastAsia"/>
          <w:b/>
          <w:bCs/>
          <w:sz w:val="24"/>
          <w:szCs w:val="22"/>
        </w:rPr>
        <w:t>及主要试验和验证情况</w:t>
      </w:r>
    </w:p>
    <w:p w:rsidR="006F5D3B" w:rsidRPr="00EC7FE4" w:rsidRDefault="00571B1F" w:rsidP="00EC7FE4">
      <w:pPr>
        <w:spacing w:line="400" w:lineRule="atLeast"/>
        <w:jc w:val="left"/>
        <w:rPr>
          <w:rFonts w:ascii="宋体" w:hAnsi="宋体" w:cs="宋体"/>
          <w:b/>
          <w:bCs/>
          <w:szCs w:val="21"/>
        </w:rPr>
      </w:pPr>
      <w:r>
        <w:rPr>
          <w:rFonts w:ascii="宋体" w:hAnsi="宋体" w:cs="宋体" w:hint="eastAsia"/>
          <w:b/>
          <w:bCs/>
          <w:szCs w:val="21"/>
        </w:rPr>
        <w:t>3</w:t>
      </w:r>
      <w:r w:rsidR="006F5D3B" w:rsidRPr="00EC7FE4">
        <w:rPr>
          <w:rFonts w:ascii="宋体" w:hAnsi="宋体" w:cs="宋体" w:hint="eastAsia"/>
          <w:b/>
          <w:bCs/>
          <w:szCs w:val="21"/>
        </w:rPr>
        <w:t>.1 编制原则与依据</w:t>
      </w:r>
    </w:p>
    <w:p w:rsidR="006F5D3B" w:rsidRPr="00EC7FE4" w:rsidRDefault="00571B1F" w:rsidP="00EC7FE4">
      <w:pPr>
        <w:spacing w:line="400" w:lineRule="atLeast"/>
        <w:jc w:val="left"/>
        <w:rPr>
          <w:rFonts w:ascii="宋体" w:hAnsi="宋体" w:cs="宋体"/>
          <w:szCs w:val="21"/>
        </w:rPr>
      </w:pPr>
      <w:r>
        <w:rPr>
          <w:rFonts w:ascii="宋体" w:hAnsi="宋体" w:cs="宋体" w:hint="eastAsia"/>
          <w:szCs w:val="21"/>
        </w:rPr>
        <w:t>3</w:t>
      </w:r>
      <w:r w:rsidR="006F5D3B" w:rsidRPr="00EC7FE4">
        <w:rPr>
          <w:rFonts w:ascii="宋体" w:hAnsi="宋体" w:cs="宋体" w:hint="eastAsia"/>
          <w:szCs w:val="21"/>
        </w:rPr>
        <w:t>.1.1标准的格式严格按照GB/T 1.1-2009《标准化工作导则第1部分：标准的结构和编写》的规定进行。</w:t>
      </w:r>
    </w:p>
    <w:p w:rsidR="006F5D3B" w:rsidRPr="00EC7FE4" w:rsidRDefault="00571B1F" w:rsidP="00EC7FE4">
      <w:pPr>
        <w:spacing w:line="400" w:lineRule="atLeast"/>
        <w:jc w:val="left"/>
        <w:rPr>
          <w:rFonts w:ascii="宋体" w:hAnsi="宋体" w:cs="宋体"/>
          <w:szCs w:val="21"/>
        </w:rPr>
      </w:pPr>
      <w:r>
        <w:rPr>
          <w:rFonts w:ascii="宋体" w:hAnsi="宋体" w:cs="宋体" w:hint="eastAsia"/>
          <w:szCs w:val="21"/>
        </w:rPr>
        <w:t>3</w:t>
      </w:r>
      <w:r w:rsidR="006F5D3B" w:rsidRPr="00EC7FE4">
        <w:rPr>
          <w:rFonts w:ascii="宋体" w:hAnsi="宋体" w:cs="宋体" w:hint="eastAsia"/>
          <w:szCs w:val="21"/>
        </w:rPr>
        <w:t>.1.2根据测定元素的不同，最终确定各元素测定方法的允许差。</w:t>
      </w:r>
    </w:p>
    <w:p w:rsidR="006F5D3B" w:rsidRDefault="00571B1F" w:rsidP="00EC7FE4">
      <w:pPr>
        <w:spacing w:line="400" w:lineRule="atLeast"/>
        <w:jc w:val="left"/>
        <w:rPr>
          <w:rFonts w:ascii="宋体" w:hAnsi="宋体" w:cs="宋体"/>
          <w:szCs w:val="21"/>
        </w:rPr>
      </w:pPr>
      <w:r>
        <w:rPr>
          <w:rFonts w:ascii="宋体" w:hAnsi="宋体" w:cs="宋体" w:hint="eastAsia"/>
          <w:szCs w:val="21"/>
        </w:rPr>
        <w:t>3</w:t>
      </w:r>
      <w:r w:rsidR="006F5D3B">
        <w:rPr>
          <w:rFonts w:ascii="宋体" w:hAnsi="宋体" w:cs="宋体" w:hint="eastAsia"/>
          <w:szCs w:val="21"/>
        </w:rPr>
        <w:t>.1.3根据目前稀土</w:t>
      </w:r>
      <w:r w:rsidR="00EC7FE4">
        <w:rPr>
          <w:rFonts w:ascii="宋体" w:hAnsi="宋体" w:cs="宋体" w:hint="eastAsia"/>
          <w:szCs w:val="21"/>
        </w:rPr>
        <w:t>矿</w:t>
      </w:r>
      <w:r w:rsidR="006F5D3B">
        <w:rPr>
          <w:rFonts w:ascii="宋体" w:hAnsi="宋体" w:cs="宋体" w:hint="eastAsia"/>
          <w:szCs w:val="21"/>
        </w:rPr>
        <w:t>的生产、应用和贸易要求确定分析方法及测定范围。</w:t>
      </w:r>
    </w:p>
    <w:p w:rsidR="006F5D3B" w:rsidRDefault="00571B1F" w:rsidP="00EC7FE4">
      <w:pPr>
        <w:spacing w:line="400" w:lineRule="atLeast"/>
        <w:jc w:val="left"/>
        <w:rPr>
          <w:rFonts w:ascii="宋体" w:hAnsi="宋体" w:cs="宋体"/>
          <w:szCs w:val="21"/>
        </w:rPr>
      </w:pPr>
      <w:r>
        <w:rPr>
          <w:rFonts w:ascii="宋体" w:hAnsi="宋体" w:cs="宋体" w:hint="eastAsia"/>
          <w:szCs w:val="21"/>
        </w:rPr>
        <w:t>3</w:t>
      </w:r>
      <w:r w:rsidR="006F5D3B">
        <w:rPr>
          <w:rFonts w:ascii="宋体" w:hAnsi="宋体" w:cs="宋体" w:hint="eastAsia"/>
          <w:szCs w:val="21"/>
        </w:rPr>
        <w:t>.1.4本标准选择方法的原则主要考虑方法的适用性、准确性和一定的先进性。</w:t>
      </w:r>
    </w:p>
    <w:p w:rsidR="006F5D3B" w:rsidRDefault="00571B1F" w:rsidP="00EC7FE4">
      <w:pPr>
        <w:spacing w:line="400" w:lineRule="atLeast"/>
        <w:jc w:val="left"/>
        <w:rPr>
          <w:rFonts w:ascii="宋体" w:hAnsi="宋体" w:cs="宋体"/>
          <w:szCs w:val="21"/>
        </w:rPr>
      </w:pPr>
      <w:r>
        <w:rPr>
          <w:rFonts w:ascii="宋体" w:hAnsi="宋体" w:cs="宋体" w:hint="eastAsia"/>
          <w:szCs w:val="21"/>
        </w:rPr>
        <w:t>3</w:t>
      </w:r>
      <w:r w:rsidR="006F5D3B">
        <w:rPr>
          <w:rFonts w:ascii="宋体" w:hAnsi="宋体" w:cs="宋体" w:hint="eastAsia"/>
          <w:szCs w:val="21"/>
        </w:rPr>
        <w:t>.1.5根据任务落实会议纪要，确定每一方法检测的各要素。</w:t>
      </w:r>
    </w:p>
    <w:p w:rsidR="006F5D3B" w:rsidRDefault="00571B1F" w:rsidP="00EC7FE4">
      <w:pPr>
        <w:spacing w:line="400" w:lineRule="atLeast"/>
        <w:jc w:val="left"/>
        <w:rPr>
          <w:rFonts w:ascii="宋体" w:hAnsi="宋体" w:cs="宋体"/>
          <w:b/>
          <w:bCs/>
          <w:szCs w:val="21"/>
        </w:rPr>
      </w:pPr>
      <w:r>
        <w:rPr>
          <w:rFonts w:ascii="宋体" w:hAnsi="宋体" w:cs="宋体" w:hint="eastAsia"/>
          <w:b/>
          <w:bCs/>
          <w:szCs w:val="21"/>
        </w:rPr>
        <w:t>3</w:t>
      </w:r>
      <w:r w:rsidR="006F5D3B">
        <w:rPr>
          <w:rFonts w:ascii="宋体" w:hAnsi="宋体" w:cs="宋体" w:hint="eastAsia"/>
          <w:b/>
          <w:bCs/>
          <w:szCs w:val="21"/>
        </w:rPr>
        <w:t>.2标准技术内容说明</w:t>
      </w:r>
    </w:p>
    <w:p w:rsidR="006F5D3B" w:rsidRDefault="00571B1F" w:rsidP="00EC7FE4">
      <w:pPr>
        <w:spacing w:line="400" w:lineRule="atLeast"/>
        <w:jc w:val="left"/>
        <w:rPr>
          <w:rFonts w:ascii="宋体" w:hAnsi="宋体" w:cs="宋体"/>
          <w:b/>
          <w:bCs/>
          <w:szCs w:val="21"/>
        </w:rPr>
      </w:pPr>
      <w:r>
        <w:rPr>
          <w:rFonts w:ascii="宋体" w:hAnsi="宋体" w:cs="宋体" w:hint="eastAsia"/>
          <w:b/>
          <w:bCs/>
          <w:szCs w:val="21"/>
        </w:rPr>
        <w:t>3</w:t>
      </w:r>
      <w:r w:rsidR="006F5D3B">
        <w:rPr>
          <w:rFonts w:ascii="宋体" w:hAnsi="宋体" w:cs="宋体" w:hint="eastAsia"/>
          <w:b/>
          <w:bCs/>
          <w:szCs w:val="21"/>
        </w:rPr>
        <w:t>.2.1主要技术变化</w:t>
      </w:r>
    </w:p>
    <w:p w:rsidR="001A44D1" w:rsidRDefault="00594359" w:rsidP="00594359">
      <w:pPr>
        <w:pStyle w:val="afffb"/>
        <w:tabs>
          <w:tab w:val="center" w:pos="4201"/>
          <w:tab w:val="right" w:leader="dot" w:pos="9298"/>
        </w:tabs>
        <w:adjustRightInd w:val="0"/>
        <w:snapToGrid w:val="0"/>
        <w:spacing w:line="320" w:lineRule="exact"/>
        <w:ind w:right="1470" w:firstLine="420"/>
        <w:rPr>
          <w:rFonts w:ascii="Times New Roman"/>
          <w:szCs w:val="21"/>
        </w:rPr>
      </w:pPr>
      <w:r>
        <w:rPr>
          <w:rFonts w:ascii="Times New Roman" w:hint="eastAsia"/>
          <w:szCs w:val="21"/>
        </w:rPr>
        <w:t>——</w:t>
      </w:r>
      <w:r w:rsidR="001A44D1">
        <w:rPr>
          <w:rFonts w:ascii="Times New Roman"/>
          <w:szCs w:val="21"/>
        </w:rPr>
        <w:t>调整</w:t>
      </w:r>
      <w:r w:rsidR="001A44D1">
        <w:rPr>
          <w:rFonts w:ascii="Times New Roman"/>
          <w:color w:val="000000"/>
          <w:szCs w:val="21"/>
        </w:rPr>
        <w:t>电感耦合等离子体发射光谱法</w:t>
      </w:r>
      <w:r w:rsidR="001A44D1">
        <w:rPr>
          <w:rFonts w:ascii="Times New Roman"/>
          <w:szCs w:val="21"/>
        </w:rPr>
        <w:t>的测定范围，将</w:t>
      </w:r>
      <w:r w:rsidR="001A44D1">
        <w:rPr>
          <w:rFonts w:ascii="Times New Roman"/>
          <w:color w:val="000000"/>
          <w:szCs w:val="21"/>
        </w:rPr>
        <w:t>氧化镨、氧化钕由</w:t>
      </w:r>
      <w:r w:rsidR="001A44D1">
        <w:rPr>
          <w:rFonts w:ascii="Times New Roman"/>
          <w:color w:val="000000"/>
          <w:szCs w:val="21"/>
        </w:rPr>
        <w:t>1.00%-10.00%</w:t>
      </w:r>
      <w:r w:rsidR="001A44D1">
        <w:rPr>
          <w:rFonts w:ascii="Times New Roman"/>
          <w:color w:val="000000"/>
          <w:szCs w:val="21"/>
        </w:rPr>
        <w:t>修改为</w:t>
      </w:r>
      <w:r w:rsidR="001A44D1">
        <w:rPr>
          <w:rFonts w:ascii="Times New Roman"/>
          <w:color w:val="000000"/>
          <w:szCs w:val="21"/>
        </w:rPr>
        <w:t>1.00%-20.00%</w:t>
      </w:r>
      <w:r w:rsidR="001A44D1">
        <w:rPr>
          <w:rFonts w:ascii="Times New Roman"/>
          <w:color w:val="000000"/>
          <w:szCs w:val="21"/>
        </w:rPr>
        <w:t>，氧化钐、氧化铕、氧化钆、氧化铽、氧化镝、氧化钬、氧化铒、氧化铥、氧化镱、氧化镥、氧化钇由</w:t>
      </w:r>
      <w:r w:rsidR="001A44D1">
        <w:rPr>
          <w:rFonts w:ascii="Times New Roman"/>
          <w:color w:val="000000"/>
          <w:szCs w:val="21"/>
        </w:rPr>
        <w:t>0.10%-10.00%</w:t>
      </w:r>
      <w:r w:rsidR="001A44D1">
        <w:rPr>
          <w:rFonts w:ascii="Times New Roman"/>
          <w:color w:val="000000"/>
          <w:szCs w:val="21"/>
        </w:rPr>
        <w:t>修改为</w:t>
      </w:r>
      <w:r w:rsidR="001A44D1">
        <w:rPr>
          <w:rFonts w:ascii="Times New Roman"/>
          <w:color w:val="000000"/>
          <w:szCs w:val="21"/>
        </w:rPr>
        <w:t>0.050%-10.00%</w:t>
      </w:r>
      <w:r w:rsidR="001A44D1">
        <w:rPr>
          <w:rFonts w:ascii="Times New Roman"/>
          <w:color w:val="000000"/>
          <w:szCs w:val="21"/>
        </w:rPr>
        <w:t>；</w:t>
      </w:r>
    </w:p>
    <w:p w:rsidR="001A44D1" w:rsidRDefault="00594359" w:rsidP="001A44D1">
      <w:pPr>
        <w:pStyle w:val="afffb"/>
        <w:tabs>
          <w:tab w:val="center" w:pos="4201"/>
          <w:tab w:val="right" w:leader="dot" w:pos="9298"/>
        </w:tabs>
        <w:adjustRightInd w:val="0"/>
        <w:snapToGrid w:val="0"/>
        <w:spacing w:line="320" w:lineRule="exact"/>
        <w:ind w:firstLineChars="195" w:firstLine="409"/>
        <w:rPr>
          <w:rFonts w:ascii="Times New Roman"/>
          <w:szCs w:val="22"/>
        </w:rPr>
      </w:pPr>
      <w:r>
        <w:rPr>
          <w:rFonts w:ascii="Times New Roman" w:hint="eastAsia"/>
          <w:szCs w:val="21"/>
          <w:lang w:val="de-DE"/>
        </w:rPr>
        <w:t>——</w:t>
      </w:r>
      <w:r w:rsidR="001A44D1">
        <w:rPr>
          <w:rFonts w:ascii="Times New Roman"/>
          <w:color w:val="000000"/>
          <w:szCs w:val="21"/>
        </w:rPr>
        <w:t>电感耦合等离子体发射光谱法</w:t>
      </w:r>
      <w:r w:rsidR="001A44D1">
        <w:rPr>
          <w:rFonts w:ascii="Times New Roman"/>
          <w:szCs w:val="22"/>
        </w:rPr>
        <w:t>增加盐酸、高氯酸溶解样品制备分析试液；</w:t>
      </w:r>
    </w:p>
    <w:p w:rsidR="001A44D1" w:rsidRDefault="00594359" w:rsidP="001A44D1">
      <w:pPr>
        <w:pStyle w:val="afffb"/>
        <w:tabs>
          <w:tab w:val="center" w:pos="4201"/>
          <w:tab w:val="right" w:leader="dot" w:pos="9298"/>
        </w:tabs>
        <w:adjustRightInd w:val="0"/>
        <w:snapToGrid w:val="0"/>
        <w:spacing w:line="320" w:lineRule="exact"/>
        <w:ind w:firstLineChars="195" w:firstLine="409"/>
        <w:rPr>
          <w:rFonts w:ascii="Times New Roman"/>
          <w:szCs w:val="22"/>
        </w:rPr>
      </w:pPr>
      <w:r>
        <w:rPr>
          <w:rFonts w:ascii="Times New Roman" w:hint="eastAsia"/>
          <w:szCs w:val="22"/>
        </w:rPr>
        <w:t>——</w:t>
      </w:r>
      <w:r w:rsidR="001A44D1">
        <w:rPr>
          <w:rFonts w:ascii="Times New Roman"/>
          <w:szCs w:val="22"/>
        </w:rPr>
        <w:t>修改</w:t>
      </w:r>
      <w:r w:rsidR="001A44D1">
        <w:rPr>
          <w:rFonts w:ascii="Times New Roman"/>
          <w:color w:val="000000"/>
          <w:szCs w:val="21"/>
        </w:rPr>
        <w:t>电感耦合等离子体发射光谱法</w:t>
      </w:r>
      <w:r w:rsidR="001A44D1">
        <w:rPr>
          <w:rFonts w:ascii="Times New Roman"/>
          <w:szCs w:val="22"/>
        </w:rPr>
        <w:t>中“系列标准溶液的制备”；</w:t>
      </w:r>
    </w:p>
    <w:p w:rsidR="001A44D1" w:rsidRDefault="00594359" w:rsidP="001A44D1">
      <w:pPr>
        <w:pStyle w:val="afffb"/>
        <w:tabs>
          <w:tab w:val="center" w:pos="4201"/>
          <w:tab w:val="right" w:leader="dot" w:pos="9298"/>
        </w:tabs>
        <w:adjustRightInd w:val="0"/>
        <w:snapToGrid w:val="0"/>
        <w:spacing w:line="320" w:lineRule="exact"/>
        <w:ind w:firstLineChars="195" w:firstLine="409"/>
        <w:rPr>
          <w:rFonts w:ascii="Times New Roman"/>
          <w:szCs w:val="21"/>
        </w:rPr>
      </w:pPr>
      <w:r>
        <w:rPr>
          <w:rFonts w:ascii="Times New Roman" w:hint="eastAsia"/>
          <w:szCs w:val="22"/>
        </w:rPr>
        <w:t>——</w:t>
      </w:r>
      <w:r w:rsidR="001A44D1">
        <w:rPr>
          <w:rFonts w:ascii="Times New Roman"/>
          <w:szCs w:val="22"/>
        </w:rPr>
        <w:t>修改</w:t>
      </w:r>
      <w:r w:rsidR="001A44D1">
        <w:rPr>
          <w:rFonts w:ascii="Times New Roman"/>
          <w:color w:val="000000"/>
          <w:szCs w:val="21"/>
        </w:rPr>
        <w:t>电感耦合等离子体发射光谱法</w:t>
      </w:r>
      <w:r w:rsidR="001A44D1">
        <w:rPr>
          <w:rFonts w:ascii="Times New Roman"/>
          <w:szCs w:val="22"/>
        </w:rPr>
        <w:t>“允许差”条款为“再现性”条款；</w:t>
      </w:r>
    </w:p>
    <w:p w:rsidR="006F5D3B" w:rsidRPr="00EC7FE4" w:rsidRDefault="00571B1F" w:rsidP="00EC7FE4">
      <w:pPr>
        <w:spacing w:line="400" w:lineRule="atLeast"/>
        <w:jc w:val="left"/>
        <w:rPr>
          <w:rFonts w:ascii="宋体" w:hAnsi="宋体" w:cs="宋体"/>
          <w:b/>
          <w:bCs/>
          <w:szCs w:val="21"/>
        </w:rPr>
      </w:pPr>
      <w:r>
        <w:rPr>
          <w:rFonts w:ascii="宋体" w:hAnsi="宋体" w:cs="宋体" w:hint="eastAsia"/>
          <w:b/>
          <w:bCs/>
          <w:szCs w:val="21"/>
        </w:rPr>
        <w:t>3</w:t>
      </w:r>
      <w:r w:rsidR="006F5D3B" w:rsidRPr="00EC7FE4">
        <w:rPr>
          <w:rFonts w:ascii="宋体" w:hAnsi="宋体" w:cs="宋体" w:hint="eastAsia"/>
          <w:b/>
          <w:bCs/>
          <w:szCs w:val="21"/>
        </w:rPr>
        <w:t>.2.2方法原理</w:t>
      </w:r>
    </w:p>
    <w:p w:rsidR="006F5D3B" w:rsidRDefault="00EC7FE4" w:rsidP="00EC7FE4">
      <w:pPr>
        <w:spacing w:line="400" w:lineRule="atLeast"/>
        <w:ind w:firstLineChars="200" w:firstLine="420"/>
        <w:jc w:val="left"/>
        <w:rPr>
          <w:rFonts w:ascii="宋体" w:hAnsi="宋体" w:cs="宋体"/>
          <w:szCs w:val="21"/>
        </w:rPr>
      </w:pPr>
      <w:r>
        <w:rPr>
          <w:color w:val="000000"/>
          <w:kern w:val="0"/>
          <w:szCs w:val="20"/>
        </w:rPr>
        <w:t>试料经碱熔，过滤后，</w:t>
      </w:r>
      <w:r>
        <w:rPr>
          <w:kern w:val="0"/>
          <w:szCs w:val="20"/>
        </w:rPr>
        <w:t>盐酸酸化或盐酸</w:t>
      </w:r>
      <w:r>
        <w:rPr>
          <w:color w:val="000000"/>
          <w:kern w:val="0"/>
          <w:szCs w:val="20"/>
        </w:rPr>
        <w:t>、高氯酸溶解，盐酸提取。在稀酸介质中，</w:t>
      </w:r>
      <w:r>
        <w:rPr>
          <w:kern w:val="0"/>
          <w:szCs w:val="20"/>
        </w:rPr>
        <w:t>直接以氩等离子体光源激发，进行光谱测定，测定结果进行归一化处理。</w:t>
      </w:r>
    </w:p>
    <w:p w:rsidR="006F5D3B" w:rsidRPr="00EC7FE4" w:rsidRDefault="00571B1F" w:rsidP="00EC7FE4">
      <w:pPr>
        <w:spacing w:line="400" w:lineRule="atLeast"/>
        <w:jc w:val="left"/>
        <w:rPr>
          <w:rFonts w:ascii="宋体" w:hAnsi="宋体" w:cs="宋体"/>
          <w:b/>
          <w:bCs/>
          <w:szCs w:val="21"/>
        </w:rPr>
      </w:pPr>
      <w:r>
        <w:rPr>
          <w:rFonts w:ascii="宋体" w:hAnsi="宋体" w:cs="宋体" w:hint="eastAsia"/>
          <w:b/>
          <w:bCs/>
          <w:szCs w:val="21"/>
        </w:rPr>
        <w:t>3</w:t>
      </w:r>
      <w:r w:rsidR="006F5D3B" w:rsidRPr="00EC7FE4">
        <w:rPr>
          <w:rFonts w:ascii="宋体" w:hAnsi="宋体" w:cs="宋体" w:hint="eastAsia"/>
          <w:b/>
          <w:bCs/>
          <w:szCs w:val="21"/>
        </w:rPr>
        <w:t>.2.3测定范围</w:t>
      </w:r>
    </w:p>
    <w:p w:rsidR="006F5D3B" w:rsidRDefault="006F5D3B" w:rsidP="006F5D3B">
      <w:pPr>
        <w:spacing w:line="400" w:lineRule="atLeast"/>
        <w:ind w:firstLineChars="200" w:firstLine="420"/>
        <w:jc w:val="left"/>
        <w:rPr>
          <w:rFonts w:ascii="宋体" w:hAnsi="宋体" w:cs="宋体"/>
          <w:szCs w:val="21"/>
        </w:rPr>
      </w:pPr>
      <w:r>
        <w:rPr>
          <w:rFonts w:ascii="宋体" w:hAnsi="宋体" w:cs="宋体" w:hint="eastAsia"/>
          <w:szCs w:val="21"/>
        </w:rPr>
        <w:t>测定范围见表</w:t>
      </w:r>
      <w:r w:rsidR="00C574EF">
        <w:rPr>
          <w:rFonts w:ascii="宋体" w:hAnsi="宋体" w:cs="宋体" w:hint="eastAsia"/>
          <w:szCs w:val="21"/>
        </w:rPr>
        <w:t>4</w:t>
      </w:r>
      <w:r>
        <w:rPr>
          <w:rFonts w:ascii="宋体" w:hAnsi="宋体" w:cs="宋体" w:hint="eastAsia"/>
          <w:szCs w:val="21"/>
        </w:rPr>
        <w:t>。</w:t>
      </w:r>
    </w:p>
    <w:p w:rsidR="00571B1F" w:rsidRDefault="00571B1F" w:rsidP="00571B1F">
      <w:pPr>
        <w:jc w:val="center"/>
        <w:rPr>
          <w:szCs w:val="21"/>
        </w:rPr>
      </w:pPr>
      <w:r>
        <w:rPr>
          <w:b/>
          <w:bCs/>
          <w:szCs w:val="21"/>
        </w:rPr>
        <w:t>表</w:t>
      </w:r>
      <w:r w:rsidR="00C574EF">
        <w:rPr>
          <w:rFonts w:hint="eastAsia"/>
          <w:b/>
          <w:bCs/>
          <w:szCs w:val="21"/>
        </w:rPr>
        <w:t>4</w:t>
      </w:r>
      <w:r>
        <w:rPr>
          <w:b/>
          <w:bCs/>
          <w:szCs w:val="21"/>
        </w:rPr>
        <w:t xml:space="preserve"> </w:t>
      </w:r>
      <w:r>
        <w:rPr>
          <w:b/>
          <w:bCs/>
          <w:szCs w:val="21"/>
        </w:rPr>
        <w:t>各被测元素测定范围</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778"/>
        <w:gridCol w:w="3792"/>
      </w:tblGrid>
      <w:tr w:rsidR="00571B1F" w:rsidTr="00492B9E">
        <w:trPr>
          <w:cantSplit/>
          <w:trHeight w:val="390"/>
          <w:jc w:val="center"/>
        </w:trPr>
        <w:tc>
          <w:tcPr>
            <w:tcW w:w="5778" w:type="dxa"/>
            <w:tcBorders>
              <w:bottom w:val="single" w:sz="12" w:space="0" w:color="auto"/>
            </w:tcBorders>
            <w:vAlign w:val="center"/>
          </w:tcPr>
          <w:p w:rsidR="00571B1F" w:rsidRDefault="00571B1F" w:rsidP="00492B9E">
            <w:pPr>
              <w:jc w:val="center"/>
              <w:rPr>
                <w:color w:val="000000"/>
                <w:szCs w:val="21"/>
              </w:rPr>
            </w:pPr>
            <w:r>
              <w:rPr>
                <w:color w:val="000000"/>
                <w:szCs w:val="21"/>
              </w:rPr>
              <w:t>稀土氧化物</w:t>
            </w:r>
          </w:p>
        </w:tc>
        <w:tc>
          <w:tcPr>
            <w:tcW w:w="3792" w:type="dxa"/>
            <w:tcBorders>
              <w:bottom w:val="single" w:sz="12" w:space="0" w:color="auto"/>
            </w:tcBorders>
            <w:vAlign w:val="center"/>
          </w:tcPr>
          <w:p w:rsidR="00571B1F" w:rsidRDefault="00571B1F" w:rsidP="00492B9E">
            <w:pPr>
              <w:jc w:val="center"/>
              <w:rPr>
                <w:color w:val="000000"/>
                <w:szCs w:val="21"/>
              </w:rPr>
            </w:pPr>
            <w:r>
              <w:rPr>
                <w:color w:val="000000"/>
                <w:szCs w:val="21"/>
              </w:rPr>
              <w:t>测定范围（配分量）</w:t>
            </w:r>
          </w:p>
          <w:p w:rsidR="00571B1F" w:rsidRDefault="00571B1F" w:rsidP="00492B9E">
            <w:pPr>
              <w:jc w:val="center"/>
              <w:rPr>
                <w:color w:val="000000"/>
                <w:szCs w:val="21"/>
              </w:rPr>
            </w:pPr>
            <w:r>
              <w:rPr>
                <w:color w:val="000000"/>
                <w:szCs w:val="21"/>
              </w:rPr>
              <w:t>%</w:t>
            </w:r>
          </w:p>
        </w:tc>
      </w:tr>
      <w:tr w:rsidR="00571B1F" w:rsidTr="00492B9E">
        <w:trPr>
          <w:cantSplit/>
          <w:trHeight w:val="390"/>
          <w:jc w:val="center"/>
        </w:trPr>
        <w:tc>
          <w:tcPr>
            <w:tcW w:w="5778" w:type="dxa"/>
            <w:tcBorders>
              <w:top w:val="single" w:sz="4" w:space="0" w:color="auto"/>
            </w:tcBorders>
            <w:vAlign w:val="center"/>
          </w:tcPr>
          <w:p w:rsidR="00571B1F" w:rsidRDefault="00571B1F" w:rsidP="00492B9E">
            <w:pPr>
              <w:jc w:val="center"/>
              <w:rPr>
                <w:color w:val="000000"/>
                <w:szCs w:val="21"/>
              </w:rPr>
            </w:pPr>
            <w:r>
              <w:rPr>
                <w:color w:val="000000"/>
                <w:szCs w:val="21"/>
              </w:rPr>
              <w:t>氧化镧、氧化铈</w:t>
            </w:r>
          </w:p>
        </w:tc>
        <w:tc>
          <w:tcPr>
            <w:tcW w:w="3792" w:type="dxa"/>
            <w:tcBorders>
              <w:top w:val="single" w:sz="4" w:space="0" w:color="auto"/>
            </w:tcBorders>
            <w:vAlign w:val="center"/>
          </w:tcPr>
          <w:p w:rsidR="00571B1F" w:rsidRDefault="00571B1F" w:rsidP="00492B9E">
            <w:pPr>
              <w:jc w:val="center"/>
              <w:rPr>
                <w:color w:val="000000"/>
                <w:szCs w:val="21"/>
              </w:rPr>
            </w:pPr>
            <w:r>
              <w:rPr>
                <w:color w:val="000000"/>
                <w:szCs w:val="21"/>
              </w:rPr>
              <w:t>15.00</w:t>
            </w:r>
            <w:r>
              <w:rPr>
                <w:color w:val="000000"/>
                <w:szCs w:val="21"/>
              </w:rPr>
              <w:t>～</w:t>
            </w:r>
            <w:r>
              <w:rPr>
                <w:color w:val="000000"/>
                <w:szCs w:val="21"/>
              </w:rPr>
              <w:t>60.00</w:t>
            </w:r>
          </w:p>
        </w:tc>
      </w:tr>
      <w:tr w:rsidR="00571B1F" w:rsidTr="00492B9E">
        <w:trPr>
          <w:cantSplit/>
          <w:trHeight w:val="390"/>
          <w:jc w:val="center"/>
        </w:trPr>
        <w:tc>
          <w:tcPr>
            <w:tcW w:w="5778" w:type="dxa"/>
            <w:tcBorders>
              <w:top w:val="single" w:sz="4" w:space="0" w:color="auto"/>
            </w:tcBorders>
            <w:vAlign w:val="center"/>
          </w:tcPr>
          <w:p w:rsidR="00571B1F" w:rsidRDefault="00571B1F" w:rsidP="00492B9E">
            <w:pPr>
              <w:jc w:val="center"/>
              <w:rPr>
                <w:color w:val="000000"/>
                <w:szCs w:val="21"/>
              </w:rPr>
            </w:pPr>
            <w:r>
              <w:rPr>
                <w:color w:val="000000"/>
                <w:szCs w:val="21"/>
              </w:rPr>
              <w:t>氧化镨、氧化钕</w:t>
            </w:r>
          </w:p>
        </w:tc>
        <w:tc>
          <w:tcPr>
            <w:tcW w:w="3792" w:type="dxa"/>
            <w:tcBorders>
              <w:top w:val="single" w:sz="4" w:space="0" w:color="auto"/>
            </w:tcBorders>
            <w:vAlign w:val="center"/>
          </w:tcPr>
          <w:p w:rsidR="00571B1F" w:rsidRDefault="00571B1F" w:rsidP="00492B9E">
            <w:pPr>
              <w:jc w:val="center"/>
              <w:rPr>
                <w:color w:val="000000"/>
                <w:szCs w:val="21"/>
              </w:rPr>
            </w:pPr>
            <w:r>
              <w:rPr>
                <w:color w:val="000000"/>
                <w:szCs w:val="21"/>
              </w:rPr>
              <w:t>1.00</w:t>
            </w:r>
            <w:r>
              <w:rPr>
                <w:color w:val="000000"/>
                <w:szCs w:val="21"/>
              </w:rPr>
              <w:t>～</w:t>
            </w:r>
            <w:r>
              <w:rPr>
                <w:color w:val="000000"/>
                <w:szCs w:val="21"/>
              </w:rPr>
              <w:t>20.00</w:t>
            </w:r>
          </w:p>
        </w:tc>
      </w:tr>
      <w:tr w:rsidR="00571B1F" w:rsidTr="00492B9E">
        <w:trPr>
          <w:cantSplit/>
          <w:trHeight w:val="390"/>
          <w:jc w:val="center"/>
        </w:trPr>
        <w:tc>
          <w:tcPr>
            <w:tcW w:w="5778" w:type="dxa"/>
            <w:tcBorders>
              <w:top w:val="single" w:sz="4" w:space="0" w:color="auto"/>
            </w:tcBorders>
            <w:vAlign w:val="center"/>
          </w:tcPr>
          <w:p w:rsidR="00571B1F" w:rsidRDefault="00571B1F" w:rsidP="00492B9E">
            <w:pPr>
              <w:jc w:val="center"/>
              <w:rPr>
                <w:color w:val="000000"/>
                <w:szCs w:val="21"/>
              </w:rPr>
            </w:pPr>
            <w:r>
              <w:rPr>
                <w:color w:val="000000"/>
                <w:szCs w:val="21"/>
              </w:rPr>
              <w:t>氧化钐、氧化铕、氧化钆、氧化铽、氧化镝、</w:t>
            </w:r>
          </w:p>
          <w:p w:rsidR="00571B1F" w:rsidRDefault="00571B1F" w:rsidP="00492B9E">
            <w:pPr>
              <w:jc w:val="center"/>
              <w:rPr>
                <w:color w:val="000000"/>
                <w:szCs w:val="21"/>
              </w:rPr>
            </w:pPr>
            <w:r>
              <w:rPr>
                <w:color w:val="000000"/>
                <w:szCs w:val="21"/>
              </w:rPr>
              <w:t>氧化钬、氧化铒、氧化铥、氧化镱、氧化镥、氧化钇</w:t>
            </w:r>
          </w:p>
        </w:tc>
        <w:tc>
          <w:tcPr>
            <w:tcW w:w="3792" w:type="dxa"/>
            <w:tcBorders>
              <w:top w:val="single" w:sz="4" w:space="0" w:color="auto"/>
            </w:tcBorders>
            <w:vAlign w:val="center"/>
          </w:tcPr>
          <w:p w:rsidR="00571B1F" w:rsidRDefault="00571B1F" w:rsidP="00492B9E">
            <w:pPr>
              <w:jc w:val="center"/>
              <w:rPr>
                <w:color w:val="000000"/>
                <w:szCs w:val="21"/>
              </w:rPr>
            </w:pPr>
            <w:r>
              <w:rPr>
                <w:color w:val="000000"/>
                <w:szCs w:val="21"/>
              </w:rPr>
              <w:t>0.050</w:t>
            </w:r>
            <w:r>
              <w:rPr>
                <w:color w:val="000000"/>
                <w:szCs w:val="21"/>
              </w:rPr>
              <w:t>～</w:t>
            </w:r>
            <w:r>
              <w:rPr>
                <w:color w:val="000000"/>
                <w:szCs w:val="21"/>
              </w:rPr>
              <w:t>10.00</w:t>
            </w:r>
          </w:p>
        </w:tc>
      </w:tr>
    </w:tbl>
    <w:p w:rsidR="006F5D3B" w:rsidRPr="00EC7FE4" w:rsidRDefault="00571B1F" w:rsidP="00EC7FE4">
      <w:pPr>
        <w:spacing w:line="400" w:lineRule="atLeast"/>
        <w:jc w:val="left"/>
        <w:rPr>
          <w:rFonts w:ascii="宋体" w:hAnsi="宋体" w:cs="宋体"/>
          <w:b/>
          <w:bCs/>
          <w:szCs w:val="21"/>
        </w:rPr>
      </w:pPr>
      <w:r>
        <w:rPr>
          <w:rFonts w:ascii="宋体" w:hAnsi="宋体" w:cs="宋体" w:hint="eastAsia"/>
          <w:b/>
          <w:bCs/>
          <w:szCs w:val="21"/>
        </w:rPr>
        <w:t>3.3</w:t>
      </w:r>
      <w:r w:rsidR="00EC7FE4">
        <w:rPr>
          <w:rFonts w:ascii="宋体" w:hAnsi="宋体" w:cs="宋体" w:hint="eastAsia"/>
          <w:b/>
          <w:bCs/>
          <w:szCs w:val="21"/>
        </w:rPr>
        <w:t>、</w:t>
      </w:r>
      <w:r w:rsidR="006F5D3B" w:rsidRPr="00EC7FE4">
        <w:rPr>
          <w:rFonts w:ascii="宋体" w:hAnsi="宋体" w:cs="宋体" w:hint="eastAsia"/>
          <w:b/>
          <w:bCs/>
          <w:szCs w:val="21"/>
        </w:rPr>
        <w:t>条件试验</w:t>
      </w:r>
    </w:p>
    <w:p w:rsidR="00571B1F" w:rsidRDefault="00571B1F" w:rsidP="00571B1F">
      <w:pPr>
        <w:spacing w:line="400" w:lineRule="atLeast"/>
        <w:jc w:val="left"/>
        <w:rPr>
          <w:rFonts w:ascii="宋体" w:hAnsi="宋体" w:cs="宋体"/>
          <w:b/>
          <w:bCs/>
          <w:szCs w:val="21"/>
        </w:rPr>
      </w:pPr>
      <w:r>
        <w:rPr>
          <w:rFonts w:ascii="宋体" w:hAnsi="宋体" w:cs="宋体" w:hint="eastAsia"/>
          <w:b/>
          <w:bCs/>
          <w:szCs w:val="21"/>
        </w:rPr>
        <w:t>3.3.1</w:t>
      </w:r>
      <w:r w:rsidRPr="00571B1F">
        <w:rPr>
          <w:rFonts w:ascii="宋体" w:hAnsi="宋体" w:cs="宋体" w:hint="eastAsia"/>
          <w:b/>
          <w:bCs/>
          <w:szCs w:val="21"/>
        </w:rPr>
        <w:t>分析谱线的选择</w:t>
      </w:r>
    </w:p>
    <w:p w:rsidR="00571B1F" w:rsidRPr="00571B1F" w:rsidRDefault="00571B1F" w:rsidP="00571B1F">
      <w:pPr>
        <w:spacing w:line="400" w:lineRule="atLeast"/>
        <w:jc w:val="left"/>
        <w:rPr>
          <w:rFonts w:ascii="宋体" w:hAnsi="宋体" w:cs="宋体"/>
          <w:b/>
          <w:bCs/>
          <w:szCs w:val="21"/>
        </w:rPr>
      </w:pPr>
      <w:bookmarkStart w:id="1" w:name="_Toc166512137"/>
      <w:r>
        <w:rPr>
          <w:rFonts w:ascii="宋体" w:hAnsi="宋体" w:cs="宋体" w:hint="eastAsia"/>
          <w:b/>
          <w:bCs/>
          <w:szCs w:val="21"/>
        </w:rPr>
        <w:t>3</w:t>
      </w:r>
      <w:r w:rsidRPr="00571B1F">
        <w:rPr>
          <w:rFonts w:ascii="宋体" w:hAnsi="宋体" w:cs="宋体" w:hint="eastAsia"/>
          <w:b/>
          <w:bCs/>
          <w:szCs w:val="21"/>
        </w:rPr>
        <w:t>.</w:t>
      </w:r>
      <w:r>
        <w:rPr>
          <w:rFonts w:ascii="宋体" w:hAnsi="宋体" w:cs="宋体" w:hint="eastAsia"/>
          <w:b/>
          <w:bCs/>
          <w:szCs w:val="21"/>
        </w:rPr>
        <w:t>3.</w:t>
      </w:r>
      <w:r w:rsidRPr="00571B1F">
        <w:rPr>
          <w:rFonts w:ascii="宋体" w:hAnsi="宋体" w:cs="宋体" w:hint="eastAsia"/>
          <w:b/>
          <w:bCs/>
          <w:szCs w:val="21"/>
        </w:rPr>
        <w:t>2 共存被测元素间的干扰</w:t>
      </w:r>
      <w:bookmarkEnd w:id="1"/>
    </w:p>
    <w:p w:rsidR="00571B1F" w:rsidRPr="00571B1F" w:rsidRDefault="00571B1F" w:rsidP="00571B1F">
      <w:pPr>
        <w:spacing w:line="400" w:lineRule="atLeast"/>
        <w:jc w:val="left"/>
        <w:rPr>
          <w:rFonts w:ascii="宋体" w:hAnsi="宋体" w:cs="宋体"/>
          <w:bCs/>
          <w:szCs w:val="21"/>
        </w:rPr>
      </w:pPr>
      <w:bookmarkStart w:id="2" w:name="_Toc166512138"/>
      <w:r w:rsidRPr="00571B1F">
        <w:rPr>
          <w:rFonts w:ascii="宋体" w:hAnsi="宋体" w:cs="宋体" w:hint="eastAsia"/>
          <w:bCs/>
          <w:szCs w:val="21"/>
        </w:rPr>
        <w:t>3</w:t>
      </w:r>
      <w:r w:rsidRPr="00571B1F">
        <w:rPr>
          <w:rFonts w:ascii="宋体" w:hAnsi="宋体" w:cs="宋体"/>
          <w:bCs/>
          <w:szCs w:val="21"/>
        </w:rPr>
        <w:t>.</w:t>
      </w:r>
      <w:r>
        <w:rPr>
          <w:rFonts w:ascii="宋体" w:hAnsi="宋体" w:cs="宋体" w:hint="eastAsia"/>
          <w:bCs/>
          <w:szCs w:val="21"/>
        </w:rPr>
        <w:t>3.</w:t>
      </w:r>
      <w:r w:rsidRPr="00571B1F">
        <w:rPr>
          <w:rFonts w:ascii="宋体" w:hAnsi="宋体" w:cs="宋体" w:hint="eastAsia"/>
          <w:bCs/>
          <w:szCs w:val="21"/>
        </w:rPr>
        <w:t>2</w:t>
      </w:r>
      <w:r w:rsidRPr="00571B1F">
        <w:rPr>
          <w:rFonts w:ascii="宋体" w:hAnsi="宋体" w:cs="宋体"/>
          <w:bCs/>
          <w:szCs w:val="21"/>
        </w:rPr>
        <w:t xml:space="preserve">.1 </w:t>
      </w:r>
      <w:r w:rsidRPr="00571B1F">
        <w:rPr>
          <w:rFonts w:ascii="宋体" w:hAnsi="宋体" w:cs="宋体" w:hint="eastAsia"/>
          <w:bCs/>
          <w:szCs w:val="21"/>
        </w:rPr>
        <w:t>共存非稀土元素干扰试验</w:t>
      </w:r>
      <w:bookmarkEnd w:id="2"/>
    </w:p>
    <w:p w:rsidR="00571B1F" w:rsidRDefault="00571B1F" w:rsidP="00571B1F">
      <w:pPr>
        <w:spacing w:line="400" w:lineRule="atLeast"/>
        <w:jc w:val="left"/>
        <w:rPr>
          <w:rFonts w:ascii="宋体" w:hAnsi="宋体" w:cs="宋体"/>
          <w:bCs/>
          <w:szCs w:val="21"/>
        </w:rPr>
      </w:pPr>
      <w:r w:rsidRPr="00571B1F">
        <w:rPr>
          <w:rFonts w:ascii="宋体" w:hAnsi="宋体" w:cs="宋体" w:hint="eastAsia"/>
          <w:bCs/>
          <w:szCs w:val="21"/>
        </w:rPr>
        <w:t>3</w:t>
      </w:r>
      <w:r w:rsidRPr="00571B1F">
        <w:rPr>
          <w:rFonts w:ascii="宋体" w:hAnsi="宋体" w:cs="宋体"/>
          <w:bCs/>
          <w:szCs w:val="21"/>
        </w:rPr>
        <w:t>.</w:t>
      </w:r>
      <w:r>
        <w:rPr>
          <w:rFonts w:ascii="宋体" w:hAnsi="宋体" w:cs="宋体" w:hint="eastAsia"/>
          <w:bCs/>
          <w:szCs w:val="21"/>
        </w:rPr>
        <w:t>3.</w:t>
      </w:r>
      <w:r w:rsidRPr="00571B1F">
        <w:rPr>
          <w:rFonts w:ascii="宋体" w:hAnsi="宋体" w:cs="宋体" w:hint="eastAsia"/>
          <w:bCs/>
          <w:szCs w:val="21"/>
        </w:rPr>
        <w:t>2</w:t>
      </w:r>
      <w:r w:rsidRPr="00571B1F">
        <w:rPr>
          <w:rFonts w:ascii="宋体" w:hAnsi="宋体" w:cs="宋体"/>
          <w:bCs/>
          <w:szCs w:val="21"/>
        </w:rPr>
        <w:t xml:space="preserve">.2 </w:t>
      </w:r>
      <w:r w:rsidRPr="00571B1F">
        <w:rPr>
          <w:rFonts w:ascii="宋体" w:hAnsi="宋体" w:cs="宋体" w:hint="eastAsia"/>
          <w:bCs/>
          <w:szCs w:val="21"/>
        </w:rPr>
        <w:t>共存稀土元素干扰试验</w:t>
      </w:r>
    </w:p>
    <w:p w:rsidR="007412DB" w:rsidRDefault="007412DB" w:rsidP="007412DB">
      <w:pPr>
        <w:widowControl/>
        <w:autoSpaceDE w:val="0"/>
        <w:autoSpaceDN w:val="0"/>
        <w:ind w:firstLineChars="200" w:firstLine="420"/>
        <w:jc w:val="center"/>
        <w:rPr>
          <w:rFonts w:eastAsia="黑体"/>
          <w:szCs w:val="22"/>
        </w:rPr>
      </w:pPr>
      <w:r>
        <w:rPr>
          <w:kern w:val="0"/>
          <w:szCs w:val="20"/>
        </w:rPr>
        <w:t>表</w:t>
      </w:r>
      <w:r w:rsidR="00C574EF">
        <w:rPr>
          <w:rFonts w:hint="eastAsia"/>
          <w:kern w:val="0"/>
          <w:szCs w:val="20"/>
        </w:rPr>
        <w:t>5</w:t>
      </w:r>
      <w:r>
        <w:rPr>
          <w:kern w:val="0"/>
          <w:szCs w:val="20"/>
        </w:rPr>
        <w:t xml:space="preserve"> </w:t>
      </w:r>
      <w:r>
        <w:rPr>
          <w:rFonts w:eastAsia="黑体"/>
          <w:szCs w:val="22"/>
        </w:rPr>
        <w:t>推荐分析线</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04"/>
        <w:gridCol w:w="2606"/>
        <w:gridCol w:w="2606"/>
        <w:gridCol w:w="2606"/>
      </w:tblGrid>
      <w:tr w:rsidR="007412DB" w:rsidTr="008771A9">
        <w:tc>
          <w:tcPr>
            <w:tcW w:w="1249" w:type="pct"/>
            <w:tcBorders>
              <w:bottom w:val="single" w:sz="12" w:space="0" w:color="auto"/>
            </w:tcBorders>
            <w:vAlign w:val="center"/>
          </w:tcPr>
          <w:p w:rsidR="007412DB" w:rsidRDefault="007412DB" w:rsidP="008771A9">
            <w:pPr>
              <w:spacing w:line="340" w:lineRule="exact"/>
              <w:jc w:val="center"/>
              <w:rPr>
                <w:sz w:val="18"/>
              </w:rPr>
            </w:pPr>
            <w:r>
              <w:rPr>
                <w:sz w:val="18"/>
              </w:rPr>
              <w:t>元素</w:t>
            </w:r>
          </w:p>
        </w:tc>
        <w:tc>
          <w:tcPr>
            <w:tcW w:w="1250" w:type="pct"/>
            <w:tcBorders>
              <w:bottom w:val="single" w:sz="12" w:space="0" w:color="auto"/>
              <w:right w:val="double" w:sz="4" w:space="0" w:color="auto"/>
            </w:tcBorders>
            <w:vAlign w:val="center"/>
          </w:tcPr>
          <w:p w:rsidR="007412DB" w:rsidRDefault="007412DB" w:rsidP="008771A9">
            <w:pPr>
              <w:spacing w:line="340" w:lineRule="exact"/>
              <w:jc w:val="center"/>
              <w:rPr>
                <w:sz w:val="18"/>
              </w:rPr>
            </w:pPr>
            <w:r>
              <w:rPr>
                <w:sz w:val="18"/>
              </w:rPr>
              <w:t>分析线</w:t>
            </w:r>
            <w:r>
              <w:rPr>
                <w:sz w:val="18"/>
              </w:rPr>
              <w:t xml:space="preserve"> </w:t>
            </w:r>
          </w:p>
          <w:p w:rsidR="007412DB" w:rsidRDefault="007412DB" w:rsidP="008771A9">
            <w:pPr>
              <w:spacing w:line="340" w:lineRule="exact"/>
              <w:jc w:val="center"/>
              <w:rPr>
                <w:sz w:val="18"/>
              </w:rPr>
            </w:pPr>
            <w:r>
              <w:rPr>
                <w:sz w:val="18"/>
              </w:rPr>
              <w:t>nm</w:t>
            </w:r>
          </w:p>
        </w:tc>
        <w:tc>
          <w:tcPr>
            <w:tcW w:w="1250" w:type="pct"/>
            <w:tcBorders>
              <w:left w:val="double" w:sz="4" w:space="0" w:color="auto"/>
              <w:bottom w:val="single" w:sz="12" w:space="0" w:color="auto"/>
            </w:tcBorders>
            <w:vAlign w:val="center"/>
          </w:tcPr>
          <w:p w:rsidR="007412DB" w:rsidRDefault="007412DB" w:rsidP="008771A9">
            <w:pPr>
              <w:spacing w:line="340" w:lineRule="exact"/>
              <w:jc w:val="center"/>
              <w:rPr>
                <w:sz w:val="18"/>
              </w:rPr>
            </w:pPr>
            <w:r>
              <w:rPr>
                <w:sz w:val="18"/>
              </w:rPr>
              <w:t>元素</w:t>
            </w:r>
          </w:p>
        </w:tc>
        <w:tc>
          <w:tcPr>
            <w:tcW w:w="1250" w:type="pct"/>
            <w:tcBorders>
              <w:bottom w:val="single" w:sz="12" w:space="0" w:color="auto"/>
            </w:tcBorders>
            <w:vAlign w:val="center"/>
          </w:tcPr>
          <w:p w:rsidR="007412DB" w:rsidRDefault="007412DB" w:rsidP="008771A9">
            <w:pPr>
              <w:spacing w:line="340" w:lineRule="exact"/>
              <w:jc w:val="center"/>
              <w:rPr>
                <w:sz w:val="18"/>
              </w:rPr>
            </w:pPr>
            <w:r>
              <w:rPr>
                <w:sz w:val="18"/>
              </w:rPr>
              <w:t>分析线</w:t>
            </w:r>
          </w:p>
          <w:p w:rsidR="007412DB" w:rsidRDefault="007412DB" w:rsidP="008771A9">
            <w:pPr>
              <w:spacing w:line="340" w:lineRule="exact"/>
              <w:jc w:val="center"/>
              <w:rPr>
                <w:sz w:val="18"/>
              </w:rPr>
            </w:pPr>
            <w:r>
              <w:rPr>
                <w:sz w:val="18"/>
              </w:rPr>
              <w:t>nm</w:t>
            </w:r>
          </w:p>
        </w:tc>
      </w:tr>
      <w:tr w:rsidR="007412DB" w:rsidTr="008771A9">
        <w:trPr>
          <w:trHeight w:val="429"/>
        </w:trPr>
        <w:tc>
          <w:tcPr>
            <w:tcW w:w="1249" w:type="pct"/>
            <w:tcBorders>
              <w:top w:val="single" w:sz="12" w:space="0" w:color="auto"/>
            </w:tcBorders>
            <w:vAlign w:val="center"/>
          </w:tcPr>
          <w:p w:rsidR="007412DB" w:rsidRDefault="007412DB" w:rsidP="008771A9">
            <w:pPr>
              <w:widowControl/>
              <w:autoSpaceDE w:val="0"/>
              <w:autoSpaceDN w:val="0"/>
              <w:spacing w:line="340" w:lineRule="exact"/>
              <w:jc w:val="center"/>
              <w:rPr>
                <w:sz w:val="18"/>
                <w:szCs w:val="18"/>
              </w:rPr>
            </w:pPr>
            <w:r>
              <w:rPr>
                <w:sz w:val="18"/>
                <w:szCs w:val="18"/>
              </w:rPr>
              <w:t>La</w:t>
            </w:r>
          </w:p>
        </w:tc>
        <w:tc>
          <w:tcPr>
            <w:tcW w:w="1250" w:type="pct"/>
            <w:tcBorders>
              <w:top w:val="single" w:sz="12" w:space="0" w:color="auto"/>
              <w:right w:val="double" w:sz="4" w:space="0" w:color="auto"/>
            </w:tcBorders>
            <w:vAlign w:val="center"/>
          </w:tcPr>
          <w:p w:rsidR="007412DB" w:rsidRDefault="007412DB" w:rsidP="008771A9">
            <w:pPr>
              <w:widowControl/>
              <w:autoSpaceDE w:val="0"/>
              <w:autoSpaceDN w:val="0"/>
              <w:spacing w:line="340" w:lineRule="exact"/>
              <w:jc w:val="center"/>
              <w:rPr>
                <w:sz w:val="18"/>
                <w:szCs w:val="18"/>
              </w:rPr>
            </w:pPr>
            <w:r>
              <w:rPr>
                <w:sz w:val="18"/>
                <w:szCs w:val="18"/>
              </w:rPr>
              <w:t>398.852</w:t>
            </w:r>
          </w:p>
        </w:tc>
        <w:tc>
          <w:tcPr>
            <w:tcW w:w="1250" w:type="pct"/>
            <w:tcBorders>
              <w:top w:val="single" w:sz="12" w:space="0" w:color="auto"/>
              <w:left w:val="double" w:sz="4" w:space="0" w:color="auto"/>
            </w:tcBorders>
            <w:vAlign w:val="center"/>
          </w:tcPr>
          <w:p w:rsidR="007412DB" w:rsidRDefault="007412DB" w:rsidP="008771A9">
            <w:pPr>
              <w:widowControl/>
              <w:autoSpaceDE w:val="0"/>
              <w:autoSpaceDN w:val="0"/>
              <w:spacing w:line="340" w:lineRule="exact"/>
              <w:jc w:val="center"/>
              <w:rPr>
                <w:sz w:val="18"/>
                <w:szCs w:val="18"/>
              </w:rPr>
            </w:pPr>
            <w:proofErr w:type="spellStart"/>
            <w:r>
              <w:rPr>
                <w:sz w:val="18"/>
                <w:szCs w:val="18"/>
              </w:rPr>
              <w:t>Dy</w:t>
            </w:r>
            <w:proofErr w:type="spellEnd"/>
          </w:p>
        </w:tc>
        <w:tc>
          <w:tcPr>
            <w:tcW w:w="1250" w:type="pct"/>
            <w:tcBorders>
              <w:top w:val="single" w:sz="12" w:space="0" w:color="auto"/>
            </w:tcBorders>
            <w:vAlign w:val="center"/>
          </w:tcPr>
          <w:p w:rsidR="007412DB" w:rsidRDefault="007412DB" w:rsidP="008771A9">
            <w:pPr>
              <w:widowControl/>
              <w:autoSpaceDE w:val="0"/>
              <w:autoSpaceDN w:val="0"/>
              <w:spacing w:line="340" w:lineRule="exact"/>
              <w:jc w:val="center"/>
              <w:rPr>
                <w:sz w:val="18"/>
                <w:szCs w:val="18"/>
              </w:rPr>
            </w:pPr>
            <w:r>
              <w:rPr>
                <w:sz w:val="18"/>
                <w:szCs w:val="18"/>
              </w:rPr>
              <w:t>353.170</w:t>
            </w:r>
          </w:p>
        </w:tc>
      </w:tr>
      <w:tr w:rsidR="007412DB" w:rsidTr="008771A9">
        <w:tc>
          <w:tcPr>
            <w:tcW w:w="1249" w:type="pct"/>
            <w:vAlign w:val="center"/>
          </w:tcPr>
          <w:p w:rsidR="007412DB" w:rsidRDefault="007412DB" w:rsidP="008771A9">
            <w:pPr>
              <w:widowControl/>
              <w:autoSpaceDE w:val="0"/>
              <w:autoSpaceDN w:val="0"/>
              <w:spacing w:line="340" w:lineRule="exact"/>
              <w:jc w:val="center"/>
              <w:rPr>
                <w:sz w:val="18"/>
                <w:szCs w:val="18"/>
              </w:rPr>
            </w:pPr>
            <w:proofErr w:type="spellStart"/>
            <w:r>
              <w:rPr>
                <w:sz w:val="18"/>
                <w:szCs w:val="18"/>
              </w:rPr>
              <w:t>Ce</w:t>
            </w:r>
            <w:proofErr w:type="spellEnd"/>
          </w:p>
        </w:tc>
        <w:tc>
          <w:tcPr>
            <w:tcW w:w="1250" w:type="pct"/>
            <w:tcBorders>
              <w:right w:val="double" w:sz="4" w:space="0" w:color="auto"/>
            </w:tcBorders>
            <w:vAlign w:val="center"/>
          </w:tcPr>
          <w:p w:rsidR="007412DB" w:rsidRDefault="007412DB" w:rsidP="008771A9">
            <w:pPr>
              <w:jc w:val="center"/>
              <w:rPr>
                <w:sz w:val="18"/>
                <w:szCs w:val="18"/>
              </w:rPr>
            </w:pPr>
            <w:r>
              <w:rPr>
                <w:sz w:val="18"/>
                <w:szCs w:val="18"/>
              </w:rPr>
              <w:t>446.021</w:t>
            </w:r>
          </w:p>
        </w:tc>
        <w:tc>
          <w:tcPr>
            <w:tcW w:w="1250" w:type="pct"/>
            <w:tcBorders>
              <w:left w:val="double" w:sz="4" w:space="0" w:color="auto"/>
            </w:tcBorders>
            <w:vAlign w:val="center"/>
          </w:tcPr>
          <w:p w:rsidR="007412DB" w:rsidRDefault="007412DB" w:rsidP="008771A9">
            <w:pPr>
              <w:jc w:val="center"/>
              <w:rPr>
                <w:sz w:val="18"/>
                <w:szCs w:val="18"/>
              </w:rPr>
            </w:pPr>
            <w:r>
              <w:rPr>
                <w:sz w:val="18"/>
                <w:szCs w:val="18"/>
              </w:rPr>
              <w:t>Ho</w:t>
            </w:r>
          </w:p>
        </w:tc>
        <w:tc>
          <w:tcPr>
            <w:tcW w:w="1250" w:type="pct"/>
            <w:vAlign w:val="center"/>
          </w:tcPr>
          <w:p w:rsidR="007412DB" w:rsidRDefault="007412DB" w:rsidP="008771A9">
            <w:pPr>
              <w:jc w:val="center"/>
              <w:rPr>
                <w:color w:val="FF0000"/>
                <w:sz w:val="18"/>
                <w:szCs w:val="18"/>
              </w:rPr>
            </w:pPr>
            <w:r>
              <w:rPr>
                <w:rFonts w:hint="eastAsia"/>
                <w:sz w:val="18"/>
                <w:szCs w:val="18"/>
              </w:rPr>
              <w:t>345.600</w:t>
            </w:r>
          </w:p>
        </w:tc>
      </w:tr>
      <w:tr w:rsidR="007412DB" w:rsidTr="008771A9">
        <w:tc>
          <w:tcPr>
            <w:tcW w:w="1249" w:type="pct"/>
            <w:vAlign w:val="center"/>
          </w:tcPr>
          <w:p w:rsidR="007412DB" w:rsidRDefault="007412DB" w:rsidP="008771A9">
            <w:pPr>
              <w:widowControl/>
              <w:autoSpaceDE w:val="0"/>
              <w:autoSpaceDN w:val="0"/>
              <w:spacing w:line="340" w:lineRule="exact"/>
              <w:jc w:val="center"/>
              <w:rPr>
                <w:sz w:val="18"/>
                <w:szCs w:val="18"/>
              </w:rPr>
            </w:pPr>
            <w:proofErr w:type="spellStart"/>
            <w:r>
              <w:rPr>
                <w:sz w:val="18"/>
                <w:szCs w:val="18"/>
              </w:rPr>
              <w:t>Pr</w:t>
            </w:r>
            <w:proofErr w:type="spellEnd"/>
          </w:p>
        </w:tc>
        <w:tc>
          <w:tcPr>
            <w:tcW w:w="1250" w:type="pct"/>
            <w:tcBorders>
              <w:right w:val="double" w:sz="4" w:space="0" w:color="auto"/>
            </w:tcBorders>
            <w:vAlign w:val="center"/>
          </w:tcPr>
          <w:p w:rsidR="007412DB" w:rsidRDefault="007412DB" w:rsidP="008771A9">
            <w:pPr>
              <w:jc w:val="center"/>
              <w:rPr>
                <w:sz w:val="18"/>
                <w:szCs w:val="18"/>
              </w:rPr>
            </w:pPr>
            <w:r>
              <w:rPr>
                <w:sz w:val="18"/>
                <w:szCs w:val="18"/>
              </w:rPr>
              <w:t>410.070</w:t>
            </w:r>
          </w:p>
        </w:tc>
        <w:tc>
          <w:tcPr>
            <w:tcW w:w="1250" w:type="pct"/>
            <w:tcBorders>
              <w:left w:val="double" w:sz="4" w:space="0" w:color="auto"/>
            </w:tcBorders>
            <w:vAlign w:val="center"/>
          </w:tcPr>
          <w:p w:rsidR="007412DB" w:rsidRDefault="007412DB" w:rsidP="008771A9">
            <w:pPr>
              <w:jc w:val="center"/>
              <w:rPr>
                <w:sz w:val="18"/>
                <w:szCs w:val="18"/>
              </w:rPr>
            </w:pPr>
            <w:proofErr w:type="spellStart"/>
            <w:r>
              <w:rPr>
                <w:sz w:val="18"/>
                <w:szCs w:val="18"/>
              </w:rPr>
              <w:t>Er</w:t>
            </w:r>
            <w:proofErr w:type="spellEnd"/>
          </w:p>
        </w:tc>
        <w:tc>
          <w:tcPr>
            <w:tcW w:w="1250" w:type="pct"/>
            <w:vAlign w:val="center"/>
          </w:tcPr>
          <w:p w:rsidR="007412DB" w:rsidRDefault="007412DB" w:rsidP="008771A9">
            <w:pPr>
              <w:jc w:val="center"/>
              <w:rPr>
                <w:sz w:val="18"/>
                <w:szCs w:val="18"/>
              </w:rPr>
            </w:pPr>
            <w:r>
              <w:rPr>
                <w:rFonts w:hint="eastAsia"/>
                <w:sz w:val="18"/>
                <w:szCs w:val="18"/>
              </w:rPr>
              <w:t>326.478</w:t>
            </w:r>
          </w:p>
        </w:tc>
      </w:tr>
      <w:tr w:rsidR="007412DB" w:rsidTr="008771A9">
        <w:trPr>
          <w:trHeight w:val="177"/>
        </w:trPr>
        <w:tc>
          <w:tcPr>
            <w:tcW w:w="1249" w:type="pct"/>
            <w:vAlign w:val="center"/>
          </w:tcPr>
          <w:p w:rsidR="007412DB" w:rsidRDefault="007412DB" w:rsidP="008771A9">
            <w:pPr>
              <w:widowControl/>
              <w:autoSpaceDE w:val="0"/>
              <w:autoSpaceDN w:val="0"/>
              <w:spacing w:line="340" w:lineRule="exact"/>
              <w:jc w:val="center"/>
              <w:rPr>
                <w:sz w:val="18"/>
                <w:szCs w:val="18"/>
              </w:rPr>
            </w:pPr>
            <w:proofErr w:type="spellStart"/>
            <w:r>
              <w:rPr>
                <w:sz w:val="18"/>
                <w:szCs w:val="18"/>
              </w:rPr>
              <w:lastRenderedPageBreak/>
              <w:t>Nd</w:t>
            </w:r>
            <w:proofErr w:type="spellEnd"/>
          </w:p>
        </w:tc>
        <w:tc>
          <w:tcPr>
            <w:tcW w:w="1250" w:type="pct"/>
            <w:tcBorders>
              <w:right w:val="double" w:sz="4" w:space="0" w:color="auto"/>
            </w:tcBorders>
            <w:vAlign w:val="center"/>
          </w:tcPr>
          <w:p w:rsidR="007412DB" w:rsidRDefault="007412DB" w:rsidP="008771A9">
            <w:pPr>
              <w:jc w:val="center"/>
              <w:rPr>
                <w:sz w:val="18"/>
                <w:szCs w:val="18"/>
              </w:rPr>
            </w:pPr>
            <w:r>
              <w:rPr>
                <w:sz w:val="18"/>
                <w:szCs w:val="18"/>
              </w:rPr>
              <w:t>430.358</w:t>
            </w:r>
          </w:p>
        </w:tc>
        <w:tc>
          <w:tcPr>
            <w:tcW w:w="1250" w:type="pct"/>
            <w:tcBorders>
              <w:left w:val="double" w:sz="4" w:space="0" w:color="auto"/>
            </w:tcBorders>
            <w:vAlign w:val="center"/>
          </w:tcPr>
          <w:p w:rsidR="007412DB" w:rsidRDefault="007412DB" w:rsidP="008771A9">
            <w:pPr>
              <w:jc w:val="center"/>
              <w:rPr>
                <w:sz w:val="18"/>
                <w:szCs w:val="18"/>
              </w:rPr>
            </w:pPr>
            <w:r>
              <w:rPr>
                <w:sz w:val="18"/>
                <w:szCs w:val="18"/>
              </w:rPr>
              <w:t>Tm</w:t>
            </w:r>
          </w:p>
        </w:tc>
        <w:tc>
          <w:tcPr>
            <w:tcW w:w="1250" w:type="pct"/>
            <w:vAlign w:val="center"/>
          </w:tcPr>
          <w:p w:rsidR="007412DB" w:rsidRDefault="007412DB" w:rsidP="008771A9">
            <w:pPr>
              <w:jc w:val="center"/>
              <w:rPr>
                <w:sz w:val="18"/>
                <w:szCs w:val="18"/>
              </w:rPr>
            </w:pPr>
            <w:r>
              <w:rPr>
                <w:sz w:val="18"/>
                <w:szCs w:val="18"/>
              </w:rPr>
              <w:t>313.126</w:t>
            </w:r>
          </w:p>
        </w:tc>
      </w:tr>
      <w:tr w:rsidR="007412DB" w:rsidTr="008771A9">
        <w:tc>
          <w:tcPr>
            <w:tcW w:w="1249" w:type="pct"/>
            <w:vAlign w:val="center"/>
          </w:tcPr>
          <w:p w:rsidR="007412DB" w:rsidRDefault="007412DB" w:rsidP="008771A9">
            <w:pPr>
              <w:widowControl/>
              <w:autoSpaceDE w:val="0"/>
              <w:autoSpaceDN w:val="0"/>
              <w:spacing w:line="340" w:lineRule="exact"/>
              <w:jc w:val="center"/>
              <w:rPr>
                <w:sz w:val="18"/>
                <w:szCs w:val="18"/>
              </w:rPr>
            </w:pPr>
            <w:proofErr w:type="spellStart"/>
            <w:r>
              <w:rPr>
                <w:sz w:val="18"/>
                <w:szCs w:val="18"/>
              </w:rPr>
              <w:t>Sm</w:t>
            </w:r>
            <w:proofErr w:type="spellEnd"/>
          </w:p>
        </w:tc>
        <w:tc>
          <w:tcPr>
            <w:tcW w:w="1250" w:type="pct"/>
            <w:tcBorders>
              <w:right w:val="double" w:sz="4" w:space="0" w:color="auto"/>
            </w:tcBorders>
            <w:vAlign w:val="center"/>
          </w:tcPr>
          <w:p w:rsidR="007412DB" w:rsidRDefault="007412DB" w:rsidP="008771A9">
            <w:pPr>
              <w:jc w:val="center"/>
              <w:rPr>
                <w:sz w:val="18"/>
                <w:szCs w:val="18"/>
              </w:rPr>
            </w:pPr>
            <w:r>
              <w:rPr>
                <w:sz w:val="18"/>
                <w:szCs w:val="18"/>
              </w:rPr>
              <w:t>360.949</w:t>
            </w:r>
          </w:p>
        </w:tc>
        <w:tc>
          <w:tcPr>
            <w:tcW w:w="1250" w:type="pct"/>
            <w:tcBorders>
              <w:left w:val="double" w:sz="4" w:space="0" w:color="auto"/>
            </w:tcBorders>
            <w:vAlign w:val="center"/>
          </w:tcPr>
          <w:p w:rsidR="007412DB" w:rsidRDefault="007412DB" w:rsidP="008771A9">
            <w:pPr>
              <w:jc w:val="center"/>
              <w:rPr>
                <w:sz w:val="18"/>
                <w:szCs w:val="18"/>
              </w:rPr>
            </w:pPr>
            <w:proofErr w:type="spellStart"/>
            <w:r>
              <w:rPr>
                <w:sz w:val="18"/>
                <w:szCs w:val="18"/>
              </w:rPr>
              <w:t>Yb</w:t>
            </w:r>
            <w:proofErr w:type="spellEnd"/>
          </w:p>
        </w:tc>
        <w:tc>
          <w:tcPr>
            <w:tcW w:w="1250" w:type="pct"/>
            <w:vAlign w:val="center"/>
          </w:tcPr>
          <w:p w:rsidR="007412DB" w:rsidRDefault="007412DB" w:rsidP="008771A9">
            <w:pPr>
              <w:jc w:val="center"/>
              <w:rPr>
                <w:sz w:val="18"/>
                <w:szCs w:val="18"/>
              </w:rPr>
            </w:pPr>
            <w:r>
              <w:rPr>
                <w:sz w:val="18"/>
                <w:szCs w:val="18"/>
              </w:rPr>
              <w:t>328.937</w:t>
            </w:r>
          </w:p>
        </w:tc>
      </w:tr>
      <w:tr w:rsidR="007412DB" w:rsidTr="008771A9">
        <w:tc>
          <w:tcPr>
            <w:tcW w:w="1249" w:type="pct"/>
            <w:vAlign w:val="center"/>
          </w:tcPr>
          <w:p w:rsidR="007412DB" w:rsidRDefault="007412DB" w:rsidP="008771A9">
            <w:pPr>
              <w:widowControl/>
              <w:autoSpaceDE w:val="0"/>
              <w:autoSpaceDN w:val="0"/>
              <w:spacing w:line="340" w:lineRule="exact"/>
              <w:jc w:val="center"/>
              <w:rPr>
                <w:sz w:val="18"/>
                <w:szCs w:val="18"/>
              </w:rPr>
            </w:pPr>
            <w:proofErr w:type="spellStart"/>
            <w:r>
              <w:rPr>
                <w:sz w:val="18"/>
                <w:szCs w:val="18"/>
              </w:rPr>
              <w:t>Eu</w:t>
            </w:r>
            <w:proofErr w:type="spellEnd"/>
          </w:p>
        </w:tc>
        <w:tc>
          <w:tcPr>
            <w:tcW w:w="1250" w:type="pct"/>
            <w:tcBorders>
              <w:right w:val="double" w:sz="4" w:space="0" w:color="auto"/>
            </w:tcBorders>
            <w:vAlign w:val="center"/>
          </w:tcPr>
          <w:p w:rsidR="007412DB" w:rsidRDefault="007412DB" w:rsidP="008771A9">
            <w:pPr>
              <w:jc w:val="center"/>
              <w:rPr>
                <w:sz w:val="18"/>
                <w:szCs w:val="18"/>
              </w:rPr>
            </w:pPr>
            <w:r>
              <w:rPr>
                <w:sz w:val="18"/>
                <w:szCs w:val="18"/>
              </w:rPr>
              <w:t>272.778</w:t>
            </w:r>
          </w:p>
        </w:tc>
        <w:tc>
          <w:tcPr>
            <w:tcW w:w="1250" w:type="pct"/>
            <w:tcBorders>
              <w:left w:val="double" w:sz="4" w:space="0" w:color="auto"/>
            </w:tcBorders>
            <w:vAlign w:val="center"/>
          </w:tcPr>
          <w:p w:rsidR="007412DB" w:rsidRDefault="007412DB" w:rsidP="008771A9">
            <w:pPr>
              <w:jc w:val="center"/>
              <w:rPr>
                <w:sz w:val="18"/>
                <w:szCs w:val="18"/>
              </w:rPr>
            </w:pPr>
            <w:r>
              <w:rPr>
                <w:sz w:val="18"/>
                <w:szCs w:val="18"/>
              </w:rPr>
              <w:t>Lu</w:t>
            </w:r>
          </w:p>
        </w:tc>
        <w:tc>
          <w:tcPr>
            <w:tcW w:w="1250" w:type="pct"/>
            <w:vAlign w:val="center"/>
          </w:tcPr>
          <w:p w:rsidR="007412DB" w:rsidRDefault="007412DB" w:rsidP="008771A9">
            <w:pPr>
              <w:jc w:val="center"/>
              <w:rPr>
                <w:sz w:val="18"/>
                <w:szCs w:val="18"/>
              </w:rPr>
            </w:pPr>
            <w:r>
              <w:rPr>
                <w:sz w:val="18"/>
                <w:szCs w:val="18"/>
              </w:rPr>
              <w:t>261.542</w:t>
            </w:r>
          </w:p>
        </w:tc>
      </w:tr>
      <w:tr w:rsidR="007412DB" w:rsidTr="008771A9">
        <w:trPr>
          <w:trHeight w:val="213"/>
        </w:trPr>
        <w:tc>
          <w:tcPr>
            <w:tcW w:w="1249" w:type="pct"/>
            <w:vAlign w:val="center"/>
          </w:tcPr>
          <w:p w:rsidR="007412DB" w:rsidRDefault="007412DB" w:rsidP="008771A9">
            <w:pPr>
              <w:widowControl/>
              <w:autoSpaceDE w:val="0"/>
              <w:autoSpaceDN w:val="0"/>
              <w:spacing w:line="340" w:lineRule="exact"/>
              <w:jc w:val="center"/>
              <w:rPr>
                <w:sz w:val="18"/>
                <w:szCs w:val="18"/>
              </w:rPr>
            </w:pPr>
            <w:proofErr w:type="spellStart"/>
            <w:r>
              <w:rPr>
                <w:sz w:val="18"/>
                <w:szCs w:val="18"/>
              </w:rPr>
              <w:t>Gd</w:t>
            </w:r>
            <w:proofErr w:type="spellEnd"/>
          </w:p>
        </w:tc>
        <w:tc>
          <w:tcPr>
            <w:tcW w:w="1250" w:type="pct"/>
            <w:tcBorders>
              <w:right w:val="double" w:sz="4" w:space="0" w:color="auto"/>
            </w:tcBorders>
            <w:vAlign w:val="center"/>
          </w:tcPr>
          <w:p w:rsidR="007412DB" w:rsidRDefault="007412DB" w:rsidP="008771A9">
            <w:pPr>
              <w:jc w:val="center"/>
              <w:rPr>
                <w:sz w:val="18"/>
                <w:szCs w:val="18"/>
              </w:rPr>
            </w:pPr>
            <w:r>
              <w:rPr>
                <w:sz w:val="18"/>
                <w:szCs w:val="18"/>
              </w:rPr>
              <w:t>310.050</w:t>
            </w:r>
          </w:p>
        </w:tc>
        <w:tc>
          <w:tcPr>
            <w:tcW w:w="1250" w:type="pct"/>
            <w:tcBorders>
              <w:left w:val="double" w:sz="4" w:space="0" w:color="auto"/>
            </w:tcBorders>
            <w:vAlign w:val="center"/>
          </w:tcPr>
          <w:p w:rsidR="007412DB" w:rsidRDefault="007412DB" w:rsidP="008771A9">
            <w:pPr>
              <w:jc w:val="center"/>
              <w:rPr>
                <w:sz w:val="18"/>
                <w:szCs w:val="18"/>
              </w:rPr>
            </w:pPr>
            <w:r>
              <w:rPr>
                <w:sz w:val="18"/>
                <w:szCs w:val="18"/>
              </w:rPr>
              <w:t>Y</w:t>
            </w:r>
          </w:p>
        </w:tc>
        <w:tc>
          <w:tcPr>
            <w:tcW w:w="1250" w:type="pct"/>
            <w:vAlign w:val="center"/>
          </w:tcPr>
          <w:p w:rsidR="007412DB" w:rsidRDefault="007412DB" w:rsidP="008771A9">
            <w:pPr>
              <w:jc w:val="center"/>
              <w:rPr>
                <w:sz w:val="18"/>
                <w:szCs w:val="18"/>
              </w:rPr>
            </w:pPr>
            <w:r>
              <w:rPr>
                <w:sz w:val="18"/>
                <w:szCs w:val="18"/>
              </w:rPr>
              <w:t>371.030</w:t>
            </w:r>
          </w:p>
        </w:tc>
      </w:tr>
      <w:tr w:rsidR="007412DB" w:rsidTr="008771A9">
        <w:tc>
          <w:tcPr>
            <w:tcW w:w="1249" w:type="pct"/>
            <w:vAlign w:val="center"/>
          </w:tcPr>
          <w:p w:rsidR="007412DB" w:rsidRDefault="007412DB" w:rsidP="008771A9">
            <w:pPr>
              <w:widowControl/>
              <w:autoSpaceDE w:val="0"/>
              <w:autoSpaceDN w:val="0"/>
              <w:spacing w:line="340" w:lineRule="exact"/>
              <w:jc w:val="center"/>
              <w:rPr>
                <w:sz w:val="18"/>
                <w:szCs w:val="18"/>
              </w:rPr>
            </w:pPr>
            <w:r>
              <w:rPr>
                <w:sz w:val="18"/>
                <w:szCs w:val="18"/>
              </w:rPr>
              <w:t>Tb</w:t>
            </w:r>
          </w:p>
        </w:tc>
        <w:tc>
          <w:tcPr>
            <w:tcW w:w="1250" w:type="pct"/>
            <w:tcBorders>
              <w:right w:val="double" w:sz="4" w:space="0" w:color="auto"/>
            </w:tcBorders>
            <w:vAlign w:val="center"/>
          </w:tcPr>
          <w:p w:rsidR="007412DB" w:rsidRDefault="007412DB" w:rsidP="008771A9">
            <w:pPr>
              <w:jc w:val="center"/>
              <w:rPr>
                <w:sz w:val="18"/>
                <w:szCs w:val="18"/>
              </w:rPr>
            </w:pPr>
            <w:r>
              <w:rPr>
                <w:sz w:val="18"/>
                <w:szCs w:val="18"/>
              </w:rPr>
              <w:t>332.440</w:t>
            </w:r>
          </w:p>
        </w:tc>
        <w:tc>
          <w:tcPr>
            <w:tcW w:w="1250" w:type="pct"/>
            <w:tcBorders>
              <w:left w:val="double" w:sz="4" w:space="0" w:color="auto"/>
            </w:tcBorders>
            <w:vAlign w:val="center"/>
          </w:tcPr>
          <w:p w:rsidR="007412DB" w:rsidRDefault="007412DB" w:rsidP="008771A9">
            <w:pPr>
              <w:jc w:val="center"/>
              <w:rPr>
                <w:sz w:val="18"/>
                <w:szCs w:val="18"/>
              </w:rPr>
            </w:pPr>
          </w:p>
        </w:tc>
        <w:tc>
          <w:tcPr>
            <w:tcW w:w="1250" w:type="pct"/>
            <w:vAlign w:val="center"/>
          </w:tcPr>
          <w:p w:rsidR="007412DB" w:rsidRDefault="007412DB" w:rsidP="008771A9">
            <w:pPr>
              <w:jc w:val="center"/>
              <w:rPr>
                <w:sz w:val="18"/>
                <w:szCs w:val="18"/>
              </w:rPr>
            </w:pPr>
          </w:p>
        </w:tc>
      </w:tr>
    </w:tbl>
    <w:p w:rsidR="00571B1F" w:rsidRDefault="00571B1F" w:rsidP="00571B1F">
      <w:pPr>
        <w:spacing w:line="400" w:lineRule="atLeast"/>
        <w:jc w:val="left"/>
        <w:rPr>
          <w:rFonts w:ascii="宋体" w:hAnsi="宋体" w:cs="宋体"/>
          <w:b/>
          <w:bCs/>
          <w:szCs w:val="21"/>
        </w:rPr>
      </w:pPr>
      <w:bookmarkStart w:id="3" w:name="_Toc166512140"/>
      <w:r>
        <w:rPr>
          <w:rFonts w:ascii="宋体" w:hAnsi="宋体" w:cs="宋体" w:hint="eastAsia"/>
          <w:b/>
          <w:bCs/>
          <w:szCs w:val="21"/>
        </w:rPr>
        <w:t>3</w:t>
      </w:r>
      <w:r w:rsidRPr="00571B1F">
        <w:rPr>
          <w:rFonts w:ascii="宋体" w:hAnsi="宋体" w:cs="宋体" w:hint="eastAsia"/>
          <w:b/>
          <w:bCs/>
          <w:szCs w:val="21"/>
        </w:rPr>
        <w:t>.</w:t>
      </w:r>
      <w:r>
        <w:rPr>
          <w:rFonts w:ascii="宋体" w:hAnsi="宋体" w:cs="宋体" w:hint="eastAsia"/>
          <w:b/>
          <w:bCs/>
          <w:szCs w:val="21"/>
        </w:rPr>
        <w:t>3.</w:t>
      </w:r>
      <w:r w:rsidRPr="00571B1F">
        <w:rPr>
          <w:rFonts w:ascii="宋体" w:hAnsi="宋体" w:cs="宋体" w:hint="eastAsia"/>
          <w:b/>
          <w:bCs/>
          <w:szCs w:val="21"/>
        </w:rPr>
        <w:t>3 待测溶液进样浓度的选择</w:t>
      </w:r>
      <w:bookmarkEnd w:id="3"/>
    </w:p>
    <w:p w:rsidR="007412DB" w:rsidRDefault="007412DB" w:rsidP="007412DB">
      <w:pPr>
        <w:ind w:firstLineChars="200" w:firstLine="420"/>
        <w:rPr>
          <w:color w:val="000000"/>
          <w:szCs w:val="21"/>
        </w:rPr>
      </w:pPr>
      <w:r>
        <w:rPr>
          <w:rFonts w:hint="eastAsia"/>
          <w:szCs w:val="21"/>
        </w:rPr>
        <w:t>为确保实验方法具有较低的测定下限，同时满足《稀土矿</w:t>
      </w:r>
      <w:r>
        <w:rPr>
          <w:rFonts w:hint="eastAsia"/>
          <w:color w:val="000000"/>
          <w:szCs w:val="21"/>
        </w:rPr>
        <w:t>》产品标准稀土杂质指标的要求，本实验选择</w:t>
      </w:r>
      <w:r>
        <w:rPr>
          <w:rFonts w:hint="eastAsia"/>
          <w:color w:val="000000"/>
          <w:szCs w:val="21"/>
        </w:rPr>
        <w:t>0.2mg/mL</w:t>
      </w:r>
      <w:r>
        <w:rPr>
          <w:rFonts w:hint="eastAsia"/>
          <w:color w:val="000000"/>
          <w:szCs w:val="21"/>
        </w:rPr>
        <w:t>的基体浓度进行检测。</w:t>
      </w:r>
    </w:p>
    <w:p w:rsidR="00571B1F" w:rsidRDefault="00571B1F" w:rsidP="00571B1F">
      <w:pPr>
        <w:spacing w:line="400" w:lineRule="atLeast"/>
        <w:jc w:val="left"/>
        <w:rPr>
          <w:rFonts w:ascii="宋体" w:hAnsi="宋体" w:cs="宋体"/>
          <w:b/>
          <w:bCs/>
          <w:szCs w:val="21"/>
        </w:rPr>
      </w:pPr>
      <w:bookmarkStart w:id="4" w:name="_Toc166512141"/>
      <w:r>
        <w:rPr>
          <w:rFonts w:ascii="宋体" w:hAnsi="宋体" w:cs="宋体" w:hint="eastAsia"/>
          <w:b/>
          <w:bCs/>
          <w:szCs w:val="21"/>
        </w:rPr>
        <w:t>3</w:t>
      </w:r>
      <w:r w:rsidRPr="00571B1F">
        <w:rPr>
          <w:rFonts w:ascii="宋体" w:hAnsi="宋体" w:cs="宋体" w:hint="eastAsia"/>
          <w:b/>
          <w:bCs/>
          <w:szCs w:val="21"/>
        </w:rPr>
        <w:t>.</w:t>
      </w:r>
      <w:r>
        <w:rPr>
          <w:rFonts w:ascii="宋体" w:hAnsi="宋体" w:cs="宋体" w:hint="eastAsia"/>
          <w:b/>
          <w:bCs/>
          <w:szCs w:val="21"/>
        </w:rPr>
        <w:t>3.</w:t>
      </w:r>
      <w:r w:rsidRPr="00571B1F">
        <w:rPr>
          <w:rFonts w:ascii="宋体" w:hAnsi="宋体" w:cs="宋体" w:hint="eastAsia"/>
          <w:b/>
          <w:bCs/>
          <w:szCs w:val="21"/>
        </w:rPr>
        <w:t>4方法检出限</w:t>
      </w:r>
      <w:bookmarkEnd w:id="4"/>
    </w:p>
    <w:p w:rsidR="007412DB" w:rsidRDefault="007412DB" w:rsidP="007412DB">
      <w:pPr>
        <w:spacing w:line="400" w:lineRule="atLeast"/>
        <w:ind w:firstLineChars="200" w:firstLine="420"/>
        <w:jc w:val="left"/>
        <w:rPr>
          <w:rFonts w:ascii="宋体" w:hAnsi="宋体" w:cs="宋体"/>
          <w:b/>
          <w:bCs/>
          <w:szCs w:val="21"/>
        </w:rPr>
      </w:pPr>
      <w:r>
        <w:rPr>
          <w:rFonts w:hint="eastAsia"/>
          <w:szCs w:val="21"/>
        </w:rPr>
        <w:t>确定测定下限：</w:t>
      </w:r>
      <w:proofErr w:type="spellStart"/>
      <w:r>
        <w:rPr>
          <w:rFonts w:hint="eastAsia"/>
          <w:szCs w:val="21"/>
        </w:rPr>
        <w:t>Pr</w:t>
      </w:r>
      <w:proofErr w:type="spellEnd"/>
      <w:r>
        <w:rPr>
          <w:rFonts w:hint="eastAsia"/>
          <w:szCs w:val="21"/>
        </w:rPr>
        <w:t>、</w:t>
      </w:r>
      <w:proofErr w:type="spellStart"/>
      <w:r>
        <w:rPr>
          <w:rFonts w:hint="eastAsia"/>
          <w:szCs w:val="21"/>
        </w:rPr>
        <w:t>Nd</w:t>
      </w:r>
      <w:proofErr w:type="spellEnd"/>
      <w:r>
        <w:rPr>
          <w:rFonts w:hint="eastAsia"/>
          <w:szCs w:val="21"/>
        </w:rPr>
        <w:t>为</w:t>
      </w:r>
      <w:r w:rsidRPr="00E92D73">
        <w:rPr>
          <w:szCs w:val="21"/>
        </w:rPr>
        <w:t>≤</w:t>
      </w:r>
      <w:r w:rsidRPr="00E92D73">
        <w:rPr>
          <w:rFonts w:hint="eastAsia"/>
          <w:szCs w:val="21"/>
        </w:rPr>
        <w:t>1.0%</w:t>
      </w:r>
      <w:r w:rsidRPr="00E92D73">
        <w:rPr>
          <w:rFonts w:hint="eastAsia"/>
          <w:szCs w:val="21"/>
        </w:rPr>
        <w:t>；</w:t>
      </w:r>
      <w:r w:rsidRPr="00E92D73">
        <w:rPr>
          <w:rFonts w:hint="eastAsia"/>
          <w:szCs w:val="21"/>
        </w:rPr>
        <w:t xml:space="preserve"> </w:t>
      </w:r>
      <w:r w:rsidRPr="00E92D73">
        <w:rPr>
          <w:rFonts w:hint="eastAsia"/>
          <w:szCs w:val="21"/>
        </w:rPr>
        <w:t>其他杂质为</w:t>
      </w:r>
      <w:r w:rsidRPr="00E92D73">
        <w:rPr>
          <w:szCs w:val="21"/>
        </w:rPr>
        <w:t>≤</w:t>
      </w:r>
      <w:r w:rsidRPr="00E92D73">
        <w:rPr>
          <w:rFonts w:hint="eastAsia"/>
          <w:szCs w:val="21"/>
        </w:rPr>
        <w:t>0.05%</w:t>
      </w:r>
      <w:r w:rsidRPr="00E92D73">
        <w:rPr>
          <w:rFonts w:hint="eastAsia"/>
          <w:szCs w:val="21"/>
        </w:rPr>
        <w:t>。</w:t>
      </w:r>
    </w:p>
    <w:p w:rsidR="00571B1F" w:rsidRPr="00571B1F" w:rsidRDefault="00571B1F" w:rsidP="00571B1F">
      <w:pPr>
        <w:spacing w:line="400" w:lineRule="atLeast"/>
        <w:jc w:val="left"/>
        <w:rPr>
          <w:rFonts w:ascii="宋体" w:hAnsi="宋体" w:cs="宋体"/>
          <w:b/>
          <w:bCs/>
          <w:szCs w:val="21"/>
        </w:rPr>
      </w:pPr>
      <w:bookmarkStart w:id="5" w:name="_Toc166512142"/>
      <w:r w:rsidRPr="00571B1F">
        <w:rPr>
          <w:rFonts w:ascii="宋体" w:hAnsi="宋体" w:cs="宋体" w:hint="eastAsia"/>
          <w:b/>
          <w:bCs/>
          <w:szCs w:val="21"/>
        </w:rPr>
        <w:t>3.</w:t>
      </w:r>
      <w:r>
        <w:rPr>
          <w:rFonts w:ascii="宋体" w:hAnsi="宋体" w:cs="宋体" w:hint="eastAsia"/>
          <w:b/>
          <w:bCs/>
          <w:szCs w:val="21"/>
        </w:rPr>
        <w:t>3.</w:t>
      </w:r>
      <w:r w:rsidRPr="00571B1F">
        <w:rPr>
          <w:rFonts w:ascii="宋体" w:hAnsi="宋体" w:cs="宋体" w:hint="eastAsia"/>
          <w:b/>
          <w:bCs/>
          <w:szCs w:val="21"/>
        </w:rPr>
        <w:t>5溶样方法的选择</w:t>
      </w:r>
      <w:bookmarkEnd w:id="5"/>
    </w:p>
    <w:p w:rsidR="00571B1F" w:rsidRDefault="00571B1F" w:rsidP="00571B1F">
      <w:pPr>
        <w:spacing w:line="400" w:lineRule="atLeast"/>
        <w:jc w:val="left"/>
        <w:rPr>
          <w:rFonts w:ascii="宋体" w:hAnsi="宋体" w:cs="宋体"/>
          <w:bCs/>
          <w:szCs w:val="21"/>
        </w:rPr>
      </w:pPr>
      <w:bookmarkStart w:id="6" w:name="_Toc166512143"/>
      <w:r w:rsidRPr="00571B1F">
        <w:rPr>
          <w:rFonts w:ascii="宋体" w:hAnsi="宋体" w:cs="宋体" w:hint="eastAsia"/>
          <w:bCs/>
          <w:szCs w:val="21"/>
        </w:rPr>
        <w:t>3.</w:t>
      </w:r>
      <w:r>
        <w:rPr>
          <w:rFonts w:ascii="宋体" w:hAnsi="宋体" w:cs="宋体" w:hint="eastAsia"/>
          <w:bCs/>
          <w:szCs w:val="21"/>
        </w:rPr>
        <w:t>3.</w:t>
      </w:r>
      <w:r w:rsidRPr="00571B1F">
        <w:rPr>
          <w:rFonts w:ascii="宋体" w:hAnsi="宋体" w:cs="宋体" w:hint="eastAsia"/>
          <w:bCs/>
          <w:szCs w:val="21"/>
        </w:rPr>
        <w:t>5.1酸溶试验</w:t>
      </w:r>
      <w:bookmarkEnd w:id="6"/>
    </w:p>
    <w:p w:rsidR="007412DB" w:rsidRPr="00571B1F" w:rsidRDefault="007412DB" w:rsidP="007412DB">
      <w:pPr>
        <w:spacing w:line="400" w:lineRule="atLeast"/>
        <w:ind w:firstLineChars="200" w:firstLine="420"/>
        <w:jc w:val="left"/>
        <w:rPr>
          <w:rFonts w:ascii="宋体" w:hAnsi="宋体" w:cs="宋体"/>
          <w:bCs/>
          <w:szCs w:val="21"/>
        </w:rPr>
      </w:pPr>
      <w:r w:rsidRPr="00E13201">
        <w:rPr>
          <w:szCs w:val="21"/>
        </w:rPr>
        <w:t>通过试验：盐酸</w:t>
      </w:r>
      <w:r w:rsidRPr="00E13201">
        <w:rPr>
          <w:szCs w:val="21"/>
        </w:rPr>
        <w:t>+</w:t>
      </w:r>
      <w:r w:rsidRPr="00E13201">
        <w:rPr>
          <w:szCs w:val="21"/>
        </w:rPr>
        <w:t>高氯酸（</w:t>
      </w:r>
      <w:r w:rsidRPr="00E13201">
        <w:rPr>
          <w:rFonts w:hint="eastAsia"/>
          <w:szCs w:val="21"/>
        </w:rPr>
        <w:t>5+5</w:t>
      </w:r>
      <w:r w:rsidRPr="00E13201">
        <w:rPr>
          <w:szCs w:val="21"/>
        </w:rPr>
        <w:t>）条件，样品没有完全溶解，有黑色不溶物，结果偏低。盐酸</w:t>
      </w:r>
      <w:r w:rsidRPr="00E13201">
        <w:rPr>
          <w:szCs w:val="21"/>
        </w:rPr>
        <w:t>+</w:t>
      </w:r>
      <w:r w:rsidRPr="00E13201">
        <w:rPr>
          <w:szCs w:val="21"/>
        </w:rPr>
        <w:t>高氯酸（</w:t>
      </w:r>
      <w:r w:rsidRPr="00E13201">
        <w:rPr>
          <w:rFonts w:hint="eastAsia"/>
          <w:szCs w:val="21"/>
        </w:rPr>
        <w:t>5+10</w:t>
      </w:r>
      <w:r w:rsidRPr="00E13201">
        <w:rPr>
          <w:szCs w:val="21"/>
        </w:rPr>
        <w:t>）和盐酸</w:t>
      </w:r>
      <w:r w:rsidRPr="00E13201">
        <w:rPr>
          <w:szCs w:val="21"/>
        </w:rPr>
        <w:t>+</w:t>
      </w:r>
      <w:r w:rsidRPr="00E13201">
        <w:rPr>
          <w:szCs w:val="21"/>
        </w:rPr>
        <w:t>高氯酸（</w:t>
      </w:r>
      <w:r w:rsidRPr="00E13201">
        <w:rPr>
          <w:rFonts w:hint="eastAsia"/>
          <w:szCs w:val="21"/>
        </w:rPr>
        <w:t>5+15</w:t>
      </w:r>
      <w:r w:rsidRPr="00E13201">
        <w:rPr>
          <w:szCs w:val="21"/>
        </w:rPr>
        <w:t>）样品能够溶解完，但考核成本节约。综合考虑采用</w:t>
      </w:r>
      <w:r w:rsidRPr="00E13201">
        <w:rPr>
          <w:rFonts w:hint="eastAsia"/>
          <w:szCs w:val="21"/>
        </w:rPr>
        <w:t>盐酸</w:t>
      </w:r>
      <w:r w:rsidRPr="00E13201">
        <w:rPr>
          <w:rFonts w:hint="eastAsia"/>
          <w:szCs w:val="21"/>
        </w:rPr>
        <w:t>+</w:t>
      </w:r>
      <w:r w:rsidRPr="00E13201">
        <w:rPr>
          <w:rFonts w:hint="eastAsia"/>
          <w:szCs w:val="21"/>
        </w:rPr>
        <w:t>高氯酸（</w:t>
      </w:r>
      <w:r w:rsidRPr="00E13201">
        <w:rPr>
          <w:rFonts w:hint="eastAsia"/>
          <w:szCs w:val="21"/>
        </w:rPr>
        <w:t>5+10</w:t>
      </w:r>
      <w:r w:rsidRPr="00E13201">
        <w:rPr>
          <w:rFonts w:hint="eastAsia"/>
          <w:szCs w:val="21"/>
        </w:rPr>
        <w:t>）。</w:t>
      </w:r>
    </w:p>
    <w:p w:rsidR="00571B1F" w:rsidRDefault="00571B1F" w:rsidP="00571B1F">
      <w:pPr>
        <w:spacing w:line="400" w:lineRule="atLeast"/>
        <w:jc w:val="left"/>
        <w:rPr>
          <w:rFonts w:ascii="宋体" w:hAnsi="宋体" w:cs="宋体"/>
          <w:bCs/>
          <w:szCs w:val="21"/>
        </w:rPr>
      </w:pPr>
      <w:bookmarkStart w:id="7" w:name="_Toc166512144"/>
      <w:r w:rsidRPr="00571B1F">
        <w:rPr>
          <w:rFonts w:ascii="宋体" w:hAnsi="宋体" w:cs="宋体" w:hint="eastAsia"/>
          <w:bCs/>
          <w:szCs w:val="21"/>
        </w:rPr>
        <w:t>3.</w:t>
      </w:r>
      <w:r>
        <w:rPr>
          <w:rFonts w:ascii="宋体" w:hAnsi="宋体" w:cs="宋体" w:hint="eastAsia"/>
          <w:bCs/>
          <w:szCs w:val="21"/>
        </w:rPr>
        <w:t>3.</w:t>
      </w:r>
      <w:r w:rsidRPr="00571B1F">
        <w:rPr>
          <w:rFonts w:ascii="宋体" w:hAnsi="宋体" w:cs="宋体" w:hint="eastAsia"/>
          <w:bCs/>
          <w:szCs w:val="21"/>
        </w:rPr>
        <w:t>5.2</w:t>
      </w:r>
      <w:proofErr w:type="gramStart"/>
      <w:r w:rsidRPr="00571B1F">
        <w:rPr>
          <w:rFonts w:ascii="宋体" w:hAnsi="宋体" w:cs="宋体" w:hint="eastAsia"/>
          <w:bCs/>
          <w:szCs w:val="21"/>
        </w:rPr>
        <w:t>碱溶试验</w:t>
      </w:r>
      <w:bookmarkEnd w:id="7"/>
      <w:proofErr w:type="gramEnd"/>
    </w:p>
    <w:p w:rsidR="007412DB" w:rsidRDefault="007412DB" w:rsidP="007412DB">
      <w:pPr>
        <w:ind w:firstLineChars="200" w:firstLine="420"/>
        <w:rPr>
          <w:szCs w:val="21"/>
        </w:rPr>
      </w:pPr>
      <w:r w:rsidRPr="00E13201">
        <w:rPr>
          <w:szCs w:val="21"/>
        </w:rPr>
        <w:t>通过试验：</w:t>
      </w:r>
      <w:proofErr w:type="gramStart"/>
      <w:r w:rsidRPr="00E13201">
        <w:rPr>
          <w:rFonts w:hint="eastAsia"/>
          <w:szCs w:val="21"/>
        </w:rPr>
        <w:t>碱溶与</w:t>
      </w:r>
      <w:proofErr w:type="gramEnd"/>
      <w:r w:rsidRPr="00E13201">
        <w:rPr>
          <w:rFonts w:hint="eastAsia"/>
          <w:szCs w:val="21"/>
        </w:rPr>
        <w:t>酸溶试验基本一致，</w:t>
      </w:r>
      <w:proofErr w:type="gramStart"/>
      <w:r w:rsidRPr="00E13201">
        <w:rPr>
          <w:rFonts w:hint="eastAsia"/>
          <w:szCs w:val="21"/>
        </w:rPr>
        <w:t>因此碱溶过程</w:t>
      </w:r>
      <w:proofErr w:type="gramEnd"/>
      <w:r w:rsidRPr="00E13201">
        <w:rPr>
          <w:rFonts w:hint="eastAsia"/>
          <w:szCs w:val="21"/>
        </w:rPr>
        <w:t>与原标准一致。</w:t>
      </w:r>
    </w:p>
    <w:p w:rsidR="00571B1F" w:rsidRPr="00571B1F" w:rsidRDefault="00571B1F" w:rsidP="00571B1F">
      <w:pPr>
        <w:spacing w:line="400" w:lineRule="atLeast"/>
        <w:jc w:val="left"/>
        <w:rPr>
          <w:rFonts w:ascii="宋体" w:hAnsi="宋体" w:cs="宋体"/>
          <w:b/>
          <w:bCs/>
          <w:szCs w:val="21"/>
        </w:rPr>
      </w:pPr>
      <w:bookmarkStart w:id="8" w:name="_Toc166512145"/>
      <w:r w:rsidRPr="00571B1F">
        <w:rPr>
          <w:rFonts w:ascii="宋体" w:hAnsi="宋体" w:cs="宋体" w:hint="eastAsia"/>
          <w:b/>
          <w:bCs/>
          <w:szCs w:val="21"/>
        </w:rPr>
        <w:t>3.</w:t>
      </w:r>
      <w:r w:rsidR="00023E06">
        <w:rPr>
          <w:rFonts w:ascii="宋体" w:hAnsi="宋体" w:cs="宋体" w:hint="eastAsia"/>
          <w:b/>
          <w:bCs/>
          <w:szCs w:val="21"/>
        </w:rPr>
        <w:t>3.</w:t>
      </w:r>
      <w:r w:rsidRPr="00571B1F">
        <w:rPr>
          <w:rFonts w:ascii="宋体" w:hAnsi="宋体" w:cs="宋体" w:hint="eastAsia"/>
          <w:b/>
          <w:bCs/>
          <w:szCs w:val="21"/>
        </w:rPr>
        <w:t>6</w:t>
      </w:r>
      <w:proofErr w:type="gramStart"/>
      <w:r w:rsidRPr="00571B1F">
        <w:rPr>
          <w:rFonts w:ascii="宋体" w:hAnsi="宋体" w:cs="宋体" w:hint="eastAsia"/>
          <w:b/>
          <w:bCs/>
          <w:szCs w:val="21"/>
        </w:rPr>
        <w:t>称样量试验</w:t>
      </w:r>
      <w:bookmarkEnd w:id="8"/>
      <w:proofErr w:type="gramEnd"/>
    </w:p>
    <w:p w:rsidR="00571B1F" w:rsidRDefault="00571B1F" w:rsidP="00571B1F">
      <w:pPr>
        <w:spacing w:line="400" w:lineRule="atLeast"/>
        <w:jc w:val="left"/>
        <w:rPr>
          <w:rFonts w:ascii="宋体" w:hAnsi="宋体" w:cs="宋体"/>
          <w:bCs/>
          <w:szCs w:val="21"/>
        </w:rPr>
      </w:pPr>
      <w:bookmarkStart w:id="9" w:name="_Toc166512146"/>
      <w:r w:rsidRPr="00571B1F">
        <w:rPr>
          <w:rFonts w:ascii="宋体" w:hAnsi="宋体" w:cs="宋体" w:hint="eastAsia"/>
          <w:bCs/>
          <w:szCs w:val="21"/>
        </w:rPr>
        <w:t>3.</w:t>
      </w:r>
      <w:r>
        <w:rPr>
          <w:rFonts w:ascii="宋体" w:hAnsi="宋体" w:cs="宋体" w:hint="eastAsia"/>
          <w:bCs/>
          <w:szCs w:val="21"/>
        </w:rPr>
        <w:t>3.</w:t>
      </w:r>
      <w:r w:rsidRPr="00571B1F">
        <w:rPr>
          <w:rFonts w:ascii="宋体" w:hAnsi="宋体" w:cs="宋体" w:hint="eastAsia"/>
          <w:bCs/>
          <w:szCs w:val="21"/>
        </w:rPr>
        <w:t>6.1</w:t>
      </w:r>
      <w:proofErr w:type="gramStart"/>
      <w:r w:rsidRPr="00571B1F">
        <w:rPr>
          <w:rFonts w:ascii="宋体" w:hAnsi="宋体" w:cs="宋体" w:hint="eastAsia"/>
          <w:bCs/>
          <w:szCs w:val="21"/>
        </w:rPr>
        <w:t>碱溶称样量</w:t>
      </w:r>
      <w:proofErr w:type="gramEnd"/>
      <w:r w:rsidRPr="00571B1F">
        <w:rPr>
          <w:rFonts w:ascii="宋体" w:hAnsi="宋体" w:cs="宋体" w:hint="eastAsia"/>
          <w:bCs/>
          <w:szCs w:val="21"/>
        </w:rPr>
        <w:t>试验</w:t>
      </w:r>
      <w:bookmarkEnd w:id="9"/>
    </w:p>
    <w:p w:rsidR="007412DB" w:rsidRPr="00571B1F" w:rsidRDefault="007412DB" w:rsidP="007412DB">
      <w:pPr>
        <w:spacing w:line="400" w:lineRule="atLeast"/>
        <w:ind w:firstLineChars="200" w:firstLine="420"/>
        <w:jc w:val="left"/>
        <w:rPr>
          <w:rFonts w:ascii="宋体" w:hAnsi="宋体" w:cs="宋体"/>
          <w:bCs/>
          <w:szCs w:val="21"/>
        </w:rPr>
      </w:pPr>
      <w:r>
        <w:rPr>
          <w:rFonts w:hint="eastAsia"/>
          <w:szCs w:val="21"/>
        </w:rPr>
        <w:t>本试验与原标准一致，</w:t>
      </w:r>
      <w:proofErr w:type="gramStart"/>
      <w:r>
        <w:rPr>
          <w:rFonts w:hint="eastAsia"/>
          <w:szCs w:val="21"/>
        </w:rPr>
        <w:t>碱溶选择称样量</w:t>
      </w:r>
      <w:proofErr w:type="gramEnd"/>
      <w:r>
        <w:rPr>
          <w:rFonts w:hint="eastAsia"/>
          <w:szCs w:val="21"/>
        </w:rPr>
        <w:t>为</w:t>
      </w:r>
      <w:r>
        <w:rPr>
          <w:rFonts w:hint="eastAsia"/>
          <w:szCs w:val="21"/>
        </w:rPr>
        <w:t>0.5g</w:t>
      </w:r>
      <w:r>
        <w:rPr>
          <w:rFonts w:hint="eastAsia"/>
          <w:szCs w:val="21"/>
        </w:rPr>
        <w:t>。</w:t>
      </w:r>
    </w:p>
    <w:p w:rsidR="00571B1F" w:rsidRDefault="00571B1F" w:rsidP="00571B1F">
      <w:pPr>
        <w:spacing w:line="400" w:lineRule="atLeast"/>
        <w:jc w:val="left"/>
        <w:rPr>
          <w:rFonts w:ascii="宋体" w:hAnsi="宋体" w:cs="宋体"/>
          <w:bCs/>
          <w:szCs w:val="21"/>
        </w:rPr>
      </w:pPr>
      <w:r w:rsidRPr="00571B1F">
        <w:rPr>
          <w:rFonts w:ascii="宋体" w:hAnsi="宋体" w:cs="宋体" w:hint="eastAsia"/>
          <w:bCs/>
          <w:szCs w:val="21"/>
        </w:rPr>
        <w:t>3.</w:t>
      </w:r>
      <w:r>
        <w:rPr>
          <w:rFonts w:ascii="宋体" w:hAnsi="宋体" w:cs="宋体" w:hint="eastAsia"/>
          <w:bCs/>
          <w:szCs w:val="21"/>
        </w:rPr>
        <w:t>3.</w:t>
      </w:r>
      <w:r w:rsidRPr="00571B1F">
        <w:rPr>
          <w:rFonts w:ascii="宋体" w:hAnsi="宋体" w:cs="宋体" w:hint="eastAsia"/>
          <w:bCs/>
          <w:szCs w:val="21"/>
        </w:rPr>
        <w:t>6.2酸</w:t>
      </w:r>
      <w:proofErr w:type="gramStart"/>
      <w:r w:rsidRPr="00571B1F">
        <w:rPr>
          <w:rFonts w:ascii="宋体" w:hAnsi="宋体" w:cs="宋体" w:hint="eastAsia"/>
          <w:bCs/>
          <w:szCs w:val="21"/>
        </w:rPr>
        <w:t>溶称样量</w:t>
      </w:r>
      <w:proofErr w:type="gramEnd"/>
      <w:r w:rsidRPr="00571B1F">
        <w:rPr>
          <w:rFonts w:ascii="宋体" w:hAnsi="宋体" w:cs="宋体" w:hint="eastAsia"/>
          <w:bCs/>
          <w:szCs w:val="21"/>
        </w:rPr>
        <w:t>试验</w:t>
      </w:r>
    </w:p>
    <w:p w:rsidR="007412DB" w:rsidRDefault="007412DB" w:rsidP="007412DB">
      <w:pPr>
        <w:ind w:firstLineChars="200" w:firstLine="420"/>
        <w:rPr>
          <w:szCs w:val="21"/>
        </w:rPr>
      </w:pPr>
      <w:r>
        <w:rPr>
          <w:rFonts w:hint="eastAsia"/>
          <w:szCs w:val="21"/>
        </w:rPr>
        <w:t>称取不同质量的样品，</w:t>
      </w:r>
      <w:proofErr w:type="gramStart"/>
      <w:r>
        <w:rPr>
          <w:rFonts w:hint="eastAsia"/>
          <w:szCs w:val="21"/>
        </w:rPr>
        <w:t>按酸溶进行</w:t>
      </w:r>
      <w:proofErr w:type="gramEnd"/>
      <w:r>
        <w:rPr>
          <w:rFonts w:hint="eastAsia"/>
          <w:szCs w:val="21"/>
        </w:rPr>
        <w:t>样品溶解，通过试验：本试验酸</w:t>
      </w:r>
      <w:proofErr w:type="gramStart"/>
      <w:r>
        <w:rPr>
          <w:rFonts w:hint="eastAsia"/>
          <w:szCs w:val="21"/>
        </w:rPr>
        <w:t>溶选择称样量</w:t>
      </w:r>
      <w:proofErr w:type="gramEnd"/>
      <w:r>
        <w:rPr>
          <w:rFonts w:hint="eastAsia"/>
          <w:szCs w:val="21"/>
        </w:rPr>
        <w:t>为</w:t>
      </w:r>
      <w:r>
        <w:rPr>
          <w:rFonts w:hint="eastAsia"/>
          <w:szCs w:val="21"/>
        </w:rPr>
        <w:t>0.2g</w:t>
      </w:r>
      <w:r>
        <w:rPr>
          <w:rFonts w:hint="eastAsia"/>
          <w:szCs w:val="21"/>
        </w:rPr>
        <w:t>。</w:t>
      </w:r>
      <w:r>
        <w:rPr>
          <w:rFonts w:hint="eastAsia"/>
          <w:szCs w:val="21"/>
        </w:rPr>
        <w:t>.</w:t>
      </w:r>
    </w:p>
    <w:p w:rsidR="00571B1F" w:rsidRPr="00571B1F" w:rsidRDefault="00571B1F" w:rsidP="00571B1F">
      <w:pPr>
        <w:spacing w:line="400" w:lineRule="atLeast"/>
        <w:jc w:val="left"/>
        <w:rPr>
          <w:rFonts w:ascii="宋体" w:hAnsi="宋体" w:cs="宋体"/>
          <w:b/>
          <w:bCs/>
          <w:szCs w:val="21"/>
        </w:rPr>
      </w:pPr>
      <w:bookmarkStart w:id="10" w:name="_Toc166512148"/>
      <w:r w:rsidRPr="00571B1F">
        <w:rPr>
          <w:rFonts w:ascii="宋体" w:hAnsi="宋体" w:cs="宋体" w:hint="eastAsia"/>
          <w:b/>
          <w:bCs/>
          <w:szCs w:val="21"/>
        </w:rPr>
        <w:t>3.</w:t>
      </w:r>
      <w:r>
        <w:rPr>
          <w:rFonts w:ascii="宋体" w:hAnsi="宋体" w:cs="宋体" w:hint="eastAsia"/>
          <w:b/>
          <w:bCs/>
          <w:szCs w:val="21"/>
        </w:rPr>
        <w:t>3.</w:t>
      </w:r>
      <w:r w:rsidRPr="00571B1F">
        <w:rPr>
          <w:rFonts w:ascii="宋体" w:hAnsi="宋体" w:cs="宋体" w:hint="eastAsia"/>
          <w:b/>
          <w:bCs/>
          <w:szCs w:val="21"/>
        </w:rPr>
        <w:t>7加标回收试验</w:t>
      </w:r>
      <w:bookmarkEnd w:id="10"/>
    </w:p>
    <w:p w:rsidR="00571B1F" w:rsidRDefault="00571B1F" w:rsidP="00571B1F">
      <w:pPr>
        <w:spacing w:line="400" w:lineRule="atLeast"/>
        <w:jc w:val="left"/>
        <w:rPr>
          <w:rFonts w:ascii="宋体" w:hAnsi="宋体" w:cs="宋体"/>
          <w:bCs/>
          <w:szCs w:val="21"/>
        </w:rPr>
      </w:pPr>
      <w:bookmarkStart w:id="11" w:name="_Toc166512149"/>
      <w:r w:rsidRPr="00571B1F">
        <w:rPr>
          <w:rFonts w:ascii="宋体" w:hAnsi="宋体" w:cs="宋体" w:hint="eastAsia"/>
          <w:bCs/>
          <w:szCs w:val="21"/>
        </w:rPr>
        <w:t>3.</w:t>
      </w:r>
      <w:r>
        <w:rPr>
          <w:rFonts w:ascii="宋体" w:hAnsi="宋体" w:cs="宋体" w:hint="eastAsia"/>
          <w:bCs/>
          <w:szCs w:val="21"/>
        </w:rPr>
        <w:t>3.</w:t>
      </w:r>
      <w:r w:rsidRPr="00571B1F">
        <w:rPr>
          <w:rFonts w:ascii="宋体" w:hAnsi="宋体" w:cs="宋体" w:hint="eastAsia"/>
          <w:bCs/>
          <w:szCs w:val="21"/>
        </w:rPr>
        <w:t>7.1</w:t>
      </w:r>
      <w:proofErr w:type="gramStart"/>
      <w:r w:rsidRPr="00571B1F">
        <w:rPr>
          <w:rFonts w:ascii="宋体" w:hAnsi="宋体" w:cs="宋体" w:hint="eastAsia"/>
          <w:bCs/>
          <w:szCs w:val="21"/>
        </w:rPr>
        <w:t>碱溶加</w:t>
      </w:r>
      <w:proofErr w:type="gramEnd"/>
      <w:r w:rsidRPr="00571B1F">
        <w:rPr>
          <w:rFonts w:ascii="宋体" w:hAnsi="宋体" w:cs="宋体" w:hint="eastAsia"/>
          <w:bCs/>
          <w:szCs w:val="21"/>
        </w:rPr>
        <w:t>标回收试验</w:t>
      </w:r>
      <w:bookmarkEnd w:id="11"/>
    </w:p>
    <w:p w:rsidR="007412DB" w:rsidRPr="00E1127B" w:rsidRDefault="007412DB" w:rsidP="007412DB">
      <w:pPr>
        <w:ind w:firstLineChars="200" w:firstLine="420"/>
        <w:rPr>
          <w:bCs/>
          <w:color w:val="000000" w:themeColor="text1"/>
        </w:rPr>
      </w:pPr>
      <w:r w:rsidRPr="00E1127B">
        <w:rPr>
          <w:bCs/>
          <w:color w:val="000000" w:themeColor="text1"/>
        </w:rPr>
        <w:t>通过加标试验，</w:t>
      </w:r>
      <w:proofErr w:type="gramStart"/>
      <w:r w:rsidRPr="00E1127B">
        <w:rPr>
          <w:bCs/>
          <w:color w:val="000000" w:themeColor="text1"/>
        </w:rPr>
        <w:t>碱溶加</w:t>
      </w:r>
      <w:proofErr w:type="gramEnd"/>
      <w:r w:rsidRPr="00E1127B">
        <w:rPr>
          <w:bCs/>
          <w:color w:val="000000" w:themeColor="text1"/>
        </w:rPr>
        <w:t>标回收率均达到要求。</w:t>
      </w:r>
    </w:p>
    <w:p w:rsidR="00571B1F" w:rsidRDefault="00571B1F" w:rsidP="00571B1F">
      <w:pPr>
        <w:spacing w:line="400" w:lineRule="atLeast"/>
        <w:jc w:val="left"/>
        <w:rPr>
          <w:rFonts w:ascii="宋体" w:hAnsi="宋体" w:cs="宋体"/>
          <w:bCs/>
          <w:szCs w:val="21"/>
        </w:rPr>
      </w:pPr>
      <w:r w:rsidRPr="00571B1F">
        <w:rPr>
          <w:rFonts w:ascii="宋体" w:hAnsi="宋体" w:cs="宋体" w:hint="eastAsia"/>
          <w:bCs/>
          <w:szCs w:val="21"/>
        </w:rPr>
        <w:t>3.</w:t>
      </w:r>
      <w:r>
        <w:rPr>
          <w:rFonts w:ascii="宋体" w:hAnsi="宋体" w:cs="宋体" w:hint="eastAsia"/>
          <w:bCs/>
          <w:szCs w:val="21"/>
        </w:rPr>
        <w:t>3.</w:t>
      </w:r>
      <w:r w:rsidRPr="00571B1F">
        <w:rPr>
          <w:rFonts w:ascii="宋体" w:hAnsi="宋体" w:cs="宋体" w:hint="eastAsia"/>
          <w:bCs/>
          <w:szCs w:val="21"/>
        </w:rPr>
        <w:t>7.2</w:t>
      </w:r>
      <w:proofErr w:type="gramStart"/>
      <w:r w:rsidRPr="00571B1F">
        <w:rPr>
          <w:rFonts w:ascii="宋体" w:hAnsi="宋体" w:cs="宋体" w:hint="eastAsia"/>
          <w:bCs/>
          <w:szCs w:val="21"/>
        </w:rPr>
        <w:t>酸溶加标</w:t>
      </w:r>
      <w:proofErr w:type="gramEnd"/>
      <w:r w:rsidRPr="00571B1F">
        <w:rPr>
          <w:rFonts w:ascii="宋体" w:hAnsi="宋体" w:cs="宋体" w:hint="eastAsia"/>
          <w:bCs/>
          <w:szCs w:val="21"/>
        </w:rPr>
        <w:t>回收试验</w:t>
      </w:r>
    </w:p>
    <w:p w:rsidR="007412DB" w:rsidRPr="00E1127B" w:rsidRDefault="007412DB" w:rsidP="007412DB">
      <w:pPr>
        <w:ind w:firstLineChars="200" w:firstLine="420"/>
        <w:rPr>
          <w:bCs/>
          <w:color w:val="000000" w:themeColor="text1"/>
        </w:rPr>
      </w:pPr>
      <w:r w:rsidRPr="00E1127B">
        <w:rPr>
          <w:bCs/>
          <w:color w:val="000000" w:themeColor="text1"/>
        </w:rPr>
        <w:t>通过加标试验，</w:t>
      </w:r>
      <w:proofErr w:type="gramStart"/>
      <w:r w:rsidRPr="00E1127B">
        <w:rPr>
          <w:bCs/>
          <w:color w:val="000000" w:themeColor="text1"/>
        </w:rPr>
        <w:t>酸溶加标</w:t>
      </w:r>
      <w:proofErr w:type="gramEnd"/>
      <w:r w:rsidRPr="00E1127B">
        <w:rPr>
          <w:bCs/>
          <w:color w:val="000000" w:themeColor="text1"/>
        </w:rPr>
        <w:t>回收率均达到要求。</w:t>
      </w:r>
    </w:p>
    <w:p w:rsidR="00571B1F" w:rsidRPr="00571B1F" w:rsidRDefault="00571B1F" w:rsidP="00571B1F">
      <w:pPr>
        <w:spacing w:line="400" w:lineRule="atLeast"/>
        <w:jc w:val="left"/>
        <w:rPr>
          <w:rFonts w:ascii="宋体" w:hAnsi="宋体" w:cs="宋体"/>
          <w:b/>
          <w:bCs/>
          <w:szCs w:val="21"/>
        </w:rPr>
      </w:pPr>
      <w:bookmarkStart w:id="12" w:name="_Toc166512151"/>
      <w:r>
        <w:rPr>
          <w:rFonts w:ascii="宋体" w:hAnsi="宋体" w:cs="宋体" w:hint="eastAsia"/>
          <w:b/>
          <w:bCs/>
          <w:szCs w:val="21"/>
        </w:rPr>
        <w:t>3</w:t>
      </w:r>
      <w:r w:rsidRPr="00571B1F">
        <w:rPr>
          <w:rFonts w:ascii="宋体" w:hAnsi="宋体" w:cs="宋体" w:hint="eastAsia"/>
          <w:b/>
          <w:bCs/>
          <w:szCs w:val="21"/>
        </w:rPr>
        <w:t>.</w:t>
      </w:r>
      <w:r>
        <w:rPr>
          <w:rFonts w:ascii="宋体" w:hAnsi="宋体" w:cs="宋体" w:hint="eastAsia"/>
          <w:b/>
          <w:bCs/>
          <w:szCs w:val="21"/>
        </w:rPr>
        <w:t>3.</w:t>
      </w:r>
      <w:r w:rsidRPr="00571B1F">
        <w:rPr>
          <w:rFonts w:ascii="宋体" w:hAnsi="宋体" w:cs="宋体" w:hint="eastAsia"/>
          <w:b/>
          <w:bCs/>
          <w:szCs w:val="21"/>
        </w:rPr>
        <w:t>8精密度试验</w:t>
      </w:r>
      <w:bookmarkEnd w:id="12"/>
    </w:p>
    <w:p w:rsidR="00571B1F" w:rsidRDefault="00571B1F" w:rsidP="00571B1F">
      <w:pPr>
        <w:spacing w:line="400" w:lineRule="atLeast"/>
        <w:jc w:val="left"/>
        <w:rPr>
          <w:rFonts w:ascii="宋体" w:hAnsi="宋体" w:cs="宋体"/>
          <w:bCs/>
          <w:szCs w:val="21"/>
        </w:rPr>
      </w:pPr>
      <w:bookmarkStart w:id="13" w:name="_Toc166512152"/>
      <w:r>
        <w:rPr>
          <w:rFonts w:ascii="宋体" w:hAnsi="宋体" w:cs="宋体" w:hint="eastAsia"/>
          <w:bCs/>
          <w:szCs w:val="21"/>
        </w:rPr>
        <w:t>3</w:t>
      </w:r>
      <w:r w:rsidRPr="00571B1F">
        <w:rPr>
          <w:rFonts w:ascii="宋体" w:hAnsi="宋体" w:cs="宋体" w:hint="eastAsia"/>
          <w:bCs/>
          <w:szCs w:val="21"/>
        </w:rPr>
        <w:t>.</w:t>
      </w:r>
      <w:r>
        <w:rPr>
          <w:rFonts w:ascii="宋体" w:hAnsi="宋体" w:cs="宋体" w:hint="eastAsia"/>
          <w:bCs/>
          <w:szCs w:val="21"/>
        </w:rPr>
        <w:t>3.</w:t>
      </w:r>
      <w:r w:rsidRPr="00571B1F">
        <w:rPr>
          <w:rFonts w:ascii="宋体" w:hAnsi="宋体" w:cs="宋体" w:hint="eastAsia"/>
          <w:bCs/>
          <w:szCs w:val="21"/>
        </w:rPr>
        <w:t>8.1</w:t>
      </w:r>
      <w:proofErr w:type="gramStart"/>
      <w:r w:rsidRPr="00571B1F">
        <w:rPr>
          <w:rFonts w:ascii="宋体" w:hAnsi="宋体" w:cs="宋体" w:hint="eastAsia"/>
          <w:bCs/>
          <w:szCs w:val="21"/>
        </w:rPr>
        <w:t>碱溶精密度</w:t>
      </w:r>
      <w:proofErr w:type="gramEnd"/>
      <w:r w:rsidRPr="00571B1F">
        <w:rPr>
          <w:rFonts w:ascii="宋体" w:hAnsi="宋体" w:cs="宋体" w:hint="eastAsia"/>
          <w:bCs/>
          <w:szCs w:val="21"/>
        </w:rPr>
        <w:t>试验</w:t>
      </w:r>
      <w:bookmarkEnd w:id="13"/>
    </w:p>
    <w:p w:rsidR="007412DB" w:rsidRPr="00571B1F" w:rsidRDefault="007412DB" w:rsidP="007412DB">
      <w:pPr>
        <w:spacing w:line="400" w:lineRule="atLeast"/>
        <w:ind w:firstLineChars="200" w:firstLine="420"/>
        <w:jc w:val="left"/>
        <w:rPr>
          <w:rFonts w:ascii="宋体" w:hAnsi="宋体" w:cs="宋体"/>
          <w:bCs/>
          <w:szCs w:val="21"/>
        </w:rPr>
      </w:pPr>
      <w:r w:rsidRPr="00E1127B">
        <w:rPr>
          <w:bCs/>
          <w:color w:val="000000" w:themeColor="text1"/>
        </w:rPr>
        <w:t>通过</w:t>
      </w:r>
      <w:r>
        <w:rPr>
          <w:rFonts w:hint="eastAsia"/>
          <w:bCs/>
          <w:color w:val="000000" w:themeColor="text1"/>
        </w:rPr>
        <w:t>精</w:t>
      </w:r>
      <w:r>
        <w:rPr>
          <w:bCs/>
          <w:color w:val="000000" w:themeColor="text1"/>
        </w:rPr>
        <w:t>密度</w:t>
      </w:r>
      <w:r w:rsidRPr="00E1127B">
        <w:rPr>
          <w:bCs/>
          <w:color w:val="000000" w:themeColor="text1"/>
        </w:rPr>
        <w:t>试验，</w:t>
      </w:r>
      <w:proofErr w:type="gramStart"/>
      <w:r w:rsidRPr="00E1127B">
        <w:rPr>
          <w:bCs/>
          <w:color w:val="000000" w:themeColor="text1"/>
        </w:rPr>
        <w:t>碱溶</w:t>
      </w:r>
      <w:r w:rsidR="004B339E">
        <w:rPr>
          <w:rFonts w:hint="eastAsia"/>
          <w:bCs/>
          <w:color w:val="000000" w:themeColor="text1"/>
        </w:rPr>
        <w:t>精</w:t>
      </w:r>
      <w:r w:rsidR="004B339E">
        <w:rPr>
          <w:bCs/>
          <w:color w:val="000000" w:themeColor="text1"/>
        </w:rPr>
        <w:t>密度</w:t>
      </w:r>
      <w:proofErr w:type="gramEnd"/>
      <w:r w:rsidRPr="00E1127B">
        <w:rPr>
          <w:bCs/>
          <w:color w:val="000000" w:themeColor="text1"/>
        </w:rPr>
        <w:t>均达到要求</w:t>
      </w:r>
    </w:p>
    <w:p w:rsidR="00571B1F" w:rsidRDefault="00571B1F" w:rsidP="00571B1F">
      <w:pPr>
        <w:spacing w:line="400" w:lineRule="atLeast"/>
        <w:jc w:val="left"/>
        <w:rPr>
          <w:rFonts w:ascii="宋体" w:hAnsi="宋体" w:cs="宋体"/>
          <w:bCs/>
          <w:szCs w:val="21"/>
        </w:rPr>
      </w:pPr>
      <w:bookmarkStart w:id="14" w:name="_Toc166512153"/>
      <w:r w:rsidRPr="00571B1F">
        <w:rPr>
          <w:rFonts w:ascii="宋体" w:hAnsi="宋体" w:cs="宋体" w:hint="eastAsia"/>
          <w:bCs/>
          <w:szCs w:val="21"/>
        </w:rPr>
        <w:t>3.</w:t>
      </w:r>
      <w:r>
        <w:rPr>
          <w:rFonts w:ascii="宋体" w:hAnsi="宋体" w:cs="宋体" w:hint="eastAsia"/>
          <w:bCs/>
          <w:szCs w:val="21"/>
        </w:rPr>
        <w:t>3.</w:t>
      </w:r>
      <w:r w:rsidRPr="00571B1F">
        <w:rPr>
          <w:rFonts w:ascii="宋体" w:hAnsi="宋体" w:cs="宋体" w:hint="eastAsia"/>
          <w:bCs/>
          <w:szCs w:val="21"/>
        </w:rPr>
        <w:t>8.2酸溶精密度试验</w:t>
      </w:r>
      <w:bookmarkEnd w:id="14"/>
    </w:p>
    <w:p w:rsidR="00023E06" w:rsidRPr="00571B1F" w:rsidRDefault="00023E06" w:rsidP="00023E06">
      <w:pPr>
        <w:spacing w:line="400" w:lineRule="atLeast"/>
        <w:ind w:firstLineChars="200" w:firstLine="420"/>
        <w:jc w:val="left"/>
        <w:rPr>
          <w:rFonts w:ascii="宋体" w:hAnsi="宋体" w:cs="宋体"/>
          <w:bCs/>
          <w:szCs w:val="21"/>
        </w:rPr>
      </w:pPr>
      <w:r w:rsidRPr="00E1127B">
        <w:rPr>
          <w:bCs/>
          <w:color w:val="000000" w:themeColor="text1"/>
        </w:rPr>
        <w:t>通过</w:t>
      </w:r>
      <w:r>
        <w:rPr>
          <w:rFonts w:hint="eastAsia"/>
          <w:bCs/>
          <w:color w:val="000000" w:themeColor="text1"/>
        </w:rPr>
        <w:t>精</w:t>
      </w:r>
      <w:r>
        <w:rPr>
          <w:bCs/>
          <w:color w:val="000000" w:themeColor="text1"/>
        </w:rPr>
        <w:t>密度</w:t>
      </w:r>
      <w:r w:rsidRPr="00E1127B">
        <w:rPr>
          <w:bCs/>
          <w:color w:val="000000" w:themeColor="text1"/>
        </w:rPr>
        <w:t>试验，</w:t>
      </w:r>
      <w:r>
        <w:rPr>
          <w:rFonts w:hint="eastAsia"/>
          <w:bCs/>
          <w:color w:val="000000" w:themeColor="text1"/>
        </w:rPr>
        <w:t>酸</w:t>
      </w:r>
      <w:r w:rsidRPr="00E1127B">
        <w:rPr>
          <w:bCs/>
          <w:color w:val="000000" w:themeColor="text1"/>
        </w:rPr>
        <w:t>溶</w:t>
      </w:r>
      <w:r>
        <w:rPr>
          <w:rFonts w:hint="eastAsia"/>
          <w:bCs/>
          <w:color w:val="000000" w:themeColor="text1"/>
        </w:rPr>
        <w:t>精</w:t>
      </w:r>
      <w:r>
        <w:rPr>
          <w:bCs/>
          <w:color w:val="000000" w:themeColor="text1"/>
        </w:rPr>
        <w:t>密度</w:t>
      </w:r>
      <w:r w:rsidRPr="00E1127B">
        <w:rPr>
          <w:bCs/>
          <w:color w:val="000000" w:themeColor="text1"/>
        </w:rPr>
        <w:t>均达到要求</w:t>
      </w:r>
    </w:p>
    <w:p w:rsidR="00571B1F" w:rsidRPr="00571B1F" w:rsidRDefault="00571B1F" w:rsidP="00571B1F">
      <w:pPr>
        <w:spacing w:line="400" w:lineRule="atLeast"/>
        <w:jc w:val="left"/>
        <w:rPr>
          <w:rFonts w:ascii="宋体" w:hAnsi="宋体" w:cs="宋体"/>
          <w:b/>
          <w:bCs/>
          <w:szCs w:val="21"/>
        </w:rPr>
      </w:pPr>
      <w:bookmarkStart w:id="15" w:name="_Toc166512154"/>
      <w:r w:rsidRPr="00571B1F">
        <w:rPr>
          <w:rFonts w:ascii="宋体" w:hAnsi="宋体" w:cs="宋体" w:hint="eastAsia"/>
          <w:b/>
          <w:bCs/>
          <w:szCs w:val="21"/>
        </w:rPr>
        <w:t>3.4 结论</w:t>
      </w:r>
      <w:bookmarkEnd w:id="15"/>
    </w:p>
    <w:p w:rsidR="00571B1F" w:rsidRPr="00023E06" w:rsidRDefault="00571B1F" w:rsidP="00023E06">
      <w:pPr>
        <w:spacing w:line="400" w:lineRule="atLeast"/>
        <w:ind w:firstLineChars="200" w:firstLine="420"/>
        <w:jc w:val="left"/>
        <w:rPr>
          <w:bCs/>
          <w:color w:val="000000" w:themeColor="text1"/>
        </w:rPr>
      </w:pPr>
      <w:r w:rsidRPr="00023E06">
        <w:rPr>
          <w:rFonts w:hint="eastAsia"/>
          <w:bCs/>
          <w:color w:val="000000" w:themeColor="text1"/>
        </w:rPr>
        <w:t>通过试验，采用电感耦合等离子体原子发射光谱法可准确测定稀土矿中十五个稀土元素氧化物配分量，其精密度、准确度结果令人满意。</w:t>
      </w:r>
    </w:p>
    <w:p w:rsidR="006168F6" w:rsidRPr="00023E06" w:rsidRDefault="00023E06" w:rsidP="00023E06">
      <w:pPr>
        <w:spacing w:line="400" w:lineRule="atLeast"/>
        <w:jc w:val="left"/>
        <w:rPr>
          <w:rFonts w:ascii="宋体" w:hAnsi="宋体" w:cs="宋体"/>
          <w:b/>
          <w:bCs/>
          <w:szCs w:val="21"/>
        </w:rPr>
      </w:pPr>
      <w:r>
        <w:rPr>
          <w:rFonts w:ascii="宋体" w:hAnsi="宋体" w:cs="宋体" w:hint="eastAsia"/>
          <w:b/>
          <w:bCs/>
          <w:szCs w:val="21"/>
        </w:rPr>
        <w:t xml:space="preserve">3.5 </w:t>
      </w:r>
      <w:r w:rsidR="00B003EF" w:rsidRPr="00023E06">
        <w:rPr>
          <w:rFonts w:ascii="宋体" w:hAnsi="宋体" w:cs="宋体" w:hint="eastAsia"/>
          <w:b/>
          <w:bCs/>
          <w:szCs w:val="21"/>
        </w:rPr>
        <w:t>试验验证的分析及预期的经济效果</w:t>
      </w:r>
    </w:p>
    <w:p w:rsidR="006168F6" w:rsidRDefault="00023E06">
      <w:pPr>
        <w:pStyle w:val="afffa"/>
        <w:numPr>
          <w:ilvl w:val="255"/>
          <w:numId w:val="0"/>
        </w:numPr>
        <w:tabs>
          <w:tab w:val="clear" w:pos="675"/>
        </w:tabs>
        <w:spacing w:beforeLines="50" w:before="156" w:afterLines="50" w:after="156"/>
        <w:jc w:val="left"/>
        <w:rPr>
          <w:rFonts w:ascii="宋体" w:eastAsia="宋体" w:hAnsi="宋体" w:cs="宋体"/>
        </w:rPr>
      </w:pPr>
      <w:r>
        <w:rPr>
          <w:rFonts w:ascii="宋体" w:eastAsia="宋体" w:hAnsi="宋体" w:cs="宋体" w:hint="eastAsia"/>
        </w:rPr>
        <w:t>3.5.</w:t>
      </w:r>
      <w:r w:rsidR="00B003EF">
        <w:rPr>
          <w:rFonts w:ascii="宋体" w:eastAsia="宋体" w:hAnsi="宋体" w:cs="宋体" w:hint="eastAsia"/>
        </w:rPr>
        <w:t>1数据汇总处理分析</w:t>
      </w:r>
    </w:p>
    <w:p w:rsidR="006168F6" w:rsidRDefault="00023E06">
      <w:pPr>
        <w:spacing w:beforeLines="50" w:before="156" w:afterLines="50" w:after="156"/>
        <w:jc w:val="left"/>
        <w:rPr>
          <w:rFonts w:ascii="宋体" w:hAnsi="宋体" w:cs="宋体"/>
        </w:rPr>
      </w:pPr>
      <w:r>
        <w:rPr>
          <w:rFonts w:ascii="宋体" w:hAnsi="宋体" w:cs="宋体" w:hint="eastAsia"/>
        </w:rPr>
        <w:t>3.5.</w:t>
      </w:r>
      <w:r w:rsidR="00B003EF">
        <w:rPr>
          <w:rFonts w:ascii="宋体" w:hAnsi="宋体" w:cs="宋体" w:hint="eastAsia"/>
        </w:rPr>
        <w:t>1.1原始数据统计和检验</w:t>
      </w:r>
    </w:p>
    <w:p w:rsidR="006168F6" w:rsidRDefault="00B003EF">
      <w:pPr>
        <w:spacing w:beforeLines="50" w:before="156" w:afterLines="50" w:after="156"/>
        <w:ind w:firstLineChars="200" w:firstLine="420"/>
        <w:jc w:val="left"/>
        <w:rPr>
          <w:rFonts w:ascii="宋体" w:hAnsi="宋体" w:cs="宋体"/>
        </w:rPr>
      </w:pPr>
      <w:r>
        <w:rPr>
          <w:rFonts w:ascii="宋体" w:hAnsi="宋体" w:cs="宋体" w:hint="eastAsia"/>
        </w:rPr>
        <w:lastRenderedPageBreak/>
        <w:t>主起草单位对各试验室内数据进行了均值、标准偏差和相对标准偏差的统计，并就各试验室内数据和试验室间均值进行了格拉布斯检验以及实验室</w:t>
      </w:r>
      <w:proofErr w:type="gramStart"/>
      <w:r>
        <w:rPr>
          <w:rFonts w:ascii="宋体" w:hAnsi="宋体" w:cs="宋体" w:hint="eastAsia"/>
        </w:rPr>
        <w:t>间数据</w:t>
      </w:r>
      <w:proofErr w:type="gramEnd"/>
      <w:r>
        <w:rPr>
          <w:rFonts w:ascii="宋体" w:hAnsi="宋体" w:cs="宋体" w:hint="eastAsia"/>
        </w:rPr>
        <w:t>等精度检验（柯克伦检验）。试验数据统计和检验结果</w:t>
      </w:r>
      <w:proofErr w:type="gramStart"/>
      <w:r>
        <w:rPr>
          <w:rFonts w:ascii="宋体" w:hAnsi="宋体" w:cs="宋体" w:hint="eastAsia"/>
        </w:rPr>
        <w:t>见数据</w:t>
      </w:r>
      <w:proofErr w:type="gramEnd"/>
      <w:r>
        <w:rPr>
          <w:rFonts w:ascii="宋体" w:hAnsi="宋体" w:cs="宋体" w:hint="eastAsia"/>
        </w:rPr>
        <w:t>统计报告。</w:t>
      </w:r>
    </w:p>
    <w:p w:rsidR="006168F6" w:rsidRDefault="00023E06">
      <w:pPr>
        <w:spacing w:beforeLines="50" w:before="156" w:afterLines="50" w:after="156"/>
        <w:jc w:val="left"/>
        <w:rPr>
          <w:rFonts w:ascii="宋体" w:hAnsi="宋体" w:cs="宋体"/>
        </w:rPr>
      </w:pPr>
      <w:r>
        <w:rPr>
          <w:rFonts w:ascii="宋体" w:hAnsi="宋体" w:cs="宋体" w:hint="eastAsia"/>
        </w:rPr>
        <w:t>3.5.</w:t>
      </w:r>
      <w:r w:rsidR="00B003EF">
        <w:rPr>
          <w:rFonts w:ascii="宋体" w:hAnsi="宋体" w:cs="宋体" w:hint="eastAsia"/>
        </w:rPr>
        <w:t>1.2对于</w:t>
      </w:r>
      <w:proofErr w:type="gramStart"/>
      <w:r w:rsidR="00B003EF">
        <w:rPr>
          <w:rFonts w:ascii="宋体" w:hAnsi="宋体" w:cs="宋体" w:hint="eastAsia"/>
        </w:rPr>
        <w:t>岐</w:t>
      </w:r>
      <w:proofErr w:type="gramEnd"/>
      <w:r w:rsidR="00B003EF">
        <w:rPr>
          <w:rFonts w:ascii="宋体" w:hAnsi="宋体" w:cs="宋体" w:hint="eastAsia"/>
        </w:rPr>
        <w:t>离和离群数据的分析</w:t>
      </w:r>
    </w:p>
    <w:p w:rsidR="006168F6" w:rsidRDefault="00B003EF">
      <w:pPr>
        <w:spacing w:beforeLines="50" w:before="156" w:afterLines="50" w:after="156"/>
        <w:ind w:firstLine="420"/>
        <w:jc w:val="left"/>
        <w:rPr>
          <w:rFonts w:cs="宋体"/>
          <w:szCs w:val="21"/>
        </w:rPr>
      </w:pPr>
      <w:r>
        <w:rPr>
          <w:rFonts w:cs="宋体" w:hint="eastAsia"/>
          <w:szCs w:val="21"/>
        </w:rPr>
        <w:t>试验数据取舍在统计学基础上还应符合化学分析特点，对于</w:t>
      </w:r>
      <w:proofErr w:type="gramStart"/>
      <w:r>
        <w:rPr>
          <w:rFonts w:cs="宋体" w:hint="eastAsia"/>
          <w:szCs w:val="21"/>
        </w:rPr>
        <w:t>岐</w:t>
      </w:r>
      <w:proofErr w:type="gramEnd"/>
      <w:r>
        <w:rPr>
          <w:rFonts w:cs="宋体" w:hint="eastAsia"/>
          <w:szCs w:val="21"/>
        </w:rPr>
        <w:t>离和离群数据是否留用，试验采取的判断方式：</w:t>
      </w:r>
    </w:p>
    <w:p w:rsidR="006168F6" w:rsidRDefault="00B003EF">
      <w:pPr>
        <w:spacing w:beforeLines="50" w:before="156" w:afterLines="50" w:after="156"/>
        <w:ind w:firstLine="420"/>
        <w:jc w:val="left"/>
        <w:rPr>
          <w:rFonts w:cs="宋体"/>
          <w:szCs w:val="21"/>
        </w:rPr>
      </w:pPr>
      <w:r>
        <w:rPr>
          <w:rFonts w:cs="宋体" w:hint="eastAsia"/>
          <w:szCs w:val="21"/>
        </w:rPr>
        <w:t>参照</w:t>
      </w:r>
      <w:r>
        <w:rPr>
          <w:rFonts w:cs="宋体" w:hint="eastAsia"/>
          <w:szCs w:val="21"/>
        </w:rPr>
        <w:t>GB/T 6379.2-2004</w:t>
      </w:r>
      <w:r>
        <w:rPr>
          <w:rFonts w:cs="宋体" w:hint="eastAsia"/>
          <w:szCs w:val="21"/>
        </w:rPr>
        <w:t>测量方法与结果的准确度（正确度与精密度）第</w:t>
      </w:r>
      <w:r>
        <w:rPr>
          <w:rFonts w:cs="宋体" w:hint="eastAsia"/>
          <w:szCs w:val="21"/>
        </w:rPr>
        <w:t>2</w:t>
      </w:r>
      <w:r>
        <w:rPr>
          <w:rFonts w:cs="宋体" w:hint="eastAsia"/>
          <w:szCs w:val="21"/>
        </w:rPr>
        <w:t>部分：确定标准测量方法重复性与再现性的基本方法，先进行格拉布斯检验，对于检验为</w:t>
      </w:r>
      <w:proofErr w:type="gramStart"/>
      <w:r>
        <w:rPr>
          <w:rFonts w:cs="宋体" w:hint="eastAsia"/>
          <w:szCs w:val="21"/>
        </w:rPr>
        <w:t>岐</w:t>
      </w:r>
      <w:proofErr w:type="gramEnd"/>
      <w:r>
        <w:rPr>
          <w:rFonts w:cs="宋体" w:hint="eastAsia"/>
          <w:szCs w:val="21"/>
        </w:rPr>
        <w:t>离的数据进行保留，对于离群的数据进行剔除。当最大或最小的平均值经检验为离群值，则将其剔除，对剩下的平均值重复进行检验；再进行柯克伦检验，对于检验为</w:t>
      </w:r>
      <w:proofErr w:type="gramStart"/>
      <w:r>
        <w:rPr>
          <w:rFonts w:cs="宋体" w:hint="eastAsia"/>
          <w:szCs w:val="21"/>
        </w:rPr>
        <w:t>岐</w:t>
      </w:r>
      <w:proofErr w:type="gramEnd"/>
      <w:r>
        <w:rPr>
          <w:rFonts w:cs="宋体" w:hint="eastAsia"/>
          <w:szCs w:val="21"/>
        </w:rPr>
        <w:t>离的数据进行保留，对于离群的数据进行剔除。当最大标准差经检验判断为离群值后，将其进行剔除，对剩下的数据再次进行柯克伦检验。</w:t>
      </w:r>
    </w:p>
    <w:p w:rsidR="006168F6" w:rsidRDefault="00B003EF">
      <w:pPr>
        <w:spacing w:beforeLines="50" w:before="156" w:afterLines="50" w:after="156"/>
        <w:jc w:val="left"/>
        <w:rPr>
          <w:sz w:val="18"/>
          <w:szCs w:val="18"/>
        </w:rPr>
      </w:pPr>
      <w:r>
        <w:rPr>
          <w:rFonts w:hint="eastAsia"/>
          <w:sz w:val="18"/>
          <w:szCs w:val="18"/>
        </w:rPr>
        <w:t>注：实验室内格拉布斯检验和等精度检验（柯克伦检验）采用的平均值为该实验室平均值，实验室间均值格拉布斯检验采用的平均值为实验室均值平均值。</w:t>
      </w:r>
    </w:p>
    <w:p w:rsidR="006168F6" w:rsidRDefault="00023E06">
      <w:pPr>
        <w:spacing w:beforeLines="50" w:before="156" w:afterLines="50" w:after="156"/>
        <w:jc w:val="left"/>
        <w:rPr>
          <w:rFonts w:ascii="宋体" w:hAnsi="宋体" w:cs="宋体"/>
        </w:rPr>
      </w:pPr>
      <w:r>
        <w:rPr>
          <w:rFonts w:ascii="宋体" w:hAnsi="宋体" w:cs="宋体" w:hint="eastAsia"/>
        </w:rPr>
        <w:t>3.5.</w:t>
      </w:r>
      <w:r w:rsidR="00B003EF">
        <w:rPr>
          <w:rFonts w:ascii="宋体" w:hAnsi="宋体" w:cs="宋体" w:hint="eastAsia"/>
        </w:rPr>
        <w:t>1.3 重复性限和再现性限计算</w:t>
      </w:r>
    </w:p>
    <w:p w:rsidR="006168F6" w:rsidRDefault="00B003EF">
      <w:pPr>
        <w:spacing w:beforeLines="50" w:before="156" w:afterLines="50" w:after="156"/>
        <w:ind w:firstLineChars="200" w:firstLine="420"/>
        <w:jc w:val="left"/>
        <w:rPr>
          <w:rFonts w:ascii="宋体" w:hAnsi="宋体" w:cs="宋体"/>
        </w:rPr>
      </w:pPr>
      <w:r>
        <w:rPr>
          <w:rFonts w:ascii="宋体" w:hAnsi="宋体" w:cs="宋体" w:hint="eastAsia"/>
        </w:rPr>
        <w:t>试验对</w:t>
      </w:r>
      <w:r w:rsidR="002C4E38">
        <w:rPr>
          <w:szCs w:val="20"/>
        </w:rPr>
        <w:t>稀土</w:t>
      </w:r>
      <w:r w:rsidR="001A44D1">
        <w:rPr>
          <w:rFonts w:hint="eastAsia"/>
          <w:szCs w:val="20"/>
        </w:rPr>
        <w:t>精</w:t>
      </w:r>
      <w:r w:rsidR="002C4E38">
        <w:rPr>
          <w:rFonts w:hint="eastAsia"/>
          <w:szCs w:val="20"/>
        </w:rPr>
        <w:t>矿</w:t>
      </w:r>
      <w:r w:rsidR="002C4E38">
        <w:rPr>
          <w:rFonts w:ascii="宋体" w:hAnsi="宋体" w:cs="宋体" w:hint="eastAsia"/>
        </w:rPr>
        <w:t>4</w:t>
      </w:r>
      <w:r>
        <w:rPr>
          <w:rFonts w:ascii="宋体" w:hAnsi="宋体" w:cs="宋体" w:hint="eastAsia"/>
        </w:rPr>
        <w:t>个水平样品所有保留数据进行了重复性限和再现性限计算，计算结果</w:t>
      </w:r>
      <w:proofErr w:type="gramStart"/>
      <w:r>
        <w:rPr>
          <w:rFonts w:ascii="宋体" w:hAnsi="宋体" w:cs="宋体" w:hint="eastAsia"/>
        </w:rPr>
        <w:t>见数据</w:t>
      </w:r>
      <w:proofErr w:type="gramEnd"/>
      <w:r>
        <w:rPr>
          <w:rFonts w:ascii="宋体" w:hAnsi="宋体" w:cs="宋体" w:hint="eastAsia"/>
        </w:rPr>
        <w:t>统计报告。</w:t>
      </w:r>
    </w:p>
    <w:p w:rsidR="006168F6" w:rsidRDefault="00023E06">
      <w:pPr>
        <w:widowControl/>
        <w:wordWrap w:val="0"/>
        <w:adjustRightInd w:val="0"/>
        <w:snapToGrid w:val="0"/>
        <w:spacing w:beforeLines="50" w:before="156" w:afterLines="50" w:after="156" w:line="360" w:lineRule="auto"/>
        <w:rPr>
          <w:rFonts w:ascii="宋体" w:hAnsi="宋体" w:cs="宋体"/>
          <w:kern w:val="0"/>
          <w:szCs w:val="22"/>
        </w:rPr>
      </w:pPr>
      <w:r>
        <w:rPr>
          <w:rFonts w:ascii="宋体" w:hAnsi="宋体" w:cs="宋体" w:hint="eastAsia"/>
          <w:kern w:val="0"/>
          <w:szCs w:val="22"/>
        </w:rPr>
        <w:t>3.5.</w:t>
      </w:r>
      <w:r w:rsidR="00B003EF">
        <w:rPr>
          <w:rFonts w:ascii="宋体" w:hAnsi="宋体" w:cs="宋体"/>
          <w:kern w:val="0"/>
          <w:szCs w:val="22"/>
        </w:rPr>
        <w:t>2.</w:t>
      </w:r>
      <w:r w:rsidR="00B003EF">
        <w:rPr>
          <w:rFonts w:ascii="宋体" w:hAnsi="宋体" w:cs="宋体" w:hint="eastAsia"/>
          <w:kern w:val="0"/>
          <w:szCs w:val="22"/>
        </w:rPr>
        <w:t>预期的经济效果</w:t>
      </w:r>
    </w:p>
    <w:p w:rsidR="006168F6" w:rsidRDefault="00B003EF">
      <w:pPr>
        <w:widowControl/>
        <w:ind w:firstLine="420"/>
        <w:jc w:val="left"/>
        <w:rPr>
          <w:rFonts w:ascii="宋体" w:hAnsi="宋体" w:cs="宋体"/>
          <w:szCs w:val="21"/>
        </w:rPr>
      </w:pPr>
      <w:r>
        <w:rPr>
          <w:rFonts w:ascii="宋体" w:hAnsi="宋体" w:cs="宋体" w:hint="eastAsia"/>
          <w:szCs w:val="21"/>
        </w:rPr>
        <w:t>标准实施后，将应用到整个</w:t>
      </w:r>
      <w:r w:rsidR="002C4E38">
        <w:rPr>
          <w:szCs w:val="20"/>
        </w:rPr>
        <w:t>稀土</w:t>
      </w:r>
      <w:r w:rsidR="002C4E38">
        <w:rPr>
          <w:rFonts w:hint="eastAsia"/>
          <w:szCs w:val="20"/>
        </w:rPr>
        <w:t>矿</w:t>
      </w:r>
      <w:r>
        <w:rPr>
          <w:rFonts w:ascii="宋体" w:hAnsi="宋体" w:cs="宋体" w:hint="eastAsia"/>
          <w:szCs w:val="21"/>
        </w:rPr>
        <w:t>的质检、贸易等过程中，应用前景良好，并会产生较好的社会效益和经济效益：</w:t>
      </w:r>
    </w:p>
    <w:p w:rsidR="006168F6" w:rsidRDefault="00B003EF">
      <w:pPr>
        <w:widowControl/>
        <w:ind w:firstLine="420"/>
        <w:jc w:val="left"/>
        <w:rPr>
          <w:rFonts w:ascii="宋体" w:hAnsi="宋体" w:cs="宋体"/>
          <w:szCs w:val="21"/>
        </w:rPr>
      </w:pPr>
      <w:r>
        <w:rPr>
          <w:rFonts w:ascii="宋体" w:hAnsi="宋体" w:cs="宋体" w:hint="eastAsia"/>
          <w:szCs w:val="21"/>
        </w:rPr>
        <w:t>（1）标准的实施将为生产、使用、贸易三方提供最基本的技术依据，在本标准的基础之上使三方达成共识，有利于产品的质量控制和产品升级，使后续使用方高效率、低消耗地使用该产品；</w:t>
      </w:r>
    </w:p>
    <w:p w:rsidR="006168F6" w:rsidRDefault="00B003EF">
      <w:pPr>
        <w:widowControl/>
        <w:ind w:firstLine="420"/>
        <w:jc w:val="left"/>
        <w:rPr>
          <w:rFonts w:ascii="宋体" w:hAnsi="宋体" w:cs="宋体"/>
          <w:szCs w:val="21"/>
        </w:rPr>
      </w:pPr>
      <w:r>
        <w:rPr>
          <w:rFonts w:ascii="宋体" w:hAnsi="宋体" w:cs="宋体" w:hint="eastAsia"/>
          <w:szCs w:val="21"/>
        </w:rPr>
        <w:t>（2）标准的实施为稀土贸易提供仲裁的依据，有利于市场公平交易环境的形成，能够更好地促进市场的规范化。</w:t>
      </w:r>
    </w:p>
    <w:p w:rsidR="006168F6" w:rsidRDefault="00B003EF">
      <w:pPr>
        <w:widowControl/>
        <w:ind w:firstLine="420"/>
        <w:jc w:val="left"/>
        <w:rPr>
          <w:rFonts w:ascii="宋体" w:hAnsi="宋体" w:cs="宋体"/>
          <w:szCs w:val="21"/>
        </w:rPr>
      </w:pPr>
      <w:r>
        <w:rPr>
          <w:rFonts w:ascii="宋体" w:hAnsi="宋体" w:cs="宋体" w:hint="eastAsia"/>
          <w:szCs w:val="21"/>
        </w:rPr>
        <w:t>（3）标准的实施将进一步完善《</w:t>
      </w:r>
      <w:r w:rsidR="002C4E38" w:rsidRPr="002C4E38">
        <w:rPr>
          <w:rFonts w:ascii="宋体" w:hAnsi="宋体" w:cs="宋体"/>
          <w:szCs w:val="21"/>
        </w:rPr>
        <w:t>稀土</w:t>
      </w:r>
      <w:r w:rsidR="002C4E38" w:rsidRPr="002C4E38">
        <w:rPr>
          <w:rFonts w:ascii="宋体" w:hAnsi="宋体" w:cs="宋体" w:hint="eastAsia"/>
          <w:szCs w:val="21"/>
        </w:rPr>
        <w:t>矿</w:t>
      </w:r>
      <w:r w:rsidR="002C4E38" w:rsidRPr="002C4E38">
        <w:rPr>
          <w:rFonts w:ascii="宋体" w:hAnsi="宋体" w:cs="宋体"/>
          <w:szCs w:val="21"/>
        </w:rPr>
        <w:t>化学分析方法</w:t>
      </w:r>
      <w:r>
        <w:rPr>
          <w:rFonts w:ascii="宋体" w:hAnsi="宋体" w:cs="宋体" w:hint="eastAsia"/>
          <w:szCs w:val="21"/>
        </w:rPr>
        <w:t>》的标准体系，与现行的《</w:t>
      </w:r>
      <w:r w:rsidR="002C4E38" w:rsidRPr="002C4E38">
        <w:rPr>
          <w:rFonts w:ascii="宋体" w:hAnsi="宋体" w:cs="宋体"/>
          <w:szCs w:val="21"/>
        </w:rPr>
        <w:t>稀土</w:t>
      </w:r>
      <w:r w:rsidR="002C4E38" w:rsidRPr="002C4E38">
        <w:rPr>
          <w:rFonts w:ascii="宋体" w:hAnsi="宋体" w:cs="宋体" w:hint="eastAsia"/>
          <w:szCs w:val="21"/>
        </w:rPr>
        <w:t>矿</w:t>
      </w:r>
      <w:r>
        <w:rPr>
          <w:rFonts w:ascii="宋体" w:hAnsi="宋体" w:cs="宋体" w:hint="eastAsia"/>
          <w:szCs w:val="21"/>
        </w:rPr>
        <w:t>中非稀土杂质化学分析方法》形成一套完整规范的国家标准系列，为推动中国稀土产业的规范有序稳步发展提供技术支撑。</w:t>
      </w:r>
    </w:p>
    <w:p w:rsidR="006168F6" w:rsidRDefault="00B003EF">
      <w:pPr>
        <w:numPr>
          <w:ilvl w:val="0"/>
          <w:numId w:val="2"/>
        </w:numPr>
        <w:spacing w:beforeLines="50" w:before="156" w:afterLines="50" w:after="156" w:line="300" w:lineRule="auto"/>
        <w:rPr>
          <w:rFonts w:ascii="宋体" w:hAnsi="宋体" w:cs="宋体"/>
          <w:b/>
          <w:sz w:val="24"/>
        </w:rPr>
      </w:pPr>
      <w:r>
        <w:rPr>
          <w:rFonts w:ascii="宋体" w:hAnsi="宋体" w:cs="宋体" w:hint="eastAsia"/>
          <w:b/>
          <w:sz w:val="24"/>
        </w:rPr>
        <w:t>与国际、国外同类标准技术内容的对比</w:t>
      </w:r>
    </w:p>
    <w:p w:rsidR="006168F6" w:rsidRDefault="00B003EF">
      <w:pPr>
        <w:widowControl/>
        <w:numPr>
          <w:ilvl w:val="255"/>
          <w:numId w:val="0"/>
        </w:numPr>
        <w:spacing w:beforeLines="50" w:before="156" w:afterLines="50" w:after="156"/>
        <w:ind w:firstLineChars="200" w:firstLine="420"/>
        <w:rPr>
          <w:rFonts w:ascii="宋体" w:hAnsi="宋体" w:cs="宋体"/>
        </w:rPr>
      </w:pPr>
      <w:r>
        <w:rPr>
          <w:rFonts w:ascii="宋体" w:hAnsi="宋体" w:cs="宋体" w:hint="eastAsia"/>
        </w:rPr>
        <w:t>国内、国外尚未见</w:t>
      </w:r>
      <w:r w:rsidR="002C4E38">
        <w:rPr>
          <w:szCs w:val="20"/>
        </w:rPr>
        <w:t>稀土</w:t>
      </w:r>
      <w:r w:rsidR="002C4E38">
        <w:rPr>
          <w:rFonts w:hint="eastAsia"/>
          <w:szCs w:val="20"/>
        </w:rPr>
        <w:t>矿</w:t>
      </w:r>
      <w:r w:rsidR="002C4E38">
        <w:rPr>
          <w:szCs w:val="20"/>
        </w:rPr>
        <w:t>中</w:t>
      </w:r>
      <w:r w:rsidR="002C4E38">
        <w:rPr>
          <w:rFonts w:hint="eastAsia"/>
          <w:szCs w:val="20"/>
        </w:rPr>
        <w:t>十五个稀土元素氧化物配分量</w:t>
      </w:r>
      <w:r w:rsidR="002C4E38">
        <w:rPr>
          <w:szCs w:val="20"/>
        </w:rPr>
        <w:t>的测定</w:t>
      </w:r>
      <w:r>
        <w:rPr>
          <w:rFonts w:ascii="宋体" w:hAnsi="宋体" w:cs="宋体" w:hint="eastAsia"/>
        </w:rPr>
        <w:t>分析方法标准。</w:t>
      </w:r>
    </w:p>
    <w:p w:rsidR="006168F6" w:rsidRDefault="00B003EF">
      <w:pPr>
        <w:numPr>
          <w:ilvl w:val="0"/>
          <w:numId w:val="2"/>
        </w:numPr>
        <w:spacing w:beforeLines="50" w:before="156" w:afterLines="50" w:after="156" w:line="300" w:lineRule="auto"/>
        <w:rPr>
          <w:rFonts w:ascii="宋体" w:hAnsi="宋体" w:cs="宋体"/>
          <w:b/>
          <w:sz w:val="24"/>
        </w:rPr>
      </w:pPr>
      <w:r>
        <w:rPr>
          <w:rFonts w:ascii="宋体" w:hAnsi="宋体" w:cs="宋体" w:hint="eastAsia"/>
          <w:b/>
          <w:sz w:val="24"/>
        </w:rPr>
        <w:t>采标情况，以及是否合</w:t>
      </w:r>
      <w:proofErr w:type="gramStart"/>
      <w:r>
        <w:rPr>
          <w:rFonts w:ascii="宋体" w:hAnsi="宋体" w:cs="宋体" w:hint="eastAsia"/>
          <w:b/>
          <w:sz w:val="24"/>
        </w:rPr>
        <w:t>规</w:t>
      </w:r>
      <w:proofErr w:type="gramEnd"/>
      <w:r>
        <w:rPr>
          <w:rFonts w:ascii="宋体" w:hAnsi="宋体" w:cs="宋体" w:hint="eastAsia"/>
          <w:b/>
          <w:sz w:val="24"/>
        </w:rPr>
        <w:t>引用或采用国际国外标准</w:t>
      </w:r>
    </w:p>
    <w:p w:rsidR="006168F6" w:rsidRPr="001A44D1" w:rsidRDefault="00B003EF">
      <w:pPr>
        <w:widowControl/>
        <w:spacing w:beforeLines="50" w:before="156" w:afterLines="50" w:after="156"/>
        <w:ind w:firstLineChars="200" w:firstLine="420"/>
        <w:jc w:val="left"/>
        <w:rPr>
          <w:rFonts w:ascii="宋体" w:hAnsi="宋体" w:cs="宋体"/>
          <w:color w:val="000000" w:themeColor="text1"/>
        </w:rPr>
      </w:pPr>
      <w:r w:rsidRPr="001A44D1">
        <w:rPr>
          <w:rFonts w:ascii="宋体" w:hAnsi="宋体" w:cs="宋体" w:hint="eastAsia"/>
          <w:color w:val="000000" w:themeColor="text1"/>
        </w:rPr>
        <w:t>经查，国外无相同类型的标准。本标准未采用（包括等同采用、修改采用及非等效采用）国际标准或国外先进标准。</w:t>
      </w:r>
    </w:p>
    <w:p w:rsidR="006168F6" w:rsidRDefault="00B003EF">
      <w:pPr>
        <w:numPr>
          <w:ilvl w:val="0"/>
          <w:numId w:val="2"/>
        </w:numPr>
        <w:spacing w:beforeLines="50" w:before="156" w:afterLines="50" w:after="156" w:line="300" w:lineRule="auto"/>
        <w:rPr>
          <w:rFonts w:ascii="宋体" w:hAnsi="宋体" w:cs="宋体"/>
          <w:b/>
          <w:sz w:val="24"/>
        </w:rPr>
      </w:pPr>
      <w:r>
        <w:rPr>
          <w:rFonts w:ascii="宋体" w:hAnsi="宋体" w:cs="宋体" w:hint="eastAsia"/>
          <w:b/>
          <w:sz w:val="24"/>
        </w:rPr>
        <w:t>与有关法律、法规的关系</w:t>
      </w:r>
    </w:p>
    <w:p w:rsidR="006168F6" w:rsidRDefault="00B003EF">
      <w:pPr>
        <w:spacing w:beforeLines="50" w:before="156" w:afterLines="50" w:after="156"/>
        <w:ind w:firstLineChars="200" w:firstLine="420"/>
        <w:jc w:val="left"/>
        <w:rPr>
          <w:rFonts w:ascii="宋体" w:hAnsi="宋体" w:cs="宋体"/>
        </w:rPr>
      </w:pPr>
      <w:r>
        <w:rPr>
          <w:rFonts w:hAnsi="宋体" w:hint="eastAsia"/>
        </w:rPr>
        <w:t>本标准与现行法律、法规和相关标准相协调、无冲突</w:t>
      </w:r>
      <w:r>
        <w:rPr>
          <w:rFonts w:ascii="宋体" w:hAnsi="宋体" w:cs="宋体" w:hint="eastAsia"/>
        </w:rPr>
        <w:t>。</w:t>
      </w:r>
    </w:p>
    <w:p w:rsidR="006168F6" w:rsidRDefault="00B003EF">
      <w:pPr>
        <w:numPr>
          <w:ilvl w:val="0"/>
          <w:numId w:val="2"/>
        </w:numPr>
        <w:spacing w:beforeLines="50" w:before="156" w:afterLines="50" w:after="156" w:line="300" w:lineRule="auto"/>
        <w:rPr>
          <w:rFonts w:ascii="宋体" w:hAnsi="宋体" w:cs="宋体"/>
          <w:b/>
          <w:sz w:val="24"/>
        </w:rPr>
      </w:pPr>
      <w:r>
        <w:rPr>
          <w:rFonts w:ascii="宋体" w:hAnsi="宋体" w:cs="宋体" w:hint="eastAsia"/>
          <w:b/>
          <w:sz w:val="24"/>
        </w:rPr>
        <w:t>重大分歧意见的处理和依据</w:t>
      </w:r>
    </w:p>
    <w:p w:rsidR="006168F6" w:rsidRDefault="00B003EF">
      <w:pPr>
        <w:rPr>
          <w:rFonts w:ascii="宋体" w:hAnsi="宋体" w:cs="宋体"/>
          <w:bCs/>
          <w:sz w:val="24"/>
        </w:rPr>
      </w:pPr>
      <w:r>
        <w:rPr>
          <w:rFonts w:ascii="宋体" w:hAnsi="宋体" w:cs="宋体" w:hint="eastAsia"/>
          <w:bCs/>
          <w:sz w:val="24"/>
        </w:rPr>
        <w:tab/>
        <w:t>无。</w:t>
      </w:r>
    </w:p>
    <w:p w:rsidR="006168F6" w:rsidRDefault="00B003EF">
      <w:pPr>
        <w:numPr>
          <w:ilvl w:val="0"/>
          <w:numId w:val="2"/>
        </w:numPr>
        <w:spacing w:beforeLines="50" w:before="156" w:afterLines="50" w:after="156" w:line="300" w:lineRule="auto"/>
        <w:rPr>
          <w:rFonts w:ascii="宋体" w:hAnsi="宋体" w:cs="宋体"/>
          <w:b/>
          <w:sz w:val="24"/>
        </w:rPr>
      </w:pPr>
      <w:r>
        <w:rPr>
          <w:rFonts w:ascii="宋体" w:hAnsi="宋体" w:cs="宋体" w:hint="eastAsia"/>
          <w:b/>
          <w:sz w:val="24"/>
        </w:rPr>
        <w:t>涉及专利的有关说明</w:t>
      </w:r>
    </w:p>
    <w:p w:rsidR="006168F6" w:rsidRDefault="00B003EF">
      <w:pPr>
        <w:pStyle w:val="afffb"/>
        <w:tabs>
          <w:tab w:val="center" w:pos="4201"/>
          <w:tab w:val="right" w:leader="dot" w:pos="9298"/>
        </w:tabs>
        <w:ind w:firstLine="420"/>
        <w:rPr>
          <w:rFonts w:cs="宋体"/>
        </w:rPr>
      </w:pPr>
      <w:r>
        <w:rPr>
          <w:rFonts w:hint="eastAsia"/>
        </w:rPr>
        <w:t>本标准不涉及专利问题</w:t>
      </w:r>
      <w:r>
        <w:rPr>
          <w:rFonts w:cs="宋体" w:hint="eastAsia"/>
        </w:rPr>
        <w:t>。</w:t>
      </w:r>
    </w:p>
    <w:p w:rsidR="006168F6" w:rsidRDefault="00B003EF">
      <w:pPr>
        <w:numPr>
          <w:ilvl w:val="0"/>
          <w:numId w:val="2"/>
        </w:numPr>
        <w:spacing w:beforeLines="50" w:before="156" w:afterLines="50" w:after="156" w:line="300" w:lineRule="auto"/>
        <w:rPr>
          <w:rFonts w:ascii="宋体" w:hAnsi="宋体" w:cs="宋体"/>
          <w:b/>
          <w:sz w:val="24"/>
        </w:rPr>
      </w:pPr>
      <w:r>
        <w:rPr>
          <w:rFonts w:ascii="宋体" w:hAnsi="宋体" w:cs="宋体" w:hint="eastAsia"/>
          <w:b/>
          <w:sz w:val="24"/>
        </w:rPr>
        <w:t>贯彻国家标准的要求，以及组织措施、技术措施、过渡期和实施日期的建议等措施建议</w:t>
      </w:r>
    </w:p>
    <w:p w:rsidR="006168F6" w:rsidRDefault="00B003EF">
      <w:pPr>
        <w:ind w:firstLineChars="200" w:firstLine="420"/>
        <w:jc w:val="left"/>
        <w:rPr>
          <w:rFonts w:ascii="宋体" w:hAnsi="宋体" w:cs="宋体"/>
          <w:sz w:val="24"/>
        </w:rPr>
      </w:pPr>
      <w:r>
        <w:rPr>
          <w:rFonts w:ascii="宋体" w:hAnsi="宋体" w:cs="宋体" w:hint="eastAsia"/>
        </w:rPr>
        <w:lastRenderedPageBreak/>
        <w:t>本标准实施后</w:t>
      </w:r>
      <w:r>
        <w:rPr>
          <w:rFonts w:ascii="宋体" w:hAnsi="宋体" w:cs="宋体" w:hint="eastAsia"/>
          <w:kern w:val="0"/>
          <w:szCs w:val="20"/>
        </w:rPr>
        <w:t>建议企业以及检测单位积极组织本标准的学习与宣贯，可向企业、公司和科研院校（所）推荐本标准。</w:t>
      </w:r>
    </w:p>
    <w:p w:rsidR="006168F6" w:rsidRDefault="00B003EF">
      <w:pPr>
        <w:numPr>
          <w:ilvl w:val="0"/>
          <w:numId w:val="2"/>
        </w:numPr>
        <w:spacing w:beforeLines="50" w:before="156" w:afterLines="50" w:after="156" w:line="300" w:lineRule="auto"/>
        <w:rPr>
          <w:rFonts w:ascii="宋体" w:hAnsi="宋体" w:cs="宋体"/>
          <w:b/>
          <w:sz w:val="24"/>
        </w:rPr>
      </w:pPr>
      <w:r>
        <w:rPr>
          <w:rFonts w:ascii="宋体" w:hAnsi="宋体" w:cs="宋体" w:hint="eastAsia"/>
          <w:b/>
          <w:sz w:val="24"/>
        </w:rPr>
        <w:t>其他应当说明的事项</w:t>
      </w:r>
    </w:p>
    <w:p w:rsidR="006168F6" w:rsidRDefault="00B003EF">
      <w:pPr>
        <w:pStyle w:val="afffb"/>
        <w:ind w:firstLine="420"/>
        <w:jc w:val="left"/>
        <w:rPr>
          <w:rFonts w:cs="宋体"/>
          <w:szCs w:val="21"/>
        </w:rPr>
      </w:pPr>
      <w:r>
        <w:rPr>
          <w:rFonts w:cs="宋体" w:hint="eastAsia"/>
        </w:rPr>
        <w:t>无</w:t>
      </w:r>
    </w:p>
    <w:sectPr w:rsidR="006168F6">
      <w:footerReference w:type="default" r:id="rId9"/>
      <w:pgSz w:w="11906" w:h="16838"/>
      <w:pgMar w:top="1134" w:right="850" w:bottom="1213" w:left="850" w:header="851" w:footer="45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3B1" w:rsidRDefault="00F333B1">
      <w:r>
        <w:separator/>
      </w:r>
    </w:p>
  </w:endnote>
  <w:endnote w:type="continuationSeparator" w:id="0">
    <w:p w:rsidR="00F333B1" w:rsidRDefault="00F3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3EF" w:rsidRDefault="00B003EF">
    <w:pPr>
      <w:pStyle w:val="aff0"/>
      <w:jc w:val="center"/>
    </w:pPr>
    <w:r>
      <w:fldChar w:fldCharType="begin"/>
    </w:r>
    <w:r>
      <w:instrText xml:space="preserve"> PAGE   \* MERGEFORMAT </w:instrText>
    </w:r>
    <w:r>
      <w:fldChar w:fldCharType="separate"/>
    </w:r>
    <w:r w:rsidR="00A52D6A" w:rsidRPr="00A52D6A">
      <w:rPr>
        <w:noProof/>
        <w:lang w:val="zh-CN"/>
      </w:rPr>
      <w:t>2</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3B1" w:rsidRDefault="00F333B1">
      <w:r>
        <w:separator/>
      </w:r>
    </w:p>
  </w:footnote>
  <w:footnote w:type="continuationSeparator" w:id="0">
    <w:p w:rsidR="00F333B1" w:rsidRDefault="00F333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00947E"/>
    <w:multiLevelType w:val="singleLevel"/>
    <w:tmpl w:val="C300947E"/>
    <w:lvl w:ilvl="0">
      <w:start w:val="1"/>
      <w:numFmt w:val="chineseCounting"/>
      <w:suff w:val="nothing"/>
      <w:lvlText w:val="%1、"/>
      <w:lvlJc w:val="left"/>
      <w:rPr>
        <w:rFonts w:hint="eastAsia"/>
      </w:rPr>
    </w:lvl>
  </w:abstractNum>
  <w:abstractNum w:abstractNumId="1">
    <w:nsid w:val="EA9741D2"/>
    <w:multiLevelType w:val="singleLevel"/>
    <w:tmpl w:val="EA9741D2"/>
    <w:lvl w:ilvl="0">
      <w:start w:val="3"/>
      <w:numFmt w:val="chineseCounting"/>
      <w:suff w:val="nothing"/>
      <w:lvlText w:val="%1、"/>
      <w:lvlJc w:val="left"/>
      <w:rPr>
        <w:rFonts w:hint="eastAsia"/>
      </w:rPr>
    </w:lvl>
  </w:abstractNum>
  <w:abstractNum w:abstractNumId="2">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nsid w:val="00949B7B"/>
    <w:multiLevelType w:val="singleLevel"/>
    <w:tmpl w:val="00949B7B"/>
    <w:lvl w:ilvl="0">
      <w:start w:val="1"/>
      <w:numFmt w:val="decimal"/>
      <w:lvlText w:val="%1."/>
      <w:lvlJc w:val="left"/>
      <w:pPr>
        <w:tabs>
          <w:tab w:val="left" w:pos="312"/>
        </w:tabs>
      </w:pPr>
    </w:lvl>
  </w:abstractNum>
  <w:abstractNum w:abstractNumId="4">
    <w:nsid w:val="3DAA67E8"/>
    <w:multiLevelType w:val="multilevel"/>
    <w:tmpl w:val="3DAA67E8"/>
    <w:lvl w:ilvl="0">
      <w:start w:val="2"/>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41BE80A1"/>
    <w:multiLevelType w:val="singleLevel"/>
    <w:tmpl w:val="41BE80A1"/>
    <w:lvl w:ilvl="0">
      <w:start w:val="1"/>
      <w:numFmt w:val="decimal"/>
      <w:suff w:val="space"/>
      <w:lvlText w:val="%1、"/>
      <w:lvlJc w:val="left"/>
    </w:lvl>
  </w:abstractNum>
  <w:abstractNum w:abstractNumId="6">
    <w:nsid w:val="6A4C2AF6"/>
    <w:multiLevelType w:val="multilevel"/>
    <w:tmpl w:val="940881FC"/>
    <w:lvl w:ilvl="0">
      <w:start w:val="3"/>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10" w:firstLine="0"/>
      </w:pPr>
      <w:rPr>
        <w:rFonts w:ascii="黑体" w:eastAsia="黑体" w:hAnsi="Times New Roman" w:hint="eastAsia"/>
        <w:b w:val="0"/>
        <w:i w:val="0"/>
        <w:sz w:val="21"/>
      </w:rPr>
    </w:lvl>
    <w:lvl w:ilvl="2">
      <w:start w:val="1"/>
      <w:numFmt w:val="decimal"/>
      <w:suff w:val="nothing"/>
      <w:lvlText w:val="%1%2.%3　"/>
      <w:lvlJc w:val="left"/>
      <w:pPr>
        <w:ind w:left="210" w:firstLine="0"/>
      </w:pPr>
      <w:rPr>
        <w:rFonts w:ascii="黑体" w:eastAsia="黑体" w:hAnsi="Times New Roman" w:hint="eastAsia"/>
        <w:b w:val="0"/>
        <w:i w:val="0"/>
        <w:sz w:val="21"/>
      </w:rPr>
    </w:lvl>
    <w:lvl w:ilvl="3">
      <w:start w:val="1"/>
      <w:numFmt w:val="decimal"/>
      <w:suff w:val="nothing"/>
      <w:lvlText w:val="%1%2.%3.%4　"/>
      <w:lvlJc w:val="left"/>
      <w:pPr>
        <w:ind w:left="73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4"/>
  </w:num>
  <w:num w:numId="4">
    <w:abstractNumId w:val="3"/>
  </w:num>
  <w:num w:numId="5">
    <w:abstractNumId w:val="5"/>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mNTZjYTE4YmU5YjFkMWE1YjFhNDQyYzllNmViZTYifQ=="/>
  </w:docVars>
  <w:rsids>
    <w:rsidRoot w:val="00B623AB"/>
    <w:rsid w:val="00000843"/>
    <w:rsid w:val="000046B0"/>
    <w:rsid w:val="00006A40"/>
    <w:rsid w:val="00010180"/>
    <w:rsid w:val="00012DB2"/>
    <w:rsid w:val="00014853"/>
    <w:rsid w:val="0002096F"/>
    <w:rsid w:val="00022FF0"/>
    <w:rsid w:val="00023E06"/>
    <w:rsid w:val="000248D8"/>
    <w:rsid w:val="00024B42"/>
    <w:rsid w:val="00026D78"/>
    <w:rsid w:val="000300AF"/>
    <w:rsid w:val="00032195"/>
    <w:rsid w:val="000332A6"/>
    <w:rsid w:val="00034D5B"/>
    <w:rsid w:val="00035035"/>
    <w:rsid w:val="00036C57"/>
    <w:rsid w:val="00046620"/>
    <w:rsid w:val="00047D95"/>
    <w:rsid w:val="00050085"/>
    <w:rsid w:val="0005146E"/>
    <w:rsid w:val="000531A8"/>
    <w:rsid w:val="0005350B"/>
    <w:rsid w:val="00053E2A"/>
    <w:rsid w:val="00061D34"/>
    <w:rsid w:val="00061D46"/>
    <w:rsid w:val="00062070"/>
    <w:rsid w:val="0006432D"/>
    <w:rsid w:val="0006477B"/>
    <w:rsid w:val="00072756"/>
    <w:rsid w:val="00073C3A"/>
    <w:rsid w:val="00081A9E"/>
    <w:rsid w:val="00083A57"/>
    <w:rsid w:val="000842C3"/>
    <w:rsid w:val="00085404"/>
    <w:rsid w:val="00091DD9"/>
    <w:rsid w:val="000926B6"/>
    <w:rsid w:val="00092A7A"/>
    <w:rsid w:val="000A0C8C"/>
    <w:rsid w:val="000A0CA9"/>
    <w:rsid w:val="000A112C"/>
    <w:rsid w:val="000A180E"/>
    <w:rsid w:val="000A1CC0"/>
    <w:rsid w:val="000A1DCD"/>
    <w:rsid w:val="000A2986"/>
    <w:rsid w:val="000A54AC"/>
    <w:rsid w:val="000A569E"/>
    <w:rsid w:val="000A5CC2"/>
    <w:rsid w:val="000B14A6"/>
    <w:rsid w:val="000B3127"/>
    <w:rsid w:val="000B605E"/>
    <w:rsid w:val="000C189F"/>
    <w:rsid w:val="000C276F"/>
    <w:rsid w:val="000C44B2"/>
    <w:rsid w:val="000C44E3"/>
    <w:rsid w:val="000D4263"/>
    <w:rsid w:val="000D6334"/>
    <w:rsid w:val="000D7360"/>
    <w:rsid w:val="000E068C"/>
    <w:rsid w:val="000E3741"/>
    <w:rsid w:val="000E37CA"/>
    <w:rsid w:val="000E6E9C"/>
    <w:rsid w:val="000E7ED5"/>
    <w:rsid w:val="000E7EDF"/>
    <w:rsid w:val="000F1FD1"/>
    <w:rsid w:val="000F224C"/>
    <w:rsid w:val="000F3489"/>
    <w:rsid w:val="0010034F"/>
    <w:rsid w:val="00100D28"/>
    <w:rsid w:val="00110508"/>
    <w:rsid w:val="001115A6"/>
    <w:rsid w:val="00112CBC"/>
    <w:rsid w:val="0011570F"/>
    <w:rsid w:val="0011680E"/>
    <w:rsid w:val="00116D8F"/>
    <w:rsid w:val="00122903"/>
    <w:rsid w:val="001241A8"/>
    <w:rsid w:val="001259CF"/>
    <w:rsid w:val="0012792A"/>
    <w:rsid w:val="001345DA"/>
    <w:rsid w:val="00134E2D"/>
    <w:rsid w:val="00135E64"/>
    <w:rsid w:val="00136064"/>
    <w:rsid w:val="00137D4C"/>
    <w:rsid w:val="001414E3"/>
    <w:rsid w:val="001424D5"/>
    <w:rsid w:val="00151F1C"/>
    <w:rsid w:val="00152747"/>
    <w:rsid w:val="0015285E"/>
    <w:rsid w:val="00154608"/>
    <w:rsid w:val="00154CC1"/>
    <w:rsid w:val="00156452"/>
    <w:rsid w:val="00163B6C"/>
    <w:rsid w:val="001645BF"/>
    <w:rsid w:val="0016567C"/>
    <w:rsid w:val="00166ED4"/>
    <w:rsid w:val="00171087"/>
    <w:rsid w:val="0017147D"/>
    <w:rsid w:val="001742D0"/>
    <w:rsid w:val="00176CA2"/>
    <w:rsid w:val="00181F19"/>
    <w:rsid w:val="00182D22"/>
    <w:rsid w:val="00186DB8"/>
    <w:rsid w:val="00187FC9"/>
    <w:rsid w:val="0019163F"/>
    <w:rsid w:val="00192E96"/>
    <w:rsid w:val="00194EB2"/>
    <w:rsid w:val="001A02DA"/>
    <w:rsid w:val="001A0910"/>
    <w:rsid w:val="001A1931"/>
    <w:rsid w:val="001A1A3D"/>
    <w:rsid w:val="001A44D1"/>
    <w:rsid w:val="001A7539"/>
    <w:rsid w:val="001A78A3"/>
    <w:rsid w:val="001B0943"/>
    <w:rsid w:val="001B3592"/>
    <w:rsid w:val="001B5781"/>
    <w:rsid w:val="001B5E90"/>
    <w:rsid w:val="001C35AF"/>
    <w:rsid w:val="001C4AB5"/>
    <w:rsid w:val="001C5722"/>
    <w:rsid w:val="001C6263"/>
    <w:rsid w:val="001D0015"/>
    <w:rsid w:val="001D18F0"/>
    <w:rsid w:val="001D1A3E"/>
    <w:rsid w:val="001D1AAB"/>
    <w:rsid w:val="001D200A"/>
    <w:rsid w:val="001D24F0"/>
    <w:rsid w:val="001D57BC"/>
    <w:rsid w:val="001D6080"/>
    <w:rsid w:val="001D783C"/>
    <w:rsid w:val="001D7A87"/>
    <w:rsid w:val="001E462C"/>
    <w:rsid w:val="001E7268"/>
    <w:rsid w:val="001F156B"/>
    <w:rsid w:val="001F4370"/>
    <w:rsid w:val="001F5F9B"/>
    <w:rsid w:val="001F65ED"/>
    <w:rsid w:val="001F6B47"/>
    <w:rsid w:val="001F705D"/>
    <w:rsid w:val="001F7DA6"/>
    <w:rsid w:val="0020225C"/>
    <w:rsid w:val="00202BC7"/>
    <w:rsid w:val="0021099A"/>
    <w:rsid w:val="0021153B"/>
    <w:rsid w:val="002119ED"/>
    <w:rsid w:val="002123C9"/>
    <w:rsid w:val="002150FE"/>
    <w:rsid w:val="00216076"/>
    <w:rsid w:val="0021708A"/>
    <w:rsid w:val="00220A49"/>
    <w:rsid w:val="0022213B"/>
    <w:rsid w:val="00222AF0"/>
    <w:rsid w:val="00223211"/>
    <w:rsid w:val="002246A5"/>
    <w:rsid w:val="002248D9"/>
    <w:rsid w:val="00224A26"/>
    <w:rsid w:val="00231550"/>
    <w:rsid w:val="002344C3"/>
    <w:rsid w:val="002367F4"/>
    <w:rsid w:val="00237934"/>
    <w:rsid w:val="002408F8"/>
    <w:rsid w:val="00240D65"/>
    <w:rsid w:val="00240FEC"/>
    <w:rsid w:val="002414FB"/>
    <w:rsid w:val="00242023"/>
    <w:rsid w:val="00242AAA"/>
    <w:rsid w:val="00243777"/>
    <w:rsid w:val="00245A31"/>
    <w:rsid w:val="0024636D"/>
    <w:rsid w:val="002464C4"/>
    <w:rsid w:val="002474F1"/>
    <w:rsid w:val="0024797F"/>
    <w:rsid w:val="00252865"/>
    <w:rsid w:val="00252CB5"/>
    <w:rsid w:val="002569A0"/>
    <w:rsid w:val="00257050"/>
    <w:rsid w:val="002634A5"/>
    <w:rsid w:val="00263B9F"/>
    <w:rsid w:val="00263F67"/>
    <w:rsid w:val="00264880"/>
    <w:rsid w:val="002658D8"/>
    <w:rsid w:val="00270709"/>
    <w:rsid w:val="00271256"/>
    <w:rsid w:val="00273376"/>
    <w:rsid w:val="00276D32"/>
    <w:rsid w:val="00277FC2"/>
    <w:rsid w:val="002836E3"/>
    <w:rsid w:val="00283872"/>
    <w:rsid w:val="002842F4"/>
    <w:rsid w:val="0029258B"/>
    <w:rsid w:val="0029271E"/>
    <w:rsid w:val="00292C1B"/>
    <w:rsid w:val="002935AF"/>
    <w:rsid w:val="00294B68"/>
    <w:rsid w:val="00295158"/>
    <w:rsid w:val="00295954"/>
    <w:rsid w:val="00296C10"/>
    <w:rsid w:val="00297A7C"/>
    <w:rsid w:val="002A6517"/>
    <w:rsid w:val="002A6909"/>
    <w:rsid w:val="002A7884"/>
    <w:rsid w:val="002B0785"/>
    <w:rsid w:val="002B10D8"/>
    <w:rsid w:val="002B1448"/>
    <w:rsid w:val="002B1476"/>
    <w:rsid w:val="002B1CDE"/>
    <w:rsid w:val="002B1E00"/>
    <w:rsid w:val="002B1EB8"/>
    <w:rsid w:val="002B39F3"/>
    <w:rsid w:val="002B6730"/>
    <w:rsid w:val="002B6D40"/>
    <w:rsid w:val="002B743A"/>
    <w:rsid w:val="002B7F73"/>
    <w:rsid w:val="002C2432"/>
    <w:rsid w:val="002C4E38"/>
    <w:rsid w:val="002C5386"/>
    <w:rsid w:val="002C6032"/>
    <w:rsid w:val="002D3955"/>
    <w:rsid w:val="002D4DC6"/>
    <w:rsid w:val="002D542A"/>
    <w:rsid w:val="002D7674"/>
    <w:rsid w:val="002E0737"/>
    <w:rsid w:val="002E1898"/>
    <w:rsid w:val="002F1734"/>
    <w:rsid w:val="002F3670"/>
    <w:rsid w:val="003017C7"/>
    <w:rsid w:val="00302CA7"/>
    <w:rsid w:val="00305AB4"/>
    <w:rsid w:val="003070AE"/>
    <w:rsid w:val="00311372"/>
    <w:rsid w:val="00312F27"/>
    <w:rsid w:val="0031608B"/>
    <w:rsid w:val="00323099"/>
    <w:rsid w:val="00331DA0"/>
    <w:rsid w:val="003320EC"/>
    <w:rsid w:val="003336E8"/>
    <w:rsid w:val="00333F1C"/>
    <w:rsid w:val="00336817"/>
    <w:rsid w:val="003371FA"/>
    <w:rsid w:val="00340092"/>
    <w:rsid w:val="003402ED"/>
    <w:rsid w:val="003406E3"/>
    <w:rsid w:val="003430B3"/>
    <w:rsid w:val="00346A4C"/>
    <w:rsid w:val="00346C3F"/>
    <w:rsid w:val="00346C79"/>
    <w:rsid w:val="0035005C"/>
    <w:rsid w:val="003520D3"/>
    <w:rsid w:val="00355CF3"/>
    <w:rsid w:val="00356703"/>
    <w:rsid w:val="00363C9B"/>
    <w:rsid w:val="00363FF5"/>
    <w:rsid w:val="00364128"/>
    <w:rsid w:val="00370FF7"/>
    <w:rsid w:val="00371AA3"/>
    <w:rsid w:val="00372782"/>
    <w:rsid w:val="00373131"/>
    <w:rsid w:val="00376DAF"/>
    <w:rsid w:val="00376F19"/>
    <w:rsid w:val="0038065A"/>
    <w:rsid w:val="003832DD"/>
    <w:rsid w:val="00383889"/>
    <w:rsid w:val="00386212"/>
    <w:rsid w:val="003918BA"/>
    <w:rsid w:val="00391A70"/>
    <w:rsid w:val="003922C1"/>
    <w:rsid w:val="00392AC9"/>
    <w:rsid w:val="003939C9"/>
    <w:rsid w:val="003950AB"/>
    <w:rsid w:val="00395B19"/>
    <w:rsid w:val="0039640D"/>
    <w:rsid w:val="003A4DF7"/>
    <w:rsid w:val="003B3203"/>
    <w:rsid w:val="003B4BB9"/>
    <w:rsid w:val="003B4C78"/>
    <w:rsid w:val="003B65F5"/>
    <w:rsid w:val="003B7E75"/>
    <w:rsid w:val="003B7F17"/>
    <w:rsid w:val="003C0CDA"/>
    <w:rsid w:val="003C1F6D"/>
    <w:rsid w:val="003C25C6"/>
    <w:rsid w:val="003C492E"/>
    <w:rsid w:val="003C5392"/>
    <w:rsid w:val="003C5C30"/>
    <w:rsid w:val="003C5F0B"/>
    <w:rsid w:val="003C7814"/>
    <w:rsid w:val="003D79E6"/>
    <w:rsid w:val="003E0A25"/>
    <w:rsid w:val="003E1178"/>
    <w:rsid w:val="003E2665"/>
    <w:rsid w:val="003E47D4"/>
    <w:rsid w:val="003E49C2"/>
    <w:rsid w:val="003E7121"/>
    <w:rsid w:val="003F03FD"/>
    <w:rsid w:val="003F34E7"/>
    <w:rsid w:val="003F5178"/>
    <w:rsid w:val="003F67B0"/>
    <w:rsid w:val="0040009E"/>
    <w:rsid w:val="00400DEF"/>
    <w:rsid w:val="00400ED1"/>
    <w:rsid w:val="00401376"/>
    <w:rsid w:val="00401EB3"/>
    <w:rsid w:val="00402962"/>
    <w:rsid w:val="00402FE6"/>
    <w:rsid w:val="00404E31"/>
    <w:rsid w:val="00405AFC"/>
    <w:rsid w:val="00411827"/>
    <w:rsid w:val="00412F2B"/>
    <w:rsid w:val="00413B16"/>
    <w:rsid w:val="00415749"/>
    <w:rsid w:val="004169D7"/>
    <w:rsid w:val="00424F60"/>
    <w:rsid w:val="004306FA"/>
    <w:rsid w:val="0043072C"/>
    <w:rsid w:val="00433247"/>
    <w:rsid w:val="00437F04"/>
    <w:rsid w:val="004419A5"/>
    <w:rsid w:val="004425AD"/>
    <w:rsid w:val="0044631C"/>
    <w:rsid w:val="004468D7"/>
    <w:rsid w:val="00446EBB"/>
    <w:rsid w:val="0044747A"/>
    <w:rsid w:val="00451D1D"/>
    <w:rsid w:val="0045247E"/>
    <w:rsid w:val="00462904"/>
    <w:rsid w:val="00465D91"/>
    <w:rsid w:val="00471A2D"/>
    <w:rsid w:val="00480F24"/>
    <w:rsid w:val="004814CC"/>
    <w:rsid w:val="00483221"/>
    <w:rsid w:val="00483671"/>
    <w:rsid w:val="004837ED"/>
    <w:rsid w:val="0048575A"/>
    <w:rsid w:val="004922F2"/>
    <w:rsid w:val="00493E0A"/>
    <w:rsid w:val="0049424A"/>
    <w:rsid w:val="004961DA"/>
    <w:rsid w:val="004A2826"/>
    <w:rsid w:val="004A28AA"/>
    <w:rsid w:val="004A2C5B"/>
    <w:rsid w:val="004A3A2A"/>
    <w:rsid w:val="004A513C"/>
    <w:rsid w:val="004B339E"/>
    <w:rsid w:val="004B415A"/>
    <w:rsid w:val="004B41B0"/>
    <w:rsid w:val="004B5F05"/>
    <w:rsid w:val="004B6696"/>
    <w:rsid w:val="004C0C60"/>
    <w:rsid w:val="004C144D"/>
    <w:rsid w:val="004C63B3"/>
    <w:rsid w:val="004C6DE0"/>
    <w:rsid w:val="004D1285"/>
    <w:rsid w:val="004E282E"/>
    <w:rsid w:val="004E5C66"/>
    <w:rsid w:val="004E7AD9"/>
    <w:rsid w:val="004F0AC8"/>
    <w:rsid w:val="004F59CD"/>
    <w:rsid w:val="00503416"/>
    <w:rsid w:val="00503CC1"/>
    <w:rsid w:val="005041BD"/>
    <w:rsid w:val="00504457"/>
    <w:rsid w:val="00505AB2"/>
    <w:rsid w:val="0050616B"/>
    <w:rsid w:val="00511935"/>
    <w:rsid w:val="00512455"/>
    <w:rsid w:val="005139E1"/>
    <w:rsid w:val="00514BE8"/>
    <w:rsid w:val="00515853"/>
    <w:rsid w:val="0051585A"/>
    <w:rsid w:val="005164FF"/>
    <w:rsid w:val="00523CFA"/>
    <w:rsid w:val="00526898"/>
    <w:rsid w:val="005275AB"/>
    <w:rsid w:val="00535C2E"/>
    <w:rsid w:val="00535E44"/>
    <w:rsid w:val="0053609E"/>
    <w:rsid w:val="00540267"/>
    <w:rsid w:val="005421E7"/>
    <w:rsid w:val="0054331E"/>
    <w:rsid w:val="005469A5"/>
    <w:rsid w:val="00546DF5"/>
    <w:rsid w:val="005475AF"/>
    <w:rsid w:val="00551151"/>
    <w:rsid w:val="0055122C"/>
    <w:rsid w:val="00554A02"/>
    <w:rsid w:val="00561BAB"/>
    <w:rsid w:val="0056535D"/>
    <w:rsid w:val="005671B8"/>
    <w:rsid w:val="00570427"/>
    <w:rsid w:val="00570BC3"/>
    <w:rsid w:val="00571B1F"/>
    <w:rsid w:val="005731B4"/>
    <w:rsid w:val="00573F64"/>
    <w:rsid w:val="00576C78"/>
    <w:rsid w:val="005812BF"/>
    <w:rsid w:val="0058298B"/>
    <w:rsid w:val="00584051"/>
    <w:rsid w:val="00584DCF"/>
    <w:rsid w:val="00586319"/>
    <w:rsid w:val="00587778"/>
    <w:rsid w:val="0059018B"/>
    <w:rsid w:val="00590DF2"/>
    <w:rsid w:val="00591B99"/>
    <w:rsid w:val="00592A0B"/>
    <w:rsid w:val="00594359"/>
    <w:rsid w:val="0059441F"/>
    <w:rsid w:val="00595C2D"/>
    <w:rsid w:val="00596F20"/>
    <w:rsid w:val="0059775E"/>
    <w:rsid w:val="005A0DA2"/>
    <w:rsid w:val="005A3098"/>
    <w:rsid w:val="005A3D53"/>
    <w:rsid w:val="005A433E"/>
    <w:rsid w:val="005A6367"/>
    <w:rsid w:val="005A7CE3"/>
    <w:rsid w:val="005A7FAD"/>
    <w:rsid w:val="005B16F8"/>
    <w:rsid w:val="005B2B1D"/>
    <w:rsid w:val="005B3B2F"/>
    <w:rsid w:val="005B42D0"/>
    <w:rsid w:val="005B4F50"/>
    <w:rsid w:val="005B602A"/>
    <w:rsid w:val="005B65D7"/>
    <w:rsid w:val="005B70DA"/>
    <w:rsid w:val="005C04B7"/>
    <w:rsid w:val="005C0D74"/>
    <w:rsid w:val="005C1E9B"/>
    <w:rsid w:val="005C2AE2"/>
    <w:rsid w:val="005C6623"/>
    <w:rsid w:val="005C6725"/>
    <w:rsid w:val="005C6E0A"/>
    <w:rsid w:val="005C76D7"/>
    <w:rsid w:val="005D1372"/>
    <w:rsid w:val="005D255E"/>
    <w:rsid w:val="005D5B2C"/>
    <w:rsid w:val="005D7867"/>
    <w:rsid w:val="005E030E"/>
    <w:rsid w:val="005E2C35"/>
    <w:rsid w:val="005E3C5A"/>
    <w:rsid w:val="005E48F0"/>
    <w:rsid w:val="005E578E"/>
    <w:rsid w:val="005E6533"/>
    <w:rsid w:val="00600224"/>
    <w:rsid w:val="00607C62"/>
    <w:rsid w:val="00607F6D"/>
    <w:rsid w:val="00610273"/>
    <w:rsid w:val="006102D3"/>
    <w:rsid w:val="00613007"/>
    <w:rsid w:val="006168F6"/>
    <w:rsid w:val="006237B0"/>
    <w:rsid w:val="0063380C"/>
    <w:rsid w:val="0063508A"/>
    <w:rsid w:val="00636BDB"/>
    <w:rsid w:val="00636F2E"/>
    <w:rsid w:val="00642493"/>
    <w:rsid w:val="006437BE"/>
    <w:rsid w:val="00644B14"/>
    <w:rsid w:val="00645CDE"/>
    <w:rsid w:val="00646F53"/>
    <w:rsid w:val="0065133E"/>
    <w:rsid w:val="00653DEA"/>
    <w:rsid w:val="006555BA"/>
    <w:rsid w:val="006619E4"/>
    <w:rsid w:val="00661DFA"/>
    <w:rsid w:val="0066318E"/>
    <w:rsid w:val="00663512"/>
    <w:rsid w:val="00664E99"/>
    <w:rsid w:val="00666386"/>
    <w:rsid w:val="006664F9"/>
    <w:rsid w:val="00666745"/>
    <w:rsid w:val="006727AA"/>
    <w:rsid w:val="00673F33"/>
    <w:rsid w:val="00674D40"/>
    <w:rsid w:val="00675AA1"/>
    <w:rsid w:val="00677002"/>
    <w:rsid w:val="006773F1"/>
    <w:rsid w:val="00677B56"/>
    <w:rsid w:val="006815E1"/>
    <w:rsid w:val="00681710"/>
    <w:rsid w:val="00685707"/>
    <w:rsid w:val="00686631"/>
    <w:rsid w:val="006872CB"/>
    <w:rsid w:val="006877FE"/>
    <w:rsid w:val="00687E1E"/>
    <w:rsid w:val="006905BF"/>
    <w:rsid w:val="00696C74"/>
    <w:rsid w:val="006A070E"/>
    <w:rsid w:val="006A6B27"/>
    <w:rsid w:val="006A71CE"/>
    <w:rsid w:val="006B1820"/>
    <w:rsid w:val="006B2E03"/>
    <w:rsid w:val="006B3ECC"/>
    <w:rsid w:val="006B69D8"/>
    <w:rsid w:val="006B7418"/>
    <w:rsid w:val="006B77ED"/>
    <w:rsid w:val="006C194E"/>
    <w:rsid w:val="006C26B4"/>
    <w:rsid w:val="006C2F95"/>
    <w:rsid w:val="006C3687"/>
    <w:rsid w:val="006C3F70"/>
    <w:rsid w:val="006C5C08"/>
    <w:rsid w:val="006C5FBA"/>
    <w:rsid w:val="006D0BE5"/>
    <w:rsid w:val="006D1A4B"/>
    <w:rsid w:val="006D251E"/>
    <w:rsid w:val="006D253F"/>
    <w:rsid w:val="006D34A7"/>
    <w:rsid w:val="006D42C7"/>
    <w:rsid w:val="006D4A00"/>
    <w:rsid w:val="006D5243"/>
    <w:rsid w:val="006D7755"/>
    <w:rsid w:val="006D7CDB"/>
    <w:rsid w:val="006E02B1"/>
    <w:rsid w:val="006E059D"/>
    <w:rsid w:val="006E1891"/>
    <w:rsid w:val="006E28B7"/>
    <w:rsid w:val="006E2ACE"/>
    <w:rsid w:val="006E3927"/>
    <w:rsid w:val="006E4918"/>
    <w:rsid w:val="006E5A49"/>
    <w:rsid w:val="006E67A8"/>
    <w:rsid w:val="006E7ACD"/>
    <w:rsid w:val="006E7C18"/>
    <w:rsid w:val="006E7FF8"/>
    <w:rsid w:val="006F17C9"/>
    <w:rsid w:val="006F27D4"/>
    <w:rsid w:val="006F526E"/>
    <w:rsid w:val="006F5D3B"/>
    <w:rsid w:val="00700DEF"/>
    <w:rsid w:val="00700E3B"/>
    <w:rsid w:val="007011A5"/>
    <w:rsid w:val="00704897"/>
    <w:rsid w:val="007123C8"/>
    <w:rsid w:val="00712513"/>
    <w:rsid w:val="00713AC2"/>
    <w:rsid w:val="00716A87"/>
    <w:rsid w:val="0071761A"/>
    <w:rsid w:val="00717801"/>
    <w:rsid w:val="0072080A"/>
    <w:rsid w:val="0072235E"/>
    <w:rsid w:val="00723AF6"/>
    <w:rsid w:val="00723B32"/>
    <w:rsid w:val="00723CFC"/>
    <w:rsid w:val="007255D5"/>
    <w:rsid w:val="00726914"/>
    <w:rsid w:val="00726C2F"/>
    <w:rsid w:val="00727AB4"/>
    <w:rsid w:val="0073113D"/>
    <w:rsid w:val="00732AC7"/>
    <w:rsid w:val="007412DB"/>
    <w:rsid w:val="007415D6"/>
    <w:rsid w:val="007436BB"/>
    <w:rsid w:val="00745D4F"/>
    <w:rsid w:val="00746EF3"/>
    <w:rsid w:val="00747E57"/>
    <w:rsid w:val="00750CFC"/>
    <w:rsid w:val="00752ACC"/>
    <w:rsid w:val="00752FB4"/>
    <w:rsid w:val="00754E21"/>
    <w:rsid w:val="00755B27"/>
    <w:rsid w:val="007563DF"/>
    <w:rsid w:val="00764446"/>
    <w:rsid w:val="00766258"/>
    <w:rsid w:val="00771198"/>
    <w:rsid w:val="0077459D"/>
    <w:rsid w:val="0078372D"/>
    <w:rsid w:val="00790EBF"/>
    <w:rsid w:val="00793842"/>
    <w:rsid w:val="007967ED"/>
    <w:rsid w:val="00796FFE"/>
    <w:rsid w:val="007A13D3"/>
    <w:rsid w:val="007A16E2"/>
    <w:rsid w:val="007A3FC1"/>
    <w:rsid w:val="007B1B7D"/>
    <w:rsid w:val="007B29F0"/>
    <w:rsid w:val="007B5DB0"/>
    <w:rsid w:val="007B5FBB"/>
    <w:rsid w:val="007B688D"/>
    <w:rsid w:val="007B74F4"/>
    <w:rsid w:val="007B7D0F"/>
    <w:rsid w:val="007C2A43"/>
    <w:rsid w:val="007C35DE"/>
    <w:rsid w:val="007C5B98"/>
    <w:rsid w:val="007D27BC"/>
    <w:rsid w:val="007D75D0"/>
    <w:rsid w:val="007E17FF"/>
    <w:rsid w:val="007E2137"/>
    <w:rsid w:val="007E50D0"/>
    <w:rsid w:val="007E5723"/>
    <w:rsid w:val="007E5B7A"/>
    <w:rsid w:val="007E70D2"/>
    <w:rsid w:val="007E7DF3"/>
    <w:rsid w:val="007F335B"/>
    <w:rsid w:val="007F3D28"/>
    <w:rsid w:val="007F4259"/>
    <w:rsid w:val="007F42A2"/>
    <w:rsid w:val="00801948"/>
    <w:rsid w:val="008029FF"/>
    <w:rsid w:val="008036B5"/>
    <w:rsid w:val="008039DF"/>
    <w:rsid w:val="008043CF"/>
    <w:rsid w:val="008112F5"/>
    <w:rsid w:val="008130E4"/>
    <w:rsid w:val="008148E9"/>
    <w:rsid w:val="00815B0F"/>
    <w:rsid w:val="0082271E"/>
    <w:rsid w:val="00822777"/>
    <w:rsid w:val="008239A6"/>
    <w:rsid w:val="00825D21"/>
    <w:rsid w:val="008260E1"/>
    <w:rsid w:val="0082615F"/>
    <w:rsid w:val="00826C6B"/>
    <w:rsid w:val="0083190B"/>
    <w:rsid w:val="00832B3D"/>
    <w:rsid w:val="00832E0B"/>
    <w:rsid w:val="00835BDA"/>
    <w:rsid w:val="008422A5"/>
    <w:rsid w:val="00842D20"/>
    <w:rsid w:val="008459EE"/>
    <w:rsid w:val="0084647D"/>
    <w:rsid w:val="00854C07"/>
    <w:rsid w:val="0086177D"/>
    <w:rsid w:val="00862280"/>
    <w:rsid w:val="00872C9E"/>
    <w:rsid w:val="00873AC3"/>
    <w:rsid w:val="00877F25"/>
    <w:rsid w:val="008803AF"/>
    <w:rsid w:val="00880BF7"/>
    <w:rsid w:val="00880F82"/>
    <w:rsid w:val="00881B81"/>
    <w:rsid w:val="00884646"/>
    <w:rsid w:val="008A3569"/>
    <w:rsid w:val="008A3C8F"/>
    <w:rsid w:val="008A3FF9"/>
    <w:rsid w:val="008A4E27"/>
    <w:rsid w:val="008A554E"/>
    <w:rsid w:val="008B105E"/>
    <w:rsid w:val="008B6805"/>
    <w:rsid w:val="008C2012"/>
    <w:rsid w:val="008C306D"/>
    <w:rsid w:val="008C5E1E"/>
    <w:rsid w:val="008C6A2D"/>
    <w:rsid w:val="008C73F2"/>
    <w:rsid w:val="008C754F"/>
    <w:rsid w:val="008D3F5C"/>
    <w:rsid w:val="008D4991"/>
    <w:rsid w:val="008D4D28"/>
    <w:rsid w:val="008E1C30"/>
    <w:rsid w:val="008E22B8"/>
    <w:rsid w:val="008E2B02"/>
    <w:rsid w:val="008E2C62"/>
    <w:rsid w:val="008E340B"/>
    <w:rsid w:val="008F2540"/>
    <w:rsid w:val="008F58FF"/>
    <w:rsid w:val="008F5C0C"/>
    <w:rsid w:val="0090016B"/>
    <w:rsid w:val="009074AF"/>
    <w:rsid w:val="009118E6"/>
    <w:rsid w:val="00911BFC"/>
    <w:rsid w:val="00916F71"/>
    <w:rsid w:val="0091772E"/>
    <w:rsid w:val="00920149"/>
    <w:rsid w:val="00921062"/>
    <w:rsid w:val="0092194B"/>
    <w:rsid w:val="009227CD"/>
    <w:rsid w:val="009254EF"/>
    <w:rsid w:val="009256A5"/>
    <w:rsid w:val="00927C5A"/>
    <w:rsid w:val="00930651"/>
    <w:rsid w:val="009322D7"/>
    <w:rsid w:val="00937C2A"/>
    <w:rsid w:val="00942F59"/>
    <w:rsid w:val="00945C50"/>
    <w:rsid w:val="009514E6"/>
    <w:rsid w:val="00952E60"/>
    <w:rsid w:val="0095338D"/>
    <w:rsid w:val="00953D99"/>
    <w:rsid w:val="00954F1C"/>
    <w:rsid w:val="00955795"/>
    <w:rsid w:val="009579E5"/>
    <w:rsid w:val="0096152F"/>
    <w:rsid w:val="00963674"/>
    <w:rsid w:val="00964A13"/>
    <w:rsid w:val="009660B1"/>
    <w:rsid w:val="00967590"/>
    <w:rsid w:val="00972EB9"/>
    <w:rsid w:val="00974F87"/>
    <w:rsid w:val="00977009"/>
    <w:rsid w:val="00977426"/>
    <w:rsid w:val="0098380E"/>
    <w:rsid w:val="00983DA9"/>
    <w:rsid w:val="00984525"/>
    <w:rsid w:val="00984BB9"/>
    <w:rsid w:val="009855CE"/>
    <w:rsid w:val="009855F9"/>
    <w:rsid w:val="00987010"/>
    <w:rsid w:val="00990368"/>
    <w:rsid w:val="00990D94"/>
    <w:rsid w:val="00991880"/>
    <w:rsid w:val="009938AE"/>
    <w:rsid w:val="00996ADD"/>
    <w:rsid w:val="009A06F2"/>
    <w:rsid w:val="009A2C15"/>
    <w:rsid w:val="009A48B0"/>
    <w:rsid w:val="009A5C18"/>
    <w:rsid w:val="009B2597"/>
    <w:rsid w:val="009B2744"/>
    <w:rsid w:val="009B79AC"/>
    <w:rsid w:val="009C0399"/>
    <w:rsid w:val="009C2CC3"/>
    <w:rsid w:val="009C5117"/>
    <w:rsid w:val="009C76E1"/>
    <w:rsid w:val="009D061C"/>
    <w:rsid w:val="009D2729"/>
    <w:rsid w:val="009E2786"/>
    <w:rsid w:val="009E3323"/>
    <w:rsid w:val="009E33AB"/>
    <w:rsid w:val="009E4222"/>
    <w:rsid w:val="009E437C"/>
    <w:rsid w:val="009E47AE"/>
    <w:rsid w:val="009E4EC4"/>
    <w:rsid w:val="009E532E"/>
    <w:rsid w:val="009E5672"/>
    <w:rsid w:val="009E6F10"/>
    <w:rsid w:val="009E75A1"/>
    <w:rsid w:val="009E7658"/>
    <w:rsid w:val="009F479E"/>
    <w:rsid w:val="009F5C49"/>
    <w:rsid w:val="009F6382"/>
    <w:rsid w:val="009F656D"/>
    <w:rsid w:val="009F7A68"/>
    <w:rsid w:val="00A01650"/>
    <w:rsid w:val="00A0169F"/>
    <w:rsid w:val="00A02009"/>
    <w:rsid w:val="00A0302A"/>
    <w:rsid w:val="00A03103"/>
    <w:rsid w:val="00A03DF7"/>
    <w:rsid w:val="00A042AD"/>
    <w:rsid w:val="00A07E9D"/>
    <w:rsid w:val="00A1283A"/>
    <w:rsid w:val="00A12D11"/>
    <w:rsid w:val="00A14B85"/>
    <w:rsid w:val="00A15A75"/>
    <w:rsid w:val="00A17980"/>
    <w:rsid w:val="00A248DD"/>
    <w:rsid w:val="00A24971"/>
    <w:rsid w:val="00A25709"/>
    <w:rsid w:val="00A267A6"/>
    <w:rsid w:val="00A278D4"/>
    <w:rsid w:val="00A27A5C"/>
    <w:rsid w:val="00A3107C"/>
    <w:rsid w:val="00A3343B"/>
    <w:rsid w:val="00A33A0E"/>
    <w:rsid w:val="00A34DF3"/>
    <w:rsid w:val="00A35580"/>
    <w:rsid w:val="00A406A6"/>
    <w:rsid w:val="00A40CF0"/>
    <w:rsid w:val="00A4164F"/>
    <w:rsid w:val="00A41987"/>
    <w:rsid w:val="00A41EFF"/>
    <w:rsid w:val="00A44F99"/>
    <w:rsid w:val="00A4553D"/>
    <w:rsid w:val="00A46447"/>
    <w:rsid w:val="00A46810"/>
    <w:rsid w:val="00A468C1"/>
    <w:rsid w:val="00A47E2B"/>
    <w:rsid w:val="00A50DC9"/>
    <w:rsid w:val="00A52D6A"/>
    <w:rsid w:val="00A5455A"/>
    <w:rsid w:val="00A551AC"/>
    <w:rsid w:val="00A552B7"/>
    <w:rsid w:val="00A56CCD"/>
    <w:rsid w:val="00A60FC6"/>
    <w:rsid w:val="00A62258"/>
    <w:rsid w:val="00A65D72"/>
    <w:rsid w:val="00A66175"/>
    <w:rsid w:val="00A72A11"/>
    <w:rsid w:val="00A733F3"/>
    <w:rsid w:val="00A73569"/>
    <w:rsid w:val="00A76449"/>
    <w:rsid w:val="00A77438"/>
    <w:rsid w:val="00A7773A"/>
    <w:rsid w:val="00A77C1A"/>
    <w:rsid w:val="00A8120B"/>
    <w:rsid w:val="00A82F63"/>
    <w:rsid w:val="00A847A8"/>
    <w:rsid w:val="00A84C6B"/>
    <w:rsid w:val="00A8711B"/>
    <w:rsid w:val="00A871B4"/>
    <w:rsid w:val="00A963D2"/>
    <w:rsid w:val="00A976FA"/>
    <w:rsid w:val="00A97C9F"/>
    <w:rsid w:val="00AA2645"/>
    <w:rsid w:val="00AA265A"/>
    <w:rsid w:val="00AA540B"/>
    <w:rsid w:val="00AB10A7"/>
    <w:rsid w:val="00AB171A"/>
    <w:rsid w:val="00AB3DEB"/>
    <w:rsid w:val="00AB5C65"/>
    <w:rsid w:val="00AB640E"/>
    <w:rsid w:val="00AC1627"/>
    <w:rsid w:val="00AC20AF"/>
    <w:rsid w:val="00AC475D"/>
    <w:rsid w:val="00AC5F01"/>
    <w:rsid w:val="00AC75C1"/>
    <w:rsid w:val="00AD0DDB"/>
    <w:rsid w:val="00AD2E9B"/>
    <w:rsid w:val="00AE1106"/>
    <w:rsid w:val="00AE24F5"/>
    <w:rsid w:val="00AE3993"/>
    <w:rsid w:val="00AE7126"/>
    <w:rsid w:val="00AE723E"/>
    <w:rsid w:val="00AE728B"/>
    <w:rsid w:val="00AE7A19"/>
    <w:rsid w:val="00AF4851"/>
    <w:rsid w:val="00B003EF"/>
    <w:rsid w:val="00B01873"/>
    <w:rsid w:val="00B01E95"/>
    <w:rsid w:val="00B02AD7"/>
    <w:rsid w:val="00B072E8"/>
    <w:rsid w:val="00B13F4A"/>
    <w:rsid w:val="00B1478F"/>
    <w:rsid w:val="00B1517C"/>
    <w:rsid w:val="00B154A8"/>
    <w:rsid w:val="00B220F1"/>
    <w:rsid w:val="00B251A5"/>
    <w:rsid w:val="00B25B50"/>
    <w:rsid w:val="00B2693C"/>
    <w:rsid w:val="00B269C0"/>
    <w:rsid w:val="00B2769A"/>
    <w:rsid w:val="00B27EB5"/>
    <w:rsid w:val="00B33660"/>
    <w:rsid w:val="00B3625D"/>
    <w:rsid w:val="00B36291"/>
    <w:rsid w:val="00B4737D"/>
    <w:rsid w:val="00B508A5"/>
    <w:rsid w:val="00B510D2"/>
    <w:rsid w:val="00B54154"/>
    <w:rsid w:val="00B54159"/>
    <w:rsid w:val="00B5610F"/>
    <w:rsid w:val="00B563D6"/>
    <w:rsid w:val="00B56E03"/>
    <w:rsid w:val="00B57954"/>
    <w:rsid w:val="00B60049"/>
    <w:rsid w:val="00B61802"/>
    <w:rsid w:val="00B62071"/>
    <w:rsid w:val="00B623AB"/>
    <w:rsid w:val="00B6433D"/>
    <w:rsid w:val="00B66F49"/>
    <w:rsid w:val="00B6789F"/>
    <w:rsid w:val="00B73279"/>
    <w:rsid w:val="00B774DF"/>
    <w:rsid w:val="00B77D4E"/>
    <w:rsid w:val="00B84471"/>
    <w:rsid w:val="00B853E0"/>
    <w:rsid w:val="00B860E9"/>
    <w:rsid w:val="00B86346"/>
    <w:rsid w:val="00B86C55"/>
    <w:rsid w:val="00B879D0"/>
    <w:rsid w:val="00B917FC"/>
    <w:rsid w:val="00B92BF9"/>
    <w:rsid w:val="00B92F78"/>
    <w:rsid w:val="00B974DF"/>
    <w:rsid w:val="00B97A1D"/>
    <w:rsid w:val="00BA16C8"/>
    <w:rsid w:val="00BA1787"/>
    <w:rsid w:val="00BA17DA"/>
    <w:rsid w:val="00BA5146"/>
    <w:rsid w:val="00BB29B0"/>
    <w:rsid w:val="00BB6830"/>
    <w:rsid w:val="00BB69CE"/>
    <w:rsid w:val="00BB7322"/>
    <w:rsid w:val="00BC1EBE"/>
    <w:rsid w:val="00BC677B"/>
    <w:rsid w:val="00BC7247"/>
    <w:rsid w:val="00BD1292"/>
    <w:rsid w:val="00BD3E12"/>
    <w:rsid w:val="00BE07C9"/>
    <w:rsid w:val="00BE7122"/>
    <w:rsid w:val="00BF013A"/>
    <w:rsid w:val="00BF1244"/>
    <w:rsid w:val="00BF592D"/>
    <w:rsid w:val="00C012BE"/>
    <w:rsid w:val="00C02390"/>
    <w:rsid w:val="00C027EA"/>
    <w:rsid w:val="00C1097A"/>
    <w:rsid w:val="00C15AC4"/>
    <w:rsid w:val="00C16FCF"/>
    <w:rsid w:val="00C17DCE"/>
    <w:rsid w:val="00C21A92"/>
    <w:rsid w:val="00C22C6B"/>
    <w:rsid w:val="00C24CA2"/>
    <w:rsid w:val="00C2763A"/>
    <w:rsid w:val="00C317D1"/>
    <w:rsid w:val="00C32990"/>
    <w:rsid w:val="00C33B55"/>
    <w:rsid w:val="00C35D4C"/>
    <w:rsid w:val="00C417FC"/>
    <w:rsid w:val="00C44821"/>
    <w:rsid w:val="00C519FD"/>
    <w:rsid w:val="00C5372F"/>
    <w:rsid w:val="00C574EF"/>
    <w:rsid w:val="00C57F39"/>
    <w:rsid w:val="00C62684"/>
    <w:rsid w:val="00C63201"/>
    <w:rsid w:val="00C659BF"/>
    <w:rsid w:val="00C65B29"/>
    <w:rsid w:val="00C66710"/>
    <w:rsid w:val="00C76442"/>
    <w:rsid w:val="00C76B98"/>
    <w:rsid w:val="00C831AB"/>
    <w:rsid w:val="00C85A32"/>
    <w:rsid w:val="00C915A4"/>
    <w:rsid w:val="00C92209"/>
    <w:rsid w:val="00C96A7D"/>
    <w:rsid w:val="00CA383D"/>
    <w:rsid w:val="00CA3E13"/>
    <w:rsid w:val="00CA454A"/>
    <w:rsid w:val="00CB10E8"/>
    <w:rsid w:val="00CB1633"/>
    <w:rsid w:val="00CB1746"/>
    <w:rsid w:val="00CB1E70"/>
    <w:rsid w:val="00CB39F2"/>
    <w:rsid w:val="00CB6009"/>
    <w:rsid w:val="00CB7BE6"/>
    <w:rsid w:val="00CC4EA7"/>
    <w:rsid w:val="00CC57B8"/>
    <w:rsid w:val="00CC7D45"/>
    <w:rsid w:val="00CD074C"/>
    <w:rsid w:val="00CD25A3"/>
    <w:rsid w:val="00CD3896"/>
    <w:rsid w:val="00CD4D8F"/>
    <w:rsid w:val="00CD582F"/>
    <w:rsid w:val="00CD5A52"/>
    <w:rsid w:val="00CD5E87"/>
    <w:rsid w:val="00CD6CCF"/>
    <w:rsid w:val="00CD6F3F"/>
    <w:rsid w:val="00CE0C87"/>
    <w:rsid w:val="00CE4947"/>
    <w:rsid w:val="00CE4D8F"/>
    <w:rsid w:val="00CE51DF"/>
    <w:rsid w:val="00CE63C6"/>
    <w:rsid w:val="00CE6DB0"/>
    <w:rsid w:val="00CE7929"/>
    <w:rsid w:val="00CF14FE"/>
    <w:rsid w:val="00CF423F"/>
    <w:rsid w:val="00CF66E5"/>
    <w:rsid w:val="00D00049"/>
    <w:rsid w:val="00D0344B"/>
    <w:rsid w:val="00D052FF"/>
    <w:rsid w:val="00D053A8"/>
    <w:rsid w:val="00D05572"/>
    <w:rsid w:val="00D059BD"/>
    <w:rsid w:val="00D07850"/>
    <w:rsid w:val="00D10123"/>
    <w:rsid w:val="00D145FC"/>
    <w:rsid w:val="00D14B3A"/>
    <w:rsid w:val="00D23C7C"/>
    <w:rsid w:val="00D2514B"/>
    <w:rsid w:val="00D27A58"/>
    <w:rsid w:val="00D3139A"/>
    <w:rsid w:val="00D3251C"/>
    <w:rsid w:val="00D3293E"/>
    <w:rsid w:val="00D358A0"/>
    <w:rsid w:val="00D35C5D"/>
    <w:rsid w:val="00D364E8"/>
    <w:rsid w:val="00D37E79"/>
    <w:rsid w:val="00D40031"/>
    <w:rsid w:val="00D40763"/>
    <w:rsid w:val="00D43C3E"/>
    <w:rsid w:val="00D45373"/>
    <w:rsid w:val="00D46973"/>
    <w:rsid w:val="00D5622C"/>
    <w:rsid w:val="00D5684E"/>
    <w:rsid w:val="00D60CF1"/>
    <w:rsid w:val="00D616B5"/>
    <w:rsid w:val="00D61D4E"/>
    <w:rsid w:val="00D627A0"/>
    <w:rsid w:val="00D62BBB"/>
    <w:rsid w:val="00D63D6E"/>
    <w:rsid w:val="00D64543"/>
    <w:rsid w:val="00D65801"/>
    <w:rsid w:val="00D66FE0"/>
    <w:rsid w:val="00D67E36"/>
    <w:rsid w:val="00D73D0E"/>
    <w:rsid w:val="00D77C0E"/>
    <w:rsid w:val="00D812CF"/>
    <w:rsid w:val="00D81811"/>
    <w:rsid w:val="00D81A5C"/>
    <w:rsid w:val="00D8634A"/>
    <w:rsid w:val="00D92B70"/>
    <w:rsid w:val="00D9464C"/>
    <w:rsid w:val="00D97967"/>
    <w:rsid w:val="00D979B0"/>
    <w:rsid w:val="00DA0918"/>
    <w:rsid w:val="00DA1CAD"/>
    <w:rsid w:val="00DA2967"/>
    <w:rsid w:val="00DA43A9"/>
    <w:rsid w:val="00DA4676"/>
    <w:rsid w:val="00DA582E"/>
    <w:rsid w:val="00DB54C6"/>
    <w:rsid w:val="00DC60EE"/>
    <w:rsid w:val="00DC6134"/>
    <w:rsid w:val="00DD33FA"/>
    <w:rsid w:val="00DD3BAF"/>
    <w:rsid w:val="00DD6D4E"/>
    <w:rsid w:val="00DD70C1"/>
    <w:rsid w:val="00DE2AFA"/>
    <w:rsid w:val="00DE4206"/>
    <w:rsid w:val="00DE68A7"/>
    <w:rsid w:val="00DE6BD9"/>
    <w:rsid w:val="00DE767F"/>
    <w:rsid w:val="00DF4E97"/>
    <w:rsid w:val="00E001EF"/>
    <w:rsid w:val="00E01E44"/>
    <w:rsid w:val="00E06F2D"/>
    <w:rsid w:val="00E16860"/>
    <w:rsid w:val="00E1699D"/>
    <w:rsid w:val="00E16A44"/>
    <w:rsid w:val="00E16B6F"/>
    <w:rsid w:val="00E172AB"/>
    <w:rsid w:val="00E17AC3"/>
    <w:rsid w:val="00E203A5"/>
    <w:rsid w:val="00E20C81"/>
    <w:rsid w:val="00E20C9D"/>
    <w:rsid w:val="00E22DE0"/>
    <w:rsid w:val="00E23F95"/>
    <w:rsid w:val="00E24DCD"/>
    <w:rsid w:val="00E27E4C"/>
    <w:rsid w:val="00E3074A"/>
    <w:rsid w:val="00E338F5"/>
    <w:rsid w:val="00E340A6"/>
    <w:rsid w:val="00E344A8"/>
    <w:rsid w:val="00E362AC"/>
    <w:rsid w:val="00E36B3E"/>
    <w:rsid w:val="00E4003F"/>
    <w:rsid w:val="00E45521"/>
    <w:rsid w:val="00E50610"/>
    <w:rsid w:val="00E50944"/>
    <w:rsid w:val="00E51658"/>
    <w:rsid w:val="00E5171B"/>
    <w:rsid w:val="00E51966"/>
    <w:rsid w:val="00E52C95"/>
    <w:rsid w:val="00E55128"/>
    <w:rsid w:val="00E5542E"/>
    <w:rsid w:val="00E60000"/>
    <w:rsid w:val="00E72C54"/>
    <w:rsid w:val="00E73FAC"/>
    <w:rsid w:val="00E75019"/>
    <w:rsid w:val="00E76EF5"/>
    <w:rsid w:val="00E8271A"/>
    <w:rsid w:val="00E861EA"/>
    <w:rsid w:val="00E95C13"/>
    <w:rsid w:val="00E966A3"/>
    <w:rsid w:val="00E97A93"/>
    <w:rsid w:val="00EA3F4A"/>
    <w:rsid w:val="00EA4584"/>
    <w:rsid w:val="00EA545B"/>
    <w:rsid w:val="00EA5E1E"/>
    <w:rsid w:val="00EA7123"/>
    <w:rsid w:val="00EB012B"/>
    <w:rsid w:val="00EB4EEB"/>
    <w:rsid w:val="00EB6C07"/>
    <w:rsid w:val="00EC1510"/>
    <w:rsid w:val="00EC2BC3"/>
    <w:rsid w:val="00EC3811"/>
    <w:rsid w:val="00EC4AF8"/>
    <w:rsid w:val="00EC4C53"/>
    <w:rsid w:val="00EC6651"/>
    <w:rsid w:val="00EC6F1C"/>
    <w:rsid w:val="00EC7FE4"/>
    <w:rsid w:val="00ED0334"/>
    <w:rsid w:val="00ED090C"/>
    <w:rsid w:val="00ED4979"/>
    <w:rsid w:val="00ED51F7"/>
    <w:rsid w:val="00ED6EF5"/>
    <w:rsid w:val="00EE140D"/>
    <w:rsid w:val="00EE207A"/>
    <w:rsid w:val="00EE32C3"/>
    <w:rsid w:val="00EE37FC"/>
    <w:rsid w:val="00EE4D8B"/>
    <w:rsid w:val="00EE580F"/>
    <w:rsid w:val="00EE7CB8"/>
    <w:rsid w:val="00EF13E4"/>
    <w:rsid w:val="00EF1FFC"/>
    <w:rsid w:val="00EF24D7"/>
    <w:rsid w:val="00EF6149"/>
    <w:rsid w:val="00F04B73"/>
    <w:rsid w:val="00F10465"/>
    <w:rsid w:val="00F10BF7"/>
    <w:rsid w:val="00F115A4"/>
    <w:rsid w:val="00F11738"/>
    <w:rsid w:val="00F11EE5"/>
    <w:rsid w:val="00F147BD"/>
    <w:rsid w:val="00F16864"/>
    <w:rsid w:val="00F173C9"/>
    <w:rsid w:val="00F2098A"/>
    <w:rsid w:val="00F20BBA"/>
    <w:rsid w:val="00F211DE"/>
    <w:rsid w:val="00F22622"/>
    <w:rsid w:val="00F23970"/>
    <w:rsid w:val="00F25592"/>
    <w:rsid w:val="00F25D6D"/>
    <w:rsid w:val="00F26C05"/>
    <w:rsid w:val="00F333B1"/>
    <w:rsid w:val="00F34739"/>
    <w:rsid w:val="00F34E31"/>
    <w:rsid w:val="00F35194"/>
    <w:rsid w:val="00F355C3"/>
    <w:rsid w:val="00F35782"/>
    <w:rsid w:val="00F40404"/>
    <w:rsid w:val="00F41187"/>
    <w:rsid w:val="00F46975"/>
    <w:rsid w:val="00F46BF3"/>
    <w:rsid w:val="00F476D1"/>
    <w:rsid w:val="00F503DE"/>
    <w:rsid w:val="00F51D56"/>
    <w:rsid w:val="00F525E0"/>
    <w:rsid w:val="00F56A99"/>
    <w:rsid w:val="00F57F6E"/>
    <w:rsid w:val="00F63F99"/>
    <w:rsid w:val="00F64BF1"/>
    <w:rsid w:val="00F65E63"/>
    <w:rsid w:val="00F66868"/>
    <w:rsid w:val="00F672FB"/>
    <w:rsid w:val="00F73967"/>
    <w:rsid w:val="00F74579"/>
    <w:rsid w:val="00F803B7"/>
    <w:rsid w:val="00F82451"/>
    <w:rsid w:val="00F83590"/>
    <w:rsid w:val="00F85869"/>
    <w:rsid w:val="00F85B7E"/>
    <w:rsid w:val="00F86327"/>
    <w:rsid w:val="00F86BC9"/>
    <w:rsid w:val="00F87499"/>
    <w:rsid w:val="00F87729"/>
    <w:rsid w:val="00F92A5D"/>
    <w:rsid w:val="00F93070"/>
    <w:rsid w:val="00F95351"/>
    <w:rsid w:val="00FA2949"/>
    <w:rsid w:val="00FA3AD1"/>
    <w:rsid w:val="00FB5882"/>
    <w:rsid w:val="00FB7CDE"/>
    <w:rsid w:val="00FC1558"/>
    <w:rsid w:val="00FC2BDE"/>
    <w:rsid w:val="00FC4C72"/>
    <w:rsid w:val="00FD01B2"/>
    <w:rsid w:val="00FD1EA7"/>
    <w:rsid w:val="00FD27A1"/>
    <w:rsid w:val="00FD684E"/>
    <w:rsid w:val="00FE0E1D"/>
    <w:rsid w:val="00FE33BB"/>
    <w:rsid w:val="00FE3922"/>
    <w:rsid w:val="00FE6B87"/>
    <w:rsid w:val="00FE7DF6"/>
    <w:rsid w:val="00FF3A6B"/>
    <w:rsid w:val="00FF45A7"/>
    <w:rsid w:val="00FF595B"/>
    <w:rsid w:val="00FF6D53"/>
    <w:rsid w:val="00FF7B8D"/>
    <w:rsid w:val="011C7FAB"/>
    <w:rsid w:val="0149367C"/>
    <w:rsid w:val="01842B3A"/>
    <w:rsid w:val="04652EFC"/>
    <w:rsid w:val="04913321"/>
    <w:rsid w:val="058C526E"/>
    <w:rsid w:val="060A6EE3"/>
    <w:rsid w:val="06A93FEB"/>
    <w:rsid w:val="06B24EDC"/>
    <w:rsid w:val="073128B1"/>
    <w:rsid w:val="07E93EC3"/>
    <w:rsid w:val="084E1AF7"/>
    <w:rsid w:val="08966833"/>
    <w:rsid w:val="08BC2A1A"/>
    <w:rsid w:val="095F574B"/>
    <w:rsid w:val="0992428F"/>
    <w:rsid w:val="09C875A3"/>
    <w:rsid w:val="0A031966"/>
    <w:rsid w:val="0AC559ED"/>
    <w:rsid w:val="0AFE3D2C"/>
    <w:rsid w:val="0B6C35CB"/>
    <w:rsid w:val="0BDA4013"/>
    <w:rsid w:val="0C1657D8"/>
    <w:rsid w:val="0C3F7BB0"/>
    <w:rsid w:val="0CA8467D"/>
    <w:rsid w:val="0D320BEF"/>
    <w:rsid w:val="0D4A2684"/>
    <w:rsid w:val="0E092EB7"/>
    <w:rsid w:val="0E975E77"/>
    <w:rsid w:val="0F0E7141"/>
    <w:rsid w:val="0FEA16FB"/>
    <w:rsid w:val="10314F56"/>
    <w:rsid w:val="10656AF9"/>
    <w:rsid w:val="10E30D57"/>
    <w:rsid w:val="113917C7"/>
    <w:rsid w:val="115501D0"/>
    <w:rsid w:val="119757EE"/>
    <w:rsid w:val="11BA6255"/>
    <w:rsid w:val="11E3277B"/>
    <w:rsid w:val="11ED58D9"/>
    <w:rsid w:val="122450F7"/>
    <w:rsid w:val="122C2217"/>
    <w:rsid w:val="1241393D"/>
    <w:rsid w:val="12CA41C9"/>
    <w:rsid w:val="138D3E23"/>
    <w:rsid w:val="141B3D7E"/>
    <w:rsid w:val="14DB6602"/>
    <w:rsid w:val="14E76398"/>
    <w:rsid w:val="15C7654C"/>
    <w:rsid w:val="1630041B"/>
    <w:rsid w:val="16472131"/>
    <w:rsid w:val="16856C77"/>
    <w:rsid w:val="17385A95"/>
    <w:rsid w:val="174F2A96"/>
    <w:rsid w:val="1773503E"/>
    <w:rsid w:val="179F6FAA"/>
    <w:rsid w:val="181D3326"/>
    <w:rsid w:val="18D50E27"/>
    <w:rsid w:val="19534EA1"/>
    <w:rsid w:val="1A177C84"/>
    <w:rsid w:val="1A552CDE"/>
    <w:rsid w:val="1A877779"/>
    <w:rsid w:val="1BC3459F"/>
    <w:rsid w:val="1D3C79DD"/>
    <w:rsid w:val="1D5A6425"/>
    <w:rsid w:val="1D7F5CBB"/>
    <w:rsid w:val="1E195881"/>
    <w:rsid w:val="1E1C6172"/>
    <w:rsid w:val="1E2124C4"/>
    <w:rsid w:val="1E226913"/>
    <w:rsid w:val="1E8E7D9A"/>
    <w:rsid w:val="1EB2514F"/>
    <w:rsid w:val="1EE54E53"/>
    <w:rsid w:val="1F24272B"/>
    <w:rsid w:val="1FAB2A10"/>
    <w:rsid w:val="1FC87D11"/>
    <w:rsid w:val="20A222A4"/>
    <w:rsid w:val="20BE4F05"/>
    <w:rsid w:val="20F51202"/>
    <w:rsid w:val="20FE15E2"/>
    <w:rsid w:val="21011F09"/>
    <w:rsid w:val="213E2CCB"/>
    <w:rsid w:val="2151590B"/>
    <w:rsid w:val="21C92553"/>
    <w:rsid w:val="22114BAB"/>
    <w:rsid w:val="223F5B54"/>
    <w:rsid w:val="225C561F"/>
    <w:rsid w:val="22A968D1"/>
    <w:rsid w:val="22DF02FB"/>
    <w:rsid w:val="23B94B80"/>
    <w:rsid w:val="23DB68DC"/>
    <w:rsid w:val="24537D32"/>
    <w:rsid w:val="2456413E"/>
    <w:rsid w:val="24BF5EBF"/>
    <w:rsid w:val="24EE1B79"/>
    <w:rsid w:val="24F52A83"/>
    <w:rsid w:val="253C3391"/>
    <w:rsid w:val="254209B4"/>
    <w:rsid w:val="26106EC1"/>
    <w:rsid w:val="26802F3F"/>
    <w:rsid w:val="26817FE1"/>
    <w:rsid w:val="26B25179"/>
    <w:rsid w:val="275D49CF"/>
    <w:rsid w:val="2765311F"/>
    <w:rsid w:val="27694E3C"/>
    <w:rsid w:val="278A3CD8"/>
    <w:rsid w:val="27BC4B60"/>
    <w:rsid w:val="291F738B"/>
    <w:rsid w:val="299652E5"/>
    <w:rsid w:val="2A050C55"/>
    <w:rsid w:val="2A101862"/>
    <w:rsid w:val="2A34570C"/>
    <w:rsid w:val="2A626650"/>
    <w:rsid w:val="2A7C2252"/>
    <w:rsid w:val="2CAD06D8"/>
    <w:rsid w:val="2D170F8C"/>
    <w:rsid w:val="2D4B61E9"/>
    <w:rsid w:val="2E000C64"/>
    <w:rsid w:val="2E0912F8"/>
    <w:rsid w:val="2E0D1473"/>
    <w:rsid w:val="2F182EB9"/>
    <w:rsid w:val="2F8F18E7"/>
    <w:rsid w:val="300C7F94"/>
    <w:rsid w:val="30302EE7"/>
    <w:rsid w:val="305A5EBF"/>
    <w:rsid w:val="31305C6A"/>
    <w:rsid w:val="314D2D73"/>
    <w:rsid w:val="317B6345"/>
    <w:rsid w:val="317F0E37"/>
    <w:rsid w:val="31D76240"/>
    <w:rsid w:val="32E30F09"/>
    <w:rsid w:val="32FB0A45"/>
    <w:rsid w:val="3302144E"/>
    <w:rsid w:val="333C0319"/>
    <w:rsid w:val="334A26CA"/>
    <w:rsid w:val="33697E44"/>
    <w:rsid w:val="3422185A"/>
    <w:rsid w:val="34357460"/>
    <w:rsid w:val="351F5732"/>
    <w:rsid w:val="353C4B7E"/>
    <w:rsid w:val="35BD5166"/>
    <w:rsid w:val="35D80215"/>
    <w:rsid w:val="368E4767"/>
    <w:rsid w:val="36DB29B6"/>
    <w:rsid w:val="37063BC7"/>
    <w:rsid w:val="37F1281B"/>
    <w:rsid w:val="3A19397B"/>
    <w:rsid w:val="3A537A35"/>
    <w:rsid w:val="3AB16EBC"/>
    <w:rsid w:val="3ADA492D"/>
    <w:rsid w:val="3BD7645B"/>
    <w:rsid w:val="3C0A47BB"/>
    <w:rsid w:val="3C575150"/>
    <w:rsid w:val="3C653863"/>
    <w:rsid w:val="3C851D09"/>
    <w:rsid w:val="3CC93B61"/>
    <w:rsid w:val="3D37386F"/>
    <w:rsid w:val="3E7915A6"/>
    <w:rsid w:val="3EEB53F5"/>
    <w:rsid w:val="3F2D206F"/>
    <w:rsid w:val="3FDA6E96"/>
    <w:rsid w:val="40554320"/>
    <w:rsid w:val="41560E63"/>
    <w:rsid w:val="415B2476"/>
    <w:rsid w:val="41E67BB9"/>
    <w:rsid w:val="42023214"/>
    <w:rsid w:val="428C5839"/>
    <w:rsid w:val="429D7011"/>
    <w:rsid w:val="43200C7F"/>
    <w:rsid w:val="432E3C17"/>
    <w:rsid w:val="43E45962"/>
    <w:rsid w:val="459E2CF6"/>
    <w:rsid w:val="45AD6DFE"/>
    <w:rsid w:val="45B25B50"/>
    <w:rsid w:val="463D0B60"/>
    <w:rsid w:val="46B00F72"/>
    <w:rsid w:val="482F4E62"/>
    <w:rsid w:val="48337DA2"/>
    <w:rsid w:val="48351379"/>
    <w:rsid w:val="489705DF"/>
    <w:rsid w:val="49316F50"/>
    <w:rsid w:val="4A3C75AB"/>
    <w:rsid w:val="4B9B2F87"/>
    <w:rsid w:val="4C787046"/>
    <w:rsid w:val="4C8476D9"/>
    <w:rsid w:val="4C9E6D4B"/>
    <w:rsid w:val="4CAB5AC9"/>
    <w:rsid w:val="4CCD7FCE"/>
    <w:rsid w:val="4CE0145C"/>
    <w:rsid w:val="4D597AF4"/>
    <w:rsid w:val="4DCD125C"/>
    <w:rsid w:val="4DCE1994"/>
    <w:rsid w:val="4E6B2C81"/>
    <w:rsid w:val="4F4722CD"/>
    <w:rsid w:val="4FC50035"/>
    <w:rsid w:val="5099077D"/>
    <w:rsid w:val="510238DF"/>
    <w:rsid w:val="515063E7"/>
    <w:rsid w:val="5194179F"/>
    <w:rsid w:val="51BD0971"/>
    <w:rsid w:val="51E32A8A"/>
    <w:rsid w:val="523E7463"/>
    <w:rsid w:val="52A124B2"/>
    <w:rsid w:val="52A7651D"/>
    <w:rsid w:val="5392505B"/>
    <w:rsid w:val="53E26336"/>
    <w:rsid w:val="53F818D7"/>
    <w:rsid w:val="5420024B"/>
    <w:rsid w:val="54366A4D"/>
    <w:rsid w:val="54654585"/>
    <w:rsid w:val="549F321B"/>
    <w:rsid w:val="54DD2F24"/>
    <w:rsid w:val="55F30089"/>
    <w:rsid w:val="567F5C63"/>
    <w:rsid w:val="56B031B4"/>
    <w:rsid w:val="56BF726A"/>
    <w:rsid w:val="580D1C5B"/>
    <w:rsid w:val="58A9130C"/>
    <w:rsid w:val="58B87E2E"/>
    <w:rsid w:val="591D7EBC"/>
    <w:rsid w:val="595F3439"/>
    <w:rsid w:val="5993581A"/>
    <w:rsid w:val="599609DF"/>
    <w:rsid w:val="5A9B4926"/>
    <w:rsid w:val="5B9C273D"/>
    <w:rsid w:val="5CD113D9"/>
    <w:rsid w:val="5D0B5419"/>
    <w:rsid w:val="5DC44645"/>
    <w:rsid w:val="5E5575CC"/>
    <w:rsid w:val="5E991596"/>
    <w:rsid w:val="5EAF150A"/>
    <w:rsid w:val="5EB752F0"/>
    <w:rsid w:val="5EEC1216"/>
    <w:rsid w:val="5F1C1758"/>
    <w:rsid w:val="5F3E25A9"/>
    <w:rsid w:val="5FE9583B"/>
    <w:rsid w:val="6028681C"/>
    <w:rsid w:val="60C25BC2"/>
    <w:rsid w:val="60CD11A8"/>
    <w:rsid w:val="60F00F42"/>
    <w:rsid w:val="61061D24"/>
    <w:rsid w:val="613701CA"/>
    <w:rsid w:val="618E2E12"/>
    <w:rsid w:val="626E2769"/>
    <w:rsid w:val="62AA4B8E"/>
    <w:rsid w:val="635A1338"/>
    <w:rsid w:val="638F38F3"/>
    <w:rsid w:val="63A027AE"/>
    <w:rsid w:val="640C0889"/>
    <w:rsid w:val="64180B9B"/>
    <w:rsid w:val="64934870"/>
    <w:rsid w:val="64D731ED"/>
    <w:rsid w:val="64DF3780"/>
    <w:rsid w:val="659C6720"/>
    <w:rsid w:val="659F008C"/>
    <w:rsid w:val="67EE657E"/>
    <w:rsid w:val="67F537B7"/>
    <w:rsid w:val="684C1DE3"/>
    <w:rsid w:val="68EB247A"/>
    <w:rsid w:val="69C40A40"/>
    <w:rsid w:val="69C40C04"/>
    <w:rsid w:val="6AD22450"/>
    <w:rsid w:val="6ADC1D19"/>
    <w:rsid w:val="6B7A105E"/>
    <w:rsid w:val="6C14448C"/>
    <w:rsid w:val="6C2219C9"/>
    <w:rsid w:val="6C252B29"/>
    <w:rsid w:val="6C7D4200"/>
    <w:rsid w:val="6CBE12B4"/>
    <w:rsid w:val="6CEB2A7E"/>
    <w:rsid w:val="6D42233D"/>
    <w:rsid w:val="6D6F49D4"/>
    <w:rsid w:val="6D8F236C"/>
    <w:rsid w:val="6DA971B3"/>
    <w:rsid w:val="6DD6793B"/>
    <w:rsid w:val="6E934421"/>
    <w:rsid w:val="6F4D336D"/>
    <w:rsid w:val="6FA431BE"/>
    <w:rsid w:val="6FD00582"/>
    <w:rsid w:val="6FDD1AA3"/>
    <w:rsid w:val="701B20D9"/>
    <w:rsid w:val="70B03A42"/>
    <w:rsid w:val="70E57BE1"/>
    <w:rsid w:val="714A315E"/>
    <w:rsid w:val="72122CF0"/>
    <w:rsid w:val="722A0CD0"/>
    <w:rsid w:val="72AC21C7"/>
    <w:rsid w:val="73114F22"/>
    <w:rsid w:val="73A2461B"/>
    <w:rsid w:val="73AD3C4B"/>
    <w:rsid w:val="747541BC"/>
    <w:rsid w:val="753016E1"/>
    <w:rsid w:val="759A2DF9"/>
    <w:rsid w:val="766A0042"/>
    <w:rsid w:val="76F270DB"/>
    <w:rsid w:val="775972A4"/>
    <w:rsid w:val="778E5270"/>
    <w:rsid w:val="78260ECC"/>
    <w:rsid w:val="784E5CDF"/>
    <w:rsid w:val="78750853"/>
    <w:rsid w:val="78DC13F0"/>
    <w:rsid w:val="79116D1B"/>
    <w:rsid w:val="79E70CA8"/>
    <w:rsid w:val="7AC33ABF"/>
    <w:rsid w:val="7B7801D8"/>
    <w:rsid w:val="7C5F41AB"/>
    <w:rsid w:val="7C8C2CA7"/>
    <w:rsid w:val="7D297FC6"/>
    <w:rsid w:val="7D680906"/>
    <w:rsid w:val="7DAB081D"/>
    <w:rsid w:val="7DC71F22"/>
    <w:rsid w:val="7E1E0092"/>
    <w:rsid w:val="7E523A45"/>
    <w:rsid w:val="7E5C7A06"/>
    <w:rsid w:val="7FA170DF"/>
    <w:rsid w:val="7FA8568A"/>
    <w:rsid w:val="7FC3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kern w:val="2"/>
      <w:sz w:val="21"/>
      <w:szCs w:val="24"/>
    </w:rPr>
  </w:style>
  <w:style w:type="paragraph" w:styleId="1">
    <w:name w:val="heading 1"/>
    <w:basedOn w:val="a6"/>
    <w:next w:val="a6"/>
    <w:link w:val="1Char"/>
    <w:qFormat/>
    <w:pPr>
      <w:keepNext/>
      <w:keepLines/>
      <w:spacing w:before="340" w:after="330" w:line="578" w:lineRule="auto"/>
      <w:outlineLvl w:val="0"/>
    </w:pPr>
    <w:rPr>
      <w:b/>
      <w:bCs/>
      <w:kern w:val="44"/>
      <w:sz w:val="44"/>
      <w:szCs w:val="44"/>
    </w:rPr>
  </w:style>
  <w:style w:type="paragraph" w:styleId="2">
    <w:name w:val="heading 2"/>
    <w:basedOn w:val="a6"/>
    <w:next w:val="a6"/>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Char"/>
    <w:qFormat/>
    <w:pPr>
      <w:keepNext/>
      <w:keepLines/>
      <w:spacing w:before="260" w:after="260" w:line="416" w:lineRule="auto"/>
      <w:outlineLvl w:val="2"/>
    </w:pPr>
    <w:rPr>
      <w:b/>
      <w:bCs/>
      <w:sz w:val="32"/>
      <w:szCs w:val="32"/>
    </w:rPr>
  </w:style>
  <w:style w:type="paragraph" w:styleId="4">
    <w:name w:val="heading 4"/>
    <w:basedOn w:val="a6"/>
    <w:next w:val="a6"/>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Char"/>
    <w:qFormat/>
    <w:pPr>
      <w:keepNext/>
      <w:keepLines/>
      <w:spacing w:before="280" w:after="290" w:line="376" w:lineRule="auto"/>
      <w:outlineLvl w:val="4"/>
    </w:pPr>
    <w:rPr>
      <w:b/>
      <w:bCs/>
      <w:sz w:val="28"/>
      <w:szCs w:val="28"/>
    </w:rPr>
  </w:style>
  <w:style w:type="paragraph" w:styleId="6">
    <w:name w:val="heading 6"/>
    <w:basedOn w:val="a6"/>
    <w:next w:val="a6"/>
    <w:link w:val="6Char"/>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Char"/>
    <w:qFormat/>
    <w:pPr>
      <w:keepNext/>
      <w:keepLines/>
      <w:spacing w:before="240" w:after="64" w:line="320" w:lineRule="auto"/>
      <w:outlineLvl w:val="6"/>
    </w:pPr>
    <w:rPr>
      <w:b/>
      <w:bCs/>
      <w:sz w:val="24"/>
    </w:rPr>
  </w:style>
  <w:style w:type="paragraph" w:styleId="8">
    <w:name w:val="heading 8"/>
    <w:basedOn w:val="a6"/>
    <w:next w:val="a6"/>
    <w:link w:val="8Char"/>
    <w:qFormat/>
    <w:pPr>
      <w:keepNext/>
      <w:keepLines/>
      <w:spacing w:before="240" w:after="64" w:line="320" w:lineRule="auto"/>
      <w:outlineLvl w:val="7"/>
    </w:pPr>
    <w:rPr>
      <w:rFonts w:ascii="Arial" w:eastAsia="黑体" w:hAnsi="Arial"/>
      <w:sz w:val="24"/>
    </w:rPr>
  </w:style>
  <w:style w:type="paragraph" w:styleId="9">
    <w:name w:val="heading 9"/>
    <w:basedOn w:val="a6"/>
    <w:next w:val="a6"/>
    <w:link w:val="9Char"/>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Char"/>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0">
    <w:name w:val="List 3"/>
    <w:basedOn w:val="a6"/>
    <w:qFormat/>
    <w:pPr>
      <w:ind w:leftChars="400" w:left="100" w:hangingChars="200" w:hanging="200"/>
    </w:pPr>
  </w:style>
  <w:style w:type="paragraph" w:styleId="70">
    <w:name w:val="toc 7"/>
    <w:basedOn w:val="a6"/>
    <w:next w:val="a6"/>
    <w:qFormat/>
    <w:pPr>
      <w:ind w:leftChars="1200" w:left="2520"/>
    </w:pPr>
  </w:style>
  <w:style w:type="paragraph" w:styleId="20">
    <w:name w:val="List Number 2"/>
    <w:basedOn w:val="a6"/>
    <w:qFormat/>
    <w:pPr>
      <w:tabs>
        <w:tab w:val="left" w:pos="675"/>
        <w:tab w:val="left" w:pos="780"/>
      </w:tabs>
      <w:ind w:left="675" w:hanging="360"/>
    </w:pPr>
  </w:style>
  <w:style w:type="paragraph" w:styleId="ab">
    <w:name w:val="table of authorities"/>
    <w:basedOn w:val="a6"/>
    <w:next w:val="a6"/>
    <w:qFormat/>
    <w:pPr>
      <w:ind w:leftChars="200" w:left="420"/>
    </w:pPr>
  </w:style>
  <w:style w:type="paragraph" w:styleId="ac">
    <w:name w:val="Note Heading"/>
    <w:basedOn w:val="a6"/>
    <w:next w:val="a6"/>
    <w:link w:val="Char0"/>
    <w:qFormat/>
    <w:pPr>
      <w:jc w:val="center"/>
    </w:pPr>
  </w:style>
  <w:style w:type="paragraph" w:styleId="40">
    <w:name w:val="List Bullet 4"/>
    <w:basedOn w:val="a6"/>
    <w:qFormat/>
    <w:pPr>
      <w:tabs>
        <w:tab w:val="left" w:pos="750"/>
        <w:tab w:val="left" w:pos="1620"/>
      </w:tabs>
      <w:ind w:left="750" w:hanging="750"/>
    </w:pPr>
  </w:style>
  <w:style w:type="paragraph" w:styleId="80">
    <w:name w:val="index 8"/>
    <w:basedOn w:val="a6"/>
    <w:next w:val="a6"/>
    <w:qFormat/>
    <w:pPr>
      <w:ind w:leftChars="1400" w:left="1400"/>
    </w:pPr>
  </w:style>
  <w:style w:type="paragraph" w:styleId="ad">
    <w:name w:val="E-mail Signature"/>
    <w:basedOn w:val="a6"/>
    <w:link w:val="Char1"/>
    <w:qFormat/>
  </w:style>
  <w:style w:type="paragraph" w:styleId="ae">
    <w:name w:val="List Number"/>
    <w:basedOn w:val="a6"/>
    <w:qFormat/>
    <w:pPr>
      <w:tabs>
        <w:tab w:val="left" w:pos="360"/>
        <w:tab w:val="left" w:pos="720"/>
      </w:tabs>
      <w:ind w:left="720" w:hanging="720"/>
    </w:pPr>
  </w:style>
  <w:style w:type="paragraph" w:styleId="af">
    <w:name w:val="Normal Indent"/>
    <w:basedOn w:val="a6"/>
    <w:unhideWhenUsed/>
    <w:qFormat/>
    <w:pPr>
      <w:ind w:firstLineChars="200" w:firstLine="420"/>
    </w:pPr>
  </w:style>
  <w:style w:type="paragraph" w:styleId="af0">
    <w:name w:val="caption"/>
    <w:basedOn w:val="a6"/>
    <w:next w:val="a6"/>
    <w:qFormat/>
    <w:pPr>
      <w:jc w:val="center"/>
    </w:pPr>
    <w:rPr>
      <w:rFonts w:ascii="Arial" w:eastAsia="黑体" w:hAnsi="Arial" w:cs="Arial"/>
      <w:sz w:val="24"/>
      <w:szCs w:val="20"/>
    </w:rPr>
  </w:style>
  <w:style w:type="paragraph" w:styleId="50">
    <w:name w:val="index 5"/>
    <w:basedOn w:val="a6"/>
    <w:next w:val="a6"/>
    <w:qFormat/>
    <w:pPr>
      <w:ind w:leftChars="800" w:left="800"/>
    </w:pPr>
  </w:style>
  <w:style w:type="paragraph" w:styleId="af1">
    <w:name w:val="List Bullet"/>
    <w:basedOn w:val="a6"/>
    <w:qFormat/>
    <w:pPr>
      <w:tabs>
        <w:tab w:val="left" w:pos="360"/>
        <w:tab w:val="left" w:pos="720"/>
      </w:tabs>
      <w:ind w:left="720" w:hanging="720"/>
    </w:pPr>
  </w:style>
  <w:style w:type="paragraph" w:styleId="af2">
    <w:name w:val="envelope address"/>
    <w:basedOn w:val="a6"/>
    <w:qFormat/>
    <w:pPr>
      <w:snapToGrid w:val="0"/>
      <w:ind w:leftChars="1400" w:left="100"/>
    </w:pPr>
    <w:rPr>
      <w:rFonts w:ascii="Arial" w:hAnsi="Arial" w:cs="Arial"/>
      <w:sz w:val="24"/>
    </w:rPr>
  </w:style>
  <w:style w:type="paragraph" w:styleId="af3">
    <w:name w:val="Document Map"/>
    <w:basedOn w:val="a6"/>
    <w:link w:val="Char2"/>
    <w:qFormat/>
    <w:pPr>
      <w:shd w:val="clear" w:color="auto" w:fill="000080"/>
    </w:pPr>
  </w:style>
  <w:style w:type="paragraph" w:styleId="af4">
    <w:name w:val="toa heading"/>
    <w:basedOn w:val="a6"/>
    <w:next w:val="a6"/>
    <w:qFormat/>
    <w:pPr>
      <w:spacing w:before="120"/>
    </w:pPr>
    <w:rPr>
      <w:rFonts w:ascii="Arial" w:hAnsi="Arial" w:cs="Arial"/>
      <w:sz w:val="24"/>
    </w:rPr>
  </w:style>
  <w:style w:type="paragraph" w:styleId="af5">
    <w:name w:val="annotation text"/>
    <w:basedOn w:val="a6"/>
    <w:link w:val="Char3"/>
    <w:unhideWhenUsed/>
    <w:qFormat/>
    <w:pPr>
      <w:jc w:val="left"/>
    </w:pPr>
    <w:rPr>
      <w:szCs w:val="21"/>
    </w:rPr>
  </w:style>
  <w:style w:type="paragraph" w:styleId="60">
    <w:name w:val="index 6"/>
    <w:basedOn w:val="a6"/>
    <w:next w:val="a6"/>
    <w:qFormat/>
    <w:pPr>
      <w:ind w:leftChars="1000" w:left="1000"/>
    </w:pPr>
  </w:style>
  <w:style w:type="paragraph" w:styleId="af6">
    <w:name w:val="Salutation"/>
    <w:basedOn w:val="a6"/>
    <w:next w:val="a6"/>
    <w:link w:val="Char4"/>
    <w:qFormat/>
  </w:style>
  <w:style w:type="paragraph" w:styleId="31">
    <w:name w:val="Body Text 3"/>
    <w:basedOn w:val="a6"/>
    <w:link w:val="3Char0"/>
    <w:qFormat/>
    <w:pPr>
      <w:spacing w:after="120"/>
    </w:pPr>
    <w:rPr>
      <w:sz w:val="16"/>
      <w:szCs w:val="16"/>
    </w:rPr>
  </w:style>
  <w:style w:type="paragraph" w:styleId="af7">
    <w:name w:val="Closing"/>
    <w:basedOn w:val="a6"/>
    <w:link w:val="Char5"/>
    <w:qFormat/>
    <w:pPr>
      <w:ind w:leftChars="2100" w:left="100"/>
    </w:pPr>
  </w:style>
  <w:style w:type="paragraph" w:styleId="32">
    <w:name w:val="List Bullet 3"/>
    <w:basedOn w:val="a6"/>
    <w:qFormat/>
    <w:pPr>
      <w:tabs>
        <w:tab w:val="left" w:pos="480"/>
        <w:tab w:val="left" w:pos="1200"/>
      </w:tabs>
      <w:ind w:left="480" w:hanging="480"/>
    </w:pPr>
  </w:style>
  <w:style w:type="paragraph" w:styleId="af8">
    <w:name w:val="Body Text"/>
    <w:basedOn w:val="a6"/>
    <w:link w:val="Char6"/>
    <w:qFormat/>
    <w:pPr>
      <w:spacing w:after="120"/>
    </w:pPr>
  </w:style>
  <w:style w:type="paragraph" w:styleId="af9">
    <w:name w:val="Body Text Indent"/>
    <w:basedOn w:val="a6"/>
    <w:link w:val="Char7"/>
    <w:qFormat/>
    <w:pPr>
      <w:spacing w:after="120"/>
      <w:ind w:leftChars="200" w:left="420"/>
    </w:pPr>
  </w:style>
  <w:style w:type="paragraph" w:styleId="33">
    <w:name w:val="List Number 3"/>
    <w:basedOn w:val="a6"/>
    <w:qFormat/>
    <w:pPr>
      <w:tabs>
        <w:tab w:val="left" w:pos="360"/>
        <w:tab w:val="left" w:pos="1200"/>
      </w:tabs>
      <w:ind w:left="360" w:hanging="360"/>
    </w:pPr>
  </w:style>
  <w:style w:type="paragraph" w:styleId="21">
    <w:name w:val="List 2"/>
    <w:basedOn w:val="a6"/>
    <w:qFormat/>
    <w:pPr>
      <w:ind w:leftChars="200" w:left="100" w:hangingChars="200" w:hanging="200"/>
      <w:contextualSpacing/>
    </w:pPr>
  </w:style>
  <w:style w:type="paragraph" w:styleId="afa">
    <w:name w:val="List Continue"/>
    <w:basedOn w:val="a6"/>
    <w:qFormat/>
    <w:pPr>
      <w:spacing w:after="120"/>
      <w:ind w:leftChars="200" w:left="420"/>
    </w:pPr>
  </w:style>
  <w:style w:type="paragraph" w:styleId="afb">
    <w:name w:val="Block Text"/>
    <w:basedOn w:val="a6"/>
    <w:qFormat/>
    <w:pPr>
      <w:spacing w:after="120"/>
      <w:ind w:leftChars="700" w:left="1440" w:rightChars="700" w:right="1440"/>
    </w:pPr>
  </w:style>
  <w:style w:type="paragraph" w:styleId="22">
    <w:name w:val="List Bullet 2"/>
    <w:basedOn w:val="a6"/>
    <w:qFormat/>
    <w:pPr>
      <w:tabs>
        <w:tab w:val="left" w:pos="720"/>
        <w:tab w:val="left" w:pos="780"/>
      </w:tabs>
      <w:ind w:left="720" w:hanging="360"/>
    </w:pPr>
  </w:style>
  <w:style w:type="paragraph" w:styleId="HTML">
    <w:name w:val="HTML Address"/>
    <w:basedOn w:val="a6"/>
    <w:link w:val="HTMLChar"/>
    <w:qFormat/>
    <w:rPr>
      <w:i/>
      <w:iCs/>
    </w:rPr>
  </w:style>
  <w:style w:type="paragraph" w:styleId="41">
    <w:name w:val="index 4"/>
    <w:basedOn w:val="a6"/>
    <w:next w:val="a6"/>
    <w:qFormat/>
    <w:pPr>
      <w:ind w:leftChars="600" w:left="600"/>
    </w:pPr>
  </w:style>
  <w:style w:type="paragraph" w:styleId="51">
    <w:name w:val="toc 5"/>
    <w:basedOn w:val="a6"/>
    <w:next w:val="a6"/>
    <w:qFormat/>
    <w:pPr>
      <w:ind w:leftChars="800" w:left="1680"/>
    </w:pPr>
  </w:style>
  <w:style w:type="paragraph" w:styleId="34">
    <w:name w:val="toc 3"/>
    <w:basedOn w:val="a6"/>
    <w:next w:val="a6"/>
    <w:qFormat/>
    <w:pPr>
      <w:tabs>
        <w:tab w:val="right" w:leader="dot" w:pos="8296"/>
      </w:tabs>
      <w:spacing w:line="312" w:lineRule="auto"/>
      <w:ind w:leftChars="400" w:left="400"/>
    </w:pPr>
    <w:rPr>
      <w:sz w:val="24"/>
    </w:rPr>
  </w:style>
  <w:style w:type="paragraph" w:styleId="afc">
    <w:name w:val="Plain Text"/>
    <w:basedOn w:val="a6"/>
    <w:link w:val="Char8"/>
    <w:qFormat/>
    <w:rPr>
      <w:rFonts w:ascii="宋体" w:hAnsi="Courier New" w:cs="Courier New"/>
      <w:szCs w:val="21"/>
    </w:rPr>
  </w:style>
  <w:style w:type="paragraph" w:styleId="52">
    <w:name w:val="List Bullet 5"/>
    <w:basedOn w:val="a6"/>
    <w:qFormat/>
    <w:pPr>
      <w:tabs>
        <w:tab w:val="left" w:pos="840"/>
        <w:tab w:val="left" w:pos="2040"/>
      </w:tabs>
      <w:ind w:left="840" w:hanging="420"/>
    </w:pPr>
  </w:style>
  <w:style w:type="paragraph" w:styleId="42">
    <w:name w:val="List Number 4"/>
    <w:basedOn w:val="a6"/>
    <w:qFormat/>
    <w:pPr>
      <w:tabs>
        <w:tab w:val="left" w:pos="960"/>
        <w:tab w:val="left" w:pos="1620"/>
      </w:tabs>
      <w:ind w:left="960" w:hanging="720"/>
    </w:pPr>
  </w:style>
  <w:style w:type="paragraph" w:styleId="81">
    <w:name w:val="toc 8"/>
    <w:basedOn w:val="a6"/>
    <w:next w:val="a6"/>
    <w:qFormat/>
    <w:pPr>
      <w:ind w:leftChars="1400" w:left="2940"/>
    </w:pPr>
  </w:style>
  <w:style w:type="paragraph" w:styleId="35">
    <w:name w:val="index 3"/>
    <w:basedOn w:val="a6"/>
    <w:next w:val="a6"/>
    <w:qFormat/>
    <w:pPr>
      <w:ind w:leftChars="400" w:left="400"/>
    </w:pPr>
  </w:style>
  <w:style w:type="paragraph" w:styleId="afd">
    <w:name w:val="Date"/>
    <w:basedOn w:val="a6"/>
    <w:next w:val="a6"/>
    <w:link w:val="Char9"/>
    <w:qFormat/>
    <w:pPr>
      <w:ind w:leftChars="2500" w:left="100"/>
    </w:pPr>
  </w:style>
  <w:style w:type="paragraph" w:styleId="23">
    <w:name w:val="Body Text Indent 2"/>
    <w:basedOn w:val="a6"/>
    <w:link w:val="2Char0"/>
    <w:qFormat/>
    <w:pPr>
      <w:spacing w:after="120" w:line="480" w:lineRule="auto"/>
      <w:ind w:leftChars="200" w:left="420"/>
    </w:pPr>
  </w:style>
  <w:style w:type="paragraph" w:styleId="afe">
    <w:name w:val="endnote text"/>
    <w:basedOn w:val="a6"/>
    <w:link w:val="Chara"/>
    <w:qFormat/>
    <w:pPr>
      <w:snapToGrid w:val="0"/>
      <w:jc w:val="left"/>
    </w:pPr>
  </w:style>
  <w:style w:type="paragraph" w:styleId="53">
    <w:name w:val="List Continue 5"/>
    <w:basedOn w:val="a6"/>
    <w:qFormat/>
    <w:pPr>
      <w:spacing w:after="120"/>
      <w:ind w:leftChars="1000" w:left="2100"/>
    </w:pPr>
  </w:style>
  <w:style w:type="paragraph" w:styleId="aff">
    <w:name w:val="Balloon Text"/>
    <w:basedOn w:val="a6"/>
    <w:link w:val="Charb"/>
    <w:qFormat/>
    <w:rPr>
      <w:sz w:val="18"/>
      <w:szCs w:val="18"/>
    </w:rPr>
  </w:style>
  <w:style w:type="paragraph" w:styleId="aff0">
    <w:name w:val="footer"/>
    <w:basedOn w:val="a6"/>
    <w:link w:val="Charc"/>
    <w:uiPriority w:val="99"/>
    <w:qFormat/>
    <w:pPr>
      <w:tabs>
        <w:tab w:val="center" w:pos="4153"/>
        <w:tab w:val="right" w:pos="8306"/>
      </w:tabs>
      <w:snapToGrid w:val="0"/>
      <w:jc w:val="left"/>
    </w:pPr>
    <w:rPr>
      <w:sz w:val="18"/>
    </w:rPr>
  </w:style>
  <w:style w:type="paragraph" w:styleId="aff1">
    <w:name w:val="envelope return"/>
    <w:basedOn w:val="a6"/>
    <w:qFormat/>
    <w:pPr>
      <w:snapToGrid w:val="0"/>
    </w:pPr>
    <w:rPr>
      <w:rFonts w:ascii="Arial" w:hAnsi="Arial" w:cs="Arial"/>
    </w:rPr>
  </w:style>
  <w:style w:type="paragraph" w:styleId="aff2">
    <w:name w:val="header"/>
    <w:basedOn w:val="a6"/>
    <w:link w:val="Char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3">
    <w:name w:val="Signature"/>
    <w:basedOn w:val="a6"/>
    <w:link w:val="Chare"/>
    <w:qFormat/>
    <w:pPr>
      <w:ind w:leftChars="2100" w:left="100"/>
    </w:pPr>
  </w:style>
  <w:style w:type="paragraph" w:styleId="10">
    <w:name w:val="toc 1"/>
    <w:basedOn w:val="a6"/>
    <w:next w:val="a6"/>
    <w:qFormat/>
    <w:pPr>
      <w:tabs>
        <w:tab w:val="right" w:leader="dot" w:pos="8296"/>
      </w:tabs>
      <w:spacing w:line="312" w:lineRule="auto"/>
    </w:pPr>
    <w:rPr>
      <w:sz w:val="24"/>
    </w:rPr>
  </w:style>
  <w:style w:type="paragraph" w:styleId="43">
    <w:name w:val="List Continue 4"/>
    <w:basedOn w:val="a6"/>
    <w:qFormat/>
    <w:pPr>
      <w:spacing w:after="120"/>
      <w:ind w:leftChars="800" w:left="1680"/>
    </w:pPr>
  </w:style>
  <w:style w:type="paragraph" w:styleId="44">
    <w:name w:val="toc 4"/>
    <w:basedOn w:val="a6"/>
    <w:next w:val="a6"/>
    <w:qFormat/>
    <w:pPr>
      <w:ind w:leftChars="600" w:left="1260"/>
    </w:pPr>
  </w:style>
  <w:style w:type="paragraph" w:styleId="aff4">
    <w:name w:val="index heading"/>
    <w:basedOn w:val="a6"/>
    <w:next w:val="11"/>
    <w:qFormat/>
    <w:rPr>
      <w:rFonts w:ascii="Arial" w:hAnsi="Arial" w:cs="Arial"/>
      <w:b/>
      <w:bCs/>
    </w:rPr>
  </w:style>
  <w:style w:type="paragraph" w:styleId="11">
    <w:name w:val="index 1"/>
    <w:basedOn w:val="a6"/>
    <w:next w:val="a6"/>
    <w:qFormat/>
  </w:style>
  <w:style w:type="paragraph" w:styleId="aff5">
    <w:name w:val="Subtitle"/>
    <w:basedOn w:val="a6"/>
    <w:link w:val="Charf"/>
    <w:qFormat/>
    <w:pPr>
      <w:spacing w:before="240" w:after="60" w:line="312" w:lineRule="auto"/>
      <w:jc w:val="center"/>
      <w:outlineLvl w:val="1"/>
    </w:pPr>
    <w:rPr>
      <w:rFonts w:ascii="Arial" w:hAnsi="Arial" w:cs="Arial"/>
      <w:b/>
      <w:bCs/>
      <w:kern w:val="28"/>
      <w:sz w:val="32"/>
      <w:szCs w:val="32"/>
    </w:rPr>
  </w:style>
  <w:style w:type="paragraph" w:styleId="54">
    <w:name w:val="List Number 5"/>
    <w:basedOn w:val="a6"/>
    <w:qFormat/>
    <w:pPr>
      <w:tabs>
        <w:tab w:val="left" w:pos="2040"/>
      </w:tabs>
    </w:pPr>
  </w:style>
  <w:style w:type="paragraph" w:styleId="aff6">
    <w:name w:val="List"/>
    <w:basedOn w:val="a6"/>
    <w:qFormat/>
    <w:pPr>
      <w:ind w:left="200" w:hangingChars="200" w:hanging="200"/>
    </w:pPr>
  </w:style>
  <w:style w:type="paragraph" w:styleId="aff7">
    <w:name w:val="footnote text"/>
    <w:basedOn w:val="a6"/>
    <w:link w:val="Charf0"/>
    <w:qFormat/>
    <w:pPr>
      <w:snapToGrid w:val="0"/>
      <w:jc w:val="left"/>
    </w:pPr>
    <w:rPr>
      <w:sz w:val="18"/>
      <w:szCs w:val="18"/>
    </w:rPr>
  </w:style>
  <w:style w:type="paragraph" w:styleId="61">
    <w:name w:val="toc 6"/>
    <w:basedOn w:val="a6"/>
    <w:next w:val="a6"/>
    <w:qFormat/>
    <w:pPr>
      <w:ind w:leftChars="1000" w:left="2100"/>
    </w:pPr>
  </w:style>
  <w:style w:type="paragraph" w:styleId="55">
    <w:name w:val="List 5"/>
    <w:basedOn w:val="a6"/>
    <w:qFormat/>
    <w:pPr>
      <w:ind w:leftChars="800" w:left="100" w:hangingChars="200" w:hanging="200"/>
    </w:pPr>
  </w:style>
  <w:style w:type="paragraph" w:styleId="36">
    <w:name w:val="Body Text Indent 3"/>
    <w:basedOn w:val="a6"/>
    <w:link w:val="3Char1"/>
    <w:qFormat/>
    <w:pPr>
      <w:spacing w:after="120"/>
      <w:ind w:leftChars="200" w:left="420"/>
    </w:pPr>
    <w:rPr>
      <w:sz w:val="16"/>
      <w:szCs w:val="16"/>
    </w:rPr>
  </w:style>
  <w:style w:type="paragraph" w:styleId="71">
    <w:name w:val="index 7"/>
    <w:basedOn w:val="a6"/>
    <w:next w:val="a6"/>
    <w:qFormat/>
    <w:pPr>
      <w:ind w:leftChars="1200" w:left="1200"/>
    </w:pPr>
  </w:style>
  <w:style w:type="paragraph" w:styleId="90">
    <w:name w:val="index 9"/>
    <w:basedOn w:val="a6"/>
    <w:next w:val="a6"/>
    <w:qFormat/>
    <w:pPr>
      <w:ind w:leftChars="1600" w:left="1600"/>
    </w:pPr>
  </w:style>
  <w:style w:type="paragraph" w:styleId="aff8">
    <w:name w:val="table of figures"/>
    <w:basedOn w:val="a6"/>
    <w:next w:val="a6"/>
    <w:qFormat/>
    <w:pPr>
      <w:ind w:leftChars="200" w:left="200" w:hangingChars="200" w:hanging="200"/>
    </w:pPr>
  </w:style>
  <w:style w:type="paragraph" w:styleId="24">
    <w:name w:val="toc 2"/>
    <w:basedOn w:val="a6"/>
    <w:next w:val="a6"/>
    <w:qFormat/>
    <w:pPr>
      <w:tabs>
        <w:tab w:val="right" w:leader="dot" w:pos="8296"/>
      </w:tabs>
      <w:spacing w:line="312" w:lineRule="auto"/>
      <w:ind w:leftChars="200" w:left="420"/>
    </w:pPr>
    <w:rPr>
      <w:sz w:val="24"/>
    </w:rPr>
  </w:style>
  <w:style w:type="paragraph" w:styleId="91">
    <w:name w:val="toc 9"/>
    <w:basedOn w:val="a6"/>
    <w:next w:val="a6"/>
    <w:qFormat/>
    <w:pPr>
      <w:ind w:leftChars="1600" w:left="3360"/>
    </w:pPr>
  </w:style>
  <w:style w:type="paragraph" w:styleId="25">
    <w:name w:val="Body Text 2"/>
    <w:basedOn w:val="a6"/>
    <w:link w:val="2Char1"/>
    <w:qFormat/>
    <w:pPr>
      <w:spacing w:after="120" w:line="480" w:lineRule="auto"/>
    </w:pPr>
  </w:style>
  <w:style w:type="paragraph" w:styleId="45">
    <w:name w:val="List 4"/>
    <w:basedOn w:val="a6"/>
    <w:qFormat/>
    <w:pPr>
      <w:ind w:leftChars="600" w:left="100" w:hangingChars="200" w:hanging="200"/>
    </w:pPr>
  </w:style>
  <w:style w:type="paragraph" w:styleId="26">
    <w:name w:val="List Continue 2"/>
    <w:basedOn w:val="a6"/>
    <w:qFormat/>
    <w:pPr>
      <w:spacing w:after="120"/>
      <w:ind w:leftChars="400" w:left="840"/>
    </w:pPr>
  </w:style>
  <w:style w:type="paragraph" w:styleId="aff9">
    <w:name w:val="Message Header"/>
    <w:basedOn w:val="a6"/>
    <w:link w:val="Charf1"/>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0">
    <w:name w:val="HTML Preformatted"/>
    <w:basedOn w:val="a6"/>
    <w:link w:val="HTMLChar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a">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37">
    <w:name w:val="List Continue 3"/>
    <w:basedOn w:val="a6"/>
    <w:qFormat/>
    <w:pPr>
      <w:spacing w:after="120"/>
      <w:ind w:leftChars="600" w:left="1260"/>
    </w:pPr>
  </w:style>
  <w:style w:type="paragraph" w:styleId="27">
    <w:name w:val="index 2"/>
    <w:basedOn w:val="a6"/>
    <w:next w:val="a6"/>
    <w:qFormat/>
    <w:pPr>
      <w:ind w:leftChars="200" w:left="200"/>
    </w:pPr>
  </w:style>
  <w:style w:type="paragraph" w:styleId="affb">
    <w:name w:val="Title"/>
    <w:basedOn w:val="a6"/>
    <w:link w:val="Charf2"/>
    <w:qFormat/>
    <w:pPr>
      <w:spacing w:before="240" w:after="60"/>
      <w:jc w:val="center"/>
      <w:outlineLvl w:val="0"/>
    </w:pPr>
    <w:rPr>
      <w:rFonts w:ascii="Arial" w:hAnsi="Arial" w:cs="Arial"/>
      <w:b/>
      <w:bCs/>
      <w:sz w:val="32"/>
      <w:szCs w:val="32"/>
    </w:rPr>
  </w:style>
  <w:style w:type="paragraph" w:styleId="affc">
    <w:name w:val="annotation subject"/>
    <w:basedOn w:val="af5"/>
    <w:next w:val="af5"/>
    <w:link w:val="Charf3"/>
    <w:qFormat/>
    <w:rPr>
      <w:b/>
      <w:bCs/>
      <w:szCs w:val="24"/>
    </w:rPr>
  </w:style>
  <w:style w:type="paragraph" w:styleId="affd">
    <w:name w:val="Body Text First Indent"/>
    <w:basedOn w:val="af8"/>
    <w:link w:val="Charf4"/>
    <w:qFormat/>
    <w:pPr>
      <w:ind w:firstLineChars="100" w:firstLine="420"/>
    </w:pPr>
  </w:style>
  <w:style w:type="paragraph" w:styleId="28">
    <w:name w:val="Body Text First Indent 2"/>
    <w:basedOn w:val="af9"/>
    <w:link w:val="2Char2"/>
    <w:qFormat/>
    <w:pPr>
      <w:ind w:firstLineChars="200" w:firstLine="420"/>
    </w:pPr>
  </w:style>
  <w:style w:type="table" w:styleId="affe">
    <w:name w:val="Table Grid"/>
    <w:basedOn w:val="a8"/>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Strong"/>
    <w:basedOn w:val="a7"/>
    <w:uiPriority w:val="22"/>
    <w:qFormat/>
    <w:rPr>
      <w:b/>
      <w:bCs/>
    </w:rPr>
  </w:style>
  <w:style w:type="character" w:styleId="afff0">
    <w:name w:val="endnote reference"/>
    <w:qFormat/>
    <w:rPr>
      <w:vertAlign w:val="superscript"/>
    </w:rPr>
  </w:style>
  <w:style w:type="character" w:styleId="afff1">
    <w:name w:val="page number"/>
    <w:basedOn w:val="a7"/>
    <w:unhideWhenUsed/>
    <w:qFormat/>
    <w:rPr>
      <w:rFonts w:ascii="Times New Roman" w:eastAsia="宋体" w:hAnsi="Times New Roman"/>
      <w:sz w:val="18"/>
    </w:rPr>
  </w:style>
  <w:style w:type="character" w:styleId="afff2">
    <w:name w:val="FollowedHyperlink"/>
    <w:basedOn w:val="a7"/>
    <w:uiPriority w:val="99"/>
    <w:qFormat/>
    <w:rPr>
      <w:color w:val="800080" w:themeColor="followedHyperlink"/>
      <w:u w:val="single"/>
    </w:rPr>
  </w:style>
  <w:style w:type="character" w:styleId="afff3">
    <w:name w:val="Emphasis"/>
    <w:uiPriority w:val="20"/>
    <w:qFormat/>
    <w:rPr>
      <w:i/>
      <w:iCs/>
    </w:rPr>
  </w:style>
  <w:style w:type="character" w:styleId="afff4">
    <w:name w:val="line number"/>
    <w:basedOn w:val="a7"/>
    <w:qFormat/>
  </w:style>
  <w:style w:type="character" w:styleId="HTML1">
    <w:name w:val="HTML Definition"/>
    <w:qFormat/>
    <w:rPr>
      <w:i/>
      <w:iCs/>
    </w:rPr>
  </w:style>
  <w:style w:type="character" w:styleId="HTML2">
    <w:name w:val="HTML Typewriter"/>
    <w:qFormat/>
    <w:rPr>
      <w:rFonts w:ascii="Courier New" w:hAnsi="Courier New" w:cs="Courier New"/>
      <w:sz w:val="20"/>
      <w:szCs w:val="20"/>
    </w:rPr>
  </w:style>
  <w:style w:type="character" w:styleId="HTML3">
    <w:name w:val="HTML Acronym"/>
    <w:basedOn w:val="a7"/>
    <w:qFormat/>
  </w:style>
  <w:style w:type="character" w:styleId="HTML4">
    <w:name w:val="HTML Variable"/>
    <w:qFormat/>
    <w:rPr>
      <w:i/>
      <w:iCs/>
    </w:rPr>
  </w:style>
  <w:style w:type="character" w:styleId="afff5">
    <w:name w:val="Hyperlink"/>
    <w:basedOn w:val="a7"/>
    <w:uiPriority w:val="99"/>
    <w:qFormat/>
    <w:rPr>
      <w:color w:val="0000FF"/>
      <w:u w:val="single"/>
    </w:rPr>
  </w:style>
  <w:style w:type="character" w:styleId="HTML5">
    <w:name w:val="HTML Code"/>
    <w:qFormat/>
    <w:rPr>
      <w:rFonts w:ascii="Courier New" w:hAnsi="Courier New" w:cs="Courier New"/>
      <w:sz w:val="20"/>
      <w:szCs w:val="20"/>
    </w:rPr>
  </w:style>
  <w:style w:type="character" w:styleId="afff6">
    <w:name w:val="annotation reference"/>
    <w:basedOn w:val="a7"/>
    <w:qFormat/>
    <w:rPr>
      <w:sz w:val="21"/>
      <w:szCs w:val="21"/>
    </w:rPr>
  </w:style>
  <w:style w:type="character" w:styleId="HTML6">
    <w:name w:val="HTML Cite"/>
    <w:qFormat/>
    <w:rPr>
      <w:i/>
      <w:iCs/>
    </w:rPr>
  </w:style>
  <w:style w:type="character" w:styleId="afff7">
    <w:name w:val="footnote reference"/>
    <w:qFormat/>
    <w:rPr>
      <w:vertAlign w:val="superscript"/>
    </w:rPr>
  </w:style>
  <w:style w:type="character" w:styleId="HTML7">
    <w:name w:val="HTML Keyboard"/>
    <w:qFormat/>
    <w:rPr>
      <w:rFonts w:ascii="Courier New" w:hAnsi="Courier New" w:cs="Courier New"/>
      <w:sz w:val="20"/>
      <w:szCs w:val="20"/>
    </w:rPr>
  </w:style>
  <w:style w:type="character" w:styleId="HTML8">
    <w:name w:val="HTML Sample"/>
    <w:qFormat/>
    <w:rPr>
      <w:rFonts w:ascii="Courier New" w:hAnsi="Courier New" w:cs="Courier New"/>
    </w:rPr>
  </w:style>
  <w:style w:type="character" w:customStyle="1" w:styleId="1Char">
    <w:name w:val="标题 1 Char"/>
    <w:basedOn w:val="a7"/>
    <w:link w:val="1"/>
    <w:qFormat/>
    <w:rPr>
      <w:b/>
      <w:bCs/>
      <w:kern w:val="44"/>
      <w:sz w:val="44"/>
      <w:szCs w:val="44"/>
    </w:rPr>
  </w:style>
  <w:style w:type="character" w:customStyle="1" w:styleId="2Char">
    <w:name w:val="标题 2 Char"/>
    <w:basedOn w:val="a7"/>
    <w:link w:val="2"/>
    <w:qFormat/>
    <w:rPr>
      <w:rFonts w:ascii="Arial" w:eastAsia="黑体" w:hAnsi="Arial"/>
      <w:b/>
      <w:bCs/>
      <w:kern w:val="2"/>
      <w:sz w:val="32"/>
      <w:szCs w:val="32"/>
    </w:rPr>
  </w:style>
  <w:style w:type="character" w:customStyle="1" w:styleId="3Char">
    <w:name w:val="标题 3 Char"/>
    <w:basedOn w:val="a7"/>
    <w:link w:val="3"/>
    <w:qFormat/>
    <w:rPr>
      <w:b/>
      <w:bCs/>
      <w:kern w:val="2"/>
      <w:sz w:val="32"/>
      <w:szCs w:val="32"/>
    </w:rPr>
  </w:style>
  <w:style w:type="character" w:customStyle="1" w:styleId="4Char">
    <w:name w:val="标题 4 Char"/>
    <w:basedOn w:val="a7"/>
    <w:link w:val="4"/>
    <w:qFormat/>
    <w:rPr>
      <w:rFonts w:ascii="Arial" w:eastAsia="黑体" w:hAnsi="Arial"/>
      <w:b/>
      <w:bCs/>
      <w:kern w:val="2"/>
      <w:sz w:val="28"/>
      <w:szCs w:val="28"/>
    </w:rPr>
  </w:style>
  <w:style w:type="character" w:customStyle="1" w:styleId="5Char">
    <w:name w:val="标题 5 Char"/>
    <w:basedOn w:val="a7"/>
    <w:link w:val="5"/>
    <w:qFormat/>
    <w:rPr>
      <w:b/>
      <w:bCs/>
      <w:kern w:val="2"/>
      <w:sz w:val="28"/>
      <w:szCs w:val="28"/>
    </w:rPr>
  </w:style>
  <w:style w:type="character" w:customStyle="1" w:styleId="6Char">
    <w:name w:val="标题 6 Char"/>
    <w:basedOn w:val="a7"/>
    <w:link w:val="6"/>
    <w:qFormat/>
    <w:rPr>
      <w:rFonts w:ascii="Arial" w:eastAsia="黑体" w:hAnsi="Arial"/>
      <w:b/>
      <w:bCs/>
      <w:kern w:val="2"/>
      <w:sz w:val="24"/>
      <w:szCs w:val="24"/>
    </w:rPr>
  </w:style>
  <w:style w:type="character" w:customStyle="1" w:styleId="7Char">
    <w:name w:val="标题 7 Char"/>
    <w:basedOn w:val="a7"/>
    <w:link w:val="7"/>
    <w:qFormat/>
    <w:rPr>
      <w:b/>
      <w:bCs/>
      <w:kern w:val="2"/>
      <w:sz w:val="24"/>
      <w:szCs w:val="24"/>
    </w:rPr>
  </w:style>
  <w:style w:type="character" w:customStyle="1" w:styleId="8Char">
    <w:name w:val="标题 8 Char"/>
    <w:basedOn w:val="a7"/>
    <w:link w:val="8"/>
    <w:qFormat/>
    <w:rPr>
      <w:rFonts w:ascii="Arial" w:eastAsia="黑体" w:hAnsi="Arial"/>
      <w:kern w:val="2"/>
      <w:sz w:val="24"/>
      <w:szCs w:val="24"/>
    </w:rPr>
  </w:style>
  <w:style w:type="character" w:customStyle="1" w:styleId="9Char">
    <w:name w:val="标题 9 Char"/>
    <w:basedOn w:val="a7"/>
    <w:link w:val="9"/>
    <w:qFormat/>
    <w:rPr>
      <w:rFonts w:ascii="Arial" w:eastAsia="黑体" w:hAnsi="Arial"/>
      <w:kern w:val="2"/>
      <w:sz w:val="21"/>
      <w:szCs w:val="21"/>
    </w:rPr>
  </w:style>
  <w:style w:type="paragraph" w:customStyle="1" w:styleId="afff8">
    <w:name w:val="封面标准英文名称"/>
    <w:qFormat/>
    <w:pPr>
      <w:widowControl w:val="0"/>
      <w:spacing w:before="370" w:line="400" w:lineRule="exact"/>
      <w:ind w:firstLineChars="200" w:firstLine="200"/>
      <w:jc w:val="center"/>
    </w:pPr>
    <w:rPr>
      <w:sz w:val="28"/>
    </w:rPr>
  </w:style>
  <w:style w:type="paragraph" w:customStyle="1" w:styleId="afff9">
    <w:name w:val="标准"/>
    <w:basedOn w:val="a6"/>
    <w:qFormat/>
    <w:pPr>
      <w:adjustRightInd w:val="0"/>
      <w:spacing w:line="312" w:lineRule="atLeast"/>
      <w:jc w:val="center"/>
      <w:textAlignment w:val="baseline"/>
    </w:pPr>
    <w:rPr>
      <w:kern w:val="0"/>
      <w:szCs w:val="20"/>
    </w:rPr>
  </w:style>
  <w:style w:type="paragraph" w:customStyle="1" w:styleId="29">
    <w:name w:val="封面标准号2"/>
    <w:basedOn w:val="a6"/>
    <w:qFormat/>
  </w:style>
  <w:style w:type="paragraph" w:customStyle="1" w:styleId="afffa">
    <w:name w:val="章标题"/>
    <w:next w:val="a6"/>
    <w:qFormat/>
    <w:pPr>
      <w:tabs>
        <w:tab w:val="left" w:pos="675"/>
      </w:tabs>
      <w:spacing w:beforeLines="100" w:afterLines="100"/>
      <w:ind w:left="675" w:hanging="360"/>
      <w:jc w:val="both"/>
      <w:outlineLvl w:val="1"/>
    </w:pPr>
    <w:rPr>
      <w:rFonts w:ascii="黑体" w:eastAsia="黑体"/>
      <w:sz w:val="21"/>
    </w:rPr>
  </w:style>
  <w:style w:type="paragraph" w:customStyle="1" w:styleId="afffb">
    <w:name w:val="段"/>
    <w:link w:val="CharChar"/>
    <w:qFormat/>
    <w:pPr>
      <w:autoSpaceDE w:val="0"/>
      <w:autoSpaceDN w:val="0"/>
      <w:ind w:firstLineChars="200" w:firstLine="200"/>
      <w:jc w:val="both"/>
    </w:pPr>
    <w:rPr>
      <w:rFonts w:ascii="宋体" w:hAnsi="宋体"/>
      <w:sz w:val="21"/>
    </w:rPr>
  </w:style>
  <w:style w:type="character" w:customStyle="1" w:styleId="Char3">
    <w:name w:val="批注文字 Char"/>
    <w:basedOn w:val="a7"/>
    <w:link w:val="af5"/>
    <w:qFormat/>
    <w:rPr>
      <w:kern w:val="2"/>
      <w:sz w:val="21"/>
      <w:szCs w:val="21"/>
    </w:rPr>
  </w:style>
  <w:style w:type="character" w:customStyle="1" w:styleId="Chard">
    <w:name w:val="页眉 Char"/>
    <w:basedOn w:val="a7"/>
    <w:link w:val="aff2"/>
    <w:qFormat/>
    <w:rPr>
      <w:kern w:val="2"/>
      <w:sz w:val="18"/>
      <w:szCs w:val="24"/>
    </w:rPr>
  </w:style>
  <w:style w:type="character" w:customStyle="1" w:styleId="Charc">
    <w:name w:val="页脚 Char"/>
    <w:basedOn w:val="a7"/>
    <w:link w:val="aff0"/>
    <w:uiPriority w:val="99"/>
    <w:qFormat/>
    <w:rPr>
      <w:kern w:val="2"/>
      <w:sz w:val="18"/>
      <w:szCs w:val="24"/>
    </w:rPr>
  </w:style>
  <w:style w:type="paragraph" w:customStyle="1" w:styleId="12">
    <w:name w:val="列出段落1"/>
    <w:basedOn w:val="a6"/>
    <w:qFormat/>
    <w:pPr>
      <w:ind w:firstLineChars="200" w:firstLine="420"/>
    </w:pPr>
    <w:rPr>
      <w:rFonts w:ascii="Calibri" w:hAnsi="Calibri" w:cs="黑体"/>
      <w:szCs w:val="22"/>
    </w:rPr>
  </w:style>
  <w:style w:type="paragraph" w:customStyle="1" w:styleId="CharCharCharChar">
    <w:name w:val="Char Char Char Char"/>
    <w:basedOn w:val="a6"/>
    <w:qFormat/>
    <w:pPr>
      <w:widowControl/>
      <w:spacing w:after="160" w:line="240" w:lineRule="exact"/>
      <w:jc w:val="left"/>
    </w:pPr>
  </w:style>
  <w:style w:type="character" w:customStyle="1" w:styleId="Charf2">
    <w:name w:val="标题 Char"/>
    <w:basedOn w:val="a7"/>
    <w:link w:val="affb"/>
    <w:qFormat/>
    <w:rPr>
      <w:rFonts w:ascii="Arial" w:hAnsi="Arial" w:cs="Arial"/>
      <w:b/>
      <w:bCs/>
      <w:kern w:val="2"/>
      <w:sz w:val="32"/>
      <w:szCs w:val="32"/>
    </w:r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character" w:customStyle="1" w:styleId="Char9">
    <w:name w:val="日期 Char"/>
    <w:basedOn w:val="a7"/>
    <w:link w:val="afd"/>
    <w:qFormat/>
    <w:rPr>
      <w:kern w:val="2"/>
      <w:sz w:val="21"/>
      <w:szCs w:val="24"/>
    </w:rPr>
  </w:style>
  <w:style w:type="character" w:customStyle="1" w:styleId="HTMLChar0">
    <w:name w:val="HTML 预设格式 Char"/>
    <w:basedOn w:val="a7"/>
    <w:link w:val="HTML0"/>
    <w:uiPriority w:val="99"/>
    <w:qFormat/>
    <w:rPr>
      <w:rFonts w:ascii="宋体" w:hAnsi="宋体" w:cs="宋体"/>
      <w:sz w:val="24"/>
      <w:szCs w:val="24"/>
    </w:rPr>
  </w:style>
  <w:style w:type="character" w:customStyle="1" w:styleId="Char8">
    <w:name w:val="纯文本 Char"/>
    <w:basedOn w:val="a7"/>
    <w:link w:val="afc"/>
    <w:qFormat/>
    <w:rPr>
      <w:rFonts w:ascii="宋体" w:hAnsi="Courier New" w:cs="Courier New"/>
      <w:kern w:val="2"/>
      <w:sz w:val="21"/>
      <w:szCs w:val="21"/>
    </w:rPr>
  </w:style>
  <w:style w:type="character" w:customStyle="1" w:styleId="Charf3">
    <w:name w:val="批注主题 Char"/>
    <w:basedOn w:val="Char3"/>
    <w:link w:val="affc"/>
    <w:qFormat/>
    <w:rPr>
      <w:b/>
      <w:bCs/>
      <w:kern w:val="2"/>
      <w:sz w:val="21"/>
      <w:szCs w:val="24"/>
    </w:rPr>
  </w:style>
  <w:style w:type="character" w:customStyle="1" w:styleId="Charb">
    <w:name w:val="批注框文本 Char"/>
    <w:basedOn w:val="a7"/>
    <w:link w:val="aff"/>
    <w:qFormat/>
    <w:rPr>
      <w:kern w:val="2"/>
      <w:sz w:val="18"/>
      <w:szCs w:val="18"/>
    </w:rPr>
  </w:style>
  <w:style w:type="paragraph" w:styleId="afffc">
    <w:name w:val="List Paragraph"/>
    <w:basedOn w:val="a6"/>
    <w:uiPriority w:val="34"/>
    <w:qFormat/>
    <w:pPr>
      <w:ind w:firstLineChars="200" w:firstLine="420"/>
    </w:pPr>
  </w:style>
  <w:style w:type="character" w:customStyle="1" w:styleId="CharChar">
    <w:name w:val="段 Char Char"/>
    <w:basedOn w:val="a7"/>
    <w:link w:val="afffb"/>
    <w:qFormat/>
    <w:rPr>
      <w:rFonts w:ascii="宋体" w:hAnsi="宋体"/>
      <w:sz w:val="21"/>
    </w:rPr>
  </w:style>
  <w:style w:type="character" w:customStyle="1" w:styleId="shorttext1">
    <w:name w:val="short_text1"/>
    <w:basedOn w:val="a7"/>
    <w:qFormat/>
    <w:rPr>
      <w:sz w:val="19"/>
      <w:szCs w:val="19"/>
    </w:rPr>
  </w:style>
  <w:style w:type="paragraph" w:customStyle="1" w:styleId="2a">
    <w:name w:val="2"/>
    <w:uiPriority w:val="99"/>
    <w:unhideWhenUsed/>
    <w:qFormat/>
    <w:pPr>
      <w:widowControl w:val="0"/>
      <w:jc w:val="both"/>
    </w:pPr>
    <w:rPr>
      <w:kern w:val="2"/>
      <w:sz w:val="21"/>
      <w:szCs w:val="24"/>
    </w:rPr>
  </w:style>
  <w:style w:type="character" w:customStyle="1" w:styleId="afffd">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6"/>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character" w:customStyle="1" w:styleId="Char">
    <w:name w:val="宏文本 Char"/>
    <w:basedOn w:val="a7"/>
    <w:link w:val="aa"/>
    <w:qFormat/>
    <w:rPr>
      <w:rFonts w:ascii="Courier New" w:hAnsi="Courier New" w:cs="Courier New"/>
      <w:kern w:val="2"/>
      <w:sz w:val="24"/>
      <w:szCs w:val="24"/>
    </w:rPr>
  </w:style>
  <w:style w:type="character" w:customStyle="1" w:styleId="Char6">
    <w:name w:val="正文文本 Char"/>
    <w:basedOn w:val="a7"/>
    <w:link w:val="af8"/>
    <w:qFormat/>
    <w:rPr>
      <w:kern w:val="2"/>
      <w:sz w:val="21"/>
      <w:szCs w:val="24"/>
    </w:rPr>
  </w:style>
  <w:style w:type="character" w:customStyle="1" w:styleId="Charf4">
    <w:name w:val="正文首行缩进 Char"/>
    <w:basedOn w:val="Char6"/>
    <w:link w:val="affd"/>
    <w:qFormat/>
    <w:rPr>
      <w:kern w:val="2"/>
      <w:sz w:val="21"/>
      <w:szCs w:val="24"/>
    </w:rPr>
  </w:style>
  <w:style w:type="character" w:customStyle="1" w:styleId="Char7">
    <w:name w:val="正文文本缩进 Char"/>
    <w:basedOn w:val="a7"/>
    <w:link w:val="af9"/>
    <w:qFormat/>
    <w:rPr>
      <w:kern w:val="2"/>
      <w:sz w:val="21"/>
      <w:szCs w:val="24"/>
    </w:rPr>
  </w:style>
  <w:style w:type="character" w:customStyle="1" w:styleId="2Char2">
    <w:name w:val="正文首行缩进 2 Char"/>
    <w:basedOn w:val="Char7"/>
    <w:link w:val="28"/>
    <w:qFormat/>
    <w:rPr>
      <w:kern w:val="2"/>
      <w:sz w:val="21"/>
      <w:szCs w:val="24"/>
    </w:rPr>
  </w:style>
  <w:style w:type="character" w:customStyle="1" w:styleId="Char2">
    <w:name w:val="文档结构图 Char"/>
    <w:basedOn w:val="a7"/>
    <w:link w:val="af3"/>
    <w:qFormat/>
    <w:rPr>
      <w:kern w:val="2"/>
      <w:sz w:val="21"/>
      <w:szCs w:val="24"/>
      <w:shd w:val="clear" w:color="auto" w:fill="000080"/>
    </w:rPr>
  </w:style>
  <w:style w:type="character" w:customStyle="1" w:styleId="3Char0">
    <w:name w:val="正文文本 3 Char"/>
    <w:basedOn w:val="a7"/>
    <w:link w:val="31"/>
    <w:qFormat/>
    <w:rPr>
      <w:kern w:val="2"/>
      <w:sz w:val="16"/>
      <w:szCs w:val="16"/>
    </w:rPr>
  </w:style>
  <w:style w:type="character" w:customStyle="1" w:styleId="HTMLChar">
    <w:name w:val="HTML 地址 Char"/>
    <w:basedOn w:val="a7"/>
    <w:link w:val="HTML"/>
    <w:qFormat/>
    <w:rPr>
      <w:i/>
      <w:iCs/>
      <w:kern w:val="2"/>
      <w:sz w:val="21"/>
      <w:szCs w:val="24"/>
    </w:rPr>
  </w:style>
  <w:style w:type="character" w:customStyle="1" w:styleId="3Char1">
    <w:name w:val="正文文本缩进 3 Char"/>
    <w:basedOn w:val="a7"/>
    <w:link w:val="36"/>
    <w:qFormat/>
    <w:rPr>
      <w:kern w:val="2"/>
      <w:sz w:val="16"/>
      <w:szCs w:val="16"/>
    </w:rPr>
  </w:style>
  <w:style w:type="character" w:customStyle="1" w:styleId="Char1">
    <w:name w:val="电子邮件签名 Char"/>
    <w:basedOn w:val="a7"/>
    <w:link w:val="ad"/>
    <w:qFormat/>
    <w:rPr>
      <w:kern w:val="2"/>
      <w:sz w:val="21"/>
      <w:szCs w:val="24"/>
    </w:rPr>
  </w:style>
  <w:style w:type="character" w:customStyle="1" w:styleId="Chare">
    <w:name w:val="签名 Char"/>
    <w:basedOn w:val="a7"/>
    <w:link w:val="aff3"/>
    <w:qFormat/>
    <w:rPr>
      <w:kern w:val="2"/>
      <w:sz w:val="21"/>
      <w:szCs w:val="24"/>
    </w:rPr>
  </w:style>
  <w:style w:type="character" w:customStyle="1" w:styleId="Charf0">
    <w:name w:val="脚注文本 Char"/>
    <w:basedOn w:val="a7"/>
    <w:link w:val="aff7"/>
    <w:qFormat/>
    <w:rPr>
      <w:kern w:val="2"/>
      <w:sz w:val="18"/>
      <w:szCs w:val="18"/>
    </w:rPr>
  </w:style>
  <w:style w:type="character" w:customStyle="1" w:styleId="Char0">
    <w:name w:val="注释标题 Char"/>
    <w:basedOn w:val="a7"/>
    <w:link w:val="ac"/>
    <w:qFormat/>
    <w:rPr>
      <w:kern w:val="2"/>
      <w:sz w:val="21"/>
      <w:szCs w:val="24"/>
    </w:rPr>
  </w:style>
  <w:style w:type="character" w:customStyle="1" w:styleId="2Char1">
    <w:name w:val="正文文本 2 Char"/>
    <w:basedOn w:val="a7"/>
    <w:link w:val="25"/>
    <w:qFormat/>
    <w:rPr>
      <w:kern w:val="2"/>
      <w:sz w:val="21"/>
      <w:szCs w:val="24"/>
    </w:rPr>
  </w:style>
  <w:style w:type="character" w:customStyle="1" w:styleId="Char4">
    <w:name w:val="称呼 Char"/>
    <w:basedOn w:val="a7"/>
    <w:link w:val="af6"/>
    <w:qFormat/>
    <w:rPr>
      <w:kern w:val="2"/>
      <w:sz w:val="21"/>
      <w:szCs w:val="24"/>
    </w:rPr>
  </w:style>
  <w:style w:type="character" w:customStyle="1" w:styleId="Chara">
    <w:name w:val="尾注文本 Char"/>
    <w:basedOn w:val="a7"/>
    <w:link w:val="afe"/>
    <w:qFormat/>
    <w:rPr>
      <w:kern w:val="2"/>
      <w:sz w:val="21"/>
      <w:szCs w:val="24"/>
    </w:rPr>
  </w:style>
  <w:style w:type="character" w:customStyle="1" w:styleId="Char5">
    <w:name w:val="结束语 Char"/>
    <w:basedOn w:val="a7"/>
    <w:link w:val="af7"/>
    <w:qFormat/>
    <w:rPr>
      <w:kern w:val="2"/>
      <w:sz w:val="21"/>
      <w:szCs w:val="24"/>
    </w:rPr>
  </w:style>
  <w:style w:type="character" w:customStyle="1" w:styleId="2Char0">
    <w:name w:val="正文文本缩进 2 Char"/>
    <w:basedOn w:val="a7"/>
    <w:link w:val="23"/>
    <w:qFormat/>
    <w:rPr>
      <w:kern w:val="2"/>
      <w:sz w:val="21"/>
      <w:szCs w:val="24"/>
    </w:rPr>
  </w:style>
  <w:style w:type="character" w:customStyle="1" w:styleId="Charf">
    <w:name w:val="副标题 Char"/>
    <w:basedOn w:val="a7"/>
    <w:link w:val="aff5"/>
    <w:qFormat/>
    <w:rPr>
      <w:rFonts w:ascii="Arial" w:hAnsi="Arial" w:cs="Arial"/>
      <w:b/>
      <w:bCs/>
      <w:kern w:val="28"/>
      <w:sz w:val="32"/>
      <w:szCs w:val="32"/>
    </w:rPr>
  </w:style>
  <w:style w:type="character" w:customStyle="1" w:styleId="Charf1">
    <w:name w:val="信息标题 Char"/>
    <w:basedOn w:val="a7"/>
    <w:link w:val="aff9"/>
    <w:qFormat/>
    <w:rPr>
      <w:rFonts w:ascii="Arial" w:hAnsi="Arial" w:cs="Arial"/>
      <w:kern w:val="2"/>
      <w:sz w:val="24"/>
      <w:szCs w:val="24"/>
      <w:shd w:val="pct20" w:color="auto" w:fill="auto"/>
    </w:rPr>
  </w:style>
  <w:style w:type="paragraph" w:customStyle="1" w:styleId="u0">
    <w:name w:val="u页眉"/>
    <w:basedOn w:val="a6"/>
    <w:qFormat/>
    <w:pPr>
      <w:pBdr>
        <w:bottom w:val="single" w:sz="4" w:space="1" w:color="auto"/>
      </w:pBdr>
      <w:jc w:val="center"/>
    </w:pPr>
  </w:style>
  <w:style w:type="paragraph" w:customStyle="1" w:styleId="afffe">
    <w:name w:val="连续正文文字"/>
    <w:basedOn w:val="af8"/>
    <w:qFormat/>
    <w:pPr>
      <w:keepNext/>
      <w:widowControl/>
      <w:spacing w:after="220" w:line="180" w:lineRule="atLeast"/>
      <w:ind w:firstLine="476"/>
      <w:jc w:val="center"/>
    </w:pPr>
    <w:rPr>
      <w:spacing w:val="-5"/>
      <w:kern w:val="0"/>
      <w:sz w:val="30"/>
      <w:szCs w:val="20"/>
    </w:rPr>
  </w:style>
  <w:style w:type="paragraph" w:customStyle="1" w:styleId="affff">
    <w:name w:val="正文（结尾部分）"/>
    <w:basedOn w:val="a6"/>
    <w:qFormat/>
    <w:pPr>
      <w:adjustRightInd w:val="0"/>
      <w:snapToGrid w:val="0"/>
      <w:spacing w:line="320" w:lineRule="exact"/>
      <w:ind w:firstLineChars="200" w:firstLine="200"/>
    </w:pPr>
  </w:style>
  <w:style w:type="paragraph" w:customStyle="1" w:styleId="affff0">
    <w:name w:val="基准页眉样式"/>
    <w:basedOn w:val="af8"/>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1">
    <w:name w:val="图标题"/>
    <w:basedOn w:val="a6"/>
    <w:next w:val="a6"/>
    <w:qFormat/>
    <w:pPr>
      <w:widowControl/>
      <w:spacing w:before="200" w:after="400" w:line="312" w:lineRule="auto"/>
      <w:ind w:firstLine="476"/>
      <w:jc w:val="center"/>
    </w:pPr>
    <w:rPr>
      <w:b/>
      <w:spacing w:val="-5"/>
      <w:kern w:val="0"/>
      <w:sz w:val="24"/>
      <w:szCs w:val="20"/>
    </w:rPr>
  </w:style>
  <w:style w:type="paragraph" w:customStyle="1" w:styleId="affff2">
    <w:name w:val="五级条标题"/>
    <w:basedOn w:val="affff3"/>
    <w:next w:val="afffb"/>
    <w:qFormat/>
    <w:pPr>
      <w:tabs>
        <w:tab w:val="left" w:pos="3360"/>
      </w:tabs>
      <w:ind w:left="3360"/>
      <w:outlineLvl w:val="6"/>
    </w:pPr>
  </w:style>
  <w:style w:type="paragraph" w:customStyle="1" w:styleId="affff3">
    <w:name w:val="四级条标题"/>
    <w:basedOn w:val="affff4"/>
    <w:next w:val="afffb"/>
    <w:qFormat/>
    <w:pPr>
      <w:tabs>
        <w:tab w:val="left" w:pos="2940"/>
      </w:tabs>
      <w:ind w:left="2940"/>
      <w:outlineLvl w:val="5"/>
    </w:pPr>
  </w:style>
  <w:style w:type="paragraph" w:customStyle="1" w:styleId="affff4">
    <w:name w:val="三级条标题"/>
    <w:basedOn w:val="affff5"/>
    <w:next w:val="afffb"/>
    <w:qFormat/>
    <w:pPr>
      <w:tabs>
        <w:tab w:val="left" w:pos="2520"/>
      </w:tabs>
      <w:ind w:left="2520"/>
      <w:outlineLvl w:val="4"/>
    </w:pPr>
  </w:style>
  <w:style w:type="paragraph" w:customStyle="1" w:styleId="affff5">
    <w:name w:val="二级条标题"/>
    <w:basedOn w:val="affff6"/>
    <w:next w:val="afffb"/>
    <w:qFormat/>
    <w:pPr>
      <w:tabs>
        <w:tab w:val="left" w:pos="2100"/>
      </w:tabs>
      <w:ind w:left="2100"/>
      <w:outlineLvl w:val="3"/>
    </w:pPr>
  </w:style>
  <w:style w:type="paragraph" w:customStyle="1" w:styleId="affff6">
    <w:name w:val="一级条标题"/>
    <w:basedOn w:val="afffa"/>
    <w:next w:val="afffb"/>
    <w:qFormat/>
    <w:pPr>
      <w:tabs>
        <w:tab w:val="clear" w:pos="675"/>
        <w:tab w:val="left" w:pos="1680"/>
      </w:tabs>
      <w:spacing w:beforeLines="0" w:afterLines="0"/>
      <w:ind w:left="1680" w:hanging="420"/>
      <w:outlineLvl w:val="2"/>
    </w:pPr>
  </w:style>
  <w:style w:type="paragraph" w:customStyle="1" w:styleId="affff7">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8">
    <w:name w:val="基准页脚样式"/>
    <w:basedOn w:val="af8"/>
    <w:qFormat/>
    <w:pPr>
      <w:keepLines/>
      <w:widowControl/>
      <w:spacing w:after="220" w:line="200" w:lineRule="atLeast"/>
      <w:ind w:firstLine="476"/>
      <w:jc w:val="center"/>
    </w:pPr>
    <w:rPr>
      <w:spacing w:val="-5"/>
      <w:kern w:val="0"/>
      <w:sz w:val="16"/>
      <w:szCs w:val="20"/>
    </w:rPr>
  </w:style>
  <w:style w:type="paragraph" w:customStyle="1" w:styleId="affff9">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a">
    <w:name w:val="前言、引言标题"/>
    <w:next w:val="a6"/>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pPr>
      <w:spacing w:line="312" w:lineRule="auto"/>
      <w:ind w:left="200" w:hangingChars="200" w:hanging="200"/>
    </w:pPr>
    <w:rPr>
      <w:sz w:val="24"/>
    </w:rPr>
  </w:style>
  <w:style w:type="paragraph" w:customStyle="1" w:styleId="affffb">
    <w:name w:val="基准标题"/>
    <w:basedOn w:val="af8"/>
    <w:next w:val="af8"/>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f5">
    <w:name w:val="Char"/>
    <w:basedOn w:val="a6"/>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spacing w:beforeLines="150" w:afterLines="50" w:line="360" w:lineRule="auto"/>
      <w:jc w:val="center"/>
    </w:pPr>
    <w:rPr>
      <w:rFonts w:eastAsia="黑体"/>
      <w:b/>
    </w:rPr>
  </w:style>
  <w:style w:type="paragraph" w:customStyle="1" w:styleId="affffc">
    <w:name w:val="图表题"/>
    <w:basedOn w:val="a6"/>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spacing w:before="100" w:beforeAutospacing="1" w:after="100" w:afterAutospacing="1"/>
    </w:pPr>
  </w:style>
  <w:style w:type="paragraph" w:customStyle="1" w:styleId="affffd">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ffffe">
    <w:name w:val="尾消息标题"/>
    <w:basedOn w:val="a6"/>
    <w:next w:val="af8"/>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
    <w:name w:val="表标题"/>
    <w:basedOn w:val="a6"/>
    <w:next w:val="a6"/>
    <w:qFormat/>
    <w:pPr>
      <w:widowControl/>
      <w:spacing w:before="400" w:after="200" w:line="312" w:lineRule="auto"/>
      <w:jc w:val="left"/>
    </w:pPr>
    <w:rPr>
      <w:b/>
      <w:spacing w:val="-5"/>
      <w:kern w:val="0"/>
      <w:sz w:val="24"/>
      <w:szCs w:val="20"/>
    </w:rPr>
  </w:style>
  <w:style w:type="paragraph" w:customStyle="1" w:styleId="afffff0">
    <w:name w:val="其他"/>
    <w:basedOn w:val="a6"/>
    <w:qFormat/>
  </w:style>
  <w:style w:type="paragraph" w:customStyle="1" w:styleId="u8">
    <w:name w:val="u参考文献条目顺序编码制"/>
    <w:basedOn w:val="a6"/>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1">
    <w:name w:val="图片"/>
    <w:basedOn w:val="a6"/>
    <w:next w:val="af0"/>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pPr>
      <w:spacing w:beforeLines="10" w:afterLines="10" w:line="312" w:lineRule="auto"/>
      <w:ind w:firstLineChars="200" w:firstLine="480"/>
    </w:pPr>
    <w:rPr>
      <w:rFonts w:hAnsi="宋体" w:cs="宋体"/>
      <w:sz w:val="24"/>
    </w:rPr>
  </w:style>
  <w:style w:type="paragraph" w:customStyle="1" w:styleId="ua">
    <w:name w:val="u标题 不入目录"/>
    <w:basedOn w:val="a6"/>
    <w:qFormat/>
    <w:pPr>
      <w:jc w:val="center"/>
    </w:pPr>
    <w:rPr>
      <w:rFonts w:eastAsia="黑体"/>
      <w:b/>
      <w:sz w:val="30"/>
      <w:szCs w:val="30"/>
    </w:rPr>
  </w:style>
  <w:style w:type="paragraph" w:customStyle="1" w:styleId="xl63">
    <w:name w:val="xl63"/>
    <w:basedOn w:val="a6"/>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kern w:val="2"/>
      <w:sz w:val="21"/>
      <w:szCs w:val="24"/>
    </w:rPr>
  </w:style>
  <w:style w:type="character" w:styleId="afffff2">
    <w:name w:val="Placeholder Text"/>
    <w:basedOn w:val="a7"/>
    <w:uiPriority w:val="99"/>
    <w:semiHidden/>
    <w:qFormat/>
    <w:rPr>
      <w:color w:val="808080"/>
    </w:rPr>
  </w:style>
  <w:style w:type="character" w:customStyle="1" w:styleId="Charf6">
    <w:name w:val="段 Char"/>
    <w:qFormat/>
    <w:rPr>
      <w:rFonts w:ascii="宋体"/>
      <w:sz w:val="21"/>
      <w:lang w:bidi="ar-SA"/>
    </w:rPr>
  </w:style>
  <w:style w:type="paragraph" w:customStyle="1" w:styleId="a">
    <w:name w:val="附录标识"/>
    <w:basedOn w:val="affffa"/>
    <w:qFormat/>
    <w:pPr>
      <w:numPr>
        <w:numId w:val="1"/>
      </w:numPr>
      <w:tabs>
        <w:tab w:val="left" w:pos="6405"/>
      </w:tabs>
      <w:spacing w:after="200"/>
    </w:pPr>
    <w:rPr>
      <w:sz w:val="21"/>
    </w:rPr>
  </w:style>
  <w:style w:type="paragraph" w:customStyle="1" w:styleId="a0">
    <w:name w:val="附录章标题"/>
    <w:next w:val="afffb"/>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b"/>
    <w:qFormat/>
    <w:pPr>
      <w:numPr>
        <w:ilvl w:val="6"/>
      </w:numPr>
      <w:outlineLvl w:val="6"/>
    </w:pPr>
  </w:style>
  <w:style w:type="paragraph" w:customStyle="1" w:styleId="a4">
    <w:name w:val="附录四级条标题"/>
    <w:basedOn w:val="a3"/>
    <w:next w:val="afffb"/>
    <w:qFormat/>
    <w:pPr>
      <w:numPr>
        <w:ilvl w:val="5"/>
      </w:numPr>
      <w:outlineLvl w:val="5"/>
    </w:pPr>
  </w:style>
  <w:style w:type="paragraph" w:customStyle="1" w:styleId="a3">
    <w:name w:val="附录三级条标题"/>
    <w:basedOn w:val="a2"/>
    <w:next w:val="afffb"/>
    <w:qFormat/>
    <w:pPr>
      <w:numPr>
        <w:ilvl w:val="4"/>
      </w:numPr>
      <w:outlineLvl w:val="4"/>
    </w:pPr>
  </w:style>
  <w:style w:type="paragraph" w:customStyle="1" w:styleId="a2">
    <w:name w:val="附录二级条标题"/>
    <w:basedOn w:val="a1"/>
    <w:next w:val="afffb"/>
    <w:qFormat/>
    <w:pPr>
      <w:numPr>
        <w:ilvl w:val="3"/>
      </w:numPr>
      <w:outlineLvl w:val="3"/>
    </w:pPr>
  </w:style>
  <w:style w:type="paragraph" w:customStyle="1" w:styleId="a1">
    <w:name w:val="附录一级条标题"/>
    <w:basedOn w:val="a0"/>
    <w:next w:val="afffb"/>
    <w:qFormat/>
    <w:pPr>
      <w:numPr>
        <w:ilvl w:val="2"/>
      </w:numPr>
      <w:autoSpaceDN w:val="0"/>
      <w:spacing w:beforeLines="0" w:afterLines="0"/>
      <w:outlineLvl w:val="2"/>
    </w:pPr>
  </w:style>
  <w:style w:type="character" w:customStyle="1" w:styleId="font91">
    <w:name w:val="font91"/>
    <w:basedOn w:val="a7"/>
    <w:qFormat/>
    <w:rPr>
      <w:rFonts w:ascii="宋体" w:eastAsia="宋体" w:hAnsi="宋体" w:cs="宋体" w:hint="eastAsia"/>
      <w:b/>
      <w:color w:val="000000"/>
      <w:sz w:val="32"/>
      <w:szCs w:val="32"/>
      <w:u w:val="none"/>
    </w:rPr>
  </w:style>
  <w:style w:type="character" w:customStyle="1" w:styleId="font11">
    <w:name w:val="font11"/>
    <w:basedOn w:val="a7"/>
    <w:qFormat/>
    <w:rPr>
      <w:rFonts w:ascii="Times New Roman" w:hAnsi="Times New Roman" w:cs="Times New Roman" w:hint="default"/>
      <w:b/>
      <w:color w:val="000000"/>
      <w:sz w:val="32"/>
      <w:szCs w:val="32"/>
      <w:u w:val="none"/>
    </w:rPr>
  </w:style>
  <w:style w:type="character" w:customStyle="1" w:styleId="font71">
    <w:name w:val="font71"/>
    <w:basedOn w:val="a7"/>
    <w:qFormat/>
    <w:rPr>
      <w:rFonts w:ascii="Times New Roman" w:hAnsi="Times New Roman" w:cs="Times New Roman" w:hint="default"/>
      <w:b/>
      <w:color w:val="000000"/>
      <w:sz w:val="20"/>
      <w:szCs w:val="20"/>
      <w:u w:val="none"/>
    </w:rPr>
  </w:style>
  <w:style w:type="character" w:customStyle="1" w:styleId="font41">
    <w:name w:val="font41"/>
    <w:basedOn w:val="a7"/>
    <w:qFormat/>
    <w:rPr>
      <w:rFonts w:ascii="宋体" w:eastAsia="宋体" w:hAnsi="宋体" w:cs="宋体" w:hint="eastAsia"/>
      <w:b/>
      <w:color w:val="000000"/>
      <w:sz w:val="20"/>
      <w:szCs w:val="20"/>
      <w:u w:val="none"/>
    </w:rPr>
  </w:style>
  <w:style w:type="character" w:customStyle="1" w:styleId="font51">
    <w:name w:val="font51"/>
    <w:basedOn w:val="a7"/>
    <w:qFormat/>
    <w:rPr>
      <w:rFonts w:ascii="宋体" w:eastAsia="宋体" w:hAnsi="宋体" w:cs="宋体" w:hint="eastAsia"/>
      <w:color w:val="000000"/>
      <w:sz w:val="20"/>
      <w:szCs w:val="20"/>
      <w:u w:val="none"/>
    </w:rPr>
  </w:style>
  <w:style w:type="character" w:customStyle="1" w:styleId="font21">
    <w:name w:val="font21"/>
    <w:basedOn w:val="a7"/>
    <w:qFormat/>
    <w:rPr>
      <w:rFonts w:ascii="Times New Roman" w:hAnsi="Times New Roman" w:cs="Times New Roman" w:hint="default"/>
      <w:color w:val="000000"/>
      <w:sz w:val="20"/>
      <w:szCs w:val="20"/>
      <w:u w:val="none"/>
    </w:rPr>
  </w:style>
  <w:style w:type="character" w:customStyle="1" w:styleId="font81">
    <w:name w:val="font81"/>
    <w:basedOn w:val="a7"/>
    <w:qFormat/>
    <w:rPr>
      <w:rFonts w:ascii="宋体" w:eastAsia="宋体" w:hAnsi="宋体" w:cs="宋体" w:hint="eastAsia"/>
      <w:color w:val="FF0000"/>
      <w:sz w:val="20"/>
      <w:szCs w:val="20"/>
      <w:u w:val="none"/>
    </w:rPr>
  </w:style>
  <w:style w:type="character" w:customStyle="1" w:styleId="font31">
    <w:name w:val="font31"/>
    <w:basedOn w:val="a7"/>
    <w:qFormat/>
    <w:rPr>
      <w:rFonts w:ascii="Times New Roman" w:hAnsi="Times New Roman" w:cs="Times New Roman" w:hint="default"/>
      <w:color w:val="FF0000"/>
      <w:sz w:val="20"/>
      <w:szCs w:val="20"/>
      <w:u w:val="none"/>
    </w:rPr>
  </w:style>
  <w:style w:type="character" w:customStyle="1" w:styleId="font61">
    <w:name w:val="font61"/>
    <w:basedOn w:val="a7"/>
    <w:qFormat/>
    <w:rPr>
      <w:rFonts w:ascii="Times New Roman" w:hAnsi="Times New Roman" w:cs="Times New Roman" w:hint="default"/>
      <w:b/>
      <w:color w:val="000000"/>
      <w:sz w:val="20"/>
      <w:szCs w:val="20"/>
      <w:u w:val="none"/>
    </w:rPr>
  </w:style>
  <w:style w:type="character" w:customStyle="1" w:styleId="font01">
    <w:name w:val="font01"/>
    <w:basedOn w:val="a7"/>
    <w:qFormat/>
    <w:rPr>
      <w:rFonts w:ascii="宋体" w:eastAsia="宋体" w:hAnsi="宋体" w:cs="宋体" w:hint="eastAsia"/>
      <w:color w:val="000000"/>
      <w:sz w:val="22"/>
      <w:szCs w:val="22"/>
      <w:u w:val="none"/>
    </w:rPr>
  </w:style>
  <w:style w:type="paragraph" w:customStyle="1" w:styleId="ENFI">
    <w:name w:val="ENFI正文"/>
    <w:basedOn w:val="a6"/>
    <w:qFormat/>
    <w:pPr>
      <w:adjustRightInd w:val="0"/>
      <w:snapToGrid w:val="0"/>
      <w:spacing w:line="360" w:lineRule="auto"/>
      <w:ind w:firstLine="567"/>
    </w:pPr>
    <w:rPr>
      <w:rFonts w:ascii="仿宋_GB2312" w:eastAsia="仿宋_GB2312"/>
      <w:color w:val="000000"/>
      <w:kern w:val="0"/>
      <w:sz w:val="28"/>
      <w:szCs w:val="20"/>
      <w:lang w:val="zh-CN"/>
    </w:rPr>
  </w:style>
  <w:style w:type="paragraph" w:customStyle="1" w:styleId="p0">
    <w:name w:val="p0"/>
    <w:basedOn w:val="a6"/>
    <w:qFormat/>
    <w:pPr>
      <w:widowControl/>
    </w:pPr>
    <w:rPr>
      <w:rFonts w:ascii="Calibri" w:hAnsi="Calibri" w:cs="宋体"/>
      <w:kern w:val="0"/>
      <w:szCs w:val="21"/>
    </w:rPr>
  </w:style>
  <w:style w:type="paragraph" w:customStyle="1" w:styleId="-">
    <w:name w:val="编制-正文"/>
    <w:basedOn w:val="a6"/>
    <w:qFormat/>
    <w:pPr>
      <w:ind w:firstLineChars="200" w:firstLine="200"/>
    </w:pPr>
    <w:rPr>
      <w:rFonts w:cs="宋体"/>
      <w:szCs w:val="21"/>
    </w:rPr>
  </w:style>
  <w:style w:type="paragraph" w:customStyle="1" w:styleId="-1">
    <w:name w:val="编制-1."/>
    <w:basedOn w:val="2"/>
    <w:next w:val="-"/>
    <w:qFormat/>
    <w:pPr>
      <w:spacing w:beforeLines="50" w:before="50" w:afterLines="50" w:after="50" w:line="240" w:lineRule="auto"/>
    </w:pPr>
    <w:rPr>
      <w:rFonts w:ascii="Times New Roman" w:hAnsi="Times New Roman" w:cstheme="majorBidi"/>
      <w:b w:val="0"/>
      <w:bCs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kern w:val="2"/>
      <w:sz w:val="21"/>
      <w:szCs w:val="24"/>
    </w:rPr>
  </w:style>
  <w:style w:type="paragraph" w:styleId="1">
    <w:name w:val="heading 1"/>
    <w:basedOn w:val="a6"/>
    <w:next w:val="a6"/>
    <w:link w:val="1Char"/>
    <w:qFormat/>
    <w:pPr>
      <w:keepNext/>
      <w:keepLines/>
      <w:spacing w:before="340" w:after="330" w:line="578" w:lineRule="auto"/>
      <w:outlineLvl w:val="0"/>
    </w:pPr>
    <w:rPr>
      <w:b/>
      <w:bCs/>
      <w:kern w:val="44"/>
      <w:sz w:val="44"/>
      <w:szCs w:val="44"/>
    </w:rPr>
  </w:style>
  <w:style w:type="paragraph" w:styleId="2">
    <w:name w:val="heading 2"/>
    <w:basedOn w:val="a6"/>
    <w:next w:val="a6"/>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Char"/>
    <w:qFormat/>
    <w:pPr>
      <w:keepNext/>
      <w:keepLines/>
      <w:spacing w:before="260" w:after="260" w:line="416" w:lineRule="auto"/>
      <w:outlineLvl w:val="2"/>
    </w:pPr>
    <w:rPr>
      <w:b/>
      <w:bCs/>
      <w:sz w:val="32"/>
      <w:szCs w:val="32"/>
    </w:rPr>
  </w:style>
  <w:style w:type="paragraph" w:styleId="4">
    <w:name w:val="heading 4"/>
    <w:basedOn w:val="a6"/>
    <w:next w:val="a6"/>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Char"/>
    <w:qFormat/>
    <w:pPr>
      <w:keepNext/>
      <w:keepLines/>
      <w:spacing w:before="280" w:after="290" w:line="376" w:lineRule="auto"/>
      <w:outlineLvl w:val="4"/>
    </w:pPr>
    <w:rPr>
      <w:b/>
      <w:bCs/>
      <w:sz w:val="28"/>
      <w:szCs w:val="28"/>
    </w:rPr>
  </w:style>
  <w:style w:type="paragraph" w:styleId="6">
    <w:name w:val="heading 6"/>
    <w:basedOn w:val="a6"/>
    <w:next w:val="a6"/>
    <w:link w:val="6Char"/>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Char"/>
    <w:qFormat/>
    <w:pPr>
      <w:keepNext/>
      <w:keepLines/>
      <w:spacing w:before="240" w:after="64" w:line="320" w:lineRule="auto"/>
      <w:outlineLvl w:val="6"/>
    </w:pPr>
    <w:rPr>
      <w:b/>
      <w:bCs/>
      <w:sz w:val="24"/>
    </w:rPr>
  </w:style>
  <w:style w:type="paragraph" w:styleId="8">
    <w:name w:val="heading 8"/>
    <w:basedOn w:val="a6"/>
    <w:next w:val="a6"/>
    <w:link w:val="8Char"/>
    <w:qFormat/>
    <w:pPr>
      <w:keepNext/>
      <w:keepLines/>
      <w:spacing w:before="240" w:after="64" w:line="320" w:lineRule="auto"/>
      <w:outlineLvl w:val="7"/>
    </w:pPr>
    <w:rPr>
      <w:rFonts w:ascii="Arial" w:eastAsia="黑体" w:hAnsi="Arial"/>
      <w:sz w:val="24"/>
    </w:rPr>
  </w:style>
  <w:style w:type="paragraph" w:styleId="9">
    <w:name w:val="heading 9"/>
    <w:basedOn w:val="a6"/>
    <w:next w:val="a6"/>
    <w:link w:val="9Char"/>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Char"/>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0">
    <w:name w:val="List 3"/>
    <w:basedOn w:val="a6"/>
    <w:qFormat/>
    <w:pPr>
      <w:ind w:leftChars="400" w:left="100" w:hangingChars="200" w:hanging="200"/>
    </w:pPr>
  </w:style>
  <w:style w:type="paragraph" w:styleId="70">
    <w:name w:val="toc 7"/>
    <w:basedOn w:val="a6"/>
    <w:next w:val="a6"/>
    <w:qFormat/>
    <w:pPr>
      <w:ind w:leftChars="1200" w:left="2520"/>
    </w:pPr>
  </w:style>
  <w:style w:type="paragraph" w:styleId="20">
    <w:name w:val="List Number 2"/>
    <w:basedOn w:val="a6"/>
    <w:qFormat/>
    <w:pPr>
      <w:tabs>
        <w:tab w:val="left" w:pos="675"/>
        <w:tab w:val="left" w:pos="780"/>
      </w:tabs>
      <w:ind w:left="675" w:hanging="360"/>
    </w:pPr>
  </w:style>
  <w:style w:type="paragraph" w:styleId="ab">
    <w:name w:val="table of authorities"/>
    <w:basedOn w:val="a6"/>
    <w:next w:val="a6"/>
    <w:qFormat/>
    <w:pPr>
      <w:ind w:leftChars="200" w:left="420"/>
    </w:pPr>
  </w:style>
  <w:style w:type="paragraph" w:styleId="ac">
    <w:name w:val="Note Heading"/>
    <w:basedOn w:val="a6"/>
    <w:next w:val="a6"/>
    <w:link w:val="Char0"/>
    <w:qFormat/>
    <w:pPr>
      <w:jc w:val="center"/>
    </w:pPr>
  </w:style>
  <w:style w:type="paragraph" w:styleId="40">
    <w:name w:val="List Bullet 4"/>
    <w:basedOn w:val="a6"/>
    <w:qFormat/>
    <w:pPr>
      <w:tabs>
        <w:tab w:val="left" w:pos="750"/>
        <w:tab w:val="left" w:pos="1620"/>
      </w:tabs>
      <w:ind w:left="750" w:hanging="750"/>
    </w:pPr>
  </w:style>
  <w:style w:type="paragraph" w:styleId="80">
    <w:name w:val="index 8"/>
    <w:basedOn w:val="a6"/>
    <w:next w:val="a6"/>
    <w:qFormat/>
    <w:pPr>
      <w:ind w:leftChars="1400" w:left="1400"/>
    </w:pPr>
  </w:style>
  <w:style w:type="paragraph" w:styleId="ad">
    <w:name w:val="E-mail Signature"/>
    <w:basedOn w:val="a6"/>
    <w:link w:val="Char1"/>
    <w:qFormat/>
  </w:style>
  <w:style w:type="paragraph" w:styleId="ae">
    <w:name w:val="List Number"/>
    <w:basedOn w:val="a6"/>
    <w:qFormat/>
    <w:pPr>
      <w:tabs>
        <w:tab w:val="left" w:pos="360"/>
        <w:tab w:val="left" w:pos="720"/>
      </w:tabs>
      <w:ind w:left="720" w:hanging="720"/>
    </w:pPr>
  </w:style>
  <w:style w:type="paragraph" w:styleId="af">
    <w:name w:val="Normal Indent"/>
    <w:basedOn w:val="a6"/>
    <w:unhideWhenUsed/>
    <w:qFormat/>
    <w:pPr>
      <w:ind w:firstLineChars="200" w:firstLine="420"/>
    </w:pPr>
  </w:style>
  <w:style w:type="paragraph" w:styleId="af0">
    <w:name w:val="caption"/>
    <w:basedOn w:val="a6"/>
    <w:next w:val="a6"/>
    <w:qFormat/>
    <w:pPr>
      <w:jc w:val="center"/>
    </w:pPr>
    <w:rPr>
      <w:rFonts w:ascii="Arial" w:eastAsia="黑体" w:hAnsi="Arial" w:cs="Arial"/>
      <w:sz w:val="24"/>
      <w:szCs w:val="20"/>
    </w:rPr>
  </w:style>
  <w:style w:type="paragraph" w:styleId="50">
    <w:name w:val="index 5"/>
    <w:basedOn w:val="a6"/>
    <w:next w:val="a6"/>
    <w:qFormat/>
    <w:pPr>
      <w:ind w:leftChars="800" w:left="800"/>
    </w:pPr>
  </w:style>
  <w:style w:type="paragraph" w:styleId="af1">
    <w:name w:val="List Bullet"/>
    <w:basedOn w:val="a6"/>
    <w:qFormat/>
    <w:pPr>
      <w:tabs>
        <w:tab w:val="left" w:pos="360"/>
        <w:tab w:val="left" w:pos="720"/>
      </w:tabs>
      <w:ind w:left="720" w:hanging="720"/>
    </w:pPr>
  </w:style>
  <w:style w:type="paragraph" w:styleId="af2">
    <w:name w:val="envelope address"/>
    <w:basedOn w:val="a6"/>
    <w:qFormat/>
    <w:pPr>
      <w:snapToGrid w:val="0"/>
      <w:ind w:leftChars="1400" w:left="100"/>
    </w:pPr>
    <w:rPr>
      <w:rFonts w:ascii="Arial" w:hAnsi="Arial" w:cs="Arial"/>
      <w:sz w:val="24"/>
    </w:rPr>
  </w:style>
  <w:style w:type="paragraph" w:styleId="af3">
    <w:name w:val="Document Map"/>
    <w:basedOn w:val="a6"/>
    <w:link w:val="Char2"/>
    <w:qFormat/>
    <w:pPr>
      <w:shd w:val="clear" w:color="auto" w:fill="000080"/>
    </w:pPr>
  </w:style>
  <w:style w:type="paragraph" w:styleId="af4">
    <w:name w:val="toa heading"/>
    <w:basedOn w:val="a6"/>
    <w:next w:val="a6"/>
    <w:qFormat/>
    <w:pPr>
      <w:spacing w:before="120"/>
    </w:pPr>
    <w:rPr>
      <w:rFonts w:ascii="Arial" w:hAnsi="Arial" w:cs="Arial"/>
      <w:sz w:val="24"/>
    </w:rPr>
  </w:style>
  <w:style w:type="paragraph" w:styleId="af5">
    <w:name w:val="annotation text"/>
    <w:basedOn w:val="a6"/>
    <w:link w:val="Char3"/>
    <w:unhideWhenUsed/>
    <w:qFormat/>
    <w:pPr>
      <w:jc w:val="left"/>
    </w:pPr>
    <w:rPr>
      <w:szCs w:val="21"/>
    </w:rPr>
  </w:style>
  <w:style w:type="paragraph" w:styleId="60">
    <w:name w:val="index 6"/>
    <w:basedOn w:val="a6"/>
    <w:next w:val="a6"/>
    <w:qFormat/>
    <w:pPr>
      <w:ind w:leftChars="1000" w:left="1000"/>
    </w:pPr>
  </w:style>
  <w:style w:type="paragraph" w:styleId="af6">
    <w:name w:val="Salutation"/>
    <w:basedOn w:val="a6"/>
    <w:next w:val="a6"/>
    <w:link w:val="Char4"/>
    <w:qFormat/>
  </w:style>
  <w:style w:type="paragraph" w:styleId="31">
    <w:name w:val="Body Text 3"/>
    <w:basedOn w:val="a6"/>
    <w:link w:val="3Char0"/>
    <w:qFormat/>
    <w:pPr>
      <w:spacing w:after="120"/>
    </w:pPr>
    <w:rPr>
      <w:sz w:val="16"/>
      <w:szCs w:val="16"/>
    </w:rPr>
  </w:style>
  <w:style w:type="paragraph" w:styleId="af7">
    <w:name w:val="Closing"/>
    <w:basedOn w:val="a6"/>
    <w:link w:val="Char5"/>
    <w:qFormat/>
    <w:pPr>
      <w:ind w:leftChars="2100" w:left="100"/>
    </w:pPr>
  </w:style>
  <w:style w:type="paragraph" w:styleId="32">
    <w:name w:val="List Bullet 3"/>
    <w:basedOn w:val="a6"/>
    <w:qFormat/>
    <w:pPr>
      <w:tabs>
        <w:tab w:val="left" w:pos="480"/>
        <w:tab w:val="left" w:pos="1200"/>
      </w:tabs>
      <w:ind w:left="480" w:hanging="480"/>
    </w:pPr>
  </w:style>
  <w:style w:type="paragraph" w:styleId="af8">
    <w:name w:val="Body Text"/>
    <w:basedOn w:val="a6"/>
    <w:link w:val="Char6"/>
    <w:qFormat/>
    <w:pPr>
      <w:spacing w:after="120"/>
    </w:pPr>
  </w:style>
  <w:style w:type="paragraph" w:styleId="af9">
    <w:name w:val="Body Text Indent"/>
    <w:basedOn w:val="a6"/>
    <w:link w:val="Char7"/>
    <w:qFormat/>
    <w:pPr>
      <w:spacing w:after="120"/>
      <w:ind w:leftChars="200" w:left="420"/>
    </w:pPr>
  </w:style>
  <w:style w:type="paragraph" w:styleId="33">
    <w:name w:val="List Number 3"/>
    <w:basedOn w:val="a6"/>
    <w:qFormat/>
    <w:pPr>
      <w:tabs>
        <w:tab w:val="left" w:pos="360"/>
        <w:tab w:val="left" w:pos="1200"/>
      </w:tabs>
      <w:ind w:left="360" w:hanging="360"/>
    </w:pPr>
  </w:style>
  <w:style w:type="paragraph" w:styleId="21">
    <w:name w:val="List 2"/>
    <w:basedOn w:val="a6"/>
    <w:qFormat/>
    <w:pPr>
      <w:ind w:leftChars="200" w:left="100" w:hangingChars="200" w:hanging="200"/>
      <w:contextualSpacing/>
    </w:pPr>
  </w:style>
  <w:style w:type="paragraph" w:styleId="afa">
    <w:name w:val="List Continue"/>
    <w:basedOn w:val="a6"/>
    <w:qFormat/>
    <w:pPr>
      <w:spacing w:after="120"/>
      <w:ind w:leftChars="200" w:left="420"/>
    </w:pPr>
  </w:style>
  <w:style w:type="paragraph" w:styleId="afb">
    <w:name w:val="Block Text"/>
    <w:basedOn w:val="a6"/>
    <w:qFormat/>
    <w:pPr>
      <w:spacing w:after="120"/>
      <w:ind w:leftChars="700" w:left="1440" w:rightChars="700" w:right="1440"/>
    </w:pPr>
  </w:style>
  <w:style w:type="paragraph" w:styleId="22">
    <w:name w:val="List Bullet 2"/>
    <w:basedOn w:val="a6"/>
    <w:qFormat/>
    <w:pPr>
      <w:tabs>
        <w:tab w:val="left" w:pos="720"/>
        <w:tab w:val="left" w:pos="780"/>
      </w:tabs>
      <w:ind w:left="720" w:hanging="360"/>
    </w:pPr>
  </w:style>
  <w:style w:type="paragraph" w:styleId="HTML">
    <w:name w:val="HTML Address"/>
    <w:basedOn w:val="a6"/>
    <w:link w:val="HTMLChar"/>
    <w:qFormat/>
    <w:rPr>
      <w:i/>
      <w:iCs/>
    </w:rPr>
  </w:style>
  <w:style w:type="paragraph" w:styleId="41">
    <w:name w:val="index 4"/>
    <w:basedOn w:val="a6"/>
    <w:next w:val="a6"/>
    <w:qFormat/>
    <w:pPr>
      <w:ind w:leftChars="600" w:left="600"/>
    </w:pPr>
  </w:style>
  <w:style w:type="paragraph" w:styleId="51">
    <w:name w:val="toc 5"/>
    <w:basedOn w:val="a6"/>
    <w:next w:val="a6"/>
    <w:qFormat/>
    <w:pPr>
      <w:ind w:leftChars="800" w:left="1680"/>
    </w:pPr>
  </w:style>
  <w:style w:type="paragraph" w:styleId="34">
    <w:name w:val="toc 3"/>
    <w:basedOn w:val="a6"/>
    <w:next w:val="a6"/>
    <w:qFormat/>
    <w:pPr>
      <w:tabs>
        <w:tab w:val="right" w:leader="dot" w:pos="8296"/>
      </w:tabs>
      <w:spacing w:line="312" w:lineRule="auto"/>
      <w:ind w:leftChars="400" w:left="400"/>
    </w:pPr>
    <w:rPr>
      <w:sz w:val="24"/>
    </w:rPr>
  </w:style>
  <w:style w:type="paragraph" w:styleId="afc">
    <w:name w:val="Plain Text"/>
    <w:basedOn w:val="a6"/>
    <w:link w:val="Char8"/>
    <w:qFormat/>
    <w:rPr>
      <w:rFonts w:ascii="宋体" w:hAnsi="Courier New" w:cs="Courier New"/>
      <w:szCs w:val="21"/>
    </w:rPr>
  </w:style>
  <w:style w:type="paragraph" w:styleId="52">
    <w:name w:val="List Bullet 5"/>
    <w:basedOn w:val="a6"/>
    <w:qFormat/>
    <w:pPr>
      <w:tabs>
        <w:tab w:val="left" w:pos="840"/>
        <w:tab w:val="left" w:pos="2040"/>
      </w:tabs>
      <w:ind w:left="840" w:hanging="420"/>
    </w:pPr>
  </w:style>
  <w:style w:type="paragraph" w:styleId="42">
    <w:name w:val="List Number 4"/>
    <w:basedOn w:val="a6"/>
    <w:qFormat/>
    <w:pPr>
      <w:tabs>
        <w:tab w:val="left" w:pos="960"/>
        <w:tab w:val="left" w:pos="1620"/>
      </w:tabs>
      <w:ind w:left="960" w:hanging="720"/>
    </w:pPr>
  </w:style>
  <w:style w:type="paragraph" w:styleId="81">
    <w:name w:val="toc 8"/>
    <w:basedOn w:val="a6"/>
    <w:next w:val="a6"/>
    <w:qFormat/>
    <w:pPr>
      <w:ind w:leftChars="1400" w:left="2940"/>
    </w:pPr>
  </w:style>
  <w:style w:type="paragraph" w:styleId="35">
    <w:name w:val="index 3"/>
    <w:basedOn w:val="a6"/>
    <w:next w:val="a6"/>
    <w:qFormat/>
    <w:pPr>
      <w:ind w:leftChars="400" w:left="400"/>
    </w:pPr>
  </w:style>
  <w:style w:type="paragraph" w:styleId="afd">
    <w:name w:val="Date"/>
    <w:basedOn w:val="a6"/>
    <w:next w:val="a6"/>
    <w:link w:val="Char9"/>
    <w:qFormat/>
    <w:pPr>
      <w:ind w:leftChars="2500" w:left="100"/>
    </w:pPr>
  </w:style>
  <w:style w:type="paragraph" w:styleId="23">
    <w:name w:val="Body Text Indent 2"/>
    <w:basedOn w:val="a6"/>
    <w:link w:val="2Char0"/>
    <w:qFormat/>
    <w:pPr>
      <w:spacing w:after="120" w:line="480" w:lineRule="auto"/>
      <w:ind w:leftChars="200" w:left="420"/>
    </w:pPr>
  </w:style>
  <w:style w:type="paragraph" w:styleId="afe">
    <w:name w:val="endnote text"/>
    <w:basedOn w:val="a6"/>
    <w:link w:val="Chara"/>
    <w:qFormat/>
    <w:pPr>
      <w:snapToGrid w:val="0"/>
      <w:jc w:val="left"/>
    </w:pPr>
  </w:style>
  <w:style w:type="paragraph" w:styleId="53">
    <w:name w:val="List Continue 5"/>
    <w:basedOn w:val="a6"/>
    <w:qFormat/>
    <w:pPr>
      <w:spacing w:after="120"/>
      <w:ind w:leftChars="1000" w:left="2100"/>
    </w:pPr>
  </w:style>
  <w:style w:type="paragraph" w:styleId="aff">
    <w:name w:val="Balloon Text"/>
    <w:basedOn w:val="a6"/>
    <w:link w:val="Charb"/>
    <w:qFormat/>
    <w:rPr>
      <w:sz w:val="18"/>
      <w:szCs w:val="18"/>
    </w:rPr>
  </w:style>
  <w:style w:type="paragraph" w:styleId="aff0">
    <w:name w:val="footer"/>
    <w:basedOn w:val="a6"/>
    <w:link w:val="Charc"/>
    <w:uiPriority w:val="99"/>
    <w:qFormat/>
    <w:pPr>
      <w:tabs>
        <w:tab w:val="center" w:pos="4153"/>
        <w:tab w:val="right" w:pos="8306"/>
      </w:tabs>
      <w:snapToGrid w:val="0"/>
      <w:jc w:val="left"/>
    </w:pPr>
    <w:rPr>
      <w:sz w:val="18"/>
    </w:rPr>
  </w:style>
  <w:style w:type="paragraph" w:styleId="aff1">
    <w:name w:val="envelope return"/>
    <w:basedOn w:val="a6"/>
    <w:qFormat/>
    <w:pPr>
      <w:snapToGrid w:val="0"/>
    </w:pPr>
    <w:rPr>
      <w:rFonts w:ascii="Arial" w:hAnsi="Arial" w:cs="Arial"/>
    </w:rPr>
  </w:style>
  <w:style w:type="paragraph" w:styleId="aff2">
    <w:name w:val="header"/>
    <w:basedOn w:val="a6"/>
    <w:link w:val="Char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3">
    <w:name w:val="Signature"/>
    <w:basedOn w:val="a6"/>
    <w:link w:val="Chare"/>
    <w:qFormat/>
    <w:pPr>
      <w:ind w:leftChars="2100" w:left="100"/>
    </w:pPr>
  </w:style>
  <w:style w:type="paragraph" w:styleId="10">
    <w:name w:val="toc 1"/>
    <w:basedOn w:val="a6"/>
    <w:next w:val="a6"/>
    <w:qFormat/>
    <w:pPr>
      <w:tabs>
        <w:tab w:val="right" w:leader="dot" w:pos="8296"/>
      </w:tabs>
      <w:spacing w:line="312" w:lineRule="auto"/>
    </w:pPr>
    <w:rPr>
      <w:sz w:val="24"/>
    </w:rPr>
  </w:style>
  <w:style w:type="paragraph" w:styleId="43">
    <w:name w:val="List Continue 4"/>
    <w:basedOn w:val="a6"/>
    <w:qFormat/>
    <w:pPr>
      <w:spacing w:after="120"/>
      <w:ind w:leftChars="800" w:left="1680"/>
    </w:pPr>
  </w:style>
  <w:style w:type="paragraph" w:styleId="44">
    <w:name w:val="toc 4"/>
    <w:basedOn w:val="a6"/>
    <w:next w:val="a6"/>
    <w:qFormat/>
    <w:pPr>
      <w:ind w:leftChars="600" w:left="1260"/>
    </w:pPr>
  </w:style>
  <w:style w:type="paragraph" w:styleId="aff4">
    <w:name w:val="index heading"/>
    <w:basedOn w:val="a6"/>
    <w:next w:val="11"/>
    <w:qFormat/>
    <w:rPr>
      <w:rFonts w:ascii="Arial" w:hAnsi="Arial" w:cs="Arial"/>
      <w:b/>
      <w:bCs/>
    </w:rPr>
  </w:style>
  <w:style w:type="paragraph" w:styleId="11">
    <w:name w:val="index 1"/>
    <w:basedOn w:val="a6"/>
    <w:next w:val="a6"/>
    <w:qFormat/>
  </w:style>
  <w:style w:type="paragraph" w:styleId="aff5">
    <w:name w:val="Subtitle"/>
    <w:basedOn w:val="a6"/>
    <w:link w:val="Charf"/>
    <w:qFormat/>
    <w:pPr>
      <w:spacing w:before="240" w:after="60" w:line="312" w:lineRule="auto"/>
      <w:jc w:val="center"/>
      <w:outlineLvl w:val="1"/>
    </w:pPr>
    <w:rPr>
      <w:rFonts w:ascii="Arial" w:hAnsi="Arial" w:cs="Arial"/>
      <w:b/>
      <w:bCs/>
      <w:kern w:val="28"/>
      <w:sz w:val="32"/>
      <w:szCs w:val="32"/>
    </w:rPr>
  </w:style>
  <w:style w:type="paragraph" w:styleId="54">
    <w:name w:val="List Number 5"/>
    <w:basedOn w:val="a6"/>
    <w:qFormat/>
    <w:pPr>
      <w:tabs>
        <w:tab w:val="left" w:pos="2040"/>
      </w:tabs>
    </w:pPr>
  </w:style>
  <w:style w:type="paragraph" w:styleId="aff6">
    <w:name w:val="List"/>
    <w:basedOn w:val="a6"/>
    <w:qFormat/>
    <w:pPr>
      <w:ind w:left="200" w:hangingChars="200" w:hanging="200"/>
    </w:pPr>
  </w:style>
  <w:style w:type="paragraph" w:styleId="aff7">
    <w:name w:val="footnote text"/>
    <w:basedOn w:val="a6"/>
    <w:link w:val="Charf0"/>
    <w:qFormat/>
    <w:pPr>
      <w:snapToGrid w:val="0"/>
      <w:jc w:val="left"/>
    </w:pPr>
    <w:rPr>
      <w:sz w:val="18"/>
      <w:szCs w:val="18"/>
    </w:rPr>
  </w:style>
  <w:style w:type="paragraph" w:styleId="61">
    <w:name w:val="toc 6"/>
    <w:basedOn w:val="a6"/>
    <w:next w:val="a6"/>
    <w:qFormat/>
    <w:pPr>
      <w:ind w:leftChars="1000" w:left="2100"/>
    </w:pPr>
  </w:style>
  <w:style w:type="paragraph" w:styleId="55">
    <w:name w:val="List 5"/>
    <w:basedOn w:val="a6"/>
    <w:qFormat/>
    <w:pPr>
      <w:ind w:leftChars="800" w:left="100" w:hangingChars="200" w:hanging="200"/>
    </w:pPr>
  </w:style>
  <w:style w:type="paragraph" w:styleId="36">
    <w:name w:val="Body Text Indent 3"/>
    <w:basedOn w:val="a6"/>
    <w:link w:val="3Char1"/>
    <w:qFormat/>
    <w:pPr>
      <w:spacing w:after="120"/>
      <w:ind w:leftChars="200" w:left="420"/>
    </w:pPr>
    <w:rPr>
      <w:sz w:val="16"/>
      <w:szCs w:val="16"/>
    </w:rPr>
  </w:style>
  <w:style w:type="paragraph" w:styleId="71">
    <w:name w:val="index 7"/>
    <w:basedOn w:val="a6"/>
    <w:next w:val="a6"/>
    <w:qFormat/>
    <w:pPr>
      <w:ind w:leftChars="1200" w:left="1200"/>
    </w:pPr>
  </w:style>
  <w:style w:type="paragraph" w:styleId="90">
    <w:name w:val="index 9"/>
    <w:basedOn w:val="a6"/>
    <w:next w:val="a6"/>
    <w:qFormat/>
    <w:pPr>
      <w:ind w:leftChars="1600" w:left="1600"/>
    </w:pPr>
  </w:style>
  <w:style w:type="paragraph" w:styleId="aff8">
    <w:name w:val="table of figures"/>
    <w:basedOn w:val="a6"/>
    <w:next w:val="a6"/>
    <w:qFormat/>
    <w:pPr>
      <w:ind w:leftChars="200" w:left="200" w:hangingChars="200" w:hanging="200"/>
    </w:pPr>
  </w:style>
  <w:style w:type="paragraph" w:styleId="24">
    <w:name w:val="toc 2"/>
    <w:basedOn w:val="a6"/>
    <w:next w:val="a6"/>
    <w:qFormat/>
    <w:pPr>
      <w:tabs>
        <w:tab w:val="right" w:leader="dot" w:pos="8296"/>
      </w:tabs>
      <w:spacing w:line="312" w:lineRule="auto"/>
      <w:ind w:leftChars="200" w:left="420"/>
    </w:pPr>
    <w:rPr>
      <w:sz w:val="24"/>
    </w:rPr>
  </w:style>
  <w:style w:type="paragraph" w:styleId="91">
    <w:name w:val="toc 9"/>
    <w:basedOn w:val="a6"/>
    <w:next w:val="a6"/>
    <w:qFormat/>
    <w:pPr>
      <w:ind w:leftChars="1600" w:left="3360"/>
    </w:pPr>
  </w:style>
  <w:style w:type="paragraph" w:styleId="25">
    <w:name w:val="Body Text 2"/>
    <w:basedOn w:val="a6"/>
    <w:link w:val="2Char1"/>
    <w:qFormat/>
    <w:pPr>
      <w:spacing w:after="120" w:line="480" w:lineRule="auto"/>
    </w:pPr>
  </w:style>
  <w:style w:type="paragraph" w:styleId="45">
    <w:name w:val="List 4"/>
    <w:basedOn w:val="a6"/>
    <w:qFormat/>
    <w:pPr>
      <w:ind w:leftChars="600" w:left="100" w:hangingChars="200" w:hanging="200"/>
    </w:pPr>
  </w:style>
  <w:style w:type="paragraph" w:styleId="26">
    <w:name w:val="List Continue 2"/>
    <w:basedOn w:val="a6"/>
    <w:qFormat/>
    <w:pPr>
      <w:spacing w:after="120"/>
      <w:ind w:leftChars="400" w:left="840"/>
    </w:pPr>
  </w:style>
  <w:style w:type="paragraph" w:styleId="aff9">
    <w:name w:val="Message Header"/>
    <w:basedOn w:val="a6"/>
    <w:link w:val="Charf1"/>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0">
    <w:name w:val="HTML Preformatted"/>
    <w:basedOn w:val="a6"/>
    <w:link w:val="HTMLChar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a">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37">
    <w:name w:val="List Continue 3"/>
    <w:basedOn w:val="a6"/>
    <w:qFormat/>
    <w:pPr>
      <w:spacing w:after="120"/>
      <w:ind w:leftChars="600" w:left="1260"/>
    </w:pPr>
  </w:style>
  <w:style w:type="paragraph" w:styleId="27">
    <w:name w:val="index 2"/>
    <w:basedOn w:val="a6"/>
    <w:next w:val="a6"/>
    <w:qFormat/>
    <w:pPr>
      <w:ind w:leftChars="200" w:left="200"/>
    </w:pPr>
  </w:style>
  <w:style w:type="paragraph" w:styleId="affb">
    <w:name w:val="Title"/>
    <w:basedOn w:val="a6"/>
    <w:link w:val="Charf2"/>
    <w:qFormat/>
    <w:pPr>
      <w:spacing w:before="240" w:after="60"/>
      <w:jc w:val="center"/>
      <w:outlineLvl w:val="0"/>
    </w:pPr>
    <w:rPr>
      <w:rFonts w:ascii="Arial" w:hAnsi="Arial" w:cs="Arial"/>
      <w:b/>
      <w:bCs/>
      <w:sz w:val="32"/>
      <w:szCs w:val="32"/>
    </w:rPr>
  </w:style>
  <w:style w:type="paragraph" w:styleId="affc">
    <w:name w:val="annotation subject"/>
    <w:basedOn w:val="af5"/>
    <w:next w:val="af5"/>
    <w:link w:val="Charf3"/>
    <w:qFormat/>
    <w:rPr>
      <w:b/>
      <w:bCs/>
      <w:szCs w:val="24"/>
    </w:rPr>
  </w:style>
  <w:style w:type="paragraph" w:styleId="affd">
    <w:name w:val="Body Text First Indent"/>
    <w:basedOn w:val="af8"/>
    <w:link w:val="Charf4"/>
    <w:qFormat/>
    <w:pPr>
      <w:ind w:firstLineChars="100" w:firstLine="420"/>
    </w:pPr>
  </w:style>
  <w:style w:type="paragraph" w:styleId="28">
    <w:name w:val="Body Text First Indent 2"/>
    <w:basedOn w:val="af9"/>
    <w:link w:val="2Char2"/>
    <w:qFormat/>
    <w:pPr>
      <w:ind w:firstLineChars="200" w:firstLine="420"/>
    </w:pPr>
  </w:style>
  <w:style w:type="table" w:styleId="affe">
    <w:name w:val="Table Grid"/>
    <w:basedOn w:val="a8"/>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Strong"/>
    <w:basedOn w:val="a7"/>
    <w:uiPriority w:val="22"/>
    <w:qFormat/>
    <w:rPr>
      <w:b/>
      <w:bCs/>
    </w:rPr>
  </w:style>
  <w:style w:type="character" w:styleId="afff0">
    <w:name w:val="endnote reference"/>
    <w:qFormat/>
    <w:rPr>
      <w:vertAlign w:val="superscript"/>
    </w:rPr>
  </w:style>
  <w:style w:type="character" w:styleId="afff1">
    <w:name w:val="page number"/>
    <w:basedOn w:val="a7"/>
    <w:unhideWhenUsed/>
    <w:qFormat/>
    <w:rPr>
      <w:rFonts w:ascii="Times New Roman" w:eastAsia="宋体" w:hAnsi="Times New Roman"/>
      <w:sz w:val="18"/>
    </w:rPr>
  </w:style>
  <w:style w:type="character" w:styleId="afff2">
    <w:name w:val="FollowedHyperlink"/>
    <w:basedOn w:val="a7"/>
    <w:uiPriority w:val="99"/>
    <w:qFormat/>
    <w:rPr>
      <w:color w:val="800080" w:themeColor="followedHyperlink"/>
      <w:u w:val="single"/>
    </w:rPr>
  </w:style>
  <w:style w:type="character" w:styleId="afff3">
    <w:name w:val="Emphasis"/>
    <w:uiPriority w:val="20"/>
    <w:qFormat/>
    <w:rPr>
      <w:i/>
      <w:iCs/>
    </w:rPr>
  </w:style>
  <w:style w:type="character" w:styleId="afff4">
    <w:name w:val="line number"/>
    <w:basedOn w:val="a7"/>
    <w:qFormat/>
  </w:style>
  <w:style w:type="character" w:styleId="HTML1">
    <w:name w:val="HTML Definition"/>
    <w:qFormat/>
    <w:rPr>
      <w:i/>
      <w:iCs/>
    </w:rPr>
  </w:style>
  <w:style w:type="character" w:styleId="HTML2">
    <w:name w:val="HTML Typewriter"/>
    <w:qFormat/>
    <w:rPr>
      <w:rFonts w:ascii="Courier New" w:hAnsi="Courier New" w:cs="Courier New"/>
      <w:sz w:val="20"/>
      <w:szCs w:val="20"/>
    </w:rPr>
  </w:style>
  <w:style w:type="character" w:styleId="HTML3">
    <w:name w:val="HTML Acronym"/>
    <w:basedOn w:val="a7"/>
    <w:qFormat/>
  </w:style>
  <w:style w:type="character" w:styleId="HTML4">
    <w:name w:val="HTML Variable"/>
    <w:qFormat/>
    <w:rPr>
      <w:i/>
      <w:iCs/>
    </w:rPr>
  </w:style>
  <w:style w:type="character" w:styleId="afff5">
    <w:name w:val="Hyperlink"/>
    <w:basedOn w:val="a7"/>
    <w:uiPriority w:val="99"/>
    <w:qFormat/>
    <w:rPr>
      <w:color w:val="0000FF"/>
      <w:u w:val="single"/>
    </w:rPr>
  </w:style>
  <w:style w:type="character" w:styleId="HTML5">
    <w:name w:val="HTML Code"/>
    <w:qFormat/>
    <w:rPr>
      <w:rFonts w:ascii="Courier New" w:hAnsi="Courier New" w:cs="Courier New"/>
      <w:sz w:val="20"/>
      <w:szCs w:val="20"/>
    </w:rPr>
  </w:style>
  <w:style w:type="character" w:styleId="afff6">
    <w:name w:val="annotation reference"/>
    <w:basedOn w:val="a7"/>
    <w:qFormat/>
    <w:rPr>
      <w:sz w:val="21"/>
      <w:szCs w:val="21"/>
    </w:rPr>
  </w:style>
  <w:style w:type="character" w:styleId="HTML6">
    <w:name w:val="HTML Cite"/>
    <w:qFormat/>
    <w:rPr>
      <w:i/>
      <w:iCs/>
    </w:rPr>
  </w:style>
  <w:style w:type="character" w:styleId="afff7">
    <w:name w:val="footnote reference"/>
    <w:qFormat/>
    <w:rPr>
      <w:vertAlign w:val="superscript"/>
    </w:rPr>
  </w:style>
  <w:style w:type="character" w:styleId="HTML7">
    <w:name w:val="HTML Keyboard"/>
    <w:qFormat/>
    <w:rPr>
      <w:rFonts w:ascii="Courier New" w:hAnsi="Courier New" w:cs="Courier New"/>
      <w:sz w:val="20"/>
      <w:szCs w:val="20"/>
    </w:rPr>
  </w:style>
  <w:style w:type="character" w:styleId="HTML8">
    <w:name w:val="HTML Sample"/>
    <w:qFormat/>
    <w:rPr>
      <w:rFonts w:ascii="Courier New" w:hAnsi="Courier New" w:cs="Courier New"/>
    </w:rPr>
  </w:style>
  <w:style w:type="character" w:customStyle="1" w:styleId="1Char">
    <w:name w:val="标题 1 Char"/>
    <w:basedOn w:val="a7"/>
    <w:link w:val="1"/>
    <w:qFormat/>
    <w:rPr>
      <w:b/>
      <w:bCs/>
      <w:kern w:val="44"/>
      <w:sz w:val="44"/>
      <w:szCs w:val="44"/>
    </w:rPr>
  </w:style>
  <w:style w:type="character" w:customStyle="1" w:styleId="2Char">
    <w:name w:val="标题 2 Char"/>
    <w:basedOn w:val="a7"/>
    <w:link w:val="2"/>
    <w:qFormat/>
    <w:rPr>
      <w:rFonts w:ascii="Arial" w:eastAsia="黑体" w:hAnsi="Arial"/>
      <w:b/>
      <w:bCs/>
      <w:kern w:val="2"/>
      <w:sz w:val="32"/>
      <w:szCs w:val="32"/>
    </w:rPr>
  </w:style>
  <w:style w:type="character" w:customStyle="1" w:styleId="3Char">
    <w:name w:val="标题 3 Char"/>
    <w:basedOn w:val="a7"/>
    <w:link w:val="3"/>
    <w:qFormat/>
    <w:rPr>
      <w:b/>
      <w:bCs/>
      <w:kern w:val="2"/>
      <w:sz w:val="32"/>
      <w:szCs w:val="32"/>
    </w:rPr>
  </w:style>
  <w:style w:type="character" w:customStyle="1" w:styleId="4Char">
    <w:name w:val="标题 4 Char"/>
    <w:basedOn w:val="a7"/>
    <w:link w:val="4"/>
    <w:qFormat/>
    <w:rPr>
      <w:rFonts w:ascii="Arial" w:eastAsia="黑体" w:hAnsi="Arial"/>
      <w:b/>
      <w:bCs/>
      <w:kern w:val="2"/>
      <w:sz w:val="28"/>
      <w:szCs w:val="28"/>
    </w:rPr>
  </w:style>
  <w:style w:type="character" w:customStyle="1" w:styleId="5Char">
    <w:name w:val="标题 5 Char"/>
    <w:basedOn w:val="a7"/>
    <w:link w:val="5"/>
    <w:qFormat/>
    <w:rPr>
      <w:b/>
      <w:bCs/>
      <w:kern w:val="2"/>
      <w:sz w:val="28"/>
      <w:szCs w:val="28"/>
    </w:rPr>
  </w:style>
  <w:style w:type="character" w:customStyle="1" w:styleId="6Char">
    <w:name w:val="标题 6 Char"/>
    <w:basedOn w:val="a7"/>
    <w:link w:val="6"/>
    <w:qFormat/>
    <w:rPr>
      <w:rFonts w:ascii="Arial" w:eastAsia="黑体" w:hAnsi="Arial"/>
      <w:b/>
      <w:bCs/>
      <w:kern w:val="2"/>
      <w:sz w:val="24"/>
      <w:szCs w:val="24"/>
    </w:rPr>
  </w:style>
  <w:style w:type="character" w:customStyle="1" w:styleId="7Char">
    <w:name w:val="标题 7 Char"/>
    <w:basedOn w:val="a7"/>
    <w:link w:val="7"/>
    <w:qFormat/>
    <w:rPr>
      <w:b/>
      <w:bCs/>
      <w:kern w:val="2"/>
      <w:sz w:val="24"/>
      <w:szCs w:val="24"/>
    </w:rPr>
  </w:style>
  <w:style w:type="character" w:customStyle="1" w:styleId="8Char">
    <w:name w:val="标题 8 Char"/>
    <w:basedOn w:val="a7"/>
    <w:link w:val="8"/>
    <w:qFormat/>
    <w:rPr>
      <w:rFonts w:ascii="Arial" w:eastAsia="黑体" w:hAnsi="Arial"/>
      <w:kern w:val="2"/>
      <w:sz w:val="24"/>
      <w:szCs w:val="24"/>
    </w:rPr>
  </w:style>
  <w:style w:type="character" w:customStyle="1" w:styleId="9Char">
    <w:name w:val="标题 9 Char"/>
    <w:basedOn w:val="a7"/>
    <w:link w:val="9"/>
    <w:qFormat/>
    <w:rPr>
      <w:rFonts w:ascii="Arial" w:eastAsia="黑体" w:hAnsi="Arial"/>
      <w:kern w:val="2"/>
      <w:sz w:val="21"/>
      <w:szCs w:val="21"/>
    </w:rPr>
  </w:style>
  <w:style w:type="paragraph" w:customStyle="1" w:styleId="afff8">
    <w:name w:val="封面标准英文名称"/>
    <w:qFormat/>
    <w:pPr>
      <w:widowControl w:val="0"/>
      <w:spacing w:before="370" w:line="400" w:lineRule="exact"/>
      <w:ind w:firstLineChars="200" w:firstLine="200"/>
      <w:jc w:val="center"/>
    </w:pPr>
    <w:rPr>
      <w:sz w:val="28"/>
    </w:rPr>
  </w:style>
  <w:style w:type="paragraph" w:customStyle="1" w:styleId="afff9">
    <w:name w:val="标准"/>
    <w:basedOn w:val="a6"/>
    <w:qFormat/>
    <w:pPr>
      <w:adjustRightInd w:val="0"/>
      <w:spacing w:line="312" w:lineRule="atLeast"/>
      <w:jc w:val="center"/>
      <w:textAlignment w:val="baseline"/>
    </w:pPr>
    <w:rPr>
      <w:kern w:val="0"/>
      <w:szCs w:val="20"/>
    </w:rPr>
  </w:style>
  <w:style w:type="paragraph" w:customStyle="1" w:styleId="29">
    <w:name w:val="封面标准号2"/>
    <w:basedOn w:val="a6"/>
    <w:qFormat/>
  </w:style>
  <w:style w:type="paragraph" w:customStyle="1" w:styleId="afffa">
    <w:name w:val="章标题"/>
    <w:next w:val="a6"/>
    <w:qFormat/>
    <w:pPr>
      <w:tabs>
        <w:tab w:val="left" w:pos="675"/>
      </w:tabs>
      <w:spacing w:beforeLines="100" w:afterLines="100"/>
      <w:ind w:left="675" w:hanging="360"/>
      <w:jc w:val="both"/>
      <w:outlineLvl w:val="1"/>
    </w:pPr>
    <w:rPr>
      <w:rFonts w:ascii="黑体" w:eastAsia="黑体"/>
      <w:sz w:val="21"/>
    </w:rPr>
  </w:style>
  <w:style w:type="paragraph" w:customStyle="1" w:styleId="afffb">
    <w:name w:val="段"/>
    <w:link w:val="CharChar"/>
    <w:qFormat/>
    <w:pPr>
      <w:autoSpaceDE w:val="0"/>
      <w:autoSpaceDN w:val="0"/>
      <w:ind w:firstLineChars="200" w:firstLine="200"/>
      <w:jc w:val="both"/>
    </w:pPr>
    <w:rPr>
      <w:rFonts w:ascii="宋体" w:hAnsi="宋体"/>
      <w:sz w:val="21"/>
    </w:rPr>
  </w:style>
  <w:style w:type="character" w:customStyle="1" w:styleId="Char3">
    <w:name w:val="批注文字 Char"/>
    <w:basedOn w:val="a7"/>
    <w:link w:val="af5"/>
    <w:qFormat/>
    <w:rPr>
      <w:kern w:val="2"/>
      <w:sz w:val="21"/>
      <w:szCs w:val="21"/>
    </w:rPr>
  </w:style>
  <w:style w:type="character" w:customStyle="1" w:styleId="Chard">
    <w:name w:val="页眉 Char"/>
    <w:basedOn w:val="a7"/>
    <w:link w:val="aff2"/>
    <w:qFormat/>
    <w:rPr>
      <w:kern w:val="2"/>
      <w:sz w:val="18"/>
      <w:szCs w:val="24"/>
    </w:rPr>
  </w:style>
  <w:style w:type="character" w:customStyle="1" w:styleId="Charc">
    <w:name w:val="页脚 Char"/>
    <w:basedOn w:val="a7"/>
    <w:link w:val="aff0"/>
    <w:uiPriority w:val="99"/>
    <w:qFormat/>
    <w:rPr>
      <w:kern w:val="2"/>
      <w:sz w:val="18"/>
      <w:szCs w:val="24"/>
    </w:rPr>
  </w:style>
  <w:style w:type="paragraph" w:customStyle="1" w:styleId="12">
    <w:name w:val="列出段落1"/>
    <w:basedOn w:val="a6"/>
    <w:qFormat/>
    <w:pPr>
      <w:ind w:firstLineChars="200" w:firstLine="420"/>
    </w:pPr>
    <w:rPr>
      <w:rFonts w:ascii="Calibri" w:hAnsi="Calibri" w:cs="黑体"/>
      <w:szCs w:val="22"/>
    </w:rPr>
  </w:style>
  <w:style w:type="paragraph" w:customStyle="1" w:styleId="CharCharCharChar">
    <w:name w:val="Char Char Char Char"/>
    <w:basedOn w:val="a6"/>
    <w:qFormat/>
    <w:pPr>
      <w:widowControl/>
      <w:spacing w:after="160" w:line="240" w:lineRule="exact"/>
      <w:jc w:val="left"/>
    </w:pPr>
  </w:style>
  <w:style w:type="character" w:customStyle="1" w:styleId="Charf2">
    <w:name w:val="标题 Char"/>
    <w:basedOn w:val="a7"/>
    <w:link w:val="affb"/>
    <w:qFormat/>
    <w:rPr>
      <w:rFonts w:ascii="Arial" w:hAnsi="Arial" w:cs="Arial"/>
      <w:b/>
      <w:bCs/>
      <w:kern w:val="2"/>
      <w:sz w:val="32"/>
      <w:szCs w:val="32"/>
    </w:r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character" w:customStyle="1" w:styleId="Char9">
    <w:name w:val="日期 Char"/>
    <w:basedOn w:val="a7"/>
    <w:link w:val="afd"/>
    <w:qFormat/>
    <w:rPr>
      <w:kern w:val="2"/>
      <w:sz w:val="21"/>
      <w:szCs w:val="24"/>
    </w:rPr>
  </w:style>
  <w:style w:type="character" w:customStyle="1" w:styleId="HTMLChar0">
    <w:name w:val="HTML 预设格式 Char"/>
    <w:basedOn w:val="a7"/>
    <w:link w:val="HTML0"/>
    <w:uiPriority w:val="99"/>
    <w:qFormat/>
    <w:rPr>
      <w:rFonts w:ascii="宋体" w:hAnsi="宋体" w:cs="宋体"/>
      <w:sz w:val="24"/>
      <w:szCs w:val="24"/>
    </w:rPr>
  </w:style>
  <w:style w:type="character" w:customStyle="1" w:styleId="Char8">
    <w:name w:val="纯文本 Char"/>
    <w:basedOn w:val="a7"/>
    <w:link w:val="afc"/>
    <w:qFormat/>
    <w:rPr>
      <w:rFonts w:ascii="宋体" w:hAnsi="Courier New" w:cs="Courier New"/>
      <w:kern w:val="2"/>
      <w:sz w:val="21"/>
      <w:szCs w:val="21"/>
    </w:rPr>
  </w:style>
  <w:style w:type="character" w:customStyle="1" w:styleId="Charf3">
    <w:name w:val="批注主题 Char"/>
    <w:basedOn w:val="Char3"/>
    <w:link w:val="affc"/>
    <w:qFormat/>
    <w:rPr>
      <w:b/>
      <w:bCs/>
      <w:kern w:val="2"/>
      <w:sz w:val="21"/>
      <w:szCs w:val="24"/>
    </w:rPr>
  </w:style>
  <w:style w:type="character" w:customStyle="1" w:styleId="Charb">
    <w:name w:val="批注框文本 Char"/>
    <w:basedOn w:val="a7"/>
    <w:link w:val="aff"/>
    <w:qFormat/>
    <w:rPr>
      <w:kern w:val="2"/>
      <w:sz w:val="18"/>
      <w:szCs w:val="18"/>
    </w:rPr>
  </w:style>
  <w:style w:type="paragraph" w:styleId="afffc">
    <w:name w:val="List Paragraph"/>
    <w:basedOn w:val="a6"/>
    <w:uiPriority w:val="34"/>
    <w:qFormat/>
    <w:pPr>
      <w:ind w:firstLineChars="200" w:firstLine="420"/>
    </w:pPr>
  </w:style>
  <w:style w:type="character" w:customStyle="1" w:styleId="CharChar">
    <w:name w:val="段 Char Char"/>
    <w:basedOn w:val="a7"/>
    <w:link w:val="afffb"/>
    <w:qFormat/>
    <w:rPr>
      <w:rFonts w:ascii="宋体" w:hAnsi="宋体"/>
      <w:sz w:val="21"/>
    </w:rPr>
  </w:style>
  <w:style w:type="character" w:customStyle="1" w:styleId="shorttext1">
    <w:name w:val="short_text1"/>
    <w:basedOn w:val="a7"/>
    <w:qFormat/>
    <w:rPr>
      <w:sz w:val="19"/>
      <w:szCs w:val="19"/>
    </w:rPr>
  </w:style>
  <w:style w:type="paragraph" w:customStyle="1" w:styleId="2a">
    <w:name w:val="2"/>
    <w:uiPriority w:val="99"/>
    <w:unhideWhenUsed/>
    <w:qFormat/>
    <w:pPr>
      <w:widowControl w:val="0"/>
      <w:jc w:val="both"/>
    </w:pPr>
    <w:rPr>
      <w:kern w:val="2"/>
      <w:sz w:val="21"/>
      <w:szCs w:val="24"/>
    </w:rPr>
  </w:style>
  <w:style w:type="character" w:customStyle="1" w:styleId="afffd">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6"/>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character" w:customStyle="1" w:styleId="Char">
    <w:name w:val="宏文本 Char"/>
    <w:basedOn w:val="a7"/>
    <w:link w:val="aa"/>
    <w:qFormat/>
    <w:rPr>
      <w:rFonts w:ascii="Courier New" w:hAnsi="Courier New" w:cs="Courier New"/>
      <w:kern w:val="2"/>
      <w:sz w:val="24"/>
      <w:szCs w:val="24"/>
    </w:rPr>
  </w:style>
  <w:style w:type="character" w:customStyle="1" w:styleId="Char6">
    <w:name w:val="正文文本 Char"/>
    <w:basedOn w:val="a7"/>
    <w:link w:val="af8"/>
    <w:qFormat/>
    <w:rPr>
      <w:kern w:val="2"/>
      <w:sz w:val="21"/>
      <w:szCs w:val="24"/>
    </w:rPr>
  </w:style>
  <w:style w:type="character" w:customStyle="1" w:styleId="Charf4">
    <w:name w:val="正文首行缩进 Char"/>
    <w:basedOn w:val="Char6"/>
    <w:link w:val="affd"/>
    <w:qFormat/>
    <w:rPr>
      <w:kern w:val="2"/>
      <w:sz w:val="21"/>
      <w:szCs w:val="24"/>
    </w:rPr>
  </w:style>
  <w:style w:type="character" w:customStyle="1" w:styleId="Char7">
    <w:name w:val="正文文本缩进 Char"/>
    <w:basedOn w:val="a7"/>
    <w:link w:val="af9"/>
    <w:qFormat/>
    <w:rPr>
      <w:kern w:val="2"/>
      <w:sz w:val="21"/>
      <w:szCs w:val="24"/>
    </w:rPr>
  </w:style>
  <w:style w:type="character" w:customStyle="1" w:styleId="2Char2">
    <w:name w:val="正文首行缩进 2 Char"/>
    <w:basedOn w:val="Char7"/>
    <w:link w:val="28"/>
    <w:qFormat/>
    <w:rPr>
      <w:kern w:val="2"/>
      <w:sz w:val="21"/>
      <w:szCs w:val="24"/>
    </w:rPr>
  </w:style>
  <w:style w:type="character" w:customStyle="1" w:styleId="Char2">
    <w:name w:val="文档结构图 Char"/>
    <w:basedOn w:val="a7"/>
    <w:link w:val="af3"/>
    <w:qFormat/>
    <w:rPr>
      <w:kern w:val="2"/>
      <w:sz w:val="21"/>
      <w:szCs w:val="24"/>
      <w:shd w:val="clear" w:color="auto" w:fill="000080"/>
    </w:rPr>
  </w:style>
  <w:style w:type="character" w:customStyle="1" w:styleId="3Char0">
    <w:name w:val="正文文本 3 Char"/>
    <w:basedOn w:val="a7"/>
    <w:link w:val="31"/>
    <w:qFormat/>
    <w:rPr>
      <w:kern w:val="2"/>
      <w:sz w:val="16"/>
      <w:szCs w:val="16"/>
    </w:rPr>
  </w:style>
  <w:style w:type="character" w:customStyle="1" w:styleId="HTMLChar">
    <w:name w:val="HTML 地址 Char"/>
    <w:basedOn w:val="a7"/>
    <w:link w:val="HTML"/>
    <w:qFormat/>
    <w:rPr>
      <w:i/>
      <w:iCs/>
      <w:kern w:val="2"/>
      <w:sz w:val="21"/>
      <w:szCs w:val="24"/>
    </w:rPr>
  </w:style>
  <w:style w:type="character" w:customStyle="1" w:styleId="3Char1">
    <w:name w:val="正文文本缩进 3 Char"/>
    <w:basedOn w:val="a7"/>
    <w:link w:val="36"/>
    <w:qFormat/>
    <w:rPr>
      <w:kern w:val="2"/>
      <w:sz w:val="16"/>
      <w:szCs w:val="16"/>
    </w:rPr>
  </w:style>
  <w:style w:type="character" w:customStyle="1" w:styleId="Char1">
    <w:name w:val="电子邮件签名 Char"/>
    <w:basedOn w:val="a7"/>
    <w:link w:val="ad"/>
    <w:qFormat/>
    <w:rPr>
      <w:kern w:val="2"/>
      <w:sz w:val="21"/>
      <w:szCs w:val="24"/>
    </w:rPr>
  </w:style>
  <w:style w:type="character" w:customStyle="1" w:styleId="Chare">
    <w:name w:val="签名 Char"/>
    <w:basedOn w:val="a7"/>
    <w:link w:val="aff3"/>
    <w:qFormat/>
    <w:rPr>
      <w:kern w:val="2"/>
      <w:sz w:val="21"/>
      <w:szCs w:val="24"/>
    </w:rPr>
  </w:style>
  <w:style w:type="character" w:customStyle="1" w:styleId="Charf0">
    <w:name w:val="脚注文本 Char"/>
    <w:basedOn w:val="a7"/>
    <w:link w:val="aff7"/>
    <w:qFormat/>
    <w:rPr>
      <w:kern w:val="2"/>
      <w:sz w:val="18"/>
      <w:szCs w:val="18"/>
    </w:rPr>
  </w:style>
  <w:style w:type="character" w:customStyle="1" w:styleId="Char0">
    <w:name w:val="注释标题 Char"/>
    <w:basedOn w:val="a7"/>
    <w:link w:val="ac"/>
    <w:qFormat/>
    <w:rPr>
      <w:kern w:val="2"/>
      <w:sz w:val="21"/>
      <w:szCs w:val="24"/>
    </w:rPr>
  </w:style>
  <w:style w:type="character" w:customStyle="1" w:styleId="2Char1">
    <w:name w:val="正文文本 2 Char"/>
    <w:basedOn w:val="a7"/>
    <w:link w:val="25"/>
    <w:qFormat/>
    <w:rPr>
      <w:kern w:val="2"/>
      <w:sz w:val="21"/>
      <w:szCs w:val="24"/>
    </w:rPr>
  </w:style>
  <w:style w:type="character" w:customStyle="1" w:styleId="Char4">
    <w:name w:val="称呼 Char"/>
    <w:basedOn w:val="a7"/>
    <w:link w:val="af6"/>
    <w:qFormat/>
    <w:rPr>
      <w:kern w:val="2"/>
      <w:sz w:val="21"/>
      <w:szCs w:val="24"/>
    </w:rPr>
  </w:style>
  <w:style w:type="character" w:customStyle="1" w:styleId="Chara">
    <w:name w:val="尾注文本 Char"/>
    <w:basedOn w:val="a7"/>
    <w:link w:val="afe"/>
    <w:qFormat/>
    <w:rPr>
      <w:kern w:val="2"/>
      <w:sz w:val="21"/>
      <w:szCs w:val="24"/>
    </w:rPr>
  </w:style>
  <w:style w:type="character" w:customStyle="1" w:styleId="Char5">
    <w:name w:val="结束语 Char"/>
    <w:basedOn w:val="a7"/>
    <w:link w:val="af7"/>
    <w:qFormat/>
    <w:rPr>
      <w:kern w:val="2"/>
      <w:sz w:val="21"/>
      <w:szCs w:val="24"/>
    </w:rPr>
  </w:style>
  <w:style w:type="character" w:customStyle="1" w:styleId="2Char0">
    <w:name w:val="正文文本缩进 2 Char"/>
    <w:basedOn w:val="a7"/>
    <w:link w:val="23"/>
    <w:qFormat/>
    <w:rPr>
      <w:kern w:val="2"/>
      <w:sz w:val="21"/>
      <w:szCs w:val="24"/>
    </w:rPr>
  </w:style>
  <w:style w:type="character" w:customStyle="1" w:styleId="Charf">
    <w:name w:val="副标题 Char"/>
    <w:basedOn w:val="a7"/>
    <w:link w:val="aff5"/>
    <w:qFormat/>
    <w:rPr>
      <w:rFonts w:ascii="Arial" w:hAnsi="Arial" w:cs="Arial"/>
      <w:b/>
      <w:bCs/>
      <w:kern w:val="28"/>
      <w:sz w:val="32"/>
      <w:szCs w:val="32"/>
    </w:rPr>
  </w:style>
  <w:style w:type="character" w:customStyle="1" w:styleId="Charf1">
    <w:name w:val="信息标题 Char"/>
    <w:basedOn w:val="a7"/>
    <w:link w:val="aff9"/>
    <w:qFormat/>
    <w:rPr>
      <w:rFonts w:ascii="Arial" w:hAnsi="Arial" w:cs="Arial"/>
      <w:kern w:val="2"/>
      <w:sz w:val="24"/>
      <w:szCs w:val="24"/>
      <w:shd w:val="pct20" w:color="auto" w:fill="auto"/>
    </w:rPr>
  </w:style>
  <w:style w:type="paragraph" w:customStyle="1" w:styleId="u0">
    <w:name w:val="u页眉"/>
    <w:basedOn w:val="a6"/>
    <w:qFormat/>
    <w:pPr>
      <w:pBdr>
        <w:bottom w:val="single" w:sz="4" w:space="1" w:color="auto"/>
      </w:pBdr>
      <w:jc w:val="center"/>
    </w:pPr>
  </w:style>
  <w:style w:type="paragraph" w:customStyle="1" w:styleId="afffe">
    <w:name w:val="连续正文文字"/>
    <w:basedOn w:val="af8"/>
    <w:qFormat/>
    <w:pPr>
      <w:keepNext/>
      <w:widowControl/>
      <w:spacing w:after="220" w:line="180" w:lineRule="atLeast"/>
      <w:ind w:firstLine="476"/>
      <w:jc w:val="center"/>
    </w:pPr>
    <w:rPr>
      <w:spacing w:val="-5"/>
      <w:kern w:val="0"/>
      <w:sz w:val="30"/>
      <w:szCs w:val="20"/>
    </w:rPr>
  </w:style>
  <w:style w:type="paragraph" w:customStyle="1" w:styleId="affff">
    <w:name w:val="正文（结尾部分）"/>
    <w:basedOn w:val="a6"/>
    <w:qFormat/>
    <w:pPr>
      <w:adjustRightInd w:val="0"/>
      <w:snapToGrid w:val="0"/>
      <w:spacing w:line="320" w:lineRule="exact"/>
      <w:ind w:firstLineChars="200" w:firstLine="200"/>
    </w:pPr>
  </w:style>
  <w:style w:type="paragraph" w:customStyle="1" w:styleId="affff0">
    <w:name w:val="基准页眉样式"/>
    <w:basedOn w:val="af8"/>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1">
    <w:name w:val="图标题"/>
    <w:basedOn w:val="a6"/>
    <w:next w:val="a6"/>
    <w:qFormat/>
    <w:pPr>
      <w:widowControl/>
      <w:spacing w:before="200" w:after="400" w:line="312" w:lineRule="auto"/>
      <w:ind w:firstLine="476"/>
      <w:jc w:val="center"/>
    </w:pPr>
    <w:rPr>
      <w:b/>
      <w:spacing w:val="-5"/>
      <w:kern w:val="0"/>
      <w:sz w:val="24"/>
      <w:szCs w:val="20"/>
    </w:rPr>
  </w:style>
  <w:style w:type="paragraph" w:customStyle="1" w:styleId="affff2">
    <w:name w:val="五级条标题"/>
    <w:basedOn w:val="affff3"/>
    <w:next w:val="afffb"/>
    <w:qFormat/>
    <w:pPr>
      <w:tabs>
        <w:tab w:val="left" w:pos="3360"/>
      </w:tabs>
      <w:ind w:left="3360"/>
      <w:outlineLvl w:val="6"/>
    </w:pPr>
  </w:style>
  <w:style w:type="paragraph" w:customStyle="1" w:styleId="affff3">
    <w:name w:val="四级条标题"/>
    <w:basedOn w:val="affff4"/>
    <w:next w:val="afffb"/>
    <w:qFormat/>
    <w:pPr>
      <w:tabs>
        <w:tab w:val="left" w:pos="2940"/>
      </w:tabs>
      <w:ind w:left="2940"/>
      <w:outlineLvl w:val="5"/>
    </w:pPr>
  </w:style>
  <w:style w:type="paragraph" w:customStyle="1" w:styleId="affff4">
    <w:name w:val="三级条标题"/>
    <w:basedOn w:val="affff5"/>
    <w:next w:val="afffb"/>
    <w:qFormat/>
    <w:pPr>
      <w:tabs>
        <w:tab w:val="left" w:pos="2520"/>
      </w:tabs>
      <w:ind w:left="2520"/>
      <w:outlineLvl w:val="4"/>
    </w:pPr>
  </w:style>
  <w:style w:type="paragraph" w:customStyle="1" w:styleId="affff5">
    <w:name w:val="二级条标题"/>
    <w:basedOn w:val="affff6"/>
    <w:next w:val="afffb"/>
    <w:qFormat/>
    <w:pPr>
      <w:tabs>
        <w:tab w:val="left" w:pos="2100"/>
      </w:tabs>
      <w:ind w:left="2100"/>
      <w:outlineLvl w:val="3"/>
    </w:pPr>
  </w:style>
  <w:style w:type="paragraph" w:customStyle="1" w:styleId="affff6">
    <w:name w:val="一级条标题"/>
    <w:basedOn w:val="afffa"/>
    <w:next w:val="afffb"/>
    <w:qFormat/>
    <w:pPr>
      <w:tabs>
        <w:tab w:val="clear" w:pos="675"/>
        <w:tab w:val="left" w:pos="1680"/>
      </w:tabs>
      <w:spacing w:beforeLines="0" w:afterLines="0"/>
      <w:ind w:left="1680" w:hanging="420"/>
      <w:outlineLvl w:val="2"/>
    </w:pPr>
  </w:style>
  <w:style w:type="paragraph" w:customStyle="1" w:styleId="affff7">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8">
    <w:name w:val="基准页脚样式"/>
    <w:basedOn w:val="af8"/>
    <w:qFormat/>
    <w:pPr>
      <w:keepLines/>
      <w:widowControl/>
      <w:spacing w:after="220" w:line="200" w:lineRule="atLeast"/>
      <w:ind w:firstLine="476"/>
      <w:jc w:val="center"/>
    </w:pPr>
    <w:rPr>
      <w:spacing w:val="-5"/>
      <w:kern w:val="0"/>
      <w:sz w:val="16"/>
      <w:szCs w:val="20"/>
    </w:rPr>
  </w:style>
  <w:style w:type="paragraph" w:customStyle="1" w:styleId="affff9">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a">
    <w:name w:val="前言、引言标题"/>
    <w:next w:val="a6"/>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pPr>
      <w:spacing w:line="312" w:lineRule="auto"/>
      <w:ind w:left="200" w:hangingChars="200" w:hanging="200"/>
    </w:pPr>
    <w:rPr>
      <w:sz w:val="24"/>
    </w:rPr>
  </w:style>
  <w:style w:type="paragraph" w:customStyle="1" w:styleId="affffb">
    <w:name w:val="基准标题"/>
    <w:basedOn w:val="af8"/>
    <w:next w:val="af8"/>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f5">
    <w:name w:val="Char"/>
    <w:basedOn w:val="a6"/>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spacing w:beforeLines="150" w:afterLines="50" w:line="360" w:lineRule="auto"/>
      <w:jc w:val="center"/>
    </w:pPr>
    <w:rPr>
      <w:rFonts w:eastAsia="黑体"/>
      <w:b/>
    </w:rPr>
  </w:style>
  <w:style w:type="paragraph" w:customStyle="1" w:styleId="affffc">
    <w:name w:val="图表题"/>
    <w:basedOn w:val="a6"/>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spacing w:before="100" w:beforeAutospacing="1" w:after="100" w:afterAutospacing="1"/>
    </w:pPr>
  </w:style>
  <w:style w:type="paragraph" w:customStyle="1" w:styleId="affffd">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ffffe">
    <w:name w:val="尾消息标题"/>
    <w:basedOn w:val="a6"/>
    <w:next w:val="af8"/>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
    <w:name w:val="表标题"/>
    <w:basedOn w:val="a6"/>
    <w:next w:val="a6"/>
    <w:qFormat/>
    <w:pPr>
      <w:widowControl/>
      <w:spacing w:before="400" w:after="200" w:line="312" w:lineRule="auto"/>
      <w:jc w:val="left"/>
    </w:pPr>
    <w:rPr>
      <w:b/>
      <w:spacing w:val="-5"/>
      <w:kern w:val="0"/>
      <w:sz w:val="24"/>
      <w:szCs w:val="20"/>
    </w:rPr>
  </w:style>
  <w:style w:type="paragraph" w:customStyle="1" w:styleId="afffff0">
    <w:name w:val="其他"/>
    <w:basedOn w:val="a6"/>
    <w:qFormat/>
  </w:style>
  <w:style w:type="paragraph" w:customStyle="1" w:styleId="u8">
    <w:name w:val="u参考文献条目顺序编码制"/>
    <w:basedOn w:val="a6"/>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1">
    <w:name w:val="图片"/>
    <w:basedOn w:val="a6"/>
    <w:next w:val="af0"/>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pPr>
      <w:spacing w:beforeLines="10" w:afterLines="10" w:line="312" w:lineRule="auto"/>
      <w:ind w:firstLineChars="200" w:firstLine="480"/>
    </w:pPr>
    <w:rPr>
      <w:rFonts w:hAnsi="宋体" w:cs="宋体"/>
      <w:sz w:val="24"/>
    </w:rPr>
  </w:style>
  <w:style w:type="paragraph" w:customStyle="1" w:styleId="ua">
    <w:name w:val="u标题 不入目录"/>
    <w:basedOn w:val="a6"/>
    <w:qFormat/>
    <w:pPr>
      <w:jc w:val="center"/>
    </w:pPr>
    <w:rPr>
      <w:rFonts w:eastAsia="黑体"/>
      <w:b/>
      <w:sz w:val="30"/>
      <w:szCs w:val="30"/>
    </w:rPr>
  </w:style>
  <w:style w:type="paragraph" w:customStyle="1" w:styleId="xl63">
    <w:name w:val="xl63"/>
    <w:basedOn w:val="a6"/>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kern w:val="2"/>
      <w:sz w:val="21"/>
      <w:szCs w:val="24"/>
    </w:rPr>
  </w:style>
  <w:style w:type="character" w:styleId="afffff2">
    <w:name w:val="Placeholder Text"/>
    <w:basedOn w:val="a7"/>
    <w:uiPriority w:val="99"/>
    <w:semiHidden/>
    <w:qFormat/>
    <w:rPr>
      <w:color w:val="808080"/>
    </w:rPr>
  </w:style>
  <w:style w:type="character" w:customStyle="1" w:styleId="Charf6">
    <w:name w:val="段 Char"/>
    <w:qFormat/>
    <w:rPr>
      <w:rFonts w:ascii="宋体"/>
      <w:sz w:val="21"/>
      <w:lang w:bidi="ar-SA"/>
    </w:rPr>
  </w:style>
  <w:style w:type="paragraph" w:customStyle="1" w:styleId="a">
    <w:name w:val="附录标识"/>
    <w:basedOn w:val="affffa"/>
    <w:qFormat/>
    <w:pPr>
      <w:numPr>
        <w:numId w:val="1"/>
      </w:numPr>
      <w:tabs>
        <w:tab w:val="left" w:pos="6405"/>
      </w:tabs>
      <w:spacing w:after="200"/>
    </w:pPr>
    <w:rPr>
      <w:sz w:val="21"/>
    </w:rPr>
  </w:style>
  <w:style w:type="paragraph" w:customStyle="1" w:styleId="a0">
    <w:name w:val="附录章标题"/>
    <w:next w:val="afffb"/>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b"/>
    <w:qFormat/>
    <w:pPr>
      <w:numPr>
        <w:ilvl w:val="6"/>
      </w:numPr>
      <w:outlineLvl w:val="6"/>
    </w:pPr>
  </w:style>
  <w:style w:type="paragraph" w:customStyle="1" w:styleId="a4">
    <w:name w:val="附录四级条标题"/>
    <w:basedOn w:val="a3"/>
    <w:next w:val="afffb"/>
    <w:qFormat/>
    <w:pPr>
      <w:numPr>
        <w:ilvl w:val="5"/>
      </w:numPr>
      <w:outlineLvl w:val="5"/>
    </w:pPr>
  </w:style>
  <w:style w:type="paragraph" w:customStyle="1" w:styleId="a3">
    <w:name w:val="附录三级条标题"/>
    <w:basedOn w:val="a2"/>
    <w:next w:val="afffb"/>
    <w:qFormat/>
    <w:pPr>
      <w:numPr>
        <w:ilvl w:val="4"/>
      </w:numPr>
      <w:outlineLvl w:val="4"/>
    </w:pPr>
  </w:style>
  <w:style w:type="paragraph" w:customStyle="1" w:styleId="a2">
    <w:name w:val="附录二级条标题"/>
    <w:basedOn w:val="a1"/>
    <w:next w:val="afffb"/>
    <w:qFormat/>
    <w:pPr>
      <w:numPr>
        <w:ilvl w:val="3"/>
      </w:numPr>
      <w:outlineLvl w:val="3"/>
    </w:pPr>
  </w:style>
  <w:style w:type="paragraph" w:customStyle="1" w:styleId="a1">
    <w:name w:val="附录一级条标题"/>
    <w:basedOn w:val="a0"/>
    <w:next w:val="afffb"/>
    <w:qFormat/>
    <w:pPr>
      <w:numPr>
        <w:ilvl w:val="2"/>
      </w:numPr>
      <w:autoSpaceDN w:val="0"/>
      <w:spacing w:beforeLines="0" w:afterLines="0"/>
      <w:outlineLvl w:val="2"/>
    </w:pPr>
  </w:style>
  <w:style w:type="character" w:customStyle="1" w:styleId="font91">
    <w:name w:val="font91"/>
    <w:basedOn w:val="a7"/>
    <w:qFormat/>
    <w:rPr>
      <w:rFonts w:ascii="宋体" w:eastAsia="宋体" w:hAnsi="宋体" w:cs="宋体" w:hint="eastAsia"/>
      <w:b/>
      <w:color w:val="000000"/>
      <w:sz w:val="32"/>
      <w:szCs w:val="32"/>
      <w:u w:val="none"/>
    </w:rPr>
  </w:style>
  <w:style w:type="character" w:customStyle="1" w:styleId="font11">
    <w:name w:val="font11"/>
    <w:basedOn w:val="a7"/>
    <w:qFormat/>
    <w:rPr>
      <w:rFonts w:ascii="Times New Roman" w:hAnsi="Times New Roman" w:cs="Times New Roman" w:hint="default"/>
      <w:b/>
      <w:color w:val="000000"/>
      <w:sz w:val="32"/>
      <w:szCs w:val="32"/>
      <w:u w:val="none"/>
    </w:rPr>
  </w:style>
  <w:style w:type="character" w:customStyle="1" w:styleId="font71">
    <w:name w:val="font71"/>
    <w:basedOn w:val="a7"/>
    <w:qFormat/>
    <w:rPr>
      <w:rFonts w:ascii="Times New Roman" w:hAnsi="Times New Roman" w:cs="Times New Roman" w:hint="default"/>
      <w:b/>
      <w:color w:val="000000"/>
      <w:sz w:val="20"/>
      <w:szCs w:val="20"/>
      <w:u w:val="none"/>
    </w:rPr>
  </w:style>
  <w:style w:type="character" w:customStyle="1" w:styleId="font41">
    <w:name w:val="font41"/>
    <w:basedOn w:val="a7"/>
    <w:qFormat/>
    <w:rPr>
      <w:rFonts w:ascii="宋体" w:eastAsia="宋体" w:hAnsi="宋体" w:cs="宋体" w:hint="eastAsia"/>
      <w:b/>
      <w:color w:val="000000"/>
      <w:sz w:val="20"/>
      <w:szCs w:val="20"/>
      <w:u w:val="none"/>
    </w:rPr>
  </w:style>
  <w:style w:type="character" w:customStyle="1" w:styleId="font51">
    <w:name w:val="font51"/>
    <w:basedOn w:val="a7"/>
    <w:qFormat/>
    <w:rPr>
      <w:rFonts w:ascii="宋体" w:eastAsia="宋体" w:hAnsi="宋体" w:cs="宋体" w:hint="eastAsia"/>
      <w:color w:val="000000"/>
      <w:sz w:val="20"/>
      <w:szCs w:val="20"/>
      <w:u w:val="none"/>
    </w:rPr>
  </w:style>
  <w:style w:type="character" w:customStyle="1" w:styleId="font21">
    <w:name w:val="font21"/>
    <w:basedOn w:val="a7"/>
    <w:qFormat/>
    <w:rPr>
      <w:rFonts w:ascii="Times New Roman" w:hAnsi="Times New Roman" w:cs="Times New Roman" w:hint="default"/>
      <w:color w:val="000000"/>
      <w:sz w:val="20"/>
      <w:szCs w:val="20"/>
      <w:u w:val="none"/>
    </w:rPr>
  </w:style>
  <w:style w:type="character" w:customStyle="1" w:styleId="font81">
    <w:name w:val="font81"/>
    <w:basedOn w:val="a7"/>
    <w:qFormat/>
    <w:rPr>
      <w:rFonts w:ascii="宋体" w:eastAsia="宋体" w:hAnsi="宋体" w:cs="宋体" w:hint="eastAsia"/>
      <w:color w:val="FF0000"/>
      <w:sz w:val="20"/>
      <w:szCs w:val="20"/>
      <w:u w:val="none"/>
    </w:rPr>
  </w:style>
  <w:style w:type="character" w:customStyle="1" w:styleId="font31">
    <w:name w:val="font31"/>
    <w:basedOn w:val="a7"/>
    <w:qFormat/>
    <w:rPr>
      <w:rFonts w:ascii="Times New Roman" w:hAnsi="Times New Roman" w:cs="Times New Roman" w:hint="default"/>
      <w:color w:val="FF0000"/>
      <w:sz w:val="20"/>
      <w:szCs w:val="20"/>
      <w:u w:val="none"/>
    </w:rPr>
  </w:style>
  <w:style w:type="character" w:customStyle="1" w:styleId="font61">
    <w:name w:val="font61"/>
    <w:basedOn w:val="a7"/>
    <w:qFormat/>
    <w:rPr>
      <w:rFonts w:ascii="Times New Roman" w:hAnsi="Times New Roman" w:cs="Times New Roman" w:hint="default"/>
      <w:b/>
      <w:color w:val="000000"/>
      <w:sz w:val="20"/>
      <w:szCs w:val="20"/>
      <w:u w:val="none"/>
    </w:rPr>
  </w:style>
  <w:style w:type="character" w:customStyle="1" w:styleId="font01">
    <w:name w:val="font01"/>
    <w:basedOn w:val="a7"/>
    <w:qFormat/>
    <w:rPr>
      <w:rFonts w:ascii="宋体" w:eastAsia="宋体" w:hAnsi="宋体" w:cs="宋体" w:hint="eastAsia"/>
      <w:color w:val="000000"/>
      <w:sz w:val="22"/>
      <w:szCs w:val="22"/>
      <w:u w:val="none"/>
    </w:rPr>
  </w:style>
  <w:style w:type="paragraph" w:customStyle="1" w:styleId="ENFI">
    <w:name w:val="ENFI正文"/>
    <w:basedOn w:val="a6"/>
    <w:qFormat/>
    <w:pPr>
      <w:adjustRightInd w:val="0"/>
      <w:snapToGrid w:val="0"/>
      <w:spacing w:line="360" w:lineRule="auto"/>
      <w:ind w:firstLine="567"/>
    </w:pPr>
    <w:rPr>
      <w:rFonts w:ascii="仿宋_GB2312" w:eastAsia="仿宋_GB2312"/>
      <w:color w:val="000000"/>
      <w:kern w:val="0"/>
      <w:sz w:val="28"/>
      <w:szCs w:val="20"/>
      <w:lang w:val="zh-CN"/>
    </w:rPr>
  </w:style>
  <w:style w:type="paragraph" w:customStyle="1" w:styleId="p0">
    <w:name w:val="p0"/>
    <w:basedOn w:val="a6"/>
    <w:qFormat/>
    <w:pPr>
      <w:widowControl/>
    </w:pPr>
    <w:rPr>
      <w:rFonts w:ascii="Calibri" w:hAnsi="Calibri" w:cs="宋体"/>
      <w:kern w:val="0"/>
      <w:szCs w:val="21"/>
    </w:rPr>
  </w:style>
  <w:style w:type="paragraph" w:customStyle="1" w:styleId="-">
    <w:name w:val="编制-正文"/>
    <w:basedOn w:val="a6"/>
    <w:qFormat/>
    <w:pPr>
      <w:ind w:firstLineChars="200" w:firstLine="200"/>
    </w:pPr>
    <w:rPr>
      <w:rFonts w:cs="宋体"/>
      <w:szCs w:val="21"/>
    </w:rPr>
  </w:style>
  <w:style w:type="paragraph" w:customStyle="1" w:styleId="-1">
    <w:name w:val="编制-1."/>
    <w:basedOn w:val="2"/>
    <w:next w:val="-"/>
    <w:qFormat/>
    <w:pPr>
      <w:spacing w:beforeLines="50" w:before="50" w:afterLines="50" w:after="50" w:line="240" w:lineRule="auto"/>
    </w:pPr>
    <w:rPr>
      <w:rFonts w:ascii="Times New Roman" w:hAnsi="Times New Roman" w:cstheme="majorBidi"/>
      <w:b w:val="0"/>
      <w:bCs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445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E288B-428C-43AB-B232-877AEF313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10</Pages>
  <Words>1407</Words>
  <Characters>8025</Characters>
  <Application>Microsoft Office Word</Application>
  <DocSecurity>0</DocSecurity>
  <Lines>66</Lines>
  <Paragraphs>18</Paragraphs>
  <ScaleCrop>false</ScaleCrop>
  <Company>www.xunchi.com</Company>
  <LinksUpToDate>false</LinksUpToDate>
  <CharactersWithSpaces>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都业俭</cp:lastModifiedBy>
  <cp:revision>58</cp:revision>
  <cp:lastPrinted>2021-07-09T07:12:00Z</cp:lastPrinted>
  <dcterms:created xsi:type="dcterms:W3CDTF">2022-10-20T06:18:00Z</dcterms:created>
  <dcterms:modified xsi:type="dcterms:W3CDTF">2024-08-30T00:11:00Z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FC89F8C740A644F0AA4E782645708D4D_13</vt:lpwstr>
  </property>
</Properties>
</file>