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28C71">
      <w:pPr>
        <w:pStyle w:val="7"/>
        <w:spacing w:before="0" w:line="770" w:lineRule="exact"/>
        <w:rPr>
          <w:rFonts w:hint="eastAsia" w:ascii="黑体" w:hAnsi="宋体" w:eastAsia="黑体"/>
          <w:sz w:val="52"/>
          <w:szCs w:val="52"/>
        </w:rPr>
      </w:pPr>
    </w:p>
    <w:p w14:paraId="5D9B3997">
      <w:pPr>
        <w:pStyle w:val="7"/>
        <w:spacing w:before="0" w:line="770" w:lineRule="exact"/>
        <w:rPr>
          <w:rFonts w:hint="eastAsia" w:ascii="黑体" w:hAnsi="宋体" w:eastAsia="黑体"/>
          <w:sz w:val="52"/>
          <w:szCs w:val="52"/>
        </w:rPr>
      </w:pPr>
    </w:p>
    <w:p w14:paraId="2B294D30">
      <w:pPr>
        <w:pStyle w:val="7"/>
        <w:spacing w:before="0" w:line="770" w:lineRule="exact"/>
        <w:rPr>
          <w:rFonts w:hint="eastAsia" w:ascii="黑体" w:hAnsi="宋体" w:eastAsia="黑体"/>
          <w:sz w:val="52"/>
          <w:szCs w:val="52"/>
        </w:rPr>
      </w:pPr>
    </w:p>
    <w:p w14:paraId="4B6F0B64">
      <w:pPr>
        <w:pStyle w:val="7"/>
        <w:spacing w:before="0" w:line="770" w:lineRule="exact"/>
        <w:rPr>
          <w:rFonts w:hint="eastAsia" w:ascii="黑体" w:hAnsi="宋体" w:eastAsia="黑体"/>
          <w:sz w:val="52"/>
          <w:szCs w:val="52"/>
        </w:rPr>
      </w:pPr>
    </w:p>
    <w:p w14:paraId="6707C26A">
      <w:pPr>
        <w:pStyle w:val="7"/>
        <w:spacing w:before="0" w:line="770" w:lineRule="exact"/>
        <w:rPr>
          <w:rFonts w:eastAsia="黑体"/>
          <w:color w:val="FF0000"/>
          <w:sz w:val="44"/>
          <w:szCs w:val="44"/>
        </w:rPr>
      </w:pPr>
      <w:r>
        <w:rPr>
          <w:rFonts w:hint="eastAsia" w:ascii="黑体" w:hAnsi="宋体" w:eastAsia="黑体"/>
          <w:sz w:val="44"/>
          <w:szCs w:val="44"/>
        </w:rPr>
        <w:t>稀土</w:t>
      </w:r>
      <w:r>
        <w:rPr>
          <w:rFonts w:hint="eastAsia" w:ascii="黑体" w:hAnsi="宋体" w:eastAsia="黑体"/>
          <w:sz w:val="44"/>
          <w:szCs w:val="44"/>
          <w:lang w:val="en-US" w:eastAsia="zh-CN"/>
        </w:rPr>
        <w:t>精矿</w:t>
      </w:r>
      <w:r>
        <w:rPr>
          <w:rFonts w:hint="eastAsia" w:ascii="黑体" w:hAnsi="宋体" w:eastAsia="黑体"/>
          <w:sz w:val="44"/>
          <w:szCs w:val="44"/>
        </w:rPr>
        <w:t>化学分析方法</w:t>
      </w:r>
      <w:r>
        <w:rPr>
          <w:rFonts w:hint="eastAsia" w:eastAsia="黑体"/>
          <w:color w:val="FF0000"/>
          <w:sz w:val="44"/>
          <w:szCs w:val="44"/>
        </w:rPr>
        <w:t>　</w:t>
      </w:r>
    </w:p>
    <w:p w14:paraId="2712DBE3">
      <w:pPr>
        <w:jc w:val="center"/>
        <w:rPr>
          <w:rFonts w:hint="eastAsia" w:ascii="黑体" w:hAnsi="宋体" w:eastAsia="黑体"/>
          <w:sz w:val="52"/>
          <w:szCs w:val="52"/>
        </w:rPr>
      </w:pPr>
      <w:r>
        <w:rPr>
          <w:rFonts w:hint="default" w:ascii="Times New Roman" w:hAnsi="Times New Roman" w:eastAsia="黑体" w:cs="Times New Roman"/>
          <w:sz w:val="44"/>
          <w:szCs w:val="44"/>
        </w:rPr>
        <w:t>第</w:t>
      </w:r>
      <w:r>
        <w:rPr>
          <w:rFonts w:hint="eastAsia" w:ascii="Times New Roman" w:hAnsi="Times New Roman" w:eastAsia="黑体" w:cs="Times New Roman"/>
          <w:sz w:val="44"/>
          <w:szCs w:val="44"/>
          <w:lang w:val="en-US" w:eastAsia="zh-CN"/>
        </w:rPr>
        <w:t>9</w:t>
      </w:r>
      <w:r>
        <w:rPr>
          <w:rFonts w:hint="default" w:ascii="Times New Roman" w:hAnsi="Times New Roman" w:eastAsia="黑体" w:cs="Times New Roman"/>
          <w:sz w:val="44"/>
          <w:szCs w:val="44"/>
        </w:rPr>
        <w:t>部分：</w:t>
      </w:r>
      <w:r>
        <w:rPr>
          <w:rFonts w:hint="eastAsia" w:ascii="Times New Roman" w:hAnsi="Times New Roman" w:eastAsia="黑体" w:cs="Times New Roman"/>
          <w:sz w:val="44"/>
          <w:szCs w:val="44"/>
          <w:lang w:val="en-US" w:eastAsia="zh-CN"/>
        </w:rPr>
        <w:t>五氧化二磷</w:t>
      </w:r>
      <w:r>
        <w:rPr>
          <w:rFonts w:hint="default" w:ascii="Times New Roman" w:hAnsi="Times New Roman" w:eastAsia="黑体" w:cs="Times New Roman"/>
          <w:sz w:val="44"/>
          <w:szCs w:val="44"/>
          <w:lang w:val="en-US" w:eastAsia="zh-CN"/>
        </w:rPr>
        <w:t>量</w:t>
      </w:r>
      <w:r>
        <w:rPr>
          <w:rFonts w:hint="default" w:ascii="Times New Roman" w:hAnsi="Times New Roman" w:eastAsia="黑体" w:cs="Times New Roman"/>
          <w:sz w:val="44"/>
          <w:szCs w:val="44"/>
        </w:rPr>
        <w:t>的测定</w:t>
      </w:r>
    </w:p>
    <w:p w14:paraId="62D912DE">
      <w:pPr>
        <w:jc w:val="center"/>
        <w:rPr>
          <w:rFonts w:hint="eastAsia" w:ascii="黑体" w:hAnsi="宋体" w:eastAsia="黑体"/>
          <w:sz w:val="52"/>
          <w:szCs w:val="52"/>
        </w:rPr>
      </w:pPr>
    </w:p>
    <w:p w14:paraId="45E90E18">
      <w:pPr>
        <w:jc w:val="center"/>
        <w:rPr>
          <w:rFonts w:hint="eastAsia" w:ascii="黑体" w:hAnsi="宋体" w:eastAsia="黑体"/>
          <w:sz w:val="32"/>
          <w:szCs w:val="32"/>
          <w:lang w:val="en-US" w:eastAsia="zh-CN"/>
        </w:rPr>
      </w:pPr>
      <w:r>
        <w:rPr>
          <w:rFonts w:hint="eastAsia" w:ascii="黑体" w:hAnsi="宋体" w:eastAsia="黑体"/>
          <w:sz w:val="32"/>
          <w:szCs w:val="32"/>
          <w:lang w:val="en-US" w:eastAsia="zh-CN"/>
        </w:rPr>
        <w:t>编制说明</w:t>
      </w:r>
    </w:p>
    <w:p w14:paraId="5020AF94">
      <w:pPr>
        <w:jc w:val="center"/>
        <w:rPr>
          <w:rFonts w:hint="eastAsia" w:ascii="黑体" w:hAnsi="宋体" w:eastAsia="黑体"/>
          <w:sz w:val="32"/>
          <w:szCs w:val="32"/>
          <w:lang w:val="en-US" w:eastAsia="zh-CN"/>
        </w:rPr>
      </w:pPr>
    </w:p>
    <w:p w14:paraId="6064BE14">
      <w:pPr>
        <w:jc w:val="center"/>
        <w:rPr>
          <w:rFonts w:hint="eastAsia" w:ascii="黑体" w:hAnsi="宋体" w:eastAsia="黑体"/>
          <w:sz w:val="32"/>
          <w:szCs w:val="32"/>
          <w:lang w:val="en-US" w:eastAsia="zh-CN"/>
        </w:rPr>
      </w:pPr>
    </w:p>
    <w:p w14:paraId="77109976">
      <w:pPr>
        <w:jc w:val="center"/>
        <w:rPr>
          <w:rFonts w:hint="eastAsia" w:ascii="黑体" w:hAnsi="宋体" w:eastAsia="黑体"/>
          <w:sz w:val="32"/>
          <w:szCs w:val="32"/>
          <w:lang w:val="en-US" w:eastAsia="zh-CN"/>
        </w:rPr>
      </w:pPr>
    </w:p>
    <w:p w14:paraId="24A4F746">
      <w:pPr>
        <w:jc w:val="center"/>
        <w:rPr>
          <w:rFonts w:hint="eastAsia" w:ascii="黑体" w:hAnsi="宋体" w:eastAsia="黑体"/>
          <w:sz w:val="32"/>
          <w:szCs w:val="32"/>
          <w:lang w:val="en-US" w:eastAsia="zh-CN"/>
        </w:rPr>
      </w:pPr>
    </w:p>
    <w:p w14:paraId="35B55AFC">
      <w:pPr>
        <w:jc w:val="center"/>
        <w:rPr>
          <w:rFonts w:hint="eastAsia" w:ascii="黑体" w:hAnsi="宋体" w:eastAsia="黑体"/>
          <w:sz w:val="32"/>
          <w:szCs w:val="32"/>
          <w:lang w:val="en-US" w:eastAsia="zh-CN"/>
        </w:rPr>
      </w:pPr>
    </w:p>
    <w:p w14:paraId="447D77A9">
      <w:pPr>
        <w:jc w:val="center"/>
        <w:rPr>
          <w:rFonts w:hint="eastAsia" w:ascii="黑体" w:hAnsi="宋体" w:eastAsia="黑体"/>
          <w:sz w:val="32"/>
          <w:szCs w:val="32"/>
          <w:lang w:val="en-US" w:eastAsia="zh-CN"/>
        </w:rPr>
      </w:pPr>
    </w:p>
    <w:p w14:paraId="0BA90758">
      <w:pPr>
        <w:jc w:val="center"/>
        <w:rPr>
          <w:rFonts w:hint="eastAsia" w:ascii="黑体" w:hAnsi="宋体" w:eastAsia="黑体"/>
          <w:sz w:val="32"/>
          <w:szCs w:val="32"/>
          <w:lang w:val="en-US" w:eastAsia="zh-CN"/>
        </w:rPr>
      </w:pPr>
    </w:p>
    <w:p w14:paraId="2258910A">
      <w:pPr>
        <w:jc w:val="center"/>
        <w:rPr>
          <w:rFonts w:hint="eastAsia" w:ascii="黑体" w:hAnsi="宋体" w:eastAsia="黑体"/>
          <w:sz w:val="32"/>
          <w:szCs w:val="32"/>
          <w:lang w:val="en-US" w:eastAsia="zh-CN"/>
        </w:rPr>
      </w:pPr>
    </w:p>
    <w:p w14:paraId="64506368">
      <w:pPr>
        <w:jc w:val="both"/>
        <w:rPr>
          <w:rFonts w:hint="eastAsia" w:ascii="黑体" w:hAnsi="宋体" w:eastAsia="黑体"/>
          <w:sz w:val="32"/>
          <w:szCs w:val="32"/>
          <w:lang w:val="en-US" w:eastAsia="zh-CN"/>
        </w:rPr>
      </w:pPr>
    </w:p>
    <w:p w14:paraId="5B42D9EE">
      <w:pPr>
        <w:jc w:val="center"/>
        <w:rPr>
          <w:rFonts w:hint="eastAsia" w:ascii="黑体" w:hAnsi="宋体" w:eastAsia="黑体"/>
          <w:sz w:val="32"/>
          <w:szCs w:val="32"/>
          <w:lang w:val="en-US" w:eastAsia="zh-CN"/>
        </w:rPr>
      </w:pPr>
      <w:r>
        <w:rPr>
          <w:rFonts w:hint="eastAsia" w:ascii="黑体" w:hAnsi="宋体" w:eastAsia="黑体"/>
          <w:sz w:val="32"/>
          <w:szCs w:val="32"/>
          <w:lang w:val="en-US" w:eastAsia="zh-CN"/>
        </w:rPr>
        <w:t>包头稀土研究院</w:t>
      </w:r>
    </w:p>
    <w:p w14:paraId="1111DD5C">
      <w:pPr>
        <w:jc w:val="center"/>
        <w:rPr>
          <w:rFonts w:hint="eastAsia" w:ascii="黑体" w:hAnsi="宋体" w:eastAsia="黑体"/>
          <w:sz w:val="32"/>
          <w:szCs w:val="32"/>
          <w:lang w:val="en-US" w:eastAsia="zh-CN"/>
        </w:rPr>
      </w:pPr>
      <w:r>
        <w:rPr>
          <w:rFonts w:hint="eastAsia" w:ascii="黑体" w:hAnsi="宋体" w:eastAsia="黑体"/>
          <w:sz w:val="32"/>
          <w:szCs w:val="32"/>
          <w:lang w:val="en-US" w:eastAsia="zh-CN"/>
        </w:rPr>
        <w:t>2024年8月</w:t>
      </w:r>
    </w:p>
    <w:p w14:paraId="7D5B18EA">
      <w:pPr>
        <w:jc w:val="center"/>
        <w:rPr>
          <w:rFonts w:hint="eastAsia" w:ascii="黑体" w:hAnsi="宋体" w:eastAsia="黑体"/>
          <w:sz w:val="32"/>
          <w:szCs w:val="32"/>
          <w:lang w:val="en-US" w:eastAsia="zh-CN"/>
        </w:rPr>
      </w:pPr>
    </w:p>
    <w:p w14:paraId="4B2E9F9F">
      <w:pPr>
        <w:jc w:val="both"/>
        <w:rPr>
          <w:rFonts w:hint="default" w:ascii="黑体" w:hAnsi="宋体" w:eastAsia="黑体"/>
          <w:sz w:val="24"/>
          <w:szCs w:val="24"/>
          <w:lang w:val="en-US" w:eastAsia="zh-CN"/>
        </w:rPr>
      </w:pPr>
    </w:p>
    <w:p w14:paraId="0CD38EF7">
      <w:pPr>
        <w:jc w:val="center"/>
        <w:rPr>
          <w:rFonts w:hint="eastAsia" w:ascii="黑体" w:hAnsi="宋体" w:eastAsia="黑体"/>
          <w:sz w:val="30"/>
          <w:szCs w:val="30"/>
          <w:lang w:val="en-US" w:eastAsia="zh-CN"/>
        </w:rPr>
      </w:pPr>
      <w:r>
        <w:rPr>
          <w:rFonts w:hint="eastAsia" w:ascii="黑体" w:hAnsi="宋体" w:eastAsia="黑体"/>
          <w:sz w:val="30"/>
          <w:szCs w:val="30"/>
          <w:lang w:val="en-US" w:eastAsia="zh-CN"/>
        </w:rPr>
        <w:t>《</w:t>
      </w:r>
      <w:r>
        <w:rPr>
          <w:rFonts w:hint="default" w:ascii="Times New Roman" w:hAnsi="Times New Roman" w:eastAsia="黑体" w:cs="Times New Roman"/>
          <w:sz w:val="30"/>
          <w:szCs w:val="30"/>
          <w:lang w:val="en-US" w:eastAsia="zh-CN"/>
        </w:rPr>
        <w:t>稀土精矿化学分析方法 第</w:t>
      </w:r>
      <w:r>
        <w:rPr>
          <w:rFonts w:hint="eastAsia" w:ascii="Times New Roman" w:hAnsi="Times New Roman" w:eastAsia="黑体" w:cs="Times New Roman"/>
          <w:sz w:val="30"/>
          <w:szCs w:val="30"/>
          <w:lang w:val="en-US" w:eastAsia="zh-CN"/>
        </w:rPr>
        <w:t>9</w:t>
      </w:r>
      <w:r>
        <w:rPr>
          <w:rFonts w:hint="default" w:ascii="Times New Roman" w:hAnsi="Times New Roman" w:eastAsia="黑体" w:cs="Times New Roman"/>
          <w:sz w:val="30"/>
          <w:szCs w:val="30"/>
          <w:lang w:val="en-US" w:eastAsia="zh-CN"/>
        </w:rPr>
        <w:t>部分：</w:t>
      </w:r>
      <w:r>
        <w:rPr>
          <w:rFonts w:hint="eastAsia" w:ascii="Times New Roman" w:hAnsi="Times New Roman" w:eastAsia="黑体" w:cs="Times New Roman"/>
          <w:sz w:val="30"/>
          <w:szCs w:val="30"/>
          <w:lang w:val="en-US" w:eastAsia="zh-CN"/>
        </w:rPr>
        <w:t>五氧化二磷</w:t>
      </w:r>
      <w:r>
        <w:rPr>
          <w:rFonts w:hint="default" w:ascii="Times New Roman" w:hAnsi="Times New Roman" w:eastAsia="黑体" w:cs="Times New Roman"/>
          <w:sz w:val="30"/>
          <w:szCs w:val="30"/>
          <w:lang w:val="en-US" w:eastAsia="zh-CN"/>
        </w:rPr>
        <w:t>含量的测定</w:t>
      </w:r>
      <w:r>
        <w:rPr>
          <w:rFonts w:hint="eastAsia" w:ascii="黑体" w:hAnsi="宋体" w:eastAsia="黑体"/>
          <w:sz w:val="30"/>
          <w:szCs w:val="30"/>
          <w:lang w:val="en-US" w:eastAsia="zh-CN"/>
        </w:rPr>
        <w:t>》</w:t>
      </w:r>
    </w:p>
    <w:p w14:paraId="1BD89DFE">
      <w:pPr>
        <w:jc w:val="center"/>
        <w:rPr>
          <w:rFonts w:hint="default" w:ascii="黑体" w:hAnsi="宋体" w:eastAsia="黑体"/>
          <w:sz w:val="30"/>
          <w:szCs w:val="30"/>
          <w:lang w:val="en-US" w:eastAsia="zh-CN"/>
        </w:rPr>
      </w:pPr>
      <w:r>
        <w:rPr>
          <w:rFonts w:hint="eastAsia" w:ascii="黑体" w:hAnsi="宋体" w:eastAsia="黑体"/>
          <w:sz w:val="30"/>
          <w:szCs w:val="30"/>
          <w:lang w:val="en-US" w:eastAsia="zh-CN"/>
        </w:rPr>
        <w:t>编制说明（预审）</w:t>
      </w:r>
    </w:p>
    <w:p w14:paraId="253626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lang w:val="en-US" w:eastAsia="zh-CN"/>
        </w:rPr>
      </w:pPr>
      <w:r>
        <w:rPr>
          <w:rFonts w:hint="eastAsia" w:ascii="黑体" w:hAnsi="黑体" w:eastAsia="黑体" w:cs="黑体"/>
          <w:b w:val="0"/>
          <w:bCs w:val="0"/>
          <w:sz w:val="24"/>
          <w:szCs w:val="24"/>
          <w:lang w:val="en-US" w:eastAsia="zh-CN"/>
        </w:rPr>
        <w:t>一 工作简况</w:t>
      </w:r>
    </w:p>
    <w:p w14:paraId="431459B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1"/>
          <w:szCs w:val="21"/>
          <w:lang w:val="en-US" w:eastAsia="zh-CN"/>
        </w:rPr>
      </w:pPr>
      <w:r>
        <w:rPr>
          <w:rFonts w:hint="eastAsia" w:ascii="黑体" w:hAnsi="黑体" w:eastAsia="黑体" w:cs="黑体"/>
          <w:sz w:val="21"/>
          <w:szCs w:val="21"/>
          <w:lang w:val="en-US" w:eastAsia="zh-CN"/>
        </w:rPr>
        <w:t>1 任务来源</w:t>
      </w:r>
    </w:p>
    <w:p w14:paraId="72EE98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default" w:ascii="Times New Roman" w:hAnsi="Times New Roman" w:cs="Times New Roman"/>
          <w:szCs w:val="21"/>
          <w:lang w:val="en-US" w:eastAsia="zh-CN"/>
        </w:rPr>
        <w:t>根据</w:t>
      </w:r>
      <w:r>
        <w:rPr>
          <w:rFonts w:hint="default" w:ascii="Times New Roman" w:hAnsi="Times New Roman" w:cs="Times New Roman"/>
          <w:szCs w:val="21"/>
          <w:lang w:eastAsia="zh-CN"/>
        </w:rPr>
        <w:t>202</w:t>
      </w:r>
      <w:r>
        <w:rPr>
          <w:rFonts w:hint="default" w:ascii="Times New Roman" w:hAnsi="Times New Roman" w:cs="Times New Roman"/>
          <w:szCs w:val="21"/>
          <w:lang w:val="en-US" w:eastAsia="zh-CN"/>
        </w:rPr>
        <w:t>4</w:t>
      </w:r>
      <w:r>
        <w:rPr>
          <w:rFonts w:hint="default" w:ascii="Times New Roman" w:hAnsi="Times New Roman" w:cs="Times New Roman"/>
          <w:szCs w:val="21"/>
          <w:lang w:eastAsia="zh-CN"/>
        </w:rPr>
        <w:t>年</w:t>
      </w:r>
      <w:r>
        <w:rPr>
          <w:rFonts w:hint="default" w:ascii="Times New Roman" w:hAnsi="Times New Roman" w:cs="Times New Roman"/>
          <w:szCs w:val="21"/>
          <w:lang w:val="en-US" w:eastAsia="zh-CN"/>
        </w:rPr>
        <w:t>2</w:t>
      </w:r>
      <w:r>
        <w:rPr>
          <w:rFonts w:hint="default" w:ascii="Times New Roman" w:hAnsi="Times New Roman" w:cs="Times New Roman"/>
          <w:szCs w:val="21"/>
          <w:lang w:eastAsia="zh-CN"/>
        </w:rPr>
        <w:t>月</w:t>
      </w:r>
      <w:r>
        <w:rPr>
          <w:rFonts w:hint="default" w:ascii="Times New Roman" w:hAnsi="Times New Roman" w:cs="Times New Roman"/>
          <w:szCs w:val="21"/>
          <w:lang w:val="en-US" w:eastAsia="zh-CN"/>
        </w:rPr>
        <w:t>4</w:t>
      </w:r>
      <w:r>
        <w:rPr>
          <w:rFonts w:hint="default" w:ascii="Times New Roman" w:hAnsi="Times New Roman" w:cs="Times New Roman"/>
          <w:szCs w:val="21"/>
          <w:lang w:eastAsia="zh-CN"/>
        </w:rPr>
        <w:t>日</w:t>
      </w:r>
      <w:r>
        <w:rPr>
          <w:rFonts w:hint="default" w:ascii="Times New Roman" w:hAnsi="Times New Roman" w:cs="Times New Roman"/>
          <w:szCs w:val="20"/>
        </w:rPr>
        <w:t>全国稀土标准化技术委员会</w:t>
      </w:r>
      <w:r>
        <w:rPr>
          <w:rFonts w:hint="default" w:ascii="Times New Roman" w:hAnsi="Times New Roman" w:cs="Times New Roman"/>
          <w:szCs w:val="20"/>
          <w:lang w:val="en-US" w:eastAsia="zh-CN"/>
        </w:rPr>
        <w:t>下发</w:t>
      </w:r>
      <w:r>
        <w:rPr>
          <w:rFonts w:hint="default" w:ascii="Times New Roman" w:hAnsi="Times New Roman" w:cs="Times New Roman"/>
          <w:szCs w:val="21"/>
          <w:lang w:eastAsia="zh-CN"/>
        </w:rPr>
        <w:t>《关于</w:t>
      </w:r>
      <w:r>
        <w:rPr>
          <w:rFonts w:hint="default" w:ascii="Times New Roman" w:hAnsi="Times New Roman" w:cs="Times New Roman"/>
          <w:szCs w:val="21"/>
          <w:lang w:val="en-US" w:eastAsia="zh-CN"/>
        </w:rPr>
        <w:t>印发&lt;稀土复合钇锆陶瓷粉&gt;等24项国家、行业标准计划任务落实会议纪要</w:t>
      </w:r>
      <w:r>
        <w:rPr>
          <w:rFonts w:hint="default" w:ascii="Times New Roman" w:hAnsi="Times New Roman" w:cs="Times New Roman"/>
          <w:szCs w:val="21"/>
          <w:lang w:eastAsia="zh-CN"/>
        </w:rPr>
        <w:t>的通知》</w:t>
      </w:r>
      <w:r>
        <w:rPr>
          <w:rFonts w:hint="default" w:ascii="Times New Roman" w:hAnsi="Times New Roman" w:cs="Times New Roman"/>
          <w:szCs w:val="21"/>
          <w:lang w:val="en-US" w:eastAsia="zh-CN"/>
        </w:rPr>
        <w:t>要求</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稀土标委</w:t>
      </w:r>
      <w:r>
        <w:rPr>
          <w:rFonts w:hint="default" w:ascii="Times New Roman" w:hAnsi="Times New Roman" w:cs="Times New Roman"/>
          <w:szCs w:val="21"/>
          <w:lang w:eastAsia="zh-CN"/>
        </w:rPr>
        <w:t>[202</w:t>
      </w:r>
      <w:r>
        <w:rPr>
          <w:rFonts w:hint="default" w:ascii="Times New Roman" w:hAnsi="Times New Roman" w:cs="Times New Roman"/>
          <w:szCs w:val="21"/>
          <w:lang w:val="en-US" w:eastAsia="zh-CN"/>
        </w:rPr>
        <w:t>4</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6</w:t>
      </w:r>
      <w:r>
        <w:rPr>
          <w:rFonts w:hint="default" w:ascii="Times New Roman" w:hAnsi="Times New Roman" w:cs="Times New Roman"/>
          <w:szCs w:val="21"/>
          <w:lang w:eastAsia="zh-CN"/>
        </w:rPr>
        <w:t>号），国家标准《</w:t>
      </w:r>
      <w:r>
        <w:rPr>
          <w:rFonts w:hint="default" w:ascii="Times New Roman" w:hAnsi="Times New Roman" w:cs="Times New Roman"/>
          <w:szCs w:val="21"/>
          <w:lang w:val="en-US" w:eastAsia="zh-CN"/>
        </w:rPr>
        <w:t>稀土精矿</w:t>
      </w:r>
      <w:r>
        <w:rPr>
          <w:rFonts w:hint="default" w:ascii="Times New Roman" w:hAnsi="Times New Roman" w:cs="Times New Roman"/>
          <w:szCs w:val="21"/>
          <w:lang w:eastAsia="zh-CN"/>
        </w:rPr>
        <w:t>化学分析方法</w:t>
      </w:r>
      <w:r>
        <w:rPr>
          <w:rFonts w:hint="default" w:ascii="Times New Roman" w:hAnsi="Times New Roman" w:cs="Times New Roman"/>
          <w:szCs w:val="21"/>
          <w:lang w:val="en-US" w:eastAsia="zh-CN"/>
        </w:rPr>
        <w:t xml:space="preserve"> </w:t>
      </w:r>
      <w:r>
        <w:rPr>
          <w:rFonts w:hint="default" w:ascii="Times New Roman" w:hAnsi="Times New Roman" w:cs="Times New Roman"/>
          <w:szCs w:val="21"/>
          <w:lang w:eastAsia="zh-CN"/>
        </w:rPr>
        <w:t>第</w:t>
      </w:r>
      <w:r>
        <w:rPr>
          <w:rFonts w:hint="eastAsia" w:ascii="Times New Roman" w:hAnsi="Times New Roman" w:cs="Times New Roman"/>
          <w:szCs w:val="21"/>
          <w:lang w:val="en-US" w:eastAsia="zh-CN"/>
        </w:rPr>
        <w:t>9</w:t>
      </w:r>
      <w:r>
        <w:rPr>
          <w:rFonts w:hint="default" w:ascii="Times New Roman" w:hAnsi="Times New Roman" w:cs="Times New Roman"/>
          <w:szCs w:val="21"/>
          <w:lang w:eastAsia="zh-CN"/>
        </w:rPr>
        <w:t>部分：</w:t>
      </w:r>
      <w:r>
        <w:rPr>
          <w:rFonts w:hint="eastAsia" w:ascii="Times New Roman" w:hAnsi="Times New Roman" w:cs="Times New Roman"/>
          <w:szCs w:val="21"/>
          <w:lang w:val="en-US" w:eastAsia="zh-CN"/>
        </w:rPr>
        <w:t>五氧化二磷</w:t>
      </w:r>
      <w:r>
        <w:rPr>
          <w:rFonts w:hint="default" w:ascii="Times New Roman" w:hAnsi="Times New Roman" w:cs="Times New Roman"/>
          <w:szCs w:val="21"/>
          <w:lang w:eastAsia="zh-CN"/>
        </w:rPr>
        <w:t>含量的测定》修订</w:t>
      </w:r>
      <w:r>
        <w:rPr>
          <w:rFonts w:hint="default" w:ascii="Times New Roman" w:hAnsi="Times New Roman" w:cs="Times New Roman"/>
          <w:szCs w:val="21"/>
          <w:lang w:val="en-US" w:eastAsia="zh-CN"/>
        </w:rPr>
        <w:t>工作</w:t>
      </w:r>
      <w:r>
        <w:rPr>
          <w:rFonts w:hint="default" w:ascii="Times New Roman" w:hAnsi="Times New Roman" w:cs="Times New Roman"/>
          <w:szCs w:val="21"/>
          <w:lang w:eastAsia="zh-CN"/>
        </w:rPr>
        <w:t>由全国稀土标准化技术委员会归口（项目计划编号</w:t>
      </w:r>
      <w:r>
        <w:rPr>
          <w:rFonts w:hint="default" w:ascii="Times New Roman" w:hAnsi="Times New Roman" w:cs="Times New Roman"/>
          <w:szCs w:val="21"/>
          <w:lang w:val="en-US" w:eastAsia="zh-CN"/>
        </w:rPr>
        <w:t>：20231308-T-469），包头稀土研究院</w:t>
      </w:r>
      <w:r>
        <w:rPr>
          <w:rFonts w:hint="default" w:ascii="Times New Roman" w:hAnsi="Times New Roman" w:cs="Times New Roman"/>
          <w:szCs w:val="21"/>
          <w:lang w:eastAsia="zh-CN"/>
        </w:rPr>
        <w:t>负责</w:t>
      </w:r>
      <w:r>
        <w:rPr>
          <w:rFonts w:hint="default" w:ascii="Times New Roman" w:hAnsi="Times New Roman" w:cs="Times New Roman"/>
          <w:szCs w:val="21"/>
          <w:lang w:val="en-US" w:eastAsia="zh-CN"/>
        </w:rPr>
        <w:t>推进</w:t>
      </w:r>
      <w:r>
        <w:rPr>
          <w:rFonts w:hint="default" w:ascii="Times New Roman" w:hAnsi="Times New Roman" w:cs="Times New Roman"/>
          <w:szCs w:val="21"/>
          <w:lang w:eastAsia="zh-CN"/>
        </w:rPr>
        <w:t>，项目周期16个月。</w:t>
      </w:r>
      <w:r>
        <w:rPr>
          <w:rFonts w:hint="default" w:ascii="Times New Roman" w:hAnsi="Times New Roman" w:cs="Times New Roman"/>
          <w:szCs w:val="21"/>
          <w:lang w:val="en-US" w:eastAsia="zh-CN"/>
        </w:rPr>
        <w:t>基于项目论证期间专家建议及生产</w:t>
      </w:r>
      <w:r>
        <w:rPr>
          <w:rFonts w:hint="eastAsia" w:ascii="Times New Roman" w:hAnsi="Times New Roman" w:cs="Times New Roman"/>
          <w:szCs w:val="21"/>
          <w:lang w:val="en-US" w:eastAsia="zh-CN"/>
        </w:rPr>
        <w:t>、科研情况调研需求</w:t>
      </w:r>
      <w:r>
        <w:rPr>
          <w:rFonts w:hint="default" w:ascii="Times New Roman" w:hAnsi="Times New Roman" w:cs="Times New Roman"/>
          <w:szCs w:val="21"/>
          <w:lang w:val="en-US" w:eastAsia="zh-CN"/>
        </w:rPr>
        <w:t>，本次修订</w:t>
      </w:r>
      <w:r>
        <w:rPr>
          <w:rFonts w:hint="eastAsia" w:ascii="Times New Roman" w:hAnsi="Times New Roman" w:cs="Times New Roman"/>
          <w:lang w:val="en-US" w:eastAsia="zh-CN"/>
        </w:rPr>
        <w:t>增加了</w:t>
      </w:r>
      <w:r>
        <w:rPr>
          <w:rFonts w:hint="eastAsia" w:ascii="Times New Roman" w:hAnsi="Times New Roman" w:eastAsiaTheme="minorEastAsia"/>
          <w:lang w:val="en-US" w:eastAsia="zh-CN"/>
        </w:rPr>
        <w:t>“方法2</w:t>
      </w:r>
      <w:r>
        <w:rPr>
          <w:rFonts w:hint="eastAsia" w:ascii="Times New Roman" w:hAnsi="Times New Roman" w:cs="Times New Roman"/>
          <w:szCs w:val="21"/>
          <w:lang w:val="en-US" w:eastAsia="zh-CN"/>
        </w:rPr>
        <w:t>电感耦合等离子体发射光谱法</w:t>
      </w:r>
      <w:r>
        <w:rPr>
          <w:rFonts w:hint="eastAsia" w:ascii="Times New Roman" w:hAnsi="Times New Roman" w:eastAsiaTheme="minorEastAsia"/>
          <w:lang w:val="en-US" w:eastAsia="zh-CN"/>
        </w:rPr>
        <w:t>”</w:t>
      </w:r>
      <w:r>
        <w:rPr>
          <w:rFonts w:hint="eastAsia" w:ascii="Times New Roman" w:hAnsi="Times New Roman"/>
          <w:lang w:val="en-US" w:eastAsia="zh-CN"/>
        </w:rPr>
        <w:t>。</w:t>
      </w:r>
    </w:p>
    <w:p w14:paraId="572272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lang w:val="en-US" w:eastAsia="zh-CN"/>
        </w:rPr>
      </w:pPr>
      <w:r>
        <w:rPr>
          <w:rFonts w:hint="eastAsia" w:ascii="黑体" w:hAnsi="黑体" w:eastAsia="黑体" w:cs="黑体"/>
          <w:lang w:val="en-US" w:eastAsia="zh-CN"/>
        </w:rPr>
        <w:t>2 项目编制组简况</w:t>
      </w:r>
    </w:p>
    <w:p w14:paraId="60EFB7B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lang w:val="en-US" w:eastAsia="zh-CN"/>
        </w:rPr>
      </w:pPr>
      <w:r>
        <w:rPr>
          <w:rFonts w:hint="eastAsia" w:ascii="Times New Roman" w:hAnsi="Times New Roman"/>
          <w:lang w:val="en-US" w:eastAsia="zh-CN"/>
        </w:rPr>
        <w:t>2.1 编制组成员单位</w:t>
      </w:r>
    </w:p>
    <w:p w14:paraId="170C95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eastAsia" w:ascii="Times New Roman" w:hAnsi="Times New Roman"/>
          <w:lang w:val="en-US" w:eastAsia="zh-CN"/>
        </w:rPr>
      </w:pPr>
      <w:r>
        <w:rPr>
          <w:rFonts w:hint="eastAsia" w:ascii="Times New Roman" w:hAnsi="Times New Roman"/>
          <w:lang w:val="en-US" w:eastAsia="zh-CN"/>
        </w:rPr>
        <w:t>编制组由包头稀土研究院、国标（北京）检验认证有限公司、江西金世纪新材料股份有限公司、中国科学院海西研究院厦门稀土材料研究所、包头稀土新材料技术研发中心、包头华美稀土高科技有限公司、四川省冕宁县方兴稀土有限公司7家单位组成。</w:t>
      </w:r>
    </w:p>
    <w:p w14:paraId="6B375B2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lang w:val="en-US" w:eastAsia="zh-CN"/>
        </w:rPr>
      </w:pPr>
      <w:r>
        <w:rPr>
          <w:rFonts w:hint="eastAsia" w:ascii="Times New Roman" w:hAnsi="Times New Roman"/>
          <w:lang w:val="en-US" w:eastAsia="zh-CN"/>
        </w:rPr>
        <w:t>2.2 成员单位基本情况</w:t>
      </w:r>
    </w:p>
    <w:p w14:paraId="74953979">
      <w:pPr>
        <w:ind w:firstLine="420" w:firstLineChars="200"/>
        <w:rPr>
          <w:rFonts w:hint="eastAsia" w:ascii="Times New Roman" w:hAnsi="Times New Roman" w:cs="Times New Roman"/>
          <w:lang w:eastAsia="zh-CN"/>
        </w:rPr>
      </w:pPr>
      <w:r>
        <w:rPr>
          <w:rFonts w:hint="default" w:ascii="Times New Roman" w:hAnsi="Times New Roman" w:cs="Times New Roman"/>
          <w:lang w:val="en-US" w:eastAsia="zh-CN"/>
        </w:rPr>
        <w:t>包头稀土研究院</w:t>
      </w:r>
      <w:r>
        <w:rPr>
          <w:rFonts w:hint="default" w:ascii="Times New Roman" w:hAnsi="Times New Roman" w:cs="Times New Roman"/>
        </w:rPr>
        <w:t>成立于1963年，</w:t>
      </w:r>
      <w:r>
        <w:rPr>
          <w:rFonts w:hint="eastAsia" w:ascii="Times New Roman" w:hAnsi="Times New Roman" w:cs="Times New Roman"/>
          <w:lang w:val="en-US" w:eastAsia="zh-CN"/>
        </w:rPr>
        <w:t>曾</w:t>
      </w:r>
      <w:r>
        <w:rPr>
          <w:rFonts w:hint="default" w:ascii="Times New Roman" w:hAnsi="Times New Roman" w:cs="Times New Roman"/>
        </w:rPr>
        <w:t>直属原冶金工业部</w:t>
      </w:r>
      <w:r>
        <w:rPr>
          <w:rFonts w:hint="eastAsia" w:ascii="Times New Roman" w:hAnsi="Times New Roman" w:cs="Times New Roman"/>
          <w:lang w:eastAsia="zh-CN"/>
        </w:rPr>
        <w:t>，</w:t>
      </w:r>
      <w:r>
        <w:rPr>
          <w:rFonts w:hint="default" w:ascii="Times New Roman" w:hAnsi="Times New Roman" w:cs="Times New Roman"/>
        </w:rPr>
        <w:t>1992年</w:t>
      </w:r>
      <w:r>
        <w:rPr>
          <w:rFonts w:hint="eastAsia" w:ascii="Times New Roman" w:hAnsi="Times New Roman" w:cs="Times New Roman"/>
          <w:lang w:val="en-US" w:eastAsia="zh-CN"/>
        </w:rPr>
        <w:t>并入</w:t>
      </w:r>
      <w:r>
        <w:rPr>
          <w:rFonts w:hint="default" w:ascii="Times New Roman" w:hAnsi="Times New Roman" w:cs="Times New Roman"/>
        </w:rPr>
        <w:t>包钢（集团）公司</w:t>
      </w:r>
      <w:r>
        <w:rPr>
          <w:rFonts w:hint="eastAsia" w:ascii="Times New Roman" w:hAnsi="Times New Roman" w:cs="Times New Roman"/>
          <w:lang w:eastAsia="zh-CN"/>
        </w:rPr>
        <w:t>。</w:t>
      </w:r>
    </w:p>
    <w:p w14:paraId="35097922">
      <w:pPr>
        <w:rPr>
          <w:rFonts w:hint="default" w:ascii="Times New Roman" w:hAnsi="Times New Roman" w:cs="Times New Roman"/>
        </w:rPr>
      </w:pPr>
      <w:r>
        <w:rPr>
          <w:rFonts w:hint="default" w:ascii="Times New Roman" w:hAnsi="Times New Roman" w:cs="Times New Roman"/>
          <w:lang w:val="en-US" w:eastAsia="zh-CN"/>
        </w:rPr>
        <w:t>作为全国最大的综合性稀土研发机构，</w:t>
      </w:r>
      <w:r>
        <w:rPr>
          <w:rFonts w:hint="eastAsia" w:ascii="Times New Roman" w:hAnsi="Times New Roman" w:cs="Times New Roman"/>
          <w:lang w:val="en-US" w:eastAsia="zh-CN"/>
        </w:rPr>
        <w:t>包头</w:t>
      </w:r>
      <w:r>
        <w:rPr>
          <w:rFonts w:hint="default" w:ascii="Times New Roman" w:hAnsi="Times New Roman" w:cs="Times New Roman"/>
          <w:lang w:val="en-US" w:eastAsia="zh-CN"/>
        </w:rPr>
        <w:t>稀土研究院始终以稀土资源的综合开发、利用为宗旨，以稀土冶金、环境保护、新型稀土功能材料及在高新技术领域应用、稀土传统产业技术水平提升、稀土分析检测、稀土情报信息等为研究重点。</w:t>
      </w:r>
      <w:r>
        <w:rPr>
          <w:rFonts w:hint="default" w:ascii="Times New Roman" w:hAnsi="Times New Roman" w:cs="Times New Roman"/>
        </w:rPr>
        <w:t>多年来</w:t>
      </w:r>
      <w:r>
        <w:rPr>
          <w:rFonts w:hint="eastAsia" w:ascii="Times New Roman" w:hAnsi="Times New Roman" w:cs="Times New Roman"/>
          <w:lang w:eastAsia="zh-CN"/>
        </w:rPr>
        <w:t>，</w:t>
      </w:r>
      <w:r>
        <w:rPr>
          <w:rFonts w:hint="default" w:ascii="Times New Roman" w:hAnsi="Times New Roman" w:cs="Times New Roman"/>
        </w:rPr>
        <w:t>包头稀土研究院理化检测中心承担参与60%以上国家稀土产品标准、国家稀土分析方法标准的起草及国家稀土标准样品的研制工作。中心拥有一支高水平的检测团队和一批</w:t>
      </w:r>
      <w:r>
        <w:rPr>
          <w:rFonts w:hint="eastAsia" w:ascii="Times New Roman" w:hAnsi="Times New Roman" w:cs="Times New Roman"/>
          <w:lang w:val="en-US" w:eastAsia="zh-CN"/>
        </w:rPr>
        <w:t>国际</w:t>
      </w:r>
      <w:r>
        <w:rPr>
          <w:rFonts w:hint="default" w:ascii="Times New Roman" w:hAnsi="Times New Roman" w:cs="Times New Roman"/>
        </w:rPr>
        <w:t>先进的检测设备，是行业内知名稀土检测机构</w:t>
      </w:r>
      <w:r>
        <w:rPr>
          <w:rFonts w:hint="eastAsia" w:ascii="Times New Roman" w:hAnsi="Times New Roman" w:cs="Times New Roman"/>
          <w:lang w:eastAsia="zh-CN"/>
        </w:rPr>
        <w:t>，</w:t>
      </w:r>
      <w:r>
        <w:rPr>
          <w:rFonts w:hint="eastAsia" w:ascii="Times New Roman" w:hAnsi="Times New Roman" w:cs="Times New Roman"/>
          <w:lang w:val="en-US" w:eastAsia="zh-CN"/>
        </w:rPr>
        <w:t>配有</w:t>
      </w:r>
      <w:r>
        <w:rPr>
          <w:rFonts w:hint="default" w:ascii="Times New Roman" w:hAnsi="Times New Roman" w:cs="Times New Roman"/>
        </w:rPr>
        <w:t>电感耦合等离子质谱仪、电感耦合等离子光谱仪、辉光放电质谱仪、原子吸收光谱仪、X荧光光谱仪、原子荧光光谱仪、透射电子显微镜、场发射扫描电子显微镜、粒度仪等大型设备，检测范围覆盖材料、物理、化学等领域。</w:t>
      </w:r>
    </w:p>
    <w:p w14:paraId="3A0B9E4D">
      <w:pPr>
        <w:ind w:firstLine="420" w:firstLineChars="200"/>
        <w:rPr>
          <w:rFonts w:hint="eastAsia" w:ascii="Times New Roman" w:hAnsi="Times New Roman"/>
          <w:lang w:val="en-US" w:eastAsia="zh-CN"/>
        </w:rPr>
      </w:pPr>
      <w:r>
        <w:rPr>
          <w:rFonts w:hint="eastAsia" w:ascii="Times New Roman" w:hAnsi="Times New Roman"/>
          <w:lang w:val="en-US" w:eastAsia="zh-CN"/>
        </w:rPr>
        <w:t>国标（北京）检验认证有限公司前身是北京有色金属研究总院分析测试技术研究所，是国家有色金属行业最知名的第三方检验机构之一。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p>
    <w:p w14:paraId="5F85436D">
      <w:pPr>
        <w:ind w:firstLine="420" w:firstLineChars="200"/>
        <w:rPr>
          <w:rFonts w:hint="eastAsia" w:ascii="Times New Roman" w:hAnsi="Times New Roman"/>
          <w:lang w:val="en-US" w:eastAsia="zh-CN"/>
        </w:rPr>
      </w:pPr>
      <w:r>
        <w:rPr>
          <w:rFonts w:hint="eastAsia" w:ascii="Times New Roman" w:hAnsi="Times New Roman"/>
          <w:lang w:val="en-US" w:eastAsia="zh-CN"/>
        </w:rPr>
        <w:t>江西金世纪新材料股份有限公司是一家从事稀土分离研究和生产经营的国家高新技术企业，位于南昌经济技术开发区，占地面积175亩，2000年由原江西省稀土研究所改制设立。稀土研究所从上世纪六十年代在公司现址一直从事稀土分离研究，是国内最早从事稀土研究的单位。公司有雄厚的技术力量，是江西省稀土材料工程技术中心的挂靠单位。现有在编人员127人，其中研发技术人员42人，具有高级职称6人，教授级高工1人。先后完成了国家“六五”、“八五”、“九五”攻关项目和国家级、省部级攻关课题二十多项，获国家和省部级各项科技成果奖多项。近年来，公司先后承担了国家工信部2013年《重稀土低碳清洁高效分离新技术产业平台》项目、2015年稀土行业两化融合示范《重稀土冶炼分离智能工厂应用示范》项目及省科技支撑计划项目《绿色能源氢用稀土高效催化剂》等多项科研项目。与中科院长春应化所、中科院过程所、南昌大学、华东交通大学、江西理工大学、江西农业大学等科研院所有长期合作关系。公司与中科院长春应化所合作项目“重稀土分离新工艺制备高纯氧化镥”于2017年12月8日获中国稀土科学技术二等奖。2019年，公司承担了赣江新区重点研发项目“无机环保色料前驱体碱式碳酸铈的产业化研究与开发”，该项目于2020年顺利通过赣江新区组织的专家组验收。2022年被中国稀土行业协会评为“企业信用评价3A级信用企业”，2022年被江西省工业和信息化厅评为“江西省专精特新中小企业”。</w:t>
      </w:r>
    </w:p>
    <w:p w14:paraId="57E3C92E">
      <w:pPr>
        <w:ind w:firstLine="420" w:firstLineChars="200"/>
        <w:rPr>
          <w:rFonts w:hint="eastAsia" w:ascii="Times New Roman" w:hAnsi="Times New Roman"/>
          <w:lang w:val="en-US" w:eastAsia="zh-CN"/>
        </w:rPr>
      </w:pPr>
      <w:r>
        <w:rPr>
          <w:rFonts w:hint="eastAsia" w:ascii="Times New Roman" w:hAnsi="Times New Roman"/>
          <w:lang w:val="en-US" w:eastAsia="zh-CN"/>
        </w:rPr>
        <w:t>厦门稀土材料研究所又称中国科学院海西研究院厦门稀土材料研究中心，是中国科学院海西研究院的二级机构，作为首批福建省新型研发机构，已建有福建省稀土工程研究中心、福建省清洁核能燃料系统与材料联合创新重点实验室、厦门稀土光电功能材料重点实验室和厦门市重大科技创新公共服务平台等多个平台。该所技术支撑中心先后获得中国科学院、福建省及厦门市多项经费支持，现有设备60余台套，原值6000万元，已经具备了较完备的科研服务能力。同时针对社会需求，成立的中国科学院福建物质结构研究所厦门检验检测中心已通过国家认监委审核，获得国家级CMA资质认证资格，面向全社会提供有法律效力的测试服务。</w:t>
      </w:r>
    </w:p>
    <w:p w14:paraId="3A09797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b/>
          <w:bCs/>
          <w:sz w:val="21"/>
          <w:szCs w:val="21"/>
        </w:rPr>
      </w:pPr>
      <w:r>
        <w:rPr>
          <w:rFonts w:hint="default" w:ascii="Times New Roman" w:hAnsi="Times New Roman" w:cs="Times New Roman"/>
          <w:sz w:val="21"/>
          <w:szCs w:val="21"/>
          <w:lang w:val="en-US" w:eastAsia="zh-CN"/>
        </w:rPr>
        <w:t>包头稀土新材料技术研发中心</w:t>
      </w:r>
      <w:r>
        <w:rPr>
          <w:rFonts w:hint="default" w:ascii="Times New Roman" w:hAnsi="Times New Roman" w:cs="Times New Roman"/>
          <w:sz w:val="21"/>
          <w:szCs w:val="21"/>
        </w:rPr>
        <w:t>是包头市政府直属正处级公益一类事业单位，主要职责：</w:t>
      </w:r>
    </w:p>
    <w:p w14:paraId="3676291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lang w:val="en-US" w:eastAsia="zh-CN"/>
        </w:rPr>
      </w:pP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检验检测：负责国家稀土产品质量检验检测中心业务，开展检验检测技术研究，为企业与各创新平台提供从技术研发、质量控制、产品评价到回收利用的全生命周期检验检测技术服务支持</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科技研发：开展基础、共性、关键、前沿及未来产业技术研发，借助数字化等手段开展材料研发模式创新，为稀土企业科技创新活动提供技术服务支持</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收集整理产业信息、分析研判产业发展趋势，为包头市稀土产业发展提供参考意见建议</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标准化研究：负责内蒙古自治区稀土标准化技术委员会运行工作，组织稀土地方、团体标准立项和技术审查，参与国家、行业技术标准制修订，推动稀土产业标准化与科技创新协同发展。单位的目标定位</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充分发挥自身科技研发、检验检测、标准化研究、成果转化等方面的服务能力，提供与企业需求高度契合的创新服务。以建设稀土产业技术创新公共服务平台、创建国内一流稀土产品检验检测中心、完善稀土技术标准体系为发展目标，把中心打造成支撑“两个稀土基地”建设的公共服务平台。</w:t>
      </w:r>
    </w:p>
    <w:p w14:paraId="5EFA7FB5">
      <w:pPr>
        <w:ind w:firstLine="420" w:firstLineChars="200"/>
        <w:rPr>
          <w:rFonts w:hint="default" w:ascii="Times New Roman" w:hAnsi="Times New Roman" w:cs="Times New Roman"/>
          <w:lang w:val="en-US" w:eastAsia="zh-CN"/>
        </w:rPr>
      </w:pPr>
      <w:r>
        <w:rPr>
          <w:rFonts w:hint="default" w:ascii="Times New Roman" w:hAnsi="Times New Roman" w:cs="Times New Roman"/>
        </w:rPr>
        <w:t>包头华美稀土高科有限公司成立于1993年，是专业从事稀土产品生产的民营股份制高科技企业。2003年4月，公司与包钢稀土高科进行了强强联合，形成了民营企业与国有上市公司合作共赢新的经济发展模式，得到社会界的关注和支持。公司在标准起草方面有着丰富的经验，多次参与国家标准、行业标准的制修订工作。具有优秀的创新能力，公司现拥有8项发明专利，15项实用新型，获中国冶金科学技术三等奖1项，中国有色金属工业科学技术三等奖1项，中国稀土科技奖二等奖2项，内蒙古自治区科技进步三等奖1项，通过包头市科技局科技成果鉴定 2 项，获得包头市科技进步一等奖 1 项，二等奖 1 项，包钢集团公司科技进步特等奖1项，二等奖1项，三等奖1项。</w:t>
      </w:r>
    </w:p>
    <w:p w14:paraId="12851BE9">
      <w:pPr>
        <w:ind w:firstLine="420" w:firstLineChars="200"/>
        <w:rPr>
          <w:rFonts w:hint="eastAsia" w:ascii="Times New Roman" w:hAnsi="Times New Roman"/>
          <w:lang w:val="en-US" w:eastAsia="zh-CN"/>
        </w:rPr>
      </w:pPr>
      <w:r>
        <w:rPr>
          <w:rFonts w:hint="eastAsia" w:ascii="Times New Roman" w:hAnsi="Times New Roman"/>
          <w:lang w:val="en-US" w:eastAsia="zh-CN"/>
        </w:rPr>
        <w:t>四川省冕宁县方兴稀土有限公司成立于1993年4月22日，公司位于冕宁稀土工业园区，注册资金为7841万元，现有职工220余人，每年产值约8亿元，是中国稀土集团旗下专业从事轻稀土冶炼分离的国有控股稀土企业。公司2006年12月通过了ISO9001质量管理体系认证；2012年4月通过了国家环保部的环保核查；2013年通过工信部的行业准入；2016年通过了ISO14001环境管理体系认证和ISO45001职业健康安全管理体系认证；2018年获得了工贸企业二级安全生产标准化企业认定，2019年10月通过国家高新技术企业认定;2020年9月通过四川省绿色工厂认定;2020年12月通过ISO10012测量体系认证；2021年7月通过ISO54001能源体系认证；2022年通过四川省“专精特新企业”认定；2023年通过四川省企业技术中心认定，公司目前拥有11个发明专利，18个实用新型专利，2个商标。先后获得了“四川省大中型工业企业最佳效益500强”、“四川省制造业百强企业”、“凉山州企业50强”等荣誉称号。</w:t>
      </w:r>
    </w:p>
    <w:p w14:paraId="45FDF2E1">
      <w:pPr>
        <w:rPr>
          <w:rFonts w:hint="eastAsia" w:cs="宋体"/>
        </w:rPr>
      </w:pPr>
      <w:r>
        <w:rPr>
          <w:rFonts w:hint="eastAsia" w:ascii="Times New Roman" w:hAnsi="Times New Roman"/>
          <w:lang w:val="en-US" w:eastAsia="zh-CN"/>
        </w:rPr>
        <w:t xml:space="preserve">2.3 </w:t>
      </w:r>
      <w:r>
        <w:rPr>
          <w:rFonts w:hint="eastAsia" w:cs="宋体"/>
        </w:rPr>
        <w:t>主要工作成员及承担工作情况</w:t>
      </w:r>
    </w:p>
    <w:p w14:paraId="103DF623">
      <w:pPr>
        <w:ind w:firstLine="420" w:firstLineChars="200"/>
        <w:rPr>
          <w:rFonts w:hint="default" w:cs="宋体"/>
          <w:lang w:val="en-US" w:eastAsia="zh-CN"/>
        </w:rPr>
      </w:pPr>
      <w:r>
        <w:rPr>
          <w:rFonts w:hint="eastAsia" w:ascii="宋体" w:hAnsi="宋体" w:cs="宋体"/>
        </w:rPr>
        <w:t>本标准主要起草人及承担工作情况见表1。</w:t>
      </w:r>
    </w:p>
    <w:p w14:paraId="28395C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cs="宋体"/>
          <w:sz w:val="18"/>
          <w:szCs w:val="18"/>
        </w:rPr>
      </w:pPr>
      <w:r>
        <w:rPr>
          <w:rFonts w:hint="eastAsia" w:ascii="黑体" w:hAnsi="黑体" w:eastAsia="黑体" w:cs="黑体"/>
          <w:sz w:val="18"/>
          <w:szCs w:val="18"/>
          <w:lang w:val="en-US" w:eastAsia="zh-CN"/>
        </w:rPr>
        <w:t xml:space="preserve">表1 </w:t>
      </w:r>
      <w:r>
        <w:rPr>
          <w:rFonts w:hint="eastAsia" w:ascii="黑体" w:hAnsi="黑体" w:eastAsia="黑体" w:cs="黑体"/>
          <w:sz w:val="18"/>
          <w:szCs w:val="18"/>
        </w:rPr>
        <w:t>主要起草人及承担工作情况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6"/>
        <w:gridCol w:w="5306"/>
      </w:tblGrid>
      <w:tr w14:paraId="3716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3216" w:type="dxa"/>
            <w:vAlign w:val="center"/>
          </w:tcPr>
          <w:p w14:paraId="54F222C8">
            <w:pPr>
              <w:jc w:val="center"/>
              <w:rPr>
                <w:rFonts w:ascii="宋体" w:hAnsi="宋体" w:cs="宋体"/>
                <w:sz w:val="18"/>
                <w:szCs w:val="18"/>
              </w:rPr>
            </w:pPr>
            <w:r>
              <w:rPr>
                <w:rFonts w:hint="eastAsia" w:ascii="宋体" w:hAnsi="宋体" w:cs="宋体"/>
                <w:sz w:val="18"/>
                <w:szCs w:val="18"/>
              </w:rPr>
              <w:t>起草人</w:t>
            </w:r>
          </w:p>
        </w:tc>
        <w:tc>
          <w:tcPr>
            <w:tcW w:w="5306" w:type="dxa"/>
            <w:vAlign w:val="center"/>
          </w:tcPr>
          <w:p w14:paraId="3A7CECA4">
            <w:pPr>
              <w:jc w:val="center"/>
              <w:rPr>
                <w:rFonts w:ascii="宋体" w:hAnsi="宋体" w:cs="宋体"/>
                <w:sz w:val="18"/>
                <w:szCs w:val="18"/>
              </w:rPr>
            </w:pPr>
            <w:r>
              <w:rPr>
                <w:rFonts w:hint="eastAsia" w:ascii="宋体" w:hAnsi="宋体" w:cs="宋体"/>
                <w:sz w:val="18"/>
                <w:szCs w:val="18"/>
              </w:rPr>
              <w:t>工作职责</w:t>
            </w:r>
          </w:p>
        </w:tc>
      </w:tr>
      <w:tr w14:paraId="30A4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216" w:type="dxa"/>
            <w:vAlign w:val="center"/>
          </w:tcPr>
          <w:p w14:paraId="5A8047A6">
            <w:pPr>
              <w:keepNext w:val="0"/>
              <w:keepLines w:val="0"/>
              <w:pageBreakBefore w:val="0"/>
              <w:kinsoku/>
              <w:wordWrap/>
              <w:overflowPunct/>
              <w:topLinePunct w:val="0"/>
              <w:autoSpaceDE/>
              <w:autoSpaceDN/>
              <w:bidi w:val="0"/>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李佳、于勇海、王素梅、杜梅、权龙海刘琴</w:t>
            </w:r>
          </w:p>
        </w:tc>
        <w:tc>
          <w:tcPr>
            <w:tcW w:w="5306" w:type="dxa"/>
            <w:vAlign w:val="center"/>
          </w:tcPr>
          <w:p w14:paraId="0D8F2151">
            <w:pPr>
              <w:pStyle w:val="3"/>
              <w:keepNext w:val="0"/>
              <w:keepLines w:val="0"/>
              <w:pageBreakBefore w:val="0"/>
              <w:kinsoku/>
              <w:wordWrap/>
              <w:overflowPunct/>
              <w:topLinePunct w:val="0"/>
              <w:autoSpaceDE/>
              <w:autoSpaceDN/>
              <w:bidi w:val="0"/>
              <w:adjustRightInd w:val="0"/>
              <w:snapToGrid w:val="0"/>
              <w:spacing w:before="0" w:beforeAutospacing="0" w:after="0" w:afterAutospacing="0" w:line="240" w:lineRule="auto"/>
              <w:textAlignment w:val="auto"/>
              <w:rPr>
                <w:rFonts w:ascii="Times New Roman" w:hAnsi="Times New Roman" w:cs="Times New Roman"/>
                <w:kern w:val="2"/>
                <w:sz w:val="18"/>
                <w:szCs w:val="18"/>
              </w:rPr>
            </w:pPr>
            <w:r>
              <w:rPr>
                <w:rFonts w:hint="eastAsia" w:ascii="Times New Roman" w:hAnsi="Times New Roman" w:cs="Times New Roman"/>
                <w:kern w:val="2"/>
                <w:sz w:val="18"/>
                <w:szCs w:val="18"/>
                <w:lang w:val="en-US" w:eastAsia="zh-CN"/>
              </w:rPr>
              <w:t>分别</w:t>
            </w:r>
            <w:r>
              <w:rPr>
                <w:rFonts w:hint="eastAsia" w:ascii="Times New Roman" w:hAnsi="Times New Roman" w:cs="Times New Roman"/>
                <w:kern w:val="2"/>
                <w:sz w:val="18"/>
                <w:szCs w:val="18"/>
              </w:rPr>
              <w:t>负责</w:t>
            </w:r>
            <w:r>
              <w:rPr>
                <w:rFonts w:hint="eastAsia" w:ascii="Times New Roman" w:hAnsi="Times New Roman" w:cs="Times New Roman"/>
                <w:kern w:val="2"/>
                <w:sz w:val="18"/>
                <w:szCs w:val="18"/>
                <w:lang w:val="en-US" w:eastAsia="zh-CN"/>
              </w:rPr>
              <w:t>方法1分光光度法、方法2电感耦合等离子体发射光谱法</w:t>
            </w:r>
            <w:r>
              <w:rPr>
                <w:rFonts w:hint="eastAsia" w:ascii="Times New Roman" w:hAnsi="Times New Roman" w:cs="Times New Roman"/>
                <w:kern w:val="2"/>
                <w:sz w:val="18"/>
                <w:szCs w:val="18"/>
              </w:rPr>
              <w:t>的起草</w:t>
            </w:r>
            <w:r>
              <w:rPr>
                <w:rFonts w:hint="eastAsia" w:ascii="Times New Roman" w:hAnsi="Times New Roman" w:cs="Times New Roman"/>
                <w:kern w:val="2"/>
                <w:sz w:val="18"/>
                <w:szCs w:val="18"/>
                <w:lang w:val="en-US" w:eastAsia="zh-CN"/>
              </w:rPr>
              <w:t>及相应方法研究报告撰写、数据处理统计，推进</w:t>
            </w:r>
            <w:r>
              <w:rPr>
                <w:rFonts w:hint="eastAsia" w:ascii="Times New Roman" w:hAnsi="Times New Roman" w:cs="Times New Roman"/>
                <w:kern w:val="2"/>
                <w:sz w:val="18"/>
                <w:szCs w:val="18"/>
              </w:rPr>
              <w:t>各阶段标准文本、编制说明编写</w:t>
            </w:r>
            <w:r>
              <w:rPr>
                <w:rFonts w:hint="eastAsia" w:ascii="Times New Roman" w:hAnsi="Times New Roman" w:cs="Times New Roman"/>
                <w:kern w:val="2"/>
                <w:sz w:val="18"/>
                <w:szCs w:val="18"/>
                <w:lang w:val="en-US" w:eastAsia="zh-CN"/>
              </w:rPr>
              <w:t>等工作</w:t>
            </w:r>
            <w:r>
              <w:rPr>
                <w:rFonts w:hint="eastAsia" w:ascii="Times New Roman" w:hAnsi="Times New Roman" w:cs="Times New Roman"/>
                <w:kern w:val="2"/>
                <w:sz w:val="18"/>
                <w:szCs w:val="18"/>
              </w:rPr>
              <w:t>。</w:t>
            </w:r>
          </w:p>
        </w:tc>
      </w:tr>
      <w:tr w14:paraId="6F29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216" w:type="dxa"/>
            <w:vAlign w:val="center"/>
          </w:tcPr>
          <w:p w14:paraId="194E5D92">
            <w:pPr>
              <w:keepNext w:val="0"/>
              <w:keepLines w:val="0"/>
              <w:pageBreakBefore w:val="0"/>
              <w:kinsoku/>
              <w:wordWrap/>
              <w:overflowPunct/>
              <w:topLinePunct w:val="0"/>
              <w:autoSpaceDE/>
              <w:autoSpaceDN/>
              <w:bidi w:val="0"/>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胡梦娇、刘建刚、孙海峰、权晓云、张力久、黄平丹、邬启帆</w:t>
            </w:r>
          </w:p>
        </w:tc>
        <w:tc>
          <w:tcPr>
            <w:tcW w:w="5306" w:type="dxa"/>
            <w:vAlign w:val="center"/>
          </w:tcPr>
          <w:p w14:paraId="018EBFD6">
            <w:pPr>
              <w:pStyle w:val="3"/>
              <w:keepNext w:val="0"/>
              <w:keepLines w:val="0"/>
              <w:pageBreakBefore w:val="0"/>
              <w:kinsoku/>
              <w:wordWrap/>
              <w:overflowPunct/>
              <w:topLinePunct w:val="0"/>
              <w:autoSpaceDE/>
              <w:autoSpaceDN/>
              <w:bidi w:val="0"/>
              <w:adjustRightInd w:val="0"/>
              <w:snapToGrid w:val="0"/>
              <w:spacing w:before="0" w:beforeAutospacing="0" w:after="0" w:afterAutospacing="0" w:line="240" w:lineRule="auto"/>
              <w:textAlignment w:val="auto"/>
              <w:rPr>
                <w:rFonts w:hint="eastAsia" w:ascii="Times New Roman" w:hAnsi="Times New Roman" w:cs="Times New Roman"/>
                <w:kern w:val="2"/>
                <w:sz w:val="18"/>
                <w:szCs w:val="18"/>
              </w:rPr>
            </w:pPr>
            <w:r>
              <w:rPr>
                <w:rFonts w:hint="eastAsia" w:ascii="Times New Roman" w:hAnsi="Times New Roman" w:cs="Times New Roman"/>
                <w:sz w:val="18"/>
                <w:szCs w:val="18"/>
              </w:rPr>
              <w:t>作为一验</w:t>
            </w:r>
            <w:r>
              <w:rPr>
                <w:rFonts w:ascii="Times New Roman" w:hAnsi="Times New Roman" w:cs="Times New Roman"/>
                <w:sz w:val="18"/>
                <w:szCs w:val="18"/>
              </w:rPr>
              <w:t>，对</w:t>
            </w:r>
            <w:r>
              <w:rPr>
                <w:rFonts w:hint="eastAsia" w:ascii="Times New Roman" w:hAnsi="Times New Roman" w:cs="Times New Roman"/>
                <w:sz w:val="18"/>
                <w:szCs w:val="18"/>
                <w:lang w:val="en-US" w:eastAsia="zh-CN"/>
              </w:rPr>
              <w:t>分析</w:t>
            </w:r>
            <w:r>
              <w:rPr>
                <w:rFonts w:hint="eastAsia" w:ascii="Times New Roman" w:hAnsi="Times New Roman" w:cs="Times New Roman"/>
                <w:kern w:val="2"/>
                <w:sz w:val="18"/>
                <w:szCs w:val="18"/>
              </w:rPr>
              <w:t>方法</w:t>
            </w:r>
            <w:r>
              <w:rPr>
                <w:rFonts w:ascii="Times New Roman" w:hAnsi="Times New Roman" w:cs="Times New Roman"/>
                <w:sz w:val="18"/>
                <w:szCs w:val="18"/>
              </w:rPr>
              <w:t>条件实验进行验证，完成</w:t>
            </w:r>
            <w:r>
              <w:rPr>
                <w:rFonts w:hint="eastAsia" w:ascii="Times New Roman" w:hAnsi="Times New Roman" w:cs="Times New Roman"/>
                <w:sz w:val="18"/>
                <w:szCs w:val="18"/>
                <w:lang w:val="en-US" w:eastAsia="zh-CN"/>
              </w:rPr>
              <w:t>并提供</w:t>
            </w:r>
            <w:r>
              <w:rPr>
                <w:rFonts w:ascii="Times New Roman" w:hAnsi="Times New Roman" w:cs="Times New Roman"/>
                <w:sz w:val="18"/>
                <w:szCs w:val="18"/>
              </w:rPr>
              <w:t>精密度数据</w:t>
            </w:r>
          </w:p>
        </w:tc>
      </w:tr>
      <w:tr w14:paraId="0E54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216" w:type="dxa"/>
            <w:vAlign w:val="center"/>
          </w:tcPr>
          <w:p w14:paraId="075CB44E">
            <w:pPr>
              <w:keepNext w:val="0"/>
              <w:keepLines w:val="0"/>
              <w:pageBreakBefore w:val="0"/>
              <w:kinsoku/>
              <w:wordWrap/>
              <w:overflowPunct/>
              <w:topLinePunct w:val="0"/>
              <w:autoSpaceDE/>
              <w:autoSpaceDN/>
              <w:bidi w:val="0"/>
              <w:spacing w:line="240" w:lineRule="auto"/>
              <w:jc w:val="center"/>
              <w:textAlignment w:val="auto"/>
              <w:rPr>
                <w:rFonts w:hint="default" w:ascii="宋体" w:hAnsi="宋体" w:cs="宋体" w:eastAsiaTheme="minorEastAsia"/>
                <w:sz w:val="18"/>
                <w:szCs w:val="18"/>
                <w:lang w:val="en-US" w:eastAsia="zh-CN"/>
              </w:rPr>
            </w:pPr>
            <w:r>
              <w:rPr>
                <w:rFonts w:hint="eastAsia" w:ascii="宋体" w:hAnsi="宋体" w:eastAsia="宋体" w:cs="宋体"/>
                <w:sz w:val="18"/>
                <w:szCs w:val="18"/>
                <w:lang w:val="en-US" w:eastAsia="zh-CN"/>
              </w:rPr>
              <w:t>张其凯、王可、王秉华、廖丕勇</w:t>
            </w:r>
          </w:p>
        </w:tc>
        <w:tc>
          <w:tcPr>
            <w:tcW w:w="5306" w:type="dxa"/>
            <w:vAlign w:val="center"/>
          </w:tcPr>
          <w:p w14:paraId="205B35DE">
            <w:pPr>
              <w:pStyle w:val="3"/>
              <w:keepNext w:val="0"/>
              <w:keepLines w:val="0"/>
              <w:pageBreakBefore w:val="0"/>
              <w:kinsoku/>
              <w:wordWrap/>
              <w:overflowPunct/>
              <w:topLinePunct w:val="0"/>
              <w:autoSpaceDE/>
              <w:autoSpaceDN/>
              <w:bidi w:val="0"/>
              <w:adjustRightInd w:val="0"/>
              <w:snapToGrid w:val="0"/>
              <w:spacing w:before="0" w:beforeAutospacing="0" w:after="0" w:afterAutospacing="0" w:line="240" w:lineRule="auto"/>
              <w:textAlignment w:val="auto"/>
              <w:rPr>
                <w:rFonts w:ascii="Times New Roman" w:hAnsi="Times New Roman" w:cs="Times New Roman"/>
                <w:sz w:val="18"/>
                <w:szCs w:val="18"/>
              </w:rPr>
            </w:pPr>
            <w:r>
              <w:rPr>
                <w:rFonts w:ascii="Times New Roman" w:hAnsi="Times New Roman" w:cs="Times New Roman"/>
                <w:sz w:val="18"/>
                <w:szCs w:val="18"/>
              </w:rPr>
              <w:t>作为二验，提供</w:t>
            </w:r>
            <w:r>
              <w:rPr>
                <w:rFonts w:hint="eastAsia" w:ascii="Times New Roman" w:hAnsi="Times New Roman" w:cs="Times New Roman"/>
                <w:sz w:val="18"/>
                <w:szCs w:val="18"/>
              </w:rPr>
              <w:t>验证</w:t>
            </w:r>
            <w:r>
              <w:rPr>
                <w:rFonts w:ascii="Times New Roman" w:hAnsi="Times New Roman" w:cs="Times New Roman"/>
                <w:sz w:val="18"/>
                <w:szCs w:val="18"/>
              </w:rPr>
              <w:t>方法的精密度数据</w:t>
            </w:r>
          </w:p>
        </w:tc>
      </w:tr>
    </w:tbl>
    <w:p w14:paraId="3FE058D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lang w:val="en-US" w:eastAsia="zh-CN"/>
        </w:rPr>
      </w:pPr>
      <w:r>
        <w:rPr>
          <w:rFonts w:hint="eastAsia" w:ascii="黑体" w:hAnsi="黑体" w:eastAsia="黑体" w:cs="黑体"/>
          <w:lang w:val="en-US" w:eastAsia="zh-CN"/>
        </w:rPr>
        <w:t>3 项目背景</w:t>
      </w:r>
    </w:p>
    <w:p w14:paraId="26C8D6E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3.1 必要性简述</w:t>
      </w:r>
    </w:p>
    <w:p w14:paraId="0323BB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0"/>
          <w:lang w:val="en-US" w:eastAsia="zh-CN"/>
        </w:rPr>
      </w:pPr>
      <w:r>
        <w:rPr>
          <w:rFonts w:hint="eastAsia" w:ascii="Times New Roman" w:hAnsi="Times New Roman"/>
          <w:lang w:val="en-US" w:eastAsia="zh-CN"/>
        </w:rPr>
        <w:t>稀土精矿是稀土资源开发利用的重要原料，磷是独居石精矿、氟碳铈矿-独居石混合精矿、磷钇矿精矿等稀土精矿中的是重要的共存元素，根据国标委《2021 年全国标准化工作要点》和十四五发展规划“关于战略性矿产开发与利用”重点工作的要求，为了更好适应稀土行业变化，完善稀土矿产品分析测试技术和标准体系，根据新的行业和市场需求，结合分析仪器进步，修订GB/T 18114.9《稀土精矿化学分析方法 第9部分 五氧化二磷量的测定》，增加电感耦合等离子体发射光谱仪测定五氧化二磷含量的方法，为稀土精矿产品的选冶工艺控制、贸易提供更好的技术保障。</w:t>
      </w:r>
    </w:p>
    <w:p w14:paraId="37BF3A5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0"/>
          <w:lang w:val="en-US" w:eastAsia="zh-CN"/>
        </w:rPr>
      </w:pPr>
      <w:r>
        <w:rPr>
          <w:rFonts w:hint="eastAsia" w:ascii="Times New Roman" w:hAnsi="Times New Roman" w:cs="Times New Roman"/>
          <w:szCs w:val="20"/>
          <w:lang w:val="en-US" w:eastAsia="zh-CN"/>
        </w:rPr>
        <w:t>3.2 可行性简述</w:t>
      </w:r>
    </w:p>
    <w:p w14:paraId="128CEA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电感耦合等离子体发射光谱</w:t>
      </w:r>
      <w:r>
        <w:rPr>
          <w:rFonts w:hint="default" w:ascii="Times New Roman" w:hAnsi="Times New Roman" w:cs="Times New Roman"/>
          <w:szCs w:val="21"/>
        </w:rPr>
        <w:t>法</w:t>
      </w:r>
      <w:r>
        <w:rPr>
          <w:rFonts w:hint="eastAsia" w:ascii="Times New Roman" w:hAnsi="Times New Roman" w:cs="Times New Roman"/>
          <w:szCs w:val="21"/>
          <w:lang w:val="en-US" w:eastAsia="zh-CN"/>
        </w:rPr>
        <w:t>具有灵敏度高、稳定性好、测定快速的特点，在稀土产品检测领域应用广泛，具备作为稀土精矿中五氧化二磷含量分析方法开发研究的条件。针对稀土精矿中五氧化二磷量的测定，开展电感耦合等离子体发射光谱法的研究，即能拓展现有标准的适用范围，又可丰富稀土精矿中五氧化二磷定量分析途径，对我国标准体系的完善具有重要意义。</w:t>
      </w:r>
    </w:p>
    <w:p w14:paraId="1E8B511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黑体" w:hAnsi="黑体" w:eastAsia="黑体" w:cs="黑体"/>
          <w:lang w:val="en-US" w:eastAsia="zh-CN"/>
        </w:rPr>
        <w:t>4 主要工作过程</w:t>
      </w:r>
    </w:p>
    <w:p w14:paraId="11558F3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4.1 预研</w:t>
      </w:r>
    </w:p>
    <w:p w14:paraId="27A3A0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rPr>
      </w:pPr>
      <w:r>
        <w:rPr>
          <w:rFonts w:hint="eastAsia" w:ascii="Times New Roman" w:hAnsi="Times New Roman" w:cs="Times New Roman"/>
          <w:szCs w:val="21"/>
          <w:lang w:val="en-US" w:eastAsia="zh-CN"/>
        </w:rPr>
        <w:t>针对稀土精矿中不同梯度的五氧化二磷含量，包头稀土研究院经文献检索、标准查阅，分别制定了分光光度法和电感耦合等离子体发射光谱法的研究方案并开展相关实验，初步形成相应分析方法。</w:t>
      </w:r>
    </w:p>
    <w:p w14:paraId="608514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4.2 立项</w:t>
      </w:r>
    </w:p>
    <w:p w14:paraId="2B9D48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default" w:ascii="Times New Roman" w:hAnsi="Times New Roman" w:cs="Times New Roman"/>
          <w:highlight w:val="none"/>
        </w:rPr>
        <w:t>202</w:t>
      </w:r>
      <w:r>
        <w:rPr>
          <w:rFonts w:hint="eastAsia" w:ascii="Times New Roman" w:hAnsi="Times New Roman" w:cs="Times New Roman"/>
          <w:highlight w:val="none"/>
          <w:lang w:val="en-US" w:eastAsia="zh-CN"/>
        </w:rPr>
        <w:t>1</w:t>
      </w:r>
      <w:r>
        <w:rPr>
          <w:rFonts w:hint="default" w:ascii="Times New Roman" w:hAnsi="Times New Roman" w:cs="Times New Roman"/>
          <w:highlight w:val="none"/>
        </w:rPr>
        <w:t>年</w:t>
      </w:r>
      <w:r>
        <w:rPr>
          <w:rFonts w:hint="eastAsia" w:ascii="Times New Roman" w:hAnsi="Times New Roman" w:cs="Times New Roman"/>
          <w:highlight w:val="none"/>
          <w:lang w:val="en-US" w:eastAsia="zh-CN"/>
        </w:rPr>
        <w:t>11</w:t>
      </w:r>
      <w:r>
        <w:rPr>
          <w:rFonts w:hint="default" w:ascii="Times New Roman" w:hAnsi="Times New Roman" w:cs="Times New Roman"/>
          <w:highlight w:val="none"/>
        </w:rPr>
        <w:t>月</w:t>
      </w:r>
      <w:r>
        <w:rPr>
          <w:rFonts w:hint="default" w:ascii="Times New Roman" w:hAnsi="Times New Roman" w:cs="Times New Roman"/>
        </w:rPr>
        <w:t>，</w:t>
      </w:r>
      <w:r>
        <w:rPr>
          <w:rFonts w:hint="eastAsia" w:ascii="Times New Roman" w:hAnsi="Times New Roman" w:cs="Times New Roman"/>
          <w:lang w:val="en-US" w:eastAsia="zh-CN"/>
        </w:rPr>
        <w:t>包头稀土研究院向全国稀土标准化技术委员会秘书处</w:t>
      </w:r>
      <w:r>
        <w:rPr>
          <w:rFonts w:hint="default" w:ascii="Times New Roman" w:hAnsi="Times New Roman" w:cs="Times New Roman"/>
        </w:rPr>
        <w:t>提交《</w:t>
      </w:r>
      <w:r>
        <w:rPr>
          <w:rFonts w:hint="eastAsia" w:ascii="Times New Roman" w:hAnsi="Times New Roman" w:cs="Times New Roman"/>
          <w:lang w:val="en-US" w:eastAsia="zh-CN"/>
        </w:rPr>
        <w:t>稀土精矿</w:t>
      </w:r>
      <w:r>
        <w:rPr>
          <w:rFonts w:hint="default" w:ascii="Times New Roman" w:hAnsi="Times New Roman" w:cs="Times New Roman"/>
        </w:rPr>
        <w:t>化学分析方法 第</w:t>
      </w:r>
      <w:r>
        <w:rPr>
          <w:rFonts w:hint="eastAsia" w:ascii="Times New Roman" w:hAnsi="Times New Roman" w:cs="Times New Roman"/>
          <w:lang w:val="en-US" w:eastAsia="zh-CN"/>
        </w:rPr>
        <w:t>9</w:t>
      </w:r>
      <w:r>
        <w:rPr>
          <w:rFonts w:hint="default" w:ascii="Times New Roman" w:hAnsi="Times New Roman" w:cs="Times New Roman"/>
        </w:rPr>
        <w:t>部分：</w:t>
      </w:r>
      <w:r>
        <w:rPr>
          <w:rFonts w:hint="eastAsia" w:ascii="Times New Roman" w:hAnsi="Times New Roman" w:cs="Times New Roman"/>
          <w:lang w:val="en-US" w:eastAsia="zh-CN"/>
        </w:rPr>
        <w:t>五氧化二磷</w:t>
      </w:r>
      <w:r>
        <w:rPr>
          <w:rFonts w:hint="default" w:ascii="Times New Roman" w:hAnsi="Times New Roman" w:cs="Times New Roman"/>
          <w:lang w:val="en-US" w:eastAsia="zh-CN"/>
        </w:rPr>
        <w:t>量</w:t>
      </w:r>
      <w:r>
        <w:rPr>
          <w:rFonts w:hint="default" w:ascii="Times New Roman" w:hAnsi="Times New Roman" w:cs="Times New Roman"/>
        </w:rPr>
        <w:t>的测定》</w:t>
      </w:r>
      <w:r>
        <w:rPr>
          <w:rFonts w:hint="default" w:ascii="Times New Roman" w:hAnsi="Times New Roman" w:cs="Times New Roman"/>
          <w:lang w:val="en-US" w:eastAsia="zh-CN"/>
        </w:rPr>
        <w:t>国家</w:t>
      </w:r>
      <w:r>
        <w:rPr>
          <w:rFonts w:hint="default" w:ascii="Times New Roman" w:hAnsi="Times New Roman" w:cs="Times New Roman"/>
        </w:rPr>
        <w:t>标准项目建议书</w:t>
      </w:r>
      <w:r>
        <w:rPr>
          <w:rFonts w:hint="eastAsia" w:ascii="Times New Roman" w:hAnsi="Times New Roman" w:cs="Times New Roman"/>
          <w:lang w:eastAsia="zh-CN"/>
        </w:rPr>
        <w:t>、</w:t>
      </w:r>
      <w:r>
        <w:rPr>
          <w:rFonts w:hint="eastAsia" w:ascii="Times New Roman" w:hAnsi="Times New Roman" w:cs="Times New Roman"/>
        </w:rPr>
        <w:t>立项论证报告</w:t>
      </w:r>
      <w:r>
        <w:rPr>
          <w:rFonts w:hint="eastAsia" w:ascii="Times New Roman" w:hAnsi="Times New Roman" w:cs="Times New Roman"/>
          <w:lang w:val="en-US" w:eastAsia="zh-CN"/>
        </w:rPr>
        <w:t>及</w:t>
      </w:r>
      <w:r>
        <w:rPr>
          <w:rFonts w:hint="eastAsia" w:ascii="Times New Roman" w:hAnsi="Times New Roman" w:cs="Times New Roman"/>
        </w:rPr>
        <w:t>草案</w:t>
      </w:r>
      <w:r>
        <w:rPr>
          <w:rFonts w:hint="eastAsia" w:ascii="Times New Roman" w:hAnsi="Times New Roman" w:cs="Times New Roman"/>
          <w:lang w:val="en-US" w:eastAsia="zh-CN"/>
        </w:rPr>
        <w:t>等申报材料，经全国稀土标准化技术委员会专家论证成功立项</w:t>
      </w:r>
      <w:r>
        <w:rPr>
          <w:rFonts w:hint="eastAsia" w:ascii="Times New Roman" w:hAnsi="Times New Roman" w:cs="Times New Roman"/>
        </w:rPr>
        <w:t>并上报国标委</w:t>
      </w:r>
      <w:r>
        <w:rPr>
          <w:rFonts w:hint="eastAsia" w:ascii="Times New Roman" w:hAnsi="Times New Roman" w:cs="Times New Roman"/>
          <w:lang w:val="en-US" w:eastAsia="zh-CN"/>
        </w:rPr>
        <w:t>备案。</w:t>
      </w:r>
    </w:p>
    <w:p w14:paraId="53BF05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cs="Times New Roman"/>
          <w:lang w:val="en-US" w:eastAsia="zh-CN"/>
        </w:rPr>
        <w:t>2024年1月16日至1月18日全国稀土标准化技术委员会在珠海组织的2024年第一次稀土标准工作会，完成《稀土精矿化学分析方法》、《LED用稀土荧光粉试验方法》、《钕铁硼废料化学分析方法》等19项国家、行业标准计划的任务落实工作。其中《稀土精矿</w:t>
      </w:r>
      <w:r>
        <w:rPr>
          <w:rFonts w:hint="default" w:ascii="Times New Roman" w:hAnsi="Times New Roman" w:cs="Times New Roman"/>
        </w:rPr>
        <w:t>化学分析方法 第</w:t>
      </w:r>
      <w:r>
        <w:rPr>
          <w:rFonts w:hint="eastAsia" w:ascii="Times New Roman" w:hAnsi="Times New Roman" w:cs="Times New Roman"/>
          <w:lang w:val="en-US" w:eastAsia="zh-CN"/>
        </w:rPr>
        <w:t>9</w:t>
      </w:r>
      <w:r>
        <w:rPr>
          <w:rFonts w:hint="default" w:ascii="Times New Roman" w:hAnsi="Times New Roman" w:cs="Times New Roman"/>
        </w:rPr>
        <w:t>部分：</w:t>
      </w:r>
      <w:r>
        <w:rPr>
          <w:rFonts w:hint="eastAsia" w:ascii="Times New Roman" w:hAnsi="Times New Roman" w:cs="Times New Roman"/>
          <w:lang w:val="en-US" w:eastAsia="zh-CN"/>
        </w:rPr>
        <w:t>五氧化二磷</w:t>
      </w:r>
      <w:r>
        <w:rPr>
          <w:rFonts w:hint="default" w:ascii="Times New Roman" w:hAnsi="Times New Roman" w:cs="Times New Roman"/>
          <w:lang w:val="en-US" w:eastAsia="zh-CN"/>
        </w:rPr>
        <w:t>量</w:t>
      </w:r>
      <w:r>
        <w:rPr>
          <w:rFonts w:hint="default" w:ascii="Times New Roman" w:hAnsi="Times New Roman" w:cs="Times New Roman"/>
        </w:rPr>
        <w:t>的测定</w:t>
      </w:r>
      <w:r>
        <w:rPr>
          <w:rFonts w:hint="eastAsia" w:ascii="Times New Roman" w:hAnsi="Times New Roman" w:cs="Times New Roman"/>
          <w:lang w:val="en-US" w:eastAsia="zh-CN"/>
        </w:rPr>
        <w:t>》由包头稀土研究院负责牵头起草，</w:t>
      </w:r>
      <w:r>
        <w:rPr>
          <w:rFonts w:hint="eastAsia" w:ascii="Times New Roman" w:hAnsi="Times New Roman"/>
          <w:lang w:val="en-US" w:eastAsia="zh-CN"/>
        </w:rPr>
        <w:t>国标（北京）检验认证有限公司、江西金世纪新材料股份有限公司为一验单位，中国科学院海西研究院厦门稀土材料研究所、包头稀土新材料技术研发中心、包头华美稀土高科技有限公司、四川省冕宁县方兴稀土有限公司为二验单位。</w:t>
      </w:r>
    </w:p>
    <w:p w14:paraId="57F4AA3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lang w:val="en-US" w:eastAsia="zh-CN"/>
        </w:rPr>
      </w:pPr>
      <w:r>
        <w:rPr>
          <w:rFonts w:hint="eastAsia" w:ascii="Times New Roman" w:hAnsi="Times New Roman"/>
          <w:lang w:val="en-US" w:eastAsia="zh-CN"/>
        </w:rPr>
        <w:t>4.3 起草</w:t>
      </w:r>
    </w:p>
    <w:p w14:paraId="39E3A2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lang w:val="en-US" w:eastAsia="zh-CN"/>
        </w:rPr>
        <w:t>根据稀标委标准研制进度安排，包头稀土研究院安排技术骨干人员成立</w:t>
      </w:r>
      <w:r>
        <w:rPr>
          <w:rFonts w:hint="default" w:ascii="Times New Roman" w:hAnsi="Times New Roman" w:cs="Times New Roman"/>
        </w:rPr>
        <w:t>《</w:t>
      </w:r>
      <w:r>
        <w:rPr>
          <w:rFonts w:hint="eastAsia" w:ascii="Times New Roman" w:hAnsi="Times New Roman" w:cs="Times New Roman"/>
          <w:lang w:val="en-US" w:eastAsia="zh-CN"/>
        </w:rPr>
        <w:t>稀土精矿</w:t>
      </w:r>
      <w:r>
        <w:rPr>
          <w:rFonts w:hint="default" w:ascii="Times New Roman" w:hAnsi="Times New Roman" w:cs="Times New Roman"/>
        </w:rPr>
        <w:t>化学分析方法 第</w:t>
      </w:r>
      <w:r>
        <w:rPr>
          <w:rFonts w:hint="eastAsia" w:ascii="Times New Roman" w:hAnsi="Times New Roman" w:cs="Times New Roman"/>
          <w:lang w:val="en-US" w:eastAsia="zh-CN"/>
        </w:rPr>
        <w:t>9</w:t>
      </w:r>
      <w:r>
        <w:rPr>
          <w:rFonts w:hint="default" w:ascii="Times New Roman" w:hAnsi="Times New Roman" w:cs="Times New Roman"/>
        </w:rPr>
        <w:t>部分：</w:t>
      </w:r>
      <w:r>
        <w:rPr>
          <w:rFonts w:hint="eastAsia" w:ascii="Times New Roman" w:hAnsi="Times New Roman" w:cs="Times New Roman"/>
          <w:lang w:val="en-US" w:eastAsia="zh-CN"/>
        </w:rPr>
        <w:t>五氧化二磷</w:t>
      </w:r>
      <w:r>
        <w:rPr>
          <w:rFonts w:hint="default" w:ascii="Times New Roman" w:hAnsi="Times New Roman" w:cs="Times New Roman"/>
          <w:lang w:val="en-US" w:eastAsia="zh-CN"/>
        </w:rPr>
        <w:t>量</w:t>
      </w:r>
      <w:r>
        <w:rPr>
          <w:rFonts w:hint="default" w:ascii="Times New Roman" w:hAnsi="Times New Roman" w:cs="Times New Roman"/>
        </w:rPr>
        <w:t>的测定》</w:t>
      </w:r>
      <w:r>
        <w:rPr>
          <w:rFonts w:hint="eastAsia" w:ascii="Times New Roman" w:hAnsi="Times New Roman" w:cs="Times New Roman"/>
          <w:lang w:val="en-US" w:eastAsia="zh-CN"/>
        </w:rPr>
        <w:t>国家标准研发小组。</w:t>
      </w:r>
    </w:p>
    <w:p w14:paraId="03CEC2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2024年3月1日前，完成统一样的筛选、合成。</w:t>
      </w:r>
    </w:p>
    <w:p w14:paraId="4A3F82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2024年4月15日-4月20日，完成2种分析方法研究报告，并发送至各验证单位，同时邮寄稀土精矿统一样。</w:t>
      </w:r>
    </w:p>
    <w:p w14:paraId="093AD9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lang w:val="en-US" w:eastAsia="zh-CN"/>
        </w:rPr>
      </w:pPr>
      <w:r>
        <w:rPr>
          <w:rFonts w:hint="eastAsia" w:ascii="Times New Roman" w:hAnsi="Times New Roman" w:cs="Times New Roman"/>
          <w:lang w:val="en-US" w:eastAsia="zh-CN"/>
        </w:rPr>
        <w:t>2024年6月20日，验证单位返回验证报告，研发小组汇总、处理验证数据，优化实验条件；</w:t>
      </w:r>
    </w:p>
    <w:p w14:paraId="45CE215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各验证单位提出</w:t>
      </w:r>
      <w:r>
        <w:rPr>
          <w:rFonts w:hint="default" w:ascii="Times New Roman" w:hAnsi="Times New Roman" w:cs="Times New Roman"/>
          <w:color w:val="000000" w:themeColor="text1"/>
          <w:lang w:val="en-US" w:eastAsia="zh-CN"/>
          <w14:textFill>
            <w14:solidFill>
              <w14:schemeClr w14:val="tx1"/>
            </w14:solidFill>
          </w14:textFill>
        </w:rPr>
        <w:t>的技术</w:t>
      </w:r>
      <w:r>
        <w:rPr>
          <w:rFonts w:hint="default" w:ascii="Times New Roman" w:hAnsi="Times New Roman" w:cs="Times New Roman"/>
          <w:color w:val="000000" w:themeColor="text1"/>
          <w14:textFill>
            <w14:solidFill>
              <w14:schemeClr w14:val="tx1"/>
            </w14:solidFill>
          </w14:textFill>
        </w:rPr>
        <w:t>意见见表2</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表3</w:t>
      </w:r>
      <w:r>
        <w:rPr>
          <w:rFonts w:hint="default" w:ascii="Times New Roman" w:hAnsi="Times New Roman" w:cs="Times New Roman"/>
          <w:color w:val="000000" w:themeColor="text1"/>
          <w:lang w:eastAsia="zh-CN"/>
          <w14:textFill>
            <w14:solidFill>
              <w14:schemeClr w14:val="tx1"/>
            </w14:solidFill>
          </w14:textFill>
        </w:rPr>
        <w:t>。</w:t>
      </w:r>
    </w:p>
    <w:p w14:paraId="2D854C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default" w:ascii="Times New Roman" w:hAnsi="Times New Roman" w:cs="Times New Roman"/>
          <w:color w:val="000000" w:themeColor="text1"/>
          <w:sz w:val="18"/>
          <w:szCs w:val="18"/>
          <w:lang w:val="en-US" w:eastAsia="zh-CN"/>
          <w14:textFill>
            <w14:solidFill>
              <w14:schemeClr w14:val="tx1"/>
            </w14:solidFill>
          </w14:textFill>
        </w:rPr>
      </w:pPr>
      <w:r>
        <w:rPr>
          <w:rFonts w:hint="default" w:ascii="Times New Roman" w:hAnsi="Times New Roman" w:eastAsia="黑体" w:cs="Times New Roman"/>
          <w:color w:val="000000" w:themeColor="text1"/>
          <w:sz w:val="18"/>
          <w:szCs w:val="18"/>
          <w:lang w:val="en-US" w:eastAsia="zh-CN"/>
          <w14:textFill>
            <w14:solidFill>
              <w14:schemeClr w14:val="tx1"/>
            </w14:solidFill>
          </w14:textFill>
        </w:rPr>
        <w:t xml:space="preserve">表2 </w:t>
      </w:r>
      <w:r>
        <w:rPr>
          <w:rFonts w:hint="eastAsia" w:ascii="Times New Roman" w:hAnsi="Times New Roman" w:eastAsia="黑体" w:cs="Times New Roman"/>
          <w:color w:val="000000" w:themeColor="text1"/>
          <w:sz w:val="18"/>
          <w:szCs w:val="18"/>
          <w:lang w:val="en-US" w:eastAsia="zh-CN"/>
          <w14:textFill>
            <w14:solidFill>
              <w14:schemeClr w14:val="tx1"/>
            </w14:solidFill>
          </w14:textFill>
        </w:rPr>
        <w:t>分光光度法</w:t>
      </w:r>
      <w:r>
        <w:rPr>
          <w:rFonts w:hint="default" w:ascii="Times New Roman" w:hAnsi="Times New Roman" w:eastAsia="黑体" w:cs="Times New Roman"/>
          <w:color w:val="000000" w:themeColor="text1"/>
          <w:sz w:val="18"/>
          <w:szCs w:val="18"/>
          <w:lang w:val="en-US" w:eastAsia="zh-CN"/>
          <w14:textFill>
            <w14:solidFill>
              <w14:schemeClr w14:val="tx1"/>
            </w14:solidFill>
          </w14:textFill>
        </w:rPr>
        <w:t>验证单位意见汇总表</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3140"/>
        <w:gridCol w:w="1331"/>
        <w:gridCol w:w="1110"/>
        <w:gridCol w:w="2032"/>
      </w:tblGrid>
      <w:tr w14:paraId="4934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32" w:type="pct"/>
            <w:vAlign w:val="center"/>
          </w:tcPr>
          <w:p w14:paraId="351F91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1842" w:type="pct"/>
            <w:vAlign w:val="center"/>
          </w:tcPr>
          <w:p w14:paraId="157C2D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意见内容</w:t>
            </w:r>
          </w:p>
        </w:tc>
        <w:tc>
          <w:tcPr>
            <w:tcW w:w="781" w:type="pct"/>
            <w:vAlign w:val="center"/>
          </w:tcPr>
          <w:p w14:paraId="77F1A5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提出单位</w:t>
            </w:r>
          </w:p>
        </w:tc>
        <w:tc>
          <w:tcPr>
            <w:tcW w:w="651" w:type="pct"/>
            <w:vAlign w:val="center"/>
          </w:tcPr>
          <w:p w14:paraId="02EF84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处理意见</w:t>
            </w:r>
          </w:p>
        </w:tc>
        <w:tc>
          <w:tcPr>
            <w:tcW w:w="1192" w:type="pct"/>
            <w:vAlign w:val="center"/>
          </w:tcPr>
          <w:p w14:paraId="2EA03F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备注</w:t>
            </w:r>
          </w:p>
        </w:tc>
      </w:tr>
      <w:tr w14:paraId="5A17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32" w:type="pct"/>
            <w:vAlign w:val="center"/>
          </w:tcPr>
          <w:p w14:paraId="3D04D61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1</w:t>
            </w:r>
          </w:p>
        </w:tc>
        <w:tc>
          <w:tcPr>
            <w:tcW w:w="1842" w:type="pct"/>
            <w:vAlign w:val="center"/>
          </w:tcPr>
          <w:p w14:paraId="5B9D763D">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eastAsiaTheme="minorEastAsia"/>
                <w:kern w:val="2"/>
                <w:sz w:val="18"/>
                <w:szCs w:val="18"/>
                <w:lang w:val="en-US" w:eastAsia="zh-CN" w:bidi="ar-SA"/>
              </w:rPr>
            </w:pPr>
            <w:r>
              <w:rPr>
                <w:rFonts w:ascii="Times New Roman" w:hAnsi="Times New Roman" w:eastAsia="宋体" w:cs="Times New Roman"/>
                <w:sz w:val="18"/>
                <w:szCs w:val="18"/>
              </w:rPr>
              <w:t>表</w:t>
            </w:r>
            <w:r>
              <w:rPr>
                <w:rFonts w:hint="eastAsia" w:ascii="Times New Roman" w:hAnsi="Times New Roman" w:eastAsia="宋体" w:cs="Times New Roman"/>
                <w:sz w:val="18"/>
                <w:szCs w:val="18"/>
              </w:rPr>
              <w:t>1</w:t>
            </w:r>
            <w:r>
              <w:rPr>
                <w:rFonts w:ascii="Times New Roman" w:hAnsi="Times New Roman" w:eastAsia="宋体" w:cs="Times New Roman"/>
                <w:sz w:val="18"/>
                <w:szCs w:val="18"/>
              </w:rPr>
              <w:t>测试范围</w:t>
            </w:r>
            <w:r>
              <w:rPr>
                <w:rFonts w:hint="eastAsia" w:ascii="Times New Roman" w:hAnsi="Times New Roman" w:eastAsia="宋体" w:cs="Times New Roman"/>
                <w:sz w:val="18"/>
                <w:szCs w:val="18"/>
              </w:rPr>
              <w:t>的有效数字表述不准确</w:t>
            </w:r>
          </w:p>
        </w:tc>
        <w:tc>
          <w:tcPr>
            <w:tcW w:w="781" w:type="pct"/>
            <w:vAlign w:val="center"/>
          </w:tcPr>
          <w:p w14:paraId="41CA9B1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国标北京</w:t>
            </w:r>
          </w:p>
        </w:tc>
        <w:tc>
          <w:tcPr>
            <w:tcW w:w="651" w:type="pct"/>
            <w:vAlign w:val="center"/>
          </w:tcPr>
          <w:p w14:paraId="6A4F21B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采纳</w:t>
            </w:r>
          </w:p>
        </w:tc>
        <w:tc>
          <w:tcPr>
            <w:tcW w:w="1192" w:type="pct"/>
            <w:vAlign w:val="center"/>
          </w:tcPr>
          <w:p w14:paraId="5AC7349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18"/>
                <w:szCs w:val="18"/>
                <w:lang w:val="en-US" w:eastAsia="zh-CN"/>
              </w:rPr>
            </w:pPr>
          </w:p>
        </w:tc>
      </w:tr>
      <w:tr w14:paraId="33A7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12BADA3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rPr>
              <w:t>2</w:t>
            </w:r>
          </w:p>
        </w:tc>
        <w:tc>
          <w:tcPr>
            <w:tcW w:w="1842" w:type="pct"/>
            <w:vAlign w:val="center"/>
          </w:tcPr>
          <w:p w14:paraId="7DBED0C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2.2.9</w:t>
            </w:r>
            <w:r>
              <w:rPr>
                <w:rFonts w:ascii="Times New Roman" w:hAnsi="Times New Roman" w:eastAsia="宋体" w:cs="Times New Roman"/>
                <w:sz w:val="18"/>
                <w:szCs w:val="18"/>
              </w:rPr>
              <w:t>钼酸铵</w:t>
            </w:r>
            <w:r>
              <w:rPr>
                <w:rFonts w:hint="eastAsia" w:ascii="Times New Roman" w:hAnsi="Times New Roman" w:eastAsia="宋体" w:cs="Times New Roman"/>
                <w:sz w:val="18"/>
                <w:szCs w:val="18"/>
              </w:rPr>
              <w:t>，建议给出具体配置过程及钼酸铵、硝酸、氢氧化钠和水的量</w:t>
            </w:r>
          </w:p>
        </w:tc>
        <w:tc>
          <w:tcPr>
            <w:tcW w:w="781" w:type="pct"/>
            <w:vAlign w:val="center"/>
          </w:tcPr>
          <w:p w14:paraId="495C8A4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国标北京</w:t>
            </w:r>
          </w:p>
        </w:tc>
        <w:tc>
          <w:tcPr>
            <w:tcW w:w="651" w:type="pct"/>
            <w:vAlign w:val="center"/>
          </w:tcPr>
          <w:p w14:paraId="3ACA25B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采纳</w:t>
            </w:r>
          </w:p>
        </w:tc>
        <w:tc>
          <w:tcPr>
            <w:tcW w:w="1192" w:type="pct"/>
            <w:vAlign w:val="center"/>
          </w:tcPr>
          <w:p w14:paraId="627E9F4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18"/>
                <w:szCs w:val="18"/>
                <w:lang w:val="en-US" w:eastAsia="zh-CN"/>
              </w:rPr>
            </w:pPr>
          </w:p>
        </w:tc>
      </w:tr>
      <w:tr w14:paraId="7EAF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243A00A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rPr>
              <w:t>3</w:t>
            </w:r>
          </w:p>
        </w:tc>
        <w:tc>
          <w:tcPr>
            <w:tcW w:w="1842" w:type="pct"/>
            <w:vAlign w:val="center"/>
          </w:tcPr>
          <w:p w14:paraId="5B0D0865">
            <w:pPr>
              <w:pStyle w:val="8"/>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2.2.13氢</w:t>
            </w:r>
            <w:r>
              <w:rPr>
                <w:rFonts w:ascii="Times New Roman" w:hAnsi="Times New Roman" w:eastAsia="宋体" w:cs="Times New Roman"/>
                <w:sz w:val="18"/>
                <w:szCs w:val="18"/>
              </w:rPr>
              <w:t>氧化钠</w:t>
            </w:r>
            <w:r>
              <w:rPr>
                <w:rFonts w:hint="eastAsia" w:ascii="Times New Roman" w:hAnsi="Times New Roman" w:eastAsia="宋体" w:cs="Times New Roman"/>
                <w:sz w:val="18"/>
                <w:szCs w:val="18"/>
              </w:rPr>
              <w:t>(预先烘去水分)预先烘水分是否有必要，夏天称量过程中就会吸收水分。建议验证烘与不烘对后续结果是否有影响</w:t>
            </w:r>
          </w:p>
        </w:tc>
        <w:tc>
          <w:tcPr>
            <w:tcW w:w="781" w:type="pct"/>
            <w:vAlign w:val="center"/>
          </w:tcPr>
          <w:p w14:paraId="7AEEDF1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国标北京</w:t>
            </w:r>
          </w:p>
        </w:tc>
        <w:tc>
          <w:tcPr>
            <w:tcW w:w="651" w:type="pct"/>
            <w:vAlign w:val="center"/>
          </w:tcPr>
          <w:p w14:paraId="50CA357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不采纳</w:t>
            </w:r>
          </w:p>
        </w:tc>
        <w:tc>
          <w:tcPr>
            <w:tcW w:w="1192" w:type="pct"/>
            <w:vAlign w:val="center"/>
          </w:tcPr>
          <w:p w14:paraId="6624E57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熔融样品的熔剂预先烘去水份是为了防止熔融飞溅损失，有必要</w:t>
            </w:r>
          </w:p>
        </w:tc>
      </w:tr>
      <w:tr w14:paraId="3569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3597D59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rPr>
              <w:t>4</w:t>
            </w:r>
          </w:p>
        </w:tc>
        <w:tc>
          <w:tcPr>
            <w:tcW w:w="1842" w:type="pct"/>
            <w:vAlign w:val="center"/>
          </w:tcPr>
          <w:p w14:paraId="4B53CD8B">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18"/>
                <w:szCs w:val="18"/>
              </w:rPr>
            </w:pPr>
            <w:r>
              <w:rPr>
                <w:rFonts w:ascii="Times New Roman"/>
                <w:sz w:val="18"/>
                <w:szCs w:val="18"/>
              </w:rPr>
              <w:t>2.</w:t>
            </w:r>
            <w:r>
              <w:rPr>
                <w:rFonts w:hint="eastAsia" w:ascii="Times New Roman"/>
                <w:sz w:val="18"/>
                <w:szCs w:val="18"/>
              </w:rPr>
              <w:t>5.8</w:t>
            </w:r>
            <w:r>
              <w:rPr>
                <w:rFonts w:ascii="Times New Roman"/>
                <w:sz w:val="18"/>
                <w:szCs w:val="18"/>
              </w:rPr>
              <w:t xml:space="preserve"> </w:t>
            </w:r>
            <w:r>
              <w:rPr>
                <w:rFonts w:hint="eastAsia" w:ascii="Times New Roman"/>
                <w:sz w:val="18"/>
                <w:szCs w:val="18"/>
              </w:rPr>
              <w:t>建议两条标准曲线分成两段表述，并对应不同比色皿</w:t>
            </w:r>
          </w:p>
        </w:tc>
        <w:tc>
          <w:tcPr>
            <w:tcW w:w="781" w:type="pct"/>
            <w:vAlign w:val="center"/>
          </w:tcPr>
          <w:p w14:paraId="6B31EAA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国标北京</w:t>
            </w:r>
          </w:p>
        </w:tc>
        <w:tc>
          <w:tcPr>
            <w:tcW w:w="651" w:type="pct"/>
            <w:vAlign w:val="center"/>
          </w:tcPr>
          <w:p w14:paraId="18C4EBB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rPr>
              <w:t>采纳</w:t>
            </w:r>
          </w:p>
        </w:tc>
        <w:tc>
          <w:tcPr>
            <w:tcW w:w="1192" w:type="pct"/>
            <w:vAlign w:val="center"/>
          </w:tcPr>
          <w:p w14:paraId="02B05F47">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sz w:val="18"/>
                <w:szCs w:val="18"/>
                <w:lang w:val="en-US" w:eastAsia="zh-CN"/>
              </w:rPr>
            </w:pPr>
          </w:p>
        </w:tc>
      </w:tr>
      <w:tr w14:paraId="357D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56E2327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ascii="Times New Roman" w:hAnsi="Times New Roman" w:cs="Times New Roman"/>
                <w:sz w:val="18"/>
                <w:szCs w:val="18"/>
              </w:rPr>
              <w:t>5</w:t>
            </w:r>
          </w:p>
        </w:tc>
        <w:tc>
          <w:tcPr>
            <w:tcW w:w="1842" w:type="pct"/>
            <w:vAlign w:val="center"/>
          </w:tcPr>
          <w:p w14:paraId="0B799752">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18"/>
                <w:szCs w:val="18"/>
              </w:rPr>
            </w:pPr>
            <w:r>
              <w:rPr>
                <w:rFonts w:hint="eastAsia" w:ascii="宋体" w:hAnsi="宋体" w:eastAsia="宋体" w:cs="宋体"/>
                <w:sz w:val="18"/>
                <w:szCs w:val="18"/>
              </w:rPr>
              <w:t>整个实验过程比色显色所用的容量瓶为100ml，加的试剂量太大，是否可视情况减量。</w:t>
            </w:r>
          </w:p>
        </w:tc>
        <w:tc>
          <w:tcPr>
            <w:tcW w:w="781" w:type="pct"/>
            <w:vAlign w:val="center"/>
          </w:tcPr>
          <w:p w14:paraId="599AB40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江西金世纪</w:t>
            </w:r>
          </w:p>
        </w:tc>
        <w:tc>
          <w:tcPr>
            <w:tcW w:w="651" w:type="pct"/>
            <w:vAlign w:val="center"/>
          </w:tcPr>
          <w:p w14:paraId="3BE5133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不采纳</w:t>
            </w:r>
          </w:p>
        </w:tc>
        <w:tc>
          <w:tcPr>
            <w:tcW w:w="1192" w:type="pct"/>
            <w:vAlign w:val="center"/>
          </w:tcPr>
          <w:p w14:paraId="4BB4A76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已通过条件试验验证加入试剂量合理，不需减量</w:t>
            </w:r>
          </w:p>
        </w:tc>
      </w:tr>
      <w:tr w14:paraId="7D1D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521A0F7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ascii="Times New Roman" w:hAnsi="Times New Roman" w:cs="Times New Roman"/>
                <w:sz w:val="18"/>
                <w:szCs w:val="18"/>
              </w:rPr>
              <w:t>6</w:t>
            </w:r>
          </w:p>
        </w:tc>
        <w:tc>
          <w:tcPr>
            <w:tcW w:w="1842" w:type="pct"/>
            <w:vAlign w:val="center"/>
          </w:tcPr>
          <w:p w14:paraId="2CF09E13">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18"/>
                <w:szCs w:val="18"/>
              </w:rPr>
            </w:pPr>
            <w:r>
              <w:rPr>
                <w:rFonts w:hint="eastAsia" w:ascii="宋体" w:hAnsi="宋体" w:eastAsia="宋体" w:cs="宋体"/>
                <w:sz w:val="18"/>
                <w:szCs w:val="18"/>
              </w:rPr>
              <w:t>在选择波长试验条件时，扫描波长时间很长，数值会下降，最高值也随时间下降，虽下降不明显，但是呈下降趋势，在选择最佳波长时会略受影响。</w:t>
            </w:r>
          </w:p>
        </w:tc>
        <w:tc>
          <w:tcPr>
            <w:tcW w:w="781" w:type="pct"/>
            <w:vAlign w:val="center"/>
          </w:tcPr>
          <w:p w14:paraId="76398A1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江西金世纪</w:t>
            </w:r>
          </w:p>
        </w:tc>
        <w:tc>
          <w:tcPr>
            <w:tcW w:w="651" w:type="pct"/>
            <w:vAlign w:val="center"/>
          </w:tcPr>
          <w:p w14:paraId="5913E58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不采纳</w:t>
            </w:r>
          </w:p>
        </w:tc>
        <w:tc>
          <w:tcPr>
            <w:tcW w:w="1192" w:type="pct"/>
            <w:vAlign w:val="center"/>
          </w:tcPr>
          <w:p w14:paraId="2988768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rPr>
              <w:t>进行波长扫描试验，数值趋势没有影响，最佳波长仍满足“吸收最大，干扰最小”原则</w:t>
            </w:r>
          </w:p>
        </w:tc>
      </w:tr>
      <w:tr w14:paraId="57B1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28C61F6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ascii="Times New Roman" w:hAnsi="Times New Roman" w:cs="Times New Roman"/>
                <w:sz w:val="18"/>
                <w:szCs w:val="18"/>
              </w:rPr>
              <w:t>7</w:t>
            </w:r>
          </w:p>
        </w:tc>
        <w:tc>
          <w:tcPr>
            <w:tcW w:w="1842" w:type="pct"/>
            <w:vAlign w:val="center"/>
          </w:tcPr>
          <w:p w14:paraId="444AF128">
            <w:pPr>
              <w:keepNext w:val="0"/>
              <w:keepLines w:val="0"/>
              <w:pageBreakBefore w:val="0"/>
              <w:widowControl w:val="0"/>
              <w:kinsoku/>
              <w:wordWrap/>
              <w:overflowPunct/>
              <w:topLinePunct w:val="0"/>
              <w:autoSpaceDE/>
              <w:autoSpaceDN/>
              <w:bidi w:val="0"/>
              <w:adjustRightInd w:val="0"/>
              <w:snapToGrid w:val="0"/>
              <w:spacing w:line="276" w:lineRule="auto"/>
              <w:jc w:val="left"/>
              <w:textAlignment w:val="auto"/>
              <w:rPr>
                <w:rFonts w:hint="default" w:ascii="Times New Roman" w:hAnsi="Times New Roman" w:eastAsia="宋体" w:cs="Times New Roman"/>
                <w:sz w:val="18"/>
                <w:szCs w:val="18"/>
              </w:rPr>
            </w:pPr>
            <w:r>
              <w:rPr>
                <w:rFonts w:hint="eastAsia" w:ascii="宋体" w:hAnsi="宋体" w:eastAsia="宋体" w:cs="宋体"/>
                <w:sz w:val="18"/>
                <w:szCs w:val="18"/>
              </w:rPr>
              <w:t>在显色温度和络合物稳定实验试验条件时，立即比色不好控制，缓慢加完摇匀后比色就达到0.40左右的ΔA，10min之后ΔA的值还在增加，20-30min左右才趋于稳定，40-50min后显色略显下降趋势，放置一晚后显色颜色会完全褪色，建议选择20min显色时间。</w:t>
            </w:r>
          </w:p>
        </w:tc>
        <w:tc>
          <w:tcPr>
            <w:tcW w:w="781" w:type="pct"/>
            <w:vAlign w:val="center"/>
          </w:tcPr>
          <w:p w14:paraId="22A1DA1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江西金世纪</w:t>
            </w:r>
          </w:p>
        </w:tc>
        <w:tc>
          <w:tcPr>
            <w:tcW w:w="651" w:type="pct"/>
            <w:vAlign w:val="center"/>
          </w:tcPr>
          <w:p w14:paraId="5FE76E8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部分采纳</w:t>
            </w:r>
          </w:p>
        </w:tc>
        <w:tc>
          <w:tcPr>
            <w:tcW w:w="1192" w:type="pct"/>
            <w:vAlign w:val="center"/>
          </w:tcPr>
          <w:p w14:paraId="21318B0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cs="Times New Roman"/>
                <w:sz w:val="18"/>
                <w:szCs w:val="18"/>
              </w:rPr>
              <w:t>通过增加显色放置时间的条件试验，验证放置10min之后显色稳定，无需放置20min，40min后褪色，所以放置10min后比色，放置时间不超过40min完成比色。</w:t>
            </w:r>
          </w:p>
        </w:tc>
      </w:tr>
      <w:tr w14:paraId="6A66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25D4B9A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ascii="Times New Roman" w:hAnsi="Times New Roman" w:cs="Times New Roman"/>
                <w:sz w:val="18"/>
                <w:szCs w:val="18"/>
              </w:rPr>
              <w:t>8</w:t>
            </w:r>
          </w:p>
        </w:tc>
        <w:tc>
          <w:tcPr>
            <w:tcW w:w="1842" w:type="pct"/>
            <w:vAlign w:val="center"/>
          </w:tcPr>
          <w:p w14:paraId="023675F7">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18"/>
                <w:szCs w:val="18"/>
              </w:rPr>
            </w:pPr>
            <w:r>
              <w:rPr>
                <w:rFonts w:hint="eastAsia" w:ascii="宋体" w:hAnsi="宋体" w:eastAsia="宋体" w:cs="宋体"/>
                <w:sz w:val="18"/>
                <w:szCs w:val="18"/>
              </w:rPr>
              <w:t>在显色酸度实验条件时，因每瓶硝酸的浓度不一，按照2.2.6硝酸铋-硝酸混合液10g/L，直接加入625ml硝酸后定容的做法，测定硝酸浓度大约为9.0mol/L,不能确保酸度为10.0mol/L,故我们选择氢氧化钠标准溶液进行了滴定硝酸的浓度，确定硝酸浓度达到10.0mol/L后方进行配置硝酸铋-硝酸混合液，在做显色酸度实验条件时，随着酸度的增加，吸光度越小，在0.7-0.9酸度的条件下波动不大，建议在0.9酸度下进行。</w:t>
            </w:r>
          </w:p>
        </w:tc>
        <w:tc>
          <w:tcPr>
            <w:tcW w:w="781" w:type="pct"/>
            <w:vAlign w:val="center"/>
          </w:tcPr>
          <w:p w14:paraId="3C4DCB7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江西金世纪</w:t>
            </w:r>
          </w:p>
        </w:tc>
        <w:tc>
          <w:tcPr>
            <w:tcW w:w="651" w:type="pct"/>
            <w:vAlign w:val="center"/>
          </w:tcPr>
          <w:p w14:paraId="6F4328C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不采纳</w:t>
            </w:r>
          </w:p>
        </w:tc>
        <w:tc>
          <w:tcPr>
            <w:tcW w:w="1192" w:type="pct"/>
            <w:vAlign w:val="center"/>
          </w:tcPr>
          <w:p w14:paraId="36F5ABD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实验室应对采购试剂进行验收，不应使用浓度不达标的硝酸，不应存在配置后酸度不到10mol/L的情况。酸度条件试验验证酸度1.0mol/L下进行合理。</w:t>
            </w:r>
          </w:p>
        </w:tc>
      </w:tr>
      <w:tr w14:paraId="16A6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32" w:type="pct"/>
            <w:vAlign w:val="center"/>
          </w:tcPr>
          <w:p w14:paraId="315325F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ascii="Times New Roman" w:hAnsi="Times New Roman" w:cs="Times New Roman"/>
                <w:sz w:val="18"/>
                <w:szCs w:val="18"/>
              </w:rPr>
              <w:t>9</w:t>
            </w:r>
          </w:p>
        </w:tc>
        <w:tc>
          <w:tcPr>
            <w:tcW w:w="1842" w:type="pct"/>
            <w:vAlign w:val="center"/>
          </w:tcPr>
          <w:p w14:paraId="55F87894">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18"/>
                <w:szCs w:val="18"/>
              </w:rPr>
            </w:pPr>
            <w:r>
              <w:rPr>
                <w:rFonts w:hint="eastAsia" w:ascii="宋体" w:hAnsi="宋体" w:eastAsia="宋体" w:cs="宋体"/>
                <w:sz w:val="18"/>
                <w:szCs w:val="18"/>
              </w:rPr>
              <w:t>在硝酸铋-硝酸溶液用量试验，应是在固定酸度的条件下，考察硝酸铋的加入量。</w:t>
            </w:r>
          </w:p>
        </w:tc>
        <w:tc>
          <w:tcPr>
            <w:tcW w:w="781" w:type="pct"/>
            <w:vAlign w:val="center"/>
          </w:tcPr>
          <w:p w14:paraId="50CF36A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江西金世纪</w:t>
            </w:r>
          </w:p>
        </w:tc>
        <w:tc>
          <w:tcPr>
            <w:tcW w:w="651" w:type="pct"/>
            <w:vAlign w:val="center"/>
          </w:tcPr>
          <w:p w14:paraId="63F65BC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采纳</w:t>
            </w:r>
          </w:p>
        </w:tc>
        <w:tc>
          <w:tcPr>
            <w:tcW w:w="1192" w:type="pct"/>
            <w:vAlign w:val="center"/>
          </w:tcPr>
          <w:p w14:paraId="137709B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p>
        </w:tc>
      </w:tr>
      <w:tr w14:paraId="1682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pct"/>
            <w:vAlign w:val="center"/>
          </w:tcPr>
          <w:p w14:paraId="154357C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ascii="Times New Roman" w:hAnsi="Times New Roman" w:cs="Times New Roman"/>
                <w:sz w:val="18"/>
                <w:szCs w:val="18"/>
              </w:rPr>
              <w:t>10</w:t>
            </w:r>
          </w:p>
        </w:tc>
        <w:tc>
          <w:tcPr>
            <w:tcW w:w="1842" w:type="pct"/>
            <w:vAlign w:val="center"/>
          </w:tcPr>
          <w:p w14:paraId="6FD26274">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宋体" w:cs="Times New Roman"/>
                <w:sz w:val="18"/>
                <w:szCs w:val="18"/>
              </w:rPr>
            </w:pPr>
            <w:r>
              <w:rPr>
                <w:rFonts w:hint="eastAsia" w:ascii="宋体" w:hAnsi="宋体" w:eastAsia="宋体" w:cs="宋体"/>
                <w:sz w:val="18"/>
                <w:szCs w:val="18"/>
              </w:rPr>
              <w:t>在共存干扰试验，因实验室没有砷标准溶液，考虑到砷基准的有毒性，没有进行购买，同时在进行干扰试验发现，Ca的含量对整个检测影响很大，褪色很快，干扰大。</w:t>
            </w:r>
          </w:p>
        </w:tc>
        <w:tc>
          <w:tcPr>
            <w:tcW w:w="781" w:type="pct"/>
            <w:vAlign w:val="center"/>
          </w:tcPr>
          <w:p w14:paraId="19E3E7E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江西金世纪</w:t>
            </w:r>
          </w:p>
        </w:tc>
        <w:tc>
          <w:tcPr>
            <w:tcW w:w="651" w:type="pct"/>
            <w:vAlign w:val="center"/>
          </w:tcPr>
          <w:p w14:paraId="3DCB932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不采纳</w:t>
            </w:r>
          </w:p>
        </w:tc>
        <w:tc>
          <w:tcPr>
            <w:tcW w:w="1192" w:type="pct"/>
            <w:vAlign w:val="center"/>
          </w:tcPr>
          <w:p w14:paraId="1891221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r>
              <w:rPr>
                <w:rFonts w:hint="eastAsia"/>
                <w:sz w:val="18"/>
                <w:szCs w:val="18"/>
              </w:rPr>
              <w:t>进行干扰试验，</w:t>
            </w:r>
            <w:r>
              <w:rPr>
                <w:rFonts w:hint="eastAsia"/>
                <w:bCs/>
                <w:sz w:val="18"/>
                <w:szCs w:val="18"/>
              </w:rPr>
              <w:t xml:space="preserve">在100 </w:t>
            </w:r>
            <w:r>
              <w:rPr>
                <w:sz w:val="18"/>
                <w:szCs w:val="18"/>
              </w:rPr>
              <w:t>mL</w:t>
            </w:r>
            <w:r>
              <w:rPr>
                <w:rFonts w:hint="eastAsia"/>
                <w:sz w:val="18"/>
                <w:szCs w:val="18"/>
              </w:rPr>
              <w:t xml:space="preserve">溶液中加入钙量为3000 </w:t>
            </w:r>
            <w:r>
              <w:rPr>
                <w:sz w:val="18"/>
                <w:szCs w:val="18"/>
              </w:rPr>
              <w:t>µg</w:t>
            </w:r>
            <w:r>
              <w:rPr>
                <w:rFonts w:hint="eastAsia"/>
                <w:sz w:val="18"/>
                <w:szCs w:val="18"/>
              </w:rPr>
              <w:t xml:space="preserve">，对100 </w:t>
            </w:r>
            <w:r>
              <w:rPr>
                <w:sz w:val="18"/>
                <w:szCs w:val="18"/>
              </w:rPr>
              <w:t>µg</w:t>
            </w:r>
            <w:r>
              <w:rPr>
                <w:rFonts w:hint="eastAsia"/>
                <w:sz w:val="18"/>
                <w:szCs w:val="18"/>
              </w:rPr>
              <w:t>五氧化二磷量的测定干扰相对误差小于1%，对显色反应影响较小，可忽略。</w:t>
            </w:r>
          </w:p>
        </w:tc>
      </w:tr>
      <w:tr w14:paraId="623B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532" w:type="pct"/>
            <w:vAlign w:val="center"/>
          </w:tcPr>
          <w:p w14:paraId="5765FF2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hint="eastAsia" w:ascii="Times New Roman" w:hAnsi="Times New Roman" w:eastAsia="宋体" w:cs="Times New Roman"/>
                <w:sz w:val="18"/>
                <w:szCs w:val="18"/>
              </w:rPr>
              <w:t>11</w:t>
            </w:r>
          </w:p>
        </w:tc>
        <w:tc>
          <w:tcPr>
            <w:tcW w:w="1842" w:type="pct"/>
            <w:vAlign w:val="center"/>
          </w:tcPr>
          <w:p w14:paraId="204CB440">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18"/>
                <w:szCs w:val="18"/>
              </w:rPr>
            </w:pPr>
            <w:r>
              <w:rPr>
                <w:rFonts w:hint="eastAsia" w:ascii="宋体" w:hAnsi="宋体" w:eastAsia="宋体" w:cs="宋体"/>
                <w:sz w:val="18"/>
                <w:szCs w:val="18"/>
              </w:rPr>
              <w:t>进行样品检测时，分取的倍数小，Na及其其他杂质含量高，对显色时调至黄色消失有影响，不好掌控，会对酸度有影响，从而影响到测量结果。</w:t>
            </w:r>
          </w:p>
        </w:tc>
        <w:tc>
          <w:tcPr>
            <w:tcW w:w="781" w:type="pct"/>
            <w:vAlign w:val="center"/>
          </w:tcPr>
          <w:p w14:paraId="465DB70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江西金世纪</w:t>
            </w:r>
          </w:p>
        </w:tc>
        <w:tc>
          <w:tcPr>
            <w:tcW w:w="651" w:type="pct"/>
            <w:vAlign w:val="center"/>
          </w:tcPr>
          <w:p w14:paraId="1621C43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不采纳</w:t>
            </w:r>
          </w:p>
        </w:tc>
        <w:tc>
          <w:tcPr>
            <w:tcW w:w="1192" w:type="pct"/>
            <w:vAlign w:val="center"/>
          </w:tcPr>
          <w:p w14:paraId="52FF077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r>
              <w:rPr>
                <w:rFonts w:hint="eastAsia"/>
                <w:sz w:val="18"/>
                <w:szCs w:val="18"/>
              </w:rPr>
              <w:t>进行干扰试验时，加入对硝基酚显色调节出现黄色，再用1+3硝酸调至无色，最终测定结果相对误差小于1%，对测定结果影响较小，可忽略。</w:t>
            </w:r>
          </w:p>
        </w:tc>
      </w:tr>
      <w:tr w14:paraId="3EF5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6D61C5B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hint="eastAsia" w:ascii="Times New Roman" w:hAnsi="Times New Roman" w:eastAsia="宋体" w:cs="Times New Roman"/>
                <w:sz w:val="18"/>
                <w:szCs w:val="18"/>
              </w:rPr>
              <w:t>12</w:t>
            </w:r>
          </w:p>
        </w:tc>
        <w:tc>
          <w:tcPr>
            <w:tcW w:w="1842" w:type="pct"/>
            <w:vAlign w:val="center"/>
          </w:tcPr>
          <w:p w14:paraId="61BB0632">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18"/>
                <w:szCs w:val="18"/>
              </w:rPr>
            </w:pPr>
            <w:r>
              <w:rPr>
                <w:rFonts w:hint="eastAsia"/>
                <w:sz w:val="18"/>
                <w:szCs w:val="18"/>
              </w:rPr>
              <w:t>溶样</w:t>
            </w:r>
            <w:r>
              <w:rPr>
                <w:sz w:val="18"/>
                <w:szCs w:val="18"/>
              </w:rPr>
              <w:t>加热煮沸2min使溶液清亮</w:t>
            </w:r>
            <w:r>
              <w:rPr>
                <w:rFonts w:hint="eastAsia"/>
                <w:sz w:val="18"/>
                <w:szCs w:val="18"/>
              </w:rPr>
              <w:t>，在这一步骤观察煮沸时间不够部分样品溶液会呈黄色</w:t>
            </w:r>
          </w:p>
        </w:tc>
        <w:tc>
          <w:tcPr>
            <w:tcW w:w="781" w:type="pct"/>
            <w:vAlign w:val="center"/>
          </w:tcPr>
          <w:p w14:paraId="248B9E4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厦门稀土材料研究所</w:t>
            </w:r>
          </w:p>
        </w:tc>
        <w:tc>
          <w:tcPr>
            <w:tcW w:w="651" w:type="pct"/>
            <w:vAlign w:val="center"/>
          </w:tcPr>
          <w:p w14:paraId="464F340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采纳</w:t>
            </w:r>
          </w:p>
        </w:tc>
        <w:tc>
          <w:tcPr>
            <w:tcW w:w="1192" w:type="pct"/>
            <w:vAlign w:val="center"/>
          </w:tcPr>
          <w:p w14:paraId="2CD757D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p>
        </w:tc>
      </w:tr>
      <w:tr w14:paraId="3C8C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3DF009D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hint="eastAsia" w:ascii="Times New Roman" w:hAnsi="Times New Roman" w:eastAsia="宋体" w:cs="Times New Roman"/>
                <w:sz w:val="18"/>
                <w:szCs w:val="18"/>
              </w:rPr>
              <w:t>13</w:t>
            </w:r>
          </w:p>
        </w:tc>
        <w:tc>
          <w:tcPr>
            <w:tcW w:w="1842" w:type="pct"/>
            <w:vAlign w:val="center"/>
          </w:tcPr>
          <w:p w14:paraId="1D6673F0">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18"/>
                <w:szCs w:val="18"/>
              </w:rPr>
            </w:pPr>
            <w:r>
              <w:rPr>
                <w:rFonts w:hint="eastAsia"/>
                <w:sz w:val="18"/>
                <w:szCs w:val="18"/>
              </w:rPr>
              <w:t>样品不调PH值直接显色是否可以，在调PH值时发现好像部分样品会沉淀</w:t>
            </w:r>
          </w:p>
        </w:tc>
        <w:tc>
          <w:tcPr>
            <w:tcW w:w="781" w:type="pct"/>
            <w:vAlign w:val="center"/>
          </w:tcPr>
          <w:p w14:paraId="6300F57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厦门稀土材料研究所</w:t>
            </w:r>
          </w:p>
        </w:tc>
        <w:tc>
          <w:tcPr>
            <w:tcW w:w="651" w:type="pct"/>
            <w:vAlign w:val="center"/>
          </w:tcPr>
          <w:p w14:paraId="3E32312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不采纳</w:t>
            </w:r>
          </w:p>
        </w:tc>
        <w:tc>
          <w:tcPr>
            <w:tcW w:w="1192" w:type="pct"/>
            <w:vAlign w:val="center"/>
          </w:tcPr>
          <w:p w14:paraId="4B664AE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r>
              <w:rPr>
                <w:rFonts w:hint="eastAsia"/>
                <w:sz w:val="18"/>
                <w:szCs w:val="18"/>
              </w:rPr>
              <w:t>经酸度条件试验酸度对试验结果有影响，不可不调PH。因为样品中稀土含量较高，在调PH产出氢氧化稀土沉淀属正常现象，再加入1</w:t>
            </w:r>
            <w:r>
              <w:rPr>
                <w:sz w:val="18"/>
                <w:szCs w:val="18"/>
              </w:rPr>
              <w:t>+3</w:t>
            </w:r>
            <w:r>
              <w:rPr>
                <w:rFonts w:hint="eastAsia"/>
                <w:sz w:val="18"/>
                <w:szCs w:val="18"/>
              </w:rPr>
              <w:t>硝酸即可调至沉淀消失。</w:t>
            </w:r>
          </w:p>
        </w:tc>
      </w:tr>
      <w:tr w14:paraId="6A7C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14:paraId="74D76BF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cs="Times New Roman"/>
                <w:sz w:val="18"/>
                <w:szCs w:val="18"/>
                <w:lang w:val="en-US" w:eastAsia="zh-CN"/>
              </w:rPr>
            </w:pPr>
            <w:r>
              <w:rPr>
                <w:rFonts w:hint="eastAsia" w:ascii="Times New Roman" w:hAnsi="Times New Roman" w:eastAsia="宋体" w:cs="Times New Roman"/>
                <w:sz w:val="18"/>
                <w:szCs w:val="18"/>
              </w:rPr>
              <w:t>14</w:t>
            </w:r>
          </w:p>
        </w:tc>
        <w:tc>
          <w:tcPr>
            <w:tcW w:w="1842" w:type="pct"/>
            <w:vAlign w:val="center"/>
          </w:tcPr>
          <w:p w14:paraId="044D15E4">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18"/>
                <w:szCs w:val="18"/>
              </w:rPr>
            </w:pPr>
            <w:r>
              <w:rPr>
                <w:rFonts w:hint="eastAsia"/>
                <w:sz w:val="18"/>
                <w:szCs w:val="18"/>
              </w:rPr>
              <w:t>显色后放置时间不宜过长，最好做下更长时间的稳定性实验</w:t>
            </w:r>
          </w:p>
        </w:tc>
        <w:tc>
          <w:tcPr>
            <w:tcW w:w="781" w:type="pct"/>
            <w:vAlign w:val="center"/>
          </w:tcPr>
          <w:p w14:paraId="4ECFFE6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厦门稀土材料研究所</w:t>
            </w:r>
          </w:p>
        </w:tc>
        <w:tc>
          <w:tcPr>
            <w:tcW w:w="651" w:type="pct"/>
            <w:vAlign w:val="center"/>
          </w:tcPr>
          <w:p w14:paraId="5E23DE9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kern w:val="2"/>
                <w:sz w:val="18"/>
                <w:szCs w:val="18"/>
                <w:lang w:val="en-US" w:eastAsia="zh-CN" w:bidi="ar-SA"/>
              </w:rPr>
            </w:pPr>
            <w:r>
              <w:rPr>
                <w:rFonts w:hint="eastAsia" w:ascii="Times New Roman" w:hAnsi="Times New Roman" w:cs="Times New Roman"/>
                <w:sz w:val="18"/>
                <w:szCs w:val="18"/>
              </w:rPr>
              <w:t>采纳</w:t>
            </w:r>
          </w:p>
        </w:tc>
        <w:tc>
          <w:tcPr>
            <w:tcW w:w="1192" w:type="pct"/>
            <w:vAlign w:val="center"/>
          </w:tcPr>
          <w:p w14:paraId="2C08FCA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已补充显色稳定时间试验</w:t>
            </w:r>
          </w:p>
        </w:tc>
      </w:tr>
    </w:tbl>
    <w:p w14:paraId="5C835F4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themeColor="text1"/>
          <w:sz w:val="18"/>
          <w:szCs w:val="18"/>
          <w:lang w:val="en-US" w:eastAsia="zh-CN"/>
          <w14:textFill>
            <w14:solidFill>
              <w14:schemeClr w14:val="tx1"/>
            </w14:solidFill>
          </w14:textFill>
        </w:rPr>
      </w:pPr>
    </w:p>
    <w:p w14:paraId="0EE7D1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center"/>
        <w:textAlignment w:val="auto"/>
        <w:rPr>
          <w:rFonts w:hint="eastAsia" w:ascii="Times New Roman" w:hAnsi="Times New Roman" w:cs="Times New Roman"/>
          <w:color w:val="000000" w:themeColor="text1"/>
          <w:sz w:val="18"/>
          <w:szCs w:val="18"/>
          <w:lang w:val="en-US" w:eastAsia="zh-CN"/>
          <w14:textFill>
            <w14:solidFill>
              <w14:schemeClr w14:val="tx1"/>
            </w14:solidFill>
          </w14:textFill>
        </w:rPr>
      </w:pPr>
      <w:r>
        <w:rPr>
          <w:rFonts w:hint="eastAsia" w:ascii="黑体" w:hAnsi="黑体" w:eastAsia="黑体" w:cs="黑体"/>
          <w:color w:val="000000" w:themeColor="text1"/>
          <w:sz w:val="18"/>
          <w:szCs w:val="18"/>
          <w:lang w:val="en-US" w:eastAsia="zh-CN"/>
          <w14:textFill>
            <w14:solidFill>
              <w14:schemeClr w14:val="tx1"/>
            </w14:solidFill>
          </w14:textFill>
        </w:rPr>
        <w:t xml:space="preserve">表3 </w:t>
      </w:r>
      <w:r>
        <w:rPr>
          <w:rFonts w:hint="eastAsia" w:ascii="黑体" w:hAnsi="黑体" w:eastAsia="黑体" w:cs="黑体"/>
          <w:sz w:val="18"/>
          <w:szCs w:val="18"/>
          <w:lang w:val="en-US" w:eastAsia="zh-CN"/>
        </w:rPr>
        <w:t>电感耦合等离子体发射光谱法</w:t>
      </w:r>
      <w:r>
        <w:rPr>
          <w:rFonts w:hint="eastAsia" w:ascii="黑体" w:hAnsi="黑体" w:eastAsia="黑体" w:cs="黑体"/>
          <w:color w:val="000000" w:themeColor="text1"/>
          <w:sz w:val="18"/>
          <w:szCs w:val="18"/>
          <w:lang w:val="en-US" w:eastAsia="zh-CN"/>
          <w14:textFill>
            <w14:solidFill>
              <w14:schemeClr w14:val="tx1"/>
            </w14:solidFill>
          </w14:textFill>
        </w:rPr>
        <w:t>验证单位意见汇总表</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3140"/>
        <w:gridCol w:w="1331"/>
        <w:gridCol w:w="1186"/>
        <w:gridCol w:w="1955"/>
      </w:tblGrid>
      <w:tr w14:paraId="3916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32" w:type="pct"/>
            <w:vAlign w:val="center"/>
          </w:tcPr>
          <w:p w14:paraId="1878AD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序号</w:t>
            </w:r>
          </w:p>
        </w:tc>
        <w:tc>
          <w:tcPr>
            <w:tcW w:w="1842" w:type="pct"/>
            <w:vAlign w:val="center"/>
          </w:tcPr>
          <w:p w14:paraId="71F521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意见内容</w:t>
            </w:r>
          </w:p>
        </w:tc>
        <w:tc>
          <w:tcPr>
            <w:tcW w:w="781" w:type="pct"/>
            <w:vAlign w:val="center"/>
          </w:tcPr>
          <w:p w14:paraId="144739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提出单位</w:t>
            </w:r>
          </w:p>
        </w:tc>
        <w:tc>
          <w:tcPr>
            <w:tcW w:w="696" w:type="pct"/>
            <w:vAlign w:val="center"/>
          </w:tcPr>
          <w:p w14:paraId="5B1500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处理意见</w:t>
            </w:r>
          </w:p>
        </w:tc>
        <w:tc>
          <w:tcPr>
            <w:tcW w:w="1147" w:type="pct"/>
            <w:vAlign w:val="center"/>
          </w:tcPr>
          <w:p w14:paraId="07EDE2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备注</w:t>
            </w:r>
          </w:p>
        </w:tc>
      </w:tr>
      <w:tr w14:paraId="7AAF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07" w:type="dxa"/>
            <w:vAlign w:val="center"/>
          </w:tcPr>
          <w:p w14:paraId="4EE706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p>
        </w:tc>
        <w:tc>
          <w:tcPr>
            <w:tcW w:w="3140" w:type="dxa"/>
            <w:vAlign w:val="center"/>
          </w:tcPr>
          <w:p w14:paraId="6DB7BBF2">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Na含量高时会出现ICP熄火现象，特别是分取倍数小的情况下，可以考虑1#，2#样品的分取倍数，减少对仪器的损坏，在干扰试验中，Na为6mg/mL检测时，ICP同样熄火。</w:t>
            </w:r>
          </w:p>
        </w:tc>
        <w:tc>
          <w:tcPr>
            <w:tcW w:w="1331" w:type="dxa"/>
            <w:vAlign w:val="center"/>
          </w:tcPr>
          <w:p w14:paraId="1D9A383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江西金世纪新材料股份有限公司</w:t>
            </w:r>
          </w:p>
        </w:tc>
        <w:tc>
          <w:tcPr>
            <w:tcW w:w="1186" w:type="dxa"/>
            <w:vAlign w:val="center"/>
          </w:tcPr>
          <w:p w14:paraId="26885C6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不采纳</w:t>
            </w:r>
          </w:p>
        </w:tc>
        <w:tc>
          <w:tcPr>
            <w:tcW w:w="1955" w:type="dxa"/>
            <w:vAlign w:val="center"/>
          </w:tcPr>
          <w:p w14:paraId="621DFA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参考对比其它类似碱熔融酸化方法的标准，很多是在此浓度下进行的测定，同时其它验证单位未提出此质疑。</w:t>
            </w:r>
          </w:p>
        </w:tc>
      </w:tr>
      <w:tr w14:paraId="146C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14:paraId="35371C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p>
        </w:tc>
        <w:tc>
          <w:tcPr>
            <w:tcW w:w="3140" w:type="dxa"/>
            <w:vAlign w:val="center"/>
          </w:tcPr>
          <w:p w14:paraId="0FBB8979">
            <w:pPr>
              <w:pStyle w:val="8"/>
              <w:keepNext w:val="0"/>
              <w:keepLines w:val="0"/>
              <w:pageBreakBefore w:val="0"/>
              <w:widowControl w:val="0"/>
              <w:kinsoku/>
              <w:wordWrap/>
              <w:overflowPunct/>
              <w:topLinePunct w:val="0"/>
              <w:autoSpaceDE/>
              <w:autoSpaceDN/>
              <w:bidi w:val="0"/>
              <w:ind w:firstLine="0" w:firstLineChars="0"/>
              <w:jc w:val="left"/>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过氧化钠和氢氧化钠的量会影响到空白和样品的测定，建议称量过程中二者的量精准到0.001g，减少影响。</w:t>
            </w:r>
          </w:p>
        </w:tc>
        <w:tc>
          <w:tcPr>
            <w:tcW w:w="1331" w:type="dxa"/>
            <w:vAlign w:val="center"/>
          </w:tcPr>
          <w:p w14:paraId="2438686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江西金世纪新材料股份有限公司</w:t>
            </w:r>
          </w:p>
        </w:tc>
        <w:tc>
          <w:tcPr>
            <w:tcW w:w="1186" w:type="dxa"/>
            <w:vAlign w:val="center"/>
          </w:tcPr>
          <w:p w14:paraId="72083C6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不采纳</w:t>
            </w:r>
          </w:p>
        </w:tc>
        <w:tc>
          <w:tcPr>
            <w:tcW w:w="1955" w:type="dxa"/>
            <w:vAlign w:val="center"/>
          </w:tcPr>
          <w:p w14:paraId="2D1F41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碱量对测定结果没有精确影响。</w:t>
            </w:r>
          </w:p>
        </w:tc>
      </w:tr>
      <w:tr w14:paraId="6E3D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14:paraId="7133C6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w:t>
            </w:r>
          </w:p>
        </w:tc>
        <w:tc>
          <w:tcPr>
            <w:tcW w:w="3140" w:type="dxa"/>
            <w:vAlign w:val="center"/>
          </w:tcPr>
          <w:p w14:paraId="0A804810">
            <w:pPr>
              <w:pStyle w:val="8"/>
              <w:keepNext w:val="0"/>
              <w:keepLines w:val="0"/>
              <w:pageBreakBefore w:val="0"/>
              <w:widowControl w:val="0"/>
              <w:kinsoku/>
              <w:wordWrap/>
              <w:overflowPunct/>
              <w:topLinePunct w:val="0"/>
              <w:autoSpaceDE/>
              <w:autoSpaceDN/>
              <w:bidi w:val="0"/>
              <w:ind w:firstLine="0" w:firstLineChars="0"/>
              <w:jc w:val="left"/>
              <w:textAlignment w:val="auto"/>
              <w:rPr>
                <w:rFonts w:hint="default" w:ascii="Times New Roman" w:hAnsi="Times New Roman" w:eastAsia="宋体" w:cs="Times New Roman"/>
                <w:kern w:val="2"/>
                <w:sz w:val="18"/>
                <w:szCs w:val="18"/>
                <w:lang w:val="en-US" w:eastAsia="zh-CN" w:bidi="ar-SA"/>
              </w:rPr>
            </w:pPr>
            <w:r>
              <w:rPr>
                <w:rFonts w:hint="eastAsia"/>
                <w:sz w:val="18"/>
                <w:szCs w:val="18"/>
              </w:rPr>
              <w:t>样品的前处理时方法1及方法2的称样量是否可以统一。</w:t>
            </w:r>
          </w:p>
        </w:tc>
        <w:tc>
          <w:tcPr>
            <w:tcW w:w="1331" w:type="dxa"/>
            <w:vAlign w:val="center"/>
          </w:tcPr>
          <w:p w14:paraId="5CC1A57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中国科学院海西研究院厦门稀土材料研究所</w:t>
            </w:r>
          </w:p>
        </w:tc>
        <w:tc>
          <w:tcPr>
            <w:tcW w:w="1186" w:type="dxa"/>
            <w:vAlign w:val="center"/>
          </w:tcPr>
          <w:p w14:paraId="0E28283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不采纳</w:t>
            </w:r>
          </w:p>
        </w:tc>
        <w:tc>
          <w:tcPr>
            <w:tcW w:w="1955" w:type="dxa"/>
            <w:vAlign w:val="center"/>
          </w:tcPr>
          <w:p w14:paraId="463555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由于方法1和2的工作曲线范围和测定范围不同的原因，无法将两个方法的称样量统一。</w:t>
            </w:r>
          </w:p>
        </w:tc>
      </w:tr>
      <w:tr w14:paraId="4DF9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14:paraId="6A88C46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w:t>
            </w:r>
          </w:p>
        </w:tc>
        <w:tc>
          <w:tcPr>
            <w:tcW w:w="3140" w:type="dxa"/>
            <w:vAlign w:val="center"/>
          </w:tcPr>
          <w:p w14:paraId="37786681">
            <w:pPr>
              <w:pStyle w:val="8"/>
              <w:keepNext w:val="0"/>
              <w:keepLines w:val="0"/>
              <w:pageBreakBefore w:val="0"/>
              <w:widowControl w:val="0"/>
              <w:kinsoku/>
              <w:wordWrap/>
              <w:overflowPunct/>
              <w:topLinePunct w:val="0"/>
              <w:autoSpaceDE/>
              <w:autoSpaceDN/>
              <w:bidi w:val="0"/>
              <w:ind w:firstLine="0" w:firstLineChars="0"/>
              <w:jc w:val="left"/>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使用HORIBAJOBIN YVON ULTIMA2推荐谱线(nm)（轴向）178.222寻不到峰，185.827谱线灵敏度低，测定结果不准确。</w:t>
            </w:r>
          </w:p>
        </w:tc>
        <w:tc>
          <w:tcPr>
            <w:tcW w:w="1331" w:type="dxa"/>
            <w:vAlign w:val="center"/>
          </w:tcPr>
          <w:p w14:paraId="2FADC93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包头华美稀土高科技有限公司</w:t>
            </w:r>
          </w:p>
        </w:tc>
        <w:tc>
          <w:tcPr>
            <w:tcW w:w="1186" w:type="dxa"/>
            <w:vAlign w:val="center"/>
          </w:tcPr>
          <w:p w14:paraId="3FEA062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不采纳</w:t>
            </w:r>
          </w:p>
        </w:tc>
        <w:tc>
          <w:tcPr>
            <w:tcW w:w="1955" w:type="dxa"/>
            <w:vAlign w:val="center"/>
          </w:tcPr>
          <w:p w14:paraId="24F9B4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可能由于不同仪器性能原因，故在研究方法里已推荐轴、径向多条谱线以供选择</w:t>
            </w:r>
          </w:p>
        </w:tc>
      </w:tr>
    </w:tbl>
    <w:p w14:paraId="2F12D36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二 标准制定原则</w:t>
      </w:r>
    </w:p>
    <w:p w14:paraId="159C85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rPr>
      </w:pPr>
      <w:r>
        <w:rPr>
          <w:rFonts w:hint="eastAsia" w:ascii="宋体" w:hAnsi="宋体" w:eastAsia="宋体" w:cs="宋体"/>
        </w:rPr>
        <w:t>本标准在起草过程中遵循以下原则：</w:t>
      </w:r>
    </w:p>
    <w:p w14:paraId="0EB311B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1 规范性</w:t>
      </w:r>
    </w:p>
    <w:p w14:paraId="371FA3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eastAsia="zh-CN"/>
        </w:rPr>
      </w:pPr>
      <w:r>
        <w:rPr>
          <w:rFonts w:hint="default" w:ascii="Times New Roman" w:hAnsi="Times New Roman" w:cs="Times New Roman"/>
        </w:rPr>
        <w:t>本标准是根据GB/T</w:t>
      </w:r>
      <w:r>
        <w:rPr>
          <w:rFonts w:hint="default" w:ascii="Times New Roman" w:hAnsi="Times New Roman" w:cs="Times New Roman"/>
          <w:szCs w:val="21"/>
        </w:rPr>
        <w:t> </w:t>
      </w:r>
      <w:r>
        <w:rPr>
          <w:rFonts w:hint="default" w:ascii="Times New Roman" w:hAnsi="Times New Roman" w:cs="Times New Roman"/>
        </w:rPr>
        <w:t>1.1-2020《标准化工作导则 第1部分:标准化文件的结构和起草规则》、GB/T</w:t>
      </w:r>
      <w:r>
        <w:rPr>
          <w:rFonts w:hint="default" w:ascii="Times New Roman" w:hAnsi="Times New Roman" w:cs="Times New Roman"/>
          <w:szCs w:val="21"/>
        </w:rPr>
        <w:t> </w:t>
      </w:r>
      <w:r>
        <w:rPr>
          <w:rFonts w:hint="default" w:ascii="Times New Roman" w:hAnsi="Times New Roman" w:cs="Times New Roman"/>
        </w:rPr>
        <w:t>20001.4-2015《标准编写规则 第4部分：试验方法标准》和GB/T</w:t>
      </w:r>
      <w:r>
        <w:rPr>
          <w:rFonts w:hint="default" w:ascii="Times New Roman" w:hAnsi="Times New Roman" w:cs="Times New Roman"/>
          <w:szCs w:val="21"/>
        </w:rPr>
        <w:t> </w:t>
      </w:r>
      <w:r>
        <w:rPr>
          <w:rFonts w:hint="default" w:ascii="Times New Roman" w:hAnsi="Times New Roman" w:cs="Times New Roman"/>
        </w:rPr>
        <w:t>6379.2-2004《测量方法与结果的准确度》的要求进行编写的</w:t>
      </w:r>
      <w:r>
        <w:rPr>
          <w:rFonts w:hint="eastAsia" w:ascii="Times New Roman" w:hAnsi="Times New Roman" w:cs="Times New Roman"/>
          <w:lang w:eastAsia="zh-CN"/>
        </w:rPr>
        <w:t>。</w:t>
      </w:r>
    </w:p>
    <w:p w14:paraId="72DD438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2 先进性</w:t>
      </w:r>
    </w:p>
    <w:p w14:paraId="7E5855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lang w:val="en-US" w:eastAsia="zh-CN"/>
        </w:rPr>
      </w:pPr>
      <w:r>
        <w:rPr>
          <w:rFonts w:hint="eastAsia"/>
        </w:rPr>
        <w:t>本次</w:t>
      </w:r>
      <w:r>
        <w:t>标准</w:t>
      </w:r>
      <w:r>
        <w:rPr>
          <w:rFonts w:hint="eastAsia"/>
        </w:rPr>
        <w:t>修订包含</w:t>
      </w:r>
      <w:r>
        <w:rPr>
          <w:rFonts w:hint="eastAsia" w:ascii="Times New Roman" w:hAnsi="Times New Roman" w:cs="Times New Roman"/>
          <w:szCs w:val="21"/>
          <w:lang w:val="en-US" w:eastAsia="zh-CN"/>
        </w:rPr>
        <w:t>磷铋钼蓝分光光度法、</w:t>
      </w:r>
      <w:r>
        <w:rPr>
          <w:rFonts w:hint="eastAsia" w:ascii="Times New Roman" w:hAnsi="Times New Roman" w:cs="Times New Roman"/>
          <w:sz w:val="21"/>
          <w:szCs w:val="21"/>
          <w:lang w:val="en-US" w:eastAsia="zh-CN"/>
        </w:rPr>
        <w:t>电感耦合等离子体发射</w:t>
      </w:r>
      <w:r>
        <w:rPr>
          <w:rFonts w:hint="eastAsia" w:ascii="Times New Roman" w:hAnsi="Times New Roman" w:cs="Times New Roman"/>
          <w:szCs w:val="21"/>
          <w:lang w:val="en-US" w:eastAsia="zh-CN"/>
        </w:rPr>
        <w:t>法</w:t>
      </w:r>
      <w:r>
        <w:rPr>
          <w:rFonts w:hint="eastAsia"/>
        </w:rPr>
        <w:t>体现了检测技术的进步</w:t>
      </w:r>
      <w:r>
        <w:rPr>
          <w:rFonts w:hint="eastAsia"/>
          <w:szCs w:val="20"/>
        </w:rPr>
        <w:t>，</w:t>
      </w:r>
      <w:r>
        <w:rPr>
          <w:rFonts w:hint="eastAsia"/>
          <w:szCs w:val="20"/>
          <w:lang w:val="en-US" w:eastAsia="zh-CN"/>
        </w:rPr>
        <w:t>符合</w:t>
      </w:r>
      <w:r>
        <w:rPr>
          <w:rFonts w:hint="eastAsia"/>
          <w:szCs w:val="20"/>
        </w:rPr>
        <w:t>稀土产业发展</w:t>
      </w:r>
      <w:r>
        <w:rPr>
          <w:rFonts w:hint="eastAsia"/>
          <w:szCs w:val="20"/>
          <w:lang w:val="en-US" w:eastAsia="zh-CN"/>
        </w:rPr>
        <w:t>需求</w:t>
      </w:r>
      <w:r>
        <w:rPr>
          <w:rFonts w:hint="eastAsia"/>
          <w:szCs w:val="20"/>
        </w:rPr>
        <w:t>，对稀土生产及相关行业技术进步</w:t>
      </w:r>
      <w:r>
        <w:rPr>
          <w:rFonts w:hint="eastAsia"/>
          <w:szCs w:val="20"/>
          <w:lang w:eastAsia="zh-CN"/>
        </w:rPr>
        <w:t>，</w:t>
      </w:r>
      <w:r>
        <w:rPr>
          <w:rFonts w:hint="eastAsia"/>
          <w:szCs w:val="20"/>
        </w:rPr>
        <w:t>产生积极的促进作用</w:t>
      </w:r>
      <w:r>
        <w:t>。</w:t>
      </w:r>
    </w:p>
    <w:p w14:paraId="5C70181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lang w:val="en-US" w:eastAsia="zh-CN"/>
        </w:rPr>
      </w:pPr>
      <w:r>
        <w:rPr>
          <w:rFonts w:hint="eastAsia" w:ascii="黑体" w:hAnsi="黑体" w:eastAsia="黑体" w:cs="黑体"/>
          <w:lang w:val="en-US" w:eastAsia="zh-CN"/>
        </w:rPr>
        <w:t>3 适用性</w:t>
      </w:r>
    </w:p>
    <w:p w14:paraId="5CAB4B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eastAsiaTheme="minorEastAsia"/>
          <w:lang w:val="en-US" w:eastAsia="zh-CN"/>
        </w:rPr>
      </w:pPr>
      <w:r>
        <w:rPr>
          <w:rFonts w:hint="eastAsia" w:ascii="宋体" w:hAnsi="宋体" w:cs="宋体"/>
        </w:rPr>
        <w:t>根据</w:t>
      </w:r>
      <w:r>
        <w:rPr>
          <w:rFonts w:hint="eastAsia" w:ascii="宋体" w:hAnsi="宋体" w:cs="宋体"/>
          <w:lang w:val="en-US" w:eastAsia="zh-CN"/>
        </w:rPr>
        <w:t>现行稀土精矿</w:t>
      </w:r>
      <w:r>
        <w:rPr>
          <w:rFonts w:ascii="宋体" w:hAnsi="宋体" w:cs="宋体"/>
        </w:rPr>
        <w:t>产品</w:t>
      </w:r>
      <w:r>
        <w:rPr>
          <w:rFonts w:hint="eastAsia" w:ascii="宋体" w:hAnsi="宋体" w:cs="宋体"/>
        </w:rPr>
        <w:t>标准指标要求</w:t>
      </w:r>
      <w:r>
        <w:rPr>
          <w:rFonts w:hint="eastAsia" w:ascii="宋体" w:hAnsi="宋体" w:cs="宋体"/>
          <w:lang w:val="en-US" w:eastAsia="zh-CN"/>
        </w:rPr>
        <w:t>结合稀土冶炼</w:t>
      </w:r>
      <w:r>
        <w:rPr>
          <w:rFonts w:hint="eastAsia" w:ascii="宋体" w:hAnsi="宋体" w:cs="宋体"/>
        </w:rPr>
        <w:t>生产工艺</w:t>
      </w:r>
      <w:r>
        <w:rPr>
          <w:rFonts w:hint="eastAsia" w:ascii="宋体" w:hAnsi="宋体" w:cs="宋体"/>
          <w:lang w:eastAsia="zh-CN"/>
        </w:rPr>
        <w:t>，</w:t>
      </w:r>
      <w:r>
        <w:rPr>
          <w:rFonts w:hint="eastAsia" w:ascii="宋体" w:hAnsi="宋体" w:cs="宋体"/>
          <w:lang w:val="en-US" w:eastAsia="zh-CN"/>
        </w:rPr>
        <w:t>本标准制定过程中在不断优化</w:t>
      </w:r>
      <w:r>
        <w:rPr>
          <w:rFonts w:hint="eastAsia" w:ascii="Times New Roman" w:hAnsi="Times New Roman" w:cs="Times New Roman"/>
          <w:lang w:val="en-US" w:eastAsia="zh-CN"/>
        </w:rPr>
        <w:t>磷铋钼蓝分光光度法的前提下，新增了</w:t>
      </w:r>
      <w:r>
        <w:rPr>
          <w:rFonts w:hint="eastAsia" w:ascii="Times New Roman" w:hAnsi="Times New Roman" w:cs="Times New Roman"/>
          <w:sz w:val="21"/>
          <w:szCs w:val="21"/>
          <w:lang w:val="en-US" w:eastAsia="zh-CN"/>
        </w:rPr>
        <w:t>电感耦合等离子体发射光谱法</w:t>
      </w:r>
      <w:r>
        <w:rPr>
          <w:rFonts w:hint="eastAsia" w:ascii="Times New Roman" w:hAnsi="Times New Roman" w:cs="Times New Roman"/>
          <w:szCs w:val="21"/>
          <w:lang w:val="en-US" w:eastAsia="zh-CN"/>
        </w:rPr>
        <w:t>，</w:t>
      </w:r>
      <w:r>
        <w:rPr>
          <w:rFonts w:hint="eastAsia" w:ascii="宋体" w:hAnsi="宋体" w:cs="宋体"/>
          <w:lang w:val="en-US" w:eastAsia="zh-CN"/>
        </w:rPr>
        <w:t>进一步</w:t>
      </w:r>
      <w:r>
        <w:rPr>
          <w:rFonts w:hint="eastAsia" w:ascii="Times New Roman" w:hAnsi="Times New Roman" w:cs="Times New Roman"/>
          <w:szCs w:val="21"/>
          <w:lang w:val="en-US" w:eastAsia="zh-CN"/>
        </w:rPr>
        <w:t>扩展了《稀土精矿化学分析方法 第9部分：五氧化二磷量的测定》方法适用范围，为实验室不同含量范围五氧化二磷的稀土精矿检测工作提供了多种分析方法，具有广泛应用的潜力。</w:t>
      </w:r>
    </w:p>
    <w:p w14:paraId="440EF4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2"/>
        </w:rPr>
      </w:pPr>
      <w:r>
        <w:rPr>
          <w:rFonts w:hint="eastAsia" w:ascii="黑体" w:hAnsi="黑体" w:eastAsia="黑体" w:cs="黑体"/>
          <w:b w:val="0"/>
          <w:bCs w:val="0"/>
          <w:sz w:val="24"/>
          <w:szCs w:val="24"/>
          <w:lang w:val="en-US" w:eastAsia="zh-CN"/>
        </w:rPr>
        <w:t xml:space="preserve">三 </w:t>
      </w:r>
      <w:r>
        <w:rPr>
          <w:rFonts w:hint="eastAsia" w:ascii="黑体" w:hAnsi="黑体" w:eastAsia="黑体" w:cs="黑体"/>
          <w:b w:val="0"/>
          <w:bCs w:val="0"/>
          <w:sz w:val="24"/>
          <w:szCs w:val="24"/>
        </w:rPr>
        <w:t>标准主要技术内容、确定的依据及主要试验和验证情况</w:t>
      </w:r>
    </w:p>
    <w:p w14:paraId="2B2BE2C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b w:val="0"/>
          <w:bCs w:val="0"/>
          <w:sz w:val="21"/>
          <w:szCs w:val="21"/>
        </w:rPr>
      </w:pPr>
      <w:r>
        <w:rPr>
          <w:rFonts w:hint="eastAsia" w:ascii="Times New Roman" w:hAnsi="Times New Roman" w:eastAsia="黑体" w:cs="Times New Roman"/>
          <w:b w:val="0"/>
          <w:bCs w:val="0"/>
          <w:sz w:val="21"/>
          <w:szCs w:val="21"/>
          <w:lang w:val="en-US" w:eastAsia="zh-CN"/>
        </w:rPr>
        <w:t xml:space="preserve">1 </w:t>
      </w:r>
      <w:r>
        <w:rPr>
          <w:rFonts w:hint="default" w:ascii="Times New Roman" w:hAnsi="Times New Roman" w:eastAsia="黑体" w:cs="Times New Roman"/>
          <w:b w:val="0"/>
          <w:bCs w:val="0"/>
          <w:sz w:val="21"/>
          <w:szCs w:val="21"/>
        </w:rPr>
        <w:t>标准主要技术内容</w:t>
      </w:r>
      <w:r>
        <w:rPr>
          <w:rFonts w:hint="eastAsia" w:ascii="Times New Roman" w:hAnsi="Times New Roman" w:eastAsia="黑体" w:cs="Times New Roman"/>
          <w:b w:val="0"/>
          <w:bCs w:val="0"/>
          <w:sz w:val="21"/>
          <w:szCs w:val="21"/>
          <w:lang w:val="en-US" w:eastAsia="zh-CN"/>
        </w:rPr>
        <w:t>和</w:t>
      </w:r>
      <w:r>
        <w:rPr>
          <w:rFonts w:hint="default" w:ascii="Times New Roman" w:hAnsi="Times New Roman" w:eastAsia="黑体" w:cs="Times New Roman"/>
          <w:b w:val="0"/>
          <w:bCs w:val="0"/>
          <w:sz w:val="21"/>
          <w:szCs w:val="21"/>
        </w:rPr>
        <w:t>确定的依据</w:t>
      </w:r>
    </w:p>
    <w:p w14:paraId="313F260B">
      <w:pPr>
        <w:keepNext w:val="0"/>
        <w:keepLines w:val="0"/>
        <w:pageBreakBefore w:val="0"/>
        <w:widowControl w:val="0"/>
        <w:numPr>
          <w:ilvl w:val="1"/>
          <w:numId w:val="1"/>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测定范围的确定</w:t>
      </w:r>
    </w:p>
    <w:p w14:paraId="2C83D3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default" w:ascii="Times New Roman" w:hAnsi="Times New Roman" w:cs="Times New Roman"/>
          <w:szCs w:val="20"/>
        </w:rPr>
      </w:pPr>
      <w:r>
        <w:rPr>
          <w:rFonts w:hint="eastAsia" w:ascii="Times New Roman" w:hAnsi="Times New Roman" w:eastAsia="宋体" w:cs="Times New Roman"/>
          <w:b w:val="0"/>
          <w:bCs w:val="0"/>
          <w:sz w:val="21"/>
          <w:szCs w:val="21"/>
          <w:lang w:val="en-US" w:eastAsia="zh-CN"/>
        </w:rPr>
        <w:t>根据现行稀土精矿产品标准指标规定及稀土冶炼生产工艺要求，结合新增分析方法检出限实验，确定修订标准测定下限：方法1为0.10%、方法2为0.10%；方法测定上限与现行标准GB/T 18114.9-2010一致，仍为30.00%。</w:t>
      </w:r>
    </w:p>
    <w:p w14:paraId="6EB140B7">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szCs w:val="20"/>
          <w:lang w:val="en-US" w:eastAsia="zh-CN"/>
        </w:rPr>
      </w:pPr>
      <w:r>
        <w:rPr>
          <w:rFonts w:hint="eastAsia" w:ascii="Times New Roman" w:hAnsi="Times New Roman" w:cs="Times New Roman"/>
          <w:szCs w:val="20"/>
          <w:lang w:val="en-US" w:eastAsia="zh-CN"/>
        </w:rPr>
        <w:t>测定方法的确定</w:t>
      </w:r>
    </w:p>
    <w:p w14:paraId="4F5A77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default" w:ascii="Times New Roman" w:hAnsi="Times New Roman" w:cs="Times New Roman"/>
          <w:szCs w:val="20"/>
        </w:rPr>
      </w:pPr>
      <w:r>
        <w:rPr>
          <w:rFonts w:hint="default" w:ascii="Times New Roman" w:hAnsi="Times New Roman" w:cs="Times New Roman"/>
          <w:szCs w:val="21"/>
        </w:rPr>
        <w:t>本次为修订方法，</w:t>
      </w:r>
      <w:r>
        <w:rPr>
          <w:rFonts w:hint="default" w:ascii="Times New Roman" w:hAnsi="Times New Roman" w:cs="Times New Roman"/>
          <w:szCs w:val="21"/>
          <w:lang w:val="en-US" w:eastAsia="zh-CN"/>
        </w:rPr>
        <w:t>保留原标准中磷铋钼蓝分光光度法，新增电感耦合等离子体发射光谱</w:t>
      </w:r>
      <w:r>
        <w:rPr>
          <w:rFonts w:hint="default" w:ascii="Times New Roman" w:hAnsi="Times New Roman" w:cs="Times New Roman"/>
          <w:szCs w:val="20"/>
        </w:rPr>
        <w:t>法</w:t>
      </w:r>
      <w:r>
        <w:rPr>
          <w:rFonts w:hint="default" w:ascii="Times New Roman" w:hAnsi="Times New Roman" w:cs="Times New Roman"/>
          <w:szCs w:val="20"/>
          <w:lang w:eastAsia="zh-CN"/>
        </w:rPr>
        <w:t>。</w:t>
      </w:r>
      <w:r>
        <w:rPr>
          <w:rFonts w:hint="default" w:ascii="Times New Roman" w:hAnsi="Times New Roman" w:cs="Times New Roman"/>
          <w:szCs w:val="20"/>
          <w:lang w:val="en-US" w:eastAsia="zh-CN"/>
        </w:rPr>
        <w:t>2种方法均能满足稀土精矿中不同梯度五氧化二磷含量的测定。</w:t>
      </w:r>
      <w:r>
        <w:rPr>
          <w:rFonts w:hint="default" w:ascii="Times New Roman" w:hAnsi="Times New Roman" w:cs="Times New Roman" w:eastAsiaTheme="minorEastAsia"/>
          <w:szCs w:val="21"/>
        </w:rPr>
        <w:t>范围：</w:t>
      </w:r>
      <w:r>
        <w:rPr>
          <w:rFonts w:hint="default" w:ascii="Times New Roman" w:hAnsi="Times New Roman" w:cs="Times New Roman"/>
          <w:szCs w:val="20"/>
        </w:rPr>
        <w:t>0.10%</w:t>
      </w:r>
      <w:r>
        <w:rPr>
          <w:rFonts w:hint="default" w:ascii="Times New Roman" w:hAnsi="Times New Roman" w:cs="Times New Roman"/>
          <w:szCs w:val="20"/>
          <w:lang w:val="en-US" w:eastAsia="zh-CN"/>
        </w:rPr>
        <w:t xml:space="preserve"> ~30</w:t>
      </w:r>
      <w:r>
        <w:rPr>
          <w:rFonts w:hint="default" w:ascii="Times New Roman" w:hAnsi="Times New Roman" w:cs="Times New Roman"/>
          <w:szCs w:val="20"/>
        </w:rPr>
        <w:t>.00%；</w:t>
      </w:r>
    </w:p>
    <w:p w14:paraId="73D36B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 xml:space="preserve">2 </w:t>
      </w:r>
      <w:r>
        <w:rPr>
          <w:rFonts w:hint="eastAsia" w:ascii="黑体" w:hAnsi="黑体" w:eastAsia="黑体" w:cs="黑体"/>
          <w:b w:val="0"/>
          <w:bCs w:val="0"/>
          <w:sz w:val="21"/>
          <w:szCs w:val="21"/>
        </w:rPr>
        <w:t>主要试验和验证情况</w:t>
      </w:r>
    </w:p>
    <w:p w14:paraId="0495A4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 xml:space="preserve">2.1 </w:t>
      </w:r>
      <w:r>
        <w:rPr>
          <w:rFonts w:hint="eastAsia" w:ascii="Times New Roman" w:hAnsi="Times New Roman" w:eastAsia="宋体" w:cs="Times New Roman"/>
          <w:b w:val="0"/>
          <w:bCs w:val="0"/>
          <w:sz w:val="21"/>
          <w:szCs w:val="21"/>
          <w:lang w:val="en-US" w:eastAsia="zh-CN"/>
        </w:rPr>
        <w:t>实验内容</w:t>
      </w:r>
    </w:p>
    <w:p w14:paraId="7034BC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szCs w:val="21"/>
          <w:lang w:val="en-US" w:eastAsia="zh-CN"/>
        </w:rPr>
      </w:pPr>
      <w:r>
        <w:rPr>
          <w:rFonts w:hint="eastAsia" w:ascii="Times New Roman" w:hAnsi="Times New Roman" w:eastAsia="宋体" w:cs="Times New Roman"/>
          <w:b w:val="0"/>
          <w:bCs w:val="0"/>
          <w:sz w:val="21"/>
          <w:szCs w:val="21"/>
          <w:lang w:val="en-US" w:eastAsia="zh-CN"/>
        </w:rPr>
        <w:t xml:space="preserve">2.1.1 方法1  </w:t>
      </w:r>
      <w:r>
        <w:rPr>
          <w:rFonts w:hint="eastAsia" w:ascii="Times New Roman" w:hAnsi="Times New Roman" w:cs="Times New Roman"/>
          <w:szCs w:val="21"/>
          <w:lang w:val="en-US" w:eastAsia="zh-CN"/>
        </w:rPr>
        <w:t>磷铋钼蓝分光光度</w:t>
      </w:r>
      <w:r>
        <w:rPr>
          <w:rFonts w:hint="eastAsia"/>
          <w:szCs w:val="21"/>
          <w:lang w:val="en-US" w:eastAsia="zh-CN"/>
        </w:rPr>
        <w:t>法</w:t>
      </w:r>
    </w:p>
    <w:p w14:paraId="4CDE1F1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2.1.1.1 方法原理</w:t>
      </w:r>
    </w:p>
    <w:p w14:paraId="184094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both"/>
        <w:textAlignment w:val="auto"/>
        <w:rPr>
          <w:rFonts w:hint="default" w:ascii="Times New Roman" w:hAnsi="Times New Roman" w:cs="Times New Roman"/>
          <w:szCs w:val="21"/>
        </w:rPr>
      </w:pPr>
      <w:r>
        <w:rPr>
          <w:rFonts w:hint="default" w:ascii="Times New Roman" w:hAnsi="Times New Roman" w:cs="Times New Roman"/>
          <w:szCs w:val="21"/>
        </w:rPr>
        <w:t>试样经碱熔融后热水浸取，硝酸酸化溶液，在1 mol/L的硝酸酸度下，以乙醇为稳定剂，铋盐为催化剂，加入钼酸铵与磷形成磷铋钼三元杂多酸，用抗坏血酸还原，在波长700 nm处比色测定。</w:t>
      </w:r>
    </w:p>
    <w:p w14:paraId="66A9B68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2.1.1.2 实验条件优化</w:t>
      </w:r>
    </w:p>
    <w:p w14:paraId="32D76F0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lang w:val="en-US" w:eastAsia="zh-CN"/>
        </w:rPr>
      </w:pPr>
      <w:r>
        <w:rPr>
          <w:rFonts w:hint="eastAsia" w:ascii="Times New Roman" w:hAnsi="Times New Roman" w:cs="Times New Roman"/>
          <w:szCs w:val="21"/>
          <w:lang w:val="en-US" w:eastAsia="zh-CN"/>
        </w:rPr>
        <w:t xml:space="preserve">2.1.1.2.1 </w:t>
      </w:r>
      <w:r>
        <w:rPr>
          <w:rFonts w:hint="default" w:ascii="Times New Roman" w:hAnsi="Times New Roman" w:eastAsia="宋体" w:cs="Times New Roman"/>
          <w:lang w:val="en-US" w:eastAsia="zh-CN"/>
        </w:rPr>
        <w:t>溶样方法</w:t>
      </w:r>
    </w:p>
    <w:p w14:paraId="5FAC3A2D">
      <w:pPr>
        <w:spacing w:line="240" w:lineRule="auto"/>
        <w:ind w:firstLine="420" w:firstLineChars="200"/>
        <w:rPr>
          <w:rFonts w:hint="default" w:ascii="Times New Roman" w:hAnsi="Times New Roman" w:eastAsia="宋体" w:cs="Times New Roman"/>
          <w:snapToGrid w:val="0"/>
          <w:kern w:val="0"/>
          <w:sz w:val="21"/>
          <w:szCs w:val="21"/>
        </w:rPr>
      </w:pPr>
      <w:r>
        <w:rPr>
          <w:rFonts w:hint="default" w:ascii="Times New Roman" w:hAnsi="Times New Roman" w:eastAsia="宋体" w:cs="Times New Roman"/>
          <w:bCs/>
          <w:sz w:val="21"/>
          <w:szCs w:val="21"/>
        </w:rPr>
        <w:t>稀土精矿可能是</w:t>
      </w:r>
      <w:r>
        <w:rPr>
          <w:rFonts w:hint="default" w:ascii="Times New Roman" w:hAnsi="Times New Roman" w:eastAsia="宋体" w:cs="Times New Roman"/>
          <w:sz w:val="21"/>
          <w:szCs w:val="21"/>
        </w:rPr>
        <w:t>氟碳铈矿、独居石、氟碳铈和独居石混合矿等典型矿物，独</w:t>
      </w:r>
      <w:r>
        <w:rPr>
          <w:rFonts w:hint="default" w:ascii="Times New Roman" w:hAnsi="Times New Roman" w:eastAsia="宋体" w:cs="Times New Roman"/>
          <w:snapToGrid w:val="0"/>
          <w:kern w:val="0"/>
          <w:sz w:val="21"/>
          <w:szCs w:val="21"/>
        </w:rPr>
        <w:t>居石是含稀土的磷酸盐矿物，氟碳铈矿是含稀土的氟碳酸盐矿物，这两种矿物无论采用硫酸冒烟-盐酸浸出还是盐酸-氢氟酸进行溶解，样品均分解不完全，需要采用焦硫酸钾处理残渣，比起直接碱熔融更为复杂</w:t>
      </w:r>
      <w:r>
        <w:rPr>
          <w:rFonts w:hint="default" w:ascii="Times New Roman" w:hAnsi="Times New Roman" w:eastAsia="宋体" w:cs="Times New Roman"/>
          <w:snapToGrid w:val="0"/>
          <w:kern w:val="0"/>
          <w:sz w:val="21"/>
          <w:szCs w:val="21"/>
          <w:lang w:eastAsia="zh-CN"/>
        </w:rPr>
        <w:t>。</w:t>
      </w:r>
      <w:r>
        <w:rPr>
          <w:rFonts w:hint="default" w:ascii="Times New Roman" w:hAnsi="Times New Roman" w:eastAsia="宋体" w:cs="Times New Roman"/>
          <w:snapToGrid w:val="0"/>
          <w:kern w:val="0"/>
          <w:sz w:val="21"/>
          <w:szCs w:val="21"/>
        </w:rPr>
        <w:t>本方法选择采用氢氧化钠与过氧化钠熔融样品，硝酸提取熔融物，在1 mol/L的酸度下，对五氧化二磷量进行测定。</w:t>
      </w:r>
    </w:p>
    <w:p w14:paraId="0CE4ED63">
      <w:pPr>
        <w:pStyle w:val="8"/>
        <w:adjustRightInd w:val="0"/>
        <w:snapToGrid w:val="0"/>
        <w:spacing w:line="240" w:lineRule="auto"/>
        <w:ind w:firstLine="480"/>
        <w:rPr>
          <w:rFonts w:hint="default" w:ascii="Times New Roman" w:hAnsi="Times New Roman" w:eastAsia="宋体" w:cs="Times New Roman"/>
          <w:snapToGrid w:val="0"/>
          <w:kern w:val="0"/>
          <w:sz w:val="21"/>
          <w:szCs w:val="21"/>
        </w:rPr>
      </w:pPr>
      <w:r>
        <w:rPr>
          <w:rFonts w:hint="default" w:ascii="Times New Roman" w:hAnsi="Times New Roman" w:eastAsia="宋体" w:cs="Times New Roman"/>
          <w:snapToGrid w:val="0"/>
          <w:kern w:val="0"/>
          <w:sz w:val="21"/>
          <w:szCs w:val="21"/>
        </w:rPr>
        <w:t>由于镍坩埚或铁坩埚熔融后溶液都有颜色，引入的流程空白较高，所以本试样选择刚玉坩埚进行熔融。</w:t>
      </w:r>
    </w:p>
    <w:p w14:paraId="1CC391EE">
      <w:pPr>
        <w:pStyle w:val="8"/>
        <w:adjustRightInd w:val="0"/>
        <w:snapToGrid w:val="0"/>
        <w:spacing w:line="24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napToGrid w:val="0"/>
          <w:kern w:val="0"/>
          <w:sz w:val="21"/>
          <w:szCs w:val="21"/>
        </w:rPr>
        <w:t>称取0.40</w:t>
      </w:r>
      <w:r>
        <w:rPr>
          <w:rFonts w:hint="default" w:ascii="Times New Roman" w:hAnsi="Times New Roman" w:eastAsia="宋体" w:cs="Times New Roman"/>
          <w:snapToGrid w:val="0"/>
          <w:kern w:val="0"/>
          <w:sz w:val="21"/>
          <w:szCs w:val="21"/>
          <w:lang w:val="en-US" w:eastAsia="zh-CN"/>
        </w:rPr>
        <w:t xml:space="preserve"> </w:t>
      </w:r>
      <w:r>
        <w:rPr>
          <w:rFonts w:hint="default" w:ascii="Times New Roman" w:hAnsi="Times New Roman" w:eastAsia="宋体" w:cs="Times New Roman"/>
          <w:snapToGrid w:val="0"/>
          <w:kern w:val="0"/>
          <w:sz w:val="21"/>
          <w:szCs w:val="21"/>
        </w:rPr>
        <w:t>g</w:t>
      </w:r>
      <w:r>
        <w:rPr>
          <w:rFonts w:hint="default" w:ascii="Times New Roman" w:hAnsi="Times New Roman" w:eastAsia="宋体" w:cs="Times New Roman"/>
          <w:snapToGrid w:val="0"/>
          <w:kern w:val="0"/>
          <w:sz w:val="21"/>
          <w:szCs w:val="21"/>
          <w:lang w:val="en-US" w:eastAsia="zh-CN"/>
        </w:rPr>
        <w:t>1#统一样</w:t>
      </w:r>
      <w:r>
        <w:rPr>
          <w:rFonts w:hint="default" w:ascii="Times New Roman" w:hAnsi="Times New Roman" w:eastAsia="宋体" w:cs="Times New Roman"/>
          <w:snapToGrid w:val="0"/>
          <w:kern w:val="0"/>
          <w:sz w:val="21"/>
          <w:szCs w:val="21"/>
        </w:rPr>
        <w:t>（精确至0.1 mg）置于刚玉坩埚中，按表2加入不同量的氢氧化钠和过氧化钠熔融，</w:t>
      </w:r>
      <w:r>
        <w:rPr>
          <w:rFonts w:hint="default" w:ascii="Times New Roman" w:hAnsi="Times New Roman" w:eastAsia="宋体" w:cs="Times New Roman"/>
          <w:sz w:val="21"/>
          <w:szCs w:val="21"/>
        </w:rPr>
        <w:t>按照试验方法进行五氧化二磷量的测定。从表2可知，在在氢氧化钠和过氧化钠用量分别为3</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g和</w:t>
      </w:r>
      <w:r>
        <w:rPr>
          <w:rFonts w:hint="default" w:ascii="Times New Roman" w:hAnsi="Times New Roman" w:eastAsia="宋体" w:cs="Times New Roman"/>
          <w:sz w:val="21"/>
          <w:szCs w:val="21"/>
          <w:lang w:val="en-US" w:eastAsia="zh-CN"/>
        </w:rPr>
        <w:t>1.5~2</w:t>
      </w:r>
      <w:r>
        <w:rPr>
          <w:rFonts w:hint="default" w:ascii="Times New Roman" w:hAnsi="Times New Roman" w:eastAsia="宋体" w:cs="Times New Roman"/>
          <w:sz w:val="21"/>
          <w:szCs w:val="21"/>
        </w:rPr>
        <w:t xml:space="preserve"> g时，试样完全分解，无黑色残留物出现，试液澄清。因此，在保证样品消解完全和经济适用方面综合考虑，实验选择</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g氢氧化钠和</w:t>
      </w: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rPr>
        <w:t xml:space="preserve"> g过氧化钠于刚玉坩埚中进行样品溶解。</w:t>
      </w:r>
    </w:p>
    <w:p w14:paraId="2E382CC8">
      <w:pPr>
        <w:spacing w:line="240" w:lineRule="auto"/>
        <w:ind w:firstLine="360" w:firstLineChars="200"/>
        <w:jc w:val="center"/>
        <w:rPr>
          <w:rFonts w:hint="default" w:ascii="Times New Roman" w:hAnsi="Times New Roman" w:eastAsia="宋体" w:cs="Times New Roman"/>
          <w:bCs/>
          <w:sz w:val="21"/>
          <w:szCs w:val="21"/>
        </w:rPr>
      </w:pPr>
      <w:r>
        <w:rPr>
          <w:rFonts w:hint="default" w:ascii="Times New Roman" w:hAnsi="Times New Roman" w:eastAsia="黑体" w:cs="Times New Roman"/>
          <w:sz w:val="18"/>
          <w:szCs w:val="18"/>
          <w:lang w:val="en-US" w:eastAsia="zh-CN"/>
        </w:rPr>
        <w:t>表</w:t>
      </w:r>
      <w:r>
        <w:rPr>
          <w:rFonts w:hint="eastAsia" w:ascii="Times New Roman" w:hAnsi="Times New Roman" w:eastAsia="黑体" w:cs="Times New Roman"/>
          <w:sz w:val="18"/>
          <w:szCs w:val="18"/>
          <w:lang w:val="en-US" w:eastAsia="zh-CN"/>
        </w:rPr>
        <w:t>4</w:t>
      </w:r>
      <w:r>
        <w:rPr>
          <w:rFonts w:hint="default" w:ascii="Times New Roman" w:hAnsi="Times New Roman" w:eastAsia="黑体" w:cs="Times New Roman"/>
          <w:sz w:val="18"/>
          <w:szCs w:val="18"/>
          <w:lang w:val="en-US" w:eastAsia="zh-CN"/>
        </w:rPr>
        <w:t>氢氧化钠+过氧化钠用量试验结果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3620"/>
        <w:gridCol w:w="2301"/>
      </w:tblGrid>
      <w:tr w14:paraId="22BD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946" w:type="dxa"/>
            <w:noWrap w:val="0"/>
            <w:vAlign w:val="center"/>
          </w:tcPr>
          <w:p w14:paraId="46305F94">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氢氧化钠+过氧化钠/g</w:t>
            </w:r>
          </w:p>
        </w:tc>
        <w:tc>
          <w:tcPr>
            <w:tcW w:w="4154" w:type="dxa"/>
            <w:noWrap w:val="0"/>
            <w:vAlign w:val="center"/>
          </w:tcPr>
          <w:p w14:paraId="0F37AFCF">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实验现象</w:t>
            </w:r>
          </w:p>
        </w:tc>
        <w:tc>
          <w:tcPr>
            <w:tcW w:w="2609" w:type="dxa"/>
            <w:noWrap w:val="0"/>
            <w:vAlign w:val="center"/>
          </w:tcPr>
          <w:p w14:paraId="252C4FFB">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测定结果%</w:t>
            </w:r>
          </w:p>
        </w:tc>
      </w:tr>
      <w:tr w14:paraId="3B85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946" w:type="dxa"/>
            <w:noWrap w:val="0"/>
            <w:vAlign w:val="center"/>
          </w:tcPr>
          <w:p w14:paraId="1ABAB032">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2+0.5</w:t>
            </w:r>
          </w:p>
        </w:tc>
        <w:tc>
          <w:tcPr>
            <w:tcW w:w="4154" w:type="dxa"/>
            <w:noWrap w:val="0"/>
            <w:vAlign w:val="center"/>
          </w:tcPr>
          <w:p w14:paraId="40FCDF08">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有未溶解黑色残留物，试液浑浊</w:t>
            </w:r>
          </w:p>
        </w:tc>
        <w:tc>
          <w:tcPr>
            <w:tcW w:w="2609" w:type="dxa"/>
            <w:noWrap w:val="0"/>
            <w:vAlign w:val="center"/>
          </w:tcPr>
          <w:p w14:paraId="760A2B0B">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0.22</w:t>
            </w:r>
          </w:p>
        </w:tc>
      </w:tr>
      <w:tr w14:paraId="7DB9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946" w:type="dxa"/>
            <w:noWrap w:val="0"/>
            <w:vAlign w:val="center"/>
          </w:tcPr>
          <w:p w14:paraId="39026987">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3+1</w:t>
            </w:r>
          </w:p>
        </w:tc>
        <w:tc>
          <w:tcPr>
            <w:tcW w:w="4154" w:type="dxa"/>
            <w:noWrap w:val="0"/>
            <w:vAlign w:val="center"/>
          </w:tcPr>
          <w:p w14:paraId="1B45C8CD">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无黑色残留物，试液澄清</w:t>
            </w:r>
          </w:p>
        </w:tc>
        <w:tc>
          <w:tcPr>
            <w:tcW w:w="2609" w:type="dxa"/>
            <w:noWrap w:val="0"/>
            <w:vAlign w:val="center"/>
          </w:tcPr>
          <w:p w14:paraId="2D3B4A05">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0.27</w:t>
            </w:r>
          </w:p>
        </w:tc>
      </w:tr>
      <w:tr w14:paraId="2D5B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946" w:type="dxa"/>
            <w:noWrap w:val="0"/>
            <w:vAlign w:val="top"/>
          </w:tcPr>
          <w:p w14:paraId="3571BD23">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3+1.5</w:t>
            </w:r>
          </w:p>
        </w:tc>
        <w:tc>
          <w:tcPr>
            <w:tcW w:w="4154" w:type="dxa"/>
            <w:noWrap w:val="0"/>
            <w:vAlign w:val="center"/>
          </w:tcPr>
          <w:p w14:paraId="055ADD6A">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无黑色残留物，试液澄清</w:t>
            </w:r>
          </w:p>
        </w:tc>
        <w:tc>
          <w:tcPr>
            <w:tcW w:w="2609" w:type="dxa"/>
            <w:noWrap w:val="0"/>
            <w:vAlign w:val="top"/>
          </w:tcPr>
          <w:p w14:paraId="55C3397E">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0.30</w:t>
            </w:r>
          </w:p>
        </w:tc>
      </w:tr>
      <w:tr w14:paraId="3706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946" w:type="dxa"/>
            <w:noWrap w:val="0"/>
            <w:vAlign w:val="top"/>
          </w:tcPr>
          <w:p w14:paraId="528C591E">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4+1.5</w:t>
            </w:r>
          </w:p>
        </w:tc>
        <w:tc>
          <w:tcPr>
            <w:tcW w:w="4154" w:type="dxa"/>
            <w:noWrap w:val="0"/>
            <w:vAlign w:val="center"/>
          </w:tcPr>
          <w:p w14:paraId="1F7B6953">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无黑色残留物，试液澄清</w:t>
            </w:r>
          </w:p>
        </w:tc>
        <w:tc>
          <w:tcPr>
            <w:tcW w:w="2609" w:type="dxa"/>
            <w:noWrap w:val="0"/>
            <w:vAlign w:val="top"/>
          </w:tcPr>
          <w:p w14:paraId="012AC401">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0.29</w:t>
            </w:r>
          </w:p>
        </w:tc>
      </w:tr>
      <w:tr w14:paraId="4364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946" w:type="dxa"/>
            <w:noWrap w:val="0"/>
            <w:vAlign w:val="top"/>
          </w:tcPr>
          <w:p w14:paraId="15C8F9D7">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4+2</w:t>
            </w:r>
          </w:p>
        </w:tc>
        <w:tc>
          <w:tcPr>
            <w:tcW w:w="4154" w:type="dxa"/>
            <w:noWrap w:val="0"/>
            <w:vAlign w:val="center"/>
          </w:tcPr>
          <w:p w14:paraId="78DCF6AE">
            <w:pPr>
              <w:spacing w:line="240" w:lineRule="auto"/>
              <w:jc w:val="center"/>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rPr>
              <w:t>无黑色残留物，试液</w:t>
            </w:r>
            <w:r>
              <w:rPr>
                <w:rFonts w:hint="default" w:ascii="Times New Roman" w:hAnsi="Times New Roman" w:eastAsia="宋体" w:cs="Times New Roman"/>
                <w:kern w:val="0"/>
                <w:sz w:val="18"/>
                <w:szCs w:val="18"/>
                <w:lang w:val="en-US" w:eastAsia="zh-CN"/>
              </w:rPr>
              <w:t>澄清</w:t>
            </w:r>
          </w:p>
        </w:tc>
        <w:tc>
          <w:tcPr>
            <w:tcW w:w="2609" w:type="dxa"/>
            <w:noWrap w:val="0"/>
            <w:vAlign w:val="top"/>
          </w:tcPr>
          <w:p w14:paraId="48F27546">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0.30</w:t>
            </w:r>
          </w:p>
        </w:tc>
      </w:tr>
    </w:tbl>
    <w:p w14:paraId="2F0E26A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rPr>
      </w:pPr>
    </w:p>
    <w:p w14:paraId="6784A2A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val="0"/>
          <w:sz w:val="21"/>
          <w:szCs w:val="21"/>
        </w:rPr>
      </w:pPr>
      <w:r>
        <w:rPr>
          <w:rFonts w:hint="eastAsia" w:ascii="Times New Roman" w:hAnsi="Times New Roman" w:cs="Times New Roman"/>
          <w:lang w:val="en-US" w:eastAsia="zh-CN"/>
        </w:rPr>
        <w:t xml:space="preserve">2.1.1.2.2 </w:t>
      </w:r>
      <w:r>
        <w:rPr>
          <w:rFonts w:hint="default" w:ascii="Times New Roman" w:hAnsi="Times New Roman" w:cs="Times New Roman"/>
          <w:b w:val="0"/>
          <w:bCs w:val="0"/>
          <w:sz w:val="21"/>
          <w:szCs w:val="21"/>
        </w:rPr>
        <w:t>显色条件试验</w:t>
      </w:r>
    </w:p>
    <w:p w14:paraId="2DDEC0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lang w:val="en-US" w:eastAsia="zh-CN"/>
        </w:rPr>
        <w:t>2.1.1.2.2</w:t>
      </w:r>
      <w:r>
        <w:rPr>
          <w:rFonts w:hint="eastAsia" w:ascii="Times New Roman" w:hAnsi="Times New Roman" w:cs="Times New Roman"/>
          <w:b w:val="0"/>
          <w:bCs/>
          <w:sz w:val="21"/>
          <w:szCs w:val="21"/>
          <w:lang w:val="en-US" w:eastAsia="zh-CN"/>
        </w:rPr>
        <w:t>.1 波长选择试验</w:t>
      </w:r>
    </w:p>
    <w:p w14:paraId="72D329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移取50 µg/mL磷标准溶液1.00 mL于100 mL容量瓶中，按显色操作方法制备显色溶液。移取制取的部分溶液于2 cm比色皿，于分光光度计上，以水作参比，在波长为400 ~900 nm范围内，测量其吸光度，结果见图1。试验表明，在700 nm处，磷铋钼蓝络合物吸光度最大，试剂空白吸光度最小。故选择最佳波长为700 nm。</w:t>
      </w:r>
    </w:p>
    <w:p w14:paraId="1337755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pPr>
      <w:r>
        <w:drawing>
          <wp:inline distT="0" distB="0" distL="114300" distR="114300">
            <wp:extent cx="2478405" cy="2432685"/>
            <wp:effectExtent l="4445" t="4445" r="6350"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54F8FA0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黑体" w:hAnsi="黑体" w:eastAsia="黑体"/>
          <w:snapToGrid w:val="0"/>
          <w:kern w:val="0"/>
          <w:sz w:val="18"/>
          <w:szCs w:val="18"/>
        </w:rPr>
        <w:t>图1</w:t>
      </w:r>
      <w:r>
        <w:rPr>
          <w:rFonts w:ascii="黑体" w:hAnsi="黑体" w:eastAsia="黑体"/>
          <w:snapToGrid w:val="0"/>
          <w:kern w:val="0"/>
          <w:sz w:val="18"/>
          <w:szCs w:val="18"/>
        </w:rPr>
        <w:t xml:space="preserve"> </w:t>
      </w:r>
      <w:r>
        <w:rPr>
          <w:rFonts w:hint="eastAsia" w:ascii="黑体" w:hAnsi="黑体" w:eastAsia="黑体"/>
          <w:snapToGrid w:val="0"/>
          <w:kern w:val="0"/>
          <w:sz w:val="18"/>
          <w:szCs w:val="18"/>
        </w:rPr>
        <w:t>磷铋钼蓝</w:t>
      </w:r>
      <w:r>
        <w:rPr>
          <w:rFonts w:hint="eastAsia" w:ascii="黑体" w:hAnsi="黑体" w:eastAsia="黑体"/>
          <w:sz w:val="18"/>
          <w:szCs w:val="18"/>
        </w:rPr>
        <w:t>络合物吸收曲线</w:t>
      </w:r>
    </w:p>
    <w:p w14:paraId="7880547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lang w:val="en-US" w:eastAsia="zh-CN"/>
        </w:rPr>
        <w:t>2.1.1.2.2</w:t>
      </w:r>
      <w:r>
        <w:rPr>
          <w:rFonts w:hint="eastAsia" w:ascii="Times New Roman" w:hAnsi="Times New Roman" w:cs="Times New Roman"/>
          <w:b w:val="0"/>
          <w:bCs/>
          <w:sz w:val="21"/>
          <w:szCs w:val="21"/>
          <w:lang w:val="en-US" w:eastAsia="zh-CN"/>
        </w:rPr>
        <w:t>.2 显色温度和络合物稳定时间试验</w:t>
      </w:r>
    </w:p>
    <w:p w14:paraId="397AE8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在10～35℃温度下在硝酸铋的催化下，钼酸铵与磷形成磷铋钼三元杂多酸较为迅速稳定。移取50 µg/mL五氧二磷标准溶液2.00 mL于100 mL容量瓶中，按显色操作方法制备显色溶液，考察显色后放置不同时间对吸光度的影响。试验结果见表3可知，磷铋钼蓝络合物生成5min后趋于稳定，为了使生成的磷铋钼蓝络合物的吸光度在稳定的显色时间范围内，本实验选择显色时间10min，需在40min内完成比色。</w:t>
      </w:r>
    </w:p>
    <w:p w14:paraId="764B507C">
      <w:pPr>
        <w:spacing w:line="360" w:lineRule="auto"/>
        <w:jc w:val="center"/>
        <w:rPr>
          <w:rFonts w:ascii="黑体" w:hAnsi="黑体" w:eastAsia="黑体" w:cs="黑体"/>
          <w:bCs/>
          <w:szCs w:val="21"/>
        </w:rPr>
      </w:pPr>
      <w:r>
        <w:rPr>
          <w:rFonts w:hint="eastAsia" w:ascii="黑体" w:hAnsi="黑体" w:eastAsia="黑体" w:cs="黑体"/>
          <w:bCs/>
          <w:sz w:val="18"/>
          <w:szCs w:val="18"/>
        </w:rPr>
        <w:t>表3 显色放置不同时间试验结果</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D82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auto"/>
            <w:noWrap w:val="0"/>
            <w:vAlign w:val="center"/>
          </w:tcPr>
          <w:p w14:paraId="4F9C5ED2">
            <w:pPr>
              <w:spacing w:line="240" w:lineRule="auto"/>
              <w:jc w:val="center"/>
              <w:rPr>
                <w:sz w:val="18"/>
                <w:szCs w:val="18"/>
              </w:rPr>
            </w:pPr>
            <w:r>
              <w:rPr>
                <w:sz w:val="18"/>
                <w:szCs w:val="18"/>
              </w:rPr>
              <w:t>显色时间／min</w:t>
            </w:r>
          </w:p>
        </w:tc>
        <w:tc>
          <w:tcPr>
            <w:tcW w:w="2500" w:type="pct"/>
            <w:shd w:val="clear" w:color="auto" w:fill="auto"/>
            <w:noWrap w:val="0"/>
            <w:vAlign w:val="center"/>
          </w:tcPr>
          <w:p w14:paraId="535C9D30">
            <w:pPr>
              <w:spacing w:line="240" w:lineRule="auto"/>
              <w:jc w:val="center"/>
              <w:rPr>
                <w:sz w:val="18"/>
                <w:szCs w:val="18"/>
              </w:rPr>
            </w:pPr>
            <w:r>
              <w:rPr>
                <w:rFonts w:hint="eastAsia" w:hAnsi="宋体"/>
                <w:i/>
                <w:iCs/>
                <w:snapToGrid w:val="0"/>
                <w:kern w:val="0"/>
                <w:sz w:val="18"/>
                <w:szCs w:val="18"/>
              </w:rPr>
              <w:t>Δ</w:t>
            </w:r>
            <w:r>
              <w:rPr>
                <w:rFonts w:hAnsi="宋体"/>
                <w:i/>
                <w:iCs/>
                <w:snapToGrid w:val="0"/>
                <w:kern w:val="0"/>
                <w:sz w:val="18"/>
                <w:szCs w:val="18"/>
              </w:rPr>
              <w:t>A</w:t>
            </w:r>
          </w:p>
        </w:tc>
      </w:tr>
      <w:tr w14:paraId="391F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auto"/>
            <w:noWrap w:val="0"/>
            <w:vAlign w:val="center"/>
          </w:tcPr>
          <w:p w14:paraId="3244A54F">
            <w:pPr>
              <w:spacing w:line="240" w:lineRule="auto"/>
              <w:jc w:val="center"/>
              <w:rPr>
                <w:rFonts w:hint="eastAsia"/>
                <w:color w:val="auto"/>
                <w:sz w:val="18"/>
                <w:szCs w:val="18"/>
              </w:rPr>
            </w:pPr>
            <w:r>
              <w:rPr>
                <w:rFonts w:hint="eastAsia"/>
                <w:color w:val="auto"/>
                <w:sz w:val="18"/>
                <w:szCs w:val="18"/>
              </w:rPr>
              <w:t>立刻</w:t>
            </w:r>
          </w:p>
        </w:tc>
        <w:tc>
          <w:tcPr>
            <w:tcW w:w="2500" w:type="pct"/>
            <w:shd w:val="clear" w:color="auto" w:fill="auto"/>
            <w:noWrap w:val="0"/>
            <w:vAlign w:val="center"/>
          </w:tcPr>
          <w:p w14:paraId="6105B896">
            <w:pPr>
              <w:spacing w:line="240" w:lineRule="auto"/>
              <w:jc w:val="center"/>
              <w:rPr>
                <w:color w:val="auto"/>
                <w:sz w:val="18"/>
                <w:szCs w:val="18"/>
              </w:rPr>
            </w:pPr>
            <w:bookmarkStart w:id="0" w:name="_GoBack"/>
            <w:r>
              <w:rPr>
                <w:rFonts w:hint="eastAsia"/>
                <w:color w:val="auto"/>
                <w:sz w:val="18"/>
                <w:szCs w:val="18"/>
              </w:rPr>
              <w:t>0.050</w:t>
            </w:r>
            <w:bookmarkEnd w:id="0"/>
          </w:p>
        </w:tc>
      </w:tr>
      <w:tr w14:paraId="0AF9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auto"/>
            <w:noWrap w:val="0"/>
            <w:vAlign w:val="center"/>
          </w:tcPr>
          <w:p w14:paraId="6E54CD6C">
            <w:pPr>
              <w:spacing w:line="240" w:lineRule="auto"/>
              <w:jc w:val="center"/>
              <w:rPr>
                <w:color w:val="auto"/>
                <w:sz w:val="18"/>
                <w:szCs w:val="18"/>
              </w:rPr>
            </w:pPr>
            <w:r>
              <w:rPr>
                <w:color w:val="auto"/>
                <w:sz w:val="18"/>
                <w:szCs w:val="18"/>
              </w:rPr>
              <w:t>2</w:t>
            </w:r>
          </w:p>
        </w:tc>
        <w:tc>
          <w:tcPr>
            <w:tcW w:w="2500" w:type="pct"/>
            <w:shd w:val="clear" w:color="auto" w:fill="auto"/>
            <w:noWrap w:val="0"/>
            <w:vAlign w:val="center"/>
          </w:tcPr>
          <w:p w14:paraId="292D5D74">
            <w:pPr>
              <w:spacing w:line="240" w:lineRule="auto"/>
              <w:jc w:val="center"/>
              <w:rPr>
                <w:color w:val="auto"/>
                <w:sz w:val="18"/>
                <w:szCs w:val="18"/>
              </w:rPr>
            </w:pPr>
            <w:r>
              <w:rPr>
                <w:rFonts w:hint="eastAsia"/>
                <w:color w:val="auto"/>
                <w:sz w:val="18"/>
                <w:szCs w:val="18"/>
              </w:rPr>
              <w:t>0.295</w:t>
            </w:r>
          </w:p>
        </w:tc>
      </w:tr>
      <w:tr w14:paraId="36C7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auto"/>
            <w:noWrap w:val="0"/>
            <w:vAlign w:val="center"/>
          </w:tcPr>
          <w:p w14:paraId="1A29FFEC">
            <w:pPr>
              <w:spacing w:line="240" w:lineRule="auto"/>
              <w:jc w:val="center"/>
              <w:rPr>
                <w:color w:val="auto"/>
                <w:sz w:val="18"/>
                <w:szCs w:val="18"/>
              </w:rPr>
            </w:pPr>
            <w:r>
              <w:rPr>
                <w:color w:val="auto"/>
                <w:sz w:val="18"/>
                <w:szCs w:val="18"/>
              </w:rPr>
              <w:t>5</w:t>
            </w:r>
          </w:p>
        </w:tc>
        <w:tc>
          <w:tcPr>
            <w:tcW w:w="2500" w:type="pct"/>
            <w:shd w:val="clear" w:color="auto" w:fill="auto"/>
            <w:noWrap w:val="0"/>
            <w:vAlign w:val="center"/>
          </w:tcPr>
          <w:p w14:paraId="326CC080">
            <w:pPr>
              <w:spacing w:line="240" w:lineRule="auto"/>
              <w:jc w:val="center"/>
              <w:rPr>
                <w:color w:val="auto"/>
                <w:sz w:val="18"/>
                <w:szCs w:val="18"/>
              </w:rPr>
            </w:pPr>
            <w:r>
              <w:rPr>
                <w:rFonts w:hint="eastAsia"/>
                <w:color w:val="auto"/>
                <w:sz w:val="18"/>
                <w:szCs w:val="18"/>
              </w:rPr>
              <w:t>0.461</w:t>
            </w:r>
          </w:p>
        </w:tc>
      </w:tr>
      <w:tr w14:paraId="556A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auto"/>
            <w:noWrap w:val="0"/>
            <w:vAlign w:val="center"/>
          </w:tcPr>
          <w:p w14:paraId="575C0B52">
            <w:pPr>
              <w:spacing w:line="240" w:lineRule="auto"/>
              <w:jc w:val="center"/>
              <w:rPr>
                <w:color w:val="auto"/>
                <w:sz w:val="18"/>
                <w:szCs w:val="18"/>
              </w:rPr>
            </w:pPr>
            <w:r>
              <w:rPr>
                <w:color w:val="auto"/>
                <w:sz w:val="18"/>
                <w:szCs w:val="18"/>
              </w:rPr>
              <w:t>10</w:t>
            </w:r>
          </w:p>
        </w:tc>
        <w:tc>
          <w:tcPr>
            <w:tcW w:w="2500" w:type="pct"/>
            <w:shd w:val="clear" w:color="auto" w:fill="auto"/>
            <w:noWrap w:val="0"/>
            <w:vAlign w:val="center"/>
          </w:tcPr>
          <w:p w14:paraId="187A0783">
            <w:pPr>
              <w:spacing w:line="240" w:lineRule="auto"/>
              <w:jc w:val="center"/>
              <w:rPr>
                <w:color w:val="auto"/>
                <w:sz w:val="18"/>
                <w:szCs w:val="18"/>
              </w:rPr>
            </w:pPr>
            <w:r>
              <w:rPr>
                <w:rFonts w:hint="eastAsia"/>
                <w:color w:val="auto"/>
                <w:sz w:val="18"/>
                <w:szCs w:val="18"/>
              </w:rPr>
              <w:t>0.458</w:t>
            </w:r>
          </w:p>
        </w:tc>
      </w:tr>
      <w:tr w14:paraId="0EC5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auto"/>
            <w:noWrap w:val="0"/>
            <w:vAlign w:val="center"/>
          </w:tcPr>
          <w:p w14:paraId="668489CE">
            <w:pPr>
              <w:spacing w:line="240" w:lineRule="auto"/>
              <w:jc w:val="center"/>
              <w:rPr>
                <w:rFonts w:hint="default" w:eastAsiaTheme="minorEastAsia"/>
                <w:color w:val="auto"/>
                <w:sz w:val="18"/>
                <w:szCs w:val="18"/>
                <w:lang w:val="en-US" w:eastAsia="zh-CN"/>
              </w:rPr>
            </w:pPr>
            <w:r>
              <w:rPr>
                <w:rFonts w:hint="eastAsia"/>
                <w:color w:val="auto"/>
                <w:sz w:val="18"/>
                <w:szCs w:val="18"/>
                <w:lang w:val="en-US" w:eastAsia="zh-CN"/>
              </w:rPr>
              <w:t>20</w:t>
            </w:r>
          </w:p>
        </w:tc>
        <w:tc>
          <w:tcPr>
            <w:tcW w:w="2500" w:type="pct"/>
            <w:shd w:val="clear" w:color="auto" w:fill="auto"/>
            <w:noWrap w:val="0"/>
            <w:vAlign w:val="center"/>
          </w:tcPr>
          <w:p w14:paraId="672BD581">
            <w:pPr>
              <w:spacing w:line="240" w:lineRule="auto"/>
              <w:jc w:val="center"/>
              <w:rPr>
                <w:rFonts w:hint="eastAsia" w:eastAsiaTheme="minorEastAsia"/>
                <w:color w:val="auto"/>
                <w:sz w:val="18"/>
                <w:szCs w:val="18"/>
                <w:lang w:eastAsia="zh-CN"/>
              </w:rPr>
            </w:pPr>
            <w:r>
              <w:rPr>
                <w:rFonts w:hint="eastAsia"/>
                <w:color w:val="auto"/>
                <w:sz w:val="18"/>
                <w:szCs w:val="18"/>
              </w:rPr>
              <w:t>0.45</w:t>
            </w:r>
            <w:r>
              <w:rPr>
                <w:rFonts w:hint="eastAsia"/>
                <w:color w:val="auto"/>
                <w:sz w:val="18"/>
                <w:szCs w:val="18"/>
                <w:lang w:val="en-US" w:eastAsia="zh-CN"/>
              </w:rPr>
              <w:t>8</w:t>
            </w:r>
          </w:p>
        </w:tc>
      </w:tr>
      <w:tr w14:paraId="7557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shd w:val="clear" w:color="auto" w:fill="auto"/>
            <w:noWrap w:val="0"/>
            <w:vAlign w:val="center"/>
          </w:tcPr>
          <w:p w14:paraId="48A7BB7A">
            <w:pPr>
              <w:spacing w:line="240" w:lineRule="auto"/>
              <w:jc w:val="center"/>
              <w:rPr>
                <w:rFonts w:asciiTheme="minorHAnsi" w:hAnsiTheme="minorHAnsi" w:eastAsiaTheme="minorEastAsia" w:cstheme="minorBidi"/>
                <w:color w:val="auto"/>
                <w:kern w:val="2"/>
                <w:sz w:val="18"/>
                <w:szCs w:val="18"/>
                <w:lang w:val="en-US" w:eastAsia="zh-CN" w:bidi="ar-SA"/>
              </w:rPr>
            </w:pPr>
            <w:r>
              <w:rPr>
                <w:color w:val="auto"/>
                <w:sz w:val="18"/>
                <w:szCs w:val="18"/>
              </w:rPr>
              <w:t>30</w:t>
            </w:r>
          </w:p>
        </w:tc>
        <w:tc>
          <w:tcPr>
            <w:tcW w:w="2500" w:type="pct"/>
            <w:shd w:val="clear" w:color="auto" w:fill="auto"/>
            <w:noWrap w:val="0"/>
            <w:vAlign w:val="center"/>
          </w:tcPr>
          <w:p w14:paraId="250F657F">
            <w:pPr>
              <w:spacing w:line="240" w:lineRule="auto"/>
              <w:jc w:val="center"/>
              <w:rPr>
                <w:rFonts w:hint="eastAsia" w:asciiTheme="minorHAnsi" w:hAnsiTheme="minorHAnsi" w:eastAsiaTheme="minorEastAsia" w:cstheme="minorBidi"/>
                <w:color w:val="auto"/>
                <w:kern w:val="2"/>
                <w:sz w:val="18"/>
                <w:szCs w:val="18"/>
                <w:lang w:val="en-US" w:eastAsia="zh-CN" w:bidi="ar-SA"/>
              </w:rPr>
            </w:pPr>
            <w:r>
              <w:rPr>
                <w:rFonts w:hint="eastAsia"/>
                <w:color w:val="auto"/>
                <w:sz w:val="18"/>
                <w:szCs w:val="18"/>
              </w:rPr>
              <w:t>0.457</w:t>
            </w:r>
          </w:p>
        </w:tc>
      </w:tr>
      <w:tr w14:paraId="7B98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00" w:type="pct"/>
            <w:shd w:val="clear" w:color="auto" w:fill="auto"/>
            <w:noWrap w:val="0"/>
            <w:vAlign w:val="center"/>
          </w:tcPr>
          <w:p w14:paraId="3CF2EEBF">
            <w:pPr>
              <w:spacing w:line="240" w:lineRule="auto"/>
              <w:jc w:val="center"/>
              <w:rPr>
                <w:color w:val="auto"/>
                <w:sz w:val="18"/>
                <w:szCs w:val="18"/>
              </w:rPr>
            </w:pPr>
            <w:r>
              <w:rPr>
                <w:color w:val="auto"/>
                <w:sz w:val="18"/>
                <w:szCs w:val="18"/>
              </w:rPr>
              <w:t>40</w:t>
            </w:r>
          </w:p>
        </w:tc>
        <w:tc>
          <w:tcPr>
            <w:tcW w:w="2500" w:type="pct"/>
            <w:shd w:val="clear" w:color="auto" w:fill="auto"/>
            <w:noWrap w:val="0"/>
            <w:vAlign w:val="center"/>
          </w:tcPr>
          <w:p w14:paraId="220EFF2D">
            <w:pPr>
              <w:spacing w:line="240" w:lineRule="auto"/>
              <w:jc w:val="center"/>
              <w:rPr>
                <w:color w:val="auto"/>
                <w:sz w:val="18"/>
                <w:szCs w:val="18"/>
              </w:rPr>
            </w:pPr>
            <w:r>
              <w:rPr>
                <w:rFonts w:hint="eastAsia"/>
                <w:color w:val="auto"/>
                <w:sz w:val="18"/>
                <w:szCs w:val="18"/>
              </w:rPr>
              <w:t>0.458</w:t>
            </w:r>
          </w:p>
        </w:tc>
      </w:tr>
      <w:tr w14:paraId="11D2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93D05D">
            <w:pPr>
              <w:spacing w:line="240" w:lineRule="auto"/>
              <w:jc w:val="center"/>
              <w:rPr>
                <w:color w:val="auto"/>
                <w:sz w:val="18"/>
                <w:szCs w:val="18"/>
              </w:rPr>
            </w:pPr>
            <w:r>
              <w:rPr>
                <w:rFonts w:hint="eastAsia"/>
                <w:color w:val="auto"/>
                <w:sz w:val="18"/>
                <w:szCs w:val="18"/>
              </w:rPr>
              <w:t>5</w:t>
            </w:r>
            <w:r>
              <w:rPr>
                <w:color w:val="auto"/>
                <w:sz w:val="18"/>
                <w:szCs w:val="18"/>
              </w:rPr>
              <w:t>0</w:t>
            </w:r>
          </w:p>
        </w:tc>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E82601">
            <w:pPr>
              <w:spacing w:line="240" w:lineRule="auto"/>
              <w:jc w:val="center"/>
              <w:rPr>
                <w:color w:val="auto"/>
                <w:sz w:val="18"/>
                <w:szCs w:val="18"/>
              </w:rPr>
            </w:pPr>
            <w:r>
              <w:rPr>
                <w:rFonts w:hint="eastAsia"/>
                <w:color w:val="auto"/>
                <w:sz w:val="18"/>
                <w:szCs w:val="18"/>
              </w:rPr>
              <w:t>0</w:t>
            </w:r>
            <w:r>
              <w:rPr>
                <w:color w:val="auto"/>
                <w:sz w:val="18"/>
                <w:szCs w:val="18"/>
              </w:rPr>
              <w:t>.437</w:t>
            </w:r>
          </w:p>
        </w:tc>
      </w:tr>
      <w:tr w14:paraId="378C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5FF0D6">
            <w:pPr>
              <w:spacing w:line="240" w:lineRule="auto"/>
              <w:jc w:val="center"/>
              <w:rPr>
                <w:color w:val="auto"/>
                <w:sz w:val="18"/>
                <w:szCs w:val="18"/>
              </w:rPr>
            </w:pPr>
            <w:r>
              <w:rPr>
                <w:rFonts w:hint="eastAsia"/>
                <w:color w:val="auto"/>
                <w:sz w:val="18"/>
                <w:szCs w:val="18"/>
              </w:rPr>
              <w:t>6</w:t>
            </w:r>
            <w:r>
              <w:rPr>
                <w:color w:val="auto"/>
                <w:sz w:val="18"/>
                <w:szCs w:val="18"/>
              </w:rPr>
              <w:t>0</w:t>
            </w:r>
          </w:p>
        </w:tc>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4FBC81">
            <w:pPr>
              <w:spacing w:line="240" w:lineRule="auto"/>
              <w:jc w:val="center"/>
              <w:rPr>
                <w:color w:val="auto"/>
                <w:sz w:val="18"/>
                <w:szCs w:val="18"/>
              </w:rPr>
            </w:pPr>
            <w:r>
              <w:rPr>
                <w:rFonts w:hint="eastAsia"/>
                <w:color w:val="auto"/>
                <w:sz w:val="18"/>
                <w:szCs w:val="18"/>
              </w:rPr>
              <w:t>0</w:t>
            </w:r>
            <w:r>
              <w:rPr>
                <w:color w:val="auto"/>
                <w:sz w:val="18"/>
                <w:szCs w:val="18"/>
              </w:rPr>
              <w:t>.432</w:t>
            </w:r>
          </w:p>
        </w:tc>
      </w:tr>
      <w:tr w14:paraId="711E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C44116">
            <w:pPr>
              <w:spacing w:line="240" w:lineRule="auto"/>
              <w:jc w:val="center"/>
              <w:rPr>
                <w:color w:val="auto"/>
                <w:sz w:val="18"/>
                <w:szCs w:val="18"/>
              </w:rPr>
            </w:pPr>
            <w:r>
              <w:rPr>
                <w:rFonts w:hint="eastAsia"/>
                <w:color w:val="auto"/>
                <w:sz w:val="18"/>
                <w:szCs w:val="18"/>
              </w:rPr>
              <w:t>8</w:t>
            </w:r>
            <w:r>
              <w:rPr>
                <w:color w:val="auto"/>
                <w:sz w:val="18"/>
                <w:szCs w:val="18"/>
              </w:rPr>
              <w:t>0</w:t>
            </w:r>
          </w:p>
        </w:tc>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0E6F5C">
            <w:pPr>
              <w:spacing w:line="240" w:lineRule="auto"/>
              <w:jc w:val="center"/>
              <w:rPr>
                <w:color w:val="auto"/>
                <w:sz w:val="18"/>
                <w:szCs w:val="18"/>
              </w:rPr>
            </w:pPr>
            <w:r>
              <w:rPr>
                <w:rFonts w:hint="eastAsia"/>
                <w:color w:val="auto"/>
                <w:sz w:val="18"/>
                <w:szCs w:val="18"/>
              </w:rPr>
              <w:t>0</w:t>
            </w:r>
            <w:r>
              <w:rPr>
                <w:color w:val="auto"/>
                <w:sz w:val="18"/>
                <w:szCs w:val="18"/>
              </w:rPr>
              <w:t>.421</w:t>
            </w:r>
          </w:p>
        </w:tc>
      </w:tr>
      <w:tr w14:paraId="141F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955E90">
            <w:pPr>
              <w:spacing w:line="240" w:lineRule="auto"/>
              <w:jc w:val="center"/>
              <w:rPr>
                <w:color w:val="auto"/>
                <w:sz w:val="18"/>
                <w:szCs w:val="18"/>
              </w:rPr>
            </w:pPr>
            <w:r>
              <w:rPr>
                <w:rFonts w:hint="eastAsia"/>
                <w:color w:val="auto"/>
                <w:sz w:val="18"/>
                <w:szCs w:val="18"/>
              </w:rPr>
              <w:t>1</w:t>
            </w:r>
            <w:r>
              <w:rPr>
                <w:color w:val="auto"/>
                <w:sz w:val="18"/>
                <w:szCs w:val="18"/>
              </w:rPr>
              <w:t>00</w:t>
            </w:r>
          </w:p>
        </w:tc>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A11EE3">
            <w:pPr>
              <w:spacing w:line="240" w:lineRule="auto"/>
              <w:jc w:val="center"/>
              <w:rPr>
                <w:color w:val="auto"/>
                <w:sz w:val="18"/>
                <w:szCs w:val="18"/>
              </w:rPr>
            </w:pPr>
            <w:r>
              <w:rPr>
                <w:rFonts w:hint="eastAsia"/>
                <w:color w:val="auto"/>
                <w:sz w:val="18"/>
                <w:szCs w:val="18"/>
              </w:rPr>
              <w:t>0</w:t>
            </w:r>
            <w:r>
              <w:rPr>
                <w:color w:val="auto"/>
                <w:sz w:val="18"/>
                <w:szCs w:val="18"/>
              </w:rPr>
              <w:t>.417</w:t>
            </w:r>
          </w:p>
        </w:tc>
      </w:tr>
      <w:tr w14:paraId="7889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E51DF5">
            <w:pPr>
              <w:spacing w:line="240" w:lineRule="auto"/>
              <w:jc w:val="center"/>
              <w:rPr>
                <w:color w:val="auto"/>
                <w:sz w:val="18"/>
                <w:szCs w:val="18"/>
              </w:rPr>
            </w:pPr>
            <w:r>
              <w:rPr>
                <w:rFonts w:hint="eastAsia"/>
                <w:color w:val="auto"/>
                <w:sz w:val="18"/>
                <w:szCs w:val="18"/>
              </w:rPr>
              <w:t>1</w:t>
            </w:r>
            <w:r>
              <w:rPr>
                <w:color w:val="auto"/>
                <w:sz w:val="18"/>
                <w:szCs w:val="18"/>
              </w:rPr>
              <w:t>20</w:t>
            </w:r>
          </w:p>
        </w:tc>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8D8CAA">
            <w:pPr>
              <w:spacing w:line="240" w:lineRule="auto"/>
              <w:jc w:val="center"/>
              <w:rPr>
                <w:color w:val="auto"/>
                <w:sz w:val="18"/>
                <w:szCs w:val="18"/>
              </w:rPr>
            </w:pPr>
            <w:r>
              <w:rPr>
                <w:rFonts w:hint="eastAsia"/>
                <w:color w:val="auto"/>
                <w:sz w:val="18"/>
                <w:szCs w:val="18"/>
              </w:rPr>
              <w:t>0</w:t>
            </w:r>
            <w:r>
              <w:rPr>
                <w:color w:val="auto"/>
                <w:sz w:val="18"/>
                <w:szCs w:val="18"/>
              </w:rPr>
              <w:t>.415</w:t>
            </w:r>
          </w:p>
        </w:tc>
      </w:tr>
      <w:tr w14:paraId="7EA7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BEA4C0">
            <w:pPr>
              <w:spacing w:line="240" w:lineRule="auto"/>
              <w:jc w:val="center"/>
              <w:rPr>
                <w:color w:val="auto"/>
                <w:sz w:val="18"/>
                <w:szCs w:val="18"/>
              </w:rPr>
            </w:pPr>
            <w:r>
              <w:rPr>
                <w:rFonts w:hint="eastAsia"/>
                <w:color w:val="auto"/>
                <w:sz w:val="18"/>
                <w:szCs w:val="18"/>
              </w:rPr>
              <w:t>1</w:t>
            </w:r>
            <w:r>
              <w:rPr>
                <w:color w:val="auto"/>
                <w:sz w:val="18"/>
                <w:szCs w:val="18"/>
              </w:rPr>
              <w:t>40</w:t>
            </w:r>
          </w:p>
        </w:tc>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DEC6C0">
            <w:pPr>
              <w:spacing w:line="240" w:lineRule="auto"/>
              <w:jc w:val="center"/>
              <w:rPr>
                <w:color w:val="auto"/>
                <w:sz w:val="18"/>
                <w:szCs w:val="18"/>
              </w:rPr>
            </w:pPr>
            <w:r>
              <w:rPr>
                <w:rFonts w:hint="eastAsia"/>
                <w:color w:val="auto"/>
                <w:sz w:val="18"/>
                <w:szCs w:val="18"/>
              </w:rPr>
              <w:t>0.</w:t>
            </w:r>
            <w:r>
              <w:rPr>
                <w:color w:val="auto"/>
                <w:sz w:val="18"/>
                <w:szCs w:val="18"/>
              </w:rPr>
              <w:t>412</w:t>
            </w:r>
          </w:p>
        </w:tc>
      </w:tr>
      <w:tr w14:paraId="63EF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A51CE9">
            <w:pPr>
              <w:spacing w:line="240" w:lineRule="auto"/>
              <w:jc w:val="center"/>
              <w:rPr>
                <w:color w:val="auto"/>
                <w:sz w:val="18"/>
                <w:szCs w:val="18"/>
              </w:rPr>
            </w:pPr>
            <w:r>
              <w:rPr>
                <w:rFonts w:hint="eastAsia"/>
                <w:color w:val="auto"/>
                <w:sz w:val="18"/>
                <w:szCs w:val="18"/>
              </w:rPr>
              <w:t>1</w:t>
            </w:r>
            <w:r>
              <w:rPr>
                <w:color w:val="auto"/>
                <w:sz w:val="18"/>
                <w:szCs w:val="18"/>
              </w:rPr>
              <w:t>60</w:t>
            </w:r>
          </w:p>
        </w:tc>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78CC83">
            <w:pPr>
              <w:spacing w:line="240" w:lineRule="auto"/>
              <w:jc w:val="center"/>
              <w:rPr>
                <w:color w:val="auto"/>
                <w:sz w:val="18"/>
                <w:szCs w:val="18"/>
              </w:rPr>
            </w:pPr>
            <w:r>
              <w:rPr>
                <w:rFonts w:hint="eastAsia"/>
                <w:color w:val="auto"/>
                <w:sz w:val="18"/>
                <w:szCs w:val="18"/>
              </w:rPr>
              <w:t>0</w:t>
            </w:r>
            <w:r>
              <w:rPr>
                <w:color w:val="auto"/>
                <w:sz w:val="18"/>
                <w:szCs w:val="18"/>
              </w:rPr>
              <w:t>.409</w:t>
            </w:r>
          </w:p>
        </w:tc>
      </w:tr>
      <w:tr w14:paraId="6D9A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A625D0">
            <w:pPr>
              <w:spacing w:line="240" w:lineRule="auto"/>
              <w:jc w:val="center"/>
              <w:rPr>
                <w:color w:val="auto"/>
                <w:sz w:val="18"/>
                <w:szCs w:val="18"/>
              </w:rPr>
            </w:pPr>
            <w:r>
              <w:rPr>
                <w:rFonts w:hint="eastAsia"/>
                <w:color w:val="auto"/>
                <w:sz w:val="18"/>
                <w:szCs w:val="18"/>
              </w:rPr>
              <w:t>1</w:t>
            </w:r>
            <w:r>
              <w:rPr>
                <w:color w:val="auto"/>
                <w:sz w:val="18"/>
                <w:szCs w:val="18"/>
              </w:rPr>
              <w:t>80</w:t>
            </w:r>
          </w:p>
        </w:tc>
        <w:tc>
          <w:tcPr>
            <w:tcW w:w="250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73820D">
            <w:pPr>
              <w:spacing w:line="240" w:lineRule="auto"/>
              <w:jc w:val="center"/>
              <w:rPr>
                <w:color w:val="auto"/>
                <w:sz w:val="18"/>
                <w:szCs w:val="18"/>
              </w:rPr>
            </w:pPr>
            <w:r>
              <w:rPr>
                <w:rFonts w:hint="eastAsia"/>
                <w:color w:val="auto"/>
                <w:sz w:val="18"/>
                <w:szCs w:val="18"/>
              </w:rPr>
              <w:t>0</w:t>
            </w:r>
            <w:r>
              <w:rPr>
                <w:color w:val="auto"/>
                <w:sz w:val="18"/>
                <w:szCs w:val="18"/>
              </w:rPr>
              <w:t>.406</w:t>
            </w:r>
          </w:p>
        </w:tc>
      </w:tr>
    </w:tbl>
    <w:p w14:paraId="2C1FEC8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 w:val="21"/>
          <w:szCs w:val="21"/>
          <w:lang w:val="en-US" w:eastAsia="zh-CN"/>
        </w:rPr>
      </w:pPr>
    </w:p>
    <w:p w14:paraId="681D350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lang w:val="en-US" w:eastAsia="zh-CN"/>
        </w:rPr>
        <w:t>2.1.1.2.2</w:t>
      </w:r>
      <w:r>
        <w:rPr>
          <w:rFonts w:hint="eastAsia" w:ascii="Times New Roman" w:hAnsi="Times New Roman" w:cs="Times New Roman"/>
          <w:b w:val="0"/>
          <w:bCs/>
          <w:sz w:val="21"/>
          <w:szCs w:val="21"/>
          <w:lang w:val="en-US" w:eastAsia="zh-CN"/>
        </w:rPr>
        <w:t>.3 显色酸度试验</w:t>
      </w:r>
    </w:p>
    <w:p w14:paraId="0768E58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分别移取50 µg/mL五氧化二磷标准溶液2.00 mL于100 mL容量瓶中，按显色操作方法制备显色溶液，考察10 mL硝酸铋-硝酸溶液按不同体积的混合酸度不同对吸光度的影响，试验结果见表4。由表4可见，随着酸度的逐渐增大，吸光度逐渐减小，在1.0～1.1 mol/L硝酸酸度下，溶液吸光度趋于平稳，随着酸度继续增加，吸光度逐渐减小。本试验选择在吸光度相对平稳且灵敏度相对高的1.0mol/L酸度下进行。</w:t>
      </w:r>
    </w:p>
    <w:p w14:paraId="7036C002">
      <w:pPr>
        <w:spacing w:line="240" w:lineRule="auto"/>
        <w:jc w:val="center"/>
        <w:rPr>
          <w:rFonts w:hint="default" w:ascii="Times New Roman" w:hAnsi="Times New Roman" w:eastAsia="宋体" w:cs="Times New Roman"/>
          <w:bCs/>
          <w:sz w:val="18"/>
          <w:szCs w:val="18"/>
        </w:rPr>
      </w:pPr>
      <w:r>
        <w:rPr>
          <w:rFonts w:hint="eastAsia" w:ascii="黑体" w:hAnsi="黑体" w:eastAsia="黑体" w:cs="黑体"/>
          <w:bCs/>
          <w:sz w:val="18"/>
          <w:szCs w:val="18"/>
        </w:rPr>
        <w:t>表</w:t>
      </w:r>
      <w:r>
        <w:rPr>
          <w:rFonts w:hint="eastAsia" w:ascii="黑体" w:hAnsi="黑体" w:eastAsia="黑体" w:cs="黑体"/>
          <w:bCs/>
          <w:sz w:val="18"/>
          <w:szCs w:val="18"/>
          <w:lang w:val="en-US" w:eastAsia="zh-CN"/>
        </w:rPr>
        <w:t>6</w:t>
      </w:r>
      <w:r>
        <w:rPr>
          <w:rFonts w:hint="eastAsia" w:ascii="黑体" w:hAnsi="黑体" w:eastAsia="黑体" w:cs="黑体"/>
          <w:bCs/>
          <w:sz w:val="18"/>
          <w:szCs w:val="18"/>
        </w:rPr>
        <w:t xml:space="preserve"> 显色酸度不同体积硝酸铋-硝酸溶液试验结果</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2022"/>
        <w:gridCol w:w="1654"/>
        <w:gridCol w:w="1654"/>
        <w:gridCol w:w="1243"/>
      </w:tblGrid>
      <w:tr w14:paraId="370F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1D2B34F7">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Bi(NO</w:t>
            </w:r>
            <w:r>
              <w:rPr>
                <w:rFonts w:hint="default" w:ascii="Times New Roman" w:hAnsi="Times New Roman" w:eastAsia="宋体" w:cs="Times New Roman"/>
                <w:bCs/>
                <w:sz w:val="18"/>
                <w:szCs w:val="18"/>
                <w:vertAlign w:val="subscript"/>
              </w:rPr>
              <w:t>3</w:t>
            </w:r>
            <w:r>
              <w:rPr>
                <w:rFonts w:hint="default" w:ascii="Times New Roman" w:hAnsi="Times New Roman" w:eastAsia="宋体" w:cs="Times New Roman"/>
                <w:bCs/>
                <w:sz w:val="18"/>
                <w:szCs w:val="18"/>
              </w:rPr>
              <w:t>)</w:t>
            </w:r>
            <w:r>
              <w:rPr>
                <w:rFonts w:hint="default" w:ascii="Times New Roman" w:hAnsi="Times New Roman" w:eastAsia="宋体" w:cs="Times New Roman"/>
                <w:bCs/>
                <w:sz w:val="18"/>
                <w:szCs w:val="18"/>
                <w:vertAlign w:val="subscript"/>
              </w:rPr>
              <w:t>3</w:t>
            </w:r>
            <w:r>
              <w:rPr>
                <w:rFonts w:hint="default" w:ascii="Times New Roman" w:hAnsi="Times New Roman" w:eastAsia="宋体" w:cs="Times New Roman"/>
                <w:bCs/>
                <w:sz w:val="18"/>
                <w:szCs w:val="18"/>
              </w:rPr>
              <w:t>(10g/L， 5mol／L HNO</w:t>
            </w:r>
            <w:r>
              <w:rPr>
                <w:rFonts w:hint="default" w:ascii="Times New Roman" w:hAnsi="Times New Roman" w:eastAsia="宋体" w:cs="Times New Roman"/>
                <w:bCs/>
                <w:sz w:val="18"/>
                <w:szCs w:val="18"/>
                <w:vertAlign w:val="subscript"/>
              </w:rPr>
              <w:t>3</w:t>
            </w:r>
            <w:r>
              <w:rPr>
                <w:rFonts w:hint="default" w:ascii="Times New Roman" w:hAnsi="Times New Roman" w:eastAsia="宋体" w:cs="Times New Roman"/>
                <w:bCs/>
                <w:sz w:val="18"/>
                <w:szCs w:val="18"/>
              </w:rPr>
              <w:t>介质)／</w:t>
            </w:r>
            <w:r>
              <w:rPr>
                <w:rFonts w:hint="default" w:ascii="Times New Roman" w:hAnsi="Times New Roman" w:eastAsia="宋体" w:cs="Times New Roman"/>
                <w:sz w:val="18"/>
                <w:szCs w:val="18"/>
              </w:rPr>
              <w:t>mL</w:t>
            </w:r>
          </w:p>
        </w:tc>
        <w:tc>
          <w:tcPr>
            <w:tcW w:w="1186" w:type="pct"/>
            <w:noWrap w:val="0"/>
            <w:vAlign w:val="center"/>
          </w:tcPr>
          <w:p w14:paraId="56BE5CE0">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Bi(NO</w:t>
            </w:r>
            <w:r>
              <w:rPr>
                <w:rFonts w:hint="default" w:ascii="Times New Roman" w:hAnsi="Times New Roman" w:eastAsia="宋体" w:cs="Times New Roman"/>
                <w:bCs/>
                <w:sz w:val="18"/>
                <w:szCs w:val="18"/>
                <w:vertAlign w:val="subscript"/>
              </w:rPr>
              <w:t>3</w:t>
            </w:r>
            <w:r>
              <w:rPr>
                <w:rFonts w:hint="default" w:ascii="Times New Roman" w:hAnsi="Times New Roman" w:eastAsia="宋体" w:cs="Times New Roman"/>
                <w:bCs/>
                <w:sz w:val="18"/>
                <w:szCs w:val="18"/>
              </w:rPr>
              <w:t>)</w:t>
            </w:r>
            <w:r>
              <w:rPr>
                <w:rFonts w:hint="default" w:ascii="Times New Roman" w:hAnsi="Times New Roman" w:eastAsia="宋体" w:cs="Times New Roman"/>
                <w:bCs/>
                <w:sz w:val="18"/>
                <w:szCs w:val="18"/>
                <w:vertAlign w:val="subscript"/>
              </w:rPr>
              <w:t>3</w:t>
            </w:r>
            <w:r>
              <w:rPr>
                <w:rFonts w:hint="default" w:ascii="Times New Roman" w:hAnsi="Times New Roman" w:eastAsia="宋体" w:cs="Times New Roman"/>
                <w:bCs/>
                <w:sz w:val="18"/>
                <w:szCs w:val="18"/>
              </w:rPr>
              <w:t>(10g/L， 10mol／L HNO</w:t>
            </w:r>
            <w:r>
              <w:rPr>
                <w:rFonts w:hint="default" w:ascii="Times New Roman" w:hAnsi="Times New Roman" w:eastAsia="宋体" w:cs="Times New Roman"/>
                <w:bCs/>
                <w:sz w:val="18"/>
                <w:szCs w:val="18"/>
                <w:vertAlign w:val="subscript"/>
              </w:rPr>
              <w:t>3</w:t>
            </w:r>
            <w:r>
              <w:rPr>
                <w:rFonts w:hint="default" w:ascii="Times New Roman" w:hAnsi="Times New Roman" w:eastAsia="宋体" w:cs="Times New Roman"/>
                <w:bCs/>
                <w:sz w:val="18"/>
                <w:szCs w:val="18"/>
              </w:rPr>
              <w:t>介质)／</w:t>
            </w:r>
            <w:r>
              <w:rPr>
                <w:rFonts w:hint="default" w:ascii="Times New Roman" w:hAnsi="Times New Roman" w:eastAsia="宋体" w:cs="Times New Roman"/>
                <w:sz w:val="18"/>
                <w:szCs w:val="18"/>
              </w:rPr>
              <w:t>mL</w:t>
            </w:r>
          </w:p>
        </w:tc>
        <w:tc>
          <w:tcPr>
            <w:tcW w:w="970" w:type="pct"/>
            <w:noWrap w:val="0"/>
            <w:vAlign w:val="center"/>
          </w:tcPr>
          <w:p w14:paraId="5D9238EE">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HNO</w:t>
            </w:r>
            <w:r>
              <w:rPr>
                <w:rFonts w:hint="default" w:ascii="Times New Roman" w:hAnsi="Times New Roman" w:eastAsia="宋体" w:cs="Times New Roman"/>
                <w:bCs/>
                <w:sz w:val="18"/>
                <w:szCs w:val="18"/>
                <w:vertAlign w:val="subscript"/>
              </w:rPr>
              <w:t>3</w:t>
            </w:r>
            <w:r>
              <w:rPr>
                <w:rFonts w:hint="default" w:ascii="Times New Roman" w:hAnsi="Times New Roman" w:eastAsia="宋体" w:cs="Times New Roman"/>
                <w:bCs/>
                <w:sz w:val="18"/>
                <w:szCs w:val="18"/>
              </w:rPr>
              <w:t>／10mol／L</w:t>
            </w:r>
          </w:p>
        </w:tc>
        <w:tc>
          <w:tcPr>
            <w:tcW w:w="970" w:type="pct"/>
            <w:noWrap w:val="0"/>
            <w:vAlign w:val="center"/>
          </w:tcPr>
          <w:p w14:paraId="3C682206">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酸度／mol／L</w:t>
            </w:r>
          </w:p>
        </w:tc>
        <w:tc>
          <w:tcPr>
            <w:tcW w:w="729" w:type="pct"/>
            <w:noWrap w:val="0"/>
            <w:vAlign w:val="center"/>
          </w:tcPr>
          <w:p w14:paraId="78D85E85">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i/>
                <w:iCs/>
                <w:snapToGrid w:val="0"/>
                <w:kern w:val="0"/>
                <w:sz w:val="18"/>
                <w:szCs w:val="18"/>
              </w:rPr>
              <w:t>ΔA</w:t>
            </w:r>
          </w:p>
        </w:tc>
      </w:tr>
      <w:tr w14:paraId="207B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40CF2F3E">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1186" w:type="pct"/>
            <w:noWrap w:val="0"/>
            <w:vAlign w:val="center"/>
          </w:tcPr>
          <w:p w14:paraId="394A807A">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970" w:type="pct"/>
            <w:noWrap w:val="0"/>
            <w:vAlign w:val="center"/>
          </w:tcPr>
          <w:p w14:paraId="625C2718">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2</w:t>
            </w:r>
          </w:p>
        </w:tc>
        <w:tc>
          <w:tcPr>
            <w:tcW w:w="970" w:type="pct"/>
            <w:noWrap w:val="0"/>
            <w:vAlign w:val="center"/>
          </w:tcPr>
          <w:p w14:paraId="2A38175A">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0.7</w:t>
            </w:r>
          </w:p>
        </w:tc>
        <w:tc>
          <w:tcPr>
            <w:tcW w:w="729" w:type="pct"/>
            <w:noWrap w:val="0"/>
            <w:vAlign w:val="center"/>
          </w:tcPr>
          <w:p w14:paraId="14D563C8">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0.786</w:t>
            </w:r>
          </w:p>
        </w:tc>
      </w:tr>
      <w:tr w14:paraId="3F491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40DCBCC8">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1186" w:type="pct"/>
            <w:noWrap w:val="0"/>
            <w:vAlign w:val="center"/>
          </w:tcPr>
          <w:p w14:paraId="2422767C">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970" w:type="pct"/>
            <w:noWrap w:val="0"/>
            <w:vAlign w:val="center"/>
          </w:tcPr>
          <w:p w14:paraId="37478D8C">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3</w:t>
            </w:r>
          </w:p>
        </w:tc>
        <w:tc>
          <w:tcPr>
            <w:tcW w:w="970" w:type="pct"/>
            <w:noWrap w:val="0"/>
            <w:vAlign w:val="center"/>
          </w:tcPr>
          <w:p w14:paraId="7114AB86">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0.8</w:t>
            </w:r>
          </w:p>
        </w:tc>
        <w:tc>
          <w:tcPr>
            <w:tcW w:w="729" w:type="pct"/>
            <w:noWrap w:val="0"/>
            <w:vAlign w:val="center"/>
          </w:tcPr>
          <w:p w14:paraId="3AFF5469">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0.549</w:t>
            </w:r>
          </w:p>
        </w:tc>
      </w:tr>
      <w:tr w14:paraId="0F9D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4E096D74">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1186" w:type="pct"/>
            <w:noWrap w:val="0"/>
            <w:vAlign w:val="center"/>
          </w:tcPr>
          <w:p w14:paraId="6C5C4CA7">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970" w:type="pct"/>
            <w:noWrap w:val="0"/>
            <w:vAlign w:val="center"/>
          </w:tcPr>
          <w:p w14:paraId="26795647">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4</w:t>
            </w:r>
          </w:p>
        </w:tc>
        <w:tc>
          <w:tcPr>
            <w:tcW w:w="970" w:type="pct"/>
            <w:noWrap w:val="0"/>
            <w:vAlign w:val="center"/>
          </w:tcPr>
          <w:p w14:paraId="738FB9A7">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0.9</w:t>
            </w:r>
          </w:p>
        </w:tc>
        <w:tc>
          <w:tcPr>
            <w:tcW w:w="729" w:type="pct"/>
            <w:noWrap w:val="0"/>
            <w:vAlign w:val="center"/>
          </w:tcPr>
          <w:p w14:paraId="205E5AA3">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0.499</w:t>
            </w:r>
          </w:p>
        </w:tc>
      </w:tr>
      <w:tr w14:paraId="4ED9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7CDBFFD7">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1186" w:type="pct"/>
            <w:noWrap w:val="0"/>
            <w:vAlign w:val="center"/>
          </w:tcPr>
          <w:p w14:paraId="650389D4">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970" w:type="pct"/>
            <w:noWrap w:val="0"/>
            <w:vAlign w:val="center"/>
          </w:tcPr>
          <w:p w14:paraId="63CD49EA">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970" w:type="pct"/>
            <w:noWrap w:val="0"/>
            <w:vAlign w:val="center"/>
          </w:tcPr>
          <w:p w14:paraId="47FC4DFB">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729" w:type="pct"/>
            <w:noWrap w:val="0"/>
            <w:vAlign w:val="center"/>
          </w:tcPr>
          <w:p w14:paraId="728D94CC">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0.458</w:t>
            </w:r>
          </w:p>
        </w:tc>
      </w:tr>
      <w:tr w14:paraId="6C26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072F5D54">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1186" w:type="pct"/>
            <w:noWrap w:val="0"/>
            <w:vAlign w:val="center"/>
          </w:tcPr>
          <w:p w14:paraId="0932AF88">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970" w:type="pct"/>
            <w:noWrap w:val="0"/>
            <w:vAlign w:val="center"/>
          </w:tcPr>
          <w:p w14:paraId="6BA31B8C">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w:t>
            </w:r>
          </w:p>
        </w:tc>
        <w:tc>
          <w:tcPr>
            <w:tcW w:w="970" w:type="pct"/>
            <w:noWrap w:val="0"/>
            <w:vAlign w:val="center"/>
          </w:tcPr>
          <w:p w14:paraId="62E49A7D">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1.1</w:t>
            </w:r>
          </w:p>
        </w:tc>
        <w:tc>
          <w:tcPr>
            <w:tcW w:w="729" w:type="pct"/>
            <w:noWrap w:val="0"/>
            <w:vAlign w:val="center"/>
          </w:tcPr>
          <w:p w14:paraId="5CBB0760">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0.455</w:t>
            </w:r>
          </w:p>
        </w:tc>
      </w:tr>
      <w:tr w14:paraId="170E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35E57338">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1186" w:type="pct"/>
            <w:noWrap w:val="0"/>
            <w:vAlign w:val="center"/>
          </w:tcPr>
          <w:p w14:paraId="40B573B9">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970" w:type="pct"/>
            <w:noWrap w:val="0"/>
            <w:vAlign w:val="center"/>
          </w:tcPr>
          <w:p w14:paraId="7D36F593">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2</w:t>
            </w:r>
          </w:p>
        </w:tc>
        <w:tc>
          <w:tcPr>
            <w:tcW w:w="970" w:type="pct"/>
            <w:noWrap w:val="0"/>
            <w:vAlign w:val="center"/>
          </w:tcPr>
          <w:p w14:paraId="345D81B6">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1.2</w:t>
            </w:r>
          </w:p>
        </w:tc>
        <w:tc>
          <w:tcPr>
            <w:tcW w:w="729" w:type="pct"/>
            <w:noWrap w:val="0"/>
            <w:vAlign w:val="center"/>
          </w:tcPr>
          <w:p w14:paraId="3AFBD515">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0.428</w:t>
            </w:r>
          </w:p>
        </w:tc>
      </w:tr>
      <w:tr w14:paraId="05D0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744078C1">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1186" w:type="pct"/>
            <w:noWrap w:val="0"/>
            <w:vAlign w:val="center"/>
          </w:tcPr>
          <w:p w14:paraId="304652AD">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970" w:type="pct"/>
            <w:noWrap w:val="0"/>
            <w:vAlign w:val="center"/>
          </w:tcPr>
          <w:p w14:paraId="243BBCBA">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3</w:t>
            </w:r>
          </w:p>
        </w:tc>
        <w:tc>
          <w:tcPr>
            <w:tcW w:w="970" w:type="pct"/>
            <w:noWrap w:val="0"/>
            <w:vAlign w:val="center"/>
          </w:tcPr>
          <w:p w14:paraId="63705AE8">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1.3</w:t>
            </w:r>
          </w:p>
        </w:tc>
        <w:tc>
          <w:tcPr>
            <w:tcW w:w="729" w:type="pct"/>
            <w:noWrap w:val="0"/>
            <w:vAlign w:val="center"/>
          </w:tcPr>
          <w:p w14:paraId="49F6448F">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0.406</w:t>
            </w:r>
          </w:p>
        </w:tc>
      </w:tr>
      <w:tr w14:paraId="66F5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6F18C17A">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1186" w:type="pct"/>
            <w:noWrap w:val="0"/>
            <w:vAlign w:val="center"/>
          </w:tcPr>
          <w:p w14:paraId="338EC2B6">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970" w:type="pct"/>
            <w:noWrap w:val="0"/>
            <w:vAlign w:val="center"/>
          </w:tcPr>
          <w:p w14:paraId="310788F0">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4</w:t>
            </w:r>
          </w:p>
        </w:tc>
        <w:tc>
          <w:tcPr>
            <w:tcW w:w="970" w:type="pct"/>
            <w:noWrap w:val="0"/>
            <w:vAlign w:val="center"/>
          </w:tcPr>
          <w:p w14:paraId="16889596">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1.4</w:t>
            </w:r>
          </w:p>
        </w:tc>
        <w:tc>
          <w:tcPr>
            <w:tcW w:w="729" w:type="pct"/>
            <w:noWrap w:val="0"/>
            <w:vAlign w:val="center"/>
          </w:tcPr>
          <w:p w14:paraId="48E6930E">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0.393</w:t>
            </w:r>
          </w:p>
        </w:tc>
      </w:tr>
      <w:tr w14:paraId="0EE5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pct"/>
            <w:noWrap w:val="0"/>
            <w:vAlign w:val="center"/>
          </w:tcPr>
          <w:p w14:paraId="3F260147">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w:t>
            </w:r>
          </w:p>
        </w:tc>
        <w:tc>
          <w:tcPr>
            <w:tcW w:w="1186" w:type="pct"/>
            <w:noWrap w:val="0"/>
            <w:vAlign w:val="center"/>
          </w:tcPr>
          <w:p w14:paraId="7F8C792C">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10</w:t>
            </w:r>
          </w:p>
        </w:tc>
        <w:tc>
          <w:tcPr>
            <w:tcW w:w="970" w:type="pct"/>
            <w:noWrap w:val="0"/>
            <w:vAlign w:val="center"/>
          </w:tcPr>
          <w:p w14:paraId="3A6E2DC2">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5</w:t>
            </w:r>
          </w:p>
        </w:tc>
        <w:tc>
          <w:tcPr>
            <w:tcW w:w="970" w:type="pct"/>
            <w:noWrap w:val="0"/>
            <w:vAlign w:val="center"/>
          </w:tcPr>
          <w:p w14:paraId="349F9B3A">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1.5</w:t>
            </w:r>
          </w:p>
        </w:tc>
        <w:tc>
          <w:tcPr>
            <w:tcW w:w="729" w:type="pct"/>
            <w:noWrap w:val="0"/>
            <w:vAlign w:val="center"/>
          </w:tcPr>
          <w:p w14:paraId="188D43B7">
            <w:pPr>
              <w:spacing w:line="240" w:lineRule="auto"/>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0.353</w:t>
            </w:r>
          </w:p>
        </w:tc>
      </w:tr>
    </w:tbl>
    <w:p w14:paraId="2C9961D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 w:val="21"/>
          <w:szCs w:val="21"/>
          <w:lang w:val="en-US" w:eastAsia="zh-CN"/>
        </w:rPr>
      </w:pPr>
    </w:p>
    <w:p w14:paraId="5DB7EA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lang w:val="en-US" w:eastAsia="zh-CN"/>
        </w:rPr>
        <w:t>2.1.1.2.2</w:t>
      </w:r>
      <w:r>
        <w:rPr>
          <w:rFonts w:hint="eastAsia" w:ascii="Times New Roman" w:hAnsi="Times New Roman" w:cs="Times New Roman"/>
          <w:b w:val="0"/>
          <w:bCs/>
          <w:sz w:val="21"/>
          <w:szCs w:val="21"/>
          <w:lang w:val="en-US" w:eastAsia="zh-CN"/>
        </w:rPr>
        <w:t>.4 硝酸铋-硝酸溶液用量试验</w:t>
      </w:r>
    </w:p>
    <w:p w14:paraId="26FC64E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分别移取50 µg/mL五氧化二磷标准溶液2.00 mL于100 mL容量瓶中，按显色操作方法制备显色溶液，考察不同量硝酸铋-硝酸溶液对吸光度的影响，结果见表</w:t>
      </w:r>
      <w:r>
        <w:rPr>
          <w:rFonts w:hint="eastAsia" w:ascii="Times New Roman" w:hAnsi="Times New Roman" w:cs="Times New Roman"/>
          <w:b w:val="0"/>
          <w:bCs/>
          <w:sz w:val="21"/>
          <w:szCs w:val="21"/>
          <w:lang w:val="en-US" w:eastAsia="zh-CN"/>
        </w:rPr>
        <w:t>7</w:t>
      </w:r>
      <w:r>
        <w:rPr>
          <w:rFonts w:hint="default" w:ascii="Times New Roman" w:hAnsi="Times New Roman" w:cs="Times New Roman"/>
          <w:b w:val="0"/>
          <w:bCs/>
          <w:sz w:val="21"/>
          <w:szCs w:val="21"/>
          <w:lang w:val="en-US" w:eastAsia="zh-CN"/>
        </w:rPr>
        <w:t>。固定硝酸为10mol/L，考察不同浓度的硝酸铋量对吸光度的影响，结果见表</w:t>
      </w:r>
      <w:r>
        <w:rPr>
          <w:rFonts w:hint="eastAsia" w:ascii="Times New Roman" w:hAnsi="Times New Roman" w:cs="Times New Roman"/>
          <w:b w:val="0"/>
          <w:bCs/>
          <w:sz w:val="21"/>
          <w:szCs w:val="21"/>
          <w:lang w:val="en-US" w:eastAsia="zh-CN"/>
        </w:rPr>
        <w:t>8</w:t>
      </w:r>
      <w:r>
        <w:rPr>
          <w:rFonts w:hint="default" w:ascii="Times New Roman" w:hAnsi="Times New Roman" w:cs="Times New Roman"/>
          <w:b w:val="0"/>
          <w:bCs/>
          <w:sz w:val="21"/>
          <w:szCs w:val="21"/>
          <w:lang w:val="en-US" w:eastAsia="zh-CN"/>
        </w:rPr>
        <w:t>。由表</w:t>
      </w:r>
      <w:r>
        <w:rPr>
          <w:rFonts w:hint="eastAsia" w:ascii="Times New Roman" w:hAnsi="Times New Roman" w:cs="Times New Roman"/>
          <w:b w:val="0"/>
          <w:bCs/>
          <w:sz w:val="21"/>
          <w:szCs w:val="21"/>
          <w:lang w:val="en-US" w:eastAsia="zh-CN"/>
        </w:rPr>
        <w:t>7</w:t>
      </w:r>
      <w:r>
        <w:rPr>
          <w:rFonts w:hint="default" w:ascii="Times New Roman" w:hAnsi="Times New Roman" w:cs="Times New Roman"/>
          <w:b w:val="0"/>
          <w:bCs/>
          <w:sz w:val="21"/>
          <w:szCs w:val="21"/>
          <w:lang w:val="en-US" w:eastAsia="zh-CN"/>
        </w:rPr>
        <w:t>和表</w:t>
      </w:r>
      <w:r>
        <w:rPr>
          <w:rFonts w:hint="eastAsia" w:ascii="Times New Roman" w:hAnsi="Times New Roman" w:cs="Times New Roman"/>
          <w:b w:val="0"/>
          <w:bCs/>
          <w:sz w:val="21"/>
          <w:szCs w:val="21"/>
          <w:lang w:val="en-US" w:eastAsia="zh-CN"/>
        </w:rPr>
        <w:t>8</w:t>
      </w:r>
      <w:r>
        <w:rPr>
          <w:rFonts w:hint="default" w:ascii="Times New Roman" w:hAnsi="Times New Roman" w:cs="Times New Roman"/>
          <w:b w:val="0"/>
          <w:bCs/>
          <w:sz w:val="21"/>
          <w:szCs w:val="21"/>
          <w:lang w:val="en-US" w:eastAsia="zh-CN"/>
        </w:rPr>
        <w:t>可知，随着硝酸铋加入量增加，吸光度逐渐增大；随着硝酸铋浓度的增加，吸光度逐渐增大。当加入量为10 mL且硝酸铋浓度为10 g/L时吸光度最大且稳定，本实验选择硝酸铋-硝酸溶液加入量10 mL，硝酸铋浓度为10g/L。</w:t>
      </w:r>
    </w:p>
    <w:p w14:paraId="08976F73">
      <w:pPr>
        <w:spacing w:line="240" w:lineRule="auto"/>
        <w:jc w:val="center"/>
        <w:rPr>
          <w:rFonts w:hint="default" w:ascii="Times New Roman" w:hAnsi="Times New Roman" w:eastAsia="宋体" w:cs="Times New Roman"/>
          <w:sz w:val="18"/>
          <w:szCs w:val="18"/>
        </w:rPr>
      </w:pPr>
      <w:r>
        <w:rPr>
          <w:rFonts w:hint="eastAsia" w:ascii="黑体" w:hAnsi="黑体" w:eastAsia="黑体" w:cs="黑体"/>
          <w:sz w:val="18"/>
          <w:szCs w:val="18"/>
        </w:rPr>
        <w:t>表</w:t>
      </w:r>
      <w:r>
        <w:rPr>
          <w:rFonts w:hint="eastAsia" w:ascii="黑体" w:hAnsi="黑体" w:eastAsia="黑体" w:cs="黑体"/>
          <w:sz w:val="18"/>
          <w:szCs w:val="18"/>
          <w:lang w:val="en-US" w:eastAsia="zh-CN"/>
        </w:rPr>
        <w:t xml:space="preserve">7 </w:t>
      </w:r>
      <w:r>
        <w:rPr>
          <w:rFonts w:hint="eastAsia" w:ascii="黑体" w:hAnsi="黑体" w:eastAsia="黑体" w:cs="黑体"/>
          <w:sz w:val="18"/>
          <w:szCs w:val="18"/>
        </w:rPr>
        <w:t xml:space="preserve"> 硝酸铋-硝酸加入量试验结果</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938"/>
        <w:gridCol w:w="940"/>
        <w:gridCol w:w="938"/>
        <w:gridCol w:w="982"/>
        <w:gridCol w:w="1059"/>
        <w:gridCol w:w="1059"/>
        <w:gridCol w:w="1059"/>
      </w:tblGrid>
      <w:tr w14:paraId="153D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7" w:type="pct"/>
            <w:noWrap w:val="0"/>
            <w:vAlign w:val="center"/>
          </w:tcPr>
          <w:p w14:paraId="43CECC4B">
            <w:pPr>
              <w:pStyle w:val="8"/>
              <w:adjustRightInd w:val="0"/>
              <w:snapToGrid w:val="0"/>
              <w:spacing w:line="240" w:lineRule="auto"/>
              <w:ind w:firstLine="0" w:firstLineChars="0"/>
              <w:rPr>
                <w:rFonts w:hint="default" w:ascii="Times New Roman" w:hAnsi="Times New Roman" w:eastAsia="宋体" w:cs="Times New Roman"/>
                <w:sz w:val="18"/>
                <w:szCs w:val="18"/>
              </w:rPr>
            </w:pPr>
            <w:r>
              <w:rPr>
                <w:rFonts w:hint="default" w:ascii="Times New Roman" w:hAnsi="Times New Roman" w:eastAsia="宋体" w:cs="Times New Roman"/>
                <w:i/>
                <w:iCs/>
                <w:sz w:val="18"/>
                <w:szCs w:val="18"/>
              </w:rPr>
              <w:t>V</w:t>
            </w:r>
            <w:r>
              <w:rPr>
                <w:rFonts w:hint="default" w:ascii="Times New Roman" w:hAnsi="Times New Roman" w:eastAsia="宋体" w:cs="Times New Roman"/>
                <w:sz w:val="18"/>
                <w:szCs w:val="18"/>
                <w:vertAlign w:val="subscript"/>
              </w:rPr>
              <w:t>硝酸铋-硝酸</w:t>
            </w:r>
            <w:r>
              <w:rPr>
                <w:rFonts w:hint="default" w:ascii="Times New Roman" w:hAnsi="Times New Roman" w:eastAsia="宋体" w:cs="Times New Roman"/>
                <w:sz w:val="18"/>
                <w:szCs w:val="18"/>
              </w:rPr>
              <w:t>（mL）</w:t>
            </w:r>
          </w:p>
        </w:tc>
        <w:tc>
          <w:tcPr>
            <w:tcW w:w="550" w:type="pct"/>
            <w:noWrap w:val="0"/>
            <w:vAlign w:val="center"/>
          </w:tcPr>
          <w:p w14:paraId="45542670">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c>
          <w:tcPr>
            <w:tcW w:w="551" w:type="pct"/>
            <w:noWrap w:val="0"/>
            <w:vAlign w:val="center"/>
          </w:tcPr>
          <w:p w14:paraId="1CE75E0D">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w:t>
            </w:r>
          </w:p>
        </w:tc>
        <w:tc>
          <w:tcPr>
            <w:tcW w:w="550" w:type="pct"/>
            <w:noWrap w:val="0"/>
            <w:vAlign w:val="center"/>
          </w:tcPr>
          <w:p w14:paraId="450013DE">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5.0</w:t>
            </w:r>
          </w:p>
        </w:tc>
        <w:tc>
          <w:tcPr>
            <w:tcW w:w="576" w:type="pct"/>
            <w:noWrap w:val="0"/>
            <w:vAlign w:val="center"/>
          </w:tcPr>
          <w:p w14:paraId="59065FB9">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8.0</w:t>
            </w:r>
          </w:p>
        </w:tc>
        <w:tc>
          <w:tcPr>
            <w:tcW w:w="621" w:type="pct"/>
            <w:noWrap w:val="0"/>
            <w:vAlign w:val="center"/>
          </w:tcPr>
          <w:p w14:paraId="6317C88A">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w:t>
            </w:r>
          </w:p>
        </w:tc>
        <w:tc>
          <w:tcPr>
            <w:tcW w:w="621" w:type="pct"/>
            <w:noWrap w:val="0"/>
            <w:vAlign w:val="center"/>
          </w:tcPr>
          <w:p w14:paraId="5835C6A3">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15.0</w:t>
            </w:r>
          </w:p>
        </w:tc>
        <w:tc>
          <w:tcPr>
            <w:tcW w:w="621" w:type="pct"/>
            <w:noWrap w:val="0"/>
            <w:vAlign w:val="center"/>
          </w:tcPr>
          <w:p w14:paraId="7400A2F8">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20.0</w:t>
            </w:r>
          </w:p>
        </w:tc>
      </w:tr>
      <w:tr w14:paraId="4ED4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7" w:type="pct"/>
            <w:noWrap w:val="0"/>
            <w:vAlign w:val="center"/>
          </w:tcPr>
          <w:p w14:paraId="1E1DA577">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i/>
                <w:iCs/>
                <w:snapToGrid w:val="0"/>
                <w:kern w:val="0"/>
                <w:sz w:val="18"/>
                <w:szCs w:val="18"/>
              </w:rPr>
              <w:t>ΔA</w:t>
            </w:r>
          </w:p>
        </w:tc>
        <w:tc>
          <w:tcPr>
            <w:tcW w:w="550" w:type="pct"/>
            <w:noWrap w:val="0"/>
            <w:vAlign w:val="center"/>
          </w:tcPr>
          <w:p w14:paraId="56E218B6">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0.378</w:t>
            </w:r>
          </w:p>
        </w:tc>
        <w:tc>
          <w:tcPr>
            <w:tcW w:w="551" w:type="pct"/>
            <w:noWrap w:val="0"/>
            <w:vAlign w:val="center"/>
          </w:tcPr>
          <w:p w14:paraId="3F49E9C3">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0.423</w:t>
            </w:r>
          </w:p>
        </w:tc>
        <w:tc>
          <w:tcPr>
            <w:tcW w:w="550" w:type="pct"/>
            <w:noWrap w:val="0"/>
            <w:vAlign w:val="center"/>
          </w:tcPr>
          <w:p w14:paraId="27F6048E">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0.448</w:t>
            </w:r>
          </w:p>
        </w:tc>
        <w:tc>
          <w:tcPr>
            <w:tcW w:w="576" w:type="pct"/>
            <w:noWrap w:val="0"/>
            <w:vAlign w:val="center"/>
          </w:tcPr>
          <w:p w14:paraId="311BB110">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0.450</w:t>
            </w:r>
          </w:p>
        </w:tc>
        <w:tc>
          <w:tcPr>
            <w:tcW w:w="621" w:type="pct"/>
            <w:noWrap w:val="0"/>
            <w:vAlign w:val="center"/>
          </w:tcPr>
          <w:p w14:paraId="63BF3CB6">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0.458</w:t>
            </w:r>
          </w:p>
        </w:tc>
        <w:tc>
          <w:tcPr>
            <w:tcW w:w="621" w:type="pct"/>
            <w:noWrap w:val="0"/>
            <w:vAlign w:val="center"/>
          </w:tcPr>
          <w:p w14:paraId="71827384">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0.457</w:t>
            </w:r>
          </w:p>
        </w:tc>
        <w:tc>
          <w:tcPr>
            <w:tcW w:w="621" w:type="pct"/>
            <w:noWrap w:val="0"/>
            <w:vAlign w:val="center"/>
          </w:tcPr>
          <w:p w14:paraId="1D9E7298">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0.459</w:t>
            </w:r>
          </w:p>
        </w:tc>
      </w:tr>
    </w:tbl>
    <w:p w14:paraId="0C526143">
      <w:pPr>
        <w:spacing w:line="240" w:lineRule="auto"/>
        <w:jc w:val="center"/>
        <w:rPr>
          <w:rFonts w:hint="default" w:ascii="Times New Roman" w:hAnsi="Times New Roman" w:eastAsia="宋体" w:cs="Times New Roman"/>
          <w:color w:val="auto"/>
          <w:sz w:val="18"/>
          <w:szCs w:val="18"/>
        </w:rPr>
      </w:pPr>
      <w:r>
        <w:rPr>
          <w:rFonts w:hint="eastAsia" w:ascii="黑体" w:hAnsi="黑体" w:eastAsia="黑体" w:cs="黑体"/>
          <w:color w:val="auto"/>
          <w:sz w:val="18"/>
          <w:szCs w:val="18"/>
        </w:rPr>
        <w:t>表</w:t>
      </w:r>
      <w:r>
        <w:rPr>
          <w:rFonts w:hint="eastAsia" w:ascii="黑体" w:hAnsi="黑体" w:eastAsia="黑体" w:cs="黑体"/>
          <w:color w:val="auto"/>
          <w:sz w:val="18"/>
          <w:szCs w:val="18"/>
          <w:lang w:val="en-US" w:eastAsia="zh-CN"/>
        </w:rPr>
        <w:t>8</w:t>
      </w:r>
      <w:r>
        <w:rPr>
          <w:rFonts w:hint="eastAsia" w:ascii="黑体" w:hAnsi="黑体" w:eastAsia="黑体" w:cs="黑体"/>
          <w:color w:val="auto"/>
          <w:sz w:val="18"/>
          <w:szCs w:val="18"/>
        </w:rPr>
        <w:t xml:space="preserve">  硝酸铋不同浓度量试验结果</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055"/>
        <w:gridCol w:w="1054"/>
        <w:gridCol w:w="1103"/>
        <w:gridCol w:w="1189"/>
        <w:gridCol w:w="1189"/>
        <w:gridCol w:w="1189"/>
      </w:tblGrid>
      <w:tr w14:paraId="4C7F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20" w:type="pct"/>
            <w:noWrap w:val="0"/>
            <w:vAlign w:val="center"/>
          </w:tcPr>
          <w:p w14:paraId="60ED3398">
            <w:pPr>
              <w:pStyle w:val="8"/>
              <w:adjustRightInd w:val="0"/>
              <w:snapToGrid w:val="0"/>
              <w:spacing w:line="240" w:lineRule="auto"/>
              <w:ind w:firstLine="0" w:firstLineChars="0"/>
              <w:rPr>
                <w:rFonts w:hint="default" w:ascii="Times New Roman" w:hAnsi="Times New Roman" w:eastAsia="宋体" w:cs="Times New Roman"/>
                <w:color w:val="auto"/>
                <w:sz w:val="18"/>
                <w:szCs w:val="18"/>
              </w:rPr>
            </w:pPr>
            <w:r>
              <w:rPr>
                <w:rFonts w:hint="default" w:ascii="Times New Roman" w:hAnsi="Times New Roman" w:eastAsia="宋体" w:cs="Times New Roman"/>
                <w:i/>
                <w:iCs/>
                <w:color w:val="auto"/>
                <w:sz w:val="18"/>
                <w:szCs w:val="18"/>
              </w:rPr>
              <w:t>V</w:t>
            </w:r>
            <w:r>
              <w:rPr>
                <w:rFonts w:hint="default" w:ascii="Times New Roman" w:hAnsi="Times New Roman" w:eastAsia="宋体" w:cs="Times New Roman"/>
                <w:color w:val="auto"/>
                <w:sz w:val="18"/>
                <w:szCs w:val="18"/>
                <w:vertAlign w:val="subscript"/>
              </w:rPr>
              <w:t>硝酸铋-硝酸</w:t>
            </w:r>
            <w:r>
              <w:rPr>
                <w:rFonts w:hint="default" w:ascii="Times New Roman" w:hAnsi="Times New Roman" w:eastAsia="宋体" w:cs="Times New Roman"/>
                <w:color w:val="auto"/>
                <w:sz w:val="18"/>
                <w:szCs w:val="18"/>
              </w:rPr>
              <w:t>（g/L）</w:t>
            </w:r>
          </w:p>
        </w:tc>
        <w:tc>
          <w:tcPr>
            <w:tcW w:w="619" w:type="pct"/>
            <w:noWrap w:val="0"/>
            <w:vAlign w:val="center"/>
          </w:tcPr>
          <w:p w14:paraId="607F4997">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w:t>
            </w:r>
          </w:p>
        </w:tc>
        <w:tc>
          <w:tcPr>
            <w:tcW w:w="618" w:type="pct"/>
            <w:noWrap w:val="0"/>
            <w:vAlign w:val="center"/>
          </w:tcPr>
          <w:p w14:paraId="17C76454">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5.0</w:t>
            </w:r>
          </w:p>
        </w:tc>
        <w:tc>
          <w:tcPr>
            <w:tcW w:w="647" w:type="pct"/>
            <w:noWrap w:val="0"/>
            <w:vAlign w:val="center"/>
          </w:tcPr>
          <w:p w14:paraId="7ACE275B">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10.0</w:t>
            </w:r>
          </w:p>
        </w:tc>
        <w:tc>
          <w:tcPr>
            <w:tcW w:w="697" w:type="pct"/>
            <w:noWrap w:val="0"/>
            <w:vAlign w:val="center"/>
          </w:tcPr>
          <w:p w14:paraId="16491840">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20.0</w:t>
            </w:r>
          </w:p>
        </w:tc>
        <w:tc>
          <w:tcPr>
            <w:tcW w:w="697" w:type="pct"/>
            <w:noWrap w:val="0"/>
            <w:vAlign w:val="center"/>
          </w:tcPr>
          <w:p w14:paraId="1EB928A2">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30.0</w:t>
            </w:r>
          </w:p>
        </w:tc>
        <w:tc>
          <w:tcPr>
            <w:tcW w:w="697" w:type="pct"/>
            <w:noWrap w:val="0"/>
            <w:vAlign w:val="center"/>
          </w:tcPr>
          <w:p w14:paraId="5C6D57A0">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50.0</w:t>
            </w:r>
          </w:p>
        </w:tc>
      </w:tr>
      <w:tr w14:paraId="55A4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20" w:type="pct"/>
            <w:noWrap w:val="0"/>
            <w:vAlign w:val="center"/>
          </w:tcPr>
          <w:p w14:paraId="2FD2292B">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i/>
                <w:iCs/>
                <w:snapToGrid w:val="0"/>
                <w:color w:val="auto"/>
                <w:kern w:val="0"/>
                <w:sz w:val="18"/>
                <w:szCs w:val="18"/>
              </w:rPr>
              <w:t>ΔA</w:t>
            </w:r>
          </w:p>
        </w:tc>
        <w:tc>
          <w:tcPr>
            <w:tcW w:w="619" w:type="pct"/>
            <w:noWrap w:val="0"/>
            <w:vAlign w:val="center"/>
          </w:tcPr>
          <w:p w14:paraId="766BF501">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0.336</w:t>
            </w:r>
          </w:p>
        </w:tc>
        <w:tc>
          <w:tcPr>
            <w:tcW w:w="618" w:type="pct"/>
            <w:noWrap w:val="0"/>
            <w:vAlign w:val="center"/>
          </w:tcPr>
          <w:p w14:paraId="2EA7296B">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0.359</w:t>
            </w:r>
          </w:p>
        </w:tc>
        <w:tc>
          <w:tcPr>
            <w:tcW w:w="647" w:type="pct"/>
            <w:noWrap w:val="0"/>
            <w:vAlign w:val="center"/>
          </w:tcPr>
          <w:p w14:paraId="53E58F12">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0.458</w:t>
            </w:r>
          </w:p>
        </w:tc>
        <w:tc>
          <w:tcPr>
            <w:tcW w:w="697" w:type="pct"/>
            <w:noWrap w:val="0"/>
            <w:vAlign w:val="center"/>
          </w:tcPr>
          <w:p w14:paraId="70F08DCA">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0.457</w:t>
            </w:r>
          </w:p>
        </w:tc>
        <w:tc>
          <w:tcPr>
            <w:tcW w:w="697" w:type="pct"/>
            <w:noWrap w:val="0"/>
            <w:vAlign w:val="center"/>
          </w:tcPr>
          <w:p w14:paraId="2DEDFDA0">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0.459</w:t>
            </w:r>
          </w:p>
        </w:tc>
        <w:tc>
          <w:tcPr>
            <w:tcW w:w="697" w:type="pct"/>
            <w:noWrap w:val="0"/>
            <w:vAlign w:val="center"/>
          </w:tcPr>
          <w:p w14:paraId="6A4D87AB">
            <w:pPr>
              <w:pStyle w:val="8"/>
              <w:adjustRightInd w:val="0"/>
              <w:snapToGrid w:val="0"/>
              <w:spacing w:line="240" w:lineRule="auto"/>
              <w:ind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0.458</w:t>
            </w:r>
          </w:p>
        </w:tc>
      </w:tr>
    </w:tbl>
    <w:p w14:paraId="7D9A592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 w:val="21"/>
          <w:szCs w:val="21"/>
          <w:lang w:val="en-US" w:eastAsia="zh-CN"/>
        </w:rPr>
      </w:pPr>
    </w:p>
    <w:p w14:paraId="7E4ECC3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lang w:val="en-US" w:eastAsia="zh-CN"/>
        </w:rPr>
        <w:t>2.1.1.2.2</w:t>
      </w:r>
      <w:r>
        <w:rPr>
          <w:rFonts w:hint="eastAsia" w:ascii="Times New Roman" w:hAnsi="Times New Roman" w:cs="Times New Roman"/>
          <w:b w:val="0"/>
          <w:bCs/>
          <w:sz w:val="21"/>
          <w:szCs w:val="21"/>
          <w:lang w:val="en-US" w:eastAsia="zh-CN"/>
        </w:rPr>
        <w:t>.5 显色稳定剂用量试验</w:t>
      </w:r>
    </w:p>
    <w:p w14:paraId="0C6978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分别移取50 µg/mL五氧化二磷标准溶液2.00 mL于100 mL容量瓶中，按显色操作方法制备显色溶液，考察不同量稳定剂乙醇溶液对吸光度的影响，结果见表6，由表6可知，显色时不加入乙醇溶液，显色灵敏度低，且随着乙醇加入量增加，吸光度逐渐增大，当加入量为8~15mL时吸光度最大且稳定，考虑到加入量在稳定平台之间，本实验选择乙醇溶液加入量10 mL。</w:t>
      </w:r>
    </w:p>
    <w:p w14:paraId="254B6D6E">
      <w:pPr>
        <w:spacing w:line="240" w:lineRule="auto"/>
        <w:jc w:val="center"/>
        <w:rPr>
          <w:rFonts w:hint="eastAsia" w:ascii="黑体" w:hAnsi="黑体" w:eastAsia="黑体" w:cs="黑体"/>
          <w:b/>
          <w:sz w:val="18"/>
          <w:szCs w:val="18"/>
        </w:rPr>
      </w:pPr>
      <w:r>
        <w:rPr>
          <w:rFonts w:hint="eastAsia" w:ascii="黑体" w:hAnsi="黑体" w:eastAsia="黑体" w:cs="黑体"/>
          <w:sz w:val="18"/>
          <w:szCs w:val="18"/>
        </w:rPr>
        <w:t>表</w:t>
      </w:r>
      <w:r>
        <w:rPr>
          <w:rFonts w:hint="eastAsia" w:ascii="黑体" w:hAnsi="黑体" w:eastAsia="黑体" w:cs="黑体"/>
          <w:sz w:val="18"/>
          <w:szCs w:val="18"/>
          <w:lang w:val="en-US" w:eastAsia="zh-CN"/>
        </w:rPr>
        <w:t>9</w:t>
      </w:r>
      <w:r>
        <w:rPr>
          <w:rFonts w:hint="eastAsia" w:ascii="黑体" w:hAnsi="黑体" w:eastAsia="黑体" w:cs="黑体"/>
          <w:sz w:val="18"/>
          <w:szCs w:val="18"/>
        </w:rPr>
        <w:t xml:space="preserve">  显色稳定剂乙醇溶液用量试验结果</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1071"/>
        <w:gridCol w:w="1073"/>
        <w:gridCol w:w="1071"/>
        <w:gridCol w:w="1120"/>
        <w:gridCol w:w="1209"/>
        <w:gridCol w:w="1209"/>
      </w:tblGrid>
      <w:tr w14:paraId="1F9E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36" w:type="pct"/>
            <w:noWrap w:val="0"/>
            <w:vAlign w:val="center"/>
          </w:tcPr>
          <w:p w14:paraId="4F1D2F88">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i/>
                <w:iCs/>
                <w:sz w:val="18"/>
                <w:szCs w:val="18"/>
              </w:rPr>
              <w:t>V</w:t>
            </w:r>
            <w:r>
              <w:rPr>
                <w:rFonts w:hint="default" w:ascii="Times New Roman" w:hAnsi="Times New Roman" w:eastAsia="宋体" w:cs="Times New Roman"/>
                <w:i/>
                <w:iCs/>
                <w:sz w:val="18"/>
                <w:szCs w:val="18"/>
                <w:vertAlign w:val="subscript"/>
              </w:rPr>
              <w:t>95%</w:t>
            </w:r>
            <w:r>
              <w:rPr>
                <w:rFonts w:hint="default" w:ascii="Times New Roman" w:hAnsi="Times New Roman" w:eastAsia="宋体" w:cs="Times New Roman"/>
                <w:sz w:val="18"/>
                <w:szCs w:val="18"/>
                <w:vertAlign w:val="subscript"/>
              </w:rPr>
              <w:t>乙醇</w:t>
            </w:r>
            <w:r>
              <w:rPr>
                <w:rFonts w:hint="default" w:ascii="Times New Roman" w:hAnsi="Times New Roman" w:eastAsia="宋体" w:cs="Times New Roman"/>
                <w:sz w:val="18"/>
                <w:szCs w:val="18"/>
              </w:rPr>
              <w:t>（mL）</w:t>
            </w:r>
          </w:p>
        </w:tc>
        <w:tc>
          <w:tcPr>
            <w:tcW w:w="628" w:type="pct"/>
            <w:noWrap w:val="0"/>
            <w:vAlign w:val="center"/>
          </w:tcPr>
          <w:p w14:paraId="543DAE21">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w:t>
            </w:r>
          </w:p>
        </w:tc>
        <w:tc>
          <w:tcPr>
            <w:tcW w:w="629" w:type="pct"/>
            <w:noWrap w:val="0"/>
            <w:vAlign w:val="center"/>
          </w:tcPr>
          <w:p w14:paraId="0BB3C8C6">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5.0</w:t>
            </w:r>
          </w:p>
        </w:tc>
        <w:tc>
          <w:tcPr>
            <w:tcW w:w="628" w:type="pct"/>
            <w:noWrap w:val="0"/>
            <w:vAlign w:val="center"/>
          </w:tcPr>
          <w:p w14:paraId="2FD1F7FB">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8.0</w:t>
            </w:r>
          </w:p>
        </w:tc>
        <w:tc>
          <w:tcPr>
            <w:tcW w:w="657" w:type="pct"/>
            <w:noWrap w:val="0"/>
            <w:vAlign w:val="center"/>
          </w:tcPr>
          <w:p w14:paraId="7A639765">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w:t>
            </w:r>
          </w:p>
        </w:tc>
        <w:tc>
          <w:tcPr>
            <w:tcW w:w="709" w:type="pct"/>
            <w:noWrap w:val="0"/>
            <w:vAlign w:val="center"/>
          </w:tcPr>
          <w:p w14:paraId="78FB3493">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12.0</w:t>
            </w:r>
          </w:p>
        </w:tc>
        <w:tc>
          <w:tcPr>
            <w:tcW w:w="709" w:type="pct"/>
            <w:noWrap w:val="0"/>
            <w:vAlign w:val="center"/>
          </w:tcPr>
          <w:p w14:paraId="1BAFEB9D">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15.0</w:t>
            </w:r>
          </w:p>
        </w:tc>
      </w:tr>
      <w:tr w14:paraId="6BC6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36" w:type="pct"/>
            <w:noWrap w:val="0"/>
            <w:vAlign w:val="center"/>
          </w:tcPr>
          <w:p w14:paraId="4F1ECB20">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i/>
                <w:iCs/>
                <w:snapToGrid w:val="0"/>
                <w:kern w:val="0"/>
                <w:sz w:val="18"/>
                <w:szCs w:val="18"/>
              </w:rPr>
              <w:t>ΔA</w:t>
            </w:r>
          </w:p>
        </w:tc>
        <w:tc>
          <w:tcPr>
            <w:tcW w:w="628" w:type="pct"/>
            <w:noWrap w:val="0"/>
            <w:vAlign w:val="center"/>
          </w:tcPr>
          <w:p w14:paraId="1F4739D8">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0.356</w:t>
            </w:r>
          </w:p>
        </w:tc>
        <w:tc>
          <w:tcPr>
            <w:tcW w:w="629" w:type="pct"/>
            <w:noWrap w:val="0"/>
            <w:vAlign w:val="center"/>
          </w:tcPr>
          <w:p w14:paraId="23D69D2E">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0.433</w:t>
            </w:r>
          </w:p>
        </w:tc>
        <w:tc>
          <w:tcPr>
            <w:tcW w:w="628" w:type="pct"/>
            <w:noWrap w:val="0"/>
            <w:vAlign w:val="center"/>
          </w:tcPr>
          <w:p w14:paraId="771A2C6E">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0.458</w:t>
            </w:r>
          </w:p>
        </w:tc>
        <w:tc>
          <w:tcPr>
            <w:tcW w:w="657" w:type="pct"/>
            <w:noWrap w:val="0"/>
            <w:vAlign w:val="center"/>
          </w:tcPr>
          <w:p w14:paraId="5B5D38A1">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0.457</w:t>
            </w:r>
          </w:p>
        </w:tc>
        <w:tc>
          <w:tcPr>
            <w:tcW w:w="709" w:type="pct"/>
            <w:noWrap w:val="0"/>
            <w:vAlign w:val="center"/>
          </w:tcPr>
          <w:p w14:paraId="3F002F7D">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0.457</w:t>
            </w:r>
          </w:p>
        </w:tc>
        <w:tc>
          <w:tcPr>
            <w:tcW w:w="709" w:type="pct"/>
            <w:noWrap w:val="0"/>
            <w:vAlign w:val="center"/>
          </w:tcPr>
          <w:p w14:paraId="70721529">
            <w:pPr>
              <w:pStyle w:val="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0.458</w:t>
            </w:r>
          </w:p>
        </w:tc>
      </w:tr>
    </w:tbl>
    <w:p w14:paraId="64ED1B1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 w:val="21"/>
          <w:szCs w:val="21"/>
          <w:lang w:val="en-US" w:eastAsia="zh-CN"/>
        </w:rPr>
      </w:pPr>
    </w:p>
    <w:p w14:paraId="3DA02B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lang w:val="en-US" w:eastAsia="zh-CN"/>
        </w:rPr>
        <w:t>2.1.1.2.2</w:t>
      </w:r>
      <w:r>
        <w:rPr>
          <w:rFonts w:hint="eastAsia" w:ascii="Times New Roman" w:hAnsi="Times New Roman" w:cs="Times New Roman"/>
          <w:b w:val="0"/>
          <w:bCs/>
          <w:sz w:val="21"/>
          <w:szCs w:val="21"/>
          <w:lang w:val="en-US" w:eastAsia="zh-CN"/>
        </w:rPr>
        <w:t>.6 抗坏血酸加入量试验</w:t>
      </w:r>
    </w:p>
    <w:p w14:paraId="13A3FF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分别移取50 µg/mL五氧化二磷标准溶液2.00 mL于100 mL容量瓶中，按显色操作方法制备显色溶液，考察不同量抗坏血酸溶液对吸光度的影响，结果见表7。由表7可知，随着抗坏血酸加入量增加，吸光度逐渐增大，当加入量为2ml时吸光度最大且稳定，考虑到经济成本，本试验采用抗坏血酸加入量2 mL。</w:t>
      </w:r>
    </w:p>
    <w:p w14:paraId="170F867D">
      <w:pPr>
        <w:spacing w:line="240" w:lineRule="auto"/>
        <w:jc w:val="center"/>
        <w:rPr>
          <w:rFonts w:hint="eastAsia" w:ascii="黑体" w:hAnsi="黑体" w:eastAsia="黑体" w:cs="黑体"/>
          <w:bCs/>
          <w:sz w:val="18"/>
          <w:szCs w:val="18"/>
        </w:rPr>
      </w:pPr>
      <w:r>
        <w:rPr>
          <w:rFonts w:hint="eastAsia" w:ascii="黑体" w:hAnsi="黑体" w:eastAsia="黑体" w:cs="黑体"/>
          <w:bCs/>
          <w:sz w:val="18"/>
          <w:szCs w:val="18"/>
        </w:rPr>
        <w:t>表</w:t>
      </w:r>
      <w:r>
        <w:rPr>
          <w:rFonts w:hint="eastAsia" w:ascii="黑体" w:hAnsi="黑体" w:eastAsia="黑体" w:cs="黑体"/>
          <w:bCs/>
          <w:sz w:val="18"/>
          <w:szCs w:val="18"/>
          <w:lang w:val="en-US" w:eastAsia="zh-CN"/>
        </w:rPr>
        <w:t>10</w:t>
      </w:r>
      <w:r>
        <w:rPr>
          <w:rFonts w:hint="eastAsia" w:ascii="黑体" w:hAnsi="黑体" w:eastAsia="黑体" w:cs="黑体"/>
          <w:bCs/>
          <w:sz w:val="18"/>
          <w:szCs w:val="18"/>
        </w:rPr>
        <w:t xml:space="preserve">  抗坏血酸用量试验结果</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093"/>
        <w:gridCol w:w="1096"/>
        <w:gridCol w:w="1093"/>
        <w:gridCol w:w="1144"/>
        <w:gridCol w:w="1144"/>
        <w:gridCol w:w="1144"/>
      </w:tblGrid>
      <w:tr w14:paraId="2576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58" w:type="pct"/>
            <w:noWrap w:val="0"/>
            <w:vAlign w:val="center"/>
          </w:tcPr>
          <w:p w14:paraId="21559886">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i/>
                <w:iCs/>
                <w:sz w:val="18"/>
                <w:szCs w:val="18"/>
              </w:rPr>
              <w:t>V</w:t>
            </w:r>
            <w:r>
              <w:rPr>
                <w:rFonts w:hint="default" w:ascii="Times New Roman" w:hAnsi="Times New Roman" w:eastAsia="宋体" w:cs="Times New Roman"/>
                <w:i/>
                <w:iCs/>
                <w:sz w:val="18"/>
                <w:szCs w:val="18"/>
                <w:vertAlign w:val="subscript"/>
              </w:rPr>
              <w:t>抗坏血酸</w:t>
            </w:r>
            <w:r>
              <w:rPr>
                <w:rFonts w:hint="default" w:ascii="Times New Roman" w:hAnsi="Times New Roman" w:eastAsia="宋体" w:cs="Times New Roman"/>
                <w:sz w:val="18"/>
                <w:szCs w:val="18"/>
              </w:rPr>
              <w:t>（mL）</w:t>
            </w:r>
          </w:p>
        </w:tc>
        <w:tc>
          <w:tcPr>
            <w:tcW w:w="641" w:type="pct"/>
            <w:noWrap w:val="0"/>
            <w:vAlign w:val="center"/>
          </w:tcPr>
          <w:p w14:paraId="7E8D36DA">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w:t>
            </w:r>
          </w:p>
        </w:tc>
        <w:tc>
          <w:tcPr>
            <w:tcW w:w="643" w:type="pct"/>
            <w:noWrap w:val="0"/>
            <w:vAlign w:val="center"/>
          </w:tcPr>
          <w:p w14:paraId="35FC64CE">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1.5</w:t>
            </w:r>
          </w:p>
        </w:tc>
        <w:tc>
          <w:tcPr>
            <w:tcW w:w="641" w:type="pct"/>
            <w:noWrap w:val="0"/>
            <w:vAlign w:val="center"/>
          </w:tcPr>
          <w:p w14:paraId="562706E6">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2.0</w:t>
            </w:r>
          </w:p>
        </w:tc>
        <w:tc>
          <w:tcPr>
            <w:tcW w:w="671" w:type="pct"/>
            <w:noWrap w:val="0"/>
            <w:vAlign w:val="center"/>
          </w:tcPr>
          <w:p w14:paraId="7D6023BB">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2.5</w:t>
            </w:r>
          </w:p>
        </w:tc>
        <w:tc>
          <w:tcPr>
            <w:tcW w:w="671" w:type="pct"/>
            <w:noWrap w:val="0"/>
            <w:vAlign w:val="center"/>
          </w:tcPr>
          <w:p w14:paraId="770180F1">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w:t>
            </w:r>
          </w:p>
        </w:tc>
        <w:tc>
          <w:tcPr>
            <w:tcW w:w="671" w:type="pct"/>
            <w:noWrap w:val="0"/>
            <w:vAlign w:val="center"/>
          </w:tcPr>
          <w:p w14:paraId="532D5246">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3.5</w:t>
            </w:r>
          </w:p>
        </w:tc>
      </w:tr>
      <w:tr w14:paraId="0A38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58" w:type="pct"/>
            <w:noWrap w:val="0"/>
            <w:vAlign w:val="center"/>
          </w:tcPr>
          <w:p w14:paraId="4D74B0F4">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i/>
                <w:iCs/>
                <w:snapToGrid w:val="0"/>
                <w:kern w:val="0"/>
                <w:sz w:val="18"/>
                <w:szCs w:val="18"/>
              </w:rPr>
              <w:t>ΔA</w:t>
            </w:r>
          </w:p>
        </w:tc>
        <w:tc>
          <w:tcPr>
            <w:tcW w:w="641" w:type="pct"/>
            <w:noWrap w:val="0"/>
            <w:vAlign w:val="center"/>
          </w:tcPr>
          <w:p w14:paraId="3A10626B">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0.423</w:t>
            </w:r>
          </w:p>
        </w:tc>
        <w:tc>
          <w:tcPr>
            <w:tcW w:w="643" w:type="pct"/>
            <w:noWrap w:val="0"/>
            <w:vAlign w:val="center"/>
          </w:tcPr>
          <w:p w14:paraId="4565AE4F">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0.428</w:t>
            </w:r>
          </w:p>
        </w:tc>
        <w:tc>
          <w:tcPr>
            <w:tcW w:w="641" w:type="pct"/>
            <w:noWrap w:val="0"/>
            <w:vAlign w:val="center"/>
          </w:tcPr>
          <w:p w14:paraId="4DF7B9E4">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0.458</w:t>
            </w:r>
          </w:p>
        </w:tc>
        <w:tc>
          <w:tcPr>
            <w:tcW w:w="671" w:type="pct"/>
            <w:noWrap w:val="0"/>
            <w:vAlign w:val="center"/>
          </w:tcPr>
          <w:p w14:paraId="44C404A2">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0.458</w:t>
            </w:r>
          </w:p>
        </w:tc>
        <w:tc>
          <w:tcPr>
            <w:tcW w:w="671" w:type="pct"/>
            <w:noWrap w:val="0"/>
            <w:vAlign w:val="center"/>
          </w:tcPr>
          <w:p w14:paraId="15AD4D45">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0.457</w:t>
            </w:r>
          </w:p>
        </w:tc>
        <w:tc>
          <w:tcPr>
            <w:tcW w:w="671" w:type="pct"/>
            <w:noWrap w:val="0"/>
            <w:vAlign w:val="center"/>
          </w:tcPr>
          <w:p w14:paraId="6237F1C3">
            <w:pPr>
              <w:pStyle w:val="8"/>
              <w:adjustRightInd w:val="0"/>
              <w:snapToGrid w:val="0"/>
              <w:spacing w:line="240" w:lineRule="auto"/>
              <w:ind w:firstLine="0" w:firstLineChars="0"/>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0.458</w:t>
            </w:r>
          </w:p>
        </w:tc>
      </w:tr>
    </w:tbl>
    <w:p w14:paraId="255B1E7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 w:val="21"/>
          <w:szCs w:val="21"/>
          <w:lang w:val="en-US" w:eastAsia="zh-CN"/>
        </w:rPr>
      </w:pPr>
    </w:p>
    <w:p w14:paraId="01BDB4C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lang w:val="en-US" w:eastAsia="zh-CN"/>
        </w:rPr>
        <w:t>2.1.1.2.2</w:t>
      </w:r>
      <w:r>
        <w:rPr>
          <w:rFonts w:hint="eastAsia" w:ascii="Times New Roman" w:hAnsi="Times New Roman" w:cs="Times New Roman"/>
          <w:b w:val="0"/>
          <w:bCs/>
          <w:sz w:val="21"/>
          <w:szCs w:val="21"/>
          <w:lang w:val="en-US" w:eastAsia="zh-CN"/>
        </w:rPr>
        <w:t>.7 显色剂的用量实验</w:t>
      </w:r>
    </w:p>
    <w:p w14:paraId="5E222CE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分别移取50 µg/mL五氧化二磷标准溶液2.00 mL于100 mL容量瓶中，按显色操作方法制备显色溶液，考察钼酸铵用量对吸光度的影响，结果见表8，由表8可知，随着钼酸铵加入量增加，吸光度逐渐增大，并趋于稳定，但继续增加钼酸铵的用量后，吸光度又增加，所以本实验综合考虑钼酸铵的存放、溶液的体积、经济效果、显色稳定性、方法灵敏度等综合因素，选择钼酸铵（25g/L）加入量10mL。</w:t>
      </w:r>
    </w:p>
    <w:p w14:paraId="22A5B929">
      <w:pPr>
        <w:spacing w:line="240" w:lineRule="auto"/>
        <w:jc w:val="center"/>
        <w:rPr>
          <w:rFonts w:hint="default" w:ascii="Times New Roman" w:hAnsi="Times New Roman" w:eastAsia="宋体" w:cs="Times New Roman"/>
          <w:bCs/>
          <w:sz w:val="18"/>
          <w:szCs w:val="18"/>
        </w:rPr>
      </w:pPr>
      <w:r>
        <w:rPr>
          <w:rFonts w:hint="eastAsia" w:ascii="黑体" w:hAnsi="黑体" w:eastAsia="黑体" w:cs="黑体"/>
          <w:bCs/>
          <w:sz w:val="18"/>
          <w:szCs w:val="18"/>
        </w:rPr>
        <w:t>表</w:t>
      </w:r>
      <w:r>
        <w:rPr>
          <w:rFonts w:hint="eastAsia" w:ascii="黑体" w:hAnsi="黑体" w:eastAsia="黑体" w:cs="黑体"/>
          <w:bCs/>
          <w:sz w:val="18"/>
          <w:szCs w:val="18"/>
          <w:lang w:val="en-US" w:eastAsia="zh-CN"/>
        </w:rPr>
        <w:t>11</w:t>
      </w:r>
      <w:r>
        <w:rPr>
          <w:rFonts w:hint="eastAsia" w:ascii="黑体" w:hAnsi="黑体" w:eastAsia="黑体" w:cs="黑体"/>
          <w:bCs/>
          <w:sz w:val="18"/>
          <w:szCs w:val="18"/>
        </w:rPr>
        <w:t xml:space="preserve"> 钼酸铵用量试验结果</w:t>
      </w:r>
    </w:p>
    <w:tbl>
      <w:tblPr>
        <w:tblStyle w:val="4"/>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799"/>
        <w:gridCol w:w="1883"/>
        <w:gridCol w:w="1909"/>
        <w:gridCol w:w="1875"/>
      </w:tblGrid>
      <w:tr w14:paraId="3EA8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noWrap w:val="0"/>
            <w:vAlign w:val="center"/>
          </w:tcPr>
          <w:p w14:paraId="39879543">
            <w:pPr>
              <w:spacing w:line="240" w:lineRule="auto"/>
              <w:jc w:val="center"/>
              <w:rPr>
                <w:rFonts w:hint="default" w:ascii="Times New Roman" w:hAnsi="Times New Roman" w:eastAsia="宋体" w:cs="Times New Roman"/>
                <w:i/>
                <w:iCs/>
                <w:sz w:val="18"/>
                <w:szCs w:val="18"/>
              </w:rPr>
            </w:pPr>
            <w:r>
              <w:rPr>
                <w:rFonts w:hint="default" w:ascii="Times New Roman" w:hAnsi="Times New Roman" w:eastAsia="宋体" w:cs="Times New Roman"/>
                <w:i/>
                <w:iCs/>
                <w:sz w:val="18"/>
                <w:szCs w:val="18"/>
              </w:rPr>
              <w:t>V</w:t>
            </w:r>
            <w:r>
              <w:rPr>
                <w:rFonts w:hint="default" w:ascii="Times New Roman" w:hAnsi="Times New Roman" w:eastAsia="宋体" w:cs="Times New Roman"/>
                <w:i/>
                <w:iCs/>
                <w:sz w:val="18"/>
                <w:szCs w:val="18"/>
                <w:vertAlign w:val="subscript"/>
              </w:rPr>
              <w:t>钼酸铵</w:t>
            </w:r>
            <w:r>
              <w:rPr>
                <w:rFonts w:hint="default" w:ascii="Times New Roman" w:hAnsi="Times New Roman" w:eastAsia="宋体" w:cs="Times New Roman"/>
                <w:bCs/>
                <w:sz w:val="18"/>
                <w:szCs w:val="18"/>
              </w:rPr>
              <w:t>／</w:t>
            </w:r>
            <w:r>
              <w:rPr>
                <w:rFonts w:hint="default" w:ascii="Times New Roman" w:hAnsi="Times New Roman" w:eastAsia="宋体" w:cs="Times New Roman"/>
                <w:sz w:val="18"/>
                <w:szCs w:val="18"/>
              </w:rPr>
              <w:t>mL</w:t>
            </w:r>
          </w:p>
        </w:tc>
        <w:tc>
          <w:tcPr>
            <w:tcW w:w="1047" w:type="pct"/>
            <w:noWrap w:val="0"/>
            <w:vAlign w:val="center"/>
          </w:tcPr>
          <w:p w14:paraId="1665397E">
            <w:pPr>
              <w:spacing w:line="240" w:lineRule="auto"/>
              <w:jc w:val="center"/>
              <w:rPr>
                <w:rFonts w:hint="default" w:ascii="Times New Roman" w:hAnsi="Times New Roman" w:eastAsia="宋体" w:cs="Times New Roman"/>
                <w:bCs/>
                <w:sz w:val="18"/>
                <w:szCs w:val="18"/>
                <w:lang w:eastAsia="zh-CN"/>
              </w:rPr>
            </w:pPr>
            <w:r>
              <w:rPr>
                <w:rFonts w:hint="default" w:ascii="Times New Roman" w:hAnsi="Times New Roman" w:eastAsia="宋体" w:cs="Times New Roman"/>
                <w:i/>
                <w:iCs/>
                <w:snapToGrid w:val="0"/>
                <w:kern w:val="0"/>
                <w:sz w:val="18"/>
                <w:szCs w:val="18"/>
              </w:rPr>
              <w:t>ΔA</w:t>
            </w:r>
            <w:r>
              <w:rPr>
                <w:rFonts w:hint="default" w:ascii="Times New Roman" w:hAnsi="Times New Roman" w:eastAsia="宋体" w:cs="Times New Roman"/>
                <w:i/>
                <w:iCs/>
                <w:snapToGrid w:val="0"/>
                <w:kern w:val="0"/>
                <w:sz w:val="18"/>
                <w:szCs w:val="18"/>
                <w:lang w:eastAsia="zh-CN"/>
              </w:rPr>
              <w:t>（</w:t>
            </w:r>
            <w:r>
              <w:rPr>
                <w:rFonts w:hint="default" w:ascii="Times New Roman" w:hAnsi="Times New Roman" w:eastAsia="宋体" w:cs="Times New Roman"/>
                <w:i/>
                <w:iCs/>
                <w:sz w:val="18"/>
                <w:szCs w:val="18"/>
                <w:vertAlign w:val="baseline"/>
              </w:rPr>
              <w:t>钼酸铵</w:t>
            </w:r>
            <w:r>
              <w:rPr>
                <w:rFonts w:hint="default" w:ascii="Times New Roman" w:hAnsi="Times New Roman" w:eastAsia="宋体" w:cs="Times New Roman"/>
                <w:bCs/>
                <w:sz w:val="18"/>
                <w:szCs w:val="18"/>
                <w:lang w:val="en-US" w:eastAsia="zh-CN"/>
              </w:rPr>
              <w:t>/</w:t>
            </w:r>
            <w:r>
              <w:rPr>
                <w:rFonts w:hint="default" w:ascii="Times New Roman" w:hAnsi="Times New Roman" w:eastAsia="宋体" w:cs="Times New Roman"/>
                <w:bCs/>
                <w:sz w:val="18"/>
                <w:szCs w:val="18"/>
              </w:rPr>
              <w:t>1</w:t>
            </w:r>
            <w:r>
              <w:rPr>
                <w:rFonts w:hint="default" w:ascii="Times New Roman" w:hAnsi="Times New Roman" w:eastAsia="宋体" w:cs="Times New Roman"/>
                <w:bCs/>
                <w:sz w:val="18"/>
                <w:szCs w:val="18"/>
                <w:lang w:val="en-US" w:eastAsia="zh-CN"/>
              </w:rPr>
              <w:t>5</w:t>
            </w:r>
            <w:r>
              <w:rPr>
                <w:rFonts w:hint="default" w:ascii="Times New Roman" w:hAnsi="Times New Roman" w:eastAsia="宋体" w:cs="Times New Roman"/>
                <w:bCs/>
                <w:sz w:val="18"/>
                <w:szCs w:val="18"/>
              </w:rPr>
              <w:t>g/L</w:t>
            </w:r>
            <w:r>
              <w:rPr>
                <w:rFonts w:hint="default" w:ascii="Times New Roman" w:hAnsi="Times New Roman" w:eastAsia="宋体" w:cs="Times New Roman"/>
                <w:bCs/>
                <w:sz w:val="18"/>
                <w:szCs w:val="18"/>
                <w:lang w:eastAsia="zh-CN"/>
              </w:rPr>
              <w:t>）</w:t>
            </w:r>
          </w:p>
        </w:tc>
        <w:tc>
          <w:tcPr>
            <w:tcW w:w="1096" w:type="pct"/>
            <w:noWrap w:val="0"/>
            <w:vAlign w:val="center"/>
          </w:tcPr>
          <w:p w14:paraId="21AB0051">
            <w:pPr>
              <w:spacing w:line="240" w:lineRule="auto"/>
              <w:jc w:val="center"/>
              <w:rPr>
                <w:rFonts w:hint="default" w:ascii="Times New Roman" w:hAnsi="Times New Roman" w:eastAsia="宋体" w:cs="Times New Roman"/>
                <w:bCs/>
                <w:sz w:val="18"/>
                <w:szCs w:val="18"/>
                <w:lang w:eastAsia="zh-CN"/>
              </w:rPr>
            </w:pPr>
            <w:r>
              <w:rPr>
                <w:rFonts w:hint="default" w:ascii="Times New Roman" w:hAnsi="Times New Roman" w:eastAsia="宋体" w:cs="Times New Roman"/>
                <w:i/>
                <w:iCs/>
                <w:snapToGrid w:val="0"/>
                <w:kern w:val="0"/>
                <w:sz w:val="18"/>
                <w:szCs w:val="18"/>
              </w:rPr>
              <w:t>ΔA</w:t>
            </w:r>
            <w:r>
              <w:rPr>
                <w:rFonts w:hint="default" w:ascii="Times New Roman" w:hAnsi="Times New Roman" w:eastAsia="宋体" w:cs="Times New Roman"/>
                <w:i/>
                <w:iCs/>
                <w:snapToGrid w:val="0"/>
                <w:kern w:val="0"/>
                <w:sz w:val="18"/>
                <w:szCs w:val="18"/>
                <w:lang w:eastAsia="zh-CN"/>
              </w:rPr>
              <w:t>（</w:t>
            </w:r>
            <w:r>
              <w:rPr>
                <w:rFonts w:hint="default" w:ascii="Times New Roman" w:hAnsi="Times New Roman" w:eastAsia="宋体" w:cs="Times New Roman"/>
                <w:i/>
                <w:iCs/>
                <w:sz w:val="18"/>
                <w:szCs w:val="18"/>
                <w:vertAlign w:val="baseline"/>
              </w:rPr>
              <w:t>钼酸铵</w:t>
            </w:r>
            <w:r>
              <w:rPr>
                <w:rFonts w:hint="default" w:ascii="Times New Roman" w:hAnsi="Times New Roman" w:eastAsia="宋体" w:cs="Times New Roman"/>
                <w:bCs/>
                <w:sz w:val="18"/>
                <w:szCs w:val="18"/>
                <w:lang w:val="en-US" w:eastAsia="zh-CN"/>
              </w:rPr>
              <w:t>/25</w:t>
            </w:r>
            <w:r>
              <w:rPr>
                <w:rFonts w:hint="default" w:ascii="Times New Roman" w:hAnsi="Times New Roman" w:eastAsia="宋体" w:cs="Times New Roman"/>
                <w:bCs/>
                <w:sz w:val="18"/>
                <w:szCs w:val="18"/>
              </w:rPr>
              <w:t>g/L</w:t>
            </w:r>
            <w:r>
              <w:rPr>
                <w:rFonts w:hint="default" w:ascii="Times New Roman" w:hAnsi="Times New Roman" w:eastAsia="宋体" w:cs="Times New Roman"/>
                <w:bCs/>
                <w:sz w:val="18"/>
                <w:szCs w:val="18"/>
                <w:lang w:eastAsia="zh-CN"/>
              </w:rPr>
              <w:t>）</w:t>
            </w:r>
          </w:p>
        </w:tc>
        <w:tc>
          <w:tcPr>
            <w:tcW w:w="1111" w:type="pct"/>
            <w:noWrap w:val="0"/>
            <w:vAlign w:val="center"/>
          </w:tcPr>
          <w:p w14:paraId="379A07E1">
            <w:pPr>
              <w:spacing w:line="240" w:lineRule="auto"/>
              <w:jc w:val="center"/>
              <w:rPr>
                <w:rFonts w:hint="default" w:ascii="Times New Roman" w:hAnsi="Times New Roman" w:eastAsia="宋体" w:cs="Times New Roman"/>
                <w:bCs/>
                <w:sz w:val="18"/>
                <w:szCs w:val="18"/>
                <w:lang w:eastAsia="zh-CN"/>
              </w:rPr>
            </w:pPr>
            <w:r>
              <w:rPr>
                <w:rFonts w:hint="default" w:ascii="Times New Roman" w:hAnsi="Times New Roman" w:eastAsia="宋体" w:cs="Times New Roman"/>
                <w:i/>
                <w:iCs/>
                <w:snapToGrid w:val="0"/>
                <w:kern w:val="0"/>
                <w:sz w:val="18"/>
                <w:szCs w:val="18"/>
              </w:rPr>
              <w:t>ΔA</w:t>
            </w:r>
            <w:r>
              <w:rPr>
                <w:rFonts w:hint="default" w:ascii="Times New Roman" w:hAnsi="Times New Roman" w:eastAsia="宋体" w:cs="Times New Roman"/>
                <w:i/>
                <w:iCs/>
                <w:snapToGrid w:val="0"/>
                <w:kern w:val="0"/>
                <w:sz w:val="18"/>
                <w:szCs w:val="18"/>
                <w:lang w:eastAsia="zh-CN"/>
              </w:rPr>
              <w:t>（</w:t>
            </w:r>
            <w:r>
              <w:rPr>
                <w:rFonts w:hint="default" w:ascii="Times New Roman" w:hAnsi="Times New Roman" w:eastAsia="宋体" w:cs="Times New Roman"/>
                <w:i/>
                <w:iCs/>
                <w:sz w:val="18"/>
                <w:szCs w:val="18"/>
                <w:vertAlign w:val="baseline"/>
              </w:rPr>
              <w:t>钼酸铵</w:t>
            </w:r>
            <w:r>
              <w:rPr>
                <w:rFonts w:hint="default" w:ascii="Times New Roman" w:hAnsi="Times New Roman" w:eastAsia="宋体" w:cs="Times New Roman"/>
                <w:bCs/>
                <w:sz w:val="18"/>
                <w:szCs w:val="18"/>
                <w:lang w:val="en-US" w:eastAsia="zh-CN"/>
              </w:rPr>
              <w:t>/35</w:t>
            </w:r>
            <w:r>
              <w:rPr>
                <w:rFonts w:hint="default" w:ascii="Times New Roman" w:hAnsi="Times New Roman" w:eastAsia="宋体" w:cs="Times New Roman"/>
                <w:bCs/>
                <w:sz w:val="18"/>
                <w:szCs w:val="18"/>
              </w:rPr>
              <w:t>g/L</w:t>
            </w:r>
            <w:r>
              <w:rPr>
                <w:rFonts w:hint="default" w:ascii="Times New Roman" w:hAnsi="Times New Roman" w:eastAsia="宋体" w:cs="Times New Roman"/>
                <w:bCs/>
                <w:sz w:val="18"/>
                <w:szCs w:val="18"/>
                <w:lang w:eastAsia="zh-CN"/>
              </w:rPr>
              <w:t>）</w:t>
            </w:r>
          </w:p>
        </w:tc>
        <w:tc>
          <w:tcPr>
            <w:tcW w:w="1091" w:type="pct"/>
            <w:noWrap w:val="0"/>
            <w:vAlign w:val="center"/>
          </w:tcPr>
          <w:p w14:paraId="70D76C65">
            <w:pPr>
              <w:spacing w:line="240" w:lineRule="auto"/>
              <w:jc w:val="center"/>
              <w:rPr>
                <w:rFonts w:hint="default" w:ascii="Times New Roman" w:hAnsi="Times New Roman" w:eastAsia="宋体" w:cs="Times New Roman"/>
                <w:bCs/>
                <w:sz w:val="18"/>
                <w:szCs w:val="18"/>
                <w:lang w:eastAsia="zh-CN"/>
              </w:rPr>
            </w:pPr>
            <w:r>
              <w:rPr>
                <w:rFonts w:hint="default" w:ascii="Times New Roman" w:hAnsi="Times New Roman" w:eastAsia="宋体" w:cs="Times New Roman"/>
                <w:i/>
                <w:iCs/>
                <w:snapToGrid w:val="0"/>
                <w:kern w:val="0"/>
                <w:sz w:val="18"/>
                <w:szCs w:val="18"/>
              </w:rPr>
              <w:t>ΔA</w:t>
            </w:r>
            <w:r>
              <w:rPr>
                <w:rFonts w:hint="default" w:ascii="Times New Roman" w:hAnsi="Times New Roman" w:eastAsia="宋体" w:cs="Times New Roman"/>
                <w:i/>
                <w:iCs/>
                <w:snapToGrid w:val="0"/>
                <w:kern w:val="0"/>
                <w:sz w:val="18"/>
                <w:szCs w:val="18"/>
                <w:lang w:eastAsia="zh-CN"/>
              </w:rPr>
              <w:t>（</w:t>
            </w:r>
            <w:r>
              <w:rPr>
                <w:rFonts w:hint="default" w:ascii="Times New Roman" w:hAnsi="Times New Roman" w:eastAsia="宋体" w:cs="Times New Roman"/>
                <w:i/>
                <w:iCs/>
                <w:sz w:val="18"/>
                <w:szCs w:val="18"/>
                <w:vertAlign w:val="baseline"/>
              </w:rPr>
              <w:t>钼酸铵</w:t>
            </w:r>
            <w:r>
              <w:rPr>
                <w:rFonts w:hint="default" w:ascii="Times New Roman" w:hAnsi="Times New Roman" w:eastAsia="宋体" w:cs="Times New Roman"/>
                <w:i/>
                <w:iCs/>
                <w:sz w:val="18"/>
                <w:szCs w:val="18"/>
                <w:vertAlign w:val="baseline"/>
                <w:lang w:val="en-US" w:eastAsia="zh-CN"/>
              </w:rPr>
              <w:t>/</w:t>
            </w:r>
            <w:r>
              <w:rPr>
                <w:rFonts w:hint="default" w:ascii="Times New Roman" w:hAnsi="Times New Roman" w:eastAsia="宋体" w:cs="Times New Roman"/>
                <w:bCs/>
                <w:sz w:val="18"/>
                <w:szCs w:val="18"/>
                <w:lang w:val="en-US" w:eastAsia="zh-CN"/>
              </w:rPr>
              <w:t>50</w:t>
            </w:r>
            <w:r>
              <w:rPr>
                <w:rFonts w:hint="default" w:ascii="Times New Roman" w:hAnsi="Times New Roman" w:eastAsia="宋体" w:cs="Times New Roman"/>
                <w:bCs/>
                <w:sz w:val="18"/>
                <w:szCs w:val="18"/>
              </w:rPr>
              <w:t>g/L</w:t>
            </w:r>
            <w:r>
              <w:rPr>
                <w:rFonts w:hint="default" w:ascii="Times New Roman" w:hAnsi="Times New Roman" w:eastAsia="宋体" w:cs="Times New Roman"/>
                <w:bCs/>
                <w:sz w:val="18"/>
                <w:szCs w:val="18"/>
                <w:lang w:eastAsia="zh-CN"/>
              </w:rPr>
              <w:t>）</w:t>
            </w:r>
          </w:p>
        </w:tc>
      </w:tr>
      <w:tr w14:paraId="659B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noWrap w:val="0"/>
            <w:vAlign w:val="center"/>
          </w:tcPr>
          <w:p w14:paraId="580298A0">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1.00</w:t>
            </w:r>
          </w:p>
        </w:tc>
        <w:tc>
          <w:tcPr>
            <w:tcW w:w="1047" w:type="pct"/>
            <w:noWrap w:val="0"/>
            <w:vAlign w:val="center"/>
          </w:tcPr>
          <w:p w14:paraId="60C457B0">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0.003  </w:t>
            </w:r>
          </w:p>
        </w:tc>
        <w:tc>
          <w:tcPr>
            <w:tcW w:w="1096" w:type="pct"/>
            <w:noWrap w:val="0"/>
            <w:vAlign w:val="center"/>
          </w:tcPr>
          <w:p w14:paraId="6BAAAF89">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0.007 </w:t>
            </w:r>
          </w:p>
        </w:tc>
        <w:tc>
          <w:tcPr>
            <w:tcW w:w="1111" w:type="pct"/>
            <w:noWrap w:val="0"/>
            <w:vAlign w:val="center"/>
          </w:tcPr>
          <w:p w14:paraId="53BAEE58">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0.024 </w:t>
            </w:r>
            <w:r>
              <w:rPr>
                <w:rFonts w:hint="default" w:ascii="Times New Roman" w:hAnsi="Times New Roman" w:eastAsia="宋体" w:cs="Times New Roman"/>
                <w:bCs/>
                <w:color w:val="FF0000"/>
                <w:sz w:val="18"/>
                <w:szCs w:val="18"/>
                <w:lang w:val="en-US" w:eastAsia="zh-CN"/>
              </w:rPr>
              <w:t xml:space="preserve"> </w:t>
            </w:r>
          </w:p>
        </w:tc>
        <w:tc>
          <w:tcPr>
            <w:tcW w:w="1091" w:type="pct"/>
            <w:noWrap w:val="0"/>
            <w:vAlign w:val="center"/>
          </w:tcPr>
          <w:p w14:paraId="12935ABC">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0.030 </w:t>
            </w:r>
            <w:r>
              <w:rPr>
                <w:rFonts w:hint="default" w:ascii="Times New Roman" w:hAnsi="Times New Roman" w:eastAsia="宋体" w:cs="Times New Roman"/>
                <w:bCs/>
                <w:color w:val="FF0000"/>
                <w:sz w:val="18"/>
                <w:szCs w:val="18"/>
                <w:lang w:val="en-US" w:eastAsia="zh-CN"/>
              </w:rPr>
              <w:t xml:space="preserve"> </w:t>
            </w:r>
          </w:p>
        </w:tc>
      </w:tr>
      <w:tr w14:paraId="6AB9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noWrap w:val="0"/>
            <w:vAlign w:val="center"/>
          </w:tcPr>
          <w:p w14:paraId="6B4D7413">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2.00</w:t>
            </w:r>
          </w:p>
        </w:tc>
        <w:tc>
          <w:tcPr>
            <w:tcW w:w="1047" w:type="pct"/>
            <w:noWrap w:val="0"/>
            <w:vAlign w:val="center"/>
          </w:tcPr>
          <w:p w14:paraId="0D234313">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0.019  </w:t>
            </w:r>
          </w:p>
        </w:tc>
        <w:tc>
          <w:tcPr>
            <w:tcW w:w="1096" w:type="pct"/>
            <w:noWrap w:val="0"/>
            <w:vAlign w:val="center"/>
          </w:tcPr>
          <w:p w14:paraId="6DDEB76C">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0.028  </w:t>
            </w:r>
          </w:p>
        </w:tc>
        <w:tc>
          <w:tcPr>
            <w:tcW w:w="1111" w:type="pct"/>
            <w:noWrap w:val="0"/>
            <w:vAlign w:val="center"/>
          </w:tcPr>
          <w:p w14:paraId="5D1B37C5">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0.066  </w:t>
            </w:r>
          </w:p>
        </w:tc>
        <w:tc>
          <w:tcPr>
            <w:tcW w:w="1091" w:type="pct"/>
            <w:noWrap w:val="0"/>
            <w:vAlign w:val="center"/>
          </w:tcPr>
          <w:p w14:paraId="4A30F9C7">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0.249  </w:t>
            </w:r>
          </w:p>
        </w:tc>
      </w:tr>
      <w:tr w14:paraId="7257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noWrap w:val="0"/>
            <w:vAlign w:val="center"/>
          </w:tcPr>
          <w:p w14:paraId="44417A1E">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4.00</w:t>
            </w:r>
          </w:p>
        </w:tc>
        <w:tc>
          <w:tcPr>
            <w:tcW w:w="1047" w:type="pct"/>
            <w:noWrap w:val="0"/>
            <w:vAlign w:val="center"/>
          </w:tcPr>
          <w:p w14:paraId="712F3367">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0.060  </w:t>
            </w:r>
          </w:p>
        </w:tc>
        <w:tc>
          <w:tcPr>
            <w:tcW w:w="1096" w:type="pct"/>
            <w:noWrap w:val="0"/>
            <w:vAlign w:val="center"/>
          </w:tcPr>
          <w:p w14:paraId="0ECB85A8">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0.246  </w:t>
            </w:r>
            <w:r>
              <w:rPr>
                <w:rFonts w:hint="default" w:ascii="Times New Roman" w:hAnsi="Times New Roman" w:eastAsia="宋体" w:cs="Times New Roman"/>
                <w:bCs/>
                <w:color w:val="FF0000"/>
                <w:sz w:val="18"/>
                <w:szCs w:val="18"/>
                <w:lang w:val="en-US" w:eastAsia="zh-CN"/>
              </w:rPr>
              <w:t xml:space="preserve"> </w:t>
            </w:r>
          </w:p>
        </w:tc>
        <w:tc>
          <w:tcPr>
            <w:tcW w:w="1111" w:type="pct"/>
            <w:noWrap w:val="0"/>
            <w:vAlign w:val="center"/>
          </w:tcPr>
          <w:p w14:paraId="71B5A11C">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0.422 </w:t>
            </w:r>
          </w:p>
        </w:tc>
        <w:tc>
          <w:tcPr>
            <w:tcW w:w="1091" w:type="pct"/>
            <w:noWrap w:val="0"/>
            <w:vAlign w:val="center"/>
          </w:tcPr>
          <w:p w14:paraId="13623AA3">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0.458  </w:t>
            </w:r>
          </w:p>
        </w:tc>
      </w:tr>
      <w:tr w14:paraId="32D3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noWrap w:val="0"/>
            <w:vAlign w:val="center"/>
          </w:tcPr>
          <w:p w14:paraId="6003526E">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5.00</w:t>
            </w:r>
          </w:p>
        </w:tc>
        <w:tc>
          <w:tcPr>
            <w:tcW w:w="1047" w:type="pct"/>
            <w:noWrap w:val="0"/>
            <w:vAlign w:val="center"/>
          </w:tcPr>
          <w:p w14:paraId="6DC8A676">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0.076 </w:t>
            </w:r>
            <w:r>
              <w:rPr>
                <w:rFonts w:hint="default" w:ascii="Times New Roman" w:hAnsi="Times New Roman" w:eastAsia="宋体" w:cs="Times New Roman"/>
                <w:bCs/>
                <w:color w:val="FF0000"/>
                <w:sz w:val="18"/>
                <w:szCs w:val="18"/>
                <w:lang w:val="en-US" w:eastAsia="zh-CN"/>
              </w:rPr>
              <w:t xml:space="preserve"> </w:t>
            </w:r>
          </w:p>
        </w:tc>
        <w:tc>
          <w:tcPr>
            <w:tcW w:w="1096" w:type="pct"/>
            <w:noWrap w:val="0"/>
            <w:vAlign w:val="center"/>
          </w:tcPr>
          <w:p w14:paraId="78F38701">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0.415 </w:t>
            </w:r>
            <w:r>
              <w:rPr>
                <w:rFonts w:hint="default" w:ascii="Times New Roman" w:hAnsi="Times New Roman" w:eastAsia="宋体" w:cs="Times New Roman"/>
                <w:bCs/>
                <w:color w:val="FF0000"/>
                <w:sz w:val="18"/>
                <w:szCs w:val="18"/>
                <w:lang w:val="en-US" w:eastAsia="zh-CN"/>
              </w:rPr>
              <w:t xml:space="preserve"> </w:t>
            </w:r>
          </w:p>
        </w:tc>
        <w:tc>
          <w:tcPr>
            <w:tcW w:w="1111" w:type="pct"/>
            <w:noWrap w:val="0"/>
            <w:vAlign w:val="center"/>
          </w:tcPr>
          <w:p w14:paraId="59A195B1">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0.450  </w:t>
            </w:r>
          </w:p>
        </w:tc>
        <w:tc>
          <w:tcPr>
            <w:tcW w:w="1091" w:type="pct"/>
            <w:noWrap w:val="0"/>
            <w:vAlign w:val="center"/>
          </w:tcPr>
          <w:p w14:paraId="7A659B06">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0.458  </w:t>
            </w:r>
          </w:p>
        </w:tc>
      </w:tr>
      <w:tr w14:paraId="7E87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noWrap w:val="0"/>
            <w:vAlign w:val="center"/>
          </w:tcPr>
          <w:p w14:paraId="3C0D66DD">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8.00</w:t>
            </w:r>
          </w:p>
        </w:tc>
        <w:tc>
          <w:tcPr>
            <w:tcW w:w="1047" w:type="pct"/>
            <w:noWrap w:val="0"/>
            <w:vAlign w:val="center"/>
          </w:tcPr>
          <w:p w14:paraId="490BB103">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0.405 </w:t>
            </w:r>
            <w:r>
              <w:rPr>
                <w:rFonts w:hint="default" w:ascii="Times New Roman" w:hAnsi="Times New Roman" w:eastAsia="宋体" w:cs="Times New Roman"/>
                <w:bCs/>
                <w:color w:val="FF0000"/>
                <w:sz w:val="18"/>
                <w:szCs w:val="18"/>
                <w:lang w:val="en-US" w:eastAsia="zh-CN"/>
              </w:rPr>
              <w:t xml:space="preserve"> </w:t>
            </w:r>
          </w:p>
        </w:tc>
        <w:tc>
          <w:tcPr>
            <w:tcW w:w="1096" w:type="pct"/>
            <w:noWrap w:val="0"/>
            <w:vAlign w:val="center"/>
          </w:tcPr>
          <w:p w14:paraId="6D070F7C">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0.458  </w:t>
            </w:r>
          </w:p>
        </w:tc>
        <w:tc>
          <w:tcPr>
            <w:tcW w:w="1111" w:type="pct"/>
            <w:noWrap w:val="0"/>
            <w:vAlign w:val="center"/>
          </w:tcPr>
          <w:p w14:paraId="1B04268C">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0.458  </w:t>
            </w:r>
          </w:p>
        </w:tc>
        <w:tc>
          <w:tcPr>
            <w:tcW w:w="1091" w:type="pct"/>
            <w:noWrap w:val="0"/>
            <w:vAlign w:val="center"/>
          </w:tcPr>
          <w:p w14:paraId="209F55F0">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0.458  </w:t>
            </w:r>
          </w:p>
        </w:tc>
      </w:tr>
      <w:tr w14:paraId="7306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noWrap w:val="0"/>
            <w:vAlign w:val="center"/>
          </w:tcPr>
          <w:p w14:paraId="54EBA9A8">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10.00</w:t>
            </w:r>
          </w:p>
        </w:tc>
        <w:tc>
          <w:tcPr>
            <w:tcW w:w="1047" w:type="pct"/>
            <w:noWrap w:val="0"/>
            <w:vAlign w:val="center"/>
          </w:tcPr>
          <w:p w14:paraId="31B28460">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0.437  </w:t>
            </w:r>
          </w:p>
        </w:tc>
        <w:tc>
          <w:tcPr>
            <w:tcW w:w="1096" w:type="pct"/>
            <w:noWrap w:val="0"/>
            <w:vAlign w:val="center"/>
          </w:tcPr>
          <w:p w14:paraId="6141CDF4">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0.458  </w:t>
            </w:r>
          </w:p>
        </w:tc>
        <w:tc>
          <w:tcPr>
            <w:tcW w:w="1111" w:type="pct"/>
            <w:noWrap w:val="0"/>
            <w:vAlign w:val="center"/>
          </w:tcPr>
          <w:p w14:paraId="2D3F17A8">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0.458 </w:t>
            </w:r>
          </w:p>
        </w:tc>
        <w:tc>
          <w:tcPr>
            <w:tcW w:w="1091" w:type="pct"/>
            <w:noWrap w:val="0"/>
            <w:vAlign w:val="center"/>
          </w:tcPr>
          <w:p w14:paraId="47038F60">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0.462  </w:t>
            </w:r>
          </w:p>
        </w:tc>
      </w:tr>
      <w:tr w14:paraId="1143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noWrap w:val="0"/>
            <w:vAlign w:val="center"/>
          </w:tcPr>
          <w:p w14:paraId="2E0231A1">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15.00</w:t>
            </w:r>
          </w:p>
        </w:tc>
        <w:tc>
          <w:tcPr>
            <w:tcW w:w="1047" w:type="pct"/>
            <w:noWrap w:val="0"/>
            <w:vAlign w:val="center"/>
          </w:tcPr>
          <w:p w14:paraId="232AA166">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0.458  </w:t>
            </w:r>
          </w:p>
        </w:tc>
        <w:tc>
          <w:tcPr>
            <w:tcW w:w="1096" w:type="pct"/>
            <w:noWrap w:val="0"/>
            <w:vAlign w:val="center"/>
          </w:tcPr>
          <w:p w14:paraId="1C26DBCF">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0.457 </w:t>
            </w:r>
            <w:r>
              <w:rPr>
                <w:rFonts w:hint="default" w:ascii="Times New Roman" w:hAnsi="Times New Roman" w:eastAsia="宋体" w:cs="Times New Roman"/>
                <w:bCs/>
                <w:color w:val="FF0000"/>
                <w:sz w:val="18"/>
                <w:szCs w:val="18"/>
                <w:lang w:val="en-US" w:eastAsia="zh-CN"/>
              </w:rPr>
              <w:t xml:space="preserve"> </w:t>
            </w:r>
          </w:p>
        </w:tc>
        <w:tc>
          <w:tcPr>
            <w:tcW w:w="1111" w:type="pct"/>
            <w:noWrap w:val="0"/>
            <w:vAlign w:val="center"/>
          </w:tcPr>
          <w:p w14:paraId="1C9C99A9">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0.500  </w:t>
            </w:r>
          </w:p>
        </w:tc>
        <w:tc>
          <w:tcPr>
            <w:tcW w:w="1091" w:type="pct"/>
            <w:noWrap w:val="0"/>
            <w:vAlign w:val="center"/>
          </w:tcPr>
          <w:p w14:paraId="08FEF9B5">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0.805  </w:t>
            </w:r>
          </w:p>
        </w:tc>
      </w:tr>
      <w:tr w14:paraId="3B7B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pct"/>
            <w:noWrap w:val="0"/>
            <w:vAlign w:val="center"/>
          </w:tcPr>
          <w:p w14:paraId="71D49074">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20.00</w:t>
            </w:r>
          </w:p>
        </w:tc>
        <w:tc>
          <w:tcPr>
            <w:tcW w:w="1047" w:type="pct"/>
            <w:noWrap w:val="0"/>
            <w:vAlign w:val="center"/>
          </w:tcPr>
          <w:p w14:paraId="2FA5D30B">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0.458 </w:t>
            </w:r>
            <w:r>
              <w:rPr>
                <w:rFonts w:hint="default" w:ascii="Times New Roman" w:hAnsi="Times New Roman" w:eastAsia="宋体" w:cs="Times New Roman"/>
                <w:bCs/>
                <w:color w:val="FF0000"/>
                <w:sz w:val="18"/>
                <w:szCs w:val="18"/>
                <w:lang w:val="en-US" w:eastAsia="zh-CN"/>
              </w:rPr>
              <w:t xml:space="preserve"> </w:t>
            </w:r>
          </w:p>
        </w:tc>
        <w:tc>
          <w:tcPr>
            <w:tcW w:w="1096" w:type="pct"/>
            <w:noWrap w:val="0"/>
            <w:vAlign w:val="center"/>
          </w:tcPr>
          <w:p w14:paraId="587A9FD7">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0.463  </w:t>
            </w:r>
          </w:p>
        </w:tc>
        <w:tc>
          <w:tcPr>
            <w:tcW w:w="1111" w:type="pct"/>
            <w:noWrap w:val="0"/>
            <w:vAlign w:val="center"/>
          </w:tcPr>
          <w:p w14:paraId="7A67990B">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0.581  </w:t>
            </w:r>
          </w:p>
        </w:tc>
        <w:tc>
          <w:tcPr>
            <w:tcW w:w="1091" w:type="pct"/>
            <w:noWrap w:val="0"/>
            <w:vAlign w:val="center"/>
          </w:tcPr>
          <w:p w14:paraId="4D1B209A">
            <w:pPr>
              <w:spacing w:line="240" w:lineRule="auto"/>
              <w:jc w:val="center"/>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 xml:space="preserve">1.596  </w:t>
            </w:r>
          </w:p>
        </w:tc>
      </w:tr>
    </w:tbl>
    <w:p w14:paraId="15411F0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 w:val="21"/>
          <w:szCs w:val="21"/>
          <w:lang w:val="en-US" w:eastAsia="zh-CN"/>
        </w:rPr>
      </w:pPr>
    </w:p>
    <w:p w14:paraId="24CB9D3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2.1.1.2.3 共存元素干扰试验</w:t>
      </w:r>
    </w:p>
    <w:p w14:paraId="062319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lang w:val="en-US" w:eastAsia="zh-CN"/>
        </w:rPr>
        <w:t>按稀土产品化学成分指标，试验主要考察了硅、砷、铝、钙、铁、氟和钍对磷铋钼蓝光度法测定五氧化二磷量的影响。结果表明，在100 mL溶液中砷最大干扰量为200µg，硅、铝、钙、铁、氟、钍的最大干扰量为3000 µg，对100 µg五氧化二磷量的测定干扰相对误差小于1%，对显色反应影响较小，可忽略。</w:t>
      </w:r>
    </w:p>
    <w:p w14:paraId="5E3292A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2.1.1.2.4 测定下限</w:t>
      </w:r>
    </w:p>
    <w:p w14:paraId="54EC22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在选定的测定条件下，对250 mL定容的流程空白溶液，分取10.00 mL于100 mL容量瓶，分别移取1 µg/mL五氧化二磷标准溶液2 mL于上述11个100 mL容量瓶中，测定11次，并计算标准偏差，以其3倍对应浓度作为方法检出限，以其10倍对应浓度，结合称样量及分取倍数计算方法测定下限。</w:t>
      </w:r>
    </w:p>
    <w:p w14:paraId="20FB5B72">
      <w:pPr>
        <w:adjustRightInd w:val="0"/>
        <w:snapToGrid w:val="0"/>
        <w:spacing w:line="240" w:lineRule="auto"/>
        <w:ind w:firstLine="360" w:firstLineChars="200"/>
        <w:jc w:val="center"/>
        <w:rPr>
          <w:rFonts w:hint="default" w:ascii="Times New Roman" w:hAnsi="Times New Roman" w:eastAsia="宋体" w:cs="Times New Roman"/>
          <w:sz w:val="18"/>
          <w:szCs w:val="18"/>
        </w:rPr>
      </w:pPr>
      <w:r>
        <w:rPr>
          <w:rFonts w:hint="eastAsia" w:ascii="黑体" w:hAnsi="黑体" w:eastAsia="黑体" w:cs="黑体"/>
          <w:sz w:val="18"/>
          <w:szCs w:val="18"/>
        </w:rPr>
        <w:t>表</w:t>
      </w:r>
      <w:r>
        <w:rPr>
          <w:rFonts w:hint="eastAsia" w:ascii="黑体" w:hAnsi="黑体" w:eastAsia="黑体" w:cs="黑体"/>
          <w:sz w:val="18"/>
          <w:szCs w:val="18"/>
          <w:lang w:val="en-US" w:eastAsia="zh-CN"/>
        </w:rPr>
        <w:t>12</w:t>
      </w:r>
      <w:r>
        <w:rPr>
          <w:rFonts w:hint="eastAsia" w:ascii="黑体" w:hAnsi="黑体" w:eastAsia="黑体" w:cs="黑体"/>
          <w:sz w:val="18"/>
          <w:szCs w:val="18"/>
        </w:rPr>
        <w:t xml:space="preserve"> 方法检出限及测定下限</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1399"/>
        <w:gridCol w:w="1810"/>
        <w:gridCol w:w="1316"/>
        <w:gridCol w:w="1482"/>
      </w:tblGrid>
      <w:tr w14:paraId="570C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74" w:type="pct"/>
            <w:noWrap w:val="0"/>
            <w:vAlign w:val="center"/>
          </w:tcPr>
          <w:p w14:paraId="40329875">
            <w:pPr>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流程空白吸光度（A）</w:t>
            </w:r>
          </w:p>
        </w:tc>
        <w:tc>
          <w:tcPr>
            <w:tcW w:w="821" w:type="pct"/>
            <w:noWrap w:val="0"/>
            <w:vAlign w:val="center"/>
          </w:tcPr>
          <w:p w14:paraId="004243BA">
            <w:pPr>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标准偏差</w:t>
            </w:r>
          </w:p>
        </w:tc>
        <w:tc>
          <w:tcPr>
            <w:tcW w:w="1062" w:type="pct"/>
            <w:noWrap w:val="0"/>
            <w:vAlign w:val="center"/>
          </w:tcPr>
          <w:p w14:paraId="02E0A9C9">
            <w:pPr>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校准曲线斜率</w:t>
            </w:r>
          </w:p>
        </w:tc>
        <w:tc>
          <w:tcPr>
            <w:tcW w:w="772" w:type="pct"/>
            <w:noWrap w:val="0"/>
            <w:vAlign w:val="center"/>
          </w:tcPr>
          <w:p w14:paraId="34027C47">
            <w:pPr>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检出限%</w:t>
            </w:r>
          </w:p>
        </w:tc>
        <w:tc>
          <w:tcPr>
            <w:tcW w:w="869" w:type="pct"/>
            <w:noWrap w:val="0"/>
            <w:vAlign w:val="center"/>
          </w:tcPr>
          <w:p w14:paraId="7BD8D181">
            <w:pPr>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测定下限%</w:t>
            </w:r>
          </w:p>
        </w:tc>
      </w:tr>
      <w:tr w14:paraId="0312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474" w:type="pct"/>
            <w:noWrap w:val="0"/>
            <w:vAlign w:val="center"/>
          </w:tcPr>
          <w:p w14:paraId="4E7FD3CE">
            <w:pPr>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0.024、0.019、0.022、0.020、0.023、0.021、0.022、0.021、0.028、0.024、0.022</w:t>
            </w:r>
          </w:p>
        </w:tc>
        <w:tc>
          <w:tcPr>
            <w:tcW w:w="821" w:type="pct"/>
            <w:noWrap w:val="0"/>
            <w:vAlign w:val="center"/>
          </w:tcPr>
          <w:p w14:paraId="716A2269">
            <w:pPr>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kern w:val="0"/>
                <w:sz w:val="18"/>
                <w:szCs w:val="18"/>
              </w:rPr>
              <w:t>0.00242</w:t>
            </w:r>
          </w:p>
        </w:tc>
        <w:tc>
          <w:tcPr>
            <w:tcW w:w="1062" w:type="pct"/>
            <w:noWrap w:val="0"/>
            <w:vAlign w:val="center"/>
          </w:tcPr>
          <w:p w14:paraId="71F2773D">
            <w:pPr>
              <w:spacing w:line="240" w:lineRule="auto"/>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218.6653</w:t>
            </w:r>
          </w:p>
        </w:tc>
        <w:tc>
          <w:tcPr>
            <w:tcW w:w="772" w:type="pct"/>
            <w:noWrap w:val="0"/>
            <w:vAlign w:val="center"/>
          </w:tcPr>
          <w:p w14:paraId="0CD4C4D1">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rPr>
              <w:t>0.00</w:t>
            </w:r>
            <w:r>
              <w:rPr>
                <w:rFonts w:hint="default" w:ascii="Times New Roman" w:hAnsi="Times New Roman" w:eastAsia="宋体" w:cs="Times New Roman"/>
                <w:kern w:val="0"/>
                <w:sz w:val="18"/>
                <w:szCs w:val="18"/>
                <w:lang w:val="en-US" w:eastAsia="zh-CN"/>
              </w:rPr>
              <w:t>99</w:t>
            </w:r>
          </w:p>
        </w:tc>
        <w:tc>
          <w:tcPr>
            <w:tcW w:w="869" w:type="pct"/>
            <w:noWrap w:val="0"/>
            <w:vAlign w:val="center"/>
          </w:tcPr>
          <w:p w14:paraId="7F860769">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rPr>
              <w:t>0.0</w:t>
            </w:r>
            <w:r>
              <w:rPr>
                <w:rFonts w:hint="default" w:ascii="Times New Roman" w:hAnsi="Times New Roman" w:eastAsia="宋体" w:cs="Times New Roman"/>
                <w:kern w:val="0"/>
                <w:sz w:val="18"/>
                <w:szCs w:val="18"/>
                <w:lang w:val="en-US" w:eastAsia="zh-CN"/>
              </w:rPr>
              <w:t>33</w:t>
            </w:r>
          </w:p>
        </w:tc>
      </w:tr>
    </w:tbl>
    <w:p w14:paraId="3460A5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本方法根据铋磷钼蓝分光光度法测定五氧化二磷量的流程空白及工作曲线最低浓度，结合稀土精矿实际情况，综合考虑称样量、分取倍数、工作曲线等因素，确定方法测定下限为0.</w:t>
      </w:r>
      <w:r>
        <w:rPr>
          <w:rFonts w:hint="eastAsia" w:ascii="Times New Roman" w:hAnsi="Times New Roman" w:cs="Times New Roman"/>
          <w:lang w:val="en-US" w:eastAsia="zh-CN"/>
        </w:rPr>
        <w:t>10</w:t>
      </w:r>
      <w:r>
        <w:rPr>
          <w:rFonts w:hint="default" w:ascii="Times New Roman" w:hAnsi="Times New Roman" w:cs="Times New Roman"/>
          <w:lang w:val="en-US" w:eastAsia="zh-CN"/>
        </w:rPr>
        <w:t>%。</w:t>
      </w:r>
    </w:p>
    <w:p w14:paraId="4DCFE93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lang w:val="en-US" w:eastAsia="zh-CN"/>
        </w:rPr>
        <w:t xml:space="preserve">2.1.1.2.5 </w:t>
      </w:r>
      <w:r>
        <w:rPr>
          <w:rFonts w:hint="eastAsia" w:ascii="Times New Roman" w:hAnsi="Times New Roman" w:cs="Times New Roman"/>
          <w:szCs w:val="21"/>
          <w:lang w:val="en-US" w:eastAsia="zh-CN"/>
        </w:rPr>
        <w:t>正确度实验</w:t>
      </w:r>
    </w:p>
    <w:p w14:paraId="635D310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2.1.1.2.5.1 回收率</w:t>
      </w:r>
    </w:p>
    <w:p w14:paraId="7EB2C2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分别对1#、4#、5#统一样品，标准加入定量的稀土精矿标准样品（GSB04-3311-2016 8.64 %），合成固体样品，测定方法回收率。</w:t>
      </w:r>
    </w:p>
    <w:p w14:paraId="3FFC8C21">
      <w:pPr>
        <w:adjustRightInd w:val="0"/>
        <w:snapToGrid w:val="0"/>
        <w:spacing w:line="240" w:lineRule="auto"/>
        <w:jc w:val="center"/>
        <w:rPr>
          <w:rFonts w:hint="eastAsia" w:ascii="黑体" w:hAnsi="黑体" w:eastAsia="黑体" w:cs="黑体"/>
          <w:sz w:val="18"/>
          <w:szCs w:val="18"/>
        </w:rPr>
      </w:pPr>
      <w:r>
        <w:rPr>
          <w:rFonts w:hint="eastAsia" w:ascii="黑体" w:hAnsi="黑体" w:eastAsia="黑体" w:cs="黑体"/>
          <w:sz w:val="18"/>
          <w:szCs w:val="18"/>
        </w:rPr>
        <w:t>表1</w:t>
      </w:r>
      <w:r>
        <w:rPr>
          <w:rFonts w:hint="eastAsia" w:ascii="黑体" w:hAnsi="黑体" w:eastAsia="黑体" w:cs="黑体"/>
          <w:sz w:val="18"/>
          <w:szCs w:val="18"/>
          <w:lang w:val="en-US" w:eastAsia="zh-CN"/>
        </w:rPr>
        <w:t>3</w:t>
      </w:r>
      <w:r>
        <w:rPr>
          <w:rFonts w:hint="eastAsia" w:ascii="黑体" w:hAnsi="黑体" w:eastAsia="黑体" w:cs="黑体"/>
          <w:sz w:val="18"/>
          <w:szCs w:val="18"/>
        </w:rPr>
        <w:t xml:space="preserve"> 标加回收试验</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137"/>
        <w:gridCol w:w="1581"/>
        <w:gridCol w:w="1208"/>
        <w:gridCol w:w="1208"/>
        <w:gridCol w:w="1348"/>
        <w:gridCol w:w="1004"/>
      </w:tblGrid>
      <w:tr w14:paraId="417C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05" w:type="pct"/>
            <w:noWrap w:val="0"/>
            <w:vAlign w:val="center"/>
          </w:tcPr>
          <w:p w14:paraId="4E2E8149">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样品</w:t>
            </w:r>
          </w:p>
        </w:tc>
        <w:tc>
          <w:tcPr>
            <w:tcW w:w="667" w:type="pct"/>
            <w:noWrap w:val="0"/>
            <w:vAlign w:val="center"/>
          </w:tcPr>
          <w:p w14:paraId="1D7BA048">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称样量/g</w:t>
            </w:r>
          </w:p>
        </w:tc>
        <w:tc>
          <w:tcPr>
            <w:tcW w:w="928" w:type="pct"/>
            <w:noWrap w:val="0"/>
            <w:vAlign w:val="center"/>
          </w:tcPr>
          <w:p w14:paraId="5B35BF58">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标加稀土精矿标样量/g</w:t>
            </w:r>
          </w:p>
        </w:tc>
        <w:tc>
          <w:tcPr>
            <w:tcW w:w="709" w:type="pct"/>
            <w:noWrap w:val="0"/>
            <w:vAlign w:val="center"/>
          </w:tcPr>
          <w:p w14:paraId="7B04EACB">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含P</w:t>
            </w:r>
            <w:r>
              <w:rPr>
                <w:rFonts w:hint="default" w:ascii="Times New Roman" w:hAnsi="Times New Roman" w:eastAsia="宋体" w:cs="Times New Roman"/>
                <w:sz w:val="18"/>
                <w:szCs w:val="18"/>
                <w:vertAlign w:val="subscript"/>
              </w:rPr>
              <w:t>2</w:t>
            </w:r>
            <w:r>
              <w:rPr>
                <w:rFonts w:hint="default" w:ascii="Times New Roman" w:hAnsi="Times New Roman" w:eastAsia="宋体" w:cs="Times New Roman"/>
                <w:sz w:val="18"/>
                <w:szCs w:val="18"/>
              </w:rPr>
              <w:t>O</w:t>
            </w:r>
            <w:r>
              <w:rPr>
                <w:rFonts w:hint="default" w:ascii="Times New Roman" w:hAnsi="Times New Roman" w:eastAsia="宋体" w:cs="Times New Roman"/>
                <w:sz w:val="18"/>
                <w:szCs w:val="18"/>
                <w:vertAlign w:val="subscript"/>
              </w:rPr>
              <w:t xml:space="preserve">5 </w:t>
            </w:r>
            <w:r>
              <w:rPr>
                <w:rFonts w:hint="default" w:ascii="Times New Roman" w:hAnsi="Times New Roman" w:eastAsia="宋体" w:cs="Times New Roman"/>
                <w:sz w:val="18"/>
                <w:szCs w:val="18"/>
              </w:rPr>
              <w:t>/µg</w:t>
            </w:r>
          </w:p>
        </w:tc>
        <w:tc>
          <w:tcPr>
            <w:tcW w:w="709" w:type="pct"/>
            <w:noWrap w:val="0"/>
            <w:vAlign w:val="center"/>
          </w:tcPr>
          <w:p w14:paraId="347A7A05">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w:t>
            </w:r>
            <w:r>
              <w:rPr>
                <w:rFonts w:hint="default" w:ascii="Times New Roman" w:hAnsi="Times New Roman" w:eastAsia="宋体" w:cs="Times New Roman"/>
                <w:sz w:val="18"/>
                <w:szCs w:val="18"/>
                <w:vertAlign w:val="subscript"/>
              </w:rPr>
              <w:t>2</w:t>
            </w:r>
            <w:r>
              <w:rPr>
                <w:rFonts w:hint="default" w:ascii="Times New Roman" w:hAnsi="Times New Roman" w:eastAsia="宋体" w:cs="Times New Roman"/>
                <w:sz w:val="18"/>
                <w:szCs w:val="18"/>
              </w:rPr>
              <w:t>O</w:t>
            </w:r>
            <w:r>
              <w:rPr>
                <w:rFonts w:hint="default" w:ascii="Times New Roman" w:hAnsi="Times New Roman" w:eastAsia="宋体" w:cs="Times New Roman"/>
                <w:sz w:val="18"/>
                <w:szCs w:val="18"/>
                <w:vertAlign w:val="subscript"/>
              </w:rPr>
              <w:t>5/</w:t>
            </w:r>
            <w:r>
              <w:rPr>
                <w:rFonts w:hint="default" w:ascii="Times New Roman" w:hAnsi="Times New Roman" w:eastAsia="宋体" w:cs="Times New Roman"/>
                <w:sz w:val="18"/>
                <w:szCs w:val="18"/>
              </w:rPr>
              <w:t>µg</w:t>
            </w:r>
          </w:p>
          <w:p w14:paraId="79FDF4DA">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(理论)</w:t>
            </w:r>
          </w:p>
        </w:tc>
        <w:tc>
          <w:tcPr>
            <w:tcW w:w="791" w:type="pct"/>
            <w:noWrap w:val="0"/>
            <w:vAlign w:val="center"/>
          </w:tcPr>
          <w:p w14:paraId="1A6AEBA5">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P</w:t>
            </w:r>
            <w:r>
              <w:rPr>
                <w:rFonts w:hint="default" w:ascii="Times New Roman" w:hAnsi="Times New Roman" w:eastAsia="宋体" w:cs="Times New Roman"/>
                <w:sz w:val="18"/>
                <w:szCs w:val="18"/>
                <w:vertAlign w:val="subscript"/>
              </w:rPr>
              <w:t>2</w:t>
            </w:r>
            <w:r>
              <w:rPr>
                <w:rFonts w:hint="default" w:ascii="Times New Roman" w:hAnsi="Times New Roman" w:eastAsia="宋体" w:cs="Times New Roman"/>
                <w:sz w:val="18"/>
                <w:szCs w:val="18"/>
              </w:rPr>
              <w:t>O</w:t>
            </w:r>
            <w:r>
              <w:rPr>
                <w:rFonts w:hint="default" w:ascii="Times New Roman" w:hAnsi="Times New Roman" w:eastAsia="宋体" w:cs="Times New Roman"/>
                <w:sz w:val="18"/>
                <w:szCs w:val="18"/>
                <w:vertAlign w:val="subscript"/>
              </w:rPr>
              <w:t>5/</w:t>
            </w:r>
            <w:r>
              <w:rPr>
                <w:rFonts w:hint="default" w:ascii="Times New Roman" w:hAnsi="Times New Roman" w:eastAsia="宋体" w:cs="Times New Roman"/>
                <w:sz w:val="18"/>
                <w:szCs w:val="18"/>
              </w:rPr>
              <w:t>µg</w:t>
            </w:r>
          </w:p>
          <w:p w14:paraId="06EF4F54">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(实测)</w:t>
            </w:r>
          </w:p>
        </w:tc>
        <w:tc>
          <w:tcPr>
            <w:tcW w:w="589" w:type="pct"/>
            <w:noWrap w:val="0"/>
            <w:vAlign w:val="center"/>
          </w:tcPr>
          <w:p w14:paraId="4BD519B7">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回收率/%</w:t>
            </w:r>
          </w:p>
        </w:tc>
      </w:tr>
      <w:tr w14:paraId="1366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05" w:type="pct"/>
            <w:noWrap w:val="0"/>
            <w:vAlign w:val="center"/>
          </w:tcPr>
          <w:p w14:paraId="0C5ACE6C">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667" w:type="pct"/>
            <w:noWrap w:val="0"/>
            <w:vAlign w:val="center"/>
          </w:tcPr>
          <w:p w14:paraId="6ABBE600">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0.4029</w:t>
            </w:r>
          </w:p>
        </w:tc>
        <w:tc>
          <w:tcPr>
            <w:tcW w:w="928" w:type="pct"/>
            <w:noWrap w:val="0"/>
            <w:vAlign w:val="center"/>
          </w:tcPr>
          <w:p w14:paraId="6910DC4A">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0.0132</w:t>
            </w:r>
          </w:p>
        </w:tc>
        <w:tc>
          <w:tcPr>
            <w:tcW w:w="709" w:type="pct"/>
            <w:noWrap w:val="0"/>
            <w:vAlign w:val="center"/>
          </w:tcPr>
          <w:p w14:paraId="12771CEB">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116.40</w:t>
            </w:r>
          </w:p>
        </w:tc>
        <w:tc>
          <w:tcPr>
            <w:tcW w:w="709" w:type="pct"/>
            <w:noWrap w:val="0"/>
            <w:vAlign w:val="center"/>
          </w:tcPr>
          <w:p w14:paraId="4A27DB96">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57.02</w:t>
            </w:r>
          </w:p>
        </w:tc>
        <w:tc>
          <w:tcPr>
            <w:tcW w:w="791" w:type="pct"/>
            <w:noWrap w:val="0"/>
            <w:vAlign w:val="center"/>
          </w:tcPr>
          <w:p w14:paraId="174BB808">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56.80</w:t>
            </w:r>
          </w:p>
        </w:tc>
        <w:tc>
          <w:tcPr>
            <w:tcW w:w="589" w:type="pct"/>
            <w:noWrap w:val="0"/>
            <w:vAlign w:val="center"/>
          </w:tcPr>
          <w:p w14:paraId="08D86415">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99.9</w:t>
            </w:r>
          </w:p>
        </w:tc>
      </w:tr>
      <w:tr w14:paraId="6C3E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05" w:type="pct"/>
            <w:noWrap w:val="0"/>
            <w:vAlign w:val="center"/>
          </w:tcPr>
          <w:p w14:paraId="669E3F19">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667" w:type="pct"/>
            <w:noWrap w:val="0"/>
            <w:vAlign w:val="center"/>
          </w:tcPr>
          <w:p w14:paraId="20132ECD">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0.1008</w:t>
            </w:r>
          </w:p>
        </w:tc>
        <w:tc>
          <w:tcPr>
            <w:tcW w:w="928" w:type="pct"/>
            <w:noWrap w:val="0"/>
            <w:vAlign w:val="center"/>
          </w:tcPr>
          <w:p w14:paraId="11D886D8">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0.1500</w:t>
            </w:r>
          </w:p>
        </w:tc>
        <w:tc>
          <w:tcPr>
            <w:tcW w:w="709" w:type="pct"/>
            <w:noWrap w:val="0"/>
            <w:vAlign w:val="center"/>
          </w:tcPr>
          <w:p w14:paraId="2831C09B">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211.12</w:t>
            </w:r>
          </w:p>
        </w:tc>
        <w:tc>
          <w:tcPr>
            <w:tcW w:w="709" w:type="pct"/>
            <w:noWrap w:val="0"/>
            <w:vAlign w:val="center"/>
          </w:tcPr>
          <w:p w14:paraId="417B6240">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103.68</w:t>
            </w:r>
          </w:p>
        </w:tc>
        <w:tc>
          <w:tcPr>
            <w:tcW w:w="791" w:type="pct"/>
            <w:noWrap w:val="0"/>
            <w:vAlign w:val="center"/>
          </w:tcPr>
          <w:p w14:paraId="3592E6DB">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104.36</w:t>
            </w:r>
          </w:p>
        </w:tc>
        <w:tc>
          <w:tcPr>
            <w:tcW w:w="589" w:type="pct"/>
            <w:noWrap w:val="0"/>
            <w:vAlign w:val="center"/>
          </w:tcPr>
          <w:p w14:paraId="281046BE">
            <w:pPr>
              <w:adjustRightInd w:val="0"/>
              <w:snapToGrid w:val="0"/>
              <w:spacing w:line="240" w:lineRule="auto"/>
              <w:jc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100.</w:t>
            </w:r>
            <w:r>
              <w:rPr>
                <w:rFonts w:hint="default" w:ascii="Times New Roman" w:hAnsi="Times New Roman" w:eastAsia="宋体" w:cs="Times New Roman"/>
                <w:sz w:val="18"/>
                <w:szCs w:val="18"/>
                <w:lang w:val="en-US" w:eastAsia="zh-CN"/>
              </w:rPr>
              <w:t>6</w:t>
            </w:r>
          </w:p>
        </w:tc>
      </w:tr>
      <w:tr w14:paraId="7AEA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05" w:type="pct"/>
            <w:noWrap w:val="0"/>
            <w:vAlign w:val="center"/>
          </w:tcPr>
          <w:p w14:paraId="5932C050">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w:t>
            </w:r>
          </w:p>
        </w:tc>
        <w:tc>
          <w:tcPr>
            <w:tcW w:w="667" w:type="pct"/>
            <w:noWrap w:val="0"/>
            <w:vAlign w:val="center"/>
          </w:tcPr>
          <w:p w14:paraId="7A70EE28">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0.1013</w:t>
            </w:r>
          </w:p>
        </w:tc>
        <w:tc>
          <w:tcPr>
            <w:tcW w:w="928" w:type="pct"/>
            <w:noWrap w:val="0"/>
            <w:vAlign w:val="center"/>
          </w:tcPr>
          <w:p w14:paraId="0126FA99">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0.2406</w:t>
            </w:r>
          </w:p>
        </w:tc>
        <w:tc>
          <w:tcPr>
            <w:tcW w:w="709" w:type="pct"/>
            <w:noWrap w:val="0"/>
            <w:vAlign w:val="center"/>
          </w:tcPr>
          <w:p w14:paraId="7DFAF6A2">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346.12</w:t>
            </w:r>
          </w:p>
        </w:tc>
        <w:tc>
          <w:tcPr>
            <w:tcW w:w="709" w:type="pct"/>
            <w:noWrap w:val="0"/>
            <w:vAlign w:val="center"/>
          </w:tcPr>
          <w:p w14:paraId="3EA4CD90">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166.30</w:t>
            </w:r>
          </w:p>
        </w:tc>
        <w:tc>
          <w:tcPr>
            <w:tcW w:w="791" w:type="pct"/>
            <w:noWrap w:val="0"/>
            <w:vAlign w:val="center"/>
          </w:tcPr>
          <w:p w14:paraId="0CE22CE5">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163.78</w:t>
            </w:r>
          </w:p>
        </w:tc>
        <w:tc>
          <w:tcPr>
            <w:tcW w:w="589" w:type="pct"/>
            <w:noWrap w:val="0"/>
            <w:vAlign w:val="center"/>
          </w:tcPr>
          <w:p w14:paraId="476DFF31">
            <w:pPr>
              <w:adjustRightInd w:val="0"/>
              <w:snapToGrid w:val="0"/>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98.5</w:t>
            </w:r>
          </w:p>
        </w:tc>
      </w:tr>
    </w:tbl>
    <w:p w14:paraId="3E4D28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lang w:val="en-US" w:eastAsia="zh-CN"/>
        </w:rPr>
      </w:pPr>
      <w:r>
        <w:rPr>
          <w:rFonts w:hint="default" w:ascii="Times New Roman" w:hAnsi="Times New Roman" w:eastAsia="宋体" w:cs="Times New Roman"/>
          <w:sz w:val="21"/>
          <w:szCs w:val="21"/>
        </w:rPr>
        <w:t>从上述加标回收试验数据可以看出，本方法的回收率在98.5%~10</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%之间，满足不同含量的准确度要求。</w:t>
      </w:r>
    </w:p>
    <w:p w14:paraId="6BE987F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2.1.1.2.5.2 精密度</w:t>
      </w:r>
    </w:p>
    <w:p w14:paraId="0F0175E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为考察本方法的精密度，本实验对含量不同的5个统一样品进行了11次重复测定，统计平均值、标准偏差和相对标准偏差。</w:t>
      </w:r>
    </w:p>
    <w:p w14:paraId="624346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sz w:val="18"/>
          <w:szCs w:val="18"/>
        </w:rPr>
      </w:pPr>
      <w:r>
        <w:rPr>
          <w:rFonts w:hint="eastAsia" w:ascii="黑体" w:hAnsi="黑体" w:eastAsia="黑体" w:cs="黑体"/>
          <w:sz w:val="18"/>
          <w:szCs w:val="18"/>
        </w:rPr>
        <w:t>表1</w:t>
      </w:r>
      <w:r>
        <w:rPr>
          <w:rFonts w:hint="eastAsia" w:ascii="黑体" w:hAnsi="黑体" w:eastAsia="黑体" w:cs="黑体"/>
          <w:sz w:val="18"/>
          <w:szCs w:val="18"/>
          <w:lang w:val="en-US" w:eastAsia="zh-CN"/>
        </w:rPr>
        <w:t>4</w:t>
      </w:r>
      <w:r>
        <w:rPr>
          <w:rFonts w:hint="eastAsia" w:ascii="黑体" w:hAnsi="黑体" w:eastAsia="黑体" w:cs="黑体"/>
          <w:sz w:val="18"/>
          <w:szCs w:val="18"/>
        </w:rPr>
        <w:t xml:space="preserve"> 精密度数据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3563"/>
        <w:gridCol w:w="1400"/>
        <w:gridCol w:w="1301"/>
        <w:gridCol w:w="1179"/>
      </w:tblGrid>
      <w:tr w14:paraId="142C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1E172A3B">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样品编号</w:t>
            </w:r>
          </w:p>
        </w:tc>
        <w:tc>
          <w:tcPr>
            <w:tcW w:w="3925" w:type="dxa"/>
            <w:noWrap w:val="0"/>
            <w:vAlign w:val="center"/>
          </w:tcPr>
          <w:p w14:paraId="3C8571F1">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测试结果/%</w:t>
            </w:r>
          </w:p>
        </w:tc>
        <w:tc>
          <w:tcPr>
            <w:tcW w:w="1500" w:type="dxa"/>
            <w:noWrap w:val="0"/>
            <w:vAlign w:val="center"/>
          </w:tcPr>
          <w:p w14:paraId="1E7737A7">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平均值/%</w:t>
            </w:r>
          </w:p>
        </w:tc>
        <w:tc>
          <w:tcPr>
            <w:tcW w:w="1400" w:type="dxa"/>
            <w:noWrap w:val="0"/>
            <w:vAlign w:val="center"/>
          </w:tcPr>
          <w:p w14:paraId="06DBE24F">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标准偏差</w:t>
            </w:r>
          </w:p>
        </w:tc>
        <w:tc>
          <w:tcPr>
            <w:tcW w:w="1239" w:type="dxa"/>
            <w:noWrap w:val="0"/>
            <w:vAlign w:val="center"/>
          </w:tcPr>
          <w:p w14:paraId="2FA90215">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RSD/%</w:t>
            </w:r>
          </w:p>
        </w:tc>
      </w:tr>
      <w:tr w14:paraId="1AD4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741438B8">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w:t>
            </w:r>
          </w:p>
        </w:tc>
        <w:tc>
          <w:tcPr>
            <w:tcW w:w="3925" w:type="dxa"/>
            <w:noWrap w:val="0"/>
            <w:vAlign w:val="center"/>
          </w:tcPr>
          <w:p w14:paraId="79D6AAEB">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0.288、0.309、0.312、0.302、0.289、0.288、0.290、0.289、0.298、0.304、0.293</w:t>
            </w:r>
          </w:p>
        </w:tc>
        <w:tc>
          <w:tcPr>
            <w:tcW w:w="1500" w:type="dxa"/>
            <w:noWrap w:val="0"/>
            <w:vAlign w:val="center"/>
          </w:tcPr>
          <w:p w14:paraId="7472A6CC">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0.297</w:t>
            </w:r>
          </w:p>
        </w:tc>
        <w:tc>
          <w:tcPr>
            <w:tcW w:w="1400" w:type="dxa"/>
            <w:noWrap w:val="0"/>
            <w:vAlign w:val="center"/>
          </w:tcPr>
          <w:p w14:paraId="3A47668A">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0.009</w:t>
            </w:r>
          </w:p>
        </w:tc>
        <w:tc>
          <w:tcPr>
            <w:tcW w:w="1239" w:type="dxa"/>
            <w:noWrap w:val="0"/>
            <w:vAlign w:val="center"/>
          </w:tcPr>
          <w:p w14:paraId="733ED718">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3.02</w:t>
            </w:r>
          </w:p>
        </w:tc>
      </w:tr>
      <w:tr w14:paraId="3A64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4E575D90">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w:t>
            </w:r>
          </w:p>
        </w:tc>
        <w:tc>
          <w:tcPr>
            <w:tcW w:w="3925" w:type="dxa"/>
            <w:noWrap w:val="0"/>
            <w:vAlign w:val="center"/>
          </w:tcPr>
          <w:p w14:paraId="12944CAA">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1.837、1.766、1.786、1.775、1.746、、1.760、1.721、1.696、1.801、1.698、1.772</w:t>
            </w:r>
          </w:p>
        </w:tc>
        <w:tc>
          <w:tcPr>
            <w:tcW w:w="1500" w:type="dxa"/>
            <w:noWrap w:val="0"/>
            <w:vAlign w:val="center"/>
          </w:tcPr>
          <w:p w14:paraId="318EEB5E">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1.760</w:t>
            </w:r>
          </w:p>
        </w:tc>
        <w:tc>
          <w:tcPr>
            <w:tcW w:w="1400" w:type="dxa"/>
            <w:noWrap w:val="0"/>
            <w:vAlign w:val="center"/>
          </w:tcPr>
          <w:p w14:paraId="20AC39AD">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0.043</w:t>
            </w:r>
          </w:p>
        </w:tc>
        <w:tc>
          <w:tcPr>
            <w:tcW w:w="1239" w:type="dxa"/>
            <w:noWrap w:val="0"/>
            <w:vAlign w:val="center"/>
          </w:tcPr>
          <w:p w14:paraId="6E5B5170">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2.44</w:t>
            </w:r>
          </w:p>
        </w:tc>
      </w:tr>
      <w:tr w14:paraId="72C2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16826FF3">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3#</w:t>
            </w:r>
          </w:p>
        </w:tc>
        <w:tc>
          <w:tcPr>
            <w:tcW w:w="3925" w:type="dxa"/>
            <w:noWrap w:val="0"/>
            <w:vAlign w:val="center"/>
          </w:tcPr>
          <w:p w14:paraId="6A9DD365">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8.836、8.723、8.876、8.694、8.808、、8.499、8.679、8.596、8.762、8.506、8.646</w:t>
            </w:r>
          </w:p>
        </w:tc>
        <w:tc>
          <w:tcPr>
            <w:tcW w:w="1500" w:type="dxa"/>
            <w:noWrap w:val="0"/>
            <w:vAlign w:val="center"/>
          </w:tcPr>
          <w:p w14:paraId="4C11EE04">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8.693</w:t>
            </w:r>
          </w:p>
        </w:tc>
        <w:tc>
          <w:tcPr>
            <w:tcW w:w="1400" w:type="dxa"/>
            <w:noWrap w:val="0"/>
            <w:vAlign w:val="center"/>
          </w:tcPr>
          <w:p w14:paraId="5CB7DC09">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0.126</w:t>
            </w:r>
          </w:p>
        </w:tc>
        <w:tc>
          <w:tcPr>
            <w:tcW w:w="1239" w:type="dxa"/>
            <w:noWrap w:val="0"/>
            <w:vAlign w:val="center"/>
          </w:tcPr>
          <w:p w14:paraId="2A96035B">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1.45</w:t>
            </w:r>
          </w:p>
        </w:tc>
      </w:tr>
      <w:tr w14:paraId="6D88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2F383FD7">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4#</w:t>
            </w:r>
          </w:p>
        </w:tc>
        <w:tc>
          <w:tcPr>
            <w:tcW w:w="3925" w:type="dxa"/>
            <w:noWrap w:val="0"/>
            <w:vAlign w:val="center"/>
          </w:tcPr>
          <w:p w14:paraId="6A2014AD">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13.291、13.214、13.206、13.305、、13.592、12.460、13.367、13.569、13.375、13.473</w:t>
            </w:r>
          </w:p>
        </w:tc>
        <w:tc>
          <w:tcPr>
            <w:tcW w:w="1500" w:type="dxa"/>
            <w:noWrap w:val="0"/>
            <w:vAlign w:val="center"/>
          </w:tcPr>
          <w:p w14:paraId="4BFFC734">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13.377</w:t>
            </w:r>
          </w:p>
        </w:tc>
        <w:tc>
          <w:tcPr>
            <w:tcW w:w="1400" w:type="dxa"/>
            <w:noWrap w:val="0"/>
            <w:vAlign w:val="center"/>
          </w:tcPr>
          <w:p w14:paraId="2707428D">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0.132</w:t>
            </w:r>
          </w:p>
        </w:tc>
        <w:tc>
          <w:tcPr>
            <w:tcW w:w="1239" w:type="dxa"/>
            <w:noWrap w:val="0"/>
            <w:vAlign w:val="center"/>
          </w:tcPr>
          <w:p w14:paraId="59066DC8">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0.99</w:t>
            </w:r>
          </w:p>
        </w:tc>
      </w:tr>
      <w:tr w14:paraId="1F66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2C52FEF1">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w:t>
            </w:r>
          </w:p>
        </w:tc>
        <w:tc>
          <w:tcPr>
            <w:tcW w:w="3925" w:type="dxa"/>
            <w:noWrap w:val="0"/>
            <w:vAlign w:val="center"/>
          </w:tcPr>
          <w:p w14:paraId="5B4A9811">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22.544、22.464、22.632、22.768、22.712、22.837、44.470、22.629、22.491、22.579</w:t>
            </w:r>
          </w:p>
        </w:tc>
        <w:tc>
          <w:tcPr>
            <w:tcW w:w="1500" w:type="dxa"/>
            <w:noWrap w:val="0"/>
            <w:vAlign w:val="center"/>
          </w:tcPr>
          <w:p w14:paraId="69742342">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22.620</w:t>
            </w:r>
          </w:p>
        </w:tc>
        <w:tc>
          <w:tcPr>
            <w:tcW w:w="1400" w:type="dxa"/>
            <w:noWrap w:val="0"/>
            <w:vAlign w:val="center"/>
          </w:tcPr>
          <w:p w14:paraId="3D1DE9E0">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0.125</w:t>
            </w:r>
          </w:p>
        </w:tc>
        <w:tc>
          <w:tcPr>
            <w:tcW w:w="1239" w:type="dxa"/>
            <w:noWrap w:val="0"/>
            <w:vAlign w:val="center"/>
          </w:tcPr>
          <w:p w14:paraId="185CC00D">
            <w:pPr>
              <w:spacing w:line="240" w:lineRule="auto"/>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0.55</w:t>
            </w:r>
          </w:p>
        </w:tc>
      </w:tr>
    </w:tbl>
    <w:p w14:paraId="096F75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Cs/>
          <w:lang w:val="en-US" w:eastAsia="zh-CN"/>
        </w:rPr>
      </w:pPr>
      <w:r>
        <w:rPr>
          <w:rFonts w:hint="eastAsia" w:ascii="Times New Roman" w:hAnsi="Times New Roman" w:cs="Times New Roman"/>
          <w:bCs/>
          <w:lang w:val="en-US" w:eastAsia="zh-CN"/>
        </w:rPr>
        <w:t>由表12、表13可知，</w:t>
      </w:r>
      <w:r>
        <w:rPr>
          <w:rFonts w:hint="default" w:ascii="Times New Roman" w:hAnsi="Times New Roman" w:cs="Times New Roman"/>
        </w:rPr>
        <w:t>标加回收率实验数据为</w:t>
      </w:r>
      <w:r>
        <w:rPr>
          <w:rFonts w:hint="default" w:ascii="Times New Roman" w:hAnsi="Times New Roman" w:cs="Times New Roman"/>
          <w:szCs w:val="21"/>
        </w:rPr>
        <w:t>9</w:t>
      </w:r>
      <w:r>
        <w:rPr>
          <w:rFonts w:hint="default" w:ascii="Times New Roman" w:hAnsi="Times New Roman" w:cs="Times New Roman"/>
          <w:szCs w:val="21"/>
          <w:lang w:val="en-US" w:eastAsia="zh-CN"/>
        </w:rPr>
        <w:t>8.</w:t>
      </w:r>
      <w:r>
        <w:rPr>
          <w:rFonts w:hint="eastAsia" w:ascii="Times New Roman" w:hAnsi="Times New Roman" w:cs="Times New Roman"/>
          <w:szCs w:val="21"/>
          <w:lang w:val="en-US" w:eastAsia="zh-CN"/>
        </w:rPr>
        <w:t>50</w:t>
      </w:r>
      <w:r>
        <w:rPr>
          <w:rFonts w:hint="default" w:ascii="Times New Roman" w:hAnsi="Times New Roman" w:cs="Times New Roman"/>
          <w:szCs w:val="21"/>
        </w:rPr>
        <w:t>～10</w:t>
      </w:r>
      <w:r>
        <w:rPr>
          <w:rFonts w:hint="eastAsia" w:ascii="Times New Roman" w:hAnsi="Times New Roman" w:cs="Times New Roman"/>
          <w:szCs w:val="21"/>
          <w:lang w:val="en-US" w:eastAsia="zh-CN"/>
        </w:rPr>
        <w:t>0.6</w:t>
      </w:r>
      <w:r>
        <w:rPr>
          <w:rFonts w:hint="default" w:ascii="Times New Roman" w:hAnsi="Times New Roman" w:cs="Times New Roman"/>
          <w:szCs w:val="21"/>
        </w:rPr>
        <w:t>％，RSD&lt;</w:t>
      </w:r>
      <w:r>
        <w:rPr>
          <w:rFonts w:hint="eastAsia" w:ascii="Times New Roman" w:hAnsi="Times New Roman" w:cs="Times New Roman"/>
          <w:szCs w:val="21"/>
          <w:lang w:val="en-US" w:eastAsia="zh-CN"/>
        </w:rPr>
        <w:t>4</w:t>
      </w:r>
      <w:r>
        <w:rPr>
          <w:rFonts w:hint="default" w:ascii="Times New Roman" w:hAnsi="Times New Roman" w:cs="Times New Roman"/>
          <w:szCs w:val="21"/>
        </w:rPr>
        <w:t>%，本方法满足不同含量的准确度要求。</w:t>
      </w:r>
    </w:p>
    <w:p w14:paraId="379C152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Cs w:val="21"/>
          <w:lang w:val="en-US" w:eastAsia="zh-CN"/>
        </w:rPr>
      </w:pPr>
      <w:r>
        <w:rPr>
          <w:rFonts w:hint="eastAsia" w:ascii="Times New Roman" w:hAnsi="Times New Roman" w:cs="Times New Roman"/>
          <w:szCs w:val="21"/>
          <w:lang w:val="en-US" w:eastAsia="zh-CN"/>
        </w:rPr>
        <w:t>2.1.1.2.5.3</w:t>
      </w:r>
      <w:r>
        <w:rPr>
          <w:rFonts w:hint="eastAsia" w:ascii="Times New Roman" w:hAnsi="Times New Roman" w:cs="Times New Roman"/>
          <w:bCs/>
          <w:lang w:val="en-US" w:eastAsia="zh-CN"/>
        </w:rPr>
        <w:t xml:space="preserve"> </w:t>
      </w:r>
      <w:r>
        <w:rPr>
          <w:rFonts w:hint="default" w:ascii="Times New Roman" w:hAnsi="Times New Roman" w:cs="Times New Roman"/>
          <w:b w:val="0"/>
          <w:bCs/>
          <w:szCs w:val="21"/>
          <w:lang w:val="en-US" w:eastAsia="zh-CN"/>
        </w:rPr>
        <w:t>方法比对实验</w:t>
      </w:r>
    </w:p>
    <w:p w14:paraId="6B29D562">
      <w:pPr>
        <w:spacing w:line="24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将1#~5#统一样品按本方法测定的结果，与ICP-OES法结果进行对照。数据见下表1</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w:t>
      </w:r>
    </w:p>
    <w:p w14:paraId="51A91FF5">
      <w:pPr>
        <w:spacing w:line="240" w:lineRule="auto"/>
        <w:jc w:val="center"/>
        <w:rPr>
          <w:rFonts w:hint="default" w:ascii="Times New Roman" w:hAnsi="Times New Roman" w:cs="Times New Roman"/>
          <w:sz w:val="18"/>
          <w:szCs w:val="18"/>
        </w:rPr>
      </w:pPr>
      <w:r>
        <w:rPr>
          <w:rFonts w:hint="default" w:ascii="Times New Roman" w:hAnsi="Times New Roman" w:eastAsia="黑体" w:cs="Times New Roman"/>
          <w:sz w:val="18"/>
          <w:szCs w:val="18"/>
        </w:rPr>
        <w:t>表1</w:t>
      </w:r>
      <w:r>
        <w:rPr>
          <w:rFonts w:hint="eastAsia" w:ascii="Times New Roman" w:hAnsi="Times New Roman" w:eastAsia="黑体" w:cs="Times New Roman"/>
          <w:sz w:val="18"/>
          <w:szCs w:val="18"/>
          <w:lang w:val="en-US" w:eastAsia="zh-CN"/>
        </w:rPr>
        <w:t>5</w:t>
      </w:r>
      <w:r>
        <w:rPr>
          <w:rFonts w:hint="default" w:ascii="Times New Roman" w:hAnsi="Times New Roman" w:eastAsia="黑体" w:cs="Times New Roman"/>
          <w:sz w:val="18"/>
          <w:szCs w:val="18"/>
        </w:rPr>
        <w:t xml:space="preserve"> 方法对照结果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6"/>
        <w:gridCol w:w="2839"/>
        <w:gridCol w:w="2867"/>
      </w:tblGrid>
      <w:tr w14:paraId="2AB6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080" w:type="dxa"/>
            <w:noWrap w:val="0"/>
            <w:vAlign w:val="center"/>
          </w:tcPr>
          <w:p w14:paraId="00C89DA9">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统一样编号</w:t>
            </w:r>
          </w:p>
        </w:tc>
        <w:tc>
          <w:tcPr>
            <w:tcW w:w="3081" w:type="dxa"/>
            <w:noWrap w:val="0"/>
            <w:vAlign w:val="center"/>
          </w:tcPr>
          <w:p w14:paraId="27C659E6">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本方法/%</w:t>
            </w:r>
          </w:p>
        </w:tc>
        <w:tc>
          <w:tcPr>
            <w:tcW w:w="3081" w:type="dxa"/>
            <w:noWrap w:val="0"/>
            <w:vAlign w:val="center"/>
          </w:tcPr>
          <w:p w14:paraId="0927EAF1">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ICP-OES法/%</w:t>
            </w:r>
          </w:p>
        </w:tc>
      </w:tr>
      <w:tr w14:paraId="3F3E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620055BA">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3081" w:type="dxa"/>
            <w:noWrap w:val="0"/>
            <w:vAlign w:val="center"/>
          </w:tcPr>
          <w:p w14:paraId="43A84D36">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0.30</w:t>
            </w:r>
          </w:p>
        </w:tc>
        <w:tc>
          <w:tcPr>
            <w:tcW w:w="3081" w:type="dxa"/>
            <w:noWrap w:val="0"/>
            <w:vAlign w:val="center"/>
          </w:tcPr>
          <w:p w14:paraId="472F534E">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0.29</w:t>
            </w:r>
          </w:p>
        </w:tc>
      </w:tr>
      <w:tr w14:paraId="5E29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771C23D0">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3081" w:type="dxa"/>
            <w:noWrap w:val="0"/>
            <w:vAlign w:val="center"/>
          </w:tcPr>
          <w:p w14:paraId="4A6DCEA9">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1.79</w:t>
            </w:r>
          </w:p>
        </w:tc>
        <w:tc>
          <w:tcPr>
            <w:tcW w:w="3081" w:type="dxa"/>
            <w:noWrap w:val="0"/>
            <w:vAlign w:val="center"/>
          </w:tcPr>
          <w:p w14:paraId="0109505A">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1.74</w:t>
            </w:r>
          </w:p>
        </w:tc>
      </w:tr>
      <w:tr w14:paraId="321C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44996012">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3081" w:type="dxa"/>
            <w:noWrap w:val="0"/>
            <w:vAlign w:val="center"/>
          </w:tcPr>
          <w:p w14:paraId="0402869C">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8.66</w:t>
            </w:r>
          </w:p>
        </w:tc>
        <w:tc>
          <w:tcPr>
            <w:tcW w:w="3081" w:type="dxa"/>
            <w:noWrap w:val="0"/>
            <w:vAlign w:val="center"/>
          </w:tcPr>
          <w:p w14:paraId="0157D7DA">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8.61</w:t>
            </w:r>
          </w:p>
        </w:tc>
      </w:tr>
      <w:tr w14:paraId="6E12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3291FFFA">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3081" w:type="dxa"/>
            <w:noWrap w:val="0"/>
            <w:vAlign w:val="center"/>
          </w:tcPr>
          <w:p w14:paraId="53B77A3F">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13.36</w:t>
            </w:r>
          </w:p>
        </w:tc>
        <w:tc>
          <w:tcPr>
            <w:tcW w:w="3081" w:type="dxa"/>
            <w:noWrap w:val="0"/>
            <w:vAlign w:val="center"/>
          </w:tcPr>
          <w:p w14:paraId="3494394E">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13.49</w:t>
            </w:r>
          </w:p>
        </w:tc>
      </w:tr>
      <w:tr w14:paraId="439F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2E7491C5">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3081" w:type="dxa"/>
            <w:noWrap w:val="0"/>
            <w:vAlign w:val="center"/>
          </w:tcPr>
          <w:p w14:paraId="432FC4CA">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22.71</w:t>
            </w:r>
          </w:p>
        </w:tc>
        <w:tc>
          <w:tcPr>
            <w:tcW w:w="3081" w:type="dxa"/>
            <w:noWrap w:val="0"/>
            <w:vAlign w:val="center"/>
          </w:tcPr>
          <w:p w14:paraId="5B877905">
            <w:pPr>
              <w:spacing w:line="240" w:lineRule="auto"/>
              <w:jc w:val="center"/>
              <w:rPr>
                <w:rFonts w:hint="default" w:ascii="Times New Roman" w:hAnsi="Times New Roman" w:cs="Times New Roman"/>
                <w:sz w:val="18"/>
                <w:szCs w:val="18"/>
              </w:rPr>
            </w:pPr>
            <w:r>
              <w:rPr>
                <w:rFonts w:hint="default" w:ascii="Times New Roman" w:hAnsi="Times New Roman" w:cs="Times New Roman"/>
                <w:sz w:val="18"/>
                <w:szCs w:val="18"/>
              </w:rPr>
              <w:t>22.58</w:t>
            </w:r>
          </w:p>
        </w:tc>
      </w:tr>
    </w:tbl>
    <w:p w14:paraId="059C023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b w:val="0"/>
          <w:bCs/>
          <w:szCs w:val="21"/>
          <w:lang w:val="en-US" w:eastAsia="zh-CN"/>
        </w:rPr>
      </w:pPr>
      <w:r>
        <w:rPr>
          <w:rFonts w:hint="default" w:ascii="Times New Roman" w:hAnsi="Times New Roman" w:cs="Times New Roman"/>
          <w:b w:val="0"/>
          <w:bCs/>
          <w:szCs w:val="21"/>
          <w:lang w:val="en-US" w:eastAsia="zh-CN"/>
        </w:rPr>
        <w:t>由表1</w:t>
      </w:r>
      <w:r>
        <w:rPr>
          <w:rFonts w:hint="eastAsia" w:ascii="Times New Roman" w:hAnsi="Times New Roman" w:cs="Times New Roman"/>
          <w:b w:val="0"/>
          <w:bCs/>
          <w:szCs w:val="21"/>
          <w:lang w:val="en-US" w:eastAsia="zh-CN"/>
        </w:rPr>
        <w:t>4</w:t>
      </w:r>
      <w:r>
        <w:rPr>
          <w:rFonts w:hint="default" w:ascii="Times New Roman" w:hAnsi="Times New Roman" w:cs="Times New Roman"/>
          <w:b w:val="0"/>
          <w:bCs/>
          <w:szCs w:val="21"/>
          <w:lang w:val="en-US" w:eastAsia="zh-CN"/>
        </w:rPr>
        <w:t>可知，不同方法比对结果一致性好，准确度满意</w:t>
      </w:r>
      <w:r>
        <w:rPr>
          <w:rFonts w:hint="eastAsia"/>
          <w:b w:val="0"/>
          <w:bCs/>
          <w:szCs w:val="21"/>
          <w:lang w:val="en-US" w:eastAsia="zh-CN"/>
        </w:rPr>
        <w:t>。</w:t>
      </w:r>
    </w:p>
    <w:p w14:paraId="22E2630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w:t>
      </w:r>
      <w:r>
        <w:rPr>
          <w:rFonts w:hint="default" w:ascii="Times New Roman" w:hAnsi="Times New Roman" w:cs="Times New Roman"/>
          <w:b w:val="0"/>
          <w:bCs/>
          <w:szCs w:val="21"/>
          <w:lang w:val="en-US" w:eastAsia="zh-CN"/>
        </w:rPr>
        <w:t xml:space="preserve"> 结论</w:t>
      </w:r>
    </w:p>
    <w:p w14:paraId="180CE0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3.1 本方法采用碱熔融分解、硝酸酸化、磷铋钼蓝分光光度法测定精矿中五氧化二磷含量。</w:t>
      </w:r>
    </w:p>
    <w:p w14:paraId="3AA9061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3.2  通过波长选择、显色温度和络合物稳定时间选择、显色酸度选择、显色剂用量选择、显色稳定剂用量选择等条件试验，确定了最优的显色条件试验。</w:t>
      </w:r>
    </w:p>
    <w:p w14:paraId="0F4430B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3.3  通过共存元素干扰试验，证明干扰元素对显色反应影响较小，可忽略。</w:t>
      </w:r>
    </w:p>
    <w:p w14:paraId="6DB8AE5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3.4  通过检出限和测定下限的试验，确定本方法的测定范围为0.10%~30%。</w:t>
      </w:r>
    </w:p>
    <w:p w14:paraId="6CB2F80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3.5  通过加标回收试验和方法比对试验，验证了方法准确性。加标回收率98.5%~100.6%之间。</w:t>
      </w:r>
    </w:p>
    <w:p w14:paraId="1CC3232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3.6  通过精密度试验验证了本方法的精密度，RSD&lt;4%。</w:t>
      </w:r>
    </w:p>
    <w:p w14:paraId="62C1C8A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p>
    <w:p w14:paraId="4B282CB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Cs w:val="21"/>
        </w:rPr>
      </w:pPr>
      <w:r>
        <w:rPr>
          <w:rFonts w:hint="eastAsia" w:ascii="Times New Roman" w:hAnsi="Times New Roman" w:cs="Times New Roman"/>
          <w:b w:val="0"/>
          <w:bCs/>
          <w:szCs w:val="21"/>
          <w:lang w:val="en-US" w:eastAsia="zh-CN"/>
        </w:rPr>
        <w:t xml:space="preserve">2.1.2 </w:t>
      </w:r>
      <w:r>
        <w:rPr>
          <w:rFonts w:hint="default" w:ascii="Times New Roman" w:hAnsi="Times New Roman" w:cs="Times New Roman"/>
          <w:szCs w:val="20"/>
        </w:rPr>
        <w:t xml:space="preserve">方法2 </w:t>
      </w:r>
      <w:r>
        <w:rPr>
          <w:rFonts w:hint="eastAsia" w:ascii="Times New Roman" w:hAnsi="Times New Roman" w:cs="Times New Roman"/>
          <w:szCs w:val="21"/>
          <w:lang w:val="en-US" w:eastAsia="zh-CN"/>
        </w:rPr>
        <w:t>电感耦合等离子体发射光谱</w:t>
      </w:r>
      <w:r>
        <w:rPr>
          <w:rFonts w:hint="default" w:ascii="Times New Roman" w:hAnsi="Times New Roman" w:cs="Times New Roman"/>
          <w:szCs w:val="21"/>
        </w:rPr>
        <w:t>法</w:t>
      </w:r>
    </w:p>
    <w:p w14:paraId="70835B3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2.1.2.1 方法原理</w:t>
      </w:r>
    </w:p>
    <w:p w14:paraId="371C1C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 w:val="0"/>
          <w:bCs/>
          <w:szCs w:val="21"/>
        </w:rPr>
      </w:pPr>
      <w:r>
        <w:rPr>
          <w:rFonts w:hint="default" w:ascii="Times New Roman" w:hAnsi="Times New Roman" w:cs="Times New Roman"/>
          <w:b w:val="0"/>
          <w:bCs/>
          <w:szCs w:val="21"/>
        </w:rPr>
        <w:t>试料经氢氧化钠-过氧化钠熔融分解，以硝酸溶解冷却后的熔块，采用电感耦合等离子体发射光谱仪，在盐酸介质中测定五氧化二磷含量。</w:t>
      </w:r>
    </w:p>
    <w:p w14:paraId="09A1CC4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b w:val="0"/>
          <w:bCs/>
          <w:szCs w:val="21"/>
          <w:lang w:val="en-US" w:eastAsia="zh-CN"/>
        </w:rPr>
        <w:t xml:space="preserve">2.1.2.2 </w:t>
      </w:r>
      <w:r>
        <w:rPr>
          <w:rFonts w:hint="eastAsia" w:ascii="Times New Roman" w:hAnsi="Times New Roman" w:cs="Times New Roman"/>
          <w:szCs w:val="21"/>
          <w:lang w:val="en-US" w:eastAsia="zh-CN"/>
        </w:rPr>
        <w:t>实验条件优化</w:t>
      </w:r>
    </w:p>
    <w:p w14:paraId="35ED36F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2.1.2.2.1 共存元素干扰及谱线选择试验</w:t>
      </w:r>
    </w:p>
    <w:p w14:paraId="21C048A5">
      <w:pPr>
        <w:keepNext w:val="0"/>
        <w:keepLines w:val="0"/>
        <w:pageBreakBefore w:val="0"/>
        <w:kinsoku/>
        <w:wordWrap/>
        <w:overflowPunct/>
        <w:topLinePunct w:val="0"/>
        <w:bidi w:val="0"/>
        <w:adjustRightInd/>
        <w:snapToGrid/>
        <w:spacing w:line="240" w:lineRule="auto"/>
        <w:ind w:firstLine="420" w:firstLineChars="200"/>
        <w:textAlignment w:val="auto"/>
        <w:rPr>
          <w:rFonts w:hint="default" w:ascii="Times New Roman" w:hAnsi="Times New Roman" w:eastAsia="宋体" w:cs="Times New Roman"/>
          <w:b w:val="0"/>
          <w:bCs w:val="0"/>
          <w:color w:val="000000"/>
          <w:position w:val="-2"/>
          <w:sz w:val="21"/>
          <w:szCs w:val="21"/>
          <w:lang w:val="en-US" w:eastAsia="zh-CN"/>
        </w:rPr>
      </w:pPr>
      <w:r>
        <w:rPr>
          <w:rFonts w:hint="default" w:ascii="Times New Roman" w:hAnsi="Times New Roman" w:eastAsia="宋体" w:cs="Times New Roman"/>
          <w:b w:val="0"/>
          <w:bCs w:val="0"/>
          <w:color w:val="000000"/>
          <w:position w:val="-2"/>
          <w:sz w:val="21"/>
          <w:szCs w:val="21"/>
          <w:lang w:val="en-US" w:eastAsia="zh-CN"/>
        </w:rPr>
        <w:t>综合考虑目前稀土精矿的主要种类包括氟碳铈矿、独居石、磷钇矿等，其中各种稀土元素占比接近50%，其余为铝、钙、镁、铁、硅、锰等元素。在进行共存元素干扰及谱线选择试验时，应综合考虑上述元素在待测溶液中的浓度，以及样品溶解过程中引入的钠元素浓度。</w:t>
      </w:r>
    </w:p>
    <w:p w14:paraId="78384CC4">
      <w:pPr>
        <w:keepNext w:val="0"/>
        <w:keepLines w:val="0"/>
        <w:pageBreakBefore w:val="0"/>
        <w:kinsoku/>
        <w:wordWrap/>
        <w:overflowPunct/>
        <w:topLinePunct w:val="0"/>
        <w:bidi w:val="0"/>
        <w:adjustRightInd/>
        <w:snapToGrid/>
        <w:spacing w:line="240" w:lineRule="auto"/>
        <w:ind w:firstLine="420" w:firstLineChars="200"/>
        <w:textAlignment w:val="auto"/>
        <w:rPr>
          <w:rFonts w:hint="default" w:ascii="Times New Roman" w:hAnsi="Times New Roman" w:eastAsia="宋体" w:cs="Times New Roman"/>
          <w:b w:val="0"/>
          <w:bCs w:val="0"/>
          <w:color w:val="000000"/>
          <w:position w:val="-2"/>
          <w:sz w:val="21"/>
          <w:szCs w:val="21"/>
          <w:lang w:val="en-US" w:eastAsia="zh-CN"/>
        </w:rPr>
      </w:pPr>
      <w:r>
        <w:rPr>
          <w:rFonts w:hint="default" w:ascii="Times New Roman" w:hAnsi="Times New Roman" w:eastAsia="宋体" w:cs="Times New Roman"/>
          <w:b w:val="0"/>
          <w:bCs w:val="0"/>
          <w:color w:val="000000"/>
          <w:position w:val="-2"/>
          <w:sz w:val="21"/>
          <w:szCs w:val="21"/>
          <w:lang w:val="en-US" w:eastAsia="zh-CN"/>
        </w:rPr>
        <w:t>考察钠元素浓度为1.5mg/mL、3.0mg/mL、6.0mg/mL的溶液对待测元素的干扰情况。</w:t>
      </w:r>
    </w:p>
    <w:p w14:paraId="3E50941D">
      <w:pPr>
        <w:keepNext w:val="0"/>
        <w:keepLines w:val="0"/>
        <w:pageBreakBefore w:val="0"/>
        <w:kinsoku/>
        <w:wordWrap/>
        <w:overflowPunct/>
        <w:topLinePunct w:val="0"/>
        <w:bidi w:val="0"/>
        <w:adjustRightInd/>
        <w:snapToGrid/>
        <w:spacing w:line="240" w:lineRule="auto"/>
        <w:ind w:firstLine="420" w:firstLineChars="200"/>
        <w:textAlignment w:val="auto"/>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b w:val="0"/>
          <w:bCs w:val="0"/>
          <w:color w:val="000000"/>
          <w:position w:val="-2"/>
          <w:sz w:val="21"/>
          <w:szCs w:val="21"/>
          <w:lang w:val="en-US" w:eastAsia="zh-CN"/>
        </w:rPr>
        <w:t>考察</w:t>
      </w:r>
      <w:r>
        <w:rPr>
          <w:rFonts w:hint="default" w:ascii="Times New Roman" w:hAnsi="Times New Roman" w:eastAsia="宋体" w:cs="Times New Roman"/>
          <w:spacing w:val="6"/>
          <w:sz w:val="21"/>
          <w:szCs w:val="21"/>
          <w:lang w:val="en-US" w:eastAsia="zh-CN"/>
        </w:rPr>
        <w:t>Al、Ca、Mg、Fe、Si、Ni、Mn元素浓度为</w:t>
      </w:r>
      <w:r>
        <w:rPr>
          <w:rFonts w:hint="default" w:ascii="Times New Roman" w:hAnsi="Times New Roman" w:eastAsia="宋体" w:cs="Times New Roman"/>
          <w:b w:val="0"/>
          <w:bCs w:val="0"/>
          <w:color w:val="000000"/>
          <w:position w:val="-2"/>
          <w:sz w:val="21"/>
          <w:szCs w:val="21"/>
          <w:lang w:val="en-US" w:eastAsia="zh-CN"/>
        </w:rPr>
        <w:t>100</w:t>
      </w:r>
      <w:r>
        <w:rPr>
          <w:rFonts w:hint="default" w:ascii="Times New Roman" w:hAnsi="Times New Roman" w:eastAsia="宋体" w:cs="Times New Roman"/>
          <w:spacing w:val="6"/>
          <w:sz w:val="21"/>
          <w:szCs w:val="21"/>
        </w:rPr>
        <w:t>μg/mL</w:t>
      </w:r>
      <w:r>
        <w:rPr>
          <w:rFonts w:hint="default" w:ascii="Times New Roman" w:hAnsi="Times New Roman" w:eastAsia="宋体" w:cs="Times New Roman"/>
          <w:spacing w:val="6"/>
          <w:sz w:val="21"/>
          <w:szCs w:val="21"/>
          <w:lang w:val="en-US" w:eastAsia="zh-CN"/>
        </w:rPr>
        <w:t>的溶液对待测元素的干扰情况。</w:t>
      </w:r>
    </w:p>
    <w:p w14:paraId="74243955">
      <w:pPr>
        <w:keepNext w:val="0"/>
        <w:keepLines w:val="0"/>
        <w:pageBreakBefore w:val="0"/>
        <w:kinsoku/>
        <w:wordWrap/>
        <w:overflowPunct/>
        <w:topLinePunct w:val="0"/>
        <w:bidi w:val="0"/>
        <w:adjustRightInd/>
        <w:snapToGrid/>
        <w:spacing w:line="240" w:lineRule="auto"/>
        <w:ind w:firstLine="444" w:firstLineChars="200"/>
        <w:textAlignment w:val="auto"/>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考察各稀土元素浓度为100</w:t>
      </w:r>
      <w:r>
        <w:rPr>
          <w:rFonts w:hint="default" w:ascii="Times New Roman" w:hAnsi="Times New Roman" w:eastAsia="宋体" w:cs="Times New Roman"/>
          <w:spacing w:val="6"/>
          <w:sz w:val="21"/>
          <w:szCs w:val="21"/>
        </w:rPr>
        <w:t>μg/mL</w:t>
      </w:r>
      <w:r>
        <w:rPr>
          <w:rFonts w:hint="default" w:ascii="Times New Roman" w:hAnsi="Times New Roman" w:eastAsia="宋体" w:cs="Times New Roman"/>
          <w:spacing w:val="6"/>
          <w:sz w:val="21"/>
          <w:szCs w:val="21"/>
          <w:lang w:val="en-US" w:eastAsia="zh-CN"/>
        </w:rPr>
        <w:t>的溶液对待测元素的干扰情况。</w:t>
      </w:r>
    </w:p>
    <w:p w14:paraId="66BF2ECF">
      <w:pPr>
        <w:keepNext w:val="0"/>
        <w:keepLines w:val="0"/>
        <w:pageBreakBefore w:val="0"/>
        <w:kinsoku/>
        <w:wordWrap/>
        <w:overflowPunct/>
        <w:topLinePunct w:val="0"/>
        <w:bidi w:val="0"/>
        <w:adjustRightInd/>
        <w:snapToGrid/>
        <w:spacing w:line="240" w:lineRule="auto"/>
        <w:ind w:firstLine="444" w:firstLineChars="200"/>
        <w:textAlignment w:val="auto"/>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通过共存元素干扰试验可知，上述共存元素对待测元素的干扰量均&lt;0.01</w:t>
      </w:r>
      <w:r>
        <w:rPr>
          <w:rFonts w:hint="default" w:ascii="Times New Roman" w:hAnsi="Times New Roman" w:eastAsia="宋体" w:cs="Times New Roman"/>
          <w:spacing w:val="6"/>
          <w:sz w:val="21"/>
          <w:szCs w:val="21"/>
        </w:rPr>
        <w:t>μg/mL</w:t>
      </w:r>
      <w:r>
        <w:rPr>
          <w:rFonts w:hint="default" w:ascii="Times New Roman" w:hAnsi="Times New Roman" w:eastAsia="宋体" w:cs="Times New Roman"/>
          <w:spacing w:val="6"/>
          <w:sz w:val="21"/>
          <w:szCs w:val="21"/>
          <w:lang w:eastAsia="zh-CN"/>
        </w:rPr>
        <w:t>，</w:t>
      </w:r>
      <w:r>
        <w:rPr>
          <w:rFonts w:hint="default" w:ascii="Times New Roman" w:hAnsi="Times New Roman" w:eastAsia="宋体" w:cs="Times New Roman"/>
          <w:spacing w:val="6"/>
          <w:sz w:val="21"/>
          <w:szCs w:val="21"/>
          <w:lang w:val="en-US" w:eastAsia="zh-CN"/>
        </w:rPr>
        <w:t>共存元素的干扰可忽略不计。</w:t>
      </w:r>
    </w:p>
    <w:p w14:paraId="68FFED3F">
      <w:pPr>
        <w:keepNext w:val="0"/>
        <w:keepLines w:val="0"/>
        <w:pageBreakBefore w:val="0"/>
        <w:kinsoku/>
        <w:wordWrap/>
        <w:overflowPunct/>
        <w:topLinePunct w:val="0"/>
        <w:bidi w:val="0"/>
        <w:adjustRightInd/>
        <w:snapToGrid/>
        <w:spacing w:line="240" w:lineRule="auto"/>
        <w:ind w:firstLine="444" w:firstLineChars="200"/>
        <w:textAlignment w:val="auto"/>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pacing w:val="6"/>
          <w:sz w:val="21"/>
          <w:szCs w:val="21"/>
          <w:lang w:val="en-US" w:eastAsia="zh-CN"/>
        </w:rPr>
        <w:t>遵循干扰相对较小甚至无干扰、灵敏度高、并综合考虑信背比、峰型、背景强度，结合上述共存元素干扰试验，最终选择推荐的分析线见表2。由于磷元素在ICP-OES测定时灵敏度普遍较低，故将径向和轴向观测方式分别作出选择推荐。推荐在条件允许的情况下使用轴向观测进行测定。推荐分析线的工作曲线谱图见下图。</w:t>
      </w:r>
    </w:p>
    <w:p w14:paraId="2843A26C">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z w:val="21"/>
          <w:szCs w:val="21"/>
        </w:rPr>
        <w:drawing>
          <wp:inline distT="0" distB="0" distL="114300" distR="114300">
            <wp:extent cx="1743710" cy="1283335"/>
            <wp:effectExtent l="0" t="0" r="8890" b="1206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5"/>
                    <a:stretch>
                      <a:fillRect/>
                    </a:stretch>
                  </pic:blipFill>
                  <pic:spPr>
                    <a:xfrm>
                      <a:off x="0" y="0"/>
                      <a:ext cx="1743710" cy="1283335"/>
                    </a:xfrm>
                    <a:prstGeom prst="rect">
                      <a:avLst/>
                    </a:prstGeom>
                    <a:noFill/>
                    <a:ln>
                      <a:noFill/>
                    </a:ln>
                  </pic:spPr>
                </pic:pic>
              </a:graphicData>
            </a:graphic>
          </wp:inline>
        </w:drawing>
      </w:r>
      <w:r>
        <w:rPr>
          <w:rFonts w:hint="default" w:ascii="Times New Roman" w:hAnsi="Times New Roman" w:eastAsia="宋体" w:cs="Times New Roman"/>
          <w:sz w:val="21"/>
          <w:szCs w:val="21"/>
        </w:rPr>
        <w:drawing>
          <wp:inline distT="0" distB="0" distL="114300" distR="114300">
            <wp:extent cx="1735455" cy="1247775"/>
            <wp:effectExtent l="0" t="0" r="444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1735455" cy="1247775"/>
                    </a:xfrm>
                    <a:prstGeom prst="rect">
                      <a:avLst/>
                    </a:prstGeom>
                    <a:noFill/>
                    <a:ln>
                      <a:noFill/>
                    </a:ln>
                  </pic:spPr>
                </pic:pic>
              </a:graphicData>
            </a:graphic>
          </wp:inline>
        </w:drawing>
      </w:r>
      <w:r>
        <w:rPr>
          <w:rFonts w:hint="default" w:ascii="Times New Roman" w:hAnsi="Times New Roman" w:eastAsia="宋体" w:cs="Times New Roman"/>
          <w:sz w:val="21"/>
          <w:szCs w:val="21"/>
        </w:rPr>
        <w:drawing>
          <wp:inline distT="0" distB="0" distL="114300" distR="114300">
            <wp:extent cx="1753235" cy="1256665"/>
            <wp:effectExtent l="0" t="0" r="12065" b="63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7"/>
                    <a:stretch>
                      <a:fillRect/>
                    </a:stretch>
                  </pic:blipFill>
                  <pic:spPr>
                    <a:xfrm>
                      <a:off x="0" y="0"/>
                      <a:ext cx="1753235" cy="1256665"/>
                    </a:xfrm>
                    <a:prstGeom prst="rect">
                      <a:avLst/>
                    </a:prstGeom>
                    <a:noFill/>
                    <a:ln>
                      <a:noFill/>
                    </a:ln>
                  </pic:spPr>
                </pic:pic>
              </a:graphicData>
            </a:graphic>
          </wp:inline>
        </w:drawing>
      </w:r>
    </w:p>
    <w:p w14:paraId="3249E17E">
      <w:pPr>
        <w:keepNext w:val="0"/>
        <w:keepLines w:val="0"/>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spacing w:val="6"/>
          <w:sz w:val="21"/>
          <w:szCs w:val="21"/>
          <w:lang w:val="en-US" w:eastAsia="zh-CN"/>
        </w:rPr>
      </w:pPr>
      <w:r>
        <w:rPr>
          <w:rFonts w:hint="default" w:ascii="Times New Roman" w:hAnsi="Times New Roman" w:eastAsia="宋体" w:cs="Times New Roman"/>
          <w:sz w:val="21"/>
          <w:szCs w:val="21"/>
        </w:rPr>
        <w:drawing>
          <wp:inline distT="0" distB="0" distL="114300" distR="114300">
            <wp:extent cx="1728470" cy="1257300"/>
            <wp:effectExtent l="0" t="0" r="1143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1728470" cy="1257300"/>
                    </a:xfrm>
                    <a:prstGeom prst="rect">
                      <a:avLst/>
                    </a:prstGeom>
                    <a:noFill/>
                    <a:ln>
                      <a:noFill/>
                    </a:ln>
                  </pic:spPr>
                </pic:pic>
              </a:graphicData>
            </a:graphic>
          </wp:inline>
        </w:drawing>
      </w:r>
      <w:r>
        <w:rPr>
          <w:rFonts w:hint="default" w:ascii="Times New Roman" w:hAnsi="Times New Roman" w:eastAsia="宋体" w:cs="Times New Roman"/>
          <w:sz w:val="21"/>
          <w:szCs w:val="21"/>
        </w:rPr>
        <w:drawing>
          <wp:inline distT="0" distB="0" distL="114300" distR="114300">
            <wp:extent cx="1707515" cy="1261110"/>
            <wp:effectExtent l="0" t="0" r="6985" b="889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stretch>
                      <a:fillRect/>
                    </a:stretch>
                  </pic:blipFill>
                  <pic:spPr>
                    <a:xfrm>
                      <a:off x="0" y="0"/>
                      <a:ext cx="1707515" cy="1261110"/>
                    </a:xfrm>
                    <a:prstGeom prst="rect">
                      <a:avLst/>
                    </a:prstGeom>
                    <a:noFill/>
                    <a:ln>
                      <a:noFill/>
                    </a:ln>
                  </pic:spPr>
                </pic:pic>
              </a:graphicData>
            </a:graphic>
          </wp:inline>
        </w:drawing>
      </w:r>
      <w:r>
        <w:rPr>
          <w:rFonts w:hint="default" w:ascii="Times New Roman" w:hAnsi="Times New Roman" w:eastAsia="宋体" w:cs="Times New Roman"/>
          <w:sz w:val="21"/>
          <w:szCs w:val="21"/>
        </w:rPr>
        <w:drawing>
          <wp:inline distT="0" distB="0" distL="114300" distR="114300">
            <wp:extent cx="1781810" cy="1279525"/>
            <wp:effectExtent l="0" t="0" r="8890" b="317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0"/>
                    <a:stretch>
                      <a:fillRect/>
                    </a:stretch>
                  </pic:blipFill>
                  <pic:spPr>
                    <a:xfrm>
                      <a:off x="0" y="0"/>
                      <a:ext cx="1781810" cy="1279525"/>
                    </a:xfrm>
                    <a:prstGeom prst="rect">
                      <a:avLst/>
                    </a:prstGeom>
                    <a:noFill/>
                    <a:ln>
                      <a:noFill/>
                    </a:ln>
                  </pic:spPr>
                </pic:pic>
              </a:graphicData>
            </a:graphic>
          </wp:inline>
        </w:drawing>
      </w:r>
    </w:p>
    <w:p w14:paraId="788B350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2.1.2.2.2 样品前处理条件试验</w:t>
      </w:r>
    </w:p>
    <w:p w14:paraId="00CDE53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2.1.2.2.2.1 碱用量试验</w:t>
      </w:r>
    </w:p>
    <w:p w14:paraId="092A9B40">
      <w:pPr>
        <w:pStyle w:val="10"/>
        <w:keepNext w:val="0"/>
        <w:keepLines w:val="0"/>
        <w:pageBreakBefore w:val="0"/>
        <w:kinsoku/>
        <w:wordWrap/>
        <w:overflowPunct/>
        <w:topLinePunct w:val="0"/>
        <w:bidi w:val="0"/>
        <w:adjustRightInd/>
        <w:snapToGrid/>
        <w:spacing w:line="240" w:lineRule="auto"/>
        <w:ind w:firstLine="420"/>
        <w:textAlignment w:val="auto"/>
        <w:rPr>
          <w:rFonts w:hint="default" w:ascii="Times New Roman" w:hAnsi="Times New Roman" w:eastAsia="宋体" w:cs="Times New Roman"/>
          <w:position w:val="-2"/>
          <w:sz w:val="21"/>
          <w:szCs w:val="21"/>
          <w:lang w:val="en-US" w:eastAsia="zh-CN"/>
        </w:rPr>
      </w:pPr>
      <w:r>
        <w:rPr>
          <w:rFonts w:hint="default" w:ascii="Times New Roman" w:hAnsi="Times New Roman" w:eastAsia="宋体" w:cs="Times New Roman"/>
          <w:position w:val="-2"/>
          <w:sz w:val="21"/>
          <w:szCs w:val="21"/>
          <w:lang w:val="en-US" w:eastAsia="zh-CN"/>
        </w:rPr>
        <w:t>在前述共存元素干扰试验中，Al和Ni的共存元素对样品测定均无影响，从经济实用以及实际使用效果方面考虑，选择刚玉坩埚进行样品熔融。</w:t>
      </w:r>
      <w:r>
        <w:rPr>
          <w:rFonts w:hint="default" w:ascii="Times New Roman" w:hAnsi="Times New Roman" w:eastAsia="宋体" w:cs="Times New Roman"/>
          <w:position w:val="-2"/>
          <w:sz w:val="21"/>
          <w:szCs w:val="21"/>
        </w:rPr>
        <w:t>由于在大量盐分存在的情况不仅影响测定稳定性和空白值，还会缩短矩管使用寿命，所以应尽量减少碱的用量，取</w:t>
      </w:r>
      <w:r>
        <w:rPr>
          <w:rFonts w:hint="default" w:ascii="Times New Roman" w:hAnsi="Times New Roman" w:eastAsia="宋体" w:cs="Times New Roman"/>
          <w:position w:val="-2"/>
          <w:sz w:val="21"/>
          <w:szCs w:val="21"/>
          <w:lang w:val="en-US" w:eastAsia="zh-CN"/>
        </w:rPr>
        <w:t>2#统一样品</w:t>
      </w:r>
      <w:r>
        <w:rPr>
          <w:rFonts w:hint="default" w:ascii="Times New Roman" w:hAnsi="Times New Roman" w:eastAsia="宋体" w:cs="Times New Roman"/>
          <w:position w:val="-2"/>
          <w:sz w:val="21"/>
          <w:szCs w:val="21"/>
        </w:rPr>
        <w:t>做碱量试验，</w:t>
      </w:r>
      <w:r>
        <w:rPr>
          <w:rFonts w:hint="default" w:ascii="Times New Roman" w:hAnsi="Times New Roman" w:eastAsia="宋体" w:cs="Times New Roman"/>
          <w:position w:val="-2"/>
          <w:sz w:val="21"/>
          <w:szCs w:val="21"/>
          <w:lang w:val="en-US" w:eastAsia="zh-CN"/>
        </w:rPr>
        <w:t>其余操作按前述样品溶解的方法进行。</w:t>
      </w:r>
    </w:p>
    <w:p w14:paraId="6BD0D56A">
      <w:pPr>
        <w:pStyle w:val="10"/>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lang w:val="en-US" w:eastAsia="zh-CN"/>
        </w:rPr>
      </w:pPr>
      <w:r>
        <w:rPr>
          <w:rFonts w:hint="eastAsia" w:ascii="黑体" w:hAnsi="黑体" w:eastAsia="黑体" w:cs="黑体"/>
          <w:position w:val="-2"/>
          <w:sz w:val="18"/>
          <w:szCs w:val="18"/>
          <w:lang w:val="en-US" w:eastAsia="zh-CN"/>
        </w:rPr>
        <w:t>表16 碱用量试验</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3619"/>
        <w:gridCol w:w="2301"/>
      </w:tblGrid>
      <w:tr w14:paraId="09DC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811" w:type="dxa"/>
            <w:noWrap w:val="0"/>
            <w:vAlign w:val="center"/>
          </w:tcPr>
          <w:p w14:paraId="1727CF76">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氢氧化钠+过氧化钠/g</w:t>
            </w:r>
          </w:p>
        </w:tc>
        <w:tc>
          <w:tcPr>
            <w:tcW w:w="3943" w:type="dxa"/>
            <w:noWrap w:val="0"/>
            <w:vAlign w:val="center"/>
          </w:tcPr>
          <w:p w14:paraId="04599E97">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实验现象</w:t>
            </w:r>
          </w:p>
        </w:tc>
        <w:tc>
          <w:tcPr>
            <w:tcW w:w="2488" w:type="dxa"/>
            <w:noWrap w:val="0"/>
            <w:vAlign w:val="center"/>
          </w:tcPr>
          <w:p w14:paraId="4FB12126">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测定结果%</w:t>
            </w:r>
          </w:p>
        </w:tc>
      </w:tr>
      <w:tr w14:paraId="4C89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811" w:type="dxa"/>
            <w:noWrap w:val="0"/>
            <w:vAlign w:val="center"/>
          </w:tcPr>
          <w:p w14:paraId="52B006D6">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2</w:t>
            </w:r>
            <w:r>
              <w:rPr>
                <w:rFonts w:hint="default" w:ascii="Times New Roman" w:hAnsi="Times New Roman" w:eastAsia="宋体" w:cs="Times New Roman"/>
                <w:kern w:val="0"/>
                <w:sz w:val="18"/>
                <w:szCs w:val="18"/>
              </w:rPr>
              <w:t>+</w:t>
            </w:r>
            <w:r>
              <w:rPr>
                <w:rFonts w:hint="default" w:ascii="Times New Roman" w:hAnsi="Times New Roman" w:eastAsia="宋体" w:cs="Times New Roman"/>
                <w:kern w:val="0"/>
                <w:sz w:val="18"/>
                <w:szCs w:val="18"/>
                <w:lang w:val="en-US" w:eastAsia="zh-CN"/>
              </w:rPr>
              <w:t>0.5</w:t>
            </w:r>
          </w:p>
        </w:tc>
        <w:tc>
          <w:tcPr>
            <w:tcW w:w="3943" w:type="dxa"/>
            <w:noWrap w:val="0"/>
            <w:vAlign w:val="center"/>
          </w:tcPr>
          <w:p w14:paraId="63F4805A">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有未溶解黑色残留物，试液浑浊</w:t>
            </w:r>
          </w:p>
        </w:tc>
        <w:tc>
          <w:tcPr>
            <w:tcW w:w="2488" w:type="dxa"/>
            <w:noWrap w:val="0"/>
            <w:vAlign w:val="center"/>
          </w:tcPr>
          <w:p w14:paraId="6A4DFC47">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1.40</w:t>
            </w:r>
          </w:p>
        </w:tc>
      </w:tr>
      <w:tr w14:paraId="2C19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811" w:type="dxa"/>
            <w:noWrap w:val="0"/>
            <w:vAlign w:val="center"/>
          </w:tcPr>
          <w:p w14:paraId="52257701">
            <w:pPr>
              <w:spacing w:line="240" w:lineRule="auto"/>
              <w:jc w:val="center"/>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val="en-US" w:eastAsia="zh-CN"/>
              </w:rPr>
              <w:t>3</w:t>
            </w:r>
            <w:r>
              <w:rPr>
                <w:rFonts w:hint="default" w:ascii="Times New Roman" w:hAnsi="Times New Roman" w:eastAsia="宋体" w:cs="Times New Roman"/>
                <w:kern w:val="0"/>
                <w:sz w:val="18"/>
                <w:szCs w:val="18"/>
              </w:rPr>
              <w:t>+</w:t>
            </w:r>
            <w:r>
              <w:rPr>
                <w:rFonts w:hint="default" w:ascii="Times New Roman" w:hAnsi="Times New Roman" w:eastAsia="宋体" w:cs="Times New Roman"/>
                <w:kern w:val="0"/>
                <w:sz w:val="18"/>
                <w:szCs w:val="18"/>
                <w:lang w:val="en-US" w:eastAsia="zh-CN"/>
              </w:rPr>
              <w:t>1</w:t>
            </w:r>
          </w:p>
        </w:tc>
        <w:tc>
          <w:tcPr>
            <w:tcW w:w="3943" w:type="dxa"/>
            <w:noWrap w:val="0"/>
            <w:vAlign w:val="center"/>
          </w:tcPr>
          <w:p w14:paraId="0E59FF01">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无黑色残留物，试液澄清</w:t>
            </w:r>
          </w:p>
        </w:tc>
        <w:tc>
          <w:tcPr>
            <w:tcW w:w="2488" w:type="dxa"/>
            <w:noWrap w:val="0"/>
            <w:vAlign w:val="center"/>
          </w:tcPr>
          <w:p w14:paraId="6401DF5A">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1.73</w:t>
            </w:r>
          </w:p>
        </w:tc>
      </w:tr>
      <w:tr w14:paraId="67AB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811" w:type="dxa"/>
            <w:noWrap w:val="0"/>
            <w:vAlign w:val="top"/>
          </w:tcPr>
          <w:p w14:paraId="05EAC381">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3</w:t>
            </w:r>
            <w:r>
              <w:rPr>
                <w:rFonts w:hint="default" w:ascii="Times New Roman" w:hAnsi="Times New Roman" w:eastAsia="宋体" w:cs="Times New Roman"/>
                <w:kern w:val="0"/>
                <w:sz w:val="18"/>
                <w:szCs w:val="18"/>
              </w:rPr>
              <w:t>+</w:t>
            </w:r>
            <w:r>
              <w:rPr>
                <w:rFonts w:hint="default" w:ascii="Times New Roman" w:hAnsi="Times New Roman" w:eastAsia="宋体" w:cs="Times New Roman"/>
                <w:kern w:val="0"/>
                <w:sz w:val="18"/>
                <w:szCs w:val="18"/>
                <w:lang w:val="en-US" w:eastAsia="zh-CN"/>
              </w:rPr>
              <w:t>1.5</w:t>
            </w:r>
          </w:p>
        </w:tc>
        <w:tc>
          <w:tcPr>
            <w:tcW w:w="3943" w:type="dxa"/>
            <w:noWrap w:val="0"/>
            <w:vAlign w:val="center"/>
          </w:tcPr>
          <w:p w14:paraId="12E3DB91">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无黑色残留物，试液澄清</w:t>
            </w:r>
          </w:p>
        </w:tc>
        <w:tc>
          <w:tcPr>
            <w:tcW w:w="2488" w:type="dxa"/>
            <w:noWrap w:val="0"/>
            <w:vAlign w:val="top"/>
          </w:tcPr>
          <w:p w14:paraId="3C14FBA9">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1.75</w:t>
            </w:r>
          </w:p>
        </w:tc>
      </w:tr>
      <w:tr w14:paraId="2A55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811" w:type="dxa"/>
            <w:noWrap w:val="0"/>
            <w:vAlign w:val="top"/>
          </w:tcPr>
          <w:p w14:paraId="22300F80">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rPr>
              <w:t>4+</w:t>
            </w:r>
            <w:r>
              <w:rPr>
                <w:rFonts w:hint="default" w:ascii="Times New Roman" w:hAnsi="Times New Roman" w:eastAsia="宋体" w:cs="Times New Roman"/>
                <w:kern w:val="0"/>
                <w:sz w:val="18"/>
                <w:szCs w:val="18"/>
                <w:lang w:val="en-US" w:eastAsia="zh-CN"/>
              </w:rPr>
              <w:t>1.5</w:t>
            </w:r>
          </w:p>
        </w:tc>
        <w:tc>
          <w:tcPr>
            <w:tcW w:w="3943" w:type="dxa"/>
            <w:noWrap w:val="0"/>
            <w:vAlign w:val="center"/>
          </w:tcPr>
          <w:p w14:paraId="62F60A84">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无黑色残留物，试液澄清</w:t>
            </w:r>
          </w:p>
        </w:tc>
        <w:tc>
          <w:tcPr>
            <w:tcW w:w="2488" w:type="dxa"/>
            <w:noWrap w:val="0"/>
            <w:vAlign w:val="top"/>
          </w:tcPr>
          <w:p w14:paraId="7DD50B9B">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1.74</w:t>
            </w:r>
          </w:p>
        </w:tc>
      </w:tr>
      <w:tr w14:paraId="7BF2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811" w:type="dxa"/>
            <w:noWrap w:val="0"/>
            <w:vAlign w:val="top"/>
          </w:tcPr>
          <w:p w14:paraId="7C7626C5">
            <w:pPr>
              <w:spacing w:line="240" w:lineRule="auto"/>
              <w:jc w:val="center"/>
              <w:rPr>
                <w:rFonts w:hint="default" w:ascii="Times New Roman" w:hAnsi="Times New Roman" w:eastAsia="宋体" w:cs="Times New Roman"/>
                <w:kern w:val="0"/>
                <w:sz w:val="18"/>
                <w:szCs w:val="18"/>
                <w:lang w:eastAsia="zh-CN"/>
              </w:rPr>
            </w:pPr>
            <w:r>
              <w:rPr>
                <w:rFonts w:hint="default" w:ascii="Times New Roman" w:hAnsi="Times New Roman" w:eastAsia="宋体" w:cs="Times New Roman"/>
                <w:kern w:val="0"/>
                <w:sz w:val="18"/>
                <w:szCs w:val="18"/>
                <w:lang w:val="en-US" w:eastAsia="zh-CN"/>
              </w:rPr>
              <w:t>4</w:t>
            </w:r>
            <w:r>
              <w:rPr>
                <w:rFonts w:hint="default" w:ascii="Times New Roman" w:hAnsi="Times New Roman" w:eastAsia="宋体" w:cs="Times New Roman"/>
                <w:kern w:val="0"/>
                <w:sz w:val="18"/>
                <w:szCs w:val="18"/>
              </w:rPr>
              <w:t>+</w:t>
            </w:r>
            <w:r>
              <w:rPr>
                <w:rFonts w:hint="default" w:ascii="Times New Roman" w:hAnsi="Times New Roman" w:eastAsia="宋体" w:cs="Times New Roman"/>
                <w:kern w:val="0"/>
                <w:sz w:val="18"/>
                <w:szCs w:val="18"/>
                <w:lang w:val="en-US" w:eastAsia="zh-CN"/>
              </w:rPr>
              <w:t>2</w:t>
            </w:r>
          </w:p>
        </w:tc>
        <w:tc>
          <w:tcPr>
            <w:tcW w:w="3943" w:type="dxa"/>
            <w:noWrap w:val="0"/>
            <w:vAlign w:val="center"/>
          </w:tcPr>
          <w:p w14:paraId="5B7CDDF9">
            <w:pPr>
              <w:spacing w:line="240" w:lineRule="auto"/>
              <w:jc w:val="center"/>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无黑色残留物，试液澄清</w:t>
            </w:r>
          </w:p>
        </w:tc>
        <w:tc>
          <w:tcPr>
            <w:tcW w:w="2488" w:type="dxa"/>
            <w:noWrap w:val="0"/>
            <w:vAlign w:val="top"/>
          </w:tcPr>
          <w:p w14:paraId="690896A0">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kern w:val="0"/>
                <w:sz w:val="18"/>
                <w:szCs w:val="18"/>
                <w:lang w:val="en-US" w:eastAsia="zh-CN"/>
              </w:rPr>
              <w:t>1.76</w:t>
            </w:r>
          </w:p>
        </w:tc>
      </w:tr>
    </w:tbl>
    <w:p w14:paraId="176623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position w:val="-2"/>
          <w:sz w:val="21"/>
          <w:szCs w:val="21"/>
          <w:lang w:val="en-US" w:eastAsia="zh-CN"/>
        </w:rPr>
        <w:t>综合考虑NaOH和Na</w:t>
      </w:r>
      <w:r>
        <w:rPr>
          <w:rFonts w:hint="default" w:ascii="Times New Roman" w:hAnsi="Times New Roman" w:eastAsia="宋体" w:cs="Times New Roman"/>
          <w:position w:val="-2"/>
          <w:sz w:val="21"/>
          <w:szCs w:val="21"/>
          <w:vertAlign w:val="subscript"/>
          <w:lang w:val="en-US" w:eastAsia="zh-CN"/>
        </w:rPr>
        <w:t>2</w:t>
      </w:r>
      <w:r>
        <w:rPr>
          <w:rFonts w:hint="default" w:ascii="Times New Roman" w:hAnsi="Times New Roman" w:eastAsia="宋体" w:cs="Times New Roman"/>
          <w:position w:val="-2"/>
          <w:sz w:val="21"/>
          <w:szCs w:val="21"/>
          <w:lang w:val="en-US" w:eastAsia="zh-CN"/>
        </w:rPr>
        <w:t>O</w:t>
      </w:r>
      <w:r>
        <w:rPr>
          <w:rFonts w:hint="default" w:ascii="Times New Roman" w:hAnsi="Times New Roman" w:eastAsia="宋体" w:cs="Times New Roman"/>
          <w:position w:val="-2"/>
          <w:sz w:val="21"/>
          <w:szCs w:val="21"/>
          <w:vertAlign w:val="subscript"/>
          <w:lang w:val="en-US" w:eastAsia="zh-CN"/>
        </w:rPr>
        <w:t>2</w:t>
      </w:r>
      <w:r>
        <w:rPr>
          <w:rFonts w:hint="default" w:ascii="Times New Roman" w:hAnsi="Times New Roman" w:eastAsia="宋体" w:cs="Times New Roman"/>
          <w:position w:val="-2"/>
          <w:sz w:val="21"/>
          <w:szCs w:val="21"/>
          <w:vertAlign w:val="baseline"/>
          <w:lang w:val="en-US" w:eastAsia="zh-CN"/>
        </w:rPr>
        <w:t>在样品熔融分解过程中的实际作用，选择加入（3+1.5）g混合熔剂。</w:t>
      </w:r>
    </w:p>
    <w:p w14:paraId="684D5E2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2.1.2.2.2.2 熔融时间选择试验</w:t>
      </w:r>
    </w:p>
    <w:p w14:paraId="351F3F07">
      <w:pPr>
        <w:pStyle w:val="10"/>
        <w:keepNext w:val="0"/>
        <w:keepLines w:val="0"/>
        <w:pageBreakBefore w:val="0"/>
        <w:kinsoku/>
        <w:wordWrap/>
        <w:overflowPunct/>
        <w:topLinePunct w:val="0"/>
        <w:bidi w:val="0"/>
        <w:adjustRightInd/>
        <w:snapToGrid/>
        <w:spacing w:line="240" w:lineRule="auto"/>
        <w:ind w:left="0" w:leftChars="0" w:firstLine="420" w:firstLineChars="200"/>
        <w:textAlignment w:val="auto"/>
        <w:rPr>
          <w:rFonts w:hint="default" w:ascii="Times New Roman" w:hAnsi="Times New Roman" w:eastAsia="宋体" w:cs="Times New Roman"/>
          <w:position w:val="-2"/>
          <w:sz w:val="21"/>
          <w:szCs w:val="21"/>
          <w:lang w:val="en-US" w:eastAsia="zh-CN"/>
        </w:rPr>
      </w:pPr>
      <w:r>
        <w:rPr>
          <w:rFonts w:hint="default" w:ascii="Times New Roman" w:hAnsi="Times New Roman" w:eastAsia="宋体" w:cs="Times New Roman"/>
          <w:position w:val="-2"/>
          <w:sz w:val="21"/>
          <w:szCs w:val="21"/>
          <w:vertAlign w:val="baseline"/>
          <w:lang w:val="en-US" w:eastAsia="zh-CN"/>
        </w:rPr>
        <w:t>熔融时间会影响样品分解效果，同时也会影响镍坩埚的使用寿命，所以应保证样品分解效果的前提下尽量选择较短的熔融时间。</w:t>
      </w:r>
      <w:r>
        <w:rPr>
          <w:rFonts w:hint="default" w:ascii="Times New Roman" w:hAnsi="Times New Roman" w:cs="Times New Roman"/>
          <w:position w:val="-2"/>
          <w:sz w:val="21"/>
          <w:szCs w:val="21"/>
        </w:rPr>
        <w:t>取</w:t>
      </w:r>
      <w:r>
        <w:rPr>
          <w:rFonts w:hint="default" w:ascii="Times New Roman" w:hAnsi="Times New Roman" w:eastAsia="宋体" w:cs="Times New Roman"/>
          <w:position w:val="-2"/>
          <w:sz w:val="21"/>
          <w:szCs w:val="21"/>
          <w:lang w:val="en-US" w:eastAsia="zh-CN"/>
        </w:rPr>
        <w:t>2#、5#统一样品</w:t>
      </w:r>
      <w:r>
        <w:rPr>
          <w:rFonts w:hint="default" w:ascii="Times New Roman" w:hAnsi="Times New Roman" w:cs="Times New Roman"/>
          <w:position w:val="-2"/>
          <w:sz w:val="21"/>
          <w:szCs w:val="21"/>
        </w:rPr>
        <w:t>做</w:t>
      </w:r>
      <w:r>
        <w:rPr>
          <w:rFonts w:hint="default" w:ascii="Times New Roman" w:hAnsi="Times New Roman" w:eastAsia="宋体" w:cs="Times New Roman"/>
          <w:position w:val="-2"/>
          <w:sz w:val="21"/>
          <w:szCs w:val="21"/>
          <w:lang w:val="en-US" w:eastAsia="zh-CN"/>
        </w:rPr>
        <w:t>熔融时间试验。</w:t>
      </w:r>
    </w:p>
    <w:p w14:paraId="3D419C6D">
      <w:pPr>
        <w:pStyle w:val="10"/>
        <w:keepNext w:val="0"/>
        <w:keepLines w:val="0"/>
        <w:pageBreakBefore w:val="0"/>
        <w:kinsoku/>
        <w:wordWrap/>
        <w:overflowPunct/>
        <w:topLinePunct w:val="0"/>
        <w:bidi w:val="0"/>
        <w:adjustRightInd/>
        <w:snapToGrid/>
        <w:spacing w:line="240" w:lineRule="auto"/>
        <w:ind w:left="0" w:leftChars="0" w:firstLine="0" w:firstLineChars="0"/>
        <w:jc w:val="center"/>
        <w:textAlignment w:val="auto"/>
        <w:rPr>
          <w:rFonts w:hint="eastAsia" w:ascii="黑体" w:hAnsi="黑体" w:eastAsia="黑体" w:cs="黑体"/>
          <w:position w:val="-2"/>
          <w:sz w:val="18"/>
          <w:szCs w:val="18"/>
          <w:lang w:val="en-US" w:eastAsia="zh-CN"/>
        </w:rPr>
      </w:pPr>
      <w:r>
        <w:rPr>
          <w:rFonts w:hint="eastAsia" w:ascii="黑体" w:hAnsi="黑体" w:eastAsia="黑体" w:cs="黑体"/>
          <w:position w:val="-2"/>
          <w:sz w:val="18"/>
          <w:szCs w:val="18"/>
          <w:lang w:val="en-US" w:eastAsia="zh-CN"/>
        </w:rPr>
        <w:t>表17 样品熔融时间试验</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142"/>
        <w:gridCol w:w="1401"/>
        <w:gridCol w:w="1625"/>
        <w:gridCol w:w="1625"/>
        <w:gridCol w:w="1627"/>
      </w:tblGrid>
      <w:tr w14:paraId="4706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pct"/>
            <w:gridSpan w:val="2"/>
            <w:noWrap w:val="0"/>
            <w:vAlign w:val="center"/>
          </w:tcPr>
          <w:p w14:paraId="7FC24981">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样品熔融时间/min</w:t>
            </w:r>
          </w:p>
        </w:tc>
        <w:tc>
          <w:tcPr>
            <w:tcW w:w="822" w:type="pct"/>
            <w:noWrap w:val="0"/>
            <w:vAlign w:val="center"/>
          </w:tcPr>
          <w:p w14:paraId="6C941256">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5</w:t>
            </w:r>
          </w:p>
        </w:tc>
        <w:tc>
          <w:tcPr>
            <w:tcW w:w="954" w:type="pct"/>
            <w:noWrap w:val="0"/>
            <w:vAlign w:val="center"/>
          </w:tcPr>
          <w:p w14:paraId="3E6D2935">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8</w:t>
            </w:r>
          </w:p>
        </w:tc>
        <w:tc>
          <w:tcPr>
            <w:tcW w:w="954" w:type="pct"/>
            <w:noWrap w:val="0"/>
            <w:vAlign w:val="center"/>
          </w:tcPr>
          <w:p w14:paraId="54853134">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10</w:t>
            </w:r>
          </w:p>
        </w:tc>
        <w:tc>
          <w:tcPr>
            <w:tcW w:w="955" w:type="pct"/>
            <w:noWrap w:val="0"/>
            <w:vAlign w:val="center"/>
          </w:tcPr>
          <w:p w14:paraId="144556A3">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15</w:t>
            </w:r>
          </w:p>
        </w:tc>
      </w:tr>
      <w:tr w14:paraId="1A21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restart"/>
            <w:noWrap w:val="0"/>
            <w:vAlign w:val="center"/>
          </w:tcPr>
          <w:p w14:paraId="24968F0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测定值/%</w:t>
            </w:r>
          </w:p>
        </w:tc>
        <w:tc>
          <w:tcPr>
            <w:tcW w:w="670" w:type="pct"/>
            <w:noWrap w:val="0"/>
            <w:vAlign w:val="center"/>
          </w:tcPr>
          <w:p w14:paraId="4F41D5CE">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w:t>
            </w:r>
          </w:p>
        </w:tc>
        <w:tc>
          <w:tcPr>
            <w:tcW w:w="822" w:type="pct"/>
            <w:noWrap w:val="0"/>
            <w:vAlign w:val="center"/>
          </w:tcPr>
          <w:p w14:paraId="29F0DD4E">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1.44</w:t>
            </w:r>
          </w:p>
        </w:tc>
        <w:tc>
          <w:tcPr>
            <w:tcW w:w="954" w:type="pct"/>
            <w:noWrap w:val="0"/>
            <w:vAlign w:val="center"/>
          </w:tcPr>
          <w:p w14:paraId="6343A4B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1.73</w:t>
            </w:r>
          </w:p>
        </w:tc>
        <w:tc>
          <w:tcPr>
            <w:tcW w:w="954" w:type="pct"/>
            <w:noWrap w:val="0"/>
            <w:vAlign w:val="center"/>
          </w:tcPr>
          <w:p w14:paraId="5918005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1.71</w:t>
            </w:r>
          </w:p>
        </w:tc>
        <w:tc>
          <w:tcPr>
            <w:tcW w:w="955" w:type="pct"/>
            <w:noWrap w:val="0"/>
            <w:vAlign w:val="center"/>
          </w:tcPr>
          <w:p w14:paraId="2710DBD4">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1.68</w:t>
            </w:r>
          </w:p>
        </w:tc>
      </w:tr>
      <w:tr w14:paraId="3A4A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noWrap w:val="0"/>
            <w:vAlign w:val="center"/>
          </w:tcPr>
          <w:p w14:paraId="5DF3EE0F">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p>
        </w:tc>
        <w:tc>
          <w:tcPr>
            <w:tcW w:w="670" w:type="pct"/>
            <w:noWrap w:val="0"/>
            <w:vAlign w:val="center"/>
          </w:tcPr>
          <w:p w14:paraId="3525DF9D">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5#</w:t>
            </w:r>
          </w:p>
        </w:tc>
        <w:tc>
          <w:tcPr>
            <w:tcW w:w="822" w:type="pct"/>
            <w:noWrap w:val="0"/>
            <w:vAlign w:val="center"/>
          </w:tcPr>
          <w:p w14:paraId="7DC22E0A">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21.38</w:t>
            </w:r>
          </w:p>
        </w:tc>
        <w:tc>
          <w:tcPr>
            <w:tcW w:w="954" w:type="pct"/>
            <w:noWrap w:val="0"/>
            <w:vAlign w:val="center"/>
          </w:tcPr>
          <w:p w14:paraId="5CEAF71B">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23.04</w:t>
            </w:r>
          </w:p>
        </w:tc>
        <w:tc>
          <w:tcPr>
            <w:tcW w:w="954" w:type="pct"/>
            <w:noWrap w:val="0"/>
            <w:vAlign w:val="center"/>
          </w:tcPr>
          <w:p w14:paraId="267426AA">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22.94</w:t>
            </w:r>
          </w:p>
        </w:tc>
        <w:tc>
          <w:tcPr>
            <w:tcW w:w="955" w:type="pct"/>
            <w:noWrap w:val="0"/>
            <w:vAlign w:val="center"/>
          </w:tcPr>
          <w:p w14:paraId="6217C9C8">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23.08</w:t>
            </w:r>
          </w:p>
        </w:tc>
      </w:tr>
    </w:tbl>
    <w:p w14:paraId="04BBAB9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position w:val="-2"/>
          <w:sz w:val="21"/>
          <w:szCs w:val="21"/>
          <w:lang w:val="en-US" w:eastAsia="zh-CN"/>
        </w:rPr>
      </w:pPr>
      <w:r>
        <w:rPr>
          <w:rFonts w:hint="default" w:ascii="Times New Roman" w:hAnsi="Times New Roman" w:eastAsia="宋体" w:cs="Times New Roman"/>
          <w:position w:val="-2"/>
          <w:sz w:val="21"/>
          <w:szCs w:val="21"/>
          <w:lang w:val="en-US" w:eastAsia="zh-CN"/>
        </w:rPr>
        <w:t>通过上述试验，样品在</w:t>
      </w:r>
      <w:r>
        <w:rPr>
          <w:rFonts w:hint="eastAsia" w:ascii="Times New Roman" w:hAnsi="Times New Roman" w:eastAsia="宋体" w:cs="Times New Roman"/>
          <w:position w:val="-2"/>
          <w:sz w:val="21"/>
          <w:szCs w:val="21"/>
          <w:lang w:val="en-US" w:eastAsia="zh-CN"/>
        </w:rPr>
        <w:t>8</w:t>
      </w:r>
      <w:r>
        <w:rPr>
          <w:rFonts w:hint="default" w:ascii="Times New Roman" w:hAnsi="Times New Roman" w:eastAsia="宋体" w:cs="Times New Roman"/>
          <w:position w:val="-2"/>
          <w:sz w:val="21"/>
          <w:szCs w:val="21"/>
          <w:lang w:val="en-US" w:eastAsia="zh-CN"/>
        </w:rPr>
        <w:t>min</w:t>
      </w:r>
      <w:r>
        <w:rPr>
          <w:rFonts w:hint="eastAsia" w:ascii="Times New Roman" w:hAnsi="Times New Roman" w:eastAsia="宋体" w:cs="Times New Roman"/>
          <w:position w:val="-2"/>
          <w:sz w:val="21"/>
          <w:szCs w:val="21"/>
          <w:lang w:val="en-US" w:eastAsia="zh-CN"/>
        </w:rPr>
        <w:t>以上</w:t>
      </w:r>
      <w:r>
        <w:rPr>
          <w:rFonts w:hint="default" w:ascii="Times New Roman" w:hAnsi="Times New Roman" w:eastAsia="宋体" w:cs="Times New Roman"/>
          <w:position w:val="-2"/>
          <w:sz w:val="21"/>
          <w:szCs w:val="21"/>
          <w:lang w:val="en-US" w:eastAsia="zh-CN"/>
        </w:rPr>
        <w:t>的熔融时间下，熔融效果良好，选择</w:t>
      </w:r>
      <w:r>
        <w:rPr>
          <w:rFonts w:hint="eastAsia" w:ascii="Times New Roman" w:hAnsi="Times New Roman" w:eastAsia="宋体" w:cs="Times New Roman"/>
          <w:position w:val="-2"/>
          <w:sz w:val="21"/>
          <w:szCs w:val="21"/>
          <w:lang w:val="en-US" w:eastAsia="zh-CN"/>
        </w:rPr>
        <w:t>10</w:t>
      </w:r>
      <w:r>
        <w:rPr>
          <w:rFonts w:hint="default" w:ascii="Times New Roman" w:hAnsi="Times New Roman" w:eastAsia="宋体" w:cs="Times New Roman"/>
          <w:position w:val="-2"/>
          <w:sz w:val="21"/>
          <w:szCs w:val="21"/>
          <w:lang w:val="en-US" w:eastAsia="zh-CN"/>
        </w:rPr>
        <w:t>分钟作为样品熔融时间，并在中间取出摇动一次。</w:t>
      </w:r>
    </w:p>
    <w:p w14:paraId="0795F5F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position w:val="-2"/>
          <w:sz w:val="21"/>
          <w:szCs w:val="21"/>
          <w:lang w:val="en-US" w:eastAsia="zh-CN"/>
        </w:rPr>
      </w:pPr>
      <w:r>
        <w:rPr>
          <w:rFonts w:hint="eastAsia" w:ascii="Times New Roman" w:hAnsi="Times New Roman" w:cs="Times New Roman"/>
          <w:sz w:val="21"/>
          <w:szCs w:val="21"/>
          <w:vertAlign w:val="baseline"/>
          <w:lang w:val="en-US" w:eastAsia="zh-CN"/>
        </w:rPr>
        <w:t>2.1.2.2.2.3 熔融物酸化用量试验</w:t>
      </w:r>
    </w:p>
    <w:p w14:paraId="2E90CAE0">
      <w:pPr>
        <w:pStyle w:val="10"/>
        <w:spacing w:line="240" w:lineRule="auto"/>
        <w:ind w:left="0" w:leftChars="0" w:firstLine="420" w:firstLineChars="200"/>
        <w:rPr>
          <w:rFonts w:hint="default" w:ascii="Times New Roman" w:hAnsi="Times New Roman" w:eastAsia="宋体" w:cs="Times New Roman"/>
          <w:position w:val="-2"/>
          <w:sz w:val="21"/>
          <w:szCs w:val="21"/>
          <w:lang w:val="en-US" w:eastAsia="zh-CN"/>
        </w:rPr>
      </w:pPr>
      <w:r>
        <w:rPr>
          <w:rFonts w:hint="default" w:ascii="Times New Roman" w:hAnsi="Times New Roman" w:eastAsia="宋体" w:cs="Times New Roman"/>
          <w:position w:val="-2"/>
          <w:sz w:val="21"/>
          <w:szCs w:val="21"/>
          <w:lang w:val="en-US" w:eastAsia="zh-CN"/>
        </w:rPr>
        <w:t>根据熔融加入碱量理论计算得出加入20mL</w:t>
      </w:r>
      <w:r>
        <w:rPr>
          <w:rFonts w:hint="eastAsia" w:ascii="Times New Roman" w:hAnsi="Times New Roman" w:eastAsia="宋体" w:cs="Times New Roman"/>
          <w:position w:val="-2"/>
          <w:sz w:val="21"/>
          <w:szCs w:val="21"/>
          <w:lang w:val="en-US" w:eastAsia="zh-CN"/>
        </w:rPr>
        <w:t>硝酸或盐酸</w:t>
      </w:r>
      <w:r>
        <w:rPr>
          <w:rFonts w:hint="default" w:ascii="Times New Roman" w:hAnsi="Times New Roman" w:eastAsia="宋体" w:cs="Times New Roman"/>
          <w:position w:val="-2"/>
          <w:sz w:val="21"/>
          <w:szCs w:val="21"/>
          <w:lang w:val="en-US" w:eastAsia="zh-CN"/>
        </w:rPr>
        <w:t>即可保证熔融物完全酸化</w:t>
      </w:r>
      <w:r>
        <w:rPr>
          <w:rFonts w:hint="eastAsia" w:ascii="Times New Roman" w:hAnsi="Times New Roman" w:eastAsia="宋体" w:cs="Times New Roman"/>
          <w:position w:val="-2"/>
          <w:sz w:val="21"/>
          <w:szCs w:val="21"/>
          <w:lang w:val="en-US" w:eastAsia="zh-CN"/>
        </w:rPr>
        <w:t>。</w:t>
      </w:r>
      <w:r>
        <w:rPr>
          <w:rFonts w:hint="default" w:ascii="Times New Roman" w:hAnsi="Times New Roman" w:eastAsia="宋体" w:cs="Times New Roman"/>
          <w:position w:val="-2"/>
          <w:sz w:val="21"/>
          <w:szCs w:val="21"/>
          <w:lang w:val="en-US" w:eastAsia="zh-CN"/>
        </w:rPr>
        <w:t>通过实际试验现象，加入20mL硝酸时，溶液稍显浑浊但对结果无影响，加入30mL时溶液更加清亮</w:t>
      </w:r>
      <w:r>
        <w:rPr>
          <w:rFonts w:hint="eastAsia" w:ascii="Times New Roman" w:hAnsi="Times New Roman" w:eastAsia="宋体" w:cs="Times New Roman"/>
          <w:position w:val="-2"/>
          <w:sz w:val="21"/>
          <w:szCs w:val="21"/>
          <w:lang w:val="en-US" w:eastAsia="zh-CN"/>
        </w:rPr>
        <w:t>。而加入盐酸时会有白色沉淀析出，但不影响测定结果。</w:t>
      </w:r>
      <w:r>
        <w:rPr>
          <w:rFonts w:hint="default" w:ascii="Times New Roman" w:hAnsi="Times New Roman" w:eastAsia="宋体" w:cs="Times New Roman"/>
          <w:position w:val="-2"/>
          <w:sz w:val="21"/>
          <w:szCs w:val="21"/>
          <w:lang w:val="en-US" w:eastAsia="zh-CN"/>
        </w:rPr>
        <w:t>综合分取后待测溶液酸度控制，选择30mL硝酸作为熔融物酸化的酸用量。以2#统一样品</w:t>
      </w:r>
      <w:r>
        <w:rPr>
          <w:rFonts w:hint="default" w:ascii="Times New Roman" w:hAnsi="Times New Roman" w:cs="Times New Roman"/>
          <w:position w:val="-2"/>
          <w:sz w:val="21"/>
          <w:szCs w:val="21"/>
        </w:rPr>
        <w:t>做</w:t>
      </w:r>
      <w:r>
        <w:rPr>
          <w:rFonts w:hint="default" w:ascii="Times New Roman" w:hAnsi="Times New Roman" w:eastAsia="宋体" w:cs="Times New Roman"/>
          <w:position w:val="-2"/>
          <w:sz w:val="21"/>
          <w:szCs w:val="21"/>
          <w:lang w:val="en-US" w:eastAsia="zh-CN"/>
        </w:rPr>
        <w:t>酸用量试验。</w:t>
      </w:r>
    </w:p>
    <w:p w14:paraId="29A39562">
      <w:pPr>
        <w:pStyle w:val="10"/>
        <w:spacing w:line="240" w:lineRule="auto"/>
        <w:ind w:left="0" w:leftChars="0" w:firstLine="0" w:firstLineChars="0"/>
        <w:jc w:val="center"/>
        <w:rPr>
          <w:rFonts w:hint="default" w:ascii="Times New Roman" w:hAnsi="Times New Roman" w:eastAsia="宋体" w:cs="Times New Roman"/>
          <w:position w:val="-2"/>
          <w:sz w:val="18"/>
          <w:szCs w:val="18"/>
          <w:lang w:val="en-US" w:eastAsia="zh-CN"/>
        </w:rPr>
      </w:pPr>
      <w:r>
        <w:rPr>
          <w:rFonts w:hint="eastAsia" w:ascii="黑体" w:hAnsi="黑体" w:eastAsia="黑体" w:cs="黑体"/>
          <w:position w:val="-2"/>
          <w:sz w:val="18"/>
          <w:szCs w:val="18"/>
          <w:lang w:val="en-US" w:eastAsia="zh-CN"/>
        </w:rPr>
        <w:t>表18 熔融物酸化用量试验</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2175"/>
        <w:gridCol w:w="2175"/>
        <w:gridCol w:w="2180"/>
      </w:tblGrid>
      <w:tr w14:paraId="224A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noWrap w:val="0"/>
            <w:vAlign w:val="center"/>
          </w:tcPr>
          <w:p w14:paraId="0AAE9273">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硝</w:t>
            </w:r>
            <w:r>
              <w:rPr>
                <w:rFonts w:hint="default" w:ascii="Times New Roman" w:hAnsi="Times New Roman" w:eastAsia="宋体" w:cs="Times New Roman"/>
                <w:position w:val="-2"/>
                <w:sz w:val="18"/>
                <w:szCs w:val="18"/>
                <w:vertAlign w:val="baseline"/>
                <w:lang w:val="en-US" w:eastAsia="zh-CN"/>
              </w:rPr>
              <w:t>酸加入量/mL</w:t>
            </w:r>
          </w:p>
        </w:tc>
        <w:tc>
          <w:tcPr>
            <w:tcW w:w="1277" w:type="pct"/>
            <w:noWrap w:val="0"/>
            <w:vAlign w:val="center"/>
          </w:tcPr>
          <w:p w14:paraId="017A1208">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20</w:t>
            </w:r>
          </w:p>
        </w:tc>
        <w:tc>
          <w:tcPr>
            <w:tcW w:w="1277" w:type="pct"/>
            <w:noWrap w:val="0"/>
            <w:vAlign w:val="center"/>
          </w:tcPr>
          <w:p w14:paraId="5C43ABF3">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30</w:t>
            </w:r>
          </w:p>
        </w:tc>
        <w:tc>
          <w:tcPr>
            <w:tcW w:w="1279" w:type="pct"/>
            <w:noWrap w:val="0"/>
            <w:vAlign w:val="center"/>
          </w:tcPr>
          <w:p w14:paraId="75607F96">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40</w:t>
            </w:r>
          </w:p>
        </w:tc>
      </w:tr>
      <w:tr w14:paraId="2E86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noWrap w:val="0"/>
            <w:vAlign w:val="center"/>
          </w:tcPr>
          <w:p w14:paraId="6F9520F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测定值/%</w:t>
            </w:r>
          </w:p>
        </w:tc>
        <w:tc>
          <w:tcPr>
            <w:tcW w:w="1277" w:type="pct"/>
            <w:noWrap w:val="0"/>
            <w:vAlign w:val="center"/>
          </w:tcPr>
          <w:p w14:paraId="6189889B">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1.71</w:t>
            </w:r>
          </w:p>
        </w:tc>
        <w:tc>
          <w:tcPr>
            <w:tcW w:w="1277" w:type="pct"/>
            <w:noWrap w:val="0"/>
            <w:vAlign w:val="center"/>
          </w:tcPr>
          <w:p w14:paraId="1AED2C78">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1.76</w:t>
            </w:r>
          </w:p>
        </w:tc>
        <w:tc>
          <w:tcPr>
            <w:tcW w:w="1279" w:type="pct"/>
            <w:noWrap w:val="0"/>
            <w:vAlign w:val="center"/>
          </w:tcPr>
          <w:p w14:paraId="17571CEF">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1.74</w:t>
            </w:r>
          </w:p>
        </w:tc>
      </w:tr>
      <w:tr w14:paraId="206F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noWrap w:val="0"/>
            <w:vAlign w:val="center"/>
          </w:tcPr>
          <w:p w14:paraId="30099E2B">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eastAsia" w:ascii="Times New Roman" w:hAnsi="Times New Roman" w:eastAsia="宋体" w:cs="Times New Roman"/>
                <w:position w:val="-2"/>
                <w:sz w:val="18"/>
                <w:szCs w:val="18"/>
                <w:vertAlign w:val="baseline"/>
                <w:lang w:val="en-US" w:eastAsia="zh-CN"/>
              </w:rPr>
              <w:t>盐酸</w:t>
            </w:r>
            <w:r>
              <w:rPr>
                <w:rFonts w:hint="default" w:ascii="Times New Roman" w:hAnsi="Times New Roman" w:eastAsia="宋体" w:cs="Times New Roman"/>
                <w:position w:val="-2"/>
                <w:sz w:val="18"/>
                <w:szCs w:val="18"/>
                <w:vertAlign w:val="baseline"/>
                <w:lang w:val="en-US" w:eastAsia="zh-CN"/>
              </w:rPr>
              <w:t>加入量/mL</w:t>
            </w:r>
          </w:p>
        </w:tc>
        <w:tc>
          <w:tcPr>
            <w:tcW w:w="1277" w:type="pct"/>
            <w:noWrap w:val="0"/>
            <w:vAlign w:val="center"/>
          </w:tcPr>
          <w:p w14:paraId="0516891E">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rPr>
              <w:t>20</w:t>
            </w:r>
          </w:p>
        </w:tc>
        <w:tc>
          <w:tcPr>
            <w:tcW w:w="1277" w:type="pct"/>
            <w:noWrap w:val="0"/>
            <w:vAlign w:val="center"/>
          </w:tcPr>
          <w:p w14:paraId="2FE13A68">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rPr>
              <w:t>30</w:t>
            </w:r>
          </w:p>
        </w:tc>
        <w:tc>
          <w:tcPr>
            <w:tcW w:w="1279" w:type="pct"/>
            <w:noWrap w:val="0"/>
            <w:vAlign w:val="center"/>
          </w:tcPr>
          <w:p w14:paraId="2E6B3801">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rPr>
              <w:t>40</w:t>
            </w:r>
          </w:p>
        </w:tc>
      </w:tr>
      <w:tr w14:paraId="435E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pct"/>
            <w:noWrap w:val="0"/>
            <w:vAlign w:val="center"/>
          </w:tcPr>
          <w:p w14:paraId="5595DD2B">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rPr>
              <w:t>测定值/%</w:t>
            </w:r>
          </w:p>
        </w:tc>
        <w:tc>
          <w:tcPr>
            <w:tcW w:w="1277" w:type="pct"/>
            <w:noWrap w:val="0"/>
            <w:vAlign w:val="center"/>
          </w:tcPr>
          <w:p w14:paraId="7C253861">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eastAsia" w:ascii="Times New Roman" w:hAnsi="Times New Roman" w:eastAsia="宋体" w:cs="Times New Roman"/>
                <w:position w:val="-2"/>
                <w:sz w:val="18"/>
                <w:szCs w:val="18"/>
                <w:vertAlign w:val="baseline"/>
                <w:lang w:val="en-US" w:eastAsia="zh-CN"/>
              </w:rPr>
              <w:t>1.74</w:t>
            </w:r>
          </w:p>
        </w:tc>
        <w:tc>
          <w:tcPr>
            <w:tcW w:w="1277" w:type="pct"/>
            <w:noWrap w:val="0"/>
            <w:vAlign w:val="center"/>
          </w:tcPr>
          <w:p w14:paraId="2B27E011">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rPr>
              <w:t>1.</w:t>
            </w:r>
            <w:r>
              <w:rPr>
                <w:rFonts w:hint="eastAsia" w:ascii="Times New Roman" w:hAnsi="Times New Roman" w:eastAsia="宋体" w:cs="Times New Roman"/>
                <w:position w:val="-2"/>
                <w:sz w:val="18"/>
                <w:szCs w:val="18"/>
                <w:vertAlign w:val="baseline"/>
                <w:lang w:val="en-US" w:eastAsia="zh-CN"/>
              </w:rPr>
              <w:t>68</w:t>
            </w:r>
          </w:p>
        </w:tc>
        <w:tc>
          <w:tcPr>
            <w:tcW w:w="1279" w:type="pct"/>
            <w:noWrap w:val="0"/>
            <w:vAlign w:val="center"/>
          </w:tcPr>
          <w:p w14:paraId="1542E89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rPr>
              <w:t>1.</w:t>
            </w:r>
            <w:r>
              <w:rPr>
                <w:rFonts w:hint="eastAsia" w:ascii="Times New Roman" w:hAnsi="Times New Roman" w:eastAsia="宋体" w:cs="Times New Roman"/>
                <w:position w:val="-2"/>
                <w:sz w:val="18"/>
                <w:szCs w:val="18"/>
                <w:vertAlign w:val="baseline"/>
                <w:lang w:val="en-US" w:eastAsia="zh-CN"/>
              </w:rPr>
              <w:t>76</w:t>
            </w:r>
          </w:p>
        </w:tc>
      </w:tr>
    </w:tbl>
    <w:p w14:paraId="266D040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p>
    <w:p w14:paraId="0A94E8C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2.1.2.2.2.4 称样量试验</w:t>
      </w:r>
    </w:p>
    <w:p w14:paraId="05EC9450">
      <w:pPr>
        <w:pStyle w:val="10"/>
        <w:spacing w:line="240" w:lineRule="auto"/>
        <w:ind w:firstLine="420"/>
        <w:rPr>
          <w:rFonts w:hint="default" w:ascii="Times New Roman" w:hAnsi="Times New Roman" w:eastAsia="宋体" w:cs="Times New Roman"/>
          <w:position w:val="-2"/>
          <w:sz w:val="21"/>
          <w:szCs w:val="21"/>
          <w:lang w:val="en-US" w:eastAsia="zh-CN"/>
        </w:rPr>
      </w:pPr>
      <w:r>
        <w:rPr>
          <w:rFonts w:hint="default" w:ascii="Times New Roman" w:hAnsi="Times New Roman" w:eastAsia="宋体" w:cs="Times New Roman"/>
          <w:position w:val="-2"/>
          <w:sz w:val="21"/>
          <w:szCs w:val="21"/>
          <w:lang w:val="en-US" w:eastAsia="zh-CN"/>
        </w:rPr>
        <w:t>考察样品在不同称样量下的均匀性，以确保按前述称样量称取样品时可以保证样品的均匀性。以2#、5#统一样作为试验对象，分别称取0.2g、0.3g、0.4g、0.5g样品，按前述前处理方法进行样品处理。</w:t>
      </w:r>
    </w:p>
    <w:p w14:paraId="6472E1AB">
      <w:pPr>
        <w:pStyle w:val="10"/>
        <w:spacing w:line="240" w:lineRule="auto"/>
        <w:ind w:left="0" w:leftChars="0" w:firstLine="0" w:firstLineChars="0"/>
        <w:jc w:val="center"/>
        <w:rPr>
          <w:rFonts w:hint="eastAsia" w:ascii="黑体" w:hAnsi="黑体" w:eastAsia="黑体" w:cs="黑体"/>
          <w:position w:val="-2"/>
          <w:sz w:val="18"/>
          <w:szCs w:val="18"/>
          <w:lang w:val="en-US" w:eastAsia="zh-CN"/>
        </w:rPr>
      </w:pPr>
      <w:r>
        <w:rPr>
          <w:rFonts w:hint="eastAsia" w:ascii="黑体" w:hAnsi="黑体" w:eastAsia="黑体" w:cs="黑体"/>
          <w:position w:val="-2"/>
          <w:sz w:val="18"/>
          <w:szCs w:val="18"/>
          <w:lang w:val="en-US" w:eastAsia="zh-CN"/>
        </w:rPr>
        <w:t>表19 称样量试验</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142"/>
        <w:gridCol w:w="1401"/>
        <w:gridCol w:w="1625"/>
        <w:gridCol w:w="1625"/>
        <w:gridCol w:w="1627"/>
      </w:tblGrid>
      <w:tr w14:paraId="5A69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pct"/>
            <w:gridSpan w:val="2"/>
            <w:noWrap w:val="0"/>
            <w:vAlign w:val="center"/>
          </w:tcPr>
          <w:p w14:paraId="615ED068">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称样量/g</w:t>
            </w:r>
          </w:p>
        </w:tc>
        <w:tc>
          <w:tcPr>
            <w:tcW w:w="822" w:type="pct"/>
            <w:noWrap w:val="0"/>
            <w:vAlign w:val="center"/>
          </w:tcPr>
          <w:p w14:paraId="429C23E3">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0.2</w:t>
            </w:r>
          </w:p>
        </w:tc>
        <w:tc>
          <w:tcPr>
            <w:tcW w:w="954" w:type="pct"/>
            <w:noWrap w:val="0"/>
            <w:vAlign w:val="center"/>
          </w:tcPr>
          <w:p w14:paraId="386390E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0.3</w:t>
            </w:r>
          </w:p>
        </w:tc>
        <w:tc>
          <w:tcPr>
            <w:tcW w:w="954" w:type="pct"/>
            <w:noWrap w:val="0"/>
            <w:vAlign w:val="center"/>
          </w:tcPr>
          <w:p w14:paraId="259B35B4">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0.4</w:t>
            </w:r>
          </w:p>
        </w:tc>
        <w:tc>
          <w:tcPr>
            <w:tcW w:w="955" w:type="pct"/>
            <w:noWrap w:val="0"/>
            <w:vAlign w:val="center"/>
          </w:tcPr>
          <w:p w14:paraId="0D1D9291">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0.5</w:t>
            </w:r>
          </w:p>
        </w:tc>
      </w:tr>
      <w:tr w14:paraId="7D77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restart"/>
            <w:noWrap w:val="0"/>
            <w:vAlign w:val="center"/>
          </w:tcPr>
          <w:p w14:paraId="759247BC">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测定值/%</w:t>
            </w:r>
          </w:p>
        </w:tc>
        <w:tc>
          <w:tcPr>
            <w:tcW w:w="670" w:type="pct"/>
            <w:noWrap w:val="0"/>
            <w:vAlign w:val="center"/>
          </w:tcPr>
          <w:p w14:paraId="3E82C0B9">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w:t>
            </w:r>
          </w:p>
        </w:tc>
        <w:tc>
          <w:tcPr>
            <w:tcW w:w="822" w:type="pct"/>
            <w:noWrap w:val="0"/>
            <w:vAlign w:val="center"/>
          </w:tcPr>
          <w:p w14:paraId="2240B3ED">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1.74</w:t>
            </w:r>
          </w:p>
        </w:tc>
        <w:tc>
          <w:tcPr>
            <w:tcW w:w="954" w:type="pct"/>
            <w:noWrap w:val="0"/>
            <w:vAlign w:val="center"/>
          </w:tcPr>
          <w:p w14:paraId="4E78CB8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1.77</w:t>
            </w:r>
          </w:p>
        </w:tc>
        <w:tc>
          <w:tcPr>
            <w:tcW w:w="954" w:type="pct"/>
            <w:noWrap w:val="0"/>
            <w:vAlign w:val="center"/>
          </w:tcPr>
          <w:p w14:paraId="1DDCF927">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1.76</w:t>
            </w:r>
          </w:p>
        </w:tc>
        <w:tc>
          <w:tcPr>
            <w:tcW w:w="955" w:type="pct"/>
            <w:noWrap w:val="0"/>
            <w:vAlign w:val="center"/>
          </w:tcPr>
          <w:p w14:paraId="788AE258">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1.81</w:t>
            </w:r>
          </w:p>
        </w:tc>
      </w:tr>
      <w:tr w14:paraId="40C1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pct"/>
            <w:vMerge w:val="continue"/>
            <w:noWrap w:val="0"/>
            <w:vAlign w:val="center"/>
          </w:tcPr>
          <w:p w14:paraId="5AD7B253">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p>
        </w:tc>
        <w:tc>
          <w:tcPr>
            <w:tcW w:w="670" w:type="pct"/>
            <w:noWrap w:val="0"/>
            <w:vAlign w:val="center"/>
          </w:tcPr>
          <w:p w14:paraId="6621C0FB">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5#</w:t>
            </w:r>
          </w:p>
        </w:tc>
        <w:tc>
          <w:tcPr>
            <w:tcW w:w="822" w:type="pct"/>
            <w:noWrap w:val="0"/>
            <w:vAlign w:val="center"/>
          </w:tcPr>
          <w:p w14:paraId="090AC45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22.86</w:t>
            </w:r>
          </w:p>
        </w:tc>
        <w:tc>
          <w:tcPr>
            <w:tcW w:w="954" w:type="pct"/>
            <w:noWrap w:val="0"/>
            <w:vAlign w:val="center"/>
          </w:tcPr>
          <w:p w14:paraId="49BAEDDD">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22.74</w:t>
            </w:r>
          </w:p>
        </w:tc>
        <w:tc>
          <w:tcPr>
            <w:tcW w:w="954" w:type="pct"/>
            <w:noWrap w:val="0"/>
            <w:vAlign w:val="center"/>
          </w:tcPr>
          <w:p w14:paraId="3111DF4A">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22.91</w:t>
            </w:r>
          </w:p>
        </w:tc>
        <w:tc>
          <w:tcPr>
            <w:tcW w:w="955" w:type="pct"/>
            <w:noWrap w:val="0"/>
            <w:vAlign w:val="center"/>
          </w:tcPr>
          <w:p w14:paraId="4CBDBBBE">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22.81</w:t>
            </w:r>
          </w:p>
        </w:tc>
      </w:tr>
    </w:tbl>
    <w:p w14:paraId="57DF24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position w:val="-2"/>
          <w:sz w:val="21"/>
          <w:szCs w:val="21"/>
          <w:lang w:val="en-US" w:eastAsia="zh-CN"/>
        </w:rPr>
        <w:t>根据上述称样量试验可以看出，最小称样量在0.2g时可完全满足样品均匀性的要求，根据方法测定范围以及分取倍数等条件，确定本方法的称样量在0.2g-0.4g。</w:t>
      </w:r>
    </w:p>
    <w:p w14:paraId="0F2C2A9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2.1.2.2.2.5 酸度试验</w:t>
      </w:r>
    </w:p>
    <w:p w14:paraId="52F3BFF6">
      <w:pPr>
        <w:pStyle w:val="10"/>
        <w:spacing w:line="240" w:lineRule="auto"/>
        <w:ind w:left="0" w:leftChars="0" w:firstLine="420" w:firstLineChars="200"/>
        <w:rPr>
          <w:rFonts w:hint="default" w:ascii="Times New Roman" w:hAnsi="Times New Roman" w:eastAsia="宋体" w:cs="Times New Roman"/>
          <w:position w:val="-2"/>
          <w:sz w:val="21"/>
          <w:szCs w:val="21"/>
          <w:lang w:val="en-US" w:eastAsia="zh-CN"/>
        </w:rPr>
      </w:pPr>
      <w:r>
        <w:rPr>
          <w:rFonts w:hint="default" w:ascii="Times New Roman" w:hAnsi="Times New Roman" w:eastAsia="宋体" w:cs="Times New Roman"/>
          <w:position w:val="-2"/>
          <w:sz w:val="21"/>
          <w:szCs w:val="21"/>
          <w:lang w:val="en-US" w:eastAsia="zh-CN"/>
        </w:rPr>
        <w:t>考察待测溶液酸度对样品测定的影响。根据本方法确定的分取倍数，最小为5倍，最大为20倍，在分取后的待测溶液中分别做不加酸、加2%、5%、10%的硝酸对测定结果的影响试验。以2#、3#、5#统一样品做酸度试验。</w:t>
      </w:r>
    </w:p>
    <w:p w14:paraId="4A471F99">
      <w:pPr>
        <w:pStyle w:val="10"/>
        <w:spacing w:line="240" w:lineRule="auto"/>
        <w:ind w:left="0" w:leftChars="0" w:firstLine="0" w:firstLineChars="0"/>
        <w:jc w:val="center"/>
        <w:rPr>
          <w:rFonts w:hint="default" w:ascii="Times New Roman" w:hAnsi="Times New Roman" w:eastAsia="宋体" w:cs="Times New Roman"/>
          <w:position w:val="-2"/>
          <w:sz w:val="18"/>
          <w:szCs w:val="18"/>
          <w:lang w:val="en-US" w:eastAsia="zh-CN"/>
        </w:rPr>
      </w:pPr>
      <w:r>
        <w:rPr>
          <w:rFonts w:hint="eastAsia" w:ascii="黑体" w:hAnsi="黑体" w:eastAsia="黑体" w:cs="黑体"/>
          <w:position w:val="-2"/>
          <w:sz w:val="18"/>
          <w:szCs w:val="18"/>
          <w:lang w:val="en-US" w:eastAsia="zh-CN"/>
        </w:rPr>
        <w:t>表20 酸度试验</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1141"/>
        <w:gridCol w:w="1400"/>
        <w:gridCol w:w="1625"/>
        <w:gridCol w:w="1626"/>
        <w:gridCol w:w="1628"/>
      </w:tblGrid>
      <w:tr w14:paraId="0CA6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pct"/>
            <w:gridSpan w:val="2"/>
            <w:noWrap w:val="0"/>
            <w:vAlign w:val="center"/>
          </w:tcPr>
          <w:p w14:paraId="7287B165">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酸度/%</w:t>
            </w:r>
          </w:p>
        </w:tc>
        <w:tc>
          <w:tcPr>
            <w:tcW w:w="822" w:type="pct"/>
            <w:noWrap w:val="0"/>
            <w:vAlign w:val="center"/>
          </w:tcPr>
          <w:p w14:paraId="404A5A0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不加酸</w:t>
            </w:r>
          </w:p>
        </w:tc>
        <w:tc>
          <w:tcPr>
            <w:tcW w:w="954" w:type="pct"/>
            <w:noWrap w:val="0"/>
            <w:vAlign w:val="center"/>
          </w:tcPr>
          <w:p w14:paraId="38C96DEB">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2.0</w:t>
            </w:r>
          </w:p>
        </w:tc>
        <w:tc>
          <w:tcPr>
            <w:tcW w:w="954" w:type="pct"/>
            <w:noWrap w:val="0"/>
            <w:vAlign w:val="center"/>
          </w:tcPr>
          <w:p w14:paraId="0B4AB8AC">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5.0</w:t>
            </w:r>
          </w:p>
        </w:tc>
        <w:tc>
          <w:tcPr>
            <w:tcW w:w="955" w:type="pct"/>
            <w:noWrap w:val="0"/>
            <w:vAlign w:val="center"/>
          </w:tcPr>
          <w:p w14:paraId="2201817D">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10.0</w:t>
            </w:r>
          </w:p>
        </w:tc>
      </w:tr>
      <w:tr w14:paraId="0089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pct"/>
            <w:vMerge w:val="restart"/>
            <w:noWrap w:val="0"/>
            <w:vAlign w:val="center"/>
          </w:tcPr>
          <w:p w14:paraId="6BD0DC19">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测定值/%</w:t>
            </w:r>
          </w:p>
        </w:tc>
        <w:tc>
          <w:tcPr>
            <w:tcW w:w="670" w:type="pct"/>
            <w:noWrap w:val="0"/>
            <w:vAlign w:val="center"/>
          </w:tcPr>
          <w:p w14:paraId="24494A55">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2#</w:t>
            </w:r>
          </w:p>
        </w:tc>
        <w:tc>
          <w:tcPr>
            <w:tcW w:w="822" w:type="pct"/>
            <w:noWrap w:val="0"/>
            <w:vAlign w:val="center"/>
          </w:tcPr>
          <w:p w14:paraId="2543F833">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1.72</w:t>
            </w:r>
          </w:p>
        </w:tc>
        <w:tc>
          <w:tcPr>
            <w:tcW w:w="954" w:type="pct"/>
            <w:noWrap w:val="0"/>
            <w:vAlign w:val="center"/>
          </w:tcPr>
          <w:p w14:paraId="5C395BA6">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1.78</w:t>
            </w:r>
          </w:p>
        </w:tc>
        <w:tc>
          <w:tcPr>
            <w:tcW w:w="954" w:type="pct"/>
            <w:noWrap w:val="0"/>
            <w:vAlign w:val="center"/>
          </w:tcPr>
          <w:p w14:paraId="0D760949">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1.74</w:t>
            </w:r>
          </w:p>
        </w:tc>
        <w:tc>
          <w:tcPr>
            <w:tcW w:w="955" w:type="pct"/>
            <w:noWrap w:val="0"/>
            <w:vAlign w:val="center"/>
          </w:tcPr>
          <w:p w14:paraId="22B327FE">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1.69</w:t>
            </w:r>
          </w:p>
        </w:tc>
      </w:tr>
      <w:tr w14:paraId="7B61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pct"/>
            <w:vMerge w:val="continue"/>
            <w:noWrap w:val="0"/>
            <w:vAlign w:val="center"/>
          </w:tcPr>
          <w:p w14:paraId="12BB7F59">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p>
        </w:tc>
        <w:tc>
          <w:tcPr>
            <w:tcW w:w="670" w:type="pct"/>
            <w:noWrap w:val="0"/>
            <w:vAlign w:val="center"/>
          </w:tcPr>
          <w:p w14:paraId="56AC0FAE">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3#</w:t>
            </w:r>
          </w:p>
        </w:tc>
        <w:tc>
          <w:tcPr>
            <w:tcW w:w="822" w:type="pct"/>
            <w:noWrap w:val="0"/>
            <w:vAlign w:val="center"/>
          </w:tcPr>
          <w:p w14:paraId="16D05BE2">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8.66</w:t>
            </w:r>
          </w:p>
        </w:tc>
        <w:tc>
          <w:tcPr>
            <w:tcW w:w="954" w:type="pct"/>
            <w:noWrap w:val="0"/>
            <w:vAlign w:val="center"/>
          </w:tcPr>
          <w:p w14:paraId="0F436DE5">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8.62</w:t>
            </w:r>
          </w:p>
        </w:tc>
        <w:tc>
          <w:tcPr>
            <w:tcW w:w="954" w:type="pct"/>
            <w:noWrap w:val="0"/>
            <w:vAlign w:val="center"/>
          </w:tcPr>
          <w:p w14:paraId="3071A86F">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8.71</w:t>
            </w:r>
          </w:p>
        </w:tc>
        <w:tc>
          <w:tcPr>
            <w:tcW w:w="955" w:type="pct"/>
            <w:noWrap w:val="0"/>
            <w:vAlign w:val="center"/>
          </w:tcPr>
          <w:p w14:paraId="303DA77D">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8.69</w:t>
            </w:r>
          </w:p>
        </w:tc>
      </w:tr>
      <w:tr w14:paraId="7EFF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pct"/>
            <w:vMerge w:val="continue"/>
            <w:noWrap w:val="0"/>
            <w:vAlign w:val="center"/>
          </w:tcPr>
          <w:p w14:paraId="2BEB35B1">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p>
        </w:tc>
        <w:tc>
          <w:tcPr>
            <w:tcW w:w="670" w:type="pct"/>
            <w:noWrap w:val="0"/>
            <w:vAlign w:val="center"/>
          </w:tcPr>
          <w:p w14:paraId="1ED3621E">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5#</w:t>
            </w:r>
          </w:p>
        </w:tc>
        <w:tc>
          <w:tcPr>
            <w:tcW w:w="822" w:type="pct"/>
            <w:noWrap w:val="0"/>
            <w:vAlign w:val="center"/>
          </w:tcPr>
          <w:p w14:paraId="47C23120">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rPr>
              <w:t>22.69</w:t>
            </w:r>
          </w:p>
        </w:tc>
        <w:tc>
          <w:tcPr>
            <w:tcW w:w="954" w:type="pct"/>
            <w:noWrap w:val="0"/>
            <w:vAlign w:val="center"/>
          </w:tcPr>
          <w:p w14:paraId="12D2B79D">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bidi="ar-SA"/>
              </w:rPr>
              <w:t>22.78</w:t>
            </w:r>
          </w:p>
        </w:tc>
        <w:tc>
          <w:tcPr>
            <w:tcW w:w="954" w:type="pct"/>
            <w:noWrap w:val="0"/>
            <w:vAlign w:val="center"/>
          </w:tcPr>
          <w:p w14:paraId="22546CF5">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bidi="ar-SA"/>
              </w:rPr>
              <w:t>22.64</w:t>
            </w:r>
          </w:p>
        </w:tc>
        <w:tc>
          <w:tcPr>
            <w:tcW w:w="955" w:type="pct"/>
            <w:noWrap w:val="0"/>
            <w:vAlign w:val="center"/>
          </w:tcPr>
          <w:p w14:paraId="4454EBC5">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bidi="ar-SA"/>
              </w:rPr>
            </w:pPr>
            <w:r>
              <w:rPr>
                <w:rFonts w:hint="default" w:ascii="Times New Roman" w:hAnsi="Times New Roman" w:eastAsia="宋体" w:cs="Times New Roman"/>
                <w:position w:val="-2"/>
                <w:sz w:val="18"/>
                <w:szCs w:val="18"/>
                <w:vertAlign w:val="baseline"/>
                <w:lang w:val="en-US" w:eastAsia="zh-CN" w:bidi="ar-SA"/>
              </w:rPr>
              <w:t>22.73</w:t>
            </w:r>
          </w:p>
        </w:tc>
      </w:tr>
    </w:tbl>
    <w:p w14:paraId="0D4FAA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position w:val="-2"/>
          <w:sz w:val="21"/>
          <w:szCs w:val="21"/>
          <w:lang w:val="en-US" w:eastAsia="zh-CN"/>
        </w:rPr>
      </w:pPr>
      <w:r>
        <w:rPr>
          <w:rFonts w:hint="default" w:ascii="Times New Roman" w:hAnsi="Times New Roman" w:eastAsia="宋体" w:cs="Times New Roman"/>
          <w:position w:val="-2"/>
          <w:sz w:val="21"/>
          <w:szCs w:val="21"/>
          <w:lang w:val="en-US" w:eastAsia="zh-CN"/>
        </w:rPr>
        <w:t>根据上述酸度试验可以看出，前处理加入30mL硝酸溶解熔融物之后装瓶定容分取的待测溶液中，从不加酸到加入10%的酸度，对结果无影响，故本方法选择分取后的溶液直接定容待测，不用另外考虑酸度影响。</w:t>
      </w:r>
    </w:p>
    <w:p w14:paraId="6696E79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2.1.2.2.2.6 放置时间试验</w:t>
      </w:r>
    </w:p>
    <w:p w14:paraId="1EC29FA3">
      <w:pPr>
        <w:pStyle w:val="10"/>
        <w:spacing w:line="240" w:lineRule="auto"/>
        <w:ind w:left="0" w:leftChars="0" w:firstLine="420" w:firstLineChars="200"/>
        <w:jc w:val="both"/>
        <w:rPr>
          <w:rFonts w:hint="eastAsia" w:ascii="Times New Roman" w:hAnsi="Times New Roman" w:eastAsia="宋体" w:cs="Times New Roman"/>
          <w:position w:val="-2"/>
          <w:sz w:val="21"/>
          <w:szCs w:val="21"/>
          <w:lang w:val="en-US" w:eastAsia="zh-CN"/>
        </w:rPr>
      </w:pPr>
      <w:r>
        <w:rPr>
          <w:rFonts w:hint="eastAsia" w:ascii="Times New Roman" w:hAnsi="Times New Roman" w:eastAsia="宋体" w:cs="Times New Roman"/>
          <w:position w:val="-2"/>
          <w:sz w:val="21"/>
          <w:szCs w:val="21"/>
          <w:lang w:val="en-US" w:eastAsia="zh-CN"/>
        </w:rPr>
        <w:t>考察溶液放置时间对样品测试结果的影响，以5#统一样品做放置时间试验，在不同时间按样品含量分取对应体积溶液进行测定。</w:t>
      </w:r>
    </w:p>
    <w:p w14:paraId="7F7B73E5">
      <w:pPr>
        <w:pStyle w:val="10"/>
        <w:spacing w:line="240" w:lineRule="auto"/>
        <w:ind w:left="0" w:leftChars="0" w:firstLine="0" w:firstLineChars="0"/>
        <w:jc w:val="center"/>
        <w:rPr>
          <w:rFonts w:hint="eastAsia" w:ascii="Times New Roman" w:hAnsi="Times New Roman" w:eastAsia="宋体" w:cs="Times New Roman"/>
          <w:position w:val="-2"/>
          <w:sz w:val="18"/>
          <w:szCs w:val="18"/>
          <w:lang w:val="en-US" w:eastAsia="zh-CN"/>
        </w:rPr>
      </w:pPr>
      <w:r>
        <w:rPr>
          <w:rFonts w:hint="eastAsia" w:ascii="黑体" w:hAnsi="黑体" w:eastAsia="黑体" w:cs="黑体"/>
          <w:position w:val="-2"/>
          <w:sz w:val="18"/>
          <w:szCs w:val="18"/>
          <w:lang w:val="en-US" w:eastAsia="zh-CN"/>
        </w:rPr>
        <w:t>表21 溶液放置时间对样品结果的影响</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238"/>
        <w:gridCol w:w="1238"/>
        <w:gridCol w:w="1238"/>
        <w:gridCol w:w="1238"/>
        <w:gridCol w:w="1238"/>
        <w:gridCol w:w="1243"/>
      </w:tblGrid>
      <w:tr w14:paraId="1D23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noWrap w:val="0"/>
            <w:vAlign w:val="center"/>
          </w:tcPr>
          <w:p w14:paraId="0979412D">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放置时间</w:t>
            </w:r>
          </w:p>
        </w:tc>
        <w:tc>
          <w:tcPr>
            <w:tcW w:w="727" w:type="pct"/>
            <w:noWrap w:val="0"/>
            <w:vAlign w:val="center"/>
          </w:tcPr>
          <w:p w14:paraId="1DBB43CB">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5h</w:t>
            </w:r>
          </w:p>
        </w:tc>
        <w:tc>
          <w:tcPr>
            <w:tcW w:w="727" w:type="pct"/>
            <w:noWrap w:val="0"/>
            <w:vAlign w:val="center"/>
          </w:tcPr>
          <w:p w14:paraId="7EC59F3F">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10h</w:t>
            </w:r>
          </w:p>
        </w:tc>
        <w:tc>
          <w:tcPr>
            <w:tcW w:w="727" w:type="pct"/>
            <w:noWrap w:val="0"/>
            <w:vAlign w:val="center"/>
          </w:tcPr>
          <w:p w14:paraId="0387A809">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24h</w:t>
            </w:r>
          </w:p>
        </w:tc>
        <w:tc>
          <w:tcPr>
            <w:tcW w:w="727" w:type="pct"/>
            <w:noWrap w:val="0"/>
            <w:vAlign w:val="center"/>
          </w:tcPr>
          <w:p w14:paraId="5C1D6B2D">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2d</w:t>
            </w:r>
          </w:p>
        </w:tc>
        <w:tc>
          <w:tcPr>
            <w:tcW w:w="727" w:type="pct"/>
            <w:noWrap w:val="0"/>
            <w:vAlign w:val="center"/>
          </w:tcPr>
          <w:p w14:paraId="55174CB9">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3d</w:t>
            </w:r>
          </w:p>
        </w:tc>
        <w:tc>
          <w:tcPr>
            <w:tcW w:w="729" w:type="pct"/>
            <w:noWrap w:val="0"/>
            <w:vAlign w:val="center"/>
          </w:tcPr>
          <w:p w14:paraId="6183E0DB">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5d</w:t>
            </w:r>
          </w:p>
        </w:tc>
      </w:tr>
      <w:tr w14:paraId="387D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noWrap w:val="0"/>
            <w:vAlign w:val="center"/>
          </w:tcPr>
          <w:p w14:paraId="4E1A7714">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default" w:ascii="Times New Roman" w:hAnsi="Times New Roman" w:eastAsia="宋体" w:cs="Times New Roman"/>
                <w:position w:val="-2"/>
                <w:sz w:val="18"/>
                <w:szCs w:val="18"/>
                <w:vertAlign w:val="baseline"/>
                <w:lang w:val="en-US" w:eastAsia="zh-CN"/>
              </w:rPr>
              <w:t>测定值/%</w:t>
            </w:r>
          </w:p>
        </w:tc>
        <w:tc>
          <w:tcPr>
            <w:tcW w:w="727" w:type="pct"/>
            <w:noWrap w:val="0"/>
            <w:vAlign w:val="center"/>
          </w:tcPr>
          <w:p w14:paraId="725578E2">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22.74</w:t>
            </w:r>
          </w:p>
        </w:tc>
        <w:tc>
          <w:tcPr>
            <w:tcW w:w="727" w:type="pct"/>
            <w:noWrap w:val="0"/>
            <w:vAlign w:val="center"/>
          </w:tcPr>
          <w:p w14:paraId="520C26EC">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22.89</w:t>
            </w:r>
          </w:p>
        </w:tc>
        <w:tc>
          <w:tcPr>
            <w:tcW w:w="727" w:type="pct"/>
            <w:noWrap w:val="0"/>
            <w:vAlign w:val="center"/>
          </w:tcPr>
          <w:p w14:paraId="09B95E6A">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22.63</w:t>
            </w:r>
          </w:p>
        </w:tc>
        <w:tc>
          <w:tcPr>
            <w:tcW w:w="727" w:type="pct"/>
            <w:noWrap w:val="0"/>
            <w:vAlign w:val="center"/>
          </w:tcPr>
          <w:p w14:paraId="75C407B1">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22.75</w:t>
            </w:r>
          </w:p>
        </w:tc>
        <w:tc>
          <w:tcPr>
            <w:tcW w:w="727" w:type="pct"/>
            <w:noWrap w:val="0"/>
            <w:vAlign w:val="center"/>
          </w:tcPr>
          <w:p w14:paraId="06941E9C">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22.81</w:t>
            </w:r>
          </w:p>
        </w:tc>
        <w:tc>
          <w:tcPr>
            <w:tcW w:w="729" w:type="pct"/>
            <w:noWrap w:val="0"/>
            <w:vAlign w:val="center"/>
          </w:tcPr>
          <w:p w14:paraId="578F8004">
            <w:pPr>
              <w:pStyle w:val="10"/>
              <w:keepNext w:val="0"/>
              <w:keepLines w:val="0"/>
              <w:pageBreakBefore w:val="0"/>
              <w:widowControl w:val="0"/>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position w:val="-2"/>
                <w:sz w:val="18"/>
                <w:szCs w:val="18"/>
                <w:vertAlign w:val="baseline"/>
                <w:lang w:val="en-US" w:eastAsia="zh-CN"/>
              </w:rPr>
            </w:pPr>
            <w:r>
              <w:rPr>
                <w:rFonts w:hint="eastAsia" w:ascii="Times New Roman" w:hAnsi="Times New Roman" w:eastAsia="宋体" w:cs="Times New Roman"/>
                <w:position w:val="-2"/>
                <w:sz w:val="18"/>
                <w:szCs w:val="18"/>
                <w:vertAlign w:val="baseline"/>
                <w:lang w:val="en-US" w:eastAsia="zh-CN"/>
              </w:rPr>
              <w:t>22.73</w:t>
            </w:r>
          </w:p>
        </w:tc>
      </w:tr>
    </w:tbl>
    <w:p w14:paraId="290877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eastAsia="宋体" w:cs="Times New Roman"/>
          <w:position w:val="-2"/>
          <w:sz w:val="21"/>
          <w:szCs w:val="21"/>
          <w:lang w:val="en-US" w:eastAsia="zh-CN"/>
        </w:rPr>
      </w:pPr>
      <w:r>
        <w:rPr>
          <w:rFonts w:hint="eastAsia" w:ascii="Times New Roman" w:hAnsi="Times New Roman" w:eastAsia="宋体" w:cs="Times New Roman"/>
          <w:position w:val="-2"/>
          <w:sz w:val="21"/>
          <w:szCs w:val="21"/>
          <w:lang w:val="en-US" w:eastAsia="zh-CN"/>
        </w:rPr>
        <w:t>由上表可以看出，前处理后的溶液放置时间对样品的测试结果无影响。</w:t>
      </w:r>
    </w:p>
    <w:p w14:paraId="07F7FC4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position w:val="-2"/>
          <w:sz w:val="21"/>
          <w:szCs w:val="21"/>
          <w:lang w:val="en-US" w:eastAsia="zh-CN"/>
        </w:rPr>
      </w:pPr>
      <w:r>
        <w:rPr>
          <w:rFonts w:hint="eastAsia" w:ascii="Times New Roman" w:hAnsi="Times New Roman" w:cs="Times New Roman"/>
          <w:sz w:val="21"/>
          <w:szCs w:val="21"/>
          <w:vertAlign w:val="baseline"/>
          <w:lang w:val="en-US" w:eastAsia="zh-CN"/>
        </w:rPr>
        <w:t>2.1.2.2.3 基体浓度影响试验</w:t>
      </w:r>
    </w:p>
    <w:p w14:paraId="447CE933">
      <w:pPr>
        <w:adjustRightInd w:val="0"/>
        <w:spacing w:line="240" w:lineRule="auto"/>
        <w:ind w:firstLine="420" w:firstLineChars="200"/>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根据</w:t>
      </w:r>
      <w:r>
        <w:rPr>
          <w:rFonts w:hint="eastAsia" w:ascii="Times New Roman" w:hAnsi="Times New Roman" w:cs="Times New Roman"/>
          <w:sz w:val="21"/>
          <w:szCs w:val="21"/>
          <w:lang w:val="en-US" w:eastAsia="zh-CN"/>
        </w:rPr>
        <w:t>含量按方法确定的分取倍数进行分取</w:t>
      </w:r>
      <w:r>
        <w:rPr>
          <w:rFonts w:hint="default" w:ascii="Times New Roman" w:hAnsi="Times New Roman" w:cs="Times New Roman"/>
          <w:sz w:val="21"/>
          <w:szCs w:val="21"/>
          <w:lang w:val="en-US" w:eastAsia="zh-CN"/>
        </w:rPr>
        <w:t>，本方法有三种分取倍数，对应三种不同浓度基体。以2#、3#、5#统一样做基体浓度影响试验，按前处理方法溶解样品，做加标回收试验。</w:t>
      </w:r>
    </w:p>
    <w:p w14:paraId="65071131">
      <w:pPr>
        <w:adjustRightInd w:val="0"/>
        <w:spacing w:line="240" w:lineRule="auto"/>
        <w:jc w:val="center"/>
        <w:textAlignment w:val="baseline"/>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表22 基体浓度影响试验</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121"/>
        <w:gridCol w:w="2007"/>
        <w:gridCol w:w="2225"/>
        <w:gridCol w:w="1390"/>
      </w:tblGrid>
      <w:tr w14:paraId="4D35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center"/>
          </w:tcPr>
          <w:p w14:paraId="1C7EB93D">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7232CF31">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加标量/</w:t>
            </w:r>
            <w:r>
              <w:rPr>
                <w:rFonts w:hint="default" w:ascii="Times New Roman" w:hAnsi="Times New Roman" w:eastAsia="宋体" w:cs="Times New Roman"/>
                <w:spacing w:val="6"/>
                <w:sz w:val="18"/>
                <w:szCs w:val="18"/>
              </w:rPr>
              <w:t>μg/mL</w:t>
            </w:r>
          </w:p>
        </w:tc>
        <w:tc>
          <w:tcPr>
            <w:tcW w:w="1178" w:type="pct"/>
            <w:noWrap w:val="0"/>
            <w:vAlign w:val="center"/>
          </w:tcPr>
          <w:p w14:paraId="4070C8EC">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原溶液测定值</w:t>
            </w:r>
            <w:r>
              <w:rPr>
                <w:rFonts w:hint="default" w:ascii="Times New Roman" w:hAnsi="Times New Roman" w:eastAsia="宋体" w:cs="Times New Roman"/>
                <w:spacing w:val="6"/>
                <w:sz w:val="18"/>
                <w:szCs w:val="18"/>
              </w:rPr>
              <w:t>μg/mL</w:t>
            </w:r>
          </w:p>
        </w:tc>
        <w:tc>
          <w:tcPr>
            <w:tcW w:w="1306" w:type="pct"/>
            <w:noWrap w:val="0"/>
            <w:vAlign w:val="center"/>
          </w:tcPr>
          <w:p w14:paraId="313640A3">
            <w:pPr>
              <w:adjustRightInd w:val="0"/>
              <w:spacing w:line="240" w:lineRule="auto"/>
              <w:jc w:val="both"/>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加标回收测定值</w:t>
            </w:r>
            <w:r>
              <w:rPr>
                <w:rFonts w:hint="default" w:ascii="Times New Roman" w:hAnsi="Times New Roman" w:eastAsia="宋体" w:cs="Times New Roman"/>
                <w:spacing w:val="6"/>
                <w:sz w:val="18"/>
                <w:szCs w:val="18"/>
              </w:rPr>
              <w:t>μg/mL</w:t>
            </w:r>
          </w:p>
        </w:tc>
        <w:tc>
          <w:tcPr>
            <w:tcW w:w="815" w:type="pct"/>
            <w:noWrap w:val="0"/>
            <w:vAlign w:val="center"/>
          </w:tcPr>
          <w:p w14:paraId="088C8E20">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回收率/%</w:t>
            </w:r>
          </w:p>
        </w:tc>
      </w:tr>
      <w:tr w14:paraId="4AF7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noWrap w:val="0"/>
            <w:vAlign w:val="center"/>
          </w:tcPr>
          <w:p w14:paraId="73DB9B2A">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1245" w:type="pct"/>
            <w:noWrap w:val="0"/>
            <w:vAlign w:val="center"/>
          </w:tcPr>
          <w:p w14:paraId="51355EC3">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5.00</w:t>
            </w:r>
          </w:p>
        </w:tc>
        <w:tc>
          <w:tcPr>
            <w:tcW w:w="1178" w:type="pct"/>
            <w:noWrap w:val="0"/>
            <w:vAlign w:val="center"/>
          </w:tcPr>
          <w:p w14:paraId="60EC981F">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7.43</w:t>
            </w:r>
          </w:p>
        </w:tc>
        <w:tc>
          <w:tcPr>
            <w:tcW w:w="2414" w:type="dxa"/>
            <w:noWrap w:val="0"/>
            <w:vAlign w:val="center"/>
          </w:tcPr>
          <w:p w14:paraId="482EFCC7">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12.36</w:t>
            </w:r>
          </w:p>
        </w:tc>
        <w:tc>
          <w:tcPr>
            <w:tcW w:w="1506" w:type="dxa"/>
            <w:noWrap w:val="0"/>
            <w:vAlign w:val="center"/>
          </w:tcPr>
          <w:p w14:paraId="28F7FCC3">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98.6</w:t>
            </w:r>
          </w:p>
        </w:tc>
      </w:tr>
      <w:tr w14:paraId="6DEE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5FF3C12E">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2C086CB9">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7.00</w:t>
            </w:r>
          </w:p>
        </w:tc>
        <w:tc>
          <w:tcPr>
            <w:tcW w:w="1178" w:type="pct"/>
            <w:noWrap w:val="0"/>
            <w:vAlign w:val="center"/>
          </w:tcPr>
          <w:p w14:paraId="00D74F71">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7.41</w:t>
            </w:r>
          </w:p>
        </w:tc>
        <w:tc>
          <w:tcPr>
            <w:tcW w:w="2414" w:type="dxa"/>
            <w:noWrap w:val="0"/>
            <w:vAlign w:val="center"/>
          </w:tcPr>
          <w:p w14:paraId="2CA76BFC">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14.44</w:t>
            </w:r>
          </w:p>
        </w:tc>
        <w:tc>
          <w:tcPr>
            <w:tcW w:w="1506" w:type="dxa"/>
            <w:noWrap w:val="0"/>
            <w:vAlign w:val="center"/>
          </w:tcPr>
          <w:p w14:paraId="4CC52AA4">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100.4 </w:t>
            </w:r>
          </w:p>
        </w:tc>
      </w:tr>
      <w:tr w14:paraId="6837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53C662C7">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4CD6D614">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10.00</w:t>
            </w:r>
          </w:p>
        </w:tc>
        <w:tc>
          <w:tcPr>
            <w:tcW w:w="1178" w:type="pct"/>
            <w:noWrap w:val="0"/>
            <w:vAlign w:val="center"/>
          </w:tcPr>
          <w:p w14:paraId="62616CD6">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7.38</w:t>
            </w:r>
          </w:p>
        </w:tc>
        <w:tc>
          <w:tcPr>
            <w:tcW w:w="2414" w:type="dxa"/>
            <w:noWrap w:val="0"/>
            <w:vAlign w:val="center"/>
          </w:tcPr>
          <w:p w14:paraId="7DE4E935">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17.41</w:t>
            </w:r>
          </w:p>
        </w:tc>
        <w:tc>
          <w:tcPr>
            <w:tcW w:w="1506" w:type="dxa"/>
            <w:noWrap w:val="0"/>
            <w:vAlign w:val="center"/>
          </w:tcPr>
          <w:p w14:paraId="6345B434">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100.3 </w:t>
            </w:r>
          </w:p>
        </w:tc>
      </w:tr>
      <w:tr w14:paraId="3563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noWrap w:val="0"/>
            <w:vAlign w:val="center"/>
          </w:tcPr>
          <w:p w14:paraId="1232EAD3">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3#</w:t>
            </w:r>
          </w:p>
        </w:tc>
        <w:tc>
          <w:tcPr>
            <w:tcW w:w="1245" w:type="pct"/>
            <w:noWrap w:val="0"/>
            <w:vAlign w:val="center"/>
          </w:tcPr>
          <w:p w14:paraId="1D7AC3EF">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3.00</w:t>
            </w:r>
          </w:p>
        </w:tc>
        <w:tc>
          <w:tcPr>
            <w:tcW w:w="1178" w:type="pct"/>
            <w:noWrap w:val="0"/>
            <w:vAlign w:val="center"/>
          </w:tcPr>
          <w:p w14:paraId="0518DB20">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12.98</w:t>
            </w:r>
          </w:p>
        </w:tc>
        <w:tc>
          <w:tcPr>
            <w:tcW w:w="1306" w:type="pct"/>
            <w:noWrap w:val="0"/>
            <w:vAlign w:val="center"/>
          </w:tcPr>
          <w:p w14:paraId="43038B3F">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16.02</w:t>
            </w:r>
          </w:p>
        </w:tc>
        <w:tc>
          <w:tcPr>
            <w:tcW w:w="1506" w:type="dxa"/>
            <w:noWrap w:val="0"/>
            <w:vAlign w:val="center"/>
          </w:tcPr>
          <w:p w14:paraId="209AF760">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101.3 </w:t>
            </w:r>
          </w:p>
        </w:tc>
      </w:tr>
      <w:tr w14:paraId="4E7F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1D67499C">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31C8BE2F">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5.00</w:t>
            </w:r>
          </w:p>
        </w:tc>
        <w:tc>
          <w:tcPr>
            <w:tcW w:w="1178" w:type="pct"/>
            <w:noWrap w:val="0"/>
            <w:vAlign w:val="center"/>
          </w:tcPr>
          <w:p w14:paraId="23C8B1ED">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12.89</w:t>
            </w:r>
          </w:p>
        </w:tc>
        <w:tc>
          <w:tcPr>
            <w:tcW w:w="1306" w:type="pct"/>
            <w:noWrap w:val="0"/>
            <w:vAlign w:val="center"/>
          </w:tcPr>
          <w:p w14:paraId="41BF9901">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17.81</w:t>
            </w:r>
          </w:p>
        </w:tc>
        <w:tc>
          <w:tcPr>
            <w:tcW w:w="1506" w:type="dxa"/>
            <w:noWrap w:val="0"/>
            <w:vAlign w:val="center"/>
          </w:tcPr>
          <w:p w14:paraId="20484A35">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98.4 </w:t>
            </w:r>
          </w:p>
        </w:tc>
      </w:tr>
      <w:tr w14:paraId="7686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3" w:type="pct"/>
            <w:vMerge w:val="continue"/>
            <w:noWrap w:val="0"/>
            <w:vAlign w:val="center"/>
          </w:tcPr>
          <w:p w14:paraId="104B3F79">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3EEEBDFC">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7.00</w:t>
            </w:r>
          </w:p>
        </w:tc>
        <w:tc>
          <w:tcPr>
            <w:tcW w:w="1178" w:type="pct"/>
            <w:noWrap w:val="0"/>
            <w:vAlign w:val="center"/>
          </w:tcPr>
          <w:p w14:paraId="16674075">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12.94</w:t>
            </w:r>
          </w:p>
        </w:tc>
        <w:tc>
          <w:tcPr>
            <w:tcW w:w="1306" w:type="pct"/>
            <w:noWrap w:val="0"/>
            <w:vAlign w:val="center"/>
          </w:tcPr>
          <w:p w14:paraId="09D1F663">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19.89</w:t>
            </w:r>
          </w:p>
        </w:tc>
        <w:tc>
          <w:tcPr>
            <w:tcW w:w="1506" w:type="dxa"/>
            <w:noWrap w:val="0"/>
            <w:vAlign w:val="center"/>
          </w:tcPr>
          <w:p w14:paraId="697F70E1">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99.3 </w:t>
            </w:r>
          </w:p>
        </w:tc>
      </w:tr>
      <w:tr w14:paraId="5DAB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noWrap w:val="0"/>
            <w:vAlign w:val="center"/>
          </w:tcPr>
          <w:p w14:paraId="4A4FFABA">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1245" w:type="pct"/>
            <w:noWrap w:val="0"/>
            <w:vAlign w:val="center"/>
          </w:tcPr>
          <w:p w14:paraId="7F1F5635">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3.00</w:t>
            </w:r>
          </w:p>
        </w:tc>
        <w:tc>
          <w:tcPr>
            <w:tcW w:w="1178" w:type="pct"/>
            <w:noWrap w:val="0"/>
            <w:vAlign w:val="center"/>
          </w:tcPr>
          <w:p w14:paraId="7AC94547">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11.28</w:t>
            </w:r>
          </w:p>
        </w:tc>
        <w:tc>
          <w:tcPr>
            <w:tcW w:w="1306" w:type="pct"/>
            <w:noWrap w:val="0"/>
            <w:vAlign w:val="center"/>
          </w:tcPr>
          <w:p w14:paraId="610106D4">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14.31</w:t>
            </w:r>
          </w:p>
        </w:tc>
        <w:tc>
          <w:tcPr>
            <w:tcW w:w="1506" w:type="dxa"/>
            <w:noWrap w:val="0"/>
            <w:vAlign w:val="center"/>
          </w:tcPr>
          <w:p w14:paraId="767C200B">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101.0 </w:t>
            </w:r>
          </w:p>
        </w:tc>
      </w:tr>
      <w:tr w14:paraId="1237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0B8EB685">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5F20F31A">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5.00</w:t>
            </w:r>
          </w:p>
        </w:tc>
        <w:tc>
          <w:tcPr>
            <w:tcW w:w="1178" w:type="pct"/>
            <w:noWrap w:val="0"/>
            <w:vAlign w:val="center"/>
          </w:tcPr>
          <w:p w14:paraId="29D9A03A">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11.34</w:t>
            </w:r>
          </w:p>
        </w:tc>
        <w:tc>
          <w:tcPr>
            <w:tcW w:w="1306" w:type="pct"/>
            <w:noWrap w:val="0"/>
            <w:vAlign w:val="center"/>
          </w:tcPr>
          <w:p w14:paraId="17965E5E">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16.42</w:t>
            </w:r>
          </w:p>
        </w:tc>
        <w:tc>
          <w:tcPr>
            <w:tcW w:w="1506" w:type="dxa"/>
            <w:noWrap w:val="0"/>
            <w:vAlign w:val="center"/>
          </w:tcPr>
          <w:p w14:paraId="214B0A93">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101.6 </w:t>
            </w:r>
          </w:p>
        </w:tc>
      </w:tr>
      <w:tr w14:paraId="6525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78120A01">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2CEBEF9F">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7.00</w:t>
            </w:r>
          </w:p>
        </w:tc>
        <w:tc>
          <w:tcPr>
            <w:tcW w:w="1178" w:type="pct"/>
            <w:noWrap w:val="0"/>
            <w:vAlign w:val="center"/>
          </w:tcPr>
          <w:p w14:paraId="033B7075">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11.19</w:t>
            </w:r>
          </w:p>
        </w:tc>
        <w:tc>
          <w:tcPr>
            <w:tcW w:w="1306" w:type="pct"/>
            <w:noWrap w:val="0"/>
            <w:vAlign w:val="center"/>
          </w:tcPr>
          <w:p w14:paraId="63B55C44">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18.11</w:t>
            </w:r>
          </w:p>
        </w:tc>
        <w:tc>
          <w:tcPr>
            <w:tcW w:w="1506" w:type="dxa"/>
            <w:noWrap w:val="0"/>
            <w:vAlign w:val="center"/>
          </w:tcPr>
          <w:p w14:paraId="19FCE714">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98.9 </w:t>
            </w:r>
          </w:p>
        </w:tc>
      </w:tr>
    </w:tbl>
    <w:p w14:paraId="1AED0A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根据上述基体浓度试验可以看出，在本方法的三种分取倍数的基体浓度下进行样品测定时，回收率在98.4%~101.6%之间，无基体效应影响。</w:t>
      </w:r>
    </w:p>
    <w:p w14:paraId="675D2F7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2.1.2.2.4 检出限、测定下限和方法测定范围</w:t>
      </w:r>
    </w:p>
    <w:p w14:paraId="46F685AB">
      <w:pPr>
        <w:spacing w:line="240" w:lineRule="auto"/>
        <w:ind w:firstLine="420" w:firstLineChars="20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以</w:t>
      </w:r>
      <w:r>
        <w:rPr>
          <w:rFonts w:hint="eastAsia" w:ascii="Times New Roman" w:hAnsi="Times New Roman" w:cs="Times New Roman"/>
          <w:sz w:val="21"/>
          <w:szCs w:val="21"/>
          <w:lang w:val="en-US" w:eastAsia="zh-CN"/>
        </w:rPr>
        <w:t>本方法最小分取倍数</w:t>
      </w:r>
      <w:r>
        <w:rPr>
          <w:rFonts w:hint="default" w:ascii="Times New Roman" w:hAnsi="Times New Roman" w:cs="Times New Roman"/>
          <w:sz w:val="21"/>
          <w:szCs w:val="21"/>
          <w:lang w:val="en-US" w:eastAsia="zh-CN"/>
        </w:rPr>
        <w:t>处理流程空白溶液，对流程空白溶液进行11次测定，计算标准偏差，以其3倍对应浓度作为方法检出限，以其10倍对应浓度，结合称样量及分取倍数计算方法测定下限。</w:t>
      </w:r>
    </w:p>
    <w:p w14:paraId="105A5454">
      <w:pPr>
        <w:spacing w:line="240" w:lineRule="auto"/>
        <w:jc w:val="center"/>
        <w:rPr>
          <w:rFonts w:hint="default" w:ascii="Times New Roman" w:hAnsi="Times New Roman" w:cs="Times New Roman"/>
          <w:sz w:val="18"/>
          <w:szCs w:val="18"/>
          <w:lang w:val="en-US" w:eastAsia="zh-CN"/>
        </w:rPr>
      </w:pPr>
      <w:r>
        <w:rPr>
          <w:rFonts w:hint="eastAsia" w:ascii="黑体" w:hAnsi="黑体" w:eastAsia="黑体" w:cs="黑体"/>
          <w:sz w:val="18"/>
          <w:szCs w:val="18"/>
          <w:lang w:val="en-US" w:eastAsia="zh-CN"/>
        </w:rPr>
        <w:t>表23 方法检出限和测定下限</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3"/>
        <w:gridCol w:w="1398"/>
        <w:gridCol w:w="1810"/>
        <w:gridCol w:w="1316"/>
        <w:gridCol w:w="1482"/>
      </w:tblGrid>
      <w:tr w14:paraId="6D9A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74" w:type="pct"/>
            <w:noWrap w:val="0"/>
            <w:vAlign w:val="center"/>
          </w:tcPr>
          <w:p w14:paraId="76580FD9">
            <w:pPr>
              <w:spacing w:line="240" w:lineRule="auto"/>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空白测定值</w:t>
            </w:r>
          </w:p>
        </w:tc>
        <w:tc>
          <w:tcPr>
            <w:tcW w:w="820" w:type="pct"/>
            <w:noWrap w:val="0"/>
            <w:vAlign w:val="center"/>
          </w:tcPr>
          <w:p w14:paraId="0132FC5A">
            <w:pPr>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标准偏差</w:t>
            </w:r>
          </w:p>
        </w:tc>
        <w:tc>
          <w:tcPr>
            <w:tcW w:w="1062" w:type="pct"/>
            <w:noWrap w:val="0"/>
            <w:vAlign w:val="center"/>
          </w:tcPr>
          <w:p w14:paraId="2F729943">
            <w:pPr>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检出限</w:t>
            </w:r>
            <w:r>
              <w:rPr>
                <w:rFonts w:hint="default" w:ascii="Times New Roman" w:hAnsi="Times New Roman" w:cs="Times New Roman"/>
                <w:sz w:val="18"/>
                <w:szCs w:val="18"/>
              </w:rPr>
              <w:t>µg/mL</w:t>
            </w:r>
          </w:p>
        </w:tc>
        <w:tc>
          <w:tcPr>
            <w:tcW w:w="772" w:type="pct"/>
            <w:noWrap w:val="0"/>
            <w:vAlign w:val="center"/>
          </w:tcPr>
          <w:p w14:paraId="2400C294">
            <w:pPr>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检出限%</w:t>
            </w:r>
          </w:p>
        </w:tc>
        <w:tc>
          <w:tcPr>
            <w:tcW w:w="869" w:type="pct"/>
            <w:noWrap w:val="0"/>
            <w:vAlign w:val="center"/>
          </w:tcPr>
          <w:p w14:paraId="6C899AAC">
            <w:pPr>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测定下限%</w:t>
            </w:r>
          </w:p>
        </w:tc>
      </w:tr>
      <w:tr w14:paraId="19FB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1474" w:type="pct"/>
            <w:noWrap w:val="0"/>
            <w:vAlign w:val="center"/>
          </w:tcPr>
          <w:p w14:paraId="6AFC3813">
            <w:pPr>
              <w:spacing w:line="240" w:lineRule="auto"/>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lang w:val="en-US" w:eastAsia="zh-CN"/>
              </w:rPr>
              <w:t>0.0605、0.0406、0.0204、0.0309、0.0407、0.0304、0.0309、0.0356、0.0402、0.0299、0.0347</w:t>
            </w:r>
          </w:p>
        </w:tc>
        <w:tc>
          <w:tcPr>
            <w:tcW w:w="820" w:type="pct"/>
            <w:noWrap w:val="0"/>
            <w:vAlign w:val="center"/>
          </w:tcPr>
          <w:p w14:paraId="2B8F0231">
            <w:pPr>
              <w:spacing w:line="240" w:lineRule="auto"/>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18"/>
                <w:szCs w:val="18"/>
                <w:lang w:val="en-US" w:eastAsia="zh-CN"/>
              </w:rPr>
              <w:t>0.011</w:t>
            </w:r>
          </w:p>
        </w:tc>
        <w:tc>
          <w:tcPr>
            <w:tcW w:w="1062" w:type="pct"/>
            <w:noWrap w:val="0"/>
            <w:vAlign w:val="center"/>
          </w:tcPr>
          <w:p w14:paraId="380FCB75">
            <w:pPr>
              <w:spacing w:line="240" w:lineRule="auto"/>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kern w:val="0"/>
                <w:sz w:val="18"/>
                <w:szCs w:val="18"/>
                <w:lang w:val="en-US" w:eastAsia="zh-CN"/>
              </w:rPr>
              <w:t>0.031</w:t>
            </w:r>
          </w:p>
        </w:tc>
        <w:tc>
          <w:tcPr>
            <w:tcW w:w="772" w:type="pct"/>
            <w:noWrap w:val="0"/>
            <w:vAlign w:val="center"/>
          </w:tcPr>
          <w:p w14:paraId="00E4C7F2">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0.0078</w:t>
            </w:r>
          </w:p>
        </w:tc>
        <w:tc>
          <w:tcPr>
            <w:tcW w:w="869" w:type="pct"/>
            <w:noWrap w:val="0"/>
            <w:vAlign w:val="center"/>
          </w:tcPr>
          <w:p w14:paraId="1B6A1DFF">
            <w:pPr>
              <w:spacing w:line="240" w:lineRule="auto"/>
              <w:jc w:val="center"/>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lang w:val="en-US" w:eastAsia="zh-CN"/>
              </w:rPr>
              <w:t>0.028</w:t>
            </w:r>
          </w:p>
        </w:tc>
      </w:tr>
    </w:tbl>
    <w:p w14:paraId="14D047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根据上述检出限和测定下限数据可以看出，结合称样量及分取倍数，本方法的测定下限为0.028%，根据精矿类样品实际含量情况，本方法的次测定下限定为0.10%。根据后述精密度及准确度数据结果</w:t>
      </w:r>
      <w:r>
        <w:rPr>
          <w:rFonts w:hint="eastAsia" w:ascii="Times New Roman" w:hAnsi="Times New Roman" w:cs="Times New Roman"/>
          <w:sz w:val="21"/>
          <w:szCs w:val="21"/>
          <w:lang w:val="en-US" w:eastAsia="zh-CN"/>
        </w:rPr>
        <w:t>综合考虑</w:t>
      </w:r>
      <w:r>
        <w:rPr>
          <w:rFonts w:hint="default" w:ascii="Times New Roman" w:hAnsi="Times New Roman" w:cs="Times New Roman"/>
          <w:sz w:val="21"/>
          <w:szCs w:val="21"/>
          <w:lang w:val="en-US" w:eastAsia="zh-CN"/>
        </w:rPr>
        <w:t>，将本方法的测定范围定为0.10%~30%。</w:t>
      </w:r>
    </w:p>
    <w:p w14:paraId="22228FC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lang w:val="en-US" w:eastAsia="zh-CN"/>
        </w:rPr>
        <w:t xml:space="preserve">2.1.2.2.5 </w:t>
      </w:r>
      <w:r>
        <w:rPr>
          <w:rFonts w:hint="eastAsia" w:ascii="Times New Roman" w:hAnsi="Times New Roman" w:cs="Times New Roman"/>
          <w:szCs w:val="21"/>
          <w:lang w:val="en-US" w:eastAsia="zh-CN"/>
        </w:rPr>
        <w:t>正确度实验</w:t>
      </w:r>
    </w:p>
    <w:p w14:paraId="6BF57F8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2.1.2.2.5.1 回收率</w:t>
      </w:r>
    </w:p>
    <w:p w14:paraId="0AD25005">
      <w:pPr>
        <w:spacing w:line="240" w:lineRule="auto"/>
        <w:ind w:firstLine="420" w:firstLineChars="200"/>
        <w:rPr>
          <w:rFonts w:hint="default" w:ascii="Times New Roman" w:hAnsi="Times New Roman" w:cs="Times New Roman"/>
          <w:b w:val="0"/>
          <w:bCs w:val="0"/>
          <w:szCs w:val="21"/>
          <w:highlight w:val="none"/>
          <w:lang w:val="en-US" w:eastAsia="zh-CN"/>
        </w:rPr>
      </w:pPr>
      <w:r>
        <w:rPr>
          <w:rFonts w:hint="default" w:ascii="Times New Roman" w:hAnsi="Times New Roman" w:cs="Times New Roman"/>
          <w:b w:val="0"/>
          <w:bCs w:val="0"/>
          <w:sz w:val="21"/>
          <w:szCs w:val="21"/>
          <w:highlight w:val="none"/>
          <w:lang w:val="en-US" w:eastAsia="zh-CN"/>
        </w:rPr>
        <w:t>分别对1#~5#统一样品进行加标回收试验，按样品实际测定值定量加入合理浓度的五氧化二磷标准溶液。</w:t>
      </w:r>
    </w:p>
    <w:p w14:paraId="68576DB7">
      <w:pPr>
        <w:spacing w:line="240" w:lineRule="auto"/>
        <w:jc w:val="center"/>
        <w:rPr>
          <w:rFonts w:hint="default" w:ascii="Times New Roman" w:hAnsi="Times New Roman" w:cs="Times New Roman"/>
          <w:b w:val="0"/>
          <w:bCs w:val="0"/>
          <w:sz w:val="18"/>
          <w:szCs w:val="18"/>
          <w:highlight w:val="none"/>
          <w:lang w:val="en-US" w:eastAsia="zh-CN"/>
        </w:rPr>
      </w:pPr>
      <w:r>
        <w:rPr>
          <w:rFonts w:hint="eastAsia" w:ascii="黑体" w:hAnsi="黑体" w:eastAsia="黑体" w:cs="黑体"/>
          <w:b w:val="0"/>
          <w:bCs w:val="0"/>
          <w:sz w:val="18"/>
          <w:szCs w:val="18"/>
          <w:highlight w:val="none"/>
          <w:lang w:val="en-US" w:eastAsia="zh-CN"/>
        </w:rPr>
        <w:t>表24 加标回收试验</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121"/>
        <w:gridCol w:w="2007"/>
        <w:gridCol w:w="2225"/>
        <w:gridCol w:w="1390"/>
      </w:tblGrid>
      <w:tr w14:paraId="3FB3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center"/>
          </w:tcPr>
          <w:p w14:paraId="1E6D0D2B">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5488B8BF">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加标量/</w:t>
            </w:r>
            <w:r>
              <w:rPr>
                <w:rFonts w:hint="default" w:ascii="Times New Roman" w:hAnsi="Times New Roman" w:eastAsia="宋体" w:cs="Times New Roman"/>
                <w:spacing w:val="6"/>
                <w:sz w:val="18"/>
                <w:szCs w:val="18"/>
              </w:rPr>
              <w:t>μg/mL</w:t>
            </w:r>
          </w:p>
        </w:tc>
        <w:tc>
          <w:tcPr>
            <w:tcW w:w="1178" w:type="pct"/>
            <w:noWrap w:val="0"/>
            <w:vAlign w:val="center"/>
          </w:tcPr>
          <w:p w14:paraId="4AD76693">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原溶液测定值</w:t>
            </w:r>
            <w:r>
              <w:rPr>
                <w:rFonts w:hint="default" w:ascii="Times New Roman" w:hAnsi="Times New Roman" w:eastAsia="宋体" w:cs="Times New Roman"/>
                <w:spacing w:val="6"/>
                <w:sz w:val="18"/>
                <w:szCs w:val="18"/>
              </w:rPr>
              <w:t>μg/mL</w:t>
            </w:r>
          </w:p>
        </w:tc>
        <w:tc>
          <w:tcPr>
            <w:tcW w:w="1306" w:type="pct"/>
            <w:noWrap w:val="0"/>
            <w:vAlign w:val="center"/>
          </w:tcPr>
          <w:p w14:paraId="09A1862A">
            <w:pPr>
              <w:adjustRightInd w:val="0"/>
              <w:spacing w:line="240" w:lineRule="auto"/>
              <w:jc w:val="both"/>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加标回收测定值</w:t>
            </w:r>
            <w:r>
              <w:rPr>
                <w:rFonts w:hint="default" w:ascii="Times New Roman" w:hAnsi="Times New Roman" w:eastAsia="宋体" w:cs="Times New Roman"/>
                <w:spacing w:val="6"/>
                <w:sz w:val="18"/>
                <w:szCs w:val="18"/>
              </w:rPr>
              <w:t>μg/mL</w:t>
            </w:r>
          </w:p>
        </w:tc>
        <w:tc>
          <w:tcPr>
            <w:tcW w:w="815" w:type="pct"/>
            <w:noWrap w:val="0"/>
            <w:vAlign w:val="center"/>
          </w:tcPr>
          <w:p w14:paraId="013274D9">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回收率/%</w:t>
            </w:r>
          </w:p>
        </w:tc>
      </w:tr>
      <w:tr w14:paraId="162F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noWrap w:val="0"/>
            <w:vAlign w:val="center"/>
          </w:tcPr>
          <w:p w14:paraId="48784FD6">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w:t>
            </w:r>
          </w:p>
        </w:tc>
        <w:tc>
          <w:tcPr>
            <w:tcW w:w="1245" w:type="pct"/>
            <w:noWrap w:val="0"/>
            <w:vAlign w:val="center"/>
          </w:tcPr>
          <w:p w14:paraId="424EFC12">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0.50</w:t>
            </w:r>
          </w:p>
        </w:tc>
        <w:tc>
          <w:tcPr>
            <w:tcW w:w="1178" w:type="pct"/>
            <w:noWrap w:val="0"/>
            <w:vAlign w:val="center"/>
          </w:tcPr>
          <w:p w14:paraId="44BA3321">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1.24</w:t>
            </w:r>
          </w:p>
        </w:tc>
        <w:tc>
          <w:tcPr>
            <w:tcW w:w="1306" w:type="pct"/>
            <w:noWrap w:val="0"/>
            <w:vAlign w:val="center"/>
          </w:tcPr>
          <w:p w14:paraId="17AB718D">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1.71</w:t>
            </w:r>
          </w:p>
        </w:tc>
        <w:tc>
          <w:tcPr>
            <w:tcW w:w="1506" w:type="dxa"/>
            <w:noWrap w:val="0"/>
            <w:vAlign w:val="center"/>
          </w:tcPr>
          <w:p w14:paraId="31D1D726">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94.0 </w:t>
            </w:r>
          </w:p>
        </w:tc>
      </w:tr>
      <w:tr w14:paraId="42BE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3F60EC27">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1175296D">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1.00</w:t>
            </w:r>
          </w:p>
        </w:tc>
        <w:tc>
          <w:tcPr>
            <w:tcW w:w="1178" w:type="pct"/>
            <w:noWrap w:val="0"/>
            <w:vAlign w:val="center"/>
          </w:tcPr>
          <w:p w14:paraId="410AE1CA">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1.21</w:t>
            </w:r>
          </w:p>
        </w:tc>
        <w:tc>
          <w:tcPr>
            <w:tcW w:w="1306" w:type="pct"/>
            <w:noWrap w:val="0"/>
            <w:vAlign w:val="center"/>
          </w:tcPr>
          <w:p w14:paraId="4EAE93A2">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2.18</w:t>
            </w:r>
          </w:p>
        </w:tc>
        <w:tc>
          <w:tcPr>
            <w:tcW w:w="1506" w:type="dxa"/>
            <w:noWrap w:val="0"/>
            <w:vAlign w:val="center"/>
          </w:tcPr>
          <w:p w14:paraId="778134E7">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97.0 </w:t>
            </w:r>
          </w:p>
        </w:tc>
      </w:tr>
      <w:tr w14:paraId="4CDD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7EB144B3">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7EFD0C88">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2.00</w:t>
            </w:r>
          </w:p>
        </w:tc>
        <w:tc>
          <w:tcPr>
            <w:tcW w:w="1178" w:type="pct"/>
            <w:noWrap w:val="0"/>
            <w:vAlign w:val="center"/>
          </w:tcPr>
          <w:p w14:paraId="506E3F36">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1.19</w:t>
            </w:r>
          </w:p>
        </w:tc>
        <w:tc>
          <w:tcPr>
            <w:tcW w:w="1306" w:type="pct"/>
            <w:noWrap w:val="0"/>
            <w:vAlign w:val="center"/>
          </w:tcPr>
          <w:p w14:paraId="3D5B1054">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3.24</w:t>
            </w:r>
          </w:p>
        </w:tc>
        <w:tc>
          <w:tcPr>
            <w:tcW w:w="1506" w:type="dxa"/>
            <w:noWrap w:val="0"/>
            <w:vAlign w:val="center"/>
          </w:tcPr>
          <w:p w14:paraId="3DC30BDE">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102.5 </w:t>
            </w:r>
          </w:p>
        </w:tc>
      </w:tr>
      <w:tr w14:paraId="29E2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noWrap w:val="0"/>
            <w:vAlign w:val="center"/>
          </w:tcPr>
          <w:p w14:paraId="42DB15C1">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2#</w:t>
            </w:r>
          </w:p>
        </w:tc>
        <w:tc>
          <w:tcPr>
            <w:tcW w:w="1245" w:type="pct"/>
            <w:noWrap w:val="0"/>
            <w:vAlign w:val="center"/>
          </w:tcPr>
          <w:p w14:paraId="50637A75">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5.00</w:t>
            </w:r>
          </w:p>
        </w:tc>
        <w:tc>
          <w:tcPr>
            <w:tcW w:w="1178" w:type="pct"/>
            <w:noWrap w:val="0"/>
            <w:vAlign w:val="center"/>
          </w:tcPr>
          <w:p w14:paraId="563308BB">
            <w:pPr>
              <w:adjustRightInd w:val="0"/>
              <w:spacing w:line="240" w:lineRule="auto"/>
              <w:jc w:val="center"/>
              <w:textAlignment w:val="baseline"/>
              <w:rPr>
                <w:rFonts w:hint="default"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7.43</w:t>
            </w:r>
          </w:p>
        </w:tc>
        <w:tc>
          <w:tcPr>
            <w:tcW w:w="1306" w:type="pct"/>
            <w:noWrap w:val="0"/>
            <w:vAlign w:val="center"/>
          </w:tcPr>
          <w:p w14:paraId="72ADC05E">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12.38</w:t>
            </w:r>
          </w:p>
        </w:tc>
        <w:tc>
          <w:tcPr>
            <w:tcW w:w="1506" w:type="dxa"/>
            <w:noWrap w:val="0"/>
            <w:vAlign w:val="center"/>
          </w:tcPr>
          <w:p w14:paraId="021EB6CD">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99.0 </w:t>
            </w:r>
          </w:p>
        </w:tc>
      </w:tr>
      <w:tr w14:paraId="3969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67F185A4">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43D596B9">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7.00</w:t>
            </w:r>
          </w:p>
        </w:tc>
        <w:tc>
          <w:tcPr>
            <w:tcW w:w="1178" w:type="pct"/>
            <w:noWrap w:val="0"/>
            <w:vAlign w:val="center"/>
          </w:tcPr>
          <w:p w14:paraId="5A9685AD">
            <w:pPr>
              <w:adjustRightInd w:val="0"/>
              <w:spacing w:line="240" w:lineRule="auto"/>
              <w:jc w:val="center"/>
              <w:textAlignment w:val="baseline"/>
              <w:rPr>
                <w:rFonts w:hint="default"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7.41</w:t>
            </w:r>
          </w:p>
        </w:tc>
        <w:tc>
          <w:tcPr>
            <w:tcW w:w="1306" w:type="pct"/>
            <w:noWrap w:val="0"/>
            <w:vAlign w:val="center"/>
          </w:tcPr>
          <w:p w14:paraId="7ED9AEBA">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14.46</w:t>
            </w:r>
          </w:p>
        </w:tc>
        <w:tc>
          <w:tcPr>
            <w:tcW w:w="1506" w:type="dxa"/>
            <w:noWrap w:val="0"/>
            <w:vAlign w:val="center"/>
          </w:tcPr>
          <w:p w14:paraId="64A80270">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100.7 </w:t>
            </w:r>
          </w:p>
        </w:tc>
      </w:tr>
      <w:tr w14:paraId="4C63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3" w:type="pct"/>
            <w:vMerge w:val="continue"/>
            <w:noWrap w:val="0"/>
            <w:vAlign w:val="center"/>
          </w:tcPr>
          <w:p w14:paraId="54757944">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3958331C">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10.00</w:t>
            </w:r>
          </w:p>
        </w:tc>
        <w:tc>
          <w:tcPr>
            <w:tcW w:w="1178" w:type="pct"/>
            <w:noWrap w:val="0"/>
            <w:vAlign w:val="center"/>
          </w:tcPr>
          <w:p w14:paraId="18D0EC17">
            <w:pPr>
              <w:adjustRightInd w:val="0"/>
              <w:spacing w:line="240" w:lineRule="auto"/>
              <w:jc w:val="center"/>
              <w:textAlignment w:val="baseline"/>
              <w:rPr>
                <w:rFonts w:hint="default"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7.38</w:t>
            </w:r>
          </w:p>
        </w:tc>
        <w:tc>
          <w:tcPr>
            <w:tcW w:w="1306" w:type="pct"/>
            <w:noWrap w:val="0"/>
            <w:vAlign w:val="center"/>
          </w:tcPr>
          <w:p w14:paraId="16FCE290">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17.31</w:t>
            </w:r>
          </w:p>
        </w:tc>
        <w:tc>
          <w:tcPr>
            <w:tcW w:w="1506" w:type="dxa"/>
            <w:noWrap w:val="0"/>
            <w:vAlign w:val="center"/>
          </w:tcPr>
          <w:p w14:paraId="0DB75719">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99.3 </w:t>
            </w:r>
          </w:p>
        </w:tc>
      </w:tr>
      <w:tr w14:paraId="3E88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noWrap w:val="0"/>
            <w:vAlign w:val="center"/>
          </w:tcPr>
          <w:p w14:paraId="2E1615C6">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3#</w:t>
            </w:r>
          </w:p>
        </w:tc>
        <w:tc>
          <w:tcPr>
            <w:tcW w:w="1245" w:type="pct"/>
            <w:noWrap w:val="0"/>
            <w:vAlign w:val="center"/>
          </w:tcPr>
          <w:p w14:paraId="161739F2">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3.00</w:t>
            </w:r>
          </w:p>
        </w:tc>
        <w:tc>
          <w:tcPr>
            <w:tcW w:w="1178" w:type="pct"/>
            <w:noWrap w:val="0"/>
            <w:vAlign w:val="center"/>
          </w:tcPr>
          <w:p w14:paraId="1B10E8A2">
            <w:pPr>
              <w:adjustRightInd w:val="0"/>
              <w:spacing w:line="240" w:lineRule="auto"/>
              <w:jc w:val="center"/>
              <w:textAlignment w:val="baseline"/>
              <w:rPr>
                <w:rFonts w:hint="default"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12.98</w:t>
            </w:r>
          </w:p>
        </w:tc>
        <w:tc>
          <w:tcPr>
            <w:tcW w:w="1306" w:type="pct"/>
            <w:noWrap w:val="0"/>
            <w:vAlign w:val="center"/>
          </w:tcPr>
          <w:p w14:paraId="3F4E9380">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15.94</w:t>
            </w:r>
          </w:p>
        </w:tc>
        <w:tc>
          <w:tcPr>
            <w:tcW w:w="1506" w:type="dxa"/>
            <w:noWrap w:val="0"/>
            <w:vAlign w:val="center"/>
          </w:tcPr>
          <w:p w14:paraId="242B298E">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98.7 </w:t>
            </w:r>
          </w:p>
        </w:tc>
      </w:tr>
      <w:tr w14:paraId="394A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2D81558B">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445B3F72">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5.00</w:t>
            </w:r>
          </w:p>
        </w:tc>
        <w:tc>
          <w:tcPr>
            <w:tcW w:w="1178" w:type="pct"/>
            <w:noWrap w:val="0"/>
            <w:vAlign w:val="center"/>
          </w:tcPr>
          <w:p w14:paraId="1F6A3A72">
            <w:pPr>
              <w:adjustRightInd w:val="0"/>
              <w:spacing w:line="240" w:lineRule="auto"/>
              <w:jc w:val="center"/>
              <w:textAlignment w:val="baseline"/>
              <w:rPr>
                <w:rFonts w:hint="default"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12.89</w:t>
            </w:r>
          </w:p>
        </w:tc>
        <w:tc>
          <w:tcPr>
            <w:tcW w:w="1306" w:type="pct"/>
            <w:noWrap w:val="0"/>
            <w:vAlign w:val="center"/>
          </w:tcPr>
          <w:p w14:paraId="34E1B5BC">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17.94</w:t>
            </w:r>
          </w:p>
        </w:tc>
        <w:tc>
          <w:tcPr>
            <w:tcW w:w="1506" w:type="dxa"/>
            <w:noWrap w:val="0"/>
            <w:vAlign w:val="center"/>
          </w:tcPr>
          <w:p w14:paraId="2CEE9D44">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101.0 </w:t>
            </w:r>
          </w:p>
        </w:tc>
      </w:tr>
      <w:tr w14:paraId="0F1E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0687DD8B">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5715DDC8">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7.00</w:t>
            </w:r>
          </w:p>
        </w:tc>
        <w:tc>
          <w:tcPr>
            <w:tcW w:w="1178" w:type="pct"/>
            <w:noWrap w:val="0"/>
            <w:vAlign w:val="center"/>
          </w:tcPr>
          <w:p w14:paraId="0466ECDD">
            <w:pPr>
              <w:adjustRightInd w:val="0"/>
              <w:spacing w:line="240" w:lineRule="auto"/>
              <w:jc w:val="center"/>
              <w:textAlignment w:val="baseline"/>
              <w:rPr>
                <w:rFonts w:hint="default"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12.94</w:t>
            </w:r>
          </w:p>
        </w:tc>
        <w:tc>
          <w:tcPr>
            <w:tcW w:w="1306" w:type="pct"/>
            <w:noWrap w:val="0"/>
            <w:vAlign w:val="center"/>
          </w:tcPr>
          <w:p w14:paraId="0C052075">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19.89</w:t>
            </w:r>
          </w:p>
        </w:tc>
        <w:tc>
          <w:tcPr>
            <w:tcW w:w="1506" w:type="dxa"/>
            <w:noWrap w:val="0"/>
            <w:vAlign w:val="center"/>
          </w:tcPr>
          <w:p w14:paraId="53906BE3">
            <w:pPr>
              <w:keepNext w:val="0"/>
              <w:keepLines w:val="0"/>
              <w:widowControl/>
              <w:suppressLineNumbers w:val="0"/>
              <w:spacing w:line="240" w:lineRule="auto"/>
              <w:jc w:val="center"/>
              <w:textAlignment w:val="center"/>
              <w:rPr>
                <w:rFonts w:hint="default" w:ascii="Times New Roman" w:hAnsi="Times New Roman" w:cs="Times New Roman"/>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 xml:space="preserve">99.3 </w:t>
            </w:r>
          </w:p>
        </w:tc>
      </w:tr>
      <w:tr w14:paraId="5A00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noWrap w:val="0"/>
            <w:vAlign w:val="center"/>
          </w:tcPr>
          <w:p w14:paraId="040AE430">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4#</w:t>
            </w:r>
          </w:p>
        </w:tc>
        <w:tc>
          <w:tcPr>
            <w:tcW w:w="1245" w:type="pct"/>
            <w:noWrap w:val="0"/>
            <w:vAlign w:val="center"/>
          </w:tcPr>
          <w:p w14:paraId="0D99B17E">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5.00</w:t>
            </w:r>
          </w:p>
        </w:tc>
        <w:tc>
          <w:tcPr>
            <w:tcW w:w="1178" w:type="pct"/>
            <w:noWrap w:val="0"/>
            <w:vAlign w:val="center"/>
          </w:tcPr>
          <w:p w14:paraId="6F11F224">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6.77</w:t>
            </w:r>
          </w:p>
        </w:tc>
        <w:tc>
          <w:tcPr>
            <w:tcW w:w="1306" w:type="pct"/>
            <w:noWrap w:val="0"/>
            <w:vAlign w:val="center"/>
          </w:tcPr>
          <w:p w14:paraId="4217FAA4">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11.66</w:t>
            </w:r>
          </w:p>
        </w:tc>
        <w:tc>
          <w:tcPr>
            <w:tcW w:w="1506" w:type="dxa"/>
            <w:noWrap w:val="0"/>
            <w:vAlign w:val="center"/>
          </w:tcPr>
          <w:p w14:paraId="5372975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97.8 </w:t>
            </w:r>
          </w:p>
        </w:tc>
      </w:tr>
      <w:tr w14:paraId="1B17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085DEB4E">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07754681">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6.00</w:t>
            </w:r>
          </w:p>
        </w:tc>
        <w:tc>
          <w:tcPr>
            <w:tcW w:w="1178" w:type="pct"/>
            <w:noWrap w:val="0"/>
            <w:vAlign w:val="center"/>
          </w:tcPr>
          <w:p w14:paraId="35516F82">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6.82</w:t>
            </w:r>
          </w:p>
        </w:tc>
        <w:tc>
          <w:tcPr>
            <w:tcW w:w="1306" w:type="pct"/>
            <w:noWrap w:val="0"/>
            <w:vAlign w:val="center"/>
          </w:tcPr>
          <w:p w14:paraId="48664557">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12.89</w:t>
            </w:r>
          </w:p>
        </w:tc>
        <w:tc>
          <w:tcPr>
            <w:tcW w:w="1506" w:type="dxa"/>
            <w:noWrap w:val="0"/>
            <w:vAlign w:val="center"/>
          </w:tcPr>
          <w:p w14:paraId="68947B3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101.2 </w:t>
            </w:r>
          </w:p>
        </w:tc>
      </w:tr>
      <w:tr w14:paraId="7157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715C1322">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59866DA6">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7.00</w:t>
            </w:r>
          </w:p>
        </w:tc>
        <w:tc>
          <w:tcPr>
            <w:tcW w:w="1178" w:type="pct"/>
            <w:noWrap w:val="0"/>
            <w:vAlign w:val="center"/>
          </w:tcPr>
          <w:p w14:paraId="31F912C8">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6.69</w:t>
            </w:r>
          </w:p>
        </w:tc>
        <w:tc>
          <w:tcPr>
            <w:tcW w:w="1306" w:type="pct"/>
            <w:noWrap w:val="0"/>
            <w:vAlign w:val="center"/>
          </w:tcPr>
          <w:p w14:paraId="335EC7A9">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13.73</w:t>
            </w:r>
          </w:p>
        </w:tc>
        <w:tc>
          <w:tcPr>
            <w:tcW w:w="1506" w:type="dxa"/>
            <w:noWrap w:val="0"/>
            <w:vAlign w:val="center"/>
          </w:tcPr>
          <w:p w14:paraId="61FC4BE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100.6 </w:t>
            </w:r>
          </w:p>
        </w:tc>
      </w:tr>
      <w:tr w14:paraId="68E4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noWrap w:val="0"/>
            <w:vAlign w:val="center"/>
          </w:tcPr>
          <w:p w14:paraId="10353516">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w:t>
            </w:r>
          </w:p>
        </w:tc>
        <w:tc>
          <w:tcPr>
            <w:tcW w:w="1245" w:type="pct"/>
            <w:noWrap w:val="0"/>
            <w:vAlign w:val="center"/>
          </w:tcPr>
          <w:p w14:paraId="2BF1CB77">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3.00</w:t>
            </w:r>
          </w:p>
        </w:tc>
        <w:tc>
          <w:tcPr>
            <w:tcW w:w="1178" w:type="pct"/>
            <w:noWrap w:val="0"/>
            <w:vAlign w:val="center"/>
          </w:tcPr>
          <w:p w14:paraId="5BD27BA8">
            <w:pPr>
              <w:adjustRightInd w:val="0"/>
              <w:spacing w:line="240" w:lineRule="auto"/>
              <w:jc w:val="center"/>
              <w:textAlignment w:val="baseline"/>
              <w:rPr>
                <w:rFonts w:hint="default"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11.28</w:t>
            </w:r>
          </w:p>
        </w:tc>
        <w:tc>
          <w:tcPr>
            <w:tcW w:w="1306" w:type="pct"/>
            <w:noWrap w:val="0"/>
            <w:vAlign w:val="center"/>
          </w:tcPr>
          <w:p w14:paraId="0D416FB7">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14.19</w:t>
            </w:r>
          </w:p>
        </w:tc>
        <w:tc>
          <w:tcPr>
            <w:tcW w:w="1506" w:type="dxa"/>
            <w:noWrap w:val="0"/>
            <w:vAlign w:val="center"/>
          </w:tcPr>
          <w:p w14:paraId="6D54A32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97.0 </w:t>
            </w:r>
          </w:p>
        </w:tc>
      </w:tr>
      <w:tr w14:paraId="7E67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22EE70D6">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4F1914A9">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5.00</w:t>
            </w:r>
          </w:p>
        </w:tc>
        <w:tc>
          <w:tcPr>
            <w:tcW w:w="1178" w:type="pct"/>
            <w:noWrap w:val="0"/>
            <w:vAlign w:val="center"/>
          </w:tcPr>
          <w:p w14:paraId="0B40040C">
            <w:pPr>
              <w:adjustRightInd w:val="0"/>
              <w:spacing w:line="240" w:lineRule="auto"/>
              <w:jc w:val="center"/>
              <w:textAlignment w:val="baseline"/>
              <w:rPr>
                <w:rFonts w:hint="default"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11.34</w:t>
            </w:r>
          </w:p>
        </w:tc>
        <w:tc>
          <w:tcPr>
            <w:tcW w:w="1306" w:type="pct"/>
            <w:noWrap w:val="0"/>
            <w:vAlign w:val="center"/>
          </w:tcPr>
          <w:p w14:paraId="4E43E8E3">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16.41</w:t>
            </w:r>
          </w:p>
        </w:tc>
        <w:tc>
          <w:tcPr>
            <w:tcW w:w="1506" w:type="dxa"/>
            <w:noWrap w:val="0"/>
            <w:vAlign w:val="center"/>
          </w:tcPr>
          <w:p w14:paraId="465F543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101.4 </w:t>
            </w:r>
          </w:p>
        </w:tc>
      </w:tr>
      <w:tr w14:paraId="1A84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noWrap w:val="0"/>
            <w:vAlign w:val="center"/>
          </w:tcPr>
          <w:p w14:paraId="5AF38DA0">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p>
        </w:tc>
        <w:tc>
          <w:tcPr>
            <w:tcW w:w="1245" w:type="pct"/>
            <w:noWrap w:val="0"/>
            <w:vAlign w:val="center"/>
          </w:tcPr>
          <w:p w14:paraId="5635FF3B">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7.00</w:t>
            </w:r>
          </w:p>
        </w:tc>
        <w:tc>
          <w:tcPr>
            <w:tcW w:w="1178" w:type="pct"/>
            <w:noWrap w:val="0"/>
            <w:vAlign w:val="center"/>
          </w:tcPr>
          <w:p w14:paraId="1460F364">
            <w:pPr>
              <w:adjustRightInd w:val="0"/>
              <w:spacing w:line="240" w:lineRule="auto"/>
              <w:jc w:val="center"/>
              <w:textAlignment w:val="baseline"/>
              <w:rPr>
                <w:rFonts w:hint="default" w:ascii="Times New Roman" w:hAnsi="Times New Roman" w:cs="Times New Roman"/>
                <w:kern w:val="2"/>
                <w:sz w:val="18"/>
                <w:szCs w:val="18"/>
                <w:vertAlign w:val="baseline"/>
                <w:lang w:val="en-US" w:eastAsia="zh-CN" w:bidi="ar-SA"/>
              </w:rPr>
            </w:pPr>
            <w:r>
              <w:rPr>
                <w:rFonts w:hint="default" w:ascii="Times New Roman" w:hAnsi="Times New Roman" w:cs="Times New Roman"/>
                <w:sz w:val="18"/>
                <w:szCs w:val="18"/>
                <w:vertAlign w:val="baseline"/>
                <w:lang w:val="en-US" w:eastAsia="zh-CN"/>
              </w:rPr>
              <w:t>11.19</w:t>
            </w:r>
          </w:p>
        </w:tc>
        <w:tc>
          <w:tcPr>
            <w:tcW w:w="1306" w:type="pct"/>
            <w:noWrap w:val="0"/>
            <w:vAlign w:val="center"/>
          </w:tcPr>
          <w:p w14:paraId="2D1183B2">
            <w:pPr>
              <w:adjustRightInd w:val="0"/>
              <w:spacing w:line="240" w:lineRule="auto"/>
              <w:jc w:val="center"/>
              <w:textAlignment w:val="baseline"/>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18.22</w:t>
            </w:r>
          </w:p>
        </w:tc>
        <w:tc>
          <w:tcPr>
            <w:tcW w:w="1506" w:type="dxa"/>
            <w:noWrap w:val="0"/>
            <w:vAlign w:val="center"/>
          </w:tcPr>
          <w:p w14:paraId="16F5E93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100.4 </w:t>
            </w:r>
          </w:p>
        </w:tc>
      </w:tr>
    </w:tbl>
    <w:p w14:paraId="7E6712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lang w:val="en-US" w:eastAsia="zh-CN"/>
        </w:rPr>
      </w:pPr>
      <w:r>
        <w:rPr>
          <w:rFonts w:hint="default" w:ascii="Times New Roman" w:hAnsi="Times New Roman" w:cs="Times New Roman"/>
          <w:b w:val="0"/>
          <w:bCs w:val="0"/>
          <w:sz w:val="21"/>
          <w:szCs w:val="21"/>
          <w:highlight w:val="none"/>
          <w:lang w:val="en-US" w:eastAsia="zh-CN"/>
        </w:rPr>
        <w:t>从上述加标回收试验数据可以看出，本方法的回收率在94.0%~102.5%之间，满足不同含量的准确度要求。</w:t>
      </w:r>
    </w:p>
    <w:p w14:paraId="33826D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2.1.2.2.5.2 精密度</w:t>
      </w:r>
    </w:p>
    <w:p w14:paraId="5AE558B4">
      <w:pPr>
        <w:spacing w:line="240" w:lineRule="auto"/>
        <w:ind w:firstLine="420" w:firstLineChars="20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为考察本方法的精密度，本实验对含量不同的5个统一样品进行了1次重复测定，统计平均值、标准偏差和相对标准偏差。</w:t>
      </w:r>
    </w:p>
    <w:p w14:paraId="7591760E">
      <w:pPr>
        <w:spacing w:line="240" w:lineRule="auto"/>
        <w:jc w:val="center"/>
        <w:rPr>
          <w:rFonts w:hint="default" w:ascii="Times New Roman" w:hAnsi="Times New Roman" w:cs="Times New Roman"/>
          <w:b w:val="0"/>
          <w:bCs w:val="0"/>
          <w:sz w:val="18"/>
          <w:szCs w:val="18"/>
          <w:lang w:val="en-US" w:eastAsia="zh-CN"/>
        </w:rPr>
      </w:pPr>
      <w:r>
        <w:rPr>
          <w:rFonts w:hint="eastAsia" w:ascii="黑体" w:hAnsi="黑体" w:eastAsia="黑体" w:cs="黑体"/>
          <w:b w:val="0"/>
          <w:bCs w:val="0"/>
          <w:sz w:val="18"/>
          <w:szCs w:val="18"/>
          <w:lang w:val="en-US" w:eastAsia="zh-CN"/>
        </w:rPr>
        <w:t>表25 精密度数据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3552"/>
        <w:gridCol w:w="1403"/>
        <w:gridCol w:w="1304"/>
        <w:gridCol w:w="1181"/>
      </w:tblGrid>
      <w:tr w14:paraId="592F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752EA047">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样品编号</w:t>
            </w:r>
          </w:p>
        </w:tc>
        <w:tc>
          <w:tcPr>
            <w:tcW w:w="3925" w:type="dxa"/>
            <w:noWrap w:val="0"/>
            <w:vAlign w:val="center"/>
          </w:tcPr>
          <w:p w14:paraId="7DCB2398">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测试结果/%</w:t>
            </w:r>
          </w:p>
        </w:tc>
        <w:tc>
          <w:tcPr>
            <w:tcW w:w="1500" w:type="dxa"/>
            <w:noWrap w:val="0"/>
            <w:vAlign w:val="center"/>
          </w:tcPr>
          <w:p w14:paraId="6B346F3C">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平均值/%</w:t>
            </w:r>
          </w:p>
        </w:tc>
        <w:tc>
          <w:tcPr>
            <w:tcW w:w="1400" w:type="dxa"/>
            <w:noWrap w:val="0"/>
            <w:vAlign w:val="center"/>
          </w:tcPr>
          <w:p w14:paraId="384598E2">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标准偏差</w:t>
            </w:r>
          </w:p>
        </w:tc>
        <w:tc>
          <w:tcPr>
            <w:tcW w:w="1239" w:type="dxa"/>
            <w:noWrap w:val="0"/>
            <w:vAlign w:val="center"/>
          </w:tcPr>
          <w:p w14:paraId="1CA81C49">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RSD/%</w:t>
            </w:r>
          </w:p>
        </w:tc>
      </w:tr>
      <w:tr w14:paraId="46B4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1973711C">
            <w:pPr>
              <w:spacing w:line="240" w:lineRule="auto"/>
              <w:jc w:val="center"/>
              <w:rPr>
                <w:rFonts w:hint="default" w:ascii="Times New Roman" w:hAnsi="Times New Roman" w:cs="Times New Roman"/>
                <w:b w:val="0"/>
                <w:bCs w:val="0"/>
                <w:kern w:val="2"/>
                <w:sz w:val="18"/>
                <w:szCs w:val="18"/>
                <w:highlight w:val="none"/>
                <w:vertAlign w:val="baseline"/>
                <w:lang w:val="en-US" w:eastAsia="zh-CN" w:bidi="ar-SA"/>
              </w:rPr>
            </w:pPr>
            <w:r>
              <w:rPr>
                <w:rFonts w:hint="default" w:ascii="Times New Roman" w:hAnsi="Times New Roman" w:cs="Times New Roman"/>
                <w:b w:val="0"/>
                <w:bCs w:val="0"/>
                <w:sz w:val="18"/>
                <w:szCs w:val="18"/>
                <w:highlight w:val="none"/>
                <w:vertAlign w:val="baseline"/>
                <w:lang w:val="en-US" w:eastAsia="zh-CN"/>
              </w:rPr>
              <w:t>1#</w:t>
            </w:r>
          </w:p>
        </w:tc>
        <w:tc>
          <w:tcPr>
            <w:tcW w:w="3925" w:type="dxa"/>
            <w:noWrap w:val="0"/>
            <w:vAlign w:val="center"/>
          </w:tcPr>
          <w:p w14:paraId="0A094B24">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0.304、0.291、0.284、0.293、0.311、0.304、0.294、0.289、0.287、0.294、0.308</w:t>
            </w:r>
          </w:p>
        </w:tc>
        <w:tc>
          <w:tcPr>
            <w:tcW w:w="1500" w:type="dxa"/>
            <w:noWrap w:val="0"/>
            <w:vAlign w:val="center"/>
          </w:tcPr>
          <w:p w14:paraId="43B153D5">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0.296</w:t>
            </w:r>
          </w:p>
        </w:tc>
        <w:tc>
          <w:tcPr>
            <w:tcW w:w="1400" w:type="dxa"/>
            <w:noWrap w:val="0"/>
            <w:vAlign w:val="center"/>
          </w:tcPr>
          <w:p w14:paraId="5781E0E4">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0.009</w:t>
            </w:r>
          </w:p>
        </w:tc>
        <w:tc>
          <w:tcPr>
            <w:tcW w:w="1239" w:type="dxa"/>
            <w:noWrap w:val="0"/>
            <w:vAlign w:val="center"/>
          </w:tcPr>
          <w:p w14:paraId="381C2812">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3.04</w:t>
            </w:r>
          </w:p>
        </w:tc>
      </w:tr>
      <w:tr w14:paraId="7D0C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5E2F4298">
            <w:pPr>
              <w:spacing w:line="240" w:lineRule="auto"/>
              <w:jc w:val="center"/>
              <w:rPr>
                <w:rFonts w:hint="default" w:ascii="Times New Roman" w:hAnsi="Times New Roman" w:cs="Times New Roman"/>
                <w:b w:val="0"/>
                <w:bCs w:val="0"/>
                <w:kern w:val="2"/>
                <w:sz w:val="18"/>
                <w:szCs w:val="18"/>
                <w:highlight w:val="none"/>
                <w:vertAlign w:val="baseline"/>
                <w:lang w:val="en-US" w:eastAsia="zh-CN" w:bidi="ar-SA"/>
              </w:rPr>
            </w:pPr>
            <w:r>
              <w:rPr>
                <w:rFonts w:hint="default" w:ascii="Times New Roman" w:hAnsi="Times New Roman" w:cs="Times New Roman"/>
                <w:b w:val="0"/>
                <w:bCs w:val="0"/>
                <w:sz w:val="18"/>
                <w:szCs w:val="18"/>
                <w:highlight w:val="none"/>
                <w:vertAlign w:val="baseline"/>
                <w:lang w:val="en-US" w:eastAsia="zh-CN"/>
              </w:rPr>
              <w:t>2#</w:t>
            </w:r>
          </w:p>
        </w:tc>
        <w:tc>
          <w:tcPr>
            <w:tcW w:w="3925" w:type="dxa"/>
            <w:noWrap w:val="0"/>
            <w:vAlign w:val="center"/>
          </w:tcPr>
          <w:p w14:paraId="07063A2B">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1.753、1.714、1.688、1.647、1.732、1.765、1.798、1.821、1.718、1.684、1.731</w:t>
            </w:r>
          </w:p>
        </w:tc>
        <w:tc>
          <w:tcPr>
            <w:tcW w:w="1500" w:type="dxa"/>
            <w:noWrap w:val="0"/>
            <w:vAlign w:val="center"/>
          </w:tcPr>
          <w:p w14:paraId="496412D7">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1.732</w:t>
            </w:r>
          </w:p>
        </w:tc>
        <w:tc>
          <w:tcPr>
            <w:tcW w:w="1400" w:type="dxa"/>
            <w:noWrap w:val="0"/>
            <w:vAlign w:val="center"/>
          </w:tcPr>
          <w:p w14:paraId="528AD413">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0.051</w:t>
            </w:r>
          </w:p>
        </w:tc>
        <w:tc>
          <w:tcPr>
            <w:tcW w:w="1239" w:type="dxa"/>
            <w:noWrap w:val="0"/>
            <w:vAlign w:val="center"/>
          </w:tcPr>
          <w:p w14:paraId="03F65C75">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2.93</w:t>
            </w:r>
          </w:p>
        </w:tc>
      </w:tr>
      <w:tr w14:paraId="398D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09993E73">
            <w:pPr>
              <w:spacing w:line="240" w:lineRule="auto"/>
              <w:jc w:val="center"/>
              <w:rPr>
                <w:rFonts w:hint="default" w:ascii="Times New Roman" w:hAnsi="Times New Roman" w:cs="Times New Roman"/>
                <w:b w:val="0"/>
                <w:bCs w:val="0"/>
                <w:kern w:val="2"/>
                <w:sz w:val="18"/>
                <w:szCs w:val="18"/>
                <w:highlight w:val="none"/>
                <w:vertAlign w:val="baseline"/>
                <w:lang w:val="en-US" w:eastAsia="zh-CN" w:bidi="ar-SA"/>
              </w:rPr>
            </w:pPr>
            <w:r>
              <w:rPr>
                <w:rFonts w:hint="default" w:ascii="Times New Roman" w:hAnsi="Times New Roman" w:cs="Times New Roman"/>
                <w:b w:val="0"/>
                <w:bCs w:val="0"/>
                <w:sz w:val="18"/>
                <w:szCs w:val="18"/>
                <w:highlight w:val="none"/>
                <w:vertAlign w:val="baseline"/>
                <w:lang w:val="en-US" w:eastAsia="zh-CN"/>
              </w:rPr>
              <w:t>3#</w:t>
            </w:r>
          </w:p>
        </w:tc>
        <w:tc>
          <w:tcPr>
            <w:tcW w:w="3925" w:type="dxa"/>
            <w:noWrap w:val="0"/>
            <w:vAlign w:val="center"/>
          </w:tcPr>
          <w:p w14:paraId="492A2C5F">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8.755、8.821、8.589、8.498、8.622、8.884、8.773、8.666、8.589、8.632、8.788</w:t>
            </w:r>
          </w:p>
        </w:tc>
        <w:tc>
          <w:tcPr>
            <w:tcW w:w="1500" w:type="dxa"/>
            <w:noWrap w:val="0"/>
            <w:vAlign w:val="center"/>
          </w:tcPr>
          <w:p w14:paraId="58B1CE67">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8.692</w:t>
            </w:r>
          </w:p>
        </w:tc>
        <w:tc>
          <w:tcPr>
            <w:tcW w:w="1400" w:type="dxa"/>
            <w:noWrap w:val="0"/>
            <w:vAlign w:val="center"/>
          </w:tcPr>
          <w:p w14:paraId="5C2BFE16">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0.119</w:t>
            </w:r>
          </w:p>
        </w:tc>
        <w:tc>
          <w:tcPr>
            <w:tcW w:w="1239" w:type="dxa"/>
            <w:noWrap w:val="0"/>
            <w:vAlign w:val="center"/>
          </w:tcPr>
          <w:p w14:paraId="7E80F336">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1.37</w:t>
            </w:r>
          </w:p>
        </w:tc>
      </w:tr>
      <w:tr w14:paraId="20A3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76BB0951">
            <w:pPr>
              <w:spacing w:line="240" w:lineRule="auto"/>
              <w:jc w:val="center"/>
              <w:rPr>
                <w:rFonts w:hint="default" w:ascii="Times New Roman" w:hAnsi="Times New Roman" w:cs="Times New Roman"/>
                <w:b w:val="0"/>
                <w:bCs w:val="0"/>
                <w:kern w:val="2"/>
                <w:sz w:val="18"/>
                <w:szCs w:val="18"/>
                <w:highlight w:val="none"/>
                <w:vertAlign w:val="baseline"/>
                <w:lang w:val="en-US" w:eastAsia="zh-CN" w:bidi="ar-SA"/>
              </w:rPr>
            </w:pPr>
            <w:r>
              <w:rPr>
                <w:rFonts w:hint="default" w:ascii="Times New Roman" w:hAnsi="Times New Roman" w:cs="Times New Roman"/>
                <w:b w:val="0"/>
                <w:bCs w:val="0"/>
                <w:sz w:val="18"/>
                <w:szCs w:val="18"/>
                <w:highlight w:val="none"/>
                <w:vertAlign w:val="baseline"/>
                <w:lang w:val="en-US" w:eastAsia="zh-CN"/>
              </w:rPr>
              <w:t>4#</w:t>
            </w:r>
          </w:p>
        </w:tc>
        <w:tc>
          <w:tcPr>
            <w:tcW w:w="3925" w:type="dxa"/>
            <w:noWrap w:val="0"/>
            <w:vAlign w:val="center"/>
          </w:tcPr>
          <w:p w14:paraId="3AD31730">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13.444、13.521、13.498、13.388、13.294、13.191、13.266、13.528、13.412、13.541、13.488</w:t>
            </w:r>
          </w:p>
        </w:tc>
        <w:tc>
          <w:tcPr>
            <w:tcW w:w="1500" w:type="dxa"/>
            <w:noWrap w:val="0"/>
            <w:vAlign w:val="center"/>
          </w:tcPr>
          <w:p w14:paraId="64B9B4A5">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13.416</w:t>
            </w:r>
          </w:p>
        </w:tc>
        <w:tc>
          <w:tcPr>
            <w:tcW w:w="1400" w:type="dxa"/>
            <w:noWrap w:val="0"/>
            <w:vAlign w:val="center"/>
          </w:tcPr>
          <w:p w14:paraId="36CFE5E0">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0.119</w:t>
            </w:r>
          </w:p>
        </w:tc>
        <w:tc>
          <w:tcPr>
            <w:tcW w:w="1239" w:type="dxa"/>
            <w:noWrap w:val="0"/>
            <w:vAlign w:val="center"/>
          </w:tcPr>
          <w:p w14:paraId="7379BB07">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0.88</w:t>
            </w:r>
          </w:p>
        </w:tc>
      </w:tr>
      <w:tr w14:paraId="20B9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14:paraId="7563C71E">
            <w:pPr>
              <w:spacing w:line="240" w:lineRule="auto"/>
              <w:jc w:val="center"/>
              <w:rPr>
                <w:rFonts w:hint="default" w:ascii="Times New Roman" w:hAnsi="Times New Roman" w:cs="Times New Roman"/>
                <w:b w:val="0"/>
                <w:bCs w:val="0"/>
                <w:kern w:val="2"/>
                <w:sz w:val="18"/>
                <w:szCs w:val="18"/>
                <w:highlight w:val="none"/>
                <w:vertAlign w:val="baseline"/>
                <w:lang w:val="en-US" w:eastAsia="zh-CN" w:bidi="ar-SA"/>
              </w:rPr>
            </w:pPr>
            <w:r>
              <w:rPr>
                <w:rFonts w:hint="default" w:ascii="Times New Roman" w:hAnsi="Times New Roman" w:cs="Times New Roman"/>
                <w:b w:val="0"/>
                <w:bCs w:val="0"/>
                <w:sz w:val="18"/>
                <w:szCs w:val="18"/>
                <w:highlight w:val="none"/>
                <w:vertAlign w:val="baseline"/>
                <w:lang w:val="en-US" w:eastAsia="zh-CN"/>
              </w:rPr>
              <w:t>5#</w:t>
            </w:r>
          </w:p>
        </w:tc>
        <w:tc>
          <w:tcPr>
            <w:tcW w:w="3925" w:type="dxa"/>
            <w:noWrap w:val="0"/>
            <w:vAlign w:val="center"/>
          </w:tcPr>
          <w:p w14:paraId="675750EE">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22.489、22.731、22.689、22.654、22.588、22.499、22.437、22.831、22.793、22.666、22.469</w:t>
            </w:r>
          </w:p>
        </w:tc>
        <w:tc>
          <w:tcPr>
            <w:tcW w:w="1500" w:type="dxa"/>
            <w:noWrap w:val="0"/>
            <w:vAlign w:val="center"/>
          </w:tcPr>
          <w:p w14:paraId="48AE5D9C">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22.622</w:t>
            </w:r>
          </w:p>
        </w:tc>
        <w:tc>
          <w:tcPr>
            <w:tcW w:w="1400" w:type="dxa"/>
            <w:noWrap w:val="0"/>
            <w:vAlign w:val="center"/>
          </w:tcPr>
          <w:p w14:paraId="240B3690">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0.136</w:t>
            </w:r>
          </w:p>
        </w:tc>
        <w:tc>
          <w:tcPr>
            <w:tcW w:w="1239" w:type="dxa"/>
            <w:noWrap w:val="0"/>
            <w:vAlign w:val="center"/>
          </w:tcPr>
          <w:p w14:paraId="7B52234A">
            <w:pPr>
              <w:spacing w:line="240" w:lineRule="auto"/>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0.60</w:t>
            </w:r>
          </w:p>
        </w:tc>
      </w:tr>
    </w:tbl>
    <w:p w14:paraId="1CD8BE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cs="Times New Roman"/>
          <w:bCs/>
          <w:lang w:val="en-US" w:eastAsia="zh-CN"/>
        </w:rPr>
      </w:pPr>
      <w:r>
        <w:rPr>
          <w:rFonts w:hint="eastAsia" w:ascii="Times New Roman" w:hAnsi="Times New Roman" w:cs="Times New Roman"/>
          <w:bCs/>
          <w:lang w:val="en-US" w:eastAsia="zh-CN"/>
        </w:rPr>
        <w:t>由表23、表24可知，</w:t>
      </w:r>
      <w:r>
        <w:rPr>
          <w:rFonts w:hint="default" w:ascii="Times New Roman" w:hAnsi="Times New Roman" w:cs="Times New Roman"/>
        </w:rPr>
        <w:t>标加回收率实验数据为</w:t>
      </w:r>
      <w:r>
        <w:rPr>
          <w:rFonts w:hint="default" w:ascii="Times New Roman" w:hAnsi="Times New Roman" w:cs="Times New Roman"/>
          <w:szCs w:val="21"/>
        </w:rPr>
        <w:t>9</w:t>
      </w:r>
      <w:r>
        <w:rPr>
          <w:rFonts w:hint="eastAsia" w:ascii="Times New Roman" w:hAnsi="Times New Roman" w:cs="Times New Roman"/>
          <w:szCs w:val="21"/>
          <w:lang w:val="en-US" w:eastAsia="zh-CN"/>
        </w:rPr>
        <w:t>4.0</w:t>
      </w:r>
      <w:r>
        <w:rPr>
          <w:rFonts w:hint="default" w:ascii="Times New Roman" w:hAnsi="Times New Roman" w:cs="Times New Roman"/>
          <w:szCs w:val="21"/>
        </w:rPr>
        <w:t>～10</w:t>
      </w:r>
      <w:r>
        <w:rPr>
          <w:rFonts w:hint="eastAsia" w:ascii="Times New Roman" w:hAnsi="Times New Roman" w:cs="Times New Roman"/>
          <w:szCs w:val="21"/>
          <w:lang w:val="en-US" w:eastAsia="zh-CN"/>
        </w:rPr>
        <w:t>2.5</w:t>
      </w:r>
      <w:r>
        <w:rPr>
          <w:rFonts w:hint="default" w:ascii="Times New Roman" w:hAnsi="Times New Roman" w:cs="Times New Roman"/>
          <w:szCs w:val="21"/>
        </w:rPr>
        <w:t>％，RSD&lt;</w:t>
      </w:r>
      <w:r>
        <w:rPr>
          <w:rFonts w:hint="eastAsia" w:ascii="Times New Roman" w:hAnsi="Times New Roman" w:cs="Times New Roman"/>
          <w:szCs w:val="21"/>
          <w:lang w:val="en-US" w:eastAsia="zh-CN"/>
        </w:rPr>
        <w:t>4</w:t>
      </w:r>
      <w:r>
        <w:rPr>
          <w:rFonts w:hint="default" w:ascii="Times New Roman" w:hAnsi="Times New Roman" w:cs="Times New Roman"/>
          <w:szCs w:val="21"/>
        </w:rPr>
        <w:t>%，本方法满足不同含量的准确度要求。</w:t>
      </w:r>
    </w:p>
    <w:p w14:paraId="6B8534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szCs w:val="21"/>
          <w:lang w:val="en-US" w:eastAsia="zh-CN"/>
        </w:rPr>
      </w:pPr>
      <w:r>
        <w:rPr>
          <w:rFonts w:hint="eastAsia" w:ascii="Times New Roman" w:hAnsi="Times New Roman" w:cs="Times New Roman"/>
          <w:szCs w:val="21"/>
          <w:lang w:val="en-US" w:eastAsia="zh-CN"/>
        </w:rPr>
        <w:t>2.1.2.2.5.3</w:t>
      </w:r>
      <w:r>
        <w:rPr>
          <w:rFonts w:hint="eastAsia" w:ascii="Times New Roman" w:hAnsi="Times New Roman" w:cs="Times New Roman"/>
          <w:bCs/>
          <w:lang w:val="en-US" w:eastAsia="zh-CN"/>
        </w:rPr>
        <w:t xml:space="preserve"> </w:t>
      </w:r>
      <w:r>
        <w:rPr>
          <w:rFonts w:hint="default" w:ascii="Times New Roman" w:hAnsi="Times New Roman" w:cs="Times New Roman"/>
          <w:b w:val="0"/>
          <w:bCs/>
          <w:szCs w:val="21"/>
          <w:lang w:val="en-US" w:eastAsia="zh-CN"/>
        </w:rPr>
        <w:t>方法比对实验</w:t>
      </w:r>
    </w:p>
    <w:p w14:paraId="7E02BA72">
      <w:pPr>
        <w:spacing w:line="240" w:lineRule="auto"/>
        <w:ind w:firstLine="420" w:firstLineChars="200"/>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将1#~5#统一样品按本方法测定的结果，与分光光度法结果进行对照。</w:t>
      </w:r>
    </w:p>
    <w:p w14:paraId="1876EC00">
      <w:pPr>
        <w:spacing w:line="240" w:lineRule="auto"/>
        <w:jc w:val="center"/>
        <w:rPr>
          <w:rFonts w:hint="default" w:ascii="Times New Roman" w:hAnsi="Times New Roman" w:cs="Times New Roman"/>
          <w:b w:val="0"/>
          <w:bCs w:val="0"/>
          <w:sz w:val="18"/>
          <w:szCs w:val="18"/>
          <w:highlight w:val="none"/>
          <w:lang w:val="en-US" w:eastAsia="zh-CN"/>
        </w:rPr>
      </w:pPr>
      <w:r>
        <w:rPr>
          <w:rFonts w:hint="eastAsia" w:ascii="黑体" w:hAnsi="黑体" w:eastAsia="黑体" w:cs="黑体"/>
          <w:b w:val="0"/>
          <w:bCs w:val="0"/>
          <w:sz w:val="18"/>
          <w:szCs w:val="18"/>
          <w:highlight w:val="none"/>
          <w:lang w:val="en-US" w:eastAsia="zh-CN"/>
        </w:rPr>
        <w:t>表26 方法对照结果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48"/>
        <w:gridCol w:w="2848"/>
      </w:tblGrid>
      <w:tr w14:paraId="5020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080" w:type="dxa"/>
            <w:noWrap w:val="0"/>
            <w:vAlign w:val="center"/>
          </w:tcPr>
          <w:p w14:paraId="56E7A377">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统一样编号</w:t>
            </w:r>
          </w:p>
        </w:tc>
        <w:tc>
          <w:tcPr>
            <w:tcW w:w="3081" w:type="dxa"/>
            <w:noWrap w:val="0"/>
            <w:vAlign w:val="center"/>
          </w:tcPr>
          <w:p w14:paraId="591E0916">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本方法/%</w:t>
            </w:r>
          </w:p>
        </w:tc>
        <w:tc>
          <w:tcPr>
            <w:tcW w:w="3081" w:type="dxa"/>
            <w:noWrap w:val="0"/>
            <w:vAlign w:val="center"/>
          </w:tcPr>
          <w:p w14:paraId="0D2BE216">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分光光度法/%</w:t>
            </w:r>
          </w:p>
        </w:tc>
      </w:tr>
      <w:tr w14:paraId="067B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5DDC2BB1">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1#</w:t>
            </w:r>
          </w:p>
        </w:tc>
        <w:tc>
          <w:tcPr>
            <w:tcW w:w="3081" w:type="dxa"/>
            <w:noWrap w:val="0"/>
            <w:vAlign w:val="center"/>
          </w:tcPr>
          <w:p w14:paraId="4A049236">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0.29</w:t>
            </w:r>
          </w:p>
        </w:tc>
        <w:tc>
          <w:tcPr>
            <w:tcW w:w="3081" w:type="dxa"/>
            <w:noWrap w:val="0"/>
            <w:vAlign w:val="center"/>
          </w:tcPr>
          <w:p w14:paraId="21F25900">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0.30</w:t>
            </w:r>
          </w:p>
        </w:tc>
      </w:tr>
      <w:tr w14:paraId="41EF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24EB3DBF">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2#</w:t>
            </w:r>
          </w:p>
        </w:tc>
        <w:tc>
          <w:tcPr>
            <w:tcW w:w="3081" w:type="dxa"/>
            <w:noWrap w:val="0"/>
            <w:vAlign w:val="center"/>
          </w:tcPr>
          <w:p w14:paraId="1AF408FE">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1.74</w:t>
            </w:r>
          </w:p>
        </w:tc>
        <w:tc>
          <w:tcPr>
            <w:tcW w:w="3081" w:type="dxa"/>
            <w:noWrap w:val="0"/>
            <w:vAlign w:val="center"/>
          </w:tcPr>
          <w:p w14:paraId="1C193594">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1.79</w:t>
            </w:r>
          </w:p>
        </w:tc>
      </w:tr>
      <w:tr w14:paraId="1C79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014FFC42">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3#</w:t>
            </w:r>
          </w:p>
        </w:tc>
        <w:tc>
          <w:tcPr>
            <w:tcW w:w="3081" w:type="dxa"/>
            <w:noWrap w:val="0"/>
            <w:vAlign w:val="center"/>
          </w:tcPr>
          <w:p w14:paraId="61AAFAAC">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8.61</w:t>
            </w:r>
          </w:p>
        </w:tc>
        <w:tc>
          <w:tcPr>
            <w:tcW w:w="3081" w:type="dxa"/>
            <w:noWrap w:val="0"/>
            <w:vAlign w:val="center"/>
          </w:tcPr>
          <w:p w14:paraId="3723E3D7">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8.66</w:t>
            </w:r>
          </w:p>
        </w:tc>
      </w:tr>
      <w:tr w14:paraId="0BFB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30D72C3E">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4#</w:t>
            </w:r>
          </w:p>
        </w:tc>
        <w:tc>
          <w:tcPr>
            <w:tcW w:w="3081" w:type="dxa"/>
            <w:noWrap w:val="0"/>
            <w:vAlign w:val="center"/>
          </w:tcPr>
          <w:p w14:paraId="520CE08A">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13.49</w:t>
            </w:r>
          </w:p>
        </w:tc>
        <w:tc>
          <w:tcPr>
            <w:tcW w:w="3081" w:type="dxa"/>
            <w:noWrap w:val="0"/>
            <w:vAlign w:val="center"/>
          </w:tcPr>
          <w:p w14:paraId="33165633">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13.36</w:t>
            </w:r>
          </w:p>
        </w:tc>
      </w:tr>
      <w:tr w14:paraId="4A6F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noWrap w:val="0"/>
            <w:vAlign w:val="center"/>
          </w:tcPr>
          <w:p w14:paraId="6AC87A1F">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5#</w:t>
            </w:r>
          </w:p>
        </w:tc>
        <w:tc>
          <w:tcPr>
            <w:tcW w:w="3081" w:type="dxa"/>
            <w:noWrap w:val="0"/>
            <w:vAlign w:val="center"/>
          </w:tcPr>
          <w:p w14:paraId="059CB247">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22.58</w:t>
            </w:r>
          </w:p>
        </w:tc>
        <w:tc>
          <w:tcPr>
            <w:tcW w:w="3081" w:type="dxa"/>
            <w:noWrap w:val="0"/>
            <w:vAlign w:val="center"/>
          </w:tcPr>
          <w:p w14:paraId="312A4568">
            <w:pPr>
              <w:spacing w:line="240" w:lineRule="auto"/>
              <w:jc w:val="center"/>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22.71</w:t>
            </w:r>
          </w:p>
        </w:tc>
      </w:tr>
    </w:tbl>
    <w:p w14:paraId="040B8E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b w:val="0"/>
          <w:bCs/>
          <w:szCs w:val="21"/>
          <w:lang w:val="en-US" w:eastAsia="zh-CN"/>
        </w:rPr>
      </w:pPr>
      <w:r>
        <w:rPr>
          <w:rFonts w:hint="default" w:ascii="Times New Roman" w:hAnsi="Times New Roman" w:cs="Times New Roman"/>
          <w:b w:val="0"/>
          <w:bCs/>
          <w:szCs w:val="21"/>
          <w:lang w:val="en-US" w:eastAsia="zh-CN"/>
        </w:rPr>
        <w:t>由</w:t>
      </w:r>
      <w:r>
        <w:rPr>
          <w:rFonts w:hint="eastAsia" w:ascii="Times New Roman" w:hAnsi="Times New Roman" w:cs="Times New Roman"/>
          <w:b w:val="0"/>
          <w:bCs/>
          <w:szCs w:val="21"/>
          <w:lang w:val="en-US" w:eastAsia="zh-CN"/>
        </w:rPr>
        <w:t>上表</w:t>
      </w:r>
      <w:r>
        <w:rPr>
          <w:rFonts w:hint="default" w:ascii="Times New Roman" w:hAnsi="Times New Roman" w:cs="Times New Roman"/>
          <w:b w:val="0"/>
          <w:bCs/>
          <w:szCs w:val="21"/>
          <w:lang w:val="en-US" w:eastAsia="zh-CN"/>
        </w:rPr>
        <w:t>可知，不同方法比对结果一致性好，准确度满意</w:t>
      </w:r>
      <w:r>
        <w:rPr>
          <w:rFonts w:hint="eastAsia"/>
          <w:b w:val="0"/>
          <w:bCs/>
          <w:szCs w:val="21"/>
          <w:lang w:val="en-US" w:eastAsia="zh-CN"/>
        </w:rPr>
        <w:t>。</w:t>
      </w:r>
    </w:p>
    <w:p w14:paraId="57A8B55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b w:val="0"/>
          <w:bCs/>
          <w:szCs w:val="21"/>
          <w:lang w:val="en-US" w:eastAsia="zh-CN"/>
        </w:rPr>
      </w:pPr>
      <w:r>
        <w:rPr>
          <w:rFonts w:hint="default" w:ascii="Times New Roman" w:hAnsi="Times New Roman" w:cs="Times New Roman"/>
          <w:b w:val="0"/>
          <w:bCs/>
          <w:szCs w:val="21"/>
          <w:lang w:val="en-US" w:eastAsia="zh-CN"/>
        </w:rPr>
        <w:t>2.1.</w:t>
      </w:r>
      <w:r>
        <w:rPr>
          <w:rFonts w:hint="eastAsia" w:ascii="Times New Roman" w:hAnsi="Times New Roman" w:cs="Times New Roman"/>
          <w:b w:val="0"/>
          <w:bCs/>
          <w:szCs w:val="21"/>
          <w:lang w:val="en-US" w:eastAsia="zh-CN"/>
        </w:rPr>
        <w:t>2</w:t>
      </w:r>
      <w:r>
        <w:rPr>
          <w:rFonts w:hint="default" w:ascii="Times New Roman" w:hAnsi="Times New Roman" w:cs="Times New Roman"/>
          <w:b w:val="0"/>
          <w:bCs/>
          <w:szCs w:val="21"/>
          <w:lang w:val="en-US" w:eastAsia="zh-CN"/>
        </w:rPr>
        <w:t>.</w:t>
      </w:r>
      <w:r>
        <w:rPr>
          <w:rFonts w:hint="eastAsia" w:ascii="Times New Roman" w:hAnsi="Times New Roman" w:cs="Times New Roman"/>
          <w:b w:val="0"/>
          <w:bCs/>
          <w:szCs w:val="21"/>
          <w:lang w:val="en-US" w:eastAsia="zh-CN"/>
        </w:rPr>
        <w:t>3</w:t>
      </w:r>
      <w:r>
        <w:rPr>
          <w:rFonts w:hint="default" w:ascii="Times New Roman" w:hAnsi="Times New Roman" w:cs="Times New Roman"/>
          <w:b w:val="0"/>
          <w:bCs/>
          <w:szCs w:val="21"/>
          <w:lang w:val="en-US" w:eastAsia="zh-CN"/>
        </w:rPr>
        <w:t xml:space="preserve"> 结论</w:t>
      </w:r>
    </w:p>
    <w:p w14:paraId="01F0329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3.1 本方法采用碱熔融分解、硝酸酸化、标准曲线法测定精矿中五氧化二磷含量。</w:t>
      </w:r>
    </w:p>
    <w:p w14:paraId="3102343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3.2 通过共存元素干扰试验选择了最优谱线。</w:t>
      </w:r>
    </w:p>
    <w:p w14:paraId="4FD0B7C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3.3 通过前处理条件试验，选择了最优的前处理方法。</w:t>
      </w:r>
    </w:p>
    <w:p w14:paraId="308ADB0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3.4 通过基体浓度试验证明本方法无基体效应影响。</w:t>
      </w:r>
    </w:p>
    <w:p w14:paraId="0F56667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3.5 通过检出限和测定下限的试验，确定本方法的测定范围为0.10%~30%。</w:t>
      </w:r>
    </w:p>
    <w:p w14:paraId="08662BD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b w:val="0"/>
          <w:bCs/>
          <w:szCs w:val="21"/>
          <w:lang w:val="en-US" w:eastAsia="zh-CN"/>
        </w:rPr>
      </w:pPr>
      <w:r>
        <w:rPr>
          <w:rFonts w:hint="default" w:ascii="Times New Roman" w:hAnsi="Times New Roman" w:cs="Times New Roman"/>
          <w:b w:val="0"/>
          <w:bCs/>
          <w:szCs w:val="21"/>
          <w:lang w:val="en-US" w:eastAsia="zh-CN"/>
        </w:rPr>
        <w:t>2.1.1.</w:t>
      </w:r>
      <w:r>
        <w:rPr>
          <w:rFonts w:hint="eastAsia" w:ascii="Times New Roman" w:hAnsi="Times New Roman" w:cs="Times New Roman"/>
          <w:b w:val="0"/>
          <w:bCs/>
          <w:szCs w:val="21"/>
          <w:lang w:val="en-US" w:eastAsia="zh-CN"/>
        </w:rPr>
        <w:t>3.6 通过加标回收试验和方法比对试验，验证了方法准确性。加标回收率在94.0%~102.5之间。</w:t>
      </w:r>
    </w:p>
    <w:p w14:paraId="1353EE8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b w:val="0"/>
          <w:bCs/>
          <w:szCs w:val="21"/>
          <w:lang w:val="en-US" w:eastAsia="zh-CN"/>
        </w:rPr>
        <w:t>2.1.1.3.7 通过精密度试验验证了本方法的精密度，RSD&lt;4%。</w:t>
      </w:r>
    </w:p>
    <w:p w14:paraId="6D33AA5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2.2 验证数据结果分析</w:t>
      </w:r>
    </w:p>
    <w:p w14:paraId="41EF125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2.2.1 原始数据统计</w:t>
      </w:r>
    </w:p>
    <w:p w14:paraId="6122E4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lang w:eastAsia="zh-CN"/>
        </w:rPr>
      </w:pPr>
      <w:r>
        <w:rPr>
          <w:rFonts w:hint="eastAsia" w:ascii="宋体" w:hAnsi="宋体" w:cs="宋体"/>
          <w:lang w:val="en-US" w:eastAsia="zh-CN"/>
        </w:rPr>
        <w:t>包头稀土研究院</w:t>
      </w:r>
      <w:r>
        <w:rPr>
          <w:rFonts w:hint="eastAsia" w:ascii="宋体" w:hAnsi="宋体" w:cs="宋体"/>
        </w:rPr>
        <w:t>对各</w:t>
      </w:r>
      <w:r>
        <w:rPr>
          <w:rFonts w:hint="eastAsia" w:ascii="宋体" w:hAnsi="宋体" w:cs="宋体"/>
          <w:lang w:val="en-US" w:eastAsia="zh-CN"/>
        </w:rPr>
        <w:t>验证单位反馈</w:t>
      </w:r>
      <w:r>
        <w:rPr>
          <w:rFonts w:hint="eastAsia" w:ascii="宋体" w:hAnsi="宋体" w:cs="宋体"/>
        </w:rPr>
        <w:t>数据进行均值、标准偏差和相对标准偏差的统计，并进行格拉布斯检验</w:t>
      </w:r>
      <w:r>
        <w:rPr>
          <w:rFonts w:hint="eastAsia" w:ascii="宋体" w:hAnsi="宋体" w:cs="宋体"/>
          <w:lang w:eastAsia="zh-CN"/>
        </w:rPr>
        <w:t>、</w:t>
      </w:r>
      <w:r>
        <w:rPr>
          <w:rFonts w:hint="eastAsia" w:ascii="宋体" w:hAnsi="宋体" w:cs="宋体"/>
        </w:rPr>
        <w:t>等精度检验（柯克伦检验）。试验数据统计和检验结果见数据统计报告</w:t>
      </w:r>
      <w:r>
        <w:rPr>
          <w:rFonts w:hint="eastAsia" w:ascii="宋体" w:hAnsi="宋体" w:cs="宋体"/>
          <w:lang w:eastAsia="zh-CN"/>
        </w:rPr>
        <w:t>。</w:t>
      </w:r>
    </w:p>
    <w:p w14:paraId="0FFAFB2B">
      <w:pPr>
        <w:keepNext w:val="0"/>
        <w:keepLines w:val="0"/>
        <w:pageBreakBefore w:val="0"/>
        <w:widowControl w:val="0"/>
        <w:kinsoku/>
        <w:wordWrap/>
        <w:overflowPunct/>
        <w:topLinePunct w:val="0"/>
        <w:autoSpaceDE/>
        <w:autoSpaceDN/>
        <w:bidi w:val="0"/>
        <w:adjustRightInd/>
        <w:snapToGrid/>
        <w:jc w:val="left"/>
        <w:textAlignment w:val="auto"/>
        <w:rPr>
          <w:rFonts w:ascii="宋体" w:hAnsi="宋体" w:cs="宋体"/>
        </w:rPr>
      </w:pPr>
      <w:r>
        <w:rPr>
          <w:rFonts w:hint="default" w:ascii="Times New Roman" w:hAnsi="Times New Roman" w:cs="Times New Roman"/>
          <w:sz w:val="21"/>
          <w:szCs w:val="21"/>
          <w:vertAlign w:val="baseline"/>
          <w:lang w:val="en-US" w:eastAsia="zh-CN"/>
        </w:rPr>
        <w:t xml:space="preserve">2.2.2 </w:t>
      </w:r>
      <w:r>
        <w:rPr>
          <w:rFonts w:hint="eastAsia" w:ascii="Times New Roman" w:hAnsi="Times New Roman" w:cs="Times New Roman"/>
          <w:sz w:val="21"/>
          <w:szCs w:val="21"/>
          <w:vertAlign w:val="baseline"/>
          <w:lang w:val="en-US" w:eastAsia="zh-CN"/>
        </w:rPr>
        <w:t>对于岐离和离群数据的分析</w:t>
      </w:r>
    </w:p>
    <w:p w14:paraId="3990E09E">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cs="Times New Roman"/>
          <w:szCs w:val="21"/>
        </w:rPr>
      </w:pPr>
      <w:r>
        <w:rPr>
          <w:rFonts w:hint="eastAsia" w:cs="宋体"/>
          <w:szCs w:val="21"/>
        </w:rPr>
        <w:t>试验数据取舍在统计学基础上还应符合化学分析特点，对于岐离和离群数据是否留用，试验采取的判断方式：</w:t>
      </w:r>
      <w:r>
        <w:rPr>
          <w:rFonts w:hint="default" w:ascii="Times New Roman" w:hAnsi="Times New Roman" w:cs="Times New Roman"/>
          <w:szCs w:val="21"/>
        </w:rPr>
        <w:t>参照GB/T 6379.2-2004</w:t>
      </w:r>
      <w:r>
        <w:rPr>
          <w:rFonts w:hint="eastAsia" w:ascii="Times New Roman" w:hAnsi="Times New Roman" w:cs="Times New Roman"/>
          <w:szCs w:val="21"/>
          <w:lang w:eastAsia="zh-CN"/>
        </w:rPr>
        <w:t>《</w:t>
      </w:r>
      <w:r>
        <w:rPr>
          <w:rFonts w:hint="default" w:ascii="Times New Roman" w:hAnsi="Times New Roman" w:cs="Times New Roman"/>
          <w:szCs w:val="21"/>
        </w:rPr>
        <w:t>测量方法与结果的准确度（正确度与精密度）第2部分：确定标准测量方法重复性与再现性的基本方法</w:t>
      </w:r>
      <w:r>
        <w:rPr>
          <w:rFonts w:hint="eastAsia" w:ascii="Times New Roman" w:hAnsi="Times New Roman" w:cs="Times New Roman"/>
          <w:szCs w:val="21"/>
          <w:lang w:eastAsia="zh-CN"/>
        </w:rPr>
        <w:t>》</w:t>
      </w:r>
      <w:r>
        <w:rPr>
          <w:rFonts w:hint="default" w:ascii="Times New Roman" w:hAnsi="Times New Roman" w:cs="Times New Roman"/>
          <w:szCs w:val="21"/>
        </w:rPr>
        <w:t>先进行格拉布斯检验，对于检验为岐离的数据进行保留，对于离群的数据进行剔除。当最大或最小的平均值经检验为离群值，则将其剔除，对剩下的平均值重复进行检验；再进行柯克伦检验，对于检验为岐离的数据进行保留，对于离群的数据进行剔除。当最大标准差经检验判断为离群值后，将其进行剔除，对剩下的数据再次进行柯克伦检验。</w:t>
      </w:r>
    </w:p>
    <w:p w14:paraId="1A0B29B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rPr>
      </w:pPr>
      <w:r>
        <w:rPr>
          <w:rFonts w:hint="eastAsia" w:ascii="Times New Roman" w:hAnsi="Times New Roman" w:cs="Times New Roman"/>
          <w:lang w:val="en-US" w:eastAsia="zh-CN"/>
        </w:rPr>
        <w:t xml:space="preserve">2.2.3 </w:t>
      </w:r>
      <w:r>
        <w:rPr>
          <w:rFonts w:hint="eastAsia" w:ascii="宋体" w:hAnsi="宋体" w:cs="宋体"/>
        </w:rPr>
        <w:t>重复性限和再现性限计算</w:t>
      </w:r>
    </w:p>
    <w:p w14:paraId="7880B2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rPr>
      </w:pPr>
      <w:r>
        <w:rPr>
          <w:rFonts w:hint="eastAsia" w:ascii="宋体" w:hAnsi="宋体" w:cs="宋体"/>
        </w:rPr>
        <w:t>试验</w:t>
      </w:r>
      <w:r>
        <w:rPr>
          <w:rFonts w:hint="eastAsia" w:ascii="宋体" w:hAnsi="宋体" w:cs="宋体"/>
          <w:lang w:val="en-US" w:eastAsia="zh-CN"/>
        </w:rPr>
        <w:t>中磷铋钼蓝分光光度法</w:t>
      </w:r>
      <w:r>
        <w:rPr>
          <w:rFonts w:hint="eastAsia" w:ascii="Times New Roman" w:hAnsi="Times New Roman" w:cs="Times New Roman"/>
          <w:szCs w:val="21"/>
          <w:lang w:val="en-US" w:eastAsia="zh-CN"/>
        </w:rPr>
        <w:t>、</w:t>
      </w:r>
      <w:r>
        <w:rPr>
          <w:rFonts w:hint="eastAsia" w:ascii="Times New Roman" w:hAnsi="Times New Roman" w:cs="Times New Roman"/>
          <w:sz w:val="21"/>
          <w:szCs w:val="21"/>
          <w:lang w:val="en-US" w:eastAsia="zh-CN"/>
        </w:rPr>
        <w:t>电感耦合等离子发射光谱法</w:t>
      </w:r>
      <w:r>
        <w:rPr>
          <w:rFonts w:hint="eastAsia" w:ascii="Times New Roman" w:hAnsi="Times New Roman" w:cs="Times New Roman"/>
          <w:szCs w:val="21"/>
          <w:lang w:val="en-US" w:eastAsia="zh-CN"/>
        </w:rPr>
        <w:t>分别</w:t>
      </w:r>
      <w:r>
        <w:rPr>
          <w:rFonts w:hint="eastAsia" w:ascii="宋体" w:hAnsi="宋体" w:cs="宋体"/>
        </w:rPr>
        <w:t>对</w:t>
      </w:r>
      <w:r>
        <w:rPr>
          <w:rFonts w:hint="eastAsia" w:ascii="宋体" w:hAnsi="宋体" w:cs="宋体"/>
          <w:lang w:val="en-US" w:eastAsia="zh-CN"/>
        </w:rPr>
        <w:t>多</w:t>
      </w:r>
      <w:r>
        <w:rPr>
          <w:rFonts w:hint="eastAsia" w:ascii="宋体" w:hAnsi="宋体" w:cs="宋体"/>
        </w:rPr>
        <w:t>个水平</w:t>
      </w:r>
      <w:r>
        <w:rPr>
          <w:rFonts w:hint="eastAsia" w:ascii="宋体" w:hAnsi="宋体" w:cs="宋体"/>
          <w:lang w:val="en-US" w:eastAsia="zh-CN"/>
        </w:rPr>
        <w:t>统一样的</w:t>
      </w:r>
      <w:r>
        <w:rPr>
          <w:rFonts w:hint="eastAsia" w:ascii="宋体" w:hAnsi="宋体" w:cs="宋体"/>
        </w:rPr>
        <w:t>所有保留数据进行了重复性限和再现性限计算，计算结果见</w:t>
      </w:r>
      <w:r>
        <w:rPr>
          <w:rFonts w:hint="eastAsia" w:ascii="宋体" w:hAnsi="宋体" w:cs="宋体"/>
          <w:lang w:val="en-US" w:eastAsia="zh-CN"/>
        </w:rPr>
        <w:t>附件</w:t>
      </w:r>
      <w:r>
        <w:rPr>
          <w:rFonts w:hint="eastAsia" w:ascii="宋体" w:hAnsi="宋体" w:cs="宋体"/>
        </w:rPr>
        <w:t>数据统计报告。</w:t>
      </w:r>
    </w:p>
    <w:p w14:paraId="446B333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 xml:space="preserve">四 </w:t>
      </w:r>
      <w:r>
        <w:rPr>
          <w:rFonts w:hint="eastAsia" w:ascii="黑体" w:hAnsi="黑体" w:eastAsia="黑体" w:cs="黑体"/>
          <w:sz w:val="24"/>
          <w:szCs w:val="24"/>
        </w:rPr>
        <w:t>标准中涉及专利的情况</w:t>
      </w:r>
    </w:p>
    <w:p w14:paraId="3D759E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本标准</w:t>
      </w:r>
      <w:r>
        <w:rPr>
          <w:szCs w:val="21"/>
        </w:rPr>
        <w:t>不涉及专利问题。</w:t>
      </w:r>
    </w:p>
    <w:p w14:paraId="661BDB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五 </w:t>
      </w:r>
      <w:r>
        <w:rPr>
          <w:rFonts w:hint="eastAsia" w:ascii="黑体" w:hAnsi="黑体" w:eastAsia="黑体" w:cs="黑体"/>
          <w:sz w:val="24"/>
          <w:szCs w:val="24"/>
        </w:rPr>
        <w:t>效益</w:t>
      </w:r>
      <w:r>
        <w:rPr>
          <w:rFonts w:hint="eastAsia" w:ascii="黑体" w:hAnsi="黑体" w:eastAsia="黑体" w:cs="黑体"/>
          <w:sz w:val="24"/>
          <w:szCs w:val="24"/>
          <w:lang w:val="en-US" w:eastAsia="zh-CN"/>
        </w:rPr>
        <w:t>展望</w:t>
      </w:r>
    </w:p>
    <w:p w14:paraId="2D12F360">
      <w:pPr>
        <w:widowControl/>
        <w:ind w:left="0" w:leftChars="0" w:firstLine="420" w:firstLineChars="200"/>
        <w:jc w:val="both"/>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与GB/T 18114.9-2010相比，修订</w:t>
      </w:r>
      <w:r>
        <w:rPr>
          <w:rFonts w:hint="default" w:ascii="Times New Roman" w:hAnsi="Times New Roman" w:eastAsia="宋体" w:cs="Times New Roman"/>
          <w:szCs w:val="21"/>
        </w:rPr>
        <w:t>标准实施后，</w:t>
      </w:r>
      <w:r>
        <w:rPr>
          <w:rFonts w:hint="eastAsia" w:ascii="Times New Roman" w:hAnsi="Times New Roman" w:eastAsia="宋体" w:cs="Times New Roman"/>
          <w:szCs w:val="21"/>
          <w:lang w:val="en-US" w:eastAsia="zh-CN"/>
        </w:rPr>
        <w:t>新增分析方法</w:t>
      </w:r>
      <w:r>
        <w:rPr>
          <w:rFonts w:hint="eastAsia" w:ascii="Times New Roman" w:hAnsi="Times New Roman" w:eastAsia="宋体" w:cs="Times New Roman"/>
          <w:sz w:val="21"/>
          <w:szCs w:val="21"/>
          <w:lang w:val="en-US" w:eastAsia="zh-CN"/>
        </w:rPr>
        <w:t>电感耦合等离子体发射光谱法以及优化后的磷铋钼蓝分光光度法</w:t>
      </w:r>
      <w:r>
        <w:rPr>
          <w:rFonts w:hint="eastAsia" w:ascii="Times New Roman" w:hAnsi="Times New Roman" w:eastAsia="宋体" w:cs="Times New Roman"/>
          <w:szCs w:val="21"/>
          <w:lang w:val="en-US" w:eastAsia="zh-CN"/>
        </w:rPr>
        <w:t>可显著降低方法测定下限，能够进一步拓展方法适用范围，可以更广泛地应用于稀土精矿生产、贸易活动，为生产工艺调整、产品质量控制提供数据支撑，具有深远的社会效益和一定的经济效益。</w:t>
      </w:r>
    </w:p>
    <w:p w14:paraId="63B8209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六 </w:t>
      </w:r>
      <w:r>
        <w:rPr>
          <w:rFonts w:hint="eastAsia" w:ascii="黑体" w:hAnsi="黑体" w:eastAsia="黑体" w:cs="黑体"/>
          <w:sz w:val="24"/>
          <w:szCs w:val="24"/>
        </w:rPr>
        <w:t>采用国际标准和国外先进标准的情况</w:t>
      </w:r>
    </w:p>
    <w:p w14:paraId="4A45C1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经</w:t>
      </w:r>
      <w:r>
        <w:rPr>
          <w:rFonts w:hint="eastAsia"/>
          <w:szCs w:val="21"/>
          <w:lang w:val="en-US" w:eastAsia="zh-CN"/>
        </w:rPr>
        <w:t>检索查阅</w:t>
      </w:r>
      <w:r>
        <w:rPr>
          <w:szCs w:val="21"/>
        </w:rPr>
        <w:t>，</w:t>
      </w:r>
      <w:r>
        <w:rPr>
          <w:rFonts w:hint="eastAsia"/>
          <w:szCs w:val="21"/>
          <w:lang w:val="en-US" w:eastAsia="zh-CN"/>
        </w:rPr>
        <w:t>尚未</w:t>
      </w:r>
      <w:r>
        <w:rPr>
          <w:szCs w:val="21"/>
        </w:rPr>
        <w:t>发现相同类型的国际标准和</w:t>
      </w:r>
      <w:r>
        <w:rPr>
          <w:rFonts w:hint="eastAsia"/>
          <w:szCs w:val="21"/>
        </w:rPr>
        <w:t>国</w:t>
      </w:r>
      <w:r>
        <w:rPr>
          <w:szCs w:val="21"/>
        </w:rPr>
        <w:t>外先进标准。</w:t>
      </w:r>
    </w:p>
    <w:p w14:paraId="2B9EDB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 xml:space="preserve">七 </w:t>
      </w:r>
      <w:r>
        <w:rPr>
          <w:rFonts w:hint="eastAsia" w:ascii="黑体" w:hAnsi="黑体" w:eastAsia="黑体" w:cs="黑体"/>
          <w:sz w:val="24"/>
          <w:szCs w:val="24"/>
        </w:rPr>
        <w:t>与现行相关法律、法规、规章及相关标准，特别是强制性国家标准的协调配套情况</w:t>
      </w:r>
    </w:p>
    <w:p w14:paraId="5752257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本</w:t>
      </w:r>
      <w:r>
        <w:rPr>
          <w:szCs w:val="21"/>
        </w:rPr>
        <w:t>标准</w:t>
      </w:r>
      <w:r>
        <w:rPr>
          <w:rFonts w:hint="eastAsia"/>
          <w:szCs w:val="21"/>
        </w:rPr>
        <w:t>与</w:t>
      </w:r>
      <w:r>
        <w:rPr>
          <w:szCs w:val="21"/>
        </w:rPr>
        <w:t>现行相关法律、法规、规章及相关标准和强制性国家标准无冲突。</w:t>
      </w:r>
      <w:r>
        <w:rPr>
          <w:rFonts w:hint="eastAsia"/>
          <w:szCs w:val="21"/>
        </w:rPr>
        <w:t>本标准</w:t>
      </w:r>
      <w:r>
        <w:rPr>
          <w:szCs w:val="21"/>
        </w:rPr>
        <w:t>与现行标准及制定中的标准无重复交叉情况。</w:t>
      </w:r>
    </w:p>
    <w:p w14:paraId="670D9F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八 </w:t>
      </w:r>
      <w:r>
        <w:rPr>
          <w:rFonts w:hint="eastAsia" w:ascii="黑体" w:hAnsi="黑体" w:eastAsia="黑体" w:cs="黑体"/>
          <w:sz w:val="24"/>
          <w:szCs w:val="24"/>
        </w:rPr>
        <w:t>重大分歧意见的处理经过和依据</w:t>
      </w:r>
      <w:r>
        <w:rPr>
          <w:rFonts w:hint="eastAsia" w:ascii="黑体" w:hAnsi="黑体" w:eastAsia="黑体" w:cs="黑体"/>
          <w:sz w:val="24"/>
          <w:szCs w:val="24"/>
          <w:lang w:val="en-US" w:eastAsia="zh-CN"/>
        </w:rPr>
        <w:t xml:space="preserve"> </w:t>
      </w:r>
    </w:p>
    <w:p w14:paraId="5EF0C1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无</w:t>
      </w:r>
      <w:r>
        <w:rPr>
          <w:szCs w:val="21"/>
        </w:rPr>
        <w:t>。</w:t>
      </w:r>
    </w:p>
    <w:p w14:paraId="0EAC188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 xml:space="preserve">九 </w:t>
      </w:r>
      <w:r>
        <w:rPr>
          <w:rFonts w:hint="eastAsia" w:ascii="黑体" w:hAnsi="黑体" w:eastAsia="黑体" w:cs="黑体"/>
          <w:sz w:val="24"/>
          <w:szCs w:val="24"/>
        </w:rPr>
        <w:t>标准性质的建议说明</w:t>
      </w:r>
    </w:p>
    <w:p w14:paraId="05DD2B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szCs w:val="21"/>
        </w:rPr>
        <w:t>建议本标准的性质</w:t>
      </w:r>
      <w:r>
        <w:rPr>
          <w:rFonts w:hint="eastAsia"/>
          <w:szCs w:val="21"/>
        </w:rPr>
        <w:t>为</w:t>
      </w:r>
      <w:r>
        <w:rPr>
          <w:szCs w:val="21"/>
        </w:rPr>
        <w:t>推荐性国家标准。</w:t>
      </w:r>
    </w:p>
    <w:p w14:paraId="1CEE738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十 </w:t>
      </w:r>
      <w:r>
        <w:rPr>
          <w:rFonts w:hint="eastAsia" w:ascii="黑体" w:hAnsi="黑体" w:eastAsia="黑体" w:cs="黑体"/>
          <w:sz w:val="24"/>
          <w:szCs w:val="24"/>
        </w:rPr>
        <w:t>贯彻标准的要求和措施建议</w:t>
      </w:r>
    </w:p>
    <w:p w14:paraId="6CB36F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szCs w:val="21"/>
        </w:rPr>
      </w:pPr>
      <w:r>
        <w:rPr>
          <w:rFonts w:hint="eastAsia"/>
          <w:szCs w:val="21"/>
        </w:rPr>
        <w:t>本</w:t>
      </w:r>
      <w:r>
        <w:rPr>
          <w:szCs w:val="21"/>
        </w:rPr>
        <w:t>标准修订后增加了</w:t>
      </w:r>
      <w:r>
        <w:rPr>
          <w:rFonts w:hint="eastAsia" w:ascii="Times New Roman" w:hAnsi="Times New Roman" w:cs="Times New Roman"/>
          <w:sz w:val="21"/>
          <w:szCs w:val="21"/>
          <w:lang w:val="en-US" w:eastAsia="zh-CN"/>
        </w:rPr>
        <w:t>电感耦合等离子体发射光谱法</w:t>
      </w:r>
      <w:r>
        <w:rPr>
          <w:szCs w:val="21"/>
        </w:rPr>
        <w:t>，</w:t>
      </w:r>
      <w:r>
        <w:rPr>
          <w:rFonts w:hint="eastAsia"/>
          <w:szCs w:val="21"/>
        </w:rPr>
        <w:t>适用</w:t>
      </w:r>
      <w:r>
        <w:rPr>
          <w:szCs w:val="21"/>
        </w:rPr>
        <w:t>于</w:t>
      </w:r>
      <w:r>
        <w:rPr>
          <w:rFonts w:hint="eastAsia"/>
          <w:szCs w:val="21"/>
          <w:lang w:val="en-US" w:eastAsia="zh-CN"/>
        </w:rPr>
        <w:t>稀土精矿中五氧化二磷量</w:t>
      </w:r>
      <w:r>
        <w:rPr>
          <w:szCs w:val="21"/>
        </w:rPr>
        <w:t>的测定。</w:t>
      </w:r>
      <w:r>
        <w:rPr>
          <w:rFonts w:hint="eastAsia"/>
          <w:szCs w:val="21"/>
        </w:rPr>
        <w:t>建议</w:t>
      </w:r>
      <w:r>
        <w:rPr>
          <w:szCs w:val="21"/>
        </w:rPr>
        <w:t>相关生产单位和检测</w:t>
      </w:r>
      <w:r>
        <w:rPr>
          <w:rFonts w:hint="eastAsia"/>
          <w:szCs w:val="21"/>
          <w:lang w:val="en-US" w:eastAsia="zh-CN"/>
        </w:rPr>
        <w:t>机构</w:t>
      </w:r>
      <w:r>
        <w:rPr>
          <w:szCs w:val="21"/>
        </w:rPr>
        <w:t>积极</w:t>
      </w:r>
      <w:r>
        <w:rPr>
          <w:rFonts w:hint="eastAsia"/>
          <w:szCs w:val="21"/>
        </w:rPr>
        <w:t>组织</w:t>
      </w:r>
      <w:r>
        <w:rPr>
          <w:rFonts w:hint="eastAsia"/>
          <w:szCs w:val="21"/>
          <w:lang w:val="en-US" w:eastAsia="zh-CN"/>
        </w:rPr>
        <w:t>对修订</w:t>
      </w:r>
      <w:r>
        <w:rPr>
          <w:szCs w:val="21"/>
        </w:rPr>
        <w:t>标准的培训和宣贯，</w:t>
      </w:r>
      <w:r>
        <w:rPr>
          <w:rFonts w:hint="eastAsia"/>
          <w:szCs w:val="21"/>
          <w:lang w:val="en-US" w:eastAsia="zh-CN"/>
        </w:rPr>
        <w:t>同时</w:t>
      </w:r>
      <w:r>
        <w:rPr>
          <w:rFonts w:hint="eastAsia"/>
          <w:szCs w:val="21"/>
        </w:rPr>
        <w:t>可向</w:t>
      </w:r>
      <w:r>
        <w:rPr>
          <w:szCs w:val="21"/>
        </w:rPr>
        <w:t>企业、公司和科研院校推荐本标准。</w:t>
      </w:r>
    </w:p>
    <w:p w14:paraId="7FC72D4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 xml:space="preserve">十二 </w:t>
      </w:r>
      <w:r>
        <w:rPr>
          <w:rFonts w:hint="eastAsia" w:ascii="黑体" w:hAnsi="黑体" w:eastAsia="黑体" w:cs="黑体"/>
          <w:sz w:val="24"/>
          <w:szCs w:val="24"/>
        </w:rPr>
        <w:t>废止现行相关标准的建议</w:t>
      </w:r>
    </w:p>
    <w:p w14:paraId="6F964A3D">
      <w:pPr>
        <w:keepNext w:val="0"/>
        <w:keepLines w:val="0"/>
        <w:pageBreakBefore w:val="0"/>
        <w:widowControl w:val="0"/>
        <w:kinsoku/>
        <w:wordWrap/>
        <w:overflowPunct/>
        <w:topLinePunct w:val="0"/>
        <w:autoSpaceDE/>
        <w:autoSpaceDN/>
        <w:bidi w:val="0"/>
        <w:adjustRightInd/>
        <w:snapToGrid/>
        <w:ind w:firstLine="437"/>
        <w:textAlignment w:val="auto"/>
        <w:rPr>
          <w:rFonts w:hint="default" w:ascii="Times New Roman" w:hAnsi="Times New Roman" w:cs="Times New Roman"/>
          <w:szCs w:val="21"/>
        </w:rPr>
      </w:pPr>
      <w:r>
        <w:rPr>
          <w:rFonts w:hint="eastAsia"/>
          <w:szCs w:val="21"/>
          <w:lang w:val="en-US" w:eastAsia="zh-CN"/>
        </w:rPr>
        <w:t>建议</w:t>
      </w:r>
      <w:r>
        <w:rPr>
          <w:rFonts w:hint="eastAsia"/>
          <w:szCs w:val="21"/>
        </w:rPr>
        <w:t>在</w:t>
      </w:r>
      <w:r>
        <w:rPr>
          <w:szCs w:val="21"/>
        </w:rPr>
        <w:t>本标准发布实施之日起</w:t>
      </w:r>
      <w:r>
        <w:rPr>
          <w:rFonts w:hint="default" w:ascii="Times New Roman" w:hAnsi="Times New Roman" w:cs="Times New Roman"/>
          <w:szCs w:val="21"/>
        </w:rPr>
        <w:t xml:space="preserve">，代替GB/T </w:t>
      </w:r>
      <w:r>
        <w:rPr>
          <w:rFonts w:hint="default" w:ascii="Times New Roman" w:hAnsi="Times New Roman" w:cs="Times New Roman"/>
          <w:szCs w:val="21"/>
          <w:lang w:val="en-US" w:eastAsia="zh-CN"/>
        </w:rPr>
        <w:t>18114.</w:t>
      </w:r>
      <w:r>
        <w:rPr>
          <w:rFonts w:hint="eastAsia" w:ascii="Times New Roman" w:hAnsi="Times New Roman" w:cs="Times New Roman"/>
          <w:szCs w:val="21"/>
          <w:lang w:val="en-US" w:eastAsia="zh-CN"/>
        </w:rPr>
        <w:t>9</w:t>
      </w:r>
      <w:r>
        <w:rPr>
          <w:rFonts w:hint="default" w:ascii="Times New Roman" w:hAnsi="Times New Roman" w:cs="Times New Roman"/>
          <w:szCs w:val="21"/>
        </w:rPr>
        <w:t>-2010《</w:t>
      </w:r>
      <w:r>
        <w:rPr>
          <w:rFonts w:hint="default" w:ascii="Times New Roman" w:hAnsi="Times New Roman" w:cs="Times New Roman"/>
          <w:szCs w:val="21"/>
          <w:lang w:val="en-US" w:eastAsia="zh-CN"/>
        </w:rPr>
        <w:t>稀土精矿化学分析法 第</w:t>
      </w:r>
      <w:r>
        <w:rPr>
          <w:rFonts w:hint="eastAsia" w:ascii="Times New Roman" w:hAnsi="Times New Roman" w:cs="Times New Roman"/>
          <w:szCs w:val="21"/>
          <w:lang w:val="en-US" w:eastAsia="zh-CN"/>
        </w:rPr>
        <w:t>9</w:t>
      </w:r>
      <w:r>
        <w:rPr>
          <w:rFonts w:hint="default" w:ascii="Times New Roman" w:hAnsi="Times New Roman" w:cs="Times New Roman"/>
          <w:szCs w:val="21"/>
          <w:lang w:val="en-US" w:eastAsia="zh-CN"/>
        </w:rPr>
        <w:t>部分：</w:t>
      </w:r>
      <w:r>
        <w:rPr>
          <w:rFonts w:hint="eastAsia" w:ascii="Times New Roman" w:hAnsi="Times New Roman" w:cs="Times New Roman"/>
          <w:szCs w:val="21"/>
          <w:lang w:val="en-US" w:eastAsia="zh-CN"/>
        </w:rPr>
        <w:t>五氧化二磷</w:t>
      </w:r>
      <w:r>
        <w:rPr>
          <w:rFonts w:hint="default" w:ascii="Times New Roman" w:hAnsi="Times New Roman" w:cs="Times New Roman"/>
          <w:szCs w:val="21"/>
          <w:lang w:val="en-US" w:eastAsia="zh-CN"/>
        </w:rPr>
        <w:t xml:space="preserve">量地测定 </w:t>
      </w:r>
      <w:r>
        <w:rPr>
          <w:rFonts w:hint="eastAsia" w:ascii="Times New Roman" w:hAnsi="Times New Roman" w:cs="Times New Roman"/>
          <w:szCs w:val="21"/>
          <w:lang w:val="en-US" w:eastAsia="zh-CN"/>
        </w:rPr>
        <w:t>磷铋钼蓝分光光度法</w:t>
      </w:r>
      <w:r>
        <w:rPr>
          <w:rFonts w:hint="default" w:ascii="Times New Roman" w:hAnsi="Times New Roman" w:cs="Times New Roman"/>
          <w:szCs w:val="21"/>
        </w:rPr>
        <w:t>》。</w:t>
      </w:r>
    </w:p>
    <w:p w14:paraId="05CB17C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 xml:space="preserve">十三 </w:t>
      </w:r>
      <w:r>
        <w:rPr>
          <w:rFonts w:hint="eastAsia" w:ascii="黑体" w:hAnsi="黑体" w:eastAsia="黑体" w:cs="黑体"/>
          <w:sz w:val="24"/>
          <w:szCs w:val="24"/>
        </w:rPr>
        <w:t>其他应予说明的事项</w:t>
      </w:r>
    </w:p>
    <w:p w14:paraId="7FDC53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无。</w:t>
      </w:r>
    </w:p>
    <w:p w14:paraId="60DC5E7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eastAsia="黑体"/>
          <w:bCs/>
          <w:sz w:val="24"/>
        </w:rPr>
      </w:pPr>
    </w:p>
    <w:p w14:paraId="590023A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bCs/>
          <w:sz w:val="24"/>
        </w:rPr>
      </w:pPr>
      <w:r>
        <w:rPr>
          <w:rFonts w:hint="default" w:ascii="Times New Roman" w:hAnsi="Times New Roman" w:eastAsia="黑体" w:cs="Times New Roman"/>
          <w:bCs/>
          <w:sz w:val="24"/>
        </w:rPr>
        <w:t>附件A：</w:t>
      </w:r>
      <w:r>
        <w:rPr>
          <w:rFonts w:hint="default" w:ascii="Times New Roman" w:hAnsi="Times New Roman" w:eastAsia="黑体" w:cs="Times New Roman"/>
          <w:bCs/>
          <w:sz w:val="24"/>
          <w:lang w:val="en-US" w:eastAsia="zh-CN"/>
        </w:rPr>
        <w:t>方法1</w:t>
      </w:r>
      <w:r>
        <w:rPr>
          <w:rFonts w:hint="default" w:ascii="Times New Roman" w:hAnsi="Times New Roman" w:eastAsia="黑体" w:cs="Times New Roman"/>
          <w:bCs/>
          <w:sz w:val="24"/>
        </w:rPr>
        <w:t>精密度数据统计</w:t>
      </w:r>
    </w:p>
    <w:p w14:paraId="683AEB1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bCs/>
          <w:sz w:val="24"/>
          <w:lang w:val="en-US" w:eastAsia="zh-CN"/>
        </w:rPr>
      </w:pPr>
      <w:r>
        <w:rPr>
          <w:rFonts w:hint="default" w:ascii="Times New Roman" w:hAnsi="Times New Roman" w:eastAsia="黑体" w:cs="Times New Roman"/>
          <w:bCs/>
          <w:sz w:val="24"/>
        </w:rPr>
        <w:t>附件</w:t>
      </w:r>
      <w:r>
        <w:rPr>
          <w:rFonts w:hint="default" w:ascii="Times New Roman" w:hAnsi="Times New Roman" w:eastAsia="黑体" w:cs="Times New Roman"/>
          <w:bCs/>
          <w:sz w:val="24"/>
          <w:lang w:val="en-US" w:eastAsia="zh-CN"/>
        </w:rPr>
        <w:t>B</w:t>
      </w:r>
      <w:r>
        <w:rPr>
          <w:rFonts w:hint="default" w:ascii="Times New Roman" w:hAnsi="Times New Roman" w:eastAsia="黑体" w:cs="Times New Roman"/>
          <w:bCs/>
          <w:sz w:val="24"/>
        </w:rPr>
        <w:t>：</w:t>
      </w:r>
      <w:r>
        <w:rPr>
          <w:rFonts w:hint="default" w:ascii="Times New Roman" w:hAnsi="Times New Roman" w:eastAsia="黑体" w:cs="Times New Roman"/>
          <w:bCs/>
          <w:sz w:val="24"/>
          <w:lang w:val="en-US" w:eastAsia="zh-CN"/>
        </w:rPr>
        <w:t>方法2</w:t>
      </w:r>
      <w:r>
        <w:rPr>
          <w:rFonts w:hint="default" w:ascii="Times New Roman" w:hAnsi="Times New Roman" w:eastAsia="黑体" w:cs="Times New Roman"/>
          <w:bCs/>
          <w:sz w:val="24"/>
        </w:rPr>
        <w:t>精密度数据统计</w:t>
      </w:r>
    </w:p>
    <w:p w14:paraId="35A03A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p>
    <w:p w14:paraId="2B85C5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Times New Roman" w:hAnsi="Times New Roman" w:cs="Times New Roman"/>
          <w:szCs w:val="21"/>
          <w:lang w:val="en-US" w:eastAsia="zh-CN"/>
        </w:rPr>
      </w:pPr>
    </w:p>
    <w:p w14:paraId="316BE9C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10" w:firstLineChars="3100"/>
        <w:jc w:val="both"/>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包头稀土研究院</w:t>
      </w:r>
    </w:p>
    <w:p w14:paraId="42967E6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720" w:firstLineChars="3200"/>
        <w:jc w:val="both"/>
        <w:textAlignment w:val="auto"/>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2024年8月</w:t>
      </w:r>
    </w:p>
    <w:p w14:paraId="598AE124">
      <w:pPr>
        <w:rPr>
          <w:szCs w:val="21"/>
        </w:rPr>
      </w:pPr>
      <w:r>
        <w:rPr>
          <w:szCs w:val="21"/>
        </w:rPr>
        <w:br w:type="page"/>
      </w:r>
    </w:p>
    <w:p w14:paraId="24EE8435">
      <w:pPr>
        <w:keepNext w:val="0"/>
        <w:keepLines w:val="0"/>
        <w:pageBreakBefore w:val="0"/>
        <w:widowControl/>
        <w:kinsoku/>
        <w:wordWrap/>
        <w:overflowPunct/>
        <w:topLinePunct w:val="0"/>
        <w:bidi w:val="0"/>
        <w:adjustRightInd w:val="0"/>
        <w:snapToGrid w:val="0"/>
        <w:spacing w:line="360" w:lineRule="auto"/>
        <w:textAlignment w:val="auto"/>
        <w:rPr>
          <w:rFonts w:hint="default" w:ascii="Times New Roman" w:hAnsi="Times New Roman" w:cs="Times New Roman"/>
          <w:b/>
          <w:bCs/>
          <w:szCs w:val="21"/>
        </w:rPr>
      </w:pPr>
      <w:r>
        <w:rPr>
          <w:rFonts w:hint="default" w:ascii="Times New Roman" w:hAnsi="Times New Roman" w:cs="Times New Roman"/>
          <w:b/>
          <w:bCs/>
          <w:szCs w:val="21"/>
        </w:rPr>
        <w:t>附件A：</w:t>
      </w:r>
      <w:r>
        <w:rPr>
          <w:rFonts w:hint="default" w:ascii="Times New Roman" w:hAnsi="Times New Roman" w:cs="Times New Roman"/>
          <w:b/>
          <w:bCs/>
          <w:szCs w:val="21"/>
          <w:lang w:val="en-US" w:eastAsia="zh-CN"/>
        </w:rPr>
        <w:t>方法1</w:t>
      </w:r>
      <w:r>
        <w:rPr>
          <w:rFonts w:hint="default" w:ascii="Times New Roman" w:hAnsi="Times New Roman" w:cs="Times New Roman"/>
          <w:b/>
          <w:bCs/>
          <w:szCs w:val="21"/>
        </w:rPr>
        <w:t>精密度数据统计</w:t>
      </w:r>
    </w:p>
    <w:p w14:paraId="5E83B026">
      <w:pPr>
        <w:keepNext w:val="0"/>
        <w:keepLines w:val="0"/>
        <w:pageBreakBefore w:val="0"/>
        <w:widowControl/>
        <w:kinsoku/>
        <w:wordWrap/>
        <w:overflowPunct/>
        <w:topLinePunct w:val="0"/>
        <w:bidi w:val="0"/>
        <w:adjustRightInd w:val="0"/>
        <w:snapToGrid w:val="0"/>
        <w:spacing w:line="360" w:lineRule="auto"/>
        <w:textAlignment w:val="auto"/>
        <w:rPr>
          <w:rFonts w:hint="default" w:ascii="Times New Roman" w:hAnsi="Times New Roman" w:cs="Times New Roman"/>
          <w:b/>
          <w:szCs w:val="21"/>
        </w:rPr>
      </w:pPr>
      <w:r>
        <w:rPr>
          <w:rFonts w:hint="default" w:ascii="Times New Roman" w:hAnsi="Times New Roman" w:cs="Times New Roman"/>
          <w:b/>
          <w:szCs w:val="21"/>
        </w:rPr>
        <w:t>1、</w:t>
      </w:r>
      <w:r>
        <w:rPr>
          <w:rFonts w:hint="default" w:ascii="Times New Roman" w:hAnsi="Times New Roman" w:eastAsia="黑体" w:cs="Times New Roman"/>
          <w:szCs w:val="21"/>
        </w:rPr>
        <w:t>各实验室实验数据</w:t>
      </w:r>
    </w:p>
    <w:p w14:paraId="4E192CA3">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表A.1  各实验室原始测定数据（%）</w:t>
      </w:r>
    </w:p>
    <w:tbl>
      <w:tblPr>
        <w:tblStyle w:val="4"/>
        <w:tblW w:w="5000" w:type="pct"/>
        <w:jc w:val="center"/>
        <w:tblLayout w:type="fixed"/>
        <w:tblCellMar>
          <w:top w:w="0" w:type="dxa"/>
          <w:left w:w="108" w:type="dxa"/>
          <w:bottom w:w="0" w:type="dxa"/>
          <w:right w:w="108" w:type="dxa"/>
        </w:tblCellMar>
      </w:tblPr>
      <w:tblGrid>
        <w:gridCol w:w="2303"/>
        <w:gridCol w:w="1243"/>
        <w:gridCol w:w="1243"/>
        <w:gridCol w:w="1243"/>
        <w:gridCol w:w="1243"/>
        <w:gridCol w:w="1247"/>
      </w:tblGrid>
      <w:tr w14:paraId="42A454C0">
        <w:tblPrEx>
          <w:tblCellMar>
            <w:top w:w="0" w:type="dxa"/>
            <w:left w:w="108" w:type="dxa"/>
            <w:bottom w:w="0" w:type="dxa"/>
            <w:right w:w="108" w:type="dxa"/>
          </w:tblCellMar>
        </w:tblPrEx>
        <w:trPr>
          <w:trHeight w:val="312" w:hRule="exact"/>
          <w:tblHeader/>
          <w:jc w:val="center"/>
        </w:trPr>
        <w:tc>
          <w:tcPr>
            <w:tcW w:w="13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B6DFA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eastAsiaTheme="minorEastAsia"/>
                <w:kern w:val="0"/>
                <w:sz w:val="18"/>
                <w:szCs w:val="18"/>
              </w:rPr>
              <w:t>实验室</w:t>
            </w:r>
          </w:p>
        </w:tc>
        <w:tc>
          <w:tcPr>
            <w:tcW w:w="729" w:type="pct"/>
            <w:tcBorders>
              <w:top w:val="single" w:color="auto" w:sz="4" w:space="0"/>
              <w:left w:val="nil"/>
              <w:bottom w:val="single" w:color="auto" w:sz="4" w:space="0"/>
              <w:right w:val="single" w:color="auto" w:sz="4" w:space="0"/>
            </w:tcBorders>
            <w:shd w:val="clear" w:color="auto" w:fill="auto"/>
            <w:noWrap/>
          </w:tcPr>
          <w:p w14:paraId="7A232E8B">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水平1</w:t>
            </w:r>
          </w:p>
        </w:tc>
        <w:tc>
          <w:tcPr>
            <w:tcW w:w="729" w:type="pct"/>
            <w:tcBorders>
              <w:top w:val="single" w:color="auto" w:sz="4" w:space="0"/>
              <w:left w:val="nil"/>
              <w:bottom w:val="single" w:color="auto" w:sz="4" w:space="0"/>
              <w:right w:val="single" w:color="auto" w:sz="4" w:space="0"/>
            </w:tcBorders>
            <w:shd w:val="clear" w:color="auto" w:fill="auto"/>
            <w:noWrap/>
          </w:tcPr>
          <w:p w14:paraId="71BE6477">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水平2</w:t>
            </w:r>
          </w:p>
        </w:tc>
        <w:tc>
          <w:tcPr>
            <w:tcW w:w="729" w:type="pct"/>
            <w:tcBorders>
              <w:top w:val="single" w:color="auto" w:sz="4" w:space="0"/>
              <w:left w:val="nil"/>
              <w:bottom w:val="single" w:color="auto" w:sz="4" w:space="0"/>
              <w:right w:val="single" w:color="auto" w:sz="4" w:space="0"/>
            </w:tcBorders>
            <w:shd w:val="clear" w:color="auto" w:fill="auto"/>
            <w:noWrap/>
          </w:tcPr>
          <w:p w14:paraId="7B227238">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水平3</w:t>
            </w:r>
          </w:p>
        </w:tc>
        <w:tc>
          <w:tcPr>
            <w:tcW w:w="729" w:type="pct"/>
            <w:tcBorders>
              <w:top w:val="single" w:color="auto" w:sz="4" w:space="0"/>
              <w:left w:val="nil"/>
              <w:bottom w:val="single" w:color="auto" w:sz="4" w:space="0"/>
              <w:right w:val="single" w:color="auto" w:sz="4" w:space="0"/>
            </w:tcBorders>
            <w:shd w:val="clear" w:color="auto" w:fill="auto"/>
            <w:noWrap/>
          </w:tcPr>
          <w:p w14:paraId="5A9BBE50">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水平4</w:t>
            </w:r>
          </w:p>
        </w:tc>
        <w:tc>
          <w:tcPr>
            <w:tcW w:w="731" w:type="pct"/>
            <w:tcBorders>
              <w:top w:val="single" w:color="auto" w:sz="4" w:space="0"/>
              <w:left w:val="nil"/>
              <w:bottom w:val="single" w:color="auto" w:sz="4" w:space="0"/>
              <w:right w:val="single" w:color="auto" w:sz="4" w:space="0"/>
            </w:tcBorders>
          </w:tcPr>
          <w:p w14:paraId="24767F16">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水平5</w:t>
            </w:r>
          </w:p>
        </w:tc>
      </w:tr>
      <w:tr w14:paraId="1FBEBF95">
        <w:tblPrEx>
          <w:tblCellMar>
            <w:top w:w="0" w:type="dxa"/>
            <w:left w:w="108" w:type="dxa"/>
            <w:bottom w:w="0" w:type="dxa"/>
            <w:right w:w="108" w:type="dxa"/>
          </w:tblCellMar>
        </w:tblPrEx>
        <w:trPr>
          <w:trHeight w:val="312" w:hRule="exact"/>
          <w:jc w:val="center"/>
        </w:trPr>
        <w:tc>
          <w:tcPr>
            <w:tcW w:w="1351" w:type="pct"/>
            <w:vMerge w:val="restart"/>
            <w:tcBorders>
              <w:top w:val="nil"/>
              <w:left w:val="single" w:color="auto" w:sz="4" w:space="0"/>
              <w:bottom w:val="single" w:color="auto" w:sz="4" w:space="0"/>
              <w:right w:val="single" w:color="auto" w:sz="4" w:space="0"/>
            </w:tcBorders>
            <w:shd w:val="clear" w:color="auto" w:fill="auto"/>
            <w:noWrap/>
            <w:vAlign w:val="center"/>
          </w:tcPr>
          <w:p w14:paraId="1170B5E0">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包头稀土研究研究</w:t>
            </w:r>
          </w:p>
        </w:tc>
        <w:tc>
          <w:tcPr>
            <w:tcW w:w="1243" w:type="dxa"/>
            <w:tcBorders>
              <w:top w:val="nil"/>
              <w:left w:val="nil"/>
              <w:bottom w:val="single" w:color="auto" w:sz="4" w:space="0"/>
              <w:right w:val="single" w:color="auto" w:sz="4" w:space="0"/>
            </w:tcBorders>
            <w:shd w:val="clear" w:color="auto" w:fill="auto"/>
            <w:noWrap/>
            <w:vAlign w:val="center"/>
          </w:tcPr>
          <w:p w14:paraId="77ADE56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0.276 </w:t>
            </w:r>
          </w:p>
        </w:tc>
        <w:tc>
          <w:tcPr>
            <w:tcW w:w="1243" w:type="dxa"/>
            <w:tcBorders>
              <w:top w:val="nil"/>
              <w:left w:val="nil"/>
              <w:bottom w:val="single" w:color="auto" w:sz="4" w:space="0"/>
              <w:right w:val="single" w:color="auto" w:sz="4" w:space="0"/>
            </w:tcBorders>
            <w:shd w:val="clear" w:color="auto" w:fill="auto"/>
            <w:noWrap/>
            <w:vAlign w:val="bottom"/>
          </w:tcPr>
          <w:p w14:paraId="7476BE8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1.837 </w:t>
            </w:r>
          </w:p>
        </w:tc>
        <w:tc>
          <w:tcPr>
            <w:tcW w:w="1243" w:type="dxa"/>
            <w:tcBorders>
              <w:top w:val="nil"/>
              <w:left w:val="nil"/>
              <w:bottom w:val="single" w:color="auto" w:sz="4" w:space="0"/>
              <w:right w:val="single" w:color="auto" w:sz="4" w:space="0"/>
            </w:tcBorders>
            <w:shd w:val="clear" w:color="auto" w:fill="auto"/>
            <w:noWrap/>
            <w:vAlign w:val="center"/>
          </w:tcPr>
          <w:p w14:paraId="2B559B3B">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8.736 </w:t>
            </w:r>
          </w:p>
        </w:tc>
        <w:tc>
          <w:tcPr>
            <w:tcW w:w="1243" w:type="dxa"/>
            <w:tcBorders>
              <w:top w:val="nil"/>
              <w:left w:val="nil"/>
              <w:bottom w:val="single" w:color="auto" w:sz="4" w:space="0"/>
              <w:right w:val="single" w:color="auto" w:sz="4" w:space="0"/>
            </w:tcBorders>
            <w:shd w:val="clear" w:color="auto" w:fill="auto"/>
            <w:noWrap/>
            <w:vAlign w:val="bottom"/>
          </w:tcPr>
          <w:p w14:paraId="18B1692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13.291 </w:t>
            </w:r>
          </w:p>
        </w:tc>
        <w:tc>
          <w:tcPr>
            <w:tcW w:w="1247" w:type="dxa"/>
            <w:tcBorders>
              <w:top w:val="nil"/>
              <w:left w:val="nil"/>
              <w:bottom w:val="single" w:color="auto" w:sz="4" w:space="0"/>
              <w:right w:val="single" w:color="auto" w:sz="4" w:space="0"/>
            </w:tcBorders>
            <w:vAlign w:val="center"/>
          </w:tcPr>
          <w:p w14:paraId="27E9375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22.584 </w:t>
            </w:r>
          </w:p>
        </w:tc>
      </w:tr>
      <w:tr w14:paraId="7EC37452">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76279A37">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3C010A1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0.309 </w:t>
            </w:r>
          </w:p>
        </w:tc>
        <w:tc>
          <w:tcPr>
            <w:tcW w:w="1243" w:type="dxa"/>
            <w:tcBorders>
              <w:top w:val="nil"/>
              <w:left w:val="nil"/>
              <w:bottom w:val="single" w:color="auto" w:sz="4" w:space="0"/>
              <w:right w:val="single" w:color="auto" w:sz="4" w:space="0"/>
            </w:tcBorders>
            <w:shd w:val="clear" w:color="auto" w:fill="auto"/>
            <w:noWrap/>
            <w:vAlign w:val="bottom"/>
          </w:tcPr>
          <w:p w14:paraId="0430B59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1.766 </w:t>
            </w:r>
          </w:p>
        </w:tc>
        <w:tc>
          <w:tcPr>
            <w:tcW w:w="1243" w:type="dxa"/>
            <w:tcBorders>
              <w:top w:val="nil"/>
              <w:left w:val="nil"/>
              <w:bottom w:val="single" w:color="auto" w:sz="4" w:space="0"/>
              <w:right w:val="single" w:color="auto" w:sz="4" w:space="0"/>
            </w:tcBorders>
            <w:shd w:val="clear" w:color="auto" w:fill="auto"/>
            <w:noWrap/>
            <w:vAlign w:val="center"/>
          </w:tcPr>
          <w:p w14:paraId="0A4A669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8.723 </w:t>
            </w:r>
          </w:p>
        </w:tc>
        <w:tc>
          <w:tcPr>
            <w:tcW w:w="1243" w:type="dxa"/>
            <w:tcBorders>
              <w:top w:val="nil"/>
              <w:left w:val="nil"/>
              <w:bottom w:val="single" w:color="auto" w:sz="4" w:space="0"/>
              <w:right w:val="single" w:color="auto" w:sz="4" w:space="0"/>
            </w:tcBorders>
            <w:shd w:val="clear" w:color="auto" w:fill="auto"/>
            <w:noWrap/>
            <w:vAlign w:val="bottom"/>
          </w:tcPr>
          <w:p w14:paraId="5BF6601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13.214 </w:t>
            </w:r>
          </w:p>
        </w:tc>
        <w:tc>
          <w:tcPr>
            <w:tcW w:w="1247" w:type="dxa"/>
            <w:tcBorders>
              <w:top w:val="nil"/>
              <w:left w:val="nil"/>
              <w:bottom w:val="single" w:color="auto" w:sz="4" w:space="0"/>
              <w:right w:val="single" w:color="auto" w:sz="4" w:space="0"/>
            </w:tcBorders>
            <w:vAlign w:val="center"/>
          </w:tcPr>
          <w:p w14:paraId="32CB5E2B">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22.521 </w:t>
            </w:r>
          </w:p>
        </w:tc>
      </w:tr>
      <w:tr w14:paraId="30CD9BE5">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62E48DC7">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65CB916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0.312 </w:t>
            </w:r>
          </w:p>
        </w:tc>
        <w:tc>
          <w:tcPr>
            <w:tcW w:w="1243" w:type="dxa"/>
            <w:tcBorders>
              <w:top w:val="nil"/>
              <w:left w:val="nil"/>
              <w:bottom w:val="single" w:color="auto" w:sz="4" w:space="0"/>
              <w:right w:val="single" w:color="auto" w:sz="4" w:space="0"/>
            </w:tcBorders>
            <w:shd w:val="clear" w:color="auto" w:fill="auto"/>
            <w:noWrap/>
            <w:vAlign w:val="bottom"/>
          </w:tcPr>
          <w:p w14:paraId="77DE6A1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1.786 </w:t>
            </w:r>
          </w:p>
        </w:tc>
        <w:tc>
          <w:tcPr>
            <w:tcW w:w="1243" w:type="dxa"/>
            <w:tcBorders>
              <w:top w:val="nil"/>
              <w:left w:val="nil"/>
              <w:bottom w:val="single" w:color="auto" w:sz="4" w:space="0"/>
              <w:right w:val="single" w:color="auto" w:sz="4" w:space="0"/>
            </w:tcBorders>
            <w:shd w:val="clear" w:color="auto" w:fill="auto"/>
            <w:noWrap/>
            <w:vAlign w:val="center"/>
          </w:tcPr>
          <w:p w14:paraId="469D2ED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8.776 </w:t>
            </w:r>
          </w:p>
        </w:tc>
        <w:tc>
          <w:tcPr>
            <w:tcW w:w="1243" w:type="dxa"/>
            <w:tcBorders>
              <w:top w:val="nil"/>
              <w:left w:val="nil"/>
              <w:bottom w:val="single" w:color="auto" w:sz="4" w:space="0"/>
              <w:right w:val="single" w:color="auto" w:sz="4" w:space="0"/>
            </w:tcBorders>
            <w:shd w:val="clear" w:color="auto" w:fill="auto"/>
            <w:noWrap/>
            <w:vAlign w:val="bottom"/>
          </w:tcPr>
          <w:p w14:paraId="55578F3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13.206 </w:t>
            </w:r>
          </w:p>
        </w:tc>
        <w:tc>
          <w:tcPr>
            <w:tcW w:w="1247" w:type="dxa"/>
            <w:tcBorders>
              <w:top w:val="nil"/>
              <w:left w:val="nil"/>
              <w:bottom w:val="single" w:color="auto" w:sz="4" w:space="0"/>
              <w:right w:val="single" w:color="auto" w:sz="4" w:space="0"/>
            </w:tcBorders>
            <w:vAlign w:val="center"/>
          </w:tcPr>
          <w:p w14:paraId="5454ABB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22.632 </w:t>
            </w:r>
          </w:p>
        </w:tc>
      </w:tr>
      <w:tr w14:paraId="562D2F76">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56B181ED">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050B47B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0.302 </w:t>
            </w:r>
          </w:p>
        </w:tc>
        <w:tc>
          <w:tcPr>
            <w:tcW w:w="1243" w:type="dxa"/>
            <w:tcBorders>
              <w:top w:val="nil"/>
              <w:left w:val="nil"/>
              <w:bottom w:val="single" w:color="auto" w:sz="4" w:space="0"/>
              <w:right w:val="single" w:color="auto" w:sz="4" w:space="0"/>
            </w:tcBorders>
            <w:shd w:val="clear" w:color="auto" w:fill="auto"/>
            <w:noWrap/>
            <w:vAlign w:val="bottom"/>
          </w:tcPr>
          <w:p w14:paraId="4728F9C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1.775 </w:t>
            </w:r>
          </w:p>
        </w:tc>
        <w:tc>
          <w:tcPr>
            <w:tcW w:w="1243" w:type="dxa"/>
            <w:tcBorders>
              <w:top w:val="nil"/>
              <w:left w:val="nil"/>
              <w:bottom w:val="single" w:color="auto" w:sz="4" w:space="0"/>
              <w:right w:val="single" w:color="auto" w:sz="4" w:space="0"/>
            </w:tcBorders>
            <w:shd w:val="clear" w:color="auto" w:fill="auto"/>
            <w:noWrap/>
            <w:vAlign w:val="center"/>
          </w:tcPr>
          <w:p w14:paraId="234D620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8.654 </w:t>
            </w:r>
          </w:p>
        </w:tc>
        <w:tc>
          <w:tcPr>
            <w:tcW w:w="1243" w:type="dxa"/>
            <w:tcBorders>
              <w:top w:val="nil"/>
              <w:left w:val="nil"/>
              <w:bottom w:val="single" w:color="auto" w:sz="4" w:space="0"/>
              <w:right w:val="single" w:color="auto" w:sz="4" w:space="0"/>
            </w:tcBorders>
            <w:shd w:val="clear" w:color="auto" w:fill="auto"/>
            <w:noWrap/>
            <w:vAlign w:val="bottom"/>
          </w:tcPr>
          <w:p w14:paraId="5A33DD2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13.305 </w:t>
            </w:r>
          </w:p>
        </w:tc>
        <w:tc>
          <w:tcPr>
            <w:tcW w:w="1247" w:type="dxa"/>
            <w:tcBorders>
              <w:top w:val="nil"/>
              <w:left w:val="nil"/>
              <w:bottom w:val="single" w:color="auto" w:sz="4" w:space="0"/>
              <w:right w:val="single" w:color="auto" w:sz="4" w:space="0"/>
            </w:tcBorders>
            <w:vAlign w:val="center"/>
          </w:tcPr>
          <w:p w14:paraId="64EA162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22.768 </w:t>
            </w:r>
          </w:p>
        </w:tc>
      </w:tr>
      <w:tr w14:paraId="3FBA0F0D">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222BC0EF">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7FA01AB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0.289 </w:t>
            </w:r>
          </w:p>
        </w:tc>
        <w:tc>
          <w:tcPr>
            <w:tcW w:w="1243" w:type="dxa"/>
            <w:tcBorders>
              <w:top w:val="nil"/>
              <w:left w:val="nil"/>
              <w:bottom w:val="single" w:color="auto" w:sz="4" w:space="0"/>
              <w:right w:val="single" w:color="auto" w:sz="4" w:space="0"/>
            </w:tcBorders>
            <w:shd w:val="clear" w:color="auto" w:fill="auto"/>
            <w:noWrap/>
            <w:vAlign w:val="bottom"/>
          </w:tcPr>
          <w:p w14:paraId="4116685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1.746 </w:t>
            </w:r>
          </w:p>
        </w:tc>
        <w:tc>
          <w:tcPr>
            <w:tcW w:w="1243" w:type="dxa"/>
            <w:tcBorders>
              <w:top w:val="nil"/>
              <w:left w:val="nil"/>
              <w:bottom w:val="single" w:color="auto" w:sz="4" w:space="0"/>
              <w:right w:val="single" w:color="auto" w:sz="4" w:space="0"/>
            </w:tcBorders>
            <w:shd w:val="clear" w:color="auto" w:fill="auto"/>
            <w:noWrap/>
            <w:vAlign w:val="center"/>
          </w:tcPr>
          <w:p w14:paraId="66516B9B">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8.708 </w:t>
            </w:r>
          </w:p>
        </w:tc>
        <w:tc>
          <w:tcPr>
            <w:tcW w:w="1243" w:type="dxa"/>
            <w:tcBorders>
              <w:top w:val="nil"/>
              <w:left w:val="nil"/>
              <w:bottom w:val="single" w:color="auto" w:sz="4" w:space="0"/>
              <w:right w:val="single" w:color="auto" w:sz="4" w:space="0"/>
            </w:tcBorders>
            <w:shd w:val="clear" w:color="auto" w:fill="auto"/>
            <w:noWrap/>
            <w:vAlign w:val="bottom"/>
          </w:tcPr>
          <w:p w14:paraId="5457C64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13.403 </w:t>
            </w:r>
          </w:p>
        </w:tc>
        <w:tc>
          <w:tcPr>
            <w:tcW w:w="1247" w:type="dxa"/>
            <w:tcBorders>
              <w:top w:val="nil"/>
              <w:left w:val="nil"/>
              <w:bottom w:val="single" w:color="auto" w:sz="4" w:space="0"/>
              <w:right w:val="single" w:color="auto" w:sz="4" w:space="0"/>
            </w:tcBorders>
            <w:vAlign w:val="center"/>
          </w:tcPr>
          <w:p w14:paraId="05725AE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22.712 </w:t>
            </w:r>
          </w:p>
        </w:tc>
      </w:tr>
      <w:tr w14:paraId="41685629">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08818DA9">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18626EA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0.284 </w:t>
            </w:r>
          </w:p>
        </w:tc>
        <w:tc>
          <w:tcPr>
            <w:tcW w:w="1243" w:type="dxa"/>
            <w:tcBorders>
              <w:top w:val="nil"/>
              <w:left w:val="nil"/>
              <w:bottom w:val="single" w:color="auto" w:sz="4" w:space="0"/>
              <w:right w:val="single" w:color="auto" w:sz="4" w:space="0"/>
            </w:tcBorders>
            <w:shd w:val="clear" w:color="auto" w:fill="auto"/>
            <w:noWrap/>
            <w:vAlign w:val="bottom"/>
          </w:tcPr>
          <w:p w14:paraId="7041754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1.760 </w:t>
            </w:r>
          </w:p>
        </w:tc>
        <w:tc>
          <w:tcPr>
            <w:tcW w:w="1243" w:type="dxa"/>
            <w:tcBorders>
              <w:top w:val="nil"/>
              <w:left w:val="nil"/>
              <w:bottom w:val="single" w:color="auto" w:sz="4" w:space="0"/>
              <w:right w:val="single" w:color="auto" w:sz="4" w:space="0"/>
            </w:tcBorders>
            <w:shd w:val="clear" w:color="auto" w:fill="auto"/>
            <w:noWrap/>
            <w:vAlign w:val="center"/>
          </w:tcPr>
          <w:p w14:paraId="78D3343F">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8.399 </w:t>
            </w:r>
          </w:p>
        </w:tc>
        <w:tc>
          <w:tcPr>
            <w:tcW w:w="1243" w:type="dxa"/>
            <w:tcBorders>
              <w:top w:val="nil"/>
              <w:left w:val="nil"/>
              <w:bottom w:val="single" w:color="auto" w:sz="4" w:space="0"/>
              <w:right w:val="single" w:color="auto" w:sz="4" w:space="0"/>
            </w:tcBorders>
            <w:shd w:val="clear" w:color="auto" w:fill="auto"/>
            <w:noWrap/>
            <w:vAlign w:val="bottom"/>
          </w:tcPr>
          <w:p w14:paraId="3F43368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13.414 </w:t>
            </w:r>
          </w:p>
        </w:tc>
        <w:tc>
          <w:tcPr>
            <w:tcW w:w="1247" w:type="dxa"/>
            <w:tcBorders>
              <w:top w:val="nil"/>
              <w:left w:val="nil"/>
              <w:bottom w:val="single" w:color="auto" w:sz="4" w:space="0"/>
              <w:right w:val="single" w:color="auto" w:sz="4" w:space="0"/>
            </w:tcBorders>
            <w:vAlign w:val="center"/>
          </w:tcPr>
          <w:p w14:paraId="5131921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22.837 </w:t>
            </w:r>
          </w:p>
        </w:tc>
      </w:tr>
      <w:tr w14:paraId="64783E4A">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575EA282">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186DD94E">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0.290 </w:t>
            </w:r>
          </w:p>
        </w:tc>
        <w:tc>
          <w:tcPr>
            <w:tcW w:w="1243" w:type="dxa"/>
            <w:tcBorders>
              <w:top w:val="nil"/>
              <w:left w:val="nil"/>
              <w:bottom w:val="single" w:color="auto" w:sz="4" w:space="0"/>
              <w:right w:val="single" w:color="auto" w:sz="4" w:space="0"/>
            </w:tcBorders>
            <w:shd w:val="clear" w:color="auto" w:fill="auto"/>
            <w:noWrap/>
            <w:vAlign w:val="bottom"/>
          </w:tcPr>
          <w:p w14:paraId="5F1ED15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1.721 </w:t>
            </w:r>
          </w:p>
        </w:tc>
        <w:tc>
          <w:tcPr>
            <w:tcW w:w="1243" w:type="dxa"/>
            <w:tcBorders>
              <w:top w:val="nil"/>
              <w:left w:val="nil"/>
              <w:bottom w:val="single" w:color="auto" w:sz="4" w:space="0"/>
              <w:right w:val="single" w:color="auto" w:sz="4" w:space="0"/>
            </w:tcBorders>
            <w:shd w:val="clear" w:color="auto" w:fill="auto"/>
            <w:noWrap/>
            <w:vAlign w:val="center"/>
          </w:tcPr>
          <w:p w14:paraId="368E6ED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8.579 </w:t>
            </w:r>
          </w:p>
        </w:tc>
        <w:tc>
          <w:tcPr>
            <w:tcW w:w="1243" w:type="dxa"/>
            <w:tcBorders>
              <w:top w:val="nil"/>
              <w:left w:val="nil"/>
              <w:bottom w:val="single" w:color="auto" w:sz="4" w:space="0"/>
              <w:right w:val="single" w:color="auto" w:sz="4" w:space="0"/>
            </w:tcBorders>
            <w:shd w:val="clear" w:color="auto" w:fill="auto"/>
            <w:noWrap/>
            <w:vAlign w:val="bottom"/>
          </w:tcPr>
          <w:p w14:paraId="5E7DCB0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13.561 </w:t>
            </w:r>
          </w:p>
        </w:tc>
        <w:tc>
          <w:tcPr>
            <w:tcW w:w="1247" w:type="dxa"/>
            <w:tcBorders>
              <w:top w:val="nil"/>
              <w:left w:val="nil"/>
              <w:bottom w:val="single" w:color="auto" w:sz="4" w:space="0"/>
              <w:right w:val="single" w:color="auto" w:sz="4" w:space="0"/>
            </w:tcBorders>
            <w:vAlign w:val="center"/>
          </w:tcPr>
          <w:p w14:paraId="4495F120">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22.589 </w:t>
            </w:r>
          </w:p>
        </w:tc>
      </w:tr>
      <w:tr w14:paraId="684A7154">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3B09659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0E8CD04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0.289 </w:t>
            </w:r>
          </w:p>
        </w:tc>
        <w:tc>
          <w:tcPr>
            <w:tcW w:w="1243" w:type="dxa"/>
            <w:tcBorders>
              <w:top w:val="nil"/>
              <w:left w:val="nil"/>
              <w:bottom w:val="single" w:color="auto" w:sz="4" w:space="0"/>
              <w:right w:val="single" w:color="auto" w:sz="4" w:space="0"/>
            </w:tcBorders>
            <w:shd w:val="clear" w:color="auto" w:fill="auto"/>
            <w:noWrap/>
            <w:vAlign w:val="bottom"/>
          </w:tcPr>
          <w:p w14:paraId="5722D71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1.696 </w:t>
            </w:r>
          </w:p>
        </w:tc>
        <w:tc>
          <w:tcPr>
            <w:tcW w:w="1243" w:type="dxa"/>
            <w:tcBorders>
              <w:top w:val="nil"/>
              <w:left w:val="nil"/>
              <w:bottom w:val="single" w:color="auto" w:sz="4" w:space="0"/>
              <w:right w:val="single" w:color="auto" w:sz="4" w:space="0"/>
            </w:tcBorders>
            <w:shd w:val="clear" w:color="auto" w:fill="auto"/>
            <w:noWrap/>
            <w:vAlign w:val="center"/>
          </w:tcPr>
          <w:p w14:paraId="07922C3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8.596 </w:t>
            </w:r>
          </w:p>
        </w:tc>
        <w:tc>
          <w:tcPr>
            <w:tcW w:w="1243" w:type="dxa"/>
            <w:tcBorders>
              <w:top w:val="nil"/>
              <w:left w:val="nil"/>
              <w:bottom w:val="single" w:color="auto" w:sz="4" w:space="0"/>
              <w:right w:val="single" w:color="auto" w:sz="4" w:space="0"/>
            </w:tcBorders>
            <w:shd w:val="clear" w:color="auto" w:fill="auto"/>
            <w:noWrap/>
            <w:vAlign w:val="bottom"/>
          </w:tcPr>
          <w:p w14:paraId="6875D53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13.569 </w:t>
            </w:r>
          </w:p>
        </w:tc>
        <w:tc>
          <w:tcPr>
            <w:tcW w:w="1247" w:type="dxa"/>
            <w:tcBorders>
              <w:top w:val="nil"/>
              <w:left w:val="nil"/>
              <w:bottom w:val="single" w:color="auto" w:sz="4" w:space="0"/>
              <w:right w:val="single" w:color="auto" w:sz="4" w:space="0"/>
            </w:tcBorders>
            <w:vAlign w:val="center"/>
          </w:tcPr>
          <w:p w14:paraId="200EA3F0">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22.629 </w:t>
            </w:r>
          </w:p>
        </w:tc>
      </w:tr>
      <w:tr w14:paraId="1DC925A3">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772117FF">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2AF87F9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0.298 </w:t>
            </w:r>
          </w:p>
        </w:tc>
        <w:tc>
          <w:tcPr>
            <w:tcW w:w="1243" w:type="dxa"/>
            <w:tcBorders>
              <w:top w:val="nil"/>
              <w:left w:val="nil"/>
              <w:bottom w:val="single" w:color="auto" w:sz="4" w:space="0"/>
              <w:right w:val="single" w:color="auto" w:sz="4" w:space="0"/>
            </w:tcBorders>
            <w:shd w:val="clear" w:color="auto" w:fill="auto"/>
            <w:noWrap/>
            <w:vAlign w:val="bottom"/>
          </w:tcPr>
          <w:p w14:paraId="4BC2A8D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1.801 </w:t>
            </w:r>
          </w:p>
        </w:tc>
        <w:tc>
          <w:tcPr>
            <w:tcW w:w="1243" w:type="dxa"/>
            <w:tcBorders>
              <w:top w:val="nil"/>
              <w:left w:val="nil"/>
              <w:bottom w:val="single" w:color="auto" w:sz="4" w:space="0"/>
              <w:right w:val="single" w:color="auto" w:sz="4" w:space="0"/>
            </w:tcBorders>
            <w:shd w:val="clear" w:color="auto" w:fill="auto"/>
            <w:noWrap/>
            <w:vAlign w:val="center"/>
          </w:tcPr>
          <w:p w14:paraId="3E2AD4A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8.662 </w:t>
            </w:r>
          </w:p>
        </w:tc>
        <w:tc>
          <w:tcPr>
            <w:tcW w:w="1243" w:type="dxa"/>
            <w:tcBorders>
              <w:top w:val="nil"/>
              <w:left w:val="nil"/>
              <w:bottom w:val="single" w:color="auto" w:sz="4" w:space="0"/>
              <w:right w:val="single" w:color="auto" w:sz="4" w:space="0"/>
            </w:tcBorders>
            <w:shd w:val="clear" w:color="auto" w:fill="auto"/>
            <w:noWrap/>
            <w:vAlign w:val="bottom"/>
          </w:tcPr>
          <w:p w14:paraId="3AFDDA2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13.375 </w:t>
            </w:r>
          </w:p>
        </w:tc>
        <w:tc>
          <w:tcPr>
            <w:tcW w:w="1247" w:type="dxa"/>
            <w:tcBorders>
              <w:top w:val="nil"/>
              <w:left w:val="nil"/>
              <w:bottom w:val="single" w:color="auto" w:sz="4" w:space="0"/>
              <w:right w:val="single" w:color="auto" w:sz="4" w:space="0"/>
            </w:tcBorders>
            <w:vAlign w:val="center"/>
          </w:tcPr>
          <w:p w14:paraId="201E978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22.591 </w:t>
            </w:r>
          </w:p>
        </w:tc>
      </w:tr>
      <w:tr w14:paraId="154E7390">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1B88D0E8">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52D0950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0.304 </w:t>
            </w:r>
          </w:p>
        </w:tc>
        <w:tc>
          <w:tcPr>
            <w:tcW w:w="1243" w:type="dxa"/>
            <w:tcBorders>
              <w:top w:val="nil"/>
              <w:left w:val="nil"/>
              <w:bottom w:val="single" w:color="auto" w:sz="4" w:space="0"/>
              <w:right w:val="single" w:color="auto" w:sz="4" w:space="0"/>
            </w:tcBorders>
            <w:shd w:val="clear" w:color="auto" w:fill="auto"/>
            <w:noWrap/>
            <w:vAlign w:val="bottom"/>
          </w:tcPr>
          <w:p w14:paraId="159C6CC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1.698 </w:t>
            </w:r>
          </w:p>
        </w:tc>
        <w:tc>
          <w:tcPr>
            <w:tcW w:w="1243" w:type="dxa"/>
            <w:tcBorders>
              <w:top w:val="nil"/>
              <w:left w:val="nil"/>
              <w:bottom w:val="single" w:color="auto" w:sz="4" w:space="0"/>
              <w:right w:val="single" w:color="auto" w:sz="4" w:space="0"/>
            </w:tcBorders>
            <w:shd w:val="clear" w:color="auto" w:fill="auto"/>
            <w:noWrap/>
            <w:vAlign w:val="center"/>
          </w:tcPr>
          <w:p w14:paraId="684DD7A5">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8.604 </w:t>
            </w:r>
          </w:p>
        </w:tc>
        <w:tc>
          <w:tcPr>
            <w:tcW w:w="1243" w:type="dxa"/>
            <w:tcBorders>
              <w:top w:val="nil"/>
              <w:left w:val="nil"/>
              <w:bottom w:val="single" w:color="auto" w:sz="4" w:space="0"/>
              <w:right w:val="single" w:color="auto" w:sz="4" w:space="0"/>
            </w:tcBorders>
            <w:shd w:val="clear" w:color="auto" w:fill="auto"/>
            <w:noWrap/>
            <w:vAlign w:val="bottom"/>
          </w:tcPr>
          <w:p w14:paraId="58B2AB5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13.473 </w:t>
            </w:r>
          </w:p>
        </w:tc>
        <w:tc>
          <w:tcPr>
            <w:tcW w:w="1247" w:type="dxa"/>
            <w:tcBorders>
              <w:top w:val="nil"/>
              <w:left w:val="nil"/>
              <w:bottom w:val="single" w:color="auto" w:sz="4" w:space="0"/>
              <w:right w:val="single" w:color="auto" w:sz="4" w:space="0"/>
            </w:tcBorders>
            <w:vAlign w:val="center"/>
          </w:tcPr>
          <w:p w14:paraId="6782E22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22.579 </w:t>
            </w:r>
          </w:p>
        </w:tc>
      </w:tr>
      <w:tr w14:paraId="50911B00">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7757FC76">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76CFA03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0.293 </w:t>
            </w:r>
          </w:p>
        </w:tc>
        <w:tc>
          <w:tcPr>
            <w:tcW w:w="1243" w:type="dxa"/>
            <w:tcBorders>
              <w:top w:val="nil"/>
              <w:left w:val="nil"/>
              <w:bottom w:val="single" w:color="auto" w:sz="4" w:space="0"/>
              <w:right w:val="single" w:color="auto" w:sz="4" w:space="0"/>
            </w:tcBorders>
            <w:shd w:val="clear" w:color="auto" w:fill="auto"/>
            <w:noWrap/>
            <w:vAlign w:val="bottom"/>
          </w:tcPr>
          <w:p w14:paraId="4D7727D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1.772 </w:t>
            </w:r>
          </w:p>
        </w:tc>
        <w:tc>
          <w:tcPr>
            <w:tcW w:w="1243" w:type="dxa"/>
            <w:tcBorders>
              <w:top w:val="nil"/>
              <w:left w:val="nil"/>
              <w:bottom w:val="single" w:color="auto" w:sz="4" w:space="0"/>
              <w:right w:val="single" w:color="auto" w:sz="4" w:space="0"/>
            </w:tcBorders>
            <w:shd w:val="clear" w:color="auto" w:fill="auto"/>
            <w:noWrap/>
            <w:vAlign w:val="center"/>
          </w:tcPr>
          <w:p w14:paraId="1411EF8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8.546 </w:t>
            </w:r>
          </w:p>
        </w:tc>
        <w:tc>
          <w:tcPr>
            <w:tcW w:w="1243" w:type="dxa"/>
            <w:tcBorders>
              <w:top w:val="nil"/>
              <w:left w:val="nil"/>
              <w:bottom w:val="single" w:color="auto" w:sz="4" w:space="0"/>
              <w:right w:val="single" w:color="auto" w:sz="4" w:space="0"/>
            </w:tcBorders>
            <w:shd w:val="clear" w:color="auto" w:fill="auto"/>
            <w:noWrap/>
            <w:vAlign w:val="bottom"/>
          </w:tcPr>
          <w:p w14:paraId="00B1577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13.511 </w:t>
            </w:r>
          </w:p>
        </w:tc>
        <w:tc>
          <w:tcPr>
            <w:tcW w:w="1247" w:type="dxa"/>
            <w:tcBorders>
              <w:top w:val="nil"/>
              <w:left w:val="nil"/>
              <w:bottom w:val="single" w:color="auto" w:sz="4" w:space="0"/>
              <w:right w:val="single" w:color="auto" w:sz="4" w:space="0"/>
            </w:tcBorders>
            <w:vAlign w:val="center"/>
          </w:tcPr>
          <w:p w14:paraId="7552501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22.616 </w:t>
            </w:r>
          </w:p>
        </w:tc>
      </w:tr>
      <w:tr w14:paraId="48581DF1">
        <w:tblPrEx>
          <w:tblCellMar>
            <w:top w:w="0" w:type="dxa"/>
            <w:left w:w="108" w:type="dxa"/>
            <w:bottom w:w="0" w:type="dxa"/>
            <w:right w:w="108" w:type="dxa"/>
          </w:tblCellMar>
        </w:tblPrEx>
        <w:trPr>
          <w:trHeight w:val="312" w:hRule="exact"/>
          <w:jc w:val="center"/>
        </w:trPr>
        <w:tc>
          <w:tcPr>
            <w:tcW w:w="1351" w:type="pct"/>
            <w:vMerge w:val="restart"/>
            <w:tcBorders>
              <w:top w:val="nil"/>
              <w:left w:val="single" w:color="auto" w:sz="4" w:space="0"/>
              <w:bottom w:val="single" w:color="auto" w:sz="4" w:space="0"/>
              <w:right w:val="single" w:color="auto" w:sz="4" w:space="0"/>
            </w:tcBorders>
            <w:shd w:val="clear" w:color="auto" w:fill="auto"/>
            <w:noWrap/>
            <w:vAlign w:val="center"/>
          </w:tcPr>
          <w:p w14:paraId="036336D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国标（北京）检验认证有限公司</w:t>
            </w:r>
          </w:p>
        </w:tc>
        <w:tc>
          <w:tcPr>
            <w:tcW w:w="1243" w:type="dxa"/>
            <w:tcBorders>
              <w:top w:val="nil"/>
              <w:left w:val="nil"/>
              <w:bottom w:val="single" w:color="auto" w:sz="4" w:space="0"/>
              <w:right w:val="single" w:color="auto" w:sz="4" w:space="0"/>
            </w:tcBorders>
            <w:shd w:val="clear" w:color="auto" w:fill="auto"/>
            <w:noWrap/>
            <w:vAlign w:val="center"/>
          </w:tcPr>
          <w:p w14:paraId="6C215531">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0.295 </w:t>
            </w:r>
          </w:p>
        </w:tc>
        <w:tc>
          <w:tcPr>
            <w:tcW w:w="1243" w:type="dxa"/>
            <w:tcBorders>
              <w:top w:val="nil"/>
              <w:left w:val="nil"/>
              <w:bottom w:val="single" w:color="auto" w:sz="4" w:space="0"/>
              <w:right w:val="single" w:color="auto" w:sz="4" w:space="0"/>
            </w:tcBorders>
            <w:shd w:val="clear" w:color="auto" w:fill="auto"/>
            <w:noWrap/>
            <w:vAlign w:val="bottom"/>
          </w:tcPr>
          <w:p w14:paraId="1DAB3C3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1.722 </w:t>
            </w:r>
          </w:p>
        </w:tc>
        <w:tc>
          <w:tcPr>
            <w:tcW w:w="1243" w:type="dxa"/>
            <w:tcBorders>
              <w:top w:val="nil"/>
              <w:left w:val="nil"/>
              <w:bottom w:val="single" w:color="auto" w:sz="4" w:space="0"/>
              <w:right w:val="single" w:color="auto" w:sz="4" w:space="0"/>
            </w:tcBorders>
            <w:shd w:val="clear" w:color="auto" w:fill="auto"/>
            <w:noWrap/>
            <w:vAlign w:val="center"/>
          </w:tcPr>
          <w:p w14:paraId="1E59382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8.649 </w:t>
            </w:r>
          </w:p>
        </w:tc>
        <w:tc>
          <w:tcPr>
            <w:tcW w:w="1243" w:type="dxa"/>
            <w:tcBorders>
              <w:top w:val="nil"/>
              <w:left w:val="nil"/>
              <w:bottom w:val="single" w:color="auto" w:sz="4" w:space="0"/>
              <w:right w:val="single" w:color="auto" w:sz="4" w:space="0"/>
            </w:tcBorders>
            <w:shd w:val="clear" w:color="auto" w:fill="auto"/>
            <w:noWrap/>
            <w:vAlign w:val="bottom"/>
          </w:tcPr>
          <w:p w14:paraId="2A1AD22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13.397 </w:t>
            </w:r>
          </w:p>
        </w:tc>
        <w:tc>
          <w:tcPr>
            <w:tcW w:w="1247" w:type="dxa"/>
            <w:tcBorders>
              <w:top w:val="nil"/>
              <w:left w:val="nil"/>
              <w:bottom w:val="single" w:color="auto" w:sz="4" w:space="0"/>
              <w:right w:val="single" w:color="auto" w:sz="4" w:space="0"/>
            </w:tcBorders>
            <w:vAlign w:val="bottom"/>
          </w:tcPr>
          <w:p w14:paraId="6A1080BB">
            <w:pPr>
              <w:jc w:val="center"/>
              <w:rPr>
                <w:rFonts w:hint="default" w:ascii="Times New Roman" w:hAnsi="Times New Roman" w:eastAsia="宋体" w:cs="Times New Roman"/>
                <w:color w:val="000000"/>
                <w:kern w:val="0"/>
                <w:sz w:val="18"/>
                <w:szCs w:val="22"/>
                <w:lang w:val="en-US" w:eastAsia="zh-CN"/>
              </w:rPr>
            </w:pPr>
            <w:r>
              <w:rPr>
                <w:rFonts w:hint="default" w:ascii="Times New Roman" w:hAnsi="Times New Roman" w:cs="Times New Roman"/>
                <w:color w:val="000000"/>
                <w:kern w:val="0"/>
                <w:sz w:val="18"/>
                <w:szCs w:val="22"/>
                <w:lang w:val="en-US" w:eastAsia="zh-CN"/>
              </w:rPr>
              <w:t>--</w:t>
            </w:r>
          </w:p>
        </w:tc>
      </w:tr>
      <w:tr w14:paraId="1F335C4B">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1211E6FB">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52A04BD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0.299 </w:t>
            </w:r>
          </w:p>
        </w:tc>
        <w:tc>
          <w:tcPr>
            <w:tcW w:w="1243" w:type="dxa"/>
            <w:tcBorders>
              <w:top w:val="nil"/>
              <w:left w:val="nil"/>
              <w:bottom w:val="single" w:color="auto" w:sz="4" w:space="0"/>
              <w:right w:val="single" w:color="auto" w:sz="4" w:space="0"/>
            </w:tcBorders>
            <w:shd w:val="clear" w:color="auto" w:fill="auto"/>
            <w:noWrap/>
            <w:vAlign w:val="bottom"/>
          </w:tcPr>
          <w:p w14:paraId="1D3C508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1.763 </w:t>
            </w:r>
          </w:p>
        </w:tc>
        <w:tc>
          <w:tcPr>
            <w:tcW w:w="1243" w:type="dxa"/>
            <w:tcBorders>
              <w:top w:val="nil"/>
              <w:left w:val="nil"/>
              <w:bottom w:val="single" w:color="auto" w:sz="4" w:space="0"/>
              <w:right w:val="single" w:color="auto" w:sz="4" w:space="0"/>
            </w:tcBorders>
            <w:shd w:val="clear" w:color="auto" w:fill="auto"/>
            <w:noWrap/>
            <w:vAlign w:val="center"/>
          </w:tcPr>
          <w:p w14:paraId="75E1AE4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8.732 </w:t>
            </w:r>
          </w:p>
        </w:tc>
        <w:tc>
          <w:tcPr>
            <w:tcW w:w="1243" w:type="dxa"/>
            <w:tcBorders>
              <w:top w:val="nil"/>
              <w:left w:val="nil"/>
              <w:bottom w:val="single" w:color="auto" w:sz="4" w:space="0"/>
              <w:right w:val="single" w:color="auto" w:sz="4" w:space="0"/>
            </w:tcBorders>
            <w:shd w:val="clear" w:color="auto" w:fill="auto"/>
            <w:noWrap/>
            <w:vAlign w:val="bottom"/>
          </w:tcPr>
          <w:p w14:paraId="615CA11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13.541 </w:t>
            </w:r>
          </w:p>
        </w:tc>
        <w:tc>
          <w:tcPr>
            <w:tcW w:w="1247" w:type="dxa"/>
            <w:tcBorders>
              <w:top w:val="nil"/>
              <w:left w:val="nil"/>
              <w:bottom w:val="single" w:color="auto" w:sz="4" w:space="0"/>
              <w:right w:val="single" w:color="auto" w:sz="4" w:space="0"/>
            </w:tcBorders>
            <w:vAlign w:val="bottom"/>
          </w:tcPr>
          <w:p w14:paraId="4951FDEC">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39D844DF">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4B0A86FE">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1B4F373F">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0.312 </w:t>
            </w:r>
          </w:p>
        </w:tc>
        <w:tc>
          <w:tcPr>
            <w:tcW w:w="1243" w:type="dxa"/>
            <w:tcBorders>
              <w:top w:val="nil"/>
              <w:left w:val="nil"/>
              <w:bottom w:val="single" w:color="auto" w:sz="4" w:space="0"/>
              <w:right w:val="single" w:color="auto" w:sz="4" w:space="0"/>
            </w:tcBorders>
            <w:shd w:val="clear" w:color="auto" w:fill="auto"/>
            <w:noWrap/>
            <w:vAlign w:val="bottom"/>
          </w:tcPr>
          <w:p w14:paraId="7EDA8F8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1.826 </w:t>
            </w:r>
          </w:p>
        </w:tc>
        <w:tc>
          <w:tcPr>
            <w:tcW w:w="1243" w:type="dxa"/>
            <w:tcBorders>
              <w:top w:val="nil"/>
              <w:left w:val="nil"/>
              <w:bottom w:val="single" w:color="auto" w:sz="4" w:space="0"/>
              <w:right w:val="single" w:color="auto" w:sz="4" w:space="0"/>
            </w:tcBorders>
            <w:shd w:val="clear" w:color="auto" w:fill="auto"/>
            <w:noWrap/>
            <w:vAlign w:val="center"/>
          </w:tcPr>
          <w:p w14:paraId="3DEE8CD9">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8.713 </w:t>
            </w:r>
          </w:p>
        </w:tc>
        <w:tc>
          <w:tcPr>
            <w:tcW w:w="1243" w:type="dxa"/>
            <w:tcBorders>
              <w:top w:val="nil"/>
              <w:left w:val="nil"/>
              <w:bottom w:val="single" w:color="auto" w:sz="4" w:space="0"/>
              <w:right w:val="single" w:color="auto" w:sz="4" w:space="0"/>
            </w:tcBorders>
            <w:shd w:val="clear" w:color="auto" w:fill="auto"/>
            <w:noWrap/>
            <w:vAlign w:val="bottom"/>
          </w:tcPr>
          <w:p w14:paraId="2B738BB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13.614 </w:t>
            </w:r>
          </w:p>
        </w:tc>
        <w:tc>
          <w:tcPr>
            <w:tcW w:w="1247" w:type="dxa"/>
            <w:tcBorders>
              <w:top w:val="nil"/>
              <w:left w:val="nil"/>
              <w:bottom w:val="single" w:color="auto" w:sz="4" w:space="0"/>
              <w:right w:val="single" w:color="auto" w:sz="4" w:space="0"/>
            </w:tcBorders>
            <w:vAlign w:val="bottom"/>
          </w:tcPr>
          <w:p w14:paraId="28E0BF73">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1896EC12">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2017B719">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28E9FDF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0.291 </w:t>
            </w:r>
          </w:p>
        </w:tc>
        <w:tc>
          <w:tcPr>
            <w:tcW w:w="1243" w:type="dxa"/>
            <w:tcBorders>
              <w:top w:val="nil"/>
              <w:left w:val="nil"/>
              <w:bottom w:val="single" w:color="auto" w:sz="4" w:space="0"/>
              <w:right w:val="single" w:color="auto" w:sz="4" w:space="0"/>
            </w:tcBorders>
            <w:shd w:val="clear" w:color="auto" w:fill="auto"/>
            <w:noWrap/>
            <w:vAlign w:val="bottom"/>
          </w:tcPr>
          <w:p w14:paraId="155CB6C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1.709 </w:t>
            </w:r>
          </w:p>
        </w:tc>
        <w:tc>
          <w:tcPr>
            <w:tcW w:w="1243" w:type="dxa"/>
            <w:tcBorders>
              <w:top w:val="nil"/>
              <w:left w:val="nil"/>
              <w:bottom w:val="single" w:color="auto" w:sz="4" w:space="0"/>
              <w:right w:val="single" w:color="auto" w:sz="4" w:space="0"/>
            </w:tcBorders>
            <w:shd w:val="clear" w:color="auto" w:fill="auto"/>
            <w:noWrap/>
            <w:vAlign w:val="center"/>
          </w:tcPr>
          <w:p w14:paraId="3797E23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8.617 </w:t>
            </w:r>
          </w:p>
        </w:tc>
        <w:tc>
          <w:tcPr>
            <w:tcW w:w="1243" w:type="dxa"/>
            <w:tcBorders>
              <w:top w:val="nil"/>
              <w:left w:val="nil"/>
              <w:bottom w:val="single" w:color="auto" w:sz="4" w:space="0"/>
              <w:right w:val="single" w:color="auto" w:sz="4" w:space="0"/>
            </w:tcBorders>
            <w:shd w:val="clear" w:color="auto" w:fill="auto"/>
            <w:noWrap/>
            <w:vAlign w:val="bottom"/>
          </w:tcPr>
          <w:p w14:paraId="7607D37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13.317 </w:t>
            </w:r>
          </w:p>
        </w:tc>
        <w:tc>
          <w:tcPr>
            <w:tcW w:w="1247" w:type="dxa"/>
            <w:tcBorders>
              <w:top w:val="nil"/>
              <w:left w:val="nil"/>
              <w:bottom w:val="single" w:color="auto" w:sz="4" w:space="0"/>
              <w:right w:val="single" w:color="auto" w:sz="4" w:space="0"/>
            </w:tcBorders>
            <w:vAlign w:val="bottom"/>
          </w:tcPr>
          <w:p w14:paraId="76B50D3F">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0D2DF8C7">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57ECEB4D">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63A461C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0.287 </w:t>
            </w:r>
          </w:p>
        </w:tc>
        <w:tc>
          <w:tcPr>
            <w:tcW w:w="1243" w:type="dxa"/>
            <w:tcBorders>
              <w:top w:val="nil"/>
              <w:left w:val="nil"/>
              <w:bottom w:val="single" w:color="auto" w:sz="4" w:space="0"/>
              <w:right w:val="single" w:color="auto" w:sz="4" w:space="0"/>
            </w:tcBorders>
            <w:shd w:val="clear" w:color="auto" w:fill="auto"/>
            <w:noWrap/>
            <w:vAlign w:val="bottom"/>
          </w:tcPr>
          <w:p w14:paraId="577DF6F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1.813 </w:t>
            </w:r>
          </w:p>
        </w:tc>
        <w:tc>
          <w:tcPr>
            <w:tcW w:w="1243" w:type="dxa"/>
            <w:tcBorders>
              <w:top w:val="nil"/>
              <w:left w:val="nil"/>
              <w:bottom w:val="single" w:color="auto" w:sz="4" w:space="0"/>
              <w:right w:val="single" w:color="auto" w:sz="4" w:space="0"/>
            </w:tcBorders>
            <w:shd w:val="clear" w:color="auto" w:fill="auto"/>
            <w:noWrap/>
            <w:vAlign w:val="center"/>
          </w:tcPr>
          <w:p w14:paraId="14B5B4F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8.794 </w:t>
            </w:r>
          </w:p>
        </w:tc>
        <w:tc>
          <w:tcPr>
            <w:tcW w:w="1243" w:type="dxa"/>
            <w:tcBorders>
              <w:top w:val="nil"/>
              <w:left w:val="nil"/>
              <w:bottom w:val="single" w:color="auto" w:sz="4" w:space="0"/>
              <w:right w:val="single" w:color="auto" w:sz="4" w:space="0"/>
            </w:tcBorders>
            <w:shd w:val="clear" w:color="auto" w:fill="auto"/>
            <w:noWrap/>
            <w:vAlign w:val="bottom"/>
          </w:tcPr>
          <w:p w14:paraId="0FB0FBE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13.521 </w:t>
            </w:r>
          </w:p>
        </w:tc>
        <w:tc>
          <w:tcPr>
            <w:tcW w:w="1247" w:type="dxa"/>
            <w:tcBorders>
              <w:top w:val="nil"/>
              <w:left w:val="nil"/>
              <w:bottom w:val="single" w:color="auto" w:sz="4" w:space="0"/>
              <w:right w:val="single" w:color="auto" w:sz="4" w:space="0"/>
            </w:tcBorders>
            <w:vAlign w:val="bottom"/>
          </w:tcPr>
          <w:p w14:paraId="4E0380D8">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58D34327">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650CD647">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7F0A67C5">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0.302 </w:t>
            </w:r>
          </w:p>
        </w:tc>
        <w:tc>
          <w:tcPr>
            <w:tcW w:w="1243" w:type="dxa"/>
            <w:tcBorders>
              <w:top w:val="nil"/>
              <w:left w:val="nil"/>
              <w:bottom w:val="single" w:color="auto" w:sz="4" w:space="0"/>
              <w:right w:val="single" w:color="auto" w:sz="4" w:space="0"/>
            </w:tcBorders>
            <w:shd w:val="clear" w:color="auto" w:fill="auto"/>
            <w:noWrap/>
            <w:vAlign w:val="bottom"/>
          </w:tcPr>
          <w:p w14:paraId="0138DAD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1.834 </w:t>
            </w:r>
          </w:p>
        </w:tc>
        <w:tc>
          <w:tcPr>
            <w:tcW w:w="1243" w:type="dxa"/>
            <w:tcBorders>
              <w:top w:val="nil"/>
              <w:left w:val="nil"/>
              <w:bottom w:val="single" w:color="auto" w:sz="4" w:space="0"/>
              <w:right w:val="single" w:color="auto" w:sz="4" w:space="0"/>
            </w:tcBorders>
            <w:shd w:val="clear" w:color="auto" w:fill="auto"/>
            <w:noWrap/>
            <w:vAlign w:val="center"/>
          </w:tcPr>
          <w:p w14:paraId="44B978A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8.814 </w:t>
            </w:r>
          </w:p>
        </w:tc>
        <w:tc>
          <w:tcPr>
            <w:tcW w:w="1243" w:type="dxa"/>
            <w:tcBorders>
              <w:top w:val="nil"/>
              <w:left w:val="nil"/>
              <w:bottom w:val="single" w:color="auto" w:sz="4" w:space="0"/>
              <w:right w:val="single" w:color="auto" w:sz="4" w:space="0"/>
            </w:tcBorders>
            <w:shd w:val="clear" w:color="auto" w:fill="auto"/>
            <w:noWrap/>
            <w:vAlign w:val="bottom"/>
          </w:tcPr>
          <w:p w14:paraId="6FD867E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13.302 </w:t>
            </w:r>
          </w:p>
        </w:tc>
        <w:tc>
          <w:tcPr>
            <w:tcW w:w="1247" w:type="dxa"/>
            <w:tcBorders>
              <w:top w:val="nil"/>
              <w:left w:val="nil"/>
              <w:bottom w:val="single" w:color="auto" w:sz="4" w:space="0"/>
              <w:right w:val="single" w:color="auto" w:sz="4" w:space="0"/>
            </w:tcBorders>
            <w:vAlign w:val="bottom"/>
          </w:tcPr>
          <w:p w14:paraId="3F5446E1">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2BF89FD3">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4FFF5B2C">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318F93FE">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0.311 </w:t>
            </w:r>
          </w:p>
        </w:tc>
        <w:tc>
          <w:tcPr>
            <w:tcW w:w="1243" w:type="dxa"/>
            <w:tcBorders>
              <w:top w:val="nil"/>
              <w:left w:val="nil"/>
              <w:bottom w:val="single" w:color="auto" w:sz="4" w:space="0"/>
              <w:right w:val="single" w:color="auto" w:sz="4" w:space="0"/>
            </w:tcBorders>
            <w:shd w:val="clear" w:color="auto" w:fill="auto"/>
            <w:noWrap/>
            <w:vAlign w:val="bottom"/>
          </w:tcPr>
          <w:p w14:paraId="1BA8C6A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1.783 </w:t>
            </w:r>
          </w:p>
        </w:tc>
        <w:tc>
          <w:tcPr>
            <w:tcW w:w="1243" w:type="dxa"/>
            <w:tcBorders>
              <w:top w:val="nil"/>
              <w:left w:val="nil"/>
              <w:bottom w:val="single" w:color="auto" w:sz="4" w:space="0"/>
              <w:right w:val="single" w:color="auto" w:sz="4" w:space="0"/>
            </w:tcBorders>
            <w:shd w:val="clear" w:color="auto" w:fill="auto"/>
            <w:noWrap/>
            <w:vAlign w:val="center"/>
          </w:tcPr>
          <w:p w14:paraId="0C68C96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8.805 </w:t>
            </w:r>
          </w:p>
        </w:tc>
        <w:tc>
          <w:tcPr>
            <w:tcW w:w="1243" w:type="dxa"/>
            <w:tcBorders>
              <w:top w:val="nil"/>
              <w:left w:val="nil"/>
              <w:bottom w:val="single" w:color="auto" w:sz="4" w:space="0"/>
              <w:right w:val="single" w:color="auto" w:sz="4" w:space="0"/>
            </w:tcBorders>
            <w:shd w:val="clear" w:color="auto" w:fill="auto"/>
            <w:noWrap/>
            <w:vAlign w:val="bottom"/>
          </w:tcPr>
          <w:p w14:paraId="1AC6B67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13.294 </w:t>
            </w:r>
          </w:p>
        </w:tc>
        <w:tc>
          <w:tcPr>
            <w:tcW w:w="1247" w:type="dxa"/>
            <w:tcBorders>
              <w:top w:val="nil"/>
              <w:left w:val="nil"/>
              <w:bottom w:val="single" w:color="auto" w:sz="4" w:space="0"/>
              <w:right w:val="single" w:color="auto" w:sz="4" w:space="0"/>
            </w:tcBorders>
            <w:vAlign w:val="bottom"/>
          </w:tcPr>
          <w:p w14:paraId="1D6C90F7">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7D623EB0">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4C620920">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6481B22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0.289 </w:t>
            </w:r>
          </w:p>
        </w:tc>
        <w:tc>
          <w:tcPr>
            <w:tcW w:w="1243" w:type="dxa"/>
            <w:tcBorders>
              <w:top w:val="nil"/>
              <w:left w:val="nil"/>
              <w:bottom w:val="single" w:color="auto" w:sz="4" w:space="0"/>
              <w:right w:val="single" w:color="auto" w:sz="4" w:space="0"/>
            </w:tcBorders>
            <w:shd w:val="clear" w:color="auto" w:fill="auto"/>
            <w:noWrap/>
            <w:vAlign w:val="bottom"/>
          </w:tcPr>
          <w:p w14:paraId="4CDA56D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1.819 </w:t>
            </w:r>
          </w:p>
        </w:tc>
        <w:tc>
          <w:tcPr>
            <w:tcW w:w="1243" w:type="dxa"/>
            <w:tcBorders>
              <w:top w:val="nil"/>
              <w:left w:val="nil"/>
              <w:bottom w:val="single" w:color="auto" w:sz="4" w:space="0"/>
              <w:right w:val="single" w:color="auto" w:sz="4" w:space="0"/>
            </w:tcBorders>
            <w:shd w:val="clear" w:color="auto" w:fill="auto"/>
            <w:noWrap/>
            <w:vAlign w:val="center"/>
          </w:tcPr>
          <w:p w14:paraId="762796A0">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8.711 </w:t>
            </w:r>
          </w:p>
        </w:tc>
        <w:tc>
          <w:tcPr>
            <w:tcW w:w="1243" w:type="dxa"/>
            <w:tcBorders>
              <w:top w:val="nil"/>
              <w:left w:val="nil"/>
              <w:bottom w:val="single" w:color="auto" w:sz="4" w:space="0"/>
              <w:right w:val="single" w:color="auto" w:sz="4" w:space="0"/>
            </w:tcBorders>
            <w:shd w:val="clear" w:color="auto" w:fill="auto"/>
            <w:noWrap/>
            <w:vAlign w:val="bottom"/>
          </w:tcPr>
          <w:p w14:paraId="56DADED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13.334 </w:t>
            </w:r>
          </w:p>
        </w:tc>
        <w:tc>
          <w:tcPr>
            <w:tcW w:w="1247" w:type="dxa"/>
            <w:tcBorders>
              <w:top w:val="nil"/>
              <w:left w:val="nil"/>
              <w:bottom w:val="single" w:color="auto" w:sz="4" w:space="0"/>
              <w:right w:val="single" w:color="auto" w:sz="4" w:space="0"/>
            </w:tcBorders>
            <w:vAlign w:val="bottom"/>
          </w:tcPr>
          <w:p w14:paraId="1ADCF521">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7E3EDEC3">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677FD914">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709DD74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0.294 </w:t>
            </w:r>
          </w:p>
        </w:tc>
        <w:tc>
          <w:tcPr>
            <w:tcW w:w="1243" w:type="dxa"/>
            <w:tcBorders>
              <w:top w:val="nil"/>
              <w:left w:val="nil"/>
              <w:bottom w:val="single" w:color="auto" w:sz="4" w:space="0"/>
              <w:right w:val="single" w:color="auto" w:sz="4" w:space="0"/>
            </w:tcBorders>
            <w:shd w:val="clear" w:color="auto" w:fill="auto"/>
            <w:noWrap/>
            <w:vAlign w:val="bottom"/>
          </w:tcPr>
          <w:p w14:paraId="755F47C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1.794 </w:t>
            </w:r>
          </w:p>
        </w:tc>
        <w:tc>
          <w:tcPr>
            <w:tcW w:w="1243" w:type="dxa"/>
            <w:tcBorders>
              <w:top w:val="nil"/>
              <w:left w:val="nil"/>
              <w:bottom w:val="single" w:color="auto" w:sz="4" w:space="0"/>
              <w:right w:val="single" w:color="auto" w:sz="4" w:space="0"/>
            </w:tcBorders>
            <w:shd w:val="clear" w:color="auto" w:fill="auto"/>
            <w:noWrap/>
            <w:vAlign w:val="center"/>
          </w:tcPr>
          <w:p w14:paraId="7B6FA869">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8.624 </w:t>
            </w:r>
          </w:p>
        </w:tc>
        <w:tc>
          <w:tcPr>
            <w:tcW w:w="1243" w:type="dxa"/>
            <w:tcBorders>
              <w:top w:val="nil"/>
              <w:left w:val="nil"/>
              <w:bottom w:val="single" w:color="auto" w:sz="4" w:space="0"/>
              <w:right w:val="single" w:color="auto" w:sz="4" w:space="0"/>
            </w:tcBorders>
            <w:shd w:val="clear" w:color="auto" w:fill="auto"/>
            <w:noWrap/>
            <w:vAlign w:val="bottom"/>
          </w:tcPr>
          <w:p w14:paraId="21BBD18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13.597 </w:t>
            </w:r>
          </w:p>
        </w:tc>
        <w:tc>
          <w:tcPr>
            <w:tcW w:w="1247" w:type="dxa"/>
            <w:tcBorders>
              <w:top w:val="nil"/>
              <w:left w:val="nil"/>
              <w:bottom w:val="single" w:color="auto" w:sz="4" w:space="0"/>
              <w:right w:val="single" w:color="auto" w:sz="4" w:space="0"/>
            </w:tcBorders>
            <w:vAlign w:val="bottom"/>
          </w:tcPr>
          <w:p w14:paraId="13B47202">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78E33CA2">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446D263A">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5FB00D6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0.299 </w:t>
            </w:r>
          </w:p>
        </w:tc>
        <w:tc>
          <w:tcPr>
            <w:tcW w:w="1243" w:type="dxa"/>
            <w:tcBorders>
              <w:top w:val="nil"/>
              <w:left w:val="nil"/>
              <w:bottom w:val="single" w:color="auto" w:sz="4" w:space="0"/>
              <w:right w:val="single" w:color="auto" w:sz="4" w:space="0"/>
            </w:tcBorders>
            <w:shd w:val="clear" w:color="auto" w:fill="auto"/>
            <w:noWrap/>
            <w:vAlign w:val="bottom"/>
          </w:tcPr>
          <w:p w14:paraId="2B30097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1.799 </w:t>
            </w:r>
          </w:p>
        </w:tc>
        <w:tc>
          <w:tcPr>
            <w:tcW w:w="1243" w:type="dxa"/>
            <w:tcBorders>
              <w:top w:val="nil"/>
              <w:left w:val="nil"/>
              <w:bottom w:val="single" w:color="auto" w:sz="4" w:space="0"/>
              <w:right w:val="single" w:color="auto" w:sz="4" w:space="0"/>
            </w:tcBorders>
            <w:shd w:val="clear" w:color="auto" w:fill="auto"/>
            <w:noWrap/>
            <w:vAlign w:val="center"/>
          </w:tcPr>
          <w:p w14:paraId="742B9B2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8.789 </w:t>
            </w:r>
          </w:p>
        </w:tc>
        <w:tc>
          <w:tcPr>
            <w:tcW w:w="1243" w:type="dxa"/>
            <w:tcBorders>
              <w:top w:val="nil"/>
              <w:left w:val="nil"/>
              <w:bottom w:val="single" w:color="auto" w:sz="4" w:space="0"/>
              <w:right w:val="single" w:color="auto" w:sz="4" w:space="0"/>
            </w:tcBorders>
            <w:shd w:val="clear" w:color="auto" w:fill="auto"/>
            <w:noWrap/>
            <w:vAlign w:val="bottom"/>
          </w:tcPr>
          <w:p w14:paraId="293F9D9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13.471 </w:t>
            </w:r>
          </w:p>
        </w:tc>
        <w:tc>
          <w:tcPr>
            <w:tcW w:w="1247" w:type="dxa"/>
            <w:tcBorders>
              <w:top w:val="nil"/>
              <w:left w:val="nil"/>
              <w:bottom w:val="single" w:color="auto" w:sz="4" w:space="0"/>
              <w:right w:val="single" w:color="auto" w:sz="4" w:space="0"/>
            </w:tcBorders>
            <w:vAlign w:val="bottom"/>
          </w:tcPr>
          <w:p w14:paraId="76D0CC0F">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1FFFEA8D">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0368DFF5">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173FFD4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0.303 </w:t>
            </w:r>
          </w:p>
        </w:tc>
        <w:tc>
          <w:tcPr>
            <w:tcW w:w="1243" w:type="dxa"/>
            <w:tcBorders>
              <w:top w:val="nil"/>
              <w:left w:val="nil"/>
              <w:bottom w:val="single" w:color="auto" w:sz="4" w:space="0"/>
              <w:right w:val="single" w:color="auto" w:sz="4" w:space="0"/>
            </w:tcBorders>
            <w:shd w:val="clear" w:color="auto" w:fill="auto"/>
            <w:noWrap/>
            <w:vAlign w:val="bottom"/>
          </w:tcPr>
          <w:p w14:paraId="55D1729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1.786 </w:t>
            </w:r>
          </w:p>
        </w:tc>
        <w:tc>
          <w:tcPr>
            <w:tcW w:w="1243" w:type="dxa"/>
            <w:tcBorders>
              <w:top w:val="nil"/>
              <w:left w:val="nil"/>
              <w:bottom w:val="single" w:color="auto" w:sz="4" w:space="0"/>
              <w:right w:val="single" w:color="auto" w:sz="4" w:space="0"/>
            </w:tcBorders>
            <w:shd w:val="clear" w:color="auto" w:fill="auto"/>
            <w:noWrap/>
            <w:vAlign w:val="center"/>
          </w:tcPr>
          <w:p w14:paraId="5046985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8.701 </w:t>
            </w:r>
          </w:p>
        </w:tc>
        <w:tc>
          <w:tcPr>
            <w:tcW w:w="1243" w:type="dxa"/>
            <w:tcBorders>
              <w:top w:val="nil"/>
              <w:left w:val="nil"/>
              <w:bottom w:val="single" w:color="auto" w:sz="4" w:space="0"/>
              <w:right w:val="single" w:color="auto" w:sz="4" w:space="0"/>
            </w:tcBorders>
            <w:shd w:val="clear" w:color="auto" w:fill="auto"/>
            <w:noWrap/>
            <w:vAlign w:val="bottom"/>
          </w:tcPr>
          <w:p w14:paraId="55A997F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13.602 </w:t>
            </w:r>
          </w:p>
        </w:tc>
        <w:tc>
          <w:tcPr>
            <w:tcW w:w="1247" w:type="dxa"/>
            <w:tcBorders>
              <w:top w:val="nil"/>
              <w:left w:val="nil"/>
              <w:bottom w:val="single" w:color="auto" w:sz="4" w:space="0"/>
              <w:right w:val="single" w:color="auto" w:sz="4" w:space="0"/>
            </w:tcBorders>
            <w:vAlign w:val="bottom"/>
          </w:tcPr>
          <w:p w14:paraId="2375D29D">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22DDAF26">
        <w:tblPrEx>
          <w:tblCellMar>
            <w:top w:w="0" w:type="dxa"/>
            <w:left w:w="108" w:type="dxa"/>
            <w:bottom w:w="0" w:type="dxa"/>
            <w:right w:w="108" w:type="dxa"/>
          </w:tblCellMar>
        </w:tblPrEx>
        <w:trPr>
          <w:trHeight w:val="312" w:hRule="exact"/>
          <w:jc w:val="center"/>
        </w:trPr>
        <w:tc>
          <w:tcPr>
            <w:tcW w:w="1351" w:type="pct"/>
            <w:vMerge w:val="restart"/>
            <w:tcBorders>
              <w:top w:val="nil"/>
              <w:left w:val="single" w:color="auto" w:sz="4" w:space="0"/>
              <w:bottom w:val="single" w:color="auto" w:sz="4" w:space="0"/>
              <w:right w:val="single" w:color="auto" w:sz="4" w:space="0"/>
            </w:tcBorders>
            <w:shd w:val="clear" w:color="auto" w:fill="auto"/>
            <w:noWrap/>
            <w:vAlign w:val="center"/>
          </w:tcPr>
          <w:p w14:paraId="678D88A1">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江西金世纪新材料股份有限公司</w:t>
            </w:r>
          </w:p>
        </w:tc>
        <w:tc>
          <w:tcPr>
            <w:tcW w:w="1243" w:type="dxa"/>
            <w:tcBorders>
              <w:top w:val="nil"/>
              <w:left w:val="nil"/>
              <w:bottom w:val="single" w:color="auto" w:sz="4" w:space="0"/>
              <w:right w:val="single" w:color="auto" w:sz="4" w:space="0"/>
            </w:tcBorders>
            <w:shd w:val="clear" w:color="auto" w:fill="auto"/>
            <w:noWrap/>
            <w:vAlign w:val="bottom"/>
          </w:tcPr>
          <w:p w14:paraId="083B03A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0.293 </w:t>
            </w:r>
          </w:p>
        </w:tc>
        <w:tc>
          <w:tcPr>
            <w:tcW w:w="1243" w:type="dxa"/>
            <w:tcBorders>
              <w:top w:val="nil"/>
              <w:left w:val="nil"/>
              <w:bottom w:val="single" w:color="auto" w:sz="4" w:space="0"/>
              <w:right w:val="single" w:color="auto" w:sz="4" w:space="0"/>
            </w:tcBorders>
            <w:shd w:val="clear" w:color="auto" w:fill="auto"/>
            <w:noWrap/>
            <w:vAlign w:val="bottom"/>
          </w:tcPr>
          <w:p w14:paraId="660C037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1.792 </w:t>
            </w:r>
          </w:p>
        </w:tc>
        <w:tc>
          <w:tcPr>
            <w:tcW w:w="1243" w:type="dxa"/>
            <w:tcBorders>
              <w:top w:val="nil"/>
              <w:left w:val="nil"/>
              <w:bottom w:val="single" w:color="auto" w:sz="4" w:space="0"/>
              <w:right w:val="single" w:color="auto" w:sz="4" w:space="0"/>
            </w:tcBorders>
            <w:shd w:val="clear" w:color="auto" w:fill="auto"/>
            <w:noWrap/>
            <w:vAlign w:val="bottom"/>
          </w:tcPr>
          <w:p w14:paraId="40C5325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8.819 </w:t>
            </w:r>
          </w:p>
        </w:tc>
        <w:tc>
          <w:tcPr>
            <w:tcW w:w="1243" w:type="dxa"/>
            <w:tcBorders>
              <w:top w:val="nil"/>
              <w:left w:val="nil"/>
              <w:bottom w:val="single" w:color="auto" w:sz="4" w:space="0"/>
              <w:right w:val="single" w:color="auto" w:sz="4" w:space="0"/>
            </w:tcBorders>
            <w:shd w:val="clear" w:color="auto" w:fill="auto"/>
            <w:noWrap/>
            <w:vAlign w:val="bottom"/>
          </w:tcPr>
          <w:p w14:paraId="4BAC776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13.345 </w:t>
            </w:r>
          </w:p>
        </w:tc>
        <w:tc>
          <w:tcPr>
            <w:tcW w:w="1247" w:type="dxa"/>
            <w:tcBorders>
              <w:top w:val="nil"/>
              <w:left w:val="nil"/>
              <w:bottom w:val="single" w:color="auto" w:sz="4" w:space="0"/>
              <w:right w:val="single" w:color="auto" w:sz="4" w:space="0"/>
            </w:tcBorders>
            <w:vAlign w:val="bottom"/>
          </w:tcPr>
          <w:p w14:paraId="136654D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22.712 </w:t>
            </w:r>
          </w:p>
        </w:tc>
      </w:tr>
      <w:tr w14:paraId="53101012">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651C5D7F">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0272041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0.294 </w:t>
            </w:r>
          </w:p>
        </w:tc>
        <w:tc>
          <w:tcPr>
            <w:tcW w:w="1243" w:type="dxa"/>
            <w:tcBorders>
              <w:top w:val="nil"/>
              <w:left w:val="nil"/>
              <w:bottom w:val="single" w:color="auto" w:sz="4" w:space="0"/>
              <w:right w:val="single" w:color="auto" w:sz="4" w:space="0"/>
            </w:tcBorders>
            <w:shd w:val="clear" w:color="auto" w:fill="auto"/>
            <w:noWrap/>
            <w:vAlign w:val="bottom"/>
          </w:tcPr>
          <w:p w14:paraId="74C758E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1.810 </w:t>
            </w:r>
          </w:p>
        </w:tc>
        <w:tc>
          <w:tcPr>
            <w:tcW w:w="1243" w:type="dxa"/>
            <w:tcBorders>
              <w:top w:val="nil"/>
              <w:left w:val="nil"/>
              <w:bottom w:val="single" w:color="auto" w:sz="4" w:space="0"/>
              <w:right w:val="single" w:color="auto" w:sz="4" w:space="0"/>
            </w:tcBorders>
            <w:shd w:val="clear" w:color="auto" w:fill="auto"/>
            <w:noWrap/>
            <w:vAlign w:val="bottom"/>
          </w:tcPr>
          <w:p w14:paraId="626567B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8.875 </w:t>
            </w:r>
          </w:p>
        </w:tc>
        <w:tc>
          <w:tcPr>
            <w:tcW w:w="1243" w:type="dxa"/>
            <w:tcBorders>
              <w:top w:val="nil"/>
              <w:left w:val="nil"/>
              <w:bottom w:val="single" w:color="auto" w:sz="4" w:space="0"/>
              <w:right w:val="single" w:color="auto" w:sz="4" w:space="0"/>
            </w:tcBorders>
            <w:shd w:val="clear" w:color="auto" w:fill="auto"/>
            <w:noWrap/>
            <w:vAlign w:val="bottom"/>
          </w:tcPr>
          <w:p w14:paraId="0E4A0FB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13.386 </w:t>
            </w:r>
          </w:p>
        </w:tc>
        <w:tc>
          <w:tcPr>
            <w:tcW w:w="1247" w:type="dxa"/>
            <w:tcBorders>
              <w:top w:val="nil"/>
              <w:left w:val="nil"/>
              <w:bottom w:val="single" w:color="auto" w:sz="4" w:space="0"/>
              <w:right w:val="single" w:color="auto" w:sz="4" w:space="0"/>
            </w:tcBorders>
            <w:vAlign w:val="bottom"/>
          </w:tcPr>
          <w:p w14:paraId="23D0FEA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22.683 </w:t>
            </w:r>
          </w:p>
        </w:tc>
      </w:tr>
      <w:tr w14:paraId="4EB4C3B5">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3E1C8CA6">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14924F0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0.297 </w:t>
            </w:r>
          </w:p>
        </w:tc>
        <w:tc>
          <w:tcPr>
            <w:tcW w:w="1243" w:type="dxa"/>
            <w:tcBorders>
              <w:top w:val="nil"/>
              <w:left w:val="nil"/>
              <w:bottom w:val="single" w:color="auto" w:sz="4" w:space="0"/>
              <w:right w:val="single" w:color="auto" w:sz="4" w:space="0"/>
            </w:tcBorders>
            <w:shd w:val="clear" w:color="auto" w:fill="auto"/>
            <w:noWrap/>
            <w:vAlign w:val="bottom"/>
          </w:tcPr>
          <w:p w14:paraId="5049048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1.792 </w:t>
            </w:r>
          </w:p>
        </w:tc>
        <w:tc>
          <w:tcPr>
            <w:tcW w:w="1243" w:type="dxa"/>
            <w:tcBorders>
              <w:top w:val="nil"/>
              <w:left w:val="nil"/>
              <w:bottom w:val="single" w:color="auto" w:sz="4" w:space="0"/>
              <w:right w:val="single" w:color="auto" w:sz="4" w:space="0"/>
            </w:tcBorders>
            <w:shd w:val="clear" w:color="auto" w:fill="auto"/>
            <w:noWrap/>
            <w:vAlign w:val="bottom"/>
          </w:tcPr>
          <w:p w14:paraId="7D9B631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8.867 </w:t>
            </w:r>
          </w:p>
        </w:tc>
        <w:tc>
          <w:tcPr>
            <w:tcW w:w="1243" w:type="dxa"/>
            <w:tcBorders>
              <w:top w:val="nil"/>
              <w:left w:val="nil"/>
              <w:bottom w:val="single" w:color="auto" w:sz="4" w:space="0"/>
              <w:right w:val="single" w:color="auto" w:sz="4" w:space="0"/>
            </w:tcBorders>
            <w:shd w:val="clear" w:color="auto" w:fill="auto"/>
            <w:noWrap/>
            <w:vAlign w:val="bottom"/>
          </w:tcPr>
          <w:p w14:paraId="207DDA1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13.425 </w:t>
            </w:r>
          </w:p>
        </w:tc>
        <w:tc>
          <w:tcPr>
            <w:tcW w:w="1247" w:type="dxa"/>
            <w:tcBorders>
              <w:top w:val="nil"/>
              <w:left w:val="nil"/>
              <w:bottom w:val="single" w:color="auto" w:sz="4" w:space="0"/>
              <w:right w:val="single" w:color="auto" w:sz="4" w:space="0"/>
            </w:tcBorders>
            <w:vAlign w:val="bottom"/>
          </w:tcPr>
          <w:p w14:paraId="07EEA61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22.756 </w:t>
            </w:r>
          </w:p>
        </w:tc>
      </w:tr>
      <w:tr w14:paraId="403568ED">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5002BC8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7560AE6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0.290 </w:t>
            </w:r>
          </w:p>
        </w:tc>
        <w:tc>
          <w:tcPr>
            <w:tcW w:w="1243" w:type="dxa"/>
            <w:tcBorders>
              <w:top w:val="nil"/>
              <w:left w:val="nil"/>
              <w:bottom w:val="single" w:color="auto" w:sz="4" w:space="0"/>
              <w:right w:val="single" w:color="auto" w:sz="4" w:space="0"/>
            </w:tcBorders>
            <w:shd w:val="clear" w:color="auto" w:fill="auto"/>
            <w:noWrap/>
            <w:vAlign w:val="bottom"/>
          </w:tcPr>
          <w:p w14:paraId="4FD509A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1.792 </w:t>
            </w:r>
          </w:p>
        </w:tc>
        <w:tc>
          <w:tcPr>
            <w:tcW w:w="1243" w:type="dxa"/>
            <w:tcBorders>
              <w:top w:val="nil"/>
              <w:left w:val="nil"/>
              <w:bottom w:val="single" w:color="auto" w:sz="4" w:space="0"/>
              <w:right w:val="single" w:color="auto" w:sz="4" w:space="0"/>
            </w:tcBorders>
            <w:shd w:val="clear" w:color="auto" w:fill="auto"/>
            <w:noWrap/>
            <w:vAlign w:val="bottom"/>
          </w:tcPr>
          <w:p w14:paraId="58B8F92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8.869 </w:t>
            </w:r>
          </w:p>
        </w:tc>
        <w:tc>
          <w:tcPr>
            <w:tcW w:w="1243" w:type="dxa"/>
            <w:tcBorders>
              <w:top w:val="nil"/>
              <w:left w:val="nil"/>
              <w:bottom w:val="single" w:color="auto" w:sz="4" w:space="0"/>
              <w:right w:val="single" w:color="auto" w:sz="4" w:space="0"/>
            </w:tcBorders>
            <w:shd w:val="clear" w:color="auto" w:fill="auto"/>
            <w:noWrap/>
            <w:vAlign w:val="bottom"/>
          </w:tcPr>
          <w:p w14:paraId="2837791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13.373 </w:t>
            </w:r>
          </w:p>
        </w:tc>
        <w:tc>
          <w:tcPr>
            <w:tcW w:w="1247" w:type="dxa"/>
            <w:tcBorders>
              <w:top w:val="nil"/>
              <w:left w:val="nil"/>
              <w:bottom w:val="single" w:color="auto" w:sz="4" w:space="0"/>
              <w:right w:val="single" w:color="auto" w:sz="4" w:space="0"/>
            </w:tcBorders>
            <w:vAlign w:val="bottom"/>
          </w:tcPr>
          <w:p w14:paraId="5F07D67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22.662 </w:t>
            </w:r>
          </w:p>
        </w:tc>
      </w:tr>
      <w:tr w14:paraId="65B684E6">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5D2D2704">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7F3B2BE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0.288 </w:t>
            </w:r>
          </w:p>
        </w:tc>
        <w:tc>
          <w:tcPr>
            <w:tcW w:w="1243" w:type="dxa"/>
            <w:tcBorders>
              <w:top w:val="nil"/>
              <w:left w:val="nil"/>
              <w:bottom w:val="single" w:color="auto" w:sz="4" w:space="0"/>
              <w:right w:val="single" w:color="auto" w:sz="4" w:space="0"/>
            </w:tcBorders>
            <w:shd w:val="clear" w:color="auto" w:fill="auto"/>
            <w:noWrap/>
            <w:vAlign w:val="bottom"/>
          </w:tcPr>
          <w:p w14:paraId="04D5DB5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1.782 </w:t>
            </w:r>
          </w:p>
        </w:tc>
        <w:tc>
          <w:tcPr>
            <w:tcW w:w="1243" w:type="dxa"/>
            <w:tcBorders>
              <w:top w:val="nil"/>
              <w:left w:val="nil"/>
              <w:bottom w:val="single" w:color="auto" w:sz="4" w:space="0"/>
              <w:right w:val="single" w:color="auto" w:sz="4" w:space="0"/>
            </w:tcBorders>
            <w:shd w:val="clear" w:color="auto" w:fill="auto"/>
            <w:noWrap/>
            <w:vAlign w:val="bottom"/>
          </w:tcPr>
          <w:p w14:paraId="282BD5B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8.835 </w:t>
            </w:r>
          </w:p>
        </w:tc>
        <w:tc>
          <w:tcPr>
            <w:tcW w:w="1243" w:type="dxa"/>
            <w:tcBorders>
              <w:top w:val="nil"/>
              <w:left w:val="nil"/>
              <w:bottom w:val="single" w:color="auto" w:sz="4" w:space="0"/>
              <w:right w:val="single" w:color="auto" w:sz="4" w:space="0"/>
            </w:tcBorders>
            <w:shd w:val="clear" w:color="auto" w:fill="auto"/>
            <w:noWrap/>
            <w:vAlign w:val="bottom"/>
          </w:tcPr>
          <w:p w14:paraId="68F9095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13.422 </w:t>
            </w:r>
          </w:p>
        </w:tc>
        <w:tc>
          <w:tcPr>
            <w:tcW w:w="1247" w:type="dxa"/>
            <w:tcBorders>
              <w:top w:val="nil"/>
              <w:left w:val="nil"/>
              <w:bottom w:val="single" w:color="auto" w:sz="4" w:space="0"/>
              <w:right w:val="single" w:color="auto" w:sz="4" w:space="0"/>
            </w:tcBorders>
            <w:vAlign w:val="bottom"/>
          </w:tcPr>
          <w:p w14:paraId="4E17491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22.654 </w:t>
            </w:r>
          </w:p>
        </w:tc>
      </w:tr>
      <w:tr w14:paraId="20D3AD49">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1CCF2D60">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69DB96B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0.283 </w:t>
            </w:r>
          </w:p>
        </w:tc>
        <w:tc>
          <w:tcPr>
            <w:tcW w:w="1243" w:type="dxa"/>
            <w:tcBorders>
              <w:top w:val="nil"/>
              <w:left w:val="nil"/>
              <w:bottom w:val="single" w:color="auto" w:sz="4" w:space="0"/>
              <w:right w:val="single" w:color="auto" w:sz="4" w:space="0"/>
            </w:tcBorders>
            <w:shd w:val="clear" w:color="auto" w:fill="auto"/>
            <w:noWrap/>
            <w:vAlign w:val="bottom"/>
          </w:tcPr>
          <w:p w14:paraId="19CFEAC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1.759 </w:t>
            </w:r>
          </w:p>
        </w:tc>
        <w:tc>
          <w:tcPr>
            <w:tcW w:w="1243" w:type="dxa"/>
            <w:tcBorders>
              <w:top w:val="nil"/>
              <w:left w:val="nil"/>
              <w:bottom w:val="single" w:color="auto" w:sz="4" w:space="0"/>
              <w:right w:val="single" w:color="auto" w:sz="4" w:space="0"/>
            </w:tcBorders>
            <w:shd w:val="clear" w:color="auto" w:fill="auto"/>
            <w:noWrap/>
            <w:vAlign w:val="bottom"/>
          </w:tcPr>
          <w:p w14:paraId="1E7434A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8.809 </w:t>
            </w:r>
          </w:p>
        </w:tc>
        <w:tc>
          <w:tcPr>
            <w:tcW w:w="1243" w:type="dxa"/>
            <w:tcBorders>
              <w:top w:val="nil"/>
              <w:left w:val="nil"/>
              <w:bottom w:val="single" w:color="auto" w:sz="4" w:space="0"/>
              <w:right w:val="single" w:color="auto" w:sz="4" w:space="0"/>
            </w:tcBorders>
            <w:shd w:val="clear" w:color="auto" w:fill="auto"/>
            <w:noWrap/>
            <w:vAlign w:val="bottom"/>
          </w:tcPr>
          <w:p w14:paraId="116D308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13.424 </w:t>
            </w:r>
          </w:p>
        </w:tc>
        <w:tc>
          <w:tcPr>
            <w:tcW w:w="1247" w:type="dxa"/>
            <w:tcBorders>
              <w:top w:val="nil"/>
              <w:left w:val="nil"/>
              <w:bottom w:val="single" w:color="auto" w:sz="4" w:space="0"/>
              <w:right w:val="single" w:color="auto" w:sz="4" w:space="0"/>
            </w:tcBorders>
            <w:vAlign w:val="bottom"/>
          </w:tcPr>
          <w:p w14:paraId="41C1547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22.714 </w:t>
            </w:r>
          </w:p>
        </w:tc>
      </w:tr>
      <w:tr w14:paraId="224FCDD5">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253E877E">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655C1E8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0.285 </w:t>
            </w:r>
          </w:p>
        </w:tc>
        <w:tc>
          <w:tcPr>
            <w:tcW w:w="1243" w:type="dxa"/>
            <w:tcBorders>
              <w:top w:val="nil"/>
              <w:left w:val="nil"/>
              <w:bottom w:val="single" w:color="auto" w:sz="4" w:space="0"/>
              <w:right w:val="single" w:color="auto" w:sz="4" w:space="0"/>
            </w:tcBorders>
            <w:shd w:val="clear" w:color="auto" w:fill="auto"/>
            <w:noWrap/>
            <w:vAlign w:val="bottom"/>
          </w:tcPr>
          <w:p w14:paraId="6CEA14B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1.802 </w:t>
            </w:r>
          </w:p>
        </w:tc>
        <w:tc>
          <w:tcPr>
            <w:tcW w:w="1243" w:type="dxa"/>
            <w:tcBorders>
              <w:top w:val="nil"/>
              <w:left w:val="nil"/>
              <w:bottom w:val="single" w:color="auto" w:sz="4" w:space="0"/>
              <w:right w:val="single" w:color="auto" w:sz="4" w:space="0"/>
            </w:tcBorders>
            <w:shd w:val="clear" w:color="auto" w:fill="auto"/>
            <w:noWrap/>
            <w:vAlign w:val="bottom"/>
          </w:tcPr>
          <w:p w14:paraId="4C44EEB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8.872 </w:t>
            </w:r>
          </w:p>
        </w:tc>
        <w:tc>
          <w:tcPr>
            <w:tcW w:w="1243" w:type="dxa"/>
            <w:tcBorders>
              <w:top w:val="nil"/>
              <w:left w:val="nil"/>
              <w:bottom w:val="single" w:color="auto" w:sz="4" w:space="0"/>
              <w:right w:val="single" w:color="auto" w:sz="4" w:space="0"/>
            </w:tcBorders>
            <w:shd w:val="clear" w:color="auto" w:fill="auto"/>
            <w:noWrap/>
            <w:vAlign w:val="bottom"/>
          </w:tcPr>
          <w:p w14:paraId="328B315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13.352 </w:t>
            </w:r>
          </w:p>
        </w:tc>
        <w:tc>
          <w:tcPr>
            <w:tcW w:w="1247" w:type="dxa"/>
            <w:tcBorders>
              <w:top w:val="nil"/>
              <w:left w:val="nil"/>
              <w:bottom w:val="single" w:color="auto" w:sz="4" w:space="0"/>
              <w:right w:val="single" w:color="auto" w:sz="4" w:space="0"/>
            </w:tcBorders>
            <w:vAlign w:val="bottom"/>
          </w:tcPr>
          <w:p w14:paraId="027C7E2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22.723 </w:t>
            </w:r>
          </w:p>
        </w:tc>
      </w:tr>
      <w:tr w14:paraId="2458DED2">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345B4FEB">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45BCBA2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0.281 </w:t>
            </w:r>
          </w:p>
        </w:tc>
        <w:tc>
          <w:tcPr>
            <w:tcW w:w="1243" w:type="dxa"/>
            <w:tcBorders>
              <w:top w:val="nil"/>
              <w:left w:val="nil"/>
              <w:bottom w:val="single" w:color="auto" w:sz="4" w:space="0"/>
              <w:right w:val="single" w:color="auto" w:sz="4" w:space="0"/>
            </w:tcBorders>
            <w:shd w:val="clear" w:color="auto" w:fill="auto"/>
            <w:noWrap/>
            <w:vAlign w:val="bottom"/>
          </w:tcPr>
          <w:p w14:paraId="0271B06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1.815 </w:t>
            </w:r>
          </w:p>
        </w:tc>
        <w:tc>
          <w:tcPr>
            <w:tcW w:w="1243" w:type="dxa"/>
            <w:tcBorders>
              <w:top w:val="nil"/>
              <w:left w:val="nil"/>
              <w:bottom w:val="single" w:color="auto" w:sz="4" w:space="0"/>
              <w:right w:val="single" w:color="auto" w:sz="4" w:space="0"/>
            </w:tcBorders>
            <w:shd w:val="clear" w:color="auto" w:fill="auto"/>
            <w:noWrap/>
            <w:vAlign w:val="bottom"/>
          </w:tcPr>
          <w:p w14:paraId="4848B3C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8.838 </w:t>
            </w:r>
          </w:p>
        </w:tc>
        <w:tc>
          <w:tcPr>
            <w:tcW w:w="1243" w:type="dxa"/>
            <w:tcBorders>
              <w:top w:val="nil"/>
              <w:left w:val="nil"/>
              <w:bottom w:val="single" w:color="auto" w:sz="4" w:space="0"/>
              <w:right w:val="single" w:color="auto" w:sz="4" w:space="0"/>
            </w:tcBorders>
            <w:shd w:val="clear" w:color="auto" w:fill="auto"/>
            <w:noWrap/>
            <w:vAlign w:val="bottom"/>
          </w:tcPr>
          <w:p w14:paraId="09C0857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13.482 </w:t>
            </w:r>
          </w:p>
        </w:tc>
        <w:tc>
          <w:tcPr>
            <w:tcW w:w="1247" w:type="dxa"/>
            <w:tcBorders>
              <w:top w:val="nil"/>
              <w:left w:val="nil"/>
              <w:bottom w:val="single" w:color="auto" w:sz="4" w:space="0"/>
              <w:right w:val="single" w:color="auto" w:sz="4" w:space="0"/>
            </w:tcBorders>
            <w:vAlign w:val="bottom"/>
          </w:tcPr>
          <w:p w14:paraId="7B22B0B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22.682 </w:t>
            </w:r>
          </w:p>
        </w:tc>
      </w:tr>
      <w:tr w14:paraId="7CB025DB">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2EA7EE8D">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62CC9F8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0.297 </w:t>
            </w:r>
          </w:p>
        </w:tc>
        <w:tc>
          <w:tcPr>
            <w:tcW w:w="1243" w:type="dxa"/>
            <w:tcBorders>
              <w:top w:val="nil"/>
              <w:left w:val="nil"/>
              <w:bottom w:val="single" w:color="auto" w:sz="4" w:space="0"/>
              <w:right w:val="single" w:color="auto" w:sz="4" w:space="0"/>
            </w:tcBorders>
            <w:shd w:val="clear" w:color="auto" w:fill="auto"/>
            <w:noWrap/>
            <w:vAlign w:val="bottom"/>
          </w:tcPr>
          <w:p w14:paraId="5AE303C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1.801 </w:t>
            </w:r>
          </w:p>
        </w:tc>
        <w:tc>
          <w:tcPr>
            <w:tcW w:w="1243" w:type="dxa"/>
            <w:tcBorders>
              <w:top w:val="nil"/>
              <w:left w:val="nil"/>
              <w:bottom w:val="single" w:color="auto" w:sz="4" w:space="0"/>
              <w:right w:val="single" w:color="auto" w:sz="4" w:space="0"/>
            </w:tcBorders>
            <w:shd w:val="clear" w:color="auto" w:fill="auto"/>
            <w:noWrap/>
            <w:vAlign w:val="bottom"/>
          </w:tcPr>
          <w:p w14:paraId="75CCE61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8.821 </w:t>
            </w:r>
          </w:p>
        </w:tc>
        <w:tc>
          <w:tcPr>
            <w:tcW w:w="1243" w:type="dxa"/>
            <w:tcBorders>
              <w:top w:val="nil"/>
              <w:left w:val="nil"/>
              <w:bottom w:val="single" w:color="auto" w:sz="4" w:space="0"/>
              <w:right w:val="single" w:color="auto" w:sz="4" w:space="0"/>
            </w:tcBorders>
            <w:shd w:val="clear" w:color="auto" w:fill="auto"/>
            <w:noWrap/>
            <w:vAlign w:val="bottom"/>
          </w:tcPr>
          <w:p w14:paraId="3CD2042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13.463 </w:t>
            </w:r>
          </w:p>
        </w:tc>
        <w:tc>
          <w:tcPr>
            <w:tcW w:w="1247" w:type="dxa"/>
            <w:tcBorders>
              <w:top w:val="nil"/>
              <w:left w:val="nil"/>
              <w:bottom w:val="single" w:color="auto" w:sz="4" w:space="0"/>
              <w:right w:val="single" w:color="auto" w:sz="4" w:space="0"/>
            </w:tcBorders>
            <w:vAlign w:val="bottom"/>
          </w:tcPr>
          <w:p w14:paraId="7DF4684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22.662 </w:t>
            </w:r>
          </w:p>
        </w:tc>
      </w:tr>
      <w:tr w14:paraId="2D246C64">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4B1B0D2F">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5407E3E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0.291 </w:t>
            </w:r>
          </w:p>
        </w:tc>
        <w:tc>
          <w:tcPr>
            <w:tcW w:w="1243" w:type="dxa"/>
            <w:tcBorders>
              <w:top w:val="nil"/>
              <w:left w:val="nil"/>
              <w:bottom w:val="single" w:color="auto" w:sz="4" w:space="0"/>
              <w:right w:val="single" w:color="auto" w:sz="4" w:space="0"/>
            </w:tcBorders>
            <w:shd w:val="clear" w:color="auto" w:fill="auto"/>
            <w:noWrap/>
            <w:vAlign w:val="bottom"/>
          </w:tcPr>
          <w:p w14:paraId="7FE7E9E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1.806 </w:t>
            </w:r>
          </w:p>
        </w:tc>
        <w:tc>
          <w:tcPr>
            <w:tcW w:w="1243" w:type="dxa"/>
            <w:tcBorders>
              <w:top w:val="nil"/>
              <w:left w:val="nil"/>
              <w:bottom w:val="single" w:color="auto" w:sz="4" w:space="0"/>
              <w:right w:val="single" w:color="auto" w:sz="4" w:space="0"/>
            </w:tcBorders>
            <w:shd w:val="clear" w:color="auto" w:fill="auto"/>
            <w:noWrap/>
            <w:vAlign w:val="bottom"/>
          </w:tcPr>
          <w:p w14:paraId="44D958C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8.822 </w:t>
            </w:r>
          </w:p>
        </w:tc>
        <w:tc>
          <w:tcPr>
            <w:tcW w:w="1243" w:type="dxa"/>
            <w:tcBorders>
              <w:top w:val="nil"/>
              <w:left w:val="nil"/>
              <w:bottom w:val="single" w:color="auto" w:sz="4" w:space="0"/>
              <w:right w:val="single" w:color="auto" w:sz="4" w:space="0"/>
            </w:tcBorders>
            <w:shd w:val="clear" w:color="auto" w:fill="auto"/>
            <w:noWrap/>
            <w:vAlign w:val="bottom"/>
          </w:tcPr>
          <w:p w14:paraId="2A55D9B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13.401 </w:t>
            </w:r>
          </w:p>
        </w:tc>
        <w:tc>
          <w:tcPr>
            <w:tcW w:w="1247" w:type="dxa"/>
            <w:tcBorders>
              <w:top w:val="nil"/>
              <w:left w:val="nil"/>
              <w:bottom w:val="single" w:color="auto" w:sz="4" w:space="0"/>
              <w:right w:val="single" w:color="auto" w:sz="4" w:space="0"/>
            </w:tcBorders>
            <w:vAlign w:val="bottom"/>
          </w:tcPr>
          <w:p w14:paraId="54A88F5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22.723 </w:t>
            </w:r>
          </w:p>
        </w:tc>
      </w:tr>
      <w:tr w14:paraId="360ED8A3">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758A04AB">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3BC34CB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0.295 </w:t>
            </w:r>
          </w:p>
        </w:tc>
        <w:tc>
          <w:tcPr>
            <w:tcW w:w="1243" w:type="dxa"/>
            <w:tcBorders>
              <w:top w:val="nil"/>
              <w:left w:val="nil"/>
              <w:bottom w:val="single" w:color="auto" w:sz="4" w:space="0"/>
              <w:right w:val="single" w:color="auto" w:sz="4" w:space="0"/>
            </w:tcBorders>
            <w:shd w:val="clear" w:color="auto" w:fill="auto"/>
            <w:noWrap/>
            <w:vAlign w:val="bottom"/>
          </w:tcPr>
          <w:p w14:paraId="7D7C380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1.802 </w:t>
            </w:r>
          </w:p>
        </w:tc>
        <w:tc>
          <w:tcPr>
            <w:tcW w:w="1243" w:type="dxa"/>
            <w:tcBorders>
              <w:top w:val="nil"/>
              <w:left w:val="nil"/>
              <w:bottom w:val="single" w:color="auto" w:sz="4" w:space="0"/>
              <w:right w:val="single" w:color="auto" w:sz="4" w:space="0"/>
            </w:tcBorders>
            <w:shd w:val="clear" w:color="auto" w:fill="auto"/>
            <w:noWrap/>
            <w:vAlign w:val="bottom"/>
          </w:tcPr>
          <w:p w14:paraId="1F7DBD7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8.801 </w:t>
            </w:r>
          </w:p>
        </w:tc>
        <w:tc>
          <w:tcPr>
            <w:tcW w:w="1243" w:type="dxa"/>
            <w:tcBorders>
              <w:top w:val="nil"/>
              <w:left w:val="nil"/>
              <w:bottom w:val="single" w:color="auto" w:sz="4" w:space="0"/>
              <w:right w:val="single" w:color="auto" w:sz="4" w:space="0"/>
            </w:tcBorders>
            <w:shd w:val="clear" w:color="auto" w:fill="auto"/>
            <w:noWrap/>
            <w:vAlign w:val="bottom"/>
          </w:tcPr>
          <w:p w14:paraId="6B70F11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13.421 </w:t>
            </w:r>
          </w:p>
        </w:tc>
        <w:tc>
          <w:tcPr>
            <w:tcW w:w="1247" w:type="dxa"/>
            <w:tcBorders>
              <w:top w:val="nil"/>
              <w:left w:val="nil"/>
              <w:bottom w:val="single" w:color="auto" w:sz="4" w:space="0"/>
              <w:right w:val="single" w:color="auto" w:sz="4" w:space="0"/>
            </w:tcBorders>
            <w:vAlign w:val="bottom"/>
          </w:tcPr>
          <w:p w14:paraId="12A1192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22.766 </w:t>
            </w:r>
          </w:p>
        </w:tc>
      </w:tr>
      <w:tr w14:paraId="6BC9C132">
        <w:tblPrEx>
          <w:tblCellMar>
            <w:top w:w="0" w:type="dxa"/>
            <w:left w:w="108" w:type="dxa"/>
            <w:bottom w:w="0" w:type="dxa"/>
            <w:right w:w="108" w:type="dxa"/>
          </w:tblCellMar>
        </w:tblPrEx>
        <w:trPr>
          <w:trHeight w:val="312" w:hRule="exact"/>
          <w:jc w:val="center"/>
        </w:trPr>
        <w:tc>
          <w:tcPr>
            <w:tcW w:w="1351" w:type="pct"/>
            <w:vMerge w:val="restart"/>
            <w:tcBorders>
              <w:top w:val="nil"/>
              <w:left w:val="single" w:color="auto" w:sz="4" w:space="0"/>
              <w:bottom w:val="single" w:color="auto" w:sz="4" w:space="0"/>
              <w:right w:val="single" w:color="auto" w:sz="4" w:space="0"/>
            </w:tcBorders>
            <w:shd w:val="clear" w:color="auto" w:fill="auto"/>
            <w:noWrap/>
            <w:vAlign w:val="center"/>
          </w:tcPr>
          <w:p w14:paraId="6C8B0D9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厦门稀土材料研究所</w:t>
            </w:r>
          </w:p>
        </w:tc>
        <w:tc>
          <w:tcPr>
            <w:tcW w:w="1243" w:type="dxa"/>
            <w:tcBorders>
              <w:top w:val="nil"/>
              <w:left w:val="nil"/>
              <w:bottom w:val="single" w:color="auto" w:sz="4" w:space="0"/>
              <w:right w:val="single" w:color="auto" w:sz="4" w:space="0"/>
            </w:tcBorders>
            <w:shd w:val="clear" w:color="auto" w:fill="auto"/>
            <w:noWrap/>
            <w:vAlign w:val="center"/>
          </w:tcPr>
          <w:p w14:paraId="424B2A29">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0.298 </w:t>
            </w:r>
          </w:p>
        </w:tc>
        <w:tc>
          <w:tcPr>
            <w:tcW w:w="1243" w:type="dxa"/>
            <w:tcBorders>
              <w:top w:val="nil"/>
              <w:left w:val="nil"/>
              <w:bottom w:val="single" w:color="auto" w:sz="4" w:space="0"/>
              <w:right w:val="single" w:color="auto" w:sz="4" w:space="0"/>
            </w:tcBorders>
            <w:shd w:val="clear" w:color="auto" w:fill="auto"/>
            <w:noWrap/>
            <w:vAlign w:val="center"/>
          </w:tcPr>
          <w:p w14:paraId="0A1586C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1.789 </w:t>
            </w:r>
          </w:p>
        </w:tc>
        <w:tc>
          <w:tcPr>
            <w:tcW w:w="1243" w:type="dxa"/>
            <w:tcBorders>
              <w:top w:val="nil"/>
              <w:left w:val="nil"/>
              <w:bottom w:val="single" w:color="auto" w:sz="4" w:space="0"/>
              <w:right w:val="single" w:color="auto" w:sz="4" w:space="0"/>
            </w:tcBorders>
            <w:shd w:val="clear" w:color="auto" w:fill="auto"/>
            <w:noWrap/>
            <w:vAlign w:val="center"/>
          </w:tcPr>
          <w:p w14:paraId="54F99DCF">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8.718 </w:t>
            </w:r>
          </w:p>
        </w:tc>
        <w:tc>
          <w:tcPr>
            <w:tcW w:w="1243" w:type="dxa"/>
            <w:tcBorders>
              <w:top w:val="nil"/>
              <w:left w:val="nil"/>
              <w:bottom w:val="single" w:color="auto" w:sz="4" w:space="0"/>
              <w:right w:val="single" w:color="auto" w:sz="4" w:space="0"/>
            </w:tcBorders>
            <w:shd w:val="clear" w:color="auto" w:fill="auto"/>
            <w:noWrap/>
            <w:vAlign w:val="center"/>
          </w:tcPr>
          <w:p w14:paraId="39E4813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13.310 </w:t>
            </w:r>
          </w:p>
        </w:tc>
        <w:tc>
          <w:tcPr>
            <w:tcW w:w="1247" w:type="dxa"/>
            <w:tcBorders>
              <w:top w:val="nil"/>
              <w:left w:val="nil"/>
              <w:bottom w:val="single" w:color="auto" w:sz="4" w:space="0"/>
              <w:right w:val="single" w:color="auto" w:sz="4" w:space="0"/>
            </w:tcBorders>
            <w:vAlign w:val="center"/>
          </w:tcPr>
          <w:p w14:paraId="5053763E">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22.653 </w:t>
            </w:r>
          </w:p>
        </w:tc>
      </w:tr>
      <w:tr w14:paraId="4EB9B8BA">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0F8A7B2F">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731D6B0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0.298 </w:t>
            </w:r>
          </w:p>
        </w:tc>
        <w:tc>
          <w:tcPr>
            <w:tcW w:w="1243" w:type="dxa"/>
            <w:tcBorders>
              <w:top w:val="nil"/>
              <w:left w:val="nil"/>
              <w:bottom w:val="single" w:color="auto" w:sz="4" w:space="0"/>
              <w:right w:val="single" w:color="auto" w:sz="4" w:space="0"/>
            </w:tcBorders>
            <w:shd w:val="clear" w:color="auto" w:fill="auto"/>
            <w:noWrap/>
            <w:vAlign w:val="center"/>
          </w:tcPr>
          <w:p w14:paraId="00747EF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1.795 </w:t>
            </w:r>
          </w:p>
        </w:tc>
        <w:tc>
          <w:tcPr>
            <w:tcW w:w="1243" w:type="dxa"/>
            <w:tcBorders>
              <w:top w:val="nil"/>
              <w:left w:val="nil"/>
              <w:bottom w:val="single" w:color="auto" w:sz="4" w:space="0"/>
              <w:right w:val="single" w:color="auto" w:sz="4" w:space="0"/>
            </w:tcBorders>
            <w:shd w:val="clear" w:color="auto" w:fill="auto"/>
            <w:noWrap/>
            <w:vAlign w:val="center"/>
          </w:tcPr>
          <w:p w14:paraId="69F4EABF">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8.783 </w:t>
            </w:r>
          </w:p>
        </w:tc>
        <w:tc>
          <w:tcPr>
            <w:tcW w:w="1243" w:type="dxa"/>
            <w:tcBorders>
              <w:top w:val="nil"/>
              <w:left w:val="nil"/>
              <w:bottom w:val="single" w:color="auto" w:sz="4" w:space="0"/>
              <w:right w:val="single" w:color="auto" w:sz="4" w:space="0"/>
            </w:tcBorders>
            <w:shd w:val="clear" w:color="auto" w:fill="auto"/>
            <w:noWrap/>
            <w:vAlign w:val="center"/>
          </w:tcPr>
          <w:p w14:paraId="6A86D92B">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13.298 </w:t>
            </w:r>
          </w:p>
        </w:tc>
        <w:tc>
          <w:tcPr>
            <w:tcW w:w="1247" w:type="dxa"/>
            <w:tcBorders>
              <w:top w:val="nil"/>
              <w:left w:val="nil"/>
              <w:bottom w:val="single" w:color="auto" w:sz="4" w:space="0"/>
              <w:right w:val="single" w:color="auto" w:sz="4" w:space="0"/>
            </w:tcBorders>
            <w:vAlign w:val="center"/>
          </w:tcPr>
          <w:p w14:paraId="1A52D3F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22.642 </w:t>
            </w:r>
          </w:p>
        </w:tc>
      </w:tr>
      <w:tr w14:paraId="10BDFFBC">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6BB4722D">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3F13B700">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0.299 </w:t>
            </w:r>
          </w:p>
        </w:tc>
        <w:tc>
          <w:tcPr>
            <w:tcW w:w="1243" w:type="dxa"/>
            <w:tcBorders>
              <w:top w:val="nil"/>
              <w:left w:val="nil"/>
              <w:bottom w:val="single" w:color="auto" w:sz="4" w:space="0"/>
              <w:right w:val="single" w:color="auto" w:sz="4" w:space="0"/>
            </w:tcBorders>
            <w:shd w:val="clear" w:color="auto" w:fill="auto"/>
            <w:noWrap/>
            <w:vAlign w:val="center"/>
          </w:tcPr>
          <w:p w14:paraId="2471BA7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1.795 </w:t>
            </w:r>
          </w:p>
        </w:tc>
        <w:tc>
          <w:tcPr>
            <w:tcW w:w="1243" w:type="dxa"/>
            <w:tcBorders>
              <w:top w:val="nil"/>
              <w:left w:val="nil"/>
              <w:bottom w:val="single" w:color="auto" w:sz="4" w:space="0"/>
              <w:right w:val="single" w:color="auto" w:sz="4" w:space="0"/>
            </w:tcBorders>
            <w:shd w:val="clear" w:color="auto" w:fill="auto"/>
            <w:noWrap/>
            <w:vAlign w:val="center"/>
          </w:tcPr>
          <w:p w14:paraId="55E6898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8.734 </w:t>
            </w:r>
          </w:p>
        </w:tc>
        <w:tc>
          <w:tcPr>
            <w:tcW w:w="1243" w:type="dxa"/>
            <w:tcBorders>
              <w:top w:val="nil"/>
              <w:left w:val="nil"/>
              <w:bottom w:val="single" w:color="auto" w:sz="4" w:space="0"/>
              <w:right w:val="single" w:color="auto" w:sz="4" w:space="0"/>
            </w:tcBorders>
            <w:shd w:val="clear" w:color="auto" w:fill="auto"/>
            <w:noWrap/>
            <w:vAlign w:val="center"/>
          </w:tcPr>
          <w:p w14:paraId="323DA0EF">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13.298 </w:t>
            </w:r>
          </w:p>
        </w:tc>
        <w:tc>
          <w:tcPr>
            <w:tcW w:w="1247" w:type="dxa"/>
            <w:tcBorders>
              <w:top w:val="nil"/>
              <w:left w:val="nil"/>
              <w:bottom w:val="single" w:color="auto" w:sz="4" w:space="0"/>
              <w:right w:val="single" w:color="auto" w:sz="4" w:space="0"/>
            </w:tcBorders>
            <w:vAlign w:val="center"/>
          </w:tcPr>
          <w:p w14:paraId="4C77E82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22.664 </w:t>
            </w:r>
          </w:p>
        </w:tc>
      </w:tr>
      <w:tr w14:paraId="0378B0C7">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44CAFCFC">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648DA925">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0.301 </w:t>
            </w:r>
          </w:p>
        </w:tc>
        <w:tc>
          <w:tcPr>
            <w:tcW w:w="1243" w:type="dxa"/>
            <w:tcBorders>
              <w:top w:val="nil"/>
              <w:left w:val="nil"/>
              <w:bottom w:val="single" w:color="auto" w:sz="4" w:space="0"/>
              <w:right w:val="single" w:color="auto" w:sz="4" w:space="0"/>
            </w:tcBorders>
            <w:shd w:val="clear" w:color="auto" w:fill="auto"/>
            <w:noWrap/>
            <w:vAlign w:val="center"/>
          </w:tcPr>
          <w:p w14:paraId="2A895A6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1.795 </w:t>
            </w:r>
          </w:p>
        </w:tc>
        <w:tc>
          <w:tcPr>
            <w:tcW w:w="1243" w:type="dxa"/>
            <w:tcBorders>
              <w:top w:val="nil"/>
              <w:left w:val="nil"/>
              <w:bottom w:val="single" w:color="auto" w:sz="4" w:space="0"/>
              <w:right w:val="single" w:color="auto" w:sz="4" w:space="0"/>
            </w:tcBorders>
            <w:shd w:val="clear" w:color="auto" w:fill="auto"/>
            <w:noWrap/>
            <w:vAlign w:val="center"/>
          </w:tcPr>
          <w:p w14:paraId="5C5CBCE1">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8.724 </w:t>
            </w:r>
          </w:p>
        </w:tc>
        <w:tc>
          <w:tcPr>
            <w:tcW w:w="1243" w:type="dxa"/>
            <w:tcBorders>
              <w:top w:val="nil"/>
              <w:left w:val="nil"/>
              <w:bottom w:val="single" w:color="auto" w:sz="4" w:space="0"/>
              <w:right w:val="single" w:color="auto" w:sz="4" w:space="0"/>
            </w:tcBorders>
            <w:shd w:val="clear" w:color="auto" w:fill="auto"/>
            <w:noWrap/>
            <w:vAlign w:val="center"/>
          </w:tcPr>
          <w:p w14:paraId="7293FC4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13.298 </w:t>
            </w:r>
          </w:p>
        </w:tc>
        <w:tc>
          <w:tcPr>
            <w:tcW w:w="1247" w:type="dxa"/>
            <w:tcBorders>
              <w:top w:val="nil"/>
              <w:left w:val="nil"/>
              <w:bottom w:val="single" w:color="auto" w:sz="4" w:space="0"/>
              <w:right w:val="single" w:color="auto" w:sz="4" w:space="0"/>
            </w:tcBorders>
            <w:vAlign w:val="center"/>
          </w:tcPr>
          <w:p w14:paraId="3BE8022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22.653 </w:t>
            </w:r>
          </w:p>
        </w:tc>
      </w:tr>
      <w:tr w14:paraId="4784E0D2">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6665721B">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34F12F0F">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0.299 </w:t>
            </w:r>
          </w:p>
        </w:tc>
        <w:tc>
          <w:tcPr>
            <w:tcW w:w="1243" w:type="dxa"/>
            <w:tcBorders>
              <w:top w:val="nil"/>
              <w:left w:val="nil"/>
              <w:bottom w:val="single" w:color="auto" w:sz="4" w:space="0"/>
              <w:right w:val="single" w:color="auto" w:sz="4" w:space="0"/>
            </w:tcBorders>
            <w:shd w:val="clear" w:color="auto" w:fill="auto"/>
            <w:noWrap/>
            <w:vAlign w:val="center"/>
          </w:tcPr>
          <w:p w14:paraId="62C89A5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1.801 </w:t>
            </w:r>
          </w:p>
        </w:tc>
        <w:tc>
          <w:tcPr>
            <w:tcW w:w="1243" w:type="dxa"/>
            <w:tcBorders>
              <w:top w:val="nil"/>
              <w:left w:val="nil"/>
              <w:bottom w:val="single" w:color="auto" w:sz="4" w:space="0"/>
              <w:right w:val="single" w:color="auto" w:sz="4" w:space="0"/>
            </w:tcBorders>
            <w:shd w:val="clear" w:color="auto" w:fill="auto"/>
            <w:noWrap/>
            <w:vAlign w:val="center"/>
          </w:tcPr>
          <w:p w14:paraId="52DBD6C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8.729 </w:t>
            </w:r>
          </w:p>
        </w:tc>
        <w:tc>
          <w:tcPr>
            <w:tcW w:w="1243" w:type="dxa"/>
            <w:tcBorders>
              <w:top w:val="nil"/>
              <w:left w:val="nil"/>
              <w:bottom w:val="single" w:color="auto" w:sz="4" w:space="0"/>
              <w:right w:val="single" w:color="auto" w:sz="4" w:space="0"/>
            </w:tcBorders>
            <w:shd w:val="clear" w:color="auto" w:fill="auto"/>
            <w:noWrap/>
            <w:vAlign w:val="center"/>
          </w:tcPr>
          <w:p w14:paraId="48B7657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13.287 </w:t>
            </w:r>
          </w:p>
        </w:tc>
        <w:tc>
          <w:tcPr>
            <w:tcW w:w="1247" w:type="dxa"/>
            <w:tcBorders>
              <w:top w:val="nil"/>
              <w:left w:val="nil"/>
              <w:bottom w:val="single" w:color="auto" w:sz="4" w:space="0"/>
              <w:right w:val="single" w:color="auto" w:sz="4" w:space="0"/>
            </w:tcBorders>
            <w:vAlign w:val="center"/>
          </w:tcPr>
          <w:p w14:paraId="3D60F3A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22.642 </w:t>
            </w:r>
          </w:p>
        </w:tc>
      </w:tr>
      <w:tr w14:paraId="3F952072">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57B43D70">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512CC43F">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0.292 </w:t>
            </w:r>
          </w:p>
        </w:tc>
        <w:tc>
          <w:tcPr>
            <w:tcW w:w="1243" w:type="dxa"/>
            <w:tcBorders>
              <w:top w:val="nil"/>
              <w:left w:val="nil"/>
              <w:bottom w:val="single" w:color="auto" w:sz="4" w:space="0"/>
              <w:right w:val="single" w:color="auto" w:sz="4" w:space="0"/>
            </w:tcBorders>
            <w:shd w:val="clear" w:color="auto" w:fill="auto"/>
            <w:noWrap/>
            <w:vAlign w:val="center"/>
          </w:tcPr>
          <w:p w14:paraId="4EF6083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1.784 </w:t>
            </w:r>
          </w:p>
        </w:tc>
        <w:tc>
          <w:tcPr>
            <w:tcW w:w="1243" w:type="dxa"/>
            <w:tcBorders>
              <w:top w:val="nil"/>
              <w:left w:val="nil"/>
              <w:bottom w:val="single" w:color="auto" w:sz="4" w:space="0"/>
              <w:right w:val="single" w:color="auto" w:sz="4" w:space="0"/>
            </w:tcBorders>
            <w:shd w:val="clear" w:color="auto" w:fill="auto"/>
            <w:noWrap/>
            <w:vAlign w:val="center"/>
          </w:tcPr>
          <w:p w14:paraId="0675D86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8.724 </w:t>
            </w:r>
          </w:p>
        </w:tc>
        <w:tc>
          <w:tcPr>
            <w:tcW w:w="1243" w:type="dxa"/>
            <w:tcBorders>
              <w:top w:val="nil"/>
              <w:left w:val="nil"/>
              <w:bottom w:val="single" w:color="auto" w:sz="4" w:space="0"/>
              <w:right w:val="single" w:color="auto" w:sz="4" w:space="0"/>
            </w:tcBorders>
            <w:shd w:val="clear" w:color="auto" w:fill="auto"/>
            <w:noWrap/>
            <w:vAlign w:val="center"/>
          </w:tcPr>
          <w:p w14:paraId="53620A5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13.344 </w:t>
            </w:r>
          </w:p>
        </w:tc>
        <w:tc>
          <w:tcPr>
            <w:tcW w:w="1247" w:type="dxa"/>
            <w:tcBorders>
              <w:top w:val="nil"/>
              <w:left w:val="nil"/>
              <w:bottom w:val="single" w:color="auto" w:sz="4" w:space="0"/>
              <w:right w:val="single" w:color="auto" w:sz="4" w:space="0"/>
            </w:tcBorders>
            <w:vAlign w:val="center"/>
          </w:tcPr>
          <w:p w14:paraId="013AE85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22.563 </w:t>
            </w:r>
          </w:p>
        </w:tc>
      </w:tr>
      <w:tr w14:paraId="7131349F">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5D86B2F0">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0F27075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0.294 </w:t>
            </w:r>
          </w:p>
        </w:tc>
        <w:tc>
          <w:tcPr>
            <w:tcW w:w="1243" w:type="dxa"/>
            <w:tcBorders>
              <w:top w:val="nil"/>
              <w:left w:val="nil"/>
              <w:bottom w:val="single" w:color="auto" w:sz="4" w:space="0"/>
              <w:right w:val="single" w:color="auto" w:sz="4" w:space="0"/>
            </w:tcBorders>
            <w:shd w:val="clear" w:color="auto" w:fill="auto"/>
            <w:noWrap/>
            <w:vAlign w:val="center"/>
          </w:tcPr>
          <w:p w14:paraId="4FC00779">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1.784 </w:t>
            </w:r>
          </w:p>
        </w:tc>
        <w:tc>
          <w:tcPr>
            <w:tcW w:w="1243" w:type="dxa"/>
            <w:tcBorders>
              <w:top w:val="nil"/>
              <w:left w:val="nil"/>
              <w:bottom w:val="single" w:color="auto" w:sz="4" w:space="0"/>
              <w:right w:val="single" w:color="auto" w:sz="4" w:space="0"/>
            </w:tcBorders>
            <w:shd w:val="clear" w:color="auto" w:fill="auto"/>
            <w:noWrap/>
            <w:vAlign w:val="center"/>
          </w:tcPr>
          <w:p w14:paraId="636E7F4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8.686 </w:t>
            </w:r>
          </w:p>
        </w:tc>
        <w:tc>
          <w:tcPr>
            <w:tcW w:w="1243" w:type="dxa"/>
            <w:tcBorders>
              <w:top w:val="nil"/>
              <w:left w:val="nil"/>
              <w:bottom w:val="single" w:color="auto" w:sz="4" w:space="0"/>
              <w:right w:val="single" w:color="auto" w:sz="4" w:space="0"/>
            </w:tcBorders>
            <w:shd w:val="clear" w:color="auto" w:fill="auto"/>
            <w:noWrap/>
            <w:vAlign w:val="center"/>
          </w:tcPr>
          <w:p w14:paraId="68D4C2B9">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13.344 </w:t>
            </w:r>
          </w:p>
        </w:tc>
        <w:tc>
          <w:tcPr>
            <w:tcW w:w="1247" w:type="dxa"/>
            <w:tcBorders>
              <w:top w:val="nil"/>
              <w:left w:val="nil"/>
              <w:bottom w:val="single" w:color="auto" w:sz="4" w:space="0"/>
              <w:right w:val="single" w:color="auto" w:sz="4" w:space="0"/>
            </w:tcBorders>
            <w:vAlign w:val="center"/>
          </w:tcPr>
          <w:p w14:paraId="2EED9E05">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22.551 </w:t>
            </w:r>
          </w:p>
        </w:tc>
      </w:tr>
      <w:tr w14:paraId="7E1802F8">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7B3401F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0749C4FB">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0.292 </w:t>
            </w:r>
          </w:p>
        </w:tc>
        <w:tc>
          <w:tcPr>
            <w:tcW w:w="1243" w:type="dxa"/>
            <w:tcBorders>
              <w:top w:val="nil"/>
              <w:left w:val="nil"/>
              <w:bottom w:val="single" w:color="auto" w:sz="4" w:space="0"/>
              <w:right w:val="single" w:color="auto" w:sz="4" w:space="0"/>
            </w:tcBorders>
            <w:shd w:val="clear" w:color="auto" w:fill="auto"/>
            <w:noWrap/>
            <w:vAlign w:val="center"/>
          </w:tcPr>
          <w:p w14:paraId="67DA93B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1.784 </w:t>
            </w:r>
          </w:p>
        </w:tc>
        <w:tc>
          <w:tcPr>
            <w:tcW w:w="1243" w:type="dxa"/>
            <w:tcBorders>
              <w:top w:val="nil"/>
              <w:left w:val="nil"/>
              <w:bottom w:val="single" w:color="auto" w:sz="4" w:space="0"/>
              <w:right w:val="single" w:color="auto" w:sz="4" w:space="0"/>
            </w:tcBorders>
            <w:shd w:val="clear" w:color="auto" w:fill="auto"/>
            <w:noWrap/>
            <w:vAlign w:val="center"/>
          </w:tcPr>
          <w:p w14:paraId="19A57600">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8.734 </w:t>
            </w:r>
          </w:p>
        </w:tc>
        <w:tc>
          <w:tcPr>
            <w:tcW w:w="1243" w:type="dxa"/>
            <w:tcBorders>
              <w:top w:val="nil"/>
              <w:left w:val="nil"/>
              <w:bottom w:val="single" w:color="auto" w:sz="4" w:space="0"/>
              <w:right w:val="single" w:color="auto" w:sz="4" w:space="0"/>
            </w:tcBorders>
            <w:shd w:val="clear" w:color="auto" w:fill="auto"/>
            <w:noWrap/>
            <w:vAlign w:val="center"/>
          </w:tcPr>
          <w:p w14:paraId="7E4B63B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13.344 </w:t>
            </w:r>
          </w:p>
        </w:tc>
        <w:tc>
          <w:tcPr>
            <w:tcW w:w="1247" w:type="dxa"/>
            <w:tcBorders>
              <w:top w:val="nil"/>
              <w:left w:val="nil"/>
              <w:bottom w:val="single" w:color="auto" w:sz="4" w:space="0"/>
              <w:right w:val="single" w:color="auto" w:sz="4" w:space="0"/>
            </w:tcBorders>
            <w:vAlign w:val="center"/>
          </w:tcPr>
          <w:p w14:paraId="6C690E2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22.619 </w:t>
            </w:r>
          </w:p>
        </w:tc>
      </w:tr>
      <w:tr w14:paraId="7AFA35A5">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7A5E56D6">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7281DCC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0.294 </w:t>
            </w:r>
          </w:p>
        </w:tc>
        <w:tc>
          <w:tcPr>
            <w:tcW w:w="1243" w:type="dxa"/>
            <w:tcBorders>
              <w:top w:val="nil"/>
              <w:left w:val="nil"/>
              <w:bottom w:val="single" w:color="auto" w:sz="4" w:space="0"/>
              <w:right w:val="single" w:color="auto" w:sz="4" w:space="0"/>
            </w:tcBorders>
            <w:shd w:val="clear" w:color="auto" w:fill="auto"/>
            <w:noWrap/>
            <w:vAlign w:val="center"/>
          </w:tcPr>
          <w:p w14:paraId="62D5EF39">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1.784 </w:t>
            </w:r>
          </w:p>
        </w:tc>
        <w:tc>
          <w:tcPr>
            <w:tcW w:w="1243" w:type="dxa"/>
            <w:tcBorders>
              <w:top w:val="nil"/>
              <w:left w:val="nil"/>
              <w:bottom w:val="single" w:color="auto" w:sz="4" w:space="0"/>
              <w:right w:val="single" w:color="auto" w:sz="4" w:space="0"/>
            </w:tcBorders>
            <w:shd w:val="clear" w:color="auto" w:fill="auto"/>
            <w:noWrap/>
            <w:vAlign w:val="center"/>
          </w:tcPr>
          <w:p w14:paraId="0DDA970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8.718 </w:t>
            </w:r>
          </w:p>
        </w:tc>
        <w:tc>
          <w:tcPr>
            <w:tcW w:w="1243" w:type="dxa"/>
            <w:tcBorders>
              <w:top w:val="nil"/>
              <w:left w:val="nil"/>
              <w:bottom w:val="single" w:color="auto" w:sz="4" w:space="0"/>
              <w:right w:val="single" w:color="auto" w:sz="4" w:space="0"/>
            </w:tcBorders>
            <w:shd w:val="clear" w:color="auto" w:fill="auto"/>
            <w:noWrap/>
            <w:vAlign w:val="center"/>
          </w:tcPr>
          <w:p w14:paraId="2134B6B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13.344 </w:t>
            </w:r>
          </w:p>
        </w:tc>
        <w:tc>
          <w:tcPr>
            <w:tcW w:w="1247" w:type="dxa"/>
            <w:tcBorders>
              <w:top w:val="nil"/>
              <w:left w:val="nil"/>
              <w:bottom w:val="single" w:color="auto" w:sz="4" w:space="0"/>
              <w:right w:val="single" w:color="auto" w:sz="4" w:space="0"/>
            </w:tcBorders>
            <w:vAlign w:val="center"/>
          </w:tcPr>
          <w:p w14:paraId="79BCEE65">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22.608 </w:t>
            </w:r>
          </w:p>
        </w:tc>
      </w:tr>
      <w:tr w14:paraId="702AE7BE">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005611B6">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73B70E6F">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0.294 </w:t>
            </w:r>
          </w:p>
        </w:tc>
        <w:tc>
          <w:tcPr>
            <w:tcW w:w="1243" w:type="dxa"/>
            <w:tcBorders>
              <w:top w:val="nil"/>
              <w:left w:val="nil"/>
              <w:bottom w:val="single" w:color="auto" w:sz="4" w:space="0"/>
              <w:right w:val="single" w:color="auto" w:sz="4" w:space="0"/>
            </w:tcBorders>
            <w:shd w:val="clear" w:color="auto" w:fill="auto"/>
            <w:noWrap/>
            <w:vAlign w:val="center"/>
          </w:tcPr>
          <w:p w14:paraId="3E4E65A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1.801 </w:t>
            </w:r>
          </w:p>
        </w:tc>
        <w:tc>
          <w:tcPr>
            <w:tcW w:w="1243" w:type="dxa"/>
            <w:tcBorders>
              <w:top w:val="nil"/>
              <w:left w:val="nil"/>
              <w:bottom w:val="single" w:color="auto" w:sz="4" w:space="0"/>
              <w:right w:val="single" w:color="auto" w:sz="4" w:space="0"/>
            </w:tcBorders>
            <w:shd w:val="clear" w:color="auto" w:fill="auto"/>
            <w:noWrap/>
            <w:vAlign w:val="center"/>
          </w:tcPr>
          <w:p w14:paraId="1A901CD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8.729 </w:t>
            </w:r>
          </w:p>
        </w:tc>
        <w:tc>
          <w:tcPr>
            <w:tcW w:w="1243" w:type="dxa"/>
            <w:tcBorders>
              <w:top w:val="nil"/>
              <w:left w:val="nil"/>
              <w:bottom w:val="single" w:color="auto" w:sz="4" w:space="0"/>
              <w:right w:val="single" w:color="auto" w:sz="4" w:space="0"/>
            </w:tcBorders>
            <w:shd w:val="clear" w:color="auto" w:fill="auto"/>
            <w:noWrap/>
            <w:vAlign w:val="center"/>
          </w:tcPr>
          <w:p w14:paraId="6F20E215">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13.344 </w:t>
            </w:r>
          </w:p>
        </w:tc>
        <w:tc>
          <w:tcPr>
            <w:tcW w:w="1247" w:type="dxa"/>
            <w:tcBorders>
              <w:top w:val="nil"/>
              <w:left w:val="nil"/>
              <w:bottom w:val="single" w:color="auto" w:sz="4" w:space="0"/>
              <w:right w:val="single" w:color="auto" w:sz="4" w:space="0"/>
            </w:tcBorders>
            <w:vAlign w:val="center"/>
          </w:tcPr>
          <w:p w14:paraId="60372FD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22.619 </w:t>
            </w:r>
          </w:p>
        </w:tc>
      </w:tr>
      <w:tr w14:paraId="2B67837B">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2B80B68E">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center"/>
          </w:tcPr>
          <w:p w14:paraId="5DE910DE">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0.296 </w:t>
            </w:r>
          </w:p>
        </w:tc>
        <w:tc>
          <w:tcPr>
            <w:tcW w:w="1243" w:type="dxa"/>
            <w:tcBorders>
              <w:top w:val="nil"/>
              <w:left w:val="nil"/>
              <w:bottom w:val="single" w:color="auto" w:sz="4" w:space="0"/>
              <w:right w:val="single" w:color="auto" w:sz="4" w:space="0"/>
            </w:tcBorders>
            <w:shd w:val="clear" w:color="auto" w:fill="auto"/>
            <w:noWrap/>
            <w:vAlign w:val="center"/>
          </w:tcPr>
          <w:p w14:paraId="55A2201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1.801 </w:t>
            </w:r>
          </w:p>
        </w:tc>
        <w:tc>
          <w:tcPr>
            <w:tcW w:w="1243" w:type="dxa"/>
            <w:tcBorders>
              <w:top w:val="nil"/>
              <w:left w:val="nil"/>
              <w:bottom w:val="single" w:color="auto" w:sz="4" w:space="0"/>
              <w:right w:val="single" w:color="auto" w:sz="4" w:space="0"/>
            </w:tcBorders>
            <w:shd w:val="clear" w:color="auto" w:fill="auto"/>
            <w:noWrap/>
            <w:vAlign w:val="center"/>
          </w:tcPr>
          <w:p w14:paraId="54BB701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8.734 </w:t>
            </w:r>
          </w:p>
        </w:tc>
        <w:tc>
          <w:tcPr>
            <w:tcW w:w="1243" w:type="dxa"/>
            <w:tcBorders>
              <w:top w:val="nil"/>
              <w:left w:val="nil"/>
              <w:bottom w:val="single" w:color="auto" w:sz="4" w:space="0"/>
              <w:right w:val="single" w:color="auto" w:sz="4" w:space="0"/>
            </w:tcBorders>
            <w:shd w:val="clear" w:color="auto" w:fill="auto"/>
            <w:noWrap/>
            <w:vAlign w:val="center"/>
          </w:tcPr>
          <w:p w14:paraId="5947D5A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13.275 </w:t>
            </w:r>
          </w:p>
        </w:tc>
        <w:tc>
          <w:tcPr>
            <w:tcW w:w="1247" w:type="dxa"/>
            <w:tcBorders>
              <w:top w:val="nil"/>
              <w:left w:val="nil"/>
              <w:bottom w:val="single" w:color="auto" w:sz="4" w:space="0"/>
              <w:right w:val="single" w:color="auto" w:sz="4" w:space="0"/>
            </w:tcBorders>
            <w:vAlign w:val="center"/>
          </w:tcPr>
          <w:p w14:paraId="79366A0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22.619 </w:t>
            </w:r>
          </w:p>
        </w:tc>
      </w:tr>
      <w:tr w14:paraId="0003C034">
        <w:tblPrEx>
          <w:tblCellMar>
            <w:top w:w="0" w:type="dxa"/>
            <w:left w:w="108" w:type="dxa"/>
            <w:bottom w:w="0" w:type="dxa"/>
            <w:right w:w="108" w:type="dxa"/>
          </w:tblCellMar>
        </w:tblPrEx>
        <w:trPr>
          <w:trHeight w:val="312" w:hRule="exact"/>
          <w:jc w:val="center"/>
        </w:trPr>
        <w:tc>
          <w:tcPr>
            <w:tcW w:w="1351" w:type="pct"/>
            <w:vMerge w:val="restart"/>
            <w:tcBorders>
              <w:top w:val="nil"/>
              <w:left w:val="single" w:color="auto" w:sz="4" w:space="0"/>
              <w:bottom w:val="single" w:color="auto" w:sz="4" w:space="0"/>
              <w:right w:val="single" w:color="auto" w:sz="4" w:space="0"/>
            </w:tcBorders>
            <w:shd w:val="clear" w:color="auto" w:fill="auto"/>
            <w:noWrap/>
            <w:vAlign w:val="center"/>
          </w:tcPr>
          <w:p w14:paraId="6E6FFF1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包头稀土新材料技术研发中心</w:t>
            </w:r>
          </w:p>
        </w:tc>
        <w:tc>
          <w:tcPr>
            <w:tcW w:w="1243" w:type="dxa"/>
            <w:tcBorders>
              <w:top w:val="nil"/>
              <w:left w:val="nil"/>
              <w:bottom w:val="single" w:color="auto" w:sz="4" w:space="0"/>
              <w:right w:val="single" w:color="auto" w:sz="4" w:space="0"/>
            </w:tcBorders>
            <w:shd w:val="clear" w:color="auto" w:fill="auto"/>
            <w:noWrap/>
            <w:vAlign w:val="bottom"/>
          </w:tcPr>
          <w:p w14:paraId="78AFA4C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0.302 </w:t>
            </w:r>
          </w:p>
        </w:tc>
        <w:tc>
          <w:tcPr>
            <w:tcW w:w="1243" w:type="dxa"/>
            <w:tcBorders>
              <w:top w:val="nil"/>
              <w:left w:val="nil"/>
              <w:bottom w:val="single" w:color="auto" w:sz="4" w:space="0"/>
              <w:right w:val="single" w:color="auto" w:sz="4" w:space="0"/>
            </w:tcBorders>
            <w:shd w:val="clear" w:color="auto" w:fill="auto"/>
            <w:noWrap/>
            <w:vAlign w:val="bottom"/>
          </w:tcPr>
          <w:p w14:paraId="40B21F6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1.894 </w:t>
            </w:r>
          </w:p>
        </w:tc>
        <w:tc>
          <w:tcPr>
            <w:tcW w:w="1243" w:type="dxa"/>
            <w:tcBorders>
              <w:top w:val="nil"/>
              <w:left w:val="nil"/>
              <w:bottom w:val="single" w:color="auto" w:sz="4" w:space="0"/>
              <w:right w:val="single" w:color="auto" w:sz="4" w:space="0"/>
            </w:tcBorders>
            <w:shd w:val="clear" w:color="auto" w:fill="auto"/>
            <w:noWrap/>
            <w:vAlign w:val="bottom"/>
          </w:tcPr>
          <w:p w14:paraId="6771FAA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8.865 </w:t>
            </w:r>
          </w:p>
        </w:tc>
        <w:tc>
          <w:tcPr>
            <w:tcW w:w="1243" w:type="dxa"/>
            <w:tcBorders>
              <w:top w:val="nil"/>
              <w:left w:val="nil"/>
              <w:bottom w:val="single" w:color="auto" w:sz="4" w:space="0"/>
              <w:right w:val="single" w:color="auto" w:sz="4" w:space="0"/>
            </w:tcBorders>
            <w:shd w:val="clear" w:color="auto" w:fill="auto"/>
            <w:noWrap/>
            <w:vAlign w:val="bottom"/>
          </w:tcPr>
          <w:p w14:paraId="46DFEC4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13.385 </w:t>
            </w:r>
          </w:p>
        </w:tc>
        <w:tc>
          <w:tcPr>
            <w:tcW w:w="1247" w:type="dxa"/>
            <w:tcBorders>
              <w:top w:val="nil"/>
              <w:left w:val="nil"/>
              <w:bottom w:val="single" w:color="auto" w:sz="4" w:space="0"/>
              <w:right w:val="single" w:color="auto" w:sz="4" w:space="0"/>
            </w:tcBorders>
            <w:vAlign w:val="bottom"/>
          </w:tcPr>
          <w:p w14:paraId="0891912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22.841 </w:t>
            </w:r>
          </w:p>
        </w:tc>
      </w:tr>
      <w:tr w14:paraId="264412FC">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411C113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20C78FE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0.284 </w:t>
            </w:r>
          </w:p>
        </w:tc>
        <w:tc>
          <w:tcPr>
            <w:tcW w:w="1243" w:type="dxa"/>
            <w:tcBorders>
              <w:top w:val="nil"/>
              <w:left w:val="nil"/>
              <w:bottom w:val="single" w:color="auto" w:sz="4" w:space="0"/>
              <w:right w:val="single" w:color="auto" w:sz="4" w:space="0"/>
            </w:tcBorders>
            <w:shd w:val="clear" w:color="auto" w:fill="auto"/>
            <w:noWrap/>
            <w:vAlign w:val="bottom"/>
          </w:tcPr>
          <w:p w14:paraId="05B0618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1.845 </w:t>
            </w:r>
          </w:p>
        </w:tc>
        <w:tc>
          <w:tcPr>
            <w:tcW w:w="1243" w:type="dxa"/>
            <w:tcBorders>
              <w:top w:val="nil"/>
              <w:left w:val="nil"/>
              <w:bottom w:val="single" w:color="auto" w:sz="4" w:space="0"/>
              <w:right w:val="single" w:color="auto" w:sz="4" w:space="0"/>
            </w:tcBorders>
            <w:shd w:val="clear" w:color="auto" w:fill="auto"/>
            <w:noWrap/>
            <w:vAlign w:val="bottom"/>
          </w:tcPr>
          <w:p w14:paraId="19694E6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8.711 </w:t>
            </w:r>
          </w:p>
        </w:tc>
        <w:tc>
          <w:tcPr>
            <w:tcW w:w="1243" w:type="dxa"/>
            <w:tcBorders>
              <w:top w:val="nil"/>
              <w:left w:val="nil"/>
              <w:bottom w:val="single" w:color="auto" w:sz="4" w:space="0"/>
              <w:right w:val="single" w:color="auto" w:sz="4" w:space="0"/>
            </w:tcBorders>
            <w:shd w:val="clear" w:color="auto" w:fill="auto"/>
            <w:noWrap/>
            <w:vAlign w:val="bottom"/>
          </w:tcPr>
          <w:p w14:paraId="1E199FA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13.389 </w:t>
            </w:r>
          </w:p>
        </w:tc>
        <w:tc>
          <w:tcPr>
            <w:tcW w:w="1247" w:type="dxa"/>
            <w:tcBorders>
              <w:top w:val="nil"/>
              <w:left w:val="nil"/>
              <w:bottom w:val="single" w:color="auto" w:sz="4" w:space="0"/>
              <w:right w:val="single" w:color="auto" w:sz="4" w:space="0"/>
            </w:tcBorders>
            <w:vAlign w:val="bottom"/>
          </w:tcPr>
          <w:p w14:paraId="7AB29DB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22.799 </w:t>
            </w:r>
          </w:p>
        </w:tc>
      </w:tr>
      <w:tr w14:paraId="24C47025">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6C8648B8">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6C85CF2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0.303 </w:t>
            </w:r>
          </w:p>
        </w:tc>
        <w:tc>
          <w:tcPr>
            <w:tcW w:w="1243" w:type="dxa"/>
            <w:tcBorders>
              <w:top w:val="nil"/>
              <w:left w:val="nil"/>
              <w:bottom w:val="single" w:color="auto" w:sz="4" w:space="0"/>
              <w:right w:val="single" w:color="auto" w:sz="4" w:space="0"/>
            </w:tcBorders>
            <w:shd w:val="clear" w:color="auto" w:fill="auto"/>
            <w:noWrap/>
            <w:vAlign w:val="bottom"/>
          </w:tcPr>
          <w:p w14:paraId="3254975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1.746 </w:t>
            </w:r>
          </w:p>
        </w:tc>
        <w:tc>
          <w:tcPr>
            <w:tcW w:w="1243" w:type="dxa"/>
            <w:tcBorders>
              <w:top w:val="nil"/>
              <w:left w:val="nil"/>
              <w:bottom w:val="single" w:color="auto" w:sz="4" w:space="0"/>
              <w:right w:val="single" w:color="auto" w:sz="4" w:space="0"/>
            </w:tcBorders>
            <w:shd w:val="clear" w:color="auto" w:fill="auto"/>
            <w:noWrap/>
            <w:vAlign w:val="bottom"/>
          </w:tcPr>
          <w:p w14:paraId="72BFFCE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8.692 </w:t>
            </w:r>
          </w:p>
        </w:tc>
        <w:tc>
          <w:tcPr>
            <w:tcW w:w="1243" w:type="dxa"/>
            <w:tcBorders>
              <w:top w:val="nil"/>
              <w:left w:val="nil"/>
              <w:bottom w:val="single" w:color="auto" w:sz="4" w:space="0"/>
              <w:right w:val="single" w:color="auto" w:sz="4" w:space="0"/>
            </w:tcBorders>
            <w:shd w:val="clear" w:color="auto" w:fill="auto"/>
            <w:noWrap/>
            <w:vAlign w:val="bottom"/>
          </w:tcPr>
          <w:p w14:paraId="6B5C522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13.391 </w:t>
            </w:r>
          </w:p>
        </w:tc>
        <w:tc>
          <w:tcPr>
            <w:tcW w:w="1247" w:type="dxa"/>
            <w:tcBorders>
              <w:top w:val="nil"/>
              <w:left w:val="nil"/>
              <w:bottom w:val="single" w:color="auto" w:sz="4" w:space="0"/>
              <w:right w:val="single" w:color="auto" w:sz="4" w:space="0"/>
            </w:tcBorders>
            <w:vAlign w:val="bottom"/>
          </w:tcPr>
          <w:p w14:paraId="5F7A3BD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22.824 </w:t>
            </w:r>
          </w:p>
        </w:tc>
      </w:tr>
      <w:tr w14:paraId="29A8BFA3">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38A3AB87">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030FD05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0.313 </w:t>
            </w:r>
          </w:p>
        </w:tc>
        <w:tc>
          <w:tcPr>
            <w:tcW w:w="1243" w:type="dxa"/>
            <w:tcBorders>
              <w:top w:val="nil"/>
              <w:left w:val="nil"/>
              <w:bottom w:val="single" w:color="auto" w:sz="4" w:space="0"/>
              <w:right w:val="single" w:color="auto" w:sz="4" w:space="0"/>
            </w:tcBorders>
            <w:shd w:val="clear" w:color="auto" w:fill="auto"/>
            <w:noWrap/>
            <w:vAlign w:val="bottom"/>
          </w:tcPr>
          <w:p w14:paraId="76C4CA8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1.794 </w:t>
            </w:r>
          </w:p>
        </w:tc>
        <w:tc>
          <w:tcPr>
            <w:tcW w:w="1243" w:type="dxa"/>
            <w:tcBorders>
              <w:top w:val="nil"/>
              <w:left w:val="nil"/>
              <w:bottom w:val="single" w:color="auto" w:sz="4" w:space="0"/>
              <w:right w:val="single" w:color="auto" w:sz="4" w:space="0"/>
            </w:tcBorders>
            <w:shd w:val="clear" w:color="auto" w:fill="auto"/>
            <w:noWrap/>
            <w:vAlign w:val="bottom"/>
          </w:tcPr>
          <w:p w14:paraId="5617452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8.690 </w:t>
            </w:r>
          </w:p>
        </w:tc>
        <w:tc>
          <w:tcPr>
            <w:tcW w:w="1243" w:type="dxa"/>
            <w:tcBorders>
              <w:top w:val="nil"/>
              <w:left w:val="nil"/>
              <w:bottom w:val="single" w:color="auto" w:sz="4" w:space="0"/>
              <w:right w:val="single" w:color="auto" w:sz="4" w:space="0"/>
            </w:tcBorders>
            <w:shd w:val="clear" w:color="auto" w:fill="auto"/>
            <w:noWrap/>
            <w:vAlign w:val="bottom"/>
          </w:tcPr>
          <w:p w14:paraId="3329DDF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13.391 </w:t>
            </w:r>
          </w:p>
        </w:tc>
        <w:tc>
          <w:tcPr>
            <w:tcW w:w="1247" w:type="dxa"/>
            <w:tcBorders>
              <w:top w:val="nil"/>
              <w:left w:val="nil"/>
              <w:bottom w:val="single" w:color="auto" w:sz="4" w:space="0"/>
              <w:right w:val="single" w:color="auto" w:sz="4" w:space="0"/>
            </w:tcBorders>
            <w:vAlign w:val="bottom"/>
          </w:tcPr>
          <w:p w14:paraId="760DCAA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22.723 </w:t>
            </w:r>
          </w:p>
        </w:tc>
      </w:tr>
      <w:tr w14:paraId="701FA2E9">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6B286CB5">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51B354C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0.298 </w:t>
            </w:r>
          </w:p>
        </w:tc>
        <w:tc>
          <w:tcPr>
            <w:tcW w:w="1243" w:type="dxa"/>
            <w:tcBorders>
              <w:top w:val="nil"/>
              <w:left w:val="nil"/>
              <w:bottom w:val="single" w:color="auto" w:sz="4" w:space="0"/>
              <w:right w:val="single" w:color="auto" w:sz="4" w:space="0"/>
            </w:tcBorders>
            <w:shd w:val="clear" w:color="auto" w:fill="auto"/>
            <w:noWrap/>
            <w:vAlign w:val="bottom"/>
          </w:tcPr>
          <w:p w14:paraId="7544A9F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1.793 </w:t>
            </w:r>
          </w:p>
        </w:tc>
        <w:tc>
          <w:tcPr>
            <w:tcW w:w="1243" w:type="dxa"/>
            <w:tcBorders>
              <w:top w:val="nil"/>
              <w:left w:val="nil"/>
              <w:bottom w:val="single" w:color="auto" w:sz="4" w:space="0"/>
              <w:right w:val="single" w:color="auto" w:sz="4" w:space="0"/>
            </w:tcBorders>
            <w:shd w:val="clear" w:color="auto" w:fill="auto"/>
            <w:noWrap/>
            <w:vAlign w:val="bottom"/>
          </w:tcPr>
          <w:p w14:paraId="71842AA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8.692 </w:t>
            </w:r>
          </w:p>
        </w:tc>
        <w:tc>
          <w:tcPr>
            <w:tcW w:w="1243" w:type="dxa"/>
            <w:tcBorders>
              <w:top w:val="nil"/>
              <w:left w:val="nil"/>
              <w:bottom w:val="single" w:color="auto" w:sz="4" w:space="0"/>
              <w:right w:val="single" w:color="auto" w:sz="4" w:space="0"/>
            </w:tcBorders>
            <w:shd w:val="clear" w:color="auto" w:fill="auto"/>
            <w:noWrap/>
            <w:vAlign w:val="bottom"/>
          </w:tcPr>
          <w:p w14:paraId="18E58DD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13.396 </w:t>
            </w:r>
          </w:p>
        </w:tc>
        <w:tc>
          <w:tcPr>
            <w:tcW w:w="1247" w:type="dxa"/>
            <w:tcBorders>
              <w:top w:val="nil"/>
              <w:left w:val="nil"/>
              <w:bottom w:val="single" w:color="auto" w:sz="4" w:space="0"/>
              <w:right w:val="single" w:color="auto" w:sz="4" w:space="0"/>
            </w:tcBorders>
            <w:vAlign w:val="bottom"/>
          </w:tcPr>
          <w:p w14:paraId="3A6BF80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22.642 </w:t>
            </w:r>
          </w:p>
        </w:tc>
      </w:tr>
      <w:tr w14:paraId="4187D974">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63487439">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17E7E58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0.298 </w:t>
            </w:r>
          </w:p>
        </w:tc>
        <w:tc>
          <w:tcPr>
            <w:tcW w:w="1243" w:type="dxa"/>
            <w:tcBorders>
              <w:top w:val="nil"/>
              <w:left w:val="nil"/>
              <w:bottom w:val="single" w:color="auto" w:sz="4" w:space="0"/>
              <w:right w:val="single" w:color="auto" w:sz="4" w:space="0"/>
            </w:tcBorders>
            <w:shd w:val="clear" w:color="auto" w:fill="auto"/>
            <w:noWrap/>
            <w:vAlign w:val="bottom"/>
          </w:tcPr>
          <w:p w14:paraId="71AEC3A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1.792 </w:t>
            </w:r>
          </w:p>
        </w:tc>
        <w:tc>
          <w:tcPr>
            <w:tcW w:w="1243" w:type="dxa"/>
            <w:tcBorders>
              <w:top w:val="nil"/>
              <w:left w:val="nil"/>
              <w:bottom w:val="single" w:color="auto" w:sz="4" w:space="0"/>
              <w:right w:val="single" w:color="auto" w:sz="4" w:space="0"/>
            </w:tcBorders>
            <w:shd w:val="clear" w:color="auto" w:fill="auto"/>
            <w:noWrap/>
            <w:vAlign w:val="bottom"/>
          </w:tcPr>
          <w:p w14:paraId="784C020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8.690 </w:t>
            </w:r>
          </w:p>
        </w:tc>
        <w:tc>
          <w:tcPr>
            <w:tcW w:w="1243" w:type="dxa"/>
            <w:tcBorders>
              <w:top w:val="nil"/>
              <w:left w:val="nil"/>
              <w:bottom w:val="single" w:color="auto" w:sz="4" w:space="0"/>
              <w:right w:val="single" w:color="auto" w:sz="4" w:space="0"/>
            </w:tcBorders>
            <w:shd w:val="clear" w:color="auto" w:fill="auto"/>
            <w:noWrap/>
            <w:vAlign w:val="bottom"/>
          </w:tcPr>
          <w:p w14:paraId="16F5707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13.389 </w:t>
            </w:r>
          </w:p>
        </w:tc>
        <w:tc>
          <w:tcPr>
            <w:tcW w:w="1247" w:type="dxa"/>
            <w:tcBorders>
              <w:top w:val="nil"/>
              <w:left w:val="nil"/>
              <w:bottom w:val="single" w:color="auto" w:sz="4" w:space="0"/>
              <w:right w:val="single" w:color="auto" w:sz="4" w:space="0"/>
            </w:tcBorders>
            <w:vAlign w:val="bottom"/>
          </w:tcPr>
          <w:p w14:paraId="2784AC3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22.821 </w:t>
            </w:r>
          </w:p>
        </w:tc>
      </w:tr>
      <w:tr w14:paraId="2C975469">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3D2AC86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1B34800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0.285 </w:t>
            </w:r>
          </w:p>
        </w:tc>
        <w:tc>
          <w:tcPr>
            <w:tcW w:w="1243" w:type="dxa"/>
            <w:tcBorders>
              <w:top w:val="nil"/>
              <w:left w:val="nil"/>
              <w:bottom w:val="single" w:color="auto" w:sz="4" w:space="0"/>
              <w:right w:val="single" w:color="auto" w:sz="4" w:space="0"/>
            </w:tcBorders>
            <w:shd w:val="clear" w:color="auto" w:fill="auto"/>
            <w:noWrap/>
            <w:vAlign w:val="bottom"/>
          </w:tcPr>
          <w:p w14:paraId="79193CD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1.792 </w:t>
            </w:r>
          </w:p>
        </w:tc>
        <w:tc>
          <w:tcPr>
            <w:tcW w:w="1243" w:type="dxa"/>
            <w:tcBorders>
              <w:top w:val="nil"/>
              <w:left w:val="nil"/>
              <w:bottom w:val="single" w:color="auto" w:sz="4" w:space="0"/>
              <w:right w:val="single" w:color="auto" w:sz="4" w:space="0"/>
            </w:tcBorders>
            <w:shd w:val="clear" w:color="auto" w:fill="auto"/>
            <w:noWrap/>
            <w:vAlign w:val="bottom"/>
          </w:tcPr>
          <w:p w14:paraId="000EE71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8.845 </w:t>
            </w:r>
          </w:p>
        </w:tc>
        <w:tc>
          <w:tcPr>
            <w:tcW w:w="1243" w:type="dxa"/>
            <w:tcBorders>
              <w:top w:val="nil"/>
              <w:left w:val="nil"/>
              <w:bottom w:val="single" w:color="auto" w:sz="4" w:space="0"/>
              <w:right w:val="single" w:color="auto" w:sz="4" w:space="0"/>
            </w:tcBorders>
            <w:shd w:val="clear" w:color="auto" w:fill="auto"/>
            <w:noWrap/>
            <w:vAlign w:val="bottom"/>
          </w:tcPr>
          <w:p w14:paraId="15ED83F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13.389 </w:t>
            </w:r>
          </w:p>
        </w:tc>
        <w:tc>
          <w:tcPr>
            <w:tcW w:w="1247" w:type="dxa"/>
            <w:tcBorders>
              <w:top w:val="nil"/>
              <w:left w:val="nil"/>
              <w:bottom w:val="single" w:color="auto" w:sz="4" w:space="0"/>
              <w:right w:val="single" w:color="auto" w:sz="4" w:space="0"/>
            </w:tcBorders>
            <w:vAlign w:val="bottom"/>
          </w:tcPr>
          <w:p w14:paraId="5D43758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22.821 </w:t>
            </w:r>
          </w:p>
        </w:tc>
      </w:tr>
      <w:tr w14:paraId="2A756E6A">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386CBE7A">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010209D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0.285 </w:t>
            </w:r>
          </w:p>
        </w:tc>
        <w:tc>
          <w:tcPr>
            <w:tcW w:w="1243" w:type="dxa"/>
            <w:tcBorders>
              <w:top w:val="nil"/>
              <w:left w:val="nil"/>
              <w:bottom w:val="single" w:color="auto" w:sz="4" w:space="0"/>
              <w:right w:val="single" w:color="auto" w:sz="4" w:space="0"/>
            </w:tcBorders>
            <w:shd w:val="clear" w:color="auto" w:fill="auto"/>
            <w:noWrap/>
            <w:vAlign w:val="bottom"/>
          </w:tcPr>
          <w:p w14:paraId="5B1AE81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1.798 </w:t>
            </w:r>
          </w:p>
        </w:tc>
        <w:tc>
          <w:tcPr>
            <w:tcW w:w="1243" w:type="dxa"/>
            <w:tcBorders>
              <w:top w:val="nil"/>
              <w:left w:val="nil"/>
              <w:bottom w:val="single" w:color="auto" w:sz="4" w:space="0"/>
              <w:right w:val="single" w:color="auto" w:sz="4" w:space="0"/>
            </w:tcBorders>
            <w:shd w:val="clear" w:color="auto" w:fill="auto"/>
            <w:noWrap/>
            <w:vAlign w:val="bottom"/>
          </w:tcPr>
          <w:p w14:paraId="0D34818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8.911 </w:t>
            </w:r>
          </w:p>
        </w:tc>
        <w:tc>
          <w:tcPr>
            <w:tcW w:w="1243" w:type="dxa"/>
            <w:tcBorders>
              <w:top w:val="nil"/>
              <w:left w:val="nil"/>
              <w:bottom w:val="single" w:color="auto" w:sz="4" w:space="0"/>
              <w:right w:val="single" w:color="auto" w:sz="4" w:space="0"/>
            </w:tcBorders>
            <w:shd w:val="clear" w:color="auto" w:fill="auto"/>
            <w:noWrap/>
            <w:vAlign w:val="bottom"/>
          </w:tcPr>
          <w:p w14:paraId="12FF666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13.389 </w:t>
            </w:r>
          </w:p>
        </w:tc>
        <w:tc>
          <w:tcPr>
            <w:tcW w:w="1247" w:type="dxa"/>
            <w:tcBorders>
              <w:top w:val="nil"/>
              <w:left w:val="nil"/>
              <w:bottom w:val="single" w:color="auto" w:sz="4" w:space="0"/>
              <w:right w:val="single" w:color="auto" w:sz="4" w:space="0"/>
            </w:tcBorders>
            <w:vAlign w:val="bottom"/>
          </w:tcPr>
          <w:p w14:paraId="7DE36AE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22.837 </w:t>
            </w:r>
          </w:p>
        </w:tc>
      </w:tr>
      <w:tr w14:paraId="3B3CC874">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2E227218">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16ED4FD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0.285 </w:t>
            </w:r>
          </w:p>
        </w:tc>
        <w:tc>
          <w:tcPr>
            <w:tcW w:w="1243" w:type="dxa"/>
            <w:tcBorders>
              <w:top w:val="nil"/>
              <w:left w:val="nil"/>
              <w:bottom w:val="single" w:color="auto" w:sz="4" w:space="0"/>
              <w:right w:val="single" w:color="auto" w:sz="4" w:space="0"/>
            </w:tcBorders>
            <w:shd w:val="clear" w:color="auto" w:fill="auto"/>
            <w:noWrap/>
            <w:vAlign w:val="bottom"/>
          </w:tcPr>
          <w:p w14:paraId="455637E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1.798 </w:t>
            </w:r>
          </w:p>
        </w:tc>
        <w:tc>
          <w:tcPr>
            <w:tcW w:w="1243" w:type="dxa"/>
            <w:tcBorders>
              <w:top w:val="nil"/>
              <w:left w:val="nil"/>
              <w:bottom w:val="single" w:color="auto" w:sz="4" w:space="0"/>
              <w:right w:val="single" w:color="auto" w:sz="4" w:space="0"/>
            </w:tcBorders>
            <w:shd w:val="clear" w:color="auto" w:fill="auto"/>
            <w:noWrap/>
            <w:vAlign w:val="bottom"/>
          </w:tcPr>
          <w:p w14:paraId="6DDA375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8.708 </w:t>
            </w:r>
          </w:p>
        </w:tc>
        <w:tc>
          <w:tcPr>
            <w:tcW w:w="1243" w:type="dxa"/>
            <w:tcBorders>
              <w:top w:val="nil"/>
              <w:left w:val="nil"/>
              <w:bottom w:val="single" w:color="auto" w:sz="4" w:space="0"/>
              <w:right w:val="single" w:color="auto" w:sz="4" w:space="0"/>
            </w:tcBorders>
            <w:shd w:val="clear" w:color="auto" w:fill="auto"/>
            <w:noWrap/>
            <w:vAlign w:val="bottom"/>
          </w:tcPr>
          <w:p w14:paraId="1B3909E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13.391 </w:t>
            </w:r>
          </w:p>
        </w:tc>
        <w:tc>
          <w:tcPr>
            <w:tcW w:w="1247" w:type="dxa"/>
            <w:tcBorders>
              <w:top w:val="nil"/>
              <w:left w:val="nil"/>
              <w:bottom w:val="single" w:color="auto" w:sz="4" w:space="0"/>
              <w:right w:val="single" w:color="auto" w:sz="4" w:space="0"/>
            </w:tcBorders>
            <w:vAlign w:val="bottom"/>
          </w:tcPr>
          <w:p w14:paraId="2DFF55E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22.689 </w:t>
            </w:r>
          </w:p>
        </w:tc>
      </w:tr>
      <w:tr w14:paraId="34FED854">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12834388">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21CB829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0.291 </w:t>
            </w:r>
          </w:p>
        </w:tc>
        <w:tc>
          <w:tcPr>
            <w:tcW w:w="1243" w:type="dxa"/>
            <w:tcBorders>
              <w:top w:val="nil"/>
              <w:left w:val="nil"/>
              <w:bottom w:val="single" w:color="auto" w:sz="4" w:space="0"/>
              <w:right w:val="single" w:color="auto" w:sz="4" w:space="0"/>
            </w:tcBorders>
            <w:shd w:val="clear" w:color="auto" w:fill="auto"/>
            <w:noWrap/>
            <w:vAlign w:val="bottom"/>
          </w:tcPr>
          <w:p w14:paraId="73B5B9C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1.798 </w:t>
            </w:r>
          </w:p>
        </w:tc>
        <w:tc>
          <w:tcPr>
            <w:tcW w:w="1243" w:type="dxa"/>
            <w:tcBorders>
              <w:top w:val="nil"/>
              <w:left w:val="nil"/>
              <w:bottom w:val="single" w:color="auto" w:sz="4" w:space="0"/>
              <w:right w:val="single" w:color="auto" w:sz="4" w:space="0"/>
            </w:tcBorders>
            <w:shd w:val="clear" w:color="auto" w:fill="auto"/>
            <w:noWrap/>
            <w:vAlign w:val="bottom"/>
          </w:tcPr>
          <w:p w14:paraId="134E4DA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8.706 </w:t>
            </w:r>
          </w:p>
        </w:tc>
        <w:tc>
          <w:tcPr>
            <w:tcW w:w="1243" w:type="dxa"/>
            <w:tcBorders>
              <w:top w:val="nil"/>
              <w:left w:val="nil"/>
              <w:bottom w:val="single" w:color="auto" w:sz="4" w:space="0"/>
              <w:right w:val="single" w:color="auto" w:sz="4" w:space="0"/>
            </w:tcBorders>
            <w:shd w:val="clear" w:color="auto" w:fill="auto"/>
            <w:noWrap/>
            <w:vAlign w:val="bottom"/>
          </w:tcPr>
          <w:p w14:paraId="6AB3647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13.385 </w:t>
            </w:r>
          </w:p>
        </w:tc>
        <w:tc>
          <w:tcPr>
            <w:tcW w:w="1247" w:type="dxa"/>
            <w:tcBorders>
              <w:top w:val="nil"/>
              <w:left w:val="nil"/>
              <w:bottom w:val="single" w:color="auto" w:sz="4" w:space="0"/>
              <w:right w:val="single" w:color="auto" w:sz="4" w:space="0"/>
            </w:tcBorders>
            <w:vAlign w:val="bottom"/>
          </w:tcPr>
          <w:p w14:paraId="3AA6C72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22.823 </w:t>
            </w:r>
          </w:p>
        </w:tc>
      </w:tr>
      <w:tr w14:paraId="3A60A286">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7100A43C">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0E76A13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0.287 </w:t>
            </w:r>
          </w:p>
        </w:tc>
        <w:tc>
          <w:tcPr>
            <w:tcW w:w="1243" w:type="dxa"/>
            <w:tcBorders>
              <w:top w:val="nil"/>
              <w:left w:val="nil"/>
              <w:bottom w:val="single" w:color="auto" w:sz="4" w:space="0"/>
              <w:right w:val="single" w:color="auto" w:sz="4" w:space="0"/>
            </w:tcBorders>
            <w:shd w:val="clear" w:color="auto" w:fill="auto"/>
            <w:noWrap/>
            <w:vAlign w:val="bottom"/>
          </w:tcPr>
          <w:p w14:paraId="6EF5104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1.798 </w:t>
            </w:r>
          </w:p>
        </w:tc>
        <w:tc>
          <w:tcPr>
            <w:tcW w:w="1243" w:type="dxa"/>
            <w:tcBorders>
              <w:top w:val="nil"/>
              <w:left w:val="nil"/>
              <w:bottom w:val="single" w:color="auto" w:sz="4" w:space="0"/>
              <w:right w:val="single" w:color="auto" w:sz="4" w:space="0"/>
            </w:tcBorders>
            <w:shd w:val="clear" w:color="auto" w:fill="auto"/>
            <w:noWrap/>
            <w:vAlign w:val="bottom"/>
          </w:tcPr>
          <w:p w14:paraId="11EF88D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8.704 </w:t>
            </w:r>
          </w:p>
        </w:tc>
        <w:tc>
          <w:tcPr>
            <w:tcW w:w="1243" w:type="dxa"/>
            <w:tcBorders>
              <w:top w:val="nil"/>
              <w:left w:val="nil"/>
              <w:bottom w:val="single" w:color="auto" w:sz="4" w:space="0"/>
              <w:right w:val="single" w:color="auto" w:sz="4" w:space="0"/>
            </w:tcBorders>
            <w:shd w:val="clear" w:color="auto" w:fill="auto"/>
            <w:noWrap/>
            <w:vAlign w:val="bottom"/>
          </w:tcPr>
          <w:p w14:paraId="216365E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13.385 </w:t>
            </w:r>
          </w:p>
        </w:tc>
        <w:tc>
          <w:tcPr>
            <w:tcW w:w="1247" w:type="dxa"/>
            <w:tcBorders>
              <w:top w:val="nil"/>
              <w:left w:val="nil"/>
              <w:bottom w:val="single" w:color="auto" w:sz="4" w:space="0"/>
              <w:right w:val="single" w:color="auto" w:sz="4" w:space="0"/>
            </w:tcBorders>
            <w:vAlign w:val="bottom"/>
          </w:tcPr>
          <w:p w14:paraId="584E081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22.819 </w:t>
            </w:r>
          </w:p>
        </w:tc>
      </w:tr>
      <w:tr w14:paraId="4C23262B">
        <w:tblPrEx>
          <w:tblCellMar>
            <w:top w:w="0" w:type="dxa"/>
            <w:left w:w="108" w:type="dxa"/>
            <w:bottom w:w="0" w:type="dxa"/>
            <w:right w:w="108" w:type="dxa"/>
          </w:tblCellMar>
        </w:tblPrEx>
        <w:trPr>
          <w:trHeight w:val="312" w:hRule="exact"/>
          <w:jc w:val="center"/>
        </w:trPr>
        <w:tc>
          <w:tcPr>
            <w:tcW w:w="1351" w:type="pct"/>
            <w:vMerge w:val="restart"/>
            <w:tcBorders>
              <w:top w:val="nil"/>
              <w:left w:val="single" w:color="auto" w:sz="4" w:space="0"/>
              <w:bottom w:val="single" w:color="auto" w:sz="4" w:space="0"/>
              <w:right w:val="single" w:color="auto" w:sz="4" w:space="0"/>
            </w:tcBorders>
            <w:shd w:val="clear" w:color="auto" w:fill="auto"/>
            <w:noWrap/>
            <w:vAlign w:val="center"/>
          </w:tcPr>
          <w:p w14:paraId="0ECA8EC0">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包头华美稀土高科有限公司</w:t>
            </w:r>
          </w:p>
        </w:tc>
        <w:tc>
          <w:tcPr>
            <w:tcW w:w="1243" w:type="dxa"/>
            <w:tcBorders>
              <w:top w:val="nil"/>
              <w:left w:val="nil"/>
              <w:bottom w:val="single" w:color="auto" w:sz="4" w:space="0"/>
              <w:right w:val="single" w:color="auto" w:sz="4" w:space="0"/>
            </w:tcBorders>
            <w:shd w:val="clear" w:color="auto" w:fill="auto"/>
            <w:noWrap/>
            <w:vAlign w:val="bottom"/>
          </w:tcPr>
          <w:p w14:paraId="7D16C88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0.305 </w:t>
            </w:r>
          </w:p>
        </w:tc>
        <w:tc>
          <w:tcPr>
            <w:tcW w:w="1243" w:type="dxa"/>
            <w:tcBorders>
              <w:top w:val="nil"/>
              <w:left w:val="nil"/>
              <w:bottom w:val="single" w:color="auto" w:sz="4" w:space="0"/>
              <w:right w:val="single" w:color="auto" w:sz="4" w:space="0"/>
            </w:tcBorders>
            <w:shd w:val="clear" w:color="auto" w:fill="auto"/>
            <w:noWrap/>
            <w:vAlign w:val="bottom"/>
          </w:tcPr>
          <w:p w14:paraId="1F437F0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1.702 </w:t>
            </w:r>
          </w:p>
        </w:tc>
        <w:tc>
          <w:tcPr>
            <w:tcW w:w="1243" w:type="dxa"/>
            <w:tcBorders>
              <w:top w:val="nil"/>
              <w:left w:val="nil"/>
              <w:bottom w:val="single" w:color="auto" w:sz="4" w:space="0"/>
              <w:right w:val="single" w:color="auto" w:sz="4" w:space="0"/>
            </w:tcBorders>
            <w:shd w:val="clear" w:color="auto" w:fill="auto"/>
            <w:noWrap/>
            <w:vAlign w:val="bottom"/>
          </w:tcPr>
          <w:p w14:paraId="25962ED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8.715 </w:t>
            </w:r>
          </w:p>
        </w:tc>
        <w:tc>
          <w:tcPr>
            <w:tcW w:w="1243" w:type="dxa"/>
            <w:tcBorders>
              <w:top w:val="nil"/>
              <w:left w:val="nil"/>
              <w:bottom w:val="single" w:color="auto" w:sz="4" w:space="0"/>
              <w:right w:val="single" w:color="auto" w:sz="4" w:space="0"/>
            </w:tcBorders>
            <w:shd w:val="clear" w:color="auto" w:fill="auto"/>
            <w:noWrap/>
            <w:vAlign w:val="bottom"/>
          </w:tcPr>
          <w:p w14:paraId="427C8E6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13.250 </w:t>
            </w:r>
          </w:p>
        </w:tc>
        <w:tc>
          <w:tcPr>
            <w:tcW w:w="1247" w:type="dxa"/>
            <w:tcBorders>
              <w:top w:val="nil"/>
              <w:left w:val="nil"/>
              <w:bottom w:val="single" w:color="auto" w:sz="4" w:space="0"/>
              <w:right w:val="single" w:color="auto" w:sz="4" w:space="0"/>
            </w:tcBorders>
            <w:vAlign w:val="bottom"/>
          </w:tcPr>
          <w:p w14:paraId="444DDA1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22.506 </w:t>
            </w:r>
          </w:p>
        </w:tc>
      </w:tr>
      <w:tr w14:paraId="0F72B488">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308746B6">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2F06D65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0.313 </w:t>
            </w:r>
          </w:p>
        </w:tc>
        <w:tc>
          <w:tcPr>
            <w:tcW w:w="1243" w:type="dxa"/>
            <w:tcBorders>
              <w:top w:val="nil"/>
              <w:left w:val="nil"/>
              <w:bottom w:val="single" w:color="auto" w:sz="4" w:space="0"/>
              <w:right w:val="single" w:color="auto" w:sz="4" w:space="0"/>
            </w:tcBorders>
            <w:shd w:val="clear" w:color="auto" w:fill="auto"/>
            <w:noWrap/>
            <w:vAlign w:val="bottom"/>
          </w:tcPr>
          <w:p w14:paraId="69FFCE3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1.770 </w:t>
            </w:r>
          </w:p>
        </w:tc>
        <w:tc>
          <w:tcPr>
            <w:tcW w:w="1243" w:type="dxa"/>
            <w:tcBorders>
              <w:top w:val="nil"/>
              <w:left w:val="nil"/>
              <w:bottom w:val="single" w:color="auto" w:sz="4" w:space="0"/>
              <w:right w:val="single" w:color="auto" w:sz="4" w:space="0"/>
            </w:tcBorders>
            <w:shd w:val="clear" w:color="auto" w:fill="auto"/>
            <w:noWrap/>
            <w:vAlign w:val="bottom"/>
          </w:tcPr>
          <w:p w14:paraId="6EBEC4A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8.816 </w:t>
            </w:r>
          </w:p>
        </w:tc>
        <w:tc>
          <w:tcPr>
            <w:tcW w:w="1243" w:type="dxa"/>
            <w:tcBorders>
              <w:top w:val="nil"/>
              <w:left w:val="nil"/>
              <w:bottom w:val="single" w:color="auto" w:sz="4" w:space="0"/>
              <w:right w:val="single" w:color="auto" w:sz="4" w:space="0"/>
            </w:tcBorders>
            <w:shd w:val="clear" w:color="auto" w:fill="auto"/>
            <w:noWrap/>
            <w:vAlign w:val="bottom"/>
          </w:tcPr>
          <w:p w14:paraId="28AE7FA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13.450 </w:t>
            </w:r>
          </w:p>
        </w:tc>
        <w:tc>
          <w:tcPr>
            <w:tcW w:w="1247" w:type="dxa"/>
            <w:tcBorders>
              <w:top w:val="nil"/>
              <w:left w:val="nil"/>
              <w:bottom w:val="single" w:color="auto" w:sz="4" w:space="0"/>
              <w:right w:val="single" w:color="auto" w:sz="4" w:space="0"/>
            </w:tcBorders>
            <w:vAlign w:val="bottom"/>
          </w:tcPr>
          <w:p w14:paraId="53A1E31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22.645 </w:t>
            </w:r>
          </w:p>
        </w:tc>
      </w:tr>
      <w:tr w14:paraId="6B19A4E0">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7F5C546D">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798AA22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0.304 </w:t>
            </w:r>
          </w:p>
        </w:tc>
        <w:tc>
          <w:tcPr>
            <w:tcW w:w="1243" w:type="dxa"/>
            <w:tcBorders>
              <w:top w:val="nil"/>
              <w:left w:val="nil"/>
              <w:bottom w:val="single" w:color="auto" w:sz="4" w:space="0"/>
              <w:right w:val="single" w:color="auto" w:sz="4" w:space="0"/>
            </w:tcBorders>
            <w:shd w:val="clear" w:color="auto" w:fill="auto"/>
            <w:noWrap/>
            <w:vAlign w:val="bottom"/>
          </w:tcPr>
          <w:p w14:paraId="32F7A1F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1.745 </w:t>
            </w:r>
          </w:p>
        </w:tc>
        <w:tc>
          <w:tcPr>
            <w:tcW w:w="1243" w:type="dxa"/>
            <w:tcBorders>
              <w:top w:val="nil"/>
              <w:left w:val="nil"/>
              <w:bottom w:val="single" w:color="auto" w:sz="4" w:space="0"/>
              <w:right w:val="single" w:color="auto" w:sz="4" w:space="0"/>
            </w:tcBorders>
            <w:shd w:val="clear" w:color="auto" w:fill="auto"/>
            <w:noWrap/>
            <w:vAlign w:val="bottom"/>
          </w:tcPr>
          <w:p w14:paraId="5C2C147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8.712 </w:t>
            </w:r>
          </w:p>
        </w:tc>
        <w:tc>
          <w:tcPr>
            <w:tcW w:w="1243" w:type="dxa"/>
            <w:tcBorders>
              <w:top w:val="nil"/>
              <w:left w:val="nil"/>
              <w:bottom w:val="single" w:color="auto" w:sz="4" w:space="0"/>
              <w:right w:val="single" w:color="auto" w:sz="4" w:space="0"/>
            </w:tcBorders>
            <w:shd w:val="clear" w:color="auto" w:fill="auto"/>
            <w:noWrap/>
            <w:vAlign w:val="bottom"/>
          </w:tcPr>
          <w:p w14:paraId="5DADE36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13.200 </w:t>
            </w:r>
          </w:p>
        </w:tc>
        <w:tc>
          <w:tcPr>
            <w:tcW w:w="1247" w:type="dxa"/>
            <w:tcBorders>
              <w:top w:val="nil"/>
              <w:left w:val="nil"/>
              <w:bottom w:val="single" w:color="auto" w:sz="4" w:space="0"/>
              <w:right w:val="single" w:color="auto" w:sz="4" w:space="0"/>
            </w:tcBorders>
            <w:vAlign w:val="bottom"/>
          </w:tcPr>
          <w:p w14:paraId="59F6007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22.614 </w:t>
            </w:r>
          </w:p>
        </w:tc>
      </w:tr>
      <w:tr w14:paraId="0D3D164C">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350F5212">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11EF151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0.301 </w:t>
            </w:r>
          </w:p>
        </w:tc>
        <w:tc>
          <w:tcPr>
            <w:tcW w:w="1243" w:type="dxa"/>
            <w:tcBorders>
              <w:top w:val="nil"/>
              <w:left w:val="nil"/>
              <w:bottom w:val="single" w:color="auto" w:sz="4" w:space="0"/>
              <w:right w:val="single" w:color="auto" w:sz="4" w:space="0"/>
            </w:tcBorders>
            <w:shd w:val="clear" w:color="auto" w:fill="auto"/>
            <w:noWrap/>
            <w:vAlign w:val="bottom"/>
          </w:tcPr>
          <w:p w14:paraId="01939DE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1.772 </w:t>
            </w:r>
          </w:p>
        </w:tc>
        <w:tc>
          <w:tcPr>
            <w:tcW w:w="1243" w:type="dxa"/>
            <w:tcBorders>
              <w:top w:val="nil"/>
              <w:left w:val="nil"/>
              <w:bottom w:val="single" w:color="auto" w:sz="4" w:space="0"/>
              <w:right w:val="single" w:color="auto" w:sz="4" w:space="0"/>
            </w:tcBorders>
            <w:shd w:val="clear" w:color="auto" w:fill="auto"/>
            <w:noWrap/>
            <w:vAlign w:val="bottom"/>
          </w:tcPr>
          <w:p w14:paraId="642A942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8.675 </w:t>
            </w:r>
          </w:p>
        </w:tc>
        <w:tc>
          <w:tcPr>
            <w:tcW w:w="1243" w:type="dxa"/>
            <w:tcBorders>
              <w:top w:val="nil"/>
              <w:left w:val="nil"/>
              <w:bottom w:val="single" w:color="auto" w:sz="4" w:space="0"/>
              <w:right w:val="single" w:color="auto" w:sz="4" w:space="0"/>
            </w:tcBorders>
            <w:shd w:val="clear" w:color="auto" w:fill="auto"/>
            <w:noWrap/>
            <w:vAlign w:val="bottom"/>
          </w:tcPr>
          <w:p w14:paraId="1AD6109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13.450 </w:t>
            </w:r>
          </w:p>
        </w:tc>
        <w:tc>
          <w:tcPr>
            <w:tcW w:w="1247" w:type="dxa"/>
            <w:tcBorders>
              <w:top w:val="nil"/>
              <w:left w:val="nil"/>
              <w:bottom w:val="single" w:color="auto" w:sz="4" w:space="0"/>
              <w:right w:val="single" w:color="auto" w:sz="4" w:space="0"/>
            </w:tcBorders>
            <w:vAlign w:val="bottom"/>
          </w:tcPr>
          <w:p w14:paraId="29885E2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22.545 </w:t>
            </w:r>
          </w:p>
        </w:tc>
      </w:tr>
      <w:tr w14:paraId="67710C07">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79F4E30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63E431F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0.282 </w:t>
            </w:r>
          </w:p>
        </w:tc>
        <w:tc>
          <w:tcPr>
            <w:tcW w:w="1243" w:type="dxa"/>
            <w:tcBorders>
              <w:top w:val="nil"/>
              <w:left w:val="nil"/>
              <w:bottom w:val="single" w:color="auto" w:sz="4" w:space="0"/>
              <w:right w:val="single" w:color="auto" w:sz="4" w:space="0"/>
            </w:tcBorders>
            <w:shd w:val="clear" w:color="auto" w:fill="auto"/>
            <w:noWrap/>
            <w:vAlign w:val="bottom"/>
          </w:tcPr>
          <w:p w14:paraId="12F6150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1.782 </w:t>
            </w:r>
          </w:p>
        </w:tc>
        <w:tc>
          <w:tcPr>
            <w:tcW w:w="1243" w:type="dxa"/>
            <w:tcBorders>
              <w:top w:val="nil"/>
              <w:left w:val="nil"/>
              <w:bottom w:val="single" w:color="auto" w:sz="4" w:space="0"/>
              <w:right w:val="single" w:color="auto" w:sz="4" w:space="0"/>
            </w:tcBorders>
            <w:shd w:val="clear" w:color="auto" w:fill="auto"/>
            <w:noWrap/>
            <w:vAlign w:val="bottom"/>
          </w:tcPr>
          <w:p w14:paraId="5DE31CF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8.645 </w:t>
            </w:r>
          </w:p>
        </w:tc>
        <w:tc>
          <w:tcPr>
            <w:tcW w:w="1243" w:type="dxa"/>
            <w:tcBorders>
              <w:top w:val="nil"/>
              <w:left w:val="nil"/>
              <w:bottom w:val="single" w:color="auto" w:sz="4" w:space="0"/>
              <w:right w:val="single" w:color="auto" w:sz="4" w:space="0"/>
            </w:tcBorders>
            <w:shd w:val="clear" w:color="auto" w:fill="auto"/>
            <w:noWrap/>
            <w:vAlign w:val="bottom"/>
          </w:tcPr>
          <w:p w14:paraId="4545E51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13.160 </w:t>
            </w:r>
          </w:p>
        </w:tc>
        <w:tc>
          <w:tcPr>
            <w:tcW w:w="1247" w:type="dxa"/>
            <w:tcBorders>
              <w:top w:val="nil"/>
              <w:left w:val="nil"/>
              <w:bottom w:val="single" w:color="auto" w:sz="4" w:space="0"/>
              <w:right w:val="single" w:color="auto" w:sz="4" w:space="0"/>
            </w:tcBorders>
            <w:vAlign w:val="bottom"/>
          </w:tcPr>
          <w:p w14:paraId="41B8744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22.514 </w:t>
            </w:r>
          </w:p>
        </w:tc>
      </w:tr>
      <w:tr w14:paraId="721B0B5B">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4BAA794C">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7C64BAB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0.291 </w:t>
            </w:r>
          </w:p>
        </w:tc>
        <w:tc>
          <w:tcPr>
            <w:tcW w:w="1243" w:type="dxa"/>
            <w:tcBorders>
              <w:top w:val="nil"/>
              <w:left w:val="nil"/>
              <w:bottom w:val="single" w:color="auto" w:sz="4" w:space="0"/>
              <w:right w:val="single" w:color="auto" w:sz="4" w:space="0"/>
            </w:tcBorders>
            <w:shd w:val="clear" w:color="auto" w:fill="auto"/>
            <w:noWrap/>
            <w:vAlign w:val="bottom"/>
          </w:tcPr>
          <w:p w14:paraId="5D10B53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1.756 </w:t>
            </w:r>
          </w:p>
        </w:tc>
        <w:tc>
          <w:tcPr>
            <w:tcW w:w="1243" w:type="dxa"/>
            <w:tcBorders>
              <w:top w:val="nil"/>
              <w:left w:val="nil"/>
              <w:bottom w:val="single" w:color="auto" w:sz="4" w:space="0"/>
              <w:right w:val="single" w:color="auto" w:sz="4" w:space="0"/>
            </w:tcBorders>
            <w:shd w:val="clear" w:color="auto" w:fill="auto"/>
            <w:noWrap/>
            <w:vAlign w:val="bottom"/>
          </w:tcPr>
          <w:p w14:paraId="38D4673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8.843 </w:t>
            </w:r>
          </w:p>
        </w:tc>
        <w:tc>
          <w:tcPr>
            <w:tcW w:w="1243" w:type="dxa"/>
            <w:tcBorders>
              <w:top w:val="nil"/>
              <w:left w:val="nil"/>
              <w:bottom w:val="single" w:color="auto" w:sz="4" w:space="0"/>
              <w:right w:val="single" w:color="auto" w:sz="4" w:space="0"/>
            </w:tcBorders>
            <w:shd w:val="clear" w:color="auto" w:fill="auto"/>
            <w:noWrap/>
            <w:vAlign w:val="bottom"/>
          </w:tcPr>
          <w:p w14:paraId="27A9AF1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13.180 </w:t>
            </w:r>
          </w:p>
        </w:tc>
        <w:tc>
          <w:tcPr>
            <w:tcW w:w="1247" w:type="dxa"/>
            <w:tcBorders>
              <w:top w:val="nil"/>
              <w:left w:val="nil"/>
              <w:bottom w:val="single" w:color="auto" w:sz="4" w:space="0"/>
              <w:right w:val="single" w:color="auto" w:sz="4" w:space="0"/>
            </w:tcBorders>
            <w:vAlign w:val="bottom"/>
          </w:tcPr>
          <w:p w14:paraId="4699D42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22.498 </w:t>
            </w:r>
          </w:p>
        </w:tc>
      </w:tr>
      <w:tr w14:paraId="56257850">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017CF6DA">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4A545BF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0.275 </w:t>
            </w:r>
          </w:p>
        </w:tc>
        <w:tc>
          <w:tcPr>
            <w:tcW w:w="1243" w:type="dxa"/>
            <w:tcBorders>
              <w:top w:val="nil"/>
              <w:left w:val="nil"/>
              <w:bottom w:val="single" w:color="auto" w:sz="4" w:space="0"/>
              <w:right w:val="single" w:color="auto" w:sz="4" w:space="0"/>
            </w:tcBorders>
            <w:shd w:val="clear" w:color="auto" w:fill="auto"/>
            <w:noWrap/>
            <w:vAlign w:val="bottom"/>
          </w:tcPr>
          <w:p w14:paraId="1396C33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1.762 </w:t>
            </w:r>
          </w:p>
        </w:tc>
        <w:tc>
          <w:tcPr>
            <w:tcW w:w="1243" w:type="dxa"/>
            <w:tcBorders>
              <w:top w:val="nil"/>
              <w:left w:val="nil"/>
              <w:bottom w:val="single" w:color="auto" w:sz="4" w:space="0"/>
              <w:right w:val="single" w:color="auto" w:sz="4" w:space="0"/>
            </w:tcBorders>
            <w:shd w:val="clear" w:color="auto" w:fill="auto"/>
            <w:noWrap/>
            <w:vAlign w:val="bottom"/>
          </w:tcPr>
          <w:p w14:paraId="11E60B0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8.847 </w:t>
            </w:r>
          </w:p>
        </w:tc>
        <w:tc>
          <w:tcPr>
            <w:tcW w:w="1243" w:type="dxa"/>
            <w:tcBorders>
              <w:top w:val="nil"/>
              <w:left w:val="nil"/>
              <w:bottom w:val="single" w:color="auto" w:sz="4" w:space="0"/>
              <w:right w:val="single" w:color="auto" w:sz="4" w:space="0"/>
            </w:tcBorders>
            <w:shd w:val="clear" w:color="auto" w:fill="auto"/>
            <w:noWrap/>
            <w:vAlign w:val="bottom"/>
          </w:tcPr>
          <w:p w14:paraId="0CD07B4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13.410 </w:t>
            </w:r>
          </w:p>
        </w:tc>
        <w:tc>
          <w:tcPr>
            <w:tcW w:w="1247" w:type="dxa"/>
            <w:tcBorders>
              <w:top w:val="nil"/>
              <w:left w:val="nil"/>
              <w:bottom w:val="single" w:color="auto" w:sz="4" w:space="0"/>
              <w:right w:val="single" w:color="auto" w:sz="4" w:space="0"/>
            </w:tcBorders>
            <w:vAlign w:val="bottom"/>
          </w:tcPr>
          <w:p w14:paraId="0FC479E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22.685 </w:t>
            </w:r>
          </w:p>
        </w:tc>
      </w:tr>
      <w:tr w14:paraId="7D43F7A3">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3FF252F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13A1506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0.300 </w:t>
            </w:r>
          </w:p>
        </w:tc>
        <w:tc>
          <w:tcPr>
            <w:tcW w:w="1243" w:type="dxa"/>
            <w:tcBorders>
              <w:top w:val="nil"/>
              <w:left w:val="nil"/>
              <w:bottom w:val="single" w:color="auto" w:sz="4" w:space="0"/>
              <w:right w:val="single" w:color="auto" w:sz="4" w:space="0"/>
            </w:tcBorders>
            <w:shd w:val="clear" w:color="auto" w:fill="auto"/>
            <w:noWrap/>
            <w:vAlign w:val="bottom"/>
          </w:tcPr>
          <w:p w14:paraId="7CE3C10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1.720 </w:t>
            </w:r>
          </w:p>
        </w:tc>
        <w:tc>
          <w:tcPr>
            <w:tcW w:w="1243" w:type="dxa"/>
            <w:tcBorders>
              <w:top w:val="nil"/>
              <w:left w:val="nil"/>
              <w:bottom w:val="single" w:color="auto" w:sz="4" w:space="0"/>
              <w:right w:val="single" w:color="auto" w:sz="4" w:space="0"/>
            </w:tcBorders>
            <w:shd w:val="clear" w:color="auto" w:fill="auto"/>
            <w:noWrap/>
            <w:vAlign w:val="bottom"/>
          </w:tcPr>
          <w:p w14:paraId="49901C5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8.685 </w:t>
            </w:r>
          </w:p>
        </w:tc>
        <w:tc>
          <w:tcPr>
            <w:tcW w:w="1243" w:type="dxa"/>
            <w:tcBorders>
              <w:top w:val="nil"/>
              <w:left w:val="nil"/>
              <w:bottom w:val="single" w:color="auto" w:sz="4" w:space="0"/>
              <w:right w:val="single" w:color="auto" w:sz="4" w:space="0"/>
            </w:tcBorders>
            <w:shd w:val="clear" w:color="auto" w:fill="auto"/>
            <w:noWrap/>
            <w:vAlign w:val="bottom"/>
          </w:tcPr>
          <w:p w14:paraId="1EA716D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13.415 </w:t>
            </w:r>
          </w:p>
        </w:tc>
        <w:tc>
          <w:tcPr>
            <w:tcW w:w="1247" w:type="dxa"/>
            <w:tcBorders>
              <w:top w:val="nil"/>
              <w:left w:val="nil"/>
              <w:bottom w:val="single" w:color="auto" w:sz="4" w:space="0"/>
              <w:right w:val="single" w:color="auto" w:sz="4" w:space="0"/>
            </w:tcBorders>
            <w:vAlign w:val="bottom"/>
          </w:tcPr>
          <w:p w14:paraId="660B13E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22.514 </w:t>
            </w:r>
          </w:p>
        </w:tc>
      </w:tr>
      <w:tr w14:paraId="06CD7437">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7A6A2CA6">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1C3AD87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0.289 </w:t>
            </w:r>
          </w:p>
        </w:tc>
        <w:tc>
          <w:tcPr>
            <w:tcW w:w="1243" w:type="dxa"/>
            <w:tcBorders>
              <w:top w:val="nil"/>
              <w:left w:val="nil"/>
              <w:bottom w:val="single" w:color="auto" w:sz="4" w:space="0"/>
              <w:right w:val="single" w:color="auto" w:sz="4" w:space="0"/>
            </w:tcBorders>
            <w:shd w:val="clear" w:color="auto" w:fill="auto"/>
            <w:noWrap/>
            <w:vAlign w:val="bottom"/>
          </w:tcPr>
          <w:p w14:paraId="257DFAC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1.725 </w:t>
            </w:r>
          </w:p>
        </w:tc>
        <w:tc>
          <w:tcPr>
            <w:tcW w:w="1243" w:type="dxa"/>
            <w:tcBorders>
              <w:top w:val="nil"/>
              <w:left w:val="nil"/>
              <w:bottom w:val="single" w:color="auto" w:sz="4" w:space="0"/>
              <w:right w:val="single" w:color="auto" w:sz="4" w:space="0"/>
            </w:tcBorders>
            <w:shd w:val="clear" w:color="auto" w:fill="auto"/>
            <w:noWrap/>
            <w:vAlign w:val="bottom"/>
          </w:tcPr>
          <w:p w14:paraId="2629D2B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8.695 </w:t>
            </w:r>
          </w:p>
        </w:tc>
        <w:tc>
          <w:tcPr>
            <w:tcW w:w="1243" w:type="dxa"/>
            <w:tcBorders>
              <w:top w:val="nil"/>
              <w:left w:val="nil"/>
              <w:bottom w:val="single" w:color="auto" w:sz="4" w:space="0"/>
              <w:right w:val="single" w:color="auto" w:sz="4" w:space="0"/>
            </w:tcBorders>
            <w:shd w:val="clear" w:color="auto" w:fill="auto"/>
            <w:noWrap/>
            <w:vAlign w:val="bottom"/>
          </w:tcPr>
          <w:p w14:paraId="67C238D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13.495 </w:t>
            </w:r>
          </w:p>
        </w:tc>
        <w:tc>
          <w:tcPr>
            <w:tcW w:w="1247" w:type="dxa"/>
            <w:tcBorders>
              <w:top w:val="nil"/>
              <w:left w:val="nil"/>
              <w:bottom w:val="single" w:color="auto" w:sz="4" w:space="0"/>
              <w:right w:val="single" w:color="auto" w:sz="4" w:space="0"/>
            </w:tcBorders>
            <w:vAlign w:val="bottom"/>
          </w:tcPr>
          <w:p w14:paraId="5AE2312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22.415 </w:t>
            </w:r>
          </w:p>
        </w:tc>
      </w:tr>
      <w:tr w14:paraId="463239DE">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729E4BE9">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79918D2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0.282 </w:t>
            </w:r>
          </w:p>
        </w:tc>
        <w:tc>
          <w:tcPr>
            <w:tcW w:w="1243" w:type="dxa"/>
            <w:tcBorders>
              <w:top w:val="nil"/>
              <w:left w:val="nil"/>
              <w:bottom w:val="single" w:color="auto" w:sz="4" w:space="0"/>
              <w:right w:val="single" w:color="auto" w:sz="4" w:space="0"/>
            </w:tcBorders>
            <w:shd w:val="clear" w:color="auto" w:fill="auto"/>
            <w:noWrap/>
            <w:vAlign w:val="bottom"/>
          </w:tcPr>
          <w:p w14:paraId="4CB156B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1.736 </w:t>
            </w:r>
          </w:p>
        </w:tc>
        <w:tc>
          <w:tcPr>
            <w:tcW w:w="1243" w:type="dxa"/>
            <w:tcBorders>
              <w:top w:val="nil"/>
              <w:left w:val="nil"/>
              <w:bottom w:val="single" w:color="auto" w:sz="4" w:space="0"/>
              <w:right w:val="single" w:color="auto" w:sz="4" w:space="0"/>
            </w:tcBorders>
            <w:shd w:val="clear" w:color="auto" w:fill="auto"/>
            <w:noWrap/>
            <w:vAlign w:val="bottom"/>
          </w:tcPr>
          <w:p w14:paraId="2D428D2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8.590 </w:t>
            </w:r>
          </w:p>
        </w:tc>
        <w:tc>
          <w:tcPr>
            <w:tcW w:w="1243" w:type="dxa"/>
            <w:tcBorders>
              <w:top w:val="nil"/>
              <w:left w:val="nil"/>
              <w:bottom w:val="single" w:color="auto" w:sz="4" w:space="0"/>
              <w:right w:val="single" w:color="auto" w:sz="4" w:space="0"/>
            </w:tcBorders>
            <w:shd w:val="clear" w:color="auto" w:fill="auto"/>
            <w:noWrap/>
            <w:vAlign w:val="bottom"/>
          </w:tcPr>
          <w:p w14:paraId="0573F27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13.287 </w:t>
            </w:r>
          </w:p>
        </w:tc>
        <w:tc>
          <w:tcPr>
            <w:tcW w:w="1247" w:type="dxa"/>
            <w:tcBorders>
              <w:top w:val="nil"/>
              <w:left w:val="nil"/>
              <w:bottom w:val="single" w:color="auto" w:sz="4" w:space="0"/>
              <w:right w:val="single" w:color="auto" w:sz="4" w:space="0"/>
            </w:tcBorders>
            <w:vAlign w:val="bottom"/>
          </w:tcPr>
          <w:p w14:paraId="4390B2F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22.439 </w:t>
            </w:r>
          </w:p>
        </w:tc>
      </w:tr>
      <w:tr w14:paraId="5B397368">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162B92FD">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6F0146B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0.306 </w:t>
            </w:r>
          </w:p>
        </w:tc>
        <w:tc>
          <w:tcPr>
            <w:tcW w:w="1243" w:type="dxa"/>
            <w:tcBorders>
              <w:top w:val="nil"/>
              <w:left w:val="nil"/>
              <w:bottom w:val="single" w:color="auto" w:sz="4" w:space="0"/>
              <w:right w:val="single" w:color="auto" w:sz="4" w:space="0"/>
            </w:tcBorders>
            <w:shd w:val="clear" w:color="auto" w:fill="auto"/>
            <w:noWrap/>
            <w:vAlign w:val="bottom"/>
          </w:tcPr>
          <w:p w14:paraId="37C1733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1.737 </w:t>
            </w:r>
          </w:p>
        </w:tc>
        <w:tc>
          <w:tcPr>
            <w:tcW w:w="1243" w:type="dxa"/>
            <w:tcBorders>
              <w:top w:val="nil"/>
              <w:left w:val="nil"/>
              <w:bottom w:val="single" w:color="auto" w:sz="4" w:space="0"/>
              <w:right w:val="single" w:color="auto" w:sz="4" w:space="0"/>
            </w:tcBorders>
            <w:shd w:val="clear" w:color="auto" w:fill="auto"/>
            <w:noWrap/>
            <w:vAlign w:val="bottom"/>
          </w:tcPr>
          <w:p w14:paraId="0DE4ACF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8.485 </w:t>
            </w:r>
          </w:p>
        </w:tc>
        <w:tc>
          <w:tcPr>
            <w:tcW w:w="1243" w:type="dxa"/>
            <w:tcBorders>
              <w:top w:val="nil"/>
              <w:left w:val="nil"/>
              <w:bottom w:val="single" w:color="auto" w:sz="4" w:space="0"/>
              <w:right w:val="single" w:color="auto" w:sz="4" w:space="0"/>
            </w:tcBorders>
            <w:shd w:val="clear" w:color="auto" w:fill="auto"/>
            <w:noWrap/>
            <w:vAlign w:val="bottom"/>
          </w:tcPr>
          <w:p w14:paraId="07475F2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13.478 </w:t>
            </w:r>
          </w:p>
        </w:tc>
        <w:tc>
          <w:tcPr>
            <w:tcW w:w="1247" w:type="dxa"/>
            <w:tcBorders>
              <w:top w:val="nil"/>
              <w:left w:val="nil"/>
              <w:bottom w:val="single" w:color="auto" w:sz="4" w:space="0"/>
              <w:right w:val="single" w:color="auto" w:sz="4" w:space="0"/>
            </w:tcBorders>
            <w:vAlign w:val="bottom"/>
          </w:tcPr>
          <w:p w14:paraId="4A3C59B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22.498 </w:t>
            </w:r>
          </w:p>
        </w:tc>
      </w:tr>
      <w:tr w14:paraId="4B529E8F">
        <w:tblPrEx>
          <w:tblCellMar>
            <w:top w:w="0" w:type="dxa"/>
            <w:left w:w="108" w:type="dxa"/>
            <w:bottom w:w="0" w:type="dxa"/>
            <w:right w:w="108" w:type="dxa"/>
          </w:tblCellMar>
        </w:tblPrEx>
        <w:trPr>
          <w:trHeight w:val="312" w:hRule="exact"/>
          <w:jc w:val="center"/>
        </w:trPr>
        <w:tc>
          <w:tcPr>
            <w:tcW w:w="1351" w:type="pct"/>
            <w:vMerge w:val="restart"/>
            <w:tcBorders>
              <w:top w:val="nil"/>
              <w:left w:val="single" w:color="auto" w:sz="4" w:space="0"/>
              <w:bottom w:val="single" w:color="auto" w:sz="4" w:space="0"/>
              <w:right w:val="single" w:color="auto" w:sz="4" w:space="0"/>
            </w:tcBorders>
            <w:shd w:val="clear" w:color="auto" w:fill="auto"/>
            <w:noWrap/>
            <w:vAlign w:val="center"/>
          </w:tcPr>
          <w:p w14:paraId="1FF6952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四川省冕宁县方兴稀土有限公司</w:t>
            </w:r>
          </w:p>
        </w:tc>
        <w:tc>
          <w:tcPr>
            <w:tcW w:w="1243" w:type="dxa"/>
            <w:tcBorders>
              <w:top w:val="nil"/>
              <w:left w:val="nil"/>
              <w:bottom w:val="single" w:color="auto" w:sz="4" w:space="0"/>
              <w:right w:val="single" w:color="auto" w:sz="4" w:space="0"/>
            </w:tcBorders>
            <w:shd w:val="clear" w:color="auto" w:fill="auto"/>
            <w:noWrap/>
            <w:vAlign w:val="bottom"/>
          </w:tcPr>
          <w:p w14:paraId="0EA9C93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0.291 </w:t>
            </w:r>
          </w:p>
        </w:tc>
        <w:tc>
          <w:tcPr>
            <w:tcW w:w="1243" w:type="dxa"/>
            <w:tcBorders>
              <w:top w:val="nil"/>
              <w:left w:val="nil"/>
              <w:bottom w:val="single" w:color="auto" w:sz="4" w:space="0"/>
              <w:right w:val="single" w:color="auto" w:sz="4" w:space="0"/>
            </w:tcBorders>
            <w:shd w:val="clear" w:color="auto" w:fill="auto"/>
            <w:noWrap/>
            <w:vAlign w:val="bottom"/>
          </w:tcPr>
          <w:p w14:paraId="24FD8D5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1.745 </w:t>
            </w:r>
          </w:p>
        </w:tc>
        <w:tc>
          <w:tcPr>
            <w:tcW w:w="1243" w:type="dxa"/>
            <w:tcBorders>
              <w:top w:val="nil"/>
              <w:left w:val="nil"/>
              <w:bottom w:val="single" w:color="auto" w:sz="4" w:space="0"/>
              <w:right w:val="single" w:color="auto" w:sz="4" w:space="0"/>
            </w:tcBorders>
            <w:shd w:val="clear" w:color="auto" w:fill="auto"/>
            <w:noWrap/>
            <w:vAlign w:val="bottom"/>
          </w:tcPr>
          <w:p w14:paraId="7EBD4F0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8.751 </w:t>
            </w:r>
          </w:p>
        </w:tc>
        <w:tc>
          <w:tcPr>
            <w:tcW w:w="1243" w:type="dxa"/>
            <w:tcBorders>
              <w:top w:val="nil"/>
              <w:left w:val="nil"/>
              <w:bottom w:val="single" w:color="auto" w:sz="4" w:space="0"/>
              <w:right w:val="single" w:color="auto" w:sz="4" w:space="0"/>
            </w:tcBorders>
            <w:shd w:val="clear" w:color="auto" w:fill="auto"/>
            <w:noWrap/>
            <w:vAlign w:val="bottom"/>
          </w:tcPr>
          <w:p w14:paraId="049FA79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13.375 </w:t>
            </w:r>
          </w:p>
        </w:tc>
        <w:tc>
          <w:tcPr>
            <w:tcW w:w="1247" w:type="dxa"/>
            <w:tcBorders>
              <w:top w:val="nil"/>
              <w:left w:val="nil"/>
              <w:bottom w:val="single" w:color="auto" w:sz="4" w:space="0"/>
              <w:right w:val="single" w:color="auto" w:sz="4" w:space="0"/>
            </w:tcBorders>
            <w:vAlign w:val="bottom"/>
          </w:tcPr>
          <w:p w14:paraId="0B2FA86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22.440 </w:t>
            </w:r>
          </w:p>
        </w:tc>
      </w:tr>
      <w:tr w14:paraId="3E20A639">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1B7FDC78">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1231002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0.299 </w:t>
            </w:r>
          </w:p>
        </w:tc>
        <w:tc>
          <w:tcPr>
            <w:tcW w:w="1243" w:type="dxa"/>
            <w:tcBorders>
              <w:top w:val="nil"/>
              <w:left w:val="nil"/>
              <w:bottom w:val="single" w:color="auto" w:sz="4" w:space="0"/>
              <w:right w:val="single" w:color="auto" w:sz="4" w:space="0"/>
            </w:tcBorders>
            <w:shd w:val="clear" w:color="auto" w:fill="auto"/>
            <w:noWrap/>
            <w:vAlign w:val="bottom"/>
          </w:tcPr>
          <w:p w14:paraId="6BD6A1E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1.755 </w:t>
            </w:r>
          </w:p>
        </w:tc>
        <w:tc>
          <w:tcPr>
            <w:tcW w:w="1243" w:type="dxa"/>
            <w:tcBorders>
              <w:top w:val="nil"/>
              <w:left w:val="nil"/>
              <w:bottom w:val="single" w:color="auto" w:sz="4" w:space="0"/>
              <w:right w:val="single" w:color="auto" w:sz="4" w:space="0"/>
            </w:tcBorders>
            <w:shd w:val="clear" w:color="auto" w:fill="auto"/>
            <w:noWrap/>
            <w:vAlign w:val="bottom"/>
          </w:tcPr>
          <w:p w14:paraId="71123C5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8.725 </w:t>
            </w:r>
          </w:p>
        </w:tc>
        <w:tc>
          <w:tcPr>
            <w:tcW w:w="1243" w:type="dxa"/>
            <w:tcBorders>
              <w:top w:val="nil"/>
              <w:left w:val="nil"/>
              <w:bottom w:val="single" w:color="auto" w:sz="4" w:space="0"/>
              <w:right w:val="single" w:color="auto" w:sz="4" w:space="0"/>
            </w:tcBorders>
            <w:shd w:val="clear" w:color="auto" w:fill="auto"/>
            <w:noWrap/>
            <w:vAlign w:val="bottom"/>
          </w:tcPr>
          <w:p w14:paraId="4F31503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13.417 </w:t>
            </w:r>
          </w:p>
        </w:tc>
        <w:tc>
          <w:tcPr>
            <w:tcW w:w="1247" w:type="dxa"/>
            <w:tcBorders>
              <w:top w:val="nil"/>
              <w:left w:val="nil"/>
              <w:bottom w:val="single" w:color="auto" w:sz="4" w:space="0"/>
              <w:right w:val="single" w:color="auto" w:sz="4" w:space="0"/>
            </w:tcBorders>
            <w:vAlign w:val="bottom"/>
          </w:tcPr>
          <w:p w14:paraId="24C0F78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22.418 </w:t>
            </w:r>
          </w:p>
        </w:tc>
      </w:tr>
      <w:tr w14:paraId="23235F29">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195FA5D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5D18E72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0.289 </w:t>
            </w:r>
          </w:p>
        </w:tc>
        <w:tc>
          <w:tcPr>
            <w:tcW w:w="1243" w:type="dxa"/>
            <w:tcBorders>
              <w:top w:val="nil"/>
              <w:left w:val="nil"/>
              <w:bottom w:val="single" w:color="auto" w:sz="4" w:space="0"/>
              <w:right w:val="single" w:color="auto" w:sz="4" w:space="0"/>
            </w:tcBorders>
            <w:shd w:val="clear" w:color="auto" w:fill="auto"/>
            <w:noWrap/>
            <w:vAlign w:val="bottom"/>
          </w:tcPr>
          <w:p w14:paraId="0A01FC6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1.785 </w:t>
            </w:r>
          </w:p>
        </w:tc>
        <w:tc>
          <w:tcPr>
            <w:tcW w:w="1243" w:type="dxa"/>
            <w:tcBorders>
              <w:top w:val="nil"/>
              <w:left w:val="nil"/>
              <w:bottom w:val="single" w:color="auto" w:sz="4" w:space="0"/>
              <w:right w:val="single" w:color="auto" w:sz="4" w:space="0"/>
            </w:tcBorders>
            <w:shd w:val="clear" w:color="auto" w:fill="auto"/>
            <w:noWrap/>
            <w:vAlign w:val="bottom"/>
          </w:tcPr>
          <w:p w14:paraId="61402C7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8.736 </w:t>
            </w:r>
          </w:p>
        </w:tc>
        <w:tc>
          <w:tcPr>
            <w:tcW w:w="1243" w:type="dxa"/>
            <w:tcBorders>
              <w:top w:val="nil"/>
              <w:left w:val="nil"/>
              <w:bottom w:val="single" w:color="auto" w:sz="4" w:space="0"/>
              <w:right w:val="single" w:color="auto" w:sz="4" w:space="0"/>
            </w:tcBorders>
            <w:shd w:val="clear" w:color="auto" w:fill="auto"/>
            <w:noWrap/>
            <w:vAlign w:val="bottom"/>
          </w:tcPr>
          <w:p w14:paraId="1A2D013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13.482 </w:t>
            </w:r>
          </w:p>
        </w:tc>
        <w:tc>
          <w:tcPr>
            <w:tcW w:w="1247" w:type="dxa"/>
            <w:tcBorders>
              <w:top w:val="nil"/>
              <w:left w:val="nil"/>
              <w:bottom w:val="single" w:color="auto" w:sz="4" w:space="0"/>
              <w:right w:val="single" w:color="auto" w:sz="4" w:space="0"/>
            </w:tcBorders>
            <w:vAlign w:val="bottom"/>
          </w:tcPr>
          <w:p w14:paraId="75D9407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22.421 </w:t>
            </w:r>
          </w:p>
        </w:tc>
      </w:tr>
      <w:tr w14:paraId="7132E105">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1FD5CFFD">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1539403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0.293 </w:t>
            </w:r>
          </w:p>
        </w:tc>
        <w:tc>
          <w:tcPr>
            <w:tcW w:w="1243" w:type="dxa"/>
            <w:tcBorders>
              <w:top w:val="nil"/>
              <w:left w:val="nil"/>
              <w:bottom w:val="single" w:color="auto" w:sz="4" w:space="0"/>
              <w:right w:val="single" w:color="auto" w:sz="4" w:space="0"/>
            </w:tcBorders>
            <w:shd w:val="clear" w:color="auto" w:fill="auto"/>
            <w:noWrap/>
            <w:vAlign w:val="bottom"/>
          </w:tcPr>
          <w:p w14:paraId="3264C87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1.741 </w:t>
            </w:r>
          </w:p>
        </w:tc>
        <w:tc>
          <w:tcPr>
            <w:tcW w:w="1243" w:type="dxa"/>
            <w:tcBorders>
              <w:top w:val="nil"/>
              <w:left w:val="nil"/>
              <w:bottom w:val="single" w:color="auto" w:sz="4" w:space="0"/>
              <w:right w:val="single" w:color="auto" w:sz="4" w:space="0"/>
            </w:tcBorders>
            <w:shd w:val="clear" w:color="auto" w:fill="auto"/>
            <w:noWrap/>
            <w:vAlign w:val="bottom"/>
          </w:tcPr>
          <w:p w14:paraId="719891C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8.721 </w:t>
            </w:r>
          </w:p>
        </w:tc>
        <w:tc>
          <w:tcPr>
            <w:tcW w:w="1243" w:type="dxa"/>
            <w:tcBorders>
              <w:top w:val="nil"/>
              <w:left w:val="nil"/>
              <w:bottom w:val="single" w:color="auto" w:sz="4" w:space="0"/>
              <w:right w:val="single" w:color="auto" w:sz="4" w:space="0"/>
            </w:tcBorders>
            <w:shd w:val="clear" w:color="auto" w:fill="auto"/>
            <w:noWrap/>
            <w:vAlign w:val="bottom"/>
          </w:tcPr>
          <w:p w14:paraId="0E973B3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13.358 </w:t>
            </w:r>
          </w:p>
        </w:tc>
        <w:tc>
          <w:tcPr>
            <w:tcW w:w="1247" w:type="dxa"/>
            <w:tcBorders>
              <w:top w:val="nil"/>
              <w:left w:val="nil"/>
              <w:bottom w:val="single" w:color="auto" w:sz="4" w:space="0"/>
              <w:right w:val="single" w:color="auto" w:sz="4" w:space="0"/>
            </w:tcBorders>
            <w:vAlign w:val="bottom"/>
          </w:tcPr>
          <w:p w14:paraId="5050B11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22.533 </w:t>
            </w:r>
          </w:p>
        </w:tc>
      </w:tr>
      <w:tr w14:paraId="2CDB4647">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557EE37B">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5E90943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0.295 </w:t>
            </w:r>
          </w:p>
        </w:tc>
        <w:tc>
          <w:tcPr>
            <w:tcW w:w="1243" w:type="dxa"/>
            <w:tcBorders>
              <w:top w:val="nil"/>
              <w:left w:val="nil"/>
              <w:bottom w:val="single" w:color="auto" w:sz="4" w:space="0"/>
              <w:right w:val="single" w:color="auto" w:sz="4" w:space="0"/>
            </w:tcBorders>
            <w:shd w:val="clear" w:color="auto" w:fill="auto"/>
            <w:noWrap/>
            <w:vAlign w:val="bottom"/>
          </w:tcPr>
          <w:p w14:paraId="6FDEE47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1.766 </w:t>
            </w:r>
          </w:p>
        </w:tc>
        <w:tc>
          <w:tcPr>
            <w:tcW w:w="1243" w:type="dxa"/>
            <w:tcBorders>
              <w:top w:val="nil"/>
              <w:left w:val="nil"/>
              <w:bottom w:val="single" w:color="auto" w:sz="4" w:space="0"/>
              <w:right w:val="single" w:color="auto" w:sz="4" w:space="0"/>
            </w:tcBorders>
            <w:shd w:val="clear" w:color="auto" w:fill="auto"/>
            <w:noWrap/>
            <w:vAlign w:val="bottom"/>
          </w:tcPr>
          <w:p w14:paraId="0107D86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8.858 </w:t>
            </w:r>
          </w:p>
        </w:tc>
        <w:tc>
          <w:tcPr>
            <w:tcW w:w="1243" w:type="dxa"/>
            <w:tcBorders>
              <w:top w:val="nil"/>
              <w:left w:val="nil"/>
              <w:bottom w:val="single" w:color="auto" w:sz="4" w:space="0"/>
              <w:right w:val="single" w:color="auto" w:sz="4" w:space="0"/>
            </w:tcBorders>
            <w:shd w:val="clear" w:color="auto" w:fill="auto"/>
            <w:noWrap/>
            <w:vAlign w:val="bottom"/>
          </w:tcPr>
          <w:p w14:paraId="4CB480C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13.426 </w:t>
            </w:r>
          </w:p>
        </w:tc>
        <w:tc>
          <w:tcPr>
            <w:tcW w:w="1247" w:type="dxa"/>
            <w:tcBorders>
              <w:top w:val="nil"/>
              <w:left w:val="nil"/>
              <w:bottom w:val="single" w:color="auto" w:sz="4" w:space="0"/>
              <w:right w:val="single" w:color="auto" w:sz="4" w:space="0"/>
            </w:tcBorders>
            <w:vAlign w:val="bottom"/>
          </w:tcPr>
          <w:p w14:paraId="547C9E3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22.642 </w:t>
            </w:r>
          </w:p>
        </w:tc>
      </w:tr>
      <w:tr w14:paraId="5A1E8EE1">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4BDC43ED">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7DBF899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0.298 </w:t>
            </w:r>
          </w:p>
        </w:tc>
        <w:tc>
          <w:tcPr>
            <w:tcW w:w="1243" w:type="dxa"/>
            <w:tcBorders>
              <w:top w:val="nil"/>
              <w:left w:val="nil"/>
              <w:bottom w:val="single" w:color="auto" w:sz="4" w:space="0"/>
              <w:right w:val="single" w:color="auto" w:sz="4" w:space="0"/>
            </w:tcBorders>
            <w:shd w:val="clear" w:color="auto" w:fill="auto"/>
            <w:noWrap/>
            <w:vAlign w:val="bottom"/>
          </w:tcPr>
          <w:p w14:paraId="5BDAEA5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1.772 </w:t>
            </w:r>
          </w:p>
        </w:tc>
        <w:tc>
          <w:tcPr>
            <w:tcW w:w="1243" w:type="dxa"/>
            <w:tcBorders>
              <w:top w:val="nil"/>
              <w:left w:val="nil"/>
              <w:bottom w:val="single" w:color="auto" w:sz="4" w:space="0"/>
              <w:right w:val="single" w:color="auto" w:sz="4" w:space="0"/>
            </w:tcBorders>
            <w:shd w:val="clear" w:color="auto" w:fill="auto"/>
            <w:noWrap/>
            <w:vAlign w:val="bottom"/>
          </w:tcPr>
          <w:p w14:paraId="2566B2E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8.722 </w:t>
            </w:r>
          </w:p>
        </w:tc>
        <w:tc>
          <w:tcPr>
            <w:tcW w:w="1243" w:type="dxa"/>
            <w:tcBorders>
              <w:top w:val="nil"/>
              <w:left w:val="nil"/>
              <w:bottom w:val="single" w:color="auto" w:sz="4" w:space="0"/>
              <w:right w:val="single" w:color="auto" w:sz="4" w:space="0"/>
            </w:tcBorders>
            <w:shd w:val="clear" w:color="auto" w:fill="auto"/>
            <w:noWrap/>
            <w:vAlign w:val="bottom"/>
          </w:tcPr>
          <w:p w14:paraId="2F1AEFB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13.437 </w:t>
            </w:r>
          </w:p>
        </w:tc>
        <w:tc>
          <w:tcPr>
            <w:tcW w:w="1247" w:type="dxa"/>
            <w:tcBorders>
              <w:top w:val="nil"/>
              <w:left w:val="nil"/>
              <w:bottom w:val="single" w:color="auto" w:sz="4" w:space="0"/>
              <w:right w:val="single" w:color="auto" w:sz="4" w:space="0"/>
            </w:tcBorders>
            <w:vAlign w:val="bottom"/>
          </w:tcPr>
          <w:p w14:paraId="05FD9B2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22.528 </w:t>
            </w:r>
          </w:p>
        </w:tc>
      </w:tr>
      <w:tr w14:paraId="3E3FF3A7">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74BBC495">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3C9782F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0.290 </w:t>
            </w:r>
          </w:p>
        </w:tc>
        <w:tc>
          <w:tcPr>
            <w:tcW w:w="1243" w:type="dxa"/>
            <w:tcBorders>
              <w:top w:val="nil"/>
              <w:left w:val="nil"/>
              <w:bottom w:val="single" w:color="auto" w:sz="4" w:space="0"/>
              <w:right w:val="single" w:color="auto" w:sz="4" w:space="0"/>
            </w:tcBorders>
            <w:shd w:val="clear" w:color="auto" w:fill="auto"/>
            <w:noWrap/>
            <w:vAlign w:val="bottom"/>
          </w:tcPr>
          <w:p w14:paraId="7268C6C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1.791 </w:t>
            </w:r>
          </w:p>
        </w:tc>
        <w:tc>
          <w:tcPr>
            <w:tcW w:w="1243" w:type="dxa"/>
            <w:tcBorders>
              <w:top w:val="nil"/>
              <w:left w:val="nil"/>
              <w:bottom w:val="single" w:color="auto" w:sz="4" w:space="0"/>
              <w:right w:val="single" w:color="auto" w:sz="4" w:space="0"/>
            </w:tcBorders>
            <w:shd w:val="clear" w:color="auto" w:fill="auto"/>
            <w:noWrap/>
            <w:vAlign w:val="bottom"/>
          </w:tcPr>
          <w:p w14:paraId="7B1E288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8.707 </w:t>
            </w:r>
          </w:p>
        </w:tc>
        <w:tc>
          <w:tcPr>
            <w:tcW w:w="1243" w:type="dxa"/>
            <w:tcBorders>
              <w:top w:val="nil"/>
              <w:left w:val="nil"/>
              <w:bottom w:val="single" w:color="auto" w:sz="4" w:space="0"/>
              <w:right w:val="single" w:color="auto" w:sz="4" w:space="0"/>
            </w:tcBorders>
            <w:shd w:val="clear" w:color="auto" w:fill="auto"/>
            <w:noWrap/>
            <w:vAlign w:val="bottom"/>
          </w:tcPr>
          <w:p w14:paraId="69550BC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13.401 </w:t>
            </w:r>
          </w:p>
        </w:tc>
        <w:tc>
          <w:tcPr>
            <w:tcW w:w="1247" w:type="dxa"/>
            <w:tcBorders>
              <w:top w:val="nil"/>
              <w:left w:val="nil"/>
              <w:bottom w:val="single" w:color="auto" w:sz="4" w:space="0"/>
              <w:right w:val="single" w:color="auto" w:sz="4" w:space="0"/>
            </w:tcBorders>
            <w:vAlign w:val="bottom"/>
          </w:tcPr>
          <w:p w14:paraId="6D4597A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22.549 </w:t>
            </w:r>
          </w:p>
        </w:tc>
      </w:tr>
      <w:tr w14:paraId="1446756E">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2FA5E989">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7605554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0.292 </w:t>
            </w:r>
          </w:p>
        </w:tc>
        <w:tc>
          <w:tcPr>
            <w:tcW w:w="1243" w:type="dxa"/>
            <w:tcBorders>
              <w:top w:val="nil"/>
              <w:left w:val="nil"/>
              <w:bottom w:val="single" w:color="auto" w:sz="4" w:space="0"/>
              <w:right w:val="single" w:color="auto" w:sz="4" w:space="0"/>
            </w:tcBorders>
            <w:shd w:val="clear" w:color="auto" w:fill="auto"/>
            <w:noWrap/>
            <w:vAlign w:val="bottom"/>
          </w:tcPr>
          <w:p w14:paraId="573B304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1.749 </w:t>
            </w:r>
          </w:p>
        </w:tc>
        <w:tc>
          <w:tcPr>
            <w:tcW w:w="1243" w:type="dxa"/>
            <w:tcBorders>
              <w:top w:val="nil"/>
              <w:left w:val="nil"/>
              <w:bottom w:val="single" w:color="auto" w:sz="4" w:space="0"/>
              <w:right w:val="single" w:color="auto" w:sz="4" w:space="0"/>
            </w:tcBorders>
            <w:shd w:val="clear" w:color="auto" w:fill="auto"/>
            <w:noWrap/>
            <w:vAlign w:val="bottom"/>
          </w:tcPr>
          <w:p w14:paraId="5DDE50F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8.711 </w:t>
            </w:r>
          </w:p>
        </w:tc>
        <w:tc>
          <w:tcPr>
            <w:tcW w:w="1243" w:type="dxa"/>
            <w:tcBorders>
              <w:top w:val="nil"/>
              <w:left w:val="nil"/>
              <w:bottom w:val="single" w:color="auto" w:sz="4" w:space="0"/>
              <w:right w:val="single" w:color="auto" w:sz="4" w:space="0"/>
            </w:tcBorders>
            <w:shd w:val="clear" w:color="auto" w:fill="auto"/>
            <w:noWrap/>
            <w:vAlign w:val="bottom"/>
          </w:tcPr>
          <w:p w14:paraId="33C70D5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13.422 </w:t>
            </w:r>
          </w:p>
        </w:tc>
        <w:tc>
          <w:tcPr>
            <w:tcW w:w="1247" w:type="dxa"/>
            <w:tcBorders>
              <w:top w:val="nil"/>
              <w:left w:val="nil"/>
              <w:bottom w:val="single" w:color="auto" w:sz="4" w:space="0"/>
              <w:right w:val="single" w:color="auto" w:sz="4" w:space="0"/>
            </w:tcBorders>
            <w:vAlign w:val="bottom"/>
          </w:tcPr>
          <w:p w14:paraId="439F88A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22.641 </w:t>
            </w:r>
          </w:p>
        </w:tc>
      </w:tr>
      <w:tr w14:paraId="6B3C57F7">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15297A8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3B80257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0.296 </w:t>
            </w:r>
          </w:p>
        </w:tc>
        <w:tc>
          <w:tcPr>
            <w:tcW w:w="1243" w:type="dxa"/>
            <w:tcBorders>
              <w:top w:val="nil"/>
              <w:left w:val="nil"/>
              <w:bottom w:val="single" w:color="auto" w:sz="4" w:space="0"/>
              <w:right w:val="single" w:color="auto" w:sz="4" w:space="0"/>
            </w:tcBorders>
            <w:shd w:val="clear" w:color="auto" w:fill="auto"/>
            <w:noWrap/>
            <w:vAlign w:val="bottom"/>
          </w:tcPr>
          <w:p w14:paraId="206E389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1.750 </w:t>
            </w:r>
          </w:p>
        </w:tc>
        <w:tc>
          <w:tcPr>
            <w:tcW w:w="1243" w:type="dxa"/>
            <w:tcBorders>
              <w:top w:val="nil"/>
              <w:left w:val="nil"/>
              <w:bottom w:val="single" w:color="auto" w:sz="4" w:space="0"/>
              <w:right w:val="single" w:color="auto" w:sz="4" w:space="0"/>
            </w:tcBorders>
            <w:shd w:val="clear" w:color="auto" w:fill="auto"/>
            <w:noWrap/>
            <w:vAlign w:val="bottom"/>
          </w:tcPr>
          <w:p w14:paraId="27849E4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8.787 </w:t>
            </w:r>
          </w:p>
        </w:tc>
        <w:tc>
          <w:tcPr>
            <w:tcW w:w="1243" w:type="dxa"/>
            <w:tcBorders>
              <w:top w:val="nil"/>
              <w:left w:val="nil"/>
              <w:bottom w:val="single" w:color="auto" w:sz="4" w:space="0"/>
              <w:right w:val="single" w:color="auto" w:sz="4" w:space="0"/>
            </w:tcBorders>
            <w:shd w:val="clear" w:color="auto" w:fill="auto"/>
            <w:noWrap/>
            <w:vAlign w:val="bottom"/>
          </w:tcPr>
          <w:p w14:paraId="74C9ABA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13.460 </w:t>
            </w:r>
          </w:p>
        </w:tc>
        <w:tc>
          <w:tcPr>
            <w:tcW w:w="1247" w:type="dxa"/>
            <w:tcBorders>
              <w:top w:val="nil"/>
              <w:left w:val="nil"/>
              <w:bottom w:val="single" w:color="auto" w:sz="4" w:space="0"/>
              <w:right w:val="single" w:color="auto" w:sz="4" w:space="0"/>
            </w:tcBorders>
            <w:vAlign w:val="bottom"/>
          </w:tcPr>
          <w:p w14:paraId="17DB7E9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22.484 </w:t>
            </w:r>
          </w:p>
        </w:tc>
      </w:tr>
      <w:tr w14:paraId="55042729">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30F829E0">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6F9DEBE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0.294 </w:t>
            </w:r>
          </w:p>
        </w:tc>
        <w:tc>
          <w:tcPr>
            <w:tcW w:w="1243" w:type="dxa"/>
            <w:tcBorders>
              <w:top w:val="nil"/>
              <w:left w:val="nil"/>
              <w:bottom w:val="single" w:color="auto" w:sz="4" w:space="0"/>
              <w:right w:val="single" w:color="auto" w:sz="4" w:space="0"/>
            </w:tcBorders>
            <w:shd w:val="clear" w:color="auto" w:fill="auto"/>
            <w:noWrap/>
            <w:vAlign w:val="bottom"/>
          </w:tcPr>
          <w:p w14:paraId="5375E72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1.752 </w:t>
            </w:r>
          </w:p>
        </w:tc>
        <w:tc>
          <w:tcPr>
            <w:tcW w:w="1243" w:type="dxa"/>
            <w:tcBorders>
              <w:top w:val="nil"/>
              <w:left w:val="nil"/>
              <w:bottom w:val="single" w:color="auto" w:sz="4" w:space="0"/>
              <w:right w:val="single" w:color="auto" w:sz="4" w:space="0"/>
            </w:tcBorders>
            <w:shd w:val="clear" w:color="auto" w:fill="auto"/>
            <w:noWrap/>
            <w:vAlign w:val="bottom"/>
          </w:tcPr>
          <w:p w14:paraId="40A6EAE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8.702 </w:t>
            </w:r>
          </w:p>
        </w:tc>
        <w:tc>
          <w:tcPr>
            <w:tcW w:w="1243" w:type="dxa"/>
            <w:tcBorders>
              <w:top w:val="nil"/>
              <w:left w:val="nil"/>
              <w:bottom w:val="single" w:color="auto" w:sz="4" w:space="0"/>
              <w:right w:val="single" w:color="auto" w:sz="4" w:space="0"/>
            </w:tcBorders>
            <w:shd w:val="clear" w:color="auto" w:fill="auto"/>
            <w:noWrap/>
            <w:vAlign w:val="bottom"/>
          </w:tcPr>
          <w:p w14:paraId="34B99C5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13.445 </w:t>
            </w:r>
          </w:p>
        </w:tc>
        <w:tc>
          <w:tcPr>
            <w:tcW w:w="1247" w:type="dxa"/>
            <w:tcBorders>
              <w:top w:val="nil"/>
              <w:left w:val="nil"/>
              <w:bottom w:val="single" w:color="auto" w:sz="4" w:space="0"/>
              <w:right w:val="single" w:color="auto" w:sz="4" w:space="0"/>
            </w:tcBorders>
            <w:vAlign w:val="bottom"/>
          </w:tcPr>
          <w:p w14:paraId="56B5C58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22.565 </w:t>
            </w:r>
          </w:p>
        </w:tc>
      </w:tr>
      <w:tr w14:paraId="4A6DB7E9">
        <w:tblPrEx>
          <w:tblCellMar>
            <w:top w:w="0" w:type="dxa"/>
            <w:left w:w="108" w:type="dxa"/>
            <w:bottom w:w="0" w:type="dxa"/>
            <w:right w:w="108" w:type="dxa"/>
          </w:tblCellMar>
        </w:tblPrEx>
        <w:trPr>
          <w:trHeight w:val="312" w:hRule="exact"/>
          <w:jc w:val="center"/>
        </w:trPr>
        <w:tc>
          <w:tcPr>
            <w:tcW w:w="1351" w:type="pct"/>
            <w:vMerge w:val="continue"/>
            <w:tcBorders>
              <w:top w:val="nil"/>
              <w:left w:val="single" w:color="auto" w:sz="4" w:space="0"/>
              <w:bottom w:val="single" w:color="auto" w:sz="4" w:space="0"/>
              <w:right w:val="single" w:color="auto" w:sz="4" w:space="0"/>
            </w:tcBorders>
            <w:vAlign w:val="center"/>
          </w:tcPr>
          <w:p w14:paraId="7972D2F7">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1243" w:type="dxa"/>
            <w:tcBorders>
              <w:top w:val="nil"/>
              <w:left w:val="nil"/>
              <w:bottom w:val="single" w:color="auto" w:sz="4" w:space="0"/>
              <w:right w:val="single" w:color="auto" w:sz="4" w:space="0"/>
            </w:tcBorders>
            <w:shd w:val="clear" w:color="auto" w:fill="auto"/>
            <w:noWrap/>
            <w:vAlign w:val="bottom"/>
          </w:tcPr>
          <w:p w14:paraId="78AFCC3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0.294 </w:t>
            </w:r>
          </w:p>
        </w:tc>
        <w:tc>
          <w:tcPr>
            <w:tcW w:w="1243" w:type="dxa"/>
            <w:tcBorders>
              <w:top w:val="nil"/>
              <w:left w:val="nil"/>
              <w:bottom w:val="single" w:color="auto" w:sz="4" w:space="0"/>
              <w:right w:val="single" w:color="auto" w:sz="4" w:space="0"/>
            </w:tcBorders>
            <w:shd w:val="clear" w:color="auto" w:fill="auto"/>
            <w:noWrap/>
            <w:vAlign w:val="bottom"/>
          </w:tcPr>
          <w:p w14:paraId="17A2121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1.762 </w:t>
            </w:r>
          </w:p>
        </w:tc>
        <w:tc>
          <w:tcPr>
            <w:tcW w:w="1243" w:type="dxa"/>
            <w:tcBorders>
              <w:top w:val="nil"/>
              <w:left w:val="nil"/>
              <w:bottom w:val="single" w:color="auto" w:sz="4" w:space="0"/>
              <w:right w:val="single" w:color="auto" w:sz="4" w:space="0"/>
            </w:tcBorders>
            <w:shd w:val="clear" w:color="auto" w:fill="auto"/>
            <w:noWrap/>
            <w:vAlign w:val="bottom"/>
          </w:tcPr>
          <w:p w14:paraId="63F49F2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8.774 </w:t>
            </w:r>
          </w:p>
        </w:tc>
        <w:tc>
          <w:tcPr>
            <w:tcW w:w="1243" w:type="dxa"/>
            <w:tcBorders>
              <w:top w:val="nil"/>
              <w:left w:val="nil"/>
              <w:bottom w:val="single" w:color="auto" w:sz="4" w:space="0"/>
              <w:right w:val="single" w:color="auto" w:sz="4" w:space="0"/>
            </w:tcBorders>
            <w:shd w:val="clear" w:color="auto" w:fill="auto"/>
            <w:noWrap/>
            <w:vAlign w:val="bottom"/>
          </w:tcPr>
          <w:p w14:paraId="2277F4C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13.458 </w:t>
            </w:r>
          </w:p>
        </w:tc>
        <w:tc>
          <w:tcPr>
            <w:tcW w:w="1247" w:type="dxa"/>
            <w:tcBorders>
              <w:top w:val="nil"/>
              <w:left w:val="nil"/>
              <w:bottom w:val="single" w:color="auto" w:sz="4" w:space="0"/>
              <w:right w:val="single" w:color="auto" w:sz="4" w:space="0"/>
            </w:tcBorders>
            <w:vAlign w:val="bottom"/>
          </w:tcPr>
          <w:p w14:paraId="6BD517E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22.554 </w:t>
            </w:r>
          </w:p>
        </w:tc>
      </w:tr>
    </w:tbl>
    <w:p w14:paraId="404038EF">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cs="Times New Roman"/>
          <w:szCs w:val="21"/>
        </w:rPr>
      </w:pPr>
    </w:p>
    <w:p w14:paraId="2609265B">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表A.2 各单元平均值（%）</w:t>
      </w:r>
    </w:p>
    <w:tbl>
      <w:tblPr>
        <w:tblStyle w:val="4"/>
        <w:tblW w:w="5000" w:type="pct"/>
        <w:tblInd w:w="0" w:type="dxa"/>
        <w:tblLayout w:type="fixed"/>
        <w:tblCellMar>
          <w:top w:w="0" w:type="dxa"/>
          <w:left w:w="108" w:type="dxa"/>
          <w:bottom w:w="0" w:type="dxa"/>
          <w:right w:w="108" w:type="dxa"/>
        </w:tblCellMar>
      </w:tblPr>
      <w:tblGrid>
        <w:gridCol w:w="3074"/>
        <w:gridCol w:w="1089"/>
        <w:gridCol w:w="1089"/>
        <w:gridCol w:w="1089"/>
        <w:gridCol w:w="1089"/>
        <w:gridCol w:w="1092"/>
      </w:tblGrid>
      <w:tr w14:paraId="6D55395E">
        <w:tblPrEx>
          <w:tblCellMar>
            <w:top w:w="0" w:type="dxa"/>
            <w:left w:w="108" w:type="dxa"/>
            <w:bottom w:w="0" w:type="dxa"/>
            <w:right w:w="108" w:type="dxa"/>
          </w:tblCellMar>
        </w:tblPrEx>
        <w:trPr>
          <w:trHeight w:val="360" w:hRule="atLeast"/>
          <w:tblHeader/>
        </w:trPr>
        <w:tc>
          <w:tcPr>
            <w:tcW w:w="18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9CEC0B">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实验室</w:t>
            </w:r>
          </w:p>
        </w:tc>
        <w:tc>
          <w:tcPr>
            <w:tcW w:w="638" w:type="pct"/>
            <w:tcBorders>
              <w:top w:val="single" w:color="auto" w:sz="4" w:space="0"/>
              <w:left w:val="nil"/>
              <w:bottom w:val="single" w:color="auto" w:sz="4" w:space="0"/>
              <w:right w:val="single" w:color="auto" w:sz="4" w:space="0"/>
            </w:tcBorders>
            <w:shd w:val="clear" w:color="auto" w:fill="auto"/>
            <w:noWrap/>
            <w:vAlign w:val="center"/>
          </w:tcPr>
          <w:p w14:paraId="3A7B38CC">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水平1</w:t>
            </w:r>
          </w:p>
        </w:tc>
        <w:tc>
          <w:tcPr>
            <w:tcW w:w="638" w:type="pct"/>
            <w:tcBorders>
              <w:top w:val="single" w:color="auto" w:sz="4" w:space="0"/>
              <w:left w:val="nil"/>
              <w:bottom w:val="single" w:color="auto" w:sz="4" w:space="0"/>
              <w:right w:val="single" w:color="auto" w:sz="4" w:space="0"/>
            </w:tcBorders>
            <w:shd w:val="clear" w:color="auto" w:fill="auto"/>
            <w:noWrap/>
            <w:vAlign w:val="center"/>
          </w:tcPr>
          <w:p w14:paraId="0632C39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水平2</w:t>
            </w:r>
          </w:p>
        </w:tc>
        <w:tc>
          <w:tcPr>
            <w:tcW w:w="638" w:type="pct"/>
            <w:tcBorders>
              <w:top w:val="single" w:color="auto" w:sz="4" w:space="0"/>
              <w:left w:val="nil"/>
              <w:bottom w:val="single" w:color="auto" w:sz="4" w:space="0"/>
              <w:right w:val="single" w:color="auto" w:sz="4" w:space="0"/>
            </w:tcBorders>
            <w:shd w:val="clear" w:color="auto" w:fill="auto"/>
            <w:noWrap/>
            <w:vAlign w:val="center"/>
          </w:tcPr>
          <w:p w14:paraId="6EB98B5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水平3</w:t>
            </w:r>
          </w:p>
        </w:tc>
        <w:tc>
          <w:tcPr>
            <w:tcW w:w="638" w:type="pct"/>
            <w:tcBorders>
              <w:top w:val="single" w:color="auto" w:sz="4" w:space="0"/>
              <w:left w:val="nil"/>
              <w:bottom w:val="single" w:color="auto" w:sz="4" w:space="0"/>
              <w:right w:val="single" w:color="auto" w:sz="4" w:space="0"/>
            </w:tcBorders>
          </w:tcPr>
          <w:p w14:paraId="70089269">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水平4</w:t>
            </w:r>
          </w:p>
        </w:tc>
        <w:tc>
          <w:tcPr>
            <w:tcW w:w="640" w:type="pct"/>
            <w:tcBorders>
              <w:top w:val="single" w:color="auto" w:sz="4" w:space="0"/>
              <w:left w:val="nil"/>
              <w:bottom w:val="single" w:color="auto" w:sz="4" w:space="0"/>
              <w:right w:val="single" w:color="auto" w:sz="4" w:space="0"/>
            </w:tcBorders>
          </w:tcPr>
          <w:p w14:paraId="236D1D5A">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水平5</w:t>
            </w:r>
          </w:p>
        </w:tc>
      </w:tr>
      <w:tr w14:paraId="7B362717">
        <w:tblPrEx>
          <w:tblCellMar>
            <w:top w:w="0" w:type="dxa"/>
            <w:left w:w="108" w:type="dxa"/>
            <w:bottom w:w="0" w:type="dxa"/>
            <w:right w:w="108" w:type="dxa"/>
          </w:tblCellMar>
        </w:tblPrEx>
        <w:trPr>
          <w:trHeight w:val="360" w:hRule="atLeast"/>
        </w:trPr>
        <w:tc>
          <w:tcPr>
            <w:tcW w:w="1803" w:type="pct"/>
            <w:tcBorders>
              <w:top w:val="nil"/>
              <w:left w:val="single" w:color="auto" w:sz="4" w:space="0"/>
              <w:bottom w:val="single" w:color="auto" w:sz="4" w:space="0"/>
              <w:right w:val="single" w:color="auto" w:sz="4" w:space="0"/>
            </w:tcBorders>
            <w:shd w:val="clear" w:color="auto" w:fill="auto"/>
            <w:noWrap/>
            <w:vAlign w:val="center"/>
          </w:tcPr>
          <w:p w14:paraId="17F20BA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包头稀土研究研究</w:t>
            </w:r>
          </w:p>
        </w:tc>
        <w:tc>
          <w:tcPr>
            <w:tcW w:w="638" w:type="pct"/>
            <w:tcBorders>
              <w:top w:val="nil"/>
              <w:left w:val="nil"/>
              <w:bottom w:val="single" w:color="auto" w:sz="4" w:space="0"/>
              <w:right w:val="single" w:color="auto" w:sz="4" w:space="0"/>
            </w:tcBorders>
            <w:shd w:val="clear" w:color="auto" w:fill="auto"/>
            <w:noWrap/>
            <w:vAlign w:val="center"/>
          </w:tcPr>
          <w:p w14:paraId="6E526AD4">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0.295</w:t>
            </w:r>
          </w:p>
        </w:tc>
        <w:tc>
          <w:tcPr>
            <w:tcW w:w="638" w:type="pct"/>
            <w:tcBorders>
              <w:top w:val="nil"/>
              <w:left w:val="nil"/>
              <w:bottom w:val="single" w:color="auto" w:sz="4" w:space="0"/>
              <w:right w:val="single" w:color="auto" w:sz="4" w:space="0"/>
            </w:tcBorders>
            <w:shd w:val="clear" w:color="auto" w:fill="auto"/>
            <w:noWrap/>
            <w:vAlign w:val="center"/>
          </w:tcPr>
          <w:p w14:paraId="29E12D8B">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1.760</w:t>
            </w:r>
          </w:p>
        </w:tc>
        <w:tc>
          <w:tcPr>
            <w:tcW w:w="638" w:type="pct"/>
            <w:tcBorders>
              <w:top w:val="nil"/>
              <w:left w:val="nil"/>
              <w:bottom w:val="single" w:color="auto" w:sz="4" w:space="0"/>
              <w:right w:val="single" w:color="auto" w:sz="4" w:space="0"/>
            </w:tcBorders>
            <w:shd w:val="clear" w:color="auto" w:fill="auto"/>
            <w:noWrap/>
            <w:vAlign w:val="center"/>
          </w:tcPr>
          <w:p w14:paraId="060EB28B">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8.635</w:t>
            </w:r>
          </w:p>
        </w:tc>
        <w:tc>
          <w:tcPr>
            <w:tcW w:w="638" w:type="pct"/>
            <w:tcBorders>
              <w:top w:val="nil"/>
              <w:left w:val="nil"/>
              <w:bottom w:val="single" w:color="auto" w:sz="4" w:space="0"/>
              <w:right w:val="single" w:color="auto" w:sz="4" w:space="0"/>
            </w:tcBorders>
            <w:vAlign w:val="center"/>
          </w:tcPr>
          <w:p w14:paraId="34C4769C">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13.393</w:t>
            </w:r>
          </w:p>
        </w:tc>
        <w:tc>
          <w:tcPr>
            <w:tcW w:w="640" w:type="pct"/>
            <w:tcBorders>
              <w:top w:val="nil"/>
              <w:left w:val="nil"/>
              <w:bottom w:val="single" w:color="auto" w:sz="4" w:space="0"/>
              <w:right w:val="single" w:color="auto" w:sz="4" w:space="0"/>
            </w:tcBorders>
            <w:vAlign w:val="center"/>
          </w:tcPr>
          <w:p w14:paraId="3D5BF78E">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22.642</w:t>
            </w:r>
          </w:p>
        </w:tc>
      </w:tr>
      <w:tr w14:paraId="229E7C7E">
        <w:tblPrEx>
          <w:tblCellMar>
            <w:top w:w="0" w:type="dxa"/>
            <w:left w:w="108" w:type="dxa"/>
            <w:bottom w:w="0" w:type="dxa"/>
            <w:right w:w="108" w:type="dxa"/>
          </w:tblCellMar>
        </w:tblPrEx>
        <w:trPr>
          <w:trHeight w:val="360" w:hRule="atLeast"/>
        </w:trPr>
        <w:tc>
          <w:tcPr>
            <w:tcW w:w="1803" w:type="pct"/>
            <w:tcBorders>
              <w:top w:val="nil"/>
              <w:left w:val="single" w:color="auto" w:sz="4" w:space="0"/>
              <w:bottom w:val="single" w:color="auto" w:sz="4" w:space="0"/>
              <w:right w:val="single" w:color="auto" w:sz="4" w:space="0"/>
            </w:tcBorders>
            <w:shd w:val="clear" w:color="auto" w:fill="auto"/>
            <w:noWrap/>
            <w:vAlign w:val="center"/>
          </w:tcPr>
          <w:p w14:paraId="4D27CA81">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国标（北京）检验认证有限公司</w:t>
            </w:r>
          </w:p>
        </w:tc>
        <w:tc>
          <w:tcPr>
            <w:tcW w:w="638" w:type="pct"/>
            <w:tcBorders>
              <w:top w:val="nil"/>
              <w:left w:val="nil"/>
              <w:bottom w:val="single" w:color="auto" w:sz="4" w:space="0"/>
              <w:right w:val="single" w:color="auto" w:sz="4" w:space="0"/>
            </w:tcBorders>
            <w:shd w:val="clear" w:color="auto" w:fill="auto"/>
            <w:noWrap/>
            <w:vAlign w:val="center"/>
          </w:tcPr>
          <w:p w14:paraId="0869CF39">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0.298</w:t>
            </w:r>
          </w:p>
        </w:tc>
        <w:tc>
          <w:tcPr>
            <w:tcW w:w="638" w:type="pct"/>
            <w:tcBorders>
              <w:top w:val="nil"/>
              <w:left w:val="nil"/>
              <w:bottom w:val="single" w:color="auto" w:sz="4" w:space="0"/>
              <w:right w:val="single" w:color="auto" w:sz="4" w:space="0"/>
            </w:tcBorders>
            <w:shd w:val="clear" w:color="auto" w:fill="auto"/>
            <w:noWrap/>
            <w:vAlign w:val="center"/>
          </w:tcPr>
          <w:p w14:paraId="3E18DC09">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1.786</w:t>
            </w:r>
          </w:p>
        </w:tc>
        <w:tc>
          <w:tcPr>
            <w:tcW w:w="638" w:type="pct"/>
            <w:tcBorders>
              <w:top w:val="nil"/>
              <w:left w:val="nil"/>
              <w:bottom w:val="single" w:color="auto" w:sz="4" w:space="0"/>
              <w:right w:val="single" w:color="auto" w:sz="4" w:space="0"/>
            </w:tcBorders>
            <w:shd w:val="clear" w:color="auto" w:fill="auto"/>
            <w:noWrap/>
            <w:vAlign w:val="center"/>
          </w:tcPr>
          <w:p w14:paraId="19DA3BFC">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8.723</w:t>
            </w:r>
          </w:p>
        </w:tc>
        <w:tc>
          <w:tcPr>
            <w:tcW w:w="638" w:type="pct"/>
            <w:tcBorders>
              <w:top w:val="nil"/>
              <w:left w:val="nil"/>
              <w:bottom w:val="single" w:color="auto" w:sz="4" w:space="0"/>
              <w:right w:val="single" w:color="auto" w:sz="4" w:space="0"/>
            </w:tcBorders>
            <w:vAlign w:val="center"/>
          </w:tcPr>
          <w:p w14:paraId="3F92D79F">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13.454</w:t>
            </w:r>
          </w:p>
        </w:tc>
        <w:tc>
          <w:tcPr>
            <w:tcW w:w="640" w:type="pct"/>
            <w:tcBorders>
              <w:top w:val="nil"/>
              <w:left w:val="nil"/>
              <w:bottom w:val="single" w:color="auto" w:sz="4" w:space="0"/>
              <w:right w:val="single" w:color="auto" w:sz="4" w:space="0"/>
            </w:tcBorders>
            <w:vAlign w:val="center"/>
          </w:tcPr>
          <w:p w14:paraId="66CA858C">
            <w:pPr>
              <w:spacing w:line="240" w:lineRule="auto"/>
              <w:jc w:val="center"/>
              <w:rPr>
                <w:rFonts w:hint="default" w:ascii="Times New Roman" w:hAnsi="Times New Roman" w:eastAsia="宋体" w:cs="Times New Roman"/>
                <w:color w:val="000000"/>
                <w:kern w:val="0"/>
                <w:sz w:val="18"/>
                <w:szCs w:val="22"/>
                <w:lang w:val="en-US" w:eastAsia="zh-CN"/>
              </w:rPr>
            </w:pPr>
            <w:r>
              <w:rPr>
                <w:rFonts w:hint="default" w:ascii="Times New Roman" w:hAnsi="Times New Roman" w:cs="Times New Roman"/>
                <w:color w:val="000000"/>
                <w:kern w:val="0"/>
                <w:sz w:val="18"/>
                <w:szCs w:val="22"/>
                <w:lang w:val="en-US" w:eastAsia="zh-CN"/>
              </w:rPr>
              <w:t>--</w:t>
            </w:r>
          </w:p>
        </w:tc>
      </w:tr>
      <w:tr w14:paraId="2C570C00">
        <w:tblPrEx>
          <w:tblCellMar>
            <w:top w:w="0" w:type="dxa"/>
            <w:left w:w="108" w:type="dxa"/>
            <w:bottom w:w="0" w:type="dxa"/>
            <w:right w:w="108" w:type="dxa"/>
          </w:tblCellMar>
        </w:tblPrEx>
        <w:trPr>
          <w:trHeight w:val="360" w:hRule="atLeast"/>
        </w:trPr>
        <w:tc>
          <w:tcPr>
            <w:tcW w:w="1803" w:type="pct"/>
            <w:tcBorders>
              <w:top w:val="nil"/>
              <w:left w:val="single" w:color="auto" w:sz="4" w:space="0"/>
              <w:bottom w:val="single" w:color="auto" w:sz="4" w:space="0"/>
              <w:right w:val="single" w:color="auto" w:sz="4" w:space="0"/>
            </w:tcBorders>
            <w:shd w:val="clear" w:color="auto" w:fill="auto"/>
            <w:noWrap/>
            <w:vAlign w:val="center"/>
          </w:tcPr>
          <w:p w14:paraId="550922B7">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江西金世纪新材料股份有限公司</w:t>
            </w:r>
          </w:p>
        </w:tc>
        <w:tc>
          <w:tcPr>
            <w:tcW w:w="638" w:type="pct"/>
            <w:tcBorders>
              <w:top w:val="nil"/>
              <w:left w:val="nil"/>
              <w:bottom w:val="single" w:color="auto" w:sz="4" w:space="0"/>
              <w:right w:val="single" w:color="auto" w:sz="4" w:space="0"/>
            </w:tcBorders>
            <w:shd w:val="clear" w:color="auto" w:fill="auto"/>
            <w:noWrap/>
            <w:vAlign w:val="center"/>
          </w:tcPr>
          <w:p w14:paraId="502A3757">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0.290</w:t>
            </w:r>
          </w:p>
        </w:tc>
        <w:tc>
          <w:tcPr>
            <w:tcW w:w="638" w:type="pct"/>
            <w:tcBorders>
              <w:top w:val="nil"/>
              <w:left w:val="nil"/>
              <w:bottom w:val="single" w:color="auto" w:sz="4" w:space="0"/>
              <w:right w:val="single" w:color="auto" w:sz="4" w:space="0"/>
            </w:tcBorders>
            <w:shd w:val="clear" w:color="auto" w:fill="auto"/>
            <w:noWrap/>
            <w:vAlign w:val="center"/>
          </w:tcPr>
          <w:p w14:paraId="5CF2E85B">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1.796</w:t>
            </w:r>
          </w:p>
        </w:tc>
        <w:tc>
          <w:tcPr>
            <w:tcW w:w="638" w:type="pct"/>
            <w:tcBorders>
              <w:top w:val="nil"/>
              <w:left w:val="nil"/>
              <w:bottom w:val="single" w:color="auto" w:sz="4" w:space="0"/>
              <w:right w:val="single" w:color="auto" w:sz="4" w:space="0"/>
            </w:tcBorders>
            <w:shd w:val="clear" w:color="auto" w:fill="auto"/>
            <w:noWrap/>
            <w:vAlign w:val="center"/>
          </w:tcPr>
          <w:p w14:paraId="6686C1C2">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8.839</w:t>
            </w:r>
          </w:p>
        </w:tc>
        <w:tc>
          <w:tcPr>
            <w:tcW w:w="638" w:type="pct"/>
            <w:tcBorders>
              <w:top w:val="nil"/>
              <w:left w:val="nil"/>
              <w:bottom w:val="single" w:color="auto" w:sz="4" w:space="0"/>
              <w:right w:val="single" w:color="auto" w:sz="4" w:space="0"/>
            </w:tcBorders>
            <w:vAlign w:val="center"/>
          </w:tcPr>
          <w:p w14:paraId="682A618C">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13.408</w:t>
            </w:r>
          </w:p>
        </w:tc>
        <w:tc>
          <w:tcPr>
            <w:tcW w:w="640" w:type="pct"/>
            <w:tcBorders>
              <w:top w:val="nil"/>
              <w:left w:val="nil"/>
              <w:bottom w:val="single" w:color="auto" w:sz="4" w:space="0"/>
              <w:right w:val="single" w:color="auto" w:sz="4" w:space="0"/>
            </w:tcBorders>
            <w:vAlign w:val="center"/>
          </w:tcPr>
          <w:p w14:paraId="0B82587A">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22.703</w:t>
            </w:r>
          </w:p>
        </w:tc>
      </w:tr>
      <w:tr w14:paraId="5149199A">
        <w:tblPrEx>
          <w:tblCellMar>
            <w:top w:w="0" w:type="dxa"/>
            <w:left w:w="108" w:type="dxa"/>
            <w:bottom w:w="0" w:type="dxa"/>
            <w:right w:w="108" w:type="dxa"/>
          </w:tblCellMar>
        </w:tblPrEx>
        <w:trPr>
          <w:trHeight w:val="360" w:hRule="atLeast"/>
        </w:trPr>
        <w:tc>
          <w:tcPr>
            <w:tcW w:w="1803" w:type="pct"/>
            <w:tcBorders>
              <w:top w:val="nil"/>
              <w:left w:val="single" w:color="auto" w:sz="4" w:space="0"/>
              <w:bottom w:val="single" w:color="auto" w:sz="4" w:space="0"/>
              <w:right w:val="single" w:color="auto" w:sz="4" w:space="0"/>
            </w:tcBorders>
            <w:shd w:val="clear" w:color="auto" w:fill="auto"/>
            <w:noWrap/>
            <w:vAlign w:val="center"/>
          </w:tcPr>
          <w:p w14:paraId="30370B7E">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厦门稀土材料研究所</w:t>
            </w:r>
          </w:p>
        </w:tc>
        <w:tc>
          <w:tcPr>
            <w:tcW w:w="638" w:type="pct"/>
            <w:tcBorders>
              <w:top w:val="nil"/>
              <w:left w:val="nil"/>
              <w:bottom w:val="single" w:color="auto" w:sz="4" w:space="0"/>
              <w:right w:val="single" w:color="auto" w:sz="4" w:space="0"/>
            </w:tcBorders>
            <w:shd w:val="clear" w:color="auto" w:fill="auto"/>
            <w:noWrap/>
            <w:vAlign w:val="center"/>
          </w:tcPr>
          <w:p w14:paraId="08002888">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0.296</w:t>
            </w:r>
          </w:p>
        </w:tc>
        <w:tc>
          <w:tcPr>
            <w:tcW w:w="638" w:type="pct"/>
            <w:tcBorders>
              <w:top w:val="nil"/>
              <w:left w:val="nil"/>
              <w:bottom w:val="single" w:color="auto" w:sz="4" w:space="0"/>
              <w:right w:val="single" w:color="auto" w:sz="4" w:space="0"/>
            </w:tcBorders>
            <w:shd w:val="clear" w:color="auto" w:fill="auto"/>
            <w:noWrap/>
            <w:vAlign w:val="center"/>
          </w:tcPr>
          <w:p w14:paraId="2AE8AA25">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1.792</w:t>
            </w:r>
          </w:p>
        </w:tc>
        <w:tc>
          <w:tcPr>
            <w:tcW w:w="638" w:type="pct"/>
            <w:tcBorders>
              <w:top w:val="nil"/>
              <w:left w:val="nil"/>
              <w:bottom w:val="single" w:color="auto" w:sz="4" w:space="0"/>
              <w:right w:val="single" w:color="auto" w:sz="4" w:space="0"/>
            </w:tcBorders>
            <w:shd w:val="clear" w:color="auto" w:fill="auto"/>
            <w:noWrap/>
            <w:vAlign w:val="center"/>
          </w:tcPr>
          <w:p w14:paraId="6DB111D0">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8.728</w:t>
            </w:r>
          </w:p>
        </w:tc>
        <w:tc>
          <w:tcPr>
            <w:tcW w:w="638" w:type="pct"/>
            <w:tcBorders>
              <w:top w:val="nil"/>
              <w:left w:val="nil"/>
              <w:bottom w:val="single" w:color="auto" w:sz="4" w:space="0"/>
              <w:right w:val="single" w:color="auto" w:sz="4" w:space="0"/>
            </w:tcBorders>
            <w:vAlign w:val="center"/>
          </w:tcPr>
          <w:p w14:paraId="36FE0FF0">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13.317</w:t>
            </w:r>
          </w:p>
        </w:tc>
        <w:tc>
          <w:tcPr>
            <w:tcW w:w="640" w:type="pct"/>
            <w:tcBorders>
              <w:top w:val="nil"/>
              <w:left w:val="nil"/>
              <w:bottom w:val="single" w:color="auto" w:sz="4" w:space="0"/>
              <w:right w:val="single" w:color="auto" w:sz="4" w:space="0"/>
            </w:tcBorders>
            <w:vAlign w:val="center"/>
          </w:tcPr>
          <w:p w14:paraId="5BA9478A">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22.621</w:t>
            </w:r>
          </w:p>
        </w:tc>
      </w:tr>
      <w:tr w14:paraId="1D9E9520">
        <w:tblPrEx>
          <w:tblCellMar>
            <w:top w:w="0" w:type="dxa"/>
            <w:left w:w="108" w:type="dxa"/>
            <w:bottom w:w="0" w:type="dxa"/>
            <w:right w:w="108" w:type="dxa"/>
          </w:tblCellMar>
        </w:tblPrEx>
        <w:trPr>
          <w:trHeight w:val="360" w:hRule="atLeast"/>
        </w:trPr>
        <w:tc>
          <w:tcPr>
            <w:tcW w:w="1803" w:type="pct"/>
            <w:tcBorders>
              <w:top w:val="nil"/>
              <w:left w:val="single" w:color="auto" w:sz="4" w:space="0"/>
              <w:bottom w:val="single" w:color="auto" w:sz="4" w:space="0"/>
              <w:right w:val="single" w:color="auto" w:sz="4" w:space="0"/>
            </w:tcBorders>
            <w:shd w:val="clear" w:color="auto" w:fill="auto"/>
            <w:noWrap/>
            <w:vAlign w:val="center"/>
          </w:tcPr>
          <w:p w14:paraId="4648FF7C">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包头稀土新材料技术研发中心</w:t>
            </w:r>
          </w:p>
        </w:tc>
        <w:tc>
          <w:tcPr>
            <w:tcW w:w="638" w:type="pct"/>
            <w:tcBorders>
              <w:top w:val="nil"/>
              <w:left w:val="nil"/>
              <w:bottom w:val="single" w:color="auto" w:sz="4" w:space="0"/>
              <w:right w:val="single" w:color="auto" w:sz="4" w:space="0"/>
            </w:tcBorders>
            <w:shd w:val="clear" w:color="auto" w:fill="auto"/>
            <w:noWrap/>
            <w:vAlign w:val="center"/>
          </w:tcPr>
          <w:p w14:paraId="5931FF6B">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0.294</w:t>
            </w:r>
          </w:p>
        </w:tc>
        <w:tc>
          <w:tcPr>
            <w:tcW w:w="638" w:type="pct"/>
            <w:tcBorders>
              <w:top w:val="nil"/>
              <w:left w:val="nil"/>
              <w:bottom w:val="single" w:color="auto" w:sz="4" w:space="0"/>
              <w:right w:val="single" w:color="auto" w:sz="4" w:space="0"/>
            </w:tcBorders>
            <w:shd w:val="clear" w:color="auto" w:fill="auto"/>
            <w:noWrap/>
            <w:vAlign w:val="center"/>
          </w:tcPr>
          <w:p w14:paraId="0598436B">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1.804</w:t>
            </w:r>
          </w:p>
        </w:tc>
        <w:tc>
          <w:tcPr>
            <w:tcW w:w="638" w:type="pct"/>
            <w:tcBorders>
              <w:top w:val="nil"/>
              <w:left w:val="nil"/>
              <w:bottom w:val="single" w:color="auto" w:sz="4" w:space="0"/>
              <w:right w:val="single" w:color="auto" w:sz="4" w:space="0"/>
            </w:tcBorders>
            <w:shd w:val="clear" w:color="auto" w:fill="auto"/>
            <w:noWrap/>
            <w:vAlign w:val="center"/>
          </w:tcPr>
          <w:p w14:paraId="1118CDBA">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8.747</w:t>
            </w:r>
          </w:p>
        </w:tc>
        <w:tc>
          <w:tcPr>
            <w:tcW w:w="638" w:type="pct"/>
            <w:tcBorders>
              <w:top w:val="nil"/>
              <w:left w:val="nil"/>
              <w:bottom w:val="single" w:color="auto" w:sz="4" w:space="0"/>
              <w:right w:val="single" w:color="auto" w:sz="4" w:space="0"/>
            </w:tcBorders>
            <w:vAlign w:val="center"/>
          </w:tcPr>
          <w:p w14:paraId="0245DE0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13.389</w:t>
            </w:r>
          </w:p>
        </w:tc>
        <w:tc>
          <w:tcPr>
            <w:tcW w:w="640" w:type="pct"/>
            <w:tcBorders>
              <w:top w:val="nil"/>
              <w:left w:val="nil"/>
              <w:bottom w:val="single" w:color="auto" w:sz="4" w:space="0"/>
              <w:right w:val="single" w:color="auto" w:sz="4" w:space="0"/>
            </w:tcBorders>
            <w:vAlign w:val="center"/>
          </w:tcPr>
          <w:p w14:paraId="07C07F80">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22.785</w:t>
            </w:r>
          </w:p>
        </w:tc>
      </w:tr>
      <w:tr w14:paraId="48D4B3EB">
        <w:tblPrEx>
          <w:tblCellMar>
            <w:top w:w="0" w:type="dxa"/>
            <w:left w:w="108" w:type="dxa"/>
            <w:bottom w:w="0" w:type="dxa"/>
            <w:right w:w="108" w:type="dxa"/>
          </w:tblCellMar>
        </w:tblPrEx>
        <w:trPr>
          <w:trHeight w:val="360" w:hRule="atLeast"/>
        </w:trPr>
        <w:tc>
          <w:tcPr>
            <w:tcW w:w="1803" w:type="pct"/>
            <w:tcBorders>
              <w:top w:val="nil"/>
              <w:left w:val="single" w:color="auto" w:sz="4" w:space="0"/>
              <w:bottom w:val="single" w:color="auto" w:sz="4" w:space="0"/>
              <w:right w:val="single" w:color="auto" w:sz="4" w:space="0"/>
            </w:tcBorders>
            <w:shd w:val="clear" w:color="auto" w:fill="auto"/>
            <w:noWrap/>
            <w:vAlign w:val="center"/>
          </w:tcPr>
          <w:p w14:paraId="03736161">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包头华美稀土高科有限公司</w:t>
            </w:r>
          </w:p>
        </w:tc>
        <w:tc>
          <w:tcPr>
            <w:tcW w:w="638" w:type="pct"/>
            <w:tcBorders>
              <w:top w:val="nil"/>
              <w:left w:val="nil"/>
              <w:bottom w:val="single" w:color="auto" w:sz="4" w:space="0"/>
              <w:right w:val="single" w:color="auto" w:sz="4" w:space="0"/>
            </w:tcBorders>
            <w:shd w:val="clear" w:color="auto" w:fill="auto"/>
            <w:noWrap/>
            <w:vAlign w:val="center"/>
          </w:tcPr>
          <w:p w14:paraId="764A6B24">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0.295</w:t>
            </w:r>
          </w:p>
        </w:tc>
        <w:tc>
          <w:tcPr>
            <w:tcW w:w="638" w:type="pct"/>
            <w:tcBorders>
              <w:top w:val="nil"/>
              <w:left w:val="nil"/>
              <w:bottom w:val="single" w:color="auto" w:sz="4" w:space="0"/>
              <w:right w:val="single" w:color="auto" w:sz="4" w:space="0"/>
            </w:tcBorders>
            <w:shd w:val="clear" w:color="auto" w:fill="auto"/>
            <w:noWrap/>
            <w:vAlign w:val="center"/>
          </w:tcPr>
          <w:p w14:paraId="0FB4D1A1">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1.746</w:t>
            </w:r>
          </w:p>
        </w:tc>
        <w:tc>
          <w:tcPr>
            <w:tcW w:w="638" w:type="pct"/>
            <w:tcBorders>
              <w:top w:val="nil"/>
              <w:left w:val="nil"/>
              <w:bottom w:val="single" w:color="auto" w:sz="4" w:space="0"/>
              <w:right w:val="single" w:color="auto" w:sz="4" w:space="0"/>
            </w:tcBorders>
            <w:shd w:val="clear" w:color="auto" w:fill="auto"/>
            <w:noWrap/>
            <w:vAlign w:val="center"/>
          </w:tcPr>
          <w:p w14:paraId="483CAEBF">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8.701</w:t>
            </w:r>
          </w:p>
        </w:tc>
        <w:tc>
          <w:tcPr>
            <w:tcW w:w="638" w:type="pct"/>
            <w:tcBorders>
              <w:top w:val="nil"/>
              <w:left w:val="nil"/>
              <w:bottom w:val="single" w:color="auto" w:sz="4" w:space="0"/>
              <w:right w:val="single" w:color="auto" w:sz="4" w:space="0"/>
            </w:tcBorders>
            <w:vAlign w:val="center"/>
          </w:tcPr>
          <w:p w14:paraId="2C57AD5E">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13.343</w:t>
            </w:r>
          </w:p>
        </w:tc>
        <w:tc>
          <w:tcPr>
            <w:tcW w:w="640" w:type="pct"/>
            <w:tcBorders>
              <w:top w:val="nil"/>
              <w:left w:val="nil"/>
              <w:bottom w:val="single" w:color="auto" w:sz="4" w:space="0"/>
              <w:right w:val="single" w:color="auto" w:sz="4" w:space="0"/>
            </w:tcBorders>
            <w:vAlign w:val="center"/>
          </w:tcPr>
          <w:p w14:paraId="587F3131">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22.534</w:t>
            </w:r>
          </w:p>
        </w:tc>
      </w:tr>
      <w:tr w14:paraId="280AEC42">
        <w:tblPrEx>
          <w:tblCellMar>
            <w:top w:w="0" w:type="dxa"/>
            <w:left w:w="108" w:type="dxa"/>
            <w:bottom w:w="0" w:type="dxa"/>
            <w:right w:w="108" w:type="dxa"/>
          </w:tblCellMar>
        </w:tblPrEx>
        <w:trPr>
          <w:trHeight w:val="360" w:hRule="atLeast"/>
        </w:trPr>
        <w:tc>
          <w:tcPr>
            <w:tcW w:w="1803" w:type="pct"/>
            <w:tcBorders>
              <w:top w:val="nil"/>
              <w:left w:val="single" w:color="auto" w:sz="4" w:space="0"/>
              <w:bottom w:val="single" w:color="auto" w:sz="4" w:space="0"/>
              <w:right w:val="single" w:color="auto" w:sz="4" w:space="0"/>
            </w:tcBorders>
            <w:shd w:val="clear" w:color="auto" w:fill="auto"/>
            <w:noWrap/>
            <w:vAlign w:val="center"/>
          </w:tcPr>
          <w:p w14:paraId="774EB900">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四川省冕宁县方兴稀土有限公司</w:t>
            </w:r>
          </w:p>
        </w:tc>
        <w:tc>
          <w:tcPr>
            <w:tcW w:w="638" w:type="pct"/>
            <w:tcBorders>
              <w:top w:val="nil"/>
              <w:left w:val="nil"/>
              <w:bottom w:val="single" w:color="auto" w:sz="4" w:space="0"/>
              <w:right w:val="single" w:color="auto" w:sz="4" w:space="0"/>
            </w:tcBorders>
            <w:shd w:val="clear" w:color="auto" w:fill="auto"/>
            <w:noWrap/>
            <w:vAlign w:val="center"/>
          </w:tcPr>
          <w:p w14:paraId="26E3350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0.294</w:t>
            </w:r>
          </w:p>
        </w:tc>
        <w:tc>
          <w:tcPr>
            <w:tcW w:w="638" w:type="pct"/>
            <w:tcBorders>
              <w:top w:val="nil"/>
              <w:left w:val="nil"/>
              <w:bottom w:val="single" w:color="auto" w:sz="4" w:space="0"/>
              <w:right w:val="single" w:color="auto" w:sz="4" w:space="0"/>
            </w:tcBorders>
            <w:shd w:val="clear" w:color="auto" w:fill="auto"/>
            <w:noWrap/>
            <w:vAlign w:val="center"/>
          </w:tcPr>
          <w:p w14:paraId="23085417">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1.761</w:t>
            </w:r>
          </w:p>
        </w:tc>
        <w:tc>
          <w:tcPr>
            <w:tcW w:w="638" w:type="pct"/>
            <w:tcBorders>
              <w:top w:val="nil"/>
              <w:left w:val="nil"/>
              <w:bottom w:val="single" w:color="auto" w:sz="4" w:space="0"/>
              <w:right w:val="single" w:color="auto" w:sz="4" w:space="0"/>
            </w:tcBorders>
            <w:shd w:val="clear" w:color="auto" w:fill="auto"/>
            <w:noWrap/>
            <w:vAlign w:val="center"/>
          </w:tcPr>
          <w:p w14:paraId="7253444F">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8.745</w:t>
            </w:r>
          </w:p>
        </w:tc>
        <w:tc>
          <w:tcPr>
            <w:tcW w:w="638" w:type="pct"/>
            <w:tcBorders>
              <w:top w:val="nil"/>
              <w:left w:val="nil"/>
              <w:bottom w:val="single" w:color="auto" w:sz="4" w:space="0"/>
              <w:right w:val="single" w:color="auto" w:sz="4" w:space="0"/>
            </w:tcBorders>
            <w:vAlign w:val="center"/>
          </w:tcPr>
          <w:p w14:paraId="7122CE8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lang w:val="en-US"/>
              </w:rPr>
            </w:pPr>
            <w:r>
              <w:rPr>
                <w:rFonts w:hint="default" w:ascii="Times New Roman" w:hAnsi="Times New Roman" w:eastAsia="宋体" w:cs="Times New Roman"/>
                <w:i w:val="0"/>
                <w:iCs w:val="0"/>
                <w:color w:val="000000"/>
                <w:kern w:val="0"/>
                <w:sz w:val="20"/>
                <w:szCs w:val="20"/>
                <w:u w:val="none"/>
                <w:lang w:val="en-US" w:eastAsia="zh-CN" w:bidi="ar"/>
              </w:rPr>
              <w:t>13.426</w:t>
            </w:r>
          </w:p>
        </w:tc>
        <w:tc>
          <w:tcPr>
            <w:tcW w:w="640" w:type="pct"/>
            <w:tcBorders>
              <w:top w:val="nil"/>
              <w:left w:val="nil"/>
              <w:bottom w:val="single" w:color="auto" w:sz="4" w:space="0"/>
              <w:right w:val="single" w:color="auto" w:sz="4" w:space="0"/>
            </w:tcBorders>
            <w:vAlign w:val="center"/>
          </w:tcPr>
          <w:p w14:paraId="367BCBCE">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22.525</w:t>
            </w:r>
          </w:p>
        </w:tc>
      </w:tr>
    </w:tbl>
    <w:p w14:paraId="0419E568">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cs="Times New Roman"/>
          <w:szCs w:val="21"/>
        </w:rPr>
      </w:pPr>
    </w:p>
    <w:p w14:paraId="44625C25">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表A.3 各单元的标准差</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1089"/>
        <w:gridCol w:w="1089"/>
        <w:gridCol w:w="1089"/>
        <w:gridCol w:w="1089"/>
        <w:gridCol w:w="1093"/>
      </w:tblGrid>
      <w:tr w14:paraId="72C4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802" w:type="pct"/>
            <w:noWrap/>
          </w:tcPr>
          <w:p w14:paraId="6FBAA35F">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实验室</w:t>
            </w:r>
          </w:p>
        </w:tc>
        <w:tc>
          <w:tcPr>
            <w:tcW w:w="638" w:type="pct"/>
            <w:noWrap/>
          </w:tcPr>
          <w:p w14:paraId="7A5EE453">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水平1</w:t>
            </w:r>
          </w:p>
        </w:tc>
        <w:tc>
          <w:tcPr>
            <w:tcW w:w="638" w:type="pct"/>
            <w:noWrap/>
          </w:tcPr>
          <w:p w14:paraId="12EB8CBC">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水平2</w:t>
            </w:r>
          </w:p>
        </w:tc>
        <w:tc>
          <w:tcPr>
            <w:tcW w:w="638" w:type="pct"/>
            <w:noWrap/>
          </w:tcPr>
          <w:p w14:paraId="7EC0FE29">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水平3</w:t>
            </w:r>
          </w:p>
        </w:tc>
        <w:tc>
          <w:tcPr>
            <w:tcW w:w="638" w:type="pct"/>
          </w:tcPr>
          <w:p w14:paraId="04E35D0B">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水平4</w:t>
            </w:r>
          </w:p>
        </w:tc>
        <w:tc>
          <w:tcPr>
            <w:tcW w:w="641" w:type="pct"/>
          </w:tcPr>
          <w:p w14:paraId="171CDA7E">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eastAsiaTheme="minorEastAsia"/>
                <w:kern w:val="0"/>
                <w:sz w:val="18"/>
                <w:szCs w:val="18"/>
              </w:rPr>
              <w:t>水平5</w:t>
            </w:r>
          </w:p>
        </w:tc>
      </w:tr>
      <w:tr w14:paraId="0BF5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802" w:type="pct"/>
            <w:noWrap/>
            <w:vAlign w:val="bottom"/>
          </w:tcPr>
          <w:p w14:paraId="2A079598">
            <w:pPr>
              <w:keepNext w:val="0"/>
              <w:keepLines w:val="0"/>
              <w:widowControl/>
              <w:suppressLineNumbers w:val="0"/>
              <w:spacing w:line="240" w:lineRule="auto"/>
              <w:jc w:val="center"/>
              <w:textAlignment w:val="bottom"/>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0"/>
                <w:szCs w:val="20"/>
                <w:u w:val="none"/>
                <w:lang w:val="en-US" w:eastAsia="zh-CN" w:bidi="ar"/>
              </w:rPr>
              <w:t>包头稀土研究研究</w:t>
            </w:r>
          </w:p>
        </w:tc>
        <w:tc>
          <w:tcPr>
            <w:tcW w:w="638" w:type="pct"/>
            <w:noWrap/>
            <w:vAlign w:val="center"/>
          </w:tcPr>
          <w:p w14:paraId="7BF20775">
            <w:pPr>
              <w:keepNext w:val="0"/>
              <w:keepLines w:val="0"/>
              <w:widowControl/>
              <w:suppressLineNumbers w:val="0"/>
              <w:spacing w:line="240" w:lineRule="auto"/>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iCs w:val="0"/>
                <w:color w:val="000000"/>
                <w:kern w:val="0"/>
                <w:sz w:val="20"/>
                <w:szCs w:val="20"/>
                <w:u w:val="none"/>
                <w:lang w:val="en-US" w:eastAsia="zh-CN" w:bidi="ar"/>
              </w:rPr>
              <w:t>0.0110</w:t>
            </w:r>
          </w:p>
        </w:tc>
        <w:tc>
          <w:tcPr>
            <w:tcW w:w="638" w:type="pct"/>
            <w:noWrap/>
            <w:vAlign w:val="center"/>
          </w:tcPr>
          <w:p w14:paraId="06DBAAF6">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0.0428 </w:t>
            </w:r>
          </w:p>
        </w:tc>
        <w:tc>
          <w:tcPr>
            <w:tcW w:w="638" w:type="pct"/>
            <w:noWrap/>
            <w:vAlign w:val="center"/>
          </w:tcPr>
          <w:p w14:paraId="2003E46E">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0.1065 </w:t>
            </w:r>
          </w:p>
        </w:tc>
        <w:tc>
          <w:tcPr>
            <w:tcW w:w="638" w:type="pct"/>
            <w:vAlign w:val="center"/>
          </w:tcPr>
          <w:p w14:paraId="3C71E558">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0.1286 </w:t>
            </w:r>
          </w:p>
        </w:tc>
        <w:tc>
          <w:tcPr>
            <w:tcW w:w="641" w:type="pct"/>
            <w:vAlign w:val="center"/>
          </w:tcPr>
          <w:p w14:paraId="40303F6D">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0.0933</w:t>
            </w:r>
          </w:p>
        </w:tc>
      </w:tr>
      <w:tr w14:paraId="52CA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802" w:type="pct"/>
            <w:noWrap/>
            <w:vAlign w:val="bottom"/>
          </w:tcPr>
          <w:p w14:paraId="7DEB93FF">
            <w:pPr>
              <w:keepNext w:val="0"/>
              <w:keepLines w:val="0"/>
              <w:widowControl/>
              <w:suppressLineNumbers w:val="0"/>
              <w:spacing w:line="240" w:lineRule="auto"/>
              <w:jc w:val="center"/>
              <w:textAlignment w:val="bottom"/>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0"/>
                <w:szCs w:val="20"/>
                <w:u w:val="none"/>
                <w:lang w:val="en-US" w:eastAsia="zh-CN" w:bidi="ar"/>
              </w:rPr>
              <w:t>国标（北京）检验认证有限公司</w:t>
            </w:r>
          </w:p>
        </w:tc>
        <w:tc>
          <w:tcPr>
            <w:tcW w:w="638" w:type="pct"/>
            <w:noWrap/>
            <w:vAlign w:val="center"/>
          </w:tcPr>
          <w:p w14:paraId="51405CB7">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0.0083</w:t>
            </w:r>
          </w:p>
        </w:tc>
        <w:tc>
          <w:tcPr>
            <w:tcW w:w="638" w:type="pct"/>
            <w:noWrap/>
            <w:vAlign w:val="center"/>
          </w:tcPr>
          <w:p w14:paraId="723F8E23">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0.0406 </w:t>
            </w:r>
          </w:p>
        </w:tc>
        <w:tc>
          <w:tcPr>
            <w:tcW w:w="638" w:type="pct"/>
            <w:noWrap/>
            <w:vAlign w:val="center"/>
          </w:tcPr>
          <w:p w14:paraId="067910F8">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0.0719 </w:t>
            </w:r>
          </w:p>
        </w:tc>
        <w:tc>
          <w:tcPr>
            <w:tcW w:w="638" w:type="pct"/>
            <w:vAlign w:val="center"/>
          </w:tcPr>
          <w:p w14:paraId="3EBD2D84">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0.1286 </w:t>
            </w:r>
          </w:p>
        </w:tc>
        <w:tc>
          <w:tcPr>
            <w:tcW w:w="641" w:type="pct"/>
            <w:vAlign w:val="center"/>
          </w:tcPr>
          <w:p w14:paraId="31BB1E51">
            <w:pPr>
              <w:spacing w:line="240" w:lineRule="auto"/>
              <w:jc w:val="center"/>
              <w:rPr>
                <w:rFonts w:hint="default" w:ascii="Times New Roman" w:hAnsi="Times New Roman" w:cs="Times New Roman"/>
                <w:sz w:val="18"/>
                <w:szCs w:val="18"/>
              </w:rPr>
            </w:pPr>
            <w:r>
              <w:rPr>
                <w:rFonts w:hint="default" w:ascii="Times New Roman" w:hAnsi="Times New Roman" w:cs="Times New Roman"/>
                <w:color w:val="000000"/>
                <w:kern w:val="0"/>
                <w:sz w:val="18"/>
                <w:szCs w:val="22"/>
                <w:lang w:val="en-US" w:eastAsia="zh-CN"/>
              </w:rPr>
              <w:t>--</w:t>
            </w:r>
          </w:p>
        </w:tc>
      </w:tr>
      <w:tr w14:paraId="1B56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802" w:type="pct"/>
            <w:noWrap/>
            <w:vAlign w:val="bottom"/>
          </w:tcPr>
          <w:p w14:paraId="647BC741">
            <w:pPr>
              <w:keepNext w:val="0"/>
              <w:keepLines w:val="0"/>
              <w:widowControl/>
              <w:suppressLineNumbers w:val="0"/>
              <w:spacing w:line="240" w:lineRule="auto"/>
              <w:jc w:val="center"/>
              <w:textAlignment w:val="bottom"/>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0"/>
                <w:szCs w:val="20"/>
                <w:u w:val="none"/>
                <w:lang w:val="en-US" w:eastAsia="zh-CN" w:bidi="ar"/>
              </w:rPr>
              <w:t>江西金世纪新材料股份有限公司</w:t>
            </w:r>
          </w:p>
        </w:tc>
        <w:tc>
          <w:tcPr>
            <w:tcW w:w="638" w:type="pct"/>
            <w:noWrap/>
            <w:vAlign w:val="center"/>
          </w:tcPr>
          <w:p w14:paraId="2CC89691">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0.0055</w:t>
            </w:r>
          </w:p>
        </w:tc>
        <w:tc>
          <w:tcPr>
            <w:tcW w:w="638" w:type="pct"/>
            <w:noWrap/>
            <w:vAlign w:val="center"/>
          </w:tcPr>
          <w:p w14:paraId="4081CC55">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0.0154 </w:t>
            </w:r>
          </w:p>
        </w:tc>
        <w:tc>
          <w:tcPr>
            <w:tcW w:w="638" w:type="pct"/>
            <w:noWrap/>
            <w:vAlign w:val="center"/>
          </w:tcPr>
          <w:p w14:paraId="1091865D">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0.0273</w:t>
            </w:r>
          </w:p>
        </w:tc>
        <w:tc>
          <w:tcPr>
            <w:tcW w:w="638" w:type="pct"/>
            <w:vAlign w:val="center"/>
          </w:tcPr>
          <w:p w14:paraId="5AC4CA88">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0.0427 </w:t>
            </w:r>
          </w:p>
        </w:tc>
        <w:tc>
          <w:tcPr>
            <w:tcW w:w="641" w:type="pct"/>
            <w:vAlign w:val="center"/>
          </w:tcPr>
          <w:p w14:paraId="50F9612E">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0.0379 </w:t>
            </w:r>
          </w:p>
        </w:tc>
      </w:tr>
      <w:tr w14:paraId="1925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802" w:type="pct"/>
            <w:noWrap/>
            <w:vAlign w:val="bottom"/>
          </w:tcPr>
          <w:p w14:paraId="5B0C3DC5">
            <w:pPr>
              <w:keepNext w:val="0"/>
              <w:keepLines w:val="0"/>
              <w:widowControl/>
              <w:suppressLineNumbers w:val="0"/>
              <w:spacing w:line="240" w:lineRule="auto"/>
              <w:jc w:val="center"/>
              <w:textAlignment w:val="bottom"/>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0"/>
                <w:szCs w:val="20"/>
                <w:u w:val="none"/>
                <w:lang w:val="en-US" w:eastAsia="zh-CN" w:bidi="ar"/>
              </w:rPr>
              <w:t>厦门稀土材料研究所</w:t>
            </w:r>
          </w:p>
        </w:tc>
        <w:tc>
          <w:tcPr>
            <w:tcW w:w="638" w:type="pct"/>
            <w:noWrap/>
            <w:vAlign w:val="center"/>
          </w:tcPr>
          <w:p w14:paraId="6D22E7FF">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0.0031</w:t>
            </w:r>
          </w:p>
        </w:tc>
        <w:tc>
          <w:tcPr>
            <w:tcW w:w="638" w:type="pct"/>
            <w:noWrap/>
            <w:vAlign w:val="center"/>
          </w:tcPr>
          <w:p w14:paraId="3C66C1A2">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0.0073 </w:t>
            </w:r>
          </w:p>
        </w:tc>
        <w:tc>
          <w:tcPr>
            <w:tcW w:w="638" w:type="pct"/>
            <w:noWrap/>
            <w:vAlign w:val="center"/>
          </w:tcPr>
          <w:p w14:paraId="0F8B92B4">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0.0226 </w:t>
            </w:r>
          </w:p>
        </w:tc>
        <w:tc>
          <w:tcPr>
            <w:tcW w:w="638" w:type="pct"/>
            <w:vAlign w:val="center"/>
          </w:tcPr>
          <w:p w14:paraId="62AD8F6C">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0.0273 </w:t>
            </w:r>
          </w:p>
        </w:tc>
        <w:tc>
          <w:tcPr>
            <w:tcW w:w="641" w:type="pct"/>
            <w:vAlign w:val="center"/>
          </w:tcPr>
          <w:p w14:paraId="47AD2DA0">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0.0364 </w:t>
            </w:r>
          </w:p>
        </w:tc>
      </w:tr>
      <w:tr w14:paraId="701F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802" w:type="pct"/>
            <w:noWrap/>
            <w:vAlign w:val="bottom"/>
          </w:tcPr>
          <w:p w14:paraId="0BD65712">
            <w:pPr>
              <w:keepNext w:val="0"/>
              <w:keepLines w:val="0"/>
              <w:widowControl/>
              <w:suppressLineNumbers w:val="0"/>
              <w:spacing w:line="240" w:lineRule="auto"/>
              <w:jc w:val="center"/>
              <w:textAlignment w:val="bottom"/>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0"/>
                <w:szCs w:val="20"/>
                <w:u w:val="none"/>
                <w:lang w:val="en-US" w:eastAsia="zh-CN" w:bidi="ar"/>
              </w:rPr>
              <w:t>包头稀土新材料技术研发中心</w:t>
            </w:r>
          </w:p>
        </w:tc>
        <w:tc>
          <w:tcPr>
            <w:tcW w:w="638" w:type="pct"/>
            <w:noWrap/>
            <w:vAlign w:val="center"/>
          </w:tcPr>
          <w:p w14:paraId="68A12DFB">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0.0097 </w:t>
            </w:r>
          </w:p>
        </w:tc>
        <w:tc>
          <w:tcPr>
            <w:tcW w:w="638" w:type="pct"/>
            <w:noWrap/>
            <w:vAlign w:val="center"/>
          </w:tcPr>
          <w:p w14:paraId="7AE206F6">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0.0371</w:t>
            </w:r>
          </w:p>
        </w:tc>
        <w:tc>
          <w:tcPr>
            <w:tcW w:w="638" w:type="pct"/>
            <w:noWrap/>
            <w:vAlign w:val="center"/>
          </w:tcPr>
          <w:p w14:paraId="49D6F7F8">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0.0832 </w:t>
            </w:r>
          </w:p>
        </w:tc>
        <w:tc>
          <w:tcPr>
            <w:tcW w:w="638" w:type="pct"/>
            <w:vAlign w:val="center"/>
          </w:tcPr>
          <w:p w14:paraId="5A4A967A">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0.0033 </w:t>
            </w:r>
          </w:p>
        </w:tc>
        <w:tc>
          <w:tcPr>
            <w:tcW w:w="641" w:type="pct"/>
            <w:vAlign w:val="center"/>
          </w:tcPr>
          <w:p w14:paraId="2E2E06A4">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0.0680 </w:t>
            </w:r>
          </w:p>
        </w:tc>
      </w:tr>
      <w:tr w14:paraId="1803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802" w:type="pct"/>
            <w:noWrap/>
            <w:vAlign w:val="bottom"/>
          </w:tcPr>
          <w:p w14:paraId="344B9BAC">
            <w:pPr>
              <w:keepNext w:val="0"/>
              <w:keepLines w:val="0"/>
              <w:widowControl/>
              <w:suppressLineNumbers w:val="0"/>
              <w:spacing w:line="240" w:lineRule="auto"/>
              <w:jc w:val="center"/>
              <w:textAlignment w:val="bottom"/>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0"/>
                <w:szCs w:val="20"/>
                <w:u w:val="none"/>
                <w:lang w:val="en-US" w:eastAsia="zh-CN" w:bidi="ar"/>
              </w:rPr>
              <w:t>包头华美稀土高科有限公司</w:t>
            </w:r>
          </w:p>
        </w:tc>
        <w:tc>
          <w:tcPr>
            <w:tcW w:w="638" w:type="pct"/>
            <w:noWrap/>
            <w:vAlign w:val="center"/>
          </w:tcPr>
          <w:p w14:paraId="714CF9D3">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0.0121</w:t>
            </w:r>
          </w:p>
        </w:tc>
        <w:tc>
          <w:tcPr>
            <w:tcW w:w="638" w:type="pct"/>
            <w:noWrap/>
            <w:vAlign w:val="center"/>
          </w:tcPr>
          <w:p w14:paraId="0E1FD91C">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0.0248 </w:t>
            </w:r>
          </w:p>
        </w:tc>
        <w:tc>
          <w:tcPr>
            <w:tcW w:w="638" w:type="pct"/>
            <w:noWrap/>
            <w:vAlign w:val="center"/>
          </w:tcPr>
          <w:p w14:paraId="32B01CE4">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0.1087 </w:t>
            </w:r>
          </w:p>
        </w:tc>
        <w:tc>
          <w:tcPr>
            <w:tcW w:w="638" w:type="pct"/>
            <w:vAlign w:val="center"/>
          </w:tcPr>
          <w:p w14:paraId="60B546C2">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0.1289 </w:t>
            </w:r>
          </w:p>
        </w:tc>
        <w:tc>
          <w:tcPr>
            <w:tcW w:w="641" w:type="pct"/>
            <w:vAlign w:val="center"/>
          </w:tcPr>
          <w:p w14:paraId="4EF06052">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0.0831 </w:t>
            </w:r>
          </w:p>
        </w:tc>
      </w:tr>
      <w:tr w14:paraId="4A99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802" w:type="pct"/>
            <w:noWrap/>
            <w:vAlign w:val="bottom"/>
          </w:tcPr>
          <w:p w14:paraId="4F91D7F3">
            <w:pPr>
              <w:keepNext w:val="0"/>
              <w:keepLines w:val="0"/>
              <w:widowControl/>
              <w:suppressLineNumbers w:val="0"/>
              <w:spacing w:line="240" w:lineRule="auto"/>
              <w:jc w:val="center"/>
              <w:textAlignment w:val="bottom"/>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20"/>
                <w:szCs w:val="20"/>
                <w:u w:val="none"/>
                <w:lang w:val="en-US" w:eastAsia="zh-CN" w:bidi="ar"/>
              </w:rPr>
              <w:t>四川省冕宁县方兴稀土有限公司</w:t>
            </w:r>
          </w:p>
        </w:tc>
        <w:tc>
          <w:tcPr>
            <w:tcW w:w="638" w:type="pct"/>
            <w:noWrap/>
            <w:vAlign w:val="center"/>
          </w:tcPr>
          <w:p w14:paraId="1B2945C6">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0.0032 </w:t>
            </w:r>
          </w:p>
        </w:tc>
        <w:tc>
          <w:tcPr>
            <w:tcW w:w="638" w:type="pct"/>
            <w:noWrap/>
            <w:vAlign w:val="center"/>
          </w:tcPr>
          <w:p w14:paraId="08F857CD">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0.0163 </w:t>
            </w:r>
          </w:p>
        </w:tc>
        <w:tc>
          <w:tcPr>
            <w:tcW w:w="638" w:type="pct"/>
            <w:noWrap/>
            <w:vAlign w:val="center"/>
          </w:tcPr>
          <w:p w14:paraId="6635ACFE">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0.0463 </w:t>
            </w:r>
          </w:p>
        </w:tc>
        <w:tc>
          <w:tcPr>
            <w:tcW w:w="638" w:type="pct"/>
            <w:vAlign w:val="center"/>
          </w:tcPr>
          <w:p w14:paraId="0273A098">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0.0371</w:t>
            </w:r>
          </w:p>
        </w:tc>
        <w:tc>
          <w:tcPr>
            <w:tcW w:w="641" w:type="pct"/>
            <w:vAlign w:val="center"/>
          </w:tcPr>
          <w:p w14:paraId="08DEFA1A">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0.0784 </w:t>
            </w:r>
          </w:p>
        </w:tc>
      </w:tr>
    </w:tbl>
    <w:p w14:paraId="3C67230C">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黑体" w:cs="Times New Roman"/>
          <w:szCs w:val="21"/>
        </w:rPr>
      </w:pPr>
    </w:p>
    <w:p w14:paraId="6F9A63DF">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2  一致性和离群值的检查</w:t>
      </w:r>
    </w:p>
    <w:p w14:paraId="199322A4">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2.1  柯克伦检验</w:t>
      </w:r>
    </w:p>
    <w:p w14:paraId="17E2015F">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按柯克伦检验统计量计算结果如表A.4。</w:t>
      </w:r>
    </w:p>
    <w:p w14:paraId="2B468C40">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表A.4 柯克伦检验</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98"/>
        <w:gridCol w:w="1398"/>
        <w:gridCol w:w="1398"/>
        <w:gridCol w:w="1398"/>
        <w:gridCol w:w="1401"/>
      </w:tblGrid>
      <w:tr w14:paraId="4574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14:paraId="158A2CC6">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实验室i</w:t>
            </w:r>
          </w:p>
        </w:tc>
        <w:tc>
          <w:tcPr>
            <w:tcW w:w="820" w:type="pct"/>
            <w:vAlign w:val="center"/>
          </w:tcPr>
          <w:p w14:paraId="549702D1">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水平1</w:t>
            </w:r>
          </w:p>
        </w:tc>
        <w:tc>
          <w:tcPr>
            <w:tcW w:w="820" w:type="pct"/>
            <w:vAlign w:val="center"/>
          </w:tcPr>
          <w:p w14:paraId="0924E267">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水平2</w:t>
            </w:r>
          </w:p>
        </w:tc>
        <w:tc>
          <w:tcPr>
            <w:tcW w:w="820" w:type="pct"/>
            <w:vAlign w:val="center"/>
          </w:tcPr>
          <w:p w14:paraId="15F940EA">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水平3</w:t>
            </w:r>
          </w:p>
        </w:tc>
        <w:tc>
          <w:tcPr>
            <w:tcW w:w="820" w:type="pct"/>
            <w:vAlign w:val="center"/>
          </w:tcPr>
          <w:p w14:paraId="772634EB">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水平4</w:t>
            </w:r>
          </w:p>
        </w:tc>
        <w:tc>
          <w:tcPr>
            <w:tcW w:w="819" w:type="pct"/>
            <w:vAlign w:val="center"/>
          </w:tcPr>
          <w:p w14:paraId="5820EF84">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水平5</w:t>
            </w:r>
          </w:p>
        </w:tc>
      </w:tr>
      <w:tr w14:paraId="007C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97" w:type="pct"/>
            <w:vAlign w:val="center"/>
          </w:tcPr>
          <w:p w14:paraId="6895034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Smax实验室</w:t>
            </w:r>
          </w:p>
        </w:tc>
        <w:tc>
          <w:tcPr>
            <w:tcW w:w="820" w:type="pct"/>
            <w:shd w:val="clear" w:color="auto" w:fill="auto"/>
            <w:vAlign w:val="center"/>
          </w:tcPr>
          <w:p w14:paraId="753A76FA">
            <w:pPr>
              <w:keepNext w:val="0"/>
              <w:keepLines w:val="0"/>
              <w:widowControl/>
              <w:suppressLineNumbers w:val="0"/>
              <w:spacing w:line="240" w:lineRule="auto"/>
              <w:jc w:val="center"/>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包头华美稀土高科有限公司</w:t>
            </w:r>
          </w:p>
        </w:tc>
        <w:tc>
          <w:tcPr>
            <w:tcW w:w="820" w:type="pct"/>
            <w:shd w:val="clear" w:color="auto" w:fill="auto"/>
            <w:vAlign w:val="center"/>
          </w:tcPr>
          <w:p w14:paraId="3BD7CA19">
            <w:pPr>
              <w:keepNext w:val="0"/>
              <w:keepLines w:val="0"/>
              <w:widowControl/>
              <w:suppressLineNumbers w:val="0"/>
              <w:spacing w:line="240" w:lineRule="auto"/>
              <w:jc w:val="center"/>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包头稀土研究研究</w:t>
            </w:r>
          </w:p>
        </w:tc>
        <w:tc>
          <w:tcPr>
            <w:tcW w:w="820" w:type="pct"/>
            <w:vAlign w:val="center"/>
          </w:tcPr>
          <w:p w14:paraId="68DDB3D1">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eastAsia" w:ascii="宋体" w:hAnsi="宋体" w:eastAsia="宋体" w:cs="宋体"/>
                <w:i w:val="0"/>
                <w:iCs w:val="0"/>
                <w:color w:val="000000"/>
                <w:kern w:val="0"/>
                <w:sz w:val="20"/>
                <w:szCs w:val="20"/>
                <w:u w:val="none"/>
                <w:lang w:val="en-US" w:eastAsia="zh-CN" w:bidi="ar"/>
              </w:rPr>
              <w:t>包头华美稀土高科有限公司</w:t>
            </w:r>
          </w:p>
        </w:tc>
        <w:tc>
          <w:tcPr>
            <w:tcW w:w="820" w:type="pct"/>
            <w:vAlign w:val="center"/>
          </w:tcPr>
          <w:p w14:paraId="7997A0E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eastAsia" w:ascii="宋体" w:hAnsi="宋体" w:eastAsia="宋体" w:cs="宋体"/>
                <w:i w:val="0"/>
                <w:iCs w:val="0"/>
                <w:color w:val="000000"/>
                <w:kern w:val="0"/>
                <w:sz w:val="20"/>
                <w:szCs w:val="20"/>
                <w:u w:val="none"/>
                <w:lang w:val="en-US" w:eastAsia="zh-CN" w:bidi="ar"/>
              </w:rPr>
              <w:t>包头华美稀土高科有限公司</w:t>
            </w:r>
          </w:p>
        </w:tc>
        <w:tc>
          <w:tcPr>
            <w:tcW w:w="819" w:type="pct"/>
            <w:vAlign w:val="center"/>
          </w:tcPr>
          <w:p w14:paraId="6664450A">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eastAsia" w:ascii="宋体" w:hAnsi="宋体" w:eastAsia="宋体" w:cs="宋体"/>
                <w:i w:val="0"/>
                <w:iCs w:val="0"/>
                <w:color w:val="000000"/>
                <w:kern w:val="0"/>
                <w:sz w:val="20"/>
                <w:szCs w:val="20"/>
                <w:u w:val="none"/>
                <w:lang w:val="en-US" w:eastAsia="zh-CN" w:bidi="ar"/>
              </w:rPr>
              <w:t>包头稀土研究研究</w:t>
            </w:r>
          </w:p>
        </w:tc>
      </w:tr>
      <w:tr w14:paraId="3A65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14:paraId="610F3EB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Smax值</w:t>
            </w:r>
          </w:p>
        </w:tc>
        <w:tc>
          <w:tcPr>
            <w:tcW w:w="820" w:type="pct"/>
            <w:vAlign w:val="center"/>
          </w:tcPr>
          <w:p w14:paraId="0FCAB3CF">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0.0121</w:t>
            </w:r>
          </w:p>
        </w:tc>
        <w:tc>
          <w:tcPr>
            <w:tcW w:w="820" w:type="pct"/>
            <w:vAlign w:val="center"/>
          </w:tcPr>
          <w:p w14:paraId="5C91FD13">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0.0428</w:t>
            </w:r>
          </w:p>
        </w:tc>
        <w:tc>
          <w:tcPr>
            <w:tcW w:w="820" w:type="pct"/>
            <w:vAlign w:val="center"/>
          </w:tcPr>
          <w:p w14:paraId="5952E2A1">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0.108675</w:t>
            </w:r>
          </w:p>
        </w:tc>
        <w:tc>
          <w:tcPr>
            <w:tcW w:w="820" w:type="pct"/>
            <w:vAlign w:val="center"/>
          </w:tcPr>
          <w:p w14:paraId="6392EC9C">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0.128915</w:t>
            </w:r>
          </w:p>
        </w:tc>
        <w:tc>
          <w:tcPr>
            <w:tcW w:w="819" w:type="pct"/>
            <w:vAlign w:val="center"/>
          </w:tcPr>
          <w:p w14:paraId="6DF933BD">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0.093343</w:t>
            </w:r>
          </w:p>
        </w:tc>
      </w:tr>
      <w:tr w14:paraId="0214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14:paraId="1ECD125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∑S</w:t>
            </w:r>
            <w:r>
              <w:rPr>
                <w:rFonts w:hint="default" w:ascii="Times New Roman" w:hAnsi="Times New Roman" w:cs="Times New Roman"/>
                <w:sz w:val="20"/>
                <w:szCs w:val="20"/>
                <w:vertAlign w:val="superscript"/>
              </w:rPr>
              <w:t>2</w:t>
            </w:r>
          </w:p>
        </w:tc>
        <w:tc>
          <w:tcPr>
            <w:tcW w:w="820" w:type="pct"/>
            <w:vAlign w:val="center"/>
          </w:tcPr>
          <w:p w14:paraId="4CF376F2">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0.00048</w:t>
            </w:r>
          </w:p>
        </w:tc>
        <w:tc>
          <w:tcPr>
            <w:tcW w:w="820" w:type="pct"/>
            <w:vAlign w:val="center"/>
          </w:tcPr>
          <w:p w14:paraId="094FC13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0.000604</w:t>
            </w:r>
          </w:p>
        </w:tc>
        <w:tc>
          <w:tcPr>
            <w:tcW w:w="820" w:type="pct"/>
            <w:vAlign w:val="center"/>
          </w:tcPr>
          <w:p w14:paraId="4E4F4CE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0.03866</w:t>
            </w:r>
          </w:p>
        </w:tc>
        <w:tc>
          <w:tcPr>
            <w:tcW w:w="820" w:type="pct"/>
            <w:vAlign w:val="center"/>
          </w:tcPr>
          <w:p w14:paraId="64BE1E1F">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0.05367</w:t>
            </w:r>
          </w:p>
        </w:tc>
        <w:tc>
          <w:tcPr>
            <w:tcW w:w="819" w:type="pct"/>
            <w:vAlign w:val="center"/>
          </w:tcPr>
          <w:p w14:paraId="6444BBC9">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0.02914</w:t>
            </w:r>
          </w:p>
        </w:tc>
      </w:tr>
      <w:tr w14:paraId="55C0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14:paraId="421851C5">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C</w:t>
            </w:r>
          </w:p>
        </w:tc>
        <w:tc>
          <w:tcPr>
            <w:tcW w:w="1398" w:type="dxa"/>
            <w:vAlign w:val="center"/>
          </w:tcPr>
          <w:p w14:paraId="5941325D">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0.3072</w:t>
            </w:r>
          </w:p>
        </w:tc>
        <w:tc>
          <w:tcPr>
            <w:tcW w:w="1398" w:type="dxa"/>
            <w:vAlign w:val="center"/>
          </w:tcPr>
          <w:p w14:paraId="5198726E">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0.3040</w:t>
            </w:r>
          </w:p>
        </w:tc>
        <w:tc>
          <w:tcPr>
            <w:tcW w:w="1398" w:type="dxa"/>
            <w:vAlign w:val="center"/>
          </w:tcPr>
          <w:p w14:paraId="3C8A1803">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0.3055</w:t>
            </w:r>
          </w:p>
        </w:tc>
        <w:tc>
          <w:tcPr>
            <w:tcW w:w="1398" w:type="dxa"/>
            <w:vAlign w:val="center"/>
          </w:tcPr>
          <w:p w14:paraId="08F72E12">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0.3096</w:t>
            </w:r>
          </w:p>
        </w:tc>
        <w:tc>
          <w:tcPr>
            <w:tcW w:w="1401" w:type="dxa"/>
            <w:vAlign w:val="center"/>
          </w:tcPr>
          <w:p w14:paraId="60C09E05">
            <w:pPr>
              <w:keepNext w:val="0"/>
              <w:keepLines w:val="0"/>
              <w:widowControl/>
              <w:suppressLineNumbers w:val="0"/>
              <w:spacing w:line="240" w:lineRule="auto"/>
              <w:jc w:val="center"/>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0.2990</w:t>
            </w:r>
          </w:p>
        </w:tc>
      </w:tr>
      <w:tr w14:paraId="2F1E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14:paraId="60D55299">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离群值（Y/N）</w:t>
            </w:r>
          </w:p>
        </w:tc>
        <w:tc>
          <w:tcPr>
            <w:tcW w:w="820" w:type="pct"/>
            <w:vAlign w:val="center"/>
          </w:tcPr>
          <w:p w14:paraId="04897970">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lang w:val="en-US" w:eastAsia="zh-CN"/>
              </w:rPr>
              <w:t>N</w:t>
            </w:r>
          </w:p>
        </w:tc>
        <w:tc>
          <w:tcPr>
            <w:tcW w:w="820" w:type="pct"/>
            <w:vAlign w:val="center"/>
          </w:tcPr>
          <w:p w14:paraId="58AE7D09">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eastAsia="zh-CN"/>
              </w:rPr>
              <w:t>N</w:t>
            </w:r>
          </w:p>
        </w:tc>
        <w:tc>
          <w:tcPr>
            <w:tcW w:w="820" w:type="pct"/>
            <w:vAlign w:val="center"/>
          </w:tcPr>
          <w:p w14:paraId="490736E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eastAsia="zh-CN"/>
              </w:rPr>
              <w:t>N</w:t>
            </w:r>
          </w:p>
        </w:tc>
        <w:tc>
          <w:tcPr>
            <w:tcW w:w="820" w:type="pct"/>
            <w:vAlign w:val="center"/>
          </w:tcPr>
          <w:p w14:paraId="0EF28278">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eastAsia="zh-CN"/>
              </w:rPr>
              <w:t>N</w:t>
            </w:r>
          </w:p>
        </w:tc>
        <w:tc>
          <w:tcPr>
            <w:tcW w:w="819" w:type="pct"/>
            <w:vAlign w:val="center"/>
          </w:tcPr>
          <w:p w14:paraId="4C53906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eastAsia="zh-CN"/>
              </w:rPr>
              <w:t>N</w:t>
            </w:r>
          </w:p>
        </w:tc>
      </w:tr>
      <w:tr w14:paraId="4ECE0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14:paraId="168F9118">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歧离值（Y/N）</w:t>
            </w:r>
          </w:p>
        </w:tc>
        <w:tc>
          <w:tcPr>
            <w:tcW w:w="820" w:type="pct"/>
            <w:vAlign w:val="center"/>
          </w:tcPr>
          <w:p w14:paraId="36669F93">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eastAsia="zh-CN"/>
              </w:rPr>
              <w:t>N</w:t>
            </w:r>
          </w:p>
        </w:tc>
        <w:tc>
          <w:tcPr>
            <w:tcW w:w="820" w:type="pct"/>
            <w:vAlign w:val="center"/>
          </w:tcPr>
          <w:p w14:paraId="2631D410">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eastAsia="zh-CN"/>
              </w:rPr>
              <w:t>N</w:t>
            </w:r>
          </w:p>
        </w:tc>
        <w:tc>
          <w:tcPr>
            <w:tcW w:w="820" w:type="pct"/>
            <w:vAlign w:val="center"/>
          </w:tcPr>
          <w:p w14:paraId="615ECF39">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eastAsia="zh-CN"/>
              </w:rPr>
              <w:t>N</w:t>
            </w:r>
          </w:p>
        </w:tc>
        <w:tc>
          <w:tcPr>
            <w:tcW w:w="820" w:type="pct"/>
            <w:vAlign w:val="center"/>
          </w:tcPr>
          <w:p w14:paraId="4D3AA696">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eastAsia="zh-CN"/>
              </w:rPr>
              <w:t>N</w:t>
            </w:r>
          </w:p>
        </w:tc>
        <w:tc>
          <w:tcPr>
            <w:tcW w:w="819" w:type="pct"/>
            <w:vAlign w:val="center"/>
          </w:tcPr>
          <w:p w14:paraId="07188424">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lang w:val="en-US" w:eastAsia="zh-CN"/>
              </w:rPr>
              <w:t>N</w:t>
            </w:r>
          </w:p>
        </w:tc>
      </w:tr>
      <w:tr w14:paraId="7A6E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14:paraId="38BF2100">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C临界</w:t>
            </w:r>
          </w:p>
        </w:tc>
        <w:tc>
          <w:tcPr>
            <w:tcW w:w="4102" w:type="pct"/>
            <w:gridSpan w:val="5"/>
            <w:vAlign w:val="center"/>
          </w:tcPr>
          <w:p w14:paraId="0BC628D4">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vertAlign w:val="baseline"/>
                <w:lang w:val="en-US" w:eastAsia="zh-CN"/>
              </w:rPr>
            </w:pPr>
            <w:r>
              <w:rPr>
                <w:rFonts w:hint="eastAsia" w:ascii="Times New Roman" w:hAnsi="Times New Roman" w:cs="Times New Roman"/>
                <w:sz w:val="20"/>
                <w:szCs w:val="20"/>
                <w:lang w:val="en-US" w:eastAsia="zh-CN"/>
              </w:rPr>
              <w:t>C</w:t>
            </w:r>
            <w:r>
              <w:rPr>
                <w:rFonts w:hint="eastAsia" w:ascii="Times New Roman" w:hAnsi="Times New Roman" w:cs="Times New Roman"/>
                <w:sz w:val="20"/>
                <w:szCs w:val="20"/>
                <w:vertAlign w:val="subscript"/>
                <w:lang w:val="en-US" w:eastAsia="zh-CN"/>
              </w:rPr>
              <w:t>0.05，7，11</w:t>
            </w:r>
            <w:r>
              <w:rPr>
                <w:rFonts w:hint="eastAsia" w:ascii="Times New Roman" w:hAnsi="Times New Roman" w:cs="Times New Roman"/>
                <w:sz w:val="20"/>
                <w:szCs w:val="20"/>
                <w:vertAlign w:val="baseline"/>
                <w:lang w:val="en-US" w:eastAsia="zh-CN"/>
              </w:rPr>
              <w:t xml:space="preserve">=0.3154   </w:t>
            </w:r>
            <w:r>
              <w:rPr>
                <w:rFonts w:hint="eastAsia" w:ascii="Times New Roman" w:hAnsi="Times New Roman" w:cs="Times New Roman"/>
                <w:sz w:val="20"/>
                <w:szCs w:val="20"/>
                <w:lang w:val="en-US" w:eastAsia="zh-CN"/>
              </w:rPr>
              <w:t>C</w:t>
            </w:r>
            <w:r>
              <w:rPr>
                <w:rFonts w:hint="eastAsia" w:ascii="Times New Roman" w:hAnsi="Times New Roman" w:cs="Times New Roman"/>
                <w:sz w:val="20"/>
                <w:szCs w:val="20"/>
                <w:vertAlign w:val="subscript"/>
                <w:lang w:val="en-US" w:eastAsia="zh-CN"/>
              </w:rPr>
              <w:t>0.01，7，11</w:t>
            </w:r>
            <w:r>
              <w:rPr>
                <w:rFonts w:hint="eastAsia" w:ascii="Times New Roman" w:hAnsi="Times New Roman" w:cs="Times New Roman"/>
                <w:sz w:val="20"/>
                <w:szCs w:val="20"/>
                <w:vertAlign w:val="baseline"/>
                <w:lang w:val="en-US" w:eastAsia="zh-CN"/>
              </w:rPr>
              <w:t xml:space="preserve">=0.3616   </w:t>
            </w:r>
            <w:r>
              <w:rPr>
                <w:rFonts w:hint="eastAsia" w:ascii="Times New Roman" w:hAnsi="Times New Roman" w:cs="Times New Roman"/>
                <w:sz w:val="20"/>
                <w:szCs w:val="20"/>
                <w:lang w:val="en-US" w:eastAsia="zh-CN"/>
              </w:rPr>
              <w:t>C</w:t>
            </w:r>
            <w:r>
              <w:rPr>
                <w:rFonts w:hint="eastAsia" w:ascii="Times New Roman" w:hAnsi="Times New Roman" w:cs="Times New Roman"/>
                <w:sz w:val="20"/>
                <w:szCs w:val="20"/>
                <w:vertAlign w:val="subscript"/>
                <w:lang w:val="en-US" w:eastAsia="zh-CN"/>
              </w:rPr>
              <w:t>0.05，6，11</w:t>
            </w:r>
            <w:r>
              <w:rPr>
                <w:rFonts w:hint="eastAsia" w:ascii="Times New Roman" w:hAnsi="Times New Roman" w:cs="Times New Roman"/>
                <w:sz w:val="20"/>
                <w:szCs w:val="20"/>
                <w:vertAlign w:val="baseline"/>
                <w:lang w:val="en-US" w:eastAsia="zh-CN"/>
              </w:rPr>
              <w:t xml:space="preserve">=0.3568  </w:t>
            </w:r>
            <w:r>
              <w:rPr>
                <w:rFonts w:hint="eastAsia" w:ascii="Times New Roman" w:hAnsi="Times New Roman" w:cs="Times New Roman"/>
                <w:sz w:val="20"/>
                <w:szCs w:val="20"/>
                <w:lang w:val="en-US" w:eastAsia="zh-CN"/>
              </w:rPr>
              <w:t>C</w:t>
            </w:r>
            <w:r>
              <w:rPr>
                <w:rFonts w:hint="eastAsia" w:ascii="Times New Roman" w:hAnsi="Times New Roman" w:cs="Times New Roman"/>
                <w:sz w:val="20"/>
                <w:szCs w:val="20"/>
                <w:vertAlign w:val="subscript"/>
                <w:lang w:val="en-US" w:eastAsia="zh-CN"/>
              </w:rPr>
              <w:t>0.01，6，11</w:t>
            </w:r>
            <w:r>
              <w:rPr>
                <w:rFonts w:hint="eastAsia" w:ascii="Times New Roman" w:hAnsi="Times New Roman" w:cs="Times New Roman"/>
                <w:sz w:val="20"/>
                <w:szCs w:val="20"/>
                <w:vertAlign w:val="baseline"/>
                <w:lang w:val="en-US" w:eastAsia="zh-CN"/>
              </w:rPr>
              <w:t>=0.4080</w:t>
            </w:r>
          </w:p>
        </w:tc>
      </w:tr>
    </w:tbl>
    <w:p w14:paraId="1EC76F30">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柯克伦检验的结果表明，所有实验室的所有水平均为正确值，无歧离值，无离群值。</w:t>
      </w:r>
    </w:p>
    <w:p w14:paraId="1110CC10">
      <w:pPr>
        <w:keepNext w:val="0"/>
        <w:keepLines w:val="0"/>
        <w:pageBreakBefore w:val="0"/>
        <w:kinsoku/>
        <w:wordWrap/>
        <w:overflowPunct/>
        <w:topLinePunct w:val="0"/>
        <w:bidi w:val="0"/>
        <w:adjustRightInd w:val="0"/>
        <w:snapToGrid w:val="0"/>
        <w:spacing w:before="312" w:beforeLines="100" w:line="360" w:lineRule="auto"/>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2.2  格拉布斯检验</w:t>
      </w:r>
    </w:p>
    <w:p w14:paraId="79FE043D">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表A.5  格拉布斯检验</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1394"/>
        <w:gridCol w:w="1394"/>
        <w:gridCol w:w="1394"/>
        <w:gridCol w:w="1394"/>
        <w:gridCol w:w="1397"/>
      </w:tblGrid>
      <w:tr w14:paraId="5819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909" w:type="pct"/>
            <w:vAlign w:val="center"/>
          </w:tcPr>
          <w:p w14:paraId="420A65CB">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统计量</w:t>
            </w:r>
          </w:p>
        </w:tc>
        <w:tc>
          <w:tcPr>
            <w:tcW w:w="818" w:type="pct"/>
            <w:vAlign w:val="center"/>
          </w:tcPr>
          <w:p w14:paraId="6756D911">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水平1</w:t>
            </w:r>
          </w:p>
        </w:tc>
        <w:tc>
          <w:tcPr>
            <w:tcW w:w="818" w:type="pct"/>
            <w:vAlign w:val="center"/>
          </w:tcPr>
          <w:p w14:paraId="6853F37A">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水平2</w:t>
            </w:r>
          </w:p>
        </w:tc>
        <w:tc>
          <w:tcPr>
            <w:tcW w:w="818" w:type="pct"/>
            <w:vAlign w:val="center"/>
          </w:tcPr>
          <w:p w14:paraId="7F8E784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水平3</w:t>
            </w:r>
          </w:p>
        </w:tc>
        <w:tc>
          <w:tcPr>
            <w:tcW w:w="818" w:type="pct"/>
            <w:vAlign w:val="center"/>
          </w:tcPr>
          <w:p w14:paraId="7729F7A5">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水平4</w:t>
            </w:r>
          </w:p>
        </w:tc>
        <w:tc>
          <w:tcPr>
            <w:tcW w:w="818" w:type="pct"/>
            <w:vAlign w:val="center"/>
          </w:tcPr>
          <w:p w14:paraId="4E84FBAA">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水平5</w:t>
            </w:r>
          </w:p>
        </w:tc>
      </w:tr>
      <w:tr w14:paraId="23E6C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9" w:type="pct"/>
            <w:vAlign w:val="center"/>
          </w:tcPr>
          <w:p w14:paraId="1FAC8F0B">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均值的平均值</w:t>
            </w:r>
          </w:p>
        </w:tc>
        <w:tc>
          <w:tcPr>
            <w:tcW w:w="1631" w:type="dxa"/>
            <w:vAlign w:val="center"/>
          </w:tcPr>
          <w:p w14:paraId="7EFA3C5D">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0.295</w:t>
            </w:r>
          </w:p>
        </w:tc>
        <w:tc>
          <w:tcPr>
            <w:tcW w:w="1631" w:type="dxa"/>
            <w:vAlign w:val="center"/>
          </w:tcPr>
          <w:p w14:paraId="67793B36">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1.778</w:t>
            </w:r>
          </w:p>
        </w:tc>
        <w:tc>
          <w:tcPr>
            <w:tcW w:w="1631" w:type="dxa"/>
            <w:vAlign w:val="center"/>
          </w:tcPr>
          <w:p w14:paraId="6A007865">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8.731</w:t>
            </w:r>
          </w:p>
        </w:tc>
        <w:tc>
          <w:tcPr>
            <w:tcW w:w="1631" w:type="dxa"/>
            <w:vAlign w:val="center"/>
          </w:tcPr>
          <w:p w14:paraId="7B97B2E6">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13.390</w:t>
            </w:r>
          </w:p>
        </w:tc>
        <w:tc>
          <w:tcPr>
            <w:tcW w:w="1633" w:type="dxa"/>
            <w:vAlign w:val="center"/>
          </w:tcPr>
          <w:p w14:paraId="568F4780">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22.635</w:t>
            </w:r>
          </w:p>
        </w:tc>
      </w:tr>
      <w:tr w14:paraId="35D2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9" w:type="pct"/>
            <w:vAlign w:val="center"/>
          </w:tcPr>
          <w:p w14:paraId="2F974C83">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均值的标准差</w:t>
            </w:r>
          </w:p>
        </w:tc>
        <w:tc>
          <w:tcPr>
            <w:tcW w:w="1631" w:type="dxa"/>
            <w:vAlign w:val="center"/>
          </w:tcPr>
          <w:p w14:paraId="037283DA">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0.0025</w:t>
            </w:r>
          </w:p>
        </w:tc>
        <w:tc>
          <w:tcPr>
            <w:tcW w:w="1631" w:type="dxa"/>
            <w:vAlign w:val="center"/>
          </w:tcPr>
          <w:p w14:paraId="6E95D659">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0.0221</w:t>
            </w:r>
          </w:p>
        </w:tc>
        <w:tc>
          <w:tcPr>
            <w:tcW w:w="1631" w:type="dxa"/>
            <w:vAlign w:val="center"/>
          </w:tcPr>
          <w:p w14:paraId="3483B77C">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0.0610</w:t>
            </w:r>
          </w:p>
        </w:tc>
        <w:tc>
          <w:tcPr>
            <w:tcW w:w="1631" w:type="dxa"/>
            <w:vAlign w:val="center"/>
          </w:tcPr>
          <w:p w14:paraId="08B0B4A9">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0.0469</w:t>
            </w:r>
          </w:p>
        </w:tc>
        <w:tc>
          <w:tcPr>
            <w:tcW w:w="1633" w:type="dxa"/>
            <w:vAlign w:val="center"/>
          </w:tcPr>
          <w:p w14:paraId="1469C200">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0.0998</w:t>
            </w:r>
          </w:p>
        </w:tc>
      </w:tr>
      <w:tr w14:paraId="3DB0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9" w:type="pct"/>
            <w:vAlign w:val="center"/>
          </w:tcPr>
          <w:p w14:paraId="3E38121B">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最大均值</w:t>
            </w:r>
          </w:p>
        </w:tc>
        <w:tc>
          <w:tcPr>
            <w:tcW w:w="1631" w:type="dxa"/>
            <w:vAlign w:val="center"/>
          </w:tcPr>
          <w:p w14:paraId="5CA61CDD">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0.298</w:t>
            </w:r>
          </w:p>
        </w:tc>
        <w:tc>
          <w:tcPr>
            <w:tcW w:w="1631" w:type="dxa"/>
            <w:vAlign w:val="center"/>
          </w:tcPr>
          <w:p w14:paraId="509C6A34">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1.804</w:t>
            </w:r>
          </w:p>
        </w:tc>
        <w:tc>
          <w:tcPr>
            <w:tcW w:w="1631" w:type="dxa"/>
            <w:vAlign w:val="center"/>
          </w:tcPr>
          <w:p w14:paraId="7AD48834">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8.839</w:t>
            </w:r>
          </w:p>
        </w:tc>
        <w:tc>
          <w:tcPr>
            <w:tcW w:w="1631" w:type="dxa"/>
            <w:vAlign w:val="center"/>
          </w:tcPr>
          <w:p w14:paraId="0142E633">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13.454</w:t>
            </w:r>
          </w:p>
        </w:tc>
        <w:tc>
          <w:tcPr>
            <w:tcW w:w="1633" w:type="dxa"/>
            <w:vAlign w:val="center"/>
          </w:tcPr>
          <w:p w14:paraId="5DC572DA">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22.785</w:t>
            </w:r>
          </w:p>
        </w:tc>
      </w:tr>
      <w:tr w14:paraId="2D7A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9" w:type="pct"/>
            <w:vAlign w:val="center"/>
          </w:tcPr>
          <w:p w14:paraId="14380E3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最小均值</w:t>
            </w:r>
          </w:p>
        </w:tc>
        <w:tc>
          <w:tcPr>
            <w:tcW w:w="1631" w:type="dxa"/>
            <w:vAlign w:val="center"/>
          </w:tcPr>
          <w:p w14:paraId="3B5D4FED">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0.290</w:t>
            </w:r>
          </w:p>
        </w:tc>
        <w:tc>
          <w:tcPr>
            <w:tcW w:w="1631" w:type="dxa"/>
            <w:vAlign w:val="center"/>
          </w:tcPr>
          <w:p w14:paraId="78CC2119">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1.746</w:t>
            </w:r>
          </w:p>
        </w:tc>
        <w:tc>
          <w:tcPr>
            <w:tcW w:w="1631" w:type="dxa"/>
            <w:vAlign w:val="center"/>
          </w:tcPr>
          <w:p w14:paraId="39917C8D">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8.635</w:t>
            </w:r>
          </w:p>
        </w:tc>
        <w:tc>
          <w:tcPr>
            <w:tcW w:w="1631" w:type="dxa"/>
            <w:vAlign w:val="center"/>
          </w:tcPr>
          <w:p w14:paraId="6F0E4DA1">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13.317</w:t>
            </w:r>
          </w:p>
        </w:tc>
        <w:tc>
          <w:tcPr>
            <w:tcW w:w="1633" w:type="dxa"/>
            <w:vAlign w:val="center"/>
          </w:tcPr>
          <w:p w14:paraId="25565D54">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22.525</w:t>
            </w:r>
          </w:p>
        </w:tc>
      </w:tr>
      <w:tr w14:paraId="3781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9" w:type="pct"/>
            <w:vAlign w:val="center"/>
          </w:tcPr>
          <w:p w14:paraId="6C42C5B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Gmax</w:t>
            </w:r>
          </w:p>
        </w:tc>
        <w:tc>
          <w:tcPr>
            <w:tcW w:w="1631" w:type="dxa"/>
            <w:vAlign w:val="center"/>
          </w:tcPr>
          <w:p w14:paraId="3A851A56">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1.500</w:t>
            </w:r>
          </w:p>
        </w:tc>
        <w:tc>
          <w:tcPr>
            <w:tcW w:w="1631" w:type="dxa"/>
            <w:vAlign w:val="center"/>
          </w:tcPr>
          <w:p w14:paraId="69B971B1">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1.201</w:t>
            </w:r>
          </w:p>
        </w:tc>
        <w:tc>
          <w:tcPr>
            <w:tcW w:w="1631" w:type="dxa"/>
            <w:vAlign w:val="center"/>
          </w:tcPr>
          <w:p w14:paraId="03A80FB5">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1.768</w:t>
            </w:r>
          </w:p>
        </w:tc>
        <w:tc>
          <w:tcPr>
            <w:tcW w:w="1631" w:type="dxa"/>
            <w:vAlign w:val="center"/>
          </w:tcPr>
          <w:p w14:paraId="45FF1C19">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1.357</w:t>
            </w:r>
          </w:p>
        </w:tc>
        <w:tc>
          <w:tcPr>
            <w:tcW w:w="1633" w:type="dxa"/>
            <w:vAlign w:val="center"/>
          </w:tcPr>
          <w:p w14:paraId="4927DEF6">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1.505</w:t>
            </w:r>
          </w:p>
        </w:tc>
      </w:tr>
      <w:tr w14:paraId="662F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9" w:type="pct"/>
            <w:vAlign w:val="center"/>
          </w:tcPr>
          <w:p w14:paraId="0757A5FF">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Gmin</w:t>
            </w:r>
          </w:p>
        </w:tc>
        <w:tc>
          <w:tcPr>
            <w:tcW w:w="1631" w:type="dxa"/>
            <w:vAlign w:val="center"/>
          </w:tcPr>
          <w:p w14:paraId="42657498">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1.742</w:t>
            </w:r>
          </w:p>
        </w:tc>
        <w:tc>
          <w:tcPr>
            <w:tcW w:w="1631" w:type="dxa"/>
            <w:vAlign w:val="center"/>
          </w:tcPr>
          <w:p w14:paraId="5E3797C7">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1.440</w:t>
            </w:r>
          </w:p>
        </w:tc>
        <w:tc>
          <w:tcPr>
            <w:tcW w:w="1631" w:type="dxa"/>
            <w:vAlign w:val="center"/>
          </w:tcPr>
          <w:p w14:paraId="04688656">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1.577</w:t>
            </w:r>
          </w:p>
        </w:tc>
        <w:tc>
          <w:tcPr>
            <w:tcW w:w="1631" w:type="dxa"/>
            <w:vAlign w:val="center"/>
          </w:tcPr>
          <w:p w14:paraId="28BB4A52">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1.558</w:t>
            </w:r>
          </w:p>
        </w:tc>
        <w:tc>
          <w:tcPr>
            <w:tcW w:w="1633" w:type="dxa"/>
            <w:vAlign w:val="center"/>
          </w:tcPr>
          <w:p w14:paraId="0B452B0D">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1.103</w:t>
            </w:r>
          </w:p>
        </w:tc>
      </w:tr>
      <w:tr w14:paraId="0A8E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09" w:type="pct"/>
            <w:vAlign w:val="center"/>
          </w:tcPr>
          <w:p w14:paraId="239195A4">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G临界值</w:t>
            </w:r>
          </w:p>
        </w:tc>
        <w:tc>
          <w:tcPr>
            <w:tcW w:w="4091" w:type="pct"/>
            <w:gridSpan w:val="5"/>
            <w:vAlign w:val="center"/>
          </w:tcPr>
          <w:p w14:paraId="3D3385F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G</w:t>
            </w:r>
            <w:r>
              <w:rPr>
                <w:rFonts w:hint="eastAsia" w:ascii="Times New Roman" w:hAnsi="Times New Roman" w:cs="Times New Roman"/>
                <w:sz w:val="18"/>
                <w:szCs w:val="18"/>
                <w:vertAlign w:val="subscript"/>
                <w:lang w:val="en-US" w:eastAsia="zh-CN"/>
              </w:rPr>
              <w:t>0.05，7</w:t>
            </w:r>
            <w:r>
              <w:rPr>
                <w:rFonts w:hint="eastAsia" w:ascii="Times New Roman" w:hAnsi="Times New Roman" w:cs="Times New Roman"/>
                <w:sz w:val="18"/>
                <w:szCs w:val="18"/>
                <w:lang w:val="en-US" w:eastAsia="zh-CN"/>
              </w:rPr>
              <w:t>=2.139    G</w:t>
            </w:r>
            <w:r>
              <w:rPr>
                <w:rFonts w:hint="eastAsia" w:ascii="Times New Roman" w:hAnsi="Times New Roman" w:cs="Times New Roman"/>
                <w:sz w:val="18"/>
                <w:szCs w:val="18"/>
                <w:vertAlign w:val="subscript"/>
                <w:lang w:val="en-US" w:eastAsia="zh-CN"/>
              </w:rPr>
              <w:t>0.01，7</w:t>
            </w:r>
            <w:r>
              <w:rPr>
                <w:rFonts w:hint="eastAsia" w:ascii="Times New Roman" w:hAnsi="Times New Roman" w:cs="Times New Roman"/>
                <w:sz w:val="18"/>
                <w:szCs w:val="18"/>
                <w:lang w:val="en-US" w:eastAsia="zh-CN"/>
              </w:rPr>
              <w:t>=2.020    G</w:t>
            </w:r>
            <w:r>
              <w:rPr>
                <w:rFonts w:hint="eastAsia" w:ascii="Times New Roman" w:hAnsi="Times New Roman" w:cs="Times New Roman"/>
                <w:sz w:val="18"/>
                <w:szCs w:val="18"/>
                <w:vertAlign w:val="subscript"/>
                <w:lang w:val="en-US" w:eastAsia="zh-CN"/>
              </w:rPr>
              <w:t>0.05，6</w:t>
            </w:r>
            <w:r>
              <w:rPr>
                <w:rFonts w:hint="eastAsia" w:ascii="Times New Roman" w:hAnsi="Times New Roman" w:cs="Times New Roman"/>
                <w:sz w:val="18"/>
                <w:szCs w:val="18"/>
                <w:lang w:val="en-US" w:eastAsia="zh-CN"/>
              </w:rPr>
              <w:t>=1.973    G</w:t>
            </w:r>
            <w:r>
              <w:rPr>
                <w:rFonts w:hint="eastAsia" w:ascii="Times New Roman" w:hAnsi="Times New Roman" w:cs="Times New Roman"/>
                <w:sz w:val="18"/>
                <w:szCs w:val="18"/>
                <w:vertAlign w:val="subscript"/>
                <w:lang w:val="en-US" w:eastAsia="zh-CN"/>
              </w:rPr>
              <w:t>0.01，6</w:t>
            </w:r>
            <w:r>
              <w:rPr>
                <w:rFonts w:hint="eastAsia" w:ascii="Times New Roman" w:hAnsi="Times New Roman" w:cs="Times New Roman"/>
                <w:sz w:val="18"/>
                <w:szCs w:val="18"/>
                <w:lang w:val="en-US" w:eastAsia="zh-CN"/>
              </w:rPr>
              <w:t>=1.887</w:t>
            </w:r>
          </w:p>
        </w:tc>
      </w:tr>
    </w:tbl>
    <w:p w14:paraId="16EDC43C">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格拉布斯检验显示，无离群值，无歧离值。</w:t>
      </w:r>
    </w:p>
    <w:p w14:paraId="64C732F1">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2.3</w:t>
      </w:r>
      <w:r>
        <w:rPr>
          <w:rFonts w:hint="default" w:ascii="Times New Roman" w:hAnsi="Times New Roman" w:eastAsia="黑体" w:cs="Times New Roman"/>
          <w:szCs w:val="21"/>
        </w:rPr>
        <w:tab/>
      </w:r>
      <w:r>
        <w:rPr>
          <w:rFonts w:hint="default" w:ascii="Times New Roman" w:hAnsi="Times New Roman" w:eastAsia="黑体" w:cs="Times New Roman"/>
          <w:szCs w:val="21"/>
        </w:rPr>
        <w:t>S</w:t>
      </w:r>
      <w:r>
        <w:rPr>
          <w:rFonts w:hint="default" w:ascii="Times New Roman" w:hAnsi="Times New Roman" w:eastAsia="黑体" w:cs="Times New Roman"/>
          <w:szCs w:val="21"/>
          <w:vertAlign w:val="subscript"/>
        </w:rPr>
        <w:t>r</w:t>
      </w:r>
      <w:r>
        <w:rPr>
          <w:rFonts w:hint="default" w:ascii="Times New Roman" w:hAnsi="Times New Roman" w:eastAsia="黑体" w:cs="Times New Roman"/>
          <w:szCs w:val="21"/>
        </w:rPr>
        <w:t>、S</w:t>
      </w:r>
      <w:r>
        <w:rPr>
          <w:rFonts w:hint="default" w:ascii="Times New Roman" w:hAnsi="Times New Roman" w:eastAsia="黑体" w:cs="Times New Roman"/>
          <w:szCs w:val="21"/>
          <w:vertAlign w:val="subscript"/>
        </w:rPr>
        <w:t>R</w:t>
      </w:r>
      <w:r>
        <w:rPr>
          <w:rFonts w:hint="default" w:ascii="Times New Roman" w:hAnsi="Times New Roman" w:eastAsia="黑体" w:cs="Times New Roman"/>
          <w:szCs w:val="21"/>
        </w:rPr>
        <w:t>、r与R的计算</w:t>
      </w:r>
    </w:p>
    <w:p w14:paraId="0B309D2A">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表A.6 精密度计算数据</w:t>
      </w:r>
    </w:p>
    <w:tbl>
      <w:tblPr>
        <w:tblStyle w:val="4"/>
        <w:tblW w:w="5000" w:type="pct"/>
        <w:tblInd w:w="0" w:type="dxa"/>
        <w:tblLayout w:type="autofit"/>
        <w:tblCellMar>
          <w:top w:w="0" w:type="dxa"/>
          <w:left w:w="108" w:type="dxa"/>
          <w:bottom w:w="0" w:type="dxa"/>
          <w:right w:w="108" w:type="dxa"/>
        </w:tblCellMar>
      </w:tblPr>
      <w:tblGrid>
        <w:gridCol w:w="1200"/>
        <w:gridCol w:w="1462"/>
        <w:gridCol w:w="1476"/>
        <w:gridCol w:w="1476"/>
        <w:gridCol w:w="1454"/>
        <w:gridCol w:w="1454"/>
      </w:tblGrid>
      <w:tr w14:paraId="5CBEC9A7">
        <w:tblPrEx>
          <w:tblCellMar>
            <w:top w:w="0" w:type="dxa"/>
            <w:left w:w="108" w:type="dxa"/>
            <w:bottom w:w="0" w:type="dxa"/>
            <w:right w:w="108" w:type="dxa"/>
          </w:tblCellMar>
        </w:tblPrEx>
        <w:trPr>
          <w:trHeight w:val="341" w:hRule="atLeast"/>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9584C8">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858" w:type="pct"/>
            <w:tcBorders>
              <w:top w:val="single" w:color="auto" w:sz="4" w:space="0"/>
              <w:left w:val="nil"/>
              <w:bottom w:val="single" w:color="auto" w:sz="4" w:space="0"/>
              <w:right w:val="single" w:color="auto" w:sz="4" w:space="0"/>
            </w:tcBorders>
            <w:shd w:val="clear" w:color="auto" w:fill="auto"/>
            <w:noWrap/>
            <w:vAlign w:val="center"/>
          </w:tcPr>
          <w:p w14:paraId="4121E5C8">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水平1</w:t>
            </w:r>
          </w:p>
        </w:tc>
        <w:tc>
          <w:tcPr>
            <w:tcW w:w="866" w:type="pct"/>
            <w:tcBorders>
              <w:top w:val="single" w:color="auto" w:sz="4" w:space="0"/>
              <w:left w:val="nil"/>
              <w:bottom w:val="single" w:color="auto" w:sz="4" w:space="0"/>
              <w:right w:val="single" w:color="auto" w:sz="4" w:space="0"/>
            </w:tcBorders>
            <w:shd w:val="clear" w:color="auto" w:fill="auto"/>
            <w:noWrap/>
            <w:vAlign w:val="center"/>
          </w:tcPr>
          <w:p w14:paraId="509DB3F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水平2</w:t>
            </w:r>
          </w:p>
        </w:tc>
        <w:tc>
          <w:tcPr>
            <w:tcW w:w="866" w:type="pct"/>
            <w:tcBorders>
              <w:top w:val="single" w:color="auto" w:sz="4" w:space="0"/>
              <w:left w:val="nil"/>
              <w:bottom w:val="single" w:color="auto" w:sz="4" w:space="0"/>
              <w:right w:val="single" w:color="auto" w:sz="4" w:space="0"/>
            </w:tcBorders>
            <w:shd w:val="clear" w:color="auto" w:fill="auto"/>
            <w:noWrap/>
            <w:vAlign w:val="center"/>
          </w:tcPr>
          <w:p w14:paraId="0B39EE98">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水平3</w:t>
            </w:r>
          </w:p>
        </w:tc>
        <w:tc>
          <w:tcPr>
            <w:tcW w:w="853" w:type="pct"/>
            <w:tcBorders>
              <w:top w:val="single" w:color="auto" w:sz="4" w:space="0"/>
              <w:left w:val="nil"/>
              <w:bottom w:val="single" w:color="auto" w:sz="4" w:space="0"/>
              <w:right w:val="single" w:color="auto" w:sz="4" w:space="0"/>
            </w:tcBorders>
            <w:vAlign w:val="center"/>
          </w:tcPr>
          <w:p w14:paraId="4BCD9D74">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水平4</w:t>
            </w:r>
          </w:p>
        </w:tc>
        <w:tc>
          <w:tcPr>
            <w:tcW w:w="853" w:type="pct"/>
            <w:tcBorders>
              <w:top w:val="single" w:color="auto" w:sz="4" w:space="0"/>
              <w:left w:val="nil"/>
              <w:bottom w:val="single" w:color="auto" w:sz="4" w:space="0"/>
              <w:right w:val="single" w:color="auto" w:sz="4" w:space="0"/>
            </w:tcBorders>
            <w:vAlign w:val="center"/>
          </w:tcPr>
          <w:p w14:paraId="6E3A263E">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水平5</w:t>
            </w:r>
          </w:p>
        </w:tc>
      </w:tr>
      <w:tr w14:paraId="29C14290">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1E2B993B">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sz w:val="18"/>
                <w:szCs w:val="18"/>
              </w:rPr>
              <w:t>总平均值</w:t>
            </w:r>
          </w:p>
        </w:tc>
        <w:tc>
          <w:tcPr>
            <w:tcW w:w="1462" w:type="dxa"/>
            <w:tcBorders>
              <w:top w:val="nil"/>
              <w:left w:val="nil"/>
              <w:bottom w:val="single" w:color="auto" w:sz="4" w:space="0"/>
              <w:right w:val="single" w:color="auto" w:sz="4" w:space="0"/>
            </w:tcBorders>
            <w:shd w:val="clear" w:color="auto" w:fill="auto"/>
            <w:noWrap/>
            <w:vAlign w:val="center"/>
          </w:tcPr>
          <w:p w14:paraId="490992FC">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0.295</w:t>
            </w:r>
          </w:p>
        </w:tc>
        <w:tc>
          <w:tcPr>
            <w:tcW w:w="1476" w:type="dxa"/>
            <w:tcBorders>
              <w:top w:val="nil"/>
              <w:left w:val="nil"/>
              <w:bottom w:val="single" w:color="auto" w:sz="4" w:space="0"/>
              <w:right w:val="single" w:color="auto" w:sz="4" w:space="0"/>
            </w:tcBorders>
            <w:shd w:val="clear" w:color="auto" w:fill="auto"/>
            <w:noWrap/>
            <w:vAlign w:val="center"/>
          </w:tcPr>
          <w:p w14:paraId="46033BAD">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1.778</w:t>
            </w:r>
          </w:p>
        </w:tc>
        <w:tc>
          <w:tcPr>
            <w:tcW w:w="1476" w:type="dxa"/>
            <w:tcBorders>
              <w:top w:val="nil"/>
              <w:left w:val="nil"/>
              <w:bottom w:val="single" w:color="auto" w:sz="4" w:space="0"/>
              <w:right w:val="single" w:color="auto" w:sz="4" w:space="0"/>
            </w:tcBorders>
            <w:shd w:val="clear" w:color="auto" w:fill="auto"/>
            <w:noWrap/>
            <w:vAlign w:val="center"/>
          </w:tcPr>
          <w:p w14:paraId="70AC42B5">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8.731</w:t>
            </w:r>
          </w:p>
        </w:tc>
        <w:tc>
          <w:tcPr>
            <w:tcW w:w="1454" w:type="dxa"/>
            <w:tcBorders>
              <w:top w:val="nil"/>
              <w:left w:val="nil"/>
              <w:bottom w:val="single" w:color="auto" w:sz="4" w:space="0"/>
              <w:right w:val="single" w:color="auto" w:sz="4" w:space="0"/>
            </w:tcBorders>
            <w:vAlign w:val="center"/>
          </w:tcPr>
          <w:p w14:paraId="712DD037">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13.390</w:t>
            </w:r>
          </w:p>
        </w:tc>
        <w:tc>
          <w:tcPr>
            <w:tcW w:w="1454" w:type="dxa"/>
            <w:tcBorders>
              <w:top w:val="nil"/>
              <w:left w:val="nil"/>
              <w:bottom w:val="single" w:color="auto" w:sz="4" w:space="0"/>
              <w:right w:val="single" w:color="auto" w:sz="4" w:space="0"/>
            </w:tcBorders>
            <w:vAlign w:val="center"/>
          </w:tcPr>
          <w:p w14:paraId="73D2172E">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22.635</w:t>
            </w:r>
          </w:p>
        </w:tc>
      </w:tr>
      <w:tr w14:paraId="5A3C9FDD">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4CC58E5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T1</w:t>
            </w:r>
          </w:p>
        </w:tc>
        <w:tc>
          <w:tcPr>
            <w:tcW w:w="1462" w:type="dxa"/>
            <w:tcBorders>
              <w:top w:val="nil"/>
              <w:left w:val="nil"/>
              <w:bottom w:val="single" w:color="auto" w:sz="4" w:space="0"/>
              <w:right w:val="single" w:color="auto" w:sz="4" w:space="0"/>
            </w:tcBorders>
            <w:shd w:val="clear" w:color="auto" w:fill="auto"/>
            <w:noWrap/>
            <w:vAlign w:val="center"/>
          </w:tcPr>
          <w:p w14:paraId="691C5BCA">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22.689</w:t>
            </w:r>
          </w:p>
        </w:tc>
        <w:tc>
          <w:tcPr>
            <w:tcW w:w="1476" w:type="dxa"/>
            <w:tcBorders>
              <w:top w:val="nil"/>
              <w:left w:val="nil"/>
              <w:bottom w:val="single" w:color="auto" w:sz="4" w:space="0"/>
              <w:right w:val="single" w:color="auto" w:sz="4" w:space="0"/>
            </w:tcBorders>
            <w:shd w:val="clear" w:color="auto" w:fill="auto"/>
            <w:noWrap/>
            <w:vAlign w:val="center"/>
          </w:tcPr>
          <w:p w14:paraId="22922B11">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136.895</w:t>
            </w:r>
          </w:p>
        </w:tc>
        <w:tc>
          <w:tcPr>
            <w:tcW w:w="1476" w:type="dxa"/>
            <w:tcBorders>
              <w:top w:val="nil"/>
              <w:left w:val="nil"/>
              <w:bottom w:val="single" w:color="auto" w:sz="4" w:space="0"/>
              <w:right w:val="single" w:color="auto" w:sz="4" w:space="0"/>
            </w:tcBorders>
            <w:shd w:val="clear" w:color="auto" w:fill="auto"/>
            <w:noWrap/>
            <w:vAlign w:val="center"/>
          </w:tcPr>
          <w:p w14:paraId="1CF1C2ED">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672.289</w:t>
            </w:r>
          </w:p>
        </w:tc>
        <w:tc>
          <w:tcPr>
            <w:tcW w:w="1454" w:type="dxa"/>
            <w:tcBorders>
              <w:top w:val="nil"/>
              <w:left w:val="nil"/>
              <w:bottom w:val="single" w:color="auto" w:sz="4" w:space="0"/>
              <w:right w:val="single" w:color="auto" w:sz="4" w:space="0"/>
            </w:tcBorders>
            <w:vAlign w:val="center"/>
          </w:tcPr>
          <w:p w14:paraId="6227CB32">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1031.028</w:t>
            </w:r>
          </w:p>
        </w:tc>
        <w:tc>
          <w:tcPr>
            <w:tcW w:w="1454" w:type="dxa"/>
            <w:tcBorders>
              <w:top w:val="nil"/>
              <w:left w:val="nil"/>
              <w:bottom w:val="single" w:color="auto" w:sz="4" w:space="0"/>
              <w:right w:val="single" w:color="auto" w:sz="4" w:space="0"/>
            </w:tcBorders>
            <w:vAlign w:val="center"/>
          </w:tcPr>
          <w:p w14:paraId="5F1854F4">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1493.915</w:t>
            </w:r>
          </w:p>
        </w:tc>
      </w:tr>
      <w:tr w14:paraId="291F3A7E">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3706FC28">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T2</w:t>
            </w:r>
          </w:p>
        </w:tc>
        <w:tc>
          <w:tcPr>
            <w:tcW w:w="1462" w:type="dxa"/>
            <w:tcBorders>
              <w:top w:val="nil"/>
              <w:left w:val="nil"/>
              <w:bottom w:val="single" w:color="auto" w:sz="4" w:space="0"/>
              <w:right w:val="single" w:color="auto" w:sz="4" w:space="0"/>
            </w:tcBorders>
            <w:shd w:val="clear" w:color="auto" w:fill="auto"/>
            <w:noWrap/>
            <w:vAlign w:val="center"/>
          </w:tcPr>
          <w:p w14:paraId="0EE5B57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6.687</w:t>
            </w:r>
          </w:p>
        </w:tc>
        <w:tc>
          <w:tcPr>
            <w:tcW w:w="1476" w:type="dxa"/>
            <w:tcBorders>
              <w:top w:val="nil"/>
              <w:left w:val="nil"/>
              <w:bottom w:val="single" w:color="auto" w:sz="4" w:space="0"/>
              <w:right w:val="single" w:color="auto" w:sz="4" w:space="0"/>
            </w:tcBorders>
            <w:shd w:val="clear" w:color="auto" w:fill="auto"/>
            <w:noWrap/>
            <w:vAlign w:val="center"/>
          </w:tcPr>
          <w:p w14:paraId="1729F6BE">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243.391</w:t>
            </w:r>
          </w:p>
        </w:tc>
        <w:tc>
          <w:tcPr>
            <w:tcW w:w="1476" w:type="dxa"/>
            <w:tcBorders>
              <w:top w:val="nil"/>
              <w:left w:val="nil"/>
              <w:bottom w:val="single" w:color="auto" w:sz="4" w:space="0"/>
              <w:right w:val="single" w:color="auto" w:sz="4" w:space="0"/>
            </w:tcBorders>
            <w:shd w:val="clear" w:color="auto" w:fill="auto"/>
            <w:noWrap/>
            <w:vAlign w:val="center"/>
          </w:tcPr>
          <w:p w14:paraId="200D2499">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5869.872</w:t>
            </w:r>
          </w:p>
        </w:tc>
        <w:tc>
          <w:tcPr>
            <w:tcW w:w="1454" w:type="dxa"/>
            <w:tcBorders>
              <w:top w:val="nil"/>
              <w:left w:val="nil"/>
              <w:bottom w:val="single" w:color="auto" w:sz="4" w:space="0"/>
              <w:right w:val="single" w:color="auto" w:sz="4" w:space="0"/>
            </w:tcBorders>
            <w:vAlign w:val="center"/>
          </w:tcPr>
          <w:p w14:paraId="6E92C281">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13805.698</w:t>
            </w:r>
          </w:p>
        </w:tc>
        <w:tc>
          <w:tcPr>
            <w:tcW w:w="1454" w:type="dxa"/>
            <w:tcBorders>
              <w:top w:val="nil"/>
              <w:left w:val="nil"/>
              <w:bottom w:val="single" w:color="auto" w:sz="4" w:space="0"/>
              <w:right w:val="single" w:color="auto" w:sz="4" w:space="0"/>
            </w:tcBorders>
            <w:vAlign w:val="center"/>
          </w:tcPr>
          <w:p w14:paraId="3EBC795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33814.952</w:t>
            </w:r>
          </w:p>
        </w:tc>
      </w:tr>
      <w:tr w14:paraId="25FEE7E2">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1CBB7251">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T3</w:t>
            </w:r>
          </w:p>
        </w:tc>
        <w:tc>
          <w:tcPr>
            <w:tcW w:w="1462" w:type="dxa"/>
            <w:tcBorders>
              <w:top w:val="nil"/>
              <w:left w:val="nil"/>
              <w:bottom w:val="single" w:color="auto" w:sz="4" w:space="0"/>
              <w:right w:val="single" w:color="auto" w:sz="4" w:space="0"/>
            </w:tcBorders>
            <w:shd w:val="clear" w:color="auto" w:fill="auto"/>
            <w:noWrap/>
            <w:vAlign w:val="center"/>
          </w:tcPr>
          <w:p w14:paraId="740735B1">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476" w:type="dxa"/>
            <w:tcBorders>
              <w:top w:val="nil"/>
              <w:left w:val="nil"/>
              <w:bottom w:val="single" w:color="auto" w:sz="4" w:space="0"/>
              <w:right w:val="single" w:color="auto" w:sz="4" w:space="0"/>
            </w:tcBorders>
            <w:shd w:val="clear" w:color="auto" w:fill="auto"/>
            <w:noWrap/>
            <w:vAlign w:val="center"/>
          </w:tcPr>
          <w:p w14:paraId="0B2DC2C7">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476" w:type="dxa"/>
            <w:tcBorders>
              <w:top w:val="nil"/>
              <w:left w:val="nil"/>
              <w:bottom w:val="single" w:color="auto" w:sz="4" w:space="0"/>
              <w:right w:val="single" w:color="auto" w:sz="4" w:space="0"/>
            </w:tcBorders>
            <w:shd w:val="clear" w:color="auto" w:fill="auto"/>
            <w:noWrap/>
            <w:vAlign w:val="center"/>
          </w:tcPr>
          <w:p w14:paraId="766980FA">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454" w:type="dxa"/>
            <w:tcBorders>
              <w:top w:val="nil"/>
              <w:left w:val="nil"/>
              <w:bottom w:val="single" w:color="auto" w:sz="4" w:space="0"/>
              <w:right w:val="single" w:color="auto" w:sz="4" w:space="0"/>
            </w:tcBorders>
            <w:vAlign w:val="center"/>
          </w:tcPr>
          <w:p w14:paraId="7A5164F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454" w:type="dxa"/>
            <w:tcBorders>
              <w:top w:val="nil"/>
              <w:left w:val="nil"/>
              <w:bottom w:val="single" w:color="auto" w:sz="4" w:space="0"/>
              <w:right w:val="single" w:color="auto" w:sz="4" w:space="0"/>
            </w:tcBorders>
            <w:vAlign w:val="center"/>
          </w:tcPr>
          <w:p w14:paraId="6466AF8F">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66</w:t>
            </w:r>
          </w:p>
        </w:tc>
      </w:tr>
      <w:tr w14:paraId="032C1B9F">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1FA12F12">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T4</w:t>
            </w:r>
          </w:p>
        </w:tc>
        <w:tc>
          <w:tcPr>
            <w:tcW w:w="1462" w:type="dxa"/>
            <w:tcBorders>
              <w:top w:val="nil"/>
              <w:left w:val="nil"/>
              <w:bottom w:val="single" w:color="auto" w:sz="4" w:space="0"/>
              <w:right w:val="single" w:color="auto" w:sz="4" w:space="0"/>
            </w:tcBorders>
            <w:shd w:val="clear" w:color="auto" w:fill="auto"/>
            <w:noWrap/>
            <w:vAlign w:val="center"/>
          </w:tcPr>
          <w:p w14:paraId="033C3449">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1476" w:type="dxa"/>
            <w:tcBorders>
              <w:top w:val="nil"/>
              <w:left w:val="nil"/>
              <w:bottom w:val="single" w:color="auto" w:sz="4" w:space="0"/>
              <w:right w:val="single" w:color="auto" w:sz="4" w:space="0"/>
            </w:tcBorders>
            <w:shd w:val="clear" w:color="auto" w:fill="auto"/>
            <w:noWrap/>
            <w:vAlign w:val="center"/>
          </w:tcPr>
          <w:p w14:paraId="153A87E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1476" w:type="dxa"/>
            <w:tcBorders>
              <w:top w:val="nil"/>
              <w:left w:val="nil"/>
              <w:bottom w:val="single" w:color="auto" w:sz="4" w:space="0"/>
              <w:right w:val="single" w:color="auto" w:sz="4" w:space="0"/>
            </w:tcBorders>
            <w:shd w:val="clear" w:color="auto" w:fill="auto"/>
            <w:noWrap/>
            <w:vAlign w:val="center"/>
          </w:tcPr>
          <w:p w14:paraId="3CBDCA48">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1454" w:type="dxa"/>
            <w:tcBorders>
              <w:top w:val="nil"/>
              <w:left w:val="nil"/>
              <w:bottom w:val="single" w:color="auto" w:sz="4" w:space="0"/>
              <w:right w:val="single" w:color="auto" w:sz="4" w:space="0"/>
            </w:tcBorders>
            <w:vAlign w:val="center"/>
          </w:tcPr>
          <w:p w14:paraId="3E6AC2CB">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1454" w:type="dxa"/>
            <w:tcBorders>
              <w:top w:val="nil"/>
              <w:left w:val="nil"/>
              <w:bottom w:val="single" w:color="auto" w:sz="4" w:space="0"/>
              <w:right w:val="single" w:color="auto" w:sz="4" w:space="0"/>
            </w:tcBorders>
            <w:vAlign w:val="center"/>
          </w:tcPr>
          <w:p w14:paraId="0A01CD2D">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726</w:t>
            </w:r>
          </w:p>
        </w:tc>
      </w:tr>
      <w:tr w14:paraId="6723A517">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5958C88A">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T5</w:t>
            </w:r>
          </w:p>
        </w:tc>
        <w:tc>
          <w:tcPr>
            <w:tcW w:w="1462" w:type="dxa"/>
            <w:tcBorders>
              <w:top w:val="nil"/>
              <w:left w:val="nil"/>
              <w:bottom w:val="single" w:color="auto" w:sz="4" w:space="0"/>
              <w:right w:val="single" w:color="auto" w:sz="4" w:space="0"/>
            </w:tcBorders>
            <w:shd w:val="clear" w:color="auto" w:fill="auto"/>
            <w:noWrap/>
            <w:vAlign w:val="center"/>
          </w:tcPr>
          <w:p w14:paraId="0B55FB39">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0.00480</w:t>
            </w:r>
          </w:p>
        </w:tc>
        <w:tc>
          <w:tcPr>
            <w:tcW w:w="1476" w:type="dxa"/>
            <w:tcBorders>
              <w:top w:val="nil"/>
              <w:left w:val="nil"/>
              <w:bottom w:val="single" w:color="auto" w:sz="4" w:space="0"/>
              <w:right w:val="single" w:color="auto" w:sz="4" w:space="0"/>
            </w:tcBorders>
            <w:shd w:val="clear" w:color="auto" w:fill="auto"/>
            <w:noWrap/>
            <w:vAlign w:val="center"/>
          </w:tcPr>
          <w:p w14:paraId="2FAC5A4B">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0.06036</w:t>
            </w:r>
          </w:p>
        </w:tc>
        <w:tc>
          <w:tcPr>
            <w:tcW w:w="1476" w:type="dxa"/>
            <w:tcBorders>
              <w:top w:val="nil"/>
              <w:left w:val="nil"/>
              <w:bottom w:val="single" w:color="auto" w:sz="4" w:space="0"/>
              <w:right w:val="single" w:color="auto" w:sz="4" w:space="0"/>
            </w:tcBorders>
            <w:shd w:val="clear" w:color="auto" w:fill="auto"/>
            <w:noWrap/>
            <w:vAlign w:val="center"/>
          </w:tcPr>
          <w:p w14:paraId="507AEDB8">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0.38664</w:t>
            </w:r>
          </w:p>
        </w:tc>
        <w:tc>
          <w:tcPr>
            <w:tcW w:w="1454" w:type="dxa"/>
            <w:tcBorders>
              <w:top w:val="nil"/>
              <w:left w:val="nil"/>
              <w:bottom w:val="single" w:color="auto" w:sz="4" w:space="0"/>
              <w:right w:val="single" w:color="auto" w:sz="4" w:space="0"/>
            </w:tcBorders>
            <w:vAlign w:val="center"/>
          </w:tcPr>
          <w:p w14:paraId="52498CA8">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0.53672</w:t>
            </w:r>
          </w:p>
        </w:tc>
        <w:tc>
          <w:tcPr>
            <w:tcW w:w="1454" w:type="dxa"/>
            <w:tcBorders>
              <w:top w:val="nil"/>
              <w:left w:val="nil"/>
              <w:bottom w:val="single" w:color="auto" w:sz="4" w:space="0"/>
              <w:right w:val="single" w:color="auto" w:sz="4" w:space="0"/>
            </w:tcBorders>
            <w:vAlign w:val="center"/>
          </w:tcPr>
          <w:p w14:paraId="60E12C98">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0.29140</w:t>
            </w:r>
          </w:p>
        </w:tc>
      </w:tr>
      <w:tr w14:paraId="6CDC471A">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1A67D23F">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P</w:t>
            </w:r>
          </w:p>
        </w:tc>
        <w:tc>
          <w:tcPr>
            <w:tcW w:w="858" w:type="pct"/>
            <w:tcBorders>
              <w:top w:val="nil"/>
              <w:left w:val="nil"/>
              <w:bottom w:val="single" w:color="auto" w:sz="4" w:space="0"/>
              <w:right w:val="single" w:color="auto" w:sz="4" w:space="0"/>
            </w:tcBorders>
            <w:shd w:val="clear" w:color="auto" w:fill="auto"/>
            <w:noWrap/>
            <w:vAlign w:val="center"/>
          </w:tcPr>
          <w:p w14:paraId="1E2E8278">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7</w:t>
            </w:r>
          </w:p>
        </w:tc>
        <w:tc>
          <w:tcPr>
            <w:tcW w:w="866" w:type="pct"/>
            <w:tcBorders>
              <w:top w:val="nil"/>
              <w:left w:val="nil"/>
              <w:bottom w:val="single" w:color="auto" w:sz="4" w:space="0"/>
              <w:right w:val="single" w:color="auto" w:sz="4" w:space="0"/>
            </w:tcBorders>
            <w:shd w:val="clear" w:color="auto" w:fill="auto"/>
            <w:noWrap/>
            <w:vAlign w:val="center"/>
          </w:tcPr>
          <w:p w14:paraId="74852293">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7</w:t>
            </w:r>
          </w:p>
        </w:tc>
        <w:tc>
          <w:tcPr>
            <w:tcW w:w="866" w:type="pct"/>
            <w:tcBorders>
              <w:top w:val="nil"/>
              <w:left w:val="nil"/>
              <w:bottom w:val="single" w:color="auto" w:sz="4" w:space="0"/>
              <w:right w:val="single" w:color="auto" w:sz="4" w:space="0"/>
            </w:tcBorders>
            <w:shd w:val="clear" w:color="auto" w:fill="auto"/>
            <w:noWrap/>
            <w:vAlign w:val="center"/>
          </w:tcPr>
          <w:p w14:paraId="14DF5D0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7</w:t>
            </w:r>
          </w:p>
        </w:tc>
        <w:tc>
          <w:tcPr>
            <w:tcW w:w="853" w:type="pct"/>
            <w:tcBorders>
              <w:top w:val="nil"/>
              <w:left w:val="nil"/>
              <w:bottom w:val="single" w:color="auto" w:sz="4" w:space="0"/>
              <w:right w:val="single" w:color="auto" w:sz="4" w:space="0"/>
            </w:tcBorders>
            <w:vAlign w:val="center"/>
          </w:tcPr>
          <w:p w14:paraId="62AEB84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7</w:t>
            </w:r>
          </w:p>
        </w:tc>
        <w:tc>
          <w:tcPr>
            <w:tcW w:w="853" w:type="pct"/>
            <w:tcBorders>
              <w:top w:val="nil"/>
              <w:left w:val="nil"/>
              <w:bottom w:val="single" w:color="auto" w:sz="4" w:space="0"/>
              <w:right w:val="single" w:color="auto" w:sz="4" w:space="0"/>
            </w:tcBorders>
            <w:vAlign w:val="center"/>
          </w:tcPr>
          <w:p w14:paraId="6234F10E">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color w:val="000000"/>
                <w:sz w:val="18"/>
                <w:szCs w:val="18"/>
                <w:lang w:val="en-US" w:eastAsia="zh-CN"/>
              </w:rPr>
              <w:t>6</w:t>
            </w:r>
          </w:p>
        </w:tc>
      </w:tr>
      <w:tr w14:paraId="0CD8639B">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6B3A199F">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r>
              <w:rPr>
                <w:rFonts w:hint="default" w:ascii="Times New Roman" w:hAnsi="Times New Roman" w:cs="Times New Roman"/>
                <w:sz w:val="18"/>
                <w:szCs w:val="18"/>
                <w:vertAlign w:val="superscript"/>
              </w:rPr>
              <w:t>2</w:t>
            </w:r>
          </w:p>
        </w:tc>
        <w:tc>
          <w:tcPr>
            <w:tcW w:w="1462" w:type="dxa"/>
            <w:tcBorders>
              <w:top w:val="nil"/>
              <w:left w:val="nil"/>
              <w:bottom w:val="single" w:color="auto" w:sz="4" w:space="0"/>
              <w:right w:val="single" w:color="auto" w:sz="4" w:space="0"/>
            </w:tcBorders>
            <w:shd w:val="clear" w:color="auto" w:fill="auto"/>
            <w:noWrap/>
            <w:vAlign w:val="center"/>
          </w:tcPr>
          <w:p w14:paraId="7BF0F4AD">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0.0000686</w:t>
            </w:r>
          </w:p>
        </w:tc>
        <w:tc>
          <w:tcPr>
            <w:tcW w:w="1476" w:type="dxa"/>
            <w:tcBorders>
              <w:top w:val="nil"/>
              <w:left w:val="nil"/>
              <w:bottom w:val="single" w:color="auto" w:sz="4" w:space="0"/>
              <w:right w:val="single" w:color="auto" w:sz="4" w:space="0"/>
            </w:tcBorders>
            <w:shd w:val="clear" w:color="auto" w:fill="auto"/>
            <w:noWrap/>
            <w:vAlign w:val="center"/>
          </w:tcPr>
          <w:p w14:paraId="39586331">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0.000862</w:t>
            </w:r>
          </w:p>
        </w:tc>
        <w:tc>
          <w:tcPr>
            <w:tcW w:w="1476" w:type="dxa"/>
            <w:tcBorders>
              <w:top w:val="nil"/>
              <w:left w:val="nil"/>
              <w:bottom w:val="single" w:color="auto" w:sz="4" w:space="0"/>
              <w:right w:val="single" w:color="auto" w:sz="4" w:space="0"/>
            </w:tcBorders>
            <w:shd w:val="clear" w:color="auto" w:fill="auto"/>
            <w:noWrap/>
            <w:vAlign w:val="center"/>
          </w:tcPr>
          <w:p w14:paraId="1F5538DB">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0.00552</w:t>
            </w:r>
          </w:p>
        </w:tc>
        <w:tc>
          <w:tcPr>
            <w:tcW w:w="1454" w:type="dxa"/>
            <w:tcBorders>
              <w:top w:val="nil"/>
              <w:left w:val="nil"/>
              <w:bottom w:val="single" w:color="auto" w:sz="4" w:space="0"/>
              <w:right w:val="single" w:color="auto" w:sz="4" w:space="0"/>
            </w:tcBorders>
            <w:vAlign w:val="center"/>
          </w:tcPr>
          <w:p w14:paraId="5908B237">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0.00767</w:t>
            </w:r>
          </w:p>
        </w:tc>
        <w:tc>
          <w:tcPr>
            <w:tcW w:w="1454" w:type="dxa"/>
            <w:tcBorders>
              <w:top w:val="nil"/>
              <w:left w:val="nil"/>
              <w:bottom w:val="single" w:color="auto" w:sz="4" w:space="0"/>
              <w:right w:val="single" w:color="auto" w:sz="4" w:space="0"/>
            </w:tcBorders>
            <w:vAlign w:val="center"/>
          </w:tcPr>
          <w:p w14:paraId="42EC7DCD">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0.00486</w:t>
            </w:r>
          </w:p>
        </w:tc>
      </w:tr>
      <w:tr w14:paraId="2598DF90">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5FE0988F">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L</w:t>
            </w:r>
            <w:r>
              <w:rPr>
                <w:rFonts w:hint="default" w:ascii="Times New Roman" w:hAnsi="Times New Roman" w:cs="Times New Roman"/>
                <w:sz w:val="18"/>
                <w:szCs w:val="18"/>
                <w:vertAlign w:val="superscript"/>
              </w:rPr>
              <w:t>2</w:t>
            </w:r>
          </w:p>
        </w:tc>
        <w:tc>
          <w:tcPr>
            <w:tcW w:w="1462" w:type="dxa"/>
            <w:tcBorders>
              <w:top w:val="nil"/>
              <w:left w:val="nil"/>
              <w:bottom w:val="single" w:color="auto" w:sz="4" w:space="0"/>
              <w:right w:val="single" w:color="auto" w:sz="4" w:space="0"/>
            </w:tcBorders>
            <w:shd w:val="clear" w:color="auto" w:fill="auto"/>
            <w:noWrap/>
            <w:vAlign w:val="center"/>
          </w:tcPr>
          <w:p w14:paraId="0B1B7FA7">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0.0000197</w:t>
            </w:r>
          </w:p>
        </w:tc>
        <w:tc>
          <w:tcPr>
            <w:tcW w:w="1476" w:type="dxa"/>
            <w:tcBorders>
              <w:top w:val="nil"/>
              <w:left w:val="nil"/>
              <w:bottom w:val="single" w:color="auto" w:sz="4" w:space="0"/>
              <w:right w:val="single" w:color="auto" w:sz="4" w:space="0"/>
            </w:tcBorders>
            <w:shd w:val="clear" w:color="auto" w:fill="auto"/>
            <w:noWrap/>
            <w:vAlign w:val="center"/>
          </w:tcPr>
          <w:p w14:paraId="7FECBD35">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0.0000994</w:t>
            </w:r>
          </w:p>
        </w:tc>
        <w:tc>
          <w:tcPr>
            <w:tcW w:w="1476" w:type="dxa"/>
            <w:tcBorders>
              <w:top w:val="nil"/>
              <w:left w:val="nil"/>
              <w:bottom w:val="single" w:color="auto" w:sz="4" w:space="0"/>
              <w:right w:val="single" w:color="auto" w:sz="4" w:space="0"/>
            </w:tcBorders>
            <w:shd w:val="clear" w:color="auto" w:fill="auto"/>
            <w:noWrap/>
            <w:vAlign w:val="center"/>
          </w:tcPr>
          <w:p w14:paraId="01D31760">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0.00101</w:t>
            </w:r>
          </w:p>
        </w:tc>
        <w:tc>
          <w:tcPr>
            <w:tcW w:w="1454" w:type="dxa"/>
            <w:tcBorders>
              <w:top w:val="nil"/>
              <w:left w:val="nil"/>
              <w:bottom w:val="single" w:color="auto" w:sz="4" w:space="0"/>
              <w:right w:val="single" w:color="auto" w:sz="4" w:space="0"/>
            </w:tcBorders>
            <w:vAlign w:val="center"/>
          </w:tcPr>
          <w:p w14:paraId="57751808">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0.00324</w:t>
            </w:r>
          </w:p>
        </w:tc>
        <w:tc>
          <w:tcPr>
            <w:tcW w:w="1454" w:type="dxa"/>
            <w:tcBorders>
              <w:top w:val="nil"/>
              <w:left w:val="nil"/>
              <w:bottom w:val="single" w:color="auto" w:sz="4" w:space="0"/>
              <w:right w:val="single" w:color="auto" w:sz="4" w:space="0"/>
            </w:tcBorders>
            <w:vAlign w:val="center"/>
          </w:tcPr>
          <w:p w14:paraId="525B55C1">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0.000875</w:t>
            </w:r>
          </w:p>
        </w:tc>
      </w:tr>
      <w:tr w14:paraId="0F8CD845">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7F4F3AF3">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r>
              <w:rPr>
                <w:rFonts w:hint="default" w:ascii="Times New Roman" w:hAnsi="Times New Roman" w:cs="Times New Roman"/>
                <w:sz w:val="18"/>
                <w:szCs w:val="18"/>
                <w:vertAlign w:val="superscript"/>
              </w:rPr>
              <w:t>2</w:t>
            </w:r>
          </w:p>
        </w:tc>
        <w:tc>
          <w:tcPr>
            <w:tcW w:w="1462" w:type="dxa"/>
            <w:tcBorders>
              <w:top w:val="nil"/>
              <w:left w:val="nil"/>
              <w:bottom w:val="single" w:color="auto" w:sz="4" w:space="0"/>
              <w:right w:val="single" w:color="auto" w:sz="4" w:space="0"/>
            </w:tcBorders>
            <w:shd w:val="clear" w:color="auto" w:fill="auto"/>
            <w:noWrap/>
            <w:vAlign w:val="center"/>
          </w:tcPr>
          <w:p w14:paraId="10AD9AC0">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0.0000883</w:t>
            </w:r>
          </w:p>
        </w:tc>
        <w:tc>
          <w:tcPr>
            <w:tcW w:w="1476" w:type="dxa"/>
            <w:tcBorders>
              <w:top w:val="nil"/>
              <w:left w:val="nil"/>
              <w:bottom w:val="single" w:color="auto" w:sz="4" w:space="0"/>
              <w:right w:val="single" w:color="auto" w:sz="4" w:space="0"/>
            </w:tcBorders>
            <w:shd w:val="clear" w:color="auto" w:fill="auto"/>
            <w:noWrap/>
            <w:vAlign w:val="center"/>
          </w:tcPr>
          <w:p w14:paraId="657434FB">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0.000962</w:t>
            </w:r>
          </w:p>
        </w:tc>
        <w:tc>
          <w:tcPr>
            <w:tcW w:w="1476" w:type="dxa"/>
            <w:tcBorders>
              <w:top w:val="nil"/>
              <w:left w:val="nil"/>
              <w:bottom w:val="single" w:color="auto" w:sz="4" w:space="0"/>
              <w:right w:val="single" w:color="auto" w:sz="4" w:space="0"/>
            </w:tcBorders>
            <w:shd w:val="clear" w:color="auto" w:fill="auto"/>
            <w:noWrap/>
            <w:vAlign w:val="center"/>
          </w:tcPr>
          <w:p w14:paraId="57229FAB">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0.00653</w:t>
            </w:r>
          </w:p>
        </w:tc>
        <w:tc>
          <w:tcPr>
            <w:tcW w:w="1454" w:type="dxa"/>
            <w:tcBorders>
              <w:top w:val="nil"/>
              <w:left w:val="nil"/>
              <w:bottom w:val="single" w:color="auto" w:sz="4" w:space="0"/>
              <w:right w:val="single" w:color="auto" w:sz="4" w:space="0"/>
            </w:tcBorders>
            <w:vAlign w:val="center"/>
          </w:tcPr>
          <w:p w14:paraId="4869FA5D">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0.0109</w:t>
            </w:r>
          </w:p>
        </w:tc>
        <w:tc>
          <w:tcPr>
            <w:tcW w:w="1454" w:type="dxa"/>
            <w:tcBorders>
              <w:top w:val="nil"/>
              <w:left w:val="nil"/>
              <w:bottom w:val="single" w:color="auto" w:sz="4" w:space="0"/>
              <w:right w:val="single" w:color="auto" w:sz="4" w:space="0"/>
            </w:tcBorders>
            <w:vAlign w:val="center"/>
          </w:tcPr>
          <w:p w14:paraId="23C7088E">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0.00573</w:t>
            </w:r>
          </w:p>
        </w:tc>
      </w:tr>
      <w:tr w14:paraId="3BF10BF0">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2D1BF56F">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p>
        </w:tc>
        <w:tc>
          <w:tcPr>
            <w:tcW w:w="1462" w:type="dxa"/>
            <w:tcBorders>
              <w:top w:val="nil"/>
              <w:left w:val="nil"/>
              <w:bottom w:val="single" w:color="auto" w:sz="4" w:space="0"/>
              <w:right w:val="single" w:color="auto" w:sz="4" w:space="0"/>
            </w:tcBorders>
            <w:shd w:val="clear" w:color="auto" w:fill="auto"/>
            <w:noWrap/>
            <w:vAlign w:val="center"/>
          </w:tcPr>
          <w:p w14:paraId="1A0A7F19">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0.00828 </w:t>
            </w:r>
          </w:p>
        </w:tc>
        <w:tc>
          <w:tcPr>
            <w:tcW w:w="1476" w:type="dxa"/>
            <w:tcBorders>
              <w:top w:val="nil"/>
              <w:left w:val="nil"/>
              <w:bottom w:val="single" w:color="auto" w:sz="4" w:space="0"/>
              <w:right w:val="single" w:color="auto" w:sz="4" w:space="0"/>
            </w:tcBorders>
            <w:shd w:val="clear" w:color="auto" w:fill="auto"/>
            <w:noWrap/>
            <w:vAlign w:val="center"/>
          </w:tcPr>
          <w:p w14:paraId="00ADC526">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0.0294</w:t>
            </w:r>
          </w:p>
        </w:tc>
        <w:tc>
          <w:tcPr>
            <w:tcW w:w="1476" w:type="dxa"/>
            <w:tcBorders>
              <w:top w:val="nil"/>
              <w:left w:val="nil"/>
              <w:bottom w:val="single" w:color="auto" w:sz="4" w:space="0"/>
              <w:right w:val="single" w:color="auto" w:sz="4" w:space="0"/>
            </w:tcBorders>
            <w:shd w:val="clear" w:color="auto" w:fill="auto"/>
            <w:noWrap/>
            <w:vAlign w:val="center"/>
          </w:tcPr>
          <w:p w14:paraId="7BD94B5E">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0.0743 </w:t>
            </w:r>
          </w:p>
        </w:tc>
        <w:tc>
          <w:tcPr>
            <w:tcW w:w="1454" w:type="dxa"/>
            <w:tcBorders>
              <w:top w:val="nil"/>
              <w:left w:val="nil"/>
              <w:bottom w:val="single" w:color="auto" w:sz="4" w:space="0"/>
              <w:right w:val="single" w:color="auto" w:sz="4" w:space="0"/>
            </w:tcBorders>
            <w:vAlign w:val="center"/>
          </w:tcPr>
          <w:p w14:paraId="2BB1601F">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0.0876 </w:t>
            </w:r>
          </w:p>
        </w:tc>
        <w:tc>
          <w:tcPr>
            <w:tcW w:w="1454" w:type="dxa"/>
            <w:tcBorders>
              <w:top w:val="nil"/>
              <w:left w:val="nil"/>
              <w:bottom w:val="single" w:color="auto" w:sz="4" w:space="0"/>
              <w:right w:val="single" w:color="auto" w:sz="4" w:space="0"/>
            </w:tcBorders>
            <w:vAlign w:val="center"/>
          </w:tcPr>
          <w:p w14:paraId="04CC227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0.0697 </w:t>
            </w:r>
          </w:p>
        </w:tc>
      </w:tr>
      <w:tr w14:paraId="29E0E29D">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6D4C174B">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p>
        </w:tc>
        <w:tc>
          <w:tcPr>
            <w:tcW w:w="1462" w:type="dxa"/>
            <w:tcBorders>
              <w:top w:val="nil"/>
              <w:left w:val="nil"/>
              <w:bottom w:val="single" w:color="auto" w:sz="4" w:space="0"/>
              <w:right w:val="single" w:color="auto" w:sz="4" w:space="0"/>
            </w:tcBorders>
            <w:shd w:val="clear" w:color="auto" w:fill="auto"/>
            <w:noWrap/>
            <w:vAlign w:val="center"/>
          </w:tcPr>
          <w:p w14:paraId="25F57C6C">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iCs w:val="0"/>
                <w:color w:val="000000"/>
                <w:kern w:val="0"/>
                <w:sz w:val="20"/>
                <w:szCs w:val="20"/>
                <w:u w:val="none"/>
                <w:lang w:val="en-US" w:eastAsia="zh-CN" w:bidi="ar"/>
              </w:rPr>
              <w:t>0.00940</w:t>
            </w:r>
          </w:p>
        </w:tc>
        <w:tc>
          <w:tcPr>
            <w:tcW w:w="1476" w:type="dxa"/>
            <w:tcBorders>
              <w:top w:val="nil"/>
              <w:left w:val="nil"/>
              <w:bottom w:val="single" w:color="auto" w:sz="4" w:space="0"/>
              <w:right w:val="single" w:color="auto" w:sz="4" w:space="0"/>
            </w:tcBorders>
            <w:shd w:val="clear" w:color="auto" w:fill="auto"/>
            <w:noWrap/>
            <w:vAlign w:val="center"/>
          </w:tcPr>
          <w:p w14:paraId="06C26FB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0.0310 </w:t>
            </w:r>
          </w:p>
        </w:tc>
        <w:tc>
          <w:tcPr>
            <w:tcW w:w="1476" w:type="dxa"/>
            <w:tcBorders>
              <w:top w:val="nil"/>
              <w:left w:val="nil"/>
              <w:bottom w:val="single" w:color="auto" w:sz="4" w:space="0"/>
              <w:right w:val="single" w:color="auto" w:sz="4" w:space="0"/>
            </w:tcBorders>
            <w:shd w:val="clear" w:color="auto" w:fill="auto"/>
            <w:noWrap/>
            <w:vAlign w:val="center"/>
          </w:tcPr>
          <w:p w14:paraId="07004C5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0.0808 </w:t>
            </w:r>
          </w:p>
        </w:tc>
        <w:tc>
          <w:tcPr>
            <w:tcW w:w="1454" w:type="dxa"/>
            <w:tcBorders>
              <w:top w:val="nil"/>
              <w:left w:val="nil"/>
              <w:bottom w:val="single" w:color="auto" w:sz="4" w:space="0"/>
              <w:right w:val="single" w:color="auto" w:sz="4" w:space="0"/>
            </w:tcBorders>
            <w:vAlign w:val="center"/>
          </w:tcPr>
          <w:p w14:paraId="5A45FE9F">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0.104 </w:t>
            </w:r>
          </w:p>
        </w:tc>
        <w:tc>
          <w:tcPr>
            <w:tcW w:w="1454" w:type="dxa"/>
            <w:tcBorders>
              <w:top w:val="nil"/>
              <w:left w:val="nil"/>
              <w:bottom w:val="single" w:color="auto" w:sz="4" w:space="0"/>
              <w:right w:val="single" w:color="auto" w:sz="4" w:space="0"/>
            </w:tcBorders>
            <w:vAlign w:val="center"/>
          </w:tcPr>
          <w:p w14:paraId="4D2E95D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0.0757</w:t>
            </w:r>
          </w:p>
        </w:tc>
      </w:tr>
      <w:tr w14:paraId="749C90A7">
        <w:tblPrEx>
          <w:tblCellMar>
            <w:top w:w="0" w:type="dxa"/>
            <w:left w:w="108" w:type="dxa"/>
            <w:bottom w:w="0" w:type="dxa"/>
            <w:right w:w="108" w:type="dxa"/>
          </w:tblCellMar>
        </w:tblPrEx>
        <w:trPr>
          <w:trHeight w:val="341" w:hRule="atLeast"/>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58DEE1">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r</w:t>
            </w:r>
          </w:p>
        </w:tc>
        <w:tc>
          <w:tcPr>
            <w:tcW w:w="1462" w:type="dxa"/>
            <w:tcBorders>
              <w:top w:val="single" w:color="auto" w:sz="4" w:space="0"/>
              <w:left w:val="nil"/>
              <w:bottom w:val="single" w:color="auto" w:sz="4" w:space="0"/>
              <w:right w:val="single" w:color="auto" w:sz="4" w:space="0"/>
            </w:tcBorders>
            <w:shd w:val="clear" w:color="auto" w:fill="auto"/>
            <w:noWrap/>
            <w:vAlign w:val="center"/>
          </w:tcPr>
          <w:p w14:paraId="388F62BD">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0.024</w:t>
            </w:r>
          </w:p>
        </w:tc>
        <w:tc>
          <w:tcPr>
            <w:tcW w:w="1476" w:type="dxa"/>
            <w:tcBorders>
              <w:top w:val="single" w:color="auto" w:sz="4" w:space="0"/>
              <w:left w:val="nil"/>
              <w:bottom w:val="single" w:color="auto" w:sz="4" w:space="0"/>
              <w:right w:val="single" w:color="auto" w:sz="4" w:space="0"/>
            </w:tcBorders>
            <w:shd w:val="clear" w:color="auto" w:fill="auto"/>
            <w:noWrap/>
            <w:vAlign w:val="center"/>
          </w:tcPr>
          <w:p w14:paraId="6C135E15">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0.083</w:t>
            </w:r>
          </w:p>
        </w:tc>
        <w:tc>
          <w:tcPr>
            <w:tcW w:w="1476" w:type="dxa"/>
            <w:tcBorders>
              <w:top w:val="single" w:color="auto" w:sz="4" w:space="0"/>
              <w:left w:val="nil"/>
              <w:bottom w:val="single" w:color="auto" w:sz="4" w:space="0"/>
              <w:right w:val="single" w:color="auto" w:sz="4" w:space="0"/>
            </w:tcBorders>
            <w:shd w:val="clear" w:color="auto" w:fill="auto"/>
            <w:noWrap/>
            <w:vAlign w:val="center"/>
          </w:tcPr>
          <w:p w14:paraId="454D54EE">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0.209</w:t>
            </w:r>
          </w:p>
        </w:tc>
        <w:tc>
          <w:tcPr>
            <w:tcW w:w="1454" w:type="dxa"/>
            <w:tcBorders>
              <w:top w:val="single" w:color="auto" w:sz="4" w:space="0"/>
              <w:left w:val="nil"/>
              <w:bottom w:val="single" w:color="auto" w:sz="4" w:space="0"/>
              <w:right w:val="single" w:color="auto" w:sz="4" w:space="0"/>
            </w:tcBorders>
            <w:vAlign w:val="center"/>
          </w:tcPr>
          <w:p w14:paraId="2E140FC5">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0.246</w:t>
            </w:r>
          </w:p>
        </w:tc>
        <w:tc>
          <w:tcPr>
            <w:tcW w:w="1454" w:type="dxa"/>
            <w:tcBorders>
              <w:top w:val="single" w:color="auto" w:sz="4" w:space="0"/>
              <w:left w:val="nil"/>
              <w:bottom w:val="single" w:color="auto" w:sz="4" w:space="0"/>
              <w:right w:val="single" w:color="auto" w:sz="4" w:space="0"/>
            </w:tcBorders>
            <w:vAlign w:val="center"/>
          </w:tcPr>
          <w:p w14:paraId="459C2999">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0.196</w:t>
            </w:r>
          </w:p>
        </w:tc>
      </w:tr>
      <w:tr w14:paraId="422D918D">
        <w:tblPrEx>
          <w:tblCellMar>
            <w:top w:w="0" w:type="dxa"/>
            <w:left w:w="108" w:type="dxa"/>
            <w:bottom w:w="0" w:type="dxa"/>
            <w:right w:w="108" w:type="dxa"/>
          </w:tblCellMar>
        </w:tblPrEx>
        <w:trPr>
          <w:trHeight w:val="341" w:hRule="atLeast"/>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23C92B">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R</w:t>
            </w:r>
          </w:p>
        </w:tc>
        <w:tc>
          <w:tcPr>
            <w:tcW w:w="1462" w:type="dxa"/>
            <w:tcBorders>
              <w:top w:val="single" w:color="auto" w:sz="4" w:space="0"/>
              <w:left w:val="nil"/>
              <w:bottom w:val="single" w:color="auto" w:sz="4" w:space="0"/>
              <w:right w:val="single" w:color="auto" w:sz="4" w:space="0"/>
            </w:tcBorders>
            <w:shd w:val="clear" w:color="auto" w:fill="auto"/>
            <w:noWrap/>
            <w:vAlign w:val="center"/>
          </w:tcPr>
          <w:p w14:paraId="5389A6C6">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0.027</w:t>
            </w:r>
          </w:p>
        </w:tc>
        <w:tc>
          <w:tcPr>
            <w:tcW w:w="1476" w:type="dxa"/>
            <w:tcBorders>
              <w:top w:val="single" w:color="auto" w:sz="4" w:space="0"/>
              <w:left w:val="nil"/>
              <w:bottom w:val="single" w:color="auto" w:sz="4" w:space="0"/>
              <w:right w:val="single" w:color="auto" w:sz="4" w:space="0"/>
            </w:tcBorders>
            <w:shd w:val="clear" w:color="auto" w:fill="auto"/>
            <w:noWrap/>
            <w:vAlign w:val="center"/>
          </w:tcPr>
          <w:p w14:paraId="6EE41509">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0.087</w:t>
            </w:r>
          </w:p>
        </w:tc>
        <w:tc>
          <w:tcPr>
            <w:tcW w:w="1476" w:type="dxa"/>
            <w:tcBorders>
              <w:top w:val="single" w:color="auto" w:sz="4" w:space="0"/>
              <w:left w:val="nil"/>
              <w:bottom w:val="single" w:color="auto" w:sz="4" w:space="0"/>
              <w:right w:val="single" w:color="auto" w:sz="4" w:space="0"/>
            </w:tcBorders>
            <w:shd w:val="clear" w:color="auto" w:fill="auto"/>
            <w:noWrap/>
            <w:vAlign w:val="center"/>
          </w:tcPr>
          <w:p w14:paraId="28D301BF">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0.227</w:t>
            </w:r>
          </w:p>
        </w:tc>
        <w:tc>
          <w:tcPr>
            <w:tcW w:w="1454" w:type="dxa"/>
            <w:tcBorders>
              <w:top w:val="single" w:color="auto" w:sz="4" w:space="0"/>
              <w:left w:val="nil"/>
              <w:bottom w:val="single" w:color="auto" w:sz="4" w:space="0"/>
              <w:right w:val="single" w:color="auto" w:sz="4" w:space="0"/>
            </w:tcBorders>
            <w:vAlign w:val="center"/>
          </w:tcPr>
          <w:p w14:paraId="060D4207">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0.293</w:t>
            </w:r>
          </w:p>
        </w:tc>
        <w:tc>
          <w:tcPr>
            <w:tcW w:w="1454" w:type="dxa"/>
            <w:tcBorders>
              <w:top w:val="single" w:color="auto" w:sz="4" w:space="0"/>
              <w:left w:val="nil"/>
              <w:bottom w:val="single" w:color="auto" w:sz="4" w:space="0"/>
              <w:right w:val="single" w:color="auto" w:sz="4" w:space="0"/>
            </w:tcBorders>
            <w:vAlign w:val="center"/>
          </w:tcPr>
          <w:p w14:paraId="70AECECB">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0.212</w:t>
            </w:r>
          </w:p>
        </w:tc>
      </w:tr>
    </w:tbl>
    <w:p w14:paraId="1689415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Cs w:val="21"/>
        </w:rPr>
      </w:pPr>
    </w:p>
    <w:p w14:paraId="59688CE8">
      <w:pP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br w:type="page"/>
      </w:r>
    </w:p>
    <w:p w14:paraId="7C9E8DC8">
      <w:pPr>
        <w:keepNext w:val="0"/>
        <w:keepLines w:val="0"/>
        <w:pageBreakBefore w:val="0"/>
        <w:widowControl/>
        <w:kinsoku/>
        <w:wordWrap/>
        <w:overflowPunct/>
        <w:topLinePunct w:val="0"/>
        <w:bidi w:val="0"/>
        <w:adjustRightInd w:val="0"/>
        <w:snapToGrid w:val="0"/>
        <w:spacing w:line="360" w:lineRule="auto"/>
        <w:textAlignment w:val="auto"/>
        <w:rPr>
          <w:rFonts w:hint="default" w:ascii="Times New Roman" w:hAnsi="Times New Roman" w:cs="Times New Roman"/>
          <w:b/>
          <w:bCs/>
          <w:szCs w:val="21"/>
        </w:rPr>
      </w:pPr>
      <w:r>
        <w:rPr>
          <w:rFonts w:hint="default" w:ascii="Times New Roman" w:hAnsi="Times New Roman" w:cs="Times New Roman"/>
          <w:b/>
          <w:bCs/>
          <w:szCs w:val="21"/>
        </w:rPr>
        <w:t>附件</w:t>
      </w:r>
      <w:r>
        <w:rPr>
          <w:rFonts w:hint="default" w:ascii="Times New Roman" w:hAnsi="Times New Roman" w:cs="Times New Roman"/>
          <w:b/>
          <w:bCs/>
          <w:szCs w:val="21"/>
          <w:lang w:val="en-US" w:eastAsia="zh-CN"/>
        </w:rPr>
        <w:t>B</w:t>
      </w:r>
      <w:r>
        <w:rPr>
          <w:rFonts w:hint="default" w:ascii="Times New Roman" w:hAnsi="Times New Roman" w:cs="Times New Roman"/>
          <w:b/>
          <w:bCs/>
          <w:szCs w:val="21"/>
        </w:rPr>
        <w:t>：</w:t>
      </w:r>
      <w:r>
        <w:rPr>
          <w:rFonts w:hint="default" w:ascii="Times New Roman" w:hAnsi="Times New Roman" w:cs="Times New Roman"/>
          <w:b/>
          <w:bCs/>
          <w:szCs w:val="21"/>
          <w:lang w:val="en-US" w:eastAsia="zh-CN"/>
        </w:rPr>
        <w:t>方法2</w:t>
      </w:r>
      <w:r>
        <w:rPr>
          <w:rFonts w:hint="default" w:ascii="Times New Roman" w:hAnsi="Times New Roman" w:cs="Times New Roman"/>
          <w:b/>
          <w:bCs/>
          <w:szCs w:val="21"/>
        </w:rPr>
        <w:t>精密度数据统计</w:t>
      </w:r>
    </w:p>
    <w:p w14:paraId="1091C243">
      <w:pPr>
        <w:keepNext w:val="0"/>
        <w:keepLines w:val="0"/>
        <w:pageBreakBefore w:val="0"/>
        <w:widowControl/>
        <w:kinsoku/>
        <w:wordWrap/>
        <w:overflowPunct/>
        <w:topLinePunct w:val="0"/>
        <w:bidi w:val="0"/>
        <w:adjustRightInd w:val="0"/>
        <w:snapToGrid w:val="0"/>
        <w:spacing w:line="360" w:lineRule="auto"/>
        <w:textAlignment w:val="auto"/>
        <w:rPr>
          <w:rFonts w:hint="default" w:ascii="Times New Roman" w:hAnsi="Times New Roman" w:cs="Times New Roman"/>
          <w:b/>
          <w:szCs w:val="21"/>
        </w:rPr>
      </w:pPr>
      <w:r>
        <w:rPr>
          <w:rFonts w:hint="default" w:ascii="Times New Roman" w:hAnsi="Times New Roman" w:cs="Times New Roman"/>
          <w:b/>
          <w:szCs w:val="21"/>
        </w:rPr>
        <w:t>1、</w:t>
      </w:r>
      <w:r>
        <w:rPr>
          <w:rFonts w:hint="default" w:ascii="Times New Roman" w:hAnsi="Times New Roman" w:eastAsia="黑体" w:cs="Times New Roman"/>
          <w:szCs w:val="21"/>
        </w:rPr>
        <w:t>各实验室实验数据</w:t>
      </w:r>
    </w:p>
    <w:p w14:paraId="3384AA60">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w:t>
      </w:r>
      <w:r>
        <w:rPr>
          <w:rFonts w:hint="default" w:ascii="Times New Roman" w:hAnsi="Times New Roman" w:cs="Times New Roman"/>
          <w:szCs w:val="21"/>
          <w:lang w:val="en-US" w:eastAsia="zh-CN"/>
        </w:rPr>
        <w:t>B</w:t>
      </w:r>
      <w:r>
        <w:rPr>
          <w:rFonts w:hint="default" w:ascii="Times New Roman" w:hAnsi="Times New Roman" w:cs="Times New Roman"/>
          <w:szCs w:val="21"/>
        </w:rPr>
        <w:t>.1  各实验室原始测定数据（%）</w:t>
      </w:r>
    </w:p>
    <w:tbl>
      <w:tblPr>
        <w:tblStyle w:val="4"/>
        <w:tblW w:w="5000" w:type="pct"/>
        <w:jc w:val="center"/>
        <w:tblLayout w:type="fixed"/>
        <w:tblCellMar>
          <w:top w:w="0" w:type="dxa"/>
          <w:left w:w="108" w:type="dxa"/>
          <w:bottom w:w="0" w:type="dxa"/>
          <w:right w:w="108" w:type="dxa"/>
        </w:tblCellMar>
      </w:tblPr>
      <w:tblGrid>
        <w:gridCol w:w="2257"/>
        <w:gridCol w:w="1253"/>
        <w:gridCol w:w="1253"/>
        <w:gridCol w:w="1253"/>
        <w:gridCol w:w="1253"/>
        <w:gridCol w:w="1253"/>
      </w:tblGrid>
      <w:tr w14:paraId="6E52BCD4">
        <w:tblPrEx>
          <w:tblCellMar>
            <w:top w:w="0" w:type="dxa"/>
            <w:left w:w="108" w:type="dxa"/>
            <w:bottom w:w="0" w:type="dxa"/>
            <w:right w:w="108" w:type="dxa"/>
          </w:tblCellMar>
        </w:tblPrEx>
        <w:trPr>
          <w:trHeight w:val="312" w:hRule="exact"/>
          <w:tblHeader/>
          <w:jc w:val="center"/>
        </w:trPr>
        <w:tc>
          <w:tcPr>
            <w:tcW w:w="13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BA6E74">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eastAsiaTheme="minorEastAsia"/>
                <w:kern w:val="0"/>
                <w:sz w:val="18"/>
                <w:szCs w:val="18"/>
              </w:rPr>
              <w:t>实验室</w:t>
            </w:r>
          </w:p>
        </w:tc>
        <w:tc>
          <w:tcPr>
            <w:tcW w:w="735" w:type="pct"/>
            <w:tcBorders>
              <w:top w:val="single" w:color="auto" w:sz="4" w:space="0"/>
              <w:left w:val="nil"/>
              <w:bottom w:val="single" w:color="auto" w:sz="4" w:space="0"/>
              <w:right w:val="single" w:color="auto" w:sz="4" w:space="0"/>
            </w:tcBorders>
            <w:shd w:val="clear" w:color="auto" w:fill="auto"/>
            <w:noWrap/>
          </w:tcPr>
          <w:p w14:paraId="3720AAFF">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水平1</w:t>
            </w:r>
          </w:p>
        </w:tc>
        <w:tc>
          <w:tcPr>
            <w:tcW w:w="735" w:type="pct"/>
            <w:tcBorders>
              <w:top w:val="single" w:color="auto" w:sz="4" w:space="0"/>
              <w:left w:val="nil"/>
              <w:bottom w:val="single" w:color="auto" w:sz="4" w:space="0"/>
              <w:right w:val="single" w:color="auto" w:sz="4" w:space="0"/>
            </w:tcBorders>
            <w:shd w:val="clear" w:color="auto" w:fill="auto"/>
            <w:noWrap/>
          </w:tcPr>
          <w:p w14:paraId="43A8F1C2">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水平2</w:t>
            </w:r>
          </w:p>
        </w:tc>
        <w:tc>
          <w:tcPr>
            <w:tcW w:w="735" w:type="pct"/>
            <w:tcBorders>
              <w:top w:val="single" w:color="auto" w:sz="4" w:space="0"/>
              <w:left w:val="nil"/>
              <w:bottom w:val="single" w:color="auto" w:sz="4" w:space="0"/>
              <w:right w:val="single" w:color="auto" w:sz="4" w:space="0"/>
            </w:tcBorders>
            <w:shd w:val="clear" w:color="auto" w:fill="auto"/>
            <w:noWrap/>
          </w:tcPr>
          <w:p w14:paraId="58547351">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水平3</w:t>
            </w:r>
          </w:p>
        </w:tc>
        <w:tc>
          <w:tcPr>
            <w:tcW w:w="735" w:type="pct"/>
            <w:tcBorders>
              <w:top w:val="single" w:color="auto" w:sz="4" w:space="0"/>
              <w:left w:val="nil"/>
              <w:bottom w:val="single" w:color="auto" w:sz="4" w:space="0"/>
              <w:right w:val="single" w:color="auto" w:sz="4" w:space="0"/>
            </w:tcBorders>
            <w:shd w:val="clear" w:color="auto" w:fill="auto"/>
            <w:noWrap/>
          </w:tcPr>
          <w:p w14:paraId="6B8A4ADC">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水平4</w:t>
            </w:r>
          </w:p>
        </w:tc>
        <w:tc>
          <w:tcPr>
            <w:tcW w:w="735" w:type="pct"/>
            <w:tcBorders>
              <w:top w:val="single" w:color="auto" w:sz="4" w:space="0"/>
              <w:left w:val="nil"/>
              <w:bottom w:val="single" w:color="auto" w:sz="4" w:space="0"/>
              <w:right w:val="single" w:color="auto" w:sz="4" w:space="0"/>
            </w:tcBorders>
          </w:tcPr>
          <w:p w14:paraId="0956AD62">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rPr>
              <w:t>水平5</w:t>
            </w:r>
          </w:p>
        </w:tc>
      </w:tr>
      <w:tr w14:paraId="03443690">
        <w:tblPrEx>
          <w:tblCellMar>
            <w:top w:w="0" w:type="dxa"/>
            <w:left w:w="108" w:type="dxa"/>
            <w:bottom w:w="0" w:type="dxa"/>
            <w:right w:w="108" w:type="dxa"/>
          </w:tblCellMar>
        </w:tblPrEx>
        <w:trPr>
          <w:trHeight w:val="312" w:hRule="exact"/>
          <w:jc w:val="center"/>
        </w:trPr>
        <w:tc>
          <w:tcPr>
            <w:tcW w:w="1324" w:type="pct"/>
            <w:vMerge w:val="restart"/>
            <w:tcBorders>
              <w:top w:val="nil"/>
              <w:left w:val="single" w:color="auto" w:sz="4" w:space="0"/>
              <w:bottom w:val="single" w:color="auto" w:sz="4" w:space="0"/>
              <w:right w:val="single" w:color="auto" w:sz="4" w:space="0"/>
            </w:tcBorders>
            <w:shd w:val="clear" w:color="auto" w:fill="auto"/>
            <w:noWrap/>
            <w:vAlign w:val="center"/>
          </w:tcPr>
          <w:p w14:paraId="7965E63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包头稀土研究研究</w:t>
            </w:r>
          </w:p>
        </w:tc>
        <w:tc>
          <w:tcPr>
            <w:tcW w:w="735" w:type="pct"/>
            <w:tcBorders>
              <w:top w:val="nil"/>
              <w:left w:val="nil"/>
              <w:bottom w:val="single" w:color="auto" w:sz="4" w:space="0"/>
              <w:right w:val="single" w:color="auto" w:sz="4" w:space="0"/>
            </w:tcBorders>
            <w:shd w:val="clear" w:color="auto" w:fill="auto"/>
            <w:noWrap/>
            <w:vAlign w:val="center"/>
          </w:tcPr>
          <w:p w14:paraId="7F182349">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0.304 </w:t>
            </w:r>
          </w:p>
        </w:tc>
        <w:tc>
          <w:tcPr>
            <w:tcW w:w="735" w:type="pct"/>
            <w:tcBorders>
              <w:top w:val="nil"/>
              <w:left w:val="nil"/>
              <w:bottom w:val="single" w:color="auto" w:sz="4" w:space="0"/>
              <w:right w:val="single" w:color="auto" w:sz="4" w:space="0"/>
            </w:tcBorders>
            <w:shd w:val="clear" w:color="auto" w:fill="auto"/>
            <w:noWrap/>
            <w:vAlign w:val="bottom"/>
          </w:tcPr>
          <w:p w14:paraId="634E641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1.753 </w:t>
            </w:r>
          </w:p>
        </w:tc>
        <w:tc>
          <w:tcPr>
            <w:tcW w:w="735" w:type="pct"/>
            <w:tcBorders>
              <w:top w:val="nil"/>
              <w:left w:val="nil"/>
              <w:bottom w:val="single" w:color="auto" w:sz="4" w:space="0"/>
              <w:right w:val="single" w:color="auto" w:sz="4" w:space="0"/>
            </w:tcBorders>
            <w:shd w:val="clear" w:color="auto" w:fill="auto"/>
            <w:noWrap/>
            <w:vAlign w:val="center"/>
          </w:tcPr>
          <w:p w14:paraId="23E6D64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8.755 </w:t>
            </w:r>
          </w:p>
        </w:tc>
        <w:tc>
          <w:tcPr>
            <w:tcW w:w="735" w:type="pct"/>
            <w:tcBorders>
              <w:top w:val="nil"/>
              <w:left w:val="nil"/>
              <w:bottom w:val="single" w:color="auto" w:sz="4" w:space="0"/>
              <w:right w:val="single" w:color="auto" w:sz="4" w:space="0"/>
            </w:tcBorders>
            <w:shd w:val="clear" w:color="auto" w:fill="auto"/>
            <w:noWrap/>
            <w:vAlign w:val="bottom"/>
          </w:tcPr>
          <w:p w14:paraId="0DF1E62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13.742 </w:t>
            </w:r>
          </w:p>
        </w:tc>
        <w:tc>
          <w:tcPr>
            <w:tcW w:w="735" w:type="pct"/>
            <w:tcBorders>
              <w:top w:val="nil"/>
              <w:left w:val="nil"/>
              <w:bottom w:val="single" w:color="auto" w:sz="4" w:space="0"/>
              <w:right w:val="single" w:color="auto" w:sz="4" w:space="0"/>
            </w:tcBorders>
            <w:vAlign w:val="center"/>
          </w:tcPr>
          <w:p w14:paraId="5C11AB8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22.591 </w:t>
            </w:r>
          </w:p>
        </w:tc>
      </w:tr>
      <w:tr w14:paraId="60941E86">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098884BB">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5A036A9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0.291 </w:t>
            </w:r>
          </w:p>
        </w:tc>
        <w:tc>
          <w:tcPr>
            <w:tcW w:w="735" w:type="pct"/>
            <w:tcBorders>
              <w:top w:val="nil"/>
              <w:left w:val="nil"/>
              <w:bottom w:val="single" w:color="auto" w:sz="4" w:space="0"/>
              <w:right w:val="single" w:color="auto" w:sz="4" w:space="0"/>
            </w:tcBorders>
            <w:shd w:val="clear" w:color="auto" w:fill="auto"/>
            <w:noWrap/>
            <w:vAlign w:val="bottom"/>
          </w:tcPr>
          <w:p w14:paraId="489C1F1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1.714 </w:t>
            </w:r>
          </w:p>
        </w:tc>
        <w:tc>
          <w:tcPr>
            <w:tcW w:w="735" w:type="pct"/>
            <w:tcBorders>
              <w:top w:val="nil"/>
              <w:left w:val="nil"/>
              <w:bottom w:val="single" w:color="auto" w:sz="4" w:space="0"/>
              <w:right w:val="single" w:color="auto" w:sz="4" w:space="0"/>
            </w:tcBorders>
            <w:shd w:val="clear" w:color="auto" w:fill="auto"/>
            <w:noWrap/>
            <w:vAlign w:val="center"/>
          </w:tcPr>
          <w:p w14:paraId="6BD4911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8.821 </w:t>
            </w:r>
          </w:p>
        </w:tc>
        <w:tc>
          <w:tcPr>
            <w:tcW w:w="735" w:type="pct"/>
            <w:tcBorders>
              <w:top w:val="nil"/>
              <w:left w:val="nil"/>
              <w:bottom w:val="single" w:color="auto" w:sz="4" w:space="0"/>
              <w:right w:val="single" w:color="auto" w:sz="4" w:space="0"/>
            </w:tcBorders>
            <w:shd w:val="clear" w:color="auto" w:fill="auto"/>
            <w:noWrap/>
            <w:vAlign w:val="bottom"/>
          </w:tcPr>
          <w:p w14:paraId="2D239A6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13.621 </w:t>
            </w:r>
          </w:p>
        </w:tc>
        <w:tc>
          <w:tcPr>
            <w:tcW w:w="735" w:type="pct"/>
            <w:tcBorders>
              <w:top w:val="nil"/>
              <w:left w:val="nil"/>
              <w:bottom w:val="single" w:color="auto" w:sz="4" w:space="0"/>
              <w:right w:val="single" w:color="auto" w:sz="4" w:space="0"/>
            </w:tcBorders>
            <w:vAlign w:val="center"/>
          </w:tcPr>
          <w:p w14:paraId="4439A6DE">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22.731 </w:t>
            </w:r>
          </w:p>
        </w:tc>
      </w:tr>
      <w:tr w14:paraId="154AC9C7">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7FF3961E">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1E7A5AA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0.284 </w:t>
            </w:r>
          </w:p>
        </w:tc>
        <w:tc>
          <w:tcPr>
            <w:tcW w:w="735" w:type="pct"/>
            <w:tcBorders>
              <w:top w:val="nil"/>
              <w:left w:val="nil"/>
              <w:bottom w:val="single" w:color="auto" w:sz="4" w:space="0"/>
              <w:right w:val="single" w:color="auto" w:sz="4" w:space="0"/>
            </w:tcBorders>
            <w:shd w:val="clear" w:color="auto" w:fill="auto"/>
            <w:noWrap/>
            <w:vAlign w:val="bottom"/>
          </w:tcPr>
          <w:p w14:paraId="4402961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1.688 </w:t>
            </w:r>
          </w:p>
        </w:tc>
        <w:tc>
          <w:tcPr>
            <w:tcW w:w="735" w:type="pct"/>
            <w:tcBorders>
              <w:top w:val="nil"/>
              <w:left w:val="nil"/>
              <w:bottom w:val="single" w:color="auto" w:sz="4" w:space="0"/>
              <w:right w:val="single" w:color="auto" w:sz="4" w:space="0"/>
            </w:tcBorders>
            <w:shd w:val="clear" w:color="auto" w:fill="auto"/>
            <w:noWrap/>
            <w:vAlign w:val="center"/>
          </w:tcPr>
          <w:p w14:paraId="73CA52B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8.589 </w:t>
            </w:r>
          </w:p>
        </w:tc>
        <w:tc>
          <w:tcPr>
            <w:tcW w:w="735" w:type="pct"/>
            <w:tcBorders>
              <w:top w:val="nil"/>
              <w:left w:val="nil"/>
              <w:bottom w:val="single" w:color="auto" w:sz="4" w:space="0"/>
              <w:right w:val="single" w:color="auto" w:sz="4" w:space="0"/>
            </w:tcBorders>
            <w:shd w:val="clear" w:color="auto" w:fill="auto"/>
            <w:noWrap/>
            <w:vAlign w:val="bottom"/>
          </w:tcPr>
          <w:p w14:paraId="500474B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13.598 </w:t>
            </w:r>
          </w:p>
        </w:tc>
        <w:tc>
          <w:tcPr>
            <w:tcW w:w="735" w:type="pct"/>
            <w:tcBorders>
              <w:top w:val="nil"/>
              <w:left w:val="nil"/>
              <w:bottom w:val="single" w:color="auto" w:sz="4" w:space="0"/>
              <w:right w:val="single" w:color="auto" w:sz="4" w:space="0"/>
            </w:tcBorders>
            <w:vAlign w:val="center"/>
          </w:tcPr>
          <w:p w14:paraId="0B04D09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22.689 </w:t>
            </w:r>
          </w:p>
        </w:tc>
      </w:tr>
      <w:tr w14:paraId="5D78B9F4">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6C093B7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7267653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0.293 </w:t>
            </w:r>
          </w:p>
        </w:tc>
        <w:tc>
          <w:tcPr>
            <w:tcW w:w="735" w:type="pct"/>
            <w:tcBorders>
              <w:top w:val="nil"/>
              <w:left w:val="nil"/>
              <w:bottom w:val="single" w:color="auto" w:sz="4" w:space="0"/>
              <w:right w:val="single" w:color="auto" w:sz="4" w:space="0"/>
            </w:tcBorders>
            <w:shd w:val="clear" w:color="auto" w:fill="auto"/>
            <w:noWrap/>
            <w:vAlign w:val="bottom"/>
          </w:tcPr>
          <w:p w14:paraId="42FA30C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1.669 </w:t>
            </w:r>
          </w:p>
        </w:tc>
        <w:tc>
          <w:tcPr>
            <w:tcW w:w="735" w:type="pct"/>
            <w:tcBorders>
              <w:top w:val="nil"/>
              <w:left w:val="nil"/>
              <w:bottom w:val="single" w:color="auto" w:sz="4" w:space="0"/>
              <w:right w:val="single" w:color="auto" w:sz="4" w:space="0"/>
            </w:tcBorders>
            <w:shd w:val="clear" w:color="auto" w:fill="auto"/>
            <w:noWrap/>
            <w:vAlign w:val="center"/>
          </w:tcPr>
          <w:p w14:paraId="41720BF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8.498 </w:t>
            </w:r>
          </w:p>
        </w:tc>
        <w:tc>
          <w:tcPr>
            <w:tcW w:w="735" w:type="pct"/>
            <w:tcBorders>
              <w:top w:val="nil"/>
              <w:left w:val="nil"/>
              <w:bottom w:val="single" w:color="auto" w:sz="4" w:space="0"/>
              <w:right w:val="single" w:color="auto" w:sz="4" w:space="0"/>
            </w:tcBorders>
            <w:shd w:val="clear" w:color="auto" w:fill="auto"/>
            <w:noWrap/>
            <w:vAlign w:val="bottom"/>
          </w:tcPr>
          <w:p w14:paraId="694D847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13.488 </w:t>
            </w:r>
          </w:p>
        </w:tc>
        <w:tc>
          <w:tcPr>
            <w:tcW w:w="735" w:type="pct"/>
            <w:tcBorders>
              <w:top w:val="nil"/>
              <w:left w:val="nil"/>
              <w:bottom w:val="single" w:color="auto" w:sz="4" w:space="0"/>
              <w:right w:val="single" w:color="auto" w:sz="4" w:space="0"/>
            </w:tcBorders>
            <w:vAlign w:val="center"/>
          </w:tcPr>
          <w:p w14:paraId="1EFF3E6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22.654 </w:t>
            </w:r>
          </w:p>
        </w:tc>
      </w:tr>
      <w:tr w14:paraId="00E3B523">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1A9D76A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63BCB8EE">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0.285 </w:t>
            </w:r>
          </w:p>
        </w:tc>
        <w:tc>
          <w:tcPr>
            <w:tcW w:w="735" w:type="pct"/>
            <w:tcBorders>
              <w:top w:val="nil"/>
              <w:left w:val="nil"/>
              <w:bottom w:val="single" w:color="auto" w:sz="4" w:space="0"/>
              <w:right w:val="single" w:color="auto" w:sz="4" w:space="0"/>
            </w:tcBorders>
            <w:shd w:val="clear" w:color="auto" w:fill="auto"/>
            <w:noWrap/>
            <w:vAlign w:val="bottom"/>
          </w:tcPr>
          <w:p w14:paraId="751C13E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1.732 </w:t>
            </w:r>
          </w:p>
        </w:tc>
        <w:tc>
          <w:tcPr>
            <w:tcW w:w="735" w:type="pct"/>
            <w:tcBorders>
              <w:top w:val="nil"/>
              <w:left w:val="nil"/>
              <w:bottom w:val="single" w:color="auto" w:sz="4" w:space="0"/>
              <w:right w:val="single" w:color="auto" w:sz="4" w:space="0"/>
            </w:tcBorders>
            <w:shd w:val="clear" w:color="auto" w:fill="auto"/>
            <w:noWrap/>
            <w:vAlign w:val="center"/>
          </w:tcPr>
          <w:p w14:paraId="77BF876B">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8.622 </w:t>
            </w:r>
          </w:p>
        </w:tc>
        <w:tc>
          <w:tcPr>
            <w:tcW w:w="735" w:type="pct"/>
            <w:tcBorders>
              <w:top w:val="nil"/>
              <w:left w:val="nil"/>
              <w:bottom w:val="single" w:color="auto" w:sz="4" w:space="0"/>
              <w:right w:val="single" w:color="auto" w:sz="4" w:space="0"/>
            </w:tcBorders>
            <w:shd w:val="clear" w:color="auto" w:fill="auto"/>
            <w:noWrap/>
            <w:vAlign w:val="bottom"/>
          </w:tcPr>
          <w:p w14:paraId="6587586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13.394 </w:t>
            </w:r>
          </w:p>
        </w:tc>
        <w:tc>
          <w:tcPr>
            <w:tcW w:w="735" w:type="pct"/>
            <w:tcBorders>
              <w:top w:val="nil"/>
              <w:left w:val="nil"/>
              <w:bottom w:val="single" w:color="auto" w:sz="4" w:space="0"/>
              <w:right w:val="single" w:color="auto" w:sz="4" w:space="0"/>
            </w:tcBorders>
            <w:vAlign w:val="center"/>
          </w:tcPr>
          <w:p w14:paraId="3CC3C5E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22.588 </w:t>
            </w:r>
          </w:p>
        </w:tc>
      </w:tr>
      <w:tr w14:paraId="5DD0E637">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505D61AB">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1A85AD2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0.304 </w:t>
            </w:r>
          </w:p>
        </w:tc>
        <w:tc>
          <w:tcPr>
            <w:tcW w:w="735" w:type="pct"/>
            <w:tcBorders>
              <w:top w:val="nil"/>
              <w:left w:val="nil"/>
              <w:bottom w:val="single" w:color="auto" w:sz="4" w:space="0"/>
              <w:right w:val="single" w:color="auto" w:sz="4" w:space="0"/>
            </w:tcBorders>
            <w:shd w:val="clear" w:color="auto" w:fill="auto"/>
            <w:noWrap/>
            <w:vAlign w:val="bottom"/>
          </w:tcPr>
          <w:p w14:paraId="026240D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1.765 </w:t>
            </w:r>
          </w:p>
        </w:tc>
        <w:tc>
          <w:tcPr>
            <w:tcW w:w="735" w:type="pct"/>
            <w:tcBorders>
              <w:top w:val="nil"/>
              <w:left w:val="nil"/>
              <w:bottom w:val="single" w:color="auto" w:sz="4" w:space="0"/>
              <w:right w:val="single" w:color="auto" w:sz="4" w:space="0"/>
            </w:tcBorders>
            <w:shd w:val="clear" w:color="auto" w:fill="auto"/>
            <w:noWrap/>
            <w:vAlign w:val="center"/>
          </w:tcPr>
          <w:p w14:paraId="79AFF1F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8.884 </w:t>
            </w:r>
          </w:p>
        </w:tc>
        <w:tc>
          <w:tcPr>
            <w:tcW w:w="735" w:type="pct"/>
            <w:tcBorders>
              <w:top w:val="nil"/>
              <w:left w:val="nil"/>
              <w:bottom w:val="single" w:color="auto" w:sz="4" w:space="0"/>
              <w:right w:val="single" w:color="auto" w:sz="4" w:space="0"/>
            </w:tcBorders>
            <w:shd w:val="clear" w:color="auto" w:fill="auto"/>
            <w:noWrap/>
            <w:vAlign w:val="bottom"/>
          </w:tcPr>
          <w:p w14:paraId="1EE1739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13.291 </w:t>
            </w:r>
          </w:p>
        </w:tc>
        <w:tc>
          <w:tcPr>
            <w:tcW w:w="735" w:type="pct"/>
            <w:tcBorders>
              <w:top w:val="nil"/>
              <w:left w:val="nil"/>
              <w:bottom w:val="single" w:color="auto" w:sz="4" w:space="0"/>
              <w:right w:val="single" w:color="auto" w:sz="4" w:space="0"/>
            </w:tcBorders>
            <w:vAlign w:val="center"/>
          </w:tcPr>
          <w:p w14:paraId="6141BC8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22.574 </w:t>
            </w:r>
          </w:p>
        </w:tc>
      </w:tr>
      <w:tr w14:paraId="4B264F42">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1807D28C">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0C71605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0.294 </w:t>
            </w:r>
          </w:p>
        </w:tc>
        <w:tc>
          <w:tcPr>
            <w:tcW w:w="735" w:type="pct"/>
            <w:tcBorders>
              <w:top w:val="nil"/>
              <w:left w:val="nil"/>
              <w:bottom w:val="single" w:color="auto" w:sz="4" w:space="0"/>
              <w:right w:val="single" w:color="auto" w:sz="4" w:space="0"/>
            </w:tcBorders>
            <w:shd w:val="clear" w:color="auto" w:fill="auto"/>
            <w:noWrap/>
            <w:vAlign w:val="bottom"/>
          </w:tcPr>
          <w:p w14:paraId="4F9EFEA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1.741 </w:t>
            </w:r>
          </w:p>
        </w:tc>
        <w:tc>
          <w:tcPr>
            <w:tcW w:w="735" w:type="pct"/>
            <w:tcBorders>
              <w:top w:val="nil"/>
              <w:left w:val="nil"/>
              <w:bottom w:val="single" w:color="auto" w:sz="4" w:space="0"/>
              <w:right w:val="single" w:color="auto" w:sz="4" w:space="0"/>
            </w:tcBorders>
            <w:shd w:val="clear" w:color="auto" w:fill="auto"/>
            <w:noWrap/>
            <w:vAlign w:val="center"/>
          </w:tcPr>
          <w:p w14:paraId="5B11675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8.773 </w:t>
            </w:r>
          </w:p>
        </w:tc>
        <w:tc>
          <w:tcPr>
            <w:tcW w:w="735" w:type="pct"/>
            <w:tcBorders>
              <w:top w:val="nil"/>
              <w:left w:val="nil"/>
              <w:bottom w:val="single" w:color="auto" w:sz="4" w:space="0"/>
              <w:right w:val="single" w:color="auto" w:sz="4" w:space="0"/>
            </w:tcBorders>
            <w:shd w:val="clear" w:color="auto" w:fill="auto"/>
            <w:noWrap/>
            <w:vAlign w:val="bottom"/>
          </w:tcPr>
          <w:p w14:paraId="61F3ED7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13.366 </w:t>
            </w:r>
          </w:p>
        </w:tc>
        <w:tc>
          <w:tcPr>
            <w:tcW w:w="735" w:type="pct"/>
            <w:tcBorders>
              <w:top w:val="nil"/>
              <w:left w:val="nil"/>
              <w:bottom w:val="single" w:color="auto" w:sz="4" w:space="0"/>
              <w:right w:val="single" w:color="auto" w:sz="4" w:space="0"/>
            </w:tcBorders>
            <w:vAlign w:val="center"/>
          </w:tcPr>
          <w:p w14:paraId="4A4C50D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22.437 </w:t>
            </w:r>
          </w:p>
        </w:tc>
      </w:tr>
      <w:tr w14:paraId="3412EBCF">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008E4FCA">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6BD7410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0.289 </w:t>
            </w:r>
          </w:p>
        </w:tc>
        <w:tc>
          <w:tcPr>
            <w:tcW w:w="735" w:type="pct"/>
            <w:tcBorders>
              <w:top w:val="nil"/>
              <w:left w:val="nil"/>
              <w:bottom w:val="single" w:color="auto" w:sz="4" w:space="0"/>
              <w:right w:val="single" w:color="auto" w:sz="4" w:space="0"/>
            </w:tcBorders>
            <w:shd w:val="clear" w:color="auto" w:fill="auto"/>
            <w:noWrap/>
            <w:vAlign w:val="bottom"/>
          </w:tcPr>
          <w:p w14:paraId="464F550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1.722 </w:t>
            </w:r>
          </w:p>
        </w:tc>
        <w:tc>
          <w:tcPr>
            <w:tcW w:w="735" w:type="pct"/>
            <w:tcBorders>
              <w:top w:val="nil"/>
              <w:left w:val="nil"/>
              <w:bottom w:val="single" w:color="auto" w:sz="4" w:space="0"/>
              <w:right w:val="single" w:color="auto" w:sz="4" w:space="0"/>
            </w:tcBorders>
            <w:shd w:val="clear" w:color="auto" w:fill="auto"/>
            <w:noWrap/>
            <w:vAlign w:val="center"/>
          </w:tcPr>
          <w:p w14:paraId="5DDBEF5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8.666 </w:t>
            </w:r>
          </w:p>
        </w:tc>
        <w:tc>
          <w:tcPr>
            <w:tcW w:w="735" w:type="pct"/>
            <w:tcBorders>
              <w:top w:val="nil"/>
              <w:left w:val="nil"/>
              <w:bottom w:val="single" w:color="auto" w:sz="4" w:space="0"/>
              <w:right w:val="single" w:color="auto" w:sz="4" w:space="0"/>
            </w:tcBorders>
            <w:shd w:val="clear" w:color="auto" w:fill="auto"/>
            <w:noWrap/>
            <w:vAlign w:val="bottom"/>
          </w:tcPr>
          <w:p w14:paraId="36D6A48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13.628 </w:t>
            </w:r>
          </w:p>
        </w:tc>
        <w:tc>
          <w:tcPr>
            <w:tcW w:w="735" w:type="pct"/>
            <w:tcBorders>
              <w:top w:val="nil"/>
              <w:left w:val="nil"/>
              <w:bottom w:val="single" w:color="auto" w:sz="4" w:space="0"/>
              <w:right w:val="single" w:color="auto" w:sz="4" w:space="0"/>
            </w:tcBorders>
            <w:vAlign w:val="center"/>
          </w:tcPr>
          <w:p w14:paraId="35AF498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22.831 </w:t>
            </w:r>
          </w:p>
        </w:tc>
      </w:tr>
      <w:tr w14:paraId="5BBCD896">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1E82D75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59A6B08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0.287 </w:t>
            </w:r>
          </w:p>
        </w:tc>
        <w:tc>
          <w:tcPr>
            <w:tcW w:w="735" w:type="pct"/>
            <w:tcBorders>
              <w:top w:val="nil"/>
              <w:left w:val="nil"/>
              <w:bottom w:val="single" w:color="auto" w:sz="4" w:space="0"/>
              <w:right w:val="single" w:color="auto" w:sz="4" w:space="0"/>
            </w:tcBorders>
            <w:shd w:val="clear" w:color="auto" w:fill="auto"/>
            <w:noWrap/>
            <w:vAlign w:val="bottom"/>
          </w:tcPr>
          <w:p w14:paraId="5188E35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1.718 </w:t>
            </w:r>
          </w:p>
        </w:tc>
        <w:tc>
          <w:tcPr>
            <w:tcW w:w="735" w:type="pct"/>
            <w:tcBorders>
              <w:top w:val="nil"/>
              <w:left w:val="nil"/>
              <w:bottom w:val="single" w:color="auto" w:sz="4" w:space="0"/>
              <w:right w:val="single" w:color="auto" w:sz="4" w:space="0"/>
            </w:tcBorders>
            <w:shd w:val="clear" w:color="auto" w:fill="auto"/>
            <w:noWrap/>
            <w:vAlign w:val="center"/>
          </w:tcPr>
          <w:p w14:paraId="35AEF47E">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8.589 </w:t>
            </w:r>
          </w:p>
        </w:tc>
        <w:tc>
          <w:tcPr>
            <w:tcW w:w="735" w:type="pct"/>
            <w:tcBorders>
              <w:top w:val="nil"/>
              <w:left w:val="nil"/>
              <w:bottom w:val="single" w:color="auto" w:sz="4" w:space="0"/>
              <w:right w:val="single" w:color="auto" w:sz="4" w:space="0"/>
            </w:tcBorders>
            <w:shd w:val="clear" w:color="auto" w:fill="auto"/>
            <w:noWrap/>
            <w:vAlign w:val="bottom"/>
          </w:tcPr>
          <w:p w14:paraId="0B04EF8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13.512 </w:t>
            </w:r>
          </w:p>
        </w:tc>
        <w:tc>
          <w:tcPr>
            <w:tcW w:w="735" w:type="pct"/>
            <w:tcBorders>
              <w:top w:val="nil"/>
              <w:left w:val="nil"/>
              <w:bottom w:val="single" w:color="auto" w:sz="4" w:space="0"/>
              <w:right w:val="single" w:color="auto" w:sz="4" w:space="0"/>
            </w:tcBorders>
            <w:vAlign w:val="center"/>
          </w:tcPr>
          <w:p w14:paraId="223A1E7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22.793 </w:t>
            </w:r>
          </w:p>
        </w:tc>
      </w:tr>
      <w:tr w14:paraId="7F575E72">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1982470E">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3E19FEF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0.294 </w:t>
            </w:r>
          </w:p>
        </w:tc>
        <w:tc>
          <w:tcPr>
            <w:tcW w:w="735" w:type="pct"/>
            <w:tcBorders>
              <w:top w:val="nil"/>
              <w:left w:val="nil"/>
              <w:bottom w:val="single" w:color="auto" w:sz="4" w:space="0"/>
              <w:right w:val="single" w:color="auto" w:sz="4" w:space="0"/>
            </w:tcBorders>
            <w:shd w:val="clear" w:color="auto" w:fill="auto"/>
            <w:noWrap/>
            <w:vAlign w:val="bottom"/>
          </w:tcPr>
          <w:p w14:paraId="44FB5F1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1.684 </w:t>
            </w:r>
          </w:p>
        </w:tc>
        <w:tc>
          <w:tcPr>
            <w:tcW w:w="735" w:type="pct"/>
            <w:tcBorders>
              <w:top w:val="nil"/>
              <w:left w:val="nil"/>
              <w:bottom w:val="single" w:color="auto" w:sz="4" w:space="0"/>
              <w:right w:val="single" w:color="auto" w:sz="4" w:space="0"/>
            </w:tcBorders>
            <w:shd w:val="clear" w:color="auto" w:fill="auto"/>
            <w:noWrap/>
            <w:vAlign w:val="center"/>
          </w:tcPr>
          <w:p w14:paraId="266FF16E">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8.632 </w:t>
            </w:r>
          </w:p>
        </w:tc>
        <w:tc>
          <w:tcPr>
            <w:tcW w:w="735" w:type="pct"/>
            <w:tcBorders>
              <w:top w:val="nil"/>
              <w:left w:val="nil"/>
              <w:bottom w:val="single" w:color="auto" w:sz="4" w:space="0"/>
              <w:right w:val="single" w:color="auto" w:sz="4" w:space="0"/>
            </w:tcBorders>
            <w:shd w:val="clear" w:color="auto" w:fill="auto"/>
            <w:noWrap/>
            <w:vAlign w:val="bottom"/>
          </w:tcPr>
          <w:p w14:paraId="2F2CA50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13.641 </w:t>
            </w:r>
          </w:p>
        </w:tc>
        <w:tc>
          <w:tcPr>
            <w:tcW w:w="735" w:type="pct"/>
            <w:tcBorders>
              <w:top w:val="nil"/>
              <w:left w:val="nil"/>
              <w:bottom w:val="single" w:color="auto" w:sz="4" w:space="0"/>
              <w:right w:val="single" w:color="auto" w:sz="4" w:space="0"/>
            </w:tcBorders>
            <w:vAlign w:val="center"/>
          </w:tcPr>
          <w:p w14:paraId="21F22C45">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22.666 </w:t>
            </w:r>
          </w:p>
        </w:tc>
      </w:tr>
      <w:tr w14:paraId="774DE8CB">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072227E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2EF3F9E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0.308 </w:t>
            </w:r>
          </w:p>
        </w:tc>
        <w:tc>
          <w:tcPr>
            <w:tcW w:w="735" w:type="pct"/>
            <w:tcBorders>
              <w:top w:val="nil"/>
              <w:left w:val="nil"/>
              <w:bottom w:val="single" w:color="auto" w:sz="4" w:space="0"/>
              <w:right w:val="single" w:color="auto" w:sz="4" w:space="0"/>
            </w:tcBorders>
            <w:shd w:val="clear" w:color="auto" w:fill="auto"/>
            <w:noWrap/>
            <w:vAlign w:val="bottom"/>
          </w:tcPr>
          <w:p w14:paraId="7D72D32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1.731 </w:t>
            </w:r>
          </w:p>
        </w:tc>
        <w:tc>
          <w:tcPr>
            <w:tcW w:w="735" w:type="pct"/>
            <w:tcBorders>
              <w:top w:val="nil"/>
              <w:left w:val="nil"/>
              <w:bottom w:val="single" w:color="auto" w:sz="4" w:space="0"/>
              <w:right w:val="single" w:color="auto" w:sz="4" w:space="0"/>
            </w:tcBorders>
            <w:shd w:val="clear" w:color="auto" w:fill="auto"/>
            <w:noWrap/>
            <w:vAlign w:val="center"/>
          </w:tcPr>
          <w:p w14:paraId="309FC78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8.788 </w:t>
            </w:r>
          </w:p>
        </w:tc>
        <w:tc>
          <w:tcPr>
            <w:tcW w:w="735" w:type="pct"/>
            <w:tcBorders>
              <w:top w:val="nil"/>
              <w:left w:val="nil"/>
              <w:bottom w:val="single" w:color="auto" w:sz="4" w:space="0"/>
              <w:right w:val="single" w:color="auto" w:sz="4" w:space="0"/>
            </w:tcBorders>
            <w:shd w:val="clear" w:color="auto" w:fill="auto"/>
            <w:noWrap/>
            <w:vAlign w:val="bottom"/>
          </w:tcPr>
          <w:p w14:paraId="63D7996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13.588 </w:t>
            </w:r>
          </w:p>
        </w:tc>
        <w:tc>
          <w:tcPr>
            <w:tcW w:w="735" w:type="pct"/>
            <w:tcBorders>
              <w:top w:val="nil"/>
              <w:left w:val="nil"/>
              <w:bottom w:val="single" w:color="auto" w:sz="4" w:space="0"/>
              <w:right w:val="single" w:color="auto" w:sz="4" w:space="0"/>
            </w:tcBorders>
            <w:vAlign w:val="center"/>
          </w:tcPr>
          <w:p w14:paraId="5034BD2E">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22.569 </w:t>
            </w:r>
          </w:p>
        </w:tc>
      </w:tr>
      <w:tr w14:paraId="5D796B71">
        <w:tblPrEx>
          <w:tblCellMar>
            <w:top w:w="0" w:type="dxa"/>
            <w:left w:w="108" w:type="dxa"/>
            <w:bottom w:w="0" w:type="dxa"/>
            <w:right w:w="108" w:type="dxa"/>
          </w:tblCellMar>
        </w:tblPrEx>
        <w:trPr>
          <w:trHeight w:val="312" w:hRule="exact"/>
          <w:jc w:val="center"/>
        </w:trPr>
        <w:tc>
          <w:tcPr>
            <w:tcW w:w="1324" w:type="pct"/>
            <w:vMerge w:val="restart"/>
            <w:tcBorders>
              <w:top w:val="nil"/>
              <w:left w:val="single" w:color="auto" w:sz="4" w:space="0"/>
              <w:bottom w:val="single" w:color="auto" w:sz="4" w:space="0"/>
              <w:right w:val="single" w:color="auto" w:sz="4" w:space="0"/>
            </w:tcBorders>
            <w:shd w:val="clear" w:color="auto" w:fill="auto"/>
            <w:noWrap/>
            <w:vAlign w:val="center"/>
          </w:tcPr>
          <w:p w14:paraId="6772360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国标（北京）检验认证有限公司</w:t>
            </w:r>
          </w:p>
        </w:tc>
        <w:tc>
          <w:tcPr>
            <w:tcW w:w="735" w:type="pct"/>
            <w:tcBorders>
              <w:top w:val="nil"/>
              <w:left w:val="nil"/>
              <w:bottom w:val="single" w:color="auto" w:sz="4" w:space="0"/>
              <w:right w:val="single" w:color="auto" w:sz="4" w:space="0"/>
            </w:tcBorders>
            <w:shd w:val="clear" w:color="auto" w:fill="auto"/>
            <w:noWrap/>
            <w:vAlign w:val="center"/>
          </w:tcPr>
          <w:p w14:paraId="4BE4358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0.295 </w:t>
            </w:r>
          </w:p>
        </w:tc>
        <w:tc>
          <w:tcPr>
            <w:tcW w:w="735" w:type="pct"/>
            <w:tcBorders>
              <w:top w:val="nil"/>
              <w:left w:val="nil"/>
              <w:bottom w:val="single" w:color="auto" w:sz="4" w:space="0"/>
              <w:right w:val="single" w:color="auto" w:sz="4" w:space="0"/>
            </w:tcBorders>
            <w:shd w:val="clear" w:color="auto" w:fill="auto"/>
            <w:noWrap/>
            <w:vAlign w:val="bottom"/>
          </w:tcPr>
          <w:p w14:paraId="2478F83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1.791 </w:t>
            </w:r>
          </w:p>
        </w:tc>
        <w:tc>
          <w:tcPr>
            <w:tcW w:w="735" w:type="pct"/>
            <w:tcBorders>
              <w:top w:val="nil"/>
              <w:left w:val="nil"/>
              <w:bottom w:val="single" w:color="auto" w:sz="4" w:space="0"/>
              <w:right w:val="single" w:color="auto" w:sz="4" w:space="0"/>
            </w:tcBorders>
            <w:shd w:val="clear" w:color="auto" w:fill="auto"/>
            <w:noWrap/>
            <w:vAlign w:val="center"/>
          </w:tcPr>
          <w:p w14:paraId="054804E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8.896 </w:t>
            </w:r>
          </w:p>
        </w:tc>
        <w:tc>
          <w:tcPr>
            <w:tcW w:w="735" w:type="pct"/>
            <w:tcBorders>
              <w:top w:val="nil"/>
              <w:left w:val="nil"/>
              <w:bottom w:val="single" w:color="auto" w:sz="4" w:space="0"/>
              <w:right w:val="single" w:color="auto" w:sz="4" w:space="0"/>
            </w:tcBorders>
            <w:shd w:val="clear" w:color="auto" w:fill="auto"/>
            <w:noWrap/>
            <w:vAlign w:val="bottom"/>
          </w:tcPr>
          <w:p w14:paraId="51E3FB1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13.602 </w:t>
            </w:r>
          </w:p>
        </w:tc>
        <w:tc>
          <w:tcPr>
            <w:tcW w:w="735" w:type="pct"/>
            <w:tcBorders>
              <w:top w:val="nil"/>
              <w:left w:val="nil"/>
              <w:bottom w:val="single" w:color="auto" w:sz="4" w:space="0"/>
              <w:right w:val="single" w:color="auto" w:sz="4" w:space="0"/>
            </w:tcBorders>
            <w:vAlign w:val="bottom"/>
          </w:tcPr>
          <w:p w14:paraId="02379266">
            <w:pPr>
              <w:jc w:val="center"/>
              <w:rPr>
                <w:rFonts w:hint="default" w:ascii="Times New Roman" w:hAnsi="Times New Roman" w:eastAsia="宋体" w:cs="Times New Roman"/>
                <w:color w:val="000000"/>
                <w:kern w:val="0"/>
                <w:sz w:val="18"/>
                <w:szCs w:val="22"/>
                <w:lang w:val="en-US" w:eastAsia="zh-CN"/>
              </w:rPr>
            </w:pPr>
            <w:r>
              <w:rPr>
                <w:rFonts w:hint="default" w:ascii="Times New Roman" w:hAnsi="Times New Roman" w:cs="Times New Roman"/>
                <w:color w:val="000000"/>
                <w:kern w:val="0"/>
                <w:sz w:val="18"/>
                <w:szCs w:val="22"/>
                <w:lang w:val="en-US" w:eastAsia="zh-CN"/>
              </w:rPr>
              <w:t>--</w:t>
            </w:r>
          </w:p>
        </w:tc>
      </w:tr>
      <w:tr w14:paraId="6882F127">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40F2CE3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50D4C5A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0.296 </w:t>
            </w:r>
          </w:p>
        </w:tc>
        <w:tc>
          <w:tcPr>
            <w:tcW w:w="735" w:type="pct"/>
            <w:tcBorders>
              <w:top w:val="nil"/>
              <w:left w:val="nil"/>
              <w:bottom w:val="single" w:color="auto" w:sz="4" w:space="0"/>
              <w:right w:val="single" w:color="auto" w:sz="4" w:space="0"/>
            </w:tcBorders>
            <w:shd w:val="clear" w:color="auto" w:fill="auto"/>
            <w:noWrap/>
            <w:vAlign w:val="bottom"/>
          </w:tcPr>
          <w:p w14:paraId="39357B9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1.811 </w:t>
            </w:r>
          </w:p>
        </w:tc>
        <w:tc>
          <w:tcPr>
            <w:tcW w:w="735" w:type="pct"/>
            <w:tcBorders>
              <w:top w:val="nil"/>
              <w:left w:val="nil"/>
              <w:bottom w:val="single" w:color="auto" w:sz="4" w:space="0"/>
              <w:right w:val="single" w:color="auto" w:sz="4" w:space="0"/>
            </w:tcBorders>
            <w:shd w:val="clear" w:color="auto" w:fill="auto"/>
            <w:noWrap/>
            <w:vAlign w:val="center"/>
          </w:tcPr>
          <w:p w14:paraId="0CF110B0">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8.784 </w:t>
            </w:r>
          </w:p>
        </w:tc>
        <w:tc>
          <w:tcPr>
            <w:tcW w:w="735" w:type="pct"/>
            <w:tcBorders>
              <w:top w:val="nil"/>
              <w:left w:val="nil"/>
              <w:bottom w:val="single" w:color="auto" w:sz="4" w:space="0"/>
              <w:right w:val="single" w:color="auto" w:sz="4" w:space="0"/>
            </w:tcBorders>
            <w:shd w:val="clear" w:color="auto" w:fill="auto"/>
            <w:noWrap/>
            <w:vAlign w:val="bottom"/>
          </w:tcPr>
          <w:p w14:paraId="35F04DB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13.463 </w:t>
            </w:r>
          </w:p>
        </w:tc>
        <w:tc>
          <w:tcPr>
            <w:tcW w:w="735" w:type="pct"/>
            <w:tcBorders>
              <w:top w:val="nil"/>
              <w:left w:val="nil"/>
              <w:bottom w:val="single" w:color="auto" w:sz="4" w:space="0"/>
              <w:right w:val="single" w:color="auto" w:sz="4" w:space="0"/>
            </w:tcBorders>
            <w:vAlign w:val="bottom"/>
          </w:tcPr>
          <w:p w14:paraId="7E0EC858">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3835E2FC">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4B711F5F">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33675270">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0.295 </w:t>
            </w:r>
          </w:p>
        </w:tc>
        <w:tc>
          <w:tcPr>
            <w:tcW w:w="735" w:type="pct"/>
            <w:tcBorders>
              <w:top w:val="nil"/>
              <w:left w:val="nil"/>
              <w:bottom w:val="single" w:color="auto" w:sz="4" w:space="0"/>
              <w:right w:val="single" w:color="auto" w:sz="4" w:space="0"/>
            </w:tcBorders>
            <w:shd w:val="clear" w:color="auto" w:fill="auto"/>
            <w:noWrap/>
            <w:vAlign w:val="bottom"/>
          </w:tcPr>
          <w:p w14:paraId="7ACF248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1.818 </w:t>
            </w:r>
          </w:p>
        </w:tc>
        <w:tc>
          <w:tcPr>
            <w:tcW w:w="735" w:type="pct"/>
            <w:tcBorders>
              <w:top w:val="nil"/>
              <w:left w:val="nil"/>
              <w:bottom w:val="single" w:color="auto" w:sz="4" w:space="0"/>
              <w:right w:val="single" w:color="auto" w:sz="4" w:space="0"/>
            </w:tcBorders>
            <w:shd w:val="clear" w:color="auto" w:fill="auto"/>
            <w:noWrap/>
            <w:vAlign w:val="center"/>
          </w:tcPr>
          <w:p w14:paraId="3C06F22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8.749 </w:t>
            </w:r>
          </w:p>
        </w:tc>
        <w:tc>
          <w:tcPr>
            <w:tcW w:w="735" w:type="pct"/>
            <w:tcBorders>
              <w:top w:val="nil"/>
              <w:left w:val="nil"/>
              <w:bottom w:val="single" w:color="auto" w:sz="4" w:space="0"/>
              <w:right w:val="single" w:color="auto" w:sz="4" w:space="0"/>
            </w:tcBorders>
            <w:shd w:val="clear" w:color="auto" w:fill="auto"/>
            <w:noWrap/>
            <w:vAlign w:val="bottom"/>
          </w:tcPr>
          <w:p w14:paraId="3C9B214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13.649 </w:t>
            </w:r>
          </w:p>
        </w:tc>
        <w:tc>
          <w:tcPr>
            <w:tcW w:w="735" w:type="pct"/>
            <w:tcBorders>
              <w:top w:val="nil"/>
              <w:left w:val="nil"/>
              <w:bottom w:val="single" w:color="auto" w:sz="4" w:space="0"/>
              <w:right w:val="single" w:color="auto" w:sz="4" w:space="0"/>
            </w:tcBorders>
            <w:vAlign w:val="bottom"/>
          </w:tcPr>
          <w:p w14:paraId="43E982F4">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7D5B1BD5">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0D237548">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3D614B5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0.299 </w:t>
            </w:r>
          </w:p>
        </w:tc>
        <w:tc>
          <w:tcPr>
            <w:tcW w:w="735" w:type="pct"/>
            <w:tcBorders>
              <w:top w:val="nil"/>
              <w:left w:val="nil"/>
              <w:bottom w:val="single" w:color="auto" w:sz="4" w:space="0"/>
              <w:right w:val="single" w:color="auto" w:sz="4" w:space="0"/>
            </w:tcBorders>
            <w:shd w:val="clear" w:color="auto" w:fill="auto"/>
            <w:noWrap/>
            <w:vAlign w:val="bottom"/>
          </w:tcPr>
          <w:p w14:paraId="17C1139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1.791 </w:t>
            </w:r>
          </w:p>
        </w:tc>
        <w:tc>
          <w:tcPr>
            <w:tcW w:w="735" w:type="pct"/>
            <w:tcBorders>
              <w:top w:val="nil"/>
              <w:left w:val="nil"/>
              <w:bottom w:val="single" w:color="auto" w:sz="4" w:space="0"/>
              <w:right w:val="single" w:color="auto" w:sz="4" w:space="0"/>
            </w:tcBorders>
            <w:shd w:val="clear" w:color="auto" w:fill="auto"/>
            <w:noWrap/>
            <w:vAlign w:val="center"/>
          </w:tcPr>
          <w:p w14:paraId="0166D36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8.618 </w:t>
            </w:r>
          </w:p>
        </w:tc>
        <w:tc>
          <w:tcPr>
            <w:tcW w:w="735" w:type="pct"/>
            <w:tcBorders>
              <w:top w:val="nil"/>
              <w:left w:val="nil"/>
              <w:bottom w:val="single" w:color="auto" w:sz="4" w:space="0"/>
              <w:right w:val="single" w:color="auto" w:sz="4" w:space="0"/>
            </w:tcBorders>
            <w:shd w:val="clear" w:color="auto" w:fill="auto"/>
            <w:noWrap/>
            <w:vAlign w:val="bottom"/>
          </w:tcPr>
          <w:p w14:paraId="46DDD92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13.742 </w:t>
            </w:r>
          </w:p>
        </w:tc>
        <w:tc>
          <w:tcPr>
            <w:tcW w:w="735" w:type="pct"/>
            <w:tcBorders>
              <w:top w:val="nil"/>
              <w:left w:val="nil"/>
              <w:bottom w:val="single" w:color="auto" w:sz="4" w:space="0"/>
              <w:right w:val="single" w:color="auto" w:sz="4" w:space="0"/>
            </w:tcBorders>
            <w:vAlign w:val="bottom"/>
          </w:tcPr>
          <w:p w14:paraId="2D172CFD">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26677556">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4F1E6EFC">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2A97420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0.294 </w:t>
            </w:r>
          </w:p>
        </w:tc>
        <w:tc>
          <w:tcPr>
            <w:tcW w:w="735" w:type="pct"/>
            <w:tcBorders>
              <w:top w:val="nil"/>
              <w:left w:val="nil"/>
              <w:bottom w:val="single" w:color="auto" w:sz="4" w:space="0"/>
              <w:right w:val="single" w:color="auto" w:sz="4" w:space="0"/>
            </w:tcBorders>
            <w:shd w:val="clear" w:color="auto" w:fill="auto"/>
            <w:noWrap/>
            <w:vAlign w:val="bottom"/>
          </w:tcPr>
          <w:p w14:paraId="047C5A7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1.792 </w:t>
            </w:r>
          </w:p>
        </w:tc>
        <w:tc>
          <w:tcPr>
            <w:tcW w:w="735" w:type="pct"/>
            <w:tcBorders>
              <w:top w:val="nil"/>
              <w:left w:val="nil"/>
              <w:bottom w:val="single" w:color="auto" w:sz="4" w:space="0"/>
              <w:right w:val="single" w:color="auto" w:sz="4" w:space="0"/>
            </w:tcBorders>
            <w:shd w:val="clear" w:color="auto" w:fill="auto"/>
            <w:noWrap/>
            <w:vAlign w:val="center"/>
          </w:tcPr>
          <w:p w14:paraId="0FB12F91">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8.968 </w:t>
            </w:r>
          </w:p>
        </w:tc>
        <w:tc>
          <w:tcPr>
            <w:tcW w:w="735" w:type="pct"/>
            <w:tcBorders>
              <w:top w:val="nil"/>
              <w:left w:val="nil"/>
              <w:bottom w:val="single" w:color="auto" w:sz="4" w:space="0"/>
              <w:right w:val="single" w:color="auto" w:sz="4" w:space="0"/>
            </w:tcBorders>
            <w:shd w:val="clear" w:color="auto" w:fill="auto"/>
            <w:noWrap/>
            <w:vAlign w:val="bottom"/>
          </w:tcPr>
          <w:p w14:paraId="0E4F8B9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13.866 </w:t>
            </w:r>
          </w:p>
        </w:tc>
        <w:tc>
          <w:tcPr>
            <w:tcW w:w="735" w:type="pct"/>
            <w:tcBorders>
              <w:top w:val="nil"/>
              <w:left w:val="nil"/>
              <w:bottom w:val="single" w:color="auto" w:sz="4" w:space="0"/>
              <w:right w:val="single" w:color="auto" w:sz="4" w:space="0"/>
            </w:tcBorders>
            <w:vAlign w:val="bottom"/>
          </w:tcPr>
          <w:p w14:paraId="2D967545">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26ECB9EA">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1E0DFE39">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55B7127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0.294 </w:t>
            </w:r>
          </w:p>
        </w:tc>
        <w:tc>
          <w:tcPr>
            <w:tcW w:w="735" w:type="pct"/>
            <w:tcBorders>
              <w:top w:val="nil"/>
              <w:left w:val="nil"/>
              <w:bottom w:val="single" w:color="auto" w:sz="4" w:space="0"/>
              <w:right w:val="single" w:color="auto" w:sz="4" w:space="0"/>
            </w:tcBorders>
            <w:shd w:val="clear" w:color="auto" w:fill="auto"/>
            <w:noWrap/>
            <w:vAlign w:val="bottom"/>
          </w:tcPr>
          <w:p w14:paraId="6FCAFBE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1.802 </w:t>
            </w:r>
          </w:p>
        </w:tc>
        <w:tc>
          <w:tcPr>
            <w:tcW w:w="735" w:type="pct"/>
            <w:tcBorders>
              <w:top w:val="nil"/>
              <w:left w:val="nil"/>
              <w:bottom w:val="single" w:color="auto" w:sz="4" w:space="0"/>
              <w:right w:val="single" w:color="auto" w:sz="4" w:space="0"/>
            </w:tcBorders>
            <w:shd w:val="clear" w:color="auto" w:fill="auto"/>
            <w:noWrap/>
            <w:vAlign w:val="center"/>
          </w:tcPr>
          <w:p w14:paraId="1EEAD19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8.724 </w:t>
            </w:r>
          </w:p>
        </w:tc>
        <w:tc>
          <w:tcPr>
            <w:tcW w:w="735" w:type="pct"/>
            <w:tcBorders>
              <w:top w:val="nil"/>
              <w:left w:val="nil"/>
              <w:bottom w:val="single" w:color="auto" w:sz="4" w:space="0"/>
              <w:right w:val="single" w:color="auto" w:sz="4" w:space="0"/>
            </w:tcBorders>
            <w:shd w:val="clear" w:color="auto" w:fill="auto"/>
            <w:noWrap/>
            <w:vAlign w:val="bottom"/>
          </w:tcPr>
          <w:p w14:paraId="3B3DB5C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13.622 </w:t>
            </w:r>
          </w:p>
        </w:tc>
        <w:tc>
          <w:tcPr>
            <w:tcW w:w="735" w:type="pct"/>
            <w:tcBorders>
              <w:top w:val="nil"/>
              <w:left w:val="nil"/>
              <w:bottom w:val="single" w:color="auto" w:sz="4" w:space="0"/>
              <w:right w:val="single" w:color="auto" w:sz="4" w:space="0"/>
            </w:tcBorders>
            <w:vAlign w:val="bottom"/>
          </w:tcPr>
          <w:p w14:paraId="289E6936">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6FD93DAE">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3DEA6EE0">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2FBB9A7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0.301 </w:t>
            </w:r>
          </w:p>
        </w:tc>
        <w:tc>
          <w:tcPr>
            <w:tcW w:w="735" w:type="pct"/>
            <w:tcBorders>
              <w:top w:val="nil"/>
              <w:left w:val="nil"/>
              <w:bottom w:val="single" w:color="auto" w:sz="4" w:space="0"/>
              <w:right w:val="single" w:color="auto" w:sz="4" w:space="0"/>
            </w:tcBorders>
            <w:shd w:val="clear" w:color="auto" w:fill="auto"/>
            <w:noWrap/>
            <w:vAlign w:val="bottom"/>
          </w:tcPr>
          <w:p w14:paraId="355512D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1.821 </w:t>
            </w:r>
          </w:p>
        </w:tc>
        <w:tc>
          <w:tcPr>
            <w:tcW w:w="735" w:type="pct"/>
            <w:tcBorders>
              <w:top w:val="nil"/>
              <w:left w:val="nil"/>
              <w:bottom w:val="single" w:color="auto" w:sz="4" w:space="0"/>
              <w:right w:val="single" w:color="auto" w:sz="4" w:space="0"/>
            </w:tcBorders>
            <w:shd w:val="clear" w:color="auto" w:fill="auto"/>
            <w:noWrap/>
            <w:vAlign w:val="center"/>
          </w:tcPr>
          <w:p w14:paraId="56FFC7D1">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8.602 </w:t>
            </w:r>
          </w:p>
        </w:tc>
        <w:tc>
          <w:tcPr>
            <w:tcW w:w="735" w:type="pct"/>
            <w:tcBorders>
              <w:top w:val="nil"/>
              <w:left w:val="nil"/>
              <w:bottom w:val="single" w:color="auto" w:sz="4" w:space="0"/>
              <w:right w:val="single" w:color="auto" w:sz="4" w:space="0"/>
            </w:tcBorders>
            <w:shd w:val="clear" w:color="auto" w:fill="auto"/>
            <w:noWrap/>
            <w:vAlign w:val="bottom"/>
          </w:tcPr>
          <w:p w14:paraId="41F0BC9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13.827 </w:t>
            </w:r>
          </w:p>
        </w:tc>
        <w:tc>
          <w:tcPr>
            <w:tcW w:w="735" w:type="pct"/>
            <w:tcBorders>
              <w:top w:val="nil"/>
              <w:left w:val="nil"/>
              <w:bottom w:val="single" w:color="auto" w:sz="4" w:space="0"/>
              <w:right w:val="single" w:color="auto" w:sz="4" w:space="0"/>
            </w:tcBorders>
            <w:vAlign w:val="bottom"/>
          </w:tcPr>
          <w:p w14:paraId="71536084">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1F6B2BF2">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4C80782C">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57A5F52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0.303 </w:t>
            </w:r>
          </w:p>
        </w:tc>
        <w:tc>
          <w:tcPr>
            <w:tcW w:w="735" w:type="pct"/>
            <w:tcBorders>
              <w:top w:val="nil"/>
              <w:left w:val="nil"/>
              <w:bottom w:val="single" w:color="auto" w:sz="4" w:space="0"/>
              <w:right w:val="single" w:color="auto" w:sz="4" w:space="0"/>
            </w:tcBorders>
            <w:shd w:val="clear" w:color="auto" w:fill="auto"/>
            <w:noWrap/>
            <w:vAlign w:val="bottom"/>
          </w:tcPr>
          <w:p w14:paraId="3E6102F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1.818 </w:t>
            </w:r>
          </w:p>
        </w:tc>
        <w:tc>
          <w:tcPr>
            <w:tcW w:w="735" w:type="pct"/>
            <w:tcBorders>
              <w:top w:val="nil"/>
              <w:left w:val="nil"/>
              <w:bottom w:val="single" w:color="auto" w:sz="4" w:space="0"/>
              <w:right w:val="single" w:color="auto" w:sz="4" w:space="0"/>
            </w:tcBorders>
            <w:shd w:val="clear" w:color="auto" w:fill="auto"/>
            <w:noWrap/>
            <w:vAlign w:val="center"/>
          </w:tcPr>
          <w:p w14:paraId="5CEA85C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8.771 </w:t>
            </w:r>
          </w:p>
        </w:tc>
        <w:tc>
          <w:tcPr>
            <w:tcW w:w="735" w:type="pct"/>
            <w:tcBorders>
              <w:top w:val="nil"/>
              <w:left w:val="nil"/>
              <w:bottom w:val="single" w:color="auto" w:sz="4" w:space="0"/>
              <w:right w:val="single" w:color="auto" w:sz="4" w:space="0"/>
            </w:tcBorders>
            <w:shd w:val="clear" w:color="auto" w:fill="auto"/>
            <w:noWrap/>
            <w:vAlign w:val="bottom"/>
          </w:tcPr>
          <w:p w14:paraId="20B16C0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13.481 </w:t>
            </w:r>
          </w:p>
        </w:tc>
        <w:tc>
          <w:tcPr>
            <w:tcW w:w="735" w:type="pct"/>
            <w:tcBorders>
              <w:top w:val="nil"/>
              <w:left w:val="nil"/>
              <w:bottom w:val="single" w:color="auto" w:sz="4" w:space="0"/>
              <w:right w:val="single" w:color="auto" w:sz="4" w:space="0"/>
            </w:tcBorders>
            <w:vAlign w:val="bottom"/>
          </w:tcPr>
          <w:p w14:paraId="48CDEBEC">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61C7D7F0">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54C86715">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05490649">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0.304 </w:t>
            </w:r>
          </w:p>
        </w:tc>
        <w:tc>
          <w:tcPr>
            <w:tcW w:w="735" w:type="pct"/>
            <w:tcBorders>
              <w:top w:val="nil"/>
              <w:left w:val="nil"/>
              <w:bottom w:val="single" w:color="auto" w:sz="4" w:space="0"/>
              <w:right w:val="single" w:color="auto" w:sz="4" w:space="0"/>
            </w:tcBorders>
            <w:shd w:val="clear" w:color="auto" w:fill="auto"/>
            <w:noWrap/>
            <w:vAlign w:val="bottom"/>
          </w:tcPr>
          <w:p w14:paraId="320BA98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1.795 </w:t>
            </w:r>
          </w:p>
        </w:tc>
        <w:tc>
          <w:tcPr>
            <w:tcW w:w="735" w:type="pct"/>
            <w:tcBorders>
              <w:top w:val="nil"/>
              <w:left w:val="nil"/>
              <w:bottom w:val="single" w:color="auto" w:sz="4" w:space="0"/>
              <w:right w:val="single" w:color="auto" w:sz="4" w:space="0"/>
            </w:tcBorders>
            <w:shd w:val="clear" w:color="auto" w:fill="auto"/>
            <w:noWrap/>
            <w:vAlign w:val="center"/>
          </w:tcPr>
          <w:p w14:paraId="501B6A0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8.757 </w:t>
            </w:r>
          </w:p>
        </w:tc>
        <w:tc>
          <w:tcPr>
            <w:tcW w:w="735" w:type="pct"/>
            <w:tcBorders>
              <w:top w:val="nil"/>
              <w:left w:val="nil"/>
              <w:bottom w:val="single" w:color="auto" w:sz="4" w:space="0"/>
              <w:right w:val="single" w:color="auto" w:sz="4" w:space="0"/>
            </w:tcBorders>
            <w:shd w:val="clear" w:color="auto" w:fill="auto"/>
            <w:noWrap/>
            <w:vAlign w:val="bottom"/>
          </w:tcPr>
          <w:p w14:paraId="604ED80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13.584 </w:t>
            </w:r>
          </w:p>
        </w:tc>
        <w:tc>
          <w:tcPr>
            <w:tcW w:w="735" w:type="pct"/>
            <w:tcBorders>
              <w:top w:val="nil"/>
              <w:left w:val="nil"/>
              <w:bottom w:val="single" w:color="auto" w:sz="4" w:space="0"/>
              <w:right w:val="single" w:color="auto" w:sz="4" w:space="0"/>
            </w:tcBorders>
            <w:vAlign w:val="bottom"/>
          </w:tcPr>
          <w:p w14:paraId="59865CAC">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4CBD2E20">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59CF1CFC">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50CFDD1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0.296 </w:t>
            </w:r>
          </w:p>
        </w:tc>
        <w:tc>
          <w:tcPr>
            <w:tcW w:w="735" w:type="pct"/>
            <w:tcBorders>
              <w:top w:val="nil"/>
              <w:left w:val="nil"/>
              <w:bottom w:val="single" w:color="auto" w:sz="4" w:space="0"/>
              <w:right w:val="single" w:color="auto" w:sz="4" w:space="0"/>
            </w:tcBorders>
            <w:shd w:val="clear" w:color="auto" w:fill="auto"/>
            <w:noWrap/>
            <w:vAlign w:val="bottom"/>
          </w:tcPr>
          <w:p w14:paraId="293880F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1.784 </w:t>
            </w:r>
          </w:p>
        </w:tc>
        <w:tc>
          <w:tcPr>
            <w:tcW w:w="735" w:type="pct"/>
            <w:tcBorders>
              <w:top w:val="nil"/>
              <w:left w:val="nil"/>
              <w:bottom w:val="single" w:color="auto" w:sz="4" w:space="0"/>
              <w:right w:val="single" w:color="auto" w:sz="4" w:space="0"/>
            </w:tcBorders>
            <w:shd w:val="clear" w:color="auto" w:fill="auto"/>
            <w:noWrap/>
            <w:vAlign w:val="center"/>
          </w:tcPr>
          <w:p w14:paraId="4B3A568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8.868 </w:t>
            </w:r>
          </w:p>
        </w:tc>
        <w:tc>
          <w:tcPr>
            <w:tcW w:w="735" w:type="pct"/>
            <w:tcBorders>
              <w:top w:val="nil"/>
              <w:left w:val="nil"/>
              <w:bottom w:val="single" w:color="auto" w:sz="4" w:space="0"/>
              <w:right w:val="single" w:color="auto" w:sz="4" w:space="0"/>
            </w:tcBorders>
            <w:shd w:val="clear" w:color="auto" w:fill="auto"/>
            <w:noWrap/>
            <w:vAlign w:val="bottom"/>
          </w:tcPr>
          <w:p w14:paraId="22E7980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13.566 </w:t>
            </w:r>
          </w:p>
        </w:tc>
        <w:tc>
          <w:tcPr>
            <w:tcW w:w="735" w:type="pct"/>
            <w:tcBorders>
              <w:top w:val="nil"/>
              <w:left w:val="nil"/>
              <w:bottom w:val="single" w:color="auto" w:sz="4" w:space="0"/>
              <w:right w:val="single" w:color="auto" w:sz="4" w:space="0"/>
            </w:tcBorders>
            <w:vAlign w:val="bottom"/>
          </w:tcPr>
          <w:p w14:paraId="59DA3950">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7803A47A">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09438B9F">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2DDE07C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0.301 </w:t>
            </w:r>
          </w:p>
        </w:tc>
        <w:tc>
          <w:tcPr>
            <w:tcW w:w="735" w:type="pct"/>
            <w:tcBorders>
              <w:top w:val="nil"/>
              <w:left w:val="nil"/>
              <w:bottom w:val="single" w:color="auto" w:sz="4" w:space="0"/>
              <w:right w:val="single" w:color="auto" w:sz="4" w:space="0"/>
            </w:tcBorders>
            <w:shd w:val="clear" w:color="auto" w:fill="auto"/>
            <w:noWrap/>
            <w:vAlign w:val="bottom"/>
          </w:tcPr>
          <w:p w14:paraId="7C060B4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1.788 </w:t>
            </w:r>
          </w:p>
        </w:tc>
        <w:tc>
          <w:tcPr>
            <w:tcW w:w="735" w:type="pct"/>
            <w:tcBorders>
              <w:top w:val="nil"/>
              <w:left w:val="nil"/>
              <w:bottom w:val="single" w:color="auto" w:sz="4" w:space="0"/>
              <w:right w:val="single" w:color="auto" w:sz="4" w:space="0"/>
            </w:tcBorders>
            <w:shd w:val="clear" w:color="auto" w:fill="auto"/>
            <w:noWrap/>
            <w:vAlign w:val="center"/>
          </w:tcPr>
          <w:p w14:paraId="7238D690">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8.958 </w:t>
            </w:r>
          </w:p>
        </w:tc>
        <w:tc>
          <w:tcPr>
            <w:tcW w:w="735" w:type="pct"/>
            <w:tcBorders>
              <w:top w:val="nil"/>
              <w:left w:val="nil"/>
              <w:bottom w:val="single" w:color="auto" w:sz="4" w:space="0"/>
              <w:right w:val="single" w:color="auto" w:sz="4" w:space="0"/>
            </w:tcBorders>
            <w:shd w:val="clear" w:color="auto" w:fill="auto"/>
            <w:noWrap/>
            <w:vAlign w:val="bottom"/>
          </w:tcPr>
          <w:p w14:paraId="26CA571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13.770 </w:t>
            </w:r>
          </w:p>
        </w:tc>
        <w:tc>
          <w:tcPr>
            <w:tcW w:w="735" w:type="pct"/>
            <w:tcBorders>
              <w:top w:val="nil"/>
              <w:left w:val="nil"/>
              <w:bottom w:val="single" w:color="auto" w:sz="4" w:space="0"/>
              <w:right w:val="single" w:color="auto" w:sz="4" w:space="0"/>
            </w:tcBorders>
            <w:vAlign w:val="bottom"/>
          </w:tcPr>
          <w:p w14:paraId="43DCF438">
            <w:pPr>
              <w:jc w:val="center"/>
              <w:rPr>
                <w:rFonts w:hint="default" w:ascii="Times New Roman" w:hAnsi="Times New Roman" w:cs="Times New Roman"/>
                <w:color w:val="000000"/>
                <w:kern w:val="0"/>
                <w:sz w:val="18"/>
                <w:szCs w:val="22"/>
              </w:rPr>
            </w:pPr>
            <w:r>
              <w:rPr>
                <w:rFonts w:hint="default" w:ascii="Times New Roman" w:hAnsi="Times New Roman" w:cs="Times New Roman"/>
                <w:color w:val="000000"/>
                <w:kern w:val="0"/>
                <w:sz w:val="18"/>
                <w:szCs w:val="22"/>
                <w:lang w:val="en-US" w:eastAsia="zh-CN"/>
              </w:rPr>
              <w:t>--</w:t>
            </w:r>
          </w:p>
        </w:tc>
      </w:tr>
      <w:tr w14:paraId="0FD0379A">
        <w:tblPrEx>
          <w:tblCellMar>
            <w:top w:w="0" w:type="dxa"/>
            <w:left w:w="108" w:type="dxa"/>
            <w:bottom w:w="0" w:type="dxa"/>
            <w:right w:w="108" w:type="dxa"/>
          </w:tblCellMar>
        </w:tblPrEx>
        <w:trPr>
          <w:trHeight w:val="312" w:hRule="exact"/>
          <w:jc w:val="center"/>
        </w:trPr>
        <w:tc>
          <w:tcPr>
            <w:tcW w:w="1324" w:type="pct"/>
            <w:vMerge w:val="restart"/>
            <w:tcBorders>
              <w:top w:val="nil"/>
              <w:left w:val="single" w:color="auto" w:sz="4" w:space="0"/>
              <w:bottom w:val="single" w:color="auto" w:sz="4" w:space="0"/>
              <w:right w:val="single" w:color="auto" w:sz="4" w:space="0"/>
            </w:tcBorders>
            <w:shd w:val="clear" w:color="auto" w:fill="auto"/>
            <w:noWrap/>
            <w:vAlign w:val="center"/>
          </w:tcPr>
          <w:p w14:paraId="381E2A5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江西金世纪新材料股份有限公司</w:t>
            </w:r>
          </w:p>
        </w:tc>
        <w:tc>
          <w:tcPr>
            <w:tcW w:w="735" w:type="pct"/>
            <w:tcBorders>
              <w:top w:val="nil"/>
              <w:left w:val="nil"/>
              <w:bottom w:val="single" w:color="auto" w:sz="4" w:space="0"/>
              <w:right w:val="single" w:color="auto" w:sz="4" w:space="0"/>
            </w:tcBorders>
            <w:shd w:val="clear" w:color="auto" w:fill="auto"/>
            <w:noWrap/>
            <w:vAlign w:val="bottom"/>
          </w:tcPr>
          <w:p w14:paraId="3E4BEBD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0.314 </w:t>
            </w:r>
          </w:p>
        </w:tc>
        <w:tc>
          <w:tcPr>
            <w:tcW w:w="735" w:type="pct"/>
            <w:tcBorders>
              <w:top w:val="nil"/>
              <w:left w:val="nil"/>
              <w:bottom w:val="single" w:color="auto" w:sz="4" w:space="0"/>
              <w:right w:val="single" w:color="auto" w:sz="4" w:space="0"/>
            </w:tcBorders>
            <w:shd w:val="clear" w:color="auto" w:fill="auto"/>
            <w:noWrap/>
            <w:vAlign w:val="bottom"/>
          </w:tcPr>
          <w:p w14:paraId="5801341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1.719 </w:t>
            </w:r>
          </w:p>
        </w:tc>
        <w:tc>
          <w:tcPr>
            <w:tcW w:w="735" w:type="pct"/>
            <w:tcBorders>
              <w:top w:val="nil"/>
              <w:left w:val="nil"/>
              <w:bottom w:val="single" w:color="auto" w:sz="4" w:space="0"/>
              <w:right w:val="single" w:color="auto" w:sz="4" w:space="0"/>
            </w:tcBorders>
            <w:shd w:val="clear" w:color="auto" w:fill="auto"/>
            <w:noWrap/>
            <w:vAlign w:val="bottom"/>
          </w:tcPr>
          <w:p w14:paraId="32DCA3E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8.691 </w:t>
            </w:r>
          </w:p>
        </w:tc>
        <w:tc>
          <w:tcPr>
            <w:tcW w:w="735" w:type="pct"/>
            <w:tcBorders>
              <w:top w:val="nil"/>
              <w:left w:val="nil"/>
              <w:bottom w:val="single" w:color="auto" w:sz="4" w:space="0"/>
              <w:right w:val="single" w:color="auto" w:sz="4" w:space="0"/>
            </w:tcBorders>
            <w:shd w:val="clear" w:color="auto" w:fill="auto"/>
            <w:noWrap/>
            <w:vAlign w:val="bottom"/>
          </w:tcPr>
          <w:p w14:paraId="3B49B4D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13.455 </w:t>
            </w:r>
          </w:p>
        </w:tc>
        <w:tc>
          <w:tcPr>
            <w:tcW w:w="735" w:type="pct"/>
            <w:tcBorders>
              <w:top w:val="nil"/>
              <w:left w:val="nil"/>
              <w:bottom w:val="single" w:color="auto" w:sz="4" w:space="0"/>
              <w:right w:val="single" w:color="auto" w:sz="4" w:space="0"/>
            </w:tcBorders>
            <w:vAlign w:val="bottom"/>
          </w:tcPr>
          <w:p w14:paraId="5B73372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22.578 </w:t>
            </w:r>
          </w:p>
        </w:tc>
      </w:tr>
      <w:tr w14:paraId="2F7D41F6">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7E3037A0">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0A976E5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0.308 </w:t>
            </w:r>
          </w:p>
        </w:tc>
        <w:tc>
          <w:tcPr>
            <w:tcW w:w="735" w:type="pct"/>
            <w:tcBorders>
              <w:top w:val="nil"/>
              <w:left w:val="nil"/>
              <w:bottom w:val="single" w:color="auto" w:sz="4" w:space="0"/>
              <w:right w:val="single" w:color="auto" w:sz="4" w:space="0"/>
            </w:tcBorders>
            <w:shd w:val="clear" w:color="auto" w:fill="auto"/>
            <w:noWrap/>
            <w:vAlign w:val="bottom"/>
          </w:tcPr>
          <w:p w14:paraId="0AA4599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1.733 </w:t>
            </w:r>
          </w:p>
        </w:tc>
        <w:tc>
          <w:tcPr>
            <w:tcW w:w="735" w:type="pct"/>
            <w:tcBorders>
              <w:top w:val="nil"/>
              <w:left w:val="nil"/>
              <w:bottom w:val="single" w:color="auto" w:sz="4" w:space="0"/>
              <w:right w:val="single" w:color="auto" w:sz="4" w:space="0"/>
            </w:tcBorders>
            <w:shd w:val="clear" w:color="auto" w:fill="auto"/>
            <w:noWrap/>
            <w:vAlign w:val="bottom"/>
          </w:tcPr>
          <w:p w14:paraId="6E595C6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8.642 </w:t>
            </w:r>
          </w:p>
        </w:tc>
        <w:tc>
          <w:tcPr>
            <w:tcW w:w="735" w:type="pct"/>
            <w:tcBorders>
              <w:top w:val="nil"/>
              <w:left w:val="nil"/>
              <w:bottom w:val="single" w:color="auto" w:sz="4" w:space="0"/>
              <w:right w:val="single" w:color="auto" w:sz="4" w:space="0"/>
            </w:tcBorders>
            <w:shd w:val="clear" w:color="auto" w:fill="auto"/>
            <w:noWrap/>
            <w:vAlign w:val="bottom"/>
          </w:tcPr>
          <w:p w14:paraId="560C05F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13.387 </w:t>
            </w:r>
          </w:p>
        </w:tc>
        <w:tc>
          <w:tcPr>
            <w:tcW w:w="735" w:type="pct"/>
            <w:tcBorders>
              <w:top w:val="nil"/>
              <w:left w:val="nil"/>
              <w:bottom w:val="single" w:color="auto" w:sz="4" w:space="0"/>
              <w:right w:val="single" w:color="auto" w:sz="4" w:space="0"/>
            </w:tcBorders>
            <w:vAlign w:val="bottom"/>
          </w:tcPr>
          <w:p w14:paraId="39AEFA7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22.631 </w:t>
            </w:r>
          </w:p>
        </w:tc>
      </w:tr>
      <w:tr w14:paraId="6FA62B49">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689BAA65">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665ED35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0.321 </w:t>
            </w:r>
          </w:p>
        </w:tc>
        <w:tc>
          <w:tcPr>
            <w:tcW w:w="735" w:type="pct"/>
            <w:tcBorders>
              <w:top w:val="nil"/>
              <w:left w:val="nil"/>
              <w:bottom w:val="single" w:color="auto" w:sz="4" w:space="0"/>
              <w:right w:val="single" w:color="auto" w:sz="4" w:space="0"/>
            </w:tcBorders>
            <w:shd w:val="clear" w:color="auto" w:fill="auto"/>
            <w:noWrap/>
            <w:vAlign w:val="bottom"/>
          </w:tcPr>
          <w:p w14:paraId="7943484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1.738 </w:t>
            </w:r>
          </w:p>
        </w:tc>
        <w:tc>
          <w:tcPr>
            <w:tcW w:w="735" w:type="pct"/>
            <w:tcBorders>
              <w:top w:val="nil"/>
              <w:left w:val="nil"/>
              <w:bottom w:val="single" w:color="auto" w:sz="4" w:space="0"/>
              <w:right w:val="single" w:color="auto" w:sz="4" w:space="0"/>
            </w:tcBorders>
            <w:shd w:val="clear" w:color="auto" w:fill="auto"/>
            <w:noWrap/>
            <w:vAlign w:val="bottom"/>
          </w:tcPr>
          <w:p w14:paraId="1515636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8.675 </w:t>
            </w:r>
          </w:p>
        </w:tc>
        <w:tc>
          <w:tcPr>
            <w:tcW w:w="735" w:type="pct"/>
            <w:tcBorders>
              <w:top w:val="nil"/>
              <w:left w:val="nil"/>
              <w:bottom w:val="single" w:color="auto" w:sz="4" w:space="0"/>
              <w:right w:val="single" w:color="auto" w:sz="4" w:space="0"/>
            </w:tcBorders>
            <w:shd w:val="clear" w:color="auto" w:fill="auto"/>
            <w:noWrap/>
            <w:vAlign w:val="bottom"/>
          </w:tcPr>
          <w:p w14:paraId="562DD8D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13.398 </w:t>
            </w:r>
          </w:p>
        </w:tc>
        <w:tc>
          <w:tcPr>
            <w:tcW w:w="735" w:type="pct"/>
            <w:tcBorders>
              <w:top w:val="nil"/>
              <w:left w:val="nil"/>
              <w:bottom w:val="single" w:color="auto" w:sz="4" w:space="0"/>
              <w:right w:val="single" w:color="auto" w:sz="4" w:space="0"/>
            </w:tcBorders>
            <w:vAlign w:val="bottom"/>
          </w:tcPr>
          <w:p w14:paraId="7680242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22.856 </w:t>
            </w:r>
          </w:p>
        </w:tc>
      </w:tr>
      <w:tr w14:paraId="736B492A">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6CA2D22A">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5409A2A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0.318 </w:t>
            </w:r>
          </w:p>
        </w:tc>
        <w:tc>
          <w:tcPr>
            <w:tcW w:w="735" w:type="pct"/>
            <w:tcBorders>
              <w:top w:val="nil"/>
              <w:left w:val="nil"/>
              <w:bottom w:val="single" w:color="auto" w:sz="4" w:space="0"/>
              <w:right w:val="single" w:color="auto" w:sz="4" w:space="0"/>
            </w:tcBorders>
            <w:shd w:val="clear" w:color="auto" w:fill="auto"/>
            <w:noWrap/>
            <w:vAlign w:val="bottom"/>
          </w:tcPr>
          <w:p w14:paraId="034CDA1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1.713 </w:t>
            </w:r>
          </w:p>
        </w:tc>
        <w:tc>
          <w:tcPr>
            <w:tcW w:w="735" w:type="pct"/>
            <w:tcBorders>
              <w:top w:val="nil"/>
              <w:left w:val="nil"/>
              <w:bottom w:val="single" w:color="auto" w:sz="4" w:space="0"/>
              <w:right w:val="single" w:color="auto" w:sz="4" w:space="0"/>
            </w:tcBorders>
            <w:shd w:val="clear" w:color="auto" w:fill="auto"/>
            <w:noWrap/>
            <w:vAlign w:val="bottom"/>
          </w:tcPr>
          <w:p w14:paraId="355CE2A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8.722 </w:t>
            </w:r>
          </w:p>
        </w:tc>
        <w:tc>
          <w:tcPr>
            <w:tcW w:w="735" w:type="pct"/>
            <w:tcBorders>
              <w:top w:val="nil"/>
              <w:left w:val="nil"/>
              <w:bottom w:val="single" w:color="auto" w:sz="4" w:space="0"/>
              <w:right w:val="single" w:color="auto" w:sz="4" w:space="0"/>
            </w:tcBorders>
            <w:shd w:val="clear" w:color="auto" w:fill="auto"/>
            <w:noWrap/>
            <w:vAlign w:val="bottom"/>
          </w:tcPr>
          <w:p w14:paraId="5D87E5F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13.423 </w:t>
            </w:r>
          </w:p>
        </w:tc>
        <w:tc>
          <w:tcPr>
            <w:tcW w:w="735" w:type="pct"/>
            <w:tcBorders>
              <w:top w:val="nil"/>
              <w:left w:val="nil"/>
              <w:bottom w:val="single" w:color="auto" w:sz="4" w:space="0"/>
              <w:right w:val="single" w:color="auto" w:sz="4" w:space="0"/>
            </w:tcBorders>
            <w:vAlign w:val="bottom"/>
          </w:tcPr>
          <w:p w14:paraId="493EB49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22.802 </w:t>
            </w:r>
          </w:p>
        </w:tc>
      </w:tr>
      <w:tr w14:paraId="76AD7464">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69380ACA">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0BD8915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0.320 </w:t>
            </w:r>
          </w:p>
        </w:tc>
        <w:tc>
          <w:tcPr>
            <w:tcW w:w="735" w:type="pct"/>
            <w:tcBorders>
              <w:top w:val="nil"/>
              <w:left w:val="nil"/>
              <w:bottom w:val="single" w:color="auto" w:sz="4" w:space="0"/>
              <w:right w:val="single" w:color="auto" w:sz="4" w:space="0"/>
            </w:tcBorders>
            <w:shd w:val="clear" w:color="auto" w:fill="auto"/>
            <w:noWrap/>
            <w:vAlign w:val="bottom"/>
          </w:tcPr>
          <w:p w14:paraId="2815DD5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1.752 </w:t>
            </w:r>
          </w:p>
        </w:tc>
        <w:tc>
          <w:tcPr>
            <w:tcW w:w="735" w:type="pct"/>
            <w:tcBorders>
              <w:top w:val="nil"/>
              <w:left w:val="nil"/>
              <w:bottom w:val="single" w:color="auto" w:sz="4" w:space="0"/>
              <w:right w:val="single" w:color="auto" w:sz="4" w:space="0"/>
            </w:tcBorders>
            <w:shd w:val="clear" w:color="auto" w:fill="auto"/>
            <w:noWrap/>
            <w:vAlign w:val="bottom"/>
          </w:tcPr>
          <w:p w14:paraId="6DF6C1D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8.577 </w:t>
            </w:r>
          </w:p>
        </w:tc>
        <w:tc>
          <w:tcPr>
            <w:tcW w:w="735" w:type="pct"/>
            <w:tcBorders>
              <w:top w:val="nil"/>
              <w:left w:val="nil"/>
              <w:bottom w:val="single" w:color="auto" w:sz="4" w:space="0"/>
              <w:right w:val="single" w:color="auto" w:sz="4" w:space="0"/>
            </w:tcBorders>
            <w:shd w:val="clear" w:color="auto" w:fill="auto"/>
            <w:noWrap/>
            <w:vAlign w:val="bottom"/>
          </w:tcPr>
          <w:p w14:paraId="3F62982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13.426 </w:t>
            </w:r>
          </w:p>
        </w:tc>
        <w:tc>
          <w:tcPr>
            <w:tcW w:w="735" w:type="pct"/>
            <w:tcBorders>
              <w:top w:val="nil"/>
              <w:left w:val="nil"/>
              <w:bottom w:val="single" w:color="auto" w:sz="4" w:space="0"/>
              <w:right w:val="single" w:color="auto" w:sz="4" w:space="0"/>
            </w:tcBorders>
            <w:vAlign w:val="bottom"/>
          </w:tcPr>
          <w:p w14:paraId="2346F73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22.781 </w:t>
            </w:r>
          </w:p>
        </w:tc>
      </w:tr>
      <w:tr w14:paraId="456E3691">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11402165">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42EB819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0.315 </w:t>
            </w:r>
          </w:p>
        </w:tc>
        <w:tc>
          <w:tcPr>
            <w:tcW w:w="735" w:type="pct"/>
            <w:tcBorders>
              <w:top w:val="nil"/>
              <w:left w:val="nil"/>
              <w:bottom w:val="single" w:color="auto" w:sz="4" w:space="0"/>
              <w:right w:val="single" w:color="auto" w:sz="4" w:space="0"/>
            </w:tcBorders>
            <w:shd w:val="clear" w:color="auto" w:fill="auto"/>
            <w:noWrap/>
            <w:vAlign w:val="bottom"/>
          </w:tcPr>
          <w:p w14:paraId="72D84FF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1.758 </w:t>
            </w:r>
          </w:p>
        </w:tc>
        <w:tc>
          <w:tcPr>
            <w:tcW w:w="735" w:type="pct"/>
            <w:tcBorders>
              <w:top w:val="nil"/>
              <w:left w:val="nil"/>
              <w:bottom w:val="single" w:color="auto" w:sz="4" w:space="0"/>
              <w:right w:val="single" w:color="auto" w:sz="4" w:space="0"/>
            </w:tcBorders>
            <w:shd w:val="clear" w:color="auto" w:fill="auto"/>
            <w:noWrap/>
            <w:vAlign w:val="bottom"/>
          </w:tcPr>
          <w:p w14:paraId="01C4D2C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8.748 </w:t>
            </w:r>
          </w:p>
        </w:tc>
        <w:tc>
          <w:tcPr>
            <w:tcW w:w="735" w:type="pct"/>
            <w:tcBorders>
              <w:top w:val="nil"/>
              <w:left w:val="nil"/>
              <w:bottom w:val="single" w:color="auto" w:sz="4" w:space="0"/>
              <w:right w:val="single" w:color="auto" w:sz="4" w:space="0"/>
            </w:tcBorders>
            <w:shd w:val="clear" w:color="auto" w:fill="auto"/>
            <w:noWrap/>
            <w:vAlign w:val="bottom"/>
          </w:tcPr>
          <w:p w14:paraId="5461759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13.411 </w:t>
            </w:r>
          </w:p>
        </w:tc>
        <w:tc>
          <w:tcPr>
            <w:tcW w:w="735" w:type="pct"/>
            <w:tcBorders>
              <w:top w:val="nil"/>
              <w:left w:val="nil"/>
              <w:bottom w:val="single" w:color="auto" w:sz="4" w:space="0"/>
              <w:right w:val="single" w:color="auto" w:sz="4" w:space="0"/>
            </w:tcBorders>
            <w:vAlign w:val="bottom"/>
          </w:tcPr>
          <w:p w14:paraId="451F633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22.846 </w:t>
            </w:r>
          </w:p>
        </w:tc>
      </w:tr>
      <w:tr w14:paraId="7EA3A68A">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76314916">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07FCC76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0.311 </w:t>
            </w:r>
          </w:p>
        </w:tc>
        <w:tc>
          <w:tcPr>
            <w:tcW w:w="735" w:type="pct"/>
            <w:tcBorders>
              <w:top w:val="nil"/>
              <w:left w:val="nil"/>
              <w:bottom w:val="single" w:color="auto" w:sz="4" w:space="0"/>
              <w:right w:val="single" w:color="auto" w:sz="4" w:space="0"/>
            </w:tcBorders>
            <w:shd w:val="clear" w:color="auto" w:fill="auto"/>
            <w:noWrap/>
            <w:vAlign w:val="bottom"/>
          </w:tcPr>
          <w:p w14:paraId="60F8C9B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1.728 </w:t>
            </w:r>
          </w:p>
        </w:tc>
        <w:tc>
          <w:tcPr>
            <w:tcW w:w="735" w:type="pct"/>
            <w:tcBorders>
              <w:top w:val="nil"/>
              <w:left w:val="nil"/>
              <w:bottom w:val="single" w:color="auto" w:sz="4" w:space="0"/>
              <w:right w:val="single" w:color="auto" w:sz="4" w:space="0"/>
            </w:tcBorders>
            <w:shd w:val="clear" w:color="auto" w:fill="auto"/>
            <w:noWrap/>
            <w:vAlign w:val="bottom"/>
          </w:tcPr>
          <w:p w14:paraId="28E72CD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8.649 </w:t>
            </w:r>
          </w:p>
        </w:tc>
        <w:tc>
          <w:tcPr>
            <w:tcW w:w="735" w:type="pct"/>
            <w:tcBorders>
              <w:top w:val="nil"/>
              <w:left w:val="nil"/>
              <w:bottom w:val="single" w:color="auto" w:sz="4" w:space="0"/>
              <w:right w:val="single" w:color="auto" w:sz="4" w:space="0"/>
            </w:tcBorders>
            <w:shd w:val="clear" w:color="auto" w:fill="auto"/>
            <w:noWrap/>
            <w:vAlign w:val="bottom"/>
          </w:tcPr>
          <w:p w14:paraId="056B223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13.406 </w:t>
            </w:r>
          </w:p>
        </w:tc>
        <w:tc>
          <w:tcPr>
            <w:tcW w:w="735" w:type="pct"/>
            <w:tcBorders>
              <w:top w:val="nil"/>
              <w:left w:val="nil"/>
              <w:bottom w:val="single" w:color="auto" w:sz="4" w:space="0"/>
              <w:right w:val="single" w:color="auto" w:sz="4" w:space="0"/>
            </w:tcBorders>
            <w:vAlign w:val="bottom"/>
          </w:tcPr>
          <w:p w14:paraId="09D8491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22.768 </w:t>
            </w:r>
          </w:p>
        </w:tc>
      </w:tr>
      <w:tr w14:paraId="2F846AE0">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44CDDA40">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7C6CB8B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0.309 </w:t>
            </w:r>
          </w:p>
        </w:tc>
        <w:tc>
          <w:tcPr>
            <w:tcW w:w="735" w:type="pct"/>
            <w:tcBorders>
              <w:top w:val="nil"/>
              <w:left w:val="nil"/>
              <w:bottom w:val="single" w:color="auto" w:sz="4" w:space="0"/>
              <w:right w:val="single" w:color="auto" w:sz="4" w:space="0"/>
            </w:tcBorders>
            <w:shd w:val="clear" w:color="auto" w:fill="auto"/>
            <w:noWrap/>
            <w:vAlign w:val="bottom"/>
          </w:tcPr>
          <w:p w14:paraId="157FCA5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1.724 </w:t>
            </w:r>
          </w:p>
        </w:tc>
        <w:tc>
          <w:tcPr>
            <w:tcW w:w="735" w:type="pct"/>
            <w:tcBorders>
              <w:top w:val="nil"/>
              <w:left w:val="nil"/>
              <w:bottom w:val="single" w:color="auto" w:sz="4" w:space="0"/>
              <w:right w:val="single" w:color="auto" w:sz="4" w:space="0"/>
            </w:tcBorders>
            <w:shd w:val="clear" w:color="auto" w:fill="auto"/>
            <w:noWrap/>
            <w:vAlign w:val="bottom"/>
          </w:tcPr>
          <w:p w14:paraId="35827A7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8.723 </w:t>
            </w:r>
          </w:p>
        </w:tc>
        <w:tc>
          <w:tcPr>
            <w:tcW w:w="735" w:type="pct"/>
            <w:tcBorders>
              <w:top w:val="nil"/>
              <w:left w:val="nil"/>
              <w:bottom w:val="single" w:color="auto" w:sz="4" w:space="0"/>
              <w:right w:val="single" w:color="auto" w:sz="4" w:space="0"/>
            </w:tcBorders>
            <w:shd w:val="clear" w:color="auto" w:fill="auto"/>
            <w:noWrap/>
            <w:vAlign w:val="bottom"/>
          </w:tcPr>
          <w:p w14:paraId="5A8FF47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13.395 </w:t>
            </w:r>
          </w:p>
        </w:tc>
        <w:tc>
          <w:tcPr>
            <w:tcW w:w="735" w:type="pct"/>
            <w:tcBorders>
              <w:top w:val="nil"/>
              <w:left w:val="nil"/>
              <w:bottom w:val="single" w:color="auto" w:sz="4" w:space="0"/>
              <w:right w:val="single" w:color="auto" w:sz="4" w:space="0"/>
            </w:tcBorders>
            <w:vAlign w:val="bottom"/>
          </w:tcPr>
          <w:p w14:paraId="69A03F5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22.701 </w:t>
            </w:r>
          </w:p>
        </w:tc>
      </w:tr>
      <w:tr w14:paraId="6951CC20">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2F4AFB62">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1FCB8AA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0.306 </w:t>
            </w:r>
          </w:p>
        </w:tc>
        <w:tc>
          <w:tcPr>
            <w:tcW w:w="735" w:type="pct"/>
            <w:tcBorders>
              <w:top w:val="nil"/>
              <w:left w:val="nil"/>
              <w:bottom w:val="single" w:color="auto" w:sz="4" w:space="0"/>
              <w:right w:val="single" w:color="auto" w:sz="4" w:space="0"/>
            </w:tcBorders>
            <w:shd w:val="clear" w:color="auto" w:fill="auto"/>
            <w:noWrap/>
            <w:vAlign w:val="bottom"/>
          </w:tcPr>
          <w:p w14:paraId="04330D7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1.723 </w:t>
            </w:r>
          </w:p>
        </w:tc>
        <w:tc>
          <w:tcPr>
            <w:tcW w:w="735" w:type="pct"/>
            <w:tcBorders>
              <w:top w:val="nil"/>
              <w:left w:val="nil"/>
              <w:bottom w:val="single" w:color="auto" w:sz="4" w:space="0"/>
              <w:right w:val="single" w:color="auto" w:sz="4" w:space="0"/>
            </w:tcBorders>
            <w:shd w:val="clear" w:color="auto" w:fill="auto"/>
            <w:noWrap/>
            <w:vAlign w:val="bottom"/>
          </w:tcPr>
          <w:p w14:paraId="23AFB21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8.713 </w:t>
            </w:r>
          </w:p>
        </w:tc>
        <w:tc>
          <w:tcPr>
            <w:tcW w:w="735" w:type="pct"/>
            <w:tcBorders>
              <w:top w:val="nil"/>
              <w:left w:val="nil"/>
              <w:bottom w:val="single" w:color="auto" w:sz="4" w:space="0"/>
              <w:right w:val="single" w:color="auto" w:sz="4" w:space="0"/>
            </w:tcBorders>
            <w:shd w:val="clear" w:color="auto" w:fill="auto"/>
            <w:noWrap/>
            <w:vAlign w:val="bottom"/>
          </w:tcPr>
          <w:p w14:paraId="203782A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13.379 </w:t>
            </w:r>
          </w:p>
        </w:tc>
        <w:tc>
          <w:tcPr>
            <w:tcW w:w="735" w:type="pct"/>
            <w:tcBorders>
              <w:top w:val="nil"/>
              <w:left w:val="nil"/>
              <w:bottom w:val="single" w:color="auto" w:sz="4" w:space="0"/>
              <w:right w:val="single" w:color="auto" w:sz="4" w:space="0"/>
            </w:tcBorders>
            <w:vAlign w:val="bottom"/>
          </w:tcPr>
          <w:p w14:paraId="2CA5ABE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22.702 </w:t>
            </w:r>
          </w:p>
        </w:tc>
      </w:tr>
      <w:tr w14:paraId="2CC15741">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21E87438">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70820E8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0.312 </w:t>
            </w:r>
          </w:p>
        </w:tc>
        <w:tc>
          <w:tcPr>
            <w:tcW w:w="735" w:type="pct"/>
            <w:tcBorders>
              <w:top w:val="nil"/>
              <w:left w:val="nil"/>
              <w:bottom w:val="single" w:color="auto" w:sz="4" w:space="0"/>
              <w:right w:val="single" w:color="auto" w:sz="4" w:space="0"/>
            </w:tcBorders>
            <w:shd w:val="clear" w:color="auto" w:fill="auto"/>
            <w:noWrap/>
            <w:vAlign w:val="bottom"/>
          </w:tcPr>
          <w:p w14:paraId="5A9D6BB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1.726 </w:t>
            </w:r>
          </w:p>
        </w:tc>
        <w:tc>
          <w:tcPr>
            <w:tcW w:w="735" w:type="pct"/>
            <w:tcBorders>
              <w:top w:val="nil"/>
              <w:left w:val="nil"/>
              <w:bottom w:val="single" w:color="auto" w:sz="4" w:space="0"/>
              <w:right w:val="single" w:color="auto" w:sz="4" w:space="0"/>
            </w:tcBorders>
            <w:shd w:val="clear" w:color="auto" w:fill="auto"/>
            <w:noWrap/>
            <w:vAlign w:val="bottom"/>
          </w:tcPr>
          <w:p w14:paraId="5377E25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8.638 </w:t>
            </w:r>
          </w:p>
        </w:tc>
        <w:tc>
          <w:tcPr>
            <w:tcW w:w="735" w:type="pct"/>
            <w:tcBorders>
              <w:top w:val="nil"/>
              <w:left w:val="nil"/>
              <w:bottom w:val="single" w:color="auto" w:sz="4" w:space="0"/>
              <w:right w:val="single" w:color="auto" w:sz="4" w:space="0"/>
            </w:tcBorders>
            <w:shd w:val="clear" w:color="auto" w:fill="auto"/>
            <w:noWrap/>
            <w:vAlign w:val="bottom"/>
          </w:tcPr>
          <w:p w14:paraId="00942E8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13.403 </w:t>
            </w:r>
          </w:p>
        </w:tc>
        <w:tc>
          <w:tcPr>
            <w:tcW w:w="735" w:type="pct"/>
            <w:tcBorders>
              <w:top w:val="nil"/>
              <w:left w:val="nil"/>
              <w:bottom w:val="single" w:color="auto" w:sz="4" w:space="0"/>
              <w:right w:val="single" w:color="auto" w:sz="4" w:space="0"/>
            </w:tcBorders>
            <w:vAlign w:val="bottom"/>
          </w:tcPr>
          <w:p w14:paraId="17A432A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22.591 </w:t>
            </w:r>
          </w:p>
        </w:tc>
      </w:tr>
      <w:tr w14:paraId="12CAF1C9">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6A3CE03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1FAA044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0.322 </w:t>
            </w:r>
          </w:p>
        </w:tc>
        <w:tc>
          <w:tcPr>
            <w:tcW w:w="735" w:type="pct"/>
            <w:tcBorders>
              <w:top w:val="nil"/>
              <w:left w:val="nil"/>
              <w:bottom w:val="single" w:color="auto" w:sz="4" w:space="0"/>
              <w:right w:val="single" w:color="auto" w:sz="4" w:space="0"/>
            </w:tcBorders>
            <w:shd w:val="clear" w:color="auto" w:fill="auto"/>
            <w:noWrap/>
            <w:vAlign w:val="bottom"/>
          </w:tcPr>
          <w:p w14:paraId="6357115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1.741 </w:t>
            </w:r>
          </w:p>
        </w:tc>
        <w:tc>
          <w:tcPr>
            <w:tcW w:w="735" w:type="pct"/>
            <w:tcBorders>
              <w:top w:val="nil"/>
              <w:left w:val="nil"/>
              <w:bottom w:val="single" w:color="auto" w:sz="4" w:space="0"/>
              <w:right w:val="single" w:color="auto" w:sz="4" w:space="0"/>
            </w:tcBorders>
            <w:shd w:val="clear" w:color="auto" w:fill="auto"/>
            <w:noWrap/>
            <w:vAlign w:val="bottom"/>
          </w:tcPr>
          <w:p w14:paraId="2867EE6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8.725 </w:t>
            </w:r>
          </w:p>
        </w:tc>
        <w:tc>
          <w:tcPr>
            <w:tcW w:w="735" w:type="pct"/>
            <w:tcBorders>
              <w:top w:val="nil"/>
              <w:left w:val="nil"/>
              <w:bottom w:val="single" w:color="auto" w:sz="4" w:space="0"/>
              <w:right w:val="single" w:color="auto" w:sz="4" w:space="0"/>
            </w:tcBorders>
            <w:shd w:val="clear" w:color="auto" w:fill="auto"/>
            <w:noWrap/>
            <w:vAlign w:val="bottom"/>
          </w:tcPr>
          <w:p w14:paraId="72CA89C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13.414 </w:t>
            </w:r>
          </w:p>
        </w:tc>
        <w:tc>
          <w:tcPr>
            <w:tcW w:w="735" w:type="pct"/>
            <w:tcBorders>
              <w:top w:val="nil"/>
              <w:left w:val="nil"/>
              <w:bottom w:val="single" w:color="auto" w:sz="4" w:space="0"/>
              <w:right w:val="single" w:color="auto" w:sz="4" w:space="0"/>
            </w:tcBorders>
            <w:vAlign w:val="bottom"/>
          </w:tcPr>
          <w:p w14:paraId="3D07675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22.928 </w:t>
            </w:r>
          </w:p>
        </w:tc>
      </w:tr>
      <w:tr w14:paraId="4AA304F8">
        <w:tblPrEx>
          <w:tblCellMar>
            <w:top w:w="0" w:type="dxa"/>
            <w:left w:w="108" w:type="dxa"/>
            <w:bottom w:w="0" w:type="dxa"/>
            <w:right w:w="108" w:type="dxa"/>
          </w:tblCellMar>
        </w:tblPrEx>
        <w:trPr>
          <w:trHeight w:val="312" w:hRule="exact"/>
          <w:jc w:val="center"/>
        </w:trPr>
        <w:tc>
          <w:tcPr>
            <w:tcW w:w="1324" w:type="pct"/>
            <w:vMerge w:val="restart"/>
            <w:tcBorders>
              <w:top w:val="nil"/>
              <w:left w:val="single" w:color="auto" w:sz="4" w:space="0"/>
              <w:bottom w:val="single" w:color="auto" w:sz="4" w:space="0"/>
              <w:right w:val="single" w:color="auto" w:sz="4" w:space="0"/>
            </w:tcBorders>
            <w:shd w:val="clear" w:color="auto" w:fill="auto"/>
            <w:noWrap/>
            <w:vAlign w:val="center"/>
          </w:tcPr>
          <w:p w14:paraId="385F556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厦门稀土材料研究所</w:t>
            </w:r>
          </w:p>
        </w:tc>
        <w:tc>
          <w:tcPr>
            <w:tcW w:w="735" w:type="pct"/>
            <w:tcBorders>
              <w:top w:val="nil"/>
              <w:left w:val="nil"/>
              <w:bottom w:val="single" w:color="auto" w:sz="4" w:space="0"/>
              <w:right w:val="single" w:color="auto" w:sz="4" w:space="0"/>
            </w:tcBorders>
            <w:shd w:val="clear" w:color="auto" w:fill="auto"/>
            <w:noWrap/>
            <w:vAlign w:val="center"/>
          </w:tcPr>
          <w:p w14:paraId="1255BD4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0.289 </w:t>
            </w:r>
          </w:p>
        </w:tc>
        <w:tc>
          <w:tcPr>
            <w:tcW w:w="735" w:type="pct"/>
            <w:tcBorders>
              <w:top w:val="nil"/>
              <w:left w:val="nil"/>
              <w:bottom w:val="single" w:color="auto" w:sz="4" w:space="0"/>
              <w:right w:val="single" w:color="auto" w:sz="4" w:space="0"/>
            </w:tcBorders>
            <w:shd w:val="clear" w:color="auto" w:fill="auto"/>
            <w:noWrap/>
            <w:vAlign w:val="center"/>
          </w:tcPr>
          <w:p w14:paraId="6452B9B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1.757 </w:t>
            </w:r>
          </w:p>
        </w:tc>
        <w:tc>
          <w:tcPr>
            <w:tcW w:w="735" w:type="pct"/>
            <w:tcBorders>
              <w:top w:val="nil"/>
              <w:left w:val="nil"/>
              <w:bottom w:val="single" w:color="auto" w:sz="4" w:space="0"/>
              <w:right w:val="single" w:color="auto" w:sz="4" w:space="0"/>
            </w:tcBorders>
            <w:shd w:val="clear" w:color="auto" w:fill="auto"/>
            <w:noWrap/>
            <w:vAlign w:val="center"/>
          </w:tcPr>
          <w:p w14:paraId="4245BB3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8.734 </w:t>
            </w:r>
          </w:p>
        </w:tc>
        <w:tc>
          <w:tcPr>
            <w:tcW w:w="735" w:type="pct"/>
            <w:tcBorders>
              <w:top w:val="nil"/>
              <w:left w:val="nil"/>
              <w:bottom w:val="single" w:color="auto" w:sz="4" w:space="0"/>
              <w:right w:val="single" w:color="auto" w:sz="4" w:space="0"/>
            </w:tcBorders>
            <w:shd w:val="clear" w:color="auto" w:fill="auto"/>
            <w:noWrap/>
            <w:vAlign w:val="center"/>
          </w:tcPr>
          <w:p w14:paraId="66EBEB01">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13.519 </w:t>
            </w:r>
          </w:p>
        </w:tc>
        <w:tc>
          <w:tcPr>
            <w:tcW w:w="735" w:type="pct"/>
            <w:tcBorders>
              <w:top w:val="nil"/>
              <w:left w:val="nil"/>
              <w:bottom w:val="single" w:color="auto" w:sz="4" w:space="0"/>
              <w:right w:val="single" w:color="auto" w:sz="4" w:space="0"/>
            </w:tcBorders>
            <w:vAlign w:val="center"/>
          </w:tcPr>
          <w:p w14:paraId="4852D58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22.753 </w:t>
            </w:r>
          </w:p>
        </w:tc>
      </w:tr>
      <w:tr w14:paraId="2C4C77A4">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2909031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6574930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0.279 </w:t>
            </w:r>
          </w:p>
        </w:tc>
        <w:tc>
          <w:tcPr>
            <w:tcW w:w="735" w:type="pct"/>
            <w:tcBorders>
              <w:top w:val="nil"/>
              <w:left w:val="nil"/>
              <w:bottom w:val="single" w:color="auto" w:sz="4" w:space="0"/>
              <w:right w:val="single" w:color="auto" w:sz="4" w:space="0"/>
            </w:tcBorders>
            <w:shd w:val="clear" w:color="auto" w:fill="auto"/>
            <w:noWrap/>
            <w:vAlign w:val="center"/>
          </w:tcPr>
          <w:p w14:paraId="632F5F0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1.693 </w:t>
            </w:r>
          </w:p>
        </w:tc>
        <w:tc>
          <w:tcPr>
            <w:tcW w:w="735" w:type="pct"/>
            <w:tcBorders>
              <w:top w:val="nil"/>
              <w:left w:val="nil"/>
              <w:bottom w:val="single" w:color="auto" w:sz="4" w:space="0"/>
              <w:right w:val="single" w:color="auto" w:sz="4" w:space="0"/>
            </w:tcBorders>
            <w:shd w:val="clear" w:color="auto" w:fill="auto"/>
            <w:noWrap/>
            <w:vAlign w:val="center"/>
          </w:tcPr>
          <w:p w14:paraId="5C95246B">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8.781 </w:t>
            </w:r>
          </w:p>
        </w:tc>
        <w:tc>
          <w:tcPr>
            <w:tcW w:w="735" w:type="pct"/>
            <w:tcBorders>
              <w:top w:val="nil"/>
              <w:left w:val="nil"/>
              <w:bottom w:val="single" w:color="auto" w:sz="4" w:space="0"/>
              <w:right w:val="single" w:color="auto" w:sz="4" w:space="0"/>
            </w:tcBorders>
            <w:shd w:val="clear" w:color="auto" w:fill="auto"/>
            <w:noWrap/>
            <w:vAlign w:val="center"/>
          </w:tcPr>
          <w:p w14:paraId="6941B049">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13.386 </w:t>
            </w:r>
          </w:p>
        </w:tc>
        <w:tc>
          <w:tcPr>
            <w:tcW w:w="735" w:type="pct"/>
            <w:tcBorders>
              <w:top w:val="nil"/>
              <w:left w:val="nil"/>
              <w:bottom w:val="single" w:color="auto" w:sz="4" w:space="0"/>
              <w:right w:val="single" w:color="auto" w:sz="4" w:space="0"/>
            </w:tcBorders>
            <w:vAlign w:val="center"/>
          </w:tcPr>
          <w:p w14:paraId="743F5D6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22.646 </w:t>
            </w:r>
          </w:p>
        </w:tc>
      </w:tr>
      <w:tr w14:paraId="4D2D494A">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734269F9">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2A022BA0">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0.285 </w:t>
            </w:r>
          </w:p>
        </w:tc>
        <w:tc>
          <w:tcPr>
            <w:tcW w:w="735" w:type="pct"/>
            <w:tcBorders>
              <w:top w:val="nil"/>
              <w:left w:val="nil"/>
              <w:bottom w:val="single" w:color="auto" w:sz="4" w:space="0"/>
              <w:right w:val="single" w:color="auto" w:sz="4" w:space="0"/>
            </w:tcBorders>
            <w:shd w:val="clear" w:color="auto" w:fill="auto"/>
            <w:noWrap/>
            <w:vAlign w:val="center"/>
          </w:tcPr>
          <w:p w14:paraId="7517A12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1.730 </w:t>
            </w:r>
          </w:p>
        </w:tc>
        <w:tc>
          <w:tcPr>
            <w:tcW w:w="735" w:type="pct"/>
            <w:tcBorders>
              <w:top w:val="nil"/>
              <w:left w:val="nil"/>
              <w:bottom w:val="single" w:color="auto" w:sz="4" w:space="0"/>
              <w:right w:val="single" w:color="auto" w:sz="4" w:space="0"/>
            </w:tcBorders>
            <w:shd w:val="clear" w:color="auto" w:fill="auto"/>
            <w:noWrap/>
            <w:vAlign w:val="center"/>
          </w:tcPr>
          <w:p w14:paraId="3C0D51BF">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8.660 </w:t>
            </w:r>
          </w:p>
        </w:tc>
        <w:tc>
          <w:tcPr>
            <w:tcW w:w="735" w:type="pct"/>
            <w:tcBorders>
              <w:top w:val="nil"/>
              <w:left w:val="nil"/>
              <w:bottom w:val="single" w:color="auto" w:sz="4" w:space="0"/>
              <w:right w:val="single" w:color="auto" w:sz="4" w:space="0"/>
            </w:tcBorders>
            <w:shd w:val="clear" w:color="auto" w:fill="auto"/>
            <w:noWrap/>
            <w:vAlign w:val="center"/>
          </w:tcPr>
          <w:p w14:paraId="12D0B50B">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13.386 </w:t>
            </w:r>
          </w:p>
        </w:tc>
        <w:tc>
          <w:tcPr>
            <w:tcW w:w="735" w:type="pct"/>
            <w:tcBorders>
              <w:top w:val="nil"/>
              <w:left w:val="nil"/>
              <w:bottom w:val="single" w:color="auto" w:sz="4" w:space="0"/>
              <w:right w:val="single" w:color="auto" w:sz="4" w:space="0"/>
            </w:tcBorders>
            <w:vAlign w:val="center"/>
          </w:tcPr>
          <w:p w14:paraId="6667090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22.625 </w:t>
            </w:r>
          </w:p>
        </w:tc>
      </w:tr>
      <w:tr w14:paraId="44376B91">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415C735E">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59A9FBAF">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0.288 </w:t>
            </w:r>
          </w:p>
        </w:tc>
        <w:tc>
          <w:tcPr>
            <w:tcW w:w="735" w:type="pct"/>
            <w:tcBorders>
              <w:top w:val="nil"/>
              <w:left w:val="nil"/>
              <w:bottom w:val="single" w:color="auto" w:sz="4" w:space="0"/>
              <w:right w:val="single" w:color="auto" w:sz="4" w:space="0"/>
            </w:tcBorders>
            <w:shd w:val="clear" w:color="auto" w:fill="auto"/>
            <w:noWrap/>
            <w:vAlign w:val="center"/>
          </w:tcPr>
          <w:p w14:paraId="3D10880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1.719 </w:t>
            </w:r>
          </w:p>
        </w:tc>
        <w:tc>
          <w:tcPr>
            <w:tcW w:w="735" w:type="pct"/>
            <w:tcBorders>
              <w:top w:val="nil"/>
              <w:left w:val="nil"/>
              <w:bottom w:val="single" w:color="auto" w:sz="4" w:space="0"/>
              <w:right w:val="single" w:color="auto" w:sz="4" w:space="0"/>
            </w:tcBorders>
            <w:shd w:val="clear" w:color="auto" w:fill="auto"/>
            <w:noWrap/>
            <w:vAlign w:val="center"/>
          </w:tcPr>
          <w:p w14:paraId="3A675A7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8.628 </w:t>
            </w:r>
          </w:p>
        </w:tc>
        <w:tc>
          <w:tcPr>
            <w:tcW w:w="735" w:type="pct"/>
            <w:tcBorders>
              <w:top w:val="nil"/>
              <w:left w:val="nil"/>
              <w:bottom w:val="single" w:color="auto" w:sz="4" w:space="0"/>
              <w:right w:val="single" w:color="auto" w:sz="4" w:space="0"/>
            </w:tcBorders>
            <w:shd w:val="clear" w:color="auto" w:fill="auto"/>
            <w:noWrap/>
            <w:vAlign w:val="center"/>
          </w:tcPr>
          <w:p w14:paraId="09CEECEF">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13.207 </w:t>
            </w:r>
          </w:p>
        </w:tc>
        <w:tc>
          <w:tcPr>
            <w:tcW w:w="735" w:type="pct"/>
            <w:tcBorders>
              <w:top w:val="nil"/>
              <w:left w:val="nil"/>
              <w:bottom w:val="single" w:color="auto" w:sz="4" w:space="0"/>
              <w:right w:val="single" w:color="auto" w:sz="4" w:space="0"/>
            </w:tcBorders>
            <w:vAlign w:val="center"/>
          </w:tcPr>
          <w:p w14:paraId="41C6D0B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22.646 </w:t>
            </w:r>
          </w:p>
        </w:tc>
      </w:tr>
      <w:tr w14:paraId="6395C8FD">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1FFAD325">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0F24FAB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0.284 </w:t>
            </w:r>
          </w:p>
        </w:tc>
        <w:tc>
          <w:tcPr>
            <w:tcW w:w="735" w:type="pct"/>
            <w:tcBorders>
              <w:top w:val="nil"/>
              <w:left w:val="nil"/>
              <w:bottom w:val="single" w:color="auto" w:sz="4" w:space="0"/>
              <w:right w:val="single" w:color="auto" w:sz="4" w:space="0"/>
            </w:tcBorders>
            <w:shd w:val="clear" w:color="auto" w:fill="auto"/>
            <w:noWrap/>
            <w:vAlign w:val="center"/>
          </w:tcPr>
          <w:p w14:paraId="336A767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1.735 </w:t>
            </w:r>
          </w:p>
        </w:tc>
        <w:tc>
          <w:tcPr>
            <w:tcW w:w="735" w:type="pct"/>
            <w:tcBorders>
              <w:top w:val="nil"/>
              <w:left w:val="nil"/>
              <w:bottom w:val="single" w:color="auto" w:sz="4" w:space="0"/>
              <w:right w:val="single" w:color="auto" w:sz="4" w:space="0"/>
            </w:tcBorders>
            <w:shd w:val="clear" w:color="auto" w:fill="auto"/>
            <w:noWrap/>
            <w:vAlign w:val="center"/>
          </w:tcPr>
          <w:p w14:paraId="206655B1">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8.734 </w:t>
            </w:r>
          </w:p>
        </w:tc>
        <w:tc>
          <w:tcPr>
            <w:tcW w:w="735" w:type="pct"/>
            <w:tcBorders>
              <w:top w:val="nil"/>
              <w:left w:val="nil"/>
              <w:bottom w:val="single" w:color="auto" w:sz="4" w:space="0"/>
              <w:right w:val="single" w:color="auto" w:sz="4" w:space="0"/>
            </w:tcBorders>
            <w:shd w:val="clear" w:color="auto" w:fill="auto"/>
            <w:noWrap/>
            <w:vAlign w:val="center"/>
          </w:tcPr>
          <w:p w14:paraId="7BB4C71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13.441 </w:t>
            </w:r>
          </w:p>
        </w:tc>
        <w:tc>
          <w:tcPr>
            <w:tcW w:w="735" w:type="pct"/>
            <w:tcBorders>
              <w:top w:val="nil"/>
              <w:left w:val="nil"/>
              <w:bottom w:val="single" w:color="auto" w:sz="4" w:space="0"/>
              <w:right w:val="single" w:color="auto" w:sz="4" w:space="0"/>
            </w:tcBorders>
            <w:vAlign w:val="center"/>
          </w:tcPr>
          <w:p w14:paraId="6D9EFEC5">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22.743 </w:t>
            </w:r>
          </w:p>
        </w:tc>
      </w:tr>
      <w:tr w14:paraId="1693B7E7">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2EA47EEA">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2F05EA39">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0.286 </w:t>
            </w:r>
          </w:p>
        </w:tc>
        <w:tc>
          <w:tcPr>
            <w:tcW w:w="735" w:type="pct"/>
            <w:tcBorders>
              <w:top w:val="nil"/>
              <w:left w:val="nil"/>
              <w:bottom w:val="single" w:color="auto" w:sz="4" w:space="0"/>
              <w:right w:val="single" w:color="auto" w:sz="4" w:space="0"/>
            </w:tcBorders>
            <w:shd w:val="clear" w:color="auto" w:fill="auto"/>
            <w:noWrap/>
            <w:vAlign w:val="center"/>
          </w:tcPr>
          <w:p w14:paraId="54F9E2C5">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1.759 </w:t>
            </w:r>
          </w:p>
        </w:tc>
        <w:tc>
          <w:tcPr>
            <w:tcW w:w="735" w:type="pct"/>
            <w:tcBorders>
              <w:top w:val="nil"/>
              <w:left w:val="nil"/>
              <w:bottom w:val="single" w:color="auto" w:sz="4" w:space="0"/>
              <w:right w:val="single" w:color="auto" w:sz="4" w:space="0"/>
            </w:tcBorders>
            <w:shd w:val="clear" w:color="auto" w:fill="auto"/>
            <w:noWrap/>
            <w:vAlign w:val="center"/>
          </w:tcPr>
          <w:p w14:paraId="49B33ED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8.660 </w:t>
            </w:r>
          </w:p>
        </w:tc>
        <w:tc>
          <w:tcPr>
            <w:tcW w:w="735" w:type="pct"/>
            <w:tcBorders>
              <w:top w:val="nil"/>
              <w:left w:val="nil"/>
              <w:bottom w:val="single" w:color="auto" w:sz="4" w:space="0"/>
              <w:right w:val="single" w:color="auto" w:sz="4" w:space="0"/>
            </w:tcBorders>
            <w:shd w:val="clear" w:color="auto" w:fill="auto"/>
            <w:noWrap/>
            <w:vAlign w:val="center"/>
          </w:tcPr>
          <w:p w14:paraId="25A17B60">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13.386 </w:t>
            </w:r>
          </w:p>
        </w:tc>
        <w:tc>
          <w:tcPr>
            <w:tcW w:w="735" w:type="pct"/>
            <w:tcBorders>
              <w:top w:val="nil"/>
              <w:left w:val="nil"/>
              <w:bottom w:val="single" w:color="auto" w:sz="4" w:space="0"/>
              <w:right w:val="single" w:color="auto" w:sz="4" w:space="0"/>
            </w:tcBorders>
            <w:vAlign w:val="center"/>
          </w:tcPr>
          <w:p w14:paraId="1E186DFB">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22.674 </w:t>
            </w:r>
          </w:p>
        </w:tc>
      </w:tr>
      <w:tr w14:paraId="17346809">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6BD8C1FF">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26EDFDA1">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0.280 </w:t>
            </w:r>
          </w:p>
        </w:tc>
        <w:tc>
          <w:tcPr>
            <w:tcW w:w="735" w:type="pct"/>
            <w:tcBorders>
              <w:top w:val="nil"/>
              <w:left w:val="nil"/>
              <w:bottom w:val="single" w:color="auto" w:sz="4" w:space="0"/>
              <w:right w:val="single" w:color="auto" w:sz="4" w:space="0"/>
            </w:tcBorders>
            <w:shd w:val="clear" w:color="auto" w:fill="auto"/>
            <w:noWrap/>
            <w:vAlign w:val="center"/>
          </w:tcPr>
          <w:p w14:paraId="75C9805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1.749 </w:t>
            </w:r>
          </w:p>
        </w:tc>
        <w:tc>
          <w:tcPr>
            <w:tcW w:w="735" w:type="pct"/>
            <w:tcBorders>
              <w:top w:val="nil"/>
              <w:left w:val="nil"/>
              <w:bottom w:val="single" w:color="auto" w:sz="4" w:space="0"/>
              <w:right w:val="single" w:color="auto" w:sz="4" w:space="0"/>
            </w:tcBorders>
            <w:shd w:val="clear" w:color="auto" w:fill="auto"/>
            <w:noWrap/>
            <w:vAlign w:val="center"/>
          </w:tcPr>
          <w:p w14:paraId="5B4BEF46">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8.602 </w:t>
            </w:r>
          </w:p>
        </w:tc>
        <w:tc>
          <w:tcPr>
            <w:tcW w:w="735" w:type="pct"/>
            <w:tcBorders>
              <w:top w:val="nil"/>
              <w:left w:val="nil"/>
              <w:bottom w:val="single" w:color="auto" w:sz="4" w:space="0"/>
              <w:right w:val="single" w:color="auto" w:sz="4" w:space="0"/>
            </w:tcBorders>
            <w:shd w:val="clear" w:color="auto" w:fill="auto"/>
            <w:noWrap/>
            <w:vAlign w:val="center"/>
          </w:tcPr>
          <w:p w14:paraId="085213C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13.419 </w:t>
            </w:r>
          </w:p>
        </w:tc>
        <w:tc>
          <w:tcPr>
            <w:tcW w:w="735" w:type="pct"/>
            <w:tcBorders>
              <w:top w:val="nil"/>
              <w:left w:val="nil"/>
              <w:bottom w:val="single" w:color="auto" w:sz="4" w:space="0"/>
              <w:right w:val="single" w:color="auto" w:sz="4" w:space="0"/>
            </w:tcBorders>
            <w:vAlign w:val="center"/>
          </w:tcPr>
          <w:p w14:paraId="7DE46905">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22.717 </w:t>
            </w:r>
          </w:p>
        </w:tc>
      </w:tr>
      <w:tr w14:paraId="09635EE3">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3B83FFA9">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7F88E51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0.289 </w:t>
            </w:r>
          </w:p>
        </w:tc>
        <w:tc>
          <w:tcPr>
            <w:tcW w:w="735" w:type="pct"/>
            <w:tcBorders>
              <w:top w:val="nil"/>
              <w:left w:val="nil"/>
              <w:bottom w:val="single" w:color="auto" w:sz="4" w:space="0"/>
              <w:right w:val="single" w:color="auto" w:sz="4" w:space="0"/>
            </w:tcBorders>
            <w:shd w:val="clear" w:color="auto" w:fill="auto"/>
            <w:noWrap/>
            <w:vAlign w:val="center"/>
          </w:tcPr>
          <w:p w14:paraId="42FAF67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1.741 </w:t>
            </w:r>
          </w:p>
        </w:tc>
        <w:tc>
          <w:tcPr>
            <w:tcW w:w="735" w:type="pct"/>
            <w:tcBorders>
              <w:top w:val="nil"/>
              <w:left w:val="nil"/>
              <w:bottom w:val="single" w:color="auto" w:sz="4" w:space="0"/>
              <w:right w:val="single" w:color="auto" w:sz="4" w:space="0"/>
            </w:tcBorders>
            <w:shd w:val="clear" w:color="auto" w:fill="auto"/>
            <w:noWrap/>
            <w:vAlign w:val="center"/>
          </w:tcPr>
          <w:p w14:paraId="78CA570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8.544 </w:t>
            </w:r>
          </w:p>
        </w:tc>
        <w:tc>
          <w:tcPr>
            <w:tcW w:w="735" w:type="pct"/>
            <w:tcBorders>
              <w:top w:val="nil"/>
              <w:left w:val="nil"/>
              <w:bottom w:val="single" w:color="auto" w:sz="4" w:space="0"/>
              <w:right w:val="single" w:color="auto" w:sz="4" w:space="0"/>
            </w:tcBorders>
            <w:shd w:val="clear" w:color="auto" w:fill="auto"/>
            <w:noWrap/>
            <w:vAlign w:val="center"/>
          </w:tcPr>
          <w:p w14:paraId="6082202A">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13.285 </w:t>
            </w:r>
          </w:p>
        </w:tc>
        <w:tc>
          <w:tcPr>
            <w:tcW w:w="735" w:type="pct"/>
            <w:tcBorders>
              <w:top w:val="nil"/>
              <w:left w:val="nil"/>
              <w:bottom w:val="single" w:color="auto" w:sz="4" w:space="0"/>
              <w:right w:val="single" w:color="auto" w:sz="4" w:space="0"/>
            </w:tcBorders>
            <w:vAlign w:val="center"/>
          </w:tcPr>
          <w:p w14:paraId="60ECE4D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22.706 </w:t>
            </w:r>
          </w:p>
        </w:tc>
      </w:tr>
      <w:tr w14:paraId="675C0BEC">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4F29B5AE">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1F232A52">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0.287 </w:t>
            </w:r>
          </w:p>
        </w:tc>
        <w:tc>
          <w:tcPr>
            <w:tcW w:w="735" w:type="pct"/>
            <w:tcBorders>
              <w:top w:val="nil"/>
              <w:left w:val="nil"/>
              <w:bottom w:val="single" w:color="auto" w:sz="4" w:space="0"/>
              <w:right w:val="single" w:color="auto" w:sz="4" w:space="0"/>
            </w:tcBorders>
            <w:shd w:val="clear" w:color="auto" w:fill="auto"/>
            <w:noWrap/>
            <w:vAlign w:val="center"/>
          </w:tcPr>
          <w:p w14:paraId="35F232BB">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1.762 </w:t>
            </w:r>
          </w:p>
        </w:tc>
        <w:tc>
          <w:tcPr>
            <w:tcW w:w="735" w:type="pct"/>
            <w:tcBorders>
              <w:top w:val="nil"/>
              <w:left w:val="nil"/>
              <w:bottom w:val="single" w:color="auto" w:sz="4" w:space="0"/>
              <w:right w:val="single" w:color="auto" w:sz="4" w:space="0"/>
            </w:tcBorders>
            <w:shd w:val="clear" w:color="auto" w:fill="auto"/>
            <w:noWrap/>
            <w:vAlign w:val="center"/>
          </w:tcPr>
          <w:p w14:paraId="3F823C2B">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8.739 </w:t>
            </w:r>
          </w:p>
        </w:tc>
        <w:tc>
          <w:tcPr>
            <w:tcW w:w="735" w:type="pct"/>
            <w:tcBorders>
              <w:top w:val="nil"/>
              <w:left w:val="nil"/>
              <w:bottom w:val="single" w:color="auto" w:sz="4" w:space="0"/>
              <w:right w:val="single" w:color="auto" w:sz="4" w:space="0"/>
            </w:tcBorders>
            <w:shd w:val="clear" w:color="auto" w:fill="auto"/>
            <w:noWrap/>
            <w:vAlign w:val="center"/>
          </w:tcPr>
          <w:p w14:paraId="1BA1029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13.419 </w:t>
            </w:r>
          </w:p>
        </w:tc>
        <w:tc>
          <w:tcPr>
            <w:tcW w:w="735" w:type="pct"/>
            <w:tcBorders>
              <w:top w:val="nil"/>
              <w:left w:val="nil"/>
              <w:bottom w:val="single" w:color="auto" w:sz="4" w:space="0"/>
              <w:right w:val="single" w:color="auto" w:sz="4" w:space="0"/>
            </w:tcBorders>
            <w:vAlign w:val="center"/>
          </w:tcPr>
          <w:p w14:paraId="2DF6DA95">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22.609 </w:t>
            </w:r>
          </w:p>
        </w:tc>
      </w:tr>
      <w:tr w14:paraId="42CFD119">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7C7DDFF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02A2932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0.284 </w:t>
            </w:r>
          </w:p>
        </w:tc>
        <w:tc>
          <w:tcPr>
            <w:tcW w:w="735" w:type="pct"/>
            <w:tcBorders>
              <w:top w:val="nil"/>
              <w:left w:val="nil"/>
              <w:bottom w:val="single" w:color="auto" w:sz="4" w:space="0"/>
              <w:right w:val="single" w:color="auto" w:sz="4" w:space="0"/>
            </w:tcBorders>
            <w:shd w:val="clear" w:color="auto" w:fill="auto"/>
            <w:noWrap/>
            <w:vAlign w:val="center"/>
          </w:tcPr>
          <w:p w14:paraId="27F1ECB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1.746 </w:t>
            </w:r>
          </w:p>
        </w:tc>
        <w:tc>
          <w:tcPr>
            <w:tcW w:w="735" w:type="pct"/>
            <w:tcBorders>
              <w:top w:val="nil"/>
              <w:left w:val="nil"/>
              <w:bottom w:val="single" w:color="auto" w:sz="4" w:space="0"/>
              <w:right w:val="single" w:color="auto" w:sz="4" w:space="0"/>
            </w:tcBorders>
            <w:shd w:val="clear" w:color="auto" w:fill="auto"/>
            <w:noWrap/>
            <w:vAlign w:val="center"/>
          </w:tcPr>
          <w:p w14:paraId="3C8CC6E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8.670 </w:t>
            </w:r>
          </w:p>
        </w:tc>
        <w:tc>
          <w:tcPr>
            <w:tcW w:w="735" w:type="pct"/>
            <w:tcBorders>
              <w:top w:val="nil"/>
              <w:left w:val="nil"/>
              <w:bottom w:val="single" w:color="auto" w:sz="4" w:space="0"/>
              <w:right w:val="single" w:color="auto" w:sz="4" w:space="0"/>
            </w:tcBorders>
            <w:shd w:val="clear" w:color="auto" w:fill="auto"/>
            <w:noWrap/>
            <w:vAlign w:val="center"/>
          </w:tcPr>
          <w:p w14:paraId="7132655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13.452 </w:t>
            </w:r>
          </w:p>
        </w:tc>
        <w:tc>
          <w:tcPr>
            <w:tcW w:w="735" w:type="pct"/>
            <w:tcBorders>
              <w:top w:val="nil"/>
              <w:left w:val="nil"/>
              <w:bottom w:val="single" w:color="auto" w:sz="4" w:space="0"/>
              <w:right w:val="single" w:color="auto" w:sz="4" w:space="0"/>
            </w:tcBorders>
            <w:vAlign w:val="center"/>
          </w:tcPr>
          <w:p w14:paraId="550077BB">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22.663 </w:t>
            </w:r>
          </w:p>
        </w:tc>
      </w:tr>
      <w:tr w14:paraId="5B52D469">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0949D0BB">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center"/>
          </w:tcPr>
          <w:p w14:paraId="76A3FB0C">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0.279 </w:t>
            </w:r>
          </w:p>
        </w:tc>
        <w:tc>
          <w:tcPr>
            <w:tcW w:w="735" w:type="pct"/>
            <w:tcBorders>
              <w:top w:val="nil"/>
              <w:left w:val="nil"/>
              <w:bottom w:val="single" w:color="auto" w:sz="4" w:space="0"/>
              <w:right w:val="single" w:color="auto" w:sz="4" w:space="0"/>
            </w:tcBorders>
            <w:shd w:val="clear" w:color="auto" w:fill="auto"/>
            <w:noWrap/>
            <w:vAlign w:val="center"/>
          </w:tcPr>
          <w:p w14:paraId="5E90A0E4">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1.693 </w:t>
            </w:r>
          </w:p>
        </w:tc>
        <w:tc>
          <w:tcPr>
            <w:tcW w:w="735" w:type="pct"/>
            <w:tcBorders>
              <w:top w:val="nil"/>
              <w:left w:val="nil"/>
              <w:bottom w:val="single" w:color="auto" w:sz="4" w:space="0"/>
              <w:right w:val="single" w:color="auto" w:sz="4" w:space="0"/>
            </w:tcBorders>
            <w:shd w:val="clear" w:color="auto" w:fill="auto"/>
            <w:noWrap/>
            <w:vAlign w:val="center"/>
          </w:tcPr>
          <w:p w14:paraId="4EFA0377">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8.734 </w:t>
            </w:r>
          </w:p>
        </w:tc>
        <w:tc>
          <w:tcPr>
            <w:tcW w:w="735" w:type="pct"/>
            <w:tcBorders>
              <w:top w:val="nil"/>
              <w:left w:val="nil"/>
              <w:bottom w:val="single" w:color="auto" w:sz="4" w:space="0"/>
              <w:right w:val="single" w:color="auto" w:sz="4" w:space="0"/>
            </w:tcBorders>
            <w:shd w:val="clear" w:color="auto" w:fill="auto"/>
            <w:noWrap/>
            <w:vAlign w:val="center"/>
          </w:tcPr>
          <w:p w14:paraId="5F27BC93">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13.486 </w:t>
            </w:r>
          </w:p>
        </w:tc>
        <w:tc>
          <w:tcPr>
            <w:tcW w:w="735" w:type="pct"/>
            <w:tcBorders>
              <w:top w:val="nil"/>
              <w:left w:val="nil"/>
              <w:bottom w:val="single" w:color="auto" w:sz="4" w:space="0"/>
              <w:right w:val="single" w:color="auto" w:sz="4" w:space="0"/>
            </w:tcBorders>
            <w:vAlign w:val="center"/>
          </w:tcPr>
          <w:p w14:paraId="39A67A28">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22.678 </w:t>
            </w:r>
          </w:p>
        </w:tc>
      </w:tr>
      <w:tr w14:paraId="6E144C23">
        <w:tblPrEx>
          <w:tblCellMar>
            <w:top w:w="0" w:type="dxa"/>
            <w:left w:w="108" w:type="dxa"/>
            <w:bottom w:w="0" w:type="dxa"/>
            <w:right w:w="108" w:type="dxa"/>
          </w:tblCellMar>
        </w:tblPrEx>
        <w:trPr>
          <w:trHeight w:val="312" w:hRule="exact"/>
          <w:jc w:val="center"/>
        </w:trPr>
        <w:tc>
          <w:tcPr>
            <w:tcW w:w="1324" w:type="pct"/>
            <w:vMerge w:val="restart"/>
            <w:tcBorders>
              <w:top w:val="nil"/>
              <w:left w:val="single" w:color="auto" w:sz="4" w:space="0"/>
              <w:bottom w:val="single" w:color="auto" w:sz="4" w:space="0"/>
              <w:right w:val="single" w:color="auto" w:sz="4" w:space="0"/>
            </w:tcBorders>
            <w:shd w:val="clear" w:color="auto" w:fill="auto"/>
            <w:noWrap/>
            <w:vAlign w:val="center"/>
          </w:tcPr>
          <w:p w14:paraId="6AA748BD">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包头稀土新材料技术研发中心</w:t>
            </w:r>
          </w:p>
        </w:tc>
        <w:tc>
          <w:tcPr>
            <w:tcW w:w="735" w:type="pct"/>
            <w:tcBorders>
              <w:top w:val="nil"/>
              <w:left w:val="nil"/>
              <w:bottom w:val="single" w:color="auto" w:sz="4" w:space="0"/>
              <w:right w:val="single" w:color="auto" w:sz="4" w:space="0"/>
            </w:tcBorders>
            <w:shd w:val="clear" w:color="auto" w:fill="auto"/>
            <w:noWrap/>
            <w:vAlign w:val="bottom"/>
          </w:tcPr>
          <w:p w14:paraId="3739C18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0.270 </w:t>
            </w:r>
          </w:p>
        </w:tc>
        <w:tc>
          <w:tcPr>
            <w:tcW w:w="735" w:type="pct"/>
            <w:tcBorders>
              <w:top w:val="nil"/>
              <w:left w:val="nil"/>
              <w:bottom w:val="single" w:color="auto" w:sz="4" w:space="0"/>
              <w:right w:val="single" w:color="auto" w:sz="4" w:space="0"/>
            </w:tcBorders>
            <w:shd w:val="clear" w:color="auto" w:fill="auto"/>
            <w:noWrap/>
            <w:vAlign w:val="bottom"/>
          </w:tcPr>
          <w:p w14:paraId="25591DA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1.743 </w:t>
            </w:r>
          </w:p>
        </w:tc>
        <w:tc>
          <w:tcPr>
            <w:tcW w:w="735" w:type="pct"/>
            <w:tcBorders>
              <w:top w:val="nil"/>
              <w:left w:val="nil"/>
              <w:bottom w:val="single" w:color="auto" w:sz="4" w:space="0"/>
              <w:right w:val="single" w:color="auto" w:sz="4" w:space="0"/>
            </w:tcBorders>
            <w:shd w:val="clear" w:color="auto" w:fill="auto"/>
            <w:noWrap/>
            <w:vAlign w:val="bottom"/>
          </w:tcPr>
          <w:p w14:paraId="5A1F184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8.798 </w:t>
            </w:r>
          </w:p>
        </w:tc>
        <w:tc>
          <w:tcPr>
            <w:tcW w:w="735" w:type="pct"/>
            <w:tcBorders>
              <w:top w:val="nil"/>
              <w:left w:val="nil"/>
              <w:bottom w:val="single" w:color="auto" w:sz="4" w:space="0"/>
              <w:right w:val="single" w:color="auto" w:sz="4" w:space="0"/>
            </w:tcBorders>
            <w:shd w:val="clear" w:color="auto" w:fill="auto"/>
            <w:noWrap/>
            <w:vAlign w:val="bottom"/>
          </w:tcPr>
          <w:p w14:paraId="5AA32FE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13.327 </w:t>
            </w:r>
          </w:p>
        </w:tc>
        <w:tc>
          <w:tcPr>
            <w:tcW w:w="735" w:type="pct"/>
            <w:tcBorders>
              <w:top w:val="nil"/>
              <w:left w:val="nil"/>
              <w:bottom w:val="single" w:color="auto" w:sz="4" w:space="0"/>
              <w:right w:val="single" w:color="auto" w:sz="4" w:space="0"/>
            </w:tcBorders>
            <w:vAlign w:val="bottom"/>
          </w:tcPr>
          <w:p w14:paraId="0FDCB47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22.839 </w:t>
            </w:r>
          </w:p>
        </w:tc>
      </w:tr>
      <w:tr w14:paraId="4CCD1C17">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27E0E719">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1E1C71A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0.274 </w:t>
            </w:r>
          </w:p>
        </w:tc>
        <w:tc>
          <w:tcPr>
            <w:tcW w:w="735" w:type="pct"/>
            <w:tcBorders>
              <w:top w:val="nil"/>
              <w:left w:val="nil"/>
              <w:bottom w:val="single" w:color="auto" w:sz="4" w:space="0"/>
              <w:right w:val="single" w:color="auto" w:sz="4" w:space="0"/>
            </w:tcBorders>
            <w:shd w:val="clear" w:color="auto" w:fill="auto"/>
            <w:noWrap/>
            <w:vAlign w:val="bottom"/>
          </w:tcPr>
          <w:p w14:paraId="7EBF0AF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1.767 </w:t>
            </w:r>
          </w:p>
        </w:tc>
        <w:tc>
          <w:tcPr>
            <w:tcW w:w="735" w:type="pct"/>
            <w:tcBorders>
              <w:top w:val="nil"/>
              <w:left w:val="nil"/>
              <w:bottom w:val="single" w:color="auto" w:sz="4" w:space="0"/>
              <w:right w:val="single" w:color="auto" w:sz="4" w:space="0"/>
            </w:tcBorders>
            <w:shd w:val="clear" w:color="auto" w:fill="auto"/>
            <w:noWrap/>
            <w:vAlign w:val="bottom"/>
          </w:tcPr>
          <w:p w14:paraId="543299A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8.837 </w:t>
            </w:r>
          </w:p>
        </w:tc>
        <w:tc>
          <w:tcPr>
            <w:tcW w:w="735" w:type="pct"/>
            <w:tcBorders>
              <w:top w:val="nil"/>
              <w:left w:val="nil"/>
              <w:bottom w:val="single" w:color="auto" w:sz="4" w:space="0"/>
              <w:right w:val="single" w:color="auto" w:sz="4" w:space="0"/>
            </w:tcBorders>
            <w:shd w:val="clear" w:color="auto" w:fill="auto"/>
            <w:noWrap/>
            <w:vAlign w:val="bottom"/>
          </w:tcPr>
          <w:p w14:paraId="6B4E7DD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13.227 </w:t>
            </w:r>
          </w:p>
        </w:tc>
        <w:tc>
          <w:tcPr>
            <w:tcW w:w="735" w:type="pct"/>
            <w:tcBorders>
              <w:top w:val="nil"/>
              <w:left w:val="nil"/>
              <w:bottom w:val="single" w:color="auto" w:sz="4" w:space="0"/>
              <w:right w:val="single" w:color="auto" w:sz="4" w:space="0"/>
            </w:tcBorders>
            <w:vAlign w:val="bottom"/>
          </w:tcPr>
          <w:p w14:paraId="47D8ADD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22.861 </w:t>
            </w:r>
          </w:p>
        </w:tc>
      </w:tr>
      <w:tr w14:paraId="1F8377DC">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7263A53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54F227F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0.270 </w:t>
            </w:r>
          </w:p>
        </w:tc>
        <w:tc>
          <w:tcPr>
            <w:tcW w:w="735" w:type="pct"/>
            <w:tcBorders>
              <w:top w:val="nil"/>
              <w:left w:val="nil"/>
              <w:bottom w:val="single" w:color="auto" w:sz="4" w:space="0"/>
              <w:right w:val="single" w:color="auto" w:sz="4" w:space="0"/>
            </w:tcBorders>
            <w:shd w:val="clear" w:color="auto" w:fill="auto"/>
            <w:noWrap/>
            <w:vAlign w:val="bottom"/>
          </w:tcPr>
          <w:p w14:paraId="681D98E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1.717 </w:t>
            </w:r>
          </w:p>
        </w:tc>
        <w:tc>
          <w:tcPr>
            <w:tcW w:w="735" w:type="pct"/>
            <w:tcBorders>
              <w:top w:val="nil"/>
              <w:left w:val="nil"/>
              <w:bottom w:val="single" w:color="auto" w:sz="4" w:space="0"/>
              <w:right w:val="single" w:color="auto" w:sz="4" w:space="0"/>
            </w:tcBorders>
            <w:shd w:val="clear" w:color="auto" w:fill="auto"/>
            <w:noWrap/>
            <w:vAlign w:val="bottom"/>
          </w:tcPr>
          <w:p w14:paraId="536F29E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8.661 </w:t>
            </w:r>
          </w:p>
        </w:tc>
        <w:tc>
          <w:tcPr>
            <w:tcW w:w="735" w:type="pct"/>
            <w:tcBorders>
              <w:top w:val="nil"/>
              <w:left w:val="nil"/>
              <w:bottom w:val="single" w:color="auto" w:sz="4" w:space="0"/>
              <w:right w:val="single" w:color="auto" w:sz="4" w:space="0"/>
            </w:tcBorders>
            <w:shd w:val="clear" w:color="auto" w:fill="auto"/>
            <w:noWrap/>
            <w:vAlign w:val="bottom"/>
          </w:tcPr>
          <w:p w14:paraId="1AF5AE1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13.567 </w:t>
            </w:r>
          </w:p>
        </w:tc>
        <w:tc>
          <w:tcPr>
            <w:tcW w:w="735" w:type="pct"/>
            <w:tcBorders>
              <w:top w:val="nil"/>
              <w:left w:val="nil"/>
              <w:bottom w:val="single" w:color="auto" w:sz="4" w:space="0"/>
              <w:right w:val="single" w:color="auto" w:sz="4" w:space="0"/>
            </w:tcBorders>
            <w:vAlign w:val="bottom"/>
          </w:tcPr>
          <w:p w14:paraId="3E73564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22.841 </w:t>
            </w:r>
          </w:p>
        </w:tc>
      </w:tr>
      <w:tr w14:paraId="66327316">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5547F0D7">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101066F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0.272 </w:t>
            </w:r>
          </w:p>
        </w:tc>
        <w:tc>
          <w:tcPr>
            <w:tcW w:w="735" w:type="pct"/>
            <w:tcBorders>
              <w:top w:val="nil"/>
              <w:left w:val="nil"/>
              <w:bottom w:val="single" w:color="auto" w:sz="4" w:space="0"/>
              <w:right w:val="single" w:color="auto" w:sz="4" w:space="0"/>
            </w:tcBorders>
            <w:shd w:val="clear" w:color="auto" w:fill="auto"/>
            <w:noWrap/>
            <w:vAlign w:val="bottom"/>
          </w:tcPr>
          <w:p w14:paraId="66A1776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1.758 </w:t>
            </w:r>
          </w:p>
        </w:tc>
        <w:tc>
          <w:tcPr>
            <w:tcW w:w="735" w:type="pct"/>
            <w:tcBorders>
              <w:top w:val="nil"/>
              <w:left w:val="nil"/>
              <w:bottom w:val="single" w:color="auto" w:sz="4" w:space="0"/>
              <w:right w:val="single" w:color="auto" w:sz="4" w:space="0"/>
            </w:tcBorders>
            <w:shd w:val="clear" w:color="auto" w:fill="auto"/>
            <w:noWrap/>
            <w:vAlign w:val="bottom"/>
          </w:tcPr>
          <w:p w14:paraId="37B5273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8.709 </w:t>
            </w:r>
          </w:p>
        </w:tc>
        <w:tc>
          <w:tcPr>
            <w:tcW w:w="735" w:type="pct"/>
            <w:tcBorders>
              <w:top w:val="nil"/>
              <w:left w:val="nil"/>
              <w:bottom w:val="single" w:color="auto" w:sz="4" w:space="0"/>
              <w:right w:val="single" w:color="auto" w:sz="4" w:space="0"/>
            </w:tcBorders>
            <w:shd w:val="clear" w:color="auto" w:fill="auto"/>
            <w:noWrap/>
            <w:vAlign w:val="bottom"/>
          </w:tcPr>
          <w:p w14:paraId="40E8FC5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13.487 </w:t>
            </w:r>
          </w:p>
        </w:tc>
        <w:tc>
          <w:tcPr>
            <w:tcW w:w="735" w:type="pct"/>
            <w:tcBorders>
              <w:top w:val="nil"/>
              <w:left w:val="nil"/>
              <w:bottom w:val="single" w:color="auto" w:sz="4" w:space="0"/>
              <w:right w:val="single" w:color="auto" w:sz="4" w:space="0"/>
            </w:tcBorders>
            <w:vAlign w:val="bottom"/>
          </w:tcPr>
          <w:p w14:paraId="02A1F0B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22.622 </w:t>
            </w:r>
          </w:p>
        </w:tc>
      </w:tr>
      <w:tr w14:paraId="4092FBA8">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2EEF509E">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31AB053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0.274 </w:t>
            </w:r>
          </w:p>
        </w:tc>
        <w:tc>
          <w:tcPr>
            <w:tcW w:w="735" w:type="pct"/>
            <w:tcBorders>
              <w:top w:val="nil"/>
              <w:left w:val="nil"/>
              <w:bottom w:val="single" w:color="auto" w:sz="4" w:space="0"/>
              <w:right w:val="single" w:color="auto" w:sz="4" w:space="0"/>
            </w:tcBorders>
            <w:shd w:val="clear" w:color="auto" w:fill="auto"/>
            <w:noWrap/>
            <w:vAlign w:val="bottom"/>
          </w:tcPr>
          <w:p w14:paraId="005571C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1.756 </w:t>
            </w:r>
          </w:p>
        </w:tc>
        <w:tc>
          <w:tcPr>
            <w:tcW w:w="735" w:type="pct"/>
            <w:tcBorders>
              <w:top w:val="nil"/>
              <w:left w:val="nil"/>
              <w:bottom w:val="single" w:color="auto" w:sz="4" w:space="0"/>
              <w:right w:val="single" w:color="auto" w:sz="4" w:space="0"/>
            </w:tcBorders>
            <w:shd w:val="clear" w:color="auto" w:fill="auto"/>
            <w:noWrap/>
            <w:vAlign w:val="bottom"/>
          </w:tcPr>
          <w:p w14:paraId="395DBF0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8.893 </w:t>
            </w:r>
          </w:p>
        </w:tc>
        <w:tc>
          <w:tcPr>
            <w:tcW w:w="735" w:type="pct"/>
            <w:tcBorders>
              <w:top w:val="nil"/>
              <w:left w:val="nil"/>
              <w:bottom w:val="single" w:color="auto" w:sz="4" w:space="0"/>
              <w:right w:val="single" w:color="auto" w:sz="4" w:space="0"/>
            </w:tcBorders>
            <w:shd w:val="clear" w:color="auto" w:fill="auto"/>
            <w:noWrap/>
            <w:vAlign w:val="bottom"/>
          </w:tcPr>
          <w:p w14:paraId="13C725E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13.587 </w:t>
            </w:r>
          </w:p>
        </w:tc>
        <w:tc>
          <w:tcPr>
            <w:tcW w:w="735" w:type="pct"/>
            <w:tcBorders>
              <w:top w:val="nil"/>
              <w:left w:val="nil"/>
              <w:bottom w:val="single" w:color="auto" w:sz="4" w:space="0"/>
              <w:right w:val="single" w:color="auto" w:sz="4" w:space="0"/>
            </w:tcBorders>
            <w:vAlign w:val="bottom"/>
          </w:tcPr>
          <w:p w14:paraId="4D37FD4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22.839 </w:t>
            </w:r>
          </w:p>
        </w:tc>
      </w:tr>
      <w:tr w14:paraId="476E6216">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65AB589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71914D4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0.270 </w:t>
            </w:r>
          </w:p>
        </w:tc>
        <w:tc>
          <w:tcPr>
            <w:tcW w:w="735" w:type="pct"/>
            <w:tcBorders>
              <w:top w:val="nil"/>
              <w:left w:val="nil"/>
              <w:bottom w:val="single" w:color="auto" w:sz="4" w:space="0"/>
              <w:right w:val="single" w:color="auto" w:sz="4" w:space="0"/>
            </w:tcBorders>
            <w:shd w:val="clear" w:color="auto" w:fill="auto"/>
            <w:noWrap/>
            <w:vAlign w:val="bottom"/>
          </w:tcPr>
          <w:p w14:paraId="57DF391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1.757 </w:t>
            </w:r>
          </w:p>
        </w:tc>
        <w:tc>
          <w:tcPr>
            <w:tcW w:w="735" w:type="pct"/>
            <w:tcBorders>
              <w:top w:val="nil"/>
              <w:left w:val="nil"/>
              <w:bottom w:val="single" w:color="auto" w:sz="4" w:space="0"/>
              <w:right w:val="single" w:color="auto" w:sz="4" w:space="0"/>
            </w:tcBorders>
            <w:shd w:val="clear" w:color="auto" w:fill="auto"/>
            <w:noWrap/>
            <w:vAlign w:val="bottom"/>
          </w:tcPr>
          <w:p w14:paraId="5165A4C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8.748 </w:t>
            </w:r>
          </w:p>
        </w:tc>
        <w:tc>
          <w:tcPr>
            <w:tcW w:w="735" w:type="pct"/>
            <w:tcBorders>
              <w:top w:val="nil"/>
              <w:left w:val="nil"/>
              <w:bottom w:val="single" w:color="auto" w:sz="4" w:space="0"/>
              <w:right w:val="single" w:color="auto" w:sz="4" w:space="0"/>
            </w:tcBorders>
            <w:shd w:val="clear" w:color="auto" w:fill="auto"/>
            <w:noWrap/>
            <w:vAlign w:val="bottom"/>
          </w:tcPr>
          <w:p w14:paraId="6C47341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13.387 </w:t>
            </w:r>
          </w:p>
        </w:tc>
        <w:tc>
          <w:tcPr>
            <w:tcW w:w="735" w:type="pct"/>
            <w:tcBorders>
              <w:top w:val="nil"/>
              <w:left w:val="nil"/>
              <w:bottom w:val="single" w:color="auto" w:sz="4" w:space="0"/>
              <w:right w:val="single" w:color="auto" w:sz="4" w:space="0"/>
            </w:tcBorders>
            <w:vAlign w:val="bottom"/>
          </w:tcPr>
          <w:p w14:paraId="00BAA01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22.795 </w:t>
            </w:r>
          </w:p>
        </w:tc>
      </w:tr>
      <w:tr w14:paraId="6ED01C93">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0D35F91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5517A3C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0.270 </w:t>
            </w:r>
          </w:p>
        </w:tc>
        <w:tc>
          <w:tcPr>
            <w:tcW w:w="735" w:type="pct"/>
            <w:tcBorders>
              <w:top w:val="nil"/>
              <w:left w:val="nil"/>
              <w:bottom w:val="single" w:color="auto" w:sz="4" w:space="0"/>
              <w:right w:val="single" w:color="auto" w:sz="4" w:space="0"/>
            </w:tcBorders>
            <w:shd w:val="clear" w:color="auto" w:fill="auto"/>
            <w:noWrap/>
            <w:vAlign w:val="bottom"/>
          </w:tcPr>
          <w:p w14:paraId="08D9B64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1.739 </w:t>
            </w:r>
          </w:p>
        </w:tc>
        <w:tc>
          <w:tcPr>
            <w:tcW w:w="735" w:type="pct"/>
            <w:tcBorders>
              <w:top w:val="nil"/>
              <w:left w:val="nil"/>
              <w:bottom w:val="single" w:color="auto" w:sz="4" w:space="0"/>
              <w:right w:val="single" w:color="auto" w:sz="4" w:space="0"/>
            </w:tcBorders>
            <w:shd w:val="clear" w:color="auto" w:fill="auto"/>
            <w:noWrap/>
            <w:vAlign w:val="bottom"/>
          </w:tcPr>
          <w:p w14:paraId="4057BD0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8.743 </w:t>
            </w:r>
          </w:p>
        </w:tc>
        <w:tc>
          <w:tcPr>
            <w:tcW w:w="735" w:type="pct"/>
            <w:tcBorders>
              <w:top w:val="nil"/>
              <w:left w:val="nil"/>
              <w:bottom w:val="single" w:color="auto" w:sz="4" w:space="0"/>
              <w:right w:val="single" w:color="auto" w:sz="4" w:space="0"/>
            </w:tcBorders>
            <w:shd w:val="clear" w:color="auto" w:fill="auto"/>
            <w:noWrap/>
            <w:vAlign w:val="bottom"/>
          </w:tcPr>
          <w:p w14:paraId="1C8C7BA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13.567 </w:t>
            </w:r>
          </w:p>
        </w:tc>
        <w:tc>
          <w:tcPr>
            <w:tcW w:w="735" w:type="pct"/>
            <w:tcBorders>
              <w:top w:val="nil"/>
              <w:left w:val="nil"/>
              <w:bottom w:val="single" w:color="auto" w:sz="4" w:space="0"/>
              <w:right w:val="single" w:color="auto" w:sz="4" w:space="0"/>
            </w:tcBorders>
            <w:vAlign w:val="bottom"/>
          </w:tcPr>
          <w:p w14:paraId="06EB1DE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22.788 </w:t>
            </w:r>
          </w:p>
        </w:tc>
      </w:tr>
      <w:tr w14:paraId="5C44947F">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09A4FE88">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12347F4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0.274 </w:t>
            </w:r>
          </w:p>
        </w:tc>
        <w:tc>
          <w:tcPr>
            <w:tcW w:w="735" w:type="pct"/>
            <w:tcBorders>
              <w:top w:val="nil"/>
              <w:left w:val="nil"/>
              <w:bottom w:val="single" w:color="auto" w:sz="4" w:space="0"/>
              <w:right w:val="single" w:color="auto" w:sz="4" w:space="0"/>
            </w:tcBorders>
            <w:shd w:val="clear" w:color="auto" w:fill="auto"/>
            <w:noWrap/>
            <w:vAlign w:val="bottom"/>
          </w:tcPr>
          <w:p w14:paraId="68AAF9E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1.718 </w:t>
            </w:r>
          </w:p>
        </w:tc>
        <w:tc>
          <w:tcPr>
            <w:tcW w:w="735" w:type="pct"/>
            <w:tcBorders>
              <w:top w:val="nil"/>
              <w:left w:val="nil"/>
              <w:bottom w:val="single" w:color="auto" w:sz="4" w:space="0"/>
              <w:right w:val="single" w:color="auto" w:sz="4" w:space="0"/>
            </w:tcBorders>
            <w:shd w:val="clear" w:color="auto" w:fill="auto"/>
            <w:noWrap/>
            <w:vAlign w:val="bottom"/>
          </w:tcPr>
          <w:p w14:paraId="12D9597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8.773 </w:t>
            </w:r>
          </w:p>
        </w:tc>
        <w:tc>
          <w:tcPr>
            <w:tcW w:w="735" w:type="pct"/>
            <w:tcBorders>
              <w:top w:val="nil"/>
              <w:left w:val="nil"/>
              <w:bottom w:val="single" w:color="auto" w:sz="4" w:space="0"/>
              <w:right w:val="single" w:color="auto" w:sz="4" w:space="0"/>
            </w:tcBorders>
            <w:shd w:val="clear" w:color="auto" w:fill="auto"/>
            <w:noWrap/>
            <w:vAlign w:val="bottom"/>
          </w:tcPr>
          <w:p w14:paraId="7495877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13.587 </w:t>
            </w:r>
          </w:p>
        </w:tc>
        <w:tc>
          <w:tcPr>
            <w:tcW w:w="735" w:type="pct"/>
            <w:tcBorders>
              <w:top w:val="nil"/>
              <w:left w:val="nil"/>
              <w:bottom w:val="single" w:color="auto" w:sz="4" w:space="0"/>
              <w:right w:val="single" w:color="auto" w:sz="4" w:space="0"/>
            </w:tcBorders>
            <w:vAlign w:val="bottom"/>
          </w:tcPr>
          <w:p w14:paraId="0959549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22.694 </w:t>
            </w:r>
          </w:p>
        </w:tc>
      </w:tr>
      <w:tr w14:paraId="19C36A39">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0D5131CC">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721B31F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0.274 </w:t>
            </w:r>
          </w:p>
        </w:tc>
        <w:tc>
          <w:tcPr>
            <w:tcW w:w="735" w:type="pct"/>
            <w:tcBorders>
              <w:top w:val="nil"/>
              <w:left w:val="nil"/>
              <w:bottom w:val="single" w:color="auto" w:sz="4" w:space="0"/>
              <w:right w:val="single" w:color="auto" w:sz="4" w:space="0"/>
            </w:tcBorders>
            <w:shd w:val="clear" w:color="auto" w:fill="auto"/>
            <w:noWrap/>
            <w:vAlign w:val="bottom"/>
          </w:tcPr>
          <w:p w14:paraId="118C051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1.782 </w:t>
            </w:r>
          </w:p>
        </w:tc>
        <w:tc>
          <w:tcPr>
            <w:tcW w:w="735" w:type="pct"/>
            <w:tcBorders>
              <w:top w:val="nil"/>
              <w:left w:val="nil"/>
              <w:bottom w:val="single" w:color="auto" w:sz="4" w:space="0"/>
              <w:right w:val="single" w:color="auto" w:sz="4" w:space="0"/>
            </w:tcBorders>
            <w:shd w:val="clear" w:color="auto" w:fill="auto"/>
            <w:noWrap/>
            <w:vAlign w:val="bottom"/>
          </w:tcPr>
          <w:p w14:paraId="0430104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8.798 </w:t>
            </w:r>
          </w:p>
        </w:tc>
        <w:tc>
          <w:tcPr>
            <w:tcW w:w="735" w:type="pct"/>
            <w:tcBorders>
              <w:top w:val="nil"/>
              <w:left w:val="nil"/>
              <w:bottom w:val="single" w:color="auto" w:sz="4" w:space="0"/>
              <w:right w:val="single" w:color="auto" w:sz="4" w:space="0"/>
            </w:tcBorders>
            <w:shd w:val="clear" w:color="auto" w:fill="auto"/>
            <w:noWrap/>
            <w:vAlign w:val="bottom"/>
          </w:tcPr>
          <w:p w14:paraId="2916D2B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13.467 </w:t>
            </w:r>
          </w:p>
        </w:tc>
        <w:tc>
          <w:tcPr>
            <w:tcW w:w="735" w:type="pct"/>
            <w:tcBorders>
              <w:top w:val="nil"/>
              <w:left w:val="nil"/>
              <w:bottom w:val="single" w:color="auto" w:sz="4" w:space="0"/>
              <w:right w:val="single" w:color="auto" w:sz="4" w:space="0"/>
            </w:tcBorders>
            <w:vAlign w:val="bottom"/>
          </w:tcPr>
          <w:p w14:paraId="7140348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22.812 </w:t>
            </w:r>
          </w:p>
        </w:tc>
      </w:tr>
      <w:tr w14:paraId="0B35345A">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14E55082">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1AB8F75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0.273 </w:t>
            </w:r>
          </w:p>
        </w:tc>
        <w:tc>
          <w:tcPr>
            <w:tcW w:w="735" w:type="pct"/>
            <w:tcBorders>
              <w:top w:val="nil"/>
              <w:left w:val="nil"/>
              <w:bottom w:val="single" w:color="auto" w:sz="4" w:space="0"/>
              <w:right w:val="single" w:color="auto" w:sz="4" w:space="0"/>
            </w:tcBorders>
            <w:shd w:val="clear" w:color="auto" w:fill="auto"/>
            <w:noWrap/>
            <w:vAlign w:val="bottom"/>
          </w:tcPr>
          <w:p w14:paraId="36870D3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1.755 </w:t>
            </w:r>
          </w:p>
        </w:tc>
        <w:tc>
          <w:tcPr>
            <w:tcW w:w="735" w:type="pct"/>
            <w:tcBorders>
              <w:top w:val="nil"/>
              <w:left w:val="nil"/>
              <w:bottom w:val="single" w:color="auto" w:sz="4" w:space="0"/>
              <w:right w:val="single" w:color="auto" w:sz="4" w:space="0"/>
            </w:tcBorders>
            <w:shd w:val="clear" w:color="auto" w:fill="auto"/>
            <w:noWrap/>
            <w:vAlign w:val="bottom"/>
          </w:tcPr>
          <w:p w14:paraId="7A4DEA5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8.785 </w:t>
            </w:r>
          </w:p>
        </w:tc>
        <w:tc>
          <w:tcPr>
            <w:tcW w:w="735" w:type="pct"/>
            <w:tcBorders>
              <w:top w:val="nil"/>
              <w:left w:val="nil"/>
              <w:bottom w:val="single" w:color="auto" w:sz="4" w:space="0"/>
              <w:right w:val="single" w:color="auto" w:sz="4" w:space="0"/>
            </w:tcBorders>
            <w:shd w:val="clear" w:color="auto" w:fill="auto"/>
            <w:noWrap/>
            <w:vAlign w:val="bottom"/>
          </w:tcPr>
          <w:p w14:paraId="2DE1343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13.321 </w:t>
            </w:r>
          </w:p>
        </w:tc>
        <w:tc>
          <w:tcPr>
            <w:tcW w:w="735" w:type="pct"/>
            <w:tcBorders>
              <w:top w:val="nil"/>
              <w:left w:val="nil"/>
              <w:bottom w:val="single" w:color="auto" w:sz="4" w:space="0"/>
              <w:right w:val="single" w:color="auto" w:sz="4" w:space="0"/>
            </w:tcBorders>
            <w:vAlign w:val="bottom"/>
          </w:tcPr>
          <w:p w14:paraId="4D7D14B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22.824 </w:t>
            </w:r>
          </w:p>
        </w:tc>
      </w:tr>
      <w:tr w14:paraId="751DB26B">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438C8368">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3DD300A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0.275 </w:t>
            </w:r>
          </w:p>
        </w:tc>
        <w:tc>
          <w:tcPr>
            <w:tcW w:w="735" w:type="pct"/>
            <w:tcBorders>
              <w:top w:val="nil"/>
              <w:left w:val="nil"/>
              <w:bottom w:val="single" w:color="auto" w:sz="4" w:space="0"/>
              <w:right w:val="single" w:color="auto" w:sz="4" w:space="0"/>
            </w:tcBorders>
            <w:shd w:val="clear" w:color="auto" w:fill="auto"/>
            <w:noWrap/>
            <w:vAlign w:val="bottom"/>
          </w:tcPr>
          <w:p w14:paraId="49396ED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1.743 </w:t>
            </w:r>
          </w:p>
        </w:tc>
        <w:tc>
          <w:tcPr>
            <w:tcW w:w="735" w:type="pct"/>
            <w:tcBorders>
              <w:top w:val="nil"/>
              <w:left w:val="nil"/>
              <w:bottom w:val="single" w:color="auto" w:sz="4" w:space="0"/>
              <w:right w:val="single" w:color="auto" w:sz="4" w:space="0"/>
            </w:tcBorders>
            <w:shd w:val="clear" w:color="auto" w:fill="auto"/>
            <w:noWrap/>
            <w:vAlign w:val="bottom"/>
          </w:tcPr>
          <w:p w14:paraId="4256650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8.906 </w:t>
            </w:r>
          </w:p>
        </w:tc>
        <w:tc>
          <w:tcPr>
            <w:tcW w:w="735" w:type="pct"/>
            <w:tcBorders>
              <w:top w:val="nil"/>
              <w:left w:val="nil"/>
              <w:bottom w:val="single" w:color="auto" w:sz="4" w:space="0"/>
              <w:right w:val="single" w:color="auto" w:sz="4" w:space="0"/>
            </w:tcBorders>
            <w:shd w:val="clear" w:color="auto" w:fill="auto"/>
            <w:noWrap/>
            <w:vAlign w:val="bottom"/>
          </w:tcPr>
          <w:p w14:paraId="6DE26C6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13.493 </w:t>
            </w:r>
          </w:p>
        </w:tc>
        <w:tc>
          <w:tcPr>
            <w:tcW w:w="735" w:type="pct"/>
            <w:tcBorders>
              <w:top w:val="nil"/>
              <w:left w:val="nil"/>
              <w:bottom w:val="single" w:color="auto" w:sz="4" w:space="0"/>
              <w:right w:val="single" w:color="auto" w:sz="4" w:space="0"/>
            </w:tcBorders>
            <w:vAlign w:val="bottom"/>
          </w:tcPr>
          <w:p w14:paraId="0A6423F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22.836 </w:t>
            </w:r>
          </w:p>
        </w:tc>
      </w:tr>
      <w:tr w14:paraId="0EFCD9BD">
        <w:tblPrEx>
          <w:tblCellMar>
            <w:top w:w="0" w:type="dxa"/>
            <w:left w:w="108" w:type="dxa"/>
            <w:bottom w:w="0" w:type="dxa"/>
            <w:right w:w="108" w:type="dxa"/>
          </w:tblCellMar>
        </w:tblPrEx>
        <w:trPr>
          <w:trHeight w:val="312" w:hRule="exact"/>
          <w:jc w:val="center"/>
        </w:trPr>
        <w:tc>
          <w:tcPr>
            <w:tcW w:w="1324" w:type="pct"/>
            <w:vMerge w:val="restart"/>
            <w:tcBorders>
              <w:top w:val="nil"/>
              <w:left w:val="single" w:color="auto" w:sz="4" w:space="0"/>
              <w:bottom w:val="single" w:color="auto" w:sz="4" w:space="0"/>
              <w:right w:val="single" w:color="auto" w:sz="4" w:space="0"/>
            </w:tcBorders>
            <w:shd w:val="clear" w:color="auto" w:fill="auto"/>
            <w:noWrap/>
            <w:vAlign w:val="center"/>
          </w:tcPr>
          <w:p w14:paraId="3E2FAE11">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包头华美稀土高科有限公司</w:t>
            </w:r>
          </w:p>
        </w:tc>
        <w:tc>
          <w:tcPr>
            <w:tcW w:w="735" w:type="pct"/>
            <w:tcBorders>
              <w:top w:val="nil"/>
              <w:left w:val="nil"/>
              <w:bottom w:val="single" w:color="auto" w:sz="4" w:space="0"/>
              <w:right w:val="single" w:color="auto" w:sz="4" w:space="0"/>
            </w:tcBorders>
            <w:shd w:val="clear" w:color="auto" w:fill="auto"/>
            <w:noWrap/>
            <w:vAlign w:val="bottom"/>
          </w:tcPr>
          <w:p w14:paraId="10E44C9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0.282 </w:t>
            </w:r>
          </w:p>
        </w:tc>
        <w:tc>
          <w:tcPr>
            <w:tcW w:w="735" w:type="pct"/>
            <w:tcBorders>
              <w:top w:val="nil"/>
              <w:left w:val="nil"/>
              <w:bottom w:val="single" w:color="auto" w:sz="4" w:space="0"/>
              <w:right w:val="single" w:color="auto" w:sz="4" w:space="0"/>
            </w:tcBorders>
            <w:shd w:val="clear" w:color="auto" w:fill="auto"/>
            <w:noWrap/>
            <w:vAlign w:val="bottom"/>
          </w:tcPr>
          <w:p w14:paraId="1EC09CF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1.748 </w:t>
            </w:r>
          </w:p>
        </w:tc>
        <w:tc>
          <w:tcPr>
            <w:tcW w:w="735" w:type="pct"/>
            <w:tcBorders>
              <w:top w:val="nil"/>
              <w:left w:val="nil"/>
              <w:bottom w:val="single" w:color="auto" w:sz="4" w:space="0"/>
              <w:right w:val="single" w:color="auto" w:sz="4" w:space="0"/>
            </w:tcBorders>
            <w:shd w:val="clear" w:color="auto" w:fill="auto"/>
            <w:noWrap/>
            <w:vAlign w:val="bottom"/>
          </w:tcPr>
          <w:p w14:paraId="6EB2478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8.523 </w:t>
            </w:r>
          </w:p>
        </w:tc>
        <w:tc>
          <w:tcPr>
            <w:tcW w:w="735" w:type="pct"/>
            <w:tcBorders>
              <w:top w:val="nil"/>
              <w:left w:val="nil"/>
              <w:bottom w:val="single" w:color="auto" w:sz="4" w:space="0"/>
              <w:right w:val="single" w:color="auto" w:sz="4" w:space="0"/>
            </w:tcBorders>
            <w:shd w:val="clear" w:color="auto" w:fill="auto"/>
            <w:noWrap/>
            <w:vAlign w:val="bottom"/>
          </w:tcPr>
          <w:p w14:paraId="1C94315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13.392 </w:t>
            </w:r>
          </w:p>
        </w:tc>
        <w:tc>
          <w:tcPr>
            <w:tcW w:w="735" w:type="pct"/>
            <w:tcBorders>
              <w:top w:val="nil"/>
              <w:left w:val="nil"/>
              <w:bottom w:val="single" w:color="auto" w:sz="4" w:space="0"/>
              <w:right w:val="single" w:color="auto" w:sz="4" w:space="0"/>
            </w:tcBorders>
            <w:vAlign w:val="bottom"/>
          </w:tcPr>
          <w:p w14:paraId="449B5EC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22.365 </w:t>
            </w:r>
          </w:p>
        </w:tc>
      </w:tr>
      <w:tr w14:paraId="180B1D40">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6CECFBFA">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10F1CA8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0.288 </w:t>
            </w:r>
          </w:p>
        </w:tc>
        <w:tc>
          <w:tcPr>
            <w:tcW w:w="735" w:type="pct"/>
            <w:tcBorders>
              <w:top w:val="nil"/>
              <w:left w:val="nil"/>
              <w:bottom w:val="single" w:color="auto" w:sz="4" w:space="0"/>
              <w:right w:val="single" w:color="auto" w:sz="4" w:space="0"/>
            </w:tcBorders>
            <w:shd w:val="clear" w:color="auto" w:fill="auto"/>
            <w:noWrap/>
            <w:vAlign w:val="bottom"/>
          </w:tcPr>
          <w:p w14:paraId="5FC3731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1.815 </w:t>
            </w:r>
          </w:p>
        </w:tc>
        <w:tc>
          <w:tcPr>
            <w:tcW w:w="735" w:type="pct"/>
            <w:tcBorders>
              <w:top w:val="nil"/>
              <w:left w:val="nil"/>
              <w:bottom w:val="single" w:color="auto" w:sz="4" w:space="0"/>
              <w:right w:val="single" w:color="auto" w:sz="4" w:space="0"/>
            </w:tcBorders>
            <w:shd w:val="clear" w:color="auto" w:fill="auto"/>
            <w:noWrap/>
            <w:vAlign w:val="bottom"/>
          </w:tcPr>
          <w:p w14:paraId="5AB3DD3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8.559 </w:t>
            </w:r>
          </w:p>
        </w:tc>
        <w:tc>
          <w:tcPr>
            <w:tcW w:w="735" w:type="pct"/>
            <w:tcBorders>
              <w:top w:val="nil"/>
              <w:left w:val="nil"/>
              <w:bottom w:val="single" w:color="auto" w:sz="4" w:space="0"/>
              <w:right w:val="single" w:color="auto" w:sz="4" w:space="0"/>
            </w:tcBorders>
            <w:shd w:val="clear" w:color="auto" w:fill="auto"/>
            <w:noWrap/>
            <w:vAlign w:val="bottom"/>
          </w:tcPr>
          <w:p w14:paraId="3113FE5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13.315 </w:t>
            </w:r>
          </w:p>
        </w:tc>
        <w:tc>
          <w:tcPr>
            <w:tcW w:w="735" w:type="pct"/>
            <w:tcBorders>
              <w:top w:val="nil"/>
              <w:left w:val="nil"/>
              <w:bottom w:val="single" w:color="auto" w:sz="4" w:space="0"/>
              <w:right w:val="single" w:color="auto" w:sz="4" w:space="0"/>
            </w:tcBorders>
            <w:vAlign w:val="bottom"/>
          </w:tcPr>
          <w:p w14:paraId="0A84DA0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22.286 </w:t>
            </w:r>
          </w:p>
        </w:tc>
      </w:tr>
      <w:tr w14:paraId="4954C65F">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1CCA126D">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40C86F2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0.283 </w:t>
            </w:r>
          </w:p>
        </w:tc>
        <w:tc>
          <w:tcPr>
            <w:tcW w:w="735" w:type="pct"/>
            <w:tcBorders>
              <w:top w:val="nil"/>
              <w:left w:val="nil"/>
              <w:bottom w:val="single" w:color="auto" w:sz="4" w:space="0"/>
              <w:right w:val="single" w:color="auto" w:sz="4" w:space="0"/>
            </w:tcBorders>
            <w:shd w:val="clear" w:color="auto" w:fill="auto"/>
            <w:noWrap/>
            <w:vAlign w:val="bottom"/>
          </w:tcPr>
          <w:p w14:paraId="47B5597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1.758 </w:t>
            </w:r>
          </w:p>
        </w:tc>
        <w:tc>
          <w:tcPr>
            <w:tcW w:w="735" w:type="pct"/>
            <w:tcBorders>
              <w:top w:val="nil"/>
              <w:left w:val="nil"/>
              <w:bottom w:val="single" w:color="auto" w:sz="4" w:space="0"/>
              <w:right w:val="single" w:color="auto" w:sz="4" w:space="0"/>
            </w:tcBorders>
            <w:shd w:val="clear" w:color="auto" w:fill="auto"/>
            <w:noWrap/>
            <w:vAlign w:val="bottom"/>
          </w:tcPr>
          <w:p w14:paraId="2419905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8.589 </w:t>
            </w:r>
          </w:p>
        </w:tc>
        <w:tc>
          <w:tcPr>
            <w:tcW w:w="735" w:type="pct"/>
            <w:tcBorders>
              <w:top w:val="nil"/>
              <w:left w:val="nil"/>
              <w:bottom w:val="single" w:color="auto" w:sz="4" w:space="0"/>
              <w:right w:val="single" w:color="auto" w:sz="4" w:space="0"/>
            </w:tcBorders>
            <w:shd w:val="clear" w:color="auto" w:fill="auto"/>
            <w:noWrap/>
            <w:vAlign w:val="bottom"/>
          </w:tcPr>
          <w:p w14:paraId="106826D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13.526 </w:t>
            </w:r>
          </w:p>
        </w:tc>
        <w:tc>
          <w:tcPr>
            <w:tcW w:w="735" w:type="pct"/>
            <w:tcBorders>
              <w:top w:val="nil"/>
              <w:left w:val="nil"/>
              <w:bottom w:val="single" w:color="auto" w:sz="4" w:space="0"/>
              <w:right w:val="single" w:color="auto" w:sz="4" w:space="0"/>
            </w:tcBorders>
            <w:vAlign w:val="bottom"/>
          </w:tcPr>
          <w:p w14:paraId="43B39DE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22.536 </w:t>
            </w:r>
          </w:p>
        </w:tc>
      </w:tr>
      <w:tr w14:paraId="3EB4C959">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05FB1D26">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410A610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0.295 </w:t>
            </w:r>
          </w:p>
        </w:tc>
        <w:tc>
          <w:tcPr>
            <w:tcW w:w="735" w:type="pct"/>
            <w:tcBorders>
              <w:top w:val="nil"/>
              <w:left w:val="nil"/>
              <w:bottom w:val="single" w:color="auto" w:sz="4" w:space="0"/>
              <w:right w:val="single" w:color="auto" w:sz="4" w:space="0"/>
            </w:tcBorders>
            <w:shd w:val="clear" w:color="auto" w:fill="auto"/>
            <w:noWrap/>
            <w:vAlign w:val="bottom"/>
          </w:tcPr>
          <w:p w14:paraId="3622FE7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1.768 </w:t>
            </w:r>
          </w:p>
        </w:tc>
        <w:tc>
          <w:tcPr>
            <w:tcW w:w="735" w:type="pct"/>
            <w:tcBorders>
              <w:top w:val="nil"/>
              <w:left w:val="nil"/>
              <w:bottom w:val="single" w:color="auto" w:sz="4" w:space="0"/>
              <w:right w:val="single" w:color="auto" w:sz="4" w:space="0"/>
            </w:tcBorders>
            <w:shd w:val="clear" w:color="auto" w:fill="auto"/>
            <w:noWrap/>
            <w:vAlign w:val="bottom"/>
          </w:tcPr>
          <w:p w14:paraId="5CF71B9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8.647 </w:t>
            </w:r>
          </w:p>
        </w:tc>
        <w:tc>
          <w:tcPr>
            <w:tcW w:w="735" w:type="pct"/>
            <w:tcBorders>
              <w:top w:val="nil"/>
              <w:left w:val="nil"/>
              <w:bottom w:val="single" w:color="auto" w:sz="4" w:space="0"/>
              <w:right w:val="single" w:color="auto" w:sz="4" w:space="0"/>
            </w:tcBorders>
            <w:shd w:val="clear" w:color="auto" w:fill="auto"/>
            <w:noWrap/>
            <w:vAlign w:val="bottom"/>
          </w:tcPr>
          <w:p w14:paraId="22AA19B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13.592 </w:t>
            </w:r>
          </w:p>
        </w:tc>
        <w:tc>
          <w:tcPr>
            <w:tcW w:w="735" w:type="pct"/>
            <w:tcBorders>
              <w:top w:val="nil"/>
              <w:left w:val="nil"/>
              <w:bottom w:val="single" w:color="auto" w:sz="4" w:space="0"/>
              <w:right w:val="single" w:color="auto" w:sz="4" w:space="0"/>
            </w:tcBorders>
            <w:vAlign w:val="bottom"/>
          </w:tcPr>
          <w:p w14:paraId="48BAC56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22.485 </w:t>
            </w:r>
          </w:p>
        </w:tc>
      </w:tr>
      <w:tr w14:paraId="18D858B6">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5AEAC9ED">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29F1504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0.284 </w:t>
            </w:r>
          </w:p>
        </w:tc>
        <w:tc>
          <w:tcPr>
            <w:tcW w:w="735" w:type="pct"/>
            <w:tcBorders>
              <w:top w:val="nil"/>
              <w:left w:val="nil"/>
              <w:bottom w:val="single" w:color="auto" w:sz="4" w:space="0"/>
              <w:right w:val="single" w:color="auto" w:sz="4" w:space="0"/>
            </w:tcBorders>
            <w:shd w:val="clear" w:color="auto" w:fill="auto"/>
            <w:noWrap/>
            <w:vAlign w:val="bottom"/>
          </w:tcPr>
          <w:p w14:paraId="3C0A3E5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1.759 </w:t>
            </w:r>
          </w:p>
        </w:tc>
        <w:tc>
          <w:tcPr>
            <w:tcW w:w="735" w:type="pct"/>
            <w:tcBorders>
              <w:top w:val="nil"/>
              <w:left w:val="nil"/>
              <w:bottom w:val="single" w:color="auto" w:sz="4" w:space="0"/>
              <w:right w:val="single" w:color="auto" w:sz="4" w:space="0"/>
            </w:tcBorders>
            <w:shd w:val="clear" w:color="auto" w:fill="auto"/>
            <w:noWrap/>
            <w:vAlign w:val="bottom"/>
          </w:tcPr>
          <w:p w14:paraId="34C5A0CB">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8.669 </w:t>
            </w:r>
          </w:p>
        </w:tc>
        <w:tc>
          <w:tcPr>
            <w:tcW w:w="735" w:type="pct"/>
            <w:tcBorders>
              <w:top w:val="nil"/>
              <w:left w:val="nil"/>
              <w:bottom w:val="single" w:color="auto" w:sz="4" w:space="0"/>
              <w:right w:val="single" w:color="auto" w:sz="4" w:space="0"/>
            </w:tcBorders>
            <w:shd w:val="clear" w:color="auto" w:fill="auto"/>
            <w:noWrap/>
            <w:vAlign w:val="bottom"/>
          </w:tcPr>
          <w:p w14:paraId="737CBFD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13.526 </w:t>
            </w:r>
          </w:p>
        </w:tc>
        <w:tc>
          <w:tcPr>
            <w:tcW w:w="735" w:type="pct"/>
            <w:tcBorders>
              <w:top w:val="nil"/>
              <w:left w:val="nil"/>
              <w:bottom w:val="single" w:color="auto" w:sz="4" w:space="0"/>
              <w:right w:val="single" w:color="auto" w:sz="4" w:space="0"/>
            </w:tcBorders>
            <w:vAlign w:val="bottom"/>
          </w:tcPr>
          <w:p w14:paraId="704F09D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22.569 </w:t>
            </w:r>
          </w:p>
        </w:tc>
      </w:tr>
      <w:tr w14:paraId="46578F3B">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0BEEF2FB">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5E91E34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0.282 </w:t>
            </w:r>
          </w:p>
        </w:tc>
        <w:tc>
          <w:tcPr>
            <w:tcW w:w="735" w:type="pct"/>
            <w:tcBorders>
              <w:top w:val="nil"/>
              <w:left w:val="nil"/>
              <w:bottom w:val="single" w:color="auto" w:sz="4" w:space="0"/>
              <w:right w:val="single" w:color="auto" w:sz="4" w:space="0"/>
            </w:tcBorders>
            <w:shd w:val="clear" w:color="auto" w:fill="auto"/>
            <w:noWrap/>
            <w:vAlign w:val="bottom"/>
          </w:tcPr>
          <w:p w14:paraId="101BB76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1.768 </w:t>
            </w:r>
          </w:p>
        </w:tc>
        <w:tc>
          <w:tcPr>
            <w:tcW w:w="735" w:type="pct"/>
            <w:tcBorders>
              <w:top w:val="nil"/>
              <w:left w:val="nil"/>
              <w:bottom w:val="single" w:color="auto" w:sz="4" w:space="0"/>
              <w:right w:val="single" w:color="auto" w:sz="4" w:space="0"/>
            </w:tcBorders>
            <w:shd w:val="clear" w:color="auto" w:fill="auto"/>
            <w:noWrap/>
            <w:vAlign w:val="bottom"/>
          </w:tcPr>
          <w:p w14:paraId="7B2ED4C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8.680 </w:t>
            </w:r>
          </w:p>
        </w:tc>
        <w:tc>
          <w:tcPr>
            <w:tcW w:w="735" w:type="pct"/>
            <w:tcBorders>
              <w:top w:val="nil"/>
              <w:left w:val="nil"/>
              <w:bottom w:val="single" w:color="auto" w:sz="4" w:space="0"/>
              <w:right w:val="single" w:color="auto" w:sz="4" w:space="0"/>
            </w:tcBorders>
            <w:shd w:val="clear" w:color="auto" w:fill="auto"/>
            <w:noWrap/>
            <w:vAlign w:val="bottom"/>
          </w:tcPr>
          <w:p w14:paraId="258B924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13.524 </w:t>
            </w:r>
          </w:p>
        </w:tc>
        <w:tc>
          <w:tcPr>
            <w:tcW w:w="735" w:type="pct"/>
            <w:tcBorders>
              <w:top w:val="nil"/>
              <w:left w:val="nil"/>
              <w:bottom w:val="single" w:color="auto" w:sz="4" w:space="0"/>
              <w:right w:val="single" w:color="auto" w:sz="4" w:space="0"/>
            </w:tcBorders>
            <w:vAlign w:val="bottom"/>
          </w:tcPr>
          <w:p w14:paraId="242CF67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22.618 </w:t>
            </w:r>
          </w:p>
        </w:tc>
      </w:tr>
      <w:tr w14:paraId="22E0D1C6">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49C58132">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6AD81D3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0.302 </w:t>
            </w:r>
          </w:p>
        </w:tc>
        <w:tc>
          <w:tcPr>
            <w:tcW w:w="735" w:type="pct"/>
            <w:tcBorders>
              <w:top w:val="nil"/>
              <w:left w:val="nil"/>
              <w:bottom w:val="single" w:color="auto" w:sz="4" w:space="0"/>
              <w:right w:val="single" w:color="auto" w:sz="4" w:space="0"/>
            </w:tcBorders>
            <w:shd w:val="clear" w:color="auto" w:fill="auto"/>
            <w:noWrap/>
            <w:vAlign w:val="bottom"/>
          </w:tcPr>
          <w:p w14:paraId="6C3BC0A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1.795 </w:t>
            </w:r>
          </w:p>
        </w:tc>
        <w:tc>
          <w:tcPr>
            <w:tcW w:w="735" w:type="pct"/>
            <w:tcBorders>
              <w:top w:val="nil"/>
              <w:left w:val="nil"/>
              <w:bottom w:val="single" w:color="auto" w:sz="4" w:space="0"/>
              <w:right w:val="single" w:color="auto" w:sz="4" w:space="0"/>
            </w:tcBorders>
            <w:shd w:val="clear" w:color="auto" w:fill="auto"/>
            <w:noWrap/>
            <w:vAlign w:val="bottom"/>
          </w:tcPr>
          <w:p w14:paraId="0D929CB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8.670 </w:t>
            </w:r>
          </w:p>
        </w:tc>
        <w:tc>
          <w:tcPr>
            <w:tcW w:w="735" w:type="pct"/>
            <w:tcBorders>
              <w:top w:val="nil"/>
              <w:left w:val="nil"/>
              <w:bottom w:val="single" w:color="auto" w:sz="4" w:space="0"/>
              <w:right w:val="single" w:color="auto" w:sz="4" w:space="0"/>
            </w:tcBorders>
            <w:shd w:val="clear" w:color="auto" w:fill="auto"/>
            <w:noWrap/>
            <w:vAlign w:val="bottom"/>
          </w:tcPr>
          <w:p w14:paraId="0E83E34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13.504 </w:t>
            </w:r>
          </w:p>
        </w:tc>
        <w:tc>
          <w:tcPr>
            <w:tcW w:w="735" w:type="pct"/>
            <w:tcBorders>
              <w:top w:val="nil"/>
              <w:left w:val="nil"/>
              <w:bottom w:val="single" w:color="auto" w:sz="4" w:space="0"/>
              <w:right w:val="single" w:color="auto" w:sz="4" w:space="0"/>
            </w:tcBorders>
            <w:vAlign w:val="bottom"/>
          </w:tcPr>
          <w:p w14:paraId="22250F1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22.578 </w:t>
            </w:r>
          </w:p>
        </w:tc>
      </w:tr>
      <w:tr w14:paraId="07BBCB70">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0ED80615">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487B3E4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0.282 </w:t>
            </w:r>
          </w:p>
        </w:tc>
        <w:tc>
          <w:tcPr>
            <w:tcW w:w="735" w:type="pct"/>
            <w:tcBorders>
              <w:top w:val="nil"/>
              <w:left w:val="nil"/>
              <w:bottom w:val="single" w:color="auto" w:sz="4" w:space="0"/>
              <w:right w:val="single" w:color="auto" w:sz="4" w:space="0"/>
            </w:tcBorders>
            <w:shd w:val="clear" w:color="auto" w:fill="auto"/>
            <w:noWrap/>
            <w:vAlign w:val="bottom"/>
          </w:tcPr>
          <w:p w14:paraId="437218D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1.708 </w:t>
            </w:r>
          </w:p>
        </w:tc>
        <w:tc>
          <w:tcPr>
            <w:tcW w:w="735" w:type="pct"/>
            <w:tcBorders>
              <w:top w:val="nil"/>
              <w:left w:val="nil"/>
              <w:bottom w:val="single" w:color="auto" w:sz="4" w:space="0"/>
              <w:right w:val="single" w:color="auto" w:sz="4" w:space="0"/>
            </w:tcBorders>
            <w:shd w:val="clear" w:color="auto" w:fill="auto"/>
            <w:noWrap/>
            <w:vAlign w:val="bottom"/>
          </w:tcPr>
          <w:p w14:paraId="488799E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8.644 </w:t>
            </w:r>
          </w:p>
        </w:tc>
        <w:tc>
          <w:tcPr>
            <w:tcW w:w="735" w:type="pct"/>
            <w:tcBorders>
              <w:top w:val="nil"/>
              <w:left w:val="nil"/>
              <w:bottom w:val="single" w:color="auto" w:sz="4" w:space="0"/>
              <w:right w:val="single" w:color="auto" w:sz="4" w:space="0"/>
            </w:tcBorders>
            <w:shd w:val="clear" w:color="auto" w:fill="auto"/>
            <w:noWrap/>
            <w:vAlign w:val="bottom"/>
          </w:tcPr>
          <w:p w14:paraId="37A72C3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13.504 </w:t>
            </w:r>
          </w:p>
        </w:tc>
        <w:tc>
          <w:tcPr>
            <w:tcW w:w="735" w:type="pct"/>
            <w:tcBorders>
              <w:top w:val="nil"/>
              <w:left w:val="nil"/>
              <w:bottom w:val="single" w:color="auto" w:sz="4" w:space="0"/>
              <w:right w:val="single" w:color="auto" w:sz="4" w:space="0"/>
            </w:tcBorders>
            <w:vAlign w:val="bottom"/>
          </w:tcPr>
          <w:p w14:paraId="41B84C6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22.638 </w:t>
            </w:r>
          </w:p>
        </w:tc>
      </w:tr>
      <w:tr w14:paraId="10134F22">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078B5EF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79B64D9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0.295 </w:t>
            </w:r>
          </w:p>
        </w:tc>
        <w:tc>
          <w:tcPr>
            <w:tcW w:w="735" w:type="pct"/>
            <w:tcBorders>
              <w:top w:val="nil"/>
              <w:left w:val="nil"/>
              <w:bottom w:val="single" w:color="auto" w:sz="4" w:space="0"/>
              <w:right w:val="single" w:color="auto" w:sz="4" w:space="0"/>
            </w:tcBorders>
            <w:shd w:val="clear" w:color="auto" w:fill="auto"/>
            <w:noWrap/>
            <w:vAlign w:val="bottom"/>
          </w:tcPr>
          <w:p w14:paraId="400300B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1.756 </w:t>
            </w:r>
          </w:p>
        </w:tc>
        <w:tc>
          <w:tcPr>
            <w:tcW w:w="735" w:type="pct"/>
            <w:tcBorders>
              <w:top w:val="nil"/>
              <w:left w:val="nil"/>
              <w:bottom w:val="single" w:color="auto" w:sz="4" w:space="0"/>
              <w:right w:val="single" w:color="auto" w:sz="4" w:space="0"/>
            </w:tcBorders>
            <w:shd w:val="clear" w:color="auto" w:fill="auto"/>
            <w:noWrap/>
            <w:vAlign w:val="bottom"/>
          </w:tcPr>
          <w:p w14:paraId="05DF315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8.670 </w:t>
            </w:r>
          </w:p>
        </w:tc>
        <w:tc>
          <w:tcPr>
            <w:tcW w:w="735" w:type="pct"/>
            <w:tcBorders>
              <w:top w:val="nil"/>
              <w:left w:val="nil"/>
              <w:bottom w:val="single" w:color="auto" w:sz="4" w:space="0"/>
              <w:right w:val="single" w:color="auto" w:sz="4" w:space="0"/>
            </w:tcBorders>
            <w:shd w:val="clear" w:color="auto" w:fill="auto"/>
            <w:noWrap/>
            <w:vAlign w:val="bottom"/>
          </w:tcPr>
          <w:p w14:paraId="7964F78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13.452 </w:t>
            </w:r>
          </w:p>
        </w:tc>
        <w:tc>
          <w:tcPr>
            <w:tcW w:w="735" w:type="pct"/>
            <w:tcBorders>
              <w:top w:val="nil"/>
              <w:left w:val="nil"/>
              <w:bottom w:val="single" w:color="auto" w:sz="4" w:space="0"/>
              <w:right w:val="single" w:color="auto" w:sz="4" w:space="0"/>
            </w:tcBorders>
            <w:vAlign w:val="bottom"/>
          </w:tcPr>
          <w:p w14:paraId="2D15788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22.468 </w:t>
            </w:r>
          </w:p>
        </w:tc>
      </w:tr>
      <w:tr w14:paraId="05A4501C">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49E9E5EA">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3FE8E88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0.301 </w:t>
            </w:r>
          </w:p>
        </w:tc>
        <w:tc>
          <w:tcPr>
            <w:tcW w:w="735" w:type="pct"/>
            <w:tcBorders>
              <w:top w:val="nil"/>
              <w:left w:val="nil"/>
              <w:bottom w:val="single" w:color="auto" w:sz="4" w:space="0"/>
              <w:right w:val="single" w:color="auto" w:sz="4" w:space="0"/>
            </w:tcBorders>
            <w:shd w:val="clear" w:color="auto" w:fill="auto"/>
            <w:noWrap/>
            <w:vAlign w:val="bottom"/>
          </w:tcPr>
          <w:p w14:paraId="2E88C53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1.748 </w:t>
            </w:r>
          </w:p>
        </w:tc>
        <w:tc>
          <w:tcPr>
            <w:tcW w:w="735" w:type="pct"/>
            <w:tcBorders>
              <w:top w:val="nil"/>
              <w:left w:val="nil"/>
              <w:bottom w:val="single" w:color="auto" w:sz="4" w:space="0"/>
              <w:right w:val="single" w:color="auto" w:sz="4" w:space="0"/>
            </w:tcBorders>
            <w:shd w:val="clear" w:color="auto" w:fill="auto"/>
            <w:noWrap/>
            <w:vAlign w:val="bottom"/>
          </w:tcPr>
          <w:p w14:paraId="1AB0100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8.640 </w:t>
            </w:r>
          </w:p>
        </w:tc>
        <w:tc>
          <w:tcPr>
            <w:tcW w:w="735" w:type="pct"/>
            <w:tcBorders>
              <w:top w:val="nil"/>
              <w:left w:val="nil"/>
              <w:bottom w:val="single" w:color="auto" w:sz="4" w:space="0"/>
              <w:right w:val="single" w:color="auto" w:sz="4" w:space="0"/>
            </w:tcBorders>
            <w:shd w:val="clear" w:color="auto" w:fill="auto"/>
            <w:noWrap/>
            <w:vAlign w:val="bottom"/>
          </w:tcPr>
          <w:p w14:paraId="621424A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13.489 </w:t>
            </w:r>
          </w:p>
        </w:tc>
        <w:tc>
          <w:tcPr>
            <w:tcW w:w="735" w:type="pct"/>
            <w:tcBorders>
              <w:top w:val="nil"/>
              <w:left w:val="nil"/>
              <w:bottom w:val="single" w:color="auto" w:sz="4" w:space="0"/>
              <w:right w:val="single" w:color="auto" w:sz="4" w:space="0"/>
            </w:tcBorders>
            <w:vAlign w:val="bottom"/>
          </w:tcPr>
          <w:p w14:paraId="1B1686A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22.596 </w:t>
            </w:r>
          </w:p>
        </w:tc>
      </w:tr>
      <w:tr w14:paraId="43161F63">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62BF349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71DB964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0.295 </w:t>
            </w:r>
          </w:p>
        </w:tc>
        <w:tc>
          <w:tcPr>
            <w:tcW w:w="735" w:type="pct"/>
            <w:tcBorders>
              <w:top w:val="nil"/>
              <w:left w:val="nil"/>
              <w:bottom w:val="single" w:color="auto" w:sz="4" w:space="0"/>
              <w:right w:val="single" w:color="auto" w:sz="4" w:space="0"/>
            </w:tcBorders>
            <w:shd w:val="clear" w:color="auto" w:fill="auto"/>
            <w:noWrap/>
            <w:vAlign w:val="bottom"/>
          </w:tcPr>
          <w:p w14:paraId="1CA82B0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1.768 </w:t>
            </w:r>
          </w:p>
        </w:tc>
        <w:tc>
          <w:tcPr>
            <w:tcW w:w="735" w:type="pct"/>
            <w:tcBorders>
              <w:top w:val="nil"/>
              <w:left w:val="nil"/>
              <w:bottom w:val="single" w:color="auto" w:sz="4" w:space="0"/>
              <w:right w:val="single" w:color="auto" w:sz="4" w:space="0"/>
            </w:tcBorders>
            <w:shd w:val="clear" w:color="auto" w:fill="auto"/>
            <w:noWrap/>
            <w:vAlign w:val="bottom"/>
          </w:tcPr>
          <w:p w14:paraId="3E049F4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8.560 </w:t>
            </w:r>
          </w:p>
        </w:tc>
        <w:tc>
          <w:tcPr>
            <w:tcW w:w="735" w:type="pct"/>
            <w:tcBorders>
              <w:top w:val="nil"/>
              <w:left w:val="nil"/>
              <w:bottom w:val="single" w:color="auto" w:sz="4" w:space="0"/>
              <w:right w:val="single" w:color="auto" w:sz="4" w:space="0"/>
            </w:tcBorders>
            <w:shd w:val="clear" w:color="auto" w:fill="auto"/>
            <w:noWrap/>
            <w:vAlign w:val="bottom"/>
          </w:tcPr>
          <w:p w14:paraId="4EDCA3A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13.457 </w:t>
            </w:r>
          </w:p>
        </w:tc>
        <w:tc>
          <w:tcPr>
            <w:tcW w:w="735" w:type="pct"/>
            <w:tcBorders>
              <w:top w:val="nil"/>
              <w:left w:val="nil"/>
              <w:bottom w:val="single" w:color="auto" w:sz="4" w:space="0"/>
              <w:right w:val="single" w:color="auto" w:sz="4" w:space="0"/>
            </w:tcBorders>
            <w:vAlign w:val="bottom"/>
          </w:tcPr>
          <w:p w14:paraId="5CE04EC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22.675 </w:t>
            </w:r>
          </w:p>
        </w:tc>
      </w:tr>
      <w:tr w14:paraId="357A0002">
        <w:tblPrEx>
          <w:tblCellMar>
            <w:top w:w="0" w:type="dxa"/>
            <w:left w:w="108" w:type="dxa"/>
            <w:bottom w:w="0" w:type="dxa"/>
            <w:right w:w="108" w:type="dxa"/>
          </w:tblCellMar>
        </w:tblPrEx>
        <w:trPr>
          <w:trHeight w:val="312" w:hRule="exact"/>
          <w:jc w:val="center"/>
        </w:trPr>
        <w:tc>
          <w:tcPr>
            <w:tcW w:w="1324" w:type="pct"/>
            <w:vMerge w:val="restart"/>
            <w:tcBorders>
              <w:top w:val="nil"/>
              <w:left w:val="single" w:color="auto" w:sz="4" w:space="0"/>
              <w:bottom w:val="single" w:color="auto" w:sz="4" w:space="0"/>
              <w:right w:val="single" w:color="auto" w:sz="4" w:space="0"/>
            </w:tcBorders>
            <w:shd w:val="clear" w:color="auto" w:fill="auto"/>
            <w:noWrap/>
            <w:vAlign w:val="center"/>
          </w:tcPr>
          <w:p w14:paraId="444D5ACF">
            <w:pPr>
              <w:keepNext w:val="0"/>
              <w:keepLines w:val="0"/>
              <w:widowControl/>
              <w:suppressLineNumbers w:val="0"/>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四川省冕宁县方兴稀土有限公司</w:t>
            </w:r>
          </w:p>
        </w:tc>
        <w:tc>
          <w:tcPr>
            <w:tcW w:w="735" w:type="pct"/>
            <w:tcBorders>
              <w:top w:val="nil"/>
              <w:left w:val="nil"/>
              <w:bottom w:val="single" w:color="auto" w:sz="4" w:space="0"/>
              <w:right w:val="single" w:color="auto" w:sz="4" w:space="0"/>
            </w:tcBorders>
            <w:shd w:val="clear" w:color="auto" w:fill="auto"/>
            <w:noWrap/>
            <w:vAlign w:val="bottom"/>
          </w:tcPr>
          <w:p w14:paraId="353A1BF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0.296 </w:t>
            </w:r>
          </w:p>
        </w:tc>
        <w:tc>
          <w:tcPr>
            <w:tcW w:w="735" w:type="pct"/>
            <w:tcBorders>
              <w:top w:val="nil"/>
              <w:left w:val="nil"/>
              <w:bottom w:val="single" w:color="auto" w:sz="4" w:space="0"/>
              <w:right w:val="single" w:color="auto" w:sz="4" w:space="0"/>
            </w:tcBorders>
            <w:shd w:val="clear" w:color="auto" w:fill="auto"/>
            <w:noWrap/>
            <w:vAlign w:val="bottom"/>
          </w:tcPr>
          <w:p w14:paraId="6367E56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1.802 </w:t>
            </w:r>
          </w:p>
        </w:tc>
        <w:tc>
          <w:tcPr>
            <w:tcW w:w="735" w:type="pct"/>
            <w:tcBorders>
              <w:top w:val="nil"/>
              <w:left w:val="nil"/>
              <w:bottom w:val="single" w:color="auto" w:sz="4" w:space="0"/>
              <w:right w:val="single" w:color="auto" w:sz="4" w:space="0"/>
            </w:tcBorders>
            <w:shd w:val="clear" w:color="auto" w:fill="auto"/>
            <w:noWrap/>
            <w:vAlign w:val="bottom"/>
          </w:tcPr>
          <w:p w14:paraId="59EE1B8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8.911 </w:t>
            </w:r>
          </w:p>
        </w:tc>
        <w:tc>
          <w:tcPr>
            <w:tcW w:w="735" w:type="pct"/>
            <w:tcBorders>
              <w:top w:val="nil"/>
              <w:left w:val="nil"/>
              <w:bottom w:val="single" w:color="auto" w:sz="4" w:space="0"/>
              <w:right w:val="single" w:color="auto" w:sz="4" w:space="0"/>
            </w:tcBorders>
            <w:shd w:val="clear" w:color="auto" w:fill="auto"/>
            <w:noWrap/>
            <w:vAlign w:val="bottom"/>
          </w:tcPr>
          <w:p w14:paraId="7C3CE03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13.463 </w:t>
            </w:r>
          </w:p>
        </w:tc>
        <w:tc>
          <w:tcPr>
            <w:tcW w:w="735" w:type="pct"/>
            <w:tcBorders>
              <w:top w:val="nil"/>
              <w:left w:val="nil"/>
              <w:bottom w:val="single" w:color="auto" w:sz="4" w:space="0"/>
              <w:right w:val="single" w:color="auto" w:sz="4" w:space="0"/>
            </w:tcBorders>
            <w:vAlign w:val="bottom"/>
          </w:tcPr>
          <w:p w14:paraId="334D019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22.656 </w:t>
            </w:r>
          </w:p>
        </w:tc>
      </w:tr>
      <w:tr w14:paraId="4BDDE472">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2EF97983">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50B95B9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0.292 </w:t>
            </w:r>
          </w:p>
        </w:tc>
        <w:tc>
          <w:tcPr>
            <w:tcW w:w="735" w:type="pct"/>
            <w:tcBorders>
              <w:top w:val="nil"/>
              <w:left w:val="nil"/>
              <w:bottom w:val="single" w:color="auto" w:sz="4" w:space="0"/>
              <w:right w:val="single" w:color="auto" w:sz="4" w:space="0"/>
            </w:tcBorders>
            <w:shd w:val="clear" w:color="auto" w:fill="auto"/>
            <w:noWrap/>
            <w:vAlign w:val="bottom"/>
          </w:tcPr>
          <w:p w14:paraId="328C7A2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1.762 </w:t>
            </w:r>
          </w:p>
        </w:tc>
        <w:tc>
          <w:tcPr>
            <w:tcW w:w="735" w:type="pct"/>
            <w:tcBorders>
              <w:top w:val="nil"/>
              <w:left w:val="nil"/>
              <w:bottom w:val="single" w:color="auto" w:sz="4" w:space="0"/>
              <w:right w:val="single" w:color="auto" w:sz="4" w:space="0"/>
            </w:tcBorders>
            <w:shd w:val="clear" w:color="auto" w:fill="auto"/>
            <w:noWrap/>
            <w:vAlign w:val="bottom"/>
          </w:tcPr>
          <w:p w14:paraId="7453CB0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8.669 </w:t>
            </w:r>
          </w:p>
        </w:tc>
        <w:tc>
          <w:tcPr>
            <w:tcW w:w="735" w:type="pct"/>
            <w:tcBorders>
              <w:top w:val="nil"/>
              <w:left w:val="nil"/>
              <w:bottom w:val="single" w:color="auto" w:sz="4" w:space="0"/>
              <w:right w:val="single" w:color="auto" w:sz="4" w:space="0"/>
            </w:tcBorders>
            <w:shd w:val="clear" w:color="auto" w:fill="auto"/>
            <w:noWrap/>
            <w:vAlign w:val="bottom"/>
          </w:tcPr>
          <w:p w14:paraId="4509E4D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13.455 </w:t>
            </w:r>
          </w:p>
        </w:tc>
        <w:tc>
          <w:tcPr>
            <w:tcW w:w="735" w:type="pct"/>
            <w:tcBorders>
              <w:top w:val="nil"/>
              <w:left w:val="nil"/>
              <w:bottom w:val="single" w:color="auto" w:sz="4" w:space="0"/>
              <w:right w:val="single" w:color="auto" w:sz="4" w:space="0"/>
            </w:tcBorders>
            <w:vAlign w:val="bottom"/>
          </w:tcPr>
          <w:p w14:paraId="2CF7184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22.648 </w:t>
            </w:r>
          </w:p>
        </w:tc>
      </w:tr>
      <w:tr w14:paraId="228A68C0">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637ED7C5">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3540E87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0.284 </w:t>
            </w:r>
          </w:p>
        </w:tc>
        <w:tc>
          <w:tcPr>
            <w:tcW w:w="735" w:type="pct"/>
            <w:tcBorders>
              <w:top w:val="nil"/>
              <w:left w:val="nil"/>
              <w:bottom w:val="single" w:color="auto" w:sz="4" w:space="0"/>
              <w:right w:val="single" w:color="auto" w:sz="4" w:space="0"/>
            </w:tcBorders>
            <w:shd w:val="clear" w:color="auto" w:fill="auto"/>
            <w:noWrap/>
            <w:vAlign w:val="bottom"/>
          </w:tcPr>
          <w:p w14:paraId="60525D4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1.756 </w:t>
            </w:r>
          </w:p>
        </w:tc>
        <w:tc>
          <w:tcPr>
            <w:tcW w:w="735" w:type="pct"/>
            <w:tcBorders>
              <w:top w:val="nil"/>
              <w:left w:val="nil"/>
              <w:bottom w:val="single" w:color="auto" w:sz="4" w:space="0"/>
              <w:right w:val="single" w:color="auto" w:sz="4" w:space="0"/>
            </w:tcBorders>
            <w:shd w:val="clear" w:color="auto" w:fill="auto"/>
            <w:noWrap/>
            <w:vAlign w:val="bottom"/>
          </w:tcPr>
          <w:p w14:paraId="5366D45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8.684 </w:t>
            </w:r>
          </w:p>
        </w:tc>
        <w:tc>
          <w:tcPr>
            <w:tcW w:w="735" w:type="pct"/>
            <w:tcBorders>
              <w:top w:val="nil"/>
              <w:left w:val="nil"/>
              <w:bottom w:val="single" w:color="auto" w:sz="4" w:space="0"/>
              <w:right w:val="single" w:color="auto" w:sz="4" w:space="0"/>
            </w:tcBorders>
            <w:shd w:val="clear" w:color="auto" w:fill="auto"/>
            <w:noWrap/>
            <w:vAlign w:val="bottom"/>
          </w:tcPr>
          <w:p w14:paraId="0E7EBCF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13.484 </w:t>
            </w:r>
          </w:p>
        </w:tc>
        <w:tc>
          <w:tcPr>
            <w:tcW w:w="735" w:type="pct"/>
            <w:tcBorders>
              <w:top w:val="nil"/>
              <w:left w:val="nil"/>
              <w:bottom w:val="single" w:color="auto" w:sz="4" w:space="0"/>
              <w:right w:val="single" w:color="auto" w:sz="4" w:space="0"/>
            </w:tcBorders>
            <w:vAlign w:val="bottom"/>
          </w:tcPr>
          <w:p w14:paraId="21A42AB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22.689 </w:t>
            </w:r>
          </w:p>
        </w:tc>
      </w:tr>
      <w:tr w14:paraId="2776FCD1">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25B262C8">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50361F9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0.282 </w:t>
            </w:r>
          </w:p>
        </w:tc>
        <w:tc>
          <w:tcPr>
            <w:tcW w:w="735" w:type="pct"/>
            <w:tcBorders>
              <w:top w:val="nil"/>
              <w:left w:val="nil"/>
              <w:bottom w:val="single" w:color="auto" w:sz="4" w:space="0"/>
              <w:right w:val="single" w:color="auto" w:sz="4" w:space="0"/>
            </w:tcBorders>
            <w:shd w:val="clear" w:color="auto" w:fill="auto"/>
            <w:noWrap/>
            <w:vAlign w:val="bottom"/>
          </w:tcPr>
          <w:p w14:paraId="1B83925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1.784 </w:t>
            </w:r>
          </w:p>
        </w:tc>
        <w:tc>
          <w:tcPr>
            <w:tcW w:w="735" w:type="pct"/>
            <w:tcBorders>
              <w:top w:val="nil"/>
              <w:left w:val="nil"/>
              <w:bottom w:val="single" w:color="auto" w:sz="4" w:space="0"/>
              <w:right w:val="single" w:color="auto" w:sz="4" w:space="0"/>
            </w:tcBorders>
            <w:shd w:val="clear" w:color="auto" w:fill="auto"/>
            <w:noWrap/>
            <w:vAlign w:val="bottom"/>
          </w:tcPr>
          <w:p w14:paraId="1F61EFB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8.604 </w:t>
            </w:r>
          </w:p>
        </w:tc>
        <w:tc>
          <w:tcPr>
            <w:tcW w:w="735" w:type="pct"/>
            <w:tcBorders>
              <w:top w:val="nil"/>
              <w:left w:val="nil"/>
              <w:bottom w:val="single" w:color="auto" w:sz="4" w:space="0"/>
              <w:right w:val="single" w:color="auto" w:sz="4" w:space="0"/>
            </w:tcBorders>
            <w:shd w:val="clear" w:color="auto" w:fill="auto"/>
            <w:noWrap/>
            <w:vAlign w:val="bottom"/>
          </w:tcPr>
          <w:p w14:paraId="38232AD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13.422 </w:t>
            </w:r>
          </w:p>
        </w:tc>
        <w:tc>
          <w:tcPr>
            <w:tcW w:w="735" w:type="pct"/>
            <w:tcBorders>
              <w:top w:val="nil"/>
              <w:left w:val="nil"/>
              <w:bottom w:val="single" w:color="auto" w:sz="4" w:space="0"/>
              <w:right w:val="single" w:color="auto" w:sz="4" w:space="0"/>
            </w:tcBorders>
            <w:vAlign w:val="bottom"/>
          </w:tcPr>
          <w:p w14:paraId="612F33E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22.546 </w:t>
            </w:r>
          </w:p>
        </w:tc>
      </w:tr>
      <w:tr w14:paraId="354100F6">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2DFF35B2">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173C89C8">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0.286 </w:t>
            </w:r>
          </w:p>
        </w:tc>
        <w:tc>
          <w:tcPr>
            <w:tcW w:w="735" w:type="pct"/>
            <w:tcBorders>
              <w:top w:val="nil"/>
              <w:left w:val="nil"/>
              <w:bottom w:val="single" w:color="auto" w:sz="4" w:space="0"/>
              <w:right w:val="single" w:color="auto" w:sz="4" w:space="0"/>
            </w:tcBorders>
            <w:shd w:val="clear" w:color="auto" w:fill="auto"/>
            <w:noWrap/>
            <w:vAlign w:val="bottom"/>
          </w:tcPr>
          <w:p w14:paraId="75B87A8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1.744 </w:t>
            </w:r>
          </w:p>
        </w:tc>
        <w:tc>
          <w:tcPr>
            <w:tcW w:w="735" w:type="pct"/>
            <w:tcBorders>
              <w:top w:val="nil"/>
              <w:left w:val="nil"/>
              <w:bottom w:val="single" w:color="auto" w:sz="4" w:space="0"/>
              <w:right w:val="single" w:color="auto" w:sz="4" w:space="0"/>
            </w:tcBorders>
            <w:shd w:val="clear" w:color="auto" w:fill="auto"/>
            <w:noWrap/>
            <w:vAlign w:val="bottom"/>
          </w:tcPr>
          <w:p w14:paraId="60B2019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8.789 </w:t>
            </w:r>
          </w:p>
        </w:tc>
        <w:tc>
          <w:tcPr>
            <w:tcW w:w="735" w:type="pct"/>
            <w:tcBorders>
              <w:top w:val="nil"/>
              <w:left w:val="nil"/>
              <w:bottom w:val="single" w:color="auto" w:sz="4" w:space="0"/>
              <w:right w:val="single" w:color="auto" w:sz="4" w:space="0"/>
            </w:tcBorders>
            <w:shd w:val="clear" w:color="auto" w:fill="auto"/>
            <w:noWrap/>
            <w:vAlign w:val="bottom"/>
          </w:tcPr>
          <w:p w14:paraId="6750ABE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13.488 </w:t>
            </w:r>
          </w:p>
        </w:tc>
        <w:tc>
          <w:tcPr>
            <w:tcW w:w="735" w:type="pct"/>
            <w:tcBorders>
              <w:top w:val="nil"/>
              <w:left w:val="nil"/>
              <w:bottom w:val="single" w:color="auto" w:sz="4" w:space="0"/>
              <w:right w:val="single" w:color="auto" w:sz="4" w:space="0"/>
            </w:tcBorders>
            <w:vAlign w:val="bottom"/>
          </w:tcPr>
          <w:p w14:paraId="14C00C3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22.684 </w:t>
            </w:r>
          </w:p>
        </w:tc>
      </w:tr>
      <w:tr w14:paraId="3F7B0E0E">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7B3FF602">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2355607A">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0.284 </w:t>
            </w:r>
          </w:p>
        </w:tc>
        <w:tc>
          <w:tcPr>
            <w:tcW w:w="735" w:type="pct"/>
            <w:tcBorders>
              <w:top w:val="nil"/>
              <w:left w:val="nil"/>
              <w:bottom w:val="single" w:color="auto" w:sz="4" w:space="0"/>
              <w:right w:val="single" w:color="auto" w:sz="4" w:space="0"/>
            </w:tcBorders>
            <w:shd w:val="clear" w:color="auto" w:fill="auto"/>
            <w:noWrap/>
            <w:vAlign w:val="bottom"/>
          </w:tcPr>
          <w:p w14:paraId="16E54FB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1.762 </w:t>
            </w:r>
          </w:p>
        </w:tc>
        <w:tc>
          <w:tcPr>
            <w:tcW w:w="735" w:type="pct"/>
            <w:tcBorders>
              <w:top w:val="nil"/>
              <w:left w:val="nil"/>
              <w:bottom w:val="single" w:color="auto" w:sz="4" w:space="0"/>
              <w:right w:val="single" w:color="auto" w:sz="4" w:space="0"/>
            </w:tcBorders>
            <w:shd w:val="clear" w:color="auto" w:fill="auto"/>
            <w:noWrap/>
            <w:vAlign w:val="bottom"/>
          </w:tcPr>
          <w:p w14:paraId="19FC2F6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8.639 </w:t>
            </w:r>
          </w:p>
        </w:tc>
        <w:tc>
          <w:tcPr>
            <w:tcW w:w="735" w:type="pct"/>
            <w:tcBorders>
              <w:top w:val="nil"/>
              <w:left w:val="nil"/>
              <w:bottom w:val="single" w:color="auto" w:sz="4" w:space="0"/>
              <w:right w:val="single" w:color="auto" w:sz="4" w:space="0"/>
            </w:tcBorders>
            <w:shd w:val="clear" w:color="auto" w:fill="auto"/>
            <w:noWrap/>
            <w:vAlign w:val="bottom"/>
          </w:tcPr>
          <w:p w14:paraId="0BB6799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13.465 </w:t>
            </w:r>
          </w:p>
        </w:tc>
        <w:tc>
          <w:tcPr>
            <w:tcW w:w="735" w:type="pct"/>
            <w:tcBorders>
              <w:top w:val="nil"/>
              <w:left w:val="nil"/>
              <w:bottom w:val="single" w:color="auto" w:sz="4" w:space="0"/>
              <w:right w:val="single" w:color="auto" w:sz="4" w:space="0"/>
            </w:tcBorders>
            <w:vAlign w:val="bottom"/>
          </w:tcPr>
          <w:p w14:paraId="081E040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22.732 </w:t>
            </w:r>
          </w:p>
        </w:tc>
      </w:tr>
      <w:tr w14:paraId="285EF238">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35582297">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6768EF2E">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0.284 </w:t>
            </w:r>
          </w:p>
        </w:tc>
        <w:tc>
          <w:tcPr>
            <w:tcW w:w="735" w:type="pct"/>
            <w:tcBorders>
              <w:top w:val="nil"/>
              <w:left w:val="nil"/>
              <w:bottom w:val="single" w:color="auto" w:sz="4" w:space="0"/>
              <w:right w:val="single" w:color="auto" w:sz="4" w:space="0"/>
            </w:tcBorders>
            <w:shd w:val="clear" w:color="auto" w:fill="auto"/>
            <w:noWrap/>
            <w:vAlign w:val="bottom"/>
          </w:tcPr>
          <w:p w14:paraId="6DE05174">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1.722 </w:t>
            </w:r>
          </w:p>
        </w:tc>
        <w:tc>
          <w:tcPr>
            <w:tcW w:w="735" w:type="pct"/>
            <w:tcBorders>
              <w:top w:val="nil"/>
              <w:left w:val="nil"/>
              <w:bottom w:val="single" w:color="auto" w:sz="4" w:space="0"/>
              <w:right w:val="single" w:color="auto" w:sz="4" w:space="0"/>
            </w:tcBorders>
            <w:shd w:val="clear" w:color="auto" w:fill="auto"/>
            <w:noWrap/>
            <w:vAlign w:val="bottom"/>
          </w:tcPr>
          <w:p w14:paraId="409A7C8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8.605 </w:t>
            </w:r>
          </w:p>
        </w:tc>
        <w:tc>
          <w:tcPr>
            <w:tcW w:w="735" w:type="pct"/>
            <w:tcBorders>
              <w:top w:val="nil"/>
              <w:left w:val="nil"/>
              <w:bottom w:val="single" w:color="auto" w:sz="4" w:space="0"/>
              <w:right w:val="single" w:color="auto" w:sz="4" w:space="0"/>
            </w:tcBorders>
            <w:shd w:val="clear" w:color="auto" w:fill="auto"/>
            <w:noWrap/>
            <w:vAlign w:val="bottom"/>
          </w:tcPr>
          <w:p w14:paraId="4A110B4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13.374 </w:t>
            </w:r>
          </w:p>
        </w:tc>
        <w:tc>
          <w:tcPr>
            <w:tcW w:w="735" w:type="pct"/>
            <w:tcBorders>
              <w:top w:val="nil"/>
              <w:left w:val="nil"/>
              <w:bottom w:val="single" w:color="auto" w:sz="4" w:space="0"/>
              <w:right w:val="single" w:color="auto" w:sz="4" w:space="0"/>
            </w:tcBorders>
            <w:vAlign w:val="bottom"/>
          </w:tcPr>
          <w:p w14:paraId="5F402CC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22.613 </w:t>
            </w:r>
          </w:p>
        </w:tc>
      </w:tr>
      <w:tr w14:paraId="7245512C">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3416D8BD">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36D29AB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0.279 </w:t>
            </w:r>
          </w:p>
        </w:tc>
        <w:tc>
          <w:tcPr>
            <w:tcW w:w="735" w:type="pct"/>
            <w:tcBorders>
              <w:top w:val="nil"/>
              <w:left w:val="nil"/>
              <w:bottom w:val="single" w:color="auto" w:sz="4" w:space="0"/>
              <w:right w:val="single" w:color="auto" w:sz="4" w:space="0"/>
            </w:tcBorders>
            <w:shd w:val="clear" w:color="auto" w:fill="auto"/>
            <w:noWrap/>
            <w:vAlign w:val="bottom"/>
          </w:tcPr>
          <w:p w14:paraId="11EBC05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1.728 </w:t>
            </w:r>
          </w:p>
        </w:tc>
        <w:tc>
          <w:tcPr>
            <w:tcW w:w="735" w:type="pct"/>
            <w:tcBorders>
              <w:top w:val="nil"/>
              <w:left w:val="nil"/>
              <w:bottom w:val="single" w:color="auto" w:sz="4" w:space="0"/>
              <w:right w:val="single" w:color="auto" w:sz="4" w:space="0"/>
            </w:tcBorders>
            <w:shd w:val="clear" w:color="auto" w:fill="auto"/>
            <w:noWrap/>
            <w:vAlign w:val="bottom"/>
          </w:tcPr>
          <w:p w14:paraId="18BFF45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8.656 </w:t>
            </w:r>
          </w:p>
        </w:tc>
        <w:tc>
          <w:tcPr>
            <w:tcW w:w="735" w:type="pct"/>
            <w:tcBorders>
              <w:top w:val="nil"/>
              <w:left w:val="nil"/>
              <w:bottom w:val="single" w:color="auto" w:sz="4" w:space="0"/>
              <w:right w:val="single" w:color="auto" w:sz="4" w:space="0"/>
            </w:tcBorders>
            <w:shd w:val="clear" w:color="auto" w:fill="auto"/>
            <w:noWrap/>
            <w:vAlign w:val="bottom"/>
          </w:tcPr>
          <w:p w14:paraId="0AC8FF5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13.466 </w:t>
            </w:r>
          </w:p>
        </w:tc>
        <w:tc>
          <w:tcPr>
            <w:tcW w:w="735" w:type="pct"/>
            <w:tcBorders>
              <w:top w:val="nil"/>
              <w:left w:val="nil"/>
              <w:bottom w:val="single" w:color="auto" w:sz="4" w:space="0"/>
              <w:right w:val="single" w:color="auto" w:sz="4" w:space="0"/>
            </w:tcBorders>
            <w:vAlign w:val="bottom"/>
          </w:tcPr>
          <w:p w14:paraId="6DD6A93D">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22.701 </w:t>
            </w:r>
          </w:p>
        </w:tc>
      </w:tr>
      <w:tr w14:paraId="01A31EDB">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00CDD69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1BBE1C8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0.290 </w:t>
            </w:r>
          </w:p>
        </w:tc>
        <w:tc>
          <w:tcPr>
            <w:tcW w:w="735" w:type="pct"/>
            <w:tcBorders>
              <w:top w:val="nil"/>
              <w:left w:val="nil"/>
              <w:bottom w:val="single" w:color="auto" w:sz="4" w:space="0"/>
              <w:right w:val="single" w:color="auto" w:sz="4" w:space="0"/>
            </w:tcBorders>
            <w:shd w:val="clear" w:color="auto" w:fill="auto"/>
            <w:noWrap/>
            <w:vAlign w:val="bottom"/>
          </w:tcPr>
          <w:p w14:paraId="3F5A9BAC">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1.785 </w:t>
            </w:r>
          </w:p>
        </w:tc>
        <w:tc>
          <w:tcPr>
            <w:tcW w:w="735" w:type="pct"/>
            <w:tcBorders>
              <w:top w:val="nil"/>
              <w:left w:val="nil"/>
              <w:bottom w:val="single" w:color="auto" w:sz="4" w:space="0"/>
              <w:right w:val="single" w:color="auto" w:sz="4" w:space="0"/>
            </w:tcBorders>
            <w:shd w:val="clear" w:color="auto" w:fill="auto"/>
            <w:noWrap/>
            <w:vAlign w:val="bottom"/>
          </w:tcPr>
          <w:p w14:paraId="36B3B00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8.779 </w:t>
            </w:r>
          </w:p>
        </w:tc>
        <w:tc>
          <w:tcPr>
            <w:tcW w:w="735" w:type="pct"/>
            <w:tcBorders>
              <w:top w:val="nil"/>
              <w:left w:val="nil"/>
              <w:bottom w:val="single" w:color="auto" w:sz="4" w:space="0"/>
              <w:right w:val="single" w:color="auto" w:sz="4" w:space="0"/>
            </w:tcBorders>
            <w:shd w:val="clear" w:color="auto" w:fill="auto"/>
            <w:noWrap/>
            <w:vAlign w:val="bottom"/>
          </w:tcPr>
          <w:p w14:paraId="263386C5">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13.495 </w:t>
            </w:r>
          </w:p>
        </w:tc>
        <w:tc>
          <w:tcPr>
            <w:tcW w:w="735" w:type="pct"/>
            <w:tcBorders>
              <w:top w:val="nil"/>
              <w:left w:val="nil"/>
              <w:bottom w:val="single" w:color="auto" w:sz="4" w:space="0"/>
              <w:right w:val="single" w:color="auto" w:sz="4" w:space="0"/>
            </w:tcBorders>
            <w:vAlign w:val="bottom"/>
          </w:tcPr>
          <w:p w14:paraId="7F5DE47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22.636 </w:t>
            </w:r>
          </w:p>
        </w:tc>
      </w:tr>
      <w:tr w14:paraId="3BABF2E4">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5CF9228A">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17111C82">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0.285 </w:t>
            </w:r>
          </w:p>
        </w:tc>
        <w:tc>
          <w:tcPr>
            <w:tcW w:w="735" w:type="pct"/>
            <w:tcBorders>
              <w:top w:val="nil"/>
              <w:left w:val="nil"/>
              <w:bottom w:val="single" w:color="auto" w:sz="4" w:space="0"/>
              <w:right w:val="single" w:color="auto" w:sz="4" w:space="0"/>
            </w:tcBorders>
            <w:shd w:val="clear" w:color="auto" w:fill="auto"/>
            <w:noWrap/>
            <w:vAlign w:val="bottom"/>
          </w:tcPr>
          <w:p w14:paraId="08E6C9E7">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1.746 </w:t>
            </w:r>
          </w:p>
        </w:tc>
        <w:tc>
          <w:tcPr>
            <w:tcW w:w="735" w:type="pct"/>
            <w:tcBorders>
              <w:top w:val="nil"/>
              <w:left w:val="nil"/>
              <w:bottom w:val="single" w:color="auto" w:sz="4" w:space="0"/>
              <w:right w:val="single" w:color="auto" w:sz="4" w:space="0"/>
            </w:tcBorders>
            <w:shd w:val="clear" w:color="auto" w:fill="auto"/>
            <w:noWrap/>
            <w:vAlign w:val="bottom"/>
          </w:tcPr>
          <w:p w14:paraId="5A36A5B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8.726 </w:t>
            </w:r>
          </w:p>
        </w:tc>
        <w:tc>
          <w:tcPr>
            <w:tcW w:w="735" w:type="pct"/>
            <w:tcBorders>
              <w:top w:val="nil"/>
              <w:left w:val="nil"/>
              <w:bottom w:val="single" w:color="auto" w:sz="4" w:space="0"/>
              <w:right w:val="single" w:color="auto" w:sz="4" w:space="0"/>
            </w:tcBorders>
            <w:shd w:val="clear" w:color="auto" w:fill="auto"/>
            <w:noWrap/>
            <w:vAlign w:val="bottom"/>
          </w:tcPr>
          <w:p w14:paraId="0E245870">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13.363 </w:t>
            </w:r>
          </w:p>
        </w:tc>
        <w:tc>
          <w:tcPr>
            <w:tcW w:w="735" w:type="pct"/>
            <w:tcBorders>
              <w:top w:val="nil"/>
              <w:left w:val="nil"/>
              <w:bottom w:val="single" w:color="auto" w:sz="4" w:space="0"/>
              <w:right w:val="single" w:color="auto" w:sz="4" w:space="0"/>
            </w:tcBorders>
            <w:vAlign w:val="bottom"/>
          </w:tcPr>
          <w:p w14:paraId="649CAC79">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22.647 </w:t>
            </w:r>
          </w:p>
        </w:tc>
      </w:tr>
      <w:tr w14:paraId="2C5EC329">
        <w:tblPrEx>
          <w:tblCellMar>
            <w:top w:w="0" w:type="dxa"/>
            <w:left w:w="108" w:type="dxa"/>
            <w:bottom w:w="0" w:type="dxa"/>
            <w:right w:w="108" w:type="dxa"/>
          </w:tblCellMar>
        </w:tblPrEx>
        <w:trPr>
          <w:trHeight w:val="312" w:hRule="exact"/>
          <w:jc w:val="center"/>
        </w:trPr>
        <w:tc>
          <w:tcPr>
            <w:tcW w:w="1324" w:type="pct"/>
            <w:vMerge w:val="continue"/>
            <w:tcBorders>
              <w:top w:val="nil"/>
              <w:left w:val="single" w:color="auto" w:sz="4" w:space="0"/>
              <w:bottom w:val="single" w:color="auto" w:sz="4" w:space="0"/>
              <w:right w:val="single" w:color="auto" w:sz="4" w:space="0"/>
            </w:tcBorders>
            <w:vAlign w:val="center"/>
          </w:tcPr>
          <w:p w14:paraId="132DCA21">
            <w:pPr>
              <w:keepNext w:val="0"/>
              <w:keepLines w:val="0"/>
              <w:pageBreakBefore w:val="0"/>
              <w:widowControl/>
              <w:kinsoku/>
              <w:wordWrap/>
              <w:overflowPunct/>
              <w:topLinePunct w:val="0"/>
              <w:bidi w:val="0"/>
              <w:adjustRightInd w:val="0"/>
              <w:snapToGrid w:val="0"/>
              <w:spacing w:line="360" w:lineRule="auto"/>
              <w:jc w:val="center"/>
              <w:textAlignment w:val="auto"/>
              <w:rPr>
                <w:rFonts w:hint="default" w:ascii="Times New Roman" w:hAnsi="Times New Roman" w:cs="Times New Roman"/>
                <w:color w:val="000000"/>
                <w:kern w:val="0"/>
                <w:sz w:val="18"/>
                <w:szCs w:val="22"/>
              </w:rPr>
            </w:pPr>
          </w:p>
        </w:tc>
        <w:tc>
          <w:tcPr>
            <w:tcW w:w="735" w:type="pct"/>
            <w:tcBorders>
              <w:top w:val="nil"/>
              <w:left w:val="nil"/>
              <w:bottom w:val="single" w:color="auto" w:sz="4" w:space="0"/>
              <w:right w:val="single" w:color="auto" w:sz="4" w:space="0"/>
            </w:tcBorders>
            <w:shd w:val="clear" w:color="auto" w:fill="auto"/>
            <w:noWrap/>
            <w:vAlign w:val="bottom"/>
          </w:tcPr>
          <w:p w14:paraId="03635AB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0.299 </w:t>
            </w:r>
          </w:p>
        </w:tc>
        <w:tc>
          <w:tcPr>
            <w:tcW w:w="735" w:type="pct"/>
            <w:tcBorders>
              <w:top w:val="nil"/>
              <w:left w:val="nil"/>
              <w:bottom w:val="single" w:color="auto" w:sz="4" w:space="0"/>
              <w:right w:val="single" w:color="auto" w:sz="4" w:space="0"/>
            </w:tcBorders>
            <w:shd w:val="clear" w:color="auto" w:fill="auto"/>
            <w:noWrap/>
            <w:vAlign w:val="bottom"/>
          </w:tcPr>
          <w:p w14:paraId="1AF03FCF">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1.739 </w:t>
            </w:r>
          </w:p>
        </w:tc>
        <w:tc>
          <w:tcPr>
            <w:tcW w:w="735" w:type="pct"/>
            <w:tcBorders>
              <w:top w:val="nil"/>
              <w:left w:val="nil"/>
              <w:bottom w:val="single" w:color="auto" w:sz="4" w:space="0"/>
              <w:right w:val="single" w:color="auto" w:sz="4" w:space="0"/>
            </w:tcBorders>
            <w:shd w:val="clear" w:color="auto" w:fill="auto"/>
            <w:noWrap/>
            <w:vAlign w:val="bottom"/>
          </w:tcPr>
          <w:p w14:paraId="23F002D1">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8.764 </w:t>
            </w:r>
          </w:p>
        </w:tc>
        <w:tc>
          <w:tcPr>
            <w:tcW w:w="735" w:type="pct"/>
            <w:tcBorders>
              <w:top w:val="nil"/>
              <w:left w:val="nil"/>
              <w:bottom w:val="single" w:color="auto" w:sz="4" w:space="0"/>
              <w:right w:val="single" w:color="auto" w:sz="4" w:space="0"/>
            </w:tcBorders>
            <w:shd w:val="clear" w:color="auto" w:fill="auto"/>
            <w:noWrap/>
            <w:vAlign w:val="bottom"/>
          </w:tcPr>
          <w:p w14:paraId="75918F86">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13.392 </w:t>
            </w:r>
          </w:p>
        </w:tc>
        <w:tc>
          <w:tcPr>
            <w:tcW w:w="735" w:type="pct"/>
            <w:tcBorders>
              <w:top w:val="nil"/>
              <w:left w:val="nil"/>
              <w:bottom w:val="single" w:color="auto" w:sz="4" w:space="0"/>
              <w:right w:val="single" w:color="auto" w:sz="4" w:space="0"/>
            </w:tcBorders>
            <w:vAlign w:val="bottom"/>
          </w:tcPr>
          <w:p w14:paraId="5CEB2443">
            <w:pPr>
              <w:keepNext w:val="0"/>
              <w:keepLines w:val="0"/>
              <w:widowControl/>
              <w:suppressLineNumbers w:val="0"/>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22.622 </w:t>
            </w:r>
          </w:p>
        </w:tc>
      </w:tr>
    </w:tbl>
    <w:p w14:paraId="37E8DF13">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cs="Times New Roman"/>
          <w:szCs w:val="21"/>
        </w:rPr>
      </w:pPr>
    </w:p>
    <w:p w14:paraId="7E8E4B4D">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w:t>
      </w:r>
      <w:r>
        <w:rPr>
          <w:rFonts w:hint="default" w:ascii="Times New Roman" w:hAnsi="Times New Roman" w:cs="Times New Roman"/>
          <w:szCs w:val="21"/>
          <w:lang w:val="en-US" w:eastAsia="zh-CN"/>
        </w:rPr>
        <w:t>B</w:t>
      </w:r>
      <w:r>
        <w:rPr>
          <w:rFonts w:hint="default" w:ascii="Times New Roman" w:hAnsi="Times New Roman" w:cs="Times New Roman"/>
          <w:szCs w:val="21"/>
        </w:rPr>
        <w:t>.2 各单元平均值（%）</w:t>
      </w:r>
    </w:p>
    <w:tbl>
      <w:tblPr>
        <w:tblStyle w:val="4"/>
        <w:tblW w:w="5000" w:type="pct"/>
        <w:tblInd w:w="0" w:type="dxa"/>
        <w:tblLayout w:type="autofit"/>
        <w:tblCellMar>
          <w:top w:w="0" w:type="dxa"/>
          <w:left w:w="108" w:type="dxa"/>
          <w:bottom w:w="0" w:type="dxa"/>
          <w:right w:w="108" w:type="dxa"/>
        </w:tblCellMar>
      </w:tblPr>
      <w:tblGrid>
        <w:gridCol w:w="3016"/>
        <w:gridCol w:w="1043"/>
        <w:gridCol w:w="1119"/>
        <w:gridCol w:w="1114"/>
        <w:gridCol w:w="1115"/>
        <w:gridCol w:w="1115"/>
      </w:tblGrid>
      <w:tr w14:paraId="0FD608F7">
        <w:tblPrEx>
          <w:tblCellMar>
            <w:top w:w="0" w:type="dxa"/>
            <w:left w:w="108" w:type="dxa"/>
            <w:bottom w:w="0" w:type="dxa"/>
            <w:right w:w="108" w:type="dxa"/>
          </w:tblCellMar>
        </w:tblPrEx>
        <w:trPr>
          <w:trHeight w:val="360" w:hRule="atLeast"/>
          <w:tblHeader/>
        </w:trPr>
        <w:tc>
          <w:tcPr>
            <w:tcW w:w="172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F2F076">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实验室</w:t>
            </w:r>
          </w:p>
        </w:tc>
        <w:tc>
          <w:tcPr>
            <w:tcW w:w="620" w:type="pct"/>
            <w:tcBorders>
              <w:top w:val="single" w:color="auto" w:sz="4" w:space="0"/>
              <w:left w:val="nil"/>
              <w:bottom w:val="single" w:color="auto" w:sz="4" w:space="0"/>
              <w:right w:val="single" w:color="auto" w:sz="4" w:space="0"/>
            </w:tcBorders>
            <w:shd w:val="clear" w:color="auto" w:fill="auto"/>
            <w:noWrap/>
            <w:vAlign w:val="center"/>
          </w:tcPr>
          <w:p w14:paraId="3C4E2B17">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水平1</w:t>
            </w:r>
          </w:p>
        </w:tc>
        <w:tc>
          <w:tcPr>
            <w:tcW w:w="665" w:type="pct"/>
            <w:tcBorders>
              <w:top w:val="single" w:color="auto" w:sz="4" w:space="0"/>
              <w:left w:val="nil"/>
              <w:bottom w:val="single" w:color="auto" w:sz="4" w:space="0"/>
              <w:right w:val="single" w:color="auto" w:sz="4" w:space="0"/>
            </w:tcBorders>
            <w:shd w:val="clear" w:color="auto" w:fill="auto"/>
            <w:noWrap/>
            <w:vAlign w:val="center"/>
          </w:tcPr>
          <w:p w14:paraId="1251D80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水平2</w:t>
            </w:r>
          </w:p>
        </w:tc>
        <w:tc>
          <w:tcPr>
            <w:tcW w:w="662" w:type="pct"/>
            <w:tcBorders>
              <w:top w:val="single" w:color="auto" w:sz="4" w:space="0"/>
              <w:left w:val="nil"/>
              <w:bottom w:val="single" w:color="auto" w:sz="4" w:space="0"/>
              <w:right w:val="single" w:color="auto" w:sz="4" w:space="0"/>
            </w:tcBorders>
            <w:shd w:val="clear" w:color="auto" w:fill="auto"/>
            <w:noWrap/>
            <w:vAlign w:val="center"/>
          </w:tcPr>
          <w:p w14:paraId="152FF61E">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水平3</w:t>
            </w:r>
          </w:p>
        </w:tc>
        <w:tc>
          <w:tcPr>
            <w:tcW w:w="662" w:type="pct"/>
            <w:tcBorders>
              <w:top w:val="single" w:color="auto" w:sz="4" w:space="0"/>
              <w:left w:val="nil"/>
              <w:bottom w:val="single" w:color="auto" w:sz="4" w:space="0"/>
              <w:right w:val="single" w:color="auto" w:sz="4" w:space="0"/>
            </w:tcBorders>
          </w:tcPr>
          <w:p w14:paraId="4C2A61B0">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水平4</w:t>
            </w:r>
          </w:p>
        </w:tc>
        <w:tc>
          <w:tcPr>
            <w:tcW w:w="662" w:type="pct"/>
            <w:tcBorders>
              <w:top w:val="single" w:color="auto" w:sz="4" w:space="0"/>
              <w:left w:val="nil"/>
              <w:bottom w:val="single" w:color="auto" w:sz="4" w:space="0"/>
              <w:right w:val="single" w:color="auto" w:sz="4" w:space="0"/>
            </w:tcBorders>
          </w:tcPr>
          <w:p w14:paraId="1F480E1B">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kern w:val="0"/>
                <w:sz w:val="18"/>
                <w:szCs w:val="18"/>
              </w:rPr>
            </w:pPr>
            <w:r>
              <w:rPr>
                <w:rFonts w:hint="default" w:ascii="Times New Roman" w:hAnsi="Times New Roman" w:cs="Times New Roman" w:eastAsiaTheme="minorEastAsia"/>
                <w:kern w:val="0"/>
                <w:sz w:val="18"/>
                <w:szCs w:val="18"/>
              </w:rPr>
              <w:t>水平5</w:t>
            </w:r>
          </w:p>
        </w:tc>
      </w:tr>
      <w:tr w14:paraId="6E313202">
        <w:tblPrEx>
          <w:tblCellMar>
            <w:top w:w="0" w:type="dxa"/>
            <w:left w:w="108" w:type="dxa"/>
            <w:bottom w:w="0" w:type="dxa"/>
            <w:right w:w="108" w:type="dxa"/>
          </w:tblCellMar>
        </w:tblPrEx>
        <w:trPr>
          <w:trHeight w:val="360" w:hRule="atLeast"/>
        </w:trPr>
        <w:tc>
          <w:tcPr>
            <w:tcW w:w="1725" w:type="pct"/>
            <w:tcBorders>
              <w:top w:val="nil"/>
              <w:left w:val="single" w:color="auto" w:sz="4" w:space="0"/>
              <w:bottom w:val="single" w:color="auto" w:sz="4" w:space="0"/>
              <w:right w:val="single" w:color="auto" w:sz="4" w:space="0"/>
            </w:tcBorders>
            <w:shd w:val="clear" w:color="auto" w:fill="auto"/>
            <w:noWrap/>
            <w:vAlign w:val="center"/>
          </w:tcPr>
          <w:p w14:paraId="2E877311">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包头稀土研究研究</w:t>
            </w:r>
          </w:p>
        </w:tc>
        <w:tc>
          <w:tcPr>
            <w:tcW w:w="1043" w:type="dxa"/>
            <w:tcBorders>
              <w:top w:val="nil"/>
              <w:left w:val="nil"/>
              <w:bottom w:val="single" w:color="auto" w:sz="4" w:space="0"/>
              <w:right w:val="single" w:color="auto" w:sz="4" w:space="0"/>
            </w:tcBorders>
            <w:shd w:val="clear" w:color="auto" w:fill="auto"/>
            <w:noWrap/>
            <w:vAlign w:val="center"/>
          </w:tcPr>
          <w:p w14:paraId="38F5DE28">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0.294</w:t>
            </w:r>
          </w:p>
        </w:tc>
        <w:tc>
          <w:tcPr>
            <w:tcW w:w="1119" w:type="dxa"/>
            <w:tcBorders>
              <w:top w:val="nil"/>
              <w:left w:val="nil"/>
              <w:bottom w:val="single" w:color="auto" w:sz="4" w:space="0"/>
              <w:right w:val="single" w:color="auto" w:sz="4" w:space="0"/>
            </w:tcBorders>
            <w:shd w:val="clear" w:color="auto" w:fill="auto"/>
            <w:noWrap/>
            <w:vAlign w:val="center"/>
          </w:tcPr>
          <w:p w14:paraId="1EEAA078">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1.720</w:t>
            </w:r>
          </w:p>
        </w:tc>
        <w:tc>
          <w:tcPr>
            <w:tcW w:w="1114" w:type="dxa"/>
            <w:tcBorders>
              <w:top w:val="nil"/>
              <w:left w:val="nil"/>
              <w:bottom w:val="single" w:color="auto" w:sz="4" w:space="0"/>
              <w:right w:val="single" w:color="auto" w:sz="4" w:space="0"/>
            </w:tcBorders>
            <w:shd w:val="clear" w:color="auto" w:fill="auto"/>
            <w:noWrap/>
            <w:vAlign w:val="center"/>
          </w:tcPr>
          <w:p w14:paraId="10566FD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8.692</w:t>
            </w:r>
          </w:p>
        </w:tc>
        <w:tc>
          <w:tcPr>
            <w:tcW w:w="1115" w:type="dxa"/>
            <w:tcBorders>
              <w:top w:val="nil"/>
              <w:left w:val="nil"/>
              <w:bottom w:val="single" w:color="auto" w:sz="4" w:space="0"/>
              <w:right w:val="single" w:color="auto" w:sz="4" w:space="0"/>
            </w:tcBorders>
            <w:vAlign w:val="center"/>
          </w:tcPr>
          <w:p w14:paraId="3679B8F3">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13.534</w:t>
            </w:r>
          </w:p>
        </w:tc>
        <w:tc>
          <w:tcPr>
            <w:tcW w:w="1115" w:type="dxa"/>
            <w:tcBorders>
              <w:top w:val="nil"/>
              <w:left w:val="nil"/>
              <w:bottom w:val="single" w:color="auto" w:sz="4" w:space="0"/>
              <w:right w:val="single" w:color="auto" w:sz="4" w:space="0"/>
            </w:tcBorders>
            <w:vAlign w:val="center"/>
          </w:tcPr>
          <w:p w14:paraId="4A0FC8A1">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22.648</w:t>
            </w:r>
          </w:p>
        </w:tc>
      </w:tr>
      <w:tr w14:paraId="7084DC74">
        <w:tblPrEx>
          <w:tblCellMar>
            <w:top w:w="0" w:type="dxa"/>
            <w:left w:w="108" w:type="dxa"/>
            <w:bottom w:w="0" w:type="dxa"/>
            <w:right w:w="108" w:type="dxa"/>
          </w:tblCellMar>
        </w:tblPrEx>
        <w:trPr>
          <w:trHeight w:val="360" w:hRule="atLeast"/>
        </w:trPr>
        <w:tc>
          <w:tcPr>
            <w:tcW w:w="1725" w:type="pct"/>
            <w:tcBorders>
              <w:top w:val="nil"/>
              <w:left w:val="single" w:color="auto" w:sz="4" w:space="0"/>
              <w:bottom w:val="single" w:color="auto" w:sz="4" w:space="0"/>
              <w:right w:val="single" w:color="auto" w:sz="4" w:space="0"/>
            </w:tcBorders>
            <w:shd w:val="clear" w:color="auto" w:fill="auto"/>
            <w:noWrap/>
            <w:vAlign w:val="center"/>
          </w:tcPr>
          <w:p w14:paraId="454ED93F">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国标（北京）检验认证有限公司</w:t>
            </w:r>
          </w:p>
        </w:tc>
        <w:tc>
          <w:tcPr>
            <w:tcW w:w="1043" w:type="dxa"/>
            <w:tcBorders>
              <w:top w:val="nil"/>
              <w:left w:val="nil"/>
              <w:bottom w:val="single" w:color="auto" w:sz="4" w:space="0"/>
              <w:right w:val="single" w:color="auto" w:sz="4" w:space="0"/>
            </w:tcBorders>
            <w:shd w:val="clear" w:color="auto" w:fill="auto"/>
            <w:noWrap/>
            <w:vAlign w:val="center"/>
          </w:tcPr>
          <w:p w14:paraId="3CC333F5">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0.298</w:t>
            </w:r>
          </w:p>
        </w:tc>
        <w:tc>
          <w:tcPr>
            <w:tcW w:w="1119" w:type="dxa"/>
            <w:tcBorders>
              <w:top w:val="nil"/>
              <w:left w:val="nil"/>
              <w:bottom w:val="single" w:color="auto" w:sz="4" w:space="0"/>
              <w:right w:val="single" w:color="auto" w:sz="4" w:space="0"/>
            </w:tcBorders>
            <w:shd w:val="clear" w:color="auto" w:fill="auto"/>
            <w:noWrap/>
            <w:vAlign w:val="center"/>
          </w:tcPr>
          <w:p w14:paraId="5CD3D6C5">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1.801</w:t>
            </w:r>
          </w:p>
        </w:tc>
        <w:tc>
          <w:tcPr>
            <w:tcW w:w="1114" w:type="dxa"/>
            <w:tcBorders>
              <w:top w:val="nil"/>
              <w:left w:val="nil"/>
              <w:bottom w:val="single" w:color="auto" w:sz="4" w:space="0"/>
              <w:right w:val="single" w:color="auto" w:sz="4" w:space="0"/>
            </w:tcBorders>
            <w:shd w:val="clear" w:color="auto" w:fill="auto"/>
            <w:noWrap/>
            <w:vAlign w:val="center"/>
          </w:tcPr>
          <w:p w14:paraId="1BB40212">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8.790</w:t>
            </w:r>
          </w:p>
        </w:tc>
        <w:tc>
          <w:tcPr>
            <w:tcW w:w="1115" w:type="dxa"/>
            <w:tcBorders>
              <w:top w:val="nil"/>
              <w:left w:val="nil"/>
              <w:bottom w:val="single" w:color="auto" w:sz="4" w:space="0"/>
              <w:right w:val="single" w:color="auto" w:sz="4" w:space="0"/>
            </w:tcBorders>
            <w:vAlign w:val="center"/>
          </w:tcPr>
          <w:p w14:paraId="6F23615C">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13.652</w:t>
            </w:r>
          </w:p>
        </w:tc>
        <w:tc>
          <w:tcPr>
            <w:tcW w:w="1115" w:type="dxa"/>
            <w:tcBorders>
              <w:top w:val="nil"/>
              <w:left w:val="nil"/>
              <w:bottom w:val="single" w:color="auto" w:sz="4" w:space="0"/>
              <w:right w:val="single" w:color="auto" w:sz="4" w:space="0"/>
            </w:tcBorders>
            <w:vAlign w:val="center"/>
          </w:tcPr>
          <w:p w14:paraId="514D0ED9">
            <w:pPr>
              <w:spacing w:line="240" w:lineRule="auto"/>
              <w:jc w:val="center"/>
              <w:rPr>
                <w:rFonts w:hint="default" w:ascii="Times New Roman" w:hAnsi="Times New Roman" w:eastAsia="宋体" w:cs="Times New Roman"/>
                <w:color w:val="000000"/>
                <w:kern w:val="0"/>
                <w:sz w:val="18"/>
                <w:szCs w:val="22"/>
                <w:lang w:val="en-US" w:eastAsia="zh-CN"/>
              </w:rPr>
            </w:pPr>
            <w:r>
              <w:rPr>
                <w:rFonts w:hint="eastAsia" w:ascii="Times New Roman" w:hAnsi="Times New Roman" w:cs="Times New Roman"/>
                <w:color w:val="000000"/>
                <w:kern w:val="0"/>
                <w:sz w:val="18"/>
                <w:szCs w:val="22"/>
                <w:lang w:val="en-US" w:eastAsia="zh-CN"/>
              </w:rPr>
              <w:t>--</w:t>
            </w:r>
          </w:p>
        </w:tc>
      </w:tr>
      <w:tr w14:paraId="62130DA0">
        <w:tblPrEx>
          <w:tblCellMar>
            <w:top w:w="0" w:type="dxa"/>
            <w:left w:w="108" w:type="dxa"/>
            <w:bottom w:w="0" w:type="dxa"/>
            <w:right w:w="108" w:type="dxa"/>
          </w:tblCellMar>
        </w:tblPrEx>
        <w:trPr>
          <w:trHeight w:val="360" w:hRule="atLeast"/>
        </w:trPr>
        <w:tc>
          <w:tcPr>
            <w:tcW w:w="1725" w:type="pct"/>
            <w:tcBorders>
              <w:top w:val="nil"/>
              <w:left w:val="single" w:color="auto" w:sz="4" w:space="0"/>
              <w:bottom w:val="single" w:color="auto" w:sz="4" w:space="0"/>
              <w:right w:val="single" w:color="auto" w:sz="4" w:space="0"/>
            </w:tcBorders>
            <w:shd w:val="clear" w:color="auto" w:fill="auto"/>
            <w:noWrap/>
            <w:vAlign w:val="center"/>
          </w:tcPr>
          <w:p w14:paraId="415EC11B">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江西金世纪新材料股份有限公司</w:t>
            </w:r>
          </w:p>
        </w:tc>
        <w:tc>
          <w:tcPr>
            <w:tcW w:w="1043" w:type="dxa"/>
            <w:tcBorders>
              <w:top w:val="nil"/>
              <w:left w:val="nil"/>
              <w:bottom w:val="single" w:color="auto" w:sz="4" w:space="0"/>
              <w:right w:val="single" w:color="auto" w:sz="4" w:space="0"/>
            </w:tcBorders>
            <w:shd w:val="clear" w:color="auto" w:fill="auto"/>
            <w:noWrap/>
            <w:vAlign w:val="center"/>
          </w:tcPr>
          <w:p w14:paraId="5D0BC6BA">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0.314</w:t>
            </w:r>
          </w:p>
        </w:tc>
        <w:tc>
          <w:tcPr>
            <w:tcW w:w="1119" w:type="dxa"/>
            <w:tcBorders>
              <w:top w:val="nil"/>
              <w:left w:val="nil"/>
              <w:bottom w:val="single" w:color="auto" w:sz="4" w:space="0"/>
              <w:right w:val="single" w:color="auto" w:sz="4" w:space="0"/>
            </w:tcBorders>
            <w:shd w:val="clear" w:color="auto" w:fill="auto"/>
            <w:noWrap/>
            <w:vAlign w:val="center"/>
          </w:tcPr>
          <w:p w14:paraId="2A4FD901">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1.732</w:t>
            </w:r>
          </w:p>
        </w:tc>
        <w:tc>
          <w:tcPr>
            <w:tcW w:w="1114" w:type="dxa"/>
            <w:tcBorders>
              <w:top w:val="nil"/>
              <w:left w:val="nil"/>
              <w:bottom w:val="single" w:color="auto" w:sz="4" w:space="0"/>
              <w:right w:val="single" w:color="auto" w:sz="4" w:space="0"/>
            </w:tcBorders>
            <w:shd w:val="clear" w:color="auto" w:fill="auto"/>
            <w:noWrap/>
            <w:vAlign w:val="center"/>
          </w:tcPr>
          <w:p w14:paraId="58A28714">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8.682</w:t>
            </w:r>
          </w:p>
        </w:tc>
        <w:tc>
          <w:tcPr>
            <w:tcW w:w="1115" w:type="dxa"/>
            <w:tcBorders>
              <w:top w:val="nil"/>
              <w:left w:val="nil"/>
              <w:bottom w:val="single" w:color="auto" w:sz="4" w:space="0"/>
              <w:right w:val="single" w:color="auto" w:sz="4" w:space="0"/>
            </w:tcBorders>
            <w:vAlign w:val="center"/>
          </w:tcPr>
          <w:p w14:paraId="389E409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13.409</w:t>
            </w:r>
          </w:p>
        </w:tc>
        <w:tc>
          <w:tcPr>
            <w:tcW w:w="1115" w:type="dxa"/>
            <w:tcBorders>
              <w:top w:val="nil"/>
              <w:left w:val="nil"/>
              <w:bottom w:val="single" w:color="auto" w:sz="4" w:space="0"/>
              <w:right w:val="single" w:color="auto" w:sz="4" w:space="0"/>
            </w:tcBorders>
            <w:vAlign w:val="center"/>
          </w:tcPr>
          <w:p w14:paraId="2F92DA5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22.744</w:t>
            </w:r>
          </w:p>
        </w:tc>
      </w:tr>
      <w:tr w14:paraId="2CFC985C">
        <w:tblPrEx>
          <w:tblCellMar>
            <w:top w:w="0" w:type="dxa"/>
            <w:left w:w="108" w:type="dxa"/>
            <w:bottom w:w="0" w:type="dxa"/>
            <w:right w:w="108" w:type="dxa"/>
          </w:tblCellMar>
        </w:tblPrEx>
        <w:trPr>
          <w:trHeight w:val="360" w:hRule="atLeast"/>
        </w:trPr>
        <w:tc>
          <w:tcPr>
            <w:tcW w:w="1725" w:type="pct"/>
            <w:tcBorders>
              <w:top w:val="nil"/>
              <w:left w:val="single" w:color="auto" w:sz="4" w:space="0"/>
              <w:bottom w:val="single" w:color="auto" w:sz="4" w:space="0"/>
              <w:right w:val="single" w:color="auto" w:sz="4" w:space="0"/>
            </w:tcBorders>
            <w:shd w:val="clear" w:color="auto" w:fill="auto"/>
            <w:noWrap/>
            <w:vAlign w:val="center"/>
          </w:tcPr>
          <w:p w14:paraId="3791B910">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厦门稀土材料研究所</w:t>
            </w:r>
          </w:p>
        </w:tc>
        <w:tc>
          <w:tcPr>
            <w:tcW w:w="1043" w:type="dxa"/>
            <w:tcBorders>
              <w:top w:val="nil"/>
              <w:left w:val="nil"/>
              <w:bottom w:val="single" w:color="auto" w:sz="4" w:space="0"/>
              <w:right w:val="single" w:color="auto" w:sz="4" w:space="0"/>
            </w:tcBorders>
            <w:shd w:val="clear" w:color="auto" w:fill="auto"/>
            <w:noWrap/>
            <w:vAlign w:val="center"/>
          </w:tcPr>
          <w:p w14:paraId="3B24156E">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0.285</w:t>
            </w:r>
          </w:p>
        </w:tc>
        <w:tc>
          <w:tcPr>
            <w:tcW w:w="1119" w:type="dxa"/>
            <w:tcBorders>
              <w:top w:val="nil"/>
              <w:left w:val="nil"/>
              <w:bottom w:val="single" w:color="auto" w:sz="4" w:space="0"/>
              <w:right w:val="single" w:color="auto" w:sz="4" w:space="0"/>
            </w:tcBorders>
            <w:shd w:val="clear" w:color="auto" w:fill="auto"/>
            <w:noWrap/>
            <w:vAlign w:val="center"/>
          </w:tcPr>
          <w:p w14:paraId="400D9A4E">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1.735</w:t>
            </w:r>
          </w:p>
        </w:tc>
        <w:tc>
          <w:tcPr>
            <w:tcW w:w="1114" w:type="dxa"/>
            <w:tcBorders>
              <w:top w:val="nil"/>
              <w:left w:val="nil"/>
              <w:bottom w:val="single" w:color="auto" w:sz="4" w:space="0"/>
              <w:right w:val="single" w:color="auto" w:sz="4" w:space="0"/>
            </w:tcBorders>
            <w:shd w:val="clear" w:color="auto" w:fill="auto"/>
            <w:noWrap/>
            <w:vAlign w:val="center"/>
          </w:tcPr>
          <w:p w14:paraId="05C7F5D6">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8.681</w:t>
            </w:r>
          </w:p>
        </w:tc>
        <w:tc>
          <w:tcPr>
            <w:tcW w:w="1115" w:type="dxa"/>
            <w:tcBorders>
              <w:top w:val="nil"/>
              <w:left w:val="nil"/>
              <w:bottom w:val="single" w:color="auto" w:sz="4" w:space="0"/>
              <w:right w:val="single" w:color="auto" w:sz="4" w:space="0"/>
            </w:tcBorders>
            <w:vAlign w:val="center"/>
          </w:tcPr>
          <w:p w14:paraId="71D7ECDA">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13.399</w:t>
            </w:r>
          </w:p>
        </w:tc>
        <w:tc>
          <w:tcPr>
            <w:tcW w:w="1115" w:type="dxa"/>
            <w:tcBorders>
              <w:top w:val="nil"/>
              <w:left w:val="nil"/>
              <w:bottom w:val="single" w:color="auto" w:sz="4" w:space="0"/>
              <w:right w:val="single" w:color="auto" w:sz="4" w:space="0"/>
            </w:tcBorders>
            <w:vAlign w:val="center"/>
          </w:tcPr>
          <w:p w14:paraId="3EDDDA1E">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22.678</w:t>
            </w:r>
          </w:p>
        </w:tc>
      </w:tr>
      <w:tr w14:paraId="157658A4">
        <w:tblPrEx>
          <w:tblCellMar>
            <w:top w:w="0" w:type="dxa"/>
            <w:left w:w="108" w:type="dxa"/>
            <w:bottom w:w="0" w:type="dxa"/>
            <w:right w:w="108" w:type="dxa"/>
          </w:tblCellMar>
        </w:tblPrEx>
        <w:trPr>
          <w:trHeight w:val="360" w:hRule="atLeast"/>
        </w:trPr>
        <w:tc>
          <w:tcPr>
            <w:tcW w:w="1725" w:type="pct"/>
            <w:tcBorders>
              <w:top w:val="nil"/>
              <w:left w:val="single" w:color="auto" w:sz="4" w:space="0"/>
              <w:bottom w:val="single" w:color="auto" w:sz="4" w:space="0"/>
              <w:right w:val="single" w:color="auto" w:sz="4" w:space="0"/>
            </w:tcBorders>
            <w:shd w:val="clear" w:color="auto" w:fill="auto"/>
            <w:noWrap/>
            <w:vAlign w:val="center"/>
          </w:tcPr>
          <w:p w14:paraId="5D0782EA">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包头稀土新材料技术研发中心</w:t>
            </w:r>
          </w:p>
        </w:tc>
        <w:tc>
          <w:tcPr>
            <w:tcW w:w="1043" w:type="dxa"/>
            <w:tcBorders>
              <w:top w:val="nil"/>
              <w:left w:val="nil"/>
              <w:bottom w:val="single" w:color="auto" w:sz="4" w:space="0"/>
              <w:right w:val="single" w:color="auto" w:sz="4" w:space="0"/>
            </w:tcBorders>
            <w:shd w:val="clear" w:color="auto" w:fill="auto"/>
            <w:noWrap/>
            <w:vAlign w:val="center"/>
          </w:tcPr>
          <w:p w14:paraId="602FB124">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0.272</w:t>
            </w:r>
          </w:p>
        </w:tc>
        <w:tc>
          <w:tcPr>
            <w:tcW w:w="1119" w:type="dxa"/>
            <w:tcBorders>
              <w:top w:val="nil"/>
              <w:left w:val="nil"/>
              <w:bottom w:val="single" w:color="auto" w:sz="4" w:space="0"/>
              <w:right w:val="single" w:color="auto" w:sz="4" w:space="0"/>
            </w:tcBorders>
            <w:shd w:val="clear" w:color="auto" w:fill="auto"/>
            <w:noWrap/>
            <w:vAlign w:val="center"/>
          </w:tcPr>
          <w:p w14:paraId="7E59CCF1">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1.749</w:t>
            </w:r>
          </w:p>
        </w:tc>
        <w:tc>
          <w:tcPr>
            <w:tcW w:w="1114" w:type="dxa"/>
            <w:tcBorders>
              <w:top w:val="nil"/>
              <w:left w:val="nil"/>
              <w:bottom w:val="single" w:color="auto" w:sz="4" w:space="0"/>
              <w:right w:val="single" w:color="auto" w:sz="4" w:space="0"/>
            </w:tcBorders>
            <w:shd w:val="clear" w:color="auto" w:fill="auto"/>
            <w:noWrap/>
            <w:vAlign w:val="center"/>
          </w:tcPr>
          <w:p w14:paraId="5EB6E341">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8.786</w:t>
            </w:r>
          </w:p>
        </w:tc>
        <w:tc>
          <w:tcPr>
            <w:tcW w:w="1115" w:type="dxa"/>
            <w:tcBorders>
              <w:top w:val="nil"/>
              <w:left w:val="nil"/>
              <w:bottom w:val="single" w:color="auto" w:sz="4" w:space="0"/>
              <w:right w:val="single" w:color="auto" w:sz="4" w:space="0"/>
            </w:tcBorders>
            <w:vAlign w:val="center"/>
          </w:tcPr>
          <w:p w14:paraId="614B99B3">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13.456</w:t>
            </w:r>
          </w:p>
        </w:tc>
        <w:tc>
          <w:tcPr>
            <w:tcW w:w="1115" w:type="dxa"/>
            <w:tcBorders>
              <w:top w:val="nil"/>
              <w:left w:val="nil"/>
              <w:bottom w:val="single" w:color="auto" w:sz="4" w:space="0"/>
              <w:right w:val="single" w:color="auto" w:sz="4" w:space="0"/>
            </w:tcBorders>
            <w:vAlign w:val="center"/>
          </w:tcPr>
          <w:p w14:paraId="2823B622">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22.796</w:t>
            </w:r>
          </w:p>
        </w:tc>
      </w:tr>
      <w:tr w14:paraId="541A3612">
        <w:tblPrEx>
          <w:tblCellMar>
            <w:top w:w="0" w:type="dxa"/>
            <w:left w:w="108" w:type="dxa"/>
            <w:bottom w:w="0" w:type="dxa"/>
            <w:right w:w="108" w:type="dxa"/>
          </w:tblCellMar>
        </w:tblPrEx>
        <w:trPr>
          <w:trHeight w:val="360" w:hRule="atLeast"/>
        </w:trPr>
        <w:tc>
          <w:tcPr>
            <w:tcW w:w="1725" w:type="pct"/>
            <w:tcBorders>
              <w:top w:val="nil"/>
              <w:left w:val="single" w:color="auto" w:sz="4" w:space="0"/>
              <w:bottom w:val="single" w:color="auto" w:sz="4" w:space="0"/>
              <w:right w:val="single" w:color="auto" w:sz="4" w:space="0"/>
            </w:tcBorders>
            <w:shd w:val="clear" w:color="auto" w:fill="auto"/>
            <w:noWrap/>
            <w:vAlign w:val="center"/>
          </w:tcPr>
          <w:p w14:paraId="618FFB12">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包头华美稀土高科有限公司</w:t>
            </w:r>
          </w:p>
        </w:tc>
        <w:tc>
          <w:tcPr>
            <w:tcW w:w="1043" w:type="dxa"/>
            <w:tcBorders>
              <w:top w:val="nil"/>
              <w:left w:val="nil"/>
              <w:bottom w:val="single" w:color="auto" w:sz="4" w:space="0"/>
              <w:right w:val="single" w:color="auto" w:sz="4" w:space="0"/>
            </w:tcBorders>
            <w:shd w:val="clear" w:color="auto" w:fill="auto"/>
            <w:noWrap/>
            <w:vAlign w:val="center"/>
          </w:tcPr>
          <w:p w14:paraId="775D4090">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0.290</w:t>
            </w:r>
          </w:p>
        </w:tc>
        <w:tc>
          <w:tcPr>
            <w:tcW w:w="1119" w:type="dxa"/>
            <w:tcBorders>
              <w:top w:val="nil"/>
              <w:left w:val="nil"/>
              <w:bottom w:val="single" w:color="auto" w:sz="4" w:space="0"/>
              <w:right w:val="single" w:color="auto" w:sz="4" w:space="0"/>
            </w:tcBorders>
            <w:shd w:val="clear" w:color="auto" w:fill="auto"/>
            <w:noWrap/>
            <w:vAlign w:val="center"/>
          </w:tcPr>
          <w:p w14:paraId="298B84D1">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1.763</w:t>
            </w:r>
          </w:p>
        </w:tc>
        <w:tc>
          <w:tcPr>
            <w:tcW w:w="1114" w:type="dxa"/>
            <w:tcBorders>
              <w:top w:val="nil"/>
              <w:left w:val="nil"/>
              <w:bottom w:val="single" w:color="auto" w:sz="4" w:space="0"/>
              <w:right w:val="single" w:color="auto" w:sz="4" w:space="0"/>
            </w:tcBorders>
            <w:shd w:val="clear" w:color="auto" w:fill="auto"/>
            <w:noWrap/>
            <w:vAlign w:val="center"/>
          </w:tcPr>
          <w:p w14:paraId="3F50BAAB">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8.623</w:t>
            </w:r>
          </w:p>
        </w:tc>
        <w:tc>
          <w:tcPr>
            <w:tcW w:w="1115" w:type="dxa"/>
            <w:tcBorders>
              <w:top w:val="nil"/>
              <w:left w:val="nil"/>
              <w:bottom w:val="single" w:color="auto" w:sz="4" w:space="0"/>
              <w:right w:val="single" w:color="auto" w:sz="4" w:space="0"/>
            </w:tcBorders>
            <w:vAlign w:val="center"/>
          </w:tcPr>
          <w:p w14:paraId="3115B7E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13.480</w:t>
            </w:r>
          </w:p>
        </w:tc>
        <w:tc>
          <w:tcPr>
            <w:tcW w:w="1115" w:type="dxa"/>
            <w:tcBorders>
              <w:top w:val="nil"/>
              <w:left w:val="nil"/>
              <w:bottom w:val="single" w:color="auto" w:sz="4" w:space="0"/>
              <w:right w:val="single" w:color="auto" w:sz="4" w:space="0"/>
            </w:tcBorders>
            <w:vAlign w:val="center"/>
          </w:tcPr>
          <w:p w14:paraId="0A1A7DB9">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22.529</w:t>
            </w:r>
          </w:p>
        </w:tc>
      </w:tr>
      <w:tr w14:paraId="5B8F1D18">
        <w:tblPrEx>
          <w:tblCellMar>
            <w:top w:w="0" w:type="dxa"/>
            <w:left w:w="108" w:type="dxa"/>
            <w:bottom w:w="0" w:type="dxa"/>
            <w:right w:w="108" w:type="dxa"/>
          </w:tblCellMar>
        </w:tblPrEx>
        <w:trPr>
          <w:trHeight w:val="360" w:hRule="atLeast"/>
        </w:trPr>
        <w:tc>
          <w:tcPr>
            <w:tcW w:w="1725" w:type="pct"/>
            <w:tcBorders>
              <w:top w:val="nil"/>
              <w:left w:val="single" w:color="auto" w:sz="4" w:space="0"/>
              <w:bottom w:val="single" w:color="auto" w:sz="4" w:space="0"/>
              <w:right w:val="single" w:color="auto" w:sz="4" w:space="0"/>
            </w:tcBorders>
            <w:shd w:val="clear" w:color="auto" w:fill="auto"/>
            <w:noWrap/>
            <w:vAlign w:val="center"/>
          </w:tcPr>
          <w:p w14:paraId="42BFE87B">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四川省冕宁县方兴稀土有限公司</w:t>
            </w:r>
          </w:p>
        </w:tc>
        <w:tc>
          <w:tcPr>
            <w:tcW w:w="1043" w:type="dxa"/>
            <w:tcBorders>
              <w:top w:val="nil"/>
              <w:left w:val="nil"/>
              <w:bottom w:val="single" w:color="auto" w:sz="4" w:space="0"/>
              <w:right w:val="single" w:color="auto" w:sz="4" w:space="0"/>
            </w:tcBorders>
            <w:shd w:val="clear" w:color="auto" w:fill="auto"/>
            <w:noWrap/>
            <w:vAlign w:val="center"/>
          </w:tcPr>
          <w:p w14:paraId="280035D3">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0.287</w:t>
            </w:r>
          </w:p>
        </w:tc>
        <w:tc>
          <w:tcPr>
            <w:tcW w:w="1119" w:type="dxa"/>
            <w:tcBorders>
              <w:top w:val="nil"/>
              <w:left w:val="nil"/>
              <w:bottom w:val="single" w:color="auto" w:sz="4" w:space="0"/>
              <w:right w:val="single" w:color="auto" w:sz="4" w:space="0"/>
            </w:tcBorders>
            <w:shd w:val="clear" w:color="auto" w:fill="auto"/>
            <w:noWrap/>
            <w:vAlign w:val="center"/>
          </w:tcPr>
          <w:p w14:paraId="6B9F85D9">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1.757</w:t>
            </w:r>
          </w:p>
        </w:tc>
        <w:tc>
          <w:tcPr>
            <w:tcW w:w="1114" w:type="dxa"/>
            <w:tcBorders>
              <w:top w:val="nil"/>
              <w:left w:val="nil"/>
              <w:bottom w:val="single" w:color="auto" w:sz="4" w:space="0"/>
              <w:right w:val="single" w:color="auto" w:sz="4" w:space="0"/>
            </w:tcBorders>
            <w:shd w:val="clear" w:color="auto" w:fill="auto"/>
            <w:noWrap/>
            <w:vAlign w:val="center"/>
          </w:tcPr>
          <w:p w14:paraId="2C96BCFD">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8.711</w:t>
            </w:r>
          </w:p>
        </w:tc>
        <w:tc>
          <w:tcPr>
            <w:tcW w:w="1115" w:type="dxa"/>
            <w:tcBorders>
              <w:top w:val="nil"/>
              <w:left w:val="nil"/>
              <w:bottom w:val="single" w:color="auto" w:sz="4" w:space="0"/>
              <w:right w:val="single" w:color="auto" w:sz="4" w:space="0"/>
            </w:tcBorders>
            <w:vAlign w:val="center"/>
          </w:tcPr>
          <w:p w14:paraId="35AD32E7">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13.442</w:t>
            </w:r>
          </w:p>
        </w:tc>
        <w:tc>
          <w:tcPr>
            <w:tcW w:w="1115" w:type="dxa"/>
            <w:tcBorders>
              <w:top w:val="nil"/>
              <w:left w:val="nil"/>
              <w:bottom w:val="single" w:color="auto" w:sz="4" w:space="0"/>
              <w:right w:val="single" w:color="auto" w:sz="4" w:space="0"/>
            </w:tcBorders>
            <w:vAlign w:val="center"/>
          </w:tcPr>
          <w:p w14:paraId="3A4DAD31">
            <w:pPr>
              <w:keepNext w:val="0"/>
              <w:keepLines w:val="0"/>
              <w:widowControl/>
              <w:suppressLineNumbers w:val="0"/>
              <w:spacing w:line="240" w:lineRule="auto"/>
              <w:jc w:val="center"/>
              <w:textAlignment w:val="center"/>
              <w:rPr>
                <w:rFonts w:hint="default" w:ascii="Times New Roman" w:hAnsi="Times New Roman" w:cs="Times New Roman"/>
                <w:color w:val="000000"/>
                <w:kern w:val="0"/>
                <w:sz w:val="18"/>
                <w:szCs w:val="22"/>
              </w:rPr>
            </w:pPr>
            <w:r>
              <w:rPr>
                <w:rFonts w:hint="default" w:ascii="Times New Roman" w:hAnsi="Times New Roman" w:eastAsia="宋体" w:cs="Times New Roman"/>
                <w:i w:val="0"/>
                <w:iCs w:val="0"/>
                <w:color w:val="000000"/>
                <w:kern w:val="0"/>
                <w:sz w:val="20"/>
                <w:szCs w:val="20"/>
                <w:u w:val="none"/>
                <w:lang w:val="en-US" w:eastAsia="zh-CN" w:bidi="ar"/>
              </w:rPr>
              <w:t>22.652</w:t>
            </w:r>
          </w:p>
        </w:tc>
      </w:tr>
    </w:tbl>
    <w:p w14:paraId="7CB46DF5">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cs="Times New Roman"/>
          <w:szCs w:val="21"/>
        </w:rPr>
      </w:pPr>
    </w:p>
    <w:p w14:paraId="6DBB594F">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w:t>
      </w:r>
      <w:r>
        <w:rPr>
          <w:rFonts w:hint="default" w:ascii="Times New Roman" w:hAnsi="Times New Roman" w:cs="Times New Roman"/>
          <w:szCs w:val="21"/>
          <w:lang w:val="en-US" w:eastAsia="zh-CN"/>
        </w:rPr>
        <w:t>B</w:t>
      </w:r>
      <w:r>
        <w:rPr>
          <w:rFonts w:hint="default" w:ascii="Times New Roman" w:hAnsi="Times New Roman" w:cs="Times New Roman"/>
          <w:szCs w:val="21"/>
        </w:rPr>
        <w:t>.3 各单元的标准差</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6"/>
        <w:gridCol w:w="1239"/>
        <w:gridCol w:w="1236"/>
        <w:gridCol w:w="1079"/>
        <w:gridCol w:w="944"/>
        <w:gridCol w:w="1008"/>
      </w:tblGrid>
      <w:tr w14:paraId="1491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652" w:type="pct"/>
            <w:noWrap/>
            <w:vAlign w:val="center"/>
          </w:tcPr>
          <w:p w14:paraId="5C3FC755">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实验室</w:t>
            </w:r>
          </w:p>
        </w:tc>
        <w:tc>
          <w:tcPr>
            <w:tcW w:w="726" w:type="pct"/>
            <w:noWrap/>
            <w:vAlign w:val="center"/>
          </w:tcPr>
          <w:p w14:paraId="77EE2100">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水平1</w:t>
            </w:r>
          </w:p>
        </w:tc>
        <w:tc>
          <w:tcPr>
            <w:tcW w:w="725" w:type="pct"/>
            <w:noWrap/>
            <w:vAlign w:val="center"/>
          </w:tcPr>
          <w:p w14:paraId="56626892">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水平2</w:t>
            </w:r>
          </w:p>
        </w:tc>
        <w:tc>
          <w:tcPr>
            <w:tcW w:w="633" w:type="pct"/>
            <w:noWrap/>
            <w:vAlign w:val="center"/>
          </w:tcPr>
          <w:p w14:paraId="6E36A986">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水平3</w:t>
            </w:r>
          </w:p>
        </w:tc>
        <w:tc>
          <w:tcPr>
            <w:tcW w:w="631" w:type="pct"/>
            <w:vAlign w:val="center"/>
          </w:tcPr>
          <w:p w14:paraId="65794381">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kern w:val="0"/>
                <w:sz w:val="18"/>
                <w:szCs w:val="18"/>
              </w:rPr>
              <w:t>水平4</w:t>
            </w:r>
          </w:p>
        </w:tc>
        <w:tc>
          <w:tcPr>
            <w:tcW w:w="630" w:type="pct"/>
            <w:vAlign w:val="center"/>
          </w:tcPr>
          <w:p w14:paraId="7F648B4F">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eastAsiaTheme="minorEastAsia"/>
                <w:kern w:val="0"/>
                <w:sz w:val="18"/>
                <w:szCs w:val="18"/>
              </w:rPr>
              <w:t>水平5</w:t>
            </w:r>
          </w:p>
        </w:tc>
      </w:tr>
      <w:tr w14:paraId="5010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652" w:type="pct"/>
            <w:shd w:val="clear" w:color="auto" w:fill="auto"/>
            <w:noWrap/>
            <w:vAlign w:val="center"/>
          </w:tcPr>
          <w:p w14:paraId="44134B4A">
            <w:pPr>
              <w:keepNext w:val="0"/>
              <w:keepLines w:val="0"/>
              <w:widowControl/>
              <w:suppressLineNumbers w:val="0"/>
              <w:spacing w:line="240" w:lineRule="auto"/>
              <w:jc w:val="center"/>
              <w:textAlignment w:val="bottom"/>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包头稀土研究研究</w:t>
            </w:r>
          </w:p>
        </w:tc>
        <w:tc>
          <w:tcPr>
            <w:tcW w:w="1239" w:type="dxa"/>
            <w:noWrap/>
            <w:vAlign w:val="center"/>
          </w:tcPr>
          <w:p w14:paraId="7EC1F9D4">
            <w:pPr>
              <w:keepNext w:val="0"/>
              <w:keepLines w:val="0"/>
              <w:widowControl/>
              <w:suppressLineNumbers w:val="0"/>
              <w:jc w:val="center"/>
              <w:textAlignment w:val="center"/>
              <w:rPr>
                <w:rFonts w:hint="default" w:ascii="Times New Roman" w:hAnsi="Times New Roman" w:eastAsia="宋体" w:cs="Times New Roman"/>
                <w:sz w:val="18"/>
                <w:szCs w:val="18"/>
                <w:lang w:eastAsia="zh-CN"/>
              </w:rPr>
            </w:pPr>
            <w:r>
              <w:rPr>
                <w:rFonts w:hint="default" w:ascii="Times New Roman" w:hAnsi="Times New Roman" w:eastAsia="宋体" w:cs="Times New Roman"/>
                <w:i w:val="0"/>
                <w:iCs w:val="0"/>
                <w:color w:val="000000"/>
                <w:kern w:val="0"/>
                <w:sz w:val="20"/>
                <w:szCs w:val="20"/>
                <w:u w:val="none"/>
                <w:lang w:val="en-US" w:eastAsia="zh-CN" w:bidi="ar"/>
              </w:rPr>
              <w:t xml:space="preserve">0.0081 </w:t>
            </w:r>
          </w:p>
        </w:tc>
        <w:tc>
          <w:tcPr>
            <w:tcW w:w="1236" w:type="dxa"/>
            <w:noWrap/>
            <w:vAlign w:val="center"/>
          </w:tcPr>
          <w:p w14:paraId="1204B7BE">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0.0296 </w:t>
            </w:r>
          </w:p>
        </w:tc>
        <w:tc>
          <w:tcPr>
            <w:tcW w:w="1079" w:type="dxa"/>
            <w:noWrap/>
            <w:vAlign w:val="center"/>
          </w:tcPr>
          <w:p w14:paraId="5A06E4F6">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0.1189 </w:t>
            </w:r>
          </w:p>
        </w:tc>
        <w:tc>
          <w:tcPr>
            <w:tcW w:w="1077" w:type="dxa"/>
            <w:vAlign w:val="center"/>
          </w:tcPr>
          <w:p w14:paraId="7E70E485">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0.1370 </w:t>
            </w:r>
          </w:p>
        </w:tc>
        <w:tc>
          <w:tcPr>
            <w:tcW w:w="1075" w:type="dxa"/>
            <w:vAlign w:val="center"/>
          </w:tcPr>
          <w:p w14:paraId="4A72AEDE">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0.1125 </w:t>
            </w:r>
          </w:p>
        </w:tc>
      </w:tr>
      <w:tr w14:paraId="3FF9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652" w:type="pct"/>
            <w:shd w:val="clear" w:color="auto" w:fill="auto"/>
            <w:noWrap/>
            <w:vAlign w:val="center"/>
          </w:tcPr>
          <w:p w14:paraId="4C5315F2">
            <w:pPr>
              <w:keepNext w:val="0"/>
              <w:keepLines w:val="0"/>
              <w:widowControl/>
              <w:suppressLineNumbers w:val="0"/>
              <w:spacing w:line="240" w:lineRule="auto"/>
              <w:jc w:val="center"/>
              <w:textAlignment w:val="bottom"/>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国标（北京）检验认证有限公司</w:t>
            </w:r>
          </w:p>
        </w:tc>
        <w:tc>
          <w:tcPr>
            <w:tcW w:w="1239" w:type="dxa"/>
            <w:noWrap/>
            <w:vAlign w:val="center"/>
          </w:tcPr>
          <w:p w14:paraId="5F2F4148">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0.0037 </w:t>
            </w:r>
          </w:p>
        </w:tc>
        <w:tc>
          <w:tcPr>
            <w:tcW w:w="1236" w:type="dxa"/>
            <w:noWrap/>
            <w:vAlign w:val="center"/>
          </w:tcPr>
          <w:p w14:paraId="42889DF7">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0.0136 </w:t>
            </w:r>
          </w:p>
        </w:tc>
        <w:tc>
          <w:tcPr>
            <w:tcW w:w="1079" w:type="dxa"/>
            <w:noWrap/>
            <w:vAlign w:val="center"/>
          </w:tcPr>
          <w:p w14:paraId="390AD2AB">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0.1223 </w:t>
            </w:r>
          </w:p>
        </w:tc>
        <w:tc>
          <w:tcPr>
            <w:tcW w:w="1077" w:type="dxa"/>
            <w:vAlign w:val="center"/>
          </w:tcPr>
          <w:p w14:paraId="1700A8E2">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0.1337 </w:t>
            </w:r>
          </w:p>
        </w:tc>
        <w:tc>
          <w:tcPr>
            <w:tcW w:w="1075" w:type="dxa"/>
            <w:vAlign w:val="center"/>
          </w:tcPr>
          <w:p w14:paraId="677EB59D">
            <w:pPr>
              <w:jc w:val="center"/>
              <w:rPr>
                <w:rFonts w:hint="default" w:ascii="Times New Roman" w:hAnsi="Times New Roman" w:eastAsia="宋体" w:cs="Times New Roman"/>
                <w:sz w:val="18"/>
                <w:szCs w:val="18"/>
                <w:lang w:val="en-US" w:eastAsia="zh-CN"/>
              </w:rPr>
            </w:pPr>
            <w:r>
              <w:rPr>
                <w:rFonts w:hint="eastAsia" w:ascii="Times New Roman" w:hAnsi="Times New Roman" w:cs="Times New Roman"/>
                <w:sz w:val="18"/>
                <w:szCs w:val="18"/>
                <w:lang w:val="en-US" w:eastAsia="zh-CN"/>
              </w:rPr>
              <w:t>--</w:t>
            </w:r>
          </w:p>
        </w:tc>
      </w:tr>
      <w:tr w14:paraId="3169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652" w:type="pct"/>
            <w:shd w:val="clear" w:color="auto" w:fill="auto"/>
            <w:noWrap/>
            <w:vAlign w:val="center"/>
          </w:tcPr>
          <w:p w14:paraId="5D1C91FE">
            <w:pPr>
              <w:keepNext w:val="0"/>
              <w:keepLines w:val="0"/>
              <w:widowControl/>
              <w:suppressLineNumbers w:val="0"/>
              <w:spacing w:line="240" w:lineRule="auto"/>
              <w:jc w:val="center"/>
              <w:textAlignment w:val="bottom"/>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江西金世纪新材料股份有限公司</w:t>
            </w:r>
          </w:p>
        </w:tc>
        <w:tc>
          <w:tcPr>
            <w:tcW w:w="1239" w:type="dxa"/>
            <w:noWrap/>
            <w:vAlign w:val="center"/>
          </w:tcPr>
          <w:p w14:paraId="3FA85FBC">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0.0055 </w:t>
            </w:r>
          </w:p>
        </w:tc>
        <w:tc>
          <w:tcPr>
            <w:tcW w:w="1236" w:type="dxa"/>
            <w:noWrap/>
            <w:vAlign w:val="center"/>
          </w:tcPr>
          <w:p w14:paraId="3B05DC5D">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0.0139 </w:t>
            </w:r>
          </w:p>
        </w:tc>
        <w:tc>
          <w:tcPr>
            <w:tcW w:w="1079" w:type="dxa"/>
            <w:noWrap/>
            <w:vAlign w:val="center"/>
          </w:tcPr>
          <w:p w14:paraId="1456B3D2">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0.0512 </w:t>
            </w:r>
          </w:p>
        </w:tc>
        <w:tc>
          <w:tcPr>
            <w:tcW w:w="1077" w:type="dxa"/>
            <w:vAlign w:val="center"/>
          </w:tcPr>
          <w:p w14:paraId="6F83B3AF">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0.0209 </w:t>
            </w:r>
          </w:p>
        </w:tc>
        <w:tc>
          <w:tcPr>
            <w:tcW w:w="1075" w:type="dxa"/>
            <w:vAlign w:val="center"/>
          </w:tcPr>
          <w:p w14:paraId="74B22E76">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0.1138 </w:t>
            </w:r>
          </w:p>
        </w:tc>
      </w:tr>
      <w:tr w14:paraId="30CB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652" w:type="pct"/>
            <w:shd w:val="clear" w:color="auto" w:fill="auto"/>
            <w:noWrap/>
            <w:vAlign w:val="center"/>
          </w:tcPr>
          <w:p w14:paraId="4CC101AB">
            <w:pPr>
              <w:keepNext w:val="0"/>
              <w:keepLines w:val="0"/>
              <w:widowControl/>
              <w:suppressLineNumbers w:val="0"/>
              <w:spacing w:line="240" w:lineRule="auto"/>
              <w:jc w:val="center"/>
              <w:textAlignment w:val="bottom"/>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厦门稀土材料研究所</w:t>
            </w:r>
          </w:p>
        </w:tc>
        <w:tc>
          <w:tcPr>
            <w:tcW w:w="1239" w:type="dxa"/>
            <w:noWrap/>
            <w:vAlign w:val="center"/>
          </w:tcPr>
          <w:p w14:paraId="621CB86C">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0.0038 </w:t>
            </w:r>
          </w:p>
        </w:tc>
        <w:tc>
          <w:tcPr>
            <w:tcW w:w="1236" w:type="dxa"/>
            <w:noWrap/>
            <w:vAlign w:val="center"/>
          </w:tcPr>
          <w:p w14:paraId="451B639D">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0.0244 </w:t>
            </w:r>
          </w:p>
        </w:tc>
        <w:tc>
          <w:tcPr>
            <w:tcW w:w="1079" w:type="dxa"/>
            <w:noWrap/>
            <w:vAlign w:val="center"/>
          </w:tcPr>
          <w:p w14:paraId="73CC3B4D">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0.0711 </w:t>
            </w:r>
          </w:p>
        </w:tc>
        <w:tc>
          <w:tcPr>
            <w:tcW w:w="1077" w:type="dxa"/>
            <w:vAlign w:val="center"/>
          </w:tcPr>
          <w:p w14:paraId="6BE3B11E">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0.0882 </w:t>
            </w:r>
          </w:p>
        </w:tc>
        <w:tc>
          <w:tcPr>
            <w:tcW w:w="1075" w:type="dxa"/>
            <w:vAlign w:val="center"/>
          </w:tcPr>
          <w:p w14:paraId="2DF986C5">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0.0469 </w:t>
            </w:r>
          </w:p>
        </w:tc>
      </w:tr>
      <w:tr w14:paraId="6A11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652" w:type="pct"/>
            <w:shd w:val="clear" w:color="auto" w:fill="auto"/>
            <w:noWrap/>
            <w:vAlign w:val="center"/>
          </w:tcPr>
          <w:p w14:paraId="58136196">
            <w:pPr>
              <w:keepNext w:val="0"/>
              <w:keepLines w:val="0"/>
              <w:widowControl/>
              <w:suppressLineNumbers w:val="0"/>
              <w:spacing w:line="240" w:lineRule="auto"/>
              <w:jc w:val="center"/>
              <w:textAlignment w:val="bottom"/>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包头稀土新材料技术研发中心</w:t>
            </w:r>
          </w:p>
        </w:tc>
        <w:tc>
          <w:tcPr>
            <w:tcW w:w="1239" w:type="dxa"/>
            <w:noWrap/>
            <w:vAlign w:val="center"/>
          </w:tcPr>
          <w:p w14:paraId="7E04A0F7">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0.0020 </w:t>
            </w:r>
          </w:p>
        </w:tc>
        <w:tc>
          <w:tcPr>
            <w:tcW w:w="1236" w:type="dxa"/>
            <w:noWrap/>
            <w:vAlign w:val="center"/>
          </w:tcPr>
          <w:p w14:paraId="135C879B">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0.0195 </w:t>
            </w:r>
          </w:p>
        </w:tc>
        <w:tc>
          <w:tcPr>
            <w:tcW w:w="1079" w:type="dxa"/>
            <w:noWrap/>
            <w:vAlign w:val="center"/>
          </w:tcPr>
          <w:p w14:paraId="48F8DD3C">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0.0733 </w:t>
            </w:r>
          </w:p>
        </w:tc>
        <w:tc>
          <w:tcPr>
            <w:tcW w:w="1077" w:type="dxa"/>
            <w:vAlign w:val="center"/>
          </w:tcPr>
          <w:p w14:paraId="20F26C59">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0.1239 </w:t>
            </w:r>
          </w:p>
        </w:tc>
        <w:tc>
          <w:tcPr>
            <w:tcW w:w="1075" w:type="dxa"/>
            <w:vAlign w:val="center"/>
          </w:tcPr>
          <w:p w14:paraId="577B1487">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0.0730 </w:t>
            </w:r>
          </w:p>
        </w:tc>
      </w:tr>
      <w:tr w14:paraId="7C7E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652" w:type="pct"/>
            <w:shd w:val="clear" w:color="auto" w:fill="auto"/>
            <w:noWrap/>
            <w:vAlign w:val="center"/>
          </w:tcPr>
          <w:p w14:paraId="004F93E5">
            <w:pPr>
              <w:keepNext w:val="0"/>
              <w:keepLines w:val="0"/>
              <w:widowControl/>
              <w:suppressLineNumbers w:val="0"/>
              <w:spacing w:line="240" w:lineRule="auto"/>
              <w:jc w:val="center"/>
              <w:textAlignment w:val="bottom"/>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包头华美稀土高科有限公司</w:t>
            </w:r>
          </w:p>
        </w:tc>
        <w:tc>
          <w:tcPr>
            <w:tcW w:w="1239" w:type="dxa"/>
            <w:noWrap/>
            <w:vAlign w:val="center"/>
          </w:tcPr>
          <w:p w14:paraId="0E3DF0DD">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0.0079 </w:t>
            </w:r>
          </w:p>
        </w:tc>
        <w:tc>
          <w:tcPr>
            <w:tcW w:w="1236" w:type="dxa"/>
            <w:noWrap/>
            <w:vAlign w:val="center"/>
          </w:tcPr>
          <w:p w14:paraId="2B834AAA">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0.0271 </w:t>
            </w:r>
          </w:p>
        </w:tc>
        <w:tc>
          <w:tcPr>
            <w:tcW w:w="1079" w:type="dxa"/>
            <w:noWrap/>
            <w:vAlign w:val="center"/>
          </w:tcPr>
          <w:p w14:paraId="28969B0F">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0.0551 </w:t>
            </w:r>
          </w:p>
        </w:tc>
        <w:tc>
          <w:tcPr>
            <w:tcW w:w="1077" w:type="dxa"/>
            <w:vAlign w:val="center"/>
          </w:tcPr>
          <w:p w14:paraId="6CB32681">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0.0750 </w:t>
            </w:r>
          </w:p>
        </w:tc>
        <w:tc>
          <w:tcPr>
            <w:tcW w:w="1075" w:type="dxa"/>
            <w:vAlign w:val="center"/>
          </w:tcPr>
          <w:p w14:paraId="0BC1B5CF">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0.1189 </w:t>
            </w:r>
          </w:p>
        </w:tc>
      </w:tr>
      <w:tr w14:paraId="7177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652" w:type="pct"/>
            <w:shd w:val="clear" w:color="auto" w:fill="auto"/>
            <w:noWrap/>
            <w:vAlign w:val="center"/>
          </w:tcPr>
          <w:p w14:paraId="767B3FB7">
            <w:pPr>
              <w:keepNext w:val="0"/>
              <w:keepLines w:val="0"/>
              <w:widowControl/>
              <w:suppressLineNumbers w:val="0"/>
              <w:spacing w:line="240" w:lineRule="auto"/>
              <w:jc w:val="center"/>
              <w:textAlignment w:val="bottom"/>
              <w:rPr>
                <w:rFonts w:hint="default" w:ascii="Times New Roman" w:hAnsi="Times New Roman" w:cs="Times New Roman" w:eastAsiaTheme="minorEastAsia"/>
                <w:color w:val="000000"/>
                <w:kern w:val="0"/>
                <w:sz w:val="18"/>
                <w:szCs w:val="22"/>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四川省冕宁县方兴稀土有限公司</w:t>
            </w:r>
          </w:p>
        </w:tc>
        <w:tc>
          <w:tcPr>
            <w:tcW w:w="1239" w:type="dxa"/>
            <w:noWrap/>
            <w:vAlign w:val="center"/>
          </w:tcPr>
          <w:p w14:paraId="679C31BC">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0.0062 </w:t>
            </w:r>
          </w:p>
        </w:tc>
        <w:tc>
          <w:tcPr>
            <w:tcW w:w="1236" w:type="dxa"/>
            <w:noWrap/>
            <w:vAlign w:val="center"/>
          </w:tcPr>
          <w:p w14:paraId="48E18EA0">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0.0250 </w:t>
            </w:r>
          </w:p>
        </w:tc>
        <w:tc>
          <w:tcPr>
            <w:tcW w:w="1079" w:type="dxa"/>
            <w:noWrap/>
            <w:vAlign w:val="center"/>
          </w:tcPr>
          <w:p w14:paraId="3B24A3FF">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0.0933 </w:t>
            </w:r>
          </w:p>
        </w:tc>
        <w:tc>
          <w:tcPr>
            <w:tcW w:w="1077" w:type="dxa"/>
            <w:vAlign w:val="center"/>
          </w:tcPr>
          <w:p w14:paraId="61B5A13D">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0.0471 </w:t>
            </w:r>
          </w:p>
        </w:tc>
        <w:tc>
          <w:tcPr>
            <w:tcW w:w="1075" w:type="dxa"/>
            <w:vAlign w:val="center"/>
          </w:tcPr>
          <w:p w14:paraId="40B3FC2F">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0.0502 </w:t>
            </w:r>
          </w:p>
        </w:tc>
      </w:tr>
    </w:tbl>
    <w:p w14:paraId="368C880A">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黑体" w:cs="Times New Roman"/>
          <w:szCs w:val="21"/>
        </w:rPr>
      </w:pPr>
    </w:p>
    <w:p w14:paraId="66180134">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2  一致性和离群值的检查</w:t>
      </w:r>
    </w:p>
    <w:p w14:paraId="6974FE90">
      <w:pPr>
        <w:keepNext w:val="0"/>
        <w:keepLines w:val="0"/>
        <w:pageBreakBefore w:val="0"/>
        <w:kinsoku/>
        <w:wordWrap/>
        <w:overflowPunct/>
        <w:topLinePunct w:val="0"/>
        <w:bidi w:val="0"/>
        <w:adjustRightInd w:val="0"/>
        <w:snapToGrid w:val="0"/>
        <w:spacing w:line="360" w:lineRule="auto"/>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2.1  柯克伦检验</w:t>
      </w:r>
    </w:p>
    <w:p w14:paraId="3207E0BE">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按柯克伦检验统计量计算结果如表</w:t>
      </w:r>
      <w:r>
        <w:rPr>
          <w:rFonts w:hint="default" w:ascii="Times New Roman" w:hAnsi="Times New Roman" w:cs="Times New Roman"/>
          <w:szCs w:val="21"/>
          <w:lang w:val="en-US" w:eastAsia="zh-CN"/>
        </w:rPr>
        <w:t>B</w:t>
      </w:r>
      <w:r>
        <w:rPr>
          <w:rFonts w:hint="default" w:ascii="Times New Roman" w:hAnsi="Times New Roman" w:cs="Times New Roman"/>
          <w:szCs w:val="21"/>
        </w:rPr>
        <w:t>.4。</w:t>
      </w:r>
    </w:p>
    <w:p w14:paraId="1CE890D6">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w:t>
      </w:r>
      <w:r>
        <w:rPr>
          <w:rFonts w:hint="default" w:ascii="Times New Roman" w:hAnsi="Times New Roman" w:cs="Times New Roman"/>
          <w:szCs w:val="21"/>
          <w:lang w:val="en-US" w:eastAsia="zh-CN"/>
        </w:rPr>
        <w:t>B</w:t>
      </w:r>
      <w:r>
        <w:rPr>
          <w:rFonts w:hint="default" w:ascii="Times New Roman" w:hAnsi="Times New Roman" w:cs="Times New Roman"/>
          <w:szCs w:val="21"/>
        </w:rPr>
        <w:t>.4 柯克伦检验</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98"/>
        <w:gridCol w:w="1398"/>
        <w:gridCol w:w="1398"/>
        <w:gridCol w:w="1398"/>
        <w:gridCol w:w="1401"/>
      </w:tblGrid>
      <w:tr w14:paraId="313D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14:paraId="6565B22E">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实验室i</w:t>
            </w:r>
          </w:p>
        </w:tc>
        <w:tc>
          <w:tcPr>
            <w:tcW w:w="820" w:type="pct"/>
            <w:vAlign w:val="center"/>
          </w:tcPr>
          <w:p w14:paraId="0A16128A">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水平1</w:t>
            </w:r>
          </w:p>
        </w:tc>
        <w:tc>
          <w:tcPr>
            <w:tcW w:w="820" w:type="pct"/>
            <w:vAlign w:val="center"/>
          </w:tcPr>
          <w:p w14:paraId="2022B988">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水平2</w:t>
            </w:r>
          </w:p>
        </w:tc>
        <w:tc>
          <w:tcPr>
            <w:tcW w:w="820" w:type="pct"/>
            <w:vAlign w:val="center"/>
          </w:tcPr>
          <w:p w14:paraId="3527AAFF">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水平3</w:t>
            </w:r>
          </w:p>
        </w:tc>
        <w:tc>
          <w:tcPr>
            <w:tcW w:w="820" w:type="pct"/>
            <w:vAlign w:val="center"/>
          </w:tcPr>
          <w:p w14:paraId="09554518">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水平4</w:t>
            </w:r>
          </w:p>
        </w:tc>
        <w:tc>
          <w:tcPr>
            <w:tcW w:w="821" w:type="pct"/>
            <w:vAlign w:val="center"/>
          </w:tcPr>
          <w:p w14:paraId="1AB6401A">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水平5</w:t>
            </w:r>
          </w:p>
        </w:tc>
      </w:tr>
      <w:tr w14:paraId="7406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trPr>
        <w:tc>
          <w:tcPr>
            <w:tcW w:w="897" w:type="pct"/>
            <w:vAlign w:val="center"/>
          </w:tcPr>
          <w:p w14:paraId="2BC3CEDA">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Smax实验室</w:t>
            </w:r>
          </w:p>
        </w:tc>
        <w:tc>
          <w:tcPr>
            <w:tcW w:w="820" w:type="pct"/>
            <w:vAlign w:val="center"/>
          </w:tcPr>
          <w:p w14:paraId="29A47F71">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包头稀土研究研究</w:t>
            </w:r>
          </w:p>
        </w:tc>
        <w:tc>
          <w:tcPr>
            <w:tcW w:w="820" w:type="pct"/>
            <w:vAlign w:val="center"/>
          </w:tcPr>
          <w:p w14:paraId="06CF5C30">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包头稀土研究研究</w:t>
            </w:r>
          </w:p>
        </w:tc>
        <w:tc>
          <w:tcPr>
            <w:tcW w:w="820" w:type="pct"/>
            <w:shd w:val="clear" w:color="auto" w:fill="auto"/>
            <w:vAlign w:val="bottom"/>
          </w:tcPr>
          <w:p w14:paraId="3D2CBC01">
            <w:pPr>
              <w:keepNext w:val="0"/>
              <w:keepLines w:val="0"/>
              <w:widowControl/>
              <w:suppressLineNumbers w:val="0"/>
              <w:jc w:val="center"/>
              <w:textAlignment w:val="bottom"/>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国标（北京）检验认证有限公司</w:t>
            </w:r>
          </w:p>
        </w:tc>
        <w:tc>
          <w:tcPr>
            <w:tcW w:w="820" w:type="pct"/>
            <w:vAlign w:val="center"/>
          </w:tcPr>
          <w:p w14:paraId="152B1C9E">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包头稀土研究研究</w:t>
            </w:r>
          </w:p>
        </w:tc>
        <w:tc>
          <w:tcPr>
            <w:tcW w:w="821" w:type="pct"/>
            <w:vAlign w:val="center"/>
          </w:tcPr>
          <w:p w14:paraId="14D6D5D6">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包头华美稀土高科有限公司</w:t>
            </w:r>
          </w:p>
        </w:tc>
      </w:tr>
      <w:tr w14:paraId="16C5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14:paraId="253F2475">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Smax值</w:t>
            </w:r>
          </w:p>
        </w:tc>
        <w:tc>
          <w:tcPr>
            <w:tcW w:w="820" w:type="pct"/>
            <w:vAlign w:val="center"/>
          </w:tcPr>
          <w:p w14:paraId="379349A4">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0.00813 </w:t>
            </w:r>
          </w:p>
        </w:tc>
        <w:tc>
          <w:tcPr>
            <w:tcW w:w="820" w:type="pct"/>
            <w:vAlign w:val="center"/>
          </w:tcPr>
          <w:p w14:paraId="7924BD61">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0.02964 </w:t>
            </w:r>
          </w:p>
        </w:tc>
        <w:tc>
          <w:tcPr>
            <w:tcW w:w="820" w:type="pct"/>
            <w:vAlign w:val="center"/>
          </w:tcPr>
          <w:p w14:paraId="4DE13C83">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0.12234 </w:t>
            </w:r>
          </w:p>
        </w:tc>
        <w:tc>
          <w:tcPr>
            <w:tcW w:w="820" w:type="pct"/>
            <w:vAlign w:val="center"/>
          </w:tcPr>
          <w:p w14:paraId="2F194B00">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0.13697 </w:t>
            </w:r>
          </w:p>
        </w:tc>
        <w:tc>
          <w:tcPr>
            <w:tcW w:w="821" w:type="pct"/>
            <w:vAlign w:val="center"/>
          </w:tcPr>
          <w:p w14:paraId="7FA7A505">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0.11885 </w:t>
            </w:r>
          </w:p>
        </w:tc>
      </w:tr>
      <w:tr w14:paraId="0C9B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14:paraId="32197095">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perscript"/>
              </w:rPr>
              <w:t>2</w:t>
            </w:r>
          </w:p>
        </w:tc>
        <w:tc>
          <w:tcPr>
            <w:tcW w:w="820" w:type="pct"/>
            <w:vAlign w:val="center"/>
          </w:tcPr>
          <w:p w14:paraId="1C566C4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0.000229</w:t>
            </w:r>
          </w:p>
        </w:tc>
        <w:tc>
          <w:tcPr>
            <w:tcW w:w="820" w:type="pct"/>
            <w:vAlign w:val="center"/>
          </w:tcPr>
          <w:p w14:paraId="6490FE03">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0.00359</w:t>
            </w:r>
          </w:p>
        </w:tc>
        <w:tc>
          <w:tcPr>
            <w:tcW w:w="820" w:type="pct"/>
            <w:vAlign w:val="center"/>
          </w:tcPr>
          <w:p w14:paraId="36F9EF92">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0.0539</w:t>
            </w:r>
          </w:p>
        </w:tc>
        <w:tc>
          <w:tcPr>
            <w:tcW w:w="820" w:type="pct"/>
            <w:vAlign w:val="center"/>
          </w:tcPr>
          <w:p w14:paraId="1DB48179">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0.0680</w:t>
            </w:r>
          </w:p>
        </w:tc>
        <w:tc>
          <w:tcPr>
            <w:tcW w:w="821" w:type="pct"/>
            <w:vAlign w:val="center"/>
          </w:tcPr>
          <w:p w14:paraId="2972A3E5">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0.0498</w:t>
            </w:r>
          </w:p>
        </w:tc>
      </w:tr>
      <w:tr w14:paraId="0A8F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14:paraId="5585CE66">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C</w:t>
            </w:r>
          </w:p>
        </w:tc>
        <w:tc>
          <w:tcPr>
            <w:tcW w:w="820" w:type="pct"/>
            <w:vAlign w:val="center"/>
          </w:tcPr>
          <w:p w14:paraId="0BFD8434">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0.2892</w:t>
            </w:r>
          </w:p>
        </w:tc>
        <w:tc>
          <w:tcPr>
            <w:tcW w:w="820" w:type="pct"/>
            <w:vAlign w:val="center"/>
          </w:tcPr>
          <w:p w14:paraId="51779569">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0.2444</w:t>
            </w:r>
          </w:p>
        </w:tc>
        <w:tc>
          <w:tcPr>
            <w:tcW w:w="820" w:type="pct"/>
            <w:vAlign w:val="center"/>
          </w:tcPr>
          <w:p w14:paraId="2C802B79">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0.2777</w:t>
            </w:r>
          </w:p>
        </w:tc>
        <w:tc>
          <w:tcPr>
            <w:tcW w:w="820" w:type="pct"/>
            <w:vAlign w:val="center"/>
          </w:tcPr>
          <w:p w14:paraId="5BD378E1">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0.2757</w:t>
            </w:r>
          </w:p>
        </w:tc>
        <w:tc>
          <w:tcPr>
            <w:tcW w:w="821" w:type="pct"/>
            <w:vAlign w:val="center"/>
          </w:tcPr>
          <w:p w14:paraId="3D2A162E">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0.2838</w:t>
            </w:r>
          </w:p>
        </w:tc>
      </w:tr>
      <w:tr w14:paraId="18C0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14:paraId="52C2D7DE">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离群值（Y/N）</w:t>
            </w:r>
          </w:p>
        </w:tc>
        <w:tc>
          <w:tcPr>
            <w:tcW w:w="820" w:type="pct"/>
            <w:vAlign w:val="center"/>
          </w:tcPr>
          <w:p w14:paraId="6C1D11B2">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c>
          <w:tcPr>
            <w:tcW w:w="820" w:type="pct"/>
            <w:vAlign w:val="center"/>
          </w:tcPr>
          <w:p w14:paraId="490F9C6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c>
          <w:tcPr>
            <w:tcW w:w="820" w:type="pct"/>
            <w:vAlign w:val="center"/>
          </w:tcPr>
          <w:p w14:paraId="4AB6C615">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c>
          <w:tcPr>
            <w:tcW w:w="820" w:type="pct"/>
            <w:vAlign w:val="center"/>
          </w:tcPr>
          <w:p w14:paraId="13E66F6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c>
          <w:tcPr>
            <w:tcW w:w="821" w:type="pct"/>
            <w:vAlign w:val="center"/>
          </w:tcPr>
          <w:p w14:paraId="6EC41B0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r>
      <w:tr w14:paraId="6516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14:paraId="1BE4931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歧离值（Y/N）</w:t>
            </w:r>
          </w:p>
        </w:tc>
        <w:tc>
          <w:tcPr>
            <w:tcW w:w="820" w:type="pct"/>
            <w:vAlign w:val="center"/>
          </w:tcPr>
          <w:p w14:paraId="15E6F4FF">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c>
          <w:tcPr>
            <w:tcW w:w="820" w:type="pct"/>
            <w:vAlign w:val="center"/>
          </w:tcPr>
          <w:p w14:paraId="1E11F54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c>
          <w:tcPr>
            <w:tcW w:w="820" w:type="pct"/>
            <w:vAlign w:val="center"/>
          </w:tcPr>
          <w:p w14:paraId="21A63976">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c>
          <w:tcPr>
            <w:tcW w:w="820" w:type="pct"/>
            <w:vAlign w:val="center"/>
          </w:tcPr>
          <w:p w14:paraId="6A69BB96">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c>
          <w:tcPr>
            <w:tcW w:w="821" w:type="pct"/>
            <w:vAlign w:val="center"/>
          </w:tcPr>
          <w:p w14:paraId="5DDB0772">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20"/>
                <w:szCs w:val="20"/>
                <w:lang w:val="en-US" w:eastAsia="zh-CN"/>
              </w:rPr>
              <w:t>N</w:t>
            </w:r>
          </w:p>
        </w:tc>
      </w:tr>
      <w:tr w14:paraId="4CA8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7" w:type="pct"/>
            <w:vAlign w:val="center"/>
          </w:tcPr>
          <w:p w14:paraId="32700FC6">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C临界</w:t>
            </w:r>
          </w:p>
        </w:tc>
        <w:tc>
          <w:tcPr>
            <w:tcW w:w="4102" w:type="pct"/>
            <w:gridSpan w:val="5"/>
            <w:vAlign w:val="center"/>
          </w:tcPr>
          <w:p w14:paraId="71E2168B">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eastAsia" w:ascii="Times New Roman" w:hAnsi="Times New Roman" w:cs="Times New Roman"/>
                <w:sz w:val="20"/>
                <w:szCs w:val="20"/>
                <w:lang w:val="en-US" w:eastAsia="zh-CN"/>
              </w:rPr>
              <w:t>C</w:t>
            </w:r>
            <w:r>
              <w:rPr>
                <w:rFonts w:hint="eastAsia" w:ascii="Times New Roman" w:hAnsi="Times New Roman" w:cs="Times New Roman"/>
                <w:sz w:val="20"/>
                <w:szCs w:val="20"/>
                <w:vertAlign w:val="subscript"/>
                <w:lang w:val="en-US" w:eastAsia="zh-CN"/>
              </w:rPr>
              <w:t>0.05，7，11</w:t>
            </w:r>
            <w:r>
              <w:rPr>
                <w:rFonts w:hint="eastAsia" w:ascii="Times New Roman" w:hAnsi="Times New Roman" w:cs="Times New Roman"/>
                <w:sz w:val="20"/>
                <w:szCs w:val="20"/>
                <w:vertAlign w:val="baseline"/>
                <w:lang w:val="en-US" w:eastAsia="zh-CN"/>
              </w:rPr>
              <w:t xml:space="preserve">=0.3154   </w:t>
            </w:r>
            <w:r>
              <w:rPr>
                <w:rFonts w:hint="eastAsia" w:ascii="Times New Roman" w:hAnsi="Times New Roman" w:cs="Times New Roman"/>
                <w:sz w:val="20"/>
                <w:szCs w:val="20"/>
                <w:lang w:val="en-US" w:eastAsia="zh-CN"/>
              </w:rPr>
              <w:t>C</w:t>
            </w:r>
            <w:r>
              <w:rPr>
                <w:rFonts w:hint="eastAsia" w:ascii="Times New Roman" w:hAnsi="Times New Roman" w:cs="Times New Roman"/>
                <w:sz w:val="20"/>
                <w:szCs w:val="20"/>
                <w:vertAlign w:val="subscript"/>
                <w:lang w:val="en-US" w:eastAsia="zh-CN"/>
              </w:rPr>
              <w:t>0.01，7，11</w:t>
            </w:r>
            <w:r>
              <w:rPr>
                <w:rFonts w:hint="eastAsia" w:ascii="Times New Roman" w:hAnsi="Times New Roman" w:cs="Times New Roman"/>
                <w:sz w:val="20"/>
                <w:szCs w:val="20"/>
                <w:vertAlign w:val="baseline"/>
                <w:lang w:val="en-US" w:eastAsia="zh-CN"/>
              </w:rPr>
              <w:t xml:space="preserve">=0.3616   </w:t>
            </w:r>
            <w:r>
              <w:rPr>
                <w:rFonts w:hint="eastAsia" w:ascii="Times New Roman" w:hAnsi="Times New Roman" w:cs="Times New Roman"/>
                <w:sz w:val="20"/>
                <w:szCs w:val="20"/>
                <w:lang w:val="en-US" w:eastAsia="zh-CN"/>
              </w:rPr>
              <w:t>C</w:t>
            </w:r>
            <w:r>
              <w:rPr>
                <w:rFonts w:hint="eastAsia" w:ascii="Times New Roman" w:hAnsi="Times New Roman" w:cs="Times New Roman"/>
                <w:sz w:val="20"/>
                <w:szCs w:val="20"/>
                <w:vertAlign w:val="subscript"/>
                <w:lang w:val="en-US" w:eastAsia="zh-CN"/>
              </w:rPr>
              <w:t>0.05，6，11</w:t>
            </w:r>
            <w:r>
              <w:rPr>
                <w:rFonts w:hint="eastAsia" w:ascii="Times New Roman" w:hAnsi="Times New Roman" w:cs="Times New Roman"/>
                <w:sz w:val="20"/>
                <w:szCs w:val="20"/>
                <w:vertAlign w:val="baseline"/>
                <w:lang w:val="en-US" w:eastAsia="zh-CN"/>
              </w:rPr>
              <w:t xml:space="preserve">=0.3568  </w:t>
            </w:r>
            <w:r>
              <w:rPr>
                <w:rFonts w:hint="eastAsia" w:ascii="Times New Roman" w:hAnsi="Times New Roman" w:cs="Times New Roman"/>
                <w:sz w:val="20"/>
                <w:szCs w:val="20"/>
                <w:lang w:val="en-US" w:eastAsia="zh-CN"/>
              </w:rPr>
              <w:t>C</w:t>
            </w:r>
            <w:r>
              <w:rPr>
                <w:rFonts w:hint="eastAsia" w:ascii="Times New Roman" w:hAnsi="Times New Roman" w:cs="Times New Roman"/>
                <w:sz w:val="20"/>
                <w:szCs w:val="20"/>
                <w:vertAlign w:val="subscript"/>
                <w:lang w:val="en-US" w:eastAsia="zh-CN"/>
              </w:rPr>
              <w:t>0.01，6，11</w:t>
            </w:r>
            <w:r>
              <w:rPr>
                <w:rFonts w:hint="eastAsia" w:ascii="Times New Roman" w:hAnsi="Times New Roman" w:cs="Times New Roman"/>
                <w:sz w:val="20"/>
                <w:szCs w:val="20"/>
                <w:vertAlign w:val="baseline"/>
                <w:lang w:val="en-US" w:eastAsia="zh-CN"/>
              </w:rPr>
              <w:t>=0.4080</w:t>
            </w:r>
          </w:p>
        </w:tc>
      </w:tr>
    </w:tbl>
    <w:p w14:paraId="03DE3B73">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柯克伦检验的结果表明，所有实验室的所有水平均为正确值，无歧离值，无离群值。</w:t>
      </w:r>
    </w:p>
    <w:p w14:paraId="3CE2F18D">
      <w:pPr>
        <w:keepNext w:val="0"/>
        <w:keepLines w:val="0"/>
        <w:pageBreakBefore w:val="0"/>
        <w:kinsoku/>
        <w:wordWrap/>
        <w:overflowPunct/>
        <w:topLinePunct w:val="0"/>
        <w:bidi w:val="0"/>
        <w:adjustRightInd w:val="0"/>
        <w:snapToGrid w:val="0"/>
        <w:spacing w:before="312" w:beforeLines="100" w:line="360" w:lineRule="auto"/>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2.2  格拉布斯检验</w:t>
      </w:r>
    </w:p>
    <w:p w14:paraId="14824130">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w:t>
      </w:r>
      <w:r>
        <w:rPr>
          <w:rFonts w:hint="default" w:ascii="Times New Roman" w:hAnsi="Times New Roman" w:cs="Times New Roman"/>
          <w:szCs w:val="21"/>
          <w:lang w:val="en-US" w:eastAsia="zh-CN"/>
        </w:rPr>
        <w:t>B</w:t>
      </w:r>
      <w:r>
        <w:rPr>
          <w:rFonts w:hint="default" w:ascii="Times New Roman" w:hAnsi="Times New Roman" w:cs="Times New Roman"/>
          <w:szCs w:val="21"/>
        </w:rPr>
        <w:t>.5  格拉布斯检验</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1394"/>
        <w:gridCol w:w="1394"/>
        <w:gridCol w:w="1394"/>
        <w:gridCol w:w="1394"/>
        <w:gridCol w:w="1397"/>
      </w:tblGrid>
      <w:tr w14:paraId="6238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909" w:type="pct"/>
            <w:vAlign w:val="center"/>
          </w:tcPr>
          <w:p w14:paraId="432891D3">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统计量</w:t>
            </w:r>
          </w:p>
        </w:tc>
        <w:tc>
          <w:tcPr>
            <w:tcW w:w="818" w:type="pct"/>
            <w:vAlign w:val="center"/>
          </w:tcPr>
          <w:p w14:paraId="5C43587D">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水平1</w:t>
            </w:r>
          </w:p>
        </w:tc>
        <w:tc>
          <w:tcPr>
            <w:tcW w:w="818" w:type="pct"/>
            <w:vAlign w:val="center"/>
          </w:tcPr>
          <w:p w14:paraId="0D69D8BE">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水平2</w:t>
            </w:r>
          </w:p>
        </w:tc>
        <w:tc>
          <w:tcPr>
            <w:tcW w:w="818" w:type="pct"/>
            <w:vAlign w:val="center"/>
          </w:tcPr>
          <w:p w14:paraId="111D3D92">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水平3</w:t>
            </w:r>
          </w:p>
        </w:tc>
        <w:tc>
          <w:tcPr>
            <w:tcW w:w="818" w:type="pct"/>
            <w:vAlign w:val="center"/>
          </w:tcPr>
          <w:p w14:paraId="7E714644">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水平4</w:t>
            </w:r>
          </w:p>
        </w:tc>
        <w:tc>
          <w:tcPr>
            <w:tcW w:w="818" w:type="pct"/>
            <w:vAlign w:val="center"/>
          </w:tcPr>
          <w:p w14:paraId="3FE25C62">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水平5</w:t>
            </w:r>
          </w:p>
        </w:tc>
      </w:tr>
      <w:tr w14:paraId="694F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9" w:type="pct"/>
            <w:vAlign w:val="center"/>
          </w:tcPr>
          <w:p w14:paraId="2CDDDD73">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均值的平均值</w:t>
            </w:r>
          </w:p>
        </w:tc>
        <w:tc>
          <w:tcPr>
            <w:tcW w:w="1394" w:type="dxa"/>
            <w:vAlign w:val="center"/>
          </w:tcPr>
          <w:p w14:paraId="1366B240">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0.291</w:t>
            </w:r>
          </w:p>
        </w:tc>
        <w:tc>
          <w:tcPr>
            <w:tcW w:w="1394" w:type="dxa"/>
            <w:vAlign w:val="center"/>
          </w:tcPr>
          <w:p w14:paraId="11B6A468">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1.751</w:t>
            </w:r>
          </w:p>
        </w:tc>
        <w:tc>
          <w:tcPr>
            <w:tcW w:w="1394" w:type="dxa"/>
            <w:vAlign w:val="center"/>
          </w:tcPr>
          <w:p w14:paraId="4B35AAAE">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8.709</w:t>
            </w:r>
          </w:p>
        </w:tc>
        <w:tc>
          <w:tcPr>
            <w:tcW w:w="1394" w:type="dxa"/>
            <w:vAlign w:val="center"/>
          </w:tcPr>
          <w:p w14:paraId="0DDB5A5A">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13.482</w:t>
            </w:r>
          </w:p>
        </w:tc>
        <w:tc>
          <w:tcPr>
            <w:tcW w:w="1397" w:type="dxa"/>
            <w:vAlign w:val="center"/>
          </w:tcPr>
          <w:p w14:paraId="3973C789">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22.674</w:t>
            </w:r>
          </w:p>
        </w:tc>
      </w:tr>
      <w:tr w14:paraId="5ECF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9" w:type="pct"/>
            <w:vAlign w:val="center"/>
          </w:tcPr>
          <w:p w14:paraId="5139DE5E">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均值的标准差</w:t>
            </w:r>
          </w:p>
        </w:tc>
        <w:tc>
          <w:tcPr>
            <w:tcW w:w="1394" w:type="dxa"/>
            <w:vAlign w:val="center"/>
          </w:tcPr>
          <w:p w14:paraId="7C7D9605">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0.0129</w:t>
            </w:r>
          </w:p>
        </w:tc>
        <w:tc>
          <w:tcPr>
            <w:tcW w:w="1394" w:type="dxa"/>
            <w:vAlign w:val="center"/>
          </w:tcPr>
          <w:p w14:paraId="658A1316">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0.0267</w:t>
            </w:r>
          </w:p>
        </w:tc>
        <w:tc>
          <w:tcPr>
            <w:tcW w:w="1394" w:type="dxa"/>
            <w:vAlign w:val="center"/>
          </w:tcPr>
          <w:p w14:paraId="1E9A3636">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0.0604</w:t>
            </w:r>
          </w:p>
        </w:tc>
        <w:tc>
          <w:tcPr>
            <w:tcW w:w="1394" w:type="dxa"/>
            <w:vAlign w:val="center"/>
          </w:tcPr>
          <w:p w14:paraId="75A7E4C1">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0.0876</w:t>
            </w:r>
          </w:p>
        </w:tc>
        <w:tc>
          <w:tcPr>
            <w:tcW w:w="1397" w:type="dxa"/>
            <w:vAlign w:val="center"/>
          </w:tcPr>
          <w:p w14:paraId="68CC7E88">
            <w:pPr>
              <w:keepNext w:val="0"/>
              <w:keepLines w:val="0"/>
              <w:widowControl/>
              <w:suppressLineNumbers w:val="0"/>
              <w:spacing w:line="240" w:lineRule="auto"/>
              <w:jc w:val="center"/>
              <w:textAlignment w:val="center"/>
              <w:rPr>
                <w:rFonts w:hint="default" w:ascii="Times New Roman" w:hAnsi="Times New Roman" w:cs="Times New Roman"/>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0.0917</w:t>
            </w:r>
          </w:p>
        </w:tc>
      </w:tr>
      <w:tr w14:paraId="1F74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9" w:type="pct"/>
            <w:vAlign w:val="center"/>
          </w:tcPr>
          <w:p w14:paraId="6648C2A0">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最大均值</w:t>
            </w:r>
          </w:p>
        </w:tc>
        <w:tc>
          <w:tcPr>
            <w:tcW w:w="1394" w:type="dxa"/>
            <w:vAlign w:val="center"/>
          </w:tcPr>
          <w:p w14:paraId="1850567F">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0.314</w:t>
            </w:r>
          </w:p>
        </w:tc>
        <w:tc>
          <w:tcPr>
            <w:tcW w:w="1394" w:type="dxa"/>
            <w:vAlign w:val="center"/>
          </w:tcPr>
          <w:p w14:paraId="35BF82B2">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1.801</w:t>
            </w:r>
          </w:p>
        </w:tc>
        <w:tc>
          <w:tcPr>
            <w:tcW w:w="1394" w:type="dxa"/>
            <w:vAlign w:val="center"/>
          </w:tcPr>
          <w:p w14:paraId="1BFF5909">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8.790</w:t>
            </w:r>
          </w:p>
        </w:tc>
        <w:tc>
          <w:tcPr>
            <w:tcW w:w="1394" w:type="dxa"/>
            <w:vAlign w:val="center"/>
          </w:tcPr>
          <w:p w14:paraId="06BC681E">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13.652</w:t>
            </w:r>
          </w:p>
        </w:tc>
        <w:tc>
          <w:tcPr>
            <w:tcW w:w="1397" w:type="dxa"/>
            <w:vAlign w:val="center"/>
          </w:tcPr>
          <w:p w14:paraId="0F923329">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22.796</w:t>
            </w:r>
          </w:p>
        </w:tc>
      </w:tr>
      <w:tr w14:paraId="3EAC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9" w:type="pct"/>
            <w:vAlign w:val="center"/>
          </w:tcPr>
          <w:p w14:paraId="1DF139D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最小均值</w:t>
            </w:r>
          </w:p>
        </w:tc>
        <w:tc>
          <w:tcPr>
            <w:tcW w:w="1394" w:type="dxa"/>
            <w:vAlign w:val="center"/>
          </w:tcPr>
          <w:p w14:paraId="0BE08E91">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0.272</w:t>
            </w:r>
          </w:p>
        </w:tc>
        <w:tc>
          <w:tcPr>
            <w:tcW w:w="1394" w:type="dxa"/>
            <w:vAlign w:val="center"/>
          </w:tcPr>
          <w:p w14:paraId="114A4615">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1.720</w:t>
            </w:r>
          </w:p>
        </w:tc>
        <w:tc>
          <w:tcPr>
            <w:tcW w:w="1394" w:type="dxa"/>
            <w:vAlign w:val="center"/>
          </w:tcPr>
          <w:p w14:paraId="5D7B6140">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8.623</w:t>
            </w:r>
          </w:p>
        </w:tc>
        <w:tc>
          <w:tcPr>
            <w:tcW w:w="1394" w:type="dxa"/>
            <w:vAlign w:val="center"/>
          </w:tcPr>
          <w:p w14:paraId="42F9E669">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13.399</w:t>
            </w:r>
          </w:p>
        </w:tc>
        <w:tc>
          <w:tcPr>
            <w:tcW w:w="1397" w:type="dxa"/>
            <w:vAlign w:val="center"/>
          </w:tcPr>
          <w:p w14:paraId="6593BA5B">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22.529</w:t>
            </w:r>
          </w:p>
        </w:tc>
      </w:tr>
      <w:tr w14:paraId="5D2C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9" w:type="pct"/>
            <w:vAlign w:val="center"/>
          </w:tcPr>
          <w:p w14:paraId="2CE5E15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Gmax</w:t>
            </w:r>
          </w:p>
        </w:tc>
        <w:tc>
          <w:tcPr>
            <w:tcW w:w="1394" w:type="dxa"/>
            <w:vAlign w:val="center"/>
          </w:tcPr>
          <w:p w14:paraId="7272C1B6">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1.762</w:t>
            </w:r>
          </w:p>
        </w:tc>
        <w:tc>
          <w:tcPr>
            <w:tcW w:w="1394" w:type="dxa"/>
            <w:vAlign w:val="center"/>
          </w:tcPr>
          <w:p w14:paraId="7764502D">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1.876</w:t>
            </w:r>
          </w:p>
        </w:tc>
        <w:tc>
          <w:tcPr>
            <w:tcW w:w="1394" w:type="dxa"/>
            <w:vAlign w:val="center"/>
          </w:tcPr>
          <w:p w14:paraId="3225BF68">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1.341</w:t>
            </w:r>
          </w:p>
        </w:tc>
        <w:tc>
          <w:tcPr>
            <w:tcW w:w="1394" w:type="dxa"/>
            <w:vAlign w:val="center"/>
          </w:tcPr>
          <w:p w14:paraId="6FD1C3B6">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1.943</w:t>
            </w:r>
          </w:p>
        </w:tc>
        <w:tc>
          <w:tcPr>
            <w:tcW w:w="1397" w:type="dxa"/>
            <w:vAlign w:val="center"/>
          </w:tcPr>
          <w:p w14:paraId="61395ACC">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1.322</w:t>
            </w:r>
          </w:p>
        </w:tc>
      </w:tr>
      <w:tr w14:paraId="3A23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09" w:type="pct"/>
            <w:vAlign w:val="center"/>
          </w:tcPr>
          <w:p w14:paraId="403AEC5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Gmin</w:t>
            </w:r>
          </w:p>
        </w:tc>
        <w:tc>
          <w:tcPr>
            <w:tcW w:w="1394" w:type="dxa"/>
            <w:vAlign w:val="center"/>
          </w:tcPr>
          <w:p w14:paraId="2CC9A777">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1.482</w:t>
            </w:r>
          </w:p>
        </w:tc>
        <w:tc>
          <w:tcPr>
            <w:tcW w:w="1394" w:type="dxa"/>
            <w:vAlign w:val="center"/>
          </w:tcPr>
          <w:p w14:paraId="5050FB8A">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1.170</w:t>
            </w:r>
          </w:p>
        </w:tc>
        <w:tc>
          <w:tcPr>
            <w:tcW w:w="1394" w:type="dxa"/>
            <w:vAlign w:val="center"/>
          </w:tcPr>
          <w:p w14:paraId="3441A64C">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1.435</w:t>
            </w:r>
          </w:p>
        </w:tc>
        <w:tc>
          <w:tcPr>
            <w:tcW w:w="1394" w:type="dxa"/>
            <w:vAlign w:val="center"/>
          </w:tcPr>
          <w:p w14:paraId="63FA0093">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0.946</w:t>
            </w:r>
          </w:p>
        </w:tc>
        <w:tc>
          <w:tcPr>
            <w:tcW w:w="1397" w:type="dxa"/>
            <w:vAlign w:val="center"/>
          </w:tcPr>
          <w:p w14:paraId="3555074C">
            <w:pPr>
              <w:keepNext w:val="0"/>
              <w:keepLines w:val="0"/>
              <w:widowControl/>
              <w:suppressLineNumbers w:val="0"/>
              <w:spacing w:line="240" w:lineRule="auto"/>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1.590</w:t>
            </w:r>
          </w:p>
        </w:tc>
      </w:tr>
      <w:tr w14:paraId="0590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09" w:type="pct"/>
            <w:vAlign w:val="center"/>
          </w:tcPr>
          <w:p w14:paraId="0C47129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G临界值</w:t>
            </w:r>
          </w:p>
        </w:tc>
        <w:tc>
          <w:tcPr>
            <w:tcW w:w="4091" w:type="pct"/>
            <w:gridSpan w:val="5"/>
            <w:vAlign w:val="center"/>
          </w:tcPr>
          <w:p w14:paraId="4E575CC4">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eastAsia" w:ascii="Times New Roman" w:hAnsi="Times New Roman" w:cs="Times New Roman"/>
                <w:sz w:val="18"/>
                <w:szCs w:val="18"/>
                <w:lang w:val="en-US" w:eastAsia="zh-CN"/>
              </w:rPr>
              <w:t>G</w:t>
            </w:r>
            <w:r>
              <w:rPr>
                <w:rFonts w:hint="eastAsia" w:ascii="Times New Roman" w:hAnsi="Times New Roman" w:cs="Times New Roman"/>
                <w:sz w:val="18"/>
                <w:szCs w:val="18"/>
                <w:vertAlign w:val="subscript"/>
                <w:lang w:val="en-US" w:eastAsia="zh-CN"/>
              </w:rPr>
              <w:t>0.05，7</w:t>
            </w:r>
            <w:r>
              <w:rPr>
                <w:rFonts w:hint="eastAsia" w:ascii="Times New Roman" w:hAnsi="Times New Roman" w:cs="Times New Roman"/>
                <w:sz w:val="18"/>
                <w:szCs w:val="18"/>
                <w:lang w:val="en-US" w:eastAsia="zh-CN"/>
              </w:rPr>
              <w:t>=2.139    G</w:t>
            </w:r>
            <w:r>
              <w:rPr>
                <w:rFonts w:hint="eastAsia" w:ascii="Times New Roman" w:hAnsi="Times New Roman" w:cs="Times New Roman"/>
                <w:sz w:val="18"/>
                <w:szCs w:val="18"/>
                <w:vertAlign w:val="subscript"/>
                <w:lang w:val="en-US" w:eastAsia="zh-CN"/>
              </w:rPr>
              <w:t>0.01，7</w:t>
            </w:r>
            <w:r>
              <w:rPr>
                <w:rFonts w:hint="eastAsia" w:ascii="Times New Roman" w:hAnsi="Times New Roman" w:cs="Times New Roman"/>
                <w:sz w:val="18"/>
                <w:szCs w:val="18"/>
                <w:lang w:val="en-US" w:eastAsia="zh-CN"/>
              </w:rPr>
              <w:t>=2.020    G</w:t>
            </w:r>
            <w:r>
              <w:rPr>
                <w:rFonts w:hint="eastAsia" w:ascii="Times New Roman" w:hAnsi="Times New Roman" w:cs="Times New Roman"/>
                <w:sz w:val="18"/>
                <w:szCs w:val="18"/>
                <w:vertAlign w:val="subscript"/>
                <w:lang w:val="en-US" w:eastAsia="zh-CN"/>
              </w:rPr>
              <w:t>0.05，6</w:t>
            </w:r>
            <w:r>
              <w:rPr>
                <w:rFonts w:hint="eastAsia" w:ascii="Times New Roman" w:hAnsi="Times New Roman" w:cs="Times New Roman"/>
                <w:sz w:val="18"/>
                <w:szCs w:val="18"/>
                <w:lang w:val="en-US" w:eastAsia="zh-CN"/>
              </w:rPr>
              <w:t>=1.973    G</w:t>
            </w:r>
            <w:r>
              <w:rPr>
                <w:rFonts w:hint="eastAsia" w:ascii="Times New Roman" w:hAnsi="Times New Roman" w:cs="Times New Roman"/>
                <w:sz w:val="18"/>
                <w:szCs w:val="18"/>
                <w:vertAlign w:val="subscript"/>
                <w:lang w:val="en-US" w:eastAsia="zh-CN"/>
              </w:rPr>
              <w:t>0.01，6</w:t>
            </w:r>
            <w:r>
              <w:rPr>
                <w:rFonts w:hint="eastAsia" w:ascii="Times New Roman" w:hAnsi="Times New Roman" w:cs="Times New Roman"/>
                <w:sz w:val="18"/>
                <w:szCs w:val="18"/>
                <w:lang w:val="en-US" w:eastAsia="zh-CN"/>
              </w:rPr>
              <w:t>=1.887</w:t>
            </w:r>
          </w:p>
        </w:tc>
      </w:tr>
    </w:tbl>
    <w:p w14:paraId="01AE8A6D">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格拉布斯检验显示，无离群值，无歧离值。</w:t>
      </w:r>
    </w:p>
    <w:p w14:paraId="77E443B8">
      <w:pPr>
        <w:keepNext w:val="0"/>
        <w:keepLines w:val="0"/>
        <w:pageBreakBefore w:val="0"/>
        <w:kinsoku/>
        <w:wordWrap/>
        <w:overflowPunct/>
        <w:topLinePunct w:val="0"/>
        <w:bidi w:val="0"/>
        <w:adjustRightInd w:val="0"/>
        <w:snapToGrid w:val="0"/>
        <w:spacing w:before="156" w:beforeLines="50" w:after="156" w:afterLines="50" w:line="360" w:lineRule="auto"/>
        <w:textAlignment w:val="auto"/>
        <w:rPr>
          <w:rFonts w:hint="default" w:ascii="Times New Roman" w:hAnsi="Times New Roman" w:eastAsia="黑体" w:cs="Times New Roman"/>
          <w:szCs w:val="21"/>
        </w:rPr>
      </w:pPr>
      <w:r>
        <w:rPr>
          <w:rFonts w:hint="default" w:ascii="Times New Roman" w:hAnsi="Times New Roman" w:eastAsia="黑体" w:cs="Times New Roman"/>
          <w:szCs w:val="21"/>
        </w:rPr>
        <w:t>2.3</w:t>
      </w:r>
      <w:r>
        <w:rPr>
          <w:rFonts w:hint="default" w:ascii="Times New Roman" w:hAnsi="Times New Roman" w:eastAsia="黑体" w:cs="Times New Roman"/>
          <w:szCs w:val="21"/>
        </w:rPr>
        <w:tab/>
      </w:r>
      <w:r>
        <w:rPr>
          <w:rFonts w:hint="default" w:ascii="Times New Roman" w:hAnsi="Times New Roman" w:eastAsia="黑体" w:cs="Times New Roman"/>
          <w:szCs w:val="21"/>
        </w:rPr>
        <w:t>S</w:t>
      </w:r>
      <w:r>
        <w:rPr>
          <w:rFonts w:hint="default" w:ascii="Times New Roman" w:hAnsi="Times New Roman" w:eastAsia="黑体" w:cs="Times New Roman"/>
          <w:szCs w:val="21"/>
          <w:vertAlign w:val="subscript"/>
        </w:rPr>
        <w:t>r</w:t>
      </w:r>
      <w:r>
        <w:rPr>
          <w:rFonts w:hint="default" w:ascii="Times New Roman" w:hAnsi="Times New Roman" w:eastAsia="黑体" w:cs="Times New Roman"/>
          <w:szCs w:val="21"/>
        </w:rPr>
        <w:t>、S</w:t>
      </w:r>
      <w:r>
        <w:rPr>
          <w:rFonts w:hint="default" w:ascii="Times New Roman" w:hAnsi="Times New Roman" w:eastAsia="黑体" w:cs="Times New Roman"/>
          <w:szCs w:val="21"/>
          <w:vertAlign w:val="subscript"/>
        </w:rPr>
        <w:t>R</w:t>
      </w:r>
      <w:r>
        <w:rPr>
          <w:rFonts w:hint="default" w:ascii="Times New Roman" w:hAnsi="Times New Roman" w:eastAsia="黑体" w:cs="Times New Roman"/>
          <w:szCs w:val="21"/>
        </w:rPr>
        <w:t>、r与R的计算</w:t>
      </w:r>
    </w:p>
    <w:p w14:paraId="417ACBF1">
      <w:pPr>
        <w:keepNext w:val="0"/>
        <w:keepLines w:val="0"/>
        <w:pageBreakBefore w:val="0"/>
        <w:kinsoku/>
        <w:wordWrap/>
        <w:overflowPunct/>
        <w:topLinePunct w:val="0"/>
        <w:bidi w:val="0"/>
        <w:adjustRightInd w:val="0"/>
        <w:snapToGrid w:val="0"/>
        <w:spacing w:line="360" w:lineRule="auto"/>
        <w:jc w:val="center"/>
        <w:textAlignment w:val="auto"/>
        <w:rPr>
          <w:rFonts w:hint="default" w:ascii="Times New Roman" w:hAnsi="Times New Roman" w:cs="Times New Roman"/>
          <w:szCs w:val="21"/>
        </w:rPr>
      </w:pPr>
      <w:r>
        <w:rPr>
          <w:rFonts w:hint="default" w:ascii="Times New Roman" w:hAnsi="Times New Roman" w:cs="Times New Roman"/>
          <w:szCs w:val="21"/>
        </w:rPr>
        <w:t>表</w:t>
      </w:r>
      <w:r>
        <w:rPr>
          <w:rFonts w:hint="default" w:ascii="Times New Roman" w:hAnsi="Times New Roman" w:cs="Times New Roman"/>
          <w:szCs w:val="21"/>
          <w:lang w:val="en-US" w:eastAsia="zh-CN"/>
        </w:rPr>
        <w:t>B</w:t>
      </w:r>
      <w:r>
        <w:rPr>
          <w:rFonts w:hint="default" w:ascii="Times New Roman" w:hAnsi="Times New Roman" w:cs="Times New Roman"/>
          <w:szCs w:val="21"/>
        </w:rPr>
        <w:t>.6 精密度计算数据</w:t>
      </w:r>
    </w:p>
    <w:tbl>
      <w:tblPr>
        <w:tblStyle w:val="4"/>
        <w:tblW w:w="5000" w:type="pct"/>
        <w:tblInd w:w="0" w:type="dxa"/>
        <w:tblLayout w:type="autofit"/>
        <w:tblCellMar>
          <w:top w:w="0" w:type="dxa"/>
          <w:left w:w="108" w:type="dxa"/>
          <w:bottom w:w="0" w:type="dxa"/>
          <w:right w:w="108" w:type="dxa"/>
        </w:tblCellMar>
      </w:tblPr>
      <w:tblGrid>
        <w:gridCol w:w="1200"/>
        <w:gridCol w:w="1462"/>
        <w:gridCol w:w="1476"/>
        <w:gridCol w:w="1476"/>
        <w:gridCol w:w="1454"/>
        <w:gridCol w:w="1454"/>
      </w:tblGrid>
      <w:tr w14:paraId="22C97213">
        <w:tblPrEx>
          <w:tblCellMar>
            <w:top w:w="0" w:type="dxa"/>
            <w:left w:w="108" w:type="dxa"/>
            <w:bottom w:w="0" w:type="dxa"/>
            <w:right w:w="108" w:type="dxa"/>
          </w:tblCellMar>
        </w:tblPrEx>
        <w:trPr>
          <w:trHeight w:val="341" w:hRule="atLeast"/>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5A9A6F">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p>
        </w:tc>
        <w:tc>
          <w:tcPr>
            <w:tcW w:w="858" w:type="pct"/>
            <w:tcBorders>
              <w:top w:val="single" w:color="auto" w:sz="4" w:space="0"/>
              <w:left w:val="nil"/>
              <w:bottom w:val="single" w:color="auto" w:sz="4" w:space="0"/>
              <w:right w:val="single" w:color="auto" w:sz="4" w:space="0"/>
            </w:tcBorders>
            <w:shd w:val="clear" w:color="auto" w:fill="auto"/>
            <w:noWrap/>
            <w:vAlign w:val="center"/>
          </w:tcPr>
          <w:p w14:paraId="3D454595">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水平1</w:t>
            </w:r>
          </w:p>
        </w:tc>
        <w:tc>
          <w:tcPr>
            <w:tcW w:w="866" w:type="pct"/>
            <w:tcBorders>
              <w:top w:val="single" w:color="auto" w:sz="4" w:space="0"/>
              <w:left w:val="nil"/>
              <w:bottom w:val="single" w:color="auto" w:sz="4" w:space="0"/>
              <w:right w:val="single" w:color="auto" w:sz="4" w:space="0"/>
            </w:tcBorders>
            <w:shd w:val="clear" w:color="auto" w:fill="auto"/>
            <w:noWrap/>
            <w:vAlign w:val="center"/>
          </w:tcPr>
          <w:p w14:paraId="3CC268CF">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水平2</w:t>
            </w:r>
          </w:p>
        </w:tc>
        <w:tc>
          <w:tcPr>
            <w:tcW w:w="866" w:type="pct"/>
            <w:tcBorders>
              <w:top w:val="single" w:color="auto" w:sz="4" w:space="0"/>
              <w:left w:val="nil"/>
              <w:bottom w:val="single" w:color="auto" w:sz="4" w:space="0"/>
              <w:right w:val="single" w:color="auto" w:sz="4" w:space="0"/>
            </w:tcBorders>
            <w:shd w:val="clear" w:color="auto" w:fill="auto"/>
            <w:noWrap/>
            <w:vAlign w:val="center"/>
          </w:tcPr>
          <w:p w14:paraId="52E64909">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水平3</w:t>
            </w:r>
          </w:p>
        </w:tc>
        <w:tc>
          <w:tcPr>
            <w:tcW w:w="853" w:type="pct"/>
            <w:tcBorders>
              <w:top w:val="single" w:color="auto" w:sz="4" w:space="0"/>
              <w:left w:val="nil"/>
              <w:bottom w:val="single" w:color="auto" w:sz="4" w:space="0"/>
              <w:right w:val="single" w:color="auto" w:sz="4" w:space="0"/>
            </w:tcBorders>
            <w:vAlign w:val="center"/>
          </w:tcPr>
          <w:p w14:paraId="1FFDBF76">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水平4</w:t>
            </w:r>
          </w:p>
        </w:tc>
        <w:tc>
          <w:tcPr>
            <w:tcW w:w="853" w:type="pct"/>
            <w:tcBorders>
              <w:top w:val="single" w:color="auto" w:sz="4" w:space="0"/>
              <w:left w:val="nil"/>
              <w:bottom w:val="single" w:color="auto" w:sz="4" w:space="0"/>
              <w:right w:val="single" w:color="auto" w:sz="4" w:space="0"/>
            </w:tcBorders>
            <w:vAlign w:val="center"/>
          </w:tcPr>
          <w:p w14:paraId="44BAD603">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水平5</w:t>
            </w:r>
          </w:p>
        </w:tc>
      </w:tr>
      <w:tr w14:paraId="552C0D48">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1C0E5A35">
            <w:pPr>
              <w:keepNext w:val="0"/>
              <w:keepLines w:val="0"/>
              <w:pageBreakBefore w:val="0"/>
              <w:widowControl/>
              <w:kinsoku/>
              <w:wordWrap/>
              <w:overflowPunct/>
              <w:topLinePunct w:val="0"/>
              <w:bidi w:val="0"/>
              <w:adjustRightInd w:val="0"/>
              <w:snapToGrid w:val="0"/>
              <w:spacing w:line="240" w:lineRule="auto"/>
              <w:jc w:val="center"/>
              <w:textAlignment w:val="auto"/>
              <w:rPr>
                <w:rFonts w:hint="default" w:ascii="Times New Roman" w:hAnsi="Times New Roman" w:cs="Times New Roman"/>
                <w:kern w:val="0"/>
                <w:sz w:val="18"/>
                <w:szCs w:val="18"/>
              </w:rPr>
            </w:pPr>
            <w:r>
              <w:rPr>
                <w:rFonts w:hint="default" w:ascii="Times New Roman" w:hAnsi="Times New Roman" w:cs="Times New Roman"/>
                <w:sz w:val="18"/>
                <w:szCs w:val="18"/>
              </w:rPr>
              <w:t>总平均值</w:t>
            </w:r>
          </w:p>
        </w:tc>
        <w:tc>
          <w:tcPr>
            <w:tcW w:w="1462" w:type="dxa"/>
            <w:tcBorders>
              <w:top w:val="nil"/>
              <w:left w:val="nil"/>
              <w:bottom w:val="single" w:color="auto" w:sz="4" w:space="0"/>
              <w:right w:val="single" w:color="auto" w:sz="4" w:space="0"/>
            </w:tcBorders>
            <w:shd w:val="clear" w:color="auto" w:fill="auto"/>
            <w:noWrap/>
            <w:vAlign w:val="center"/>
          </w:tcPr>
          <w:p w14:paraId="69FDB574">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0.292</w:t>
            </w:r>
          </w:p>
        </w:tc>
        <w:tc>
          <w:tcPr>
            <w:tcW w:w="1476" w:type="dxa"/>
            <w:tcBorders>
              <w:top w:val="nil"/>
              <w:left w:val="nil"/>
              <w:bottom w:val="single" w:color="auto" w:sz="4" w:space="0"/>
              <w:right w:val="single" w:color="auto" w:sz="4" w:space="0"/>
            </w:tcBorders>
            <w:shd w:val="clear" w:color="auto" w:fill="auto"/>
            <w:noWrap/>
            <w:vAlign w:val="center"/>
          </w:tcPr>
          <w:p w14:paraId="3E9F5EF9">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1.751</w:t>
            </w:r>
          </w:p>
        </w:tc>
        <w:tc>
          <w:tcPr>
            <w:tcW w:w="1476" w:type="dxa"/>
            <w:tcBorders>
              <w:top w:val="nil"/>
              <w:left w:val="nil"/>
              <w:bottom w:val="single" w:color="auto" w:sz="4" w:space="0"/>
              <w:right w:val="single" w:color="auto" w:sz="4" w:space="0"/>
            </w:tcBorders>
            <w:shd w:val="clear" w:color="auto" w:fill="auto"/>
            <w:noWrap/>
            <w:vAlign w:val="center"/>
          </w:tcPr>
          <w:p w14:paraId="307E4FA6">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8.710</w:t>
            </w:r>
          </w:p>
        </w:tc>
        <w:tc>
          <w:tcPr>
            <w:tcW w:w="1454" w:type="dxa"/>
            <w:tcBorders>
              <w:top w:val="nil"/>
              <w:left w:val="nil"/>
              <w:bottom w:val="single" w:color="auto" w:sz="4" w:space="0"/>
              <w:right w:val="single" w:color="auto" w:sz="4" w:space="0"/>
            </w:tcBorders>
            <w:vAlign w:val="center"/>
          </w:tcPr>
          <w:p w14:paraId="389A5329">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13.482</w:t>
            </w:r>
          </w:p>
        </w:tc>
        <w:tc>
          <w:tcPr>
            <w:tcW w:w="1454" w:type="dxa"/>
            <w:tcBorders>
              <w:top w:val="nil"/>
              <w:left w:val="nil"/>
              <w:bottom w:val="single" w:color="auto" w:sz="4" w:space="0"/>
              <w:right w:val="single" w:color="auto" w:sz="4" w:space="0"/>
            </w:tcBorders>
            <w:vAlign w:val="center"/>
          </w:tcPr>
          <w:p w14:paraId="1BBB2FFA">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22.674</w:t>
            </w:r>
          </w:p>
        </w:tc>
      </w:tr>
      <w:tr w14:paraId="60070AEF">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607686F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T1</w:t>
            </w:r>
          </w:p>
        </w:tc>
        <w:tc>
          <w:tcPr>
            <w:tcW w:w="1462" w:type="dxa"/>
            <w:tcBorders>
              <w:top w:val="nil"/>
              <w:left w:val="nil"/>
              <w:bottom w:val="single" w:color="auto" w:sz="4" w:space="0"/>
              <w:right w:val="single" w:color="auto" w:sz="4" w:space="0"/>
            </w:tcBorders>
            <w:shd w:val="clear" w:color="auto" w:fill="auto"/>
            <w:noWrap/>
            <w:vAlign w:val="center"/>
          </w:tcPr>
          <w:p w14:paraId="308E1580">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22.443</w:t>
            </w:r>
          </w:p>
        </w:tc>
        <w:tc>
          <w:tcPr>
            <w:tcW w:w="1476" w:type="dxa"/>
            <w:tcBorders>
              <w:top w:val="nil"/>
              <w:left w:val="nil"/>
              <w:bottom w:val="single" w:color="auto" w:sz="4" w:space="0"/>
              <w:right w:val="single" w:color="auto" w:sz="4" w:space="0"/>
            </w:tcBorders>
            <w:shd w:val="clear" w:color="auto" w:fill="auto"/>
            <w:noWrap/>
            <w:vAlign w:val="center"/>
          </w:tcPr>
          <w:p w14:paraId="3D7A529A">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134.823</w:t>
            </w:r>
          </w:p>
        </w:tc>
        <w:tc>
          <w:tcPr>
            <w:tcW w:w="1476" w:type="dxa"/>
            <w:tcBorders>
              <w:top w:val="nil"/>
              <w:left w:val="nil"/>
              <w:bottom w:val="single" w:color="auto" w:sz="4" w:space="0"/>
              <w:right w:val="single" w:color="auto" w:sz="4" w:space="0"/>
            </w:tcBorders>
            <w:shd w:val="clear" w:color="auto" w:fill="auto"/>
            <w:noWrap/>
            <w:vAlign w:val="center"/>
          </w:tcPr>
          <w:p w14:paraId="690E2F09">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670.629</w:t>
            </w:r>
          </w:p>
        </w:tc>
        <w:tc>
          <w:tcPr>
            <w:tcW w:w="1454" w:type="dxa"/>
            <w:tcBorders>
              <w:top w:val="nil"/>
              <w:left w:val="nil"/>
              <w:bottom w:val="single" w:color="auto" w:sz="4" w:space="0"/>
              <w:right w:val="single" w:color="auto" w:sz="4" w:space="0"/>
            </w:tcBorders>
            <w:vAlign w:val="center"/>
          </w:tcPr>
          <w:p w14:paraId="72684445">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1038.089</w:t>
            </w:r>
          </w:p>
        </w:tc>
        <w:tc>
          <w:tcPr>
            <w:tcW w:w="1454" w:type="dxa"/>
            <w:tcBorders>
              <w:top w:val="nil"/>
              <w:left w:val="nil"/>
              <w:bottom w:val="single" w:color="auto" w:sz="4" w:space="0"/>
              <w:right w:val="single" w:color="auto" w:sz="4" w:space="0"/>
            </w:tcBorders>
            <w:vAlign w:val="center"/>
          </w:tcPr>
          <w:p w14:paraId="59456DA0">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1496.506</w:t>
            </w:r>
          </w:p>
        </w:tc>
      </w:tr>
      <w:tr w14:paraId="1D7A4406">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6690F3F6">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T2</w:t>
            </w:r>
          </w:p>
        </w:tc>
        <w:tc>
          <w:tcPr>
            <w:tcW w:w="1462" w:type="dxa"/>
            <w:tcBorders>
              <w:top w:val="nil"/>
              <w:left w:val="nil"/>
              <w:bottom w:val="single" w:color="auto" w:sz="4" w:space="0"/>
              <w:right w:val="single" w:color="auto" w:sz="4" w:space="0"/>
            </w:tcBorders>
            <w:shd w:val="clear" w:color="auto" w:fill="auto"/>
            <w:noWrap/>
            <w:vAlign w:val="center"/>
          </w:tcPr>
          <w:p w14:paraId="68C02263">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6.543 </w:t>
            </w:r>
          </w:p>
        </w:tc>
        <w:tc>
          <w:tcPr>
            <w:tcW w:w="1476" w:type="dxa"/>
            <w:tcBorders>
              <w:top w:val="nil"/>
              <w:left w:val="nil"/>
              <w:bottom w:val="single" w:color="auto" w:sz="4" w:space="0"/>
              <w:right w:val="single" w:color="auto" w:sz="4" w:space="0"/>
            </w:tcBorders>
            <w:shd w:val="clear" w:color="auto" w:fill="auto"/>
            <w:noWrap/>
            <w:vAlign w:val="center"/>
          </w:tcPr>
          <w:p w14:paraId="1073D81F">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236.082 </w:t>
            </w:r>
          </w:p>
        </w:tc>
        <w:tc>
          <w:tcPr>
            <w:tcW w:w="1476" w:type="dxa"/>
            <w:tcBorders>
              <w:top w:val="nil"/>
              <w:left w:val="nil"/>
              <w:bottom w:val="single" w:color="auto" w:sz="4" w:space="0"/>
              <w:right w:val="single" w:color="auto" w:sz="4" w:space="0"/>
            </w:tcBorders>
            <w:shd w:val="clear" w:color="auto" w:fill="auto"/>
            <w:noWrap/>
            <w:vAlign w:val="center"/>
          </w:tcPr>
          <w:p w14:paraId="093F1F77">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5841.536 </w:t>
            </w:r>
          </w:p>
        </w:tc>
        <w:tc>
          <w:tcPr>
            <w:tcW w:w="1454" w:type="dxa"/>
            <w:tcBorders>
              <w:top w:val="nil"/>
              <w:left w:val="nil"/>
              <w:bottom w:val="single" w:color="auto" w:sz="4" w:space="0"/>
              <w:right w:val="single" w:color="auto" w:sz="4" w:space="0"/>
            </w:tcBorders>
            <w:vAlign w:val="center"/>
          </w:tcPr>
          <w:p w14:paraId="764E2C2D">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13995.438 </w:t>
            </w:r>
          </w:p>
        </w:tc>
        <w:tc>
          <w:tcPr>
            <w:tcW w:w="1454" w:type="dxa"/>
            <w:tcBorders>
              <w:top w:val="nil"/>
              <w:left w:val="nil"/>
              <w:bottom w:val="single" w:color="auto" w:sz="4" w:space="0"/>
              <w:right w:val="single" w:color="auto" w:sz="4" w:space="0"/>
            </w:tcBorders>
            <w:vAlign w:val="center"/>
          </w:tcPr>
          <w:p w14:paraId="2091BA0E">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33932.475 </w:t>
            </w:r>
          </w:p>
        </w:tc>
      </w:tr>
      <w:tr w14:paraId="2C62D8B0">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6B6B3646">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T3</w:t>
            </w:r>
          </w:p>
        </w:tc>
        <w:tc>
          <w:tcPr>
            <w:tcW w:w="1462" w:type="dxa"/>
            <w:tcBorders>
              <w:top w:val="nil"/>
              <w:left w:val="nil"/>
              <w:bottom w:val="single" w:color="auto" w:sz="4" w:space="0"/>
              <w:right w:val="single" w:color="auto" w:sz="4" w:space="0"/>
            </w:tcBorders>
            <w:shd w:val="clear" w:color="auto" w:fill="auto"/>
            <w:noWrap/>
            <w:vAlign w:val="center"/>
          </w:tcPr>
          <w:p w14:paraId="5AB318E8">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476" w:type="dxa"/>
            <w:tcBorders>
              <w:top w:val="nil"/>
              <w:left w:val="nil"/>
              <w:bottom w:val="single" w:color="auto" w:sz="4" w:space="0"/>
              <w:right w:val="single" w:color="auto" w:sz="4" w:space="0"/>
            </w:tcBorders>
            <w:shd w:val="clear" w:color="auto" w:fill="auto"/>
            <w:noWrap/>
            <w:vAlign w:val="center"/>
          </w:tcPr>
          <w:p w14:paraId="0B113BB3">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476" w:type="dxa"/>
            <w:tcBorders>
              <w:top w:val="nil"/>
              <w:left w:val="nil"/>
              <w:bottom w:val="single" w:color="auto" w:sz="4" w:space="0"/>
              <w:right w:val="single" w:color="auto" w:sz="4" w:space="0"/>
            </w:tcBorders>
            <w:shd w:val="clear" w:color="auto" w:fill="auto"/>
            <w:noWrap/>
            <w:vAlign w:val="center"/>
          </w:tcPr>
          <w:p w14:paraId="2EE037C7">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454" w:type="dxa"/>
            <w:tcBorders>
              <w:top w:val="nil"/>
              <w:left w:val="nil"/>
              <w:bottom w:val="single" w:color="auto" w:sz="4" w:space="0"/>
              <w:right w:val="single" w:color="auto" w:sz="4" w:space="0"/>
            </w:tcBorders>
            <w:vAlign w:val="center"/>
          </w:tcPr>
          <w:p w14:paraId="1BC9F8C5">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1454" w:type="dxa"/>
            <w:tcBorders>
              <w:top w:val="nil"/>
              <w:left w:val="nil"/>
              <w:bottom w:val="single" w:color="auto" w:sz="4" w:space="0"/>
              <w:right w:val="single" w:color="auto" w:sz="4" w:space="0"/>
            </w:tcBorders>
            <w:vAlign w:val="center"/>
          </w:tcPr>
          <w:p w14:paraId="03C8E4D6">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66</w:t>
            </w:r>
          </w:p>
        </w:tc>
      </w:tr>
      <w:tr w14:paraId="0B959EE9">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3653C76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T4</w:t>
            </w:r>
          </w:p>
        </w:tc>
        <w:tc>
          <w:tcPr>
            <w:tcW w:w="1462" w:type="dxa"/>
            <w:tcBorders>
              <w:top w:val="nil"/>
              <w:left w:val="nil"/>
              <w:bottom w:val="single" w:color="auto" w:sz="4" w:space="0"/>
              <w:right w:val="single" w:color="auto" w:sz="4" w:space="0"/>
            </w:tcBorders>
            <w:shd w:val="clear" w:color="auto" w:fill="auto"/>
            <w:noWrap/>
            <w:vAlign w:val="center"/>
          </w:tcPr>
          <w:p w14:paraId="007FD76F">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1476" w:type="dxa"/>
            <w:tcBorders>
              <w:top w:val="nil"/>
              <w:left w:val="nil"/>
              <w:bottom w:val="single" w:color="auto" w:sz="4" w:space="0"/>
              <w:right w:val="single" w:color="auto" w:sz="4" w:space="0"/>
            </w:tcBorders>
            <w:shd w:val="clear" w:color="auto" w:fill="auto"/>
            <w:noWrap/>
            <w:vAlign w:val="center"/>
          </w:tcPr>
          <w:p w14:paraId="1AC6633C">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1476" w:type="dxa"/>
            <w:tcBorders>
              <w:top w:val="nil"/>
              <w:left w:val="nil"/>
              <w:bottom w:val="single" w:color="auto" w:sz="4" w:space="0"/>
              <w:right w:val="single" w:color="auto" w:sz="4" w:space="0"/>
            </w:tcBorders>
            <w:shd w:val="clear" w:color="auto" w:fill="auto"/>
            <w:noWrap/>
            <w:vAlign w:val="center"/>
          </w:tcPr>
          <w:p w14:paraId="0FA3E353">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1454" w:type="dxa"/>
            <w:tcBorders>
              <w:top w:val="nil"/>
              <w:left w:val="nil"/>
              <w:bottom w:val="single" w:color="auto" w:sz="4" w:space="0"/>
              <w:right w:val="single" w:color="auto" w:sz="4" w:space="0"/>
            </w:tcBorders>
            <w:vAlign w:val="center"/>
          </w:tcPr>
          <w:p w14:paraId="1F827C3E">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847</w:t>
            </w:r>
          </w:p>
        </w:tc>
        <w:tc>
          <w:tcPr>
            <w:tcW w:w="1454" w:type="dxa"/>
            <w:tcBorders>
              <w:top w:val="nil"/>
              <w:left w:val="nil"/>
              <w:bottom w:val="single" w:color="auto" w:sz="4" w:space="0"/>
              <w:right w:val="single" w:color="auto" w:sz="4" w:space="0"/>
            </w:tcBorders>
            <w:vAlign w:val="center"/>
          </w:tcPr>
          <w:p w14:paraId="6104D705">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iCs w:val="0"/>
                <w:color w:val="000000"/>
                <w:kern w:val="0"/>
                <w:sz w:val="20"/>
                <w:szCs w:val="20"/>
                <w:u w:val="none"/>
                <w:lang w:val="en-US" w:eastAsia="zh-CN" w:bidi="ar"/>
              </w:rPr>
              <w:t>726</w:t>
            </w:r>
          </w:p>
        </w:tc>
      </w:tr>
      <w:tr w14:paraId="15AE62F2">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36CC2DFC">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T5</w:t>
            </w:r>
          </w:p>
        </w:tc>
        <w:tc>
          <w:tcPr>
            <w:tcW w:w="1462" w:type="dxa"/>
            <w:tcBorders>
              <w:top w:val="nil"/>
              <w:left w:val="nil"/>
              <w:bottom w:val="single" w:color="auto" w:sz="4" w:space="0"/>
              <w:right w:val="single" w:color="auto" w:sz="4" w:space="0"/>
            </w:tcBorders>
            <w:shd w:val="clear" w:color="auto" w:fill="auto"/>
            <w:noWrap/>
            <w:vAlign w:val="center"/>
          </w:tcPr>
          <w:p w14:paraId="102391E7">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0.00228</w:t>
            </w:r>
          </w:p>
        </w:tc>
        <w:tc>
          <w:tcPr>
            <w:tcW w:w="1476" w:type="dxa"/>
            <w:tcBorders>
              <w:top w:val="nil"/>
              <w:left w:val="nil"/>
              <w:bottom w:val="single" w:color="auto" w:sz="4" w:space="0"/>
              <w:right w:val="single" w:color="auto" w:sz="4" w:space="0"/>
            </w:tcBorders>
            <w:shd w:val="clear" w:color="auto" w:fill="auto"/>
            <w:noWrap/>
            <w:vAlign w:val="center"/>
          </w:tcPr>
          <w:p w14:paraId="0FB50FE3">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0.0359</w:t>
            </w:r>
          </w:p>
        </w:tc>
        <w:tc>
          <w:tcPr>
            <w:tcW w:w="1476" w:type="dxa"/>
            <w:tcBorders>
              <w:top w:val="nil"/>
              <w:left w:val="nil"/>
              <w:bottom w:val="single" w:color="auto" w:sz="4" w:space="0"/>
              <w:right w:val="single" w:color="auto" w:sz="4" w:space="0"/>
            </w:tcBorders>
            <w:shd w:val="clear" w:color="auto" w:fill="auto"/>
            <w:noWrap/>
            <w:vAlign w:val="center"/>
          </w:tcPr>
          <w:p w14:paraId="651C39A6">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0.539</w:t>
            </w:r>
          </w:p>
        </w:tc>
        <w:tc>
          <w:tcPr>
            <w:tcW w:w="1454" w:type="dxa"/>
            <w:tcBorders>
              <w:top w:val="nil"/>
              <w:left w:val="nil"/>
              <w:bottom w:val="single" w:color="auto" w:sz="4" w:space="0"/>
              <w:right w:val="single" w:color="auto" w:sz="4" w:space="0"/>
            </w:tcBorders>
            <w:vAlign w:val="center"/>
          </w:tcPr>
          <w:p w14:paraId="5E2D73FF">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0.680</w:t>
            </w:r>
          </w:p>
        </w:tc>
        <w:tc>
          <w:tcPr>
            <w:tcW w:w="1454" w:type="dxa"/>
            <w:tcBorders>
              <w:top w:val="nil"/>
              <w:left w:val="nil"/>
              <w:bottom w:val="single" w:color="auto" w:sz="4" w:space="0"/>
              <w:right w:val="single" w:color="auto" w:sz="4" w:space="0"/>
            </w:tcBorders>
            <w:vAlign w:val="center"/>
          </w:tcPr>
          <w:p w14:paraId="091FB4B2">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eastAsia" w:ascii="Times New Roman" w:hAnsi="Times New Roman" w:eastAsia="宋体" w:cs="Times New Roman"/>
                <w:i w:val="0"/>
                <w:iCs w:val="0"/>
                <w:color w:val="000000"/>
                <w:kern w:val="0"/>
                <w:sz w:val="20"/>
                <w:szCs w:val="20"/>
                <w:u w:val="none"/>
                <w:lang w:val="en-US" w:eastAsia="zh-CN" w:bidi="ar"/>
              </w:rPr>
              <w:t>0.498</w:t>
            </w:r>
          </w:p>
        </w:tc>
      </w:tr>
      <w:tr w14:paraId="3172B8CD">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767C1D0F">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P</w:t>
            </w:r>
          </w:p>
        </w:tc>
        <w:tc>
          <w:tcPr>
            <w:tcW w:w="858" w:type="pct"/>
            <w:tcBorders>
              <w:top w:val="nil"/>
              <w:left w:val="nil"/>
              <w:bottom w:val="single" w:color="auto" w:sz="4" w:space="0"/>
              <w:right w:val="single" w:color="auto" w:sz="4" w:space="0"/>
            </w:tcBorders>
            <w:shd w:val="clear" w:color="auto" w:fill="auto"/>
            <w:noWrap/>
            <w:vAlign w:val="center"/>
          </w:tcPr>
          <w:p w14:paraId="2776CE89">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7</w:t>
            </w:r>
          </w:p>
        </w:tc>
        <w:tc>
          <w:tcPr>
            <w:tcW w:w="866" w:type="pct"/>
            <w:tcBorders>
              <w:top w:val="nil"/>
              <w:left w:val="nil"/>
              <w:bottom w:val="single" w:color="auto" w:sz="4" w:space="0"/>
              <w:right w:val="single" w:color="auto" w:sz="4" w:space="0"/>
            </w:tcBorders>
            <w:shd w:val="clear" w:color="auto" w:fill="auto"/>
            <w:noWrap/>
            <w:vAlign w:val="center"/>
          </w:tcPr>
          <w:p w14:paraId="72526473">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7</w:t>
            </w:r>
          </w:p>
        </w:tc>
        <w:tc>
          <w:tcPr>
            <w:tcW w:w="866" w:type="pct"/>
            <w:tcBorders>
              <w:top w:val="nil"/>
              <w:left w:val="nil"/>
              <w:bottom w:val="single" w:color="auto" w:sz="4" w:space="0"/>
              <w:right w:val="single" w:color="auto" w:sz="4" w:space="0"/>
            </w:tcBorders>
            <w:shd w:val="clear" w:color="auto" w:fill="auto"/>
            <w:noWrap/>
            <w:vAlign w:val="center"/>
          </w:tcPr>
          <w:p w14:paraId="15418540">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7</w:t>
            </w:r>
          </w:p>
        </w:tc>
        <w:tc>
          <w:tcPr>
            <w:tcW w:w="853" w:type="pct"/>
            <w:tcBorders>
              <w:top w:val="nil"/>
              <w:left w:val="nil"/>
              <w:bottom w:val="single" w:color="auto" w:sz="4" w:space="0"/>
              <w:right w:val="single" w:color="auto" w:sz="4" w:space="0"/>
            </w:tcBorders>
            <w:vAlign w:val="center"/>
          </w:tcPr>
          <w:p w14:paraId="4EC79A4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7</w:t>
            </w:r>
          </w:p>
        </w:tc>
        <w:tc>
          <w:tcPr>
            <w:tcW w:w="853" w:type="pct"/>
            <w:tcBorders>
              <w:top w:val="nil"/>
              <w:left w:val="nil"/>
              <w:bottom w:val="single" w:color="auto" w:sz="4" w:space="0"/>
              <w:right w:val="single" w:color="auto" w:sz="4" w:space="0"/>
            </w:tcBorders>
            <w:vAlign w:val="center"/>
          </w:tcPr>
          <w:p w14:paraId="230289B5">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6</w:t>
            </w:r>
          </w:p>
        </w:tc>
      </w:tr>
      <w:tr w14:paraId="3918F16F">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21DBC5F5">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r>
              <w:rPr>
                <w:rFonts w:hint="default" w:ascii="Times New Roman" w:hAnsi="Times New Roman" w:cs="Times New Roman"/>
                <w:sz w:val="18"/>
                <w:szCs w:val="18"/>
                <w:vertAlign w:val="superscript"/>
              </w:rPr>
              <w:t>2</w:t>
            </w:r>
          </w:p>
        </w:tc>
        <w:tc>
          <w:tcPr>
            <w:tcW w:w="1462" w:type="dxa"/>
            <w:tcBorders>
              <w:top w:val="nil"/>
              <w:left w:val="nil"/>
              <w:bottom w:val="single" w:color="auto" w:sz="4" w:space="0"/>
              <w:right w:val="single" w:color="auto" w:sz="4" w:space="0"/>
            </w:tcBorders>
            <w:shd w:val="clear" w:color="auto" w:fill="auto"/>
            <w:noWrap/>
            <w:vAlign w:val="center"/>
          </w:tcPr>
          <w:p w14:paraId="76A8F59C">
            <w:pPr>
              <w:keepNext w:val="0"/>
              <w:keepLines w:val="0"/>
              <w:widowControl/>
              <w:suppressLineNumbers w:val="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Times New Roman"/>
                <w:i w:val="0"/>
                <w:iCs w:val="0"/>
                <w:color w:val="000000"/>
                <w:kern w:val="0"/>
                <w:sz w:val="20"/>
                <w:szCs w:val="20"/>
                <w:u w:val="none"/>
                <w:lang w:val="en-US" w:eastAsia="zh-CN" w:bidi="ar"/>
              </w:rPr>
              <w:t>0.0000326</w:t>
            </w:r>
          </w:p>
        </w:tc>
        <w:tc>
          <w:tcPr>
            <w:tcW w:w="1476" w:type="dxa"/>
            <w:tcBorders>
              <w:top w:val="nil"/>
              <w:left w:val="nil"/>
              <w:bottom w:val="single" w:color="auto" w:sz="4" w:space="0"/>
              <w:right w:val="single" w:color="auto" w:sz="4" w:space="0"/>
            </w:tcBorders>
            <w:shd w:val="clear" w:color="auto" w:fill="auto"/>
            <w:noWrap/>
            <w:vAlign w:val="center"/>
          </w:tcPr>
          <w:p w14:paraId="048CEF85">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0.000513</w:t>
            </w:r>
          </w:p>
        </w:tc>
        <w:tc>
          <w:tcPr>
            <w:tcW w:w="1476" w:type="dxa"/>
            <w:tcBorders>
              <w:top w:val="nil"/>
              <w:left w:val="nil"/>
              <w:bottom w:val="single" w:color="auto" w:sz="4" w:space="0"/>
              <w:right w:val="single" w:color="auto" w:sz="4" w:space="0"/>
            </w:tcBorders>
            <w:shd w:val="clear" w:color="auto" w:fill="auto"/>
            <w:noWrap/>
            <w:vAlign w:val="center"/>
          </w:tcPr>
          <w:p w14:paraId="0230F66C">
            <w:pPr>
              <w:keepNext w:val="0"/>
              <w:keepLines w:val="0"/>
              <w:widowControl/>
              <w:suppressLineNumbers w:val="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0.007</w:t>
            </w:r>
            <w:r>
              <w:rPr>
                <w:rFonts w:hint="eastAsia" w:ascii="Times New Roman" w:hAnsi="Times New Roman" w:eastAsia="宋体" w:cs="Times New Roman"/>
                <w:i w:val="0"/>
                <w:iCs w:val="0"/>
                <w:color w:val="000000"/>
                <w:kern w:val="0"/>
                <w:sz w:val="20"/>
                <w:szCs w:val="20"/>
                <w:u w:val="none"/>
                <w:lang w:val="en-US" w:eastAsia="zh-CN" w:bidi="ar"/>
              </w:rPr>
              <w:t>70</w:t>
            </w:r>
          </w:p>
        </w:tc>
        <w:tc>
          <w:tcPr>
            <w:tcW w:w="1454" w:type="dxa"/>
            <w:tcBorders>
              <w:top w:val="nil"/>
              <w:left w:val="nil"/>
              <w:bottom w:val="single" w:color="auto" w:sz="4" w:space="0"/>
              <w:right w:val="single" w:color="auto" w:sz="4" w:space="0"/>
            </w:tcBorders>
            <w:vAlign w:val="center"/>
          </w:tcPr>
          <w:p w14:paraId="6E7697B1">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0.0097</w:t>
            </w:r>
            <w:r>
              <w:rPr>
                <w:rFonts w:hint="eastAsia" w:ascii="Times New Roman" w:hAnsi="Times New Roman" w:eastAsia="宋体" w:cs="Times New Roman"/>
                <w:i w:val="0"/>
                <w:iCs w:val="0"/>
                <w:color w:val="000000"/>
                <w:kern w:val="0"/>
                <w:sz w:val="20"/>
                <w:szCs w:val="20"/>
                <w:u w:val="none"/>
                <w:lang w:val="en-US" w:eastAsia="zh-CN" w:bidi="ar"/>
              </w:rPr>
              <w:t>2</w:t>
            </w:r>
          </w:p>
        </w:tc>
        <w:tc>
          <w:tcPr>
            <w:tcW w:w="1454" w:type="dxa"/>
            <w:tcBorders>
              <w:top w:val="nil"/>
              <w:left w:val="nil"/>
              <w:bottom w:val="single" w:color="auto" w:sz="4" w:space="0"/>
              <w:right w:val="single" w:color="auto" w:sz="4" w:space="0"/>
            </w:tcBorders>
            <w:vAlign w:val="center"/>
          </w:tcPr>
          <w:p w14:paraId="0E00BCFD">
            <w:pPr>
              <w:keepNext w:val="0"/>
              <w:keepLines w:val="0"/>
              <w:widowControl/>
              <w:suppressLineNumbers w:val="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0.008</w:t>
            </w:r>
            <w:r>
              <w:rPr>
                <w:rFonts w:hint="eastAsia" w:ascii="Times New Roman" w:hAnsi="Times New Roman" w:eastAsia="宋体" w:cs="Times New Roman"/>
                <w:i w:val="0"/>
                <w:iCs w:val="0"/>
                <w:color w:val="000000"/>
                <w:kern w:val="0"/>
                <w:sz w:val="20"/>
                <w:szCs w:val="20"/>
                <w:u w:val="none"/>
                <w:lang w:val="en-US" w:eastAsia="zh-CN" w:bidi="ar"/>
              </w:rPr>
              <w:t>30</w:t>
            </w:r>
          </w:p>
        </w:tc>
      </w:tr>
      <w:tr w14:paraId="3B9379EE">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450B6070">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L</w:t>
            </w:r>
            <w:r>
              <w:rPr>
                <w:rFonts w:hint="default" w:ascii="Times New Roman" w:hAnsi="Times New Roman" w:cs="Times New Roman"/>
                <w:sz w:val="18"/>
                <w:szCs w:val="18"/>
                <w:vertAlign w:val="superscript"/>
              </w:rPr>
              <w:t>2</w:t>
            </w:r>
          </w:p>
        </w:tc>
        <w:tc>
          <w:tcPr>
            <w:tcW w:w="1462" w:type="dxa"/>
            <w:tcBorders>
              <w:top w:val="nil"/>
              <w:left w:val="nil"/>
              <w:bottom w:val="single" w:color="auto" w:sz="4" w:space="0"/>
              <w:right w:val="single" w:color="auto" w:sz="4" w:space="0"/>
            </w:tcBorders>
            <w:shd w:val="clear" w:color="auto" w:fill="auto"/>
            <w:noWrap/>
            <w:vAlign w:val="center"/>
          </w:tcPr>
          <w:p w14:paraId="73B9303C">
            <w:pPr>
              <w:keepNext w:val="0"/>
              <w:keepLines w:val="0"/>
              <w:widowControl/>
              <w:suppressLineNumbers w:val="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Times New Roman"/>
                <w:i w:val="0"/>
                <w:iCs w:val="0"/>
                <w:color w:val="000000"/>
                <w:kern w:val="0"/>
                <w:sz w:val="20"/>
                <w:szCs w:val="20"/>
                <w:u w:val="none"/>
                <w:lang w:val="en-US" w:eastAsia="zh-CN" w:bidi="ar"/>
              </w:rPr>
              <w:t>0.0000191</w:t>
            </w:r>
          </w:p>
        </w:tc>
        <w:tc>
          <w:tcPr>
            <w:tcW w:w="1476" w:type="dxa"/>
            <w:tcBorders>
              <w:top w:val="nil"/>
              <w:left w:val="nil"/>
              <w:bottom w:val="single" w:color="auto" w:sz="4" w:space="0"/>
              <w:right w:val="single" w:color="auto" w:sz="4" w:space="0"/>
            </w:tcBorders>
            <w:shd w:val="clear" w:color="auto" w:fill="auto"/>
            <w:noWrap/>
            <w:vAlign w:val="center"/>
          </w:tcPr>
          <w:p w14:paraId="1ABA2F27">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0.00016</w:t>
            </w:r>
            <w:r>
              <w:rPr>
                <w:rFonts w:hint="eastAsia" w:ascii="Times New Roman" w:hAnsi="Times New Roman" w:eastAsia="宋体" w:cs="Times New Roman"/>
                <w:i w:val="0"/>
                <w:iCs w:val="0"/>
                <w:color w:val="000000"/>
                <w:kern w:val="0"/>
                <w:sz w:val="20"/>
                <w:szCs w:val="20"/>
                <w:u w:val="none"/>
                <w:lang w:val="en-US" w:eastAsia="zh-CN" w:bidi="ar"/>
              </w:rPr>
              <w:t>6</w:t>
            </w:r>
          </w:p>
        </w:tc>
        <w:tc>
          <w:tcPr>
            <w:tcW w:w="1476" w:type="dxa"/>
            <w:tcBorders>
              <w:top w:val="nil"/>
              <w:left w:val="nil"/>
              <w:bottom w:val="single" w:color="auto" w:sz="4" w:space="0"/>
              <w:right w:val="single" w:color="auto" w:sz="4" w:space="0"/>
            </w:tcBorders>
            <w:shd w:val="clear" w:color="auto" w:fill="auto"/>
            <w:noWrap/>
            <w:vAlign w:val="center"/>
          </w:tcPr>
          <w:p w14:paraId="6D9BFCA4">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0.0101</w:t>
            </w:r>
          </w:p>
        </w:tc>
        <w:tc>
          <w:tcPr>
            <w:tcW w:w="1454" w:type="dxa"/>
            <w:tcBorders>
              <w:top w:val="nil"/>
              <w:left w:val="nil"/>
              <w:bottom w:val="single" w:color="auto" w:sz="4" w:space="0"/>
              <w:right w:val="single" w:color="auto" w:sz="4" w:space="0"/>
            </w:tcBorders>
            <w:vAlign w:val="center"/>
          </w:tcPr>
          <w:p w14:paraId="078B93FE">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0.0030</w:t>
            </w:r>
            <w:r>
              <w:rPr>
                <w:rFonts w:hint="eastAsia" w:ascii="Times New Roman" w:hAnsi="Times New Roman" w:eastAsia="宋体" w:cs="Times New Roman"/>
                <w:i w:val="0"/>
                <w:iCs w:val="0"/>
                <w:color w:val="000000"/>
                <w:kern w:val="0"/>
                <w:sz w:val="20"/>
                <w:szCs w:val="20"/>
                <w:u w:val="none"/>
                <w:lang w:val="en-US" w:eastAsia="zh-CN" w:bidi="ar"/>
              </w:rPr>
              <w:t>4</w:t>
            </w:r>
          </w:p>
        </w:tc>
        <w:tc>
          <w:tcPr>
            <w:tcW w:w="1454" w:type="dxa"/>
            <w:tcBorders>
              <w:top w:val="nil"/>
              <w:left w:val="nil"/>
              <w:bottom w:val="single" w:color="auto" w:sz="4" w:space="0"/>
              <w:right w:val="single" w:color="auto" w:sz="4" w:space="0"/>
            </w:tcBorders>
            <w:vAlign w:val="center"/>
          </w:tcPr>
          <w:p w14:paraId="54BF16AC">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0.00287</w:t>
            </w:r>
          </w:p>
        </w:tc>
      </w:tr>
      <w:tr w14:paraId="5F03C7FC">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7D54E91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r>
              <w:rPr>
                <w:rFonts w:hint="default" w:ascii="Times New Roman" w:hAnsi="Times New Roman" w:cs="Times New Roman"/>
                <w:sz w:val="18"/>
                <w:szCs w:val="18"/>
                <w:vertAlign w:val="superscript"/>
              </w:rPr>
              <w:t>2</w:t>
            </w:r>
          </w:p>
        </w:tc>
        <w:tc>
          <w:tcPr>
            <w:tcW w:w="1462" w:type="dxa"/>
            <w:tcBorders>
              <w:top w:val="nil"/>
              <w:left w:val="nil"/>
              <w:bottom w:val="single" w:color="auto" w:sz="4" w:space="0"/>
              <w:right w:val="single" w:color="auto" w:sz="4" w:space="0"/>
            </w:tcBorders>
            <w:shd w:val="clear" w:color="auto" w:fill="auto"/>
            <w:noWrap/>
            <w:vAlign w:val="center"/>
          </w:tcPr>
          <w:p w14:paraId="342C5C8F">
            <w:pPr>
              <w:keepNext w:val="0"/>
              <w:keepLines w:val="0"/>
              <w:widowControl/>
              <w:suppressLineNumbers w:val="0"/>
              <w:jc w:val="center"/>
              <w:textAlignment w:val="center"/>
              <w:rPr>
                <w:rFonts w:hint="default" w:ascii="Times New Roman" w:hAnsi="Times New Roman" w:cs="Times New Roman"/>
                <w:color w:val="000000"/>
                <w:sz w:val="20"/>
                <w:szCs w:val="20"/>
                <w:lang w:val="en-US"/>
              </w:rPr>
            </w:pPr>
            <w:r>
              <w:rPr>
                <w:rFonts w:hint="eastAsia" w:ascii="Times New Roman" w:hAnsi="Times New Roman" w:eastAsia="宋体" w:cs="Times New Roman"/>
                <w:i w:val="0"/>
                <w:iCs w:val="0"/>
                <w:color w:val="000000"/>
                <w:kern w:val="0"/>
                <w:sz w:val="20"/>
                <w:szCs w:val="20"/>
                <w:u w:val="none"/>
                <w:lang w:val="en-US" w:eastAsia="zh-CN" w:bidi="ar"/>
              </w:rPr>
              <w:t>0.0000518</w:t>
            </w:r>
          </w:p>
        </w:tc>
        <w:tc>
          <w:tcPr>
            <w:tcW w:w="1476" w:type="dxa"/>
            <w:tcBorders>
              <w:top w:val="nil"/>
              <w:left w:val="nil"/>
              <w:bottom w:val="single" w:color="auto" w:sz="4" w:space="0"/>
              <w:right w:val="single" w:color="auto" w:sz="4" w:space="0"/>
            </w:tcBorders>
            <w:shd w:val="clear" w:color="auto" w:fill="auto"/>
            <w:noWrap/>
            <w:vAlign w:val="center"/>
          </w:tcPr>
          <w:p w14:paraId="24F95574">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0.000679</w:t>
            </w:r>
          </w:p>
        </w:tc>
        <w:tc>
          <w:tcPr>
            <w:tcW w:w="1476" w:type="dxa"/>
            <w:tcBorders>
              <w:top w:val="nil"/>
              <w:left w:val="nil"/>
              <w:bottom w:val="single" w:color="auto" w:sz="4" w:space="0"/>
              <w:right w:val="single" w:color="auto" w:sz="4" w:space="0"/>
            </w:tcBorders>
            <w:shd w:val="clear" w:color="auto" w:fill="auto"/>
            <w:noWrap/>
            <w:vAlign w:val="center"/>
          </w:tcPr>
          <w:p w14:paraId="7C220269">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0.0178</w:t>
            </w:r>
          </w:p>
        </w:tc>
        <w:tc>
          <w:tcPr>
            <w:tcW w:w="1454" w:type="dxa"/>
            <w:tcBorders>
              <w:top w:val="nil"/>
              <w:left w:val="nil"/>
              <w:bottom w:val="single" w:color="auto" w:sz="4" w:space="0"/>
              <w:right w:val="single" w:color="auto" w:sz="4" w:space="0"/>
            </w:tcBorders>
            <w:vAlign w:val="center"/>
          </w:tcPr>
          <w:p w14:paraId="68DD3864">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0.012</w:t>
            </w:r>
            <w:r>
              <w:rPr>
                <w:rFonts w:hint="eastAsia" w:ascii="Times New Roman" w:hAnsi="Times New Roman" w:eastAsia="宋体" w:cs="Times New Roman"/>
                <w:i w:val="0"/>
                <w:iCs w:val="0"/>
                <w:color w:val="000000"/>
                <w:kern w:val="0"/>
                <w:sz w:val="20"/>
                <w:szCs w:val="20"/>
                <w:u w:val="none"/>
                <w:lang w:val="en-US" w:eastAsia="zh-CN" w:bidi="ar"/>
              </w:rPr>
              <w:t>8</w:t>
            </w:r>
          </w:p>
        </w:tc>
        <w:tc>
          <w:tcPr>
            <w:tcW w:w="1454" w:type="dxa"/>
            <w:tcBorders>
              <w:top w:val="nil"/>
              <w:left w:val="nil"/>
              <w:bottom w:val="single" w:color="auto" w:sz="4" w:space="0"/>
              <w:right w:val="single" w:color="auto" w:sz="4" w:space="0"/>
            </w:tcBorders>
            <w:vAlign w:val="center"/>
          </w:tcPr>
          <w:p w14:paraId="1B32E5EA">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0.011</w:t>
            </w:r>
            <w:r>
              <w:rPr>
                <w:rFonts w:hint="eastAsia" w:ascii="Times New Roman" w:hAnsi="Times New Roman" w:eastAsia="宋体" w:cs="Times New Roman"/>
                <w:i w:val="0"/>
                <w:iCs w:val="0"/>
                <w:color w:val="000000"/>
                <w:kern w:val="0"/>
                <w:sz w:val="20"/>
                <w:szCs w:val="20"/>
                <w:u w:val="none"/>
                <w:lang w:val="en-US" w:eastAsia="zh-CN" w:bidi="ar"/>
              </w:rPr>
              <w:t>2</w:t>
            </w:r>
          </w:p>
        </w:tc>
      </w:tr>
      <w:tr w14:paraId="39345DB1">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340F6BD8">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p>
        </w:tc>
        <w:tc>
          <w:tcPr>
            <w:tcW w:w="1462" w:type="dxa"/>
            <w:tcBorders>
              <w:top w:val="nil"/>
              <w:left w:val="nil"/>
              <w:bottom w:val="single" w:color="auto" w:sz="4" w:space="0"/>
              <w:right w:val="single" w:color="auto" w:sz="4" w:space="0"/>
            </w:tcBorders>
            <w:shd w:val="clear" w:color="auto" w:fill="auto"/>
            <w:noWrap/>
            <w:vAlign w:val="center"/>
          </w:tcPr>
          <w:p w14:paraId="624B0AB2">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0.00571 </w:t>
            </w:r>
          </w:p>
        </w:tc>
        <w:tc>
          <w:tcPr>
            <w:tcW w:w="1476" w:type="dxa"/>
            <w:tcBorders>
              <w:top w:val="nil"/>
              <w:left w:val="nil"/>
              <w:bottom w:val="single" w:color="auto" w:sz="4" w:space="0"/>
              <w:right w:val="single" w:color="auto" w:sz="4" w:space="0"/>
            </w:tcBorders>
            <w:shd w:val="clear" w:color="auto" w:fill="auto"/>
            <w:noWrap/>
            <w:vAlign w:val="center"/>
          </w:tcPr>
          <w:p w14:paraId="29E1EB7C">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0.022</w:t>
            </w:r>
            <w:r>
              <w:rPr>
                <w:rFonts w:hint="eastAsia" w:ascii="Times New Roman" w:hAnsi="Times New Roman" w:eastAsia="宋体" w:cs="Times New Roman"/>
                <w:i w:val="0"/>
                <w:iCs w:val="0"/>
                <w:color w:val="000000"/>
                <w:kern w:val="0"/>
                <w:sz w:val="20"/>
                <w:szCs w:val="20"/>
                <w:u w:val="none"/>
                <w:lang w:val="en-US" w:eastAsia="zh-CN" w:bidi="ar"/>
              </w:rPr>
              <w:t>7</w:t>
            </w: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1476" w:type="dxa"/>
            <w:tcBorders>
              <w:top w:val="nil"/>
              <w:left w:val="nil"/>
              <w:bottom w:val="single" w:color="auto" w:sz="4" w:space="0"/>
              <w:right w:val="single" w:color="auto" w:sz="4" w:space="0"/>
            </w:tcBorders>
            <w:shd w:val="clear" w:color="auto" w:fill="auto"/>
            <w:noWrap/>
            <w:vAlign w:val="center"/>
          </w:tcPr>
          <w:p w14:paraId="767D21CA">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0.0877</w:t>
            </w:r>
          </w:p>
        </w:tc>
        <w:tc>
          <w:tcPr>
            <w:tcW w:w="1454" w:type="dxa"/>
            <w:tcBorders>
              <w:top w:val="nil"/>
              <w:left w:val="nil"/>
              <w:bottom w:val="single" w:color="auto" w:sz="4" w:space="0"/>
              <w:right w:val="single" w:color="auto" w:sz="4" w:space="0"/>
            </w:tcBorders>
            <w:vAlign w:val="center"/>
          </w:tcPr>
          <w:p w14:paraId="62F0EA94">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0.098</w:t>
            </w:r>
            <w:r>
              <w:rPr>
                <w:rFonts w:hint="eastAsia" w:ascii="Times New Roman" w:hAnsi="Times New Roman" w:eastAsia="宋体" w:cs="Times New Roman"/>
                <w:i w:val="0"/>
                <w:iCs w:val="0"/>
                <w:color w:val="000000"/>
                <w:kern w:val="0"/>
                <w:sz w:val="20"/>
                <w:szCs w:val="20"/>
                <w:u w:val="none"/>
                <w:lang w:val="en-US" w:eastAsia="zh-CN" w:bidi="ar"/>
              </w:rPr>
              <w:t>6</w:t>
            </w:r>
          </w:p>
        </w:tc>
        <w:tc>
          <w:tcPr>
            <w:tcW w:w="1454" w:type="dxa"/>
            <w:tcBorders>
              <w:top w:val="nil"/>
              <w:left w:val="nil"/>
              <w:bottom w:val="single" w:color="auto" w:sz="4" w:space="0"/>
              <w:right w:val="single" w:color="auto" w:sz="4" w:space="0"/>
            </w:tcBorders>
            <w:vAlign w:val="center"/>
          </w:tcPr>
          <w:p w14:paraId="6B407B31">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0.091</w:t>
            </w:r>
            <w:r>
              <w:rPr>
                <w:rFonts w:hint="eastAsia"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14:paraId="109455A3">
        <w:tblPrEx>
          <w:tblCellMar>
            <w:top w:w="0" w:type="dxa"/>
            <w:left w:w="108" w:type="dxa"/>
            <w:bottom w:w="0" w:type="dxa"/>
            <w:right w:w="108" w:type="dxa"/>
          </w:tblCellMar>
        </w:tblPrEx>
        <w:trPr>
          <w:trHeight w:val="341" w:hRule="atLeast"/>
        </w:trPr>
        <w:tc>
          <w:tcPr>
            <w:tcW w:w="704" w:type="pct"/>
            <w:tcBorders>
              <w:top w:val="nil"/>
              <w:left w:val="single" w:color="auto" w:sz="4" w:space="0"/>
              <w:bottom w:val="single" w:color="auto" w:sz="4" w:space="0"/>
              <w:right w:val="single" w:color="auto" w:sz="4" w:space="0"/>
            </w:tcBorders>
            <w:shd w:val="clear" w:color="auto" w:fill="auto"/>
            <w:noWrap/>
            <w:vAlign w:val="center"/>
          </w:tcPr>
          <w:p w14:paraId="06F4F528">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S</w:t>
            </w:r>
            <w:r>
              <w:rPr>
                <w:rFonts w:hint="default" w:ascii="Times New Roman" w:hAnsi="Times New Roman" w:cs="Times New Roman"/>
                <w:sz w:val="18"/>
                <w:szCs w:val="18"/>
                <w:vertAlign w:val="subscript"/>
              </w:rPr>
              <w:t>R</w:t>
            </w:r>
          </w:p>
        </w:tc>
        <w:tc>
          <w:tcPr>
            <w:tcW w:w="1462" w:type="dxa"/>
            <w:tcBorders>
              <w:top w:val="nil"/>
              <w:left w:val="nil"/>
              <w:bottom w:val="single" w:color="auto" w:sz="4" w:space="0"/>
              <w:right w:val="single" w:color="auto" w:sz="4" w:space="0"/>
            </w:tcBorders>
            <w:shd w:val="clear" w:color="auto" w:fill="auto"/>
            <w:noWrap/>
            <w:vAlign w:val="center"/>
          </w:tcPr>
          <w:p w14:paraId="452AB0C7">
            <w:pPr>
              <w:keepNext w:val="0"/>
              <w:keepLines w:val="0"/>
              <w:widowControl/>
              <w:suppressLineNumbers w:val="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0.007</w:t>
            </w:r>
            <w:r>
              <w:rPr>
                <w:rFonts w:hint="eastAsia" w:ascii="Times New Roman" w:hAnsi="Times New Roman" w:eastAsia="宋体" w:cs="Times New Roman"/>
                <w:i w:val="0"/>
                <w:iCs w:val="0"/>
                <w:color w:val="000000"/>
                <w:kern w:val="0"/>
                <w:sz w:val="20"/>
                <w:szCs w:val="20"/>
                <w:u w:val="none"/>
                <w:lang w:val="en-US" w:eastAsia="zh-CN" w:bidi="ar"/>
              </w:rPr>
              <w:t>20</w:t>
            </w:r>
          </w:p>
        </w:tc>
        <w:tc>
          <w:tcPr>
            <w:tcW w:w="1476" w:type="dxa"/>
            <w:tcBorders>
              <w:top w:val="nil"/>
              <w:left w:val="nil"/>
              <w:bottom w:val="single" w:color="auto" w:sz="4" w:space="0"/>
              <w:right w:val="single" w:color="auto" w:sz="4" w:space="0"/>
            </w:tcBorders>
            <w:shd w:val="clear" w:color="auto" w:fill="auto"/>
            <w:noWrap/>
            <w:vAlign w:val="center"/>
          </w:tcPr>
          <w:p w14:paraId="09BC2ABC">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0.026</w:t>
            </w:r>
            <w:r>
              <w:rPr>
                <w:rFonts w:hint="eastAsia" w:ascii="Times New Roman" w:hAnsi="Times New Roman" w:eastAsia="宋体" w:cs="Times New Roman"/>
                <w:i w:val="0"/>
                <w:iCs w:val="0"/>
                <w:color w:val="000000"/>
                <w:kern w:val="0"/>
                <w:sz w:val="20"/>
                <w:szCs w:val="20"/>
                <w:u w:val="none"/>
                <w:lang w:val="en-US" w:eastAsia="zh-CN" w:bidi="ar"/>
              </w:rPr>
              <w:t>1</w:t>
            </w:r>
          </w:p>
        </w:tc>
        <w:tc>
          <w:tcPr>
            <w:tcW w:w="1476" w:type="dxa"/>
            <w:tcBorders>
              <w:top w:val="nil"/>
              <w:left w:val="nil"/>
              <w:bottom w:val="single" w:color="auto" w:sz="4" w:space="0"/>
              <w:right w:val="single" w:color="auto" w:sz="4" w:space="0"/>
            </w:tcBorders>
            <w:shd w:val="clear" w:color="auto" w:fill="auto"/>
            <w:noWrap/>
            <w:vAlign w:val="center"/>
          </w:tcPr>
          <w:p w14:paraId="0F3CB0AE">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0.133</w:t>
            </w:r>
          </w:p>
        </w:tc>
        <w:tc>
          <w:tcPr>
            <w:tcW w:w="1454" w:type="dxa"/>
            <w:tcBorders>
              <w:top w:val="nil"/>
              <w:left w:val="nil"/>
              <w:bottom w:val="single" w:color="auto" w:sz="4" w:space="0"/>
              <w:right w:val="single" w:color="auto" w:sz="4" w:space="0"/>
            </w:tcBorders>
            <w:vAlign w:val="center"/>
          </w:tcPr>
          <w:p w14:paraId="5F7715E7">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0.11</w:t>
            </w:r>
            <w:r>
              <w:rPr>
                <w:rFonts w:hint="eastAsia" w:ascii="Times New Roman" w:hAnsi="Times New Roman" w:eastAsia="宋体" w:cs="Times New Roman"/>
                <w:i w:val="0"/>
                <w:iCs w:val="0"/>
                <w:color w:val="000000"/>
                <w:kern w:val="0"/>
                <w:sz w:val="20"/>
                <w:szCs w:val="20"/>
                <w:u w:val="none"/>
                <w:lang w:val="en-US" w:eastAsia="zh-CN" w:bidi="ar"/>
              </w:rPr>
              <w:t>3</w:t>
            </w:r>
          </w:p>
        </w:tc>
        <w:tc>
          <w:tcPr>
            <w:tcW w:w="1454" w:type="dxa"/>
            <w:tcBorders>
              <w:top w:val="nil"/>
              <w:left w:val="nil"/>
              <w:bottom w:val="single" w:color="auto" w:sz="4" w:space="0"/>
              <w:right w:val="single" w:color="auto" w:sz="4" w:space="0"/>
            </w:tcBorders>
            <w:vAlign w:val="center"/>
          </w:tcPr>
          <w:p w14:paraId="76F1F0B7">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0.10</w:t>
            </w:r>
            <w:r>
              <w:rPr>
                <w:rFonts w:hint="eastAsia" w:ascii="Times New Roman" w:hAnsi="Times New Roman" w:eastAsia="宋体" w:cs="Times New Roman"/>
                <w:i w:val="0"/>
                <w:iCs w:val="0"/>
                <w:color w:val="000000"/>
                <w:kern w:val="0"/>
                <w:sz w:val="20"/>
                <w:szCs w:val="20"/>
                <w:u w:val="none"/>
                <w:lang w:val="en-US" w:eastAsia="zh-CN" w:bidi="ar"/>
              </w:rPr>
              <w:t>6</w:t>
            </w:r>
          </w:p>
        </w:tc>
      </w:tr>
      <w:tr w14:paraId="43D44A0D">
        <w:tblPrEx>
          <w:tblCellMar>
            <w:top w:w="0" w:type="dxa"/>
            <w:left w:w="108" w:type="dxa"/>
            <w:bottom w:w="0" w:type="dxa"/>
            <w:right w:w="108" w:type="dxa"/>
          </w:tblCellMar>
        </w:tblPrEx>
        <w:trPr>
          <w:trHeight w:val="341" w:hRule="atLeast"/>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95468D">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r</w:t>
            </w:r>
          </w:p>
        </w:tc>
        <w:tc>
          <w:tcPr>
            <w:tcW w:w="1462" w:type="dxa"/>
            <w:tcBorders>
              <w:top w:val="single" w:color="auto" w:sz="4" w:space="0"/>
              <w:left w:val="nil"/>
              <w:bottom w:val="single" w:color="auto" w:sz="4" w:space="0"/>
              <w:right w:val="single" w:color="auto" w:sz="4" w:space="0"/>
            </w:tcBorders>
            <w:shd w:val="clear" w:color="auto" w:fill="auto"/>
            <w:noWrap/>
            <w:vAlign w:val="center"/>
          </w:tcPr>
          <w:p w14:paraId="7587DDD1">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0.01</w:t>
            </w:r>
            <w:r>
              <w:rPr>
                <w:rFonts w:hint="eastAsia" w:ascii="Times New Roman" w:hAnsi="Times New Roman" w:eastAsia="宋体" w:cs="Times New Roman"/>
                <w:i w:val="0"/>
                <w:iCs w:val="0"/>
                <w:color w:val="000000"/>
                <w:kern w:val="0"/>
                <w:sz w:val="20"/>
                <w:szCs w:val="20"/>
                <w:u w:val="none"/>
                <w:lang w:val="en-US" w:eastAsia="zh-CN" w:bidi="ar"/>
              </w:rPr>
              <w:t>6</w:t>
            </w:r>
          </w:p>
        </w:tc>
        <w:tc>
          <w:tcPr>
            <w:tcW w:w="1476" w:type="dxa"/>
            <w:tcBorders>
              <w:top w:val="single" w:color="auto" w:sz="4" w:space="0"/>
              <w:left w:val="nil"/>
              <w:bottom w:val="single" w:color="auto" w:sz="4" w:space="0"/>
              <w:right w:val="single" w:color="auto" w:sz="4" w:space="0"/>
            </w:tcBorders>
            <w:shd w:val="clear" w:color="auto" w:fill="auto"/>
            <w:noWrap/>
            <w:vAlign w:val="center"/>
          </w:tcPr>
          <w:p w14:paraId="0E900618">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0.06</w:t>
            </w:r>
            <w:r>
              <w:rPr>
                <w:rFonts w:hint="eastAsia" w:ascii="Times New Roman" w:hAnsi="Times New Roman" w:eastAsia="宋体" w:cs="Times New Roman"/>
                <w:i w:val="0"/>
                <w:iCs w:val="0"/>
                <w:color w:val="000000"/>
                <w:kern w:val="0"/>
                <w:sz w:val="20"/>
                <w:szCs w:val="20"/>
                <w:u w:val="none"/>
                <w:lang w:val="en-US" w:eastAsia="zh-CN" w:bidi="ar"/>
              </w:rPr>
              <w:t>4</w:t>
            </w:r>
          </w:p>
        </w:tc>
        <w:tc>
          <w:tcPr>
            <w:tcW w:w="1476" w:type="dxa"/>
            <w:tcBorders>
              <w:top w:val="single" w:color="auto" w:sz="4" w:space="0"/>
              <w:left w:val="nil"/>
              <w:bottom w:val="single" w:color="auto" w:sz="4" w:space="0"/>
              <w:right w:val="single" w:color="auto" w:sz="4" w:space="0"/>
            </w:tcBorders>
            <w:shd w:val="clear" w:color="auto" w:fill="auto"/>
            <w:noWrap/>
            <w:vAlign w:val="center"/>
          </w:tcPr>
          <w:p w14:paraId="6F847ADC">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0.24</w:t>
            </w:r>
            <w:r>
              <w:rPr>
                <w:rFonts w:hint="eastAsia" w:ascii="Times New Roman" w:hAnsi="Times New Roman" w:eastAsia="宋体" w:cs="Times New Roman"/>
                <w:i w:val="0"/>
                <w:iCs w:val="0"/>
                <w:color w:val="000000"/>
                <w:kern w:val="0"/>
                <w:sz w:val="20"/>
                <w:szCs w:val="20"/>
                <w:u w:val="none"/>
                <w:lang w:val="en-US" w:eastAsia="zh-CN" w:bidi="ar"/>
              </w:rPr>
              <w:t>6</w:t>
            </w:r>
          </w:p>
        </w:tc>
        <w:tc>
          <w:tcPr>
            <w:tcW w:w="1454" w:type="dxa"/>
            <w:tcBorders>
              <w:top w:val="single" w:color="auto" w:sz="4" w:space="0"/>
              <w:left w:val="nil"/>
              <w:bottom w:val="single" w:color="auto" w:sz="4" w:space="0"/>
              <w:right w:val="single" w:color="auto" w:sz="4" w:space="0"/>
            </w:tcBorders>
            <w:vAlign w:val="center"/>
          </w:tcPr>
          <w:p w14:paraId="4BBF215C">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0.27</w:t>
            </w:r>
            <w:r>
              <w:rPr>
                <w:rFonts w:hint="eastAsia" w:ascii="Times New Roman" w:hAnsi="Times New Roman" w:eastAsia="宋体" w:cs="Times New Roman"/>
                <w:i w:val="0"/>
                <w:iCs w:val="0"/>
                <w:color w:val="000000"/>
                <w:kern w:val="0"/>
                <w:sz w:val="20"/>
                <w:szCs w:val="20"/>
                <w:u w:val="none"/>
                <w:lang w:val="en-US" w:eastAsia="zh-CN" w:bidi="ar"/>
              </w:rPr>
              <w:t>7</w:t>
            </w:r>
          </w:p>
        </w:tc>
        <w:tc>
          <w:tcPr>
            <w:tcW w:w="1454" w:type="dxa"/>
            <w:tcBorders>
              <w:top w:val="single" w:color="auto" w:sz="4" w:space="0"/>
              <w:left w:val="nil"/>
              <w:bottom w:val="single" w:color="auto" w:sz="4" w:space="0"/>
              <w:right w:val="single" w:color="auto" w:sz="4" w:space="0"/>
            </w:tcBorders>
            <w:vAlign w:val="center"/>
          </w:tcPr>
          <w:p w14:paraId="33D19EF7">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0.25</w:t>
            </w:r>
            <w:r>
              <w:rPr>
                <w:rFonts w:hint="eastAsia" w:ascii="Times New Roman" w:hAnsi="Times New Roman" w:eastAsia="宋体" w:cs="Times New Roman"/>
                <w:i w:val="0"/>
                <w:iCs w:val="0"/>
                <w:color w:val="000000"/>
                <w:kern w:val="0"/>
                <w:sz w:val="20"/>
                <w:szCs w:val="20"/>
                <w:u w:val="none"/>
                <w:lang w:val="en-US" w:eastAsia="zh-CN" w:bidi="ar"/>
              </w:rPr>
              <w:t>6</w:t>
            </w:r>
          </w:p>
        </w:tc>
      </w:tr>
      <w:tr w14:paraId="6D5BE2DE">
        <w:tblPrEx>
          <w:tblCellMar>
            <w:top w:w="0" w:type="dxa"/>
            <w:left w:w="108" w:type="dxa"/>
            <w:bottom w:w="0" w:type="dxa"/>
            <w:right w:w="108" w:type="dxa"/>
          </w:tblCellMar>
        </w:tblPrEx>
        <w:trPr>
          <w:trHeight w:val="341" w:hRule="atLeast"/>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FD1857">
            <w:pPr>
              <w:keepNext w:val="0"/>
              <w:keepLines w:val="0"/>
              <w:pageBreakBefore w:val="0"/>
              <w:kinsoku/>
              <w:wordWrap/>
              <w:overflowPunct/>
              <w:topLinePunct w:val="0"/>
              <w:bidi w:val="0"/>
              <w:adjustRightInd w:val="0"/>
              <w:snapToGrid w:val="0"/>
              <w:spacing w:line="240" w:lineRule="auto"/>
              <w:jc w:val="center"/>
              <w:textAlignment w:val="auto"/>
              <w:rPr>
                <w:rFonts w:hint="default" w:ascii="Times New Roman" w:hAnsi="Times New Roman" w:cs="Times New Roman"/>
                <w:sz w:val="18"/>
                <w:szCs w:val="18"/>
              </w:rPr>
            </w:pPr>
            <w:r>
              <w:rPr>
                <w:rFonts w:hint="default" w:ascii="Times New Roman" w:hAnsi="Times New Roman" w:cs="Times New Roman"/>
                <w:sz w:val="18"/>
                <w:szCs w:val="18"/>
              </w:rPr>
              <w:t>R</w:t>
            </w:r>
          </w:p>
        </w:tc>
        <w:tc>
          <w:tcPr>
            <w:tcW w:w="1462" w:type="dxa"/>
            <w:tcBorders>
              <w:top w:val="single" w:color="auto" w:sz="4" w:space="0"/>
              <w:left w:val="nil"/>
              <w:bottom w:val="single" w:color="auto" w:sz="4" w:space="0"/>
              <w:right w:val="single" w:color="auto" w:sz="4" w:space="0"/>
            </w:tcBorders>
            <w:shd w:val="clear" w:color="auto" w:fill="auto"/>
            <w:noWrap/>
            <w:vAlign w:val="center"/>
          </w:tcPr>
          <w:p w14:paraId="2EFC92C3">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0.02</w:t>
            </w:r>
            <w:r>
              <w:rPr>
                <w:rFonts w:hint="eastAsia" w:ascii="Times New Roman" w:hAnsi="Times New Roman" w:eastAsia="宋体" w:cs="Times New Roman"/>
                <w:i w:val="0"/>
                <w:iCs w:val="0"/>
                <w:color w:val="000000"/>
                <w:kern w:val="0"/>
                <w:sz w:val="20"/>
                <w:szCs w:val="20"/>
                <w:u w:val="none"/>
                <w:lang w:val="en-US" w:eastAsia="zh-CN" w:bidi="ar"/>
              </w:rPr>
              <w:t>1</w:t>
            </w:r>
          </w:p>
        </w:tc>
        <w:tc>
          <w:tcPr>
            <w:tcW w:w="1476" w:type="dxa"/>
            <w:tcBorders>
              <w:top w:val="single" w:color="auto" w:sz="4" w:space="0"/>
              <w:left w:val="nil"/>
              <w:bottom w:val="single" w:color="auto" w:sz="4" w:space="0"/>
              <w:right w:val="single" w:color="auto" w:sz="4" w:space="0"/>
            </w:tcBorders>
            <w:shd w:val="clear" w:color="auto" w:fill="auto"/>
            <w:noWrap/>
            <w:vAlign w:val="center"/>
          </w:tcPr>
          <w:p w14:paraId="6B96871C">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0.07</w:t>
            </w:r>
            <w:r>
              <w:rPr>
                <w:rFonts w:hint="eastAsia" w:ascii="Times New Roman" w:hAnsi="Times New Roman" w:eastAsia="宋体" w:cs="Times New Roman"/>
                <w:i w:val="0"/>
                <w:iCs w:val="0"/>
                <w:color w:val="000000"/>
                <w:kern w:val="0"/>
                <w:sz w:val="20"/>
                <w:szCs w:val="20"/>
                <w:u w:val="none"/>
                <w:lang w:val="en-US" w:eastAsia="zh-CN" w:bidi="ar"/>
              </w:rPr>
              <w:t>3</w:t>
            </w:r>
          </w:p>
        </w:tc>
        <w:tc>
          <w:tcPr>
            <w:tcW w:w="1476" w:type="dxa"/>
            <w:tcBorders>
              <w:top w:val="single" w:color="auto" w:sz="4" w:space="0"/>
              <w:left w:val="nil"/>
              <w:bottom w:val="single" w:color="auto" w:sz="4" w:space="0"/>
              <w:right w:val="single" w:color="auto" w:sz="4" w:space="0"/>
            </w:tcBorders>
            <w:shd w:val="clear" w:color="auto" w:fill="auto"/>
            <w:noWrap/>
            <w:vAlign w:val="center"/>
          </w:tcPr>
          <w:p w14:paraId="409C928B">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0.37</w:t>
            </w:r>
            <w:r>
              <w:rPr>
                <w:rFonts w:hint="eastAsia" w:ascii="Times New Roman" w:hAnsi="Times New Roman" w:eastAsia="宋体" w:cs="Times New Roman"/>
                <w:i w:val="0"/>
                <w:iCs w:val="0"/>
                <w:color w:val="000000"/>
                <w:kern w:val="0"/>
                <w:sz w:val="20"/>
                <w:szCs w:val="20"/>
                <w:u w:val="none"/>
                <w:lang w:val="en-US" w:eastAsia="zh-CN" w:bidi="ar"/>
              </w:rPr>
              <w:t>4</w:t>
            </w:r>
          </w:p>
        </w:tc>
        <w:tc>
          <w:tcPr>
            <w:tcW w:w="1454" w:type="dxa"/>
            <w:tcBorders>
              <w:top w:val="single" w:color="auto" w:sz="4" w:space="0"/>
              <w:left w:val="nil"/>
              <w:bottom w:val="single" w:color="auto" w:sz="4" w:space="0"/>
              <w:right w:val="single" w:color="auto" w:sz="4" w:space="0"/>
            </w:tcBorders>
            <w:vAlign w:val="center"/>
          </w:tcPr>
          <w:p w14:paraId="3261FD86">
            <w:pPr>
              <w:keepNext w:val="0"/>
              <w:keepLines w:val="0"/>
              <w:widowControl/>
              <w:suppressLineNumbers w:val="0"/>
              <w:jc w:val="center"/>
              <w:textAlignment w:val="center"/>
              <w:rPr>
                <w:rFonts w:hint="default" w:ascii="Times New Roman" w:hAnsi="Times New Roman" w:cs="Times New Roman"/>
                <w:color w:val="000000"/>
                <w:sz w:val="20"/>
                <w:szCs w:val="20"/>
                <w:lang w:val="en-US"/>
              </w:rPr>
            </w:pPr>
            <w:r>
              <w:rPr>
                <w:rFonts w:hint="default" w:ascii="Times New Roman" w:hAnsi="Times New Roman" w:eastAsia="宋体" w:cs="Times New Roman"/>
                <w:i w:val="0"/>
                <w:iCs w:val="0"/>
                <w:color w:val="000000"/>
                <w:kern w:val="0"/>
                <w:sz w:val="20"/>
                <w:szCs w:val="20"/>
                <w:u w:val="none"/>
                <w:lang w:val="en-US" w:eastAsia="zh-CN" w:bidi="ar"/>
              </w:rPr>
              <w:t>0.3</w:t>
            </w:r>
            <w:r>
              <w:rPr>
                <w:rFonts w:hint="eastAsia" w:ascii="Times New Roman" w:hAnsi="Times New Roman" w:eastAsia="宋体" w:cs="Times New Roman"/>
                <w:i w:val="0"/>
                <w:iCs w:val="0"/>
                <w:color w:val="000000"/>
                <w:kern w:val="0"/>
                <w:sz w:val="20"/>
                <w:szCs w:val="20"/>
                <w:u w:val="none"/>
                <w:lang w:val="en-US" w:eastAsia="zh-CN" w:bidi="ar"/>
              </w:rPr>
              <w:t>17</w:t>
            </w:r>
          </w:p>
        </w:tc>
        <w:tc>
          <w:tcPr>
            <w:tcW w:w="1454" w:type="dxa"/>
            <w:tcBorders>
              <w:top w:val="single" w:color="auto" w:sz="4" w:space="0"/>
              <w:left w:val="nil"/>
              <w:bottom w:val="single" w:color="auto" w:sz="4" w:space="0"/>
              <w:right w:val="single" w:color="auto" w:sz="4" w:space="0"/>
            </w:tcBorders>
            <w:vAlign w:val="center"/>
          </w:tcPr>
          <w:p w14:paraId="14F88C19">
            <w:pPr>
              <w:keepNext w:val="0"/>
              <w:keepLines w:val="0"/>
              <w:widowControl/>
              <w:suppressLineNumbers w:val="0"/>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0.29</w:t>
            </w:r>
            <w:r>
              <w:rPr>
                <w:rFonts w:hint="eastAsia" w:ascii="Times New Roman" w:hAnsi="Times New Roman" w:eastAsia="宋体" w:cs="Times New Roman"/>
                <w:i w:val="0"/>
                <w:iCs w:val="0"/>
                <w:color w:val="000000"/>
                <w:kern w:val="0"/>
                <w:sz w:val="20"/>
                <w:szCs w:val="20"/>
                <w:u w:val="none"/>
                <w:lang w:val="en-US" w:eastAsia="zh-CN" w:bidi="ar"/>
              </w:rPr>
              <w:t>6</w:t>
            </w:r>
          </w:p>
        </w:tc>
      </w:tr>
    </w:tbl>
    <w:p w14:paraId="0B7C291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2A2C4D"/>
    <w:multiLevelType w:val="multilevel"/>
    <w:tmpl w:val="7E2A2C4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OGE0OTUwOGY4N2NmNTgyZDYyZmI1ZDZiMTkxM2UifQ=="/>
  </w:docVars>
  <w:rsids>
    <w:rsidRoot w:val="00000000"/>
    <w:rsid w:val="00105B37"/>
    <w:rsid w:val="005537C6"/>
    <w:rsid w:val="007F2328"/>
    <w:rsid w:val="00880BE3"/>
    <w:rsid w:val="00EC29E7"/>
    <w:rsid w:val="01F634AD"/>
    <w:rsid w:val="02DC57FB"/>
    <w:rsid w:val="031E51F0"/>
    <w:rsid w:val="03514610"/>
    <w:rsid w:val="03DF0321"/>
    <w:rsid w:val="044B1342"/>
    <w:rsid w:val="04BF3660"/>
    <w:rsid w:val="04F26531"/>
    <w:rsid w:val="05DD503E"/>
    <w:rsid w:val="06164F2B"/>
    <w:rsid w:val="069A0574"/>
    <w:rsid w:val="06AC39E1"/>
    <w:rsid w:val="07267138"/>
    <w:rsid w:val="07930932"/>
    <w:rsid w:val="07E25180"/>
    <w:rsid w:val="07E27722"/>
    <w:rsid w:val="080F5D86"/>
    <w:rsid w:val="08346591"/>
    <w:rsid w:val="08752207"/>
    <w:rsid w:val="08B553DA"/>
    <w:rsid w:val="0989174C"/>
    <w:rsid w:val="0A5B2512"/>
    <w:rsid w:val="0B3B6B4B"/>
    <w:rsid w:val="0C52032C"/>
    <w:rsid w:val="0C6531BD"/>
    <w:rsid w:val="0D4A543B"/>
    <w:rsid w:val="0DD463C0"/>
    <w:rsid w:val="0E522F05"/>
    <w:rsid w:val="0E960DA4"/>
    <w:rsid w:val="0EB477CE"/>
    <w:rsid w:val="0EBB3568"/>
    <w:rsid w:val="0EDC703A"/>
    <w:rsid w:val="0EEA46DB"/>
    <w:rsid w:val="0F59068B"/>
    <w:rsid w:val="0F634E1C"/>
    <w:rsid w:val="0F7131BB"/>
    <w:rsid w:val="0FD12ED3"/>
    <w:rsid w:val="10172A20"/>
    <w:rsid w:val="10F80740"/>
    <w:rsid w:val="114D4C49"/>
    <w:rsid w:val="1231466D"/>
    <w:rsid w:val="123D0CDA"/>
    <w:rsid w:val="13A46D56"/>
    <w:rsid w:val="13B25CE8"/>
    <w:rsid w:val="140A109B"/>
    <w:rsid w:val="141A0247"/>
    <w:rsid w:val="14A37D7D"/>
    <w:rsid w:val="14EC3E06"/>
    <w:rsid w:val="15647839"/>
    <w:rsid w:val="15746899"/>
    <w:rsid w:val="1592397C"/>
    <w:rsid w:val="162C08A7"/>
    <w:rsid w:val="165A7400"/>
    <w:rsid w:val="170519EB"/>
    <w:rsid w:val="17610CA4"/>
    <w:rsid w:val="18375373"/>
    <w:rsid w:val="185665E6"/>
    <w:rsid w:val="189B7FE2"/>
    <w:rsid w:val="18BF4571"/>
    <w:rsid w:val="18D832E3"/>
    <w:rsid w:val="18DF1F01"/>
    <w:rsid w:val="18F03E0E"/>
    <w:rsid w:val="18FD09C1"/>
    <w:rsid w:val="191B523D"/>
    <w:rsid w:val="196D36B1"/>
    <w:rsid w:val="197E3CB3"/>
    <w:rsid w:val="19BC333E"/>
    <w:rsid w:val="1A0E3F55"/>
    <w:rsid w:val="1A30640F"/>
    <w:rsid w:val="1AF14FEF"/>
    <w:rsid w:val="1B152FFB"/>
    <w:rsid w:val="1B303FF0"/>
    <w:rsid w:val="1B377F98"/>
    <w:rsid w:val="1B577D2D"/>
    <w:rsid w:val="1B58202B"/>
    <w:rsid w:val="1B904D56"/>
    <w:rsid w:val="1BA921A5"/>
    <w:rsid w:val="1BAB0E67"/>
    <w:rsid w:val="1BBC061B"/>
    <w:rsid w:val="1C603A71"/>
    <w:rsid w:val="1CBD0FD8"/>
    <w:rsid w:val="1CDE6539"/>
    <w:rsid w:val="1D67505A"/>
    <w:rsid w:val="1E806E2E"/>
    <w:rsid w:val="1F820871"/>
    <w:rsid w:val="1F9F20EA"/>
    <w:rsid w:val="1FC1106C"/>
    <w:rsid w:val="1FDA3852"/>
    <w:rsid w:val="1FF9769A"/>
    <w:rsid w:val="202C1C1C"/>
    <w:rsid w:val="22A60EC3"/>
    <w:rsid w:val="22C70FB3"/>
    <w:rsid w:val="22CC2DF4"/>
    <w:rsid w:val="22EB1DA6"/>
    <w:rsid w:val="235F429E"/>
    <w:rsid w:val="23773744"/>
    <w:rsid w:val="239D4B92"/>
    <w:rsid w:val="23A1158C"/>
    <w:rsid w:val="23E17175"/>
    <w:rsid w:val="2489179F"/>
    <w:rsid w:val="24895C77"/>
    <w:rsid w:val="25135B0D"/>
    <w:rsid w:val="26422D9C"/>
    <w:rsid w:val="26763ED2"/>
    <w:rsid w:val="26A45516"/>
    <w:rsid w:val="2881351C"/>
    <w:rsid w:val="28A92F1C"/>
    <w:rsid w:val="28B46663"/>
    <w:rsid w:val="290563CB"/>
    <w:rsid w:val="2919115F"/>
    <w:rsid w:val="292A336C"/>
    <w:rsid w:val="2AA9129D"/>
    <w:rsid w:val="2AB021EA"/>
    <w:rsid w:val="2B1B2F6C"/>
    <w:rsid w:val="2C1A3FBD"/>
    <w:rsid w:val="2C536736"/>
    <w:rsid w:val="2C5A3F68"/>
    <w:rsid w:val="2C8E5021"/>
    <w:rsid w:val="2D4F300A"/>
    <w:rsid w:val="2D98042B"/>
    <w:rsid w:val="2DFE5197"/>
    <w:rsid w:val="2EA05CCA"/>
    <w:rsid w:val="2F0F0ABC"/>
    <w:rsid w:val="2F66360E"/>
    <w:rsid w:val="2FF862FB"/>
    <w:rsid w:val="313504F9"/>
    <w:rsid w:val="31995F6D"/>
    <w:rsid w:val="319F0250"/>
    <w:rsid w:val="328B5243"/>
    <w:rsid w:val="33340204"/>
    <w:rsid w:val="33880E69"/>
    <w:rsid w:val="34631021"/>
    <w:rsid w:val="34777DA9"/>
    <w:rsid w:val="34AA055B"/>
    <w:rsid w:val="365E6B34"/>
    <w:rsid w:val="37B52C9A"/>
    <w:rsid w:val="37C96C1E"/>
    <w:rsid w:val="382D3D95"/>
    <w:rsid w:val="38501825"/>
    <w:rsid w:val="38FB262F"/>
    <w:rsid w:val="3A872B9C"/>
    <w:rsid w:val="3AEA64B7"/>
    <w:rsid w:val="3AF570B5"/>
    <w:rsid w:val="3B8D45DF"/>
    <w:rsid w:val="3BFB49E9"/>
    <w:rsid w:val="3C3F3E8E"/>
    <w:rsid w:val="3C4F2F49"/>
    <w:rsid w:val="3C85475A"/>
    <w:rsid w:val="3D913C2B"/>
    <w:rsid w:val="3DB13636"/>
    <w:rsid w:val="3E317BA0"/>
    <w:rsid w:val="3E466B4F"/>
    <w:rsid w:val="3EE3373D"/>
    <w:rsid w:val="3EEC42AC"/>
    <w:rsid w:val="3F0A529D"/>
    <w:rsid w:val="3F445651"/>
    <w:rsid w:val="3F6A20B2"/>
    <w:rsid w:val="404D4719"/>
    <w:rsid w:val="40521AD4"/>
    <w:rsid w:val="40743C2F"/>
    <w:rsid w:val="40980764"/>
    <w:rsid w:val="40AD23D7"/>
    <w:rsid w:val="40AD48E9"/>
    <w:rsid w:val="40BC1A69"/>
    <w:rsid w:val="41B55B4E"/>
    <w:rsid w:val="41F335E3"/>
    <w:rsid w:val="43C32F1A"/>
    <w:rsid w:val="441E4BDC"/>
    <w:rsid w:val="449B7EB9"/>
    <w:rsid w:val="44B344A5"/>
    <w:rsid w:val="44F07163"/>
    <w:rsid w:val="454B143A"/>
    <w:rsid w:val="45C476C3"/>
    <w:rsid w:val="46752171"/>
    <w:rsid w:val="46A522F4"/>
    <w:rsid w:val="46F54B62"/>
    <w:rsid w:val="478F1A37"/>
    <w:rsid w:val="47FD2CCF"/>
    <w:rsid w:val="48B124D9"/>
    <w:rsid w:val="48D81B3F"/>
    <w:rsid w:val="48E704DA"/>
    <w:rsid w:val="49297CB1"/>
    <w:rsid w:val="493778DE"/>
    <w:rsid w:val="494B26E8"/>
    <w:rsid w:val="497E7FC4"/>
    <w:rsid w:val="499410ED"/>
    <w:rsid w:val="4A6A6722"/>
    <w:rsid w:val="4A906F71"/>
    <w:rsid w:val="4AC0649E"/>
    <w:rsid w:val="4AC970F8"/>
    <w:rsid w:val="4B763FE4"/>
    <w:rsid w:val="4C467A9E"/>
    <w:rsid w:val="4CB80AD8"/>
    <w:rsid w:val="4E38145B"/>
    <w:rsid w:val="4E3879FA"/>
    <w:rsid w:val="4E5E2DC1"/>
    <w:rsid w:val="4E750AD3"/>
    <w:rsid w:val="4EC92A5C"/>
    <w:rsid w:val="4EF77A84"/>
    <w:rsid w:val="4FA9337C"/>
    <w:rsid w:val="50C61F5B"/>
    <w:rsid w:val="50CE4A5A"/>
    <w:rsid w:val="51283F24"/>
    <w:rsid w:val="516C2947"/>
    <w:rsid w:val="521F1B88"/>
    <w:rsid w:val="52E22421"/>
    <w:rsid w:val="530B7837"/>
    <w:rsid w:val="53582700"/>
    <w:rsid w:val="54040518"/>
    <w:rsid w:val="545C1CC4"/>
    <w:rsid w:val="54911B66"/>
    <w:rsid w:val="54A8265B"/>
    <w:rsid w:val="54CF4DC4"/>
    <w:rsid w:val="54D65DCA"/>
    <w:rsid w:val="55BA0109"/>
    <w:rsid w:val="560F6C62"/>
    <w:rsid w:val="56210E90"/>
    <w:rsid w:val="56404CD3"/>
    <w:rsid w:val="566D3B8E"/>
    <w:rsid w:val="56BA5598"/>
    <w:rsid w:val="56D9158B"/>
    <w:rsid w:val="57E94E70"/>
    <w:rsid w:val="58A96189"/>
    <w:rsid w:val="58F76517"/>
    <w:rsid w:val="59311AFD"/>
    <w:rsid w:val="599F75B2"/>
    <w:rsid w:val="59A2384D"/>
    <w:rsid w:val="59B97F47"/>
    <w:rsid w:val="59EC76FE"/>
    <w:rsid w:val="5A5F27C9"/>
    <w:rsid w:val="5A7E3ADE"/>
    <w:rsid w:val="5A7F4F40"/>
    <w:rsid w:val="5AEF6D32"/>
    <w:rsid w:val="5B2E3D47"/>
    <w:rsid w:val="5B690D31"/>
    <w:rsid w:val="5B8F3186"/>
    <w:rsid w:val="5BA15457"/>
    <w:rsid w:val="5BC874BE"/>
    <w:rsid w:val="5BF0749C"/>
    <w:rsid w:val="5C2A2760"/>
    <w:rsid w:val="5C5360EE"/>
    <w:rsid w:val="5CF023D6"/>
    <w:rsid w:val="5D031686"/>
    <w:rsid w:val="5D4D636C"/>
    <w:rsid w:val="5E115430"/>
    <w:rsid w:val="5E195C20"/>
    <w:rsid w:val="5E316028"/>
    <w:rsid w:val="5F500ADA"/>
    <w:rsid w:val="601F47AD"/>
    <w:rsid w:val="602120CC"/>
    <w:rsid w:val="603D7D25"/>
    <w:rsid w:val="609C64FE"/>
    <w:rsid w:val="60BB607C"/>
    <w:rsid w:val="60EB0CCD"/>
    <w:rsid w:val="611B4D6D"/>
    <w:rsid w:val="613501C2"/>
    <w:rsid w:val="61E444CB"/>
    <w:rsid w:val="62633C2E"/>
    <w:rsid w:val="62713077"/>
    <w:rsid w:val="62BC7329"/>
    <w:rsid w:val="631A16A8"/>
    <w:rsid w:val="633D2BD8"/>
    <w:rsid w:val="637C7132"/>
    <w:rsid w:val="639A01CB"/>
    <w:rsid w:val="64505292"/>
    <w:rsid w:val="657B402C"/>
    <w:rsid w:val="65851CF7"/>
    <w:rsid w:val="6599621E"/>
    <w:rsid w:val="65BD516E"/>
    <w:rsid w:val="65D1387D"/>
    <w:rsid w:val="66715139"/>
    <w:rsid w:val="66801701"/>
    <w:rsid w:val="668A1278"/>
    <w:rsid w:val="66F35AF0"/>
    <w:rsid w:val="672229B1"/>
    <w:rsid w:val="672B6B02"/>
    <w:rsid w:val="675D13F2"/>
    <w:rsid w:val="67A40418"/>
    <w:rsid w:val="689A2A1B"/>
    <w:rsid w:val="697162A6"/>
    <w:rsid w:val="697A4EF2"/>
    <w:rsid w:val="69B44217"/>
    <w:rsid w:val="6A1B1AB1"/>
    <w:rsid w:val="6A3E279B"/>
    <w:rsid w:val="6A5C267E"/>
    <w:rsid w:val="6AA656A7"/>
    <w:rsid w:val="6B1F3895"/>
    <w:rsid w:val="6B366560"/>
    <w:rsid w:val="6B8124F3"/>
    <w:rsid w:val="6C08348F"/>
    <w:rsid w:val="6C3F3D03"/>
    <w:rsid w:val="6C813304"/>
    <w:rsid w:val="6CC72636"/>
    <w:rsid w:val="6CD0178A"/>
    <w:rsid w:val="6D0672EC"/>
    <w:rsid w:val="6D5E495F"/>
    <w:rsid w:val="6DE457F5"/>
    <w:rsid w:val="6DEC5AC7"/>
    <w:rsid w:val="6E297D18"/>
    <w:rsid w:val="6E487977"/>
    <w:rsid w:val="6E4E2352"/>
    <w:rsid w:val="6F174DC6"/>
    <w:rsid w:val="6F307625"/>
    <w:rsid w:val="70046BA3"/>
    <w:rsid w:val="700F19BA"/>
    <w:rsid w:val="70241BAC"/>
    <w:rsid w:val="71122145"/>
    <w:rsid w:val="727D2CA2"/>
    <w:rsid w:val="7298446F"/>
    <w:rsid w:val="734B3290"/>
    <w:rsid w:val="752C4320"/>
    <w:rsid w:val="757A4300"/>
    <w:rsid w:val="76111995"/>
    <w:rsid w:val="768371E5"/>
    <w:rsid w:val="770D76F1"/>
    <w:rsid w:val="773226E3"/>
    <w:rsid w:val="778B79BB"/>
    <w:rsid w:val="77ED70A7"/>
    <w:rsid w:val="790E5DB1"/>
    <w:rsid w:val="79825F6B"/>
    <w:rsid w:val="79AE2466"/>
    <w:rsid w:val="7A0B3A2D"/>
    <w:rsid w:val="7A6335B5"/>
    <w:rsid w:val="7AC310B2"/>
    <w:rsid w:val="7B870824"/>
    <w:rsid w:val="7BD31613"/>
    <w:rsid w:val="7C12235D"/>
    <w:rsid w:val="7CA846A8"/>
    <w:rsid w:val="7D364EA5"/>
    <w:rsid w:val="7D8B7038"/>
    <w:rsid w:val="7DEF235B"/>
    <w:rsid w:val="7E9F7F7E"/>
    <w:rsid w:val="7F0F7285"/>
    <w:rsid w:val="7F350893"/>
    <w:rsid w:val="7F4D3431"/>
    <w:rsid w:val="7F6B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styleId="8">
    <w:name w:val="List Paragraph"/>
    <w:basedOn w:val="1"/>
    <w:qFormat/>
    <w:uiPriority w:val="99"/>
    <w:pPr>
      <w:ind w:firstLine="420" w:firstLineChars="200"/>
    </w:pPr>
  </w:style>
  <w:style w:type="paragraph" w:customStyle="1" w:styleId="9">
    <w:name w:val="编制-正文"/>
    <w:basedOn w:val="1"/>
    <w:autoRedefine/>
    <w:qFormat/>
    <w:uiPriority w:val="0"/>
    <w:pPr>
      <w:ind w:firstLine="200" w:firstLineChars="200"/>
    </w:pPr>
    <w:rPr>
      <w:rFonts w:cs="宋体"/>
      <w:szCs w:val="21"/>
    </w:rPr>
  </w:style>
  <w:style w:type="paragraph" w:customStyle="1" w:styleId="10">
    <w:name w:val="段"/>
    <w:qFormat/>
    <w:uiPriority w:val="0"/>
    <w:pPr>
      <w:autoSpaceDE w:val="0"/>
      <w:autoSpaceDN w:val="0"/>
      <w:ind w:firstLine="200" w:firstLineChars="200"/>
      <w:jc w:val="both"/>
    </w:pPr>
    <w:rPr>
      <w:rFonts w:ascii="宋体" w:hAnsi="Times New Roman" w:eastAsia="宋体" w:cs="Times New Roman"/>
      <w:sz w:val="21"/>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H:\2024&#24180;\&#31232;&#22303;&#31934;&#30719;&#26631;&#20934;\&#35745;&#31639;&#34920;&#26684;\&#27874;&#38271;&#21450;&#21560;&#20809;&#2423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104689203926"/>
          <c:y val="0.17986127720641"/>
          <c:w val="0.842405359090201"/>
          <c:h val="0.656302320019134"/>
        </c:manualLayout>
      </c:layout>
      <c:scatterChart>
        <c:scatterStyle val="smooth"/>
        <c:varyColors val="0"/>
        <c:ser>
          <c:idx val="0"/>
          <c:order val="0"/>
          <c:spPr>
            <a:ln w="19050" cap="rnd">
              <a:solidFill>
                <a:srgbClr val="4F81BD"/>
              </a:solidFill>
              <a:round/>
            </a:ln>
            <a:effectLst/>
          </c:spPr>
          <c:marker>
            <c:symbol val="none"/>
          </c:marker>
          <c:dLbls>
            <c:delete val="1"/>
          </c:dLbls>
          <c:xVal>
            <c:numRef>
              <c:f>[波长及吸光度.xlsx]Sheet1!$B$2:$B$502</c:f>
              <c:numCache>
                <c:formatCode>General</c:formatCode>
                <c:ptCount val="501"/>
                <c:pt idx="0">
                  <c:v>400</c:v>
                </c:pt>
                <c:pt idx="1">
                  <c:v>401</c:v>
                </c:pt>
                <c:pt idx="2">
                  <c:v>402</c:v>
                </c:pt>
                <c:pt idx="3">
                  <c:v>403</c:v>
                </c:pt>
                <c:pt idx="4">
                  <c:v>404</c:v>
                </c:pt>
                <c:pt idx="5">
                  <c:v>405</c:v>
                </c:pt>
                <c:pt idx="6">
                  <c:v>406</c:v>
                </c:pt>
                <c:pt idx="7">
                  <c:v>407</c:v>
                </c:pt>
                <c:pt idx="8">
                  <c:v>408</c:v>
                </c:pt>
                <c:pt idx="9">
                  <c:v>409</c:v>
                </c:pt>
                <c:pt idx="10">
                  <c:v>410</c:v>
                </c:pt>
                <c:pt idx="11">
                  <c:v>411</c:v>
                </c:pt>
                <c:pt idx="12">
                  <c:v>412</c:v>
                </c:pt>
                <c:pt idx="13">
                  <c:v>413</c:v>
                </c:pt>
                <c:pt idx="14">
                  <c:v>414</c:v>
                </c:pt>
                <c:pt idx="15">
                  <c:v>415</c:v>
                </c:pt>
                <c:pt idx="16">
                  <c:v>416</c:v>
                </c:pt>
                <c:pt idx="17">
                  <c:v>417</c:v>
                </c:pt>
                <c:pt idx="18">
                  <c:v>418</c:v>
                </c:pt>
                <c:pt idx="19">
                  <c:v>419</c:v>
                </c:pt>
                <c:pt idx="20">
                  <c:v>420</c:v>
                </c:pt>
                <c:pt idx="21">
                  <c:v>421</c:v>
                </c:pt>
                <c:pt idx="22">
                  <c:v>422</c:v>
                </c:pt>
                <c:pt idx="23">
                  <c:v>423</c:v>
                </c:pt>
                <c:pt idx="24">
                  <c:v>424</c:v>
                </c:pt>
                <c:pt idx="25">
                  <c:v>425</c:v>
                </c:pt>
                <c:pt idx="26">
                  <c:v>426</c:v>
                </c:pt>
                <c:pt idx="27">
                  <c:v>427</c:v>
                </c:pt>
                <c:pt idx="28">
                  <c:v>428</c:v>
                </c:pt>
                <c:pt idx="29">
                  <c:v>429</c:v>
                </c:pt>
                <c:pt idx="30">
                  <c:v>430</c:v>
                </c:pt>
                <c:pt idx="31">
                  <c:v>431</c:v>
                </c:pt>
                <c:pt idx="32">
                  <c:v>432</c:v>
                </c:pt>
                <c:pt idx="33">
                  <c:v>433</c:v>
                </c:pt>
                <c:pt idx="34">
                  <c:v>434</c:v>
                </c:pt>
                <c:pt idx="35">
                  <c:v>435</c:v>
                </c:pt>
                <c:pt idx="36">
                  <c:v>436</c:v>
                </c:pt>
                <c:pt idx="37">
                  <c:v>437</c:v>
                </c:pt>
                <c:pt idx="38">
                  <c:v>438</c:v>
                </c:pt>
                <c:pt idx="39">
                  <c:v>439</c:v>
                </c:pt>
                <c:pt idx="40">
                  <c:v>440</c:v>
                </c:pt>
                <c:pt idx="41">
                  <c:v>441</c:v>
                </c:pt>
                <c:pt idx="42">
                  <c:v>442</c:v>
                </c:pt>
                <c:pt idx="43">
                  <c:v>443</c:v>
                </c:pt>
                <c:pt idx="44">
                  <c:v>444</c:v>
                </c:pt>
                <c:pt idx="45">
                  <c:v>445</c:v>
                </c:pt>
                <c:pt idx="46">
                  <c:v>446</c:v>
                </c:pt>
                <c:pt idx="47">
                  <c:v>447</c:v>
                </c:pt>
                <c:pt idx="48">
                  <c:v>448</c:v>
                </c:pt>
                <c:pt idx="49">
                  <c:v>449</c:v>
                </c:pt>
                <c:pt idx="50">
                  <c:v>450</c:v>
                </c:pt>
                <c:pt idx="51">
                  <c:v>451</c:v>
                </c:pt>
                <c:pt idx="52">
                  <c:v>452</c:v>
                </c:pt>
                <c:pt idx="53">
                  <c:v>453</c:v>
                </c:pt>
                <c:pt idx="54">
                  <c:v>454</c:v>
                </c:pt>
                <c:pt idx="55">
                  <c:v>455</c:v>
                </c:pt>
                <c:pt idx="56">
                  <c:v>456</c:v>
                </c:pt>
                <c:pt idx="57">
                  <c:v>457</c:v>
                </c:pt>
                <c:pt idx="58">
                  <c:v>458</c:v>
                </c:pt>
                <c:pt idx="59">
                  <c:v>459</c:v>
                </c:pt>
                <c:pt idx="60">
                  <c:v>460</c:v>
                </c:pt>
                <c:pt idx="61">
                  <c:v>461</c:v>
                </c:pt>
                <c:pt idx="62">
                  <c:v>462</c:v>
                </c:pt>
                <c:pt idx="63">
                  <c:v>463</c:v>
                </c:pt>
                <c:pt idx="64">
                  <c:v>464</c:v>
                </c:pt>
                <c:pt idx="65">
                  <c:v>465</c:v>
                </c:pt>
                <c:pt idx="66">
                  <c:v>466</c:v>
                </c:pt>
                <c:pt idx="67">
                  <c:v>467</c:v>
                </c:pt>
                <c:pt idx="68">
                  <c:v>468</c:v>
                </c:pt>
                <c:pt idx="69">
                  <c:v>469</c:v>
                </c:pt>
                <c:pt idx="70">
                  <c:v>470</c:v>
                </c:pt>
                <c:pt idx="71">
                  <c:v>471</c:v>
                </c:pt>
                <c:pt idx="72">
                  <c:v>472</c:v>
                </c:pt>
                <c:pt idx="73">
                  <c:v>473</c:v>
                </c:pt>
                <c:pt idx="74">
                  <c:v>474</c:v>
                </c:pt>
                <c:pt idx="75">
                  <c:v>475</c:v>
                </c:pt>
                <c:pt idx="76">
                  <c:v>476</c:v>
                </c:pt>
                <c:pt idx="77">
                  <c:v>477</c:v>
                </c:pt>
                <c:pt idx="78">
                  <c:v>478</c:v>
                </c:pt>
                <c:pt idx="79">
                  <c:v>479</c:v>
                </c:pt>
                <c:pt idx="80">
                  <c:v>480</c:v>
                </c:pt>
                <c:pt idx="81">
                  <c:v>481</c:v>
                </c:pt>
                <c:pt idx="82">
                  <c:v>482</c:v>
                </c:pt>
                <c:pt idx="83">
                  <c:v>483</c:v>
                </c:pt>
                <c:pt idx="84">
                  <c:v>484</c:v>
                </c:pt>
                <c:pt idx="85">
                  <c:v>485</c:v>
                </c:pt>
                <c:pt idx="86">
                  <c:v>486</c:v>
                </c:pt>
                <c:pt idx="87">
                  <c:v>487</c:v>
                </c:pt>
                <c:pt idx="88">
                  <c:v>488</c:v>
                </c:pt>
                <c:pt idx="89">
                  <c:v>489</c:v>
                </c:pt>
                <c:pt idx="90">
                  <c:v>490</c:v>
                </c:pt>
                <c:pt idx="91">
                  <c:v>491</c:v>
                </c:pt>
                <c:pt idx="92">
                  <c:v>492</c:v>
                </c:pt>
                <c:pt idx="93">
                  <c:v>493</c:v>
                </c:pt>
                <c:pt idx="94">
                  <c:v>494</c:v>
                </c:pt>
                <c:pt idx="95">
                  <c:v>495</c:v>
                </c:pt>
                <c:pt idx="96">
                  <c:v>496</c:v>
                </c:pt>
                <c:pt idx="97">
                  <c:v>497</c:v>
                </c:pt>
                <c:pt idx="98">
                  <c:v>498</c:v>
                </c:pt>
                <c:pt idx="99">
                  <c:v>499</c:v>
                </c:pt>
                <c:pt idx="100">
                  <c:v>500</c:v>
                </c:pt>
                <c:pt idx="101">
                  <c:v>501</c:v>
                </c:pt>
                <c:pt idx="102">
                  <c:v>502</c:v>
                </c:pt>
                <c:pt idx="103">
                  <c:v>503</c:v>
                </c:pt>
                <c:pt idx="104">
                  <c:v>504</c:v>
                </c:pt>
                <c:pt idx="105">
                  <c:v>505</c:v>
                </c:pt>
                <c:pt idx="106">
                  <c:v>506</c:v>
                </c:pt>
                <c:pt idx="107">
                  <c:v>507</c:v>
                </c:pt>
                <c:pt idx="108">
                  <c:v>508</c:v>
                </c:pt>
                <c:pt idx="109">
                  <c:v>509</c:v>
                </c:pt>
                <c:pt idx="110">
                  <c:v>510</c:v>
                </c:pt>
                <c:pt idx="111">
                  <c:v>511</c:v>
                </c:pt>
                <c:pt idx="112">
                  <c:v>512</c:v>
                </c:pt>
                <c:pt idx="113">
                  <c:v>513</c:v>
                </c:pt>
                <c:pt idx="114">
                  <c:v>514</c:v>
                </c:pt>
                <c:pt idx="115">
                  <c:v>515</c:v>
                </c:pt>
                <c:pt idx="116">
                  <c:v>516</c:v>
                </c:pt>
                <c:pt idx="117">
                  <c:v>517</c:v>
                </c:pt>
                <c:pt idx="118">
                  <c:v>518</c:v>
                </c:pt>
                <c:pt idx="119">
                  <c:v>519</c:v>
                </c:pt>
                <c:pt idx="120">
                  <c:v>520</c:v>
                </c:pt>
                <c:pt idx="121">
                  <c:v>521</c:v>
                </c:pt>
                <c:pt idx="122">
                  <c:v>522</c:v>
                </c:pt>
                <c:pt idx="123">
                  <c:v>523</c:v>
                </c:pt>
                <c:pt idx="124">
                  <c:v>524</c:v>
                </c:pt>
                <c:pt idx="125">
                  <c:v>525</c:v>
                </c:pt>
                <c:pt idx="126">
                  <c:v>526</c:v>
                </c:pt>
                <c:pt idx="127">
                  <c:v>527</c:v>
                </c:pt>
                <c:pt idx="128">
                  <c:v>528</c:v>
                </c:pt>
                <c:pt idx="129">
                  <c:v>529</c:v>
                </c:pt>
                <c:pt idx="130">
                  <c:v>530</c:v>
                </c:pt>
                <c:pt idx="131">
                  <c:v>531</c:v>
                </c:pt>
                <c:pt idx="132">
                  <c:v>532</c:v>
                </c:pt>
                <c:pt idx="133">
                  <c:v>533</c:v>
                </c:pt>
                <c:pt idx="134">
                  <c:v>534</c:v>
                </c:pt>
                <c:pt idx="135">
                  <c:v>535</c:v>
                </c:pt>
                <c:pt idx="136">
                  <c:v>536</c:v>
                </c:pt>
                <c:pt idx="137">
                  <c:v>537</c:v>
                </c:pt>
                <c:pt idx="138">
                  <c:v>538</c:v>
                </c:pt>
                <c:pt idx="139">
                  <c:v>539</c:v>
                </c:pt>
                <c:pt idx="140">
                  <c:v>540</c:v>
                </c:pt>
                <c:pt idx="141">
                  <c:v>541</c:v>
                </c:pt>
                <c:pt idx="142">
                  <c:v>542</c:v>
                </c:pt>
                <c:pt idx="143">
                  <c:v>543</c:v>
                </c:pt>
                <c:pt idx="144">
                  <c:v>544</c:v>
                </c:pt>
                <c:pt idx="145">
                  <c:v>545</c:v>
                </c:pt>
                <c:pt idx="146">
                  <c:v>546</c:v>
                </c:pt>
                <c:pt idx="147">
                  <c:v>547</c:v>
                </c:pt>
                <c:pt idx="148">
                  <c:v>548</c:v>
                </c:pt>
                <c:pt idx="149">
                  <c:v>549</c:v>
                </c:pt>
                <c:pt idx="150">
                  <c:v>550</c:v>
                </c:pt>
                <c:pt idx="151">
                  <c:v>551</c:v>
                </c:pt>
                <c:pt idx="152">
                  <c:v>552</c:v>
                </c:pt>
                <c:pt idx="153">
                  <c:v>553</c:v>
                </c:pt>
                <c:pt idx="154">
                  <c:v>554</c:v>
                </c:pt>
                <c:pt idx="155">
                  <c:v>555</c:v>
                </c:pt>
                <c:pt idx="156">
                  <c:v>556</c:v>
                </c:pt>
                <c:pt idx="157">
                  <c:v>557</c:v>
                </c:pt>
                <c:pt idx="158">
                  <c:v>558</c:v>
                </c:pt>
                <c:pt idx="159">
                  <c:v>559</c:v>
                </c:pt>
                <c:pt idx="160">
                  <c:v>560</c:v>
                </c:pt>
                <c:pt idx="161">
                  <c:v>561</c:v>
                </c:pt>
                <c:pt idx="162">
                  <c:v>562</c:v>
                </c:pt>
                <c:pt idx="163">
                  <c:v>563</c:v>
                </c:pt>
                <c:pt idx="164">
                  <c:v>564</c:v>
                </c:pt>
                <c:pt idx="165">
                  <c:v>565</c:v>
                </c:pt>
                <c:pt idx="166">
                  <c:v>566</c:v>
                </c:pt>
                <c:pt idx="167">
                  <c:v>567</c:v>
                </c:pt>
                <c:pt idx="168">
                  <c:v>568</c:v>
                </c:pt>
                <c:pt idx="169">
                  <c:v>569</c:v>
                </c:pt>
                <c:pt idx="170">
                  <c:v>570</c:v>
                </c:pt>
                <c:pt idx="171">
                  <c:v>571</c:v>
                </c:pt>
                <c:pt idx="172">
                  <c:v>572</c:v>
                </c:pt>
                <c:pt idx="173">
                  <c:v>573</c:v>
                </c:pt>
                <c:pt idx="174">
                  <c:v>574</c:v>
                </c:pt>
                <c:pt idx="175">
                  <c:v>575</c:v>
                </c:pt>
                <c:pt idx="176">
                  <c:v>576</c:v>
                </c:pt>
                <c:pt idx="177">
                  <c:v>577</c:v>
                </c:pt>
                <c:pt idx="178">
                  <c:v>578</c:v>
                </c:pt>
                <c:pt idx="179">
                  <c:v>579</c:v>
                </c:pt>
                <c:pt idx="180">
                  <c:v>580</c:v>
                </c:pt>
                <c:pt idx="181">
                  <c:v>581</c:v>
                </c:pt>
                <c:pt idx="182">
                  <c:v>582</c:v>
                </c:pt>
                <c:pt idx="183">
                  <c:v>583</c:v>
                </c:pt>
                <c:pt idx="184">
                  <c:v>584</c:v>
                </c:pt>
                <c:pt idx="185">
                  <c:v>585</c:v>
                </c:pt>
                <c:pt idx="186">
                  <c:v>586</c:v>
                </c:pt>
                <c:pt idx="187">
                  <c:v>587</c:v>
                </c:pt>
                <c:pt idx="188">
                  <c:v>588</c:v>
                </c:pt>
                <c:pt idx="189">
                  <c:v>589</c:v>
                </c:pt>
                <c:pt idx="190">
                  <c:v>590</c:v>
                </c:pt>
                <c:pt idx="191">
                  <c:v>591</c:v>
                </c:pt>
                <c:pt idx="192">
                  <c:v>592</c:v>
                </c:pt>
                <c:pt idx="193">
                  <c:v>593</c:v>
                </c:pt>
                <c:pt idx="194">
                  <c:v>594</c:v>
                </c:pt>
                <c:pt idx="195">
                  <c:v>595</c:v>
                </c:pt>
                <c:pt idx="196">
                  <c:v>596</c:v>
                </c:pt>
                <c:pt idx="197">
                  <c:v>597</c:v>
                </c:pt>
                <c:pt idx="198">
                  <c:v>598</c:v>
                </c:pt>
                <c:pt idx="199">
                  <c:v>599</c:v>
                </c:pt>
                <c:pt idx="200">
                  <c:v>600</c:v>
                </c:pt>
                <c:pt idx="201">
                  <c:v>601</c:v>
                </c:pt>
                <c:pt idx="202">
                  <c:v>602</c:v>
                </c:pt>
                <c:pt idx="203">
                  <c:v>603</c:v>
                </c:pt>
                <c:pt idx="204">
                  <c:v>604</c:v>
                </c:pt>
                <c:pt idx="205">
                  <c:v>605</c:v>
                </c:pt>
                <c:pt idx="206">
                  <c:v>606</c:v>
                </c:pt>
                <c:pt idx="207">
                  <c:v>607</c:v>
                </c:pt>
                <c:pt idx="208">
                  <c:v>608</c:v>
                </c:pt>
                <c:pt idx="209">
                  <c:v>609</c:v>
                </c:pt>
                <c:pt idx="210">
                  <c:v>610</c:v>
                </c:pt>
                <c:pt idx="211">
                  <c:v>611</c:v>
                </c:pt>
                <c:pt idx="212">
                  <c:v>612</c:v>
                </c:pt>
                <c:pt idx="213">
                  <c:v>613</c:v>
                </c:pt>
                <c:pt idx="214">
                  <c:v>614</c:v>
                </c:pt>
                <c:pt idx="215">
                  <c:v>615</c:v>
                </c:pt>
                <c:pt idx="216">
                  <c:v>616</c:v>
                </c:pt>
                <c:pt idx="217">
                  <c:v>617</c:v>
                </c:pt>
                <c:pt idx="218">
                  <c:v>618</c:v>
                </c:pt>
                <c:pt idx="219">
                  <c:v>619</c:v>
                </c:pt>
                <c:pt idx="220">
                  <c:v>620</c:v>
                </c:pt>
                <c:pt idx="221">
                  <c:v>621</c:v>
                </c:pt>
                <c:pt idx="222">
                  <c:v>622</c:v>
                </c:pt>
                <c:pt idx="223">
                  <c:v>623</c:v>
                </c:pt>
                <c:pt idx="224">
                  <c:v>624</c:v>
                </c:pt>
                <c:pt idx="225">
                  <c:v>625</c:v>
                </c:pt>
                <c:pt idx="226">
                  <c:v>626</c:v>
                </c:pt>
                <c:pt idx="227">
                  <c:v>627</c:v>
                </c:pt>
                <c:pt idx="228">
                  <c:v>628</c:v>
                </c:pt>
                <c:pt idx="229">
                  <c:v>629</c:v>
                </c:pt>
                <c:pt idx="230">
                  <c:v>630</c:v>
                </c:pt>
                <c:pt idx="231">
                  <c:v>631</c:v>
                </c:pt>
                <c:pt idx="232">
                  <c:v>632</c:v>
                </c:pt>
                <c:pt idx="233">
                  <c:v>633</c:v>
                </c:pt>
                <c:pt idx="234">
                  <c:v>634</c:v>
                </c:pt>
                <c:pt idx="235">
                  <c:v>635</c:v>
                </c:pt>
                <c:pt idx="236">
                  <c:v>636</c:v>
                </c:pt>
                <c:pt idx="237">
                  <c:v>637</c:v>
                </c:pt>
                <c:pt idx="238">
                  <c:v>638</c:v>
                </c:pt>
                <c:pt idx="239">
                  <c:v>639</c:v>
                </c:pt>
                <c:pt idx="240">
                  <c:v>640</c:v>
                </c:pt>
                <c:pt idx="241">
                  <c:v>641</c:v>
                </c:pt>
                <c:pt idx="242">
                  <c:v>642</c:v>
                </c:pt>
                <c:pt idx="243">
                  <c:v>643</c:v>
                </c:pt>
                <c:pt idx="244">
                  <c:v>644</c:v>
                </c:pt>
                <c:pt idx="245">
                  <c:v>645</c:v>
                </c:pt>
                <c:pt idx="246">
                  <c:v>646</c:v>
                </c:pt>
                <c:pt idx="247">
                  <c:v>647</c:v>
                </c:pt>
                <c:pt idx="248">
                  <c:v>648</c:v>
                </c:pt>
                <c:pt idx="249">
                  <c:v>649</c:v>
                </c:pt>
                <c:pt idx="250">
                  <c:v>650</c:v>
                </c:pt>
                <c:pt idx="251">
                  <c:v>651</c:v>
                </c:pt>
                <c:pt idx="252">
                  <c:v>652</c:v>
                </c:pt>
                <c:pt idx="253">
                  <c:v>653</c:v>
                </c:pt>
                <c:pt idx="254">
                  <c:v>654</c:v>
                </c:pt>
                <c:pt idx="255">
                  <c:v>655</c:v>
                </c:pt>
                <c:pt idx="256">
                  <c:v>656</c:v>
                </c:pt>
                <c:pt idx="257">
                  <c:v>657</c:v>
                </c:pt>
                <c:pt idx="258">
                  <c:v>658</c:v>
                </c:pt>
                <c:pt idx="259">
                  <c:v>659</c:v>
                </c:pt>
                <c:pt idx="260">
                  <c:v>660</c:v>
                </c:pt>
                <c:pt idx="261">
                  <c:v>661</c:v>
                </c:pt>
                <c:pt idx="262">
                  <c:v>662</c:v>
                </c:pt>
                <c:pt idx="263">
                  <c:v>663</c:v>
                </c:pt>
                <c:pt idx="264">
                  <c:v>664</c:v>
                </c:pt>
                <c:pt idx="265">
                  <c:v>665</c:v>
                </c:pt>
                <c:pt idx="266">
                  <c:v>666</c:v>
                </c:pt>
                <c:pt idx="267">
                  <c:v>667</c:v>
                </c:pt>
                <c:pt idx="268">
                  <c:v>668</c:v>
                </c:pt>
                <c:pt idx="269">
                  <c:v>669</c:v>
                </c:pt>
                <c:pt idx="270">
                  <c:v>670</c:v>
                </c:pt>
                <c:pt idx="271">
                  <c:v>671</c:v>
                </c:pt>
                <c:pt idx="272">
                  <c:v>672</c:v>
                </c:pt>
                <c:pt idx="273">
                  <c:v>673</c:v>
                </c:pt>
                <c:pt idx="274">
                  <c:v>674</c:v>
                </c:pt>
                <c:pt idx="275">
                  <c:v>675</c:v>
                </c:pt>
                <c:pt idx="276">
                  <c:v>676</c:v>
                </c:pt>
                <c:pt idx="277">
                  <c:v>677</c:v>
                </c:pt>
                <c:pt idx="278">
                  <c:v>678</c:v>
                </c:pt>
                <c:pt idx="279">
                  <c:v>679</c:v>
                </c:pt>
                <c:pt idx="280">
                  <c:v>680</c:v>
                </c:pt>
                <c:pt idx="281">
                  <c:v>681</c:v>
                </c:pt>
                <c:pt idx="282">
                  <c:v>682</c:v>
                </c:pt>
                <c:pt idx="283">
                  <c:v>683</c:v>
                </c:pt>
                <c:pt idx="284">
                  <c:v>684</c:v>
                </c:pt>
                <c:pt idx="285">
                  <c:v>685</c:v>
                </c:pt>
                <c:pt idx="286">
                  <c:v>686</c:v>
                </c:pt>
                <c:pt idx="287">
                  <c:v>687</c:v>
                </c:pt>
                <c:pt idx="288">
                  <c:v>688</c:v>
                </c:pt>
                <c:pt idx="289">
                  <c:v>689</c:v>
                </c:pt>
                <c:pt idx="290">
                  <c:v>690</c:v>
                </c:pt>
                <c:pt idx="291">
                  <c:v>691</c:v>
                </c:pt>
                <c:pt idx="292">
                  <c:v>692</c:v>
                </c:pt>
                <c:pt idx="293">
                  <c:v>693</c:v>
                </c:pt>
                <c:pt idx="294">
                  <c:v>694</c:v>
                </c:pt>
                <c:pt idx="295">
                  <c:v>695</c:v>
                </c:pt>
                <c:pt idx="296">
                  <c:v>696</c:v>
                </c:pt>
                <c:pt idx="297">
                  <c:v>697</c:v>
                </c:pt>
                <c:pt idx="298">
                  <c:v>698</c:v>
                </c:pt>
                <c:pt idx="299">
                  <c:v>699</c:v>
                </c:pt>
                <c:pt idx="300">
                  <c:v>700</c:v>
                </c:pt>
                <c:pt idx="301">
                  <c:v>701</c:v>
                </c:pt>
                <c:pt idx="302">
                  <c:v>702</c:v>
                </c:pt>
                <c:pt idx="303">
                  <c:v>703</c:v>
                </c:pt>
                <c:pt idx="304">
                  <c:v>704</c:v>
                </c:pt>
                <c:pt idx="305">
                  <c:v>705</c:v>
                </c:pt>
                <c:pt idx="306">
                  <c:v>706</c:v>
                </c:pt>
                <c:pt idx="307">
                  <c:v>707</c:v>
                </c:pt>
                <c:pt idx="308">
                  <c:v>708</c:v>
                </c:pt>
                <c:pt idx="309">
                  <c:v>709</c:v>
                </c:pt>
                <c:pt idx="310">
                  <c:v>710</c:v>
                </c:pt>
                <c:pt idx="311">
                  <c:v>711</c:v>
                </c:pt>
                <c:pt idx="312">
                  <c:v>712</c:v>
                </c:pt>
                <c:pt idx="313">
                  <c:v>713</c:v>
                </c:pt>
                <c:pt idx="314">
                  <c:v>714</c:v>
                </c:pt>
                <c:pt idx="315">
                  <c:v>715</c:v>
                </c:pt>
                <c:pt idx="316">
                  <c:v>716</c:v>
                </c:pt>
                <c:pt idx="317">
                  <c:v>717</c:v>
                </c:pt>
                <c:pt idx="318">
                  <c:v>718</c:v>
                </c:pt>
                <c:pt idx="319">
                  <c:v>719</c:v>
                </c:pt>
                <c:pt idx="320">
                  <c:v>720</c:v>
                </c:pt>
                <c:pt idx="321">
                  <c:v>721</c:v>
                </c:pt>
                <c:pt idx="322">
                  <c:v>722</c:v>
                </c:pt>
                <c:pt idx="323">
                  <c:v>723</c:v>
                </c:pt>
                <c:pt idx="324">
                  <c:v>724</c:v>
                </c:pt>
                <c:pt idx="325">
                  <c:v>725</c:v>
                </c:pt>
                <c:pt idx="326">
                  <c:v>726</c:v>
                </c:pt>
                <c:pt idx="327">
                  <c:v>727</c:v>
                </c:pt>
                <c:pt idx="328">
                  <c:v>728</c:v>
                </c:pt>
                <c:pt idx="329">
                  <c:v>729</c:v>
                </c:pt>
                <c:pt idx="330">
                  <c:v>730</c:v>
                </c:pt>
                <c:pt idx="331">
                  <c:v>731</c:v>
                </c:pt>
                <c:pt idx="332">
                  <c:v>732</c:v>
                </c:pt>
                <c:pt idx="333">
                  <c:v>733</c:v>
                </c:pt>
                <c:pt idx="334">
                  <c:v>734</c:v>
                </c:pt>
                <c:pt idx="335">
                  <c:v>735</c:v>
                </c:pt>
                <c:pt idx="336">
                  <c:v>736</c:v>
                </c:pt>
                <c:pt idx="337">
                  <c:v>737</c:v>
                </c:pt>
                <c:pt idx="338">
                  <c:v>738</c:v>
                </c:pt>
                <c:pt idx="339">
                  <c:v>739</c:v>
                </c:pt>
                <c:pt idx="340">
                  <c:v>740</c:v>
                </c:pt>
                <c:pt idx="341">
                  <c:v>741</c:v>
                </c:pt>
                <c:pt idx="342">
                  <c:v>742</c:v>
                </c:pt>
                <c:pt idx="343">
                  <c:v>743</c:v>
                </c:pt>
                <c:pt idx="344">
                  <c:v>744</c:v>
                </c:pt>
                <c:pt idx="345">
                  <c:v>745</c:v>
                </c:pt>
                <c:pt idx="346">
                  <c:v>746</c:v>
                </c:pt>
                <c:pt idx="347">
                  <c:v>747</c:v>
                </c:pt>
                <c:pt idx="348">
                  <c:v>748</c:v>
                </c:pt>
                <c:pt idx="349">
                  <c:v>749</c:v>
                </c:pt>
                <c:pt idx="350">
                  <c:v>750</c:v>
                </c:pt>
                <c:pt idx="351">
                  <c:v>751</c:v>
                </c:pt>
                <c:pt idx="352">
                  <c:v>752</c:v>
                </c:pt>
                <c:pt idx="353">
                  <c:v>753</c:v>
                </c:pt>
                <c:pt idx="354">
                  <c:v>754</c:v>
                </c:pt>
                <c:pt idx="355">
                  <c:v>755</c:v>
                </c:pt>
                <c:pt idx="356">
                  <c:v>756</c:v>
                </c:pt>
                <c:pt idx="357">
                  <c:v>757</c:v>
                </c:pt>
                <c:pt idx="358">
                  <c:v>758</c:v>
                </c:pt>
                <c:pt idx="359">
                  <c:v>759</c:v>
                </c:pt>
                <c:pt idx="360">
                  <c:v>760</c:v>
                </c:pt>
                <c:pt idx="361">
                  <c:v>761</c:v>
                </c:pt>
                <c:pt idx="362">
                  <c:v>762</c:v>
                </c:pt>
                <c:pt idx="363">
                  <c:v>763</c:v>
                </c:pt>
                <c:pt idx="364">
                  <c:v>764</c:v>
                </c:pt>
                <c:pt idx="365">
                  <c:v>765</c:v>
                </c:pt>
                <c:pt idx="366">
                  <c:v>766</c:v>
                </c:pt>
                <c:pt idx="367">
                  <c:v>767</c:v>
                </c:pt>
                <c:pt idx="368">
                  <c:v>768</c:v>
                </c:pt>
                <c:pt idx="369">
                  <c:v>769</c:v>
                </c:pt>
                <c:pt idx="370">
                  <c:v>770</c:v>
                </c:pt>
                <c:pt idx="371">
                  <c:v>771</c:v>
                </c:pt>
                <c:pt idx="372">
                  <c:v>772</c:v>
                </c:pt>
                <c:pt idx="373">
                  <c:v>773</c:v>
                </c:pt>
                <c:pt idx="374">
                  <c:v>774</c:v>
                </c:pt>
                <c:pt idx="375">
                  <c:v>775</c:v>
                </c:pt>
                <c:pt idx="376">
                  <c:v>776</c:v>
                </c:pt>
                <c:pt idx="377">
                  <c:v>777</c:v>
                </c:pt>
                <c:pt idx="378">
                  <c:v>778</c:v>
                </c:pt>
                <c:pt idx="379">
                  <c:v>779</c:v>
                </c:pt>
                <c:pt idx="380">
                  <c:v>780</c:v>
                </c:pt>
                <c:pt idx="381">
                  <c:v>781</c:v>
                </c:pt>
                <c:pt idx="382">
                  <c:v>782</c:v>
                </c:pt>
                <c:pt idx="383">
                  <c:v>783</c:v>
                </c:pt>
                <c:pt idx="384">
                  <c:v>784</c:v>
                </c:pt>
                <c:pt idx="385">
                  <c:v>785</c:v>
                </c:pt>
                <c:pt idx="386">
                  <c:v>786</c:v>
                </c:pt>
                <c:pt idx="387">
                  <c:v>787</c:v>
                </c:pt>
                <c:pt idx="388">
                  <c:v>788</c:v>
                </c:pt>
                <c:pt idx="389">
                  <c:v>789</c:v>
                </c:pt>
                <c:pt idx="390">
                  <c:v>790</c:v>
                </c:pt>
                <c:pt idx="391">
                  <c:v>791</c:v>
                </c:pt>
                <c:pt idx="392">
                  <c:v>792</c:v>
                </c:pt>
                <c:pt idx="393">
                  <c:v>793</c:v>
                </c:pt>
                <c:pt idx="394">
                  <c:v>794</c:v>
                </c:pt>
                <c:pt idx="395">
                  <c:v>795</c:v>
                </c:pt>
                <c:pt idx="396">
                  <c:v>796</c:v>
                </c:pt>
                <c:pt idx="397">
                  <c:v>797</c:v>
                </c:pt>
                <c:pt idx="398">
                  <c:v>798</c:v>
                </c:pt>
                <c:pt idx="399">
                  <c:v>799</c:v>
                </c:pt>
                <c:pt idx="400">
                  <c:v>800</c:v>
                </c:pt>
                <c:pt idx="401">
                  <c:v>801</c:v>
                </c:pt>
                <c:pt idx="402">
                  <c:v>802</c:v>
                </c:pt>
                <c:pt idx="403">
                  <c:v>803</c:v>
                </c:pt>
                <c:pt idx="404">
                  <c:v>804</c:v>
                </c:pt>
                <c:pt idx="405">
                  <c:v>805</c:v>
                </c:pt>
                <c:pt idx="406">
                  <c:v>806</c:v>
                </c:pt>
                <c:pt idx="407">
                  <c:v>807</c:v>
                </c:pt>
                <c:pt idx="408">
                  <c:v>808</c:v>
                </c:pt>
                <c:pt idx="409">
                  <c:v>809</c:v>
                </c:pt>
                <c:pt idx="410">
                  <c:v>810</c:v>
                </c:pt>
                <c:pt idx="411">
                  <c:v>811</c:v>
                </c:pt>
                <c:pt idx="412">
                  <c:v>812</c:v>
                </c:pt>
                <c:pt idx="413">
                  <c:v>813</c:v>
                </c:pt>
                <c:pt idx="414">
                  <c:v>814</c:v>
                </c:pt>
                <c:pt idx="415">
                  <c:v>815</c:v>
                </c:pt>
                <c:pt idx="416">
                  <c:v>816</c:v>
                </c:pt>
                <c:pt idx="417">
                  <c:v>817</c:v>
                </c:pt>
                <c:pt idx="418">
                  <c:v>818</c:v>
                </c:pt>
                <c:pt idx="419">
                  <c:v>819</c:v>
                </c:pt>
                <c:pt idx="420">
                  <c:v>820</c:v>
                </c:pt>
                <c:pt idx="421">
                  <c:v>821</c:v>
                </c:pt>
                <c:pt idx="422">
                  <c:v>822</c:v>
                </c:pt>
                <c:pt idx="423">
                  <c:v>823</c:v>
                </c:pt>
                <c:pt idx="424">
                  <c:v>824</c:v>
                </c:pt>
                <c:pt idx="425">
                  <c:v>825</c:v>
                </c:pt>
                <c:pt idx="426">
                  <c:v>826</c:v>
                </c:pt>
                <c:pt idx="427">
                  <c:v>827</c:v>
                </c:pt>
                <c:pt idx="428">
                  <c:v>828</c:v>
                </c:pt>
                <c:pt idx="429">
                  <c:v>829</c:v>
                </c:pt>
                <c:pt idx="430">
                  <c:v>830</c:v>
                </c:pt>
                <c:pt idx="431">
                  <c:v>831</c:v>
                </c:pt>
                <c:pt idx="432">
                  <c:v>832</c:v>
                </c:pt>
                <c:pt idx="433">
                  <c:v>833</c:v>
                </c:pt>
                <c:pt idx="434">
                  <c:v>834</c:v>
                </c:pt>
                <c:pt idx="435">
                  <c:v>835</c:v>
                </c:pt>
                <c:pt idx="436">
                  <c:v>836</c:v>
                </c:pt>
                <c:pt idx="437">
                  <c:v>837</c:v>
                </c:pt>
                <c:pt idx="438">
                  <c:v>838</c:v>
                </c:pt>
                <c:pt idx="439">
                  <c:v>839</c:v>
                </c:pt>
                <c:pt idx="440">
                  <c:v>840</c:v>
                </c:pt>
                <c:pt idx="441">
                  <c:v>841</c:v>
                </c:pt>
                <c:pt idx="442">
                  <c:v>842</c:v>
                </c:pt>
                <c:pt idx="443">
                  <c:v>843</c:v>
                </c:pt>
                <c:pt idx="444">
                  <c:v>844</c:v>
                </c:pt>
                <c:pt idx="445">
                  <c:v>845</c:v>
                </c:pt>
                <c:pt idx="446">
                  <c:v>846</c:v>
                </c:pt>
                <c:pt idx="447">
                  <c:v>847</c:v>
                </c:pt>
                <c:pt idx="448">
                  <c:v>848</c:v>
                </c:pt>
                <c:pt idx="449">
                  <c:v>849</c:v>
                </c:pt>
                <c:pt idx="450">
                  <c:v>850</c:v>
                </c:pt>
                <c:pt idx="451">
                  <c:v>851</c:v>
                </c:pt>
                <c:pt idx="452">
                  <c:v>852</c:v>
                </c:pt>
                <c:pt idx="453">
                  <c:v>853</c:v>
                </c:pt>
                <c:pt idx="454">
                  <c:v>854</c:v>
                </c:pt>
                <c:pt idx="455">
                  <c:v>855</c:v>
                </c:pt>
                <c:pt idx="456">
                  <c:v>856</c:v>
                </c:pt>
                <c:pt idx="457">
                  <c:v>857</c:v>
                </c:pt>
                <c:pt idx="458">
                  <c:v>858</c:v>
                </c:pt>
                <c:pt idx="459">
                  <c:v>859</c:v>
                </c:pt>
                <c:pt idx="460">
                  <c:v>860</c:v>
                </c:pt>
                <c:pt idx="461">
                  <c:v>861</c:v>
                </c:pt>
                <c:pt idx="462">
                  <c:v>862</c:v>
                </c:pt>
                <c:pt idx="463">
                  <c:v>863</c:v>
                </c:pt>
                <c:pt idx="464">
                  <c:v>864</c:v>
                </c:pt>
                <c:pt idx="465">
                  <c:v>865</c:v>
                </c:pt>
                <c:pt idx="466">
                  <c:v>866</c:v>
                </c:pt>
                <c:pt idx="467">
                  <c:v>867</c:v>
                </c:pt>
                <c:pt idx="468">
                  <c:v>868</c:v>
                </c:pt>
                <c:pt idx="469">
                  <c:v>869</c:v>
                </c:pt>
                <c:pt idx="470">
                  <c:v>870</c:v>
                </c:pt>
                <c:pt idx="471">
                  <c:v>871</c:v>
                </c:pt>
                <c:pt idx="472">
                  <c:v>872</c:v>
                </c:pt>
                <c:pt idx="473">
                  <c:v>873</c:v>
                </c:pt>
                <c:pt idx="474">
                  <c:v>874</c:v>
                </c:pt>
                <c:pt idx="475">
                  <c:v>875</c:v>
                </c:pt>
                <c:pt idx="476">
                  <c:v>876</c:v>
                </c:pt>
                <c:pt idx="477">
                  <c:v>877</c:v>
                </c:pt>
                <c:pt idx="478">
                  <c:v>878</c:v>
                </c:pt>
                <c:pt idx="479">
                  <c:v>879</c:v>
                </c:pt>
                <c:pt idx="480">
                  <c:v>880</c:v>
                </c:pt>
                <c:pt idx="481">
                  <c:v>881</c:v>
                </c:pt>
                <c:pt idx="482">
                  <c:v>882</c:v>
                </c:pt>
                <c:pt idx="483">
                  <c:v>883</c:v>
                </c:pt>
                <c:pt idx="484">
                  <c:v>884</c:v>
                </c:pt>
                <c:pt idx="485">
                  <c:v>885</c:v>
                </c:pt>
                <c:pt idx="486">
                  <c:v>886</c:v>
                </c:pt>
                <c:pt idx="487">
                  <c:v>887</c:v>
                </c:pt>
                <c:pt idx="488">
                  <c:v>888</c:v>
                </c:pt>
                <c:pt idx="489">
                  <c:v>889</c:v>
                </c:pt>
                <c:pt idx="490">
                  <c:v>890</c:v>
                </c:pt>
                <c:pt idx="491">
                  <c:v>891</c:v>
                </c:pt>
                <c:pt idx="492">
                  <c:v>892</c:v>
                </c:pt>
                <c:pt idx="493">
                  <c:v>893</c:v>
                </c:pt>
                <c:pt idx="494">
                  <c:v>894</c:v>
                </c:pt>
                <c:pt idx="495">
                  <c:v>895</c:v>
                </c:pt>
                <c:pt idx="496">
                  <c:v>896</c:v>
                </c:pt>
                <c:pt idx="497">
                  <c:v>897</c:v>
                </c:pt>
                <c:pt idx="498">
                  <c:v>898</c:v>
                </c:pt>
                <c:pt idx="499">
                  <c:v>899</c:v>
                </c:pt>
                <c:pt idx="500">
                  <c:v>900</c:v>
                </c:pt>
              </c:numCache>
            </c:numRef>
          </c:xVal>
          <c:yVal>
            <c:numRef>
              <c:f>[波长及吸光度.xlsx]Sheet1!$C$2:$C$502</c:f>
              <c:numCache>
                <c:formatCode>0.000_ </c:formatCode>
                <c:ptCount val="501"/>
                <c:pt idx="0">
                  <c:v>0.153</c:v>
                </c:pt>
                <c:pt idx="1">
                  <c:v>0.149</c:v>
                </c:pt>
                <c:pt idx="2">
                  <c:v>0.146</c:v>
                </c:pt>
                <c:pt idx="3">
                  <c:v>0.143</c:v>
                </c:pt>
                <c:pt idx="4">
                  <c:v>0.14</c:v>
                </c:pt>
                <c:pt idx="5">
                  <c:v>0.138</c:v>
                </c:pt>
                <c:pt idx="6">
                  <c:v>0.136</c:v>
                </c:pt>
                <c:pt idx="7">
                  <c:v>0.134</c:v>
                </c:pt>
                <c:pt idx="8">
                  <c:v>0.132</c:v>
                </c:pt>
                <c:pt idx="9">
                  <c:v>0.13</c:v>
                </c:pt>
                <c:pt idx="10">
                  <c:v>0.128</c:v>
                </c:pt>
                <c:pt idx="11">
                  <c:v>0.127</c:v>
                </c:pt>
                <c:pt idx="12">
                  <c:v>0.125</c:v>
                </c:pt>
                <c:pt idx="13">
                  <c:v>0.124</c:v>
                </c:pt>
                <c:pt idx="14">
                  <c:v>0.123</c:v>
                </c:pt>
                <c:pt idx="15">
                  <c:v>0.121</c:v>
                </c:pt>
                <c:pt idx="16">
                  <c:v>0.12</c:v>
                </c:pt>
                <c:pt idx="17">
                  <c:v>0.119</c:v>
                </c:pt>
                <c:pt idx="18">
                  <c:v>0.118</c:v>
                </c:pt>
                <c:pt idx="19">
                  <c:v>0.117</c:v>
                </c:pt>
                <c:pt idx="20">
                  <c:v>0.116</c:v>
                </c:pt>
                <c:pt idx="21">
                  <c:v>0.115</c:v>
                </c:pt>
                <c:pt idx="22">
                  <c:v>0.114</c:v>
                </c:pt>
                <c:pt idx="23">
                  <c:v>0.114</c:v>
                </c:pt>
                <c:pt idx="24">
                  <c:v>0.113</c:v>
                </c:pt>
                <c:pt idx="25">
                  <c:v>0.112</c:v>
                </c:pt>
                <c:pt idx="26">
                  <c:v>0.112</c:v>
                </c:pt>
                <c:pt idx="27">
                  <c:v>0.111</c:v>
                </c:pt>
                <c:pt idx="28">
                  <c:v>0.111</c:v>
                </c:pt>
                <c:pt idx="29">
                  <c:v>0.11</c:v>
                </c:pt>
                <c:pt idx="30">
                  <c:v>0.11</c:v>
                </c:pt>
                <c:pt idx="31">
                  <c:v>0.11</c:v>
                </c:pt>
                <c:pt idx="32">
                  <c:v>0.109</c:v>
                </c:pt>
                <c:pt idx="33">
                  <c:v>0.109</c:v>
                </c:pt>
                <c:pt idx="34">
                  <c:v>0.109</c:v>
                </c:pt>
                <c:pt idx="35">
                  <c:v>0.109</c:v>
                </c:pt>
                <c:pt idx="36">
                  <c:v>0.109</c:v>
                </c:pt>
                <c:pt idx="37">
                  <c:v>0.109</c:v>
                </c:pt>
                <c:pt idx="38">
                  <c:v>0.109</c:v>
                </c:pt>
                <c:pt idx="39">
                  <c:v>0.109</c:v>
                </c:pt>
                <c:pt idx="40">
                  <c:v>0.109</c:v>
                </c:pt>
                <c:pt idx="41">
                  <c:v>0.109</c:v>
                </c:pt>
                <c:pt idx="42">
                  <c:v>0.109</c:v>
                </c:pt>
                <c:pt idx="43">
                  <c:v>0.11</c:v>
                </c:pt>
                <c:pt idx="44">
                  <c:v>0.11</c:v>
                </c:pt>
                <c:pt idx="45">
                  <c:v>0.11</c:v>
                </c:pt>
                <c:pt idx="46">
                  <c:v>0.11</c:v>
                </c:pt>
                <c:pt idx="47">
                  <c:v>0.111</c:v>
                </c:pt>
                <c:pt idx="48">
                  <c:v>0.111</c:v>
                </c:pt>
                <c:pt idx="49">
                  <c:v>0.112</c:v>
                </c:pt>
                <c:pt idx="50">
                  <c:v>0.112</c:v>
                </c:pt>
                <c:pt idx="51">
                  <c:v>0.113</c:v>
                </c:pt>
                <c:pt idx="52">
                  <c:v>0.113</c:v>
                </c:pt>
                <c:pt idx="53">
                  <c:v>0.114</c:v>
                </c:pt>
                <c:pt idx="54">
                  <c:v>0.115</c:v>
                </c:pt>
                <c:pt idx="55">
                  <c:v>0.115</c:v>
                </c:pt>
                <c:pt idx="56">
                  <c:v>0.116</c:v>
                </c:pt>
                <c:pt idx="57">
                  <c:v>0.117</c:v>
                </c:pt>
                <c:pt idx="58">
                  <c:v>0.117</c:v>
                </c:pt>
                <c:pt idx="59">
                  <c:v>0.118</c:v>
                </c:pt>
                <c:pt idx="60">
                  <c:v>0.119</c:v>
                </c:pt>
                <c:pt idx="61">
                  <c:v>0.119</c:v>
                </c:pt>
                <c:pt idx="62">
                  <c:v>0.12</c:v>
                </c:pt>
                <c:pt idx="63">
                  <c:v>0.121</c:v>
                </c:pt>
                <c:pt idx="64">
                  <c:v>0.122</c:v>
                </c:pt>
                <c:pt idx="65">
                  <c:v>0.122</c:v>
                </c:pt>
                <c:pt idx="66">
                  <c:v>0.123</c:v>
                </c:pt>
                <c:pt idx="67">
                  <c:v>0.124</c:v>
                </c:pt>
                <c:pt idx="68">
                  <c:v>0.125</c:v>
                </c:pt>
                <c:pt idx="69">
                  <c:v>0.125</c:v>
                </c:pt>
                <c:pt idx="70">
                  <c:v>0.126</c:v>
                </c:pt>
                <c:pt idx="71">
                  <c:v>0.127</c:v>
                </c:pt>
                <c:pt idx="72">
                  <c:v>0.127</c:v>
                </c:pt>
                <c:pt idx="73">
                  <c:v>0.128</c:v>
                </c:pt>
                <c:pt idx="74">
                  <c:v>0.129</c:v>
                </c:pt>
                <c:pt idx="75">
                  <c:v>0.13</c:v>
                </c:pt>
                <c:pt idx="76">
                  <c:v>0.13</c:v>
                </c:pt>
                <c:pt idx="77">
                  <c:v>0.131</c:v>
                </c:pt>
                <c:pt idx="78">
                  <c:v>0.132</c:v>
                </c:pt>
                <c:pt idx="79">
                  <c:v>0.132</c:v>
                </c:pt>
                <c:pt idx="80">
                  <c:v>0.133</c:v>
                </c:pt>
                <c:pt idx="81">
                  <c:v>0.134</c:v>
                </c:pt>
                <c:pt idx="82">
                  <c:v>0.134</c:v>
                </c:pt>
                <c:pt idx="83">
                  <c:v>0.135</c:v>
                </c:pt>
                <c:pt idx="84">
                  <c:v>0.135</c:v>
                </c:pt>
                <c:pt idx="85">
                  <c:v>0.136</c:v>
                </c:pt>
                <c:pt idx="86">
                  <c:v>0.137</c:v>
                </c:pt>
                <c:pt idx="87">
                  <c:v>0.137</c:v>
                </c:pt>
                <c:pt idx="88">
                  <c:v>0.138</c:v>
                </c:pt>
                <c:pt idx="89">
                  <c:v>0.138</c:v>
                </c:pt>
                <c:pt idx="90">
                  <c:v>0.139</c:v>
                </c:pt>
                <c:pt idx="91">
                  <c:v>0.139</c:v>
                </c:pt>
                <c:pt idx="92">
                  <c:v>0.14</c:v>
                </c:pt>
                <c:pt idx="93">
                  <c:v>0.14</c:v>
                </c:pt>
                <c:pt idx="94">
                  <c:v>0.141</c:v>
                </c:pt>
                <c:pt idx="95">
                  <c:v>0.141</c:v>
                </c:pt>
                <c:pt idx="96">
                  <c:v>0.142</c:v>
                </c:pt>
                <c:pt idx="97">
                  <c:v>0.142</c:v>
                </c:pt>
                <c:pt idx="98">
                  <c:v>0.143</c:v>
                </c:pt>
                <c:pt idx="99">
                  <c:v>0.143</c:v>
                </c:pt>
                <c:pt idx="100">
                  <c:v>0.144</c:v>
                </c:pt>
                <c:pt idx="101">
                  <c:v>0.144</c:v>
                </c:pt>
                <c:pt idx="102">
                  <c:v>0.145</c:v>
                </c:pt>
                <c:pt idx="103">
                  <c:v>0.145</c:v>
                </c:pt>
                <c:pt idx="104">
                  <c:v>0.146</c:v>
                </c:pt>
                <c:pt idx="105">
                  <c:v>0.146</c:v>
                </c:pt>
                <c:pt idx="106">
                  <c:v>0.146</c:v>
                </c:pt>
                <c:pt idx="107">
                  <c:v>0.147</c:v>
                </c:pt>
                <c:pt idx="108">
                  <c:v>0.147</c:v>
                </c:pt>
                <c:pt idx="109">
                  <c:v>0.148</c:v>
                </c:pt>
                <c:pt idx="110">
                  <c:v>0.148</c:v>
                </c:pt>
                <c:pt idx="111">
                  <c:v>0.149</c:v>
                </c:pt>
                <c:pt idx="112">
                  <c:v>0.149</c:v>
                </c:pt>
                <c:pt idx="113">
                  <c:v>0.15</c:v>
                </c:pt>
                <c:pt idx="114">
                  <c:v>0.15</c:v>
                </c:pt>
                <c:pt idx="115">
                  <c:v>0.151</c:v>
                </c:pt>
                <c:pt idx="116">
                  <c:v>0.151</c:v>
                </c:pt>
                <c:pt idx="117">
                  <c:v>0.152</c:v>
                </c:pt>
                <c:pt idx="118">
                  <c:v>0.152</c:v>
                </c:pt>
                <c:pt idx="119">
                  <c:v>0.153</c:v>
                </c:pt>
                <c:pt idx="120">
                  <c:v>0.153</c:v>
                </c:pt>
                <c:pt idx="121">
                  <c:v>0.154</c:v>
                </c:pt>
                <c:pt idx="122">
                  <c:v>0.154</c:v>
                </c:pt>
                <c:pt idx="123">
                  <c:v>0.155</c:v>
                </c:pt>
                <c:pt idx="124">
                  <c:v>0.155</c:v>
                </c:pt>
                <c:pt idx="125">
                  <c:v>0.156</c:v>
                </c:pt>
                <c:pt idx="126">
                  <c:v>0.157</c:v>
                </c:pt>
                <c:pt idx="127">
                  <c:v>0.157</c:v>
                </c:pt>
                <c:pt idx="128">
                  <c:v>0.158</c:v>
                </c:pt>
                <c:pt idx="129">
                  <c:v>0.158</c:v>
                </c:pt>
                <c:pt idx="130">
                  <c:v>0.159</c:v>
                </c:pt>
                <c:pt idx="131">
                  <c:v>0.16</c:v>
                </c:pt>
                <c:pt idx="132">
                  <c:v>0.16</c:v>
                </c:pt>
                <c:pt idx="133">
                  <c:v>0.161</c:v>
                </c:pt>
                <c:pt idx="134">
                  <c:v>0.162</c:v>
                </c:pt>
                <c:pt idx="135">
                  <c:v>0.163</c:v>
                </c:pt>
                <c:pt idx="136">
                  <c:v>0.163</c:v>
                </c:pt>
                <c:pt idx="137">
                  <c:v>0.164</c:v>
                </c:pt>
                <c:pt idx="138">
                  <c:v>0.165</c:v>
                </c:pt>
                <c:pt idx="139">
                  <c:v>0.166</c:v>
                </c:pt>
                <c:pt idx="140">
                  <c:v>0.166</c:v>
                </c:pt>
                <c:pt idx="141">
                  <c:v>0.167</c:v>
                </c:pt>
                <c:pt idx="142">
                  <c:v>0.168</c:v>
                </c:pt>
                <c:pt idx="143">
                  <c:v>0.169</c:v>
                </c:pt>
                <c:pt idx="144">
                  <c:v>0.17</c:v>
                </c:pt>
                <c:pt idx="145">
                  <c:v>0.17</c:v>
                </c:pt>
                <c:pt idx="146">
                  <c:v>0.171</c:v>
                </c:pt>
                <c:pt idx="147">
                  <c:v>0.172</c:v>
                </c:pt>
                <c:pt idx="148">
                  <c:v>0.173</c:v>
                </c:pt>
                <c:pt idx="149">
                  <c:v>0.174</c:v>
                </c:pt>
                <c:pt idx="150">
                  <c:v>0.175</c:v>
                </c:pt>
                <c:pt idx="151">
                  <c:v>0.176</c:v>
                </c:pt>
                <c:pt idx="152">
                  <c:v>0.177</c:v>
                </c:pt>
                <c:pt idx="153">
                  <c:v>0.178</c:v>
                </c:pt>
                <c:pt idx="154">
                  <c:v>0.179</c:v>
                </c:pt>
                <c:pt idx="155">
                  <c:v>0.18</c:v>
                </c:pt>
                <c:pt idx="156">
                  <c:v>0.181</c:v>
                </c:pt>
                <c:pt idx="157">
                  <c:v>0.182</c:v>
                </c:pt>
                <c:pt idx="158">
                  <c:v>0.183</c:v>
                </c:pt>
                <c:pt idx="159">
                  <c:v>0.184</c:v>
                </c:pt>
                <c:pt idx="160">
                  <c:v>0.185</c:v>
                </c:pt>
                <c:pt idx="161">
                  <c:v>0.186</c:v>
                </c:pt>
                <c:pt idx="162">
                  <c:v>0.187</c:v>
                </c:pt>
                <c:pt idx="163">
                  <c:v>0.188</c:v>
                </c:pt>
                <c:pt idx="164">
                  <c:v>0.189</c:v>
                </c:pt>
                <c:pt idx="165">
                  <c:v>0.191</c:v>
                </c:pt>
                <c:pt idx="166">
                  <c:v>0.192</c:v>
                </c:pt>
                <c:pt idx="167">
                  <c:v>0.193</c:v>
                </c:pt>
                <c:pt idx="168">
                  <c:v>0.194</c:v>
                </c:pt>
                <c:pt idx="169">
                  <c:v>0.196</c:v>
                </c:pt>
                <c:pt idx="170">
                  <c:v>0.197</c:v>
                </c:pt>
                <c:pt idx="171">
                  <c:v>0.198</c:v>
                </c:pt>
                <c:pt idx="172">
                  <c:v>0.2</c:v>
                </c:pt>
                <c:pt idx="173">
                  <c:v>0.201</c:v>
                </c:pt>
                <c:pt idx="174">
                  <c:v>0.203</c:v>
                </c:pt>
                <c:pt idx="175">
                  <c:v>0.204</c:v>
                </c:pt>
                <c:pt idx="176">
                  <c:v>0.206</c:v>
                </c:pt>
                <c:pt idx="177">
                  <c:v>0.207</c:v>
                </c:pt>
                <c:pt idx="178">
                  <c:v>0.209</c:v>
                </c:pt>
                <c:pt idx="179">
                  <c:v>0.211</c:v>
                </c:pt>
                <c:pt idx="180">
                  <c:v>0.212</c:v>
                </c:pt>
                <c:pt idx="181">
                  <c:v>0.214</c:v>
                </c:pt>
                <c:pt idx="182">
                  <c:v>0.216</c:v>
                </c:pt>
                <c:pt idx="183">
                  <c:v>0.218</c:v>
                </c:pt>
                <c:pt idx="184">
                  <c:v>0.22</c:v>
                </c:pt>
                <c:pt idx="185">
                  <c:v>0.221</c:v>
                </c:pt>
                <c:pt idx="186">
                  <c:v>0.223</c:v>
                </c:pt>
                <c:pt idx="187">
                  <c:v>0.225</c:v>
                </c:pt>
                <c:pt idx="188">
                  <c:v>0.227</c:v>
                </c:pt>
                <c:pt idx="189">
                  <c:v>0.229</c:v>
                </c:pt>
                <c:pt idx="190">
                  <c:v>0.231</c:v>
                </c:pt>
                <c:pt idx="191">
                  <c:v>0.233</c:v>
                </c:pt>
                <c:pt idx="192">
                  <c:v>0.236</c:v>
                </c:pt>
                <c:pt idx="193">
                  <c:v>0.238</c:v>
                </c:pt>
                <c:pt idx="194">
                  <c:v>0.24</c:v>
                </c:pt>
                <c:pt idx="195">
                  <c:v>0.243</c:v>
                </c:pt>
                <c:pt idx="196">
                  <c:v>0.245</c:v>
                </c:pt>
                <c:pt idx="197">
                  <c:v>0.247</c:v>
                </c:pt>
                <c:pt idx="198">
                  <c:v>0.25</c:v>
                </c:pt>
                <c:pt idx="199">
                  <c:v>0.252</c:v>
                </c:pt>
                <c:pt idx="200">
                  <c:v>0.255</c:v>
                </c:pt>
                <c:pt idx="201">
                  <c:v>0.257</c:v>
                </c:pt>
                <c:pt idx="202">
                  <c:v>0.26</c:v>
                </c:pt>
                <c:pt idx="203">
                  <c:v>0.262</c:v>
                </c:pt>
                <c:pt idx="204">
                  <c:v>0.265</c:v>
                </c:pt>
                <c:pt idx="205">
                  <c:v>0.268</c:v>
                </c:pt>
                <c:pt idx="206">
                  <c:v>0.271</c:v>
                </c:pt>
                <c:pt idx="207">
                  <c:v>0.274</c:v>
                </c:pt>
                <c:pt idx="208">
                  <c:v>0.277</c:v>
                </c:pt>
                <c:pt idx="209">
                  <c:v>0.28</c:v>
                </c:pt>
                <c:pt idx="210">
                  <c:v>0.283</c:v>
                </c:pt>
                <c:pt idx="211">
                  <c:v>0.286</c:v>
                </c:pt>
                <c:pt idx="212">
                  <c:v>0.289</c:v>
                </c:pt>
                <c:pt idx="213">
                  <c:v>0.292</c:v>
                </c:pt>
                <c:pt idx="214">
                  <c:v>0.295</c:v>
                </c:pt>
                <c:pt idx="215">
                  <c:v>0.298</c:v>
                </c:pt>
                <c:pt idx="216">
                  <c:v>0.301</c:v>
                </c:pt>
                <c:pt idx="217">
                  <c:v>0.304</c:v>
                </c:pt>
                <c:pt idx="218">
                  <c:v>0.307</c:v>
                </c:pt>
                <c:pt idx="219">
                  <c:v>0.311</c:v>
                </c:pt>
                <c:pt idx="220">
                  <c:v>0.314</c:v>
                </c:pt>
                <c:pt idx="221">
                  <c:v>0.318</c:v>
                </c:pt>
                <c:pt idx="222">
                  <c:v>0.321</c:v>
                </c:pt>
                <c:pt idx="223">
                  <c:v>0.324</c:v>
                </c:pt>
                <c:pt idx="224">
                  <c:v>0.328</c:v>
                </c:pt>
                <c:pt idx="225">
                  <c:v>0.331</c:v>
                </c:pt>
                <c:pt idx="226">
                  <c:v>0.334</c:v>
                </c:pt>
                <c:pt idx="227">
                  <c:v>0.338</c:v>
                </c:pt>
                <c:pt idx="228">
                  <c:v>0.341</c:v>
                </c:pt>
                <c:pt idx="229">
                  <c:v>0.345</c:v>
                </c:pt>
                <c:pt idx="230">
                  <c:v>0.348</c:v>
                </c:pt>
                <c:pt idx="231">
                  <c:v>0.352</c:v>
                </c:pt>
                <c:pt idx="232">
                  <c:v>0.356</c:v>
                </c:pt>
                <c:pt idx="233">
                  <c:v>0.359</c:v>
                </c:pt>
                <c:pt idx="234">
                  <c:v>0.363</c:v>
                </c:pt>
                <c:pt idx="235">
                  <c:v>0.366</c:v>
                </c:pt>
                <c:pt idx="236">
                  <c:v>0.37</c:v>
                </c:pt>
                <c:pt idx="237">
                  <c:v>0.373</c:v>
                </c:pt>
                <c:pt idx="238">
                  <c:v>0.377</c:v>
                </c:pt>
                <c:pt idx="239">
                  <c:v>0.38</c:v>
                </c:pt>
                <c:pt idx="240">
                  <c:v>0.384</c:v>
                </c:pt>
                <c:pt idx="241">
                  <c:v>0.387</c:v>
                </c:pt>
                <c:pt idx="242">
                  <c:v>0.391</c:v>
                </c:pt>
                <c:pt idx="243">
                  <c:v>0.395</c:v>
                </c:pt>
                <c:pt idx="244">
                  <c:v>0.398</c:v>
                </c:pt>
                <c:pt idx="245">
                  <c:v>0.402</c:v>
                </c:pt>
                <c:pt idx="246">
                  <c:v>0.406</c:v>
                </c:pt>
                <c:pt idx="247">
                  <c:v>0.409</c:v>
                </c:pt>
                <c:pt idx="248">
                  <c:v>0.412</c:v>
                </c:pt>
                <c:pt idx="249">
                  <c:v>0.416</c:v>
                </c:pt>
                <c:pt idx="250">
                  <c:v>0.419</c:v>
                </c:pt>
                <c:pt idx="251">
                  <c:v>0.423</c:v>
                </c:pt>
                <c:pt idx="252">
                  <c:v>0.426</c:v>
                </c:pt>
                <c:pt idx="253">
                  <c:v>0.429</c:v>
                </c:pt>
                <c:pt idx="254">
                  <c:v>0.433</c:v>
                </c:pt>
                <c:pt idx="255">
                  <c:v>0.436</c:v>
                </c:pt>
                <c:pt idx="256">
                  <c:v>0.44</c:v>
                </c:pt>
                <c:pt idx="257">
                  <c:v>0.443</c:v>
                </c:pt>
                <c:pt idx="258">
                  <c:v>0.446</c:v>
                </c:pt>
                <c:pt idx="259">
                  <c:v>0.449</c:v>
                </c:pt>
                <c:pt idx="260">
                  <c:v>0.452</c:v>
                </c:pt>
                <c:pt idx="261">
                  <c:v>0.455</c:v>
                </c:pt>
                <c:pt idx="262">
                  <c:v>0.458</c:v>
                </c:pt>
                <c:pt idx="263">
                  <c:v>0.461</c:v>
                </c:pt>
                <c:pt idx="264">
                  <c:v>0.464</c:v>
                </c:pt>
                <c:pt idx="265">
                  <c:v>0.467</c:v>
                </c:pt>
                <c:pt idx="266">
                  <c:v>0.47</c:v>
                </c:pt>
                <c:pt idx="267">
                  <c:v>0.473</c:v>
                </c:pt>
                <c:pt idx="268">
                  <c:v>0.476</c:v>
                </c:pt>
                <c:pt idx="269">
                  <c:v>0.478</c:v>
                </c:pt>
                <c:pt idx="270">
                  <c:v>0.481</c:v>
                </c:pt>
                <c:pt idx="271">
                  <c:v>0.483</c:v>
                </c:pt>
                <c:pt idx="272">
                  <c:v>0.486</c:v>
                </c:pt>
                <c:pt idx="273">
                  <c:v>0.488</c:v>
                </c:pt>
                <c:pt idx="274">
                  <c:v>0.49</c:v>
                </c:pt>
                <c:pt idx="275">
                  <c:v>0.493</c:v>
                </c:pt>
                <c:pt idx="276">
                  <c:v>0.495</c:v>
                </c:pt>
                <c:pt idx="277">
                  <c:v>0.497</c:v>
                </c:pt>
                <c:pt idx="278">
                  <c:v>0.499</c:v>
                </c:pt>
                <c:pt idx="279">
                  <c:v>0.501</c:v>
                </c:pt>
                <c:pt idx="280">
                  <c:v>0.502</c:v>
                </c:pt>
                <c:pt idx="281">
                  <c:v>0.504</c:v>
                </c:pt>
                <c:pt idx="282">
                  <c:v>0.506</c:v>
                </c:pt>
                <c:pt idx="283">
                  <c:v>0.507</c:v>
                </c:pt>
                <c:pt idx="284">
                  <c:v>0.509</c:v>
                </c:pt>
                <c:pt idx="285">
                  <c:v>0.51</c:v>
                </c:pt>
                <c:pt idx="286">
                  <c:v>0.511</c:v>
                </c:pt>
                <c:pt idx="287">
                  <c:v>0.513</c:v>
                </c:pt>
                <c:pt idx="288">
                  <c:v>0.514</c:v>
                </c:pt>
                <c:pt idx="289">
                  <c:v>0.515</c:v>
                </c:pt>
                <c:pt idx="290">
                  <c:v>0.516</c:v>
                </c:pt>
                <c:pt idx="291">
                  <c:v>0.517</c:v>
                </c:pt>
                <c:pt idx="292">
                  <c:v>0.517</c:v>
                </c:pt>
                <c:pt idx="293">
                  <c:v>0.518</c:v>
                </c:pt>
                <c:pt idx="294">
                  <c:v>0.518</c:v>
                </c:pt>
                <c:pt idx="295">
                  <c:v>0.519</c:v>
                </c:pt>
                <c:pt idx="296">
                  <c:v>0.519</c:v>
                </c:pt>
                <c:pt idx="297">
                  <c:v>0.52</c:v>
                </c:pt>
                <c:pt idx="298">
                  <c:v>0.52</c:v>
                </c:pt>
                <c:pt idx="299">
                  <c:v>0.52</c:v>
                </c:pt>
                <c:pt idx="300">
                  <c:v>0.52</c:v>
                </c:pt>
                <c:pt idx="301">
                  <c:v>0.52</c:v>
                </c:pt>
                <c:pt idx="302">
                  <c:v>0.52</c:v>
                </c:pt>
                <c:pt idx="303">
                  <c:v>0.52</c:v>
                </c:pt>
                <c:pt idx="304">
                  <c:v>0.519</c:v>
                </c:pt>
                <c:pt idx="305">
                  <c:v>0.519</c:v>
                </c:pt>
                <c:pt idx="306">
                  <c:v>0.518</c:v>
                </c:pt>
                <c:pt idx="307">
                  <c:v>0.518</c:v>
                </c:pt>
                <c:pt idx="308">
                  <c:v>0.517</c:v>
                </c:pt>
                <c:pt idx="309">
                  <c:v>0.517</c:v>
                </c:pt>
                <c:pt idx="310">
                  <c:v>0.516</c:v>
                </c:pt>
                <c:pt idx="311">
                  <c:v>0.515</c:v>
                </c:pt>
                <c:pt idx="312">
                  <c:v>0.515</c:v>
                </c:pt>
                <c:pt idx="313">
                  <c:v>0.514</c:v>
                </c:pt>
                <c:pt idx="314">
                  <c:v>0.513</c:v>
                </c:pt>
                <c:pt idx="315">
                  <c:v>0.512</c:v>
                </c:pt>
                <c:pt idx="316">
                  <c:v>0.511</c:v>
                </c:pt>
                <c:pt idx="317">
                  <c:v>0.51</c:v>
                </c:pt>
                <c:pt idx="318">
                  <c:v>0.509</c:v>
                </c:pt>
                <c:pt idx="319">
                  <c:v>0.508</c:v>
                </c:pt>
                <c:pt idx="320">
                  <c:v>0.506</c:v>
                </c:pt>
                <c:pt idx="321">
                  <c:v>0.505</c:v>
                </c:pt>
                <c:pt idx="322">
                  <c:v>0.504</c:v>
                </c:pt>
                <c:pt idx="323">
                  <c:v>0.503</c:v>
                </c:pt>
                <c:pt idx="324">
                  <c:v>0.502</c:v>
                </c:pt>
                <c:pt idx="325">
                  <c:v>0.5</c:v>
                </c:pt>
                <c:pt idx="326">
                  <c:v>0.499</c:v>
                </c:pt>
                <c:pt idx="327">
                  <c:v>0.498</c:v>
                </c:pt>
                <c:pt idx="328">
                  <c:v>0.496</c:v>
                </c:pt>
                <c:pt idx="329">
                  <c:v>0.495</c:v>
                </c:pt>
                <c:pt idx="330">
                  <c:v>0.494</c:v>
                </c:pt>
                <c:pt idx="331">
                  <c:v>0.492</c:v>
                </c:pt>
                <c:pt idx="332">
                  <c:v>0.491</c:v>
                </c:pt>
                <c:pt idx="333">
                  <c:v>0.49</c:v>
                </c:pt>
                <c:pt idx="334">
                  <c:v>0.488</c:v>
                </c:pt>
                <c:pt idx="335">
                  <c:v>0.487</c:v>
                </c:pt>
                <c:pt idx="336">
                  <c:v>0.486</c:v>
                </c:pt>
                <c:pt idx="337">
                  <c:v>0.485</c:v>
                </c:pt>
                <c:pt idx="338">
                  <c:v>0.484</c:v>
                </c:pt>
                <c:pt idx="339">
                  <c:v>0.482</c:v>
                </c:pt>
                <c:pt idx="340">
                  <c:v>0.481</c:v>
                </c:pt>
                <c:pt idx="341">
                  <c:v>0.48</c:v>
                </c:pt>
                <c:pt idx="342">
                  <c:v>0.479</c:v>
                </c:pt>
                <c:pt idx="343">
                  <c:v>0.478</c:v>
                </c:pt>
                <c:pt idx="344">
                  <c:v>0.477</c:v>
                </c:pt>
                <c:pt idx="345">
                  <c:v>0.476</c:v>
                </c:pt>
                <c:pt idx="346">
                  <c:v>0.475</c:v>
                </c:pt>
                <c:pt idx="347">
                  <c:v>0.474</c:v>
                </c:pt>
                <c:pt idx="348">
                  <c:v>0.473</c:v>
                </c:pt>
                <c:pt idx="349">
                  <c:v>0.472</c:v>
                </c:pt>
                <c:pt idx="350">
                  <c:v>0.471</c:v>
                </c:pt>
                <c:pt idx="351">
                  <c:v>0.47</c:v>
                </c:pt>
                <c:pt idx="352">
                  <c:v>0.469</c:v>
                </c:pt>
                <c:pt idx="353">
                  <c:v>0.468</c:v>
                </c:pt>
                <c:pt idx="354">
                  <c:v>0.467</c:v>
                </c:pt>
                <c:pt idx="355">
                  <c:v>0.466</c:v>
                </c:pt>
                <c:pt idx="356">
                  <c:v>0.465</c:v>
                </c:pt>
                <c:pt idx="357">
                  <c:v>0.464</c:v>
                </c:pt>
                <c:pt idx="358">
                  <c:v>0.463</c:v>
                </c:pt>
                <c:pt idx="359">
                  <c:v>0.462</c:v>
                </c:pt>
                <c:pt idx="360">
                  <c:v>0.461</c:v>
                </c:pt>
                <c:pt idx="361">
                  <c:v>0.46</c:v>
                </c:pt>
                <c:pt idx="362">
                  <c:v>0.459</c:v>
                </c:pt>
                <c:pt idx="363">
                  <c:v>0.458</c:v>
                </c:pt>
                <c:pt idx="364">
                  <c:v>0.457</c:v>
                </c:pt>
                <c:pt idx="365">
                  <c:v>0.456</c:v>
                </c:pt>
                <c:pt idx="366">
                  <c:v>0.455</c:v>
                </c:pt>
                <c:pt idx="367">
                  <c:v>0.454</c:v>
                </c:pt>
                <c:pt idx="368">
                  <c:v>0.453</c:v>
                </c:pt>
                <c:pt idx="369">
                  <c:v>0.452</c:v>
                </c:pt>
                <c:pt idx="370">
                  <c:v>0.451</c:v>
                </c:pt>
                <c:pt idx="371">
                  <c:v>0.45</c:v>
                </c:pt>
                <c:pt idx="372">
                  <c:v>0.449</c:v>
                </c:pt>
                <c:pt idx="373">
                  <c:v>0.448</c:v>
                </c:pt>
                <c:pt idx="374">
                  <c:v>0.447</c:v>
                </c:pt>
                <c:pt idx="375">
                  <c:v>0.446</c:v>
                </c:pt>
                <c:pt idx="376">
                  <c:v>0.445</c:v>
                </c:pt>
                <c:pt idx="377">
                  <c:v>0.444</c:v>
                </c:pt>
                <c:pt idx="378">
                  <c:v>0.443</c:v>
                </c:pt>
                <c:pt idx="379">
                  <c:v>0.442</c:v>
                </c:pt>
                <c:pt idx="380">
                  <c:v>0.441</c:v>
                </c:pt>
                <c:pt idx="381">
                  <c:v>0.44</c:v>
                </c:pt>
                <c:pt idx="382">
                  <c:v>0.438</c:v>
                </c:pt>
                <c:pt idx="383">
                  <c:v>0.437</c:v>
                </c:pt>
                <c:pt idx="384">
                  <c:v>0.436</c:v>
                </c:pt>
                <c:pt idx="385">
                  <c:v>0.435</c:v>
                </c:pt>
                <c:pt idx="386">
                  <c:v>0.433</c:v>
                </c:pt>
                <c:pt idx="387">
                  <c:v>0.432</c:v>
                </c:pt>
                <c:pt idx="388">
                  <c:v>0.431</c:v>
                </c:pt>
                <c:pt idx="389">
                  <c:v>0.429</c:v>
                </c:pt>
                <c:pt idx="390">
                  <c:v>0.428</c:v>
                </c:pt>
                <c:pt idx="391">
                  <c:v>0.426</c:v>
                </c:pt>
                <c:pt idx="392">
                  <c:v>0.425</c:v>
                </c:pt>
                <c:pt idx="393">
                  <c:v>0.423</c:v>
                </c:pt>
                <c:pt idx="394">
                  <c:v>0.422</c:v>
                </c:pt>
                <c:pt idx="395">
                  <c:v>0.42</c:v>
                </c:pt>
                <c:pt idx="396">
                  <c:v>0.419</c:v>
                </c:pt>
                <c:pt idx="397">
                  <c:v>0.417</c:v>
                </c:pt>
                <c:pt idx="398">
                  <c:v>0.416</c:v>
                </c:pt>
                <c:pt idx="399">
                  <c:v>0.414</c:v>
                </c:pt>
                <c:pt idx="400">
                  <c:v>0.412</c:v>
                </c:pt>
                <c:pt idx="401">
                  <c:v>0.41</c:v>
                </c:pt>
                <c:pt idx="402">
                  <c:v>0.408</c:v>
                </c:pt>
                <c:pt idx="403">
                  <c:v>0.406</c:v>
                </c:pt>
                <c:pt idx="404">
                  <c:v>0.404</c:v>
                </c:pt>
                <c:pt idx="405">
                  <c:v>0.402</c:v>
                </c:pt>
                <c:pt idx="406">
                  <c:v>0.401</c:v>
                </c:pt>
                <c:pt idx="407">
                  <c:v>0.398</c:v>
                </c:pt>
                <c:pt idx="408">
                  <c:v>0.396</c:v>
                </c:pt>
                <c:pt idx="409">
                  <c:v>0.394</c:v>
                </c:pt>
                <c:pt idx="410">
                  <c:v>0.392</c:v>
                </c:pt>
                <c:pt idx="411">
                  <c:v>0.39</c:v>
                </c:pt>
                <c:pt idx="412">
                  <c:v>0.387</c:v>
                </c:pt>
                <c:pt idx="413">
                  <c:v>0.385</c:v>
                </c:pt>
                <c:pt idx="414">
                  <c:v>0.383</c:v>
                </c:pt>
                <c:pt idx="415">
                  <c:v>0.38</c:v>
                </c:pt>
                <c:pt idx="416">
                  <c:v>0.378</c:v>
                </c:pt>
                <c:pt idx="417">
                  <c:v>0.376</c:v>
                </c:pt>
                <c:pt idx="418">
                  <c:v>0.373</c:v>
                </c:pt>
                <c:pt idx="419">
                  <c:v>0.371</c:v>
                </c:pt>
                <c:pt idx="420">
                  <c:v>0.368</c:v>
                </c:pt>
                <c:pt idx="421">
                  <c:v>0.366</c:v>
                </c:pt>
                <c:pt idx="422">
                  <c:v>0.363</c:v>
                </c:pt>
                <c:pt idx="423">
                  <c:v>0.36</c:v>
                </c:pt>
                <c:pt idx="424">
                  <c:v>0.357</c:v>
                </c:pt>
                <c:pt idx="425">
                  <c:v>0.354</c:v>
                </c:pt>
                <c:pt idx="426">
                  <c:v>0.352</c:v>
                </c:pt>
                <c:pt idx="427">
                  <c:v>0.349</c:v>
                </c:pt>
                <c:pt idx="428">
                  <c:v>0.346</c:v>
                </c:pt>
                <c:pt idx="429">
                  <c:v>0.343</c:v>
                </c:pt>
                <c:pt idx="430">
                  <c:v>0.34</c:v>
                </c:pt>
                <c:pt idx="431">
                  <c:v>0.337</c:v>
                </c:pt>
                <c:pt idx="432">
                  <c:v>0.335</c:v>
                </c:pt>
                <c:pt idx="433">
                  <c:v>0.332</c:v>
                </c:pt>
                <c:pt idx="434">
                  <c:v>0.329</c:v>
                </c:pt>
                <c:pt idx="435">
                  <c:v>0.326</c:v>
                </c:pt>
                <c:pt idx="436">
                  <c:v>0.323</c:v>
                </c:pt>
                <c:pt idx="437">
                  <c:v>0.32</c:v>
                </c:pt>
                <c:pt idx="438">
                  <c:v>0.317</c:v>
                </c:pt>
                <c:pt idx="439">
                  <c:v>0.314</c:v>
                </c:pt>
                <c:pt idx="440">
                  <c:v>0.312</c:v>
                </c:pt>
                <c:pt idx="441">
                  <c:v>0.309</c:v>
                </c:pt>
                <c:pt idx="442">
                  <c:v>0.306</c:v>
                </c:pt>
                <c:pt idx="443">
                  <c:v>0.304</c:v>
                </c:pt>
                <c:pt idx="444">
                  <c:v>0.301</c:v>
                </c:pt>
                <c:pt idx="445">
                  <c:v>0.298</c:v>
                </c:pt>
                <c:pt idx="446">
                  <c:v>0.295</c:v>
                </c:pt>
                <c:pt idx="447">
                  <c:v>0.292</c:v>
                </c:pt>
                <c:pt idx="448">
                  <c:v>0.29</c:v>
                </c:pt>
                <c:pt idx="449">
                  <c:v>0.287</c:v>
                </c:pt>
                <c:pt idx="450">
                  <c:v>0.284</c:v>
                </c:pt>
                <c:pt idx="451">
                  <c:v>0.281</c:v>
                </c:pt>
                <c:pt idx="452">
                  <c:v>0.278</c:v>
                </c:pt>
                <c:pt idx="453">
                  <c:v>0.276</c:v>
                </c:pt>
                <c:pt idx="454">
                  <c:v>0.273</c:v>
                </c:pt>
                <c:pt idx="455">
                  <c:v>0.27</c:v>
                </c:pt>
                <c:pt idx="456">
                  <c:v>0.268</c:v>
                </c:pt>
                <c:pt idx="457">
                  <c:v>0.265</c:v>
                </c:pt>
                <c:pt idx="458">
                  <c:v>0.262</c:v>
                </c:pt>
                <c:pt idx="459">
                  <c:v>0.26</c:v>
                </c:pt>
                <c:pt idx="460">
                  <c:v>0.257</c:v>
                </c:pt>
                <c:pt idx="461">
                  <c:v>0.254</c:v>
                </c:pt>
                <c:pt idx="462">
                  <c:v>0.252</c:v>
                </c:pt>
                <c:pt idx="463">
                  <c:v>0.249</c:v>
                </c:pt>
                <c:pt idx="464">
                  <c:v>0.247</c:v>
                </c:pt>
                <c:pt idx="465">
                  <c:v>0.244</c:v>
                </c:pt>
                <c:pt idx="466">
                  <c:v>0.242</c:v>
                </c:pt>
                <c:pt idx="467">
                  <c:v>0.24</c:v>
                </c:pt>
                <c:pt idx="468">
                  <c:v>0.238</c:v>
                </c:pt>
                <c:pt idx="469">
                  <c:v>0.235</c:v>
                </c:pt>
                <c:pt idx="470">
                  <c:v>0.233</c:v>
                </c:pt>
                <c:pt idx="471">
                  <c:v>0.231</c:v>
                </c:pt>
                <c:pt idx="472">
                  <c:v>0.228</c:v>
                </c:pt>
                <c:pt idx="473">
                  <c:v>0.226</c:v>
                </c:pt>
                <c:pt idx="474">
                  <c:v>0.224</c:v>
                </c:pt>
                <c:pt idx="475">
                  <c:v>0.222</c:v>
                </c:pt>
                <c:pt idx="476">
                  <c:v>0.22</c:v>
                </c:pt>
                <c:pt idx="477">
                  <c:v>0.218</c:v>
                </c:pt>
                <c:pt idx="478">
                  <c:v>0.216</c:v>
                </c:pt>
                <c:pt idx="479">
                  <c:v>0.214</c:v>
                </c:pt>
                <c:pt idx="480">
                  <c:v>0.213</c:v>
                </c:pt>
                <c:pt idx="481">
                  <c:v>0.211</c:v>
                </c:pt>
                <c:pt idx="482">
                  <c:v>0.209</c:v>
                </c:pt>
                <c:pt idx="483">
                  <c:v>0.207</c:v>
                </c:pt>
                <c:pt idx="484">
                  <c:v>0.206</c:v>
                </c:pt>
                <c:pt idx="485">
                  <c:v>0.204</c:v>
                </c:pt>
                <c:pt idx="486">
                  <c:v>0.202</c:v>
                </c:pt>
                <c:pt idx="487">
                  <c:v>0.201</c:v>
                </c:pt>
                <c:pt idx="488">
                  <c:v>0.199</c:v>
                </c:pt>
                <c:pt idx="489">
                  <c:v>0.198</c:v>
                </c:pt>
                <c:pt idx="490">
                  <c:v>0.197</c:v>
                </c:pt>
                <c:pt idx="491">
                  <c:v>0.196</c:v>
                </c:pt>
                <c:pt idx="492">
                  <c:v>0.194</c:v>
                </c:pt>
                <c:pt idx="493">
                  <c:v>0.193</c:v>
                </c:pt>
                <c:pt idx="494">
                  <c:v>0.192</c:v>
                </c:pt>
                <c:pt idx="495">
                  <c:v>0.191</c:v>
                </c:pt>
                <c:pt idx="496">
                  <c:v>0.19</c:v>
                </c:pt>
                <c:pt idx="497">
                  <c:v>0.189</c:v>
                </c:pt>
                <c:pt idx="498">
                  <c:v>0.188</c:v>
                </c:pt>
                <c:pt idx="499">
                  <c:v>0.188</c:v>
                </c:pt>
                <c:pt idx="500">
                  <c:v>0.187</c:v>
                </c:pt>
              </c:numCache>
            </c:numRef>
          </c:yVal>
          <c:smooth val="1"/>
        </c:ser>
        <c:ser>
          <c:idx val="1"/>
          <c:order val="1"/>
          <c:spPr>
            <a:ln w="19050" cap="rnd">
              <a:solidFill>
                <a:srgbClr val="C0504D"/>
              </a:solidFill>
              <a:round/>
            </a:ln>
            <a:effectLst/>
          </c:spPr>
          <c:marker>
            <c:symbol val="none"/>
          </c:marker>
          <c:dLbls>
            <c:delete val="1"/>
          </c:dLbls>
          <c:xVal>
            <c:numRef>
              <c:f>[波长及吸光度.xlsx]Sheet1!$B$2:$B$502</c:f>
              <c:numCache>
                <c:formatCode>General</c:formatCode>
                <c:ptCount val="501"/>
                <c:pt idx="0">
                  <c:v>400</c:v>
                </c:pt>
                <c:pt idx="1">
                  <c:v>401</c:v>
                </c:pt>
                <c:pt idx="2">
                  <c:v>402</c:v>
                </c:pt>
                <c:pt idx="3">
                  <c:v>403</c:v>
                </c:pt>
                <c:pt idx="4">
                  <c:v>404</c:v>
                </c:pt>
                <c:pt idx="5">
                  <c:v>405</c:v>
                </c:pt>
                <c:pt idx="6">
                  <c:v>406</c:v>
                </c:pt>
                <c:pt idx="7">
                  <c:v>407</c:v>
                </c:pt>
                <c:pt idx="8">
                  <c:v>408</c:v>
                </c:pt>
                <c:pt idx="9">
                  <c:v>409</c:v>
                </c:pt>
                <c:pt idx="10">
                  <c:v>410</c:v>
                </c:pt>
                <c:pt idx="11">
                  <c:v>411</c:v>
                </c:pt>
                <c:pt idx="12">
                  <c:v>412</c:v>
                </c:pt>
                <c:pt idx="13">
                  <c:v>413</c:v>
                </c:pt>
                <c:pt idx="14">
                  <c:v>414</c:v>
                </c:pt>
                <c:pt idx="15">
                  <c:v>415</c:v>
                </c:pt>
                <c:pt idx="16">
                  <c:v>416</c:v>
                </c:pt>
                <c:pt idx="17">
                  <c:v>417</c:v>
                </c:pt>
                <c:pt idx="18">
                  <c:v>418</c:v>
                </c:pt>
                <c:pt idx="19">
                  <c:v>419</c:v>
                </c:pt>
                <c:pt idx="20">
                  <c:v>420</c:v>
                </c:pt>
                <c:pt idx="21">
                  <c:v>421</c:v>
                </c:pt>
                <c:pt idx="22">
                  <c:v>422</c:v>
                </c:pt>
                <c:pt idx="23">
                  <c:v>423</c:v>
                </c:pt>
                <c:pt idx="24">
                  <c:v>424</c:v>
                </c:pt>
                <c:pt idx="25">
                  <c:v>425</c:v>
                </c:pt>
                <c:pt idx="26">
                  <c:v>426</c:v>
                </c:pt>
                <c:pt idx="27">
                  <c:v>427</c:v>
                </c:pt>
                <c:pt idx="28">
                  <c:v>428</c:v>
                </c:pt>
                <c:pt idx="29">
                  <c:v>429</c:v>
                </c:pt>
                <c:pt idx="30">
                  <c:v>430</c:v>
                </c:pt>
                <c:pt idx="31">
                  <c:v>431</c:v>
                </c:pt>
                <c:pt idx="32">
                  <c:v>432</c:v>
                </c:pt>
                <c:pt idx="33">
                  <c:v>433</c:v>
                </c:pt>
                <c:pt idx="34">
                  <c:v>434</c:v>
                </c:pt>
                <c:pt idx="35">
                  <c:v>435</c:v>
                </c:pt>
                <c:pt idx="36">
                  <c:v>436</c:v>
                </c:pt>
                <c:pt idx="37">
                  <c:v>437</c:v>
                </c:pt>
                <c:pt idx="38">
                  <c:v>438</c:v>
                </c:pt>
                <c:pt idx="39">
                  <c:v>439</c:v>
                </c:pt>
                <c:pt idx="40">
                  <c:v>440</c:v>
                </c:pt>
                <c:pt idx="41">
                  <c:v>441</c:v>
                </c:pt>
                <c:pt idx="42">
                  <c:v>442</c:v>
                </c:pt>
                <c:pt idx="43">
                  <c:v>443</c:v>
                </c:pt>
                <c:pt idx="44">
                  <c:v>444</c:v>
                </c:pt>
                <c:pt idx="45">
                  <c:v>445</c:v>
                </c:pt>
                <c:pt idx="46">
                  <c:v>446</c:v>
                </c:pt>
                <c:pt idx="47">
                  <c:v>447</c:v>
                </c:pt>
                <c:pt idx="48">
                  <c:v>448</c:v>
                </c:pt>
                <c:pt idx="49">
                  <c:v>449</c:v>
                </c:pt>
                <c:pt idx="50">
                  <c:v>450</c:v>
                </c:pt>
                <c:pt idx="51">
                  <c:v>451</c:v>
                </c:pt>
                <c:pt idx="52">
                  <c:v>452</c:v>
                </c:pt>
                <c:pt idx="53">
                  <c:v>453</c:v>
                </c:pt>
                <c:pt idx="54">
                  <c:v>454</c:v>
                </c:pt>
                <c:pt idx="55">
                  <c:v>455</c:v>
                </c:pt>
                <c:pt idx="56">
                  <c:v>456</c:v>
                </c:pt>
                <c:pt idx="57">
                  <c:v>457</c:v>
                </c:pt>
                <c:pt idx="58">
                  <c:v>458</c:v>
                </c:pt>
                <c:pt idx="59">
                  <c:v>459</c:v>
                </c:pt>
                <c:pt idx="60">
                  <c:v>460</c:v>
                </c:pt>
                <c:pt idx="61">
                  <c:v>461</c:v>
                </c:pt>
                <c:pt idx="62">
                  <c:v>462</c:v>
                </c:pt>
                <c:pt idx="63">
                  <c:v>463</c:v>
                </c:pt>
                <c:pt idx="64">
                  <c:v>464</c:v>
                </c:pt>
                <c:pt idx="65">
                  <c:v>465</c:v>
                </c:pt>
                <c:pt idx="66">
                  <c:v>466</c:v>
                </c:pt>
                <c:pt idx="67">
                  <c:v>467</c:v>
                </c:pt>
                <c:pt idx="68">
                  <c:v>468</c:v>
                </c:pt>
                <c:pt idx="69">
                  <c:v>469</c:v>
                </c:pt>
                <c:pt idx="70">
                  <c:v>470</c:v>
                </c:pt>
                <c:pt idx="71">
                  <c:v>471</c:v>
                </c:pt>
                <c:pt idx="72">
                  <c:v>472</c:v>
                </c:pt>
                <c:pt idx="73">
                  <c:v>473</c:v>
                </c:pt>
                <c:pt idx="74">
                  <c:v>474</c:v>
                </c:pt>
                <c:pt idx="75">
                  <c:v>475</c:v>
                </c:pt>
                <c:pt idx="76">
                  <c:v>476</c:v>
                </c:pt>
                <c:pt idx="77">
                  <c:v>477</c:v>
                </c:pt>
                <c:pt idx="78">
                  <c:v>478</c:v>
                </c:pt>
                <c:pt idx="79">
                  <c:v>479</c:v>
                </c:pt>
                <c:pt idx="80">
                  <c:v>480</c:v>
                </c:pt>
                <c:pt idx="81">
                  <c:v>481</c:v>
                </c:pt>
                <c:pt idx="82">
                  <c:v>482</c:v>
                </c:pt>
                <c:pt idx="83">
                  <c:v>483</c:v>
                </c:pt>
                <c:pt idx="84">
                  <c:v>484</c:v>
                </c:pt>
                <c:pt idx="85">
                  <c:v>485</c:v>
                </c:pt>
                <c:pt idx="86">
                  <c:v>486</c:v>
                </c:pt>
                <c:pt idx="87">
                  <c:v>487</c:v>
                </c:pt>
                <c:pt idx="88">
                  <c:v>488</c:v>
                </c:pt>
                <c:pt idx="89">
                  <c:v>489</c:v>
                </c:pt>
                <c:pt idx="90">
                  <c:v>490</c:v>
                </c:pt>
                <c:pt idx="91">
                  <c:v>491</c:v>
                </c:pt>
                <c:pt idx="92">
                  <c:v>492</c:v>
                </c:pt>
                <c:pt idx="93">
                  <c:v>493</c:v>
                </c:pt>
                <c:pt idx="94">
                  <c:v>494</c:v>
                </c:pt>
                <c:pt idx="95">
                  <c:v>495</c:v>
                </c:pt>
                <c:pt idx="96">
                  <c:v>496</c:v>
                </c:pt>
                <c:pt idx="97">
                  <c:v>497</c:v>
                </c:pt>
                <c:pt idx="98">
                  <c:v>498</c:v>
                </c:pt>
                <c:pt idx="99">
                  <c:v>499</c:v>
                </c:pt>
                <c:pt idx="100">
                  <c:v>500</c:v>
                </c:pt>
                <c:pt idx="101">
                  <c:v>501</c:v>
                </c:pt>
                <c:pt idx="102">
                  <c:v>502</c:v>
                </c:pt>
                <c:pt idx="103">
                  <c:v>503</c:v>
                </c:pt>
                <c:pt idx="104">
                  <c:v>504</c:v>
                </c:pt>
                <c:pt idx="105">
                  <c:v>505</c:v>
                </c:pt>
                <c:pt idx="106">
                  <c:v>506</c:v>
                </c:pt>
                <c:pt idx="107">
                  <c:v>507</c:v>
                </c:pt>
                <c:pt idx="108">
                  <c:v>508</c:v>
                </c:pt>
                <c:pt idx="109">
                  <c:v>509</c:v>
                </c:pt>
                <c:pt idx="110">
                  <c:v>510</c:v>
                </c:pt>
                <c:pt idx="111">
                  <c:v>511</c:v>
                </c:pt>
                <c:pt idx="112">
                  <c:v>512</c:v>
                </c:pt>
                <c:pt idx="113">
                  <c:v>513</c:v>
                </c:pt>
                <c:pt idx="114">
                  <c:v>514</c:v>
                </c:pt>
                <c:pt idx="115">
                  <c:v>515</c:v>
                </c:pt>
                <c:pt idx="116">
                  <c:v>516</c:v>
                </c:pt>
                <c:pt idx="117">
                  <c:v>517</c:v>
                </c:pt>
                <c:pt idx="118">
                  <c:v>518</c:v>
                </c:pt>
                <c:pt idx="119">
                  <c:v>519</c:v>
                </c:pt>
                <c:pt idx="120">
                  <c:v>520</c:v>
                </c:pt>
                <c:pt idx="121">
                  <c:v>521</c:v>
                </c:pt>
                <c:pt idx="122">
                  <c:v>522</c:v>
                </c:pt>
                <c:pt idx="123">
                  <c:v>523</c:v>
                </c:pt>
                <c:pt idx="124">
                  <c:v>524</c:v>
                </c:pt>
                <c:pt idx="125">
                  <c:v>525</c:v>
                </c:pt>
                <c:pt idx="126">
                  <c:v>526</c:v>
                </c:pt>
                <c:pt idx="127">
                  <c:v>527</c:v>
                </c:pt>
                <c:pt idx="128">
                  <c:v>528</c:v>
                </c:pt>
                <c:pt idx="129">
                  <c:v>529</c:v>
                </c:pt>
                <c:pt idx="130">
                  <c:v>530</c:v>
                </c:pt>
                <c:pt idx="131">
                  <c:v>531</c:v>
                </c:pt>
                <c:pt idx="132">
                  <c:v>532</c:v>
                </c:pt>
                <c:pt idx="133">
                  <c:v>533</c:v>
                </c:pt>
                <c:pt idx="134">
                  <c:v>534</c:v>
                </c:pt>
                <c:pt idx="135">
                  <c:v>535</c:v>
                </c:pt>
                <c:pt idx="136">
                  <c:v>536</c:v>
                </c:pt>
                <c:pt idx="137">
                  <c:v>537</c:v>
                </c:pt>
                <c:pt idx="138">
                  <c:v>538</c:v>
                </c:pt>
                <c:pt idx="139">
                  <c:v>539</c:v>
                </c:pt>
                <c:pt idx="140">
                  <c:v>540</c:v>
                </c:pt>
                <c:pt idx="141">
                  <c:v>541</c:v>
                </c:pt>
                <c:pt idx="142">
                  <c:v>542</c:v>
                </c:pt>
                <c:pt idx="143">
                  <c:v>543</c:v>
                </c:pt>
                <c:pt idx="144">
                  <c:v>544</c:v>
                </c:pt>
                <c:pt idx="145">
                  <c:v>545</c:v>
                </c:pt>
                <c:pt idx="146">
                  <c:v>546</c:v>
                </c:pt>
                <c:pt idx="147">
                  <c:v>547</c:v>
                </c:pt>
                <c:pt idx="148">
                  <c:v>548</c:v>
                </c:pt>
                <c:pt idx="149">
                  <c:v>549</c:v>
                </c:pt>
                <c:pt idx="150">
                  <c:v>550</c:v>
                </c:pt>
                <c:pt idx="151">
                  <c:v>551</c:v>
                </c:pt>
                <c:pt idx="152">
                  <c:v>552</c:v>
                </c:pt>
                <c:pt idx="153">
                  <c:v>553</c:v>
                </c:pt>
                <c:pt idx="154">
                  <c:v>554</c:v>
                </c:pt>
                <c:pt idx="155">
                  <c:v>555</c:v>
                </c:pt>
                <c:pt idx="156">
                  <c:v>556</c:v>
                </c:pt>
                <c:pt idx="157">
                  <c:v>557</c:v>
                </c:pt>
                <c:pt idx="158">
                  <c:v>558</c:v>
                </c:pt>
                <c:pt idx="159">
                  <c:v>559</c:v>
                </c:pt>
                <c:pt idx="160">
                  <c:v>560</c:v>
                </c:pt>
                <c:pt idx="161">
                  <c:v>561</c:v>
                </c:pt>
                <c:pt idx="162">
                  <c:v>562</c:v>
                </c:pt>
                <c:pt idx="163">
                  <c:v>563</c:v>
                </c:pt>
                <c:pt idx="164">
                  <c:v>564</c:v>
                </c:pt>
                <c:pt idx="165">
                  <c:v>565</c:v>
                </c:pt>
                <c:pt idx="166">
                  <c:v>566</c:v>
                </c:pt>
                <c:pt idx="167">
                  <c:v>567</c:v>
                </c:pt>
                <c:pt idx="168">
                  <c:v>568</c:v>
                </c:pt>
                <c:pt idx="169">
                  <c:v>569</c:v>
                </c:pt>
                <c:pt idx="170">
                  <c:v>570</c:v>
                </c:pt>
                <c:pt idx="171">
                  <c:v>571</c:v>
                </c:pt>
                <c:pt idx="172">
                  <c:v>572</c:v>
                </c:pt>
                <c:pt idx="173">
                  <c:v>573</c:v>
                </c:pt>
                <c:pt idx="174">
                  <c:v>574</c:v>
                </c:pt>
                <c:pt idx="175">
                  <c:v>575</c:v>
                </c:pt>
                <c:pt idx="176">
                  <c:v>576</c:v>
                </c:pt>
                <c:pt idx="177">
                  <c:v>577</c:v>
                </c:pt>
                <c:pt idx="178">
                  <c:v>578</c:v>
                </c:pt>
                <c:pt idx="179">
                  <c:v>579</c:v>
                </c:pt>
                <c:pt idx="180">
                  <c:v>580</c:v>
                </c:pt>
                <c:pt idx="181">
                  <c:v>581</c:v>
                </c:pt>
                <c:pt idx="182">
                  <c:v>582</c:v>
                </c:pt>
                <c:pt idx="183">
                  <c:v>583</c:v>
                </c:pt>
                <c:pt idx="184">
                  <c:v>584</c:v>
                </c:pt>
                <c:pt idx="185">
                  <c:v>585</c:v>
                </c:pt>
                <c:pt idx="186">
                  <c:v>586</c:v>
                </c:pt>
                <c:pt idx="187">
                  <c:v>587</c:v>
                </c:pt>
                <c:pt idx="188">
                  <c:v>588</c:v>
                </c:pt>
                <c:pt idx="189">
                  <c:v>589</c:v>
                </c:pt>
                <c:pt idx="190">
                  <c:v>590</c:v>
                </c:pt>
                <c:pt idx="191">
                  <c:v>591</c:v>
                </c:pt>
                <c:pt idx="192">
                  <c:v>592</c:v>
                </c:pt>
                <c:pt idx="193">
                  <c:v>593</c:v>
                </c:pt>
                <c:pt idx="194">
                  <c:v>594</c:v>
                </c:pt>
                <c:pt idx="195">
                  <c:v>595</c:v>
                </c:pt>
                <c:pt idx="196">
                  <c:v>596</c:v>
                </c:pt>
                <c:pt idx="197">
                  <c:v>597</c:v>
                </c:pt>
                <c:pt idx="198">
                  <c:v>598</c:v>
                </c:pt>
                <c:pt idx="199">
                  <c:v>599</c:v>
                </c:pt>
                <c:pt idx="200">
                  <c:v>600</c:v>
                </c:pt>
                <c:pt idx="201">
                  <c:v>601</c:v>
                </c:pt>
                <c:pt idx="202">
                  <c:v>602</c:v>
                </c:pt>
                <c:pt idx="203">
                  <c:v>603</c:v>
                </c:pt>
                <c:pt idx="204">
                  <c:v>604</c:v>
                </c:pt>
                <c:pt idx="205">
                  <c:v>605</c:v>
                </c:pt>
                <c:pt idx="206">
                  <c:v>606</c:v>
                </c:pt>
                <c:pt idx="207">
                  <c:v>607</c:v>
                </c:pt>
                <c:pt idx="208">
                  <c:v>608</c:v>
                </c:pt>
                <c:pt idx="209">
                  <c:v>609</c:v>
                </c:pt>
                <c:pt idx="210">
                  <c:v>610</c:v>
                </c:pt>
                <c:pt idx="211">
                  <c:v>611</c:v>
                </c:pt>
                <c:pt idx="212">
                  <c:v>612</c:v>
                </c:pt>
                <c:pt idx="213">
                  <c:v>613</c:v>
                </c:pt>
                <c:pt idx="214">
                  <c:v>614</c:v>
                </c:pt>
                <c:pt idx="215">
                  <c:v>615</c:v>
                </c:pt>
                <c:pt idx="216">
                  <c:v>616</c:v>
                </c:pt>
                <c:pt idx="217">
                  <c:v>617</c:v>
                </c:pt>
                <c:pt idx="218">
                  <c:v>618</c:v>
                </c:pt>
                <c:pt idx="219">
                  <c:v>619</c:v>
                </c:pt>
                <c:pt idx="220">
                  <c:v>620</c:v>
                </c:pt>
                <c:pt idx="221">
                  <c:v>621</c:v>
                </c:pt>
                <c:pt idx="222">
                  <c:v>622</c:v>
                </c:pt>
                <c:pt idx="223">
                  <c:v>623</c:v>
                </c:pt>
                <c:pt idx="224">
                  <c:v>624</c:v>
                </c:pt>
                <c:pt idx="225">
                  <c:v>625</c:v>
                </c:pt>
                <c:pt idx="226">
                  <c:v>626</c:v>
                </c:pt>
                <c:pt idx="227">
                  <c:v>627</c:v>
                </c:pt>
                <c:pt idx="228">
                  <c:v>628</c:v>
                </c:pt>
                <c:pt idx="229">
                  <c:v>629</c:v>
                </c:pt>
                <c:pt idx="230">
                  <c:v>630</c:v>
                </c:pt>
                <c:pt idx="231">
                  <c:v>631</c:v>
                </c:pt>
                <c:pt idx="232">
                  <c:v>632</c:v>
                </c:pt>
                <c:pt idx="233">
                  <c:v>633</c:v>
                </c:pt>
                <c:pt idx="234">
                  <c:v>634</c:v>
                </c:pt>
                <c:pt idx="235">
                  <c:v>635</c:v>
                </c:pt>
                <c:pt idx="236">
                  <c:v>636</c:v>
                </c:pt>
                <c:pt idx="237">
                  <c:v>637</c:v>
                </c:pt>
                <c:pt idx="238">
                  <c:v>638</c:v>
                </c:pt>
                <c:pt idx="239">
                  <c:v>639</c:v>
                </c:pt>
                <c:pt idx="240">
                  <c:v>640</c:v>
                </c:pt>
                <c:pt idx="241">
                  <c:v>641</c:v>
                </c:pt>
                <c:pt idx="242">
                  <c:v>642</c:v>
                </c:pt>
                <c:pt idx="243">
                  <c:v>643</c:v>
                </c:pt>
                <c:pt idx="244">
                  <c:v>644</c:v>
                </c:pt>
                <c:pt idx="245">
                  <c:v>645</c:v>
                </c:pt>
                <c:pt idx="246">
                  <c:v>646</c:v>
                </c:pt>
                <c:pt idx="247">
                  <c:v>647</c:v>
                </c:pt>
                <c:pt idx="248">
                  <c:v>648</c:v>
                </c:pt>
                <c:pt idx="249">
                  <c:v>649</c:v>
                </c:pt>
                <c:pt idx="250">
                  <c:v>650</c:v>
                </c:pt>
                <c:pt idx="251">
                  <c:v>651</c:v>
                </c:pt>
                <c:pt idx="252">
                  <c:v>652</c:v>
                </c:pt>
                <c:pt idx="253">
                  <c:v>653</c:v>
                </c:pt>
                <c:pt idx="254">
                  <c:v>654</c:v>
                </c:pt>
                <c:pt idx="255">
                  <c:v>655</c:v>
                </c:pt>
                <c:pt idx="256">
                  <c:v>656</c:v>
                </c:pt>
                <c:pt idx="257">
                  <c:v>657</c:v>
                </c:pt>
                <c:pt idx="258">
                  <c:v>658</c:v>
                </c:pt>
                <c:pt idx="259">
                  <c:v>659</c:v>
                </c:pt>
                <c:pt idx="260">
                  <c:v>660</c:v>
                </c:pt>
                <c:pt idx="261">
                  <c:v>661</c:v>
                </c:pt>
                <c:pt idx="262">
                  <c:v>662</c:v>
                </c:pt>
                <c:pt idx="263">
                  <c:v>663</c:v>
                </c:pt>
                <c:pt idx="264">
                  <c:v>664</c:v>
                </c:pt>
                <c:pt idx="265">
                  <c:v>665</c:v>
                </c:pt>
                <c:pt idx="266">
                  <c:v>666</c:v>
                </c:pt>
                <c:pt idx="267">
                  <c:v>667</c:v>
                </c:pt>
                <c:pt idx="268">
                  <c:v>668</c:v>
                </c:pt>
                <c:pt idx="269">
                  <c:v>669</c:v>
                </c:pt>
                <c:pt idx="270">
                  <c:v>670</c:v>
                </c:pt>
                <c:pt idx="271">
                  <c:v>671</c:v>
                </c:pt>
                <c:pt idx="272">
                  <c:v>672</c:v>
                </c:pt>
                <c:pt idx="273">
                  <c:v>673</c:v>
                </c:pt>
                <c:pt idx="274">
                  <c:v>674</c:v>
                </c:pt>
                <c:pt idx="275">
                  <c:v>675</c:v>
                </c:pt>
                <c:pt idx="276">
                  <c:v>676</c:v>
                </c:pt>
                <c:pt idx="277">
                  <c:v>677</c:v>
                </c:pt>
                <c:pt idx="278">
                  <c:v>678</c:v>
                </c:pt>
                <c:pt idx="279">
                  <c:v>679</c:v>
                </c:pt>
                <c:pt idx="280">
                  <c:v>680</c:v>
                </c:pt>
                <c:pt idx="281">
                  <c:v>681</c:v>
                </c:pt>
                <c:pt idx="282">
                  <c:v>682</c:v>
                </c:pt>
                <c:pt idx="283">
                  <c:v>683</c:v>
                </c:pt>
                <c:pt idx="284">
                  <c:v>684</c:v>
                </c:pt>
                <c:pt idx="285">
                  <c:v>685</c:v>
                </c:pt>
                <c:pt idx="286">
                  <c:v>686</c:v>
                </c:pt>
                <c:pt idx="287">
                  <c:v>687</c:v>
                </c:pt>
                <c:pt idx="288">
                  <c:v>688</c:v>
                </c:pt>
                <c:pt idx="289">
                  <c:v>689</c:v>
                </c:pt>
                <c:pt idx="290">
                  <c:v>690</c:v>
                </c:pt>
                <c:pt idx="291">
                  <c:v>691</c:v>
                </c:pt>
                <c:pt idx="292">
                  <c:v>692</c:v>
                </c:pt>
                <c:pt idx="293">
                  <c:v>693</c:v>
                </c:pt>
                <c:pt idx="294">
                  <c:v>694</c:v>
                </c:pt>
                <c:pt idx="295">
                  <c:v>695</c:v>
                </c:pt>
                <c:pt idx="296">
                  <c:v>696</c:v>
                </c:pt>
                <c:pt idx="297">
                  <c:v>697</c:v>
                </c:pt>
                <c:pt idx="298">
                  <c:v>698</c:v>
                </c:pt>
                <c:pt idx="299">
                  <c:v>699</c:v>
                </c:pt>
                <c:pt idx="300">
                  <c:v>700</c:v>
                </c:pt>
                <c:pt idx="301">
                  <c:v>701</c:v>
                </c:pt>
                <c:pt idx="302">
                  <c:v>702</c:v>
                </c:pt>
                <c:pt idx="303">
                  <c:v>703</c:v>
                </c:pt>
                <c:pt idx="304">
                  <c:v>704</c:v>
                </c:pt>
                <c:pt idx="305">
                  <c:v>705</c:v>
                </c:pt>
                <c:pt idx="306">
                  <c:v>706</c:v>
                </c:pt>
                <c:pt idx="307">
                  <c:v>707</c:v>
                </c:pt>
                <c:pt idx="308">
                  <c:v>708</c:v>
                </c:pt>
                <c:pt idx="309">
                  <c:v>709</c:v>
                </c:pt>
                <c:pt idx="310">
                  <c:v>710</c:v>
                </c:pt>
                <c:pt idx="311">
                  <c:v>711</c:v>
                </c:pt>
                <c:pt idx="312">
                  <c:v>712</c:v>
                </c:pt>
                <c:pt idx="313">
                  <c:v>713</c:v>
                </c:pt>
                <c:pt idx="314">
                  <c:v>714</c:v>
                </c:pt>
                <c:pt idx="315">
                  <c:v>715</c:v>
                </c:pt>
                <c:pt idx="316">
                  <c:v>716</c:v>
                </c:pt>
                <c:pt idx="317">
                  <c:v>717</c:v>
                </c:pt>
                <c:pt idx="318">
                  <c:v>718</c:v>
                </c:pt>
                <c:pt idx="319">
                  <c:v>719</c:v>
                </c:pt>
                <c:pt idx="320">
                  <c:v>720</c:v>
                </c:pt>
                <c:pt idx="321">
                  <c:v>721</c:v>
                </c:pt>
                <c:pt idx="322">
                  <c:v>722</c:v>
                </c:pt>
                <c:pt idx="323">
                  <c:v>723</c:v>
                </c:pt>
                <c:pt idx="324">
                  <c:v>724</c:v>
                </c:pt>
                <c:pt idx="325">
                  <c:v>725</c:v>
                </c:pt>
                <c:pt idx="326">
                  <c:v>726</c:v>
                </c:pt>
                <c:pt idx="327">
                  <c:v>727</c:v>
                </c:pt>
                <c:pt idx="328">
                  <c:v>728</c:v>
                </c:pt>
                <c:pt idx="329">
                  <c:v>729</c:v>
                </c:pt>
                <c:pt idx="330">
                  <c:v>730</c:v>
                </c:pt>
                <c:pt idx="331">
                  <c:v>731</c:v>
                </c:pt>
                <c:pt idx="332">
                  <c:v>732</c:v>
                </c:pt>
                <c:pt idx="333">
                  <c:v>733</c:v>
                </c:pt>
                <c:pt idx="334">
                  <c:v>734</c:v>
                </c:pt>
                <c:pt idx="335">
                  <c:v>735</c:v>
                </c:pt>
                <c:pt idx="336">
                  <c:v>736</c:v>
                </c:pt>
                <c:pt idx="337">
                  <c:v>737</c:v>
                </c:pt>
                <c:pt idx="338">
                  <c:v>738</c:v>
                </c:pt>
                <c:pt idx="339">
                  <c:v>739</c:v>
                </c:pt>
                <c:pt idx="340">
                  <c:v>740</c:v>
                </c:pt>
                <c:pt idx="341">
                  <c:v>741</c:v>
                </c:pt>
                <c:pt idx="342">
                  <c:v>742</c:v>
                </c:pt>
                <c:pt idx="343">
                  <c:v>743</c:v>
                </c:pt>
                <c:pt idx="344">
                  <c:v>744</c:v>
                </c:pt>
                <c:pt idx="345">
                  <c:v>745</c:v>
                </c:pt>
                <c:pt idx="346">
                  <c:v>746</c:v>
                </c:pt>
                <c:pt idx="347">
                  <c:v>747</c:v>
                </c:pt>
                <c:pt idx="348">
                  <c:v>748</c:v>
                </c:pt>
                <c:pt idx="349">
                  <c:v>749</c:v>
                </c:pt>
                <c:pt idx="350">
                  <c:v>750</c:v>
                </c:pt>
                <c:pt idx="351">
                  <c:v>751</c:v>
                </c:pt>
                <c:pt idx="352">
                  <c:v>752</c:v>
                </c:pt>
                <c:pt idx="353">
                  <c:v>753</c:v>
                </c:pt>
                <c:pt idx="354">
                  <c:v>754</c:v>
                </c:pt>
                <c:pt idx="355">
                  <c:v>755</c:v>
                </c:pt>
                <c:pt idx="356">
                  <c:v>756</c:v>
                </c:pt>
                <c:pt idx="357">
                  <c:v>757</c:v>
                </c:pt>
                <c:pt idx="358">
                  <c:v>758</c:v>
                </c:pt>
                <c:pt idx="359">
                  <c:v>759</c:v>
                </c:pt>
                <c:pt idx="360">
                  <c:v>760</c:v>
                </c:pt>
                <c:pt idx="361">
                  <c:v>761</c:v>
                </c:pt>
                <c:pt idx="362">
                  <c:v>762</c:v>
                </c:pt>
                <c:pt idx="363">
                  <c:v>763</c:v>
                </c:pt>
                <c:pt idx="364">
                  <c:v>764</c:v>
                </c:pt>
                <c:pt idx="365">
                  <c:v>765</c:v>
                </c:pt>
                <c:pt idx="366">
                  <c:v>766</c:v>
                </c:pt>
                <c:pt idx="367">
                  <c:v>767</c:v>
                </c:pt>
                <c:pt idx="368">
                  <c:v>768</c:v>
                </c:pt>
                <c:pt idx="369">
                  <c:v>769</c:v>
                </c:pt>
                <c:pt idx="370">
                  <c:v>770</c:v>
                </c:pt>
                <c:pt idx="371">
                  <c:v>771</c:v>
                </c:pt>
                <c:pt idx="372">
                  <c:v>772</c:v>
                </c:pt>
                <c:pt idx="373">
                  <c:v>773</c:v>
                </c:pt>
                <c:pt idx="374">
                  <c:v>774</c:v>
                </c:pt>
                <c:pt idx="375">
                  <c:v>775</c:v>
                </c:pt>
                <c:pt idx="376">
                  <c:v>776</c:v>
                </c:pt>
                <c:pt idx="377">
                  <c:v>777</c:v>
                </c:pt>
                <c:pt idx="378">
                  <c:v>778</c:v>
                </c:pt>
                <c:pt idx="379">
                  <c:v>779</c:v>
                </c:pt>
                <c:pt idx="380">
                  <c:v>780</c:v>
                </c:pt>
                <c:pt idx="381">
                  <c:v>781</c:v>
                </c:pt>
                <c:pt idx="382">
                  <c:v>782</c:v>
                </c:pt>
                <c:pt idx="383">
                  <c:v>783</c:v>
                </c:pt>
                <c:pt idx="384">
                  <c:v>784</c:v>
                </c:pt>
                <c:pt idx="385">
                  <c:v>785</c:v>
                </c:pt>
                <c:pt idx="386">
                  <c:v>786</c:v>
                </c:pt>
                <c:pt idx="387">
                  <c:v>787</c:v>
                </c:pt>
                <c:pt idx="388">
                  <c:v>788</c:v>
                </c:pt>
                <c:pt idx="389">
                  <c:v>789</c:v>
                </c:pt>
                <c:pt idx="390">
                  <c:v>790</c:v>
                </c:pt>
                <c:pt idx="391">
                  <c:v>791</c:v>
                </c:pt>
                <c:pt idx="392">
                  <c:v>792</c:v>
                </c:pt>
                <c:pt idx="393">
                  <c:v>793</c:v>
                </c:pt>
                <c:pt idx="394">
                  <c:v>794</c:v>
                </c:pt>
                <c:pt idx="395">
                  <c:v>795</c:v>
                </c:pt>
                <c:pt idx="396">
                  <c:v>796</c:v>
                </c:pt>
                <c:pt idx="397">
                  <c:v>797</c:v>
                </c:pt>
                <c:pt idx="398">
                  <c:v>798</c:v>
                </c:pt>
                <c:pt idx="399">
                  <c:v>799</c:v>
                </c:pt>
                <c:pt idx="400">
                  <c:v>800</c:v>
                </c:pt>
                <c:pt idx="401">
                  <c:v>801</c:v>
                </c:pt>
                <c:pt idx="402">
                  <c:v>802</c:v>
                </c:pt>
                <c:pt idx="403">
                  <c:v>803</c:v>
                </c:pt>
                <c:pt idx="404">
                  <c:v>804</c:v>
                </c:pt>
                <c:pt idx="405">
                  <c:v>805</c:v>
                </c:pt>
                <c:pt idx="406">
                  <c:v>806</c:v>
                </c:pt>
                <c:pt idx="407">
                  <c:v>807</c:v>
                </c:pt>
                <c:pt idx="408">
                  <c:v>808</c:v>
                </c:pt>
                <c:pt idx="409">
                  <c:v>809</c:v>
                </c:pt>
                <c:pt idx="410">
                  <c:v>810</c:v>
                </c:pt>
                <c:pt idx="411">
                  <c:v>811</c:v>
                </c:pt>
                <c:pt idx="412">
                  <c:v>812</c:v>
                </c:pt>
                <c:pt idx="413">
                  <c:v>813</c:v>
                </c:pt>
                <c:pt idx="414">
                  <c:v>814</c:v>
                </c:pt>
                <c:pt idx="415">
                  <c:v>815</c:v>
                </c:pt>
                <c:pt idx="416">
                  <c:v>816</c:v>
                </c:pt>
                <c:pt idx="417">
                  <c:v>817</c:v>
                </c:pt>
                <c:pt idx="418">
                  <c:v>818</c:v>
                </c:pt>
                <c:pt idx="419">
                  <c:v>819</c:v>
                </c:pt>
                <c:pt idx="420">
                  <c:v>820</c:v>
                </c:pt>
                <c:pt idx="421">
                  <c:v>821</c:v>
                </c:pt>
                <c:pt idx="422">
                  <c:v>822</c:v>
                </c:pt>
                <c:pt idx="423">
                  <c:v>823</c:v>
                </c:pt>
                <c:pt idx="424">
                  <c:v>824</c:v>
                </c:pt>
                <c:pt idx="425">
                  <c:v>825</c:v>
                </c:pt>
                <c:pt idx="426">
                  <c:v>826</c:v>
                </c:pt>
                <c:pt idx="427">
                  <c:v>827</c:v>
                </c:pt>
                <c:pt idx="428">
                  <c:v>828</c:v>
                </c:pt>
                <c:pt idx="429">
                  <c:v>829</c:v>
                </c:pt>
                <c:pt idx="430">
                  <c:v>830</c:v>
                </c:pt>
                <c:pt idx="431">
                  <c:v>831</c:v>
                </c:pt>
                <c:pt idx="432">
                  <c:v>832</c:v>
                </c:pt>
                <c:pt idx="433">
                  <c:v>833</c:v>
                </c:pt>
                <c:pt idx="434">
                  <c:v>834</c:v>
                </c:pt>
                <c:pt idx="435">
                  <c:v>835</c:v>
                </c:pt>
                <c:pt idx="436">
                  <c:v>836</c:v>
                </c:pt>
                <c:pt idx="437">
                  <c:v>837</c:v>
                </c:pt>
                <c:pt idx="438">
                  <c:v>838</c:v>
                </c:pt>
                <c:pt idx="439">
                  <c:v>839</c:v>
                </c:pt>
                <c:pt idx="440">
                  <c:v>840</c:v>
                </c:pt>
                <c:pt idx="441">
                  <c:v>841</c:v>
                </c:pt>
                <c:pt idx="442">
                  <c:v>842</c:v>
                </c:pt>
                <c:pt idx="443">
                  <c:v>843</c:v>
                </c:pt>
                <c:pt idx="444">
                  <c:v>844</c:v>
                </c:pt>
                <c:pt idx="445">
                  <c:v>845</c:v>
                </c:pt>
                <c:pt idx="446">
                  <c:v>846</c:v>
                </c:pt>
                <c:pt idx="447">
                  <c:v>847</c:v>
                </c:pt>
                <c:pt idx="448">
                  <c:v>848</c:v>
                </c:pt>
                <c:pt idx="449">
                  <c:v>849</c:v>
                </c:pt>
                <c:pt idx="450">
                  <c:v>850</c:v>
                </c:pt>
                <c:pt idx="451">
                  <c:v>851</c:v>
                </c:pt>
                <c:pt idx="452">
                  <c:v>852</c:v>
                </c:pt>
                <c:pt idx="453">
                  <c:v>853</c:v>
                </c:pt>
                <c:pt idx="454">
                  <c:v>854</c:v>
                </c:pt>
                <c:pt idx="455">
                  <c:v>855</c:v>
                </c:pt>
                <c:pt idx="456">
                  <c:v>856</c:v>
                </c:pt>
                <c:pt idx="457">
                  <c:v>857</c:v>
                </c:pt>
                <c:pt idx="458">
                  <c:v>858</c:v>
                </c:pt>
                <c:pt idx="459">
                  <c:v>859</c:v>
                </c:pt>
                <c:pt idx="460">
                  <c:v>860</c:v>
                </c:pt>
                <c:pt idx="461">
                  <c:v>861</c:v>
                </c:pt>
                <c:pt idx="462">
                  <c:v>862</c:v>
                </c:pt>
                <c:pt idx="463">
                  <c:v>863</c:v>
                </c:pt>
                <c:pt idx="464">
                  <c:v>864</c:v>
                </c:pt>
                <c:pt idx="465">
                  <c:v>865</c:v>
                </c:pt>
                <c:pt idx="466">
                  <c:v>866</c:v>
                </c:pt>
                <c:pt idx="467">
                  <c:v>867</c:v>
                </c:pt>
                <c:pt idx="468">
                  <c:v>868</c:v>
                </c:pt>
                <c:pt idx="469">
                  <c:v>869</c:v>
                </c:pt>
                <c:pt idx="470">
                  <c:v>870</c:v>
                </c:pt>
                <c:pt idx="471">
                  <c:v>871</c:v>
                </c:pt>
                <c:pt idx="472">
                  <c:v>872</c:v>
                </c:pt>
                <c:pt idx="473">
                  <c:v>873</c:v>
                </c:pt>
                <c:pt idx="474">
                  <c:v>874</c:v>
                </c:pt>
                <c:pt idx="475">
                  <c:v>875</c:v>
                </c:pt>
                <c:pt idx="476">
                  <c:v>876</c:v>
                </c:pt>
                <c:pt idx="477">
                  <c:v>877</c:v>
                </c:pt>
                <c:pt idx="478">
                  <c:v>878</c:v>
                </c:pt>
                <c:pt idx="479">
                  <c:v>879</c:v>
                </c:pt>
                <c:pt idx="480">
                  <c:v>880</c:v>
                </c:pt>
                <c:pt idx="481">
                  <c:v>881</c:v>
                </c:pt>
                <c:pt idx="482">
                  <c:v>882</c:v>
                </c:pt>
                <c:pt idx="483">
                  <c:v>883</c:v>
                </c:pt>
                <c:pt idx="484">
                  <c:v>884</c:v>
                </c:pt>
                <c:pt idx="485">
                  <c:v>885</c:v>
                </c:pt>
                <c:pt idx="486">
                  <c:v>886</c:v>
                </c:pt>
                <c:pt idx="487">
                  <c:v>887</c:v>
                </c:pt>
                <c:pt idx="488">
                  <c:v>888</c:v>
                </c:pt>
                <c:pt idx="489">
                  <c:v>889</c:v>
                </c:pt>
                <c:pt idx="490">
                  <c:v>890</c:v>
                </c:pt>
                <c:pt idx="491">
                  <c:v>891</c:v>
                </c:pt>
                <c:pt idx="492">
                  <c:v>892</c:v>
                </c:pt>
                <c:pt idx="493">
                  <c:v>893</c:v>
                </c:pt>
                <c:pt idx="494">
                  <c:v>894</c:v>
                </c:pt>
                <c:pt idx="495">
                  <c:v>895</c:v>
                </c:pt>
                <c:pt idx="496">
                  <c:v>896</c:v>
                </c:pt>
                <c:pt idx="497">
                  <c:v>897</c:v>
                </c:pt>
                <c:pt idx="498">
                  <c:v>898</c:v>
                </c:pt>
                <c:pt idx="499">
                  <c:v>899</c:v>
                </c:pt>
                <c:pt idx="500">
                  <c:v>900</c:v>
                </c:pt>
              </c:numCache>
            </c:numRef>
          </c:xVal>
          <c:yVal>
            <c:numRef>
              <c:f>[波长及吸光度.xlsx]Sheet1!$D$2:$D$502</c:f>
              <c:numCache>
                <c:formatCode>General</c:formatCode>
                <c:ptCount val="501"/>
                <c:pt idx="0">
                  <c:v>0.037</c:v>
                </c:pt>
                <c:pt idx="1">
                  <c:v>0.035</c:v>
                </c:pt>
                <c:pt idx="2">
                  <c:v>0.034</c:v>
                </c:pt>
                <c:pt idx="3">
                  <c:v>0.032</c:v>
                </c:pt>
                <c:pt idx="4">
                  <c:v>0.03</c:v>
                </c:pt>
                <c:pt idx="5">
                  <c:v>0.029</c:v>
                </c:pt>
                <c:pt idx="6">
                  <c:v>0.028</c:v>
                </c:pt>
                <c:pt idx="7">
                  <c:v>0.027</c:v>
                </c:pt>
                <c:pt idx="8">
                  <c:v>0.026</c:v>
                </c:pt>
                <c:pt idx="9">
                  <c:v>0.025</c:v>
                </c:pt>
                <c:pt idx="10">
                  <c:v>0.024</c:v>
                </c:pt>
                <c:pt idx="11">
                  <c:v>0.023</c:v>
                </c:pt>
                <c:pt idx="12">
                  <c:v>0.023</c:v>
                </c:pt>
                <c:pt idx="13">
                  <c:v>0.022</c:v>
                </c:pt>
                <c:pt idx="14">
                  <c:v>0.021</c:v>
                </c:pt>
                <c:pt idx="15">
                  <c:v>0.02</c:v>
                </c:pt>
                <c:pt idx="16">
                  <c:v>0.02</c:v>
                </c:pt>
                <c:pt idx="17">
                  <c:v>0.019</c:v>
                </c:pt>
                <c:pt idx="18">
                  <c:v>0.019</c:v>
                </c:pt>
                <c:pt idx="19">
                  <c:v>0.018</c:v>
                </c:pt>
                <c:pt idx="20">
                  <c:v>0.018</c:v>
                </c:pt>
                <c:pt idx="21">
                  <c:v>0.017</c:v>
                </c:pt>
                <c:pt idx="22">
                  <c:v>0.017</c:v>
                </c:pt>
                <c:pt idx="23">
                  <c:v>0.016</c:v>
                </c:pt>
                <c:pt idx="24">
                  <c:v>0.016</c:v>
                </c:pt>
                <c:pt idx="25">
                  <c:v>0.015</c:v>
                </c:pt>
                <c:pt idx="26">
                  <c:v>0.014</c:v>
                </c:pt>
                <c:pt idx="27">
                  <c:v>0.014</c:v>
                </c:pt>
                <c:pt idx="28">
                  <c:v>0.014</c:v>
                </c:pt>
                <c:pt idx="29">
                  <c:v>0.014</c:v>
                </c:pt>
                <c:pt idx="30">
                  <c:v>0.013</c:v>
                </c:pt>
                <c:pt idx="31">
                  <c:v>0.013</c:v>
                </c:pt>
                <c:pt idx="32">
                  <c:v>0.013</c:v>
                </c:pt>
                <c:pt idx="33">
                  <c:v>0.012</c:v>
                </c:pt>
                <c:pt idx="34">
                  <c:v>0.012</c:v>
                </c:pt>
                <c:pt idx="35">
                  <c:v>0.012</c:v>
                </c:pt>
                <c:pt idx="36">
                  <c:v>0.011</c:v>
                </c:pt>
                <c:pt idx="37">
                  <c:v>0.011</c:v>
                </c:pt>
                <c:pt idx="38">
                  <c:v>0.011</c:v>
                </c:pt>
                <c:pt idx="39">
                  <c:v>0.01</c:v>
                </c:pt>
                <c:pt idx="40">
                  <c:v>0.1</c:v>
                </c:pt>
                <c:pt idx="41">
                  <c:v>0.1</c:v>
                </c:pt>
                <c:pt idx="42">
                  <c:v>0.009</c:v>
                </c:pt>
                <c:pt idx="43">
                  <c:v>0.009</c:v>
                </c:pt>
                <c:pt idx="44">
                  <c:v>0.009</c:v>
                </c:pt>
                <c:pt idx="45">
                  <c:v>0.009</c:v>
                </c:pt>
                <c:pt idx="46">
                  <c:v>0.008</c:v>
                </c:pt>
                <c:pt idx="47">
                  <c:v>0.008</c:v>
                </c:pt>
                <c:pt idx="48">
                  <c:v>0.008</c:v>
                </c:pt>
                <c:pt idx="49">
                  <c:v>0.008</c:v>
                </c:pt>
                <c:pt idx="50">
                  <c:v>0.007</c:v>
                </c:pt>
                <c:pt idx="51">
                  <c:v>0.007</c:v>
                </c:pt>
                <c:pt idx="52">
                  <c:v>0.007</c:v>
                </c:pt>
                <c:pt idx="53">
                  <c:v>0.007</c:v>
                </c:pt>
                <c:pt idx="54">
                  <c:v>0.007</c:v>
                </c:pt>
                <c:pt idx="55">
                  <c:v>0.006</c:v>
                </c:pt>
                <c:pt idx="56">
                  <c:v>0.006</c:v>
                </c:pt>
                <c:pt idx="57">
                  <c:v>0.006</c:v>
                </c:pt>
                <c:pt idx="58">
                  <c:v>0.006</c:v>
                </c:pt>
                <c:pt idx="59">
                  <c:v>0.006</c:v>
                </c:pt>
                <c:pt idx="60">
                  <c:v>0.005</c:v>
                </c:pt>
                <c:pt idx="61">
                  <c:v>0.005</c:v>
                </c:pt>
                <c:pt idx="62">
                  <c:v>0.005</c:v>
                </c:pt>
                <c:pt idx="63">
                  <c:v>0.005</c:v>
                </c:pt>
                <c:pt idx="64">
                  <c:v>0.005</c:v>
                </c:pt>
                <c:pt idx="65">
                  <c:v>0.005</c:v>
                </c:pt>
                <c:pt idx="66">
                  <c:v>0.004</c:v>
                </c:pt>
                <c:pt idx="67">
                  <c:v>0.004</c:v>
                </c:pt>
                <c:pt idx="68">
                  <c:v>0.004</c:v>
                </c:pt>
                <c:pt idx="69">
                  <c:v>0.004</c:v>
                </c:pt>
                <c:pt idx="70">
                  <c:v>0.004</c:v>
                </c:pt>
                <c:pt idx="71">
                  <c:v>0.004</c:v>
                </c:pt>
                <c:pt idx="72">
                  <c:v>0.004</c:v>
                </c:pt>
                <c:pt idx="73">
                  <c:v>0.003</c:v>
                </c:pt>
                <c:pt idx="74">
                  <c:v>0.003</c:v>
                </c:pt>
                <c:pt idx="75">
                  <c:v>0.003</c:v>
                </c:pt>
                <c:pt idx="76">
                  <c:v>0.003</c:v>
                </c:pt>
                <c:pt idx="77">
                  <c:v>0.003</c:v>
                </c:pt>
                <c:pt idx="78">
                  <c:v>0.003</c:v>
                </c:pt>
                <c:pt idx="79">
                  <c:v>0.003</c:v>
                </c:pt>
                <c:pt idx="80">
                  <c:v>0.003</c:v>
                </c:pt>
                <c:pt idx="81">
                  <c:v>0.003</c:v>
                </c:pt>
                <c:pt idx="82">
                  <c:v>0.003</c:v>
                </c:pt>
                <c:pt idx="83">
                  <c:v>0.002</c:v>
                </c:pt>
                <c:pt idx="84">
                  <c:v>0.002</c:v>
                </c:pt>
                <c:pt idx="85">
                  <c:v>0.002</c:v>
                </c:pt>
                <c:pt idx="86">
                  <c:v>0.002</c:v>
                </c:pt>
                <c:pt idx="87">
                  <c:v>0.002</c:v>
                </c:pt>
                <c:pt idx="88">
                  <c:v>0.002</c:v>
                </c:pt>
                <c:pt idx="89">
                  <c:v>0.002</c:v>
                </c:pt>
                <c:pt idx="90">
                  <c:v>0.002</c:v>
                </c:pt>
                <c:pt idx="91">
                  <c:v>0.002</c:v>
                </c:pt>
                <c:pt idx="92">
                  <c:v>0.002</c:v>
                </c:pt>
                <c:pt idx="93">
                  <c:v>0.002</c:v>
                </c:pt>
                <c:pt idx="94">
                  <c:v>0.002</c:v>
                </c:pt>
                <c:pt idx="95">
                  <c:v>0.001</c:v>
                </c:pt>
                <c:pt idx="96">
                  <c:v>0.002</c:v>
                </c:pt>
                <c:pt idx="97">
                  <c:v>0.002</c:v>
                </c:pt>
                <c:pt idx="98">
                  <c:v>0.002</c:v>
                </c:pt>
                <c:pt idx="99">
                  <c:v>0.002</c:v>
                </c:pt>
                <c:pt idx="100">
                  <c:v>0.002</c:v>
                </c:pt>
                <c:pt idx="101">
                  <c:v>0.002</c:v>
                </c:pt>
                <c:pt idx="102">
                  <c:v>0.002</c:v>
                </c:pt>
                <c:pt idx="103">
                  <c:v>0.002</c:v>
                </c:pt>
                <c:pt idx="104">
                  <c:v>0.002</c:v>
                </c:pt>
                <c:pt idx="105">
                  <c:v>0.002</c:v>
                </c:pt>
                <c:pt idx="106">
                  <c:v>0.002</c:v>
                </c:pt>
                <c:pt idx="107">
                  <c:v>0.002</c:v>
                </c:pt>
                <c:pt idx="108">
                  <c:v>0.002</c:v>
                </c:pt>
                <c:pt idx="109">
                  <c:v>0.002</c:v>
                </c:pt>
                <c:pt idx="110">
                  <c:v>0.002</c:v>
                </c:pt>
                <c:pt idx="111">
                  <c:v>0.001</c:v>
                </c:pt>
                <c:pt idx="112">
                  <c:v>0.001</c:v>
                </c:pt>
                <c:pt idx="113" c:formatCode="0.000_ ">
                  <c:v>0</c:v>
                </c:pt>
                <c:pt idx="114" c:formatCode="0.000_ ">
                  <c:v>0</c:v>
                </c:pt>
                <c:pt idx="115" c:formatCode="0.000_ ">
                  <c:v>0</c:v>
                </c:pt>
                <c:pt idx="116" c:formatCode="0.000_ ">
                  <c:v>0</c:v>
                </c:pt>
                <c:pt idx="117" c:formatCode="0.000_ ">
                  <c:v>0</c:v>
                </c:pt>
                <c:pt idx="118" c:formatCode="0.000_ ">
                  <c:v>0</c:v>
                </c:pt>
                <c:pt idx="119" c:formatCode="0.000_ ">
                  <c:v>0</c:v>
                </c:pt>
                <c:pt idx="120" c:formatCode="0.000_ ">
                  <c:v>0</c:v>
                </c:pt>
                <c:pt idx="121" c:formatCode="0.000_ ">
                  <c:v>0</c:v>
                </c:pt>
                <c:pt idx="122" c:formatCode="0.000_ ">
                  <c:v>0</c:v>
                </c:pt>
                <c:pt idx="123" c:formatCode="0.000_ ">
                  <c:v>0</c:v>
                </c:pt>
                <c:pt idx="124" c:formatCode="0.000_ ">
                  <c:v>0</c:v>
                </c:pt>
                <c:pt idx="125" c:formatCode="0.000_ ">
                  <c:v>0</c:v>
                </c:pt>
                <c:pt idx="126" c:formatCode="0.000_ ">
                  <c:v>0</c:v>
                </c:pt>
                <c:pt idx="127" c:formatCode="0.000_ ">
                  <c:v>0</c:v>
                </c:pt>
                <c:pt idx="128" c:formatCode="0.000_ ">
                  <c:v>0</c:v>
                </c:pt>
                <c:pt idx="129" c:formatCode="0.000_ ">
                  <c:v>0</c:v>
                </c:pt>
                <c:pt idx="130" c:formatCode="0.000_ ">
                  <c:v>0</c:v>
                </c:pt>
                <c:pt idx="131" c:formatCode="0.000_ ">
                  <c:v>0</c:v>
                </c:pt>
                <c:pt idx="132" c:formatCode="0.000_ ">
                  <c:v>0</c:v>
                </c:pt>
                <c:pt idx="133" c:formatCode="0.000_ ">
                  <c:v>0</c:v>
                </c:pt>
                <c:pt idx="134" c:formatCode="0.000_ ">
                  <c:v>0</c:v>
                </c:pt>
                <c:pt idx="135" c:formatCode="0.000_ ">
                  <c:v>0</c:v>
                </c:pt>
                <c:pt idx="136" c:formatCode="0.000_ ">
                  <c:v>0</c:v>
                </c:pt>
                <c:pt idx="137" c:formatCode="0.000_ ">
                  <c:v>0</c:v>
                </c:pt>
                <c:pt idx="138" c:formatCode="0.000_ ">
                  <c:v>0</c:v>
                </c:pt>
                <c:pt idx="139" c:formatCode="0.000_ ">
                  <c:v>0</c:v>
                </c:pt>
                <c:pt idx="140" c:formatCode="0.000_ ">
                  <c:v>0</c:v>
                </c:pt>
                <c:pt idx="141" c:formatCode="0.000_ ">
                  <c:v>0</c:v>
                </c:pt>
                <c:pt idx="142" c:formatCode="0.000_ ">
                  <c:v>0</c:v>
                </c:pt>
                <c:pt idx="143" c:formatCode="0.000_ ">
                  <c:v>0</c:v>
                </c:pt>
                <c:pt idx="144" c:formatCode="0.000_ ">
                  <c:v>0</c:v>
                </c:pt>
                <c:pt idx="145" c:formatCode="0.000_ ">
                  <c:v>0</c:v>
                </c:pt>
                <c:pt idx="146" c:formatCode="0.000_ ">
                  <c:v>0</c:v>
                </c:pt>
                <c:pt idx="147" c:formatCode="0.000_ ">
                  <c:v>0</c:v>
                </c:pt>
                <c:pt idx="148" c:formatCode="0.000_ ">
                  <c:v>0</c:v>
                </c:pt>
                <c:pt idx="149" c:formatCode="0.000_ ">
                  <c:v>0</c:v>
                </c:pt>
                <c:pt idx="150" c:formatCode="0.000_ ">
                  <c:v>0</c:v>
                </c:pt>
                <c:pt idx="151" c:formatCode="0.000_ ">
                  <c:v>0</c:v>
                </c:pt>
                <c:pt idx="152" c:formatCode="0.000_ ">
                  <c:v>0</c:v>
                </c:pt>
                <c:pt idx="153" c:formatCode="0.000_ ">
                  <c:v>0</c:v>
                </c:pt>
                <c:pt idx="154" c:formatCode="0.000_ ">
                  <c:v>0</c:v>
                </c:pt>
                <c:pt idx="155" c:formatCode="0.000_ ">
                  <c:v>0</c:v>
                </c:pt>
                <c:pt idx="156" c:formatCode="0.000_ ">
                  <c:v>0</c:v>
                </c:pt>
                <c:pt idx="157" c:formatCode="0.000_ ">
                  <c:v>0</c:v>
                </c:pt>
                <c:pt idx="158" c:formatCode="0.000_ ">
                  <c:v>0</c:v>
                </c:pt>
                <c:pt idx="159" c:formatCode="0.000_ ">
                  <c:v>0</c:v>
                </c:pt>
                <c:pt idx="160" c:formatCode="0.000_ ">
                  <c:v>0</c:v>
                </c:pt>
                <c:pt idx="161" c:formatCode="0.000_ ">
                  <c:v>0</c:v>
                </c:pt>
                <c:pt idx="162" c:formatCode="0.000_ ">
                  <c:v>0</c:v>
                </c:pt>
                <c:pt idx="163" c:formatCode="0.000_ ">
                  <c:v>0</c:v>
                </c:pt>
                <c:pt idx="164" c:formatCode="0.000_ ">
                  <c:v>0</c:v>
                </c:pt>
                <c:pt idx="165" c:formatCode="0.000_ ">
                  <c:v>0</c:v>
                </c:pt>
                <c:pt idx="166" c:formatCode="0.000_ ">
                  <c:v>0</c:v>
                </c:pt>
                <c:pt idx="167" c:formatCode="0.000_ ">
                  <c:v>0</c:v>
                </c:pt>
                <c:pt idx="168" c:formatCode="0.000_ ">
                  <c:v>0</c:v>
                </c:pt>
                <c:pt idx="169" c:formatCode="0.000_ ">
                  <c:v>0</c:v>
                </c:pt>
                <c:pt idx="170" c:formatCode="0.000_ ">
                  <c:v>0</c:v>
                </c:pt>
                <c:pt idx="171" c:formatCode="0.000_ ">
                  <c:v>0</c:v>
                </c:pt>
                <c:pt idx="172" c:formatCode="0.000_ ">
                  <c:v>0</c:v>
                </c:pt>
                <c:pt idx="173" c:formatCode="0.000_ ">
                  <c:v>0</c:v>
                </c:pt>
                <c:pt idx="174" c:formatCode="0.000_ ">
                  <c:v>0</c:v>
                </c:pt>
                <c:pt idx="175" c:formatCode="0.000_ ">
                  <c:v>0</c:v>
                </c:pt>
                <c:pt idx="176" c:formatCode="0.000_ ">
                  <c:v>0</c:v>
                </c:pt>
                <c:pt idx="177" c:formatCode="0.000_ ">
                  <c:v>0</c:v>
                </c:pt>
                <c:pt idx="178" c:formatCode="0.000_ ">
                  <c:v>0</c:v>
                </c:pt>
                <c:pt idx="179" c:formatCode="0.000_ ">
                  <c:v>0</c:v>
                </c:pt>
                <c:pt idx="180" c:formatCode="0.000_ ">
                  <c:v>0</c:v>
                </c:pt>
                <c:pt idx="181" c:formatCode="0.000_ ">
                  <c:v>0</c:v>
                </c:pt>
                <c:pt idx="182" c:formatCode="0.000_ ">
                  <c:v>0</c:v>
                </c:pt>
                <c:pt idx="183" c:formatCode="0.000_ ">
                  <c:v>0</c:v>
                </c:pt>
                <c:pt idx="184" c:formatCode="0.000_ ">
                  <c:v>0</c:v>
                </c:pt>
                <c:pt idx="185" c:formatCode="0.000_ ">
                  <c:v>0</c:v>
                </c:pt>
                <c:pt idx="186" c:formatCode="0.000_ ">
                  <c:v>0</c:v>
                </c:pt>
                <c:pt idx="187" c:formatCode="0.000_ ">
                  <c:v>0</c:v>
                </c:pt>
                <c:pt idx="188" c:formatCode="0.000_ ">
                  <c:v>0</c:v>
                </c:pt>
                <c:pt idx="189" c:formatCode="0.000_ ">
                  <c:v>0</c:v>
                </c:pt>
                <c:pt idx="190" c:formatCode="0.000_ ">
                  <c:v>0</c:v>
                </c:pt>
                <c:pt idx="191" c:formatCode="0.000_ ">
                  <c:v>0</c:v>
                </c:pt>
                <c:pt idx="192" c:formatCode="0.000_ ">
                  <c:v>0</c:v>
                </c:pt>
                <c:pt idx="193" c:formatCode="0.000_ ">
                  <c:v>0</c:v>
                </c:pt>
                <c:pt idx="194" c:formatCode="0.000_ ">
                  <c:v>0</c:v>
                </c:pt>
                <c:pt idx="195" c:formatCode="0.000_ ">
                  <c:v>0</c:v>
                </c:pt>
                <c:pt idx="196" c:formatCode="0.000_ ">
                  <c:v>0</c:v>
                </c:pt>
                <c:pt idx="197" c:formatCode="0.000_ ">
                  <c:v>0</c:v>
                </c:pt>
                <c:pt idx="198" c:formatCode="0.000_ ">
                  <c:v>0</c:v>
                </c:pt>
                <c:pt idx="199" c:formatCode="0.000_ ">
                  <c:v>0</c:v>
                </c:pt>
                <c:pt idx="200" c:formatCode="0.000_ ">
                  <c:v>0</c:v>
                </c:pt>
                <c:pt idx="201" c:formatCode="0.000_ ">
                  <c:v>0</c:v>
                </c:pt>
                <c:pt idx="202" c:formatCode="0.000_ ">
                  <c:v>0</c:v>
                </c:pt>
                <c:pt idx="203" c:formatCode="0.000_ ">
                  <c:v>0</c:v>
                </c:pt>
                <c:pt idx="204" c:formatCode="0.000_ ">
                  <c:v>0</c:v>
                </c:pt>
                <c:pt idx="205" c:formatCode="0.000_ ">
                  <c:v>0</c:v>
                </c:pt>
                <c:pt idx="206" c:formatCode="0.000_ ">
                  <c:v>0</c:v>
                </c:pt>
                <c:pt idx="207" c:formatCode="0.000_ ">
                  <c:v>0</c:v>
                </c:pt>
                <c:pt idx="208" c:formatCode="0.000_ ">
                  <c:v>0</c:v>
                </c:pt>
                <c:pt idx="209" c:formatCode="0.000_ ">
                  <c:v>0</c:v>
                </c:pt>
                <c:pt idx="210" c:formatCode="0.000_ ">
                  <c:v>0</c:v>
                </c:pt>
                <c:pt idx="211" c:formatCode="0.000_ ">
                  <c:v>0</c:v>
                </c:pt>
                <c:pt idx="212" c:formatCode="0.000_ ">
                  <c:v>0</c:v>
                </c:pt>
                <c:pt idx="213" c:formatCode="0.000_ ">
                  <c:v>0</c:v>
                </c:pt>
                <c:pt idx="214" c:formatCode="0.000_ ">
                  <c:v>0</c:v>
                </c:pt>
                <c:pt idx="215" c:formatCode="0.000_ ">
                  <c:v>0</c:v>
                </c:pt>
                <c:pt idx="216" c:formatCode="0.000_ ">
                  <c:v>0</c:v>
                </c:pt>
                <c:pt idx="217" c:formatCode="0.000_ ">
                  <c:v>0</c:v>
                </c:pt>
                <c:pt idx="218" c:formatCode="0.000_ ">
                  <c:v>0</c:v>
                </c:pt>
                <c:pt idx="219" c:formatCode="0.000_ ">
                  <c:v>0</c:v>
                </c:pt>
                <c:pt idx="220" c:formatCode="0.000_ ">
                  <c:v>0</c:v>
                </c:pt>
                <c:pt idx="221" c:formatCode="0.000_ ">
                  <c:v>0</c:v>
                </c:pt>
                <c:pt idx="222" c:formatCode="0.000_ ">
                  <c:v>0</c:v>
                </c:pt>
                <c:pt idx="223" c:formatCode="0.000_ ">
                  <c:v>0</c:v>
                </c:pt>
                <c:pt idx="224" c:formatCode="0.000_ ">
                  <c:v>0</c:v>
                </c:pt>
                <c:pt idx="225" c:formatCode="0.000_ ">
                  <c:v>0</c:v>
                </c:pt>
                <c:pt idx="226" c:formatCode="0.000_ ">
                  <c:v>0</c:v>
                </c:pt>
                <c:pt idx="227" c:formatCode="0.000_ ">
                  <c:v>0</c:v>
                </c:pt>
                <c:pt idx="228" c:formatCode="0.000_ ">
                  <c:v>0</c:v>
                </c:pt>
                <c:pt idx="229" c:formatCode="0.000_ ">
                  <c:v>0</c:v>
                </c:pt>
                <c:pt idx="230">
                  <c:v>0.001</c:v>
                </c:pt>
                <c:pt idx="231">
                  <c:v>0.001</c:v>
                </c:pt>
                <c:pt idx="232">
                  <c:v>0.001</c:v>
                </c:pt>
                <c:pt idx="233">
                  <c:v>0.001</c:v>
                </c:pt>
                <c:pt idx="234">
                  <c:v>0.001</c:v>
                </c:pt>
                <c:pt idx="235">
                  <c:v>0.001</c:v>
                </c:pt>
                <c:pt idx="236">
                  <c:v>0.001</c:v>
                </c:pt>
                <c:pt idx="237">
                  <c:v>0.001</c:v>
                </c:pt>
                <c:pt idx="238">
                  <c:v>0.001</c:v>
                </c:pt>
                <c:pt idx="239">
                  <c:v>0.001</c:v>
                </c:pt>
                <c:pt idx="240">
                  <c:v>0.001</c:v>
                </c:pt>
                <c:pt idx="241">
                  <c:v>0.001</c:v>
                </c:pt>
                <c:pt idx="242">
                  <c:v>0.001</c:v>
                </c:pt>
                <c:pt idx="243">
                  <c:v>0.001</c:v>
                </c:pt>
                <c:pt idx="244">
                  <c:v>0.001</c:v>
                </c:pt>
                <c:pt idx="245">
                  <c:v>0.001</c:v>
                </c:pt>
                <c:pt idx="246">
                  <c:v>0.001</c:v>
                </c:pt>
                <c:pt idx="247">
                  <c:v>0.001</c:v>
                </c:pt>
                <c:pt idx="248">
                  <c:v>0.001</c:v>
                </c:pt>
                <c:pt idx="249">
                  <c:v>0.001</c:v>
                </c:pt>
                <c:pt idx="250">
                  <c:v>0.001</c:v>
                </c:pt>
                <c:pt idx="251">
                  <c:v>0.001</c:v>
                </c:pt>
                <c:pt idx="252">
                  <c:v>0.001</c:v>
                </c:pt>
                <c:pt idx="253">
                  <c:v>0.001</c:v>
                </c:pt>
                <c:pt idx="254">
                  <c:v>0.001</c:v>
                </c:pt>
                <c:pt idx="255">
                  <c:v>0.001</c:v>
                </c:pt>
                <c:pt idx="256">
                  <c:v>0.001</c:v>
                </c:pt>
                <c:pt idx="257">
                  <c:v>0.001</c:v>
                </c:pt>
                <c:pt idx="258">
                  <c:v>0.001</c:v>
                </c:pt>
                <c:pt idx="259">
                  <c:v>0.001</c:v>
                </c:pt>
                <c:pt idx="260">
                  <c:v>0.001</c:v>
                </c:pt>
                <c:pt idx="261">
                  <c:v>0.001</c:v>
                </c:pt>
                <c:pt idx="262">
                  <c:v>0.001</c:v>
                </c:pt>
                <c:pt idx="263">
                  <c:v>0.001</c:v>
                </c:pt>
                <c:pt idx="264">
                  <c:v>0.001</c:v>
                </c:pt>
                <c:pt idx="265">
                  <c:v>0.001</c:v>
                </c:pt>
                <c:pt idx="266">
                  <c:v>0.001</c:v>
                </c:pt>
                <c:pt idx="267">
                  <c:v>0.001</c:v>
                </c:pt>
                <c:pt idx="268">
                  <c:v>0.001</c:v>
                </c:pt>
                <c:pt idx="269">
                  <c:v>0.001</c:v>
                </c:pt>
                <c:pt idx="270">
                  <c:v>0.001</c:v>
                </c:pt>
                <c:pt idx="271">
                  <c:v>0.001</c:v>
                </c:pt>
                <c:pt idx="272">
                  <c:v>0.001</c:v>
                </c:pt>
                <c:pt idx="273">
                  <c:v>0.001</c:v>
                </c:pt>
                <c:pt idx="274">
                  <c:v>0.001</c:v>
                </c:pt>
                <c:pt idx="275">
                  <c:v>0.001</c:v>
                </c:pt>
                <c:pt idx="276">
                  <c:v>0.001</c:v>
                </c:pt>
                <c:pt idx="277">
                  <c:v>0.001</c:v>
                </c:pt>
                <c:pt idx="278">
                  <c:v>0.001</c:v>
                </c:pt>
                <c:pt idx="279">
                  <c:v>0.001</c:v>
                </c:pt>
                <c:pt idx="280">
                  <c:v>0.001</c:v>
                </c:pt>
                <c:pt idx="281">
                  <c:v>0.001</c:v>
                </c:pt>
                <c:pt idx="282">
                  <c:v>0.001</c:v>
                </c:pt>
                <c:pt idx="283">
                  <c:v>0.001</c:v>
                </c:pt>
                <c:pt idx="284">
                  <c:v>0.001</c:v>
                </c:pt>
                <c:pt idx="285">
                  <c:v>0.001</c:v>
                </c:pt>
                <c:pt idx="286">
                  <c:v>0.001</c:v>
                </c:pt>
                <c:pt idx="287">
                  <c:v>0.001</c:v>
                </c:pt>
                <c:pt idx="288">
                  <c:v>0.001</c:v>
                </c:pt>
                <c:pt idx="289">
                  <c:v>0.001</c:v>
                </c:pt>
                <c:pt idx="290">
                  <c:v>0.001</c:v>
                </c:pt>
                <c:pt idx="291">
                  <c:v>0.001</c:v>
                </c:pt>
                <c:pt idx="292">
                  <c:v>0.001</c:v>
                </c:pt>
                <c:pt idx="293">
                  <c:v>0.001</c:v>
                </c:pt>
                <c:pt idx="294">
                  <c:v>0.001</c:v>
                </c:pt>
                <c:pt idx="295">
                  <c:v>0.001</c:v>
                </c:pt>
                <c:pt idx="296">
                  <c:v>0.001</c:v>
                </c:pt>
                <c:pt idx="297">
                  <c:v>0.001</c:v>
                </c:pt>
                <c:pt idx="298">
                  <c:v>0.001</c:v>
                </c:pt>
                <c:pt idx="299">
                  <c:v>0.001</c:v>
                </c:pt>
                <c:pt idx="300">
                  <c:v>0.001</c:v>
                </c:pt>
                <c:pt idx="301">
                  <c:v>0.001</c:v>
                </c:pt>
                <c:pt idx="302">
                  <c:v>0.001</c:v>
                </c:pt>
                <c:pt idx="303">
                  <c:v>0.001</c:v>
                </c:pt>
                <c:pt idx="304">
                  <c:v>0.001</c:v>
                </c:pt>
                <c:pt idx="305">
                  <c:v>0.001</c:v>
                </c:pt>
                <c:pt idx="306">
                  <c:v>0.001</c:v>
                </c:pt>
                <c:pt idx="307">
                  <c:v>0.001</c:v>
                </c:pt>
                <c:pt idx="308">
                  <c:v>0.001</c:v>
                </c:pt>
                <c:pt idx="309">
                  <c:v>0.001</c:v>
                </c:pt>
                <c:pt idx="310">
                  <c:v>0.001</c:v>
                </c:pt>
                <c:pt idx="311">
                  <c:v>0.001</c:v>
                </c:pt>
                <c:pt idx="312">
                  <c:v>0.001</c:v>
                </c:pt>
                <c:pt idx="313">
                  <c:v>0.001</c:v>
                </c:pt>
                <c:pt idx="314">
                  <c:v>0.001</c:v>
                </c:pt>
                <c:pt idx="315">
                  <c:v>0.001</c:v>
                </c:pt>
                <c:pt idx="316">
                  <c:v>0.001</c:v>
                </c:pt>
                <c:pt idx="317">
                  <c:v>0.001</c:v>
                </c:pt>
                <c:pt idx="318">
                  <c:v>0.001</c:v>
                </c:pt>
                <c:pt idx="319" c:formatCode="0.000_ ">
                  <c:v>0</c:v>
                </c:pt>
                <c:pt idx="320" c:formatCode="0.000_ ">
                  <c:v>0</c:v>
                </c:pt>
                <c:pt idx="321" c:formatCode="0.000_ ">
                  <c:v>0</c:v>
                </c:pt>
                <c:pt idx="322" c:formatCode="0.000_ ">
                  <c:v>0</c:v>
                </c:pt>
                <c:pt idx="323" c:formatCode="0.000_ ">
                  <c:v>0</c:v>
                </c:pt>
                <c:pt idx="324" c:formatCode="0.000_ ">
                  <c:v>0</c:v>
                </c:pt>
                <c:pt idx="325" c:formatCode="0.000_ ">
                  <c:v>0</c:v>
                </c:pt>
                <c:pt idx="326" c:formatCode="0.000_ ">
                  <c:v>0</c:v>
                </c:pt>
                <c:pt idx="327" c:formatCode="0.000_ ">
                  <c:v>0</c:v>
                </c:pt>
                <c:pt idx="328" c:formatCode="0.000_ ">
                  <c:v>0</c:v>
                </c:pt>
                <c:pt idx="329" c:formatCode="0.000_ ">
                  <c:v>0</c:v>
                </c:pt>
                <c:pt idx="330" c:formatCode="0.000_ ">
                  <c:v>0</c:v>
                </c:pt>
                <c:pt idx="331" c:formatCode="0.000_ ">
                  <c:v>0</c:v>
                </c:pt>
                <c:pt idx="332" c:formatCode="0.000_ ">
                  <c:v>0</c:v>
                </c:pt>
                <c:pt idx="333" c:formatCode="0.000_ ">
                  <c:v>0</c:v>
                </c:pt>
                <c:pt idx="334" c:formatCode="0.000_ ">
                  <c:v>0</c:v>
                </c:pt>
                <c:pt idx="335" c:formatCode="0.000_ ">
                  <c:v>0</c:v>
                </c:pt>
                <c:pt idx="336" c:formatCode="0.000_ ">
                  <c:v>0</c:v>
                </c:pt>
                <c:pt idx="337" c:formatCode="0.000_ ">
                  <c:v>0</c:v>
                </c:pt>
                <c:pt idx="338" c:formatCode="0.000_ ">
                  <c:v>0</c:v>
                </c:pt>
                <c:pt idx="339" c:formatCode="0.000_ ">
                  <c:v>0</c:v>
                </c:pt>
                <c:pt idx="340" c:formatCode="0.000_ ">
                  <c:v>0</c:v>
                </c:pt>
                <c:pt idx="341" c:formatCode="0.000_ ">
                  <c:v>0</c:v>
                </c:pt>
                <c:pt idx="342" c:formatCode="0.000_ ">
                  <c:v>0</c:v>
                </c:pt>
                <c:pt idx="343" c:formatCode="0.000_ ">
                  <c:v>0</c:v>
                </c:pt>
                <c:pt idx="344" c:formatCode="0.000_ ">
                  <c:v>0</c:v>
                </c:pt>
                <c:pt idx="345" c:formatCode="0.000_ ">
                  <c:v>0</c:v>
                </c:pt>
                <c:pt idx="346" c:formatCode="0.000_ ">
                  <c:v>0</c:v>
                </c:pt>
                <c:pt idx="347" c:formatCode="0.000_ ">
                  <c:v>0</c:v>
                </c:pt>
                <c:pt idx="348" c:formatCode="0.000_ ">
                  <c:v>0</c:v>
                </c:pt>
                <c:pt idx="349" c:formatCode="0.000_ ">
                  <c:v>0</c:v>
                </c:pt>
                <c:pt idx="350" c:formatCode="0.000_ ">
                  <c:v>0</c:v>
                </c:pt>
                <c:pt idx="351" c:formatCode="0.000_ ">
                  <c:v>0</c:v>
                </c:pt>
                <c:pt idx="352" c:formatCode="0.000_ ">
                  <c:v>0</c:v>
                </c:pt>
                <c:pt idx="353" c:formatCode="0.000_ ">
                  <c:v>0</c:v>
                </c:pt>
                <c:pt idx="354" c:formatCode="0.000_ ">
                  <c:v>0</c:v>
                </c:pt>
                <c:pt idx="355" c:formatCode="0.000_ ">
                  <c:v>0</c:v>
                </c:pt>
                <c:pt idx="356" c:formatCode="0.000_ ">
                  <c:v>0</c:v>
                </c:pt>
                <c:pt idx="357" c:formatCode="0.000_ ">
                  <c:v>0</c:v>
                </c:pt>
                <c:pt idx="358" c:formatCode="0.000_ ">
                  <c:v>0</c:v>
                </c:pt>
                <c:pt idx="359" c:formatCode="0.000_ ">
                  <c:v>0</c:v>
                </c:pt>
                <c:pt idx="360" c:formatCode="0.000_ ">
                  <c:v>0</c:v>
                </c:pt>
                <c:pt idx="361" c:formatCode="0.000_ ">
                  <c:v>0</c:v>
                </c:pt>
                <c:pt idx="362" c:formatCode="0.000_ ">
                  <c:v>0</c:v>
                </c:pt>
                <c:pt idx="363" c:formatCode="0.000_ ">
                  <c:v>0</c:v>
                </c:pt>
                <c:pt idx="364" c:formatCode="0.000_ ">
                  <c:v>0</c:v>
                </c:pt>
                <c:pt idx="365" c:formatCode="0.000_ ">
                  <c:v>0</c:v>
                </c:pt>
                <c:pt idx="366" c:formatCode="0.000_ ">
                  <c:v>0</c:v>
                </c:pt>
                <c:pt idx="367" c:formatCode="0.000_ ">
                  <c:v>0</c:v>
                </c:pt>
                <c:pt idx="368" c:formatCode="0.000_ ">
                  <c:v>0</c:v>
                </c:pt>
                <c:pt idx="369" c:formatCode="0.000_ ">
                  <c:v>0</c:v>
                </c:pt>
                <c:pt idx="370" c:formatCode="0.000_ ">
                  <c:v>0</c:v>
                </c:pt>
                <c:pt idx="371" c:formatCode="0.000_ ">
                  <c:v>0</c:v>
                </c:pt>
                <c:pt idx="372" c:formatCode="0.000_ ">
                  <c:v>0</c:v>
                </c:pt>
                <c:pt idx="373" c:formatCode="0.000_ ">
                  <c:v>0</c:v>
                </c:pt>
                <c:pt idx="374" c:formatCode="0.000_ ">
                  <c:v>0</c:v>
                </c:pt>
                <c:pt idx="375" c:formatCode="0.000_ ">
                  <c:v>0</c:v>
                </c:pt>
                <c:pt idx="376" c:formatCode="0.000_ ">
                  <c:v>0</c:v>
                </c:pt>
                <c:pt idx="377" c:formatCode="0.000_ ">
                  <c:v>0</c:v>
                </c:pt>
                <c:pt idx="378" c:formatCode="0.000_ ">
                  <c:v>0</c:v>
                </c:pt>
                <c:pt idx="379" c:formatCode="0.000_ ">
                  <c:v>0</c:v>
                </c:pt>
                <c:pt idx="380" c:formatCode="0.000_ ">
                  <c:v>0</c:v>
                </c:pt>
                <c:pt idx="381" c:formatCode="0.000_ ">
                  <c:v>0</c:v>
                </c:pt>
                <c:pt idx="382" c:formatCode="0.000_ ">
                  <c:v>0</c:v>
                </c:pt>
                <c:pt idx="383" c:formatCode="0.000_ ">
                  <c:v>0</c:v>
                </c:pt>
                <c:pt idx="384" c:formatCode="0.000_ ">
                  <c:v>0</c:v>
                </c:pt>
                <c:pt idx="385" c:formatCode="0.000_ ">
                  <c:v>0</c:v>
                </c:pt>
                <c:pt idx="386" c:formatCode="0.000_ ">
                  <c:v>0</c:v>
                </c:pt>
                <c:pt idx="387" c:formatCode="0.000_ ">
                  <c:v>0</c:v>
                </c:pt>
                <c:pt idx="388" c:formatCode="0.000_ ">
                  <c:v>0</c:v>
                </c:pt>
                <c:pt idx="389" c:formatCode="0.000_ ">
                  <c:v>0</c:v>
                </c:pt>
                <c:pt idx="390" c:formatCode="0.000_ ">
                  <c:v>0</c:v>
                </c:pt>
                <c:pt idx="391" c:formatCode="0.000_ ">
                  <c:v>0</c:v>
                </c:pt>
                <c:pt idx="392" c:formatCode="0.000_ ">
                  <c:v>0</c:v>
                </c:pt>
                <c:pt idx="393" c:formatCode="0.000_ ">
                  <c:v>0</c:v>
                </c:pt>
                <c:pt idx="394" c:formatCode="0.000_ ">
                  <c:v>0</c:v>
                </c:pt>
                <c:pt idx="395" c:formatCode="0.000_ ">
                  <c:v>0</c:v>
                </c:pt>
                <c:pt idx="396" c:formatCode="0.000_ ">
                  <c:v>0</c:v>
                </c:pt>
                <c:pt idx="397" c:formatCode="0.000_ ">
                  <c:v>0</c:v>
                </c:pt>
                <c:pt idx="398" c:formatCode="0.000_ ">
                  <c:v>0</c:v>
                </c:pt>
                <c:pt idx="399" c:formatCode="0.000_ ">
                  <c:v>0</c:v>
                </c:pt>
                <c:pt idx="400" c:formatCode="0.000_ ">
                  <c:v>0</c:v>
                </c:pt>
                <c:pt idx="401" c:formatCode="0.000_ ">
                  <c:v>0</c:v>
                </c:pt>
                <c:pt idx="402" c:formatCode="0.000_ ">
                  <c:v>0</c:v>
                </c:pt>
                <c:pt idx="403" c:formatCode="0.000_ ">
                  <c:v>0</c:v>
                </c:pt>
                <c:pt idx="404" c:formatCode="0.000_ ">
                  <c:v>0</c:v>
                </c:pt>
                <c:pt idx="405" c:formatCode="0.000_ ">
                  <c:v>0</c:v>
                </c:pt>
                <c:pt idx="406" c:formatCode="0.000_ ">
                  <c:v>0</c:v>
                </c:pt>
                <c:pt idx="407" c:formatCode="0.000_ ">
                  <c:v>0</c:v>
                </c:pt>
                <c:pt idx="408" c:formatCode="0.000_ ">
                  <c:v>0</c:v>
                </c:pt>
                <c:pt idx="409" c:formatCode="0.000_ ">
                  <c:v>0</c:v>
                </c:pt>
                <c:pt idx="410" c:formatCode="0.000_ ">
                  <c:v>0</c:v>
                </c:pt>
                <c:pt idx="411" c:formatCode="0.000_ ">
                  <c:v>0</c:v>
                </c:pt>
                <c:pt idx="412" c:formatCode="0.000_ ">
                  <c:v>0</c:v>
                </c:pt>
                <c:pt idx="413" c:formatCode="0.000_ ">
                  <c:v>0</c:v>
                </c:pt>
                <c:pt idx="414" c:formatCode="0.000_ ">
                  <c:v>0</c:v>
                </c:pt>
                <c:pt idx="415" c:formatCode="0.000_ ">
                  <c:v>0</c:v>
                </c:pt>
                <c:pt idx="416" c:formatCode="0.000_ ">
                  <c:v>0</c:v>
                </c:pt>
                <c:pt idx="417" c:formatCode="0.000_ ">
                  <c:v>0</c:v>
                </c:pt>
                <c:pt idx="418" c:formatCode="0.000_ ">
                  <c:v>0</c:v>
                </c:pt>
                <c:pt idx="419" c:formatCode="0.000_ ">
                  <c:v>0</c:v>
                </c:pt>
                <c:pt idx="420" c:formatCode="0.000_ ">
                  <c:v>0</c:v>
                </c:pt>
                <c:pt idx="421" c:formatCode="0.000_ ">
                  <c:v>0</c:v>
                </c:pt>
                <c:pt idx="422" c:formatCode="0.000_ ">
                  <c:v>0</c:v>
                </c:pt>
                <c:pt idx="423">
                  <c:v>-0.001</c:v>
                </c:pt>
                <c:pt idx="424">
                  <c:v>-0.001</c:v>
                </c:pt>
                <c:pt idx="425">
                  <c:v>-0.001</c:v>
                </c:pt>
                <c:pt idx="426">
                  <c:v>-0.001</c:v>
                </c:pt>
                <c:pt idx="427">
                  <c:v>-0.001</c:v>
                </c:pt>
                <c:pt idx="428">
                  <c:v>-0.001</c:v>
                </c:pt>
                <c:pt idx="429">
                  <c:v>-0.002</c:v>
                </c:pt>
                <c:pt idx="430">
                  <c:v>-0.002</c:v>
                </c:pt>
                <c:pt idx="431">
                  <c:v>-0.002</c:v>
                </c:pt>
                <c:pt idx="432">
                  <c:v>-0.002</c:v>
                </c:pt>
                <c:pt idx="433">
                  <c:v>-0.002</c:v>
                </c:pt>
                <c:pt idx="434">
                  <c:v>-0.002</c:v>
                </c:pt>
                <c:pt idx="435">
                  <c:v>-0.002</c:v>
                </c:pt>
                <c:pt idx="436">
                  <c:v>-0.002</c:v>
                </c:pt>
                <c:pt idx="437">
                  <c:v>-0.003</c:v>
                </c:pt>
                <c:pt idx="438">
                  <c:v>-0.003</c:v>
                </c:pt>
                <c:pt idx="439">
                  <c:v>-0.003</c:v>
                </c:pt>
                <c:pt idx="440">
                  <c:v>-0.003</c:v>
                </c:pt>
                <c:pt idx="441">
                  <c:v>-0.003</c:v>
                </c:pt>
                <c:pt idx="442">
                  <c:v>-0.003</c:v>
                </c:pt>
                <c:pt idx="443">
                  <c:v>-0.003</c:v>
                </c:pt>
                <c:pt idx="444">
                  <c:v>-0.003</c:v>
                </c:pt>
                <c:pt idx="445">
                  <c:v>-0.003</c:v>
                </c:pt>
                <c:pt idx="446">
                  <c:v>-0.003</c:v>
                </c:pt>
                <c:pt idx="447">
                  <c:v>-0.003</c:v>
                </c:pt>
                <c:pt idx="448">
                  <c:v>-0.003</c:v>
                </c:pt>
                <c:pt idx="449">
                  <c:v>-0.003</c:v>
                </c:pt>
                <c:pt idx="450">
                  <c:v>-0.003</c:v>
                </c:pt>
                <c:pt idx="451">
                  <c:v>-0.003</c:v>
                </c:pt>
                <c:pt idx="452">
                  <c:v>-0.003</c:v>
                </c:pt>
                <c:pt idx="453">
                  <c:v>-0.003</c:v>
                </c:pt>
                <c:pt idx="454">
                  <c:v>-0.003</c:v>
                </c:pt>
                <c:pt idx="455">
                  <c:v>-0.003</c:v>
                </c:pt>
                <c:pt idx="456">
                  <c:v>-0.003</c:v>
                </c:pt>
                <c:pt idx="457">
                  <c:v>-0.003</c:v>
                </c:pt>
                <c:pt idx="458">
                  <c:v>-0.003</c:v>
                </c:pt>
                <c:pt idx="459">
                  <c:v>-0.003</c:v>
                </c:pt>
                <c:pt idx="460">
                  <c:v>-0.003</c:v>
                </c:pt>
                <c:pt idx="461">
                  <c:v>-0.003</c:v>
                </c:pt>
                <c:pt idx="462">
                  <c:v>-0.003</c:v>
                </c:pt>
                <c:pt idx="463">
                  <c:v>-0.003</c:v>
                </c:pt>
                <c:pt idx="464">
                  <c:v>-0.003</c:v>
                </c:pt>
                <c:pt idx="465">
                  <c:v>-0.003</c:v>
                </c:pt>
                <c:pt idx="466">
                  <c:v>-0.003</c:v>
                </c:pt>
                <c:pt idx="467">
                  <c:v>-0.003</c:v>
                </c:pt>
                <c:pt idx="468">
                  <c:v>-0.003</c:v>
                </c:pt>
                <c:pt idx="469">
                  <c:v>-0.003</c:v>
                </c:pt>
                <c:pt idx="470">
                  <c:v>-0.003</c:v>
                </c:pt>
                <c:pt idx="471">
                  <c:v>-0.003</c:v>
                </c:pt>
                <c:pt idx="472">
                  <c:v>-0.003</c:v>
                </c:pt>
                <c:pt idx="473">
                  <c:v>-0.003</c:v>
                </c:pt>
                <c:pt idx="474">
                  <c:v>-0.003</c:v>
                </c:pt>
                <c:pt idx="475">
                  <c:v>-0.003</c:v>
                </c:pt>
                <c:pt idx="476">
                  <c:v>-0.003</c:v>
                </c:pt>
                <c:pt idx="477">
                  <c:v>-0.003</c:v>
                </c:pt>
                <c:pt idx="478">
                  <c:v>-0.003</c:v>
                </c:pt>
                <c:pt idx="479">
                  <c:v>-0.003</c:v>
                </c:pt>
                <c:pt idx="480">
                  <c:v>-0.003</c:v>
                </c:pt>
                <c:pt idx="481">
                  <c:v>-0.003</c:v>
                </c:pt>
                <c:pt idx="482">
                  <c:v>-0.003</c:v>
                </c:pt>
                <c:pt idx="483">
                  <c:v>-0.003</c:v>
                </c:pt>
                <c:pt idx="484">
                  <c:v>-0.003</c:v>
                </c:pt>
                <c:pt idx="485">
                  <c:v>-0.003</c:v>
                </c:pt>
                <c:pt idx="486">
                  <c:v>-0.003</c:v>
                </c:pt>
                <c:pt idx="487">
                  <c:v>-0.003</c:v>
                </c:pt>
                <c:pt idx="488">
                  <c:v>-0.003</c:v>
                </c:pt>
                <c:pt idx="489">
                  <c:v>-0.002</c:v>
                </c:pt>
                <c:pt idx="490">
                  <c:v>-0.002</c:v>
                </c:pt>
                <c:pt idx="491">
                  <c:v>-0.002</c:v>
                </c:pt>
                <c:pt idx="492">
                  <c:v>-0.002</c:v>
                </c:pt>
                <c:pt idx="493">
                  <c:v>-0.001</c:v>
                </c:pt>
                <c:pt idx="494">
                  <c:v>-0.001</c:v>
                </c:pt>
                <c:pt idx="495">
                  <c:v>0</c:v>
                </c:pt>
                <c:pt idx="496">
                  <c:v>0</c:v>
                </c:pt>
                <c:pt idx="497">
                  <c:v>0</c:v>
                </c:pt>
                <c:pt idx="498">
                  <c:v>0.001</c:v>
                </c:pt>
                <c:pt idx="499">
                  <c:v>0.001</c:v>
                </c:pt>
                <c:pt idx="500">
                  <c:v>0.001</c:v>
                </c:pt>
              </c:numCache>
            </c:numRef>
          </c:yVal>
          <c:smooth val="1"/>
        </c:ser>
        <c:dLbls>
          <c:showLegendKey val="0"/>
          <c:showVal val="0"/>
          <c:showCatName val="0"/>
          <c:showSerName val="0"/>
          <c:showPercent val="0"/>
          <c:showBubbleSize val="0"/>
        </c:dLbls>
        <c:axId val="956024017"/>
        <c:axId val="823554816"/>
      </c:scatterChart>
      <c:valAx>
        <c:axId val="956024017"/>
        <c:scaling>
          <c:orientation val="minMax"/>
          <c:max val="900"/>
          <c:min val="400"/>
        </c:scaling>
        <c:delete val="0"/>
        <c:axPos val="b"/>
        <c:majorGridlines>
          <c:spPr>
            <a:ln w="9525" cap="flat" cmpd="sng" algn="ctr">
              <a:solidFill>
                <a:srgbClr val="E6E6E6">
                  <a:lumMod val="90200"/>
                </a:srgb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rgbClr val="595959">
                        <a:lumMod val="65000"/>
                        <a:lumOff val="35000"/>
                      </a:srgbClr>
                    </a:solidFill>
                    <a:latin typeface="+mn-lt"/>
                    <a:ea typeface="+mn-ea"/>
                    <a:cs typeface="+mn-cs"/>
                  </a:defRPr>
                </a:pPr>
                <a:r>
                  <a:rPr lang="en-US" altLang="zh-CN"/>
                  <a:t>(λnm)</a:t>
                </a:r>
                <a:endParaRPr lang="en-US" altLang="zh-CN"/>
              </a:p>
            </c:rich>
          </c:tx>
          <c:layout>
            <c:manualLayout>
              <c:xMode val="edge"/>
              <c:yMode val="edge"/>
              <c:x val="0.902124721608933"/>
              <c:y val="0.823427447788057"/>
            </c:manualLayout>
          </c:layout>
          <c:overlay val="0"/>
          <c:spPr>
            <a:noFill/>
            <a:ln>
              <a:noFill/>
            </a:ln>
            <a:effectLst/>
          </c:spPr>
        </c:title>
        <c:numFmt formatCode="General" sourceLinked="1"/>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23554816"/>
        <c:crosses val="autoZero"/>
        <c:crossBetween val="midCat"/>
      </c:valAx>
      <c:valAx>
        <c:axId val="823554816"/>
        <c:scaling>
          <c:orientation val="minMax"/>
        </c:scaling>
        <c:delete val="0"/>
        <c:axPos val="l"/>
        <c:majorGridlines>
          <c:spPr>
            <a:ln w="9525" cap="flat" cmpd="sng" algn="ctr">
              <a:solidFill>
                <a:srgbClr val="E6E6E6">
                  <a:lumMod val="90200"/>
                </a:srgb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rgbClr val="595959">
                        <a:lumMod val="65000"/>
                        <a:lumOff val="35000"/>
                      </a:srgbClr>
                    </a:solidFill>
                    <a:latin typeface="+mn-lt"/>
                    <a:ea typeface="+mn-ea"/>
                    <a:cs typeface="+mn-cs"/>
                  </a:defRPr>
                </a:pPr>
                <a:r>
                  <a:t>A</a:t>
                </a:r>
              </a:p>
            </c:rich>
          </c:tx>
          <c:layout>
            <c:manualLayout>
              <c:xMode val="edge"/>
              <c:yMode val="edge"/>
              <c:x val="0.0455927051671733"/>
              <c:y val="0.0834217788155381"/>
            </c:manualLayout>
          </c:layout>
          <c:overlay val="0"/>
          <c:spPr>
            <a:noFill/>
            <a:ln>
              <a:noFill/>
            </a:ln>
            <a:effectLst/>
          </c:spPr>
        </c:title>
        <c:numFmt formatCode="0.000_ " sourceLinked="1"/>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56024017"/>
        <c:crosses val="autoZero"/>
        <c:crossBetween val="midCat"/>
      </c:valAx>
      <c:spPr>
        <a:noFill/>
        <a:ln w="9525" cap="flat" cmpd="sng" algn="ctr">
          <a:solidFill>
            <a:srgbClr val="D9D9D9">
              <a:lumMod val="15000"/>
              <a:lumOff val="85000"/>
            </a:srgbClr>
          </a:solidFill>
          <a:round/>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90">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rgbClr val="000000"/>
    </cs:fontRef>
    <cs:spPr>
      <a:ln w="19050" cap="rnd">
        <a:solidFill>
          <a:srgbClr val="FFFFFF"/>
        </a:solidFill>
        <a:round/>
      </a:ln>
      <a:effectLst/>
    </cs:spPr>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19050"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spPr>
      <a:ln w="9525" cap="flat" cmpd="sng" algn="ctr">
        <a:solidFill>
          <a:srgbClr val="D9D9D9">
            <a:lumMod val="15000"/>
            <a:lumOff val="85000"/>
          </a:srgbClr>
        </a:solidFill>
        <a:round/>
      </a:ln>
    </cs:spPr>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valueAxis>
  <cs:wall>
    <cs:lnRef idx="0"/>
    <cs:fillRef idx="0"/>
    <cs:effectRef idx="0"/>
    <cs:fontRef idx="minor">
      <a:srgbClr val="000000"/>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0.536750483558994</cdr:x>
      <cdr:y>0.179791976225854</cdr:y>
    </cdr:from>
    <cdr:to>
      <cdr:x>0.735700469743023</cdr:x>
      <cdr:y>0.485459562725536</cdr:y>
    </cdr:to>
    <cdr:sp>
      <cdr:nvSpPr>
        <cdr:cNvPr id="2" name="矩形 1"/>
        <cdr:cNvSpPr/>
      </cdr:nvSpPr>
      <cdr:spPr xmlns:a="http://schemas.openxmlformats.org/drawingml/2006/main">
        <a:xfrm xmlns:a="http://schemas.openxmlformats.org/drawingml/2006/main">
          <a:off x="2466975" y="537845"/>
          <a:ext cx="914400" cy="914400"/>
        </a:xfrm>
        <a:prstGeom xmlns:a="http://schemas.openxmlformats.org/drawingml/2006/main" prst="rect">
          <a:avLst/>
        </a:prstGeom>
      </cdr:spPr>
      <cdr:txBody xmlns:a="http://schemas.openxmlformats.org/drawingml/2006/main">
        <a:bodyPr vert="horz" wrap="none" lIns="45720" tIns="45720" rIns="45720" bIns="45720" anchor="t" anchorCtr="0">
          <a:spAutoFit/>
        </a:bodyPr>
        <a:p>
          <a:endParaRPr lang="zh-CN" altLang="en-US"/>
        </a:p>
      </cdr:txBody>
    </cdr:sp>
  </cdr:relSizeAnchor>
  <cdr:relSizeAnchor xmlns:cdr="http://schemas.openxmlformats.org/drawingml/2006/chartDrawing">
    <cdr:from>
      <cdr:x>0.242470295661785</cdr:x>
      <cdr:y>0.415410740819359</cdr:y>
    </cdr:from>
    <cdr:to>
      <cdr:x>0.385465598231556</cdr:x>
      <cdr:y>0.555508384631713</cdr:y>
    </cdr:to>
    <cdr:sp>
      <cdr:nvSpPr>
        <cdr:cNvPr id="3" name="矩形 2"/>
        <cdr:cNvSpPr/>
      </cdr:nvSpPr>
      <cdr:spPr xmlns:a="http://schemas.openxmlformats.org/drawingml/2006/main">
        <a:xfrm xmlns:a="http://schemas.openxmlformats.org/drawingml/2006/main">
          <a:off x="1114425" y="1242695"/>
          <a:ext cx="657225" cy="419100"/>
        </a:xfrm>
        <a:prstGeom xmlns:a="http://schemas.openxmlformats.org/drawingml/2006/main" prst="rect">
          <a:avLst/>
        </a:prstGeom>
      </cdr:spPr>
      <cdr:txBody xmlns:a="http://schemas.openxmlformats.org/drawingml/2006/main">
        <a:bodyPr vert="horz" wrap="none" lIns="45720" tIns="45720" rIns="45720" bIns="45720" anchor="t" anchorCtr="0">
          <a:normAutofit/>
        </a:bodyPr>
        <a:p>
          <a:endParaRPr lang="zh-CN" altLang="en-US"/>
        </a:p>
      </cdr:txBody>
    </cdr:sp>
  </cdr:relSizeAnchor>
  <cdr:relSizeAnchor xmlns:cdr="http://schemas.openxmlformats.org/drawingml/2006/chartDrawing">
    <cdr:from>
      <cdr:x>0.261121856866538</cdr:x>
      <cdr:y>0.409042666100616</cdr:y>
    </cdr:from>
    <cdr:to>
      <cdr:x>0.460071843050566</cdr:x>
      <cdr:y>0.714710252600297</cdr:y>
    </cdr:to>
    <cdr:sp>
      <cdr:nvSpPr>
        <cdr:cNvPr id="4" name="矩形 3"/>
        <cdr:cNvSpPr/>
      </cdr:nvSpPr>
      <cdr:spPr xmlns:a="http://schemas.openxmlformats.org/drawingml/2006/main">
        <a:xfrm xmlns:a="http://schemas.openxmlformats.org/drawingml/2006/main">
          <a:off x="1200150" y="1223645"/>
          <a:ext cx="914400" cy="914400"/>
        </a:xfrm>
        <a:prstGeom xmlns:a="http://schemas.openxmlformats.org/drawingml/2006/main" prst="rect">
          <a:avLst/>
        </a:prstGeom>
      </cdr:spPr>
      <cdr:txBody xmlns:a="http://schemas.openxmlformats.org/drawingml/2006/main">
        <a:bodyPr vert="horz" wrap="none" lIns="45720" tIns="45720" rIns="45720" bIns="45720" anchor="t" anchorCtr="0">
          <a:spAutoFit/>
        </a:bodyPr>
        <a:p>
          <a:endParaRPr lang="zh-CN" altLang="en-US"/>
        </a:p>
      </cdr:txBody>
    </cdr:sp>
  </cdr:relSizeAnchor>
  <cdr:relSizeAnchor xmlns:cdr="http://schemas.openxmlformats.org/drawingml/2006/chartDrawing">
    <cdr:from>
      <cdr:x>0.107764575849682</cdr:x>
      <cdr:y>0.396306516663129</cdr:y>
    </cdr:from>
    <cdr:to>
      <cdr:x>0.536474164133739</cdr:x>
      <cdr:y>0.520271704521333</cdr:y>
    </cdr:to>
    <cdr:sp>
      <cdr:nvSpPr>
        <cdr:cNvPr id="5" name="矩形 4"/>
        <cdr:cNvSpPr/>
      </cdr:nvSpPr>
      <cdr:spPr xmlns:a="http://schemas.openxmlformats.org/drawingml/2006/main">
        <a:xfrm xmlns:a="http://schemas.openxmlformats.org/drawingml/2006/main">
          <a:off x="495300" y="1185545"/>
          <a:ext cx="1970405" cy="37084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a:t>磷铋钼蓝杂多酸</a:t>
          </a:r>
          <a:endParaRPr lang="zh-CN" altLang="en-US"/>
        </a:p>
      </cdr:txBody>
    </cdr:sp>
  </cdr:relSizeAnchor>
  <cdr:relSizeAnchor xmlns:cdr="http://schemas.openxmlformats.org/drawingml/2006/chartDrawing">
    <cdr:from>
      <cdr:x>0.482868195634153</cdr:x>
      <cdr:y>0.64466143069412</cdr:y>
    </cdr:from>
    <cdr:to>
      <cdr:x>0.681818181818182</cdr:x>
      <cdr:y>0.736149437486733</cdr:y>
    </cdr:to>
    <cdr:sp>
      <cdr:nvSpPr>
        <cdr:cNvPr id="6" name="矩形 5"/>
        <cdr:cNvSpPr/>
      </cdr:nvSpPr>
      <cdr:spPr xmlns:a="http://schemas.openxmlformats.org/drawingml/2006/main">
        <a:xfrm xmlns:a="http://schemas.openxmlformats.org/drawingml/2006/main">
          <a:off x="2219325" y="1928495"/>
          <a:ext cx="914400" cy="273685"/>
        </a:xfrm>
        <a:prstGeom xmlns:a="http://schemas.openxmlformats.org/drawingml/2006/main" prst="rect">
          <a:avLst/>
        </a:prstGeom>
      </cdr:spPr>
      <cdr:txBody xmlns:a="http://schemas.openxmlformats.org/drawingml/2006/main">
        <a:bodyPr vert="horz" wrap="none" lIns="45720" tIns="45720" rIns="45720" bIns="45720" anchor="t" anchorCtr="0">
          <a:spAutoFit/>
        </a:bodyPr>
        <a:p>
          <a:r>
            <a:rPr lang="zh-CN" altLang="en-US"/>
            <a:t>试剂空白</a:t>
          </a:r>
          <a:endParaRPr lang="zh-CN" altLang="en-US"/>
        </a:p>
      </cdr:txBody>
    </cdr:sp>
  </cdr:relSizeAnchor>
</c:userShap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16456</Words>
  <Characters>25415</Characters>
  <Lines>0</Lines>
  <Paragraphs>0</Paragraphs>
  <TotalTime>0</TotalTime>
  <ScaleCrop>false</ScaleCrop>
  <LinksUpToDate>false</LinksUpToDate>
  <CharactersWithSpaces>26608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HW</dc:creator>
  <cp:lastModifiedBy>大海</cp:lastModifiedBy>
  <dcterms:modified xsi:type="dcterms:W3CDTF">2024-08-28T08:50:34Z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7BC3BC25F5194AC1BD778301A5C7E82C_13</vt:lpwstr>
  </property>
</Properties>
</file>