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D22DA">
      <w:pPr>
        <w:pStyle w:val="63"/>
        <w:rPr>
          <w:color w:val="000000"/>
        </w:rPr>
      </w:pPr>
      <w:bookmarkStart w:id="0" w:name="SectionMark0"/>
      <w:r>
        <w:rPr>
          <w:color w:val="000000"/>
        </w:rPr>
        <mc:AlternateContent>
          <mc:Choice Requires="wps">
            <w:drawing>
              <wp:anchor distT="0" distB="0" distL="114300" distR="114300" simplePos="0" relativeHeight="251668480" behindDoc="0" locked="1" layoutInCell="0" allowOverlap="1">
                <wp:simplePos x="0" y="0"/>
                <wp:positionH relativeFrom="margin">
                  <wp:posOffset>919480</wp:posOffset>
                </wp:positionH>
                <wp:positionV relativeFrom="margin">
                  <wp:posOffset>9006205</wp:posOffset>
                </wp:positionV>
                <wp:extent cx="3736975" cy="342265"/>
                <wp:effectExtent l="0" t="0" r="0" b="635"/>
                <wp:wrapNone/>
                <wp:docPr id="22" name="fmFrame7"/>
                <wp:cNvGraphicFramePr/>
                <a:graphic xmlns:a="http://schemas.openxmlformats.org/drawingml/2006/main">
                  <a:graphicData uri="http://schemas.microsoft.com/office/word/2010/wordprocessingShape">
                    <wps:wsp>
                      <wps:cNvSpPr txBox="1">
                        <a:spLocks noChangeArrowheads="1"/>
                      </wps:cNvSpPr>
                      <wps:spPr bwMode="auto">
                        <a:xfrm>
                          <a:off x="0" y="0"/>
                          <a:ext cx="3736975" cy="342265"/>
                        </a:xfrm>
                        <a:prstGeom prst="rect">
                          <a:avLst/>
                        </a:prstGeom>
                        <a:solidFill>
                          <a:srgbClr val="FFFFFF"/>
                        </a:solidFill>
                        <a:ln>
                          <a:noFill/>
                        </a:ln>
                        <a:effectLst/>
                      </wps:spPr>
                      <wps:txbx>
                        <w:txbxContent>
                          <w:p w14:paraId="510B81A9">
                            <w:pPr>
                              <w:pStyle w:val="71"/>
                              <w:jc w:val="distribute"/>
                              <w:rPr>
                                <w:rFonts w:ascii="新宋体" w:hAnsi="新宋体" w:eastAsia="新宋体" w:cs="新宋体"/>
                                <w:sz w:val="28"/>
                                <w:szCs w:val="28"/>
                              </w:rPr>
                            </w:pPr>
                            <w:r>
                              <w:rPr>
                                <w:rFonts w:hint="eastAsia" w:ascii="Times New Roman" w:eastAsia="黑体"/>
                                <w:b w:val="0"/>
                                <w:spacing w:val="0"/>
                                <w:w w:val="100"/>
                                <w:sz w:val="32"/>
                                <w:szCs w:val="32"/>
                              </w:rPr>
                              <w:t>中华人民共和国国家市场监督管理总局</w:t>
                            </w:r>
                          </w:p>
                          <w:p w14:paraId="1C7E49B9">
                            <w:pPr>
                              <w:pStyle w:val="47"/>
                              <w:ind w:firstLine="0" w:firstLineChars="0"/>
                              <w:jc w:val="distribute"/>
                              <w:rPr>
                                <w:b/>
                                <w:spacing w:val="20"/>
                                <w:w w:val="135"/>
                                <w:sz w:val="28"/>
                                <w:szCs w:val="28"/>
                              </w:rPr>
                            </w:pPr>
                          </w:p>
                          <w:p w14:paraId="304C1F52">
                            <w:pPr>
                              <w:pStyle w:val="47"/>
                              <w:ind w:firstLine="560"/>
                              <w:jc w:val="distribute"/>
                              <w:rPr>
                                <w:sz w:val="28"/>
                                <w:szCs w:val="28"/>
                              </w:rPr>
                            </w:pPr>
                          </w:p>
                          <w:p w14:paraId="7D062D73">
                            <w:pPr>
                              <w:pStyle w:val="47"/>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2.4pt;margin-top:709.15pt;height:26.95pt;width:294.25pt;mso-position-horizontal-relative:margin;mso-position-vertical-relative:margin;z-index:251668480;mso-width-relative:page;mso-height-relative:page;" fillcolor="#FFFFFF" filled="t" stroked="f" coordsize="21600,21600" o:allowincell="f" o:gfxdata="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RWva9oAAAANAQAA&#10;DwAAAAAAAAABACAAAAAiAAAAZHJzL2Rvd25yZXYueG1sUEsBAhQAFAAAAAgAh07iQK5t7JcXAgAA&#10;OgQAAA4AAAAAAAAAAQAgAAAAKQEAAGRycy9lMm9Eb2MueG1sUEsFBgAAAAAGAAYAWQEAALIFAAAA&#10;AA==&#10;">
                <v:fill on="t" focussize="0,0"/>
                <v:stroke on="f"/>
                <v:imagedata o:title=""/>
                <o:lock v:ext="edit" aspectratio="f"/>
                <v:textbox inset="0mm,0mm,0mm,0mm">
                  <w:txbxContent>
                    <w:p w14:paraId="510B81A9">
                      <w:pPr>
                        <w:pStyle w:val="71"/>
                        <w:jc w:val="distribute"/>
                        <w:rPr>
                          <w:rFonts w:ascii="新宋体" w:hAnsi="新宋体" w:eastAsia="新宋体" w:cs="新宋体"/>
                          <w:sz w:val="28"/>
                          <w:szCs w:val="28"/>
                        </w:rPr>
                      </w:pPr>
                      <w:r>
                        <w:rPr>
                          <w:rFonts w:hint="eastAsia" w:ascii="Times New Roman" w:eastAsia="黑体"/>
                          <w:b w:val="0"/>
                          <w:spacing w:val="0"/>
                          <w:w w:val="100"/>
                          <w:sz w:val="32"/>
                          <w:szCs w:val="32"/>
                        </w:rPr>
                        <w:t>中华人民共和国国家市场监督管理总局</w:t>
                      </w:r>
                    </w:p>
                    <w:p w14:paraId="1C7E49B9">
                      <w:pPr>
                        <w:pStyle w:val="47"/>
                        <w:ind w:firstLine="0" w:firstLineChars="0"/>
                        <w:jc w:val="distribute"/>
                        <w:rPr>
                          <w:b/>
                          <w:spacing w:val="20"/>
                          <w:w w:val="135"/>
                          <w:sz w:val="28"/>
                          <w:szCs w:val="28"/>
                        </w:rPr>
                      </w:pPr>
                    </w:p>
                    <w:p w14:paraId="304C1F52">
                      <w:pPr>
                        <w:pStyle w:val="47"/>
                        <w:ind w:firstLine="560"/>
                        <w:jc w:val="distribute"/>
                        <w:rPr>
                          <w:sz w:val="28"/>
                          <w:szCs w:val="28"/>
                        </w:rPr>
                      </w:pPr>
                    </w:p>
                    <w:p w14:paraId="7D062D73">
                      <w:pPr>
                        <w:pStyle w:val="47"/>
                        <w:ind w:firstLine="560"/>
                        <w:jc w:val="distribute"/>
                        <w:rPr>
                          <w:sz w:val="28"/>
                          <w:szCs w:val="28"/>
                        </w:rPr>
                      </w:pPr>
                    </w:p>
                  </w:txbxContent>
                </v:textbox>
                <w10:anchorlock/>
              </v:shape>
            </w:pict>
          </mc:Fallback>
        </mc:AlternateContent>
      </w:r>
      <w:r>
        <w:rPr>
          <w:color w:val="000000"/>
        </w:rPr>
        <w:drawing>
          <wp:anchor distT="0" distB="0" distL="114300" distR="114300" simplePos="0" relativeHeight="251667456"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color w:val="000000"/>
        </w:rPr>
        <mc:AlternateContent>
          <mc:Choice Requires="wps">
            <w:drawing>
              <wp:anchor distT="0" distB="0" distL="114300" distR="114300" simplePos="0" relativeHeight="251664384" behindDoc="0" locked="1" layoutInCell="0" allowOverlap="1">
                <wp:simplePos x="0" y="0"/>
                <wp:positionH relativeFrom="margin">
                  <wp:posOffset>913130</wp:posOffset>
                </wp:positionH>
                <wp:positionV relativeFrom="margin">
                  <wp:posOffset>9273540</wp:posOffset>
                </wp:positionV>
                <wp:extent cx="3743960" cy="347345"/>
                <wp:effectExtent l="0" t="0" r="8890" b="0"/>
                <wp:wrapNone/>
                <wp:docPr id="20" name="fmFrame7"/>
                <wp:cNvGraphicFramePr/>
                <a:graphic xmlns:a="http://schemas.openxmlformats.org/drawingml/2006/main">
                  <a:graphicData uri="http://schemas.microsoft.com/office/word/2010/wordprocessingShape">
                    <wps:wsp>
                      <wps:cNvSpPr txBox="1">
                        <a:spLocks noChangeArrowheads="1"/>
                      </wps:cNvSpPr>
                      <wps:spPr bwMode="auto">
                        <a:xfrm>
                          <a:off x="0" y="0"/>
                          <a:ext cx="3743960" cy="347345"/>
                        </a:xfrm>
                        <a:prstGeom prst="rect">
                          <a:avLst/>
                        </a:prstGeom>
                        <a:solidFill>
                          <a:srgbClr val="FFFFFF"/>
                        </a:solidFill>
                        <a:ln>
                          <a:noFill/>
                        </a:ln>
                        <a:effectLst/>
                      </wps:spPr>
                      <wps:txbx>
                        <w:txbxContent>
                          <w:p w14:paraId="6984FA97">
                            <w:pPr>
                              <w:pStyle w:val="71"/>
                              <w:jc w:val="distribute"/>
                              <w:rPr>
                                <w:rFonts w:ascii="Times New Roman" w:eastAsia="黑体"/>
                                <w:b w:val="0"/>
                                <w:spacing w:val="0"/>
                                <w:w w:val="100"/>
                                <w:sz w:val="32"/>
                                <w:szCs w:val="32"/>
                              </w:rPr>
                            </w:pPr>
                            <w:r>
                              <w:rPr>
                                <w:rFonts w:hint="eastAsia" w:ascii="Times New Roman" w:eastAsia="黑体"/>
                                <w:b w:val="0"/>
                                <w:spacing w:val="0"/>
                                <w:w w:val="100"/>
                                <w:sz w:val="32"/>
                                <w:szCs w:val="32"/>
                              </w:rPr>
                              <w:t>中国国家标准化管理委员会</w:t>
                            </w:r>
                          </w:p>
                          <w:p w14:paraId="48CB339D">
                            <w:pPr>
                              <w:pStyle w:val="71"/>
                              <w:jc w:val="distribute"/>
                              <w:rPr>
                                <w:rFonts w:ascii="Times New Roman" w:eastAsia="黑体"/>
                                <w:b w:val="0"/>
                                <w:spacing w:val="0"/>
                                <w:w w:val="100"/>
                                <w:sz w:val="32"/>
                                <w:szCs w:val="32"/>
                              </w:rPr>
                            </w:pPr>
                          </w:p>
                          <w:p w14:paraId="75423D0E">
                            <w:pPr>
                              <w:pStyle w:val="47"/>
                              <w:ind w:firstLine="420"/>
                              <w:jc w:val="distribute"/>
                            </w:pPr>
                          </w:p>
                          <w:p w14:paraId="5DF7F07F">
                            <w:pPr>
                              <w:pStyle w:val="47"/>
                              <w:ind w:firstLine="420"/>
                              <w:jc w:val="distribute"/>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1.9pt;margin-top:730.2pt;height:27.35pt;width:294.8pt;mso-position-horizontal-relative:margin;mso-position-vertical-relative:margin;z-index:251664384;mso-width-relative:page;mso-height-relative:page;" fillcolor="#FFFFFF" filled="t" stroked="f" coordsize="21600,21600" o:allowincell="f" o:gfxdata="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FGtXZAAAADQEAAA8A&#10;AAAAAAAAAQAgAAAAIgAAAGRycy9kb3ducmV2LnhtbFBLAQIUABQAAAAIAIdO4kAHHhzsFgIAADoE&#10;AAAOAAAAAAAAAAEAIAAAACgBAABkcnMvZTJvRG9jLnhtbFBLBQYAAAAABgAGAFkBAACwBQAAAAA=&#10;">
                <v:fill on="t" focussize="0,0"/>
                <v:stroke on="f"/>
                <v:imagedata o:title=""/>
                <o:lock v:ext="edit" aspectratio="f"/>
                <v:textbox inset="0mm,0mm,0mm,0mm">
                  <w:txbxContent>
                    <w:p w14:paraId="6984FA97">
                      <w:pPr>
                        <w:pStyle w:val="71"/>
                        <w:jc w:val="distribute"/>
                        <w:rPr>
                          <w:rFonts w:ascii="Times New Roman" w:eastAsia="黑体"/>
                          <w:b w:val="0"/>
                          <w:spacing w:val="0"/>
                          <w:w w:val="100"/>
                          <w:sz w:val="32"/>
                          <w:szCs w:val="32"/>
                        </w:rPr>
                      </w:pPr>
                      <w:r>
                        <w:rPr>
                          <w:rFonts w:hint="eastAsia" w:ascii="Times New Roman" w:eastAsia="黑体"/>
                          <w:b w:val="0"/>
                          <w:spacing w:val="0"/>
                          <w:w w:val="100"/>
                          <w:sz w:val="32"/>
                          <w:szCs w:val="32"/>
                        </w:rPr>
                        <w:t>中国国家标准化管理委员会</w:t>
                      </w:r>
                    </w:p>
                    <w:p w14:paraId="48CB339D">
                      <w:pPr>
                        <w:pStyle w:val="71"/>
                        <w:jc w:val="distribute"/>
                        <w:rPr>
                          <w:rFonts w:ascii="Times New Roman" w:eastAsia="黑体"/>
                          <w:b w:val="0"/>
                          <w:spacing w:val="0"/>
                          <w:w w:val="100"/>
                          <w:sz w:val="32"/>
                          <w:szCs w:val="32"/>
                        </w:rPr>
                      </w:pPr>
                    </w:p>
                    <w:p w14:paraId="75423D0E">
                      <w:pPr>
                        <w:pStyle w:val="47"/>
                        <w:ind w:firstLine="420"/>
                        <w:jc w:val="distribute"/>
                      </w:pPr>
                    </w:p>
                    <w:p w14:paraId="5DF7F07F">
                      <w:pPr>
                        <w:pStyle w:val="47"/>
                        <w:ind w:firstLine="420"/>
                        <w:jc w:val="distribute"/>
                      </w:pPr>
                    </w:p>
                  </w:txbxContent>
                </v:textbox>
                <w10:anchorlock/>
              </v:shape>
            </w:pict>
          </mc:Fallback>
        </mc:AlternateContent>
      </w:r>
      <w:r>
        <w:rPr>
          <w:color w:val="000000"/>
        </w:rPr>
        <mc:AlternateContent>
          <mc:Choice Requires="wps">
            <w:drawing>
              <wp:anchor distT="0" distB="0" distL="114300" distR="114300" simplePos="0" relativeHeight="251663360" behindDoc="0" locked="1" layoutInCell="1" allowOverlap="1">
                <wp:simplePos x="0" y="0"/>
                <wp:positionH relativeFrom="margin">
                  <wp:posOffset>4000500</wp:posOffset>
                </wp:positionH>
                <wp:positionV relativeFrom="margin">
                  <wp:posOffset>8559165</wp:posOffset>
                </wp:positionV>
                <wp:extent cx="2019300" cy="312420"/>
                <wp:effectExtent l="0" t="0" r="0" b="0"/>
                <wp:wrapNone/>
                <wp:docPr id="19"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00C980E1">
                            <w:pPr>
                              <w:pStyle w:val="61"/>
                            </w:pPr>
                            <w:r>
                              <w:rPr>
                                <w:rFonts w:hint="eastAsia"/>
                              </w:rPr>
                              <w:t>20</w:t>
                            </w:r>
                            <w:r>
                              <w:t>2</w:t>
                            </w:r>
                            <w:r>
                              <w:rPr>
                                <w:rFonts w:hint="eastAsia"/>
                                <w:color w:val="000000"/>
                              </w:rPr>
                              <w:t>X-XX-XX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5pt;margin-top:673.95pt;height:24.6pt;width:159pt;mso-position-horizontal-relative:margin;mso-position-vertical-relative:margin;z-index:251663360;mso-width-relative:page;mso-height-relative:page;" fillcolor="#FFFFFF" filled="t" stroked="f" coordsize="21600,21600" o:gfxdata="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ZMhj9oAAAANAQAADwAAAAAAAAAB&#10;ACAAAAAiAAAAZHJzL2Rvd25yZXYueG1sUEsBAhQAFAAAAAgAh07iQKQz/4UOAgAALAQAAA4AAAAA&#10;AAAAAQAgAAAAKQEAAGRycy9lMm9Eb2MueG1sUEsFBgAAAAAGAAYAWQEAAKkFAAAAAA==&#10;">
                <v:fill on="t" focussize="0,0"/>
                <v:stroke on="f"/>
                <v:imagedata o:title=""/>
                <o:lock v:ext="edit" aspectratio="f"/>
                <v:textbox inset="0mm,0mm,0mm,0mm">
                  <w:txbxContent>
                    <w:p w14:paraId="00C980E1">
                      <w:pPr>
                        <w:pStyle w:val="61"/>
                      </w:pPr>
                      <w:r>
                        <w:rPr>
                          <w:rFonts w:hint="eastAsia"/>
                        </w:rPr>
                        <w:t>20</w:t>
                      </w:r>
                      <w:r>
                        <w:t>2</w:t>
                      </w:r>
                      <w:r>
                        <w:rPr>
                          <w:rFonts w:hint="eastAsia"/>
                          <w:color w:val="000000"/>
                        </w:rPr>
                        <w:t>X-XX-XX</w:t>
                      </w:r>
                      <w:r>
                        <w:rPr>
                          <w:rFonts w:hint="eastAsia"/>
                        </w:rPr>
                        <w:t>实施</w:t>
                      </w:r>
                    </w:p>
                  </w:txbxContent>
                </v:textbox>
                <w10:anchorlock/>
              </v:shape>
            </w:pict>
          </mc:Fallback>
        </mc:AlternateContent>
      </w:r>
      <w:r>
        <w:rPr>
          <w:color w:val="00000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8559800</wp:posOffset>
                </wp:positionV>
                <wp:extent cx="2019300" cy="312420"/>
                <wp:effectExtent l="0" t="0" r="0" b="0"/>
                <wp:wrapNone/>
                <wp:docPr id="18"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6615EB45">
                            <w:pPr>
                              <w:pStyle w:val="62"/>
                              <w:rPr>
                                <w:color w:val="000000"/>
                              </w:rPr>
                            </w:pPr>
                            <w:r>
                              <w:rPr>
                                <w:rFonts w:hint="eastAsia"/>
                              </w:rPr>
                              <w:t>20</w:t>
                            </w:r>
                            <w:r>
                              <w:rPr>
                                <w:color w:val="000000"/>
                              </w:rPr>
                              <w:t>2</w:t>
                            </w:r>
                            <w:r>
                              <w:rPr>
                                <w:rFonts w:hint="eastAsia"/>
                                <w:color w:val="000000"/>
                              </w:rPr>
                              <w:t>X-XX-XX发布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pt;height:24.6pt;width:159pt;mso-position-horizontal-relative:margin;mso-position-vertical-relative:margin;z-index:251662336;mso-width-relative:page;mso-height-relative:page;" fillcolor="#FFFFFF" filled="t" stroked="f" coordsize="21600,21600" o:gfxdata="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LQ9u1gAAAAoBAAAPAAAAAAAAAAEAIAAA&#10;ACIAAABkcnMvZG93bnJldi54bWxQSwECFAAUAAAACACHTuJAWtG4Qg4CAAAsBAAADgAAAAAAAAAB&#10;ACAAAAAlAQAAZHJzL2Uyb0RvYy54bWxQSwUGAAAAAAYABgBZAQAApQUAAAAA&#10;">
                <v:fill on="t" focussize="0,0"/>
                <v:stroke on="f"/>
                <v:imagedata o:title=""/>
                <o:lock v:ext="edit" aspectratio="f"/>
                <v:textbox inset="0mm,0mm,0mm,0mm">
                  <w:txbxContent>
                    <w:p w14:paraId="6615EB45">
                      <w:pPr>
                        <w:pStyle w:val="62"/>
                        <w:rPr>
                          <w:color w:val="000000"/>
                        </w:rPr>
                      </w:pPr>
                      <w:r>
                        <w:rPr>
                          <w:rFonts w:hint="eastAsia"/>
                        </w:rPr>
                        <w:t>20</w:t>
                      </w:r>
                      <w:r>
                        <w:rPr>
                          <w:color w:val="000000"/>
                        </w:rPr>
                        <w:t>2</w:t>
                      </w:r>
                      <w:r>
                        <w:rPr>
                          <w:rFonts w:hint="eastAsia"/>
                          <w:color w:val="000000"/>
                        </w:rPr>
                        <w:t>X-XX-XX发布</w:t>
                      </w:r>
                    </w:p>
                  </w:txbxContent>
                </v:textbox>
                <w10:anchorlock/>
              </v:shape>
            </w:pict>
          </mc:Fallback>
        </mc:AlternateContent>
      </w:r>
      <w:r>
        <w:rPr>
          <w:color w:val="000000"/>
        </w:rPr>
        <mc:AlternateContent>
          <mc:Choice Requires="wps">
            <w:drawing>
              <wp:anchor distT="0" distB="0" distL="114300" distR="114300" simplePos="0" relativeHeight="251661312" behindDoc="0" locked="1" layoutInCell="0" allowOverlap="1">
                <wp:simplePos x="0" y="0"/>
                <wp:positionH relativeFrom="margin">
                  <wp:posOffset>-33020</wp:posOffset>
                </wp:positionH>
                <wp:positionV relativeFrom="margin">
                  <wp:posOffset>3223895</wp:posOffset>
                </wp:positionV>
                <wp:extent cx="6121400" cy="4232910"/>
                <wp:effectExtent l="0" t="0" r="12700" b="15240"/>
                <wp:wrapNone/>
                <wp:docPr id="17" name="fmFrame4"/>
                <wp:cNvGraphicFramePr/>
                <a:graphic xmlns:a="http://schemas.openxmlformats.org/drawingml/2006/main">
                  <a:graphicData uri="http://schemas.microsoft.com/office/word/2010/wordprocessingShape">
                    <wps:wsp>
                      <wps:cNvSpPr txBox="1">
                        <a:spLocks noChangeArrowheads="1"/>
                      </wps:cNvSpPr>
                      <wps:spPr bwMode="auto">
                        <a:xfrm>
                          <a:off x="0" y="0"/>
                          <a:ext cx="6121400" cy="4232910"/>
                        </a:xfrm>
                        <a:prstGeom prst="rect">
                          <a:avLst/>
                        </a:prstGeom>
                        <a:solidFill>
                          <a:srgbClr val="FFFFFF"/>
                        </a:solidFill>
                        <a:ln>
                          <a:noFill/>
                        </a:ln>
                      </wps:spPr>
                      <wps:txbx>
                        <w:txbxContent>
                          <w:p w14:paraId="6D83B3AC">
                            <w:pPr>
                              <w:pStyle w:val="95"/>
                              <w:spacing w:before="0" w:line="770" w:lineRule="exact"/>
                              <w:rPr>
                                <w:rFonts w:eastAsia="黑体"/>
                                <w:color w:val="FF0000"/>
                                <w:sz w:val="52"/>
                                <w:szCs w:val="52"/>
                              </w:rPr>
                            </w:pPr>
                            <w:r>
                              <w:rPr>
                                <w:rFonts w:hint="eastAsia" w:ascii="黑体" w:hAnsi="宋体" w:eastAsia="黑体"/>
                                <w:sz w:val="52"/>
                                <w:szCs w:val="52"/>
                              </w:rPr>
                              <w:t>稀土精矿化学分析方法</w:t>
                            </w:r>
                            <w:r>
                              <w:rPr>
                                <w:rFonts w:hint="eastAsia" w:eastAsia="黑体"/>
                                <w:color w:val="FF0000"/>
                                <w:sz w:val="52"/>
                                <w:szCs w:val="52"/>
                              </w:rPr>
                              <w:t>　</w:t>
                            </w:r>
                          </w:p>
                          <w:p w14:paraId="15DF29AF">
                            <w:pPr>
                              <w:pStyle w:val="95"/>
                              <w:spacing w:before="0" w:line="770" w:lineRule="exact"/>
                              <w:rPr>
                                <w:rFonts w:eastAsia="黑体"/>
                                <w:color w:val="FF0000"/>
                                <w:sz w:val="52"/>
                                <w:szCs w:val="52"/>
                              </w:rPr>
                            </w:pPr>
                            <w:r>
                              <w:rPr>
                                <w:rFonts w:hint="eastAsia" w:ascii="黑体" w:hAnsi="宋体" w:eastAsia="黑体"/>
                                <w:sz w:val="52"/>
                                <w:szCs w:val="52"/>
                              </w:rPr>
                              <w:t xml:space="preserve">第9部分：五氧化二磷量的测定   </w:t>
                            </w:r>
                          </w:p>
                          <w:p w14:paraId="7F488AA6">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 xml:space="preserve">Chemical analysis methods </w:t>
                            </w:r>
                            <w:r>
                              <w:rPr>
                                <w:rFonts w:hint="eastAsia" w:ascii="Times New Roman" w:hAnsi="Times New Roman" w:eastAsia="黑体" w:cs="Times New Roman"/>
                                <w:color w:val="auto"/>
                                <w:sz w:val="28"/>
                              </w:rPr>
                              <w:t>of</w:t>
                            </w:r>
                            <w:r>
                              <w:rPr>
                                <w:rFonts w:ascii="Times New Roman" w:hAnsi="Times New Roman" w:eastAsia="黑体" w:cs="Times New Roman"/>
                                <w:color w:val="auto"/>
                                <w:sz w:val="28"/>
                              </w:rPr>
                              <w:t xml:space="preserve"> rare earth </w:t>
                            </w:r>
                            <w:r>
                              <w:rPr>
                                <w:rFonts w:hint="eastAsia" w:ascii="Times New Roman" w:hAnsi="Times New Roman" w:eastAsia="黑体" w:cs="Times New Roman"/>
                                <w:color w:val="auto"/>
                                <w:sz w:val="28"/>
                              </w:rPr>
                              <w:t>concentrates</w:t>
                            </w:r>
                            <w:r>
                              <w:rPr>
                                <w:rFonts w:ascii="Times New Roman" w:hAnsi="Times New Roman" w:eastAsia="黑体" w:cs="Times New Roman"/>
                                <w:color w:val="auto"/>
                                <w:sz w:val="28"/>
                              </w:rPr>
                              <w:t>—</w:t>
                            </w:r>
                          </w:p>
                          <w:p w14:paraId="222967C7">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 xml:space="preserve">Part </w:t>
                            </w:r>
                            <w:r>
                              <w:rPr>
                                <w:rFonts w:hint="eastAsia" w:ascii="Times New Roman" w:hAnsi="Times New Roman" w:eastAsia="黑体" w:cs="Times New Roman"/>
                                <w:color w:val="auto"/>
                                <w:sz w:val="28"/>
                              </w:rPr>
                              <w:t>9</w:t>
                            </w:r>
                            <w:r>
                              <w:rPr>
                                <w:rFonts w:ascii="Times New Roman" w:hAnsi="Times New Roman" w:eastAsia="黑体" w:cs="Times New Roman"/>
                                <w:color w:val="auto"/>
                                <w:sz w:val="28"/>
                              </w:rPr>
                              <w:t xml:space="preserve">：Determination of </w:t>
                            </w:r>
                            <w:r>
                              <w:rPr>
                                <w:rFonts w:hint="eastAsia" w:ascii="Times New Roman" w:hAnsi="Times New Roman" w:eastAsia="黑体" w:cs="Times New Roman"/>
                                <w:color w:val="auto"/>
                                <w:sz w:val="28"/>
                              </w:rPr>
                              <w:t>phosphorus pentoxide</w:t>
                            </w:r>
                            <w:r>
                              <w:rPr>
                                <w:rFonts w:ascii="Times New Roman" w:hAnsi="Times New Roman" w:eastAsia="黑体" w:cs="Times New Roman"/>
                                <w:color w:val="auto"/>
                                <w:sz w:val="28"/>
                              </w:rPr>
                              <w:t xml:space="preserve"> content</w:t>
                            </w:r>
                          </w:p>
                          <w:p w14:paraId="501A8639">
                            <w:pPr>
                              <w:pStyle w:val="95"/>
                            </w:pPr>
                            <w:r>
                              <w:rPr>
                                <w:rFonts w:hint="eastAsia"/>
                              </w:rPr>
                              <w:t>(预审稿)</w:t>
                            </w:r>
                          </w:p>
                          <w:p w14:paraId="77485635">
                            <w:pPr>
                              <w:pStyle w:val="75"/>
                              <w:jc w:val="both"/>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2.6pt;margin-top:253.85pt;height:333.3pt;width:482pt;mso-position-horizontal-relative:margin;mso-position-vertical-relative:margin;z-index:251661312;mso-width-relative:page;mso-height-relative:page;" fillcolor="#FFFFFF" filled="t" stroked="f" coordsize="21600,21600" o:allowincell="f" o:gfxdata="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749F2gAAAAsBAAAPAAAAAAAA&#10;AAEAIAAAACIAAABkcnMvZG93bnJldi54bWxQSwECFAAUAAAACACHTuJAgSoyfxACAAAtBAAADgAA&#10;AAAAAAABACAAAAApAQAAZHJzL2Uyb0RvYy54bWxQSwUGAAAAAAYABgBZAQAAqwUAAAAA&#10;">
                <v:fill on="t" focussize="0,0"/>
                <v:stroke on="f"/>
                <v:imagedata o:title=""/>
                <o:lock v:ext="edit" aspectratio="f"/>
                <v:textbox inset="0mm,0mm,0mm,0mm">
                  <w:txbxContent>
                    <w:p w14:paraId="6D83B3AC">
                      <w:pPr>
                        <w:pStyle w:val="95"/>
                        <w:spacing w:before="0" w:line="770" w:lineRule="exact"/>
                        <w:rPr>
                          <w:rFonts w:eastAsia="黑体"/>
                          <w:color w:val="FF0000"/>
                          <w:sz w:val="52"/>
                          <w:szCs w:val="52"/>
                        </w:rPr>
                      </w:pPr>
                      <w:r>
                        <w:rPr>
                          <w:rFonts w:hint="eastAsia" w:ascii="黑体" w:hAnsi="宋体" w:eastAsia="黑体"/>
                          <w:sz w:val="52"/>
                          <w:szCs w:val="52"/>
                        </w:rPr>
                        <w:t>稀土精矿化学分析方法</w:t>
                      </w:r>
                      <w:r>
                        <w:rPr>
                          <w:rFonts w:hint="eastAsia" w:eastAsia="黑体"/>
                          <w:color w:val="FF0000"/>
                          <w:sz w:val="52"/>
                          <w:szCs w:val="52"/>
                        </w:rPr>
                        <w:t>　</w:t>
                      </w:r>
                    </w:p>
                    <w:p w14:paraId="15DF29AF">
                      <w:pPr>
                        <w:pStyle w:val="95"/>
                        <w:spacing w:before="0" w:line="770" w:lineRule="exact"/>
                        <w:rPr>
                          <w:rFonts w:eastAsia="黑体"/>
                          <w:color w:val="FF0000"/>
                          <w:sz w:val="52"/>
                          <w:szCs w:val="52"/>
                        </w:rPr>
                      </w:pPr>
                      <w:r>
                        <w:rPr>
                          <w:rFonts w:hint="eastAsia" w:ascii="黑体" w:hAnsi="宋体" w:eastAsia="黑体"/>
                          <w:sz w:val="52"/>
                          <w:szCs w:val="52"/>
                        </w:rPr>
                        <w:t xml:space="preserve">第9部分：五氧化二磷量的测定   </w:t>
                      </w:r>
                    </w:p>
                    <w:p w14:paraId="7F488AA6">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 xml:space="preserve">Chemical analysis methods </w:t>
                      </w:r>
                      <w:r>
                        <w:rPr>
                          <w:rFonts w:hint="eastAsia" w:ascii="Times New Roman" w:hAnsi="Times New Roman" w:eastAsia="黑体" w:cs="Times New Roman"/>
                          <w:color w:val="auto"/>
                          <w:sz w:val="28"/>
                        </w:rPr>
                        <w:t>of</w:t>
                      </w:r>
                      <w:r>
                        <w:rPr>
                          <w:rFonts w:ascii="Times New Roman" w:hAnsi="Times New Roman" w:eastAsia="黑体" w:cs="Times New Roman"/>
                          <w:color w:val="auto"/>
                          <w:sz w:val="28"/>
                        </w:rPr>
                        <w:t xml:space="preserve"> rare earth </w:t>
                      </w:r>
                      <w:r>
                        <w:rPr>
                          <w:rFonts w:hint="eastAsia" w:ascii="Times New Roman" w:hAnsi="Times New Roman" w:eastAsia="黑体" w:cs="Times New Roman"/>
                          <w:color w:val="auto"/>
                          <w:sz w:val="28"/>
                        </w:rPr>
                        <w:t>concentrates</w:t>
                      </w:r>
                      <w:r>
                        <w:rPr>
                          <w:rFonts w:ascii="Times New Roman" w:hAnsi="Times New Roman" w:eastAsia="黑体" w:cs="Times New Roman"/>
                          <w:color w:val="auto"/>
                          <w:sz w:val="28"/>
                        </w:rPr>
                        <w:t>—</w:t>
                      </w:r>
                    </w:p>
                    <w:p w14:paraId="222967C7">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 xml:space="preserve">Part </w:t>
                      </w:r>
                      <w:r>
                        <w:rPr>
                          <w:rFonts w:hint="eastAsia" w:ascii="Times New Roman" w:hAnsi="Times New Roman" w:eastAsia="黑体" w:cs="Times New Roman"/>
                          <w:color w:val="auto"/>
                          <w:sz w:val="28"/>
                        </w:rPr>
                        <w:t>9</w:t>
                      </w:r>
                      <w:r>
                        <w:rPr>
                          <w:rFonts w:ascii="Times New Roman" w:hAnsi="Times New Roman" w:eastAsia="黑体" w:cs="Times New Roman"/>
                          <w:color w:val="auto"/>
                          <w:sz w:val="28"/>
                        </w:rPr>
                        <w:t xml:space="preserve">：Determination of </w:t>
                      </w:r>
                      <w:r>
                        <w:rPr>
                          <w:rFonts w:hint="eastAsia" w:ascii="Times New Roman" w:hAnsi="Times New Roman" w:eastAsia="黑体" w:cs="Times New Roman"/>
                          <w:color w:val="auto"/>
                          <w:sz w:val="28"/>
                        </w:rPr>
                        <w:t>phosphorus pentoxide</w:t>
                      </w:r>
                      <w:r>
                        <w:rPr>
                          <w:rFonts w:ascii="Times New Roman" w:hAnsi="Times New Roman" w:eastAsia="黑体" w:cs="Times New Roman"/>
                          <w:color w:val="auto"/>
                          <w:sz w:val="28"/>
                        </w:rPr>
                        <w:t xml:space="preserve"> content</w:t>
                      </w:r>
                    </w:p>
                    <w:p w14:paraId="501A8639">
                      <w:pPr>
                        <w:pStyle w:val="95"/>
                      </w:pPr>
                      <w:r>
                        <w:rPr>
                          <w:rFonts w:hint="eastAsia"/>
                        </w:rPr>
                        <w:t>(预审稿)</w:t>
                      </w:r>
                    </w:p>
                    <w:p w14:paraId="77485635">
                      <w:pPr>
                        <w:pStyle w:val="75"/>
                        <w:jc w:val="both"/>
                      </w:pPr>
                    </w:p>
                  </w:txbxContent>
                </v:textbox>
                <w10:anchorlock/>
              </v:shape>
            </w:pict>
          </mc:Fallback>
        </mc:AlternateContent>
      </w:r>
      <w:r>
        <w:rPr>
          <w:color w:val="000000"/>
        </w:rPr>
        <mc:AlternateContent>
          <mc:Choice Requires="wps">
            <w:drawing>
              <wp:anchor distT="0" distB="0" distL="114300" distR="114300" simplePos="0" relativeHeight="251660288"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14:paraId="68852AF0">
                            <w:pPr>
                              <w:pStyle w:val="103"/>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83.75pt;height:30.8pt;width:477.75pt;mso-position-horizontal-relative:margin;mso-position-vertical-relative:margin;z-index:251660288;mso-width-relative:page;mso-height-relative:page;" fillcolor="#FFFFFF" filled="t" stroked="f" coordsize="21600,21600" o:allowincell="f" o:gfxdata="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WtUKdgAAAAKAQAADwAAAAAAAAAB&#10;ACAAAAAiAAAAZHJzL2Rvd25yZXYueG1sUEsBAhQAFAAAAAgAh07iQJGcFosQAgAALAQAAA4AAAAA&#10;AAAAAQAgAAAAJwEAAGRycy9lMm9Eb2MueG1sUEsFBgAAAAAGAAYAWQEAAKkFAAAAAA==&#10;">
                <v:fill on="t" focussize="0,0"/>
                <v:stroke on="f"/>
                <v:imagedata o:title=""/>
                <o:lock v:ext="edit" aspectratio="f"/>
                <v:textbox inset="0mm,0mm,0mm,0mm">
                  <w:txbxContent>
                    <w:p w14:paraId="68852AF0">
                      <w:pPr>
                        <w:pStyle w:val="103"/>
                      </w:pPr>
                      <w:r>
                        <w:rPr>
                          <w:rFonts w:hint="eastAsia"/>
                        </w:rPr>
                        <w:t>中华人民共和国国家标准</w:t>
                      </w:r>
                    </w:p>
                  </w:txbxContent>
                </v:textbox>
                <w10:anchorlock/>
              </v:shape>
            </w:pict>
          </mc:Fallback>
        </mc:AlternateContent>
      </w:r>
      <w:r>
        <w:rPr>
          <w:color w:val="000000"/>
        </w:rPr>
        <mc:AlternateContent>
          <mc:Choice Requires="wps">
            <w:drawing>
              <wp:anchor distT="0" distB="0" distL="114300" distR="114300" simplePos="0" relativeHeight="251659264" behindDoc="0" locked="1" layoutInCell="0" allowOverlap="1">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14:paraId="17A33F48">
                            <w:pPr>
                              <w:pStyle w:val="98"/>
                              <w:rPr>
                                <w:rFonts w:ascii="黑体" w:hAnsi="黑体" w:cs="黑体"/>
                              </w:rPr>
                            </w:pPr>
                            <w:r>
                              <w:rPr>
                                <w:rFonts w:hint="eastAsia" w:ascii="黑体" w:hAnsi="黑体" w:cs="黑体"/>
                              </w:rPr>
                              <w:t>ICS 77.120.99</w:t>
                            </w:r>
                          </w:p>
                          <w:p w14:paraId="40B2DA71">
                            <w:pPr>
                              <w:pStyle w:val="98"/>
                              <w:rPr>
                                <w:rFonts w:ascii="黑体" w:hAnsi="黑体" w:cs="黑体"/>
                              </w:rPr>
                            </w:pPr>
                            <w:r>
                              <w:rPr>
                                <w:rFonts w:hint="eastAsia" w:ascii="黑体" w:hAnsi="黑体" w:cs="黑体"/>
                              </w:rPr>
                              <w:t>CCS H 14</w:t>
                            </w:r>
                          </w:p>
                          <w:p w14:paraId="5EBF3BA0">
                            <w:pPr>
                              <w:pStyle w:val="98"/>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4pt;margin-top:-1.35pt;height:30.75pt;width:72.75pt;mso-position-horizontal-relative:margin;mso-position-vertical-relative:margin;z-index:251659264;mso-width-relative:page;mso-height-relative:page;" fillcolor="#FFFFFF" filled="t" stroked="f" coordsize="21600,21600" o:allowincell="f" o:gfxdata="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rUZ4dUAAAAHAQAADwAAAAAAAAABACAAAAAi&#10;AAAAZHJzL2Rvd25yZXYueG1sUEsBAhQAFAAAAAgAh07iQMAlzqgNAgAAKwQAAA4AAAAAAAAAAQAg&#10;AAAAJAEAAGRycy9lMm9Eb2MueG1sUEsFBgAAAAAGAAYAWQEAAKMFAAAAAA==&#10;">
                <v:fill on="t" focussize="0,0"/>
                <v:stroke on="f"/>
                <v:imagedata o:title=""/>
                <o:lock v:ext="edit" aspectratio="f"/>
                <v:textbox inset="0mm,0mm,0mm,0mm">
                  <w:txbxContent>
                    <w:p w14:paraId="17A33F48">
                      <w:pPr>
                        <w:pStyle w:val="98"/>
                        <w:rPr>
                          <w:rFonts w:ascii="黑体" w:hAnsi="黑体" w:cs="黑体"/>
                        </w:rPr>
                      </w:pPr>
                      <w:r>
                        <w:rPr>
                          <w:rFonts w:hint="eastAsia" w:ascii="黑体" w:hAnsi="黑体" w:cs="黑体"/>
                        </w:rPr>
                        <w:t>ICS 77.120.99</w:t>
                      </w:r>
                    </w:p>
                    <w:p w14:paraId="40B2DA71">
                      <w:pPr>
                        <w:pStyle w:val="98"/>
                        <w:rPr>
                          <w:rFonts w:ascii="黑体" w:hAnsi="黑体" w:cs="黑体"/>
                        </w:rPr>
                      </w:pPr>
                      <w:r>
                        <w:rPr>
                          <w:rFonts w:hint="eastAsia" w:ascii="黑体" w:hAnsi="黑体" w:cs="黑体"/>
                        </w:rPr>
                        <w:t>CCS H 14</w:t>
                      </w:r>
                    </w:p>
                    <w:p w14:paraId="5EBF3BA0">
                      <w:pPr>
                        <w:pStyle w:val="98"/>
                      </w:pPr>
                    </w:p>
                  </w:txbxContent>
                </v:textbox>
                <w10:anchorlock/>
              </v:shape>
            </w:pict>
          </mc:Fallback>
        </mc:AlternateContent>
      </w:r>
    </w:p>
    <w:p w14:paraId="2F33B174">
      <w:pPr>
        <w:rPr>
          <w:color w:val="000000"/>
        </w:rPr>
      </w:pPr>
      <w:r>
        <w:rPr>
          <w:rFonts w:hint="eastAsia"/>
          <w:color w:val="000000"/>
        </w:rPr>
        <w:t>CCSc</w:t>
      </w:r>
    </w:p>
    <w:p w14:paraId="5D38E655">
      <w:pPr>
        <w:rPr>
          <w:color w:val="000000"/>
        </w:rPr>
      </w:pPr>
    </w:p>
    <w:p w14:paraId="6B43DE53">
      <w:pPr>
        <w:rPr>
          <w:color w:val="000000"/>
        </w:rPr>
      </w:pPr>
    </w:p>
    <w:p w14:paraId="4E1DF2F7">
      <w:pPr>
        <w:rPr>
          <w:color w:val="000000"/>
        </w:rPr>
      </w:pPr>
    </w:p>
    <w:p w14:paraId="00D3D4A2">
      <w:pPr>
        <w:rPr>
          <w:color w:val="000000"/>
        </w:rPr>
      </w:pPr>
    </w:p>
    <w:p w14:paraId="4D392E7B">
      <w:pPr>
        <w:rPr>
          <w:color w:val="000000"/>
        </w:rPr>
      </w:pPr>
    </w:p>
    <w:p w14:paraId="6D372F5C">
      <w:pPr>
        <w:rPr>
          <w:color w:val="000000"/>
        </w:rPr>
      </w:pPr>
    </w:p>
    <w:p w14:paraId="22E37773">
      <w:pPr>
        <w:rPr>
          <w:color w:val="000000"/>
        </w:rPr>
      </w:pPr>
    </w:p>
    <w:p w14:paraId="7E4A27A3">
      <w:pPr>
        <w:rPr>
          <w:color w:val="000000"/>
        </w:rPr>
      </w:pPr>
      <w:r>
        <w:rPr>
          <w:color w:val="000000"/>
        </w:rPr>
        <mc:AlternateContent>
          <mc:Choice Requires="wps">
            <w:drawing>
              <wp:anchor distT="0" distB="0" distL="114300" distR="114300" simplePos="0" relativeHeight="251670528" behindDoc="0" locked="0" layoutInCell="1" allowOverlap="1">
                <wp:simplePos x="0" y="0"/>
                <wp:positionH relativeFrom="margin">
                  <wp:posOffset>269240</wp:posOffset>
                </wp:positionH>
                <wp:positionV relativeFrom="paragraph">
                  <wp:posOffset>60325</wp:posOffset>
                </wp:positionV>
                <wp:extent cx="5716905" cy="486410"/>
                <wp:effectExtent l="0" t="0" r="0" b="8890"/>
                <wp:wrapNone/>
                <wp:docPr id="14"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5716905" cy="486410"/>
                        </a:xfrm>
                        <a:prstGeom prst="rect">
                          <a:avLst/>
                        </a:prstGeom>
                        <a:noFill/>
                        <a:ln>
                          <a:noFill/>
                        </a:ln>
                      </wps:spPr>
                      <wps:txbx>
                        <w:txbxContent>
                          <w:p w14:paraId="084257D6">
                            <w:pPr>
                              <w:spacing w:line="280" w:lineRule="exact"/>
                              <w:jc w:val="right"/>
                            </w:pPr>
                            <w:r>
                              <w:rPr>
                                <w:rFonts w:ascii="黑体" w:hAnsi="黑体" w:eastAsia="黑体"/>
                                <w:sz w:val="28"/>
                              </w:rPr>
                              <w:t>GB/T</w:t>
                            </w:r>
                            <w:r>
                              <w:rPr>
                                <w:rFonts w:hint="eastAsia" w:ascii="黑体" w:hAnsi="黑体" w:eastAsia="黑体"/>
                                <w:sz w:val="28"/>
                              </w:rPr>
                              <w:t xml:space="preserve"> 18114.9</w:t>
                            </w:r>
                            <w:r>
                              <w:rPr>
                                <w:rFonts w:ascii="黑体" w:hAnsi="黑体" w:eastAsia="黑体"/>
                                <w:sz w:val="28"/>
                              </w:rPr>
                              <w:t>—202X</w:t>
                            </w:r>
                          </w:p>
                        </w:txbxContent>
                      </wps:txbx>
                      <wps:bodyPr rot="0" vert="horz" wrap="square" lIns="91440" tIns="45720" rIns="91440" bIns="45720" anchor="t" anchorCtr="0" upright="1">
                        <a:noAutofit/>
                      </wps:bodyPr>
                    </wps:wsp>
                  </a:graphicData>
                </a:graphic>
              </wp:anchor>
            </w:drawing>
          </mc:Choice>
          <mc:Fallback>
            <w:pict>
              <v:shape id="文本框 40" o:spid="_x0000_s1026" o:spt="202" type="#_x0000_t202" style="position:absolute;left:0pt;margin-left:21.2pt;margin-top:4.75pt;height:38.3pt;width:450.15pt;mso-position-horizontal-relative:margin;z-index:251670528;mso-width-relative:page;mso-height-relative:page;" filled="f" stroked="f" coordsize="21600,21600" o:gfxdata="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XO39UAAAAHAQAADwAA&#10;AAAAAAABACAAAAAiAAAAZHJzL2Rvd25yZXYueG1sUEsBAhQAFAAAAAgAh07iQElO530ZAgAAFwQA&#10;AA4AAAAAAAAAAQAgAAAAJAEAAGRycy9lMm9Eb2MueG1sUEsFBgAAAAAGAAYAWQEAAK8FAAAAAA==&#10;">
                <v:fill on="f" focussize="0,0"/>
                <v:stroke on="f"/>
                <v:imagedata o:title=""/>
                <o:lock v:ext="edit" aspectratio="f"/>
                <v:textbox>
                  <w:txbxContent>
                    <w:p w14:paraId="084257D6">
                      <w:pPr>
                        <w:spacing w:line="280" w:lineRule="exact"/>
                        <w:jc w:val="right"/>
                      </w:pPr>
                      <w:r>
                        <w:rPr>
                          <w:rFonts w:ascii="黑体" w:hAnsi="黑体" w:eastAsia="黑体"/>
                          <w:sz w:val="28"/>
                        </w:rPr>
                        <w:t>GB/T</w:t>
                      </w:r>
                      <w:r>
                        <w:rPr>
                          <w:rFonts w:hint="eastAsia" w:ascii="黑体" w:hAnsi="黑体" w:eastAsia="黑体"/>
                          <w:sz w:val="28"/>
                        </w:rPr>
                        <w:t xml:space="preserve"> 18114.9</w:t>
                      </w:r>
                      <w:r>
                        <w:rPr>
                          <w:rFonts w:ascii="黑体" w:hAnsi="黑体" w:eastAsia="黑体"/>
                          <w:sz w:val="28"/>
                        </w:rPr>
                        <w:t>—202X</w:t>
                      </w:r>
                    </w:p>
                  </w:txbxContent>
                </v:textbox>
              </v:shape>
            </w:pict>
          </mc:Fallback>
        </mc:AlternateContent>
      </w:r>
    </w:p>
    <w:p w14:paraId="7E0B20D6">
      <w:pPr>
        <w:rPr>
          <w:color w:val="000000"/>
        </w:rPr>
      </w:pPr>
      <w:r>
        <w:rPr>
          <w:color w:val="000000"/>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351155</wp:posOffset>
                </wp:positionV>
                <wp:extent cx="6121400" cy="0"/>
                <wp:effectExtent l="0" t="0" r="31750" b="19050"/>
                <wp:wrapSquare wrapText="bothSides"/>
                <wp:docPr id="13"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0" o:spid="_x0000_s1026" o:spt="20" style="position:absolute;left:0pt;margin-left:0pt;margin-top:27.65pt;height:0pt;width:482pt;mso-position-horizontal-relative:margin;mso-wrap-distance-bottom:0pt;mso-wrap-distance-left:9pt;mso-wrap-distance-right:9pt;mso-wrap-distance-top:0pt;z-index:251665408;mso-width-relative:page;mso-height-relative:page;" filled="f" stroked="t" coordsize="21600,21600" o:gfxdata="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W5nfVAAAABgEAAA8AAAAAAAAA&#10;AQAgAAAAIgAAAGRycy9kb3ducmV2LnhtbFBLAQIUABQAAAAIAIdO4kA+D1+F2wEAALIDAAAOAAAA&#10;AAAAAAEAIAAAACQBAABkcnMvZTJvRG9jLnhtbFBLBQYAAAAABgAGAFkBAABxBQAAAAA=&#10;">
                <v:fill on="f" focussize="0,0"/>
                <v:stroke weight="1pt" color="#000000" joinstyle="round"/>
                <v:imagedata o:title=""/>
                <o:lock v:ext="edit" aspectratio="f"/>
                <w10:wrap type="square"/>
              </v:line>
            </w:pict>
          </mc:Fallback>
        </mc:AlternateContent>
      </w:r>
    </w:p>
    <w:p w14:paraId="6E9827BA">
      <w:pPr>
        <w:rPr>
          <w:color w:val="000000"/>
        </w:rPr>
      </w:pPr>
    </w:p>
    <w:p w14:paraId="24C9B127">
      <w:pPr>
        <w:rPr>
          <w:color w:val="000000"/>
        </w:rPr>
      </w:pPr>
    </w:p>
    <w:p w14:paraId="59503432">
      <w:pPr>
        <w:rPr>
          <w:color w:val="000000"/>
        </w:rPr>
      </w:pPr>
    </w:p>
    <w:p w14:paraId="6B5ECF94">
      <w:pPr>
        <w:rPr>
          <w:color w:val="000000"/>
        </w:rPr>
      </w:pPr>
    </w:p>
    <w:p w14:paraId="2735FD24">
      <w:pPr>
        <w:rPr>
          <w:color w:val="000000"/>
        </w:rPr>
      </w:pPr>
    </w:p>
    <w:p w14:paraId="545E195D">
      <w:pPr>
        <w:rPr>
          <w:color w:val="000000"/>
        </w:rPr>
      </w:pPr>
    </w:p>
    <w:p w14:paraId="3CB90CC7">
      <w:pPr>
        <w:rPr>
          <w:color w:val="000000"/>
        </w:rPr>
      </w:pPr>
    </w:p>
    <w:p w14:paraId="745FBAC9">
      <w:pPr>
        <w:rPr>
          <w:color w:val="000000"/>
        </w:rPr>
      </w:pPr>
    </w:p>
    <w:p w14:paraId="19A57FE4">
      <w:pPr>
        <w:rPr>
          <w:color w:val="000000"/>
        </w:rPr>
      </w:pPr>
    </w:p>
    <w:p w14:paraId="0BDD0784">
      <w:pPr>
        <w:rPr>
          <w:color w:val="000000"/>
        </w:rPr>
      </w:pPr>
    </w:p>
    <w:p w14:paraId="43EE2FE9">
      <w:pPr>
        <w:rPr>
          <w:color w:val="000000"/>
        </w:rPr>
      </w:pPr>
    </w:p>
    <w:p w14:paraId="3E0D12E3">
      <w:pPr>
        <w:tabs>
          <w:tab w:val="left" w:pos="8916"/>
        </w:tabs>
        <w:jc w:val="left"/>
        <w:rPr>
          <w:color w:val="000000"/>
        </w:rPr>
      </w:pPr>
      <w:r>
        <w:rPr>
          <w:color w:val="000000"/>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4384040</wp:posOffset>
                </wp:positionV>
                <wp:extent cx="6121400" cy="0"/>
                <wp:effectExtent l="0" t="0" r="31750" b="19050"/>
                <wp:wrapSquare wrapText="bothSides"/>
                <wp:docPr id="11"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11" o:spid="_x0000_s1026" o:spt="20" style="position:absolute;left:0pt;margin-left:0pt;margin-top:345.2pt;height:0pt;width:482pt;mso-position-horizontal-relative:margin;mso-wrap-distance-bottom:0pt;mso-wrap-distance-left:9pt;mso-wrap-distance-right:9pt;mso-wrap-distance-top:0pt;z-index:251666432;mso-width-relative:page;mso-height-relative:page;" filled="f" stroked="t" coordsize="21600,21600" o:gfxdata="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iuAA1gAAAAgBAAAPAAAAAAAAAAEAIAAA&#10;ACIAAABkcnMvZG93bnJldi54bWxQSwECFAAUAAAACACHTuJAcBg4CdUBAACkAwAADgAAAAAAAAAB&#10;ACAAAAAlAQAAZHJzL2Uyb0RvYy54bWxQSwUGAAAAAAYABgBZAQAAbAUAAAAA&#10;">
                <v:fill on="f" focussize="0,0"/>
                <v:stroke weight="1pt" color="#000000" joinstyle="round"/>
                <v:imagedata o:title=""/>
                <o:lock v:ext="edit" aspectratio="f"/>
                <w10:wrap type="square"/>
              </v:line>
            </w:pict>
          </mc:Fallback>
        </mc:AlternateContent>
      </w:r>
      <w:r>
        <w:rPr>
          <w:rFonts w:hint="eastAsia"/>
          <w:color w:val="000000"/>
        </w:rPr>
        <w:tab/>
      </w:r>
    </w:p>
    <w:p w14:paraId="2F956392">
      <w:pPr>
        <w:tabs>
          <w:tab w:val="left" w:pos="8916"/>
        </w:tabs>
        <w:jc w:val="left"/>
        <w:rPr>
          <w:color w:val="000000"/>
        </w:rPr>
      </w:pPr>
    </w:p>
    <w:p w14:paraId="1FEE57EA">
      <w:pPr>
        <w:tabs>
          <w:tab w:val="left" w:pos="8916"/>
        </w:tabs>
        <w:jc w:val="left"/>
        <w:rPr>
          <w:color w:val="000000"/>
        </w:rPr>
      </w:pPr>
    </w:p>
    <w:p w14:paraId="63C69DC0">
      <w:pPr>
        <w:tabs>
          <w:tab w:val="left" w:pos="8916"/>
        </w:tabs>
        <w:jc w:val="left"/>
        <w:rPr>
          <w:color w:val="000000"/>
        </w:rPr>
      </w:pPr>
    </w:p>
    <w:p w14:paraId="00FC1C29">
      <w:pPr>
        <w:tabs>
          <w:tab w:val="left" w:pos="8916"/>
        </w:tabs>
        <w:jc w:val="left"/>
        <w:rPr>
          <w:color w:val="000000"/>
        </w:rPr>
      </w:pPr>
    </w:p>
    <w:p w14:paraId="115949AC">
      <w:pPr>
        <w:tabs>
          <w:tab w:val="left" w:pos="8916"/>
        </w:tabs>
        <w:jc w:val="left"/>
        <w:rPr>
          <w:color w:val="000000"/>
        </w:rPr>
      </w:pPr>
    </w:p>
    <w:p w14:paraId="2703B4FF">
      <w:pPr>
        <w:tabs>
          <w:tab w:val="left" w:pos="8916"/>
        </w:tabs>
        <w:jc w:val="left"/>
        <w:rPr>
          <w:color w:val="000000"/>
        </w:rPr>
      </w:pPr>
    </w:p>
    <w:p w14:paraId="212846A0">
      <w:pPr>
        <w:tabs>
          <w:tab w:val="left" w:pos="8916"/>
        </w:tabs>
        <w:jc w:val="left"/>
        <w:rPr>
          <w:color w:val="000000"/>
        </w:rPr>
      </w:pPr>
    </w:p>
    <w:p w14:paraId="7E772010">
      <w:pPr>
        <w:tabs>
          <w:tab w:val="left" w:pos="8916"/>
        </w:tabs>
        <w:jc w:val="left"/>
        <w:rPr>
          <w:color w:val="000000"/>
        </w:rPr>
      </w:pPr>
    </w:p>
    <w:p w14:paraId="0984968B">
      <w:pPr>
        <w:tabs>
          <w:tab w:val="left" w:pos="8916"/>
        </w:tabs>
        <w:jc w:val="left"/>
        <w:rPr>
          <w:color w:val="000000"/>
        </w:rPr>
      </w:pPr>
    </w:p>
    <w:p w14:paraId="655D74A6">
      <w:pPr>
        <w:tabs>
          <w:tab w:val="left" w:pos="8916"/>
        </w:tabs>
        <w:jc w:val="left"/>
        <w:rPr>
          <w:color w:val="000000"/>
        </w:rPr>
      </w:pPr>
    </w:p>
    <w:p w14:paraId="124C7EFF">
      <w:pPr>
        <w:tabs>
          <w:tab w:val="left" w:pos="8916"/>
        </w:tabs>
        <w:jc w:val="left"/>
        <w:rPr>
          <w:color w:val="000000"/>
        </w:rPr>
      </w:pPr>
    </w:p>
    <w:p w14:paraId="45DBF88B">
      <w:pPr>
        <w:tabs>
          <w:tab w:val="left" w:pos="8916"/>
        </w:tabs>
        <w:jc w:val="left"/>
        <w:rPr>
          <w:color w:val="000000"/>
        </w:rPr>
      </w:pPr>
    </w:p>
    <w:p w14:paraId="32B9C83B">
      <w:pPr>
        <w:tabs>
          <w:tab w:val="left" w:pos="8916"/>
        </w:tabs>
        <w:jc w:val="left"/>
        <w:rPr>
          <w:color w:val="000000"/>
        </w:rPr>
      </w:pPr>
    </w:p>
    <w:p w14:paraId="1DE6AAFA">
      <w:pPr>
        <w:tabs>
          <w:tab w:val="left" w:pos="8916"/>
        </w:tabs>
        <w:jc w:val="left"/>
        <w:rPr>
          <w:color w:val="000000"/>
        </w:rPr>
      </w:pPr>
    </w:p>
    <w:p w14:paraId="63F2BE40">
      <w:pPr>
        <w:tabs>
          <w:tab w:val="left" w:pos="8916"/>
        </w:tabs>
        <w:jc w:val="left"/>
        <w:rPr>
          <w:color w:val="000000"/>
        </w:rPr>
      </w:pPr>
    </w:p>
    <w:p w14:paraId="3A4EE91C">
      <w:pPr>
        <w:tabs>
          <w:tab w:val="left" w:pos="8916"/>
        </w:tabs>
        <w:jc w:val="left"/>
        <w:rPr>
          <w:color w:val="000000"/>
        </w:rPr>
      </w:pPr>
    </w:p>
    <w:p w14:paraId="389470FC">
      <w:pPr>
        <w:tabs>
          <w:tab w:val="left" w:pos="8916"/>
        </w:tabs>
        <w:jc w:val="left"/>
        <w:rPr>
          <w:color w:val="000000"/>
        </w:rPr>
        <w:sectPr>
          <w:headerReference r:id="rId5" w:type="first"/>
          <w:headerReference r:id="rId3" w:type="default"/>
          <w:footerReference r:id="rId6" w:type="default"/>
          <w:headerReference r:id="rId4" w:type="even"/>
          <w:footerReference r:id="rId7" w:type="even"/>
          <w:pgSz w:w="11907" w:h="16839"/>
          <w:pgMar w:top="567" w:right="851" w:bottom="1418" w:left="1418" w:header="0" w:footer="0" w:gutter="0"/>
          <w:pgNumType w:fmt="upperRoman" w:start="1"/>
          <w:cols w:space="720" w:num="1"/>
          <w:titlePg/>
          <w:docGrid w:type="lines" w:linePitch="312" w:charSpace="0"/>
        </w:sectPr>
      </w:pPr>
      <w:r>
        <w:rPr>
          <w:color w:val="000000"/>
        </w:rPr>
        <mc:AlternateContent>
          <mc:Choice Requires="wps">
            <w:drawing>
              <wp:anchor distT="0" distB="0" distL="114300" distR="114300" simplePos="0" relativeHeight="251669504" behindDoc="0" locked="0" layoutInCell="1" allowOverlap="1">
                <wp:simplePos x="0" y="0"/>
                <wp:positionH relativeFrom="column">
                  <wp:posOffset>4739005</wp:posOffset>
                </wp:positionH>
                <wp:positionV relativeFrom="paragraph">
                  <wp:posOffset>1221105</wp:posOffset>
                </wp:positionV>
                <wp:extent cx="621665" cy="471170"/>
                <wp:effectExtent l="0" t="0" r="26035" b="24130"/>
                <wp:wrapNone/>
                <wp:docPr id="12"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621792" cy="471170"/>
                        </a:xfrm>
                        <a:prstGeom prst="rect">
                          <a:avLst/>
                        </a:prstGeom>
                        <a:solidFill>
                          <a:srgbClr val="FFFFFF"/>
                        </a:solidFill>
                        <a:ln w="9525">
                          <a:solidFill>
                            <a:srgbClr val="FFFFFF"/>
                          </a:solidFill>
                          <a:miter lim="800000"/>
                        </a:ln>
                      </wps:spPr>
                      <wps:txbx>
                        <w:txbxContent>
                          <w:p w14:paraId="3013B527">
                            <w:pPr>
                              <w:jc w:val="distribute"/>
                              <w:rPr>
                                <w:rFonts w:ascii="黑体" w:hAnsi="黑体" w:eastAsia="黑体"/>
                                <w:bCs/>
                                <w:color w:val="000000"/>
                                <w:sz w:val="28"/>
                              </w:rPr>
                            </w:pPr>
                            <w:r>
                              <w:rPr>
                                <w:rFonts w:hint="eastAsia" w:ascii="黑体" w:hAnsi="黑体" w:eastAsia="黑体"/>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id="文本框 26" o:spid="_x0000_s1026" o:spt="202" type="#_x0000_t202" style="position:absolute;left:0pt;margin-left:373.15pt;margin-top:96.15pt;height:37.1pt;width:48.95pt;z-index:251669504;mso-width-relative:page;mso-height-relative:page;" fillcolor="#FFFFFF" filled="t" stroked="t" coordsize="21600,21600" o:gfxdata="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&#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DDLVi2QAAAAsBAAAPAAAAAAAAAAEAIAAAACIAAABk&#10;cnMvZG93bnJldi54bWxQSwECFAAUAAAACACHTuJAQIkv8z4CAACIBAAADgAAAAAAAAABACAAAAAo&#10;AQAAZHJzL2Uyb0RvYy54bWxQSwUGAAAAAAYABgBZAQAA2AUAAAAA&#10;">
                <v:fill on="t" focussize="0,0"/>
                <v:stroke color="#FFFFFF" miterlimit="8" joinstyle="miter"/>
                <v:imagedata o:title=""/>
                <o:lock v:ext="edit" aspectratio="f"/>
                <v:textbox>
                  <w:txbxContent>
                    <w:p w14:paraId="3013B527">
                      <w:pPr>
                        <w:jc w:val="distribute"/>
                        <w:rPr>
                          <w:rFonts w:ascii="黑体" w:hAnsi="黑体" w:eastAsia="黑体"/>
                          <w:bCs/>
                          <w:color w:val="000000"/>
                          <w:sz w:val="28"/>
                        </w:rPr>
                      </w:pPr>
                      <w:r>
                        <w:rPr>
                          <w:rFonts w:hint="eastAsia" w:ascii="黑体" w:hAnsi="黑体" w:eastAsia="黑体"/>
                          <w:bCs/>
                          <w:color w:val="000000"/>
                          <w:sz w:val="28"/>
                        </w:rPr>
                        <w:t>发布</w:t>
                      </w:r>
                    </w:p>
                  </w:txbxContent>
                </v:textbox>
              </v:shape>
            </w:pict>
          </mc:Fallback>
        </mc:AlternateContent>
      </w:r>
    </w:p>
    <w:bookmarkEnd w:id="0"/>
    <w:p w14:paraId="76CAF27E">
      <w:pPr>
        <w:pStyle w:val="73"/>
        <w:numPr>
          <w:ilvl w:val="0"/>
          <w:numId w:val="0"/>
        </w:numPr>
        <w:spacing w:before="20" w:after="20"/>
        <w:rPr>
          <w:color w:val="000000"/>
        </w:rPr>
      </w:pPr>
      <w:bookmarkStart w:id="1" w:name="SectionMark2"/>
      <w:r>
        <w:rPr>
          <w:rFonts w:hint="eastAsia"/>
          <w:color w:val="000000"/>
        </w:rPr>
        <w:t>前   言</w:t>
      </w:r>
    </w:p>
    <w:bookmarkEnd w:id="1"/>
    <w:p w14:paraId="019F28CF">
      <w:pPr>
        <w:ind w:firstLine="420"/>
        <w:rPr>
          <w:rFonts w:ascii="宋体" w:hAnsi="宋体"/>
        </w:rPr>
      </w:pPr>
      <w:bookmarkStart w:id="2" w:name="SectionMark4"/>
      <w:r>
        <w:t>本文件按照GB/T 1.1-2020《标准化工作导则 第1部分：标准化文件的结构和起草规则》的规定起草。</w:t>
      </w:r>
    </w:p>
    <w:p w14:paraId="42A9374C">
      <w:pPr>
        <w:ind w:firstLine="420"/>
        <w:rPr>
          <w:rFonts w:asciiTheme="minorEastAsia" w:hAnsiTheme="minorEastAsia" w:eastAsiaTheme="minorEastAsia"/>
        </w:rPr>
      </w:pPr>
      <w:r>
        <w:rPr>
          <w:rFonts w:hint="eastAsia" w:ascii="宋体" w:hAnsi="宋体"/>
        </w:rPr>
        <w:t>本</w:t>
      </w:r>
      <w:r>
        <w:rPr>
          <w:rFonts w:ascii="宋体" w:hAnsi="宋体"/>
        </w:rPr>
        <w:t>文件是</w:t>
      </w:r>
      <w:r>
        <w:rPr>
          <w:rFonts w:eastAsiaTheme="minorEastAsia"/>
        </w:rPr>
        <w:t>GB/T 18114</w:t>
      </w:r>
      <w:r>
        <w:rPr>
          <w:rFonts w:hint="eastAsia" w:asciiTheme="minorEastAsia" w:hAnsiTheme="minorEastAsia" w:eastAsiaTheme="minorEastAsia"/>
        </w:rPr>
        <w:t>《稀土精矿化学分析方法</w:t>
      </w:r>
      <w:r>
        <w:rPr>
          <w:rFonts w:asciiTheme="minorEastAsia" w:hAnsiTheme="minorEastAsia" w:eastAsiaTheme="minorEastAsia"/>
        </w:rPr>
        <w:t>》</w:t>
      </w:r>
      <w:r>
        <w:rPr>
          <w:rFonts w:hint="eastAsia" w:asciiTheme="minorEastAsia" w:hAnsiTheme="minorEastAsia" w:eastAsiaTheme="minorEastAsia"/>
        </w:rPr>
        <w:t>的</w:t>
      </w:r>
      <w:r>
        <w:rPr>
          <w:rFonts w:eastAsiaTheme="minorEastAsia"/>
        </w:rPr>
        <w:t>第</w:t>
      </w:r>
      <w:r>
        <w:rPr>
          <w:rFonts w:hint="eastAsia" w:eastAsiaTheme="minorEastAsia"/>
        </w:rPr>
        <w:t>9</w:t>
      </w:r>
      <w:r>
        <w:rPr>
          <w:rFonts w:eastAsiaTheme="minorEastAsia"/>
        </w:rPr>
        <w:t>部分</w:t>
      </w:r>
      <w:r>
        <w:rPr>
          <w:rFonts w:asciiTheme="minorEastAsia" w:hAnsiTheme="minorEastAsia" w:eastAsiaTheme="minorEastAsia"/>
        </w:rPr>
        <w:t>。</w:t>
      </w:r>
      <w:r>
        <w:rPr>
          <w:rFonts w:eastAsiaTheme="minorEastAsia"/>
        </w:rPr>
        <w:t>GB/T</w:t>
      </w:r>
      <w:r>
        <w:t> </w:t>
      </w:r>
      <w:r>
        <w:rPr>
          <w:rFonts w:eastAsiaTheme="minorEastAsia"/>
        </w:rPr>
        <w:t>18114</w:t>
      </w:r>
      <w:r>
        <w:rPr>
          <w:rFonts w:hint="eastAsia" w:asciiTheme="minorEastAsia" w:hAnsiTheme="minorEastAsia" w:eastAsiaTheme="minorEastAsia"/>
        </w:rPr>
        <w:t>已经</w:t>
      </w:r>
      <w:r>
        <w:rPr>
          <w:rFonts w:asciiTheme="minorEastAsia" w:hAnsiTheme="minorEastAsia" w:eastAsiaTheme="minorEastAsia"/>
        </w:rPr>
        <w:t>发布了以下部分：</w:t>
      </w:r>
    </w:p>
    <w:p w14:paraId="228E865A">
      <w:pPr>
        <w:ind w:firstLine="420"/>
        <w:rPr>
          <w:rFonts w:eastAsiaTheme="minorEastAsia"/>
          <w:color w:val="000000"/>
        </w:rPr>
      </w:pPr>
      <w:r>
        <w:rPr>
          <w:szCs w:val="21"/>
        </w:rPr>
        <w:t>——</w:t>
      </w:r>
      <w:r>
        <w:rPr>
          <w:rFonts w:eastAsiaTheme="minorEastAsia"/>
          <w:color w:val="000000"/>
        </w:rPr>
        <w:t>第1部分：</w:t>
      </w:r>
      <w:r>
        <w:rPr>
          <w:rFonts w:hint="eastAsia" w:eastAsiaTheme="minorEastAsia"/>
          <w:color w:val="000000"/>
        </w:rPr>
        <w:t>稀土氧化物总量</w:t>
      </w:r>
      <w:r>
        <w:rPr>
          <w:rFonts w:eastAsiaTheme="minorEastAsia"/>
          <w:color w:val="000000"/>
        </w:rPr>
        <w:t xml:space="preserve">的测定 </w:t>
      </w:r>
      <w:r>
        <w:rPr>
          <w:rFonts w:hint="eastAsia" w:eastAsiaTheme="minorEastAsia"/>
          <w:color w:val="000000"/>
        </w:rPr>
        <w:t>重量</w:t>
      </w:r>
      <w:r>
        <w:rPr>
          <w:rFonts w:eastAsiaTheme="minorEastAsia"/>
          <w:color w:val="000000"/>
        </w:rPr>
        <w:t>法；</w:t>
      </w:r>
    </w:p>
    <w:p w14:paraId="4B0A22A9">
      <w:pPr>
        <w:ind w:firstLine="420"/>
        <w:rPr>
          <w:rFonts w:eastAsiaTheme="minorEastAsia"/>
          <w:color w:val="000000"/>
        </w:rPr>
      </w:pPr>
      <w:r>
        <w:rPr>
          <w:szCs w:val="21"/>
        </w:rPr>
        <w:t>——</w:t>
      </w:r>
      <w:r>
        <w:rPr>
          <w:rFonts w:eastAsiaTheme="minorEastAsia"/>
          <w:color w:val="000000"/>
        </w:rPr>
        <w:t>第2部分：</w:t>
      </w:r>
      <w:r>
        <w:rPr>
          <w:rFonts w:hint="eastAsia" w:eastAsiaTheme="minorEastAsia"/>
          <w:color w:val="000000"/>
        </w:rPr>
        <w:t>氧化钍</w:t>
      </w:r>
      <w:r>
        <w:rPr>
          <w:rFonts w:eastAsiaTheme="minorEastAsia"/>
          <w:color w:val="000000"/>
        </w:rPr>
        <w:t>量的测定；</w:t>
      </w:r>
    </w:p>
    <w:p w14:paraId="7BF7A81F">
      <w:pPr>
        <w:ind w:firstLine="420"/>
        <w:rPr>
          <w:rFonts w:eastAsiaTheme="minorEastAsia"/>
          <w:color w:val="000000"/>
        </w:rPr>
      </w:pPr>
      <w:r>
        <w:rPr>
          <w:szCs w:val="21"/>
        </w:rPr>
        <w:t>——</w:t>
      </w:r>
      <w:r>
        <w:rPr>
          <w:rFonts w:eastAsiaTheme="minorEastAsia"/>
          <w:color w:val="000000"/>
        </w:rPr>
        <w:t>第3部分：</w:t>
      </w:r>
      <w:r>
        <w:rPr>
          <w:rFonts w:hint="eastAsia" w:eastAsiaTheme="minorEastAsia"/>
          <w:color w:val="000000"/>
        </w:rPr>
        <w:t>氧化钙量的测定</w:t>
      </w:r>
      <w:r>
        <w:rPr>
          <w:rFonts w:eastAsiaTheme="minorEastAsia"/>
          <w:color w:val="000000"/>
        </w:rPr>
        <w:t>；</w:t>
      </w:r>
    </w:p>
    <w:p w14:paraId="36446340">
      <w:pPr>
        <w:ind w:firstLine="420"/>
        <w:rPr>
          <w:rFonts w:eastAsiaTheme="minorEastAsia"/>
          <w:color w:val="000000"/>
        </w:rPr>
      </w:pPr>
      <w:r>
        <w:rPr>
          <w:szCs w:val="21"/>
        </w:rPr>
        <w:t>——</w:t>
      </w:r>
      <w:r>
        <w:rPr>
          <w:rFonts w:eastAsiaTheme="minorEastAsia"/>
          <w:color w:val="000000"/>
        </w:rPr>
        <w:t>第4部分：</w:t>
      </w:r>
      <w:r>
        <w:rPr>
          <w:rFonts w:hint="eastAsia" w:eastAsiaTheme="minorEastAsia"/>
          <w:color w:val="000000"/>
        </w:rPr>
        <w:t>氧化铌、氧化锆、氧化钛</w:t>
      </w:r>
      <w:r>
        <w:rPr>
          <w:rFonts w:eastAsiaTheme="minorEastAsia"/>
          <w:color w:val="000000"/>
        </w:rPr>
        <w:t xml:space="preserve">量的测定  </w:t>
      </w:r>
      <w:r>
        <w:rPr>
          <w:rFonts w:hint="eastAsia" w:eastAsiaTheme="minorEastAsia"/>
          <w:color w:val="000000"/>
        </w:rPr>
        <w:t>电感耦合等离子体发射光谱</w:t>
      </w:r>
      <w:r>
        <w:rPr>
          <w:rFonts w:eastAsiaTheme="minorEastAsia"/>
          <w:color w:val="000000"/>
        </w:rPr>
        <w:t>法；</w:t>
      </w:r>
    </w:p>
    <w:p w14:paraId="6E476B58">
      <w:pPr>
        <w:ind w:firstLine="420"/>
        <w:rPr>
          <w:rFonts w:eastAsiaTheme="minorEastAsia"/>
          <w:color w:val="000000"/>
        </w:rPr>
      </w:pPr>
      <w:r>
        <w:rPr>
          <w:szCs w:val="21"/>
        </w:rPr>
        <w:t>——</w:t>
      </w:r>
      <w:r>
        <w:rPr>
          <w:rFonts w:eastAsiaTheme="minorEastAsia"/>
          <w:color w:val="000000"/>
        </w:rPr>
        <w:t>第5部分：</w:t>
      </w:r>
      <w:r>
        <w:rPr>
          <w:rFonts w:hint="eastAsia" w:eastAsiaTheme="minorEastAsia"/>
          <w:color w:val="000000"/>
        </w:rPr>
        <w:t>氧化铝</w:t>
      </w:r>
      <w:r>
        <w:rPr>
          <w:rFonts w:eastAsiaTheme="minorEastAsia"/>
          <w:color w:val="000000"/>
        </w:rPr>
        <w:t xml:space="preserve">量的测定  </w:t>
      </w:r>
      <w:r>
        <w:rPr>
          <w:rFonts w:hint="eastAsia" w:eastAsiaTheme="minorEastAsia"/>
          <w:color w:val="000000"/>
        </w:rPr>
        <w:t>电感耦合等离子体发射光谱</w:t>
      </w:r>
      <w:r>
        <w:rPr>
          <w:rFonts w:eastAsiaTheme="minorEastAsia"/>
          <w:color w:val="000000"/>
        </w:rPr>
        <w:t>法；</w:t>
      </w:r>
    </w:p>
    <w:p w14:paraId="55C20DFD">
      <w:pPr>
        <w:ind w:firstLine="420"/>
        <w:rPr>
          <w:rFonts w:eastAsiaTheme="minorEastAsia"/>
          <w:color w:val="000000"/>
        </w:rPr>
      </w:pPr>
      <w:r>
        <w:rPr>
          <w:szCs w:val="21"/>
        </w:rPr>
        <w:t>——</w:t>
      </w:r>
      <w:r>
        <w:rPr>
          <w:rFonts w:eastAsiaTheme="minorEastAsia"/>
          <w:color w:val="000000"/>
        </w:rPr>
        <w:t>第6部分：</w:t>
      </w:r>
      <w:r>
        <w:rPr>
          <w:rFonts w:hint="eastAsia" w:eastAsiaTheme="minorEastAsia"/>
          <w:color w:val="000000"/>
        </w:rPr>
        <w:t>二氧化硅</w:t>
      </w:r>
      <w:r>
        <w:rPr>
          <w:rFonts w:eastAsiaTheme="minorEastAsia"/>
          <w:color w:val="000000"/>
        </w:rPr>
        <w:t>量的测定；</w:t>
      </w:r>
    </w:p>
    <w:p w14:paraId="701BF643">
      <w:pPr>
        <w:ind w:firstLine="420"/>
        <w:rPr>
          <w:rFonts w:eastAsiaTheme="minorEastAsia"/>
          <w:color w:val="000000"/>
        </w:rPr>
      </w:pPr>
      <w:r>
        <w:rPr>
          <w:szCs w:val="21"/>
        </w:rPr>
        <w:t>——</w:t>
      </w:r>
      <w:r>
        <w:rPr>
          <w:rFonts w:eastAsiaTheme="minorEastAsia"/>
          <w:color w:val="000000"/>
        </w:rPr>
        <w:t>第7部分：</w:t>
      </w:r>
      <w:r>
        <w:rPr>
          <w:rFonts w:hint="eastAsia" w:eastAsiaTheme="minorEastAsia"/>
          <w:color w:val="000000"/>
        </w:rPr>
        <w:t>氧化铁</w:t>
      </w:r>
      <w:r>
        <w:rPr>
          <w:rFonts w:eastAsiaTheme="minorEastAsia"/>
          <w:color w:val="000000"/>
        </w:rPr>
        <w:t>量的测定</w:t>
      </w:r>
      <w:r>
        <w:rPr>
          <w:rFonts w:hint="eastAsia" w:eastAsiaTheme="minorEastAsia"/>
          <w:color w:val="000000"/>
        </w:rPr>
        <w:t xml:space="preserve"> 重铬酸钾滴定法</w:t>
      </w:r>
      <w:r>
        <w:rPr>
          <w:rFonts w:eastAsiaTheme="minorEastAsia"/>
          <w:color w:val="000000"/>
        </w:rPr>
        <w:t>；</w:t>
      </w:r>
    </w:p>
    <w:p w14:paraId="0A640B4F">
      <w:pPr>
        <w:ind w:firstLine="420"/>
        <w:rPr>
          <w:rFonts w:eastAsiaTheme="minorEastAsia"/>
          <w:color w:val="000000"/>
        </w:rPr>
      </w:pPr>
      <w:r>
        <w:rPr>
          <w:szCs w:val="21"/>
        </w:rPr>
        <w:t>——</w:t>
      </w:r>
      <w:r>
        <w:rPr>
          <w:rFonts w:eastAsiaTheme="minorEastAsia"/>
          <w:color w:val="000000"/>
        </w:rPr>
        <w:t>第8部分：</w:t>
      </w:r>
      <w:r>
        <w:rPr>
          <w:rFonts w:hint="eastAsia" w:eastAsiaTheme="minorEastAsia"/>
          <w:color w:val="000000"/>
          <w:lang w:val="en-US" w:eastAsia="zh-CN"/>
        </w:rPr>
        <w:t>稀土氧化物量和配分量的测定</w:t>
      </w:r>
      <w:r>
        <w:rPr>
          <w:rFonts w:eastAsiaTheme="minorEastAsia"/>
          <w:color w:val="000000"/>
        </w:rPr>
        <w:t>；</w:t>
      </w:r>
    </w:p>
    <w:p w14:paraId="3D4625B8">
      <w:pPr>
        <w:ind w:firstLine="420"/>
        <w:rPr>
          <w:rFonts w:eastAsiaTheme="minorEastAsia"/>
          <w:color w:val="000000"/>
        </w:rPr>
      </w:pPr>
      <w:r>
        <w:rPr>
          <w:szCs w:val="21"/>
        </w:rPr>
        <w:t>——</w:t>
      </w:r>
      <w:r>
        <w:rPr>
          <w:rFonts w:eastAsiaTheme="minorEastAsia"/>
          <w:color w:val="000000"/>
        </w:rPr>
        <w:t>第9部分：</w:t>
      </w:r>
      <w:r>
        <w:rPr>
          <w:rFonts w:hint="eastAsia" w:eastAsiaTheme="minorEastAsia"/>
          <w:color w:val="000000"/>
        </w:rPr>
        <w:t>五氧化二磷</w:t>
      </w:r>
      <w:r>
        <w:rPr>
          <w:rFonts w:eastAsiaTheme="minorEastAsia"/>
          <w:color w:val="000000"/>
        </w:rPr>
        <w:t>量的测定；</w:t>
      </w:r>
    </w:p>
    <w:p w14:paraId="7EC5DBDB">
      <w:pPr>
        <w:ind w:firstLine="420"/>
        <w:rPr>
          <w:rFonts w:eastAsiaTheme="minorEastAsia"/>
          <w:color w:val="000000"/>
        </w:rPr>
      </w:pPr>
      <w:r>
        <w:rPr>
          <w:szCs w:val="21"/>
        </w:rPr>
        <w:t>——</w:t>
      </w:r>
      <w:r>
        <w:rPr>
          <w:rFonts w:eastAsiaTheme="minorEastAsia"/>
          <w:color w:val="000000"/>
        </w:rPr>
        <w:t>第10部分：</w:t>
      </w:r>
      <w:r>
        <w:rPr>
          <w:rFonts w:hint="eastAsia" w:eastAsiaTheme="minorEastAsia"/>
          <w:color w:val="000000"/>
        </w:rPr>
        <w:t>水分</w:t>
      </w:r>
      <w:r>
        <w:rPr>
          <w:rFonts w:eastAsiaTheme="minorEastAsia"/>
          <w:color w:val="000000"/>
        </w:rPr>
        <w:t xml:space="preserve">的测定  </w:t>
      </w:r>
      <w:r>
        <w:rPr>
          <w:rFonts w:hint="eastAsia" w:eastAsiaTheme="minorEastAsia"/>
          <w:color w:val="000000"/>
        </w:rPr>
        <w:t>重量</w:t>
      </w:r>
      <w:r>
        <w:rPr>
          <w:rFonts w:eastAsiaTheme="minorEastAsia"/>
          <w:color w:val="000000"/>
        </w:rPr>
        <w:t>法；</w:t>
      </w:r>
    </w:p>
    <w:p w14:paraId="537A7905">
      <w:pPr>
        <w:ind w:firstLine="420"/>
        <w:rPr>
          <w:rFonts w:eastAsiaTheme="minorEastAsia"/>
          <w:color w:val="000000"/>
        </w:rPr>
      </w:pPr>
      <w:r>
        <w:rPr>
          <w:szCs w:val="21"/>
        </w:rPr>
        <w:t>——</w:t>
      </w:r>
      <w:r>
        <w:rPr>
          <w:rFonts w:eastAsiaTheme="minorEastAsia"/>
          <w:color w:val="000000"/>
        </w:rPr>
        <w:t>第11部分：</w:t>
      </w:r>
      <w:r>
        <w:rPr>
          <w:rFonts w:hint="eastAsia" w:eastAsiaTheme="minorEastAsia"/>
          <w:color w:val="000000"/>
        </w:rPr>
        <w:t>氟</w:t>
      </w:r>
      <w:r>
        <w:rPr>
          <w:rFonts w:eastAsiaTheme="minorEastAsia"/>
          <w:color w:val="000000"/>
        </w:rPr>
        <w:t>量的测定。</w:t>
      </w:r>
    </w:p>
    <w:p w14:paraId="7E053227">
      <w:pPr>
        <w:ind w:firstLine="420"/>
        <w:rPr>
          <w:rFonts w:eastAsiaTheme="minorEastAsia"/>
        </w:rPr>
      </w:pPr>
      <w:r>
        <w:rPr>
          <w:rFonts w:hint="eastAsia" w:eastAsiaTheme="minorEastAsia"/>
        </w:rPr>
        <w:t>本文件代替</w:t>
      </w:r>
      <w:r>
        <w:rPr>
          <w:rFonts w:eastAsiaTheme="minorEastAsia"/>
        </w:rPr>
        <w:t>GB/T</w:t>
      </w:r>
      <w:r>
        <w:t> </w:t>
      </w:r>
      <w:r>
        <w:rPr>
          <w:rFonts w:eastAsiaTheme="minorEastAsia"/>
        </w:rPr>
        <w:t>18114</w:t>
      </w:r>
      <w:r>
        <w:rPr>
          <w:rFonts w:hint="eastAsia" w:eastAsiaTheme="minorEastAsia"/>
        </w:rPr>
        <w:t>.9-2010</w:t>
      </w:r>
      <w:r>
        <w:rPr>
          <w:rFonts w:eastAsiaTheme="minorEastAsia"/>
        </w:rPr>
        <w:t>《稀土精矿化学分析方法 第</w:t>
      </w:r>
      <w:r>
        <w:rPr>
          <w:rFonts w:hint="eastAsia" w:eastAsiaTheme="minorEastAsia"/>
        </w:rPr>
        <w:t>9</w:t>
      </w:r>
      <w:r>
        <w:rPr>
          <w:rFonts w:eastAsiaTheme="minorEastAsia"/>
        </w:rPr>
        <w:t>部分：</w:t>
      </w:r>
      <w:r>
        <w:rPr>
          <w:rFonts w:hint="eastAsia" w:eastAsiaTheme="minorEastAsia"/>
        </w:rPr>
        <w:t>五氧化二磷</w:t>
      </w:r>
      <w:r>
        <w:rPr>
          <w:rFonts w:eastAsiaTheme="minorEastAsia"/>
        </w:rPr>
        <w:t xml:space="preserve">量的测定 </w:t>
      </w:r>
      <w:r>
        <w:rPr>
          <w:rFonts w:hint="eastAsia" w:eastAsiaTheme="minorEastAsia"/>
        </w:rPr>
        <w:t>磷铋钼蓝分光光度法</w:t>
      </w:r>
      <w:r>
        <w:rPr>
          <w:rFonts w:eastAsiaTheme="minorEastAsia"/>
        </w:rPr>
        <w:t>》</w:t>
      </w:r>
      <w:r>
        <w:rPr>
          <w:rFonts w:hint="eastAsia" w:eastAsiaTheme="minorEastAsia"/>
        </w:rPr>
        <w:t>，与</w:t>
      </w:r>
      <w:r>
        <w:rPr>
          <w:rFonts w:eastAsiaTheme="minorEastAsia"/>
        </w:rPr>
        <w:t>GB/T</w:t>
      </w:r>
      <w:r>
        <w:t> </w:t>
      </w:r>
      <w:r>
        <w:rPr>
          <w:rFonts w:eastAsiaTheme="minorEastAsia"/>
        </w:rPr>
        <w:t>18114</w:t>
      </w:r>
      <w:r>
        <w:rPr>
          <w:rFonts w:hint="eastAsia" w:eastAsiaTheme="minorEastAsia"/>
        </w:rPr>
        <w:t>.9-2010相比，除结构调整和编辑性改动外，主要技术变化如下：</w:t>
      </w:r>
    </w:p>
    <w:p w14:paraId="12D7D1C8">
      <w:pPr>
        <w:ind w:firstLine="420"/>
        <w:rPr>
          <w:rFonts w:eastAsiaTheme="minorEastAsia"/>
        </w:rPr>
      </w:pPr>
      <w:r>
        <w:rPr>
          <w:rFonts w:hint="eastAsia" w:eastAsiaTheme="minorEastAsia"/>
        </w:rPr>
        <w:t>a）五氧化二磷量测定范围由“0.20%~30.00%”变为“方法1：0.</w:t>
      </w:r>
      <w:r>
        <w:rPr>
          <w:rFonts w:hint="eastAsia" w:eastAsiaTheme="minorEastAsia"/>
          <w:lang w:val="en-US" w:eastAsia="zh-CN"/>
        </w:rPr>
        <w:t>10</w:t>
      </w:r>
      <w:r>
        <w:rPr>
          <w:rFonts w:hint="eastAsia" w:eastAsiaTheme="minorEastAsia"/>
        </w:rPr>
        <w:t>%~30.00%、方法2：0.10%~30.00%”；</w:t>
      </w:r>
    </w:p>
    <w:p w14:paraId="154E1C78">
      <w:pPr>
        <w:ind w:firstLine="420"/>
        <w:rPr>
          <w:rFonts w:eastAsiaTheme="minorEastAsia"/>
        </w:rPr>
      </w:pPr>
      <w:r>
        <w:rPr>
          <w:rFonts w:hint="eastAsia" w:eastAsiaTheme="minorEastAsia"/>
        </w:rPr>
        <w:t>b）“方法1 磷铋钼蓝分光光度法”更改了“精密度”，将“允许差”改为“再现性”；</w:t>
      </w:r>
    </w:p>
    <w:p w14:paraId="66001691">
      <w:pPr>
        <w:ind w:firstLine="420"/>
        <w:rPr>
          <w:rFonts w:eastAsiaTheme="minorEastAsia"/>
        </w:rPr>
      </w:pPr>
      <w:r>
        <w:rPr>
          <w:rFonts w:hint="eastAsia" w:eastAsiaTheme="minorEastAsia"/>
        </w:rPr>
        <w:t>c）增加“方法2</w:t>
      </w:r>
      <w:r>
        <w:rPr>
          <w:rFonts w:hint="eastAsia"/>
          <w:szCs w:val="21"/>
        </w:rPr>
        <w:t>电感耦合等离子体发射光谱法</w:t>
      </w:r>
      <w:r>
        <w:rPr>
          <w:rFonts w:hint="eastAsia" w:eastAsiaTheme="minorEastAsia"/>
        </w:rPr>
        <w:t>”。</w:t>
      </w:r>
    </w:p>
    <w:p w14:paraId="0C2AF74F">
      <w:pPr>
        <w:ind w:firstLine="420"/>
        <w:rPr>
          <w:rFonts w:eastAsiaTheme="minorEastAsia"/>
        </w:rPr>
      </w:pPr>
      <w:r>
        <w:rPr>
          <w:rFonts w:eastAsiaTheme="minorEastAsia"/>
        </w:rPr>
        <w:t>请注意本文件的某些内容可能涉及专利。本文件的发布机构不承担识别专利的责任。</w:t>
      </w:r>
    </w:p>
    <w:p w14:paraId="22A00206">
      <w:pPr>
        <w:ind w:firstLine="420"/>
        <w:rPr>
          <w:rFonts w:eastAsiaTheme="minorEastAsia"/>
        </w:rPr>
      </w:pPr>
      <w:r>
        <w:rPr>
          <w:rFonts w:eastAsiaTheme="minorEastAsia"/>
        </w:rPr>
        <w:t>本文件由全国稀土标准化技术委员会（SAC/TC 229）提出并归口。</w:t>
      </w:r>
    </w:p>
    <w:p w14:paraId="36AABCD3">
      <w:pPr>
        <w:ind w:firstLine="420"/>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起草单位：</w:t>
      </w:r>
      <w:r>
        <w:rPr>
          <w:rFonts w:hint="eastAsia" w:asciiTheme="minorEastAsia" w:hAnsiTheme="minorEastAsia" w:eastAsiaTheme="minorEastAsia"/>
        </w:rPr>
        <w:t>包头稀土研究院、国标（北京）检验认证有限公司、江西金世纪新材料股份有限公司、中国科学院海西研究院厦门稀土材料研究所、包头稀土新材料技术研发中心、包头华美稀土高科技有限公司、四川省冕宁县方兴稀土有限公司。</w:t>
      </w:r>
    </w:p>
    <w:p w14:paraId="0C354721">
      <w:pPr>
        <w:ind w:firstLine="420"/>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主要起草人：</w:t>
      </w:r>
    </w:p>
    <w:p w14:paraId="7AC4721C">
      <w:pPr>
        <w:pStyle w:val="47"/>
        <w:ind w:firstLine="420"/>
        <w:rPr>
          <w:rFonts w:ascii="Times New Roman"/>
        </w:rPr>
      </w:pPr>
      <w:r>
        <w:rPr>
          <w:rFonts w:hint="eastAsia" w:ascii="Times New Roman"/>
        </w:rPr>
        <w:t>本文件及其所代替文件的历次版本发布情况为：</w:t>
      </w:r>
    </w:p>
    <w:p w14:paraId="685869B6">
      <w:pPr>
        <w:pStyle w:val="47"/>
        <w:ind w:firstLine="420"/>
        <w:rPr>
          <w:rFonts w:ascii="Times New Roman"/>
          <w:szCs w:val="21"/>
        </w:rPr>
      </w:pPr>
      <w:r>
        <w:rPr>
          <w:rFonts w:ascii="Times New Roman"/>
          <w:szCs w:val="21"/>
        </w:rPr>
        <w:t>——</w:t>
      </w:r>
      <w:r>
        <w:rPr>
          <w:rFonts w:hint="eastAsia" w:ascii="Times New Roman"/>
          <w:szCs w:val="21"/>
        </w:rPr>
        <w:t>2000</w:t>
      </w:r>
      <w:r>
        <w:rPr>
          <w:rFonts w:ascii="Times New Roman"/>
          <w:szCs w:val="21"/>
        </w:rPr>
        <w:t>年首次发布为</w:t>
      </w:r>
      <w:r>
        <w:rPr>
          <w:rFonts w:hint="eastAsia" w:ascii="Times New Roman"/>
          <w:szCs w:val="21"/>
        </w:rPr>
        <w:t>GB/T 18114.9-2000；</w:t>
      </w:r>
    </w:p>
    <w:p w14:paraId="6A07B084">
      <w:pPr>
        <w:pStyle w:val="47"/>
        <w:ind w:firstLine="420"/>
        <w:rPr>
          <w:rFonts w:ascii="Times New Roman"/>
          <w:szCs w:val="21"/>
        </w:rPr>
      </w:pPr>
      <w:r>
        <w:rPr>
          <w:rFonts w:ascii="Times New Roman"/>
          <w:szCs w:val="21"/>
        </w:rPr>
        <w:t>——</w:t>
      </w:r>
      <w:r>
        <w:rPr>
          <w:rFonts w:hint="eastAsia" w:ascii="Times New Roman"/>
          <w:szCs w:val="21"/>
        </w:rPr>
        <w:t>2010年第一次修订为GB/T 18114.9-2010；</w:t>
      </w:r>
    </w:p>
    <w:p w14:paraId="1BC057A2">
      <w:pPr>
        <w:pStyle w:val="47"/>
        <w:ind w:firstLine="420"/>
        <w:rPr>
          <w:rFonts w:ascii="Times New Roman"/>
          <w:szCs w:val="21"/>
        </w:rPr>
      </w:pPr>
      <w:r>
        <w:rPr>
          <w:rFonts w:ascii="Times New Roman"/>
          <w:szCs w:val="21"/>
        </w:rPr>
        <w:t>——</w:t>
      </w:r>
      <w:r>
        <w:rPr>
          <w:rFonts w:hint="eastAsia" w:ascii="Times New Roman"/>
          <w:szCs w:val="21"/>
        </w:rPr>
        <w:t>本次为第二次修订。</w:t>
      </w:r>
    </w:p>
    <w:p w14:paraId="6F4556E6">
      <w:pPr>
        <w:pStyle w:val="73"/>
        <w:numPr>
          <w:ilvl w:val="0"/>
          <w:numId w:val="0"/>
        </w:numPr>
        <w:spacing w:before="851" w:after="680"/>
        <w:rPr>
          <w:color w:val="000000"/>
        </w:rPr>
      </w:pPr>
    </w:p>
    <w:p w14:paraId="7DE94539">
      <w:pPr>
        <w:pStyle w:val="73"/>
        <w:numPr>
          <w:ilvl w:val="0"/>
          <w:numId w:val="0"/>
        </w:numPr>
        <w:spacing w:before="851" w:after="680"/>
        <w:jc w:val="both"/>
        <w:rPr>
          <w:color w:val="000000"/>
        </w:rPr>
      </w:pPr>
    </w:p>
    <w:p w14:paraId="0CC926DE">
      <w:pPr>
        <w:pStyle w:val="73"/>
        <w:numPr>
          <w:ilvl w:val="0"/>
          <w:numId w:val="0"/>
        </w:numPr>
        <w:spacing w:before="0" w:after="20"/>
        <w:rPr>
          <w:color w:val="000000"/>
        </w:rPr>
      </w:pPr>
    </w:p>
    <w:p w14:paraId="75826AB1">
      <w:pPr>
        <w:pStyle w:val="73"/>
        <w:numPr>
          <w:ilvl w:val="0"/>
          <w:numId w:val="0"/>
        </w:numPr>
        <w:spacing w:before="20" w:after="20"/>
        <w:rPr>
          <w:color w:val="000000"/>
        </w:rPr>
      </w:pPr>
      <w:r>
        <w:rPr>
          <w:rFonts w:hint="eastAsia"/>
          <w:color w:val="000000"/>
        </w:rPr>
        <w:t>引 言</w:t>
      </w:r>
    </w:p>
    <w:p w14:paraId="40DF12C5">
      <w:pPr>
        <w:ind w:firstLine="420" w:firstLineChars="200"/>
        <w:rPr>
          <w:rFonts w:asciiTheme="minorEastAsia" w:hAnsiTheme="minorEastAsia" w:eastAsiaTheme="minorEastAsia"/>
        </w:rPr>
      </w:pPr>
    </w:p>
    <w:p w14:paraId="4F2CBD53">
      <w:pPr>
        <w:ind w:firstLine="420" w:firstLineChars="200"/>
        <w:rPr>
          <w:rFonts w:ascii="宋体" w:hAnsi="宋体" w:cs="宋体"/>
          <w:szCs w:val="21"/>
        </w:rPr>
      </w:pPr>
      <w:r>
        <w:rPr>
          <w:rFonts w:hint="eastAsia" w:asciiTheme="minorEastAsia" w:hAnsiTheme="minorEastAsia" w:eastAsiaTheme="minorEastAsia"/>
        </w:rPr>
        <w:t>稀土精矿是稀土冶炼工业的主要原材料，在稀土领域标准体系中，稀土精矿化学分析方法是其重要组成部分，在保证稀土产品质量方面发挥着重要作用，能够为稀土精矿生产、贸易、应用等活动提供技术支撑。</w:t>
      </w:r>
    </w:p>
    <w:p w14:paraId="5576C0A6">
      <w:pPr>
        <w:spacing w:line="360" w:lineRule="exact"/>
        <w:ind w:firstLine="420" w:firstLineChars="200"/>
        <w:rPr>
          <w:szCs w:val="21"/>
        </w:rPr>
      </w:pPr>
      <w:r>
        <w:rPr>
          <w:szCs w:val="21"/>
        </w:rPr>
        <w:t>根据检测对象、检测方法的不同，GB/T 18114由11个部分构成：</w:t>
      </w:r>
    </w:p>
    <w:p w14:paraId="179E4FAA">
      <w:pPr>
        <w:ind w:firstLine="420"/>
        <w:rPr>
          <w:rFonts w:eastAsiaTheme="minorEastAsia"/>
          <w:color w:val="000000"/>
        </w:rPr>
      </w:pPr>
      <w:r>
        <w:rPr>
          <w:szCs w:val="21"/>
        </w:rPr>
        <w:t>——</w:t>
      </w:r>
      <w:r>
        <w:rPr>
          <w:rFonts w:eastAsiaTheme="minorEastAsia"/>
          <w:color w:val="000000"/>
        </w:rPr>
        <w:t>第1部分：</w:t>
      </w:r>
      <w:r>
        <w:rPr>
          <w:rFonts w:hint="eastAsia" w:eastAsiaTheme="minorEastAsia"/>
          <w:color w:val="000000"/>
        </w:rPr>
        <w:t>稀土氧化物总量</w:t>
      </w:r>
      <w:r>
        <w:rPr>
          <w:rFonts w:eastAsiaTheme="minorEastAsia"/>
          <w:color w:val="000000"/>
        </w:rPr>
        <w:t xml:space="preserve">的测定 </w:t>
      </w:r>
      <w:r>
        <w:rPr>
          <w:rFonts w:hint="eastAsia" w:eastAsiaTheme="minorEastAsia"/>
          <w:color w:val="000000"/>
        </w:rPr>
        <w:t>重量</w:t>
      </w:r>
      <w:r>
        <w:rPr>
          <w:rFonts w:eastAsiaTheme="minorEastAsia"/>
          <w:color w:val="000000"/>
        </w:rPr>
        <w:t>法；</w:t>
      </w:r>
    </w:p>
    <w:p w14:paraId="6A379D4A">
      <w:pPr>
        <w:ind w:firstLine="420"/>
        <w:rPr>
          <w:rFonts w:eastAsiaTheme="minorEastAsia"/>
          <w:color w:val="000000"/>
        </w:rPr>
      </w:pPr>
      <w:r>
        <w:rPr>
          <w:szCs w:val="21"/>
        </w:rPr>
        <w:t>——</w:t>
      </w:r>
      <w:r>
        <w:rPr>
          <w:rFonts w:eastAsiaTheme="minorEastAsia"/>
          <w:color w:val="000000"/>
        </w:rPr>
        <w:t>第2部分：</w:t>
      </w:r>
      <w:r>
        <w:rPr>
          <w:rFonts w:hint="eastAsia" w:eastAsiaTheme="minorEastAsia"/>
          <w:color w:val="000000"/>
        </w:rPr>
        <w:t>氧化钍</w:t>
      </w:r>
      <w:r>
        <w:rPr>
          <w:rFonts w:eastAsiaTheme="minorEastAsia"/>
          <w:color w:val="000000"/>
        </w:rPr>
        <w:t>量的测定；</w:t>
      </w:r>
    </w:p>
    <w:p w14:paraId="6D1BD539">
      <w:pPr>
        <w:ind w:firstLine="420"/>
        <w:rPr>
          <w:rFonts w:eastAsiaTheme="minorEastAsia"/>
          <w:color w:val="000000"/>
        </w:rPr>
      </w:pPr>
      <w:r>
        <w:rPr>
          <w:szCs w:val="21"/>
        </w:rPr>
        <w:t>——</w:t>
      </w:r>
      <w:r>
        <w:rPr>
          <w:rFonts w:eastAsiaTheme="minorEastAsia"/>
          <w:color w:val="000000"/>
        </w:rPr>
        <w:t>第3部分：</w:t>
      </w:r>
      <w:r>
        <w:rPr>
          <w:rFonts w:hint="eastAsia" w:eastAsiaTheme="minorEastAsia"/>
          <w:color w:val="000000"/>
        </w:rPr>
        <w:t>氧化钙量的测定</w:t>
      </w:r>
      <w:r>
        <w:rPr>
          <w:rFonts w:eastAsiaTheme="minorEastAsia"/>
          <w:color w:val="000000"/>
        </w:rPr>
        <w:t>；</w:t>
      </w:r>
    </w:p>
    <w:p w14:paraId="3C83C423">
      <w:pPr>
        <w:ind w:firstLine="420"/>
        <w:rPr>
          <w:rFonts w:eastAsiaTheme="minorEastAsia"/>
          <w:color w:val="000000"/>
        </w:rPr>
      </w:pPr>
      <w:r>
        <w:rPr>
          <w:szCs w:val="21"/>
        </w:rPr>
        <w:t>——</w:t>
      </w:r>
      <w:r>
        <w:rPr>
          <w:rFonts w:eastAsiaTheme="minorEastAsia"/>
          <w:color w:val="000000"/>
        </w:rPr>
        <w:t>第4部分：</w:t>
      </w:r>
      <w:r>
        <w:rPr>
          <w:rFonts w:hint="eastAsia" w:eastAsiaTheme="minorEastAsia"/>
          <w:color w:val="000000"/>
        </w:rPr>
        <w:t>氧化铌、氧化锆、氧化钛</w:t>
      </w:r>
      <w:r>
        <w:rPr>
          <w:rFonts w:eastAsiaTheme="minorEastAsia"/>
          <w:color w:val="000000"/>
        </w:rPr>
        <w:t xml:space="preserve">量的测定  </w:t>
      </w:r>
      <w:r>
        <w:rPr>
          <w:rFonts w:hint="eastAsia" w:eastAsiaTheme="minorEastAsia"/>
          <w:color w:val="000000"/>
        </w:rPr>
        <w:t>电感耦合等离子体发射光谱</w:t>
      </w:r>
      <w:r>
        <w:rPr>
          <w:rFonts w:eastAsiaTheme="minorEastAsia"/>
          <w:color w:val="000000"/>
        </w:rPr>
        <w:t>法；</w:t>
      </w:r>
    </w:p>
    <w:p w14:paraId="1B9A28C0">
      <w:pPr>
        <w:ind w:firstLine="420"/>
        <w:rPr>
          <w:rFonts w:eastAsiaTheme="minorEastAsia"/>
          <w:color w:val="000000"/>
        </w:rPr>
      </w:pPr>
      <w:r>
        <w:rPr>
          <w:szCs w:val="21"/>
        </w:rPr>
        <w:t>——</w:t>
      </w:r>
      <w:r>
        <w:rPr>
          <w:rFonts w:eastAsiaTheme="minorEastAsia"/>
          <w:color w:val="000000"/>
        </w:rPr>
        <w:t>第5部分：</w:t>
      </w:r>
      <w:r>
        <w:rPr>
          <w:rFonts w:hint="eastAsia" w:eastAsiaTheme="minorEastAsia"/>
          <w:color w:val="000000"/>
        </w:rPr>
        <w:t>氧化铝</w:t>
      </w:r>
      <w:r>
        <w:rPr>
          <w:rFonts w:eastAsiaTheme="minorEastAsia"/>
          <w:color w:val="000000"/>
        </w:rPr>
        <w:t xml:space="preserve">量的测定  </w:t>
      </w:r>
      <w:r>
        <w:rPr>
          <w:rFonts w:hint="eastAsia" w:eastAsiaTheme="minorEastAsia"/>
          <w:color w:val="000000"/>
        </w:rPr>
        <w:t>电感耦合等离子体发射光谱</w:t>
      </w:r>
      <w:r>
        <w:rPr>
          <w:rFonts w:eastAsiaTheme="minorEastAsia"/>
          <w:color w:val="000000"/>
        </w:rPr>
        <w:t>法；</w:t>
      </w:r>
    </w:p>
    <w:p w14:paraId="46888EC1">
      <w:pPr>
        <w:ind w:firstLine="420"/>
        <w:rPr>
          <w:rFonts w:eastAsiaTheme="minorEastAsia"/>
          <w:color w:val="000000"/>
        </w:rPr>
      </w:pPr>
      <w:r>
        <w:rPr>
          <w:szCs w:val="21"/>
        </w:rPr>
        <w:t>——</w:t>
      </w:r>
      <w:r>
        <w:rPr>
          <w:rFonts w:eastAsiaTheme="minorEastAsia"/>
          <w:color w:val="000000"/>
        </w:rPr>
        <w:t>第6部分：</w:t>
      </w:r>
      <w:r>
        <w:rPr>
          <w:rFonts w:hint="eastAsia" w:eastAsiaTheme="minorEastAsia"/>
          <w:color w:val="000000"/>
        </w:rPr>
        <w:t>二氧化硅</w:t>
      </w:r>
      <w:r>
        <w:rPr>
          <w:rFonts w:eastAsiaTheme="minorEastAsia"/>
          <w:color w:val="000000"/>
        </w:rPr>
        <w:t>量的测定；</w:t>
      </w:r>
    </w:p>
    <w:p w14:paraId="30A751E4">
      <w:pPr>
        <w:ind w:firstLine="420"/>
        <w:rPr>
          <w:rFonts w:eastAsiaTheme="minorEastAsia"/>
          <w:color w:val="000000"/>
        </w:rPr>
      </w:pPr>
      <w:r>
        <w:rPr>
          <w:szCs w:val="21"/>
        </w:rPr>
        <w:t>——</w:t>
      </w:r>
      <w:r>
        <w:rPr>
          <w:rFonts w:eastAsiaTheme="minorEastAsia"/>
          <w:color w:val="000000"/>
        </w:rPr>
        <w:t>第7部分：</w:t>
      </w:r>
      <w:r>
        <w:rPr>
          <w:rFonts w:hint="eastAsia" w:eastAsiaTheme="minorEastAsia"/>
          <w:color w:val="000000"/>
        </w:rPr>
        <w:t>氧化铁</w:t>
      </w:r>
      <w:r>
        <w:rPr>
          <w:rFonts w:eastAsiaTheme="minorEastAsia"/>
          <w:color w:val="000000"/>
        </w:rPr>
        <w:t>量的测定</w:t>
      </w:r>
      <w:r>
        <w:rPr>
          <w:rFonts w:hint="eastAsia" w:eastAsiaTheme="minorEastAsia"/>
          <w:color w:val="000000"/>
        </w:rPr>
        <w:t xml:space="preserve"> 重铬酸钾滴定法</w:t>
      </w:r>
      <w:r>
        <w:rPr>
          <w:rFonts w:eastAsiaTheme="minorEastAsia"/>
          <w:color w:val="000000"/>
        </w:rPr>
        <w:t>；</w:t>
      </w:r>
    </w:p>
    <w:p w14:paraId="627D6E12">
      <w:pPr>
        <w:ind w:firstLine="420"/>
        <w:rPr>
          <w:rFonts w:eastAsiaTheme="minorEastAsia"/>
          <w:color w:val="000000"/>
        </w:rPr>
      </w:pPr>
      <w:r>
        <w:rPr>
          <w:szCs w:val="21"/>
        </w:rPr>
        <w:t>——</w:t>
      </w:r>
      <w:r>
        <w:rPr>
          <w:rFonts w:eastAsiaTheme="minorEastAsia"/>
          <w:color w:val="000000"/>
        </w:rPr>
        <w:t>第8部分：</w:t>
      </w:r>
      <w:r>
        <w:rPr>
          <w:rFonts w:hint="eastAsia" w:eastAsiaTheme="minorEastAsia"/>
          <w:color w:val="000000"/>
          <w:lang w:val="en-US" w:eastAsia="zh-CN"/>
        </w:rPr>
        <w:t>稀土氧化物量和配分量的测定</w:t>
      </w:r>
      <w:r>
        <w:rPr>
          <w:rFonts w:eastAsiaTheme="minorEastAsia"/>
          <w:color w:val="000000"/>
        </w:rPr>
        <w:t>；</w:t>
      </w:r>
    </w:p>
    <w:p w14:paraId="4A618EB7">
      <w:pPr>
        <w:ind w:firstLine="420"/>
        <w:rPr>
          <w:rFonts w:eastAsiaTheme="minorEastAsia"/>
          <w:color w:val="000000"/>
        </w:rPr>
      </w:pPr>
      <w:r>
        <w:rPr>
          <w:szCs w:val="21"/>
        </w:rPr>
        <w:t>——</w:t>
      </w:r>
      <w:r>
        <w:rPr>
          <w:rFonts w:eastAsiaTheme="minorEastAsia"/>
          <w:color w:val="000000"/>
        </w:rPr>
        <w:t>第9部分：</w:t>
      </w:r>
      <w:r>
        <w:rPr>
          <w:rFonts w:hint="eastAsia" w:eastAsiaTheme="minorEastAsia"/>
          <w:color w:val="000000"/>
        </w:rPr>
        <w:t>五氧化二磷</w:t>
      </w:r>
      <w:r>
        <w:rPr>
          <w:rFonts w:eastAsiaTheme="minorEastAsia"/>
          <w:color w:val="000000"/>
        </w:rPr>
        <w:t>量的测定；</w:t>
      </w:r>
    </w:p>
    <w:p w14:paraId="656FD7A2">
      <w:pPr>
        <w:ind w:firstLine="420"/>
        <w:rPr>
          <w:rFonts w:eastAsiaTheme="minorEastAsia"/>
          <w:color w:val="000000"/>
        </w:rPr>
      </w:pPr>
      <w:r>
        <w:rPr>
          <w:szCs w:val="21"/>
        </w:rPr>
        <w:t>——</w:t>
      </w:r>
      <w:r>
        <w:rPr>
          <w:rFonts w:eastAsiaTheme="minorEastAsia"/>
          <w:color w:val="000000"/>
        </w:rPr>
        <w:t>第10部分：</w:t>
      </w:r>
      <w:r>
        <w:rPr>
          <w:rFonts w:hint="eastAsia" w:eastAsiaTheme="minorEastAsia"/>
          <w:color w:val="000000"/>
        </w:rPr>
        <w:t>水分</w:t>
      </w:r>
      <w:r>
        <w:rPr>
          <w:rFonts w:eastAsiaTheme="minorEastAsia"/>
          <w:color w:val="000000"/>
        </w:rPr>
        <w:t xml:space="preserve">的测定  </w:t>
      </w:r>
      <w:r>
        <w:rPr>
          <w:rFonts w:hint="eastAsia" w:eastAsiaTheme="minorEastAsia"/>
          <w:color w:val="000000"/>
        </w:rPr>
        <w:t>重量</w:t>
      </w:r>
      <w:r>
        <w:rPr>
          <w:rFonts w:eastAsiaTheme="minorEastAsia"/>
          <w:color w:val="000000"/>
        </w:rPr>
        <w:t>法；</w:t>
      </w:r>
    </w:p>
    <w:p w14:paraId="1E7FB71D">
      <w:pPr>
        <w:adjustRightInd w:val="0"/>
        <w:snapToGrid w:val="0"/>
        <w:spacing w:line="360" w:lineRule="exact"/>
        <w:ind w:firstLine="420" w:firstLineChars="200"/>
        <w:rPr>
          <w:rFonts w:ascii="宋体" w:hAnsi="宋体" w:cs="宋体"/>
          <w:szCs w:val="21"/>
        </w:rPr>
      </w:pPr>
      <w:r>
        <w:rPr>
          <w:szCs w:val="21"/>
        </w:rPr>
        <w:t>——</w:t>
      </w:r>
      <w:r>
        <w:rPr>
          <w:rFonts w:eastAsiaTheme="minorEastAsia"/>
          <w:color w:val="000000"/>
        </w:rPr>
        <w:t>第11部分：</w:t>
      </w:r>
      <w:r>
        <w:rPr>
          <w:rFonts w:hint="eastAsia" w:eastAsiaTheme="minorEastAsia"/>
          <w:color w:val="000000"/>
        </w:rPr>
        <w:t>氟</w:t>
      </w:r>
      <w:r>
        <w:rPr>
          <w:rFonts w:eastAsiaTheme="minorEastAsia"/>
          <w:color w:val="000000"/>
        </w:rPr>
        <w:t>量的测定。</w:t>
      </w:r>
    </w:p>
    <w:p w14:paraId="3EAACB0A">
      <w:pPr>
        <w:spacing w:line="360" w:lineRule="exact"/>
        <w:ind w:firstLine="420" w:firstLineChars="200"/>
        <w:rPr>
          <w:rFonts w:ascii="宋体" w:hAnsi="宋体" w:cs="宋体"/>
          <w:szCs w:val="21"/>
        </w:rPr>
      </w:pPr>
      <w:r>
        <w:rPr>
          <w:rFonts w:hint="eastAsia" w:ascii="宋体" w:hAnsi="宋体" w:cs="宋体"/>
          <w:szCs w:val="21"/>
        </w:rPr>
        <w:t>上述各个部分标准按稀土精矿生产、贸易中涉及的关键指标依次设立，各部分包括一种或多种检测方法，分别明确方法适用范围、试剂材料与试验设备，规范试验步骤等，所有方法经多家实验室多次试验验证后提供重复性、再现性数据，为稀土精矿质量控制建立严谨、规范的标准化工作基础。</w:t>
      </w:r>
    </w:p>
    <w:p w14:paraId="47CDB299">
      <w:pPr>
        <w:spacing w:line="360" w:lineRule="exact"/>
        <w:ind w:firstLine="420" w:firstLineChars="200"/>
        <w:rPr>
          <w:rFonts w:eastAsiaTheme="minorEastAsia"/>
        </w:rPr>
      </w:pPr>
      <w:r>
        <w:rPr>
          <w:rFonts w:hint="eastAsia" w:ascii="宋体" w:hAnsi="宋体" w:cs="宋体"/>
          <w:szCs w:val="21"/>
        </w:rPr>
        <w:t>本文件修订过程中，在完善原</w:t>
      </w:r>
      <w:r>
        <w:rPr>
          <w:szCs w:val="21"/>
        </w:rPr>
        <w:t>有方法“</w:t>
      </w:r>
      <w:r>
        <w:rPr>
          <w:rFonts w:hint="eastAsia"/>
          <w:szCs w:val="21"/>
        </w:rPr>
        <w:t>磷铋钼蓝分光光度法</w:t>
      </w:r>
      <w:r>
        <w:rPr>
          <w:szCs w:val="21"/>
        </w:rPr>
        <w:t>”的基础上</w:t>
      </w:r>
      <w:r>
        <w:rPr>
          <w:rFonts w:hint="eastAsia"/>
          <w:szCs w:val="21"/>
        </w:rPr>
        <w:t>，增加了“方法2电感耦合等离子体发射光谱法</w:t>
      </w:r>
      <w:r>
        <w:rPr>
          <w:rFonts w:hint="eastAsia" w:eastAsiaTheme="minorEastAsia"/>
        </w:rPr>
        <w:t>”，</w:t>
      </w:r>
      <w:r>
        <w:rPr>
          <w:rFonts w:hint="eastAsia" w:eastAsiaTheme="minorEastAsia"/>
          <w:lang w:val="en-US" w:eastAsia="zh-CN"/>
        </w:rPr>
        <w:t>五氧化二磷</w:t>
      </w:r>
      <w:r>
        <w:rPr>
          <w:rFonts w:hint="eastAsia" w:eastAsiaTheme="minorEastAsia"/>
        </w:rPr>
        <w:t>测定范围由“0.20%-30.00%”拓展为“</w:t>
      </w:r>
      <w:r>
        <w:rPr>
          <w:rFonts w:eastAsiaTheme="minorEastAsia"/>
        </w:rPr>
        <w:t>方法1：0.</w:t>
      </w:r>
      <w:r>
        <w:rPr>
          <w:rFonts w:hint="eastAsia" w:eastAsiaTheme="minorEastAsia"/>
          <w:lang w:val="en-US" w:eastAsia="zh-CN"/>
        </w:rPr>
        <w:t>10</w:t>
      </w:r>
      <w:r>
        <w:rPr>
          <w:rFonts w:eastAsiaTheme="minorEastAsia"/>
        </w:rPr>
        <w:t>%~30.00%、方法2：0.10%~30.00%</w:t>
      </w:r>
      <w:r>
        <w:rPr>
          <w:rFonts w:hint="eastAsia" w:eastAsiaTheme="minorEastAsia"/>
        </w:rPr>
        <w:t>”，是对</w:t>
      </w:r>
      <w:r>
        <w:rPr>
          <w:rFonts w:eastAsiaTheme="minorEastAsia"/>
        </w:rPr>
        <w:t>GB/T</w:t>
      </w:r>
      <w:r>
        <w:t> </w:t>
      </w:r>
      <w:r>
        <w:rPr>
          <w:rFonts w:eastAsiaTheme="minorEastAsia"/>
        </w:rPr>
        <w:t>18114</w:t>
      </w:r>
      <w:r>
        <w:rPr>
          <w:rFonts w:hint="eastAsia" w:eastAsiaTheme="minorEastAsia"/>
        </w:rPr>
        <w:t>.11-2010</w:t>
      </w:r>
      <w:r>
        <w:rPr>
          <w:rFonts w:eastAsiaTheme="minorEastAsia"/>
        </w:rPr>
        <w:t>《稀土精矿化学分析方法 第</w:t>
      </w:r>
      <w:r>
        <w:rPr>
          <w:rFonts w:hint="eastAsia" w:eastAsiaTheme="minorEastAsia"/>
        </w:rPr>
        <w:t>9</w:t>
      </w:r>
      <w:r>
        <w:rPr>
          <w:rFonts w:eastAsiaTheme="minorEastAsia"/>
        </w:rPr>
        <w:t>部分：</w:t>
      </w:r>
      <w:r>
        <w:rPr>
          <w:rFonts w:hint="eastAsia" w:eastAsiaTheme="minorEastAsia"/>
        </w:rPr>
        <w:t>五氧化二磷</w:t>
      </w:r>
      <w:r>
        <w:rPr>
          <w:rFonts w:eastAsiaTheme="minorEastAsia"/>
        </w:rPr>
        <w:t xml:space="preserve">量的测定 </w:t>
      </w:r>
      <w:r>
        <w:rPr>
          <w:rFonts w:hint="eastAsia" w:eastAsiaTheme="minorEastAsia"/>
        </w:rPr>
        <w:t>磷铋钼蓝分光光度</w:t>
      </w:r>
      <w:r>
        <w:rPr>
          <w:rFonts w:eastAsiaTheme="minorEastAsia"/>
        </w:rPr>
        <w:t>法》</w:t>
      </w:r>
      <w:r>
        <w:rPr>
          <w:rFonts w:hint="eastAsia" w:eastAsiaTheme="minorEastAsia"/>
        </w:rPr>
        <w:t>的补充完善。文件中五氧化二磷精密度是2024年由7家实验室对5个不同五氧化二磷含量水平样品共同实验确定的，每个实验室对每个水平的五氧化二磷含量在相同条件下独立测定11次。同一水平五氧化二磷含量实验数据按GB/T 6379.2 《测量方法与结果的准确度（正确度与精密度）第2部分：确定标准测量方法重复性与再现性的基本方法》进行统计分析。</w:t>
      </w:r>
    </w:p>
    <w:p w14:paraId="013444A6">
      <w:pPr>
        <w:spacing w:line="360" w:lineRule="exact"/>
        <w:ind w:firstLine="420" w:firstLineChars="200"/>
        <w:rPr>
          <w:rFonts w:eastAsiaTheme="minorEastAsia"/>
        </w:rPr>
      </w:pPr>
    </w:p>
    <w:p w14:paraId="2C2B0261">
      <w:pPr>
        <w:spacing w:line="360" w:lineRule="exact"/>
        <w:ind w:firstLine="420" w:firstLineChars="200"/>
      </w:pPr>
    </w:p>
    <w:p w14:paraId="7B221C37">
      <w:pPr>
        <w:spacing w:line="360" w:lineRule="exact"/>
        <w:ind w:firstLine="420" w:firstLineChars="200"/>
      </w:pPr>
    </w:p>
    <w:p w14:paraId="7BCBFC07">
      <w:pPr>
        <w:spacing w:line="360" w:lineRule="exact"/>
        <w:ind w:firstLine="420" w:firstLineChars="200"/>
      </w:pPr>
    </w:p>
    <w:p w14:paraId="62EE57D5">
      <w:pPr>
        <w:spacing w:line="360" w:lineRule="exact"/>
        <w:ind w:firstLine="420" w:firstLineChars="200"/>
        <w:rPr>
          <w:rFonts w:ascii="宋体" w:hAnsi="宋体" w:cs="宋体"/>
          <w:szCs w:val="21"/>
        </w:rPr>
      </w:pPr>
    </w:p>
    <w:p w14:paraId="3BAE695B">
      <w:pPr>
        <w:spacing w:line="360" w:lineRule="exact"/>
        <w:ind w:firstLine="420" w:firstLineChars="200"/>
        <w:rPr>
          <w:rFonts w:ascii="宋体" w:hAnsi="宋体" w:cs="宋体"/>
          <w:szCs w:val="21"/>
        </w:rPr>
      </w:pPr>
    </w:p>
    <w:p w14:paraId="21A57703">
      <w:pPr>
        <w:spacing w:line="360" w:lineRule="exact"/>
        <w:ind w:firstLine="420" w:firstLineChars="200"/>
        <w:rPr>
          <w:rFonts w:ascii="宋体" w:hAnsi="宋体" w:cs="宋体"/>
          <w:szCs w:val="21"/>
        </w:rPr>
      </w:pPr>
    </w:p>
    <w:p w14:paraId="6CAEE7BD">
      <w:pPr>
        <w:spacing w:line="360" w:lineRule="exact"/>
        <w:ind w:firstLine="420" w:firstLineChars="200"/>
        <w:rPr>
          <w:rFonts w:ascii="宋体" w:hAnsi="宋体" w:cs="宋体"/>
          <w:szCs w:val="21"/>
        </w:rPr>
      </w:pPr>
    </w:p>
    <w:p w14:paraId="788B28CB">
      <w:pPr>
        <w:spacing w:line="360" w:lineRule="exact"/>
        <w:ind w:firstLine="420" w:firstLineChars="200"/>
        <w:rPr>
          <w:rFonts w:ascii="宋体" w:hAnsi="宋体" w:cs="宋体"/>
          <w:szCs w:val="21"/>
        </w:rPr>
      </w:pPr>
    </w:p>
    <w:p w14:paraId="606270C9">
      <w:pPr>
        <w:spacing w:line="360" w:lineRule="exact"/>
        <w:ind w:firstLine="420" w:firstLineChars="200"/>
        <w:rPr>
          <w:rFonts w:ascii="宋体" w:hAnsi="宋体" w:cs="宋体"/>
          <w:szCs w:val="21"/>
        </w:rPr>
        <w:sectPr>
          <w:headerReference r:id="rId8" w:type="default"/>
          <w:footerReference r:id="rId10" w:type="default"/>
          <w:headerReference r:id="rId9" w:type="even"/>
          <w:footerReference r:id="rId11" w:type="even"/>
          <w:pgSz w:w="11907" w:h="16839"/>
          <w:pgMar w:top="1418" w:right="1134" w:bottom="1134" w:left="1418" w:header="1418" w:footer="851" w:gutter="0"/>
          <w:pgNumType w:start="1"/>
          <w:cols w:space="720" w:num="1"/>
          <w:docGrid w:type="lines" w:linePitch="312" w:charSpace="0"/>
        </w:sectPr>
      </w:pPr>
    </w:p>
    <w:p w14:paraId="6830A67D">
      <w:pPr>
        <w:pStyle w:val="108"/>
        <w:spacing w:before="851" w:after="0" w:line="240" w:lineRule="auto"/>
        <w:rPr>
          <w:rFonts w:ascii="Times New Roman"/>
        </w:rPr>
      </w:pPr>
      <w:r>
        <w:rPr>
          <w:rFonts w:hint="eastAsia" w:ascii="Times New Roman"/>
        </w:rPr>
        <w:t>稀土精矿</w:t>
      </w:r>
      <w:r>
        <w:rPr>
          <w:rFonts w:ascii="Times New Roman"/>
        </w:rPr>
        <w:t>化学分析方法</w:t>
      </w:r>
    </w:p>
    <w:p w14:paraId="5ACDC8DE">
      <w:pPr>
        <w:pStyle w:val="108"/>
        <w:spacing w:before="0" w:after="0" w:line="240" w:lineRule="auto"/>
      </w:pPr>
      <w:r>
        <w:t>第</w:t>
      </w:r>
      <w:r>
        <w:rPr>
          <w:rFonts w:hint="eastAsia"/>
        </w:rPr>
        <w:t>9</w:t>
      </w:r>
      <w:r>
        <w:t>部分：</w:t>
      </w:r>
      <w:r>
        <w:rPr>
          <w:rFonts w:hint="eastAsia"/>
        </w:rPr>
        <w:t>五氧化二磷</w:t>
      </w:r>
      <w:r>
        <w:t>量的测定</w:t>
      </w:r>
    </w:p>
    <w:p w14:paraId="4A921115">
      <w:pPr>
        <w:pStyle w:val="74"/>
        <w:numPr>
          <w:ilvl w:val="0"/>
          <w:numId w:val="11"/>
        </w:numPr>
        <w:tabs>
          <w:tab w:val="left" w:pos="112"/>
          <w:tab w:val="clear" w:pos="360"/>
        </w:tabs>
        <w:spacing w:before="312" w:beforeLines="100" w:after="312" w:afterLines="100"/>
        <w:ind w:left="357" w:hanging="357"/>
        <w:rPr>
          <w:rFonts w:ascii="Times New Roman"/>
          <w:color w:val="000000"/>
        </w:rPr>
      </w:pPr>
      <w:r>
        <w:rPr>
          <w:rFonts w:ascii="Times New Roman"/>
          <w:color w:val="FF0000"/>
        </w:rPr>
        <w:t>　</w:t>
      </w:r>
      <w:r>
        <w:rPr>
          <w:rFonts w:ascii="Times New Roman"/>
          <w:color w:val="000000"/>
        </w:rPr>
        <w:t>范围</w:t>
      </w:r>
    </w:p>
    <w:p w14:paraId="6E597E6B">
      <w:pPr>
        <w:pStyle w:val="47"/>
        <w:ind w:firstLine="420"/>
        <w:rPr>
          <w:rFonts w:asciiTheme="minorEastAsia" w:hAnsiTheme="minorEastAsia" w:eastAsiaTheme="minorEastAsia"/>
          <w:color w:val="000000"/>
          <w:szCs w:val="21"/>
        </w:rPr>
      </w:pPr>
      <w:r>
        <w:rPr>
          <w:rFonts w:asciiTheme="minorEastAsia" w:hAnsiTheme="minorEastAsia" w:eastAsiaTheme="minorEastAsia"/>
          <w:color w:val="000000"/>
          <w:szCs w:val="21"/>
        </w:rPr>
        <w:t>本文件</w:t>
      </w:r>
      <w:r>
        <w:rPr>
          <w:rFonts w:hint="eastAsia" w:asciiTheme="minorEastAsia" w:hAnsiTheme="minorEastAsia" w:eastAsiaTheme="minorEastAsia"/>
          <w:color w:val="000000"/>
          <w:szCs w:val="21"/>
          <w:lang w:val="en-US" w:eastAsia="zh-CN"/>
        </w:rPr>
        <w:t>描述</w:t>
      </w:r>
      <w:r>
        <w:rPr>
          <w:rFonts w:asciiTheme="minorEastAsia" w:hAnsiTheme="minorEastAsia" w:eastAsiaTheme="minorEastAsia"/>
          <w:color w:val="000000"/>
          <w:szCs w:val="21"/>
        </w:rPr>
        <w:t>了</w:t>
      </w:r>
      <w:r>
        <w:rPr>
          <w:rFonts w:ascii="Times New Roman"/>
          <w:szCs w:val="21"/>
        </w:rPr>
        <w:t>稀土精矿中</w:t>
      </w:r>
      <w:r>
        <w:rPr>
          <w:rFonts w:hint="eastAsia" w:ascii="Times New Roman"/>
          <w:szCs w:val="21"/>
        </w:rPr>
        <w:t>五氧化二磷</w:t>
      </w:r>
      <w:r>
        <w:rPr>
          <w:rFonts w:ascii="Times New Roman"/>
          <w:szCs w:val="21"/>
        </w:rPr>
        <w:t>量的测定方法</w:t>
      </w:r>
      <w:r>
        <w:rPr>
          <w:rFonts w:asciiTheme="minorEastAsia" w:hAnsiTheme="minorEastAsia" w:eastAsiaTheme="minorEastAsia"/>
          <w:color w:val="000000"/>
          <w:szCs w:val="21"/>
        </w:rPr>
        <w:t>。</w:t>
      </w:r>
    </w:p>
    <w:p w14:paraId="5D45AC3A">
      <w:pPr>
        <w:autoSpaceDE w:val="0"/>
        <w:autoSpaceDN w:val="0"/>
        <w:ind w:firstLine="420"/>
        <w:rPr>
          <w:rFonts w:asciiTheme="minorEastAsia" w:hAnsiTheme="minorEastAsia" w:eastAsiaTheme="minorEastAsia"/>
          <w:color w:val="000000"/>
          <w:szCs w:val="21"/>
        </w:rPr>
      </w:pPr>
      <w:r>
        <w:rPr>
          <w:rFonts w:asciiTheme="minorEastAsia" w:hAnsiTheme="minorEastAsia" w:eastAsiaTheme="minorEastAsia"/>
          <w:color w:val="000000"/>
          <w:szCs w:val="21"/>
        </w:rPr>
        <w:t>本</w:t>
      </w:r>
      <w:r>
        <w:rPr>
          <w:rFonts w:hint="eastAsia" w:asciiTheme="minorEastAsia" w:hAnsiTheme="minorEastAsia" w:eastAsiaTheme="minorEastAsia"/>
          <w:color w:val="000000"/>
          <w:szCs w:val="21"/>
        </w:rPr>
        <w:t>文件</w:t>
      </w:r>
      <w:r>
        <w:rPr>
          <w:rFonts w:asciiTheme="minorEastAsia" w:hAnsiTheme="minorEastAsia" w:eastAsiaTheme="minorEastAsia"/>
          <w:color w:val="000000"/>
          <w:szCs w:val="21"/>
        </w:rPr>
        <w:t>适用于</w:t>
      </w:r>
      <w:r>
        <w:rPr>
          <w:szCs w:val="21"/>
        </w:rPr>
        <w:t>稀土精矿中</w:t>
      </w:r>
      <w:r>
        <w:rPr>
          <w:rFonts w:hint="eastAsia"/>
          <w:szCs w:val="21"/>
        </w:rPr>
        <w:t>五氧化二磷</w:t>
      </w:r>
      <w:r>
        <w:rPr>
          <w:szCs w:val="21"/>
        </w:rPr>
        <w:t>量</w:t>
      </w:r>
      <w:r>
        <w:rPr>
          <w:rFonts w:asciiTheme="minorEastAsia" w:hAnsiTheme="minorEastAsia" w:eastAsiaTheme="minorEastAsia"/>
          <w:color w:val="000000"/>
          <w:szCs w:val="21"/>
        </w:rPr>
        <w:t>的测定。</w:t>
      </w:r>
    </w:p>
    <w:p w14:paraId="5844B1CA">
      <w:pPr>
        <w:autoSpaceDE w:val="0"/>
        <w:autoSpaceDN w:val="0"/>
        <w:ind w:firstLine="420"/>
        <w:rPr>
          <w:szCs w:val="20"/>
        </w:rPr>
      </w:pPr>
      <w:r>
        <w:rPr>
          <w:rFonts w:hint="eastAsia" w:asciiTheme="minorEastAsia" w:hAnsiTheme="minorEastAsia" w:eastAsiaTheme="minorEastAsia"/>
          <w:color w:val="000000"/>
          <w:szCs w:val="21"/>
          <w:lang w:val="en-US" w:eastAsia="zh-CN"/>
        </w:rPr>
        <w:t>本文件共包含两个方法：磷铋钼蓝分光光度法（方法1），</w:t>
      </w:r>
      <w:r>
        <w:rPr>
          <w:rFonts w:hint="eastAsia" w:eastAsiaTheme="minorEastAsia"/>
          <w:szCs w:val="21"/>
        </w:rPr>
        <w:t>测定范围（质量分数）：</w:t>
      </w:r>
      <w:r>
        <w:rPr>
          <w:rFonts w:hint="eastAsia" w:eastAsiaTheme="minorEastAsia"/>
          <w:szCs w:val="20"/>
          <w:lang w:val="en-US" w:eastAsia="zh-CN"/>
        </w:rPr>
        <w:t>0.10</w:t>
      </w:r>
      <w:r>
        <w:rPr>
          <w:szCs w:val="20"/>
        </w:rPr>
        <w:t>%</w:t>
      </w:r>
      <w:r>
        <w:rPr>
          <w:rFonts w:hint="eastAsia"/>
          <w:szCs w:val="20"/>
        </w:rPr>
        <w:t>~3</w:t>
      </w:r>
      <w:r>
        <w:rPr>
          <w:szCs w:val="20"/>
        </w:rPr>
        <w:t>0.00</w:t>
      </w:r>
      <w:r>
        <w:rPr>
          <w:rFonts w:hint="eastAsia"/>
          <w:szCs w:val="20"/>
        </w:rPr>
        <w:t xml:space="preserve"> </w:t>
      </w:r>
      <w:r>
        <w:rPr>
          <w:szCs w:val="20"/>
        </w:rPr>
        <w:t>%；</w:t>
      </w:r>
      <w:r>
        <w:rPr>
          <w:rFonts w:hint="eastAsia"/>
          <w:szCs w:val="21"/>
        </w:rPr>
        <w:t>电感耦合等离子体发射光谱法</w:t>
      </w:r>
      <w:r>
        <w:rPr>
          <w:rFonts w:hint="eastAsia"/>
          <w:szCs w:val="21"/>
          <w:lang w:eastAsia="zh-CN"/>
        </w:rPr>
        <w:t>（</w:t>
      </w:r>
      <w:r>
        <w:rPr>
          <w:rFonts w:hint="eastAsia"/>
          <w:szCs w:val="21"/>
          <w:lang w:val="en-US" w:eastAsia="zh-CN"/>
        </w:rPr>
        <w:t>ICP-OES，</w:t>
      </w:r>
      <w:r>
        <w:rPr>
          <w:szCs w:val="20"/>
        </w:rPr>
        <w:t xml:space="preserve">方法2 </w:t>
      </w:r>
      <w:r>
        <w:rPr>
          <w:rFonts w:hint="eastAsia"/>
          <w:szCs w:val="21"/>
          <w:lang w:eastAsia="zh-CN"/>
        </w:rPr>
        <w:t>），</w:t>
      </w:r>
      <w:r>
        <w:rPr>
          <w:rFonts w:hint="eastAsia"/>
          <w:szCs w:val="21"/>
          <w:lang w:val="en-US" w:eastAsia="zh-CN"/>
        </w:rPr>
        <w:t>测定范围：</w:t>
      </w:r>
      <w:r>
        <w:rPr>
          <w:szCs w:val="20"/>
        </w:rPr>
        <w:t>0.10</w:t>
      </w:r>
      <w:r>
        <w:rPr>
          <w:rFonts w:hint="eastAsia"/>
          <w:szCs w:val="20"/>
        </w:rPr>
        <w:t xml:space="preserve"> </w:t>
      </w:r>
      <w:r>
        <w:rPr>
          <w:szCs w:val="20"/>
        </w:rPr>
        <w:t>%</w:t>
      </w:r>
      <w:r>
        <w:rPr>
          <w:rFonts w:hint="eastAsia"/>
          <w:szCs w:val="20"/>
        </w:rPr>
        <w:t>~30</w:t>
      </w:r>
      <w:r>
        <w:rPr>
          <w:szCs w:val="20"/>
        </w:rPr>
        <w:t>.00</w:t>
      </w:r>
      <w:r>
        <w:rPr>
          <w:rFonts w:hint="eastAsia"/>
          <w:szCs w:val="20"/>
        </w:rPr>
        <w:t xml:space="preserve"> </w:t>
      </w:r>
      <w:r>
        <w:rPr>
          <w:szCs w:val="20"/>
        </w:rPr>
        <w:t>%。</w:t>
      </w:r>
    </w:p>
    <w:p w14:paraId="3361E396">
      <w:pPr>
        <w:pStyle w:val="47"/>
        <w:ind w:firstLine="420"/>
        <w:jc w:val="left"/>
        <w:rPr>
          <w:rFonts w:ascii="Times New Roman" w:eastAsiaTheme="minorEastAsia"/>
          <w:szCs w:val="21"/>
        </w:rPr>
      </w:pPr>
      <w:r>
        <w:rPr>
          <w:rFonts w:ascii="Times New Roman"/>
          <w:szCs w:val="21"/>
        </w:rPr>
        <w:t>当本文件中不同方法的测定范围出现重叠时，通常以方法</w:t>
      </w:r>
      <w:r>
        <w:rPr>
          <w:rFonts w:hint="eastAsia" w:ascii="Times New Roman"/>
          <w:szCs w:val="21"/>
        </w:rPr>
        <w:t>X</w:t>
      </w:r>
      <w:r>
        <w:rPr>
          <w:rFonts w:ascii="Times New Roman"/>
          <w:szCs w:val="21"/>
        </w:rPr>
        <w:t>作为仲裁方法。</w:t>
      </w:r>
    </w:p>
    <w:p w14:paraId="10A4F906">
      <w:pPr>
        <w:pStyle w:val="74"/>
        <w:numPr>
          <w:ilvl w:val="0"/>
          <w:numId w:val="11"/>
        </w:numPr>
        <w:tabs>
          <w:tab w:val="left" w:pos="112"/>
          <w:tab w:val="clear" w:pos="360"/>
        </w:tabs>
        <w:spacing w:before="312" w:beforeLines="100" w:after="312" w:afterLines="100"/>
        <w:ind w:left="357" w:hanging="357" w:hangingChars="170"/>
        <w:rPr>
          <w:rFonts w:ascii="Times New Roman"/>
        </w:rPr>
      </w:pPr>
      <w:r>
        <w:rPr>
          <w:rFonts w:ascii="Times New Roman"/>
          <w:color w:val="FF0000"/>
        </w:rPr>
        <w:t>　</w:t>
      </w:r>
      <w:r>
        <w:rPr>
          <w:rFonts w:hint="eastAsia" w:ascii="Times New Roman"/>
        </w:rPr>
        <w:t>规范性引用文件</w:t>
      </w:r>
    </w:p>
    <w:p w14:paraId="54161A3A">
      <w:pPr>
        <w:pStyle w:val="47"/>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7687F50">
      <w:pPr>
        <w:pStyle w:val="47"/>
        <w:ind w:firstLine="420"/>
        <w:rPr>
          <w:rFonts w:ascii="Times New Roman" w:eastAsiaTheme="minorEastAsia"/>
          <w:color w:val="000000"/>
          <w:szCs w:val="21"/>
        </w:rPr>
      </w:pPr>
      <w:r>
        <w:rPr>
          <w:rFonts w:ascii="Times New Roman" w:eastAsiaTheme="minorEastAsia"/>
          <w:color w:val="000000"/>
          <w:szCs w:val="21"/>
        </w:rPr>
        <w:t>GB/T</w:t>
      </w:r>
      <w:r>
        <w:rPr>
          <w:rFonts w:ascii="Times New Roman"/>
          <w:color w:val="FF0000"/>
        </w:rPr>
        <w:t> </w:t>
      </w:r>
      <w:r>
        <w:rPr>
          <w:rFonts w:ascii="Times New Roman" w:eastAsiaTheme="minorEastAsia"/>
          <w:color w:val="000000"/>
          <w:szCs w:val="21"/>
        </w:rPr>
        <w:t>6682　分析实验室用水规格和试验方法</w:t>
      </w:r>
    </w:p>
    <w:p w14:paraId="74AE914B">
      <w:pPr>
        <w:pStyle w:val="47"/>
        <w:ind w:firstLine="420"/>
        <w:rPr>
          <w:rFonts w:ascii="Times New Roman" w:eastAsiaTheme="minorEastAsia"/>
          <w:color w:val="000000"/>
          <w:szCs w:val="21"/>
        </w:rPr>
      </w:pPr>
      <w:r>
        <w:rPr>
          <w:rFonts w:ascii="Times New Roman" w:eastAsiaTheme="minorEastAsia"/>
          <w:color w:val="000000"/>
          <w:szCs w:val="21"/>
        </w:rPr>
        <w:t>GB/T</w:t>
      </w:r>
      <w:r>
        <w:rPr>
          <w:rFonts w:ascii="Times New Roman"/>
          <w:color w:val="FF0000"/>
        </w:rPr>
        <w:t> </w:t>
      </w:r>
      <w:r>
        <w:rPr>
          <w:rFonts w:ascii="Times New Roman" w:eastAsiaTheme="minorEastAsia"/>
          <w:color w:val="000000"/>
          <w:szCs w:val="21"/>
        </w:rPr>
        <w:t>8170　数值修约规则与极限数值的表示和判定</w:t>
      </w:r>
    </w:p>
    <w:p w14:paraId="7390FE02">
      <w:pPr>
        <w:pStyle w:val="74"/>
        <w:numPr>
          <w:ilvl w:val="0"/>
          <w:numId w:val="11"/>
        </w:numPr>
        <w:tabs>
          <w:tab w:val="left" w:pos="112"/>
          <w:tab w:val="clear" w:pos="360"/>
        </w:tabs>
        <w:spacing w:before="312" w:beforeLines="100" w:after="312" w:afterLines="100"/>
        <w:ind w:left="357" w:hanging="357"/>
        <w:rPr>
          <w:rFonts w:ascii="Times New Roman"/>
        </w:rPr>
      </w:pPr>
      <w:r>
        <w:rPr>
          <w:rFonts w:ascii="Times New Roman"/>
          <w:color w:val="FF0000"/>
        </w:rPr>
        <w:t>　</w:t>
      </w:r>
      <w:r>
        <w:rPr>
          <w:rFonts w:hint="eastAsia" w:ascii="Times New Roman"/>
        </w:rPr>
        <w:t>术语和定义</w:t>
      </w:r>
    </w:p>
    <w:p w14:paraId="2CC7F120">
      <w:pPr>
        <w:pStyle w:val="47"/>
        <w:ind w:firstLine="420"/>
        <w:rPr>
          <w:rFonts w:ascii="Times New Roman"/>
          <w:szCs w:val="21"/>
        </w:rPr>
      </w:pPr>
      <w:r>
        <w:rPr>
          <w:rFonts w:hint="eastAsia" w:ascii="Times New Roman"/>
          <w:szCs w:val="21"/>
        </w:rPr>
        <w:t>本文件没有需要界定的术语和定义。</w:t>
      </w:r>
    </w:p>
    <w:p w14:paraId="16C995A3">
      <w:pPr>
        <w:pStyle w:val="74"/>
        <w:numPr>
          <w:ilvl w:val="0"/>
          <w:numId w:val="11"/>
        </w:numPr>
        <w:tabs>
          <w:tab w:val="left" w:pos="112"/>
          <w:tab w:val="clear" w:pos="360"/>
        </w:tabs>
        <w:spacing w:before="312" w:beforeLines="100" w:after="312" w:afterLines="100"/>
        <w:ind w:left="357" w:hanging="357"/>
        <w:rPr>
          <w:rFonts w:ascii="Times New Roman"/>
        </w:rPr>
      </w:pPr>
      <w:r>
        <w:rPr>
          <w:rFonts w:ascii="Times New Roman"/>
        </w:rPr>
        <w:t>　</w:t>
      </w:r>
      <w:r>
        <w:rPr>
          <w:rFonts w:hint="eastAsia" w:ascii="Times New Roman"/>
        </w:rPr>
        <w:t>方法1 磷铋钼蓝分光光度法</w:t>
      </w:r>
    </w:p>
    <w:p w14:paraId="171DA71B">
      <w:pPr>
        <w:pStyle w:val="74"/>
        <w:numPr>
          <w:ilvl w:val="255"/>
          <w:numId w:val="0"/>
        </w:numPr>
        <w:tabs>
          <w:tab w:val="left" w:pos="112"/>
        </w:tabs>
        <w:spacing w:before="156" w:after="156"/>
        <w:rPr>
          <w:rFonts w:hAnsi="黑体" w:cs="黑体"/>
        </w:rPr>
      </w:pPr>
      <w:r>
        <w:rPr>
          <w:rFonts w:hAnsi="黑体" w:cs="黑体"/>
        </w:rPr>
        <w:t xml:space="preserve">4.1 </w:t>
      </w:r>
      <w:r>
        <w:rPr>
          <w:rFonts w:hint="eastAsia" w:hAnsi="黑体" w:cs="黑体"/>
        </w:rPr>
        <w:t>方法提要</w:t>
      </w:r>
    </w:p>
    <w:p w14:paraId="773610A7">
      <w:pPr>
        <w:pStyle w:val="47"/>
        <w:ind w:firstLine="420"/>
        <w:rPr>
          <w:rFonts w:ascii="Times New Roman"/>
          <w:bCs/>
          <w:kern w:val="2"/>
          <w:szCs w:val="24"/>
        </w:rPr>
      </w:pPr>
      <w:r>
        <w:rPr>
          <w:rFonts w:hint="eastAsia" w:ascii="Times New Roman"/>
          <w:szCs w:val="21"/>
        </w:rPr>
        <w:t>试样经碱熔融后热水浸取，硝酸酸化溶液，在1 mol/L的硝酸酸度下，以乙醇为稳定剂，铋盐为催化剂，加入钼酸铵与磷形成磷铋钼三元杂多酸，用抗坏血酸还原，在波长700 nm处比色测定。</w:t>
      </w:r>
    </w:p>
    <w:p w14:paraId="4774831E">
      <w:pPr>
        <w:pStyle w:val="74"/>
        <w:numPr>
          <w:ilvl w:val="0"/>
          <w:numId w:val="0"/>
        </w:numPr>
        <w:spacing w:before="156" w:after="156"/>
        <w:rPr>
          <w:rFonts w:ascii="Times New Roman"/>
        </w:rPr>
      </w:pPr>
      <w:r>
        <w:rPr>
          <w:rFonts w:hAnsi="黑体" w:cs="黑体"/>
        </w:rPr>
        <w:t>4.2</w:t>
      </w:r>
      <w:r>
        <w:rPr>
          <w:rFonts w:ascii="Times New Roman"/>
        </w:rPr>
        <w:t xml:space="preserve"> </w:t>
      </w:r>
      <w:r>
        <w:rPr>
          <w:rFonts w:hint="eastAsia" w:ascii="Times New Roman"/>
        </w:rPr>
        <w:t>试剂和材料</w:t>
      </w:r>
    </w:p>
    <w:p w14:paraId="3C79649B">
      <w:pPr>
        <w:pStyle w:val="47"/>
        <w:ind w:firstLine="420"/>
        <w:rPr>
          <w:rFonts w:ascii="Times New Roman"/>
        </w:rPr>
      </w:pPr>
      <w:r>
        <w:rPr>
          <w:rFonts w:hint="eastAsia" w:ascii="Times New Roman"/>
          <w:bCs/>
          <w:kern w:val="2"/>
          <w:szCs w:val="24"/>
        </w:rPr>
        <w:t>除非另有说明，在分析中仅使用确认为分析纯及以上试剂和符合实验室GB/T</w:t>
      </w:r>
      <w:r>
        <w:rPr>
          <w:rFonts w:ascii="Times New Roman"/>
          <w:bCs/>
          <w:kern w:val="2"/>
          <w:szCs w:val="24"/>
        </w:rPr>
        <w:t xml:space="preserve"> </w:t>
      </w:r>
      <w:r>
        <w:rPr>
          <w:rFonts w:hint="eastAsia" w:ascii="Times New Roman"/>
          <w:bCs/>
          <w:kern w:val="2"/>
          <w:szCs w:val="24"/>
        </w:rPr>
        <w:t>6682规定的</w:t>
      </w:r>
      <w:r>
        <w:rPr>
          <w:rFonts w:hint="eastAsia" w:ascii="Times New Roman"/>
          <w:bCs/>
          <w:kern w:val="2"/>
          <w:szCs w:val="24"/>
          <w:lang w:val="en-US" w:eastAsia="zh-CN"/>
        </w:rPr>
        <w:t>二</w:t>
      </w:r>
      <w:r>
        <w:rPr>
          <w:rFonts w:hint="eastAsia" w:ascii="Times New Roman"/>
          <w:bCs/>
          <w:kern w:val="2"/>
          <w:szCs w:val="24"/>
        </w:rPr>
        <w:t>级水。优先使用有证标准溶液。</w:t>
      </w:r>
    </w:p>
    <w:p w14:paraId="79EE2B63">
      <w:pPr>
        <w:rPr>
          <w:rFonts w:ascii="黑体" w:hAnsi="黑体" w:eastAsia="黑体"/>
        </w:rPr>
      </w:pPr>
      <w:r>
        <w:rPr>
          <w:rFonts w:ascii="黑体" w:hAnsi="黑体" w:eastAsia="黑体"/>
          <w:szCs w:val="21"/>
        </w:rPr>
        <w:t>4.2.</w:t>
      </w:r>
      <w:r>
        <w:rPr>
          <w:rFonts w:hint="eastAsia" w:ascii="黑体" w:hAnsi="黑体" w:eastAsia="黑体"/>
          <w:szCs w:val="21"/>
        </w:rPr>
        <w:t>1</w:t>
      </w:r>
      <w:r>
        <w:rPr>
          <w:rFonts w:ascii="黑体" w:hAnsi="黑体" w:eastAsia="黑体"/>
          <w:szCs w:val="21"/>
        </w:rPr>
        <w:t xml:space="preserve"> </w:t>
      </w:r>
      <w:r>
        <w:rPr>
          <w:rFonts w:hint="eastAsia"/>
          <w:szCs w:val="21"/>
        </w:rPr>
        <w:t>硝酸</w:t>
      </w:r>
      <w:r>
        <w:rPr>
          <w:rFonts w:hint="eastAsia"/>
          <w:szCs w:val="21"/>
          <w:lang w:eastAsia="zh-CN"/>
        </w:rPr>
        <w:t>（</w:t>
      </w:r>
      <w:r>
        <w:rPr>
          <w:i/>
          <w:iCs/>
          <w:szCs w:val="21"/>
        </w:rPr>
        <w:t>ρ</w:t>
      </w:r>
      <w:r>
        <w:rPr>
          <w:rFonts w:hint="eastAsia"/>
          <w:szCs w:val="21"/>
        </w:rPr>
        <w:t>1.42 g/mL</w:t>
      </w:r>
      <w:r>
        <w:rPr>
          <w:rFonts w:hint="eastAsia"/>
          <w:szCs w:val="21"/>
          <w:lang w:eastAsia="zh-CN"/>
        </w:rPr>
        <w:t>）</w:t>
      </w:r>
      <w:r>
        <w:rPr>
          <w:rFonts w:hint="eastAsia"/>
          <w:szCs w:val="21"/>
        </w:rPr>
        <w:t>。</w:t>
      </w:r>
    </w:p>
    <w:p w14:paraId="37281283">
      <w:pPr>
        <w:rPr>
          <w:szCs w:val="21"/>
        </w:rPr>
      </w:pPr>
      <w:r>
        <w:rPr>
          <w:rFonts w:ascii="黑体" w:hAnsi="黑体" w:eastAsia="黑体"/>
        </w:rPr>
        <w:t>4.2.</w:t>
      </w:r>
      <w:r>
        <w:rPr>
          <w:rFonts w:hint="eastAsia" w:ascii="黑体" w:hAnsi="黑体" w:eastAsia="黑体"/>
        </w:rPr>
        <w:t>2</w:t>
      </w:r>
      <w:r>
        <w:rPr>
          <w:rFonts w:ascii="黑体" w:hAnsi="黑体" w:eastAsia="黑体"/>
        </w:rPr>
        <w:t xml:space="preserve"> </w:t>
      </w:r>
      <w:r>
        <w:rPr>
          <w:rFonts w:hint="eastAsia"/>
          <w:szCs w:val="21"/>
        </w:rPr>
        <w:t>硝酸</w:t>
      </w:r>
      <w:r>
        <w:rPr>
          <w:rFonts w:hint="eastAsia"/>
          <w:szCs w:val="21"/>
          <w:lang w:eastAsia="zh-CN"/>
        </w:rPr>
        <w:t>（</w:t>
      </w:r>
      <w:r>
        <w:rPr>
          <w:rFonts w:hint="eastAsia"/>
          <w:szCs w:val="21"/>
        </w:rPr>
        <w:t>1+1</w:t>
      </w:r>
      <w:r>
        <w:rPr>
          <w:rFonts w:hint="eastAsia"/>
          <w:szCs w:val="21"/>
          <w:lang w:eastAsia="zh-CN"/>
        </w:rPr>
        <w:t>）</w:t>
      </w:r>
      <w:r>
        <w:rPr>
          <w:rFonts w:hint="eastAsia"/>
          <w:szCs w:val="21"/>
        </w:rPr>
        <w:t>。</w:t>
      </w:r>
    </w:p>
    <w:p w14:paraId="01D9C919">
      <w:pPr>
        <w:rPr>
          <w:szCs w:val="21"/>
        </w:rPr>
      </w:pPr>
      <w:r>
        <w:rPr>
          <w:rFonts w:ascii="黑体" w:hAnsi="黑体" w:eastAsia="黑体"/>
          <w:szCs w:val="21"/>
        </w:rPr>
        <w:t>4.2.</w:t>
      </w:r>
      <w:r>
        <w:rPr>
          <w:rFonts w:hint="eastAsia" w:ascii="黑体" w:hAnsi="黑体" w:eastAsia="黑体"/>
          <w:szCs w:val="21"/>
        </w:rPr>
        <w:t>3</w:t>
      </w:r>
      <w:r>
        <w:rPr>
          <w:rFonts w:ascii="黑体" w:hAnsi="黑体" w:eastAsia="黑体"/>
          <w:szCs w:val="21"/>
        </w:rPr>
        <w:t xml:space="preserve"> </w:t>
      </w:r>
      <w:r>
        <w:rPr>
          <w:rFonts w:hint="eastAsia"/>
          <w:szCs w:val="21"/>
        </w:rPr>
        <w:t>硝酸</w:t>
      </w:r>
      <w:r>
        <w:rPr>
          <w:rFonts w:hint="eastAsia"/>
          <w:szCs w:val="21"/>
          <w:lang w:eastAsia="zh-CN"/>
        </w:rPr>
        <w:t>（</w:t>
      </w:r>
      <w:r>
        <w:rPr>
          <w:rFonts w:hint="eastAsia"/>
          <w:szCs w:val="21"/>
        </w:rPr>
        <w:t>1+3</w:t>
      </w:r>
      <w:r>
        <w:rPr>
          <w:rFonts w:hint="eastAsia"/>
          <w:szCs w:val="21"/>
          <w:lang w:eastAsia="zh-CN"/>
        </w:rPr>
        <w:t>）</w:t>
      </w:r>
      <w:r>
        <w:rPr>
          <w:rFonts w:hint="eastAsia"/>
          <w:szCs w:val="21"/>
        </w:rPr>
        <w:t>。</w:t>
      </w:r>
    </w:p>
    <w:p w14:paraId="25182A10">
      <w:pPr>
        <w:rPr>
          <w:szCs w:val="21"/>
        </w:rPr>
      </w:pPr>
      <w:r>
        <w:rPr>
          <w:rFonts w:ascii="黑体" w:hAnsi="黑体" w:eastAsia="黑体"/>
          <w:szCs w:val="21"/>
        </w:rPr>
        <w:t>4.2.</w:t>
      </w:r>
      <w:r>
        <w:rPr>
          <w:rFonts w:hint="eastAsia" w:ascii="黑体" w:hAnsi="黑体" w:eastAsia="黑体"/>
          <w:szCs w:val="21"/>
        </w:rPr>
        <w:t>4</w:t>
      </w:r>
      <w:r>
        <w:rPr>
          <w:rFonts w:ascii="黑体" w:hAnsi="黑体" w:eastAsia="黑体"/>
          <w:szCs w:val="21"/>
        </w:rPr>
        <w:t xml:space="preserve"> </w:t>
      </w:r>
      <w:r>
        <w:rPr>
          <w:rFonts w:hint="eastAsia"/>
          <w:szCs w:val="21"/>
        </w:rPr>
        <w:t>氢氧化钠</w:t>
      </w:r>
      <w:r>
        <w:rPr>
          <w:rFonts w:hint="eastAsia"/>
          <w:szCs w:val="21"/>
          <w:lang w:eastAsia="zh-CN"/>
        </w:rPr>
        <w:t>（</w:t>
      </w:r>
      <w:r>
        <w:rPr>
          <w:rFonts w:hint="eastAsia"/>
          <w:szCs w:val="21"/>
        </w:rPr>
        <w:t>40 g/L，贮于塑料瓶中</w:t>
      </w:r>
      <w:r>
        <w:rPr>
          <w:rFonts w:hint="eastAsia"/>
          <w:szCs w:val="21"/>
          <w:lang w:eastAsia="zh-CN"/>
        </w:rPr>
        <w:t>）</w:t>
      </w:r>
      <w:r>
        <w:rPr>
          <w:rFonts w:hint="eastAsia"/>
          <w:szCs w:val="21"/>
        </w:rPr>
        <w:t>。</w:t>
      </w:r>
    </w:p>
    <w:p w14:paraId="16250B98">
      <w:pPr>
        <w:rPr>
          <w:szCs w:val="21"/>
        </w:rPr>
      </w:pPr>
      <w:r>
        <w:rPr>
          <w:rFonts w:ascii="黑体" w:hAnsi="黑体" w:eastAsia="黑体"/>
          <w:szCs w:val="21"/>
        </w:rPr>
        <w:t>4.2.</w:t>
      </w:r>
      <w:r>
        <w:rPr>
          <w:rFonts w:hint="eastAsia" w:ascii="黑体" w:hAnsi="黑体" w:eastAsia="黑体"/>
          <w:szCs w:val="21"/>
        </w:rPr>
        <w:t>5</w:t>
      </w:r>
      <w:r>
        <w:rPr>
          <w:rFonts w:ascii="黑体" w:hAnsi="黑体" w:eastAsia="黑体"/>
          <w:szCs w:val="21"/>
        </w:rPr>
        <w:t xml:space="preserve"> </w:t>
      </w:r>
      <w:r>
        <w:rPr>
          <w:rFonts w:hint="eastAsia"/>
          <w:szCs w:val="21"/>
        </w:rPr>
        <w:t>过氧化氢</w:t>
      </w:r>
      <w:r>
        <w:rPr>
          <w:rFonts w:hint="eastAsia"/>
          <w:szCs w:val="21"/>
          <w:lang w:eastAsia="zh-CN"/>
        </w:rPr>
        <w:t>（</w:t>
      </w:r>
      <w:r>
        <w:rPr>
          <w:rFonts w:hint="eastAsia"/>
          <w:szCs w:val="21"/>
        </w:rPr>
        <w:t>300 g/L</w:t>
      </w:r>
      <w:r>
        <w:rPr>
          <w:rFonts w:hint="eastAsia"/>
          <w:szCs w:val="21"/>
          <w:lang w:eastAsia="zh-CN"/>
        </w:rPr>
        <w:t>）</w:t>
      </w:r>
      <w:r>
        <w:rPr>
          <w:rFonts w:hint="eastAsia"/>
          <w:szCs w:val="21"/>
        </w:rPr>
        <w:t>。</w:t>
      </w:r>
    </w:p>
    <w:p w14:paraId="4222A723">
      <w:pPr>
        <w:rPr>
          <w:szCs w:val="21"/>
        </w:rPr>
      </w:pPr>
      <w:r>
        <w:rPr>
          <w:rFonts w:ascii="黑体" w:hAnsi="黑体" w:eastAsia="黑体"/>
          <w:szCs w:val="21"/>
        </w:rPr>
        <w:t xml:space="preserve">4.2.6 </w:t>
      </w:r>
      <w:r>
        <w:rPr>
          <w:rFonts w:hint="eastAsia"/>
          <w:szCs w:val="21"/>
        </w:rPr>
        <w:t>硝酸铋—硝酸混合液</w:t>
      </w:r>
      <w:r>
        <w:rPr>
          <w:rFonts w:hint="eastAsia"/>
          <w:szCs w:val="21"/>
          <w:lang w:eastAsia="zh-CN"/>
        </w:rPr>
        <w:t>（</w:t>
      </w:r>
      <w:r>
        <w:rPr>
          <w:rFonts w:hint="eastAsia"/>
          <w:szCs w:val="21"/>
        </w:rPr>
        <w:t>10 g/L</w:t>
      </w:r>
      <w:r>
        <w:rPr>
          <w:rFonts w:hint="eastAsia"/>
          <w:szCs w:val="21"/>
          <w:lang w:eastAsia="zh-CN"/>
        </w:rPr>
        <w:t>）</w:t>
      </w:r>
      <w:r>
        <w:rPr>
          <w:rFonts w:hint="eastAsia"/>
          <w:szCs w:val="21"/>
        </w:rPr>
        <w:t>：称取10克硝酸铋加入625 mL硝酸（</w:t>
      </w:r>
      <w:r>
        <w:rPr>
          <w:szCs w:val="21"/>
        </w:rPr>
        <w:t>4</w:t>
      </w:r>
      <w:r>
        <w:rPr>
          <w:rFonts w:hint="eastAsia"/>
          <w:szCs w:val="21"/>
        </w:rPr>
        <w:t>.2.1）溶液至1000 mL，混匀。</w:t>
      </w:r>
    </w:p>
    <w:p w14:paraId="0DDAEE91">
      <w:pPr>
        <w:rPr>
          <w:szCs w:val="21"/>
        </w:rPr>
      </w:pPr>
      <w:r>
        <w:rPr>
          <w:rFonts w:ascii="黑体" w:hAnsi="黑体" w:eastAsia="黑体"/>
          <w:szCs w:val="21"/>
        </w:rPr>
        <w:t xml:space="preserve">4.2.7 </w:t>
      </w:r>
      <w:r>
        <w:rPr>
          <w:rFonts w:hint="eastAsia"/>
          <w:szCs w:val="21"/>
        </w:rPr>
        <w:t>抗坏血酸</w:t>
      </w:r>
      <w:r>
        <w:rPr>
          <w:rFonts w:hint="eastAsia"/>
          <w:szCs w:val="21"/>
          <w:lang w:eastAsia="zh-CN"/>
        </w:rPr>
        <w:t>（</w:t>
      </w:r>
      <w:r>
        <w:rPr>
          <w:rFonts w:hint="eastAsia"/>
          <w:szCs w:val="21"/>
        </w:rPr>
        <w:t>50 g/L</w:t>
      </w:r>
      <w:r>
        <w:rPr>
          <w:rFonts w:hint="eastAsia"/>
          <w:szCs w:val="21"/>
          <w:lang w:eastAsia="zh-CN"/>
        </w:rPr>
        <w:t>）</w:t>
      </w:r>
      <w:r>
        <w:rPr>
          <w:rFonts w:hint="eastAsia"/>
          <w:szCs w:val="21"/>
        </w:rPr>
        <w:t>，</w:t>
      </w:r>
      <w:r>
        <w:rPr>
          <w:rFonts w:hint="eastAsia"/>
          <w:szCs w:val="21"/>
          <w:lang w:val="en-US" w:eastAsia="zh-CN"/>
        </w:rPr>
        <w:t>现用现配</w:t>
      </w:r>
      <w:r>
        <w:rPr>
          <w:rFonts w:hint="eastAsia"/>
          <w:szCs w:val="21"/>
        </w:rPr>
        <w:t>。</w:t>
      </w:r>
    </w:p>
    <w:p w14:paraId="64CDACED">
      <w:pPr>
        <w:rPr>
          <w:szCs w:val="21"/>
        </w:rPr>
      </w:pPr>
      <w:r>
        <w:rPr>
          <w:rFonts w:ascii="黑体" w:hAnsi="黑体" w:eastAsia="黑体"/>
          <w:szCs w:val="21"/>
        </w:rPr>
        <w:t>4.2.</w:t>
      </w:r>
      <w:r>
        <w:rPr>
          <w:rFonts w:hint="eastAsia" w:ascii="黑体" w:hAnsi="黑体" w:eastAsia="黑体"/>
          <w:szCs w:val="21"/>
        </w:rPr>
        <w:t>8</w:t>
      </w:r>
      <w:r>
        <w:rPr>
          <w:rFonts w:ascii="黑体" w:hAnsi="黑体" w:eastAsia="黑体"/>
          <w:szCs w:val="21"/>
        </w:rPr>
        <w:t xml:space="preserve"> </w:t>
      </w:r>
      <w:r>
        <w:rPr>
          <w:rFonts w:hint="eastAsia"/>
          <w:szCs w:val="21"/>
        </w:rPr>
        <w:t>乙醇</w:t>
      </w:r>
      <w:r>
        <w:rPr>
          <w:rFonts w:hint="eastAsia"/>
          <w:szCs w:val="21"/>
          <w:lang w:eastAsia="zh-CN"/>
        </w:rPr>
        <w:t>（</w:t>
      </w:r>
      <w:r>
        <w:rPr>
          <w:rFonts w:hint="eastAsia"/>
          <w:szCs w:val="21"/>
        </w:rPr>
        <w:t>95%</w:t>
      </w:r>
      <w:r>
        <w:rPr>
          <w:rFonts w:hint="eastAsia"/>
          <w:szCs w:val="21"/>
          <w:lang w:eastAsia="zh-CN"/>
        </w:rPr>
        <w:t>）</w:t>
      </w:r>
      <w:r>
        <w:rPr>
          <w:rFonts w:hint="eastAsia"/>
          <w:szCs w:val="21"/>
        </w:rPr>
        <w:t>。</w:t>
      </w:r>
    </w:p>
    <w:p w14:paraId="65BC84C6">
      <w:pPr>
        <w:spacing w:line="276" w:lineRule="auto"/>
        <w:rPr>
          <w:szCs w:val="21"/>
        </w:rPr>
      </w:pPr>
      <w:r>
        <w:rPr>
          <w:rFonts w:ascii="黑体" w:hAnsi="黑体" w:eastAsia="黑体"/>
          <w:bCs/>
          <w:szCs w:val="21"/>
        </w:rPr>
        <w:t>4.2.</w:t>
      </w:r>
      <w:r>
        <w:rPr>
          <w:rFonts w:hint="eastAsia" w:ascii="黑体" w:hAnsi="黑体" w:eastAsia="黑体"/>
          <w:bCs/>
          <w:szCs w:val="21"/>
        </w:rPr>
        <w:t>9</w:t>
      </w:r>
      <w:r>
        <w:rPr>
          <w:szCs w:val="21"/>
        </w:rPr>
        <w:t xml:space="preserve"> </w:t>
      </w:r>
      <w:r>
        <w:rPr>
          <w:rFonts w:hint="eastAsia"/>
          <w:szCs w:val="21"/>
        </w:rPr>
        <w:t>钼酸铵</w:t>
      </w:r>
      <w:r>
        <w:rPr>
          <w:rFonts w:hint="eastAsia"/>
          <w:szCs w:val="21"/>
          <w:lang w:eastAsia="zh-CN"/>
        </w:rPr>
        <w:t>（</w:t>
      </w:r>
      <w:r>
        <w:rPr>
          <w:rFonts w:hint="eastAsia"/>
          <w:szCs w:val="21"/>
        </w:rPr>
        <w:t>25 g/L</w:t>
      </w:r>
      <w:r>
        <w:rPr>
          <w:rFonts w:hint="eastAsia"/>
          <w:szCs w:val="21"/>
          <w:lang w:eastAsia="zh-CN"/>
        </w:rPr>
        <w:t>）</w:t>
      </w:r>
      <w:r>
        <w:rPr>
          <w:rFonts w:hint="eastAsia"/>
          <w:szCs w:val="21"/>
        </w:rPr>
        <w:t>：称取5g钼酸铵加水至200mL，加入3.65mL氢氧化钠（</w:t>
      </w:r>
      <w:r>
        <w:rPr>
          <w:szCs w:val="21"/>
        </w:rPr>
        <w:t>4.2</w:t>
      </w:r>
      <w:r>
        <w:rPr>
          <w:rFonts w:hint="eastAsia"/>
          <w:szCs w:val="21"/>
        </w:rPr>
        <w:t>.4），使得其pH=7。</w:t>
      </w:r>
    </w:p>
    <w:p w14:paraId="5AAA2C57">
      <w:pPr>
        <w:spacing w:line="276" w:lineRule="auto"/>
        <w:rPr>
          <w:szCs w:val="21"/>
        </w:rPr>
      </w:pPr>
      <w:r>
        <w:rPr>
          <w:rFonts w:ascii="黑体" w:hAnsi="黑体" w:eastAsia="黑体"/>
          <w:bCs/>
          <w:szCs w:val="21"/>
        </w:rPr>
        <w:t>4.2.</w:t>
      </w:r>
      <w:r>
        <w:rPr>
          <w:rFonts w:hint="eastAsia" w:ascii="黑体" w:hAnsi="黑体" w:eastAsia="黑体"/>
          <w:bCs/>
          <w:szCs w:val="21"/>
        </w:rPr>
        <w:t xml:space="preserve">10 </w:t>
      </w:r>
      <w:r>
        <w:rPr>
          <w:rFonts w:hint="eastAsia" w:ascii="宋体" w:hAnsi="宋体" w:cs="宋体"/>
          <w:bCs/>
          <w:szCs w:val="21"/>
        </w:rPr>
        <w:t>五氧化二磷标准贮存溶液：称取1.9170 g预先经100℃～105℃烘干1h后置于干燥器中冷却至室温的优级纯磷酸二氢钾于250 mL烧杯中，加100 mL水溶解，移入1000 mL容量瓶中，以水稀释至刻度，混匀。此溶液1 mL含1 mg五氧化二磷。</w:t>
      </w:r>
    </w:p>
    <w:p w14:paraId="46610409">
      <w:pPr>
        <w:rPr>
          <w:szCs w:val="21"/>
        </w:rPr>
      </w:pPr>
      <w:r>
        <w:rPr>
          <w:rFonts w:ascii="黑体" w:hAnsi="黑体" w:eastAsia="黑体"/>
          <w:bCs/>
          <w:szCs w:val="21"/>
        </w:rPr>
        <w:t>4.2.</w:t>
      </w:r>
      <w:r>
        <w:rPr>
          <w:rFonts w:hint="eastAsia" w:ascii="黑体" w:hAnsi="黑体" w:eastAsia="黑体"/>
          <w:bCs/>
          <w:szCs w:val="21"/>
        </w:rPr>
        <w:t>11</w:t>
      </w:r>
      <w:r>
        <w:rPr>
          <w:rFonts w:ascii="黑体" w:hAnsi="黑体" w:eastAsia="黑体"/>
          <w:szCs w:val="21"/>
        </w:rPr>
        <w:t xml:space="preserve"> </w:t>
      </w:r>
      <w:r>
        <w:rPr>
          <w:rFonts w:hint="eastAsia"/>
          <w:szCs w:val="21"/>
        </w:rPr>
        <w:t>五氧化二磷标准溶液：移取10 mL五氧化二磷标准贮存溶液（</w:t>
      </w:r>
      <w:r>
        <w:rPr>
          <w:szCs w:val="21"/>
        </w:rPr>
        <w:t>4</w:t>
      </w:r>
      <w:r>
        <w:rPr>
          <w:rFonts w:hint="eastAsia"/>
          <w:szCs w:val="21"/>
        </w:rPr>
        <w:t>.2.10）置于200 mL容量瓶中，以水稀释至刻度，混匀。此溶液1 mL含50 µg五氧化二磷。</w:t>
      </w:r>
    </w:p>
    <w:p w14:paraId="6CF583DD">
      <w:pPr>
        <w:spacing w:line="276" w:lineRule="auto"/>
        <w:rPr>
          <w:szCs w:val="21"/>
        </w:rPr>
      </w:pPr>
      <w:r>
        <w:rPr>
          <w:rFonts w:ascii="黑体" w:hAnsi="黑体" w:eastAsia="黑体"/>
          <w:bCs/>
          <w:szCs w:val="21"/>
        </w:rPr>
        <w:t>4.2.</w:t>
      </w:r>
      <w:r>
        <w:rPr>
          <w:rFonts w:hint="eastAsia" w:ascii="黑体" w:hAnsi="黑体" w:eastAsia="黑体"/>
          <w:bCs/>
          <w:szCs w:val="21"/>
        </w:rPr>
        <w:t>12</w:t>
      </w:r>
      <w:r>
        <w:rPr>
          <w:rFonts w:ascii="黑体" w:hAnsi="黑体" w:eastAsia="黑体"/>
          <w:szCs w:val="21"/>
        </w:rPr>
        <w:t xml:space="preserve"> </w:t>
      </w:r>
      <w:r>
        <w:rPr>
          <w:rFonts w:hint="eastAsia"/>
          <w:szCs w:val="21"/>
        </w:rPr>
        <w:t>对硝基酚指示剂</w:t>
      </w:r>
      <w:r>
        <w:rPr>
          <w:rFonts w:hint="eastAsia"/>
          <w:szCs w:val="21"/>
          <w:lang w:eastAsia="zh-CN"/>
        </w:rPr>
        <w:t>（</w:t>
      </w:r>
      <w:r>
        <w:rPr>
          <w:rFonts w:hint="eastAsia"/>
          <w:szCs w:val="21"/>
        </w:rPr>
        <w:t>10 g/L</w:t>
      </w:r>
      <w:r>
        <w:rPr>
          <w:rFonts w:hint="eastAsia"/>
          <w:szCs w:val="21"/>
          <w:lang w:eastAsia="zh-CN"/>
        </w:rPr>
        <w:t>）</w:t>
      </w:r>
      <w:r>
        <w:rPr>
          <w:rFonts w:hint="eastAsia"/>
          <w:szCs w:val="21"/>
        </w:rPr>
        <w:t>。</w:t>
      </w:r>
    </w:p>
    <w:p w14:paraId="6BEBEA05">
      <w:pPr>
        <w:spacing w:line="276" w:lineRule="auto"/>
        <w:rPr>
          <w:szCs w:val="21"/>
        </w:rPr>
      </w:pPr>
      <w:r>
        <w:rPr>
          <w:rFonts w:ascii="黑体" w:hAnsi="黑体" w:eastAsia="黑体"/>
          <w:bCs/>
        </w:rPr>
        <w:t>4.2.</w:t>
      </w:r>
      <w:r>
        <w:rPr>
          <w:rFonts w:hint="eastAsia" w:ascii="黑体" w:hAnsi="黑体" w:eastAsia="黑体"/>
          <w:bCs/>
        </w:rPr>
        <w:t>13</w:t>
      </w:r>
      <w:r>
        <w:rPr>
          <w:rFonts w:ascii="黑体" w:hAnsi="黑体" w:eastAsia="黑体"/>
          <w:color w:val="000000"/>
        </w:rPr>
        <w:t xml:space="preserve"> </w:t>
      </w:r>
      <w:r>
        <w:rPr>
          <w:rFonts w:hint="eastAsia"/>
          <w:szCs w:val="21"/>
        </w:rPr>
        <w:t>氢氧化钠(预先烘去水分)。</w:t>
      </w:r>
    </w:p>
    <w:p w14:paraId="4FE15DBF">
      <w:pPr>
        <w:rPr>
          <w:szCs w:val="21"/>
        </w:rPr>
      </w:pPr>
      <w:r>
        <w:rPr>
          <w:rFonts w:ascii="黑体" w:hAnsi="黑体" w:eastAsia="黑体"/>
          <w:bCs/>
          <w:szCs w:val="21"/>
        </w:rPr>
        <w:t>4.2.</w:t>
      </w:r>
      <w:r>
        <w:rPr>
          <w:rFonts w:hint="eastAsia" w:ascii="黑体" w:hAnsi="黑体" w:eastAsia="黑体"/>
          <w:bCs/>
          <w:szCs w:val="21"/>
        </w:rPr>
        <w:t>14</w:t>
      </w:r>
      <w:r>
        <w:rPr>
          <w:szCs w:val="21"/>
        </w:rPr>
        <w:t xml:space="preserve"> </w:t>
      </w:r>
      <w:r>
        <w:rPr>
          <w:rFonts w:hint="eastAsia"/>
          <w:szCs w:val="21"/>
        </w:rPr>
        <w:t>过氧化钠。</w:t>
      </w:r>
    </w:p>
    <w:p w14:paraId="25A07DD9">
      <w:pPr>
        <w:pStyle w:val="74"/>
        <w:numPr>
          <w:ilvl w:val="0"/>
          <w:numId w:val="0"/>
        </w:numPr>
        <w:spacing w:before="156" w:after="156"/>
        <w:rPr>
          <w:rFonts w:ascii="黑体" w:hAnsi="黑体" w:eastAsia="黑体"/>
        </w:rPr>
      </w:pPr>
      <w:r>
        <w:rPr>
          <w:rFonts w:hAnsi="黑体" w:cs="黑体"/>
        </w:rPr>
        <w:t>4.3</w:t>
      </w:r>
      <w:r>
        <w:rPr>
          <w:rFonts w:hint="eastAsia" w:ascii="Times New Roman"/>
        </w:rPr>
        <w:t>　仪器设备</w:t>
      </w:r>
    </w:p>
    <w:p w14:paraId="37B9BDFA">
      <w:pPr>
        <w:rPr>
          <w:bCs/>
        </w:rPr>
      </w:pPr>
      <w:r>
        <w:rPr>
          <w:rFonts w:ascii="黑体" w:hAnsi="黑体" w:eastAsia="黑体"/>
        </w:rPr>
        <w:t xml:space="preserve">4.3.1 </w:t>
      </w:r>
      <w:r>
        <w:rPr>
          <w:rFonts w:hint="eastAsia"/>
          <w:bCs/>
        </w:rPr>
        <w:t>可见光分光光度计或紫外-可见分光光度计。</w:t>
      </w:r>
    </w:p>
    <w:p w14:paraId="393EC2C6">
      <w:pPr>
        <w:ind w:firstLine="420" w:firstLineChars="200"/>
        <w:rPr>
          <w:bCs/>
        </w:rPr>
      </w:pPr>
      <w:r>
        <w:rPr>
          <w:rFonts w:hint="eastAsia"/>
          <w:bCs/>
        </w:rPr>
        <w:t>在仪器最佳工作条件下，凡达到下列两项指标者均可使用：</w:t>
      </w:r>
    </w:p>
    <w:p w14:paraId="07101A49">
      <w:pPr>
        <w:ind w:firstLine="420" w:firstLineChars="200"/>
        <w:rPr>
          <w:bCs/>
        </w:rPr>
      </w:pPr>
      <w:r>
        <w:rPr>
          <w:rFonts w:hint="eastAsia"/>
          <w:bCs/>
        </w:rPr>
        <w:t>——波长700 nm处光谱带宽不大于6 nm，波长测量精确至±1 nm；</w:t>
      </w:r>
    </w:p>
    <w:p w14:paraId="50C6373A">
      <w:pPr>
        <w:ind w:firstLine="420" w:firstLineChars="200"/>
        <w:rPr>
          <w:bCs/>
        </w:rPr>
      </w:pPr>
      <w:r>
        <w:rPr>
          <w:rFonts w:hint="eastAsia"/>
          <w:bCs/>
        </w:rPr>
        <w:t>——精密度：用校准曲线最高浓度溶液测量10次吸光度，相对标准偏差不大于0.30%。</w:t>
      </w:r>
    </w:p>
    <w:p w14:paraId="2538C9EA">
      <w:pPr>
        <w:rPr>
          <w:bCs/>
        </w:rPr>
      </w:pPr>
      <w:r>
        <w:rPr>
          <w:rFonts w:hint="eastAsia" w:ascii="黑体" w:hAnsi="黑体" w:eastAsia="黑体" w:cs="黑体"/>
          <w:bCs/>
        </w:rPr>
        <w:t>4.3.3</w:t>
      </w:r>
      <w:r>
        <w:rPr>
          <w:rFonts w:hint="eastAsia"/>
          <w:bCs/>
        </w:rPr>
        <w:t xml:space="preserve"> 马弗炉，</w:t>
      </w:r>
      <w:r>
        <w:rPr>
          <w:rFonts w:hint="eastAsia"/>
          <w:bCs/>
          <w:lang w:eastAsia="zh-CN"/>
        </w:rPr>
        <w:t>≥</w:t>
      </w:r>
      <w:r>
        <w:rPr>
          <w:rFonts w:hint="eastAsia"/>
          <w:bCs/>
        </w:rPr>
        <w:t>500℃~800℃。</w:t>
      </w:r>
    </w:p>
    <w:p w14:paraId="3E6A374F">
      <w:pPr>
        <w:rPr>
          <w:bCs/>
        </w:rPr>
      </w:pPr>
      <w:r>
        <w:rPr>
          <w:rFonts w:hint="eastAsia" w:ascii="黑体" w:hAnsi="黑体" w:eastAsia="黑体" w:cs="黑体"/>
          <w:bCs/>
        </w:rPr>
        <w:t>4.3.4</w:t>
      </w:r>
      <w:r>
        <w:rPr>
          <w:rFonts w:hint="eastAsia"/>
          <w:bCs/>
        </w:rPr>
        <w:t xml:space="preserve"> 分析天平：感量0.1 mg。</w:t>
      </w:r>
    </w:p>
    <w:p w14:paraId="0E879EC5">
      <w:pPr>
        <w:rPr>
          <w:bCs/>
        </w:rPr>
      </w:pPr>
      <w:r>
        <w:rPr>
          <w:rFonts w:hint="eastAsia" w:ascii="黑体" w:hAnsi="黑体" w:eastAsia="黑体" w:cs="黑体"/>
          <w:bCs/>
        </w:rPr>
        <w:t>4.3.5</w:t>
      </w:r>
      <w:r>
        <w:rPr>
          <w:rFonts w:hint="eastAsia"/>
          <w:bCs/>
        </w:rPr>
        <w:t xml:space="preserve"> 刚玉坩埚，30 mL。</w:t>
      </w:r>
    </w:p>
    <w:p w14:paraId="6EE8FE43">
      <w:pPr>
        <w:pStyle w:val="74"/>
        <w:numPr>
          <w:ilvl w:val="0"/>
          <w:numId w:val="0"/>
        </w:numPr>
        <w:spacing w:before="156" w:after="156"/>
        <w:rPr>
          <w:rFonts w:ascii="Times New Roman"/>
          <w:color w:val="000000"/>
        </w:rPr>
      </w:pPr>
      <w:r>
        <w:rPr>
          <w:rFonts w:hint="eastAsia" w:hAnsi="黑体" w:cs="黑体"/>
          <w:color w:val="000000"/>
        </w:rPr>
        <w:t xml:space="preserve">4.4 </w:t>
      </w:r>
      <w:r>
        <w:rPr>
          <w:rFonts w:ascii="Times New Roman"/>
          <w:color w:val="000000"/>
        </w:rPr>
        <w:t>样品</w:t>
      </w:r>
    </w:p>
    <w:p w14:paraId="502BF309">
      <w:pPr>
        <w:spacing w:before="156" w:beforeLines="50" w:after="156" w:afterLines="50"/>
        <w:rPr>
          <w:rFonts w:hint="eastAsia" w:eastAsia="宋体"/>
          <w:lang w:eastAsia="zh-CN"/>
        </w:rPr>
      </w:pPr>
      <w:r>
        <w:rPr>
          <w:rFonts w:hint="eastAsia" w:ascii="黑体" w:hAnsi="黑体" w:eastAsia="黑体" w:cs="黑体"/>
        </w:rPr>
        <w:t xml:space="preserve">4.4.1 </w:t>
      </w:r>
      <w:r>
        <w:rPr>
          <w:rFonts w:hint="default" w:ascii="Times New Roman" w:hAnsi="Times New Roman" w:cs="Times New Roman"/>
          <w:szCs w:val="21"/>
        </w:rPr>
        <w:t>试样的粒度应研磨至通过0.074mm筛</w:t>
      </w:r>
      <w:r>
        <w:rPr>
          <w:rFonts w:hint="eastAsia" w:ascii="宋体" w:hAnsi="宋体" w:cs="宋体"/>
          <w:szCs w:val="21"/>
          <w:lang w:eastAsia="zh-CN"/>
        </w:rPr>
        <w:t>。</w:t>
      </w:r>
    </w:p>
    <w:p w14:paraId="42849071">
      <w:pPr>
        <w:adjustRightInd w:val="0"/>
        <w:snapToGrid w:val="0"/>
        <w:rPr>
          <w:rFonts w:asciiTheme="minorEastAsia" w:hAnsiTheme="minorEastAsia" w:eastAsiaTheme="minorEastAsia"/>
        </w:rPr>
      </w:pPr>
      <w:r>
        <w:rPr>
          <w:rFonts w:hint="eastAsia" w:ascii="黑体" w:hAnsi="黑体" w:eastAsia="黑体" w:cs="黑体"/>
        </w:rPr>
        <w:t xml:space="preserve">4.4.2 </w:t>
      </w:r>
      <w:r>
        <w:t>试样经105 ℃~110 ℃干燥2 h，</w:t>
      </w:r>
      <w:r>
        <w:rPr>
          <w:rFonts w:hint="eastAsia" w:ascii="宋体" w:hAnsi="宋体" w:cs="宋体"/>
          <w:szCs w:val="21"/>
        </w:rPr>
        <w:t>置于干燥器中，冷却至室温</w:t>
      </w:r>
      <w:r>
        <w:t>。</w:t>
      </w:r>
    </w:p>
    <w:p w14:paraId="26E17497">
      <w:pPr>
        <w:spacing w:before="156" w:beforeLines="50" w:after="156" w:afterLines="50"/>
        <w:rPr>
          <w:rFonts w:hAnsi="黑体" w:cs="黑体"/>
          <w:color w:val="000000"/>
        </w:rPr>
      </w:pPr>
      <w:r>
        <w:rPr>
          <w:rFonts w:hint="eastAsia" w:ascii="黑体" w:hAnsi="黑体" w:eastAsia="黑体" w:cs="黑体"/>
          <w:color w:val="000000"/>
          <w:kern w:val="0"/>
          <w:szCs w:val="20"/>
        </w:rPr>
        <w:t>4.5 试验步骤</w:t>
      </w:r>
    </w:p>
    <w:p w14:paraId="00397709">
      <w:pPr>
        <w:pStyle w:val="81"/>
        <w:numPr>
          <w:ilvl w:val="0"/>
          <w:numId w:val="0"/>
        </w:numPr>
        <w:spacing w:before="156" w:beforeLines="50" w:after="156" w:afterLines="50"/>
        <w:rPr>
          <w:rFonts w:ascii="Times New Roman"/>
          <w:kern w:val="2"/>
        </w:rPr>
      </w:pPr>
      <w:r>
        <w:rPr>
          <w:rFonts w:hint="eastAsia" w:hAnsi="黑体"/>
          <w:kern w:val="2"/>
        </w:rPr>
        <w:t>4.5</w:t>
      </w:r>
      <w:r>
        <w:rPr>
          <w:rFonts w:hAnsi="黑体"/>
          <w:kern w:val="2"/>
        </w:rPr>
        <w:t>.1</w:t>
      </w:r>
      <w:r>
        <w:rPr>
          <w:rFonts w:ascii="Times New Roman"/>
          <w:kern w:val="2"/>
        </w:rPr>
        <w:t>试料</w:t>
      </w:r>
    </w:p>
    <w:p w14:paraId="33C86E28">
      <w:pPr>
        <w:ind w:firstLine="420" w:firstLineChars="200"/>
        <w:rPr>
          <w:rFonts w:hint="eastAsia" w:ascii="黑体" w:hAnsi="黑体" w:eastAsia="宋体" w:cs="黑体"/>
          <w:sz w:val="18"/>
          <w:szCs w:val="18"/>
          <w:lang w:eastAsia="zh-CN"/>
        </w:rPr>
      </w:pPr>
      <w:r>
        <w:rPr>
          <w:rFonts w:hint="eastAsia"/>
          <w:szCs w:val="21"/>
        </w:rPr>
        <w:t>根据五氧化二磷的质量分数，按表1称取试样（4.4）</w:t>
      </w:r>
      <w:r>
        <w:rPr>
          <w:rFonts w:hint="eastAsia"/>
          <w:szCs w:val="21"/>
          <w:lang w:eastAsia="zh-CN"/>
        </w:rPr>
        <w:t>。</w:t>
      </w:r>
    </w:p>
    <w:p w14:paraId="065DD36F">
      <w:pPr>
        <w:jc w:val="center"/>
        <w:rPr>
          <w:rFonts w:hint="default" w:eastAsia="黑体"/>
          <w:color w:val="FF0000"/>
          <w:highlight w:val="yellow"/>
          <w:lang w:val="en-US" w:eastAsia="zh-CN"/>
        </w:rPr>
      </w:pPr>
      <w:r>
        <w:rPr>
          <w:rFonts w:hint="eastAsia" w:ascii="黑体" w:hAnsi="黑体" w:eastAsia="黑体" w:cs="黑体"/>
          <w:sz w:val="18"/>
          <w:szCs w:val="18"/>
        </w:rPr>
        <w:t>表1</w:t>
      </w:r>
      <w:r>
        <w:rPr>
          <w:rFonts w:hint="eastAsia" w:ascii="黑体" w:hAnsi="黑体" w:eastAsia="黑体" w:cs="黑体"/>
          <w:sz w:val="18"/>
          <w:szCs w:val="18"/>
          <w:lang w:val="en-US" w:eastAsia="zh-CN"/>
        </w:rPr>
        <w:t xml:space="preserve"> 试料称取量/移取量</w:t>
      </w:r>
    </w:p>
    <w:tbl>
      <w:tblPr>
        <w:tblStyle w:val="3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22"/>
        <w:gridCol w:w="1712"/>
        <w:gridCol w:w="1712"/>
        <w:gridCol w:w="1712"/>
        <w:gridCol w:w="1713"/>
      </w:tblGrid>
      <w:tr w14:paraId="204B0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2" w:type="dxa"/>
            <w:tcBorders>
              <w:top w:val="single" w:color="000000" w:sz="12" w:space="0"/>
              <w:left w:val="single" w:color="000000" w:sz="12" w:space="0"/>
              <w:bottom w:val="single" w:color="000000" w:sz="12" w:space="0"/>
              <w:right w:val="nil"/>
            </w:tcBorders>
            <w:vAlign w:val="center"/>
          </w:tcPr>
          <w:p w14:paraId="6838C079">
            <w:pPr>
              <w:pStyle w:val="21"/>
              <w:adjustRightInd w:val="0"/>
              <w:snapToGrid w:val="0"/>
              <w:jc w:val="center"/>
              <w:rPr>
                <w:rFonts w:ascii="Times New Roman" w:hAnsi="宋体"/>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五氧化二磷的质量分数</w:t>
            </w:r>
          </w:p>
          <w:p w14:paraId="77A4F679">
            <w:pPr>
              <w:pStyle w:val="21"/>
              <w:adjustRightInd w:val="0"/>
              <w:snapToGrid w:val="0"/>
              <w:jc w:val="center"/>
              <w:rPr>
                <w:color w:val="000000" w:themeColor="text1"/>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1712" w:type="dxa"/>
            <w:tcBorders>
              <w:top w:val="single" w:color="000000" w:sz="12" w:space="0"/>
              <w:left w:val="nil"/>
              <w:bottom w:val="single" w:color="000000" w:sz="12" w:space="0"/>
              <w:right w:val="nil"/>
            </w:tcBorders>
            <w:vAlign w:val="center"/>
          </w:tcPr>
          <w:p w14:paraId="377C0B39">
            <w:pPr>
              <w:pStyle w:val="21"/>
              <w:adjustRightInd w:val="0"/>
              <w:snapToGrid w:val="0"/>
              <w:jc w:val="center"/>
              <w:rPr>
                <w:rFonts w:ascii="Times New Roman" w:hAnsi="宋体"/>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试料量</w:t>
            </w:r>
          </w:p>
          <w:p w14:paraId="01791D49">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g</w:t>
            </w:r>
          </w:p>
        </w:tc>
        <w:tc>
          <w:tcPr>
            <w:tcW w:w="1712" w:type="dxa"/>
            <w:tcBorders>
              <w:top w:val="single" w:color="000000" w:sz="12" w:space="0"/>
              <w:left w:val="nil"/>
              <w:bottom w:val="single" w:color="000000" w:sz="12" w:space="0"/>
              <w:right w:val="nil"/>
            </w:tcBorders>
            <w:vAlign w:val="center"/>
          </w:tcPr>
          <w:p w14:paraId="18B97D3E">
            <w:pPr>
              <w:pStyle w:val="21"/>
              <w:adjustRightInd w:val="0"/>
              <w:snapToGrid w:val="0"/>
              <w:jc w:val="center"/>
              <w:rPr>
                <w:rFonts w:ascii="Times New Roman" w:hAnsi="宋体"/>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定容体积</w:t>
            </w:r>
          </w:p>
          <w:p w14:paraId="4B1BDB25">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mL</w:t>
            </w:r>
          </w:p>
        </w:tc>
        <w:tc>
          <w:tcPr>
            <w:tcW w:w="1712" w:type="dxa"/>
            <w:tcBorders>
              <w:top w:val="single" w:color="000000" w:sz="12" w:space="0"/>
              <w:left w:val="nil"/>
              <w:bottom w:val="single" w:color="000000" w:sz="12" w:space="0"/>
              <w:right w:val="nil"/>
            </w:tcBorders>
            <w:vAlign w:val="center"/>
          </w:tcPr>
          <w:p w14:paraId="25785348">
            <w:pPr>
              <w:pStyle w:val="21"/>
              <w:adjustRightInd w:val="0"/>
              <w:snapToGrid w:val="0"/>
              <w:jc w:val="center"/>
              <w:rPr>
                <w:rFonts w:ascii="Times New Roman" w:hAnsi="宋体"/>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分取体积</w:t>
            </w:r>
          </w:p>
          <w:p w14:paraId="40C5C044">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mL</w:t>
            </w:r>
          </w:p>
        </w:tc>
        <w:tc>
          <w:tcPr>
            <w:tcW w:w="1713" w:type="dxa"/>
            <w:tcBorders>
              <w:top w:val="single" w:color="000000" w:sz="12" w:space="0"/>
              <w:left w:val="nil"/>
              <w:bottom w:val="single" w:color="000000" w:sz="12" w:space="0"/>
              <w:right w:val="single" w:color="000000" w:sz="12" w:space="0"/>
            </w:tcBorders>
            <w:vAlign w:val="center"/>
          </w:tcPr>
          <w:p w14:paraId="4F0F5AD0">
            <w:pPr>
              <w:pStyle w:val="21"/>
              <w:adjustRightInd w:val="0"/>
              <w:snapToGrid w:val="0"/>
              <w:jc w:val="center"/>
              <w:rPr>
                <w:rFonts w:ascii="Times New Roman" w:hAnsi="宋体"/>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比色皿</w:t>
            </w:r>
          </w:p>
          <w:p w14:paraId="59D44526">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cm</w:t>
            </w:r>
          </w:p>
        </w:tc>
      </w:tr>
      <w:tr w14:paraId="1AE1C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2" w:type="dxa"/>
            <w:tcBorders>
              <w:top w:val="single" w:color="000000" w:sz="12" w:space="0"/>
              <w:left w:val="single" w:color="000000" w:sz="12" w:space="0"/>
              <w:bottom w:val="nil"/>
              <w:right w:val="nil"/>
            </w:tcBorders>
            <w:vAlign w:val="center"/>
          </w:tcPr>
          <w:p w14:paraId="3B6699FB">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0.</w:t>
            </w:r>
            <w:r>
              <w:rPr>
                <w:rFonts w:hint="eastAsia" w:ascii="Times New Roman" w:hAnsi="宋体"/>
                <w:color w:val="000000" w:themeColor="text1"/>
                <w:sz w:val="18"/>
                <w:szCs w:val="18"/>
                <w:lang w:val="en-US" w:eastAsia="zh-CN"/>
                <w14:textFill>
                  <w14:solidFill>
                    <w14:schemeClr w14:val="tx1"/>
                  </w14:solidFill>
                </w14:textFill>
              </w:rPr>
              <w:t>10</w:t>
            </w:r>
            <w:bookmarkStart w:id="4" w:name="_GoBack"/>
            <w:bookmarkEnd w:id="4"/>
            <w:r>
              <w:rPr>
                <w:rFonts w:hint="eastAsia" w:ascii="Times New Roman" w:hAnsi="宋体"/>
                <w:color w:val="000000" w:themeColor="text1"/>
                <w:sz w:val="18"/>
                <w:szCs w:val="18"/>
                <w14:textFill>
                  <w14:solidFill>
                    <w14:schemeClr w14:val="tx1"/>
                  </w14:solidFill>
                </w14:textFill>
              </w:rPr>
              <w:t>~1.00</w:t>
            </w:r>
          </w:p>
        </w:tc>
        <w:tc>
          <w:tcPr>
            <w:tcW w:w="1712" w:type="dxa"/>
            <w:tcBorders>
              <w:top w:val="single" w:color="000000" w:sz="12" w:space="0"/>
              <w:left w:val="nil"/>
              <w:bottom w:val="nil"/>
              <w:right w:val="nil"/>
            </w:tcBorders>
            <w:vAlign w:val="center"/>
          </w:tcPr>
          <w:p w14:paraId="7227FB2A">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0.4</w:t>
            </w:r>
          </w:p>
        </w:tc>
        <w:tc>
          <w:tcPr>
            <w:tcW w:w="1712" w:type="dxa"/>
            <w:tcBorders>
              <w:top w:val="single" w:color="000000" w:sz="12" w:space="0"/>
              <w:left w:val="nil"/>
              <w:bottom w:val="nil"/>
              <w:right w:val="nil"/>
            </w:tcBorders>
            <w:vAlign w:val="center"/>
          </w:tcPr>
          <w:p w14:paraId="77799689">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250</w:t>
            </w:r>
          </w:p>
        </w:tc>
        <w:tc>
          <w:tcPr>
            <w:tcW w:w="1712" w:type="dxa"/>
            <w:tcBorders>
              <w:top w:val="single" w:color="000000" w:sz="12" w:space="0"/>
              <w:left w:val="nil"/>
              <w:bottom w:val="nil"/>
              <w:right w:val="nil"/>
            </w:tcBorders>
            <w:vAlign w:val="center"/>
          </w:tcPr>
          <w:p w14:paraId="61B8EA80">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10.00</w:t>
            </w:r>
          </w:p>
        </w:tc>
        <w:tc>
          <w:tcPr>
            <w:tcW w:w="1713" w:type="dxa"/>
            <w:tcBorders>
              <w:top w:val="single" w:color="000000" w:sz="12" w:space="0"/>
              <w:left w:val="nil"/>
              <w:bottom w:val="nil"/>
              <w:right w:val="single" w:color="000000" w:sz="12" w:space="0"/>
            </w:tcBorders>
            <w:vAlign w:val="center"/>
          </w:tcPr>
          <w:p w14:paraId="66CA51CE">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2</w:t>
            </w:r>
          </w:p>
        </w:tc>
      </w:tr>
      <w:tr w14:paraId="5AC2D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2" w:type="dxa"/>
            <w:tcBorders>
              <w:top w:val="nil"/>
              <w:left w:val="single" w:color="000000" w:sz="12" w:space="0"/>
              <w:bottom w:val="nil"/>
              <w:right w:val="nil"/>
            </w:tcBorders>
            <w:vAlign w:val="center"/>
          </w:tcPr>
          <w:p w14:paraId="07F1DD0D">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1.00~5.00</w:t>
            </w:r>
          </w:p>
        </w:tc>
        <w:tc>
          <w:tcPr>
            <w:tcW w:w="1712" w:type="dxa"/>
            <w:tcBorders>
              <w:top w:val="nil"/>
              <w:left w:val="nil"/>
              <w:bottom w:val="nil"/>
              <w:right w:val="nil"/>
            </w:tcBorders>
            <w:vAlign w:val="center"/>
          </w:tcPr>
          <w:p w14:paraId="109B3F60">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0.1</w:t>
            </w:r>
          </w:p>
        </w:tc>
        <w:tc>
          <w:tcPr>
            <w:tcW w:w="1712" w:type="dxa"/>
            <w:tcBorders>
              <w:top w:val="nil"/>
              <w:left w:val="nil"/>
              <w:bottom w:val="nil"/>
              <w:right w:val="nil"/>
            </w:tcBorders>
            <w:vAlign w:val="center"/>
          </w:tcPr>
          <w:p w14:paraId="618D5D39">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250</w:t>
            </w:r>
          </w:p>
        </w:tc>
        <w:tc>
          <w:tcPr>
            <w:tcW w:w="1712" w:type="dxa"/>
            <w:tcBorders>
              <w:top w:val="nil"/>
              <w:left w:val="nil"/>
              <w:bottom w:val="nil"/>
              <w:right w:val="nil"/>
            </w:tcBorders>
            <w:vAlign w:val="center"/>
          </w:tcPr>
          <w:p w14:paraId="238E7C65">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10.00</w:t>
            </w:r>
          </w:p>
        </w:tc>
        <w:tc>
          <w:tcPr>
            <w:tcW w:w="1713" w:type="dxa"/>
            <w:tcBorders>
              <w:top w:val="nil"/>
              <w:left w:val="nil"/>
              <w:bottom w:val="nil"/>
              <w:right w:val="single" w:color="000000" w:sz="12" w:space="0"/>
            </w:tcBorders>
            <w:vAlign w:val="center"/>
          </w:tcPr>
          <w:p w14:paraId="32184D5D">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2</w:t>
            </w:r>
          </w:p>
        </w:tc>
      </w:tr>
      <w:tr w14:paraId="4E28B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2" w:type="dxa"/>
            <w:tcBorders>
              <w:top w:val="nil"/>
              <w:left w:val="single" w:color="000000" w:sz="12" w:space="0"/>
              <w:bottom w:val="nil"/>
              <w:right w:val="nil"/>
            </w:tcBorders>
            <w:vAlign w:val="center"/>
          </w:tcPr>
          <w:p w14:paraId="47943C96">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5.00~10.00</w:t>
            </w:r>
          </w:p>
        </w:tc>
        <w:tc>
          <w:tcPr>
            <w:tcW w:w="1712" w:type="dxa"/>
            <w:tcBorders>
              <w:top w:val="nil"/>
              <w:left w:val="nil"/>
              <w:bottom w:val="nil"/>
              <w:right w:val="nil"/>
            </w:tcBorders>
            <w:vAlign w:val="center"/>
          </w:tcPr>
          <w:p w14:paraId="48C26960">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0.1</w:t>
            </w:r>
          </w:p>
        </w:tc>
        <w:tc>
          <w:tcPr>
            <w:tcW w:w="1712" w:type="dxa"/>
            <w:tcBorders>
              <w:top w:val="nil"/>
              <w:left w:val="nil"/>
              <w:bottom w:val="nil"/>
              <w:right w:val="nil"/>
            </w:tcBorders>
            <w:vAlign w:val="center"/>
          </w:tcPr>
          <w:p w14:paraId="0074C17D">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250</w:t>
            </w:r>
          </w:p>
        </w:tc>
        <w:tc>
          <w:tcPr>
            <w:tcW w:w="1712" w:type="dxa"/>
            <w:tcBorders>
              <w:top w:val="nil"/>
              <w:left w:val="nil"/>
              <w:bottom w:val="nil"/>
              <w:right w:val="nil"/>
            </w:tcBorders>
            <w:vAlign w:val="center"/>
          </w:tcPr>
          <w:p w14:paraId="5ACE7395">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5.00</w:t>
            </w:r>
          </w:p>
        </w:tc>
        <w:tc>
          <w:tcPr>
            <w:tcW w:w="1713" w:type="dxa"/>
            <w:tcBorders>
              <w:top w:val="nil"/>
              <w:left w:val="nil"/>
              <w:bottom w:val="nil"/>
              <w:right w:val="single" w:color="000000" w:sz="12" w:space="0"/>
            </w:tcBorders>
            <w:vAlign w:val="center"/>
          </w:tcPr>
          <w:p w14:paraId="444CD348">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1</w:t>
            </w:r>
          </w:p>
        </w:tc>
      </w:tr>
      <w:tr w14:paraId="781FA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2" w:type="dxa"/>
            <w:tcBorders>
              <w:top w:val="nil"/>
              <w:left w:val="single" w:color="000000" w:sz="12" w:space="0"/>
              <w:bottom w:val="single" w:color="000000" w:sz="12" w:space="0"/>
              <w:right w:val="nil"/>
            </w:tcBorders>
            <w:vAlign w:val="center"/>
          </w:tcPr>
          <w:p w14:paraId="14C6AFEB">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10.00~30.00</w:t>
            </w:r>
          </w:p>
        </w:tc>
        <w:tc>
          <w:tcPr>
            <w:tcW w:w="1712" w:type="dxa"/>
            <w:tcBorders>
              <w:top w:val="nil"/>
              <w:left w:val="nil"/>
              <w:bottom w:val="single" w:color="000000" w:sz="12" w:space="0"/>
              <w:right w:val="nil"/>
            </w:tcBorders>
            <w:vAlign w:val="center"/>
          </w:tcPr>
          <w:p w14:paraId="4528ABAF">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0.1</w:t>
            </w:r>
          </w:p>
        </w:tc>
        <w:tc>
          <w:tcPr>
            <w:tcW w:w="1712" w:type="dxa"/>
            <w:tcBorders>
              <w:top w:val="nil"/>
              <w:left w:val="nil"/>
              <w:bottom w:val="single" w:color="000000" w:sz="12" w:space="0"/>
              <w:right w:val="nil"/>
            </w:tcBorders>
            <w:vAlign w:val="center"/>
          </w:tcPr>
          <w:p w14:paraId="0BBFABED">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250</w:t>
            </w:r>
          </w:p>
        </w:tc>
        <w:tc>
          <w:tcPr>
            <w:tcW w:w="1712" w:type="dxa"/>
            <w:tcBorders>
              <w:top w:val="nil"/>
              <w:left w:val="nil"/>
              <w:bottom w:val="single" w:color="000000" w:sz="12" w:space="0"/>
              <w:right w:val="nil"/>
            </w:tcBorders>
            <w:vAlign w:val="center"/>
          </w:tcPr>
          <w:p w14:paraId="329379CB">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2.00</w:t>
            </w:r>
          </w:p>
        </w:tc>
        <w:tc>
          <w:tcPr>
            <w:tcW w:w="1713" w:type="dxa"/>
            <w:tcBorders>
              <w:top w:val="nil"/>
              <w:left w:val="nil"/>
              <w:bottom w:val="single" w:color="000000" w:sz="12" w:space="0"/>
              <w:right w:val="single" w:color="000000" w:sz="12" w:space="0"/>
            </w:tcBorders>
            <w:vAlign w:val="center"/>
          </w:tcPr>
          <w:p w14:paraId="75E37F2B">
            <w:pPr>
              <w:pStyle w:val="21"/>
              <w:adjustRightInd w:val="0"/>
              <w:snapToGrid w:val="0"/>
              <w:jc w:val="center"/>
              <w:rPr>
                <w:color w:val="000000" w:themeColor="text1"/>
                <w:sz w:val="18"/>
                <w:szCs w:val="18"/>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1</w:t>
            </w:r>
          </w:p>
        </w:tc>
      </w:tr>
    </w:tbl>
    <w:p w14:paraId="47E915B1">
      <w:pPr>
        <w:pStyle w:val="81"/>
        <w:numPr>
          <w:ilvl w:val="0"/>
          <w:numId w:val="0"/>
        </w:numPr>
        <w:spacing w:before="156" w:beforeLines="50" w:after="156" w:afterLines="50"/>
        <w:rPr>
          <w:rFonts w:hAnsi="黑体"/>
        </w:rPr>
      </w:pPr>
      <w:r>
        <w:rPr>
          <w:rFonts w:hint="eastAsia" w:hAnsi="黑体"/>
          <w:kern w:val="2"/>
        </w:rPr>
        <w:t>4</w:t>
      </w:r>
      <w:r>
        <w:rPr>
          <w:rFonts w:hAnsi="黑体"/>
          <w:kern w:val="2"/>
        </w:rPr>
        <w:t xml:space="preserve">.5.2 </w:t>
      </w:r>
      <w:r>
        <w:rPr>
          <w:rFonts w:hint="eastAsia" w:hAnsi="黑体"/>
          <w:kern w:val="2"/>
        </w:rPr>
        <w:t>平行实验</w:t>
      </w:r>
    </w:p>
    <w:p w14:paraId="396E14DC">
      <w:pPr>
        <w:pStyle w:val="21"/>
        <w:adjustRightInd w:val="0"/>
        <w:snapToGrid w:val="0"/>
        <w:ind w:firstLine="420" w:firstLineChars="200"/>
        <w:rPr>
          <w:rFonts w:ascii="Times New Roman" w:hAnsi="Times New Roman"/>
          <w:szCs w:val="22"/>
        </w:rPr>
      </w:pPr>
      <w:r>
        <w:rPr>
          <w:rFonts w:hint="eastAsia" w:ascii="Times New Roman" w:hAnsi="Times New Roman"/>
          <w:szCs w:val="22"/>
        </w:rPr>
        <w:t>独立进行两次测定。</w:t>
      </w:r>
    </w:p>
    <w:p w14:paraId="4CDF8FF6">
      <w:pPr>
        <w:pStyle w:val="81"/>
        <w:numPr>
          <w:ilvl w:val="0"/>
          <w:numId w:val="0"/>
        </w:numPr>
        <w:spacing w:before="156" w:beforeLines="50" w:after="156" w:afterLines="50"/>
        <w:rPr>
          <w:rFonts w:ascii="Times New Roman"/>
          <w:color w:val="000000"/>
          <w:kern w:val="2"/>
        </w:rPr>
      </w:pPr>
      <w:r>
        <w:rPr>
          <w:rFonts w:hint="eastAsia" w:hAnsi="黑体"/>
          <w:color w:val="000000"/>
          <w:kern w:val="2"/>
        </w:rPr>
        <w:t>4.5</w:t>
      </w:r>
      <w:r>
        <w:rPr>
          <w:rFonts w:hAnsi="黑体"/>
          <w:color w:val="000000"/>
          <w:kern w:val="2"/>
        </w:rPr>
        <w:t>.</w:t>
      </w:r>
      <w:r>
        <w:rPr>
          <w:rFonts w:hint="eastAsia" w:hAnsi="黑体"/>
          <w:color w:val="000000"/>
          <w:kern w:val="2"/>
        </w:rPr>
        <w:t>3</w:t>
      </w:r>
      <w:r>
        <w:rPr>
          <w:rFonts w:hAnsi="黑体"/>
          <w:color w:val="000000"/>
          <w:kern w:val="2"/>
        </w:rPr>
        <w:t xml:space="preserve"> </w:t>
      </w:r>
      <w:r>
        <w:rPr>
          <w:rFonts w:hint="eastAsia" w:ascii="Times New Roman"/>
          <w:color w:val="000000"/>
          <w:kern w:val="2"/>
        </w:rPr>
        <w:t>空白试验</w:t>
      </w:r>
    </w:p>
    <w:p w14:paraId="3770CBEE">
      <w:pPr>
        <w:pStyle w:val="21"/>
        <w:adjustRightInd w:val="0"/>
        <w:snapToGrid w:val="0"/>
        <w:ind w:firstLine="420" w:firstLineChars="200"/>
        <w:rPr>
          <w:rFonts w:ascii="Times New Roman" w:hAnsi="Times New Roman"/>
          <w:szCs w:val="22"/>
        </w:rPr>
      </w:pPr>
      <w:r>
        <w:rPr>
          <w:rFonts w:ascii="Times New Roman" w:hAnsi="Times New Roman"/>
          <w:szCs w:val="22"/>
        </w:rPr>
        <w:t>随同试料做空白试验。</w:t>
      </w:r>
    </w:p>
    <w:p w14:paraId="126CD1F3">
      <w:pPr>
        <w:pStyle w:val="81"/>
        <w:numPr>
          <w:ilvl w:val="0"/>
          <w:numId w:val="0"/>
        </w:numPr>
        <w:spacing w:before="156" w:beforeLines="50" w:after="156" w:afterLines="50"/>
        <w:rPr>
          <w:rFonts w:ascii="Times New Roman"/>
          <w:color w:val="000000"/>
          <w:kern w:val="2"/>
        </w:rPr>
      </w:pPr>
      <w:r>
        <w:rPr>
          <w:rFonts w:hint="eastAsia" w:hAnsi="黑体"/>
          <w:color w:val="000000"/>
          <w:kern w:val="2"/>
        </w:rPr>
        <w:t>4.5</w:t>
      </w:r>
      <w:r>
        <w:rPr>
          <w:rFonts w:hAnsi="黑体"/>
          <w:color w:val="000000"/>
          <w:kern w:val="2"/>
        </w:rPr>
        <w:t xml:space="preserve">.4 </w:t>
      </w:r>
      <w:r>
        <w:rPr>
          <w:rFonts w:hint="eastAsia" w:ascii="Times New Roman"/>
          <w:color w:val="000000"/>
          <w:kern w:val="2"/>
        </w:rPr>
        <w:t>分析试液的制备</w:t>
      </w:r>
    </w:p>
    <w:p w14:paraId="00EB5018">
      <w:pPr>
        <w:ind w:firstLine="420" w:firstLineChars="200"/>
        <w:rPr>
          <w:szCs w:val="21"/>
        </w:rPr>
      </w:pPr>
      <w:r>
        <w:rPr>
          <w:szCs w:val="21"/>
        </w:rPr>
        <w:t>将试料（</w:t>
      </w:r>
      <w:r>
        <w:rPr>
          <w:rFonts w:hint="eastAsia"/>
          <w:szCs w:val="21"/>
        </w:rPr>
        <w:t>4.5.1</w:t>
      </w:r>
      <w:r>
        <w:rPr>
          <w:szCs w:val="21"/>
        </w:rPr>
        <w:t>）置于盛有3 g预先烘去水分的氢氧化钠（</w:t>
      </w:r>
      <w:r>
        <w:rPr>
          <w:rFonts w:hint="eastAsia"/>
          <w:szCs w:val="21"/>
        </w:rPr>
        <w:t>4.2.13</w:t>
      </w:r>
      <w:r>
        <w:rPr>
          <w:szCs w:val="21"/>
        </w:rPr>
        <w:t>）的刚玉坩埚（</w:t>
      </w:r>
      <w:r>
        <w:rPr>
          <w:rFonts w:hint="eastAsia"/>
          <w:szCs w:val="21"/>
        </w:rPr>
        <w:t>4.3.5</w:t>
      </w:r>
      <w:r>
        <w:rPr>
          <w:szCs w:val="21"/>
        </w:rPr>
        <w:t>）中，加入1.5 g过氧化钠（</w:t>
      </w:r>
      <w:r>
        <w:rPr>
          <w:rFonts w:hint="eastAsia"/>
          <w:szCs w:val="21"/>
        </w:rPr>
        <w:t>4.2</w:t>
      </w:r>
      <w:r>
        <w:rPr>
          <w:szCs w:val="21"/>
        </w:rPr>
        <w:t>.14）覆盖，加热除去水分，摇动坩埚使试样散开，盖好坩埚盖，置于750℃马弗炉（</w:t>
      </w:r>
      <w:r>
        <w:rPr>
          <w:rFonts w:hint="eastAsia"/>
          <w:szCs w:val="21"/>
        </w:rPr>
        <w:t>4.3</w:t>
      </w:r>
      <w:r>
        <w:rPr>
          <w:szCs w:val="21"/>
        </w:rPr>
        <w:t>.3）中熔融至缨红并保持5～10min，中间摇动1次，取出冷却。</w:t>
      </w:r>
    </w:p>
    <w:p w14:paraId="03DB0068">
      <w:pPr>
        <w:ind w:firstLine="420" w:firstLineChars="200"/>
        <w:rPr>
          <w:szCs w:val="21"/>
        </w:rPr>
      </w:pPr>
      <w:r>
        <w:rPr>
          <w:szCs w:val="21"/>
        </w:rPr>
        <w:t>将冷却后的刚玉坩埚置于预先盛有120 mL热水的烧杯中浸取，待剧烈反应后，用水冲洗坩埚及外壁，加入2 mL硝酸（</w:t>
      </w:r>
      <w:r>
        <w:rPr>
          <w:rFonts w:hint="eastAsia"/>
          <w:szCs w:val="21"/>
        </w:rPr>
        <w:t>4.2</w:t>
      </w:r>
      <w:r>
        <w:rPr>
          <w:szCs w:val="21"/>
        </w:rPr>
        <w:t>.2）洗涤坩埚，用水洗净取出坩埚及坩埚盖，控制体积约150 mL。加入30 mL硝酸（</w:t>
      </w:r>
      <w:r>
        <w:rPr>
          <w:rFonts w:hint="eastAsia"/>
          <w:szCs w:val="21"/>
        </w:rPr>
        <w:t>4.2</w:t>
      </w:r>
      <w:r>
        <w:rPr>
          <w:szCs w:val="21"/>
        </w:rPr>
        <w:t>.1），1 mL过氧化氢（</w:t>
      </w:r>
      <w:r>
        <w:rPr>
          <w:rFonts w:hint="eastAsia"/>
          <w:szCs w:val="21"/>
        </w:rPr>
        <w:t>4.2</w:t>
      </w:r>
      <w:r>
        <w:rPr>
          <w:szCs w:val="21"/>
        </w:rPr>
        <w:t>.5），加热煮沸使溶液清亮，冷却后移入250 mL容量瓶中，用水稀释至刻度，混匀，待测。</w:t>
      </w:r>
    </w:p>
    <w:p w14:paraId="54A30C5A">
      <w:pPr>
        <w:spacing w:before="156" w:beforeLines="50" w:after="156" w:afterLines="50"/>
        <w:rPr>
          <w:szCs w:val="21"/>
        </w:rPr>
      </w:pPr>
      <w:r>
        <w:rPr>
          <w:rFonts w:hint="eastAsia" w:ascii="黑体" w:hAnsi="黑体" w:eastAsia="黑体" w:cs="黑体"/>
          <w:szCs w:val="21"/>
        </w:rPr>
        <w:t>4.5.5 测定</w:t>
      </w:r>
    </w:p>
    <w:p w14:paraId="1F7AAE34">
      <w:pPr>
        <w:rPr>
          <w:szCs w:val="21"/>
        </w:rPr>
      </w:pPr>
      <w:r>
        <w:rPr>
          <w:rFonts w:hint="eastAsia"/>
          <w:szCs w:val="21"/>
          <w:lang w:val="en-US" w:eastAsia="zh-CN"/>
        </w:rPr>
        <w:t xml:space="preserve">4.5.5.1 </w:t>
      </w:r>
      <w:r>
        <w:rPr>
          <w:rFonts w:hint="eastAsia"/>
          <w:szCs w:val="21"/>
        </w:rPr>
        <w:t>按</w:t>
      </w:r>
      <w:r>
        <w:rPr>
          <w:szCs w:val="21"/>
        </w:rPr>
        <w:t>表1移取一定量试液（</w:t>
      </w:r>
      <w:r>
        <w:rPr>
          <w:rFonts w:hint="eastAsia"/>
          <w:szCs w:val="21"/>
        </w:rPr>
        <w:t>4.5.4</w:t>
      </w:r>
      <w:r>
        <w:rPr>
          <w:szCs w:val="21"/>
        </w:rPr>
        <w:t>）于100 mL容量瓶中，一滴对硝基酚指示剂（</w:t>
      </w:r>
      <w:r>
        <w:rPr>
          <w:rFonts w:hint="eastAsia"/>
          <w:szCs w:val="21"/>
        </w:rPr>
        <w:t>4.2</w:t>
      </w:r>
      <w:r>
        <w:rPr>
          <w:szCs w:val="21"/>
        </w:rPr>
        <w:t>.12），用氢氧化钠（</w:t>
      </w:r>
      <w:r>
        <w:rPr>
          <w:rFonts w:hint="eastAsia"/>
          <w:szCs w:val="21"/>
        </w:rPr>
        <w:t>4.2</w:t>
      </w:r>
      <w:r>
        <w:rPr>
          <w:szCs w:val="21"/>
        </w:rPr>
        <w:t>.4）调溶液至出现黄色，用硝酸（</w:t>
      </w:r>
      <w:r>
        <w:rPr>
          <w:rFonts w:hint="eastAsia"/>
          <w:szCs w:val="21"/>
        </w:rPr>
        <w:t>4.2</w:t>
      </w:r>
      <w:r>
        <w:rPr>
          <w:szCs w:val="21"/>
        </w:rPr>
        <w:t>.3）调溶液至黄色刚消失，用水稀释至近30mL，加入10mL硝酸—硝酸铋混合液（</w:t>
      </w:r>
      <w:r>
        <w:rPr>
          <w:rFonts w:hint="eastAsia"/>
          <w:szCs w:val="21"/>
        </w:rPr>
        <w:t>4.2</w:t>
      </w:r>
      <w:r>
        <w:rPr>
          <w:szCs w:val="21"/>
        </w:rPr>
        <w:t>.6），混匀，加入2mL抗坏血酸（</w:t>
      </w:r>
      <w:r>
        <w:rPr>
          <w:rFonts w:hint="eastAsia"/>
          <w:szCs w:val="21"/>
        </w:rPr>
        <w:t>4.2</w:t>
      </w:r>
      <w:r>
        <w:rPr>
          <w:szCs w:val="21"/>
        </w:rPr>
        <w:t>.7），混匀，加10mL乙醇（</w:t>
      </w:r>
      <w:r>
        <w:rPr>
          <w:rFonts w:hint="eastAsia"/>
          <w:szCs w:val="21"/>
        </w:rPr>
        <w:t>4.2</w:t>
      </w:r>
      <w:r>
        <w:rPr>
          <w:szCs w:val="21"/>
        </w:rPr>
        <w:t>.8），混匀，边摇边慢慢加入10mL钼酸铵（</w:t>
      </w:r>
      <w:r>
        <w:rPr>
          <w:rFonts w:hint="eastAsia"/>
          <w:szCs w:val="21"/>
        </w:rPr>
        <w:t>4.2</w:t>
      </w:r>
      <w:r>
        <w:rPr>
          <w:szCs w:val="21"/>
        </w:rPr>
        <w:t>.9），立即边摇边稀释至刻度，混匀，放置10min</w:t>
      </w:r>
      <w:r>
        <w:rPr>
          <w:rFonts w:hint="eastAsia"/>
          <w:szCs w:val="21"/>
        </w:rPr>
        <w:t>后比色，须在4</w:t>
      </w:r>
      <w:r>
        <w:rPr>
          <w:szCs w:val="21"/>
        </w:rPr>
        <w:t>0</w:t>
      </w:r>
      <w:r>
        <w:rPr>
          <w:rFonts w:hint="eastAsia"/>
          <w:szCs w:val="21"/>
        </w:rPr>
        <w:t>min内完成比色</w:t>
      </w:r>
      <w:r>
        <w:rPr>
          <w:szCs w:val="21"/>
        </w:rPr>
        <w:t>。</w:t>
      </w:r>
    </w:p>
    <w:p w14:paraId="70F643FE">
      <w:r>
        <w:rPr>
          <w:rFonts w:hint="eastAsia"/>
          <w:szCs w:val="21"/>
          <w:lang w:val="en-US" w:eastAsia="zh-CN"/>
        </w:rPr>
        <w:t xml:space="preserve">4.5.5.2 </w:t>
      </w:r>
      <w:r>
        <w:rPr>
          <w:szCs w:val="21"/>
        </w:rPr>
        <w:t>移取</w:t>
      </w:r>
      <w:r>
        <w:rPr>
          <w:rFonts w:hint="eastAsia"/>
          <w:szCs w:val="21"/>
        </w:rPr>
        <w:t>上述</w:t>
      </w:r>
      <w:r>
        <w:rPr>
          <w:szCs w:val="21"/>
        </w:rPr>
        <w:t>制取的部分溶液于表1对应比色皿中，以试剂空白为参比，于分光光度计上，在波长700 nm处，测量其吸光度，从显色液的吸光度中减去随同试料空白试液的吸光度，获得净吸光度，再以净吸光度从工作曲线上查出相应的五氧化二磷的量。</w:t>
      </w:r>
    </w:p>
    <w:p w14:paraId="0FA968F5">
      <w:pPr>
        <w:pStyle w:val="47"/>
        <w:spacing w:before="156" w:beforeLines="50" w:after="156" w:afterLines="50"/>
        <w:ind w:firstLine="0" w:firstLineChars="0"/>
      </w:pPr>
      <w:r>
        <w:rPr>
          <w:rFonts w:hint="eastAsia" w:ascii="黑体" w:hAnsi="黑体" w:eastAsia="黑体" w:cs="黑体"/>
          <w:kern w:val="2"/>
          <w:szCs w:val="21"/>
        </w:rPr>
        <w:t>4.5.5</w:t>
      </w:r>
      <w:r>
        <w:rPr>
          <w:rFonts w:ascii="黑体" w:hAnsi="黑体" w:eastAsia="黑体" w:cs="黑体"/>
          <w:kern w:val="2"/>
          <w:szCs w:val="21"/>
        </w:rPr>
        <w:t xml:space="preserve"> </w:t>
      </w:r>
      <w:r>
        <w:rPr>
          <w:rFonts w:hint="eastAsia" w:ascii="黑体" w:hAnsi="黑体" w:eastAsia="黑体" w:cs="黑体"/>
          <w:szCs w:val="21"/>
        </w:rPr>
        <w:t>标准曲线的绘制</w:t>
      </w:r>
    </w:p>
    <w:p w14:paraId="49951C1B">
      <w:r>
        <w:rPr>
          <w:rFonts w:hint="eastAsia" w:ascii="黑体" w:hAnsi="黑体" w:eastAsia="黑体" w:cs="黑体"/>
          <w:szCs w:val="21"/>
        </w:rPr>
        <w:t>4</w:t>
      </w:r>
      <w:r>
        <w:rPr>
          <w:rFonts w:ascii="黑体" w:hAnsi="黑体" w:eastAsia="黑体" w:cs="黑体"/>
          <w:szCs w:val="21"/>
        </w:rPr>
        <w:t>.5.</w:t>
      </w:r>
      <w:r>
        <w:rPr>
          <w:rFonts w:hint="eastAsia" w:ascii="黑体" w:hAnsi="黑体" w:eastAsia="黑体" w:cs="黑体"/>
          <w:szCs w:val="21"/>
        </w:rPr>
        <w:t>5</w:t>
      </w:r>
      <w:r>
        <w:rPr>
          <w:rFonts w:ascii="黑体" w:hAnsi="黑体" w:eastAsia="黑体" w:cs="黑体"/>
          <w:szCs w:val="21"/>
        </w:rPr>
        <w:t>.1</w:t>
      </w:r>
      <w:r>
        <w:t xml:space="preserve"> </w:t>
      </w:r>
      <w:r>
        <w:rPr>
          <w:rFonts w:hint="eastAsia"/>
        </w:rPr>
        <w:t>分别移取0、0.20、0.50、1.00、2.00、3.00、4.00 mL五氧化二磷标准溶液（4.2.11），置于100 mL容量瓶中，以下按分析步骤4.5.</w:t>
      </w:r>
      <w:r>
        <w:t>5</w:t>
      </w:r>
      <w:r>
        <w:rPr>
          <w:rFonts w:hint="eastAsia"/>
        </w:rPr>
        <w:t>进行，移取制取的部分溶液于2 cm比色皿中，以水为参比，于分光光度计波长700 nm处测量其吸光度，并减去试剂空白的吸光度，绘制工作曲线。</w:t>
      </w:r>
    </w:p>
    <w:p w14:paraId="036CE7DA">
      <w:r>
        <w:rPr>
          <w:rFonts w:hint="eastAsia" w:ascii="黑体" w:hAnsi="黑体" w:eastAsia="黑体" w:cs="黑体"/>
          <w:szCs w:val="21"/>
        </w:rPr>
        <w:t>4</w:t>
      </w:r>
      <w:r>
        <w:rPr>
          <w:rFonts w:ascii="黑体" w:hAnsi="黑体" w:eastAsia="黑体" w:cs="黑体"/>
          <w:szCs w:val="21"/>
        </w:rPr>
        <w:t>.5.</w:t>
      </w:r>
      <w:r>
        <w:rPr>
          <w:rFonts w:hint="eastAsia" w:ascii="黑体" w:hAnsi="黑体" w:eastAsia="黑体" w:cs="黑体"/>
          <w:szCs w:val="21"/>
        </w:rPr>
        <w:t>5</w:t>
      </w:r>
      <w:r>
        <w:rPr>
          <w:rFonts w:ascii="黑体" w:hAnsi="黑体" w:eastAsia="黑体" w:cs="黑体"/>
          <w:szCs w:val="21"/>
        </w:rPr>
        <w:t>.</w:t>
      </w:r>
      <w:r>
        <w:rPr>
          <w:rFonts w:hint="eastAsia" w:ascii="黑体" w:hAnsi="黑体" w:eastAsia="黑体" w:cs="黑体"/>
          <w:szCs w:val="21"/>
        </w:rPr>
        <w:t>2</w:t>
      </w:r>
      <w:r>
        <w:rPr>
          <w:rFonts w:ascii="黑体" w:hAnsi="黑体" w:eastAsia="黑体" w:cs="黑体"/>
          <w:szCs w:val="21"/>
        </w:rPr>
        <w:t xml:space="preserve"> </w:t>
      </w:r>
      <w:r>
        <w:rPr>
          <w:rFonts w:hint="eastAsia"/>
        </w:rPr>
        <w:t>分别移取0、1.00、2.00、4.00、5.00、6.00、7.00 mL五氧化二磷标准溶液（4.2.11），置于100 mL容量瓶中，以下按分析步骤</w:t>
      </w:r>
      <w:r>
        <w:t>4.5.5</w:t>
      </w:r>
      <w:r>
        <w:rPr>
          <w:rFonts w:hint="eastAsia"/>
        </w:rPr>
        <w:t>进行，移取制取的部分溶液于1 cm比色皿中，以水为参比，于分光光度计波长700 nm处测量其吸光度，并减去试剂空白的吸光度，绘制工作曲线。</w:t>
      </w:r>
    </w:p>
    <w:p w14:paraId="653146A9">
      <w:pPr>
        <w:pStyle w:val="74"/>
        <w:numPr>
          <w:ilvl w:val="0"/>
          <w:numId w:val="0"/>
        </w:numPr>
        <w:spacing w:before="156" w:after="156"/>
        <w:rPr>
          <w:rFonts w:hAnsi="黑体" w:cs="黑体"/>
          <w:color w:val="000000"/>
        </w:rPr>
      </w:pPr>
      <w:r>
        <w:rPr>
          <w:rFonts w:hint="eastAsia" w:hAnsi="黑体" w:cs="黑体"/>
          <w:color w:val="000000"/>
        </w:rPr>
        <w:t>4.6</w:t>
      </w:r>
      <w:r>
        <w:rPr>
          <w:rFonts w:hAnsi="黑体" w:cs="黑体"/>
          <w:color w:val="000000"/>
        </w:rPr>
        <w:t xml:space="preserve"> </w:t>
      </w:r>
      <w:r>
        <w:rPr>
          <w:rFonts w:hint="eastAsia" w:hAnsi="黑体" w:cs="黑体"/>
          <w:color w:val="000000"/>
        </w:rPr>
        <w:t>试验数据处理</w:t>
      </w:r>
    </w:p>
    <w:p w14:paraId="648F5F93">
      <w:pPr>
        <w:pStyle w:val="47"/>
        <w:ind w:firstLine="420"/>
        <w:jc w:val="left"/>
        <w:rPr>
          <w:rFonts w:ascii="Times New Roman" w:hAnsi="宋体"/>
          <w:kern w:val="2"/>
          <w:szCs w:val="21"/>
        </w:rPr>
      </w:pPr>
      <w:r>
        <w:rPr>
          <w:rFonts w:hint="eastAsia" w:ascii="Times New Roman"/>
        </w:rPr>
        <w:t>五氧化二磷含量以质量分数</w:t>
      </w:r>
      <w:r>
        <w:rPr>
          <w:rFonts w:hint="eastAsia" w:hAnsi="宋体"/>
          <w:i/>
        </w:rPr>
        <w:t>w</w:t>
      </w:r>
      <w:r>
        <w:rPr>
          <w:rFonts w:hint="eastAsia" w:hAnsi="宋体"/>
        </w:rPr>
        <w:t>计，</w:t>
      </w:r>
      <w:r>
        <w:rPr>
          <w:rFonts w:hint="eastAsia" w:ascii="Times New Roman" w:hAnsi="宋体"/>
          <w:kern w:val="2"/>
          <w:szCs w:val="21"/>
        </w:rPr>
        <w:t>按公式（1</w:t>
      </w:r>
      <w:r>
        <w:rPr>
          <w:rFonts w:ascii="Times New Roman" w:hAnsi="宋体"/>
          <w:kern w:val="2"/>
          <w:szCs w:val="21"/>
        </w:rPr>
        <w:t>）计算：</w:t>
      </w:r>
    </w:p>
    <w:p w14:paraId="5271D6D7">
      <w:pPr>
        <w:jc w:val="center"/>
      </w:pPr>
      <w:r>
        <w:rPr>
          <w:position w:val="-24"/>
          <w:sz w:val="24"/>
        </w:rPr>
        <w:object>
          <v:shape id="_x0000_i1025" o:spt="75" type="#_x0000_t75" style="height:33.2pt;width:136.1pt;" o:ole="t" filled="f" o:preferrelative="t" stroked="f" coordsize="21600,21600">
            <v:path/>
            <v:fill on="f" focussize="0,0"/>
            <v:stroke on="f"/>
            <v:imagedata r:id="rId15" o:title=""/>
            <o:lock v:ext="edit" aspectratio="t"/>
            <w10:wrap type="none"/>
            <w10:anchorlock/>
          </v:shape>
          <o:OLEObject Type="Embed" ProgID="Equation.3" ShapeID="_x0000_i1025" DrawAspect="Content" ObjectID="_1468075725" r:id="rId14">
            <o:LockedField>false</o:LockedField>
          </o:OLEObject>
        </w:object>
      </w:r>
      <w:bookmarkStart w:id="3" w:name="_Hlk58576192"/>
      <w:r>
        <w:rPr>
          <w:color w:val="000000"/>
        </w:rPr>
        <w:t>………………………………（</w:t>
      </w:r>
      <w:r>
        <w:rPr>
          <w:rFonts w:hint="eastAsia"/>
          <w:color w:val="000000"/>
        </w:rPr>
        <w:t>1</w:t>
      </w:r>
      <w:r>
        <w:rPr>
          <w:color w:val="000000"/>
        </w:rPr>
        <w:t>）</w:t>
      </w:r>
    </w:p>
    <w:p w14:paraId="75C9A54B">
      <w:pPr>
        <w:pStyle w:val="47"/>
        <w:ind w:firstLine="420"/>
        <w:rPr>
          <w:rFonts w:ascii="Times New Roman"/>
        </w:rPr>
      </w:pPr>
      <w:r>
        <w:rPr>
          <w:rFonts w:ascii="Times New Roman"/>
        </w:rPr>
        <w:t>式中：</w:t>
      </w:r>
    </w:p>
    <w:p w14:paraId="423C1947">
      <w:pPr>
        <w:pStyle w:val="47"/>
        <w:ind w:firstLine="1050" w:firstLineChars="500"/>
        <w:rPr>
          <w:rFonts w:ascii="Times New Roman"/>
        </w:rPr>
      </w:pPr>
      <w:r>
        <w:rPr>
          <w:rFonts w:ascii="Times New Roman"/>
          <w:bCs/>
          <w:i/>
          <w:iCs/>
          <w:szCs w:val="21"/>
        </w:rPr>
        <w:t>m</w:t>
      </w:r>
      <w:r>
        <w:rPr>
          <w:rFonts w:ascii="Times New Roman"/>
          <w:bCs/>
          <w:i w:val="0"/>
          <w:iCs w:val="0"/>
          <w:szCs w:val="21"/>
          <w:vertAlign w:val="subscript"/>
        </w:rPr>
        <w:t>1</w:t>
      </w:r>
      <w:r>
        <w:rPr>
          <w:rFonts w:ascii="Times New Roman"/>
          <w:iCs/>
        </w:rPr>
        <w:t xml:space="preserve"> </w:t>
      </w:r>
      <w:r>
        <w:rPr>
          <w:rFonts w:ascii="Times New Roman"/>
        </w:rPr>
        <w:t>— 标准曲线上查得空白试液（5.5.3）中五氧化二磷的量，单位为微克（µg）；</w:t>
      </w:r>
    </w:p>
    <w:p w14:paraId="7650019B">
      <w:pPr>
        <w:pStyle w:val="47"/>
        <w:ind w:firstLine="1050" w:firstLineChars="500"/>
        <w:rPr>
          <w:rFonts w:ascii="Times New Roman"/>
        </w:rPr>
      </w:pPr>
      <m:oMath>
        <m:r>
          <m:rPr/>
          <w:rPr>
            <w:rFonts w:ascii="Cambria Math" w:hAnsi="Cambria Math"/>
          </w:rPr>
          <m:t>V</m:t>
        </m:r>
      </m:oMath>
      <w:r>
        <w:rPr>
          <w:rFonts w:hint="eastAsia" w:ascii="Times New Roman"/>
          <w:iCs/>
          <w:vertAlign w:val="subscript"/>
          <w:lang w:val="en-US" w:eastAsia="zh-CN"/>
        </w:rPr>
        <w:t>1</w:t>
      </w:r>
      <w:r>
        <w:rPr>
          <w:rFonts w:ascii="Times New Roman"/>
          <w:iCs/>
        </w:rPr>
        <w:t xml:space="preserve"> </w:t>
      </w:r>
      <w:r>
        <w:rPr>
          <w:rFonts w:ascii="Times New Roman"/>
        </w:rPr>
        <w:t>— 试液总体积，单位为毫升(mL);</w:t>
      </w:r>
    </w:p>
    <w:p w14:paraId="0EE8D7CA">
      <w:pPr>
        <w:pStyle w:val="47"/>
        <w:ind w:firstLine="1050" w:firstLineChars="500"/>
        <w:rPr>
          <w:rFonts w:ascii="Times New Roman"/>
          <w:bCs/>
          <w:i/>
          <w:iCs/>
          <w:szCs w:val="21"/>
        </w:rPr>
      </w:pPr>
      <m:oMath>
        <m:r>
          <m:rPr/>
          <w:rPr>
            <w:rFonts w:ascii="Cambria Math" w:hAnsi="Cambria Math"/>
            <w:szCs w:val="21"/>
          </w:rPr>
          <m:t>m</m:t>
        </m:r>
      </m:oMath>
      <w:r>
        <w:rPr>
          <w:rFonts w:ascii="Times New Roman"/>
          <w:szCs w:val="21"/>
        </w:rPr>
        <w:t xml:space="preserve"> — 试料的质量，单位为克(g)。</w:t>
      </w:r>
    </w:p>
    <w:p w14:paraId="2FB5257E">
      <w:pPr>
        <w:pStyle w:val="47"/>
        <w:ind w:firstLine="1050" w:firstLineChars="500"/>
        <w:rPr>
          <w:rFonts w:ascii="Times New Roman"/>
          <w:bCs/>
          <w:i/>
          <w:iCs/>
          <w:szCs w:val="21"/>
        </w:rPr>
      </w:pPr>
      <w:r>
        <w:rPr>
          <w:rFonts w:hint="eastAsia" w:ascii="Times New Roman"/>
          <w:i/>
          <w:iCs/>
        </w:rPr>
        <w:t>V</w:t>
      </w:r>
      <w:r>
        <w:rPr>
          <w:rFonts w:ascii="Times New Roman"/>
          <w:iCs/>
        </w:rPr>
        <w:t xml:space="preserve"> </w:t>
      </w:r>
      <w:r>
        <w:rPr>
          <w:rFonts w:ascii="Times New Roman"/>
        </w:rPr>
        <w:t xml:space="preserve">— </w:t>
      </w:r>
      <w:r>
        <w:rPr>
          <w:rFonts w:hint="eastAsia" w:ascii="Times New Roman"/>
          <w:lang w:val="en-US" w:eastAsia="zh-CN"/>
        </w:rPr>
        <w:t xml:space="preserve"> </w:t>
      </w:r>
      <w:r>
        <w:rPr>
          <w:rFonts w:ascii="Times New Roman"/>
        </w:rPr>
        <w:t>分取试液体积，单位为毫升(mL);</w:t>
      </w:r>
    </w:p>
    <w:bookmarkEnd w:id="3"/>
    <w:p w14:paraId="27BE2484">
      <w:pPr>
        <w:pStyle w:val="47"/>
        <w:spacing w:before="156" w:beforeLines="50"/>
        <w:ind w:firstLine="420"/>
        <w:rPr>
          <w:spacing w:val="6"/>
          <w:szCs w:val="21"/>
        </w:rPr>
      </w:pPr>
      <w:r>
        <w:rPr>
          <w:rFonts w:ascii="Times New Roman"/>
          <w:szCs w:val="21"/>
        </w:rPr>
        <w:t>两次平行测定结果的绝对差值不大于表</w:t>
      </w:r>
      <w:r>
        <w:rPr>
          <w:rFonts w:hint="eastAsia" w:ascii="Times New Roman"/>
          <w:szCs w:val="21"/>
        </w:rPr>
        <w:t>2</w:t>
      </w:r>
      <w:r>
        <w:rPr>
          <w:rFonts w:ascii="Times New Roman"/>
          <w:szCs w:val="21"/>
        </w:rPr>
        <w:t>中相应重复性限时，取其平均值作为测定结果。当结果&lt;1.00 %时，保留两位有效数字；当结果≥1.00 %时，保留至小数点后两位，数值修约按</w:t>
      </w:r>
      <w:r>
        <w:rPr>
          <w:rFonts w:ascii="Times New Roman"/>
          <w:spacing w:val="6"/>
        </w:rPr>
        <w:t>GB/T 8170</w:t>
      </w:r>
      <w:r>
        <w:rPr>
          <w:rFonts w:ascii="Times New Roman"/>
          <w:szCs w:val="21"/>
        </w:rPr>
        <w:t>的规定执行。</w:t>
      </w:r>
    </w:p>
    <w:p w14:paraId="1879E66F">
      <w:pPr>
        <w:pStyle w:val="74"/>
        <w:numPr>
          <w:ilvl w:val="0"/>
          <w:numId w:val="0"/>
        </w:numPr>
        <w:spacing w:before="156" w:after="156"/>
      </w:pPr>
      <w:r>
        <w:rPr>
          <w:rFonts w:hint="eastAsia" w:hAnsi="黑体" w:cs="黑体"/>
          <w:color w:val="000000"/>
        </w:rPr>
        <w:t>4.7</w:t>
      </w:r>
      <w:r>
        <w:rPr>
          <w:rFonts w:hint="eastAsia" w:ascii="Times New Roman"/>
          <w:color w:val="000000"/>
        </w:rPr>
        <w:t xml:space="preserve"> </w:t>
      </w:r>
      <w:r>
        <w:rPr>
          <w:rFonts w:ascii="Times New Roman"/>
          <w:color w:val="000000"/>
        </w:rPr>
        <w:t>精密度</w:t>
      </w:r>
    </w:p>
    <w:p w14:paraId="54D1C3EE">
      <w:pPr>
        <w:pStyle w:val="47"/>
        <w:ind w:firstLine="420"/>
      </w:pPr>
      <w:r>
        <w:rPr>
          <w:rFonts w:hint="eastAsia" w:ascii="Times New Roman"/>
        </w:rPr>
        <w:t>精密度结果根据202</w:t>
      </w:r>
      <w:r>
        <w:rPr>
          <w:rFonts w:ascii="Times New Roman"/>
        </w:rPr>
        <w:t>4</w:t>
      </w:r>
      <w:r>
        <w:rPr>
          <w:rFonts w:hint="eastAsia" w:ascii="Times New Roman"/>
        </w:rPr>
        <w:t>年，7家实验室对稀土精矿</w:t>
      </w:r>
      <w:r>
        <w:rPr>
          <w:rFonts w:ascii="Times New Roman"/>
        </w:rPr>
        <w:t>5</w:t>
      </w:r>
      <w:r>
        <w:rPr>
          <w:rFonts w:hint="eastAsia" w:ascii="Times New Roman"/>
        </w:rPr>
        <w:t>个不同水平样品协同试验确定。每个实验室对每个水平</w:t>
      </w:r>
      <w:r>
        <w:rPr>
          <w:rFonts w:ascii="Times New Roman"/>
        </w:rPr>
        <w:t>样</w:t>
      </w:r>
      <w:r>
        <w:rPr>
          <w:rFonts w:hint="eastAsia" w:ascii="Times New Roman"/>
        </w:rPr>
        <w:t>品的</w:t>
      </w:r>
      <w:r>
        <w:rPr>
          <w:rFonts w:hint="eastAsia" w:ascii="Times New Roman"/>
          <w:lang w:val="en-US" w:eastAsia="zh-CN"/>
        </w:rPr>
        <w:t>五氧化二磷</w:t>
      </w:r>
      <w:r>
        <w:rPr>
          <w:rFonts w:hint="eastAsia" w:ascii="Times New Roman"/>
        </w:rPr>
        <w:t>量在重复性条件下独立测定11次。试验数据按GB/T</w:t>
      </w:r>
      <w:r>
        <w:rPr>
          <w:rFonts w:ascii="Times New Roman"/>
        </w:rPr>
        <w:t xml:space="preserve"> </w:t>
      </w:r>
      <w:r>
        <w:rPr>
          <w:rFonts w:hint="eastAsia" w:ascii="Times New Roman"/>
        </w:rPr>
        <w:t>6379.2进行统计分析。</w:t>
      </w:r>
    </w:p>
    <w:p w14:paraId="2859380C">
      <w:pPr>
        <w:snapToGrid w:val="0"/>
        <w:spacing w:before="156" w:beforeLines="50" w:after="156" w:afterLines="50"/>
        <w:rPr>
          <w:rFonts w:ascii="宋体" w:hAnsi="宋体" w:cs="宋体"/>
        </w:rPr>
      </w:pPr>
      <w:r>
        <w:rPr>
          <w:rFonts w:hint="eastAsia" w:ascii="黑体" w:hAnsi="黑体" w:eastAsia="黑体"/>
          <w:color w:val="000000"/>
          <w:szCs w:val="22"/>
        </w:rPr>
        <w:t>4.7</w:t>
      </w:r>
      <w:r>
        <w:rPr>
          <w:rFonts w:ascii="黑体" w:hAnsi="黑体" w:eastAsia="黑体"/>
          <w:color w:val="000000"/>
          <w:szCs w:val="22"/>
        </w:rPr>
        <w:t>.1</w:t>
      </w:r>
      <w:r>
        <w:rPr>
          <w:rFonts w:hint="eastAsia" w:ascii="黑体" w:hAnsi="黑体" w:eastAsia="黑体"/>
          <w:color w:val="000000"/>
          <w:szCs w:val="22"/>
        </w:rPr>
        <w:t xml:space="preserve"> 重复性</w:t>
      </w:r>
    </w:p>
    <w:p w14:paraId="63F8E976">
      <w:pPr>
        <w:snapToGrid w:val="0"/>
        <w:ind w:firstLine="420" w:firstLineChars="200"/>
      </w:pPr>
      <w:r>
        <w:t>在重复性条件下获得的两次独立测试结果的的绝对差值不超过重复性限（</w:t>
      </w:r>
      <w:r>
        <w:rPr>
          <w:i/>
          <w:iCs/>
        </w:rPr>
        <w:t>r</w:t>
      </w:r>
      <w:r>
        <w:t>），超过重复性限（</w:t>
      </w:r>
      <w:r>
        <w:rPr>
          <w:i/>
          <w:iCs/>
        </w:rPr>
        <w:t>r</w:t>
      </w:r>
      <w:r>
        <w:t>）的情况不超过5%，重复性限（</w:t>
      </w:r>
      <w:r>
        <w:rPr>
          <w:i/>
          <w:iCs/>
        </w:rPr>
        <w:t>r</w:t>
      </w:r>
      <w:r>
        <w:t>）按</w:t>
      </w:r>
      <w:r>
        <w:rPr>
          <w:rFonts w:hint="eastAsia"/>
        </w:rPr>
        <w:t>表5</w:t>
      </w:r>
      <w:r>
        <w:t>数据采用线性内插法或外延法求得。</w:t>
      </w:r>
    </w:p>
    <w:p w14:paraId="6ADDE9B6">
      <w:pPr>
        <w:jc w:val="center"/>
        <w:rPr>
          <w:rFonts w:hint="default" w:eastAsia="黑体"/>
          <w:color w:val="FF0000"/>
          <w:sz w:val="18"/>
          <w:szCs w:val="18"/>
          <w:lang w:val="en-US" w:eastAsia="zh-CN"/>
        </w:rPr>
      </w:pPr>
      <w:r>
        <w:rPr>
          <w:rFonts w:hint="eastAsia" w:eastAsia="黑体"/>
          <w:sz w:val="18"/>
          <w:szCs w:val="18"/>
        </w:rPr>
        <w:t>表</w:t>
      </w:r>
      <w:r>
        <w:rPr>
          <w:rFonts w:hint="eastAsia" w:ascii="黑体" w:hAnsi="黑体" w:eastAsia="黑体" w:cs="黑体"/>
          <w:sz w:val="18"/>
          <w:szCs w:val="18"/>
          <w:lang w:val="en-US" w:eastAsia="zh-CN"/>
        </w:rPr>
        <w:t>2 重复性限（</w:t>
      </w:r>
      <w:r>
        <w:rPr>
          <w:rFonts w:hint="eastAsia" w:ascii="黑体" w:hAnsi="黑体" w:eastAsia="黑体" w:cs="黑体"/>
          <w:i/>
          <w:iCs/>
          <w:sz w:val="18"/>
          <w:szCs w:val="18"/>
          <w:lang w:val="en-US" w:eastAsia="zh-CN"/>
        </w:rPr>
        <w:t>r</w:t>
      </w:r>
      <w:r>
        <w:rPr>
          <w:rFonts w:hint="eastAsia" w:ascii="黑体" w:hAnsi="黑体" w:eastAsia="黑体" w:cs="黑体"/>
          <w:sz w:val="18"/>
          <w:szCs w:val="18"/>
          <w:lang w:val="en-US" w:eastAsia="zh-CN"/>
        </w:rPr>
        <w:t>）</w:t>
      </w:r>
    </w:p>
    <w:tbl>
      <w:tblPr>
        <w:tblStyle w:val="31"/>
        <w:tblW w:w="505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824"/>
        <w:gridCol w:w="4843"/>
      </w:tblGrid>
      <w:tr w14:paraId="305F2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2495" w:type="pct"/>
            <w:tcBorders>
              <w:bottom w:val="single" w:color="auto" w:sz="12" w:space="0"/>
              <w:right w:val="nil"/>
            </w:tcBorders>
            <w:vAlign w:val="center"/>
          </w:tcPr>
          <w:p w14:paraId="04B79E5D">
            <w:pPr>
              <w:jc w:val="center"/>
              <w:rPr>
                <w:sz w:val="18"/>
                <w:szCs w:val="18"/>
              </w:rPr>
            </w:pPr>
            <w:r>
              <w:rPr>
                <w:rFonts w:hint="eastAsia"/>
                <w:sz w:val="18"/>
                <w:szCs w:val="18"/>
                <w:lang w:val="en-US" w:eastAsia="zh-CN"/>
              </w:rPr>
              <w:t>五氧化二磷</w:t>
            </w:r>
            <w:r>
              <w:rPr>
                <w:rFonts w:hint="eastAsia"/>
                <w:sz w:val="18"/>
                <w:szCs w:val="18"/>
              </w:rPr>
              <w:t>质量分数</w:t>
            </w:r>
            <w:r>
              <w:rPr>
                <w:sz w:val="18"/>
                <w:szCs w:val="18"/>
              </w:rPr>
              <w:t>/%</w:t>
            </w:r>
          </w:p>
        </w:tc>
        <w:tc>
          <w:tcPr>
            <w:tcW w:w="2505" w:type="pct"/>
            <w:tcBorders>
              <w:left w:val="nil"/>
              <w:bottom w:val="single" w:color="auto" w:sz="12" w:space="0"/>
            </w:tcBorders>
            <w:vAlign w:val="center"/>
          </w:tcPr>
          <w:p w14:paraId="05ADD812">
            <w:pPr>
              <w:jc w:val="center"/>
              <w:rPr>
                <w:sz w:val="18"/>
                <w:szCs w:val="18"/>
              </w:rPr>
            </w:pPr>
            <w:r>
              <w:rPr>
                <w:rFonts w:hint="eastAsia"/>
                <w:sz w:val="18"/>
                <w:szCs w:val="18"/>
              </w:rPr>
              <w:t>重复</w:t>
            </w:r>
            <w:r>
              <w:rPr>
                <w:sz w:val="18"/>
                <w:szCs w:val="18"/>
              </w:rPr>
              <w:t>性</w:t>
            </w:r>
            <w:r>
              <w:rPr>
                <w:rFonts w:hint="eastAsia"/>
                <w:sz w:val="18"/>
                <w:szCs w:val="18"/>
              </w:rPr>
              <w:t>限</w:t>
            </w:r>
            <w:r>
              <w:rPr>
                <w:sz w:val="18"/>
                <w:szCs w:val="18"/>
              </w:rPr>
              <w:t>(</w:t>
            </w:r>
            <w:r>
              <w:rPr>
                <w:i/>
                <w:sz w:val="18"/>
                <w:szCs w:val="18"/>
              </w:rPr>
              <w:t>r</w:t>
            </w:r>
            <w:r>
              <w:rPr>
                <w:sz w:val="18"/>
                <w:szCs w:val="18"/>
              </w:rPr>
              <w:t>)%</w:t>
            </w:r>
          </w:p>
        </w:tc>
      </w:tr>
      <w:tr w14:paraId="40202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2495" w:type="pct"/>
            <w:tcBorders>
              <w:top w:val="single" w:color="auto" w:sz="12" w:space="0"/>
              <w:bottom w:val="nil"/>
              <w:right w:val="nil"/>
            </w:tcBorders>
            <w:shd w:val="clear" w:color="auto" w:fill="auto"/>
            <w:vAlign w:val="center"/>
          </w:tcPr>
          <w:p w14:paraId="4517A223">
            <w:pPr>
              <w:widowControl/>
              <w:jc w:val="center"/>
              <w:textAlignment w:val="center"/>
              <w:rPr>
                <w:color w:val="000000"/>
                <w:kern w:val="0"/>
                <w:sz w:val="18"/>
                <w:szCs w:val="18"/>
                <w:lang w:bidi="ar"/>
              </w:rPr>
            </w:pPr>
            <w:r>
              <w:rPr>
                <w:rFonts w:hint="eastAsia"/>
                <w:color w:val="000000"/>
                <w:kern w:val="0"/>
                <w:sz w:val="18"/>
                <w:szCs w:val="18"/>
                <w:lang w:bidi="ar"/>
              </w:rPr>
              <w:t>0.29</w:t>
            </w:r>
          </w:p>
        </w:tc>
        <w:tc>
          <w:tcPr>
            <w:tcW w:w="2505" w:type="pct"/>
            <w:tcBorders>
              <w:top w:val="single" w:color="auto" w:sz="12" w:space="0"/>
              <w:left w:val="nil"/>
              <w:bottom w:val="nil"/>
            </w:tcBorders>
            <w:shd w:val="clear" w:color="auto" w:fill="auto"/>
            <w:vAlign w:val="center"/>
          </w:tcPr>
          <w:p w14:paraId="6BDC15D7">
            <w:pPr>
              <w:widowControl/>
              <w:jc w:val="center"/>
              <w:textAlignment w:val="center"/>
              <w:rPr>
                <w:color w:val="000000"/>
                <w:kern w:val="0"/>
                <w:sz w:val="18"/>
                <w:szCs w:val="18"/>
                <w:lang w:bidi="ar"/>
              </w:rPr>
            </w:pPr>
            <w:r>
              <w:rPr>
                <w:rFonts w:hint="eastAsia"/>
                <w:color w:val="000000"/>
                <w:kern w:val="0"/>
                <w:sz w:val="18"/>
                <w:szCs w:val="18"/>
                <w:lang w:bidi="ar"/>
              </w:rPr>
              <w:t>0.03</w:t>
            </w:r>
          </w:p>
        </w:tc>
      </w:tr>
      <w:tr w14:paraId="2B8C8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2495" w:type="pct"/>
            <w:tcBorders>
              <w:top w:val="nil"/>
              <w:bottom w:val="nil"/>
              <w:right w:val="nil"/>
            </w:tcBorders>
            <w:shd w:val="clear" w:color="auto" w:fill="auto"/>
            <w:vAlign w:val="center"/>
          </w:tcPr>
          <w:p w14:paraId="450169BC">
            <w:pPr>
              <w:widowControl/>
              <w:jc w:val="center"/>
              <w:textAlignment w:val="center"/>
              <w:rPr>
                <w:color w:val="000000"/>
                <w:kern w:val="0"/>
                <w:sz w:val="18"/>
                <w:szCs w:val="18"/>
                <w:lang w:bidi="ar"/>
              </w:rPr>
            </w:pPr>
            <w:r>
              <w:rPr>
                <w:rFonts w:hint="eastAsia"/>
                <w:color w:val="000000"/>
                <w:kern w:val="0"/>
                <w:sz w:val="18"/>
                <w:szCs w:val="18"/>
                <w:lang w:bidi="ar"/>
              </w:rPr>
              <w:t>1.78</w:t>
            </w:r>
          </w:p>
        </w:tc>
        <w:tc>
          <w:tcPr>
            <w:tcW w:w="2505" w:type="pct"/>
            <w:tcBorders>
              <w:top w:val="nil"/>
              <w:left w:val="nil"/>
              <w:bottom w:val="nil"/>
            </w:tcBorders>
            <w:shd w:val="clear" w:color="auto" w:fill="auto"/>
            <w:vAlign w:val="center"/>
          </w:tcPr>
          <w:p w14:paraId="7EC637BA">
            <w:pPr>
              <w:widowControl/>
              <w:jc w:val="center"/>
              <w:textAlignment w:val="center"/>
              <w:rPr>
                <w:color w:val="000000"/>
                <w:kern w:val="0"/>
                <w:sz w:val="18"/>
                <w:szCs w:val="18"/>
                <w:lang w:bidi="ar"/>
              </w:rPr>
            </w:pPr>
            <w:r>
              <w:rPr>
                <w:rFonts w:hint="eastAsia"/>
                <w:color w:val="000000"/>
                <w:kern w:val="0"/>
                <w:sz w:val="18"/>
                <w:szCs w:val="18"/>
                <w:lang w:bidi="ar"/>
              </w:rPr>
              <w:t>0.09</w:t>
            </w:r>
          </w:p>
        </w:tc>
      </w:tr>
      <w:tr w14:paraId="194C8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2495" w:type="pct"/>
            <w:tcBorders>
              <w:top w:val="nil"/>
              <w:bottom w:val="nil"/>
              <w:right w:val="nil"/>
            </w:tcBorders>
            <w:shd w:val="clear" w:color="auto" w:fill="auto"/>
            <w:vAlign w:val="center"/>
          </w:tcPr>
          <w:p w14:paraId="7DF12681">
            <w:pPr>
              <w:widowControl/>
              <w:jc w:val="center"/>
              <w:textAlignment w:val="center"/>
              <w:rPr>
                <w:color w:val="000000"/>
                <w:kern w:val="0"/>
                <w:sz w:val="18"/>
                <w:szCs w:val="18"/>
                <w:lang w:bidi="ar"/>
              </w:rPr>
            </w:pPr>
            <w:r>
              <w:rPr>
                <w:rFonts w:hint="eastAsia"/>
                <w:color w:val="000000"/>
                <w:kern w:val="0"/>
                <w:sz w:val="18"/>
                <w:szCs w:val="18"/>
                <w:lang w:bidi="ar"/>
              </w:rPr>
              <w:t>8.73</w:t>
            </w:r>
          </w:p>
        </w:tc>
        <w:tc>
          <w:tcPr>
            <w:tcW w:w="2505" w:type="pct"/>
            <w:tcBorders>
              <w:top w:val="nil"/>
              <w:left w:val="nil"/>
              <w:bottom w:val="nil"/>
            </w:tcBorders>
            <w:shd w:val="clear" w:color="auto" w:fill="auto"/>
            <w:vAlign w:val="center"/>
          </w:tcPr>
          <w:p w14:paraId="45490801">
            <w:pPr>
              <w:widowControl/>
              <w:jc w:val="center"/>
              <w:textAlignment w:val="center"/>
              <w:rPr>
                <w:color w:val="000000"/>
                <w:kern w:val="0"/>
                <w:sz w:val="18"/>
                <w:szCs w:val="18"/>
                <w:lang w:bidi="ar"/>
              </w:rPr>
            </w:pPr>
            <w:r>
              <w:rPr>
                <w:rFonts w:hint="eastAsia"/>
                <w:color w:val="000000"/>
                <w:kern w:val="0"/>
                <w:sz w:val="18"/>
                <w:szCs w:val="18"/>
                <w:lang w:bidi="ar"/>
              </w:rPr>
              <w:t>0.21</w:t>
            </w:r>
          </w:p>
        </w:tc>
      </w:tr>
      <w:tr w14:paraId="02E49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exact"/>
          <w:jc w:val="center"/>
        </w:trPr>
        <w:tc>
          <w:tcPr>
            <w:tcW w:w="2495" w:type="pct"/>
            <w:tcBorders>
              <w:top w:val="nil"/>
              <w:bottom w:val="nil"/>
              <w:right w:val="nil"/>
            </w:tcBorders>
            <w:shd w:val="clear" w:color="auto" w:fill="auto"/>
            <w:vAlign w:val="center"/>
          </w:tcPr>
          <w:p w14:paraId="49629F10">
            <w:pPr>
              <w:widowControl/>
              <w:jc w:val="center"/>
              <w:textAlignment w:val="center"/>
              <w:rPr>
                <w:color w:val="000000"/>
                <w:kern w:val="0"/>
                <w:sz w:val="18"/>
                <w:szCs w:val="18"/>
                <w:lang w:bidi="ar"/>
              </w:rPr>
            </w:pPr>
            <w:r>
              <w:rPr>
                <w:rFonts w:hint="eastAsia"/>
                <w:color w:val="000000"/>
                <w:kern w:val="0"/>
                <w:sz w:val="18"/>
                <w:szCs w:val="18"/>
                <w:lang w:bidi="ar"/>
              </w:rPr>
              <w:t>13.39</w:t>
            </w:r>
          </w:p>
        </w:tc>
        <w:tc>
          <w:tcPr>
            <w:tcW w:w="2505" w:type="pct"/>
            <w:tcBorders>
              <w:top w:val="nil"/>
              <w:left w:val="nil"/>
              <w:bottom w:val="nil"/>
            </w:tcBorders>
            <w:shd w:val="clear" w:color="auto" w:fill="auto"/>
            <w:vAlign w:val="center"/>
          </w:tcPr>
          <w:p w14:paraId="3D1D5329">
            <w:pPr>
              <w:widowControl/>
              <w:jc w:val="center"/>
              <w:textAlignment w:val="center"/>
              <w:rPr>
                <w:color w:val="000000"/>
                <w:kern w:val="0"/>
                <w:sz w:val="18"/>
                <w:szCs w:val="18"/>
                <w:lang w:bidi="ar"/>
              </w:rPr>
            </w:pPr>
            <w:r>
              <w:rPr>
                <w:rFonts w:hint="eastAsia"/>
                <w:color w:val="000000"/>
                <w:kern w:val="0"/>
                <w:sz w:val="18"/>
                <w:szCs w:val="18"/>
                <w:lang w:bidi="ar"/>
              </w:rPr>
              <w:t>0.25</w:t>
            </w:r>
          </w:p>
        </w:tc>
      </w:tr>
      <w:tr w14:paraId="37986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exact"/>
          <w:jc w:val="center"/>
        </w:trPr>
        <w:tc>
          <w:tcPr>
            <w:tcW w:w="2495" w:type="pct"/>
            <w:tcBorders>
              <w:top w:val="nil"/>
              <w:bottom w:val="single" w:color="auto" w:sz="4" w:space="0"/>
              <w:right w:val="nil"/>
            </w:tcBorders>
            <w:shd w:val="clear" w:color="auto" w:fill="auto"/>
            <w:vAlign w:val="center"/>
          </w:tcPr>
          <w:p w14:paraId="3C0FA40D">
            <w:pPr>
              <w:widowControl/>
              <w:jc w:val="center"/>
              <w:textAlignment w:val="center"/>
              <w:rPr>
                <w:color w:val="000000"/>
                <w:kern w:val="0"/>
                <w:sz w:val="18"/>
                <w:szCs w:val="18"/>
                <w:lang w:bidi="ar"/>
              </w:rPr>
            </w:pPr>
            <w:r>
              <w:rPr>
                <w:rFonts w:hint="eastAsia"/>
                <w:color w:val="000000"/>
                <w:kern w:val="0"/>
                <w:sz w:val="18"/>
                <w:szCs w:val="18"/>
                <w:lang w:bidi="ar"/>
              </w:rPr>
              <w:t>22.64</w:t>
            </w:r>
          </w:p>
        </w:tc>
        <w:tc>
          <w:tcPr>
            <w:tcW w:w="2505" w:type="pct"/>
            <w:tcBorders>
              <w:top w:val="nil"/>
              <w:left w:val="nil"/>
              <w:bottom w:val="single" w:color="auto" w:sz="4" w:space="0"/>
            </w:tcBorders>
            <w:shd w:val="clear" w:color="auto" w:fill="auto"/>
            <w:vAlign w:val="center"/>
          </w:tcPr>
          <w:p w14:paraId="2B8913B3">
            <w:pPr>
              <w:widowControl/>
              <w:jc w:val="center"/>
              <w:textAlignment w:val="center"/>
              <w:rPr>
                <w:color w:val="000000"/>
                <w:kern w:val="0"/>
                <w:sz w:val="18"/>
                <w:szCs w:val="18"/>
                <w:lang w:bidi="ar"/>
              </w:rPr>
            </w:pPr>
            <w:r>
              <w:rPr>
                <w:rFonts w:hint="eastAsia"/>
                <w:color w:val="000000"/>
                <w:kern w:val="0"/>
                <w:sz w:val="18"/>
                <w:szCs w:val="18"/>
                <w:lang w:bidi="ar"/>
              </w:rPr>
              <w:t>0.20</w:t>
            </w:r>
          </w:p>
        </w:tc>
      </w:tr>
      <w:tr w14:paraId="4B843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 w:hRule="exact"/>
          <w:jc w:val="center"/>
        </w:trPr>
        <w:tc>
          <w:tcPr>
            <w:tcW w:w="5000" w:type="pct"/>
            <w:gridSpan w:val="2"/>
            <w:tcBorders>
              <w:top w:val="single" w:color="auto" w:sz="4" w:space="0"/>
              <w:bottom w:val="single" w:color="auto" w:sz="12" w:space="0"/>
            </w:tcBorders>
            <w:shd w:val="clear" w:color="auto" w:fill="auto"/>
            <w:vAlign w:val="center"/>
          </w:tcPr>
          <w:p w14:paraId="5EB8E385">
            <w:pPr>
              <w:jc w:val="left"/>
              <w:rPr>
                <w:color w:val="000000"/>
                <w:kern w:val="0"/>
                <w:sz w:val="18"/>
                <w:szCs w:val="18"/>
                <w:lang w:bidi="ar"/>
              </w:rPr>
            </w:pPr>
            <w:r>
              <w:rPr>
                <w:rFonts w:hint="eastAsia" w:eastAsia="黑体"/>
                <w:color w:val="000000"/>
                <w:kern w:val="0"/>
                <w:sz w:val="18"/>
                <w:szCs w:val="18"/>
                <w:lang w:bidi="ar"/>
              </w:rPr>
              <w:t>注</w:t>
            </w:r>
            <w:r>
              <w:rPr>
                <w:rFonts w:eastAsia="黑体"/>
                <w:color w:val="000000"/>
                <w:kern w:val="0"/>
                <w:sz w:val="18"/>
                <w:szCs w:val="18"/>
                <w:lang w:bidi="ar"/>
              </w:rPr>
              <w:t>1：</w:t>
            </w:r>
            <w:r>
              <w:rPr>
                <w:rFonts w:hint="eastAsia"/>
                <w:color w:val="000000"/>
                <w:kern w:val="0"/>
                <w:sz w:val="18"/>
                <w:szCs w:val="18"/>
                <w:lang w:bidi="ar"/>
              </w:rPr>
              <w:t>重复性限（</w:t>
            </w:r>
            <w:r>
              <w:rPr>
                <w:color w:val="000000"/>
                <w:kern w:val="0"/>
                <w:sz w:val="18"/>
                <w:szCs w:val="18"/>
                <w:lang w:bidi="ar"/>
              </w:rPr>
              <w:t>r）为2.8×S</w:t>
            </w:r>
            <w:r>
              <w:rPr>
                <w:color w:val="000000"/>
                <w:kern w:val="0"/>
                <w:sz w:val="18"/>
                <w:szCs w:val="18"/>
                <w:vertAlign w:val="subscript"/>
                <w:lang w:bidi="ar"/>
              </w:rPr>
              <w:t>r</w:t>
            </w:r>
            <w:r>
              <w:rPr>
                <w:rFonts w:hint="eastAsia"/>
                <w:color w:val="000000"/>
                <w:kern w:val="0"/>
                <w:sz w:val="18"/>
                <w:szCs w:val="18"/>
                <w:lang w:bidi="ar"/>
              </w:rPr>
              <w:t>，</w:t>
            </w:r>
            <w:r>
              <w:rPr>
                <w:color w:val="000000"/>
                <w:kern w:val="0"/>
                <w:sz w:val="18"/>
                <w:szCs w:val="18"/>
                <w:lang w:bidi="ar"/>
              </w:rPr>
              <w:t>S</w:t>
            </w:r>
            <w:r>
              <w:rPr>
                <w:color w:val="000000"/>
                <w:kern w:val="0"/>
                <w:sz w:val="18"/>
                <w:szCs w:val="18"/>
                <w:vertAlign w:val="subscript"/>
                <w:lang w:bidi="ar"/>
              </w:rPr>
              <w:t>r</w:t>
            </w:r>
            <w:r>
              <w:rPr>
                <w:rFonts w:hint="eastAsia"/>
                <w:color w:val="000000"/>
                <w:kern w:val="0"/>
                <w:sz w:val="18"/>
                <w:szCs w:val="18"/>
                <w:lang w:bidi="ar"/>
              </w:rPr>
              <w:t>为重复性限标准偏差。</w:t>
            </w:r>
          </w:p>
          <w:p w14:paraId="07112390">
            <w:pPr>
              <w:widowControl/>
              <w:jc w:val="center"/>
              <w:textAlignment w:val="center"/>
              <w:rPr>
                <w:color w:val="000000"/>
                <w:kern w:val="0"/>
                <w:sz w:val="18"/>
                <w:szCs w:val="18"/>
                <w:lang w:bidi="ar"/>
              </w:rPr>
            </w:pPr>
          </w:p>
        </w:tc>
      </w:tr>
    </w:tbl>
    <w:p w14:paraId="0BB816CC">
      <w:pPr>
        <w:pStyle w:val="81"/>
        <w:numPr>
          <w:ilvl w:val="0"/>
          <w:numId w:val="0"/>
        </w:numPr>
        <w:snapToGrid w:val="0"/>
        <w:spacing w:before="156" w:beforeLines="50" w:after="156" w:afterLines="50"/>
        <w:rPr>
          <w:rFonts w:ascii="Times New Roman"/>
          <w:kern w:val="2"/>
        </w:rPr>
      </w:pPr>
      <w:r>
        <w:rPr>
          <w:rFonts w:hAnsi="黑体"/>
          <w:color w:val="000000"/>
          <w:szCs w:val="22"/>
        </w:rPr>
        <w:t>5</w:t>
      </w:r>
      <w:r>
        <w:rPr>
          <w:rFonts w:hint="eastAsia" w:hAnsi="黑体"/>
          <w:color w:val="000000"/>
          <w:szCs w:val="22"/>
        </w:rPr>
        <w:t>.7</w:t>
      </w:r>
      <w:r>
        <w:rPr>
          <w:rFonts w:hAnsi="黑体"/>
          <w:color w:val="000000"/>
          <w:szCs w:val="22"/>
        </w:rPr>
        <w:t>.2</w:t>
      </w:r>
      <w:r>
        <w:rPr>
          <w:rFonts w:hint="eastAsia" w:ascii="Times New Roman"/>
        </w:rPr>
        <w:t xml:space="preserve"> </w:t>
      </w:r>
      <w:r>
        <w:rPr>
          <w:rFonts w:hint="eastAsia" w:ascii="Times New Roman"/>
          <w:kern w:val="2"/>
        </w:rPr>
        <w:t>再现性</w:t>
      </w:r>
    </w:p>
    <w:p w14:paraId="7B92F737">
      <w:pPr>
        <w:pStyle w:val="47"/>
        <w:snapToGrid w:val="0"/>
        <w:ind w:firstLine="420"/>
        <w:rPr>
          <w:rFonts w:ascii="Times New Roman"/>
        </w:rPr>
      </w:pPr>
      <w:r>
        <w:rPr>
          <w:rFonts w:ascii="Times New Roman"/>
          <w:color w:val="000000"/>
        </w:rPr>
        <w:t>在再现性条件下获得的两次独立测试结果的</w:t>
      </w:r>
      <w:r>
        <w:rPr>
          <w:rFonts w:ascii="Times New Roman"/>
        </w:rPr>
        <w:t>的</w:t>
      </w:r>
      <w:r>
        <w:rPr>
          <w:rFonts w:ascii="Times New Roman"/>
          <w:color w:val="000000"/>
        </w:rPr>
        <w:t>绝对差值不大于再现性限（</w:t>
      </w:r>
      <w:r>
        <w:rPr>
          <w:rFonts w:ascii="Times New Roman"/>
          <w:i/>
          <w:color w:val="000000"/>
        </w:rPr>
        <w:t>R</w:t>
      </w:r>
      <w:r>
        <w:rPr>
          <w:rFonts w:ascii="Times New Roman"/>
          <w:color w:val="000000"/>
        </w:rPr>
        <w:t>），超过再现性限（</w:t>
      </w:r>
      <w:r>
        <w:rPr>
          <w:rFonts w:ascii="Times New Roman"/>
          <w:i/>
          <w:color w:val="000000"/>
        </w:rPr>
        <w:t>R</w:t>
      </w:r>
      <w:r>
        <w:rPr>
          <w:rFonts w:ascii="Times New Roman"/>
          <w:color w:val="000000"/>
        </w:rPr>
        <w:t>）的情况不超过5%，再现性限（</w:t>
      </w:r>
      <w:r>
        <w:rPr>
          <w:rFonts w:ascii="Times New Roman"/>
          <w:i/>
          <w:color w:val="000000"/>
        </w:rPr>
        <w:t>R</w:t>
      </w:r>
      <w:r>
        <w:rPr>
          <w:rFonts w:ascii="Times New Roman"/>
          <w:color w:val="000000"/>
        </w:rPr>
        <w:t>）按</w:t>
      </w:r>
      <w:r>
        <w:rPr>
          <w:rFonts w:hint="eastAsia" w:ascii="Times New Roman"/>
        </w:rPr>
        <w:t>表6</w:t>
      </w:r>
      <w:r>
        <w:rPr>
          <w:rFonts w:ascii="Times New Roman"/>
          <w:color w:val="000000"/>
        </w:rPr>
        <w:t>数据采用线性内插法或外延法求得。</w:t>
      </w:r>
    </w:p>
    <w:p w14:paraId="3FB54522">
      <w:pPr>
        <w:jc w:val="center"/>
        <w:rPr>
          <w:rFonts w:hint="default" w:ascii="黑体" w:hAnsi="黑体" w:eastAsia="黑体" w:cs="黑体"/>
          <w:lang w:val="en-US" w:eastAsia="zh-CN"/>
        </w:rPr>
      </w:pPr>
      <w:r>
        <w:rPr>
          <w:rFonts w:hint="eastAsia" w:ascii="黑体" w:hAnsi="黑体" w:eastAsia="黑体" w:cs="黑体"/>
          <w:sz w:val="18"/>
          <w:szCs w:val="18"/>
        </w:rPr>
        <w:t>表</w:t>
      </w:r>
      <w:r>
        <w:rPr>
          <w:rFonts w:hint="eastAsia" w:ascii="黑体" w:hAnsi="黑体" w:eastAsia="黑体" w:cs="黑体"/>
          <w:sz w:val="18"/>
          <w:szCs w:val="18"/>
          <w:lang w:val="en-US" w:eastAsia="zh-CN"/>
        </w:rPr>
        <w:t>3 再现性限（</w:t>
      </w:r>
      <w:r>
        <w:rPr>
          <w:rFonts w:hint="eastAsia" w:ascii="黑体" w:hAnsi="黑体" w:eastAsia="黑体" w:cs="黑体"/>
          <w:i/>
          <w:iCs/>
          <w:sz w:val="18"/>
          <w:szCs w:val="18"/>
          <w:lang w:val="en-US" w:eastAsia="zh-CN"/>
        </w:rPr>
        <w:t>R</w:t>
      </w:r>
      <w:r>
        <w:rPr>
          <w:rFonts w:hint="eastAsia" w:ascii="黑体" w:hAnsi="黑体" w:eastAsia="黑体" w:cs="黑体"/>
          <w:sz w:val="18"/>
          <w:szCs w:val="18"/>
          <w:lang w:val="en-US" w:eastAsia="zh-CN"/>
        </w:rPr>
        <w:t>）</w:t>
      </w:r>
    </w:p>
    <w:tbl>
      <w:tblPr>
        <w:tblStyle w:val="31"/>
        <w:tblW w:w="511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886"/>
        <w:gridCol w:w="4901"/>
      </w:tblGrid>
      <w:tr w14:paraId="0F036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exact"/>
          <w:jc w:val="center"/>
        </w:trPr>
        <w:tc>
          <w:tcPr>
            <w:tcW w:w="2496" w:type="pct"/>
            <w:tcBorders>
              <w:bottom w:val="single" w:color="auto" w:sz="12" w:space="0"/>
              <w:right w:val="nil"/>
            </w:tcBorders>
            <w:vAlign w:val="center"/>
          </w:tcPr>
          <w:p w14:paraId="054FB990">
            <w:pPr>
              <w:jc w:val="center"/>
              <w:rPr>
                <w:sz w:val="18"/>
                <w:szCs w:val="18"/>
              </w:rPr>
            </w:pPr>
            <w:r>
              <w:rPr>
                <w:rFonts w:hint="eastAsia"/>
                <w:sz w:val="18"/>
                <w:szCs w:val="18"/>
                <w:lang w:val="en-US" w:eastAsia="zh-CN"/>
              </w:rPr>
              <w:t>五氧化二磷</w:t>
            </w:r>
            <w:r>
              <w:rPr>
                <w:rFonts w:hint="eastAsia"/>
                <w:sz w:val="18"/>
                <w:szCs w:val="18"/>
              </w:rPr>
              <w:t>质量分数</w:t>
            </w:r>
            <w:r>
              <w:rPr>
                <w:sz w:val="18"/>
                <w:szCs w:val="18"/>
              </w:rPr>
              <w:t>/%</w:t>
            </w:r>
          </w:p>
        </w:tc>
        <w:tc>
          <w:tcPr>
            <w:tcW w:w="2503" w:type="pct"/>
            <w:tcBorders>
              <w:left w:val="nil"/>
              <w:bottom w:val="single" w:color="auto" w:sz="12" w:space="0"/>
            </w:tcBorders>
            <w:vAlign w:val="center"/>
          </w:tcPr>
          <w:p w14:paraId="76403266">
            <w:pPr>
              <w:jc w:val="center"/>
              <w:rPr>
                <w:sz w:val="18"/>
                <w:szCs w:val="18"/>
              </w:rPr>
            </w:pPr>
            <w:r>
              <w:rPr>
                <w:rFonts w:hint="eastAsia"/>
                <w:sz w:val="18"/>
                <w:szCs w:val="18"/>
              </w:rPr>
              <w:t>再现</w:t>
            </w:r>
            <w:r>
              <w:rPr>
                <w:sz w:val="18"/>
                <w:szCs w:val="18"/>
              </w:rPr>
              <w:t>性</w:t>
            </w:r>
            <w:r>
              <w:rPr>
                <w:rFonts w:hint="eastAsia"/>
                <w:sz w:val="18"/>
                <w:szCs w:val="18"/>
              </w:rPr>
              <w:t>限</w:t>
            </w:r>
            <w:r>
              <w:rPr>
                <w:sz w:val="18"/>
                <w:szCs w:val="18"/>
              </w:rPr>
              <w:t>(</w:t>
            </w:r>
            <w:r>
              <w:rPr>
                <w:i/>
                <w:sz w:val="18"/>
                <w:szCs w:val="18"/>
              </w:rPr>
              <w:t>R</w:t>
            </w:r>
            <w:r>
              <w:rPr>
                <w:sz w:val="18"/>
                <w:szCs w:val="18"/>
              </w:rPr>
              <w:t>)%</w:t>
            </w:r>
          </w:p>
        </w:tc>
      </w:tr>
      <w:tr w14:paraId="65026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2496" w:type="pct"/>
            <w:tcBorders>
              <w:top w:val="single" w:color="auto" w:sz="12" w:space="0"/>
              <w:bottom w:val="nil"/>
              <w:right w:val="nil"/>
            </w:tcBorders>
            <w:shd w:val="clear" w:color="auto" w:fill="auto"/>
            <w:vAlign w:val="center"/>
          </w:tcPr>
          <w:p w14:paraId="51D71E3C">
            <w:pPr>
              <w:widowControl/>
              <w:jc w:val="center"/>
              <w:textAlignment w:val="center"/>
              <w:rPr>
                <w:color w:val="000000"/>
                <w:kern w:val="0"/>
                <w:sz w:val="18"/>
                <w:szCs w:val="18"/>
                <w:lang w:bidi="ar"/>
              </w:rPr>
            </w:pPr>
            <w:r>
              <w:rPr>
                <w:rFonts w:hint="eastAsia"/>
                <w:color w:val="000000"/>
                <w:kern w:val="0"/>
                <w:sz w:val="18"/>
                <w:szCs w:val="18"/>
                <w:lang w:bidi="ar"/>
              </w:rPr>
              <w:t>0.29</w:t>
            </w:r>
          </w:p>
        </w:tc>
        <w:tc>
          <w:tcPr>
            <w:tcW w:w="2503" w:type="pct"/>
            <w:tcBorders>
              <w:top w:val="single" w:color="auto" w:sz="12" w:space="0"/>
              <w:left w:val="nil"/>
              <w:bottom w:val="nil"/>
            </w:tcBorders>
            <w:shd w:val="clear" w:color="auto" w:fill="auto"/>
            <w:vAlign w:val="center"/>
          </w:tcPr>
          <w:p w14:paraId="5E4BDABB">
            <w:pPr>
              <w:widowControl/>
              <w:jc w:val="center"/>
              <w:textAlignment w:val="center"/>
              <w:rPr>
                <w:color w:val="000000"/>
                <w:kern w:val="0"/>
                <w:sz w:val="18"/>
                <w:szCs w:val="18"/>
                <w:lang w:bidi="ar"/>
              </w:rPr>
            </w:pPr>
            <w:r>
              <w:rPr>
                <w:rFonts w:hint="eastAsia"/>
                <w:color w:val="000000"/>
                <w:kern w:val="0"/>
                <w:sz w:val="18"/>
                <w:szCs w:val="18"/>
                <w:lang w:bidi="ar"/>
              </w:rPr>
              <w:t>0.03</w:t>
            </w:r>
          </w:p>
        </w:tc>
      </w:tr>
      <w:tr w14:paraId="36902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2496" w:type="pct"/>
            <w:tcBorders>
              <w:top w:val="nil"/>
              <w:bottom w:val="nil"/>
              <w:right w:val="nil"/>
            </w:tcBorders>
            <w:shd w:val="clear" w:color="auto" w:fill="auto"/>
            <w:vAlign w:val="center"/>
          </w:tcPr>
          <w:p w14:paraId="18F68CCD">
            <w:pPr>
              <w:widowControl/>
              <w:jc w:val="center"/>
              <w:textAlignment w:val="center"/>
              <w:rPr>
                <w:color w:val="000000"/>
                <w:kern w:val="0"/>
                <w:sz w:val="18"/>
                <w:szCs w:val="18"/>
                <w:lang w:bidi="ar"/>
              </w:rPr>
            </w:pPr>
            <w:r>
              <w:rPr>
                <w:rFonts w:hint="eastAsia"/>
                <w:color w:val="000000"/>
                <w:kern w:val="0"/>
                <w:sz w:val="18"/>
                <w:szCs w:val="18"/>
                <w:lang w:bidi="ar"/>
              </w:rPr>
              <w:t>1.78</w:t>
            </w:r>
          </w:p>
        </w:tc>
        <w:tc>
          <w:tcPr>
            <w:tcW w:w="2503" w:type="pct"/>
            <w:tcBorders>
              <w:top w:val="nil"/>
              <w:left w:val="nil"/>
              <w:bottom w:val="nil"/>
            </w:tcBorders>
            <w:shd w:val="clear" w:color="auto" w:fill="auto"/>
            <w:vAlign w:val="center"/>
          </w:tcPr>
          <w:p w14:paraId="2CD18008">
            <w:pPr>
              <w:widowControl/>
              <w:jc w:val="center"/>
              <w:textAlignment w:val="center"/>
              <w:rPr>
                <w:color w:val="000000"/>
                <w:kern w:val="0"/>
                <w:sz w:val="18"/>
                <w:szCs w:val="18"/>
                <w:lang w:bidi="ar"/>
              </w:rPr>
            </w:pPr>
            <w:r>
              <w:rPr>
                <w:rFonts w:hint="eastAsia"/>
                <w:color w:val="000000"/>
                <w:kern w:val="0"/>
                <w:sz w:val="18"/>
                <w:szCs w:val="18"/>
                <w:lang w:bidi="ar"/>
              </w:rPr>
              <w:t>0.09</w:t>
            </w:r>
          </w:p>
        </w:tc>
      </w:tr>
      <w:tr w14:paraId="280C2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2496" w:type="pct"/>
            <w:tcBorders>
              <w:top w:val="nil"/>
              <w:bottom w:val="nil"/>
              <w:right w:val="nil"/>
            </w:tcBorders>
            <w:shd w:val="clear" w:color="auto" w:fill="auto"/>
            <w:vAlign w:val="center"/>
          </w:tcPr>
          <w:p w14:paraId="5B4E5D0C">
            <w:pPr>
              <w:widowControl/>
              <w:jc w:val="center"/>
              <w:textAlignment w:val="center"/>
              <w:rPr>
                <w:color w:val="000000"/>
                <w:kern w:val="0"/>
                <w:sz w:val="18"/>
                <w:szCs w:val="18"/>
                <w:lang w:bidi="ar"/>
              </w:rPr>
            </w:pPr>
            <w:r>
              <w:rPr>
                <w:rFonts w:hint="eastAsia"/>
                <w:color w:val="000000"/>
                <w:kern w:val="0"/>
                <w:sz w:val="18"/>
                <w:szCs w:val="18"/>
                <w:lang w:bidi="ar"/>
              </w:rPr>
              <w:t>8.73</w:t>
            </w:r>
          </w:p>
        </w:tc>
        <w:tc>
          <w:tcPr>
            <w:tcW w:w="2503" w:type="pct"/>
            <w:tcBorders>
              <w:top w:val="nil"/>
              <w:left w:val="nil"/>
              <w:bottom w:val="nil"/>
            </w:tcBorders>
            <w:shd w:val="clear" w:color="auto" w:fill="auto"/>
            <w:vAlign w:val="center"/>
          </w:tcPr>
          <w:p w14:paraId="3A6E070E">
            <w:pPr>
              <w:widowControl/>
              <w:jc w:val="center"/>
              <w:textAlignment w:val="center"/>
              <w:rPr>
                <w:color w:val="000000"/>
                <w:kern w:val="0"/>
                <w:sz w:val="18"/>
                <w:szCs w:val="18"/>
                <w:lang w:bidi="ar"/>
              </w:rPr>
            </w:pPr>
            <w:r>
              <w:rPr>
                <w:rFonts w:hint="eastAsia"/>
                <w:color w:val="000000"/>
                <w:kern w:val="0"/>
                <w:sz w:val="18"/>
                <w:szCs w:val="18"/>
                <w:lang w:bidi="ar"/>
              </w:rPr>
              <w:t>0.23</w:t>
            </w:r>
          </w:p>
        </w:tc>
      </w:tr>
      <w:tr w14:paraId="035ED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exact"/>
          <w:jc w:val="center"/>
        </w:trPr>
        <w:tc>
          <w:tcPr>
            <w:tcW w:w="2496" w:type="pct"/>
            <w:tcBorders>
              <w:top w:val="nil"/>
              <w:bottom w:val="nil"/>
              <w:right w:val="nil"/>
            </w:tcBorders>
            <w:shd w:val="clear" w:color="auto" w:fill="auto"/>
            <w:vAlign w:val="center"/>
          </w:tcPr>
          <w:p w14:paraId="5FD837AE">
            <w:pPr>
              <w:widowControl/>
              <w:jc w:val="center"/>
              <w:textAlignment w:val="center"/>
              <w:rPr>
                <w:color w:val="000000"/>
                <w:kern w:val="0"/>
                <w:sz w:val="18"/>
                <w:szCs w:val="18"/>
                <w:lang w:bidi="ar"/>
              </w:rPr>
            </w:pPr>
            <w:r>
              <w:rPr>
                <w:rFonts w:hint="eastAsia"/>
                <w:color w:val="000000"/>
                <w:kern w:val="0"/>
                <w:sz w:val="18"/>
                <w:szCs w:val="18"/>
                <w:lang w:bidi="ar"/>
              </w:rPr>
              <w:t>13.39</w:t>
            </w:r>
          </w:p>
        </w:tc>
        <w:tc>
          <w:tcPr>
            <w:tcW w:w="2503" w:type="pct"/>
            <w:tcBorders>
              <w:top w:val="nil"/>
              <w:left w:val="nil"/>
              <w:bottom w:val="nil"/>
            </w:tcBorders>
            <w:shd w:val="clear" w:color="auto" w:fill="auto"/>
            <w:vAlign w:val="center"/>
          </w:tcPr>
          <w:p w14:paraId="23D62F36">
            <w:pPr>
              <w:widowControl/>
              <w:jc w:val="center"/>
              <w:textAlignment w:val="center"/>
              <w:rPr>
                <w:color w:val="000000"/>
                <w:kern w:val="0"/>
                <w:sz w:val="18"/>
                <w:szCs w:val="18"/>
                <w:lang w:bidi="ar"/>
              </w:rPr>
            </w:pPr>
            <w:r>
              <w:rPr>
                <w:rFonts w:hint="eastAsia"/>
                <w:color w:val="000000"/>
                <w:kern w:val="0"/>
                <w:sz w:val="18"/>
                <w:szCs w:val="18"/>
                <w:lang w:bidi="ar"/>
              </w:rPr>
              <w:t>0.29</w:t>
            </w:r>
          </w:p>
        </w:tc>
      </w:tr>
      <w:tr w14:paraId="7C800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exact"/>
          <w:jc w:val="center"/>
        </w:trPr>
        <w:tc>
          <w:tcPr>
            <w:tcW w:w="2496" w:type="pct"/>
            <w:tcBorders>
              <w:top w:val="nil"/>
              <w:bottom w:val="single" w:color="auto" w:sz="4" w:space="0"/>
              <w:right w:val="nil"/>
            </w:tcBorders>
            <w:shd w:val="clear" w:color="auto" w:fill="auto"/>
            <w:vAlign w:val="center"/>
          </w:tcPr>
          <w:p w14:paraId="48951DE8">
            <w:pPr>
              <w:widowControl/>
              <w:jc w:val="center"/>
              <w:textAlignment w:val="center"/>
              <w:rPr>
                <w:color w:val="000000"/>
                <w:kern w:val="0"/>
                <w:sz w:val="18"/>
                <w:szCs w:val="18"/>
                <w:lang w:bidi="ar"/>
              </w:rPr>
            </w:pPr>
            <w:r>
              <w:rPr>
                <w:rFonts w:hint="eastAsia"/>
                <w:color w:val="000000"/>
                <w:kern w:val="0"/>
                <w:sz w:val="18"/>
                <w:szCs w:val="18"/>
                <w:lang w:bidi="ar"/>
              </w:rPr>
              <w:t>22.64</w:t>
            </w:r>
          </w:p>
        </w:tc>
        <w:tc>
          <w:tcPr>
            <w:tcW w:w="2503" w:type="pct"/>
            <w:tcBorders>
              <w:top w:val="nil"/>
              <w:left w:val="nil"/>
              <w:bottom w:val="single" w:color="auto" w:sz="4" w:space="0"/>
            </w:tcBorders>
            <w:shd w:val="clear" w:color="auto" w:fill="auto"/>
            <w:vAlign w:val="center"/>
          </w:tcPr>
          <w:p w14:paraId="46FE33FE">
            <w:pPr>
              <w:widowControl/>
              <w:jc w:val="center"/>
              <w:textAlignment w:val="center"/>
              <w:rPr>
                <w:color w:val="000000"/>
                <w:kern w:val="0"/>
                <w:sz w:val="18"/>
                <w:szCs w:val="18"/>
                <w:lang w:bidi="ar"/>
              </w:rPr>
            </w:pPr>
            <w:r>
              <w:rPr>
                <w:rFonts w:hint="eastAsia"/>
                <w:color w:val="000000"/>
                <w:kern w:val="0"/>
                <w:sz w:val="18"/>
                <w:szCs w:val="18"/>
                <w:lang w:bidi="ar"/>
              </w:rPr>
              <w:t>0.22</w:t>
            </w:r>
          </w:p>
        </w:tc>
      </w:tr>
      <w:tr w14:paraId="1EEB3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exact"/>
          <w:jc w:val="center"/>
        </w:trPr>
        <w:tc>
          <w:tcPr>
            <w:tcW w:w="5000" w:type="pct"/>
            <w:gridSpan w:val="2"/>
            <w:tcBorders>
              <w:top w:val="single" w:color="auto" w:sz="4" w:space="0"/>
              <w:bottom w:val="single" w:color="auto" w:sz="12" w:space="0"/>
            </w:tcBorders>
            <w:shd w:val="clear" w:color="auto" w:fill="auto"/>
            <w:vAlign w:val="center"/>
          </w:tcPr>
          <w:p w14:paraId="6496A2A1">
            <w:pPr>
              <w:rPr>
                <w:color w:val="000000"/>
                <w:kern w:val="0"/>
                <w:sz w:val="18"/>
                <w:szCs w:val="18"/>
                <w:lang w:bidi="ar"/>
              </w:rPr>
            </w:pPr>
            <w:r>
              <w:rPr>
                <w:rFonts w:hint="eastAsia" w:ascii="黑体" w:hAnsi="黑体" w:eastAsia="黑体" w:cs="黑体"/>
                <w:color w:val="000000"/>
                <w:kern w:val="0"/>
                <w:sz w:val="18"/>
                <w:szCs w:val="18"/>
                <w:lang w:bidi="ar"/>
              </w:rPr>
              <w:t>注1：</w:t>
            </w:r>
            <w:r>
              <w:rPr>
                <w:color w:val="000000"/>
                <w:kern w:val="0"/>
                <w:sz w:val="18"/>
                <w:szCs w:val="18"/>
                <w:lang w:bidi="ar"/>
              </w:rPr>
              <w:t>再现性限（R）为2.8×S</w:t>
            </w:r>
            <w:r>
              <w:rPr>
                <w:color w:val="000000"/>
                <w:kern w:val="0"/>
                <w:sz w:val="18"/>
                <w:szCs w:val="18"/>
                <w:vertAlign w:val="subscript"/>
                <w:lang w:bidi="ar"/>
              </w:rPr>
              <w:t>R</w:t>
            </w:r>
            <w:r>
              <w:rPr>
                <w:color w:val="000000"/>
                <w:kern w:val="0"/>
                <w:sz w:val="18"/>
                <w:szCs w:val="18"/>
                <w:lang w:bidi="ar"/>
              </w:rPr>
              <w:t>，S</w:t>
            </w:r>
            <w:r>
              <w:rPr>
                <w:color w:val="000000"/>
                <w:kern w:val="0"/>
                <w:sz w:val="18"/>
                <w:szCs w:val="18"/>
                <w:vertAlign w:val="subscript"/>
                <w:lang w:bidi="ar"/>
              </w:rPr>
              <w:t>R</w:t>
            </w:r>
            <w:r>
              <w:rPr>
                <w:color w:val="000000"/>
                <w:kern w:val="0"/>
                <w:sz w:val="18"/>
                <w:szCs w:val="18"/>
                <w:lang w:bidi="ar"/>
              </w:rPr>
              <w:t>为再现性限标准偏差。</w:t>
            </w:r>
          </w:p>
          <w:p w14:paraId="4AF679D2">
            <w:pPr>
              <w:widowControl/>
              <w:jc w:val="center"/>
              <w:textAlignment w:val="center"/>
              <w:rPr>
                <w:rFonts w:ascii="宋体" w:hAnsi="宋体" w:cs="宋体"/>
                <w:color w:val="000000"/>
                <w:kern w:val="0"/>
                <w:sz w:val="18"/>
                <w:szCs w:val="18"/>
                <w:lang w:bidi="ar"/>
              </w:rPr>
            </w:pPr>
          </w:p>
        </w:tc>
      </w:tr>
    </w:tbl>
    <w:p w14:paraId="0DDA62C1">
      <w:pPr>
        <w:pStyle w:val="74"/>
        <w:numPr>
          <w:ilvl w:val="255"/>
          <w:numId w:val="0"/>
        </w:numPr>
        <w:tabs>
          <w:tab w:val="left" w:pos="112"/>
        </w:tabs>
        <w:spacing w:before="312" w:beforeLines="100" w:after="312" w:afterLines="100"/>
        <w:rPr>
          <w:rFonts w:hAnsi="黑体" w:cs="黑体"/>
          <w:szCs w:val="21"/>
        </w:rPr>
      </w:pPr>
      <w:r>
        <w:rPr>
          <w:rFonts w:hint="eastAsia" w:hAnsi="黑体" w:cs="黑体"/>
          <w:szCs w:val="21"/>
        </w:rPr>
        <w:t>5  电感耦合等离子体发射光谱法</w:t>
      </w:r>
    </w:p>
    <w:p w14:paraId="587B0C4C">
      <w:pPr>
        <w:pStyle w:val="74"/>
        <w:numPr>
          <w:ilvl w:val="255"/>
          <w:numId w:val="0"/>
        </w:numPr>
        <w:tabs>
          <w:tab w:val="left" w:pos="112"/>
        </w:tabs>
        <w:spacing w:before="156" w:after="156"/>
        <w:rPr>
          <w:rFonts w:hAnsi="黑体" w:cs="黑体"/>
        </w:rPr>
      </w:pPr>
      <w:r>
        <w:rPr>
          <w:rFonts w:hint="eastAsia" w:hAnsi="黑体" w:cs="黑体"/>
        </w:rPr>
        <w:t>5.1 方法提要</w:t>
      </w:r>
    </w:p>
    <w:p w14:paraId="3BF17CE0">
      <w:pPr>
        <w:pStyle w:val="47"/>
        <w:ind w:firstLine="420"/>
        <w:rPr>
          <w:rFonts w:ascii="Times New Roman"/>
          <w:bCs/>
          <w:kern w:val="2"/>
          <w:szCs w:val="24"/>
        </w:rPr>
      </w:pPr>
      <w:r>
        <w:rPr>
          <w:rFonts w:hint="eastAsia" w:ascii="Times New Roman"/>
          <w:szCs w:val="21"/>
        </w:rPr>
        <w:t>试料经氢氧化钠-过氧化钠熔融分解，以硝酸溶解冷却后的熔块，采用电感耦合等离子体发射光谱仪，在盐酸介质中测定五氧化二磷含量。</w:t>
      </w:r>
    </w:p>
    <w:p w14:paraId="4296B2B1">
      <w:pPr>
        <w:pStyle w:val="74"/>
        <w:numPr>
          <w:ilvl w:val="0"/>
          <w:numId w:val="0"/>
        </w:numPr>
        <w:spacing w:before="156" w:after="156"/>
        <w:rPr>
          <w:rFonts w:ascii="Times New Roman"/>
          <w:color w:val="000000"/>
        </w:rPr>
      </w:pPr>
      <w:r>
        <w:rPr>
          <w:rFonts w:hint="eastAsia" w:hAnsi="黑体" w:cs="黑体"/>
          <w:color w:val="000000"/>
        </w:rPr>
        <w:t>5.2</w:t>
      </w:r>
      <w:r>
        <w:rPr>
          <w:rFonts w:ascii="Times New Roman"/>
          <w:color w:val="FF0000"/>
        </w:rPr>
        <w:t>　</w:t>
      </w:r>
      <w:r>
        <w:rPr>
          <w:rFonts w:ascii="Times New Roman"/>
          <w:color w:val="000000"/>
        </w:rPr>
        <w:t>试剂和材料</w:t>
      </w:r>
    </w:p>
    <w:bookmarkEnd w:id="2"/>
    <w:p w14:paraId="1EE69433">
      <w:pPr>
        <w:pStyle w:val="47"/>
        <w:ind w:firstLine="420"/>
        <w:rPr>
          <w:rFonts w:ascii="Times New Roman"/>
          <w:color w:val="000000"/>
        </w:rPr>
      </w:pPr>
      <w:r>
        <w:rPr>
          <w:rFonts w:ascii="Times New Roman"/>
          <w:bCs/>
          <w:kern w:val="2"/>
          <w:szCs w:val="24"/>
        </w:rPr>
        <w:t>除非另有说明，在分析中仅使用确认为</w:t>
      </w:r>
      <w:r>
        <w:rPr>
          <w:rFonts w:hint="eastAsia" w:ascii="Times New Roman"/>
          <w:bCs/>
          <w:kern w:val="2"/>
          <w:szCs w:val="24"/>
        </w:rPr>
        <w:t>分析</w:t>
      </w:r>
      <w:r>
        <w:rPr>
          <w:rFonts w:ascii="Times New Roman"/>
          <w:bCs/>
          <w:kern w:val="2"/>
          <w:szCs w:val="24"/>
        </w:rPr>
        <w:t>纯及以上试剂和</w:t>
      </w:r>
      <w:r>
        <w:rPr>
          <w:rFonts w:hint="eastAsia" w:ascii="Times New Roman"/>
          <w:bCs/>
          <w:kern w:val="2"/>
          <w:szCs w:val="24"/>
        </w:rPr>
        <w:t>符合实验室GB/T 6682规定的</w:t>
      </w:r>
      <w:r>
        <w:rPr>
          <w:rFonts w:hint="eastAsia" w:ascii="Times New Roman"/>
          <w:bCs/>
          <w:kern w:val="2"/>
          <w:szCs w:val="24"/>
          <w:lang w:val="en-US" w:eastAsia="zh-CN"/>
        </w:rPr>
        <w:t>二</w:t>
      </w:r>
      <w:r>
        <w:rPr>
          <w:rFonts w:hint="eastAsia" w:ascii="Times New Roman"/>
          <w:bCs/>
          <w:kern w:val="2"/>
          <w:szCs w:val="24"/>
        </w:rPr>
        <w:t>级水</w:t>
      </w:r>
      <w:r>
        <w:rPr>
          <w:rFonts w:ascii="Times New Roman"/>
          <w:bCs/>
          <w:kern w:val="2"/>
          <w:szCs w:val="24"/>
        </w:rPr>
        <w:t>。</w:t>
      </w:r>
      <w:r>
        <w:rPr>
          <w:rFonts w:hint="eastAsia" w:ascii="Times New Roman"/>
          <w:bCs/>
          <w:kern w:val="2"/>
          <w:szCs w:val="24"/>
        </w:rPr>
        <w:t>优先使用有证标准溶液。</w:t>
      </w:r>
    </w:p>
    <w:p w14:paraId="7422D847">
      <w:pPr>
        <w:rPr>
          <w:rFonts w:asciiTheme="minorEastAsia" w:hAnsiTheme="minorEastAsia" w:eastAsiaTheme="minorEastAsia"/>
          <w:color w:val="000000"/>
        </w:rPr>
      </w:pPr>
      <w:r>
        <w:rPr>
          <w:rFonts w:hint="eastAsia" w:ascii="黑体" w:hAnsi="黑体" w:eastAsia="黑体"/>
          <w:color w:val="000000"/>
        </w:rPr>
        <w:t>5.2.1</w:t>
      </w:r>
      <w:r>
        <w:rPr>
          <w:rFonts w:asciiTheme="minorEastAsia" w:hAnsiTheme="minorEastAsia" w:eastAsiaTheme="minorEastAsia"/>
          <w:color w:val="FF0000"/>
        </w:rPr>
        <w:t>　</w:t>
      </w:r>
      <w:r>
        <w:rPr>
          <w:rFonts w:hint="eastAsia"/>
          <w:szCs w:val="21"/>
        </w:rPr>
        <w:t>氢氧化钠。</w:t>
      </w:r>
    </w:p>
    <w:p w14:paraId="5D4C8A68">
      <w:pPr>
        <w:rPr>
          <w:rFonts w:asciiTheme="minorEastAsia" w:hAnsiTheme="minorEastAsia" w:eastAsiaTheme="minorEastAsia"/>
        </w:rPr>
      </w:pPr>
      <w:r>
        <w:rPr>
          <w:rFonts w:hint="eastAsia" w:ascii="黑体" w:hAnsi="黑体" w:eastAsia="黑体"/>
          <w:color w:val="000000"/>
        </w:rPr>
        <w:t>5.2.2</w:t>
      </w:r>
      <w:r>
        <w:rPr>
          <w:rFonts w:asciiTheme="minorEastAsia" w:hAnsiTheme="minorEastAsia" w:eastAsiaTheme="minorEastAsia"/>
          <w:color w:val="FF0000"/>
        </w:rPr>
        <w:t>　</w:t>
      </w:r>
      <w:r>
        <w:rPr>
          <w:rFonts w:hint="eastAsia"/>
          <w:szCs w:val="21"/>
        </w:rPr>
        <w:t>过氧化钠。</w:t>
      </w:r>
    </w:p>
    <w:p w14:paraId="5E873CD3">
      <w:pPr>
        <w:rPr>
          <w:rFonts w:eastAsiaTheme="minorEastAsia"/>
        </w:rPr>
      </w:pPr>
      <w:r>
        <w:rPr>
          <w:rFonts w:hint="eastAsia" w:ascii="黑体" w:hAnsi="黑体" w:eastAsia="黑体"/>
          <w:color w:val="000000"/>
        </w:rPr>
        <w:t>5.2</w:t>
      </w:r>
      <w:r>
        <w:rPr>
          <w:rFonts w:ascii="黑体" w:hAnsi="黑体" w:eastAsia="黑体"/>
          <w:color w:val="000000"/>
        </w:rPr>
        <w:t>.</w:t>
      </w:r>
      <w:r>
        <w:rPr>
          <w:rFonts w:hint="eastAsia" w:ascii="黑体" w:hAnsi="黑体" w:eastAsia="黑体"/>
          <w:color w:val="000000"/>
        </w:rPr>
        <w:t>3</w:t>
      </w:r>
      <w:r>
        <w:rPr>
          <w:rFonts w:asciiTheme="minorEastAsia" w:hAnsiTheme="minorEastAsia" w:eastAsiaTheme="minorEastAsia"/>
          <w:color w:val="FF0000"/>
        </w:rPr>
        <w:t>　</w:t>
      </w:r>
      <w:r>
        <w:rPr>
          <w:rFonts w:hint="eastAsia"/>
          <w:szCs w:val="21"/>
        </w:rPr>
        <w:t>硝酸</w:t>
      </w:r>
      <w:r>
        <w:rPr>
          <w:rFonts w:hint="eastAsia"/>
          <w:szCs w:val="21"/>
          <w:lang w:eastAsia="zh-CN"/>
        </w:rPr>
        <w:t>（</w:t>
      </w:r>
      <w:r>
        <w:rPr>
          <w:i/>
          <w:iCs/>
          <w:szCs w:val="21"/>
        </w:rPr>
        <w:t>ρ</w:t>
      </w:r>
      <w:r>
        <w:rPr>
          <w:rFonts w:hint="eastAsia"/>
          <w:szCs w:val="21"/>
        </w:rPr>
        <w:t>1.42 g/mL</w:t>
      </w:r>
      <w:r>
        <w:rPr>
          <w:rFonts w:hint="eastAsia"/>
          <w:szCs w:val="21"/>
          <w:lang w:eastAsia="zh-CN"/>
        </w:rPr>
        <w:t>）</w:t>
      </w:r>
      <w:r>
        <w:rPr>
          <w:rFonts w:hint="eastAsia"/>
          <w:szCs w:val="21"/>
        </w:rPr>
        <w:t>。</w:t>
      </w:r>
    </w:p>
    <w:p w14:paraId="3F6A44A6">
      <w:pPr>
        <w:rPr>
          <w:rFonts w:asciiTheme="minorEastAsia" w:hAnsiTheme="minorEastAsia" w:eastAsiaTheme="minorEastAsia"/>
        </w:rPr>
      </w:pPr>
      <w:r>
        <w:rPr>
          <w:rFonts w:hint="eastAsia" w:ascii="黑体" w:hAnsi="黑体" w:eastAsia="黑体"/>
          <w:color w:val="000000"/>
        </w:rPr>
        <w:t>5.2</w:t>
      </w:r>
      <w:r>
        <w:rPr>
          <w:rFonts w:hint="eastAsia" w:ascii="黑体" w:hAnsi="黑体" w:eastAsia="黑体"/>
        </w:rPr>
        <w:t>.4</w:t>
      </w:r>
      <w:r>
        <w:rPr>
          <w:rFonts w:hint="eastAsia" w:asciiTheme="minorEastAsia" w:hAnsiTheme="minorEastAsia" w:eastAsiaTheme="minorEastAsia"/>
        </w:rPr>
        <w:t xml:space="preserve">  硝酸（1+1）。</w:t>
      </w:r>
    </w:p>
    <w:p w14:paraId="0E1EED92">
      <w:pPr>
        <w:rPr>
          <w:rFonts w:asciiTheme="minorEastAsia" w:hAnsiTheme="minorEastAsia" w:eastAsiaTheme="minorEastAsia"/>
        </w:rPr>
      </w:pPr>
      <w:r>
        <w:rPr>
          <w:rFonts w:hint="eastAsia" w:ascii="黑体" w:hAnsi="黑体" w:eastAsia="黑体"/>
          <w:color w:val="000000"/>
        </w:rPr>
        <w:t>5.2</w:t>
      </w:r>
      <w:r>
        <w:rPr>
          <w:rFonts w:ascii="黑体" w:hAnsi="黑体" w:eastAsia="黑体"/>
        </w:rPr>
        <w:t>.</w:t>
      </w:r>
      <w:r>
        <w:rPr>
          <w:rFonts w:hint="eastAsia" w:ascii="黑体" w:hAnsi="黑体" w:eastAsia="黑体"/>
        </w:rPr>
        <w:t>5</w:t>
      </w:r>
      <w:r>
        <w:rPr>
          <w:rFonts w:ascii="黑体" w:hAnsi="黑体" w:eastAsia="黑体"/>
        </w:rPr>
        <w:t>　</w:t>
      </w:r>
      <w:r>
        <w:rPr>
          <w:rFonts w:hint="eastAsia"/>
          <w:szCs w:val="21"/>
        </w:rPr>
        <w:t>过氧化氢（30%）。</w:t>
      </w:r>
    </w:p>
    <w:p w14:paraId="5090A365">
      <w:pPr>
        <w:rPr>
          <w:rFonts w:eastAsiaTheme="minorEastAsia"/>
          <w:szCs w:val="21"/>
        </w:rPr>
      </w:pPr>
      <w:r>
        <w:rPr>
          <w:rFonts w:hint="eastAsia" w:ascii="黑体" w:hAnsi="黑体" w:eastAsia="黑体"/>
          <w:color w:val="000000"/>
        </w:rPr>
        <w:t>5.2</w:t>
      </w:r>
      <w:r>
        <w:rPr>
          <w:rFonts w:ascii="黑体" w:hAnsi="黑体" w:eastAsia="黑体"/>
        </w:rPr>
        <w:t>.</w:t>
      </w:r>
      <w:r>
        <w:rPr>
          <w:rFonts w:hint="eastAsia" w:ascii="黑体" w:hAnsi="黑体" w:eastAsia="黑体"/>
        </w:rPr>
        <w:t>6</w:t>
      </w:r>
      <w:r>
        <w:rPr>
          <w:rFonts w:ascii="黑体" w:hAnsi="黑体" w:eastAsia="黑体"/>
        </w:rPr>
        <w:t>　</w:t>
      </w:r>
      <w:r>
        <w:rPr>
          <w:rFonts w:hint="eastAsia"/>
          <w:szCs w:val="21"/>
        </w:rPr>
        <w:t>五氧化二磷标准贮存溶液：称取1.9170g（预先经105℃～110℃烘干1h）的优级纯磷酸二氢钾于250mL烧杯中，加水溶解，移入1000mL容量瓶中，用水稀释至刻度，混匀。此溶液1mL含1mg五氧化二磷。</w:t>
      </w:r>
    </w:p>
    <w:p w14:paraId="7B325D06">
      <w:pPr>
        <w:rPr>
          <w:rFonts w:eastAsiaTheme="minorEastAsia"/>
        </w:rPr>
      </w:pPr>
      <w:r>
        <w:rPr>
          <w:rFonts w:hint="eastAsia" w:ascii="黑体" w:hAnsi="黑体" w:eastAsia="黑体"/>
          <w:color w:val="000000"/>
        </w:rPr>
        <w:t>5.2</w:t>
      </w:r>
      <w:r>
        <w:rPr>
          <w:rFonts w:ascii="黑体" w:hAnsi="黑体" w:eastAsia="黑体"/>
        </w:rPr>
        <w:t>.</w:t>
      </w:r>
      <w:r>
        <w:rPr>
          <w:rFonts w:hint="eastAsia" w:ascii="黑体" w:hAnsi="黑体" w:eastAsia="黑体"/>
        </w:rPr>
        <w:t>7</w:t>
      </w:r>
      <w:r>
        <w:rPr>
          <w:rFonts w:asciiTheme="minorEastAsia" w:hAnsiTheme="minorEastAsia" w:eastAsiaTheme="minorEastAsia"/>
          <w:color w:val="FF0000"/>
        </w:rPr>
        <w:t>　</w:t>
      </w:r>
      <w:r>
        <w:rPr>
          <w:rFonts w:hint="eastAsia"/>
          <w:szCs w:val="21"/>
        </w:rPr>
        <w:t>五氧化二磷标准溶液：移取10.00mL五氧化二磷标准贮存溶液（</w:t>
      </w:r>
      <w:r>
        <w:rPr>
          <w:rFonts w:hint="eastAsia"/>
          <w:szCs w:val="21"/>
          <w:lang w:val="en-US" w:eastAsia="zh-CN"/>
        </w:rPr>
        <w:t>5.2.6</w:t>
      </w:r>
      <w:r>
        <w:rPr>
          <w:rFonts w:hint="eastAsia"/>
          <w:szCs w:val="21"/>
        </w:rPr>
        <w:t>）于100mL容量瓶中，用水稀释至刻度，混匀。此溶液1mL含100μg五氧化二磷。</w:t>
      </w:r>
    </w:p>
    <w:p w14:paraId="4AEED71D">
      <w:pPr>
        <w:rPr>
          <w:szCs w:val="21"/>
        </w:rPr>
      </w:pPr>
      <w:r>
        <w:rPr>
          <w:rFonts w:hint="eastAsia" w:ascii="黑体" w:hAnsi="黑体" w:eastAsia="黑体"/>
          <w:color w:val="000000"/>
        </w:rPr>
        <w:t>5.2</w:t>
      </w:r>
      <w:r>
        <w:rPr>
          <w:rFonts w:ascii="黑体" w:hAnsi="黑体" w:eastAsia="黑体"/>
        </w:rPr>
        <w:t>.</w:t>
      </w:r>
      <w:r>
        <w:rPr>
          <w:rFonts w:hint="eastAsia" w:ascii="黑体" w:hAnsi="黑体" w:eastAsia="黑体"/>
        </w:rPr>
        <w:t>8</w:t>
      </w:r>
      <w:r>
        <w:rPr>
          <w:rFonts w:asciiTheme="minorEastAsia" w:hAnsiTheme="minorEastAsia" w:eastAsiaTheme="minorEastAsia"/>
          <w:color w:val="FF0000"/>
        </w:rPr>
        <w:t>　</w:t>
      </w:r>
      <w:r>
        <w:rPr>
          <w:rFonts w:hint="eastAsia"/>
          <w:szCs w:val="21"/>
        </w:rPr>
        <w:t>氩气[w(Ar)&gt;99.99%]。</w:t>
      </w:r>
    </w:p>
    <w:p w14:paraId="038DF82D">
      <w:pPr>
        <w:pStyle w:val="74"/>
        <w:numPr>
          <w:ilvl w:val="0"/>
          <w:numId w:val="0"/>
        </w:numPr>
        <w:spacing w:before="156" w:after="156"/>
        <w:rPr>
          <w:rFonts w:ascii="Times New Roman"/>
          <w:color w:val="000000"/>
        </w:rPr>
      </w:pPr>
      <w:r>
        <w:rPr>
          <w:rFonts w:hint="eastAsia" w:hAnsi="黑体" w:cs="黑体"/>
          <w:color w:val="000000"/>
        </w:rPr>
        <w:t>5.3</w:t>
      </w:r>
      <w:r>
        <w:rPr>
          <w:rFonts w:ascii="Times New Roman"/>
          <w:color w:val="000000"/>
        </w:rPr>
        <w:t>　仪器</w:t>
      </w:r>
      <w:r>
        <w:rPr>
          <w:rFonts w:hint="eastAsia" w:ascii="Times New Roman"/>
          <w:color w:val="000000"/>
        </w:rPr>
        <w:t>设备</w:t>
      </w:r>
    </w:p>
    <w:p w14:paraId="43C409C0">
      <w:pPr>
        <w:rPr>
          <w:szCs w:val="21"/>
        </w:rPr>
      </w:pPr>
      <w:r>
        <w:rPr>
          <w:rFonts w:hint="eastAsia" w:ascii="黑体" w:hAnsi="黑体" w:eastAsia="黑体"/>
          <w:color w:val="000000"/>
        </w:rPr>
        <w:t xml:space="preserve">5.3.1 </w:t>
      </w:r>
      <w:r>
        <w:rPr>
          <w:rFonts w:hint="eastAsia"/>
          <w:szCs w:val="21"/>
        </w:rPr>
        <w:t>电感耦合等离子体发射光谱仪：分辨率&lt;0.006 nm （200 nm处）。</w:t>
      </w:r>
    </w:p>
    <w:p w14:paraId="041DF381">
      <w:pPr>
        <w:rPr>
          <w:rFonts w:ascii="宋体" w:hAnsi="宋体" w:cs="宋体"/>
          <w:szCs w:val="21"/>
        </w:rPr>
      </w:pPr>
      <w:r>
        <w:rPr>
          <w:rFonts w:hint="eastAsia" w:ascii="黑体" w:hAnsi="黑体" w:eastAsia="黑体"/>
          <w:color w:val="000000"/>
        </w:rPr>
        <w:t xml:space="preserve">5.3.2 </w:t>
      </w:r>
      <w:r>
        <w:rPr>
          <w:rFonts w:hint="eastAsia"/>
          <w:szCs w:val="21"/>
        </w:rPr>
        <w:t>光源：氩等离子体光源。</w:t>
      </w:r>
    </w:p>
    <w:p w14:paraId="2583CDE7">
      <w:pPr>
        <w:pStyle w:val="74"/>
        <w:numPr>
          <w:ilvl w:val="0"/>
          <w:numId w:val="0"/>
        </w:numPr>
        <w:spacing w:before="156" w:after="156"/>
        <w:rPr>
          <w:rFonts w:hint="eastAsia" w:ascii="Times New Roman" w:eastAsia="黑体"/>
          <w:color w:val="000000"/>
          <w:lang w:eastAsia="zh-CN"/>
        </w:rPr>
      </w:pPr>
      <w:r>
        <w:rPr>
          <w:rFonts w:hint="eastAsia" w:hAnsi="黑体" w:cs="黑体"/>
          <w:color w:val="000000"/>
        </w:rPr>
        <w:t xml:space="preserve">5.4 </w:t>
      </w:r>
      <w:r>
        <w:rPr>
          <w:rFonts w:hint="eastAsia" w:ascii="Times New Roman"/>
          <w:color w:val="000000"/>
          <w:lang w:val="en-US" w:eastAsia="zh-CN"/>
        </w:rPr>
        <w:t>样品</w:t>
      </w:r>
    </w:p>
    <w:p w14:paraId="78FF2C6F">
      <w:pPr>
        <w:rPr>
          <w:rFonts w:hint="eastAsia" w:eastAsia="宋体"/>
          <w:lang w:eastAsia="zh-CN"/>
        </w:rPr>
      </w:pPr>
      <w:r>
        <w:rPr>
          <w:rFonts w:hint="eastAsia" w:ascii="黑体" w:hAnsi="黑体" w:eastAsia="黑体" w:cs="黑体"/>
        </w:rPr>
        <w:t xml:space="preserve">5.4.1 </w:t>
      </w:r>
      <w:r>
        <w:rPr>
          <w:rFonts w:hint="default" w:ascii="Times New Roman" w:hAnsi="Times New Roman" w:cs="Times New Roman"/>
          <w:szCs w:val="21"/>
        </w:rPr>
        <w:t>试样的粒度应研磨至通过0.074mm筛</w:t>
      </w:r>
      <w:r>
        <w:rPr>
          <w:rFonts w:hint="eastAsia" w:ascii="宋体" w:hAnsi="宋体" w:cs="宋体"/>
          <w:szCs w:val="21"/>
          <w:lang w:eastAsia="zh-CN"/>
        </w:rPr>
        <w:t>。</w:t>
      </w:r>
    </w:p>
    <w:p w14:paraId="16EB14D3">
      <w:pPr>
        <w:rPr>
          <w:rFonts w:asciiTheme="minorEastAsia" w:hAnsiTheme="minorEastAsia" w:eastAsiaTheme="minorEastAsia"/>
        </w:rPr>
      </w:pPr>
      <w:r>
        <w:rPr>
          <w:rFonts w:hint="eastAsia" w:ascii="黑体" w:hAnsi="黑体" w:eastAsia="黑体" w:cs="黑体"/>
        </w:rPr>
        <w:t xml:space="preserve">5.4.2 </w:t>
      </w:r>
      <w:r>
        <w:t>试样经105 ℃~110 ℃干燥2 h，</w:t>
      </w:r>
      <w:r>
        <w:rPr>
          <w:rFonts w:hint="eastAsia" w:ascii="宋体" w:hAnsi="宋体" w:cs="宋体"/>
          <w:szCs w:val="21"/>
        </w:rPr>
        <w:t>置于干燥器中，冷却至室温</w:t>
      </w:r>
      <w:r>
        <w:t>。</w:t>
      </w:r>
    </w:p>
    <w:p w14:paraId="738E87AD">
      <w:pPr>
        <w:spacing w:before="156" w:beforeLines="50" w:after="156" w:afterLines="50"/>
        <w:rPr>
          <w:rFonts w:hAnsi="黑体" w:cs="黑体"/>
          <w:color w:val="000000"/>
        </w:rPr>
      </w:pPr>
      <w:r>
        <w:rPr>
          <w:rFonts w:hint="eastAsia" w:ascii="黑体" w:hAnsi="黑体" w:eastAsia="黑体" w:cs="黑体"/>
          <w:color w:val="000000"/>
          <w:kern w:val="0"/>
          <w:szCs w:val="20"/>
        </w:rPr>
        <w:t>5.5 试验步骤</w:t>
      </w:r>
    </w:p>
    <w:p w14:paraId="239B3197">
      <w:pPr>
        <w:pStyle w:val="81"/>
        <w:numPr>
          <w:ilvl w:val="0"/>
          <w:numId w:val="0"/>
        </w:numPr>
        <w:spacing w:before="156" w:beforeLines="50" w:after="156" w:afterLines="50"/>
        <w:rPr>
          <w:rFonts w:ascii="Times New Roman"/>
          <w:kern w:val="2"/>
        </w:rPr>
      </w:pPr>
      <w:r>
        <w:rPr>
          <w:rFonts w:hint="eastAsia" w:hAnsi="黑体"/>
          <w:kern w:val="2"/>
        </w:rPr>
        <w:t>5.5</w:t>
      </w:r>
      <w:r>
        <w:rPr>
          <w:rFonts w:hAnsi="黑体"/>
          <w:kern w:val="2"/>
        </w:rPr>
        <w:t>.1</w:t>
      </w:r>
      <w:r>
        <w:rPr>
          <w:rFonts w:ascii="Times New Roman"/>
          <w:kern w:val="2"/>
        </w:rPr>
        <w:t>试料</w:t>
      </w:r>
    </w:p>
    <w:p w14:paraId="3060BD89">
      <w:pPr>
        <w:ind w:firstLine="420" w:firstLineChars="200"/>
        <w:rPr>
          <w:rFonts w:ascii="黑体" w:hAnsi="黑体" w:eastAsia="黑体" w:cs="黑体"/>
          <w:sz w:val="18"/>
          <w:szCs w:val="18"/>
        </w:rPr>
      </w:pPr>
      <w:r>
        <w:rPr>
          <w:szCs w:val="21"/>
        </w:rPr>
        <w:t>样品按表</w:t>
      </w:r>
      <w:r>
        <w:rPr>
          <w:rFonts w:hint="eastAsia"/>
          <w:szCs w:val="21"/>
        </w:rPr>
        <w:t>4</w:t>
      </w:r>
      <w:r>
        <w:rPr>
          <w:szCs w:val="21"/>
        </w:rPr>
        <w:t>称取</w:t>
      </w:r>
      <w:r>
        <w:rPr>
          <w:rFonts w:hint="eastAsia"/>
          <w:szCs w:val="21"/>
        </w:rPr>
        <w:t>试样</w:t>
      </w:r>
      <w:r>
        <w:rPr>
          <w:szCs w:val="21"/>
        </w:rPr>
        <w:t>，精确至0. 0001 g</w:t>
      </w:r>
    </w:p>
    <w:p w14:paraId="397559DF">
      <w:pPr>
        <w:jc w:val="center"/>
        <w:rPr>
          <w:rFonts w:hint="eastAsia" w:eastAsia="黑体"/>
          <w:color w:val="FF0000"/>
          <w:highlight w:val="yellow"/>
          <w:lang w:val="en-US" w:eastAsia="zh-CN"/>
        </w:rPr>
      </w:pPr>
      <w:r>
        <w:rPr>
          <w:rFonts w:hint="eastAsia" w:ascii="黑体" w:hAnsi="黑体" w:eastAsia="黑体" w:cs="黑体"/>
          <w:sz w:val="18"/>
          <w:szCs w:val="18"/>
        </w:rPr>
        <w:t>表4</w:t>
      </w:r>
      <w:r>
        <w:rPr>
          <w:rFonts w:hint="eastAsia" w:ascii="黑体" w:hAnsi="黑体" w:eastAsia="黑体" w:cs="黑体"/>
          <w:sz w:val="18"/>
          <w:szCs w:val="18"/>
          <w:lang w:val="en-US" w:eastAsia="zh-CN"/>
        </w:rPr>
        <w:t xml:space="preserve"> 试料称取量/移取量</w:t>
      </w:r>
    </w:p>
    <w:tbl>
      <w:tblPr>
        <w:tblStyle w:val="3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22"/>
        <w:gridCol w:w="1712"/>
        <w:gridCol w:w="1712"/>
        <w:gridCol w:w="1712"/>
        <w:gridCol w:w="1713"/>
      </w:tblGrid>
      <w:tr w14:paraId="79AA0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2" w:type="dxa"/>
            <w:tcBorders>
              <w:top w:val="single" w:color="000000" w:sz="12" w:space="0"/>
              <w:left w:val="single" w:color="000000" w:sz="12" w:space="0"/>
              <w:bottom w:val="single" w:color="000000" w:sz="12" w:space="0"/>
              <w:right w:val="nil"/>
            </w:tcBorders>
          </w:tcPr>
          <w:p w14:paraId="51EFB10C">
            <w:pPr>
              <w:jc w:val="center"/>
              <w:rPr>
                <w:sz w:val="18"/>
                <w:szCs w:val="18"/>
              </w:rPr>
            </w:pPr>
            <w:r>
              <w:rPr>
                <w:sz w:val="18"/>
                <w:szCs w:val="18"/>
              </w:rPr>
              <w:t>质量分数</w:t>
            </w:r>
          </w:p>
          <w:p w14:paraId="228C3FE3">
            <w:pPr>
              <w:jc w:val="center"/>
              <w:rPr>
                <w:color w:val="000000" w:themeColor="text1"/>
                <w14:textFill>
                  <w14:solidFill>
                    <w14:schemeClr w14:val="tx1"/>
                  </w14:solidFill>
                </w14:textFill>
              </w:rPr>
            </w:pPr>
            <w:r>
              <w:rPr>
                <w:sz w:val="18"/>
                <w:szCs w:val="18"/>
              </w:rPr>
              <w:t>%</w:t>
            </w:r>
          </w:p>
        </w:tc>
        <w:tc>
          <w:tcPr>
            <w:tcW w:w="1712" w:type="dxa"/>
            <w:tcBorders>
              <w:top w:val="single" w:color="000000" w:sz="12" w:space="0"/>
              <w:left w:val="nil"/>
              <w:bottom w:val="single" w:color="000000" w:sz="12" w:space="0"/>
              <w:right w:val="nil"/>
            </w:tcBorders>
            <w:vAlign w:val="center"/>
          </w:tcPr>
          <w:p w14:paraId="53A7B181">
            <w:pPr>
              <w:jc w:val="center"/>
              <w:rPr>
                <w:sz w:val="18"/>
                <w:szCs w:val="18"/>
              </w:rPr>
            </w:pPr>
            <w:r>
              <w:rPr>
                <w:sz w:val="18"/>
                <w:szCs w:val="18"/>
              </w:rPr>
              <w:t>试料</w:t>
            </w:r>
          </w:p>
          <w:p w14:paraId="4FC3117B">
            <w:pPr>
              <w:jc w:val="center"/>
              <w:rPr>
                <w:color w:val="000000" w:themeColor="text1"/>
                <w:sz w:val="18"/>
                <w:szCs w:val="18"/>
                <w14:textFill>
                  <w14:solidFill>
                    <w14:schemeClr w14:val="tx1"/>
                  </w14:solidFill>
                </w14:textFill>
              </w:rPr>
            </w:pPr>
            <w:r>
              <w:rPr>
                <w:sz w:val="18"/>
                <w:szCs w:val="18"/>
              </w:rPr>
              <w:t>g</w:t>
            </w:r>
          </w:p>
        </w:tc>
        <w:tc>
          <w:tcPr>
            <w:tcW w:w="1712" w:type="dxa"/>
            <w:tcBorders>
              <w:top w:val="single" w:color="000000" w:sz="12" w:space="0"/>
              <w:left w:val="nil"/>
              <w:bottom w:val="single" w:color="000000" w:sz="12" w:space="0"/>
              <w:right w:val="nil"/>
            </w:tcBorders>
            <w:vAlign w:val="center"/>
          </w:tcPr>
          <w:p w14:paraId="7763B9A4">
            <w:pPr>
              <w:jc w:val="center"/>
              <w:rPr>
                <w:sz w:val="18"/>
                <w:szCs w:val="18"/>
              </w:rPr>
            </w:pPr>
            <w:r>
              <w:rPr>
                <w:sz w:val="18"/>
                <w:szCs w:val="18"/>
              </w:rPr>
              <w:t>试液总体积</w:t>
            </w:r>
          </w:p>
          <w:p w14:paraId="504D03FC">
            <w:pPr>
              <w:jc w:val="center"/>
              <w:rPr>
                <w:color w:val="000000" w:themeColor="text1"/>
                <w:sz w:val="18"/>
                <w:szCs w:val="18"/>
                <w14:textFill>
                  <w14:solidFill>
                    <w14:schemeClr w14:val="tx1"/>
                  </w14:solidFill>
                </w14:textFill>
              </w:rPr>
            </w:pPr>
            <w:r>
              <w:rPr>
                <w:sz w:val="18"/>
                <w:szCs w:val="18"/>
              </w:rPr>
              <w:t>mL</w:t>
            </w:r>
          </w:p>
        </w:tc>
        <w:tc>
          <w:tcPr>
            <w:tcW w:w="1712" w:type="dxa"/>
            <w:tcBorders>
              <w:top w:val="single" w:color="000000" w:sz="12" w:space="0"/>
              <w:left w:val="nil"/>
              <w:bottom w:val="single" w:color="000000" w:sz="12" w:space="0"/>
              <w:right w:val="nil"/>
            </w:tcBorders>
            <w:vAlign w:val="center"/>
          </w:tcPr>
          <w:p w14:paraId="68902B8D">
            <w:pPr>
              <w:jc w:val="center"/>
              <w:rPr>
                <w:sz w:val="18"/>
                <w:szCs w:val="18"/>
              </w:rPr>
            </w:pPr>
            <w:r>
              <w:rPr>
                <w:sz w:val="18"/>
                <w:szCs w:val="18"/>
              </w:rPr>
              <w:t>移取试液体积</w:t>
            </w:r>
          </w:p>
          <w:p w14:paraId="4261045D">
            <w:pPr>
              <w:jc w:val="center"/>
              <w:rPr>
                <w:color w:val="000000" w:themeColor="text1"/>
                <w:sz w:val="18"/>
                <w:szCs w:val="18"/>
                <w14:textFill>
                  <w14:solidFill>
                    <w14:schemeClr w14:val="tx1"/>
                  </w14:solidFill>
                </w14:textFill>
              </w:rPr>
            </w:pPr>
            <w:r>
              <w:rPr>
                <w:sz w:val="18"/>
                <w:szCs w:val="18"/>
              </w:rPr>
              <w:t>mL</w:t>
            </w:r>
          </w:p>
        </w:tc>
        <w:tc>
          <w:tcPr>
            <w:tcW w:w="1713" w:type="dxa"/>
            <w:tcBorders>
              <w:top w:val="single" w:color="000000" w:sz="12" w:space="0"/>
              <w:left w:val="nil"/>
              <w:bottom w:val="single" w:color="000000" w:sz="12" w:space="0"/>
              <w:right w:val="single" w:color="000000" w:sz="12" w:space="0"/>
            </w:tcBorders>
            <w:vAlign w:val="center"/>
          </w:tcPr>
          <w:p w14:paraId="0DC8B81D">
            <w:pPr>
              <w:jc w:val="center"/>
              <w:rPr>
                <w:sz w:val="18"/>
                <w:szCs w:val="18"/>
              </w:rPr>
            </w:pPr>
            <w:r>
              <w:rPr>
                <w:sz w:val="18"/>
                <w:szCs w:val="18"/>
              </w:rPr>
              <w:t>定容体积</w:t>
            </w:r>
          </w:p>
          <w:p w14:paraId="1EF7CD5C">
            <w:pPr>
              <w:jc w:val="center"/>
              <w:rPr>
                <w:color w:val="000000" w:themeColor="text1"/>
                <w:sz w:val="18"/>
                <w:szCs w:val="18"/>
                <w14:textFill>
                  <w14:solidFill>
                    <w14:schemeClr w14:val="tx1"/>
                  </w14:solidFill>
                </w14:textFill>
              </w:rPr>
            </w:pPr>
            <w:r>
              <w:rPr>
                <w:sz w:val="18"/>
                <w:szCs w:val="18"/>
              </w:rPr>
              <w:t>mL</w:t>
            </w:r>
          </w:p>
        </w:tc>
      </w:tr>
      <w:tr w14:paraId="3D304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2" w:type="dxa"/>
            <w:tcBorders>
              <w:top w:val="single" w:color="000000" w:sz="12" w:space="0"/>
              <w:left w:val="single" w:color="000000" w:sz="12" w:space="0"/>
              <w:bottom w:val="nil"/>
              <w:right w:val="nil"/>
            </w:tcBorders>
            <w:vAlign w:val="center"/>
          </w:tcPr>
          <w:p w14:paraId="56D5C95C">
            <w:pPr>
              <w:jc w:val="center"/>
              <w:rPr>
                <w:color w:val="000000" w:themeColor="text1"/>
                <w:sz w:val="18"/>
                <w:szCs w:val="18"/>
                <w14:textFill>
                  <w14:solidFill>
                    <w14:schemeClr w14:val="tx1"/>
                  </w14:solidFill>
                </w14:textFill>
              </w:rPr>
            </w:pPr>
            <w:r>
              <w:rPr>
                <w:sz w:val="18"/>
                <w:szCs w:val="18"/>
              </w:rPr>
              <w:t>0.10～2.00</w:t>
            </w:r>
          </w:p>
        </w:tc>
        <w:tc>
          <w:tcPr>
            <w:tcW w:w="1712" w:type="dxa"/>
            <w:tcBorders>
              <w:top w:val="single" w:color="000000" w:sz="12" w:space="0"/>
              <w:left w:val="nil"/>
              <w:bottom w:val="nil"/>
              <w:right w:val="nil"/>
            </w:tcBorders>
            <w:vAlign w:val="center"/>
          </w:tcPr>
          <w:p w14:paraId="43CBFE6E">
            <w:pPr>
              <w:jc w:val="center"/>
              <w:rPr>
                <w:color w:val="000000" w:themeColor="text1"/>
                <w:sz w:val="18"/>
                <w:szCs w:val="18"/>
                <w14:textFill>
                  <w14:solidFill>
                    <w14:schemeClr w14:val="tx1"/>
                  </w14:solidFill>
                </w14:textFill>
              </w:rPr>
            </w:pPr>
            <w:r>
              <w:rPr>
                <w:sz w:val="18"/>
                <w:szCs w:val="18"/>
              </w:rPr>
              <w:t>0.4</w:t>
            </w:r>
          </w:p>
        </w:tc>
        <w:tc>
          <w:tcPr>
            <w:tcW w:w="1712" w:type="dxa"/>
            <w:tcBorders>
              <w:top w:val="single" w:color="000000" w:sz="12" w:space="0"/>
              <w:left w:val="nil"/>
              <w:bottom w:val="nil"/>
              <w:right w:val="nil"/>
            </w:tcBorders>
            <w:vAlign w:val="center"/>
          </w:tcPr>
          <w:p w14:paraId="30EF17A1">
            <w:pPr>
              <w:jc w:val="center"/>
              <w:rPr>
                <w:color w:val="000000" w:themeColor="text1"/>
                <w:sz w:val="18"/>
                <w:szCs w:val="18"/>
                <w14:textFill>
                  <w14:solidFill>
                    <w14:schemeClr w14:val="tx1"/>
                  </w14:solidFill>
                </w14:textFill>
              </w:rPr>
            </w:pPr>
            <w:r>
              <w:rPr>
                <w:sz w:val="18"/>
                <w:szCs w:val="18"/>
              </w:rPr>
              <w:t>200</w:t>
            </w:r>
          </w:p>
        </w:tc>
        <w:tc>
          <w:tcPr>
            <w:tcW w:w="1712" w:type="dxa"/>
            <w:tcBorders>
              <w:top w:val="single" w:color="000000" w:sz="12" w:space="0"/>
              <w:left w:val="nil"/>
              <w:bottom w:val="nil"/>
              <w:right w:val="nil"/>
            </w:tcBorders>
            <w:vAlign w:val="center"/>
          </w:tcPr>
          <w:p w14:paraId="3A5F19E7">
            <w:pPr>
              <w:jc w:val="center"/>
              <w:rPr>
                <w:color w:val="000000" w:themeColor="text1"/>
                <w:sz w:val="18"/>
                <w:szCs w:val="18"/>
                <w14:textFill>
                  <w14:solidFill>
                    <w14:schemeClr w14:val="tx1"/>
                  </w14:solidFill>
                </w14:textFill>
              </w:rPr>
            </w:pPr>
            <w:r>
              <w:rPr>
                <w:sz w:val="18"/>
                <w:szCs w:val="18"/>
              </w:rPr>
              <w:t>5.00</w:t>
            </w:r>
          </w:p>
        </w:tc>
        <w:tc>
          <w:tcPr>
            <w:tcW w:w="1713" w:type="dxa"/>
            <w:tcBorders>
              <w:top w:val="single" w:color="000000" w:sz="12" w:space="0"/>
              <w:left w:val="nil"/>
              <w:bottom w:val="nil"/>
              <w:right w:val="single" w:color="000000" w:sz="12" w:space="0"/>
            </w:tcBorders>
            <w:vAlign w:val="center"/>
          </w:tcPr>
          <w:p w14:paraId="141AE157">
            <w:pPr>
              <w:jc w:val="center"/>
              <w:rPr>
                <w:color w:val="000000" w:themeColor="text1"/>
                <w:sz w:val="18"/>
                <w:szCs w:val="18"/>
                <w14:textFill>
                  <w14:solidFill>
                    <w14:schemeClr w14:val="tx1"/>
                  </w14:solidFill>
                </w14:textFill>
              </w:rPr>
            </w:pPr>
            <w:r>
              <w:rPr>
                <w:sz w:val="18"/>
                <w:szCs w:val="18"/>
              </w:rPr>
              <w:t>25</w:t>
            </w:r>
          </w:p>
        </w:tc>
      </w:tr>
      <w:tr w14:paraId="76BFC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2" w:type="dxa"/>
            <w:tcBorders>
              <w:top w:val="nil"/>
              <w:left w:val="single" w:color="000000" w:sz="12" w:space="0"/>
              <w:bottom w:val="nil"/>
              <w:right w:val="nil"/>
            </w:tcBorders>
            <w:vAlign w:val="center"/>
          </w:tcPr>
          <w:p w14:paraId="4321EE97">
            <w:pPr>
              <w:jc w:val="center"/>
              <w:rPr>
                <w:color w:val="000000" w:themeColor="text1"/>
                <w:sz w:val="18"/>
                <w:szCs w:val="18"/>
                <w14:textFill>
                  <w14:solidFill>
                    <w14:schemeClr w14:val="tx1"/>
                  </w14:solidFill>
                </w14:textFill>
              </w:rPr>
            </w:pPr>
            <w:r>
              <w:rPr>
                <w:sz w:val="18"/>
                <w:szCs w:val="18"/>
              </w:rPr>
              <w:t>&gt;2.00～10.00</w:t>
            </w:r>
          </w:p>
        </w:tc>
        <w:tc>
          <w:tcPr>
            <w:tcW w:w="1712" w:type="dxa"/>
            <w:tcBorders>
              <w:top w:val="nil"/>
              <w:left w:val="nil"/>
              <w:bottom w:val="nil"/>
              <w:right w:val="nil"/>
            </w:tcBorders>
            <w:vAlign w:val="center"/>
          </w:tcPr>
          <w:p w14:paraId="395121FF">
            <w:pPr>
              <w:jc w:val="center"/>
              <w:rPr>
                <w:color w:val="000000" w:themeColor="text1"/>
                <w:sz w:val="18"/>
                <w:szCs w:val="18"/>
                <w14:textFill>
                  <w14:solidFill>
                    <w14:schemeClr w14:val="tx1"/>
                  </w14:solidFill>
                </w14:textFill>
              </w:rPr>
            </w:pPr>
            <w:r>
              <w:rPr>
                <w:sz w:val="18"/>
                <w:szCs w:val="18"/>
              </w:rPr>
              <w:t>0.3</w:t>
            </w:r>
          </w:p>
        </w:tc>
        <w:tc>
          <w:tcPr>
            <w:tcW w:w="1712" w:type="dxa"/>
            <w:tcBorders>
              <w:top w:val="nil"/>
              <w:left w:val="nil"/>
              <w:bottom w:val="nil"/>
              <w:right w:val="nil"/>
            </w:tcBorders>
            <w:vAlign w:val="center"/>
          </w:tcPr>
          <w:p w14:paraId="7739B213">
            <w:pPr>
              <w:jc w:val="center"/>
              <w:rPr>
                <w:color w:val="000000" w:themeColor="text1"/>
                <w:sz w:val="18"/>
                <w:szCs w:val="18"/>
                <w14:textFill>
                  <w14:solidFill>
                    <w14:schemeClr w14:val="tx1"/>
                  </w14:solidFill>
                </w14:textFill>
              </w:rPr>
            </w:pPr>
            <w:r>
              <w:rPr>
                <w:sz w:val="18"/>
                <w:szCs w:val="18"/>
              </w:rPr>
              <w:t>200</w:t>
            </w:r>
          </w:p>
        </w:tc>
        <w:tc>
          <w:tcPr>
            <w:tcW w:w="1712" w:type="dxa"/>
            <w:tcBorders>
              <w:top w:val="nil"/>
              <w:left w:val="nil"/>
              <w:bottom w:val="nil"/>
              <w:right w:val="nil"/>
            </w:tcBorders>
            <w:vAlign w:val="center"/>
          </w:tcPr>
          <w:p w14:paraId="699AB12F">
            <w:pPr>
              <w:jc w:val="center"/>
              <w:rPr>
                <w:color w:val="000000" w:themeColor="text1"/>
                <w:sz w:val="18"/>
                <w:szCs w:val="18"/>
                <w14:textFill>
                  <w14:solidFill>
                    <w14:schemeClr w14:val="tx1"/>
                  </w14:solidFill>
                </w14:textFill>
              </w:rPr>
            </w:pPr>
            <w:r>
              <w:rPr>
                <w:sz w:val="18"/>
                <w:szCs w:val="18"/>
              </w:rPr>
              <w:t>5.00</w:t>
            </w:r>
          </w:p>
        </w:tc>
        <w:tc>
          <w:tcPr>
            <w:tcW w:w="1713" w:type="dxa"/>
            <w:tcBorders>
              <w:top w:val="nil"/>
              <w:left w:val="nil"/>
              <w:bottom w:val="nil"/>
              <w:right w:val="single" w:color="000000" w:sz="12" w:space="0"/>
            </w:tcBorders>
            <w:vAlign w:val="center"/>
          </w:tcPr>
          <w:p w14:paraId="7E2AC7FE">
            <w:pPr>
              <w:jc w:val="center"/>
              <w:rPr>
                <w:color w:val="000000" w:themeColor="text1"/>
                <w:sz w:val="18"/>
                <w:szCs w:val="18"/>
                <w14:textFill>
                  <w14:solidFill>
                    <w14:schemeClr w14:val="tx1"/>
                  </w14:solidFill>
                </w14:textFill>
              </w:rPr>
            </w:pPr>
            <w:r>
              <w:rPr>
                <w:sz w:val="18"/>
                <w:szCs w:val="18"/>
              </w:rPr>
              <w:t>50</w:t>
            </w:r>
          </w:p>
        </w:tc>
      </w:tr>
      <w:tr w14:paraId="14672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2" w:type="dxa"/>
            <w:tcBorders>
              <w:top w:val="nil"/>
              <w:left w:val="single" w:color="000000" w:sz="12" w:space="0"/>
              <w:bottom w:val="single" w:color="000000" w:sz="12" w:space="0"/>
              <w:right w:val="nil"/>
            </w:tcBorders>
            <w:vAlign w:val="center"/>
          </w:tcPr>
          <w:p w14:paraId="1A0AD2F3">
            <w:pPr>
              <w:jc w:val="center"/>
              <w:rPr>
                <w:color w:val="000000" w:themeColor="text1"/>
                <w:sz w:val="18"/>
                <w:szCs w:val="18"/>
                <w14:textFill>
                  <w14:solidFill>
                    <w14:schemeClr w14:val="tx1"/>
                  </w14:solidFill>
                </w14:textFill>
              </w:rPr>
            </w:pPr>
            <w:r>
              <w:rPr>
                <w:sz w:val="18"/>
                <w:szCs w:val="18"/>
              </w:rPr>
              <w:t>&gt;10.00～30.00</w:t>
            </w:r>
          </w:p>
        </w:tc>
        <w:tc>
          <w:tcPr>
            <w:tcW w:w="1712" w:type="dxa"/>
            <w:tcBorders>
              <w:top w:val="nil"/>
              <w:left w:val="nil"/>
              <w:bottom w:val="single" w:color="000000" w:sz="12" w:space="0"/>
              <w:right w:val="nil"/>
            </w:tcBorders>
            <w:vAlign w:val="center"/>
          </w:tcPr>
          <w:p w14:paraId="672EBE1E">
            <w:pPr>
              <w:jc w:val="center"/>
              <w:rPr>
                <w:color w:val="000000" w:themeColor="text1"/>
                <w:sz w:val="18"/>
                <w:szCs w:val="18"/>
                <w14:textFill>
                  <w14:solidFill>
                    <w14:schemeClr w14:val="tx1"/>
                  </w14:solidFill>
                </w14:textFill>
              </w:rPr>
            </w:pPr>
            <w:r>
              <w:rPr>
                <w:sz w:val="18"/>
                <w:szCs w:val="18"/>
              </w:rPr>
              <w:t>0.2</w:t>
            </w:r>
          </w:p>
        </w:tc>
        <w:tc>
          <w:tcPr>
            <w:tcW w:w="1712" w:type="dxa"/>
            <w:tcBorders>
              <w:top w:val="nil"/>
              <w:left w:val="nil"/>
              <w:bottom w:val="single" w:color="000000" w:sz="12" w:space="0"/>
              <w:right w:val="nil"/>
            </w:tcBorders>
            <w:vAlign w:val="center"/>
          </w:tcPr>
          <w:p w14:paraId="139AD034">
            <w:pPr>
              <w:jc w:val="center"/>
              <w:rPr>
                <w:color w:val="000000" w:themeColor="text1"/>
                <w:sz w:val="18"/>
                <w:szCs w:val="18"/>
                <w14:textFill>
                  <w14:solidFill>
                    <w14:schemeClr w14:val="tx1"/>
                  </w14:solidFill>
                </w14:textFill>
              </w:rPr>
            </w:pPr>
            <w:r>
              <w:rPr>
                <w:sz w:val="18"/>
                <w:szCs w:val="18"/>
              </w:rPr>
              <w:t>200</w:t>
            </w:r>
          </w:p>
        </w:tc>
        <w:tc>
          <w:tcPr>
            <w:tcW w:w="1712" w:type="dxa"/>
            <w:tcBorders>
              <w:top w:val="nil"/>
              <w:left w:val="nil"/>
              <w:bottom w:val="single" w:color="000000" w:sz="12" w:space="0"/>
              <w:right w:val="nil"/>
            </w:tcBorders>
            <w:vAlign w:val="center"/>
          </w:tcPr>
          <w:p w14:paraId="0745AF9B">
            <w:pPr>
              <w:jc w:val="center"/>
              <w:rPr>
                <w:color w:val="000000" w:themeColor="text1"/>
                <w:sz w:val="18"/>
                <w:szCs w:val="18"/>
                <w14:textFill>
                  <w14:solidFill>
                    <w14:schemeClr w14:val="tx1"/>
                  </w14:solidFill>
                </w14:textFill>
              </w:rPr>
            </w:pPr>
            <w:r>
              <w:rPr>
                <w:sz w:val="18"/>
                <w:szCs w:val="18"/>
              </w:rPr>
              <w:t>5.0</w:t>
            </w:r>
          </w:p>
        </w:tc>
        <w:tc>
          <w:tcPr>
            <w:tcW w:w="1713" w:type="dxa"/>
            <w:tcBorders>
              <w:top w:val="nil"/>
              <w:left w:val="nil"/>
              <w:bottom w:val="single" w:color="000000" w:sz="12" w:space="0"/>
              <w:right w:val="single" w:color="000000" w:sz="12" w:space="0"/>
            </w:tcBorders>
            <w:vAlign w:val="center"/>
          </w:tcPr>
          <w:p w14:paraId="6D01409C">
            <w:pPr>
              <w:jc w:val="center"/>
              <w:rPr>
                <w:color w:val="000000" w:themeColor="text1"/>
                <w:sz w:val="18"/>
                <w:szCs w:val="18"/>
                <w14:textFill>
                  <w14:solidFill>
                    <w14:schemeClr w14:val="tx1"/>
                  </w14:solidFill>
                </w14:textFill>
              </w:rPr>
            </w:pPr>
            <w:r>
              <w:rPr>
                <w:sz w:val="18"/>
                <w:szCs w:val="18"/>
              </w:rPr>
              <w:t>100</w:t>
            </w:r>
          </w:p>
        </w:tc>
      </w:tr>
    </w:tbl>
    <w:p w14:paraId="456BD79A">
      <w:pPr>
        <w:pStyle w:val="81"/>
        <w:numPr>
          <w:ilvl w:val="0"/>
          <w:numId w:val="0"/>
        </w:numPr>
        <w:spacing w:before="156" w:beforeLines="50" w:after="156" w:afterLines="50"/>
        <w:rPr>
          <w:rFonts w:hAnsi="黑体"/>
        </w:rPr>
      </w:pPr>
      <w:r>
        <w:rPr>
          <w:rFonts w:hint="eastAsia" w:hAnsi="黑体"/>
          <w:kern w:val="2"/>
        </w:rPr>
        <w:t>5</w:t>
      </w:r>
      <w:r>
        <w:rPr>
          <w:rFonts w:hAnsi="黑体"/>
          <w:kern w:val="2"/>
        </w:rPr>
        <w:t xml:space="preserve">.5.2 </w:t>
      </w:r>
      <w:r>
        <w:rPr>
          <w:rFonts w:hint="eastAsia" w:hAnsi="黑体"/>
          <w:kern w:val="2"/>
        </w:rPr>
        <w:t>平行实验</w:t>
      </w:r>
    </w:p>
    <w:p w14:paraId="2FBF1557">
      <w:pPr>
        <w:pStyle w:val="21"/>
        <w:adjustRightInd w:val="0"/>
        <w:snapToGrid w:val="0"/>
        <w:ind w:firstLine="420" w:firstLineChars="200"/>
        <w:rPr>
          <w:rFonts w:ascii="Times New Roman" w:hAnsi="Times New Roman"/>
          <w:szCs w:val="22"/>
        </w:rPr>
      </w:pPr>
      <w:r>
        <w:rPr>
          <w:rFonts w:hint="eastAsia" w:ascii="Times New Roman" w:hAnsi="Times New Roman"/>
          <w:szCs w:val="22"/>
        </w:rPr>
        <w:t>独立进行两次测定。</w:t>
      </w:r>
    </w:p>
    <w:p w14:paraId="63DB9F69">
      <w:pPr>
        <w:pStyle w:val="81"/>
        <w:numPr>
          <w:ilvl w:val="0"/>
          <w:numId w:val="0"/>
        </w:numPr>
        <w:spacing w:before="156" w:beforeLines="50" w:after="156" w:afterLines="50"/>
        <w:rPr>
          <w:rFonts w:ascii="Times New Roman"/>
          <w:color w:val="000000"/>
          <w:kern w:val="2"/>
        </w:rPr>
      </w:pPr>
      <w:r>
        <w:rPr>
          <w:rFonts w:hint="eastAsia" w:hAnsi="黑体"/>
          <w:color w:val="000000"/>
          <w:kern w:val="2"/>
        </w:rPr>
        <w:t>5.5</w:t>
      </w:r>
      <w:r>
        <w:rPr>
          <w:rFonts w:hAnsi="黑体"/>
          <w:color w:val="000000"/>
          <w:kern w:val="2"/>
        </w:rPr>
        <w:t>.</w:t>
      </w:r>
      <w:r>
        <w:rPr>
          <w:rFonts w:hint="eastAsia" w:hAnsi="黑体"/>
          <w:color w:val="000000"/>
          <w:kern w:val="2"/>
        </w:rPr>
        <w:t>3</w:t>
      </w:r>
      <w:r>
        <w:rPr>
          <w:rFonts w:hAnsi="黑体"/>
          <w:color w:val="000000"/>
          <w:kern w:val="2"/>
        </w:rPr>
        <w:t xml:space="preserve"> </w:t>
      </w:r>
      <w:r>
        <w:rPr>
          <w:rFonts w:hint="eastAsia" w:ascii="Times New Roman"/>
          <w:color w:val="000000"/>
          <w:kern w:val="2"/>
        </w:rPr>
        <w:t>空白试验</w:t>
      </w:r>
    </w:p>
    <w:p w14:paraId="679E0D59">
      <w:pPr>
        <w:pStyle w:val="21"/>
        <w:adjustRightInd w:val="0"/>
        <w:snapToGrid w:val="0"/>
        <w:ind w:firstLine="420" w:firstLineChars="200"/>
        <w:rPr>
          <w:rFonts w:ascii="Times New Roman" w:hAnsi="Times New Roman"/>
          <w:szCs w:val="22"/>
        </w:rPr>
      </w:pPr>
      <w:r>
        <w:rPr>
          <w:rFonts w:ascii="Times New Roman" w:hAnsi="Times New Roman"/>
          <w:szCs w:val="22"/>
        </w:rPr>
        <w:t>随同试料做空白试验。</w:t>
      </w:r>
    </w:p>
    <w:p w14:paraId="1C2BCC9F">
      <w:pPr>
        <w:pStyle w:val="81"/>
        <w:numPr>
          <w:ilvl w:val="0"/>
          <w:numId w:val="0"/>
        </w:numPr>
        <w:spacing w:before="156" w:beforeLines="50" w:after="156" w:afterLines="50"/>
        <w:rPr>
          <w:rFonts w:ascii="Times New Roman"/>
          <w:color w:val="000000"/>
          <w:kern w:val="2"/>
        </w:rPr>
      </w:pPr>
      <w:r>
        <w:rPr>
          <w:rFonts w:hint="eastAsia" w:hAnsi="黑体"/>
          <w:color w:val="000000"/>
          <w:kern w:val="2"/>
        </w:rPr>
        <w:t>5.5</w:t>
      </w:r>
      <w:r>
        <w:rPr>
          <w:rFonts w:hAnsi="黑体"/>
          <w:color w:val="000000"/>
          <w:kern w:val="2"/>
        </w:rPr>
        <w:t xml:space="preserve">.4 </w:t>
      </w:r>
      <w:r>
        <w:rPr>
          <w:rFonts w:hint="eastAsia" w:ascii="Times New Roman"/>
          <w:color w:val="000000"/>
          <w:kern w:val="2"/>
        </w:rPr>
        <w:t>分析试液的制备</w:t>
      </w:r>
    </w:p>
    <w:p w14:paraId="020F6484">
      <w:pPr>
        <w:pStyle w:val="47"/>
        <w:ind w:firstLine="420"/>
        <w:rPr>
          <w:rFonts w:ascii="Times New Roman"/>
          <w:szCs w:val="21"/>
        </w:rPr>
      </w:pPr>
      <w:r>
        <w:rPr>
          <w:rFonts w:hint="default" w:ascii="Times New Roman" w:hAnsi="Times New Roman" w:cs="Times New Roman"/>
          <w:szCs w:val="21"/>
        </w:rPr>
        <w:t>将试料（</w:t>
      </w:r>
      <w:r>
        <w:rPr>
          <w:rFonts w:hint="default" w:ascii="Times New Roman" w:hAnsi="Times New Roman" w:cs="Times New Roman"/>
          <w:szCs w:val="21"/>
          <w:lang w:val="en-US" w:eastAsia="zh-CN"/>
        </w:rPr>
        <w:t>5</w:t>
      </w:r>
      <w:r>
        <w:rPr>
          <w:rFonts w:hint="default" w:ascii="Times New Roman" w:hAnsi="Times New Roman" w:cs="Times New Roman"/>
          <w:szCs w:val="21"/>
        </w:rPr>
        <w:t>.</w:t>
      </w:r>
      <w:r>
        <w:rPr>
          <w:rFonts w:hint="default" w:ascii="Times New Roman" w:hAnsi="Times New Roman" w:cs="Times New Roman"/>
          <w:szCs w:val="21"/>
          <w:lang w:val="en-US" w:eastAsia="zh-CN"/>
        </w:rPr>
        <w:t>5</w:t>
      </w:r>
      <w:r>
        <w:rPr>
          <w:rFonts w:hint="default" w:ascii="Times New Roman" w:hAnsi="Times New Roman" w:cs="Times New Roman"/>
          <w:szCs w:val="21"/>
        </w:rPr>
        <w:t>.1）置于盛有3 g预先烘去水分的氢氧化钠（</w:t>
      </w:r>
      <w:r>
        <w:rPr>
          <w:rFonts w:hint="default" w:ascii="Times New Roman" w:hAnsi="Times New Roman" w:cs="Times New Roman"/>
          <w:szCs w:val="21"/>
          <w:lang w:val="en-US" w:eastAsia="zh-CN"/>
        </w:rPr>
        <w:t>5</w:t>
      </w:r>
      <w:r>
        <w:rPr>
          <w:rFonts w:hint="default" w:ascii="Times New Roman" w:hAnsi="Times New Roman" w:cs="Times New Roman"/>
          <w:szCs w:val="21"/>
        </w:rPr>
        <w:t>.2.</w:t>
      </w:r>
      <w:r>
        <w:rPr>
          <w:rFonts w:hint="default" w:ascii="Times New Roman" w:hAnsi="Times New Roman" w:cs="Times New Roman"/>
          <w:szCs w:val="21"/>
          <w:lang w:val="en-US" w:eastAsia="zh-CN"/>
        </w:rPr>
        <w:t>1</w:t>
      </w:r>
      <w:r>
        <w:rPr>
          <w:rFonts w:hint="default" w:ascii="Times New Roman" w:hAnsi="Times New Roman" w:cs="Times New Roman"/>
          <w:szCs w:val="21"/>
        </w:rPr>
        <w:t>）的刚玉坩埚中，覆盖1.5g过氧化钠（5.2.2），加热除去水分，摇动坩埚使试样散开，盖好坩埚盖，置于750℃马弗炉中</w:t>
      </w:r>
      <w:r>
        <w:rPr>
          <w:rFonts w:ascii="Times New Roman"/>
          <w:szCs w:val="21"/>
        </w:rPr>
        <w:t>熔融至缨红并保持5min~10min（中间取出摇动一次），取出稍冷。</w:t>
      </w:r>
    </w:p>
    <w:p w14:paraId="7B9E4DF2">
      <w:pPr>
        <w:pStyle w:val="47"/>
        <w:ind w:firstLine="420"/>
        <w:rPr>
          <w:rFonts w:ascii="Times New Roman"/>
          <w:szCs w:val="21"/>
        </w:rPr>
      </w:pPr>
      <w:r>
        <w:rPr>
          <w:rFonts w:ascii="Times New Roman"/>
          <w:szCs w:val="21"/>
        </w:rPr>
        <w:t>将坩埚置于盛有120mL热水的烧杯中浸取。待剧烈</w:t>
      </w:r>
      <w:r>
        <w:rPr>
          <w:rFonts w:hint="eastAsia" w:ascii="Times New Roman"/>
          <w:szCs w:val="21"/>
          <w:lang w:val="en-US" w:eastAsia="zh-CN"/>
        </w:rPr>
        <w:t>反应</w:t>
      </w:r>
      <w:r>
        <w:rPr>
          <w:rFonts w:ascii="Times New Roman"/>
          <w:szCs w:val="21"/>
        </w:rPr>
        <w:t>停止后，用水冲洗坩埚及外壁，加入2mL硝酸（</w:t>
      </w:r>
      <w:r>
        <w:rPr>
          <w:rFonts w:hint="eastAsia" w:ascii="Times New Roman"/>
          <w:szCs w:val="21"/>
        </w:rPr>
        <w:t>5.2</w:t>
      </w:r>
      <w:r>
        <w:rPr>
          <w:rFonts w:ascii="Times New Roman"/>
          <w:szCs w:val="21"/>
        </w:rPr>
        <w:t>.4）洗涤坩埚，用水洗净取出坩埚及坩埚盖，控制体积约150mL。加入30mL硝酸（</w:t>
      </w:r>
      <w:r>
        <w:rPr>
          <w:rFonts w:hint="eastAsia" w:ascii="Times New Roman"/>
          <w:szCs w:val="21"/>
        </w:rPr>
        <w:t>5.2</w:t>
      </w:r>
      <w:r>
        <w:rPr>
          <w:rFonts w:ascii="Times New Roman"/>
          <w:szCs w:val="21"/>
        </w:rPr>
        <w:t>.3），数滴过氧化氢（</w:t>
      </w:r>
      <w:r>
        <w:rPr>
          <w:rFonts w:hint="eastAsia" w:ascii="Times New Roman"/>
          <w:szCs w:val="21"/>
        </w:rPr>
        <w:t>5.2</w:t>
      </w:r>
      <w:r>
        <w:rPr>
          <w:rFonts w:ascii="Times New Roman"/>
          <w:szCs w:val="21"/>
        </w:rPr>
        <w:t>.5），将溶液煮沸2min，稍冷后将溶液移入200mL容量瓶中，用水稀释至刻度，混匀。根据含量按表1分取试液。</w:t>
      </w:r>
    </w:p>
    <w:p w14:paraId="31A03556">
      <w:pPr>
        <w:pStyle w:val="47"/>
        <w:autoSpaceDE/>
        <w:autoSpaceDN/>
        <w:spacing w:before="156" w:beforeLines="50" w:after="156" w:afterLines="50"/>
        <w:ind w:firstLine="0" w:firstLineChars="0"/>
        <w:rPr>
          <w:rFonts w:ascii="Times New Roman"/>
          <w:szCs w:val="21"/>
        </w:rPr>
      </w:pPr>
      <w:r>
        <w:rPr>
          <w:rFonts w:hint="eastAsia" w:ascii="黑体" w:hAnsi="黑体" w:eastAsia="黑体" w:cs="黑体"/>
          <w:szCs w:val="21"/>
        </w:rPr>
        <w:t>5.5.5 系列标准溶液的配制</w:t>
      </w:r>
    </w:p>
    <w:p w14:paraId="678EA968">
      <w:pPr>
        <w:pStyle w:val="47"/>
        <w:ind w:firstLine="420"/>
        <w:rPr>
          <w:rFonts w:ascii="Times New Roman"/>
          <w:szCs w:val="21"/>
        </w:rPr>
      </w:pPr>
      <w:r>
        <w:rPr>
          <w:rFonts w:hint="eastAsia" w:ascii="Times New Roman"/>
          <w:szCs w:val="21"/>
        </w:rPr>
        <w:t>分别移取五氧化二磷标准贮存溶液（5.2.7）0.25mL、0.50mL、1.00mL、2.50mL、5.00mL、10.00mL于50mL容量瓶中，配制成五氧化二磷浓度分别为0.50µg/mL、1.00µg/mL、2.00µg/mL、5.00µg/mL、10.00µg/mL、20.00µg/mL的系列标准溶液。</w:t>
      </w:r>
    </w:p>
    <w:p w14:paraId="79917DCE">
      <w:pPr>
        <w:pStyle w:val="47"/>
        <w:autoSpaceDE/>
        <w:autoSpaceDN/>
        <w:spacing w:before="156" w:beforeLines="50" w:after="156" w:afterLines="50"/>
        <w:ind w:firstLine="0" w:firstLineChars="0"/>
        <w:rPr>
          <w:rFonts w:ascii="Times New Roman"/>
          <w:szCs w:val="21"/>
        </w:rPr>
      </w:pPr>
      <w:r>
        <w:rPr>
          <w:rFonts w:hint="eastAsia" w:ascii="黑体" w:hAnsi="黑体" w:eastAsia="黑体" w:cs="黑体"/>
          <w:szCs w:val="21"/>
        </w:rPr>
        <w:t>5.5.6 测定</w:t>
      </w:r>
    </w:p>
    <w:p w14:paraId="54773385">
      <w:pPr>
        <w:pStyle w:val="47"/>
        <w:ind w:firstLine="0" w:firstLineChars="0"/>
        <w:rPr>
          <w:rFonts w:ascii="Times New Roman"/>
          <w:szCs w:val="21"/>
        </w:rPr>
      </w:pPr>
      <w:r>
        <w:rPr>
          <w:rFonts w:hint="eastAsia" w:ascii="黑体" w:hAnsi="黑体" w:eastAsia="黑体" w:cs="黑体"/>
          <w:szCs w:val="21"/>
        </w:rPr>
        <w:t xml:space="preserve">5.5.6.1 </w:t>
      </w:r>
      <w:r>
        <w:rPr>
          <w:rFonts w:hint="eastAsia" w:ascii="Times New Roman"/>
          <w:szCs w:val="21"/>
        </w:rPr>
        <w:t>推荐分析线波长见表5。</w:t>
      </w:r>
    </w:p>
    <w:p w14:paraId="5EEE34D5">
      <w:pPr>
        <w:jc w:val="center"/>
        <w:rPr>
          <w:rFonts w:hint="default" w:eastAsia="黑体"/>
          <w:color w:val="FF0000"/>
          <w:highlight w:val="yellow"/>
          <w:lang w:val="en-US" w:eastAsia="zh-CN"/>
        </w:rPr>
      </w:pPr>
      <w:r>
        <w:rPr>
          <w:rFonts w:hint="eastAsia" w:ascii="黑体" w:hAnsi="黑体" w:eastAsia="黑体" w:cs="黑体"/>
          <w:sz w:val="18"/>
          <w:szCs w:val="18"/>
        </w:rPr>
        <w:t>表5</w:t>
      </w:r>
      <w:r>
        <w:rPr>
          <w:rFonts w:hint="eastAsia" w:ascii="黑体" w:hAnsi="黑体" w:eastAsia="黑体" w:cs="黑体"/>
          <w:sz w:val="18"/>
          <w:szCs w:val="18"/>
          <w:lang w:val="en-US" w:eastAsia="zh-CN"/>
        </w:rPr>
        <w:t xml:space="preserve"> 推荐分析线</w:t>
      </w:r>
    </w:p>
    <w:tbl>
      <w:tblPr>
        <w:tblStyle w:val="32"/>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89"/>
        <w:gridCol w:w="2389"/>
        <w:gridCol w:w="2389"/>
        <w:gridCol w:w="2394"/>
      </w:tblGrid>
      <w:tr w14:paraId="74435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9" w:type="pct"/>
            <w:tcBorders>
              <w:top w:val="single" w:color="000000" w:sz="12" w:space="0"/>
              <w:left w:val="single" w:color="000000" w:sz="12" w:space="0"/>
              <w:bottom w:val="single" w:color="000000" w:sz="12" w:space="0"/>
              <w:right w:val="nil"/>
            </w:tcBorders>
            <w:vAlign w:val="center"/>
          </w:tcPr>
          <w:p w14:paraId="18E78D9C">
            <w:pPr>
              <w:jc w:val="center"/>
              <w:rPr>
                <w:color w:val="000000" w:themeColor="text1"/>
                <w14:textFill>
                  <w14:solidFill>
                    <w14:schemeClr w14:val="tx1"/>
                  </w14:solidFill>
                </w14:textFill>
              </w:rPr>
            </w:pPr>
            <w:r>
              <w:rPr>
                <w:sz w:val="18"/>
                <w:szCs w:val="18"/>
              </w:rPr>
              <w:t>元素</w:t>
            </w:r>
          </w:p>
        </w:tc>
        <w:tc>
          <w:tcPr>
            <w:tcW w:w="1249" w:type="pct"/>
            <w:tcBorders>
              <w:top w:val="single" w:color="000000" w:sz="12" w:space="0"/>
              <w:left w:val="nil"/>
              <w:bottom w:val="single" w:color="000000" w:sz="12" w:space="0"/>
              <w:right w:val="nil"/>
            </w:tcBorders>
            <w:vAlign w:val="center"/>
          </w:tcPr>
          <w:p w14:paraId="096332F8">
            <w:pPr>
              <w:jc w:val="center"/>
              <w:rPr>
                <w:color w:val="000000" w:themeColor="text1"/>
                <w:sz w:val="18"/>
                <w:szCs w:val="18"/>
                <w14:textFill>
                  <w14:solidFill>
                    <w14:schemeClr w14:val="tx1"/>
                  </w14:solidFill>
                </w14:textFill>
              </w:rPr>
            </w:pPr>
            <w:r>
              <w:rPr>
                <w:sz w:val="18"/>
                <w:szCs w:val="18"/>
              </w:rPr>
              <w:t>推荐分析线（nm）（径向）</w:t>
            </w:r>
          </w:p>
        </w:tc>
        <w:tc>
          <w:tcPr>
            <w:tcW w:w="1249" w:type="pct"/>
            <w:tcBorders>
              <w:top w:val="single" w:color="000000" w:sz="12" w:space="0"/>
              <w:left w:val="nil"/>
              <w:bottom w:val="single" w:color="000000" w:sz="12" w:space="0"/>
              <w:right w:val="nil"/>
            </w:tcBorders>
            <w:vAlign w:val="center"/>
          </w:tcPr>
          <w:p w14:paraId="1EF0E75D">
            <w:pPr>
              <w:jc w:val="center"/>
              <w:rPr>
                <w:color w:val="000000" w:themeColor="text1"/>
                <w:sz w:val="18"/>
                <w:szCs w:val="18"/>
                <w14:textFill>
                  <w14:solidFill>
                    <w14:schemeClr w14:val="tx1"/>
                  </w14:solidFill>
                </w14:textFill>
              </w:rPr>
            </w:pPr>
            <w:r>
              <w:rPr>
                <w:sz w:val="18"/>
                <w:szCs w:val="18"/>
              </w:rPr>
              <w:t>元素</w:t>
            </w:r>
          </w:p>
        </w:tc>
        <w:tc>
          <w:tcPr>
            <w:tcW w:w="1251" w:type="pct"/>
            <w:tcBorders>
              <w:top w:val="single" w:color="000000" w:sz="12" w:space="0"/>
              <w:left w:val="nil"/>
              <w:bottom w:val="single" w:color="000000" w:sz="12" w:space="0"/>
              <w:right w:val="single" w:color="000000" w:sz="12" w:space="0"/>
            </w:tcBorders>
            <w:vAlign w:val="center"/>
          </w:tcPr>
          <w:p w14:paraId="4FEF9386">
            <w:pPr>
              <w:jc w:val="center"/>
              <w:rPr>
                <w:color w:val="000000" w:themeColor="text1"/>
                <w:sz w:val="18"/>
                <w:szCs w:val="18"/>
                <w14:textFill>
                  <w14:solidFill>
                    <w14:schemeClr w14:val="tx1"/>
                  </w14:solidFill>
                </w14:textFill>
              </w:rPr>
            </w:pPr>
            <w:r>
              <w:rPr>
                <w:sz w:val="18"/>
                <w:szCs w:val="18"/>
              </w:rPr>
              <w:t>推荐谱线（nm）（轴向）</w:t>
            </w:r>
          </w:p>
        </w:tc>
      </w:tr>
      <w:tr w14:paraId="15626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9" w:type="pct"/>
            <w:tcBorders>
              <w:top w:val="nil"/>
              <w:left w:val="single" w:color="000000" w:sz="12" w:space="0"/>
              <w:bottom w:val="single" w:color="000000" w:sz="12" w:space="0"/>
              <w:right w:val="nil"/>
            </w:tcBorders>
            <w:vAlign w:val="center"/>
          </w:tcPr>
          <w:p w14:paraId="4D00EA23">
            <w:pPr>
              <w:jc w:val="center"/>
              <w:rPr>
                <w:color w:val="000000" w:themeColor="text1"/>
                <w:sz w:val="18"/>
                <w:szCs w:val="18"/>
                <w14:textFill>
                  <w14:solidFill>
                    <w14:schemeClr w14:val="tx1"/>
                  </w14:solidFill>
                </w14:textFill>
              </w:rPr>
            </w:pPr>
            <w:r>
              <w:rPr>
                <w:sz w:val="18"/>
                <w:szCs w:val="18"/>
              </w:rPr>
              <w:t>P</w:t>
            </w:r>
          </w:p>
        </w:tc>
        <w:tc>
          <w:tcPr>
            <w:tcW w:w="1249" w:type="pct"/>
            <w:tcBorders>
              <w:top w:val="nil"/>
              <w:left w:val="nil"/>
              <w:bottom w:val="single" w:color="000000" w:sz="12" w:space="0"/>
              <w:right w:val="nil"/>
            </w:tcBorders>
            <w:vAlign w:val="center"/>
          </w:tcPr>
          <w:p w14:paraId="66F225C4">
            <w:pPr>
              <w:jc w:val="center"/>
              <w:rPr>
                <w:color w:val="000000" w:themeColor="text1"/>
                <w:sz w:val="18"/>
                <w:szCs w:val="18"/>
                <w14:textFill>
                  <w14:solidFill>
                    <w14:schemeClr w14:val="tx1"/>
                  </w14:solidFill>
                </w14:textFill>
              </w:rPr>
            </w:pPr>
            <w:r>
              <w:t>214.914，213.618</w:t>
            </w:r>
          </w:p>
        </w:tc>
        <w:tc>
          <w:tcPr>
            <w:tcW w:w="1249" w:type="pct"/>
            <w:tcBorders>
              <w:top w:val="nil"/>
              <w:left w:val="nil"/>
              <w:bottom w:val="single" w:color="000000" w:sz="12" w:space="0"/>
              <w:right w:val="nil"/>
            </w:tcBorders>
            <w:vAlign w:val="center"/>
          </w:tcPr>
          <w:p w14:paraId="004BEBBF">
            <w:pPr>
              <w:jc w:val="center"/>
              <w:rPr>
                <w:color w:val="000000" w:themeColor="text1"/>
                <w:sz w:val="18"/>
                <w:szCs w:val="18"/>
                <w14:textFill>
                  <w14:solidFill>
                    <w14:schemeClr w14:val="tx1"/>
                  </w14:solidFill>
                </w14:textFill>
              </w:rPr>
            </w:pPr>
            <w:r>
              <w:rPr>
                <w:sz w:val="18"/>
                <w:szCs w:val="18"/>
              </w:rPr>
              <w:t>P</w:t>
            </w:r>
          </w:p>
        </w:tc>
        <w:tc>
          <w:tcPr>
            <w:tcW w:w="1251" w:type="pct"/>
            <w:tcBorders>
              <w:top w:val="nil"/>
              <w:left w:val="nil"/>
              <w:bottom w:val="single" w:color="000000" w:sz="12" w:space="0"/>
              <w:right w:val="single" w:color="000000" w:sz="12" w:space="0"/>
            </w:tcBorders>
            <w:vAlign w:val="center"/>
          </w:tcPr>
          <w:p w14:paraId="33E42D67">
            <w:pPr>
              <w:jc w:val="center"/>
              <w:rPr>
                <w:color w:val="000000" w:themeColor="text1"/>
                <w:sz w:val="18"/>
                <w:szCs w:val="18"/>
                <w14:textFill>
                  <w14:solidFill>
                    <w14:schemeClr w14:val="tx1"/>
                  </w14:solidFill>
                </w14:textFill>
              </w:rPr>
            </w:pPr>
            <w:r>
              <w:t>178.222，185.827，214.914，213.618</w:t>
            </w:r>
          </w:p>
        </w:tc>
      </w:tr>
    </w:tbl>
    <w:p w14:paraId="77814A5E">
      <w:pPr>
        <w:pStyle w:val="47"/>
        <w:ind w:firstLine="0" w:firstLineChars="0"/>
        <w:rPr>
          <w:rFonts w:ascii="黑体" w:hAnsi="黑体" w:eastAsia="黑体" w:cs="黑体"/>
          <w:szCs w:val="21"/>
        </w:rPr>
      </w:pPr>
    </w:p>
    <w:p w14:paraId="7BD22EF1">
      <w:pPr>
        <w:pStyle w:val="47"/>
        <w:ind w:firstLine="0" w:firstLineChars="0"/>
        <w:rPr>
          <w:rFonts w:ascii="Times New Roman"/>
          <w:kern w:val="2"/>
          <w:szCs w:val="21"/>
        </w:rPr>
      </w:pPr>
      <w:r>
        <w:rPr>
          <w:rFonts w:hint="eastAsia" w:ascii="黑体" w:hAnsi="黑体" w:eastAsia="黑体" w:cs="黑体"/>
          <w:szCs w:val="21"/>
        </w:rPr>
        <w:t xml:space="preserve">5.5.6.1 </w:t>
      </w:r>
      <w:r>
        <w:rPr>
          <w:rFonts w:hint="eastAsia" w:ascii="Times New Roman"/>
          <w:szCs w:val="21"/>
        </w:rPr>
        <w:t>将分析试液（5.5.4）、空白试液（5.5.3）与系列标准溶液（5.5.5）同时进行氩等离子体光谱测定。</w:t>
      </w:r>
    </w:p>
    <w:p w14:paraId="32C46E2F">
      <w:pPr>
        <w:pStyle w:val="74"/>
        <w:numPr>
          <w:ilvl w:val="0"/>
          <w:numId w:val="0"/>
        </w:numPr>
        <w:spacing w:before="156" w:after="156"/>
        <w:rPr>
          <w:rFonts w:ascii="Times New Roman"/>
          <w:color w:val="000000"/>
        </w:rPr>
      </w:pPr>
      <w:r>
        <w:rPr>
          <w:rFonts w:hint="eastAsia" w:hAnsi="黑体" w:cs="黑体"/>
          <w:color w:val="000000"/>
        </w:rPr>
        <w:t>5.6</w:t>
      </w:r>
      <w:r>
        <w:rPr>
          <w:rFonts w:ascii="Times New Roman"/>
          <w:color w:val="000000"/>
        </w:rPr>
        <w:t>　试验数据处理</w:t>
      </w:r>
    </w:p>
    <w:p w14:paraId="084FDBD2">
      <w:pPr>
        <w:pStyle w:val="47"/>
        <w:ind w:firstLine="420"/>
        <w:jc w:val="left"/>
        <w:rPr>
          <w:rFonts w:ascii="Times New Roman" w:hAnsi="宋体"/>
          <w:kern w:val="2"/>
          <w:szCs w:val="21"/>
        </w:rPr>
      </w:pPr>
      <w:r>
        <w:rPr>
          <w:rFonts w:hint="eastAsia" w:ascii="Times New Roman"/>
          <w:lang w:val="en-US" w:eastAsia="zh-CN"/>
        </w:rPr>
        <w:t>五氧化二磷</w:t>
      </w:r>
      <w:r>
        <w:rPr>
          <w:rFonts w:hint="eastAsia" w:ascii="Times New Roman"/>
        </w:rPr>
        <w:t>含量以质量分数</w:t>
      </w:r>
      <w:r>
        <w:rPr>
          <w:rFonts w:hint="eastAsia" w:hAnsi="宋体"/>
          <w:i/>
        </w:rPr>
        <w:t>w</w:t>
      </w:r>
      <w:r>
        <w:rPr>
          <w:rFonts w:hint="eastAsia" w:hAnsi="宋体"/>
        </w:rPr>
        <w:t>计，</w:t>
      </w:r>
      <w:r>
        <w:rPr>
          <w:rFonts w:hint="eastAsia" w:ascii="Times New Roman" w:hAnsi="宋体"/>
          <w:kern w:val="2"/>
          <w:szCs w:val="21"/>
        </w:rPr>
        <w:t>按公式（2）</w:t>
      </w:r>
      <w:r>
        <w:rPr>
          <w:rFonts w:ascii="Times New Roman" w:hAnsi="宋体"/>
          <w:kern w:val="2"/>
          <w:szCs w:val="21"/>
        </w:rPr>
        <w:t>计算：</w:t>
      </w:r>
    </w:p>
    <w:p w14:paraId="79D933D8">
      <w:pPr>
        <w:pStyle w:val="47"/>
        <w:ind w:firstLine="480"/>
        <w:jc w:val="center"/>
        <w:rPr>
          <w:rFonts w:ascii="Times New Roman"/>
          <w:highlight w:val="yellow"/>
        </w:rPr>
      </w:pPr>
      <w:r>
        <w:rPr>
          <w:rFonts w:ascii="Times New Roman"/>
          <w:position w:val="-30"/>
          <w:sz w:val="24"/>
          <w:szCs w:val="24"/>
        </w:rPr>
        <w:object>
          <v:shape id="_x0000_i1026" o:spt="75" type="#_x0000_t75" style="height:30.75pt;width:157.75pt;" o:ole="t" filled="f" o:preferrelative="t" stroked="f" coordsize="21600,21600">
            <v:path/>
            <v:fill on="f" focussize="0,0"/>
            <v:stroke on="f"/>
            <v:imagedata r:id="rId17" o:title=""/>
            <o:lock v:ext="edit" aspectratio="t"/>
            <w10:wrap type="none"/>
            <w10:anchorlock/>
          </v:shape>
          <o:OLEObject Type="Embed" ProgID="Equation.3" ShapeID="_x0000_i1026" DrawAspect="Content" ObjectID="_1468075726" r:id="rId16">
            <o:LockedField>false</o:LockedField>
          </o:OLEObject>
        </w:object>
      </w:r>
      <w:r>
        <w:rPr>
          <w:rFonts w:ascii="Times New Roman"/>
        </w:rPr>
        <w:t>…………………（</w:t>
      </w:r>
      <w:r>
        <w:rPr>
          <w:rFonts w:hint="eastAsia" w:ascii="Times New Roman"/>
        </w:rPr>
        <w:t>2</w:t>
      </w:r>
      <w:r>
        <w:rPr>
          <w:rFonts w:ascii="Times New Roman"/>
        </w:rPr>
        <w:t>）</w:t>
      </w:r>
    </w:p>
    <w:p w14:paraId="34B3FEA1">
      <w:pPr>
        <w:pStyle w:val="47"/>
        <w:ind w:firstLine="420"/>
        <w:rPr>
          <w:rFonts w:ascii="Times New Roman"/>
        </w:rPr>
      </w:pPr>
      <w:r>
        <w:rPr>
          <w:rFonts w:ascii="Times New Roman"/>
        </w:rPr>
        <w:t>式中：</w:t>
      </w:r>
    </w:p>
    <w:p w14:paraId="2F1DFD8E">
      <w:pPr>
        <w:adjustRightInd w:val="0"/>
        <w:snapToGrid w:val="0"/>
        <w:ind w:firstLine="444" w:firstLineChars="200"/>
        <w:rPr>
          <w:spacing w:val="6"/>
          <w:szCs w:val="21"/>
        </w:rPr>
      </w:pPr>
      <w:r>
        <w:rPr>
          <w:i/>
          <w:spacing w:val="6"/>
          <w:szCs w:val="21"/>
        </w:rPr>
        <w:t>ρ</w:t>
      </w:r>
      <w:r>
        <w:rPr>
          <w:spacing w:val="6"/>
          <w:szCs w:val="21"/>
          <w:vertAlign w:val="subscript"/>
        </w:rPr>
        <w:t>1</w:t>
      </w:r>
      <w:r>
        <w:rPr>
          <w:i/>
          <w:spacing w:val="6"/>
          <w:szCs w:val="21"/>
          <w:vertAlign w:val="subscript"/>
        </w:rPr>
        <w:t xml:space="preserve"> </w:t>
      </w:r>
      <w:r>
        <w:rPr>
          <w:spacing w:val="6"/>
          <w:szCs w:val="21"/>
        </w:rPr>
        <w:t>——样品溶液中五氧化二磷的质量浓度，单位为微克每毫升（μg/mL）；</w:t>
      </w:r>
    </w:p>
    <w:p w14:paraId="2498C2AD">
      <w:pPr>
        <w:adjustRightInd w:val="0"/>
        <w:snapToGrid w:val="0"/>
        <w:ind w:firstLine="444" w:firstLineChars="200"/>
        <w:rPr>
          <w:spacing w:val="6"/>
          <w:szCs w:val="21"/>
        </w:rPr>
      </w:pPr>
      <w:r>
        <w:rPr>
          <w:i/>
          <w:spacing w:val="6"/>
          <w:szCs w:val="21"/>
        </w:rPr>
        <w:t>ρ</w:t>
      </w:r>
      <w:r>
        <w:rPr>
          <w:spacing w:val="6"/>
          <w:szCs w:val="21"/>
          <w:vertAlign w:val="subscript"/>
        </w:rPr>
        <w:t xml:space="preserve">2 </w:t>
      </w:r>
      <w:r>
        <w:rPr>
          <w:spacing w:val="6"/>
          <w:szCs w:val="21"/>
        </w:rPr>
        <w:t>——空白溶液中五氧化二磷的质量浓度，单位为微克每毫升（μg/mL）；</w:t>
      </w:r>
    </w:p>
    <w:p w14:paraId="4D0BB687">
      <w:pPr>
        <w:adjustRightInd w:val="0"/>
        <w:snapToGrid w:val="0"/>
        <w:ind w:firstLine="420"/>
        <w:rPr>
          <w:spacing w:val="6"/>
          <w:szCs w:val="21"/>
        </w:rPr>
      </w:pPr>
      <w:r>
        <w:rPr>
          <w:i/>
          <w:spacing w:val="6"/>
          <w:szCs w:val="21"/>
        </w:rPr>
        <w:t>V</w:t>
      </w:r>
      <w:r>
        <w:rPr>
          <w:rFonts w:hint="eastAsia"/>
          <w:spacing w:val="6"/>
          <w:szCs w:val="21"/>
          <w:vertAlign w:val="subscript"/>
          <w:lang w:val="en-US" w:eastAsia="zh-CN"/>
        </w:rPr>
        <w:t>2</w:t>
      </w:r>
      <w:r>
        <w:rPr>
          <w:spacing w:val="6"/>
          <w:szCs w:val="21"/>
          <w:vertAlign w:val="subscript"/>
        </w:rPr>
        <w:t xml:space="preserve"> </w:t>
      </w:r>
      <w:r>
        <w:rPr>
          <w:spacing w:val="6"/>
          <w:szCs w:val="21"/>
        </w:rPr>
        <w:t>——试液总体积，单位为毫升（mL）；</w:t>
      </w:r>
    </w:p>
    <w:p w14:paraId="5DC3913C">
      <w:pPr>
        <w:adjustRightInd w:val="0"/>
        <w:snapToGrid w:val="0"/>
        <w:ind w:firstLine="420"/>
        <w:rPr>
          <w:spacing w:val="6"/>
          <w:szCs w:val="21"/>
        </w:rPr>
      </w:pPr>
      <w:r>
        <w:rPr>
          <w:i/>
          <w:spacing w:val="6"/>
          <w:szCs w:val="21"/>
        </w:rPr>
        <w:t>V</w:t>
      </w:r>
      <w:r>
        <w:rPr>
          <w:rFonts w:hint="eastAsia"/>
          <w:spacing w:val="6"/>
          <w:szCs w:val="21"/>
          <w:vertAlign w:val="subscript"/>
          <w:lang w:val="en-US" w:eastAsia="zh-CN"/>
        </w:rPr>
        <w:t>3</w:t>
      </w:r>
      <w:r>
        <w:rPr>
          <w:spacing w:val="6"/>
          <w:szCs w:val="21"/>
          <w:vertAlign w:val="subscript"/>
        </w:rPr>
        <w:t xml:space="preserve"> </w:t>
      </w:r>
      <w:r>
        <w:rPr>
          <w:spacing w:val="6"/>
          <w:szCs w:val="21"/>
        </w:rPr>
        <w:t>——分析试液体积，单位为毫升（mL）；</w:t>
      </w:r>
    </w:p>
    <w:p w14:paraId="5E31B885">
      <w:pPr>
        <w:adjustRightInd w:val="0"/>
        <w:snapToGrid w:val="0"/>
        <w:ind w:firstLine="444" w:firstLineChars="200"/>
        <w:rPr>
          <w:spacing w:val="6"/>
          <w:szCs w:val="21"/>
        </w:rPr>
      </w:pPr>
      <w:r>
        <w:rPr>
          <w:rFonts w:hint="eastAsia"/>
          <w:i/>
          <w:spacing w:val="6"/>
          <w:szCs w:val="21"/>
          <w:vertAlign w:val="baseline"/>
          <w:lang w:val="en-US" w:eastAsia="zh-CN"/>
        </w:rPr>
        <w:t>m</w:t>
      </w:r>
      <w:r>
        <w:rPr>
          <w:rFonts w:hint="eastAsia"/>
          <w:i w:val="0"/>
          <w:iCs/>
          <w:spacing w:val="6"/>
          <w:szCs w:val="21"/>
          <w:vertAlign w:val="subscript"/>
          <w:lang w:val="en-US" w:eastAsia="zh-CN"/>
        </w:rPr>
        <w:t>2</w:t>
      </w:r>
      <w:r>
        <w:rPr>
          <w:i/>
          <w:spacing w:val="6"/>
          <w:szCs w:val="21"/>
        </w:rPr>
        <w:t xml:space="preserve"> </w:t>
      </w:r>
      <w:r>
        <w:rPr>
          <w:spacing w:val="6"/>
          <w:szCs w:val="21"/>
        </w:rPr>
        <w:t>——样品的质量，单位为克（g）。</w:t>
      </w:r>
    </w:p>
    <w:p w14:paraId="00DBC0C1">
      <w:pPr>
        <w:pStyle w:val="47"/>
        <w:ind w:firstLine="444"/>
        <w:rPr>
          <w:rFonts w:ascii="Times New Roman"/>
          <w:kern w:val="2"/>
          <w:szCs w:val="21"/>
        </w:rPr>
      </w:pPr>
      <w:r>
        <w:rPr>
          <w:rFonts w:ascii="Times New Roman"/>
          <w:i/>
          <w:spacing w:val="6"/>
          <w:szCs w:val="21"/>
        </w:rPr>
        <w:t>V</w:t>
      </w:r>
      <w:r>
        <w:rPr>
          <w:rFonts w:hint="eastAsia" w:ascii="Times New Roman"/>
          <w:spacing w:val="6"/>
          <w:szCs w:val="21"/>
          <w:vertAlign w:val="subscript"/>
          <w:lang w:val="en-US" w:eastAsia="zh-CN"/>
        </w:rPr>
        <w:t>4</w:t>
      </w:r>
      <w:r>
        <w:rPr>
          <w:rFonts w:ascii="Times New Roman"/>
          <w:spacing w:val="6"/>
          <w:szCs w:val="21"/>
          <w:vertAlign w:val="subscript"/>
        </w:rPr>
        <w:t xml:space="preserve"> </w:t>
      </w:r>
      <w:r>
        <w:rPr>
          <w:rFonts w:ascii="Times New Roman"/>
          <w:spacing w:val="6"/>
          <w:szCs w:val="21"/>
        </w:rPr>
        <w:t>——移取试液体积，单位为毫升（mL）；</w:t>
      </w:r>
    </w:p>
    <w:p w14:paraId="2C728143">
      <w:pPr>
        <w:adjustRightInd w:val="0"/>
        <w:snapToGrid w:val="0"/>
        <w:ind w:firstLine="420" w:firstLineChars="200"/>
        <w:rPr>
          <w:spacing w:val="6"/>
          <w:szCs w:val="21"/>
        </w:rPr>
      </w:pPr>
      <w:r>
        <w:rPr>
          <w:rFonts w:hint="eastAsia"/>
          <w:szCs w:val="21"/>
        </w:rPr>
        <w:t>两次平行测定结果的绝对差值不大于表</w:t>
      </w:r>
      <w:r>
        <w:rPr>
          <w:rFonts w:hint="eastAsia"/>
          <w:szCs w:val="21"/>
          <w:lang w:val="en-US" w:eastAsia="zh-CN"/>
        </w:rPr>
        <w:t>6</w:t>
      </w:r>
      <w:r>
        <w:rPr>
          <w:rFonts w:hint="eastAsia"/>
          <w:szCs w:val="21"/>
        </w:rPr>
        <w:t>中相应重复性限时，取其平均值作为测定结果。保留至小数点后两位，数值修约按</w:t>
      </w:r>
      <w:r>
        <w:rPr>
          <w:spacing w:val="6"/>
        </w:rPr>
        <w:t>GB/T 8170</w:t>
      </w:r>
      <w:r>
        <w:rPr>
          <w:rFonts w:hint="eastAsia"/>
          <w:szCs w:val="21"/>
        </w:rPr>
        <w:t>的规定执行。</w:t>
      </w:r>
    </w:p>
    <w:p w14:paraId="21A5100F">
      <w:pPr>
        <w:pStyle w:val="74"/>
        <w:numPr>
          <w:ilvl w:val="0"/>
          <w:numId w:val="0"/>
        </w:numPr>
        <w:spacing w:before="156" w:after="156"/>
      </w:pPr>
      <w:r>
        <w:rPr>
          <w:rFonts w:hint="eastAsia" w:hAnsi="黑体" w:cs="黑体"/>
          <w:color w:val="000000"/>
          <w:lang w:val="en-US" w:eastAsia="zh-CN"/>
        </w:rPr>
        <w:t>5</w:t>
      </w:r>
      <w:r>
        <w:rPr>
          <w:rFonts w:hint="eastAsia" w:hAnsi="黑体" w:cs="黑体"/>
          <w:color w:val="000000"/>
        </w:rPr>
        <w:t>.7</w:t>
      </w:r>
      <w:r>
        <w:rPr>
          <w:rFonts w:ascii="Times New Roman"/>
          <w:color w:val="000000"/>
        </w:rPr>
        <w:t>　精密度</w:t>
      </w:r>
    </w:p>
    <w:p w14:paraId="0AF3B772">
      <w:pPr>
        <w:pStyle w:val="47"/>
        <w:ind w:firstLine="420"/>
      </w:pPr>
      <w:r>
        <w:rPr>
          <w:rFonts w:ascii="Times New Roman"/>
        </w:rPr>
        <w:t>精密度结果根据2024年，6家实验室对稀土精矿7个不同水平样品协同试验确定。每个实验室对每个水平样</w:t>
      </w:r>
      <w:r>
        <w:rPr>
          <w:rFonts w:hint="eastAsia" w:ascii="Times New Roman"/>
        </w:rPr>
        <w:t>品的</w:t>
      </w:r>
      <w:r>
        <w:rPr>
          <w:rFonts w:hint="eastAsia" w:ascii="Times New Roman"/>
          <w:lang w:val="en-US" w:eastAsia="zh-CN"/>
        </w:rPr>
        <w:t>五氧化二磷</w:t>
      </w:r>
      <w:r>
        <w:rPr>
          <w:rFonts w:hint="eastAsia" w:ascii="Times New Roman"/>
        </w:rPr>
        <w:t>量</w:t>
      </w:r>
      <w:r>
        <w:rPr>
          <w:rFonts w:ascii="Times New Roman"/>
        </w:rPr>
        <w:t>在重复性条件下独立测定11次。试验数据按GB/T 6379.2进行统计分析。</w:t>
      </w:r>
    </w:p>
    <w:p w14:paraId="6A923D1C">
      <w:pPr>
        <w:snapToGrid w:val="0"/>
        <w:spacing w:before="156" w:beforeLines="50" w:after="156" w:afterLines="50"/>
        <w:rPr>
          <w:rFonts w:ascii="宋体" w:hAnsi="宋体" w:cs="宋体"/>
        </w:rPr>
      </w:pPr>
      <w:r>
        <w:rPr>
          <w:rFonts w:hint="eastAsia" w:ascii="黑体" w:hAnsi="黑体" w:eastAsia="黑体"/>
          <w:color w:val="000000"/>
          <w:szCs w:val="22"/>
          <w:lang w:val="en-US" w:eastAsia="zh-CN"/>
        </w:rPr>
        <w:t>5</w:t>
      </w:r>
      <w:r>
        <w:rPr>
          <w:rFonts w:hint="eastAsia" w:ascii="黑体" w:hAnsi="黑体" w:eastAsia="黑体"/>
          <w:color w:val="000000"/>
          <w:szCs w:val="22"/>
        </w:rPr>
        <w:t>.7</w:t>
      </w:r>
      <w:r>
        <w:rPr>
          <w:rFonts w:ascii="黑体" w:hAnsi="黑体" w:eastAsia="黑体"/>
          <w:color w:val="000000"/>
          <w:szCs w:val="22"/>
        </w:rPr>
        <w:t>.1　</w:t>
      </w:r>
      <w:r>
        <w:rPr>
          <w:rFonts w:hint="eastAsia" w:ascii="黑体" w:hAnsi="黑体" w:eastAsia="黑体"/>
          <w:color w:val="000000"/>
          <w:szCs w:val="22"/>
        </w:rPr>
        <w:t>重复性</w:t>
      </w:r>
    </w:p>
    <w:p w14:paraId="6CE7BFA3">
      <w:pPr>
        <w:snapToGrid w:val="0"/>
        <w:ind w:firstLine="420" w:firstLineChars="200"/>
      </w:pPr>
      <w:r>
        <w:t>在重复性条件下获得的两次独立测试结果的的绝对差值不超过重复性限（</w:t>
      </w:r>
      <w:r>
        <w:rPr>
          <w:i/>
          <w:iCs/>
        </w:rPr>
        <w:t>r</w:t>
      </w:r>
      <w:r>
        <w:t>），超过重复性限（</w:t>
      </w:r>
      <w:r>
        <w:rPr>
          <w:i/>
          <w:iCs/>
        </w:rPr>
        <w:t>r</w:t>
      </w:r>
      <w:r>
        <w:t>）的情况不超过5%，重复性限（</w:t>
      </w:r>
      <w:r>
        <w:rPr>
          <w:i/>
          <w:iCs/>
        </w:rPr>
        <w:t>r</w:t>
      </w:r>
      <w:r>
        <w:t>）按表</w:t>
      </w:r>
      <w:r>
        <w:rPr>
          <w:rFonts w:hint="eastAsia"/>
        </w:rPr>
        <w:t>8</w:t>
      </w:r>
      <w:r>
        <w:t>数据采用线性内插法或外延法求得。</w:t>
      </w:r>
    </w:p>
    <w:p w14:paraId="308CD730">
      <w:pPr>
        <w:jc w:val="center"/>
        <w:rPr>
          <w:rFonts w:hint="eastAsia" w:eastAsia="黑体"/>
          <w:lang w:val="en-US" w:eastAsia="zh-CN"/>
        </w:rPr>
      </w:pPr>
      <w:r>
        <w:rPr>
          <w:rFonts w:eastAsia="黑体"/>
          <w:sz w:val="18"/>
          <w:szCs w:val="18"/>
        </w:rPr>
        <w:t>表</w:t>
      </w:r>
      <w:r>
        <w:rPr>
          <w:rFonts w:hint="eastAsia" w:ascii="黑体" w:hAnsi="黑体" w:eastAsia="黑体" w:cs="黑体"/>
          <w:sz w:val="18"/>
          <w:szCs w:val="18"/>
        </w:rPr>
        <w:t>6</w:t>
      </w:r>
      <w:r>
        <w:rPr>
          <w:rFonts w:hint="eastAsia" w:ascii="黑体" w:hAnsi="黑体" w:eastAsia="黑体" w:cs="黑体"/>
          <w:sz w:val="18"/>
          <w:szCs w:val="18"/>
          <w:lang w:val="en-US" w:eastAsia="zh-CN"/>
        </w:rPr>
        <w:t xml:space="preserve"> 重复性限（</w:t>
      </w:r>
      <w:r>
        <w:rPr>
          <w:rFonts w:hint="eastAsia" w:ascii="黑体" w:hAnsi="黑体" w:eastAsia="黑体" w:cs="黑体"/>
          <w:i/>
          <w:iCs/>
          <w:sz w:val="18"/>
          <w:szCs w:val="18"/>
          <w:lang w:val="en-US" w:eastAsia="zh-CN"/>
        </w:rPr>
        <w:t>r</w:t>
      </w:r>
      <w:r>
        <w:rPr>
          <w:rFonts w:hint="eastAsia" w:ascii="黑体" w:hAnsi="黑体" w:eastAsia="黑体" w:cs="黑体"/>
          <w:sz w:val="18"/>
          <w:szCs w:val="18"/>
          <w:lang w:val="en-US" w:eastAsia="zh-CN"/>
        </w:rPr>
        <w:t xml:space="preserve">） </w:t>
      </w:r>
    </w:p>
    <w:tbl>
      <w:tblPr>
        <w:tblStyle w:val="31"/>
        <w:tblW w:w="492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00"/>
        <w:gridCol w:w="4718"/>
      </w:tblGrid>
      <w:tr w14:paraId="7728D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2495" w:type="pct"/>
            <w:tcBorders>
              <w:bottom w:val="single" w:color="auto" w:sz="12" w:space="0"/>
              <w:right w:val="nil"/>
            </w:tcBorders>
            <w:vAlign w:val="center"/>
          </w:tcPr>
          <w:p w14:paraId="3F44A7BC">
            <w:pPr>
              <w:jc w:val="center"/>
              <w:rPr>
                <w:sz w:val="18"/>
                <w:szCs w:val="18"/>
              </w:rPr>
            </w:pPr>
            <w:r>
              <w:rPr>
                <w:rFonts w:hint="eastAsia"/>
                <w:sz w:val="18"/>
                <w:szCs w:val="18"/>
                <w:lang w:val="en-US" w:eastAsia="zh-CN"/>
              </w:rPr>
              <w:t>五氧化二磷</w:t>
            </w:r>
            <w:r>
              <w:rPr>
                <w:sz w:val="18"/>
                <w:szCs w:val="18"/>
              </w:rPr>
              <w:t>质量分数/%</w:t>
            </w:r>
          </w:p>
        </w:tc>
        <w:tc>
          <w:tcPr>
            <w:tcW w:w="2504" w:type="pct"/>
            <w:tcBorders>
              <w:left w:val="nil"/>
              <w:bottom w:val="single" w:color="auto" w:sz="12" w:space="0"/>
            </w:tcBorders>
            <w:vAlign w:val="center"/>
          </w:tcPr>
          <w:p w14:paraId="2E89AD0B">
            <w:pPr>
              <w:jc w:val="center"/>
              <w:rPr>
                <w:sz w:val="18"/>
                <w:szCs w:val="18"/>
              </w:rPr>
            </w:pPr>
            <w:r>
              <w:rPr>
                <w:sz w:val="18"/>
                <w:szCs w:val="18"/>
              </w:rPr>
              <w:t>重复性限(</w:t>
            </w:r>
            <w:r>
              <w:rPr>
                <w:i/>
                <w:sz w:val="18"/>
                <w:szCs w:val="18"/>
              </w:rPr>
              <w:t>r</w:t>
            </w:r>
            <w:r>
              <w:rPr>
                <w:sz w:val="18"/>
                <w:szCs w:val="18"/>
              </w:rPr>
              <w:t>)%</w:t>
            </w:r>
          </w:p>
        </w:tc>
      </w:tr>
      <w:tr w14:paraId="0E5D8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2495" w:type="pct"/>
            <w:tcBorders>
              <w:top w:val="single" w:color="auto" w:sz="12" w:space="0"/>
              <w:bottom w:val="nil"/>
              <w:right w:val="nil"/>
            </w:tcBorders>
            <w:shd w:val="clear" w:color="auto" w:fill="auto"/>
            <w:vAlign w:val="center"/>
          </w:tcPr>
          <w:p w14:paraId="6CCD9878">
            <w:pPr>
              <w:widowControl/>
              <w:jc w:val="center"/>
              <w:textAlignment w:val="center"/>
              <w:rPr>
                <w:color w:val="000000"/>
                <w:kern w:val="0"/>
                <w:sz w:val="18"/>
                <w:szCs w:val="18"/>
                <w:lang w:bidi="ar"/>
              </w:rPr>
            </w:pPr>
            <w:r>
              <w:rPr>
                <w:rFonts w:hint="eastAsia"/>
                <w:color w:val="000000"/>
                <w:kern w:val="0"/>
                <w:sz w:val="18"/>
                <w:szCs w:val="18"/>
                <w:lang w:bidi="ar"/>
              </w:rPr>
              <w:t>0.29</w:t>
            </w:r>
          </w:p>
        </w:tc>
        <w:tc>
          <w:tcPr>
            <w:tcW w:w="2504" w:type="pct"/>
            <w:tcBorders>
              <w:top w:val="single" w:color="auto" w:sz="12" w:space="0"/>
              <w:left w:val="nil"/>
              <w:bottom w:val="nil"/>
            </w:tcBorders>
            <w:shd w:val="clear" w:color="auto" w:fill="auto"/>
            <w:vAlign w:val="center"/>
          </w:tcPr>
          <w:p w14:paraId="5493D650">
            <w:pPr>
              <w:jc w:val="center"/>
              <w:textAlignment w:val="center"/>
              <w:rPr>
                <w:color w:val="000000"/>
                <w:kern w:val="0"/>
                <w:sz w:val="18"/>
                <w:szCs w:val="18"/>
                <w:lang w:bidi="ar"/>
              </w:rPr>
            </w:pPr>
            <w:r>
              <w:rPr>
                <w:rFonts w:hint="eastAsia"/>
                <w:color w:val="000000"/>
                <w:kern w:val="0"/>
                <w:sz w:val="18"/>
                <w:szCs w:val="18"/>
                <w:lang w:bidi="ar"/>
              </w:rPr>
              <w:t>0.02</w:t>
            </w:r>
          </w:p>
        </w:tc>
      </w:tr>
      <w:tr w14:paraId="2685C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2495" w:type="pct"/>
            <w:tcBorders>
              <w:top w:val="nil"/>
              <w:bottom w:val="nil"/>
              <w:right w:val="nil"/>
            </w:tcBorders>
            <w:shd w:val="clear" w:color="auto" w:fill="auto"/>
            <w:vAlign w:val="center"/>
          </w:tcPr>
          <w:p w14:paraId="73D015CE">
            <w:pPr>
              <w:widowControl/>
              <w:jc w:val="center"/>
              <w:textAlignment w:val="center"/>
              <w:rPr>
                <w:color w:val="000000"/>
                <w:kern w:val="0"/>
                <w:sz w:val="18"/>
                <w:szCs w:val="18"/>
                <w:lang w:bidi="ar"/>
              </w:rPr>
            </w:pPr>
            <w:r>
              <w:rPr>
                <w:rFonts w:hint="eastAsia"/>
                <w:color w:val="000000"/>
                <w:kern w:val="0"/>
                <w:sz w:val="18"/>
                <w:szCs w:val="18"/>
                <w:lang w:bidi="ar"/>
              </w:rPr>
              <w:t>1.75</w:t>
            </w:r>
          </w:p>
        </w:tc>
        <w:tc>
          <w:tcPr>
            <w:tcW w:w="2504" w:type="pct"/>
            <w:tcBorders>
              <w:top w:val="nil"/>
              <w:left w:val="nil"/>
              <w:bottom w:val="nil"/>
            </w:tcBorders>
            <w:shd w:val="clear" w:color="auto" w:fill="auto"/>
            <w:vAlign w:val="center"/>
          </w:tcPr>
          <w:p w14:paraId="1095BD9E">
            <w:pPr>
              <w:widowControl/>
              <w:jc w:val="center"/>
              <w:textAlignment w:val="center"/>
              <w:rPr>
                <w:color w:val="000000"/>
                <w:kern w:val="0"/>
                <w:sz w:val="18"/>
                <w:szCs w:val="18"/>
                <w:lang w:bidi="ar"/>
              </w:rPr>
            </w:pPr>
            <w:r>
              <w:rPr>
                <w:rFonts w:hint="eastAsia"/>
                <w:color w:val="000000"/>
                <w:kern w:val="0"/>
                <w:sz w:val="18"/>
                <w:szCs w:val="18"/>
                <w:lang w:bidi="ar"/>
              </w:rPr>
              <w:t>0.07</w:t>
            </w:r>
          </w:p>
        </w:tc>
      </w:tr>
      <w:tr w14:paraId="1F802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2495" w:type="pct"/>
            <w:tcBorders>
              <w:top w:val="nil"/>
              <w:bottom w:val="nil"/>
              <w:right w:val="nil"/>
            </w:tcBorders>
            <w:shd w:val="clear" w:color="auto" w:fill="auto"/>
            <w:vAlign w:val="center"/>
          </w:tcPr>
          <w:p w14:paraId="55A13B01">
            <w:pPr>
              <w:widowControl/>
              <w:jc w:val="center"/>
              <w:textAlignment w:val="center"/>
              <w:rPr>
                <w:color w:val="000000"/>
                <w:kern w:val="0"/>
                <w:sz w:val="18"/>
                <w:szCs w:val="18"/>
                <w:lang w:bidi="ar"/>
              </w:rPr>
            </w:pPr>
            <w:r>
              <w:rPr>
                <w:rFonts w:hint="eastAsia"/>
                <w:color w:val="000000"/>
                <w:kern w:val="0"/>
                <w:sz w:val="18"/>
                <w:szCs w:val="18"/>
                <w:lang w:bidi="ar"/>
              </w:rPr>
              <w:t>8.71</w:t>
            </w:r>
          </w:p>
        </w:tc>
        <w:tc>
          <w:tcPr>
            <w:tcW w:w="2504" w:type="pct"/>
            <w:tcBorders>
              <w:top w:val="nil"/>
              <w:left w:val="nil"/>
              <w:bottom w:val="nil"/>
            </w:tcBorders>
            <w:shd w:val="clear" w:color="auto" w:fill="auto"/>
            <w:vAlign w:val="center"/>
          </w:tcPr>
          <w:p w14:paraId="38809718">
            <w:pPr>
              <w:widowControl/>
              <w:jc w:val="center"/>
              <w:textAlignment w:val="center"/>
              <w:rPr>
                <w:color w:val="000000"/>
                <w:kern w:val="0"/>
                <w:sz w:val="18"/>
                <w:szCs w:val="18"/>
                <w:lang w:bidi="ar"/>
              </w:rPr>
            </w:pPr>
            <w:r>
              <w:rPr>
                <w:rFonts w:hint="eastAsia"/>
                <w:color w:val="000000"/>
                <w:kern w:val="0"/>
                <w:sz w:val="18"/>
                <w:szCs w:val="18"/>
                <w:lang w:bidi="ar"/>
              </w:rPr>
              <w:t>0.25</w:t>
            </w:r>
          </w:p>
        </w:tc>
      </w:tr>
      <w:tr w14:paraId="1DDD7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exact"/>
          <w:jc w:val="center"/>
        </w:trPr>
        <w:tc>
          <w:tcPr>
            <w:tcW w:w="2495" w:type="pct"/>
            <w:tcBorders>
              <w:top w:val="nil"/>
              <w:bottom w:val="nil"/>
              <w:right w:val="nil"/>
            </w:tcBorders>
            <w:shd w:val="clear" w:color="auto" w:fill="auto"/>
            <w:vAlign w:val="center"/>
          </w:tcPr>
          <w:p w14:paraId="192625DC">
            <w:pPr>
              <w:widowControl/>
              <w:jc w:val="center"/>
              <w:textAlignment w:val="center"/>
              <w:rPr>
                <w:color w:val="000000"/>
                <w:kern w:val="0"/>
                <w:sz w:val="18"/>
                <w:szCs w:val="18"/>
                <w:lang w:bidi="ar"/>
              </w:rPr>
            </w:pPr>
            <w:r>
              <w:rPr>
                <w:rFonts w:hint="eastAsia"/>
                <w:color w:val="000000"/>
                <w:kern w:val="0"/>
                <w:sz w:val="18"/>
                <w:szCs w:val="18"/>
                <w:lang w:bidi="ar"/>
              </w:rPr>
              <w:t>13.48</w:t>
            </w:r>
          </w:p>
        </w:tc>
        <w:tc>
          <w:tcPr>
            <w:tcW w:w="2504" w:type="pct"/>
            <w:tcBorders>
              <w:top w:val="nil"/>
              <w:left w:val="nil"/>
              <w:bottom w:val="nil"/>
            </w:tcBorders>
            <w:shd w:val="clear" w:color="auto" w:fill="auto"/>
            <w:vAlign w:val="center"/>
          </w:tcPr>
          <w:p w14:paraId="23876BB0">
            <w:pPr>
              <w:widowControl/>
              <w:jc w:val="center"/>
              <w:textAlignment w:val="center"/>
              <w:rPr>
                <w:color w:val="000000"/>
                <w:kern w:val="0"/>
                <w:sz w:val="18"/>
                <w:szCs w:val="18"/>
                <w:lang w:bidi="ar"/>
              </w:rPr>
            </w:pPr>
            <w:r>
              <w:rPr>
                <w:rFonts w:hint="eastAsia"/>
                <w:color w:val="000000"/>
                <w:kern w:val="0"/>
                <w:sz w:val="18"/>
                <w:szCs w:val="18"/>
                <w:lang w:bidi="ar"/>
              </w:rPr>
              <w:t>0.28</w:t>
            </w:r>
          </w:p>
        </w:tc>
      </w:tr>
      <w:tr w14:paraId="50EC3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exact"/>
          <w:jc w:val="center"/>
        </w:trPr>
        <w:tc>
          <w:tcPr>
            <w:tcW w:w="2495" w:type="pct"/>
            <w:tcBorders>
              <w:top w:val="nil"/>
              <w:bottom w:val="single" w:color="auto" w:sz="4" w:space="0"/>
              <w:right w:val="nil"/>
            </w:tcBorders>
            <w:shd w:val="clear" w:color="auto" w:fill="auto"/>
            <w:vAlign w:val="center"/>
          </w:tcPr>
          <w:p w14:paraId="1B5279D6">
            <w:pPr>
              <w:widowControl/>
              <w:jc w:val="center"/>
              <w:textAlignment w:val="center"/>
              <w:rPr>
                <w:color w:val="000000"/>
                <w:kern w:val="0"/>
                <w:sz w:val="18"/>
                <w:szCs w:val="18"/>
                <w:lang w:bidi="ar"/>
              </w:rPr>
            </w:pPr>
            <w:r>
              <w:rPr>
                <w:rFonts w:hint="eastAsia"/>
                <w:color w:val="000000"/>
                <w:kern w:val="0"/>
                <w:sz w:val="18"/>
                <w:szCs w:val="18"/>
                <w:lang w:bidi="ar"/>
              </w:rPr>
              <w:t>22.67</w:t>
            </w:r>
          </w:p>
        </w:tc>
        <w:tc>
          <w:tcPr>
            <w:tcW w:w="2504" w:type="pct"/>
            <w:tcBorders>
              <w:top w:val="nil"/>
              <w:left w:val="nil"/>
              <w:bottom w:val="single" w:color="auto" w:sz="4" w:space="0"/>
            </w:tcBorders>
            <w:shd w:val="clear" w:color="auto" w:fill="auto"/>
            <w:vAlign w:val="center"/>
          </w:tcPr>
          <w:p w14:paraId="478C5A3C">
            <w:pPr>
              <w:widowControl/>
              <w:jc w:val="center"/>
              <w:textAlignment w:val="center"/>
              <w:rPr>
                <w:color w:val="000000"/>
                <w:kern w:val="0"/>
                <w:sz w:val="18"/>
                <w:szCs w:val="18"/>
                <w:lang w:bidi="ar"/>
              </w:rPr>
            </w:pPr>
            <w:r>
              <w:rPr>
                <w:rFonts w:hint="eastAsia"/>
                <w:color w:val="000000"/>
                <w:kern w:val="0"/>
                <w:sz w:val="18"/>
                <w:szCs w:val="18"/>
                <w:lang w:bidi="ar"/>
              </w:rPr>
              <w:t>0.26</w:t>
            </w:r>
          </w:p>
        </w:tc>
      </w:tr>
      <w:tr w14:paraId="2FDEA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 w:hRule="exact"/>
          <w:jc w:val="center"/>
        </w:trPr>
        <w:tc>
          <w:tcPr>
            <w:tcW w:w="5000" w:type="pct"/>
            <w:gridSpan w:val="2"/>
            <w:tcBorders>
              <w:top w:val="single" w:color="auto" w:sz="4" w:space="0"/>
              <w:bottom w:val="single" w:color="auto" w:sz="12" w:space="0"/>
            </w:tcBorders>
            <w:shd w:val="clear" w:color="auto" w:fill="auto"/>
            <w:vAlign w:val="center"/>
          </w:tcPr>
          <w:p w14:paraId="063FF42D">
            <w:pPr>
              <w:jc w:val="left"/>
              <w:rPr>
                <w:color w:val="000000"/>
                <w:kern w:val="0"/>
                <w:sz w:val="18"/>
                <w:szCs w:val="18"/>
                <w:lang w:bidi="ar"/>
              </w:rPr>
            </w:pPr>
            <w:r>
              <w:rPr>
                <w:rFonts w:eastAsia="黑体"/>
                <w:color w:val="000000"/>
                <w:kern w:val="0"/>
                <w:sz w:val="18"/>
                <w:szCs w:val="18"/>
                <w:lang w:bidi="ar"/>
              </w:rPr>
              <w:t>注1：</w:t>
            </w:r>
            <w:r>
              <w:rPr>
                <w:color w:val="000000"/>
                <w:kern w:val="0"/>
                <w:sz w:val="18"/>
                <w:szCs w:val="18"/>
                <w:lang w:bidi="ar"/>
              </w:rPr>
              <w:t>重复性限（r）为2.8×S</w:t>
            </w:r>
            <w:r>
              <w:rPr>
                <w:color w:val="000000"/>
                <w:kern w:val="0"/>
                <w:sz w:val="18"/>
                <w:szCs w:val="18"/>
                <w:vertAlign w:val="subscript"/>
                <w:lang w:bidi="ar"/>
              </w:rPr>
              <w:t>r</w:t>
            </w:r>
            <w:r>
              <w:rPr>
                <w:color w:val="000000"/>
                <w:kern w:val="0"/>
                <w:sz w:val="18"/>
                <w:szCs w:val="18"/>
                <w:lang w:bidi="ar"/>
              </w:rPr>
              <w:t>，S</w:t>
            </w:r>
            <w:r>
              <w:rPr>
                <w:color w:val="000000"/>
                <w:kern w:val="0"/>
                <w:sz w:val="18"/>
                <w:szCs w:val="18"/>
                <w:vertAlign w:val="subscript"/>
                <w:lang w:bidi="ar"/>
              </w:rPr>
              <w:t>r</w:t>
            </w:r>
            <w:r>
              <w:rPr>
                <w:color w:val="000000"/>
                <w:kern w:val="0"/>
                <w:sz w:val="18"/>
                <w:szCs w:val="18"/>
                <w:lang w:bidi="ar"/>
              </w:rPr>
              <w:t>为重复性限标准偏差。</w:t>
            </w:r>
          </w:p>
          <w:p w14:paraId="3A2B80C6">
            <w:pPr>
              <w:widowControl/>
              <w:jc w:val="center"/>
              <w:textAlignment w:val="center"/>
              <w:rPr>
                <w:color w:val="000000"/>
                <w:kern w:val="0"/>
                <w:sz w:val="18"/>
                <w:szCs w:val="18"/>
                <w:lang w:bidi="ar"/>
              </w:rPr>
            </w:pPr>
          </w:p>
        </w:tc>
      </w:tr>
    </w:tbl>
    <w:p w14:paraId="5C329568">
      <w:pPr>
        <w:pStyle w:val="81"/>
        <w:numPr>
          <w:ilvl w:val="0"/>
          <w:numId w:val="0"/>
        </w:numPr>
        <w:snapToGrid w:val="0"/>
        <w:spacing w:before="156" w:beforeLines="50" w:after="156" w:afterLines="50"/>
        <w:rPr>
          <w:rFonts w:ascii="Times New Roman"/>
          <w:kern w:val="2"/>
        </w:rPr>
      </w:pPr>
      <w:r>
        <w:rPr>
          <w:rFonts w:hint="eastAsia" w:hAnsi="黑体"/>
          <w:color w:val="000000"/>
          <w:szCs w:val="22"/>
          <w:lang w:val="en-US" w:eastAsia="zh-CN"/>
        </w:rPr>
        <w:t>5</w:t>
      </w:r>
      <w:r>
        <w:rPr>
          <w:rFonts w:hint="eastAsia" w:hAnsi="黑体"/>
          <w:color w:val="000000"/>
          <w:szCs w:val="22"/>
        </w:rPr>
        <w:t>.7</w:t>
      </w:r>
      <w:r>
        <w:rPr>
          <w:rFonts w:hAnsi="黑体"/>
          <w:color w:val="000000"/>
          <w:szCs w:val="22"/>
        </w:rPr>
        <w:t>.2</w:t>
      </w:r>
      <w:r>
        <w:rPr>
          <w:rFonts w:ascii="Times New Roman"/>
        </w:rPr>
        <w:t>　</w:t>
      </w:r>
      <w:r>
        <w:rPr>
          <w:rFonts w:hint="eastAsia" w:ascii="Times New Roman"/>
          <w:kern w:val="2"/>
        </w:rPr>
        <w:t>再现性</w:t>
      </w:r>
    </w:p>
    <w:p w14:paraId="0120F4DB">
      <w:pPr>
        <w:pStyle w:val="47"/>
        <w:snapToGrid w:val="0"/>
        <w:ind w:firstLine="420"/>
        <w:rPr>
          <w:rFonts w:ascii="Times New Roman"/>
        </w:rPr>
      </w:pPr>
      <w:r>
        <w:rPr>
          <w:rFonts w:ascii="Times New Roman"/>
          <w:color w:val="000000"/>
        </w:rPr>
        <w:t>在再现性条件下获得的两次独立测试结果的</w:t>
      </w:r>
      <w:r>
        <w:rPr>
          <w:rFonts w:ascii="Times New Roman"/>
        </w:rPr>
        <w:t>的</w:t>
      </w:r>
      <w:r>
        <w:rPr>
          <w:rFonts w:ascii="Times New Roman"/>
          <w:color w:val="000000"/>
        </w:rPr>
        <w:t>绝对差值不大于再现性限（</w:t>
      </w:r>
      <w:r>
        <w:rPr>
          <w:rFonts w:ascii="Times New Roman"/>
          <w:i/>
          <w:color w:val="000000"/>
        </w:rPr>
        <w:t>R</w:t>
      </w:r>
      <w:r>
        <w:rPr>
          <w:rFonts w:ascii="Times New Roman"/>
          <w:color w:val="000000"/>
        </w:rPr>
        <w:t>），超过再现性限（</w:t>
      </w:r>
      <w:r>
        <w:rPr>
          <w:rFonts w:ascii="Times New Roman"/>
          <w:i/>
          <w:color w:val="000000"/>
        </w:rPr>
        <w:t>R</w:t>
      </w:r>
      <w:r>
        <w:rPr>
          <w:rFonts w:ascii="Times New Roman"/>
          <w:color w:val="000000"/>
        </w:rPr>
        <w:t>）的情况不超过5%，再现性限（</w:t>
      </w:r>
      <w:r>
        <w:rPr>
          <w:rFonts w:ascii="Times New Roman"/>
          <w:i/>
          <w:color w:val="000000"/>
        </w:rPr>
        <w:t>R</w:t>
      </w:r>
      <w:r>
        <w:rPr>
          <w:rFonts w:ascii="Times New Roman"/>
          <w:color w:val="000000"/>
        </w:rPr>
        <w:t>）按</w:t>
      </w:r>
      <w:r>
        <w:rPr>
          <w:rFonts w:ascii="Times New Roman"/>
        </w:rPr>
        <w:t>表</w:t>
      </w:r>
      <w:r>
        <w:rPr>
          <w:rFonts w:hint="eastAsia" w:ascii="Times New Roman"/>
        </w:rPr>
        <w:t>9</w:t>
      </w:r>
      <w:r>
        <w:rPr>
          <w:rFonts w:ascii="Times New Roman"/>
          <w:color w:val="000000"/>
        </w:rPr>
        <w:t>数据采用线性内插法或外延法求得。</w:t>
      </w:r>
    </w:p>
    <w:p w14:paraId="3C3093E2">
      <w:pPr>
        <w:jc w:val="center"/>
        <w:rPr>
          <w:rFonts w:hint="eastAsia" w:ascii="黑体" w:hAnsi="黑体" w:eastAsia="黑体" w:cs="黑体"/>
          <w:color w:val="FF0000"/>
          <w:sz w:val="18"/>
          <w:szCs w:val="18"/>
          <w:highlight w:val="yellow"/>
          <w:lang w:val="en-US" w:eastAsia="zh-CN"/>
        </w:rPr>
      </w:pPr>
      <w:r>
        <w:rPr>
          <w:rFonts w:hint="eastAsia" w:ascii="黑体" w:hAnsi="黑体" w:eastAsia="黑体" w:cs="黑体"/>
          <w:sz w:val="18"/>
          <w:szCs w:val="18"/>
        </w:rPr>
        <w:t>表7</w:t>
      </w:r>
      <w:r>
        <w:rPr>
          <w:rFonts w:hint="eastAsia" w:ascii="黑体" w:hAnsi="黑体" w:eastAsia="黑体" w:cs="黑体"/>
          <w:sz w:val="18"/>
          <w:szCs w:val="18"/>
          <w:lang w:val="en-US" w:eastAsia="zh-CN"/>
        </w:rPr>
        <w:t xml:space="preserve"> 再现性限（</w:t>
      </w:r>
      <w:r>
        <w:rPr>
          <w:rFonts w:hint="eastAsia" w:ascii="黑体" w:hAnsi="黑体" w:eastAsia="黑体" w:cs="黑体"/>
          <w:i/>
          <w:iCs/>
          <w:sz w:val="18"/>
          <w:szCs w:val="18"/>
          <w:lang w:val="en-US" w:eastAsia="zh-CN"/>
        </w:rPr>
        <w:t>R</w:t>
      </w:r>
      <w:r>
        <w:rPr>
          <w:rFonts w:hint="eastAsia" w:ascii="黑体" w:hAnsi="黑体" w:eastAsia="黑体" w:cs="黑体"/>
          <w:sz w:val="18"/>
          <w:szCs w:val="18"/>
          <w:lang w:val="en-US" w:eastAsia="zh-CN"/>
        </w:rPr>
        <w:t>）</w:t>
      </w:r>
    </w:p>
    <w:tbl>
      <w:tblPr>
        <w:tblStyle w:val="31"/>
        <w:tblW w:w="498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59"/>
        <w:gridCol w:w="4778"/>
      </w:tblGrid>
      <w:tr w14:paraId="21078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exact"/>
          <w:jc w:val="center"/>
        </w:trPr>
        <w:tc>
          <w:tcPr>
            <w:tcW w:w="2495" w:type="pct"/>
            <w:tcBorders>
              <w:bottom w:val="single" w:color="auto" w:sz="12" w:space="0"/>
              <w:right w:val="nil"/>
            </w:tcBorders>
            <w:vAlign w:val="center"/>
          </w:tcPr>
          <w:p w14:paraId="44640A07">
            <w:pPr>
              <w:jc w:val="center"/>
              <w:rPr>
                <w:sz w:val="18"/>
                <w:szCs w:val="18"/>
              </w:rPr>
            </w:pPr>
            <w:r>
              <w:rPr>
                <w:rFonts w:hint="eastAsia"/>
                <w:sz w:val="18"/>
                <w:szCs w:val="18"/>
                <w:lang w:val="en-US" w:eastAsia="zh-CN"/>
              </w:rPr>
              <w:t>五氧化二磷</w:t>
            </w:r>
            <w:r>
              <w:rPr>
                <w:sz w:val="18"/>
                <w:szCs w:val="18"/>
              </w:rPr>
              <w:t>质量分数/%</w:t>
            </w:r>
          </w:p>
        </w:tc>
        <w:tc>
          <w:tcPr>
            <w:tcW w:w="2504" w:type="pct"/>
            <w:tcBorders>
              <w:left w:val="nil"/>
              <w:bottom w:val="single" w:color="auto" w:sz="12" w:space="0"/>
            </w:tcBorders>
            <w:vAlign w:val="center"/>
          </w:tcPr>
          <w:p w14:paraId="0F27E8F9">
            <w:pPr>
              <w:jc w:val="center"/>
              <w:rPr>
                <w:sz w:val="18"/>
                <w:szCs w:val="18"/>
              </w:rPr>
            </w:pPr>
            <w:r>
              <w:rPr>
                <w:sz w:val="18"/>
                <w:szCs w:val="18"/>
              </w:rPr>
              <w:t>再现性限(</w:t>
            </w:r>
            <w:r>
              <w:rPr>
                <w:i/>
                <w:sz w:val="18"/>
                <w:szCs w:val="18"/>
              </w:rPr>
              <w:t>R</w:t>
            </w:r>
            <w:r>
              <w:rPr>
                <w:sz w:val="18"/>
                <w:szCs w:val="18"/>
              </w:rPr>
              <w:t>)%</w:t>
            </w:r>
          </w:p>
        </w:tc>
      </w:tr>
      <w:tr w14:paraId="2147E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2495" w:type="pct"/>
            <w:tcBorders>
              <w:top w:val="single" w:color="auto" w:sz="12" w:space="0"/>
              <w:bottom w:val="nil"/>
              <w:right w:val="nil"/>
            </w:tcBorders>
            <w:shd w:val="clear" w:color="auto" w:fill="auto"/>
            <w:vAlign w:val="center"/>
          </w:tcPr>
          <w:p w14:paraId="13034A2B">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0.29</w:t>
            </w:r>
          </w:p>
        </w:tc>
        <w:tc>
          <w:tcPr>
            <w:tcW w:w="2504" w:type="pct"/>
            <w:tcBorders>
              <w:top w:val="single" w:color="auto" w:sz="12" w:space="0"/>
              <w:left w:val="nil"/>
              <w:bottom w:val="nil"/>
            </w:tcBorders>
            <w:shd w:val="clear" w:color="auto" w:fill="auto"/>
            <w:vAlign w:val="center"/>
          </w:tcPr>
          <w:p w14:paraId="29D0CC9E">
            <w:pPr>
              <w:jc w:val="center"/>
              <w:textAlignment w:val="center"/>
              <w:rPr>
                <w:color w:val="000000"/>
                <w:kern w:val="0"/>
                <w:sz w:val="18"/>
                <w:szCs w:val="18"/>
                <w:lang w:bidi="ar"/>
              </w:rPr>
            </w:pPr>
            <w:r>
              <w:rPr>
                <w:color w:val="000000"/>
                <w:kern w:val="0"/>
                <w:sz w:val="18"/>
                <w:szCs w:val="18"/>
                <w:lang w:bidi="ar"/>
              </w:rPr>
              <w:t>0.03</w:t>
            </w:r>
          </w:p>
        </w:tc>
      </w:tr>
      <w:tr w14:paraId="114A2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2495" w:type="pct"/>
            <w:tcBorders>
              <w:top w:val="nil"/>
              <w:bottom w:val="nil"/>
              <w:right w:val="nil"/>
            </w:tcBorders>
            <w:shd w:val="clear" w:color="auto" w:fill="auto"/>
            <w:vAlign w:val="center"/>
          </w:tcPr>
          <w:p w14:paraId="4D13E3AC">
            <w:pPr>
              <w:widowControl/>
              <w:jc w:val="center"/>
              <w:textAlignment w:val="center"/>
              <w:rPr>
                <w:sz w:val="18"/>
                <w:szCs w:val="18"/>
              </w:rPr>
            </w:pPr>
            <w:r>
              <w:rPr>
                <w:sz w:val="18"/>
                <w:szCs w:val="18"/>
              </w:rPr>
              <w:t>1.75</w:t>
            </w:r>
          </w:p>
        </w:tc>
        <w:tc>
          <w:tcPr>
            <w:tcW w:w="2504" w:type="pct"/>
            <w:tcBorders>
              <w:top w:val="nil"/>
              <w:left w:val="nil"/>
              <w:bottom w:val="nil"/>
            </w:tcBorders>
            <w:shd w:val="clear" w:color="auto" w:fill="auto"/>
            <w:vAlign w:val="center"/>
          </w:tcPr>
          <w:p w14:paraId="50305B29">
            <w:pPr>
              <w:jc w:val="center"/>
              <w:rPr>
                <w:sz w:val="18"/>
                <w:szCs w:val="18"/>
              </w:rPr>
            </w:pPr>
            <w:r>
              <w:rPr>
                <w:sz w:val="18"/>
                <w:szCs w:val="18"/>
              </w:rPr>
              <w:t>0.08</w:t>
            </w:r>
          </w:p>
        </w:tc>
      </w:tr>
      <w:tr w14:paraId="2EE32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2495" w:type="pct"/>
            <w:tcBorders>
              <w:top w:val="nil"/>
              <w:bottom w:val="nil"/>
              <w:right w:val="nil"/>
            </w:tcBorders>
            <w:shd w:val="clear" w:color="auto" w:fill="auto"/>
            <w:vAlign w:val="center"/>
          </w:tcPr>
          <w:p w14:paraId="18C45BFC">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8.71</w:t>
            </w:r>
          </w:p>
        </w:tc>
        <w:tc>
          <w:tcPr>
            <w:tcW w:w="2504" w:type="pct"/>
            <w:tcBorders>
              <w:top w:val="nil"/>
              <w:left w:val="nil"/>
              <w:bottom w:val="nil"/>
            </w:tcBorders>
            <w:shd w:val="clear" w:color="auto" w:fill="auto"/>
            <w:vAlign w:val="center"/>
          </w:tcPr>
          <w:p w14:paraId="53C842FE">
            <w:pPr>
              <w:widowControl/>
              <w:jc w:val="center"/>
              <w:textAlignment w:val="center"/>
              <w:rPr>
                <w:color w:val="000000"/>
                <w:kern w:val="0"/>
                <w:sz w:val="18"/>
                <w:szCs w:val="18"/>
                <w:lang w:bidi="ar"/>
              </w:rPr>
            </w:pPr>
            <w:r>
              <w:rPr>
                <w:color w:val="000000"/>
                <w:kern w:val="0"/>
                <w:sz w:val="18"/>
                <w:szCs w:val="18"/>
                <w:lang w:bidi="ar"/>
              </w:rPr>
              <w:t>0.38</w:t>
            </w:r>
          </w:p>
        </w:tc>
      </w:tr>
      <w:tr w14:paraId="3B9F3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exact"/>
          <w:jc w:val="center"/>
        </w:trPr>
        <w:tc>
          <w:tcPr>
            <w:tcW w:w="2495" w:type="pct"/>
            <w:tcBorders>
              <w:top w:val="nil"/>
              <w:bottom w:val="nil"/>
              <w:right w:val="nil"/>
            </w:tcBorders>
            <w:shd w:val="clear" w:color="auto" w:fill="auto"/>
            <w:vAlign w:val="center"/>
          </w:tcPr>
          <w:p w14:paraId="5635CF42">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13.48</w:t>
            </w:r>
          </w:p>
        </w:tc>
        <w:tc>
          <w:tcPr>
            <w:tcW w:w="2504" w:type="pct"/>
            <w:tcBorders>
              <w:top w:val="nil"/>
              <w:left w:val="nil"/>
              <w:bottom w:val="nil"/>
            </w:tcBorders>
            <w:shd w:val="clear" w:color="auto" w:fill="auto"/>
            <w:vAlign w:val="center"/>
          </w:tcPr>
          <w:p w14:paraId="5B7384E2">
            <w:pPr>
              <w:widowControl/>
              <w:jc w:val="center"/>
              <w:textAlignment w:val="center"/>
              <w:rPr>
                <w:color w:val="000000"/>
                <w:kern w:val="0"/>
                <w:sz w:val="18"/>
                <w:szCs w:val="18"/>
                <w:lang w:bidi="ar"/>
              </w:rPr>
            </w:pPr>
            <w:r>
              <w:rPr>
                <w:color w:val="000000"/>
                <w:kern w:val="0"/>
                <w:sz w:val="18"/>
                <w:szCs w:val="18"/>
                <w:lang w:bidi="ar"/>
              </w:rPr>
              <w:t>0.32</w:t>
            </w:r>
          </w:p>
        </w:tc>
      </w:tr>
      <w:tr w14:paraId="0AAC9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exact"/>
          <w:jc w:val="center"/>
        </w:trPr>
        <w:tc>
          <w:tcPr>
            <w:tcW w:w="2495" w:type="pct"/>
            <w:tcBorders>
              <w:top w:val="nil"/>
              <w:bottom w:val="single" w:color="auto" w:sz="4" w:space="0"/>
              <w:right w:val="nil"/>
            </w:tcBorders>
            <w:shd w:val="clear" w:color="auto" w:fill="auto"/>
            <w:vAlign w:val="center"/>
          </w:tcPr>
          <w:p w14:paraId="48CDEC3E">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22.67</w:t>
            </w:r>
          </w:p>
        </w:tc>
        <w:tc>
          <w:tcPr>
            <w:tcW w:w="2504" w:type="pct"/>
            <w:tcBorders>
              <w:top w:val="nil"/>
              <w:left w:val="nil"/>
              <w:bottom w:val="single" w:color="auto" w:sz="4" w:space="0"/>
            </w:tcBorders>
            <w:shd w:val="clear" w:color="auto" w:fill="auto"/>
            <w:vAlign w:val="center"/>
          </w:tcPr>
          <w:p w14:paraId="31D7D524">
            <w:pPr>
              <w:widowControl/>
              <w:jc w:val="center"/>
              <w:textAlignment w:val="center"/>
              <w:rPr>
                <w:color w:val="000000"/>
                <w:kern w:val="0"/>
                <w:sz w:val="18"/>
                <w:szCs w:val="18"/>
                <w:lang w:bidi="ar"/>
              </w:rPr>
            </w:pPr>
            <w:r>
              <w:rPr>
                <w:color w:val="000000"/>
                <w:kern w:val="0"/>
                <w:sz w:val="18"/>
                <w:szCs w:val="18"/>
                <w:lang w:bidi="ar"/>
              </w:rPr>
              <w:t>0.30</w:t>
            </w:r>
          </w:p>
        </w:tc>
      </w:tr>
      <w:tr w14:paraId="3B962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exact"/>
          <w:jc w:val="center"/>
        </w:trPr>
        <w:tc>
          <w:tcPr>
            <w:tcW w:w="5000" w:type="pct"/>
            <w:gridSpan w:val="2"/>
            <w:tcBorders>
              <w:top w:val="single" w:color="auto" w:sz="4" w:space="0"/>
              <w:bottom w:val="single" w:color="auto" w:sz="12" w:space="0"/>
            </w:tcBorders>
            <w:shd w:val="clear" w:color="auto" w:fill="auto"/>
            <w:vAlign w:val="center"/>
          </w:tcPr>
          <w:p w14:paraId="4DBD8D40">
            <w:pPr>
              <w:rPr>
                <w:color w:val="000000"/>
                <w:kern w:val="0"/>
                <w:sz w:val="18"/>
                <w:szCs w:val="18"/>
                <w:lang w:bidi="ar"/>
              </w:rPr>
            </w:pPr>
            <w:r>
              <w:rPr>
                <w:rFonts w:hint="eastAsia" w:ascii="黑体" w:hAnsi="黑体" w:eastAsia="黑体" w:cs="黑体"/>
                <w:color w:val="000000"/>
                <w:kern w:val="0"/>
                <w:sz w:val="18"/>
                <w:szCs w:val="18"/>
                <w:lang w:bidi="ar"/>
              </w:rPr>
              <w:t>注1：</w:t>
            </w:r>
            <w:r>
              <w:rPr>
                <w:rFonts w:hint="eastAsia" w:ascii="宋体" w:hAnsi="宋体" w:cs="宋体"/>
                <w:color w:val="000000"/>
                <w:kern w:val="0"/>
                <w:sz w:val="18"/>
                <w:szCs w:val="18"/>
                <w:lang w:bidi="ar"/>
              </w:rPr>
              <w:t>再现性</w:t>
            </w:r>
            <w:r>
              <w:rPr>
                <w:color w:val="000000"/>
                <w:kern w:val="0"/>
                <w:sz w:val="18"/>
                <w:szCs w:val="18"/>
                <w:lang w:bidi="ar"/>
              </w:rPr>
              <w:t>限（R）为2.8×S</w:t>
            </w:r>
            <w:r>
              <w:rPr>
                <w:color w:val="000000"/>
                <w:kern w:val="0"/>
                <w:sz w:val="18"/>
                <w:szCs w:val="18"/>
                <w:vertAlign w:val="subscript"/>
                <w:lang w:bidi="ar"/>
              </w:rPr>
              <w:t>R</w:t>
            </w:r>
            <w:r>
              <w:rPr>
                <w:color w:val="000000"/>
                <w:kern w:val="0"/>
                <w:sz w:val="18"/>
                <w:szCs w:val="18"/>
                <w:lang w:bidi="ar"/>
              </w:rPr>
              <w:t>，S</w:t>
            </w:r>
            <w:r>
              <w:rPr>
                <w:color w:val="000000"/>
                <w:kern w:val="0"/>
                <w:sz w:val="18"/>
                <w:szCs w:val="18"/>
                <w:vertAlign w:val="subscript"/>
                <w:lang w:bidi="ar"/>
              </w:rPr>
              <w:t>R</w:t>
            </w:r>
            <w:r>
              <w:rPr>
                <w:color w:val="000000"/>
                <w:kern w:val="0"/>
                <w:sz w:val="18"/>
                <w:szCs w:val="18"/>
                <w:lang w:bidi="ar"/>
              </w:rPr>
              <w:t>为再现性限标准偏差</w:t>
            </w:r>
            <w:r>
              <w:rPr>
                <w:rFonts w:hint="eastAsia" w:ascii="宋体" w:hAnsi="宋体" w:cs="宋体"/>
                <w:color w:val="000000"/>
                <w:kern w:val="0"/>
                <w:sz w:val="18"/>
                <w:szCs w:val="18"/>
                <w:lang w:bidi="ar"/>
              </w:rPr>
              <w:t>。</w:t>
            </w:r>
          </w:p>
          <w:p w14:paraId="35AB3FC7">
            <w:pPr>
              <w:widowControl/>
              <w:jc w:val="center"/>
              <w:textAlignment w:val="center"/>
              <w:rPr>
                <w:rFonts w:ascii="宋体" w:hAnsi="宋体" w:cs="宋体"/>
                <w:color w:val="000000"/>
                <w:kern w:val="0"/>
                <w:sz w:val="18"/>
                <w:szCs w:val="18"/>
                <w:lang w:bidi="ar"/>
              </w:rPr>
            </w:pPr>
          </w:p>
        </w:tc>
      </w:tr>
    </w:tbl>
    <w:p w14:paraId="7629FF5B">
      <w:pPr>
        <w:pStyle w:val="47"/>
        <w:snapToGrid w:val="0"/>
        <w:ind w:firstLine="0" w:firstLineChars="0"/>
        <w:rPr>
          <w:rFonts w:ascii="黑体" w:hAnsi="黑体" w:eastAsia="黑体" w:cs="黑体"/>
        </w:rPr>
      </w:pPr>
      <w:r>
        <mc:AlternateContent>
          <mc:Choice Requires="wps">
            <w:drawing>
              <wp:anchor distT="0" distB="0" distL="114300" distR="114300" simplePos="0" relativeHeight="251671552" behindDoc="0" locked="0" layoutInCell="1" allowOverlap="1">
                <wp:simplePos x="0" y="0"/>
                <wp:positionH relativeFrom="column">
                  <wp:posOffset>1970405</wp:posOffset>
                </wp:positionH>
                <wp:positionV relativeFrom="paragraph">
                  <wp:posOffset>189230</wp:posOffset>
                </wp:positionV>
                <wp:extent cx="2114550" cy="0"/>
                <wp:effectExtent l="0" t="0" r="0" b="0"/>
                <wp:wrapNone/>
                <wp:docPr id="3" name="直接连接符 3"/>
                <wp:cNvGraphicFramePr/>
                <a:graphic xmlns:a="http://schemas.openxmlformats.org/drawingml/2006/main">
                  <a:graphicData uri="http://schemas.microsoft.com/office/word/2010/wordprocessingShape">
                    <wps:wsp>
                      <wps:cNvCnPr/>
                      <wps:spPr>
                        <a:xfrm>
                          <a:off x="1775460" y="7047230"/>
                          <a:ext cx="211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55.15pt;margin-top:14.9pt;height:0pt;width:166.5pt;z-index:251671552;mso-width-relative:page;mso-height-relative:page;" filled="f" stroked="t" coordsize="21600,21600" o:gfxdata="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WbEn2AAAAAkBAAAPAAAAAAAAAAEAIAAAACIAAABkcnMvZG93bnJldi54bWxQSwECFAAUAAAA&#10;CACHTuJAEBFveu4BAAC+AwAADgAAAAAAAAABACAAAAAnAQAAZHJzL2Uyb0RvYy54bWxQSwUGAAAA&#10;AAYABgBZAQAAhwUAAAAA&#10;">
                <v:fill on="f" focussize="0,0"/>
                <v:stroke weight="1.5pt" color="#000000 [3200]" miterlimit="8" joinstyle="miter"/>
                <v:imagedata o:title=""/>
                <o:lock v:ext="edit" aspectratio="f"/>
              </v:line>
            </w:pict>
          </mc:Fallback>
        </mc:AlternateContent>
      </w:r>
    </w:p>
    <w:sectPr>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C27B3">
    <w:pPr>
      <w:pStyle w:val="70"/>
      <w:rPr>
        <w:rStyle w:val="34"/>
      </w:rPr>
    </w:pPr>
    <w:r>
      <w:fldChar w:fldCharType="begin"/>
    </w:r>
    <w:r>
      <w:rPr>
        <w:rStyle w:val="34"/>
      </w:rPr>
      <w:instrText xml:space="preserve">PAGE  </w:instrText>
    </w:r>
    <w:r>
      <w:fldChar w:fldCharType="separate"/>
    </w:r>
    <w:r>
      <w:rPr>
        <w:rStyle w:val="34"/>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EA0E">
    <w:pPr>
      <w:pStyle w:val="55"/>
      <w:rPr>
        <w:rStyle w:val="34"/>
      </w:rPr>
    </w:pPr>
    <w:r>
      <w:fldChar w:fldCharType="begin"/>
    </w:r>
    <w:r>
      <w:rPr>
        <w:rStyle w:val="34"/>
      </w:rPr>
      <w:instrText xml:space="preserve">PAGE  </w:instrText>
    </w:r>
    <w:r>
      <w:fldChar w:fldCharType="separate"/>
    </w:r>
    <w:r>
      <w:rPr>
        <w:rStyle w:val="34"/>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07669">
    <w:pPr>
      <w:pStyle w:val="70"/>
      <w:rPr>
        <w:rStyle w:val="34"/>
      </w:rPr>
    </w:pPr>
    <w:r>
      <w:fldChar w:fldCharType="begin"/>
    </w:r>
    <w:r>
      <w:rPr>
        <w:rStyle w:val="34"/>
      </w:rPr>
      <w:instrText xml:space="preserve">PAGE  </w:instrText>
    </w:r>
    <w:r>
      <w:fldChar w:fldCharType="separate"/>
    </w:r>
    <w:r>
      <w:rPr>
        <w:rStyle w:val="34"/>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166EC">
    <w:pPr>
      <w:pStyle w:val="55"/>
      <w:jc w:val="right"/>
      <w:rPr>
        <w:rStyle w:val="34"/>
      </w:rPr>
    </w:pPr>
    <w:r>
      <w:fldChar w:fldCharType="begin"/>
    </w:r>
    <w:r>
      <w:rPr>
        <w:rStyle w:val="34"/>
      </w:rPr>
      <w:instrText xml:space="preserve">PAGE  </w:instrText>
    </w:r>
    <w:r>
      <w:fldChar w:fldCharType="separate"/>
    </w:r>
    <w:r>
      <w:rPr>
        <w:rStyle w:val="34"/>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1D9A6">
    <w:pPr>
      <w:pStyle w:val="101"/>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00279">
    <w:pPr>
      <w:pStyle w:val="100"/>
      <w:jc w:val="right"/>
      <w:rPr>
        <w:rFonts w:ascii="黑体" w:hAnsi="黑体" w:eastAsia="黑体"/>
      </w:rPr>
    </w:pPr>
    <w:r>
      <w:rPr>
        <w:rFonts w:ascii="黑体" w:hAnsi="黑体" w:eastAsia="黑体"/>
      </w:rPr>
      <w:t>GB/T 18882.4—202X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988EB">
    <w:pPr>
      <w:pStyle w:val="5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DDAA0">
    <w:pPr>
      <w:pStyle w:val="101"/>
      <w:spacing w:after="0"/>
      <w:rPr>
        <w:rFonts w:ascii="黑体" w:hAnsi="黑体" w:eastAsia="黑体"/>
      </w:rPr>
    </w:pPr>
    <w:r>
      <w:rPr>
        <w:rFonts w:ascii="黑体" w:hAnsi="黑体" w:eastAsia="黑体"/>
      </w:rPr>
      <w:t xml:space="preserve">GB/T </w:t>
    </w:r>
    <w:r>
      <w:rPr>
        <w:rFonts w:hint="eastAsia" w:ascii="黑体" w:hAnsi="黑体" w:eastAsia="黑体"/>
      </w:rPr>
      <w:t>18114.11</w:t>
    </w:r>
    <w:r>
      <w:rPr>
        <w:rFonts w:ascii="黑体" w:hAnsi="黑体" w:eastAsia="黑体"/>
      </w:rPr>
      <w:t>—202</w:t>
    </w:r>
    <w:r>
      <w:rPr>
        <w:rFonts w:hint="eastAsia" w:ascii="黑体" w:hAnsi="黑体" w:eastAsia="黑体"/>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45546">
    <w:pPr>
      <w:pStyle w:val="100"/>
      <w:spacing w:after="0"/>
      <w:jc w:val="right"/>
      <w:rPr>
        <w:rFonts w:ascii="黑体" w:hAnsi="黑体" w:eastAsia="黑体"/>
      </w:rPr>
    </w:pPr>
    <w:r>
      <w:rPr>
        <w:rFonts w:ascii="黑体" w:hAnsi="黑体" w:eastAsia="黑体"/>
      </w:rPr>
      <w:t xml:space="preserve">GB/T </w:t>
    </w:r>
    <w:r>
      <w:rPr>
        <w:rFonts w:hint="eastAsia" w:ascii="黑体" w:hAnsi="黑体" w:eastAsia="黑体"/>
      </w:rPr>
      <w:t>18114.11</w:t>
    </w:r>
    <w:r>
      <w:rPr>
        <w:rFonts w:ascii="黑体" w:hAnsi="黑体" w:eastAsia="黑体"/>
      </w:rPr>
      <w:t>—202</w:t>
    </w:r>
    <w:r>
      <w:rPr>
        <w:rFonts w:hint="eastAsia" w:ascii="黑体" w:hAnsi="黑体" w:eastAsia="黑体"/>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8"/>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106"/>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9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6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0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8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110"/>
      <w:suff w:val="nothing"/>
      <w:lvlText w:val="附　录　%1"/>
      <w:lvlJc w:val="left"/>
      <w:pPr>
        <w:ind w:left="0" w:firstLine="0"/>
      </w:pPr>
      <w:rPr>
        <w:rFonts w:hint="eastAsia" w:ascii="黑体" w:hAnsi="Times New Roman" w:eastAsia="黑体"/>
        <w:b w:val="0"/>
        <w:i w:val="0"/>
        <w:sz w:val="21"/>
      </w:rPr>
    </w:lvl>
    <w:lvl w:ilvl="1" w:tentative="0">
      <w:start w:val="1"/>
      <w:numFmt w:val="decimal"/>
      <w:pStyle w:val="6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tentative="0">
      <w:start w:val="1"/>
      <w:numFmt w:val="decimal"/>
      <w:lvlText w:val="%1"/>
      <w:lvlJc w:val="left"/>
      <w:pPr>
        <w:tabs>
          <w:tab w:val="left" w:pos="360"/>
        </w:tabs>
        <w:ind w:left="360" w:hanging="360"/>
      </w:pPr>
      <w:rPr>
        <w:rFonts w:hint="default" w:ascii="黑体" w:hAnsi="黑体" w:eastAsia="黑体" w:cs="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CEA2025"/>
    <w:multiLevelType w:val="multilevel"/>
    <w:tmpl w:val="6CEA2025"/>
    <w:lvl w:ilvl="0" w:tentative="0">
      <w:start w:val="1"/>
      <w:numFmt w:val="none"/>
      <w:pStyle w:val="73"/>
      <w:suff w:val="nothing"/>
      <w:lvlText w:val="%1"/>
      <w:lvlJc w:val="left"/>
      <w:pPr>
        <w:ind w:left="0" w:firstLine="0"/>
      </w:pPr>
      <w:rPr>
        <w:rFonts w:hint="default" w:ascii="Times New Roman" w:hAnsi="Times New Roman"/>
        <w:b/>
        <w:i w:val="0"/>
        <w:sz w:val="21"/>
      </w:rPr>
    </w:lvl>
    <w:lvl w:ilvl="1" w:tentative="0">
      <w:start w:val="1"/>
      <w:numFmt w:val="decimal"/>
      <w:pStyle w:val="74"/>
      <w:suff w:val="nothing"/>
      <w:lvlText w:val="%1%2　"/>
      <w:lvlJc w:val="left"/>
      <w:pPr>
        <w:ind w:left="210" w:firstLine="0"/>
      </w:pPr>
      <w:rPr>
        <w:rFonts w:hint="eastAsia" w:ascii="黑体" w:hAnsi="Times New Roman" w:eastAsia="黑体"/>
        <w:b w:val="0"/>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69"/>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933334"/>
    <w:multiLevelType w:val="multilevel"/>
    <w:tmpl w:val="76933334"/>
    <w:lvl w:ilvl="0" w:tentative="0">
      <w:start w:val="1"/>
      <w:numFmt w:val="none"/>
      <w:pStyle w:val="8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9"/>
  </w:num>
  <w:num w:numId="4">
    <w:abstractNumId w:val="8"/>
  </w:num>
  <w:num w:numId="5">
    <w:abstractNumId w:val="0"/>
  </w:num>
  <w:num w:numId="6">
    <w:abstractNumId w:val="5"/>
  </w:num>
  <w:num w:numId="7">
    <w:abstractNumId w:val="10"/>
  </w:num>
  <w:num w:numId="8">
    <w:abstractNumId w:val="1"/>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42"/>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OGE0OTUwOGY4N2NmNTgyZDYyZmI1ZDZiMTkxM2UifQ=="/>
  </w:docVars>
  <w:rsids>
    <w:rsidRoot w:val="00CC1FA2"/>
    <w:rsid w:val="00002610"/>
    <w:rsid w:val="0000344F"/>
    <w:rsid w:val="00005240"/>
    <w:rsid w:val="00006808"/>
    <w:rsid w:val="00007D5F"/>
    <w:rsid w:val="000105BB"/>
    <w:rsid w:val="00010DD4"/>
    <w:rsid w:val="000120D5"/>
    <w:rsid w:val="00013E78"/>
    <w:rsid w:val="00014739"/>
    <w:rsid w:val="00014A89"/>
    <w:rsid w:val="00023099"/>
    <w:rsid w:val="00026D24"/>
    <w:rsid w:val="00031E13"/>
    <w:rsid w:val="000325A2"/>
    <w:rsid w:val="000355C8"/>
    <w:rsid w:val="0004107D"/>
    <w:rsid w:val="0004384B"/>
    <w:rsid w:val="000453C5"/>
    <w:rsid w:val="00046582"/>
    <w:rsid w:val="00050BC5"/>
    <w:rsid w:val="00051966"/>
    <w:rsid w:val="00052595"/>
    <w:rsid w:val="00053F77"/>
    <w:rsid w:val="00054F92"/>
    <w:rsid w:val="0005546F"/>
    <w:rsid w:val="00057184"/>
    <w:rsid w:val="00066270"/>
    <w:rsid w:val="0006798F"/>
    <w:rsid w:val="00072932"/>
    <w:rsid w:val="00072C0B"/>
    <w:rsid w:val="000747C7"/>
    <w:rsid w:val="00077F3F"/>
    <w:rsid w:val="000851A7"/>
    <w:rsid w:val="00085B2B"/>
    <w:rsid w:val="000A42E1"/>
    <w:rsid w:val="000A55E3"/>
    <w:rsid w:val="000B3B88"/>
    <w:rsid w:val="000B6052"/>
    <w:rsid w:val="000C0E23"/>
    <w:rsid w:val="000C4DD3"/>
    <w:rsid w:val="000C700F"/>
    <w:rsid w:val="000D3A7A"/>
    <w:rsid w:val="000D5520"/>
    <w:rsid w:val="000D6133"/>
    <w:rsid w:val="000E0FE8"/>
    <w:rsid w:val="000E1842"/>
    <w:rsid w:val="000E2F46"/>
    <w:rsid w:val="000F2B8D"/>
    <w:rsid w:val="000F4D50"/>
    <w:rsid w:val="000F5B2D"/>
    <w:rsid w:val="000F7E42"/>
    <w:rsid w:val="00104E6D"/>
    <w:rsid w:val="00107891"/>
    <w:rsid w:val="00110FD7"/>
    <w:rsid w:val="00113D86"/>
    <w:rsid w:val="00133528"/>
    <w:rsid w:val="00137C3F"/>
    <w:rsid w:val="00141917"/>
    <w:rsid w:val="00141EB1"/>
    <w:rsid w:val="0014536F"/>
    <w:rsid w:val="0015158E"/>
    <w:rsid w:val="00155929"/>
    <w:rsid w:val="00167C46"/>
    <w:rsid w:val="00167E30"/>
    <w:rsid w:val="00167EDE"/>
    <w:rsid w:val="001706F0"/>
    <w:rsid w:val="00170EC5"/>
    <w:rsid w:val="00175F26"/>
    <w:rsid w:val="001820CD"/>
    <w:rsid w:val="00183043"/>
    <w:rsid w:val="00186889"/>
    <w:rsid w:val="001908B3"/>
    <w:rsid w:val="00190EF5"/>
    <w:rsid w:val="00194581"/>
    <w:rsid w:val="001A1245"/>
    <w:rsid w:val="001A305E"/>
    <w:rsid w:val="001A501E"/>
    <w:rsid w:val="001A739B"/>
    <w:rsid w:val="001A7479"/>
    <w:rsid w:val="001B043C"/>
    <w:rsid w:val="001B0F0F"/>
    <w:rsid w:val="001B1FE3"/>
    <w:rsid w:val="001B3C18"/>
    <w:rsid w:val="001C26E8"/>
    <w:rsid w:val="001D241E"/>
    <w:rsid w:val="001D2F28"/>
    <w:rsid w:val="001D64EA"/>
    <w:rsid w:val="001E0094"/>
    <w:rsid w:val="001E473E"/>
    <w:rsid w:val="001E697D"/>
    <w:rsid w:val="001E776A"/>
    <w:rsid w:val="001F63E7"/>
    <w:rsid w:val="0020151E"/>
    <w:rsid w:val="002030FF"/>
    <w:rsid w:val="00205161"/>
    <w:rsid w:val="00205424"/>
    <w:rsid w:val="00207958"/>
    <w:rsid w:val="00211DA8"/>
    <w:rsid w:val="00214B0D"/>
    <w:rsid w:val="002217F4"/>
    <w:rsid w:val="00230428"/>
    <w:rsid w:val="002350C0"/>
    <w:rsid w:val="002374C4"/>
    <w:rsid w:val="002412C5"/>
    <w:rsid w:val="0024638D"/>
    <w:rsid w:val="00246E93"/>
    <w:rsid w:val="00247081"/>
    <w:rsid w:val="00247556"/>
    <w:rsid w:val="0025020D"/>
    <w:rsid w:val="002519E4"/>
    <w:rsid w:val="00252249"/>
    <w:rsid w:val="00252685"/>
    <w:rsid w:val="0025275C"/>
    <w:rsid w:val="002702F9"/>
    <w:rsid w:val="00270A2D"/>
    <w:rsid w:val="00274085"/>
    <w:rsid w:val="00284876"/>
    <w:rsid w:val="00284F26"/>
    <w:rsid w:val="00287DE8"/>
    <w:rsid w:val="00287FD1"/>
    <w:rsid w:val="00291190"/>
    <w:rsid w:val="002931DC"/>
    <w:rsid w:val="00295856"/>
    <w:rsid w:val="002A3871"/>
    <w:rsid w:val="002A4497"/>
    <w:rsid w:val="002A6472"/>
    <w:rsid w:val="002A687E"/>
    <w:rsid w:val="002B6AE2"/>
    <w:rsid w:val="002D54FB"/>
    <w:rsid w:val="002F04F9"/>
    <w:rsid w:val="002F33BD"/>
    <w:rsid w:val="002F5977"/>
    <w:rsid w:val="002F6208"/>
    <w:rsid w:val="00300AEC"/>
    <w:rsid w:val="003026AB"/>
    <w:rsid w:val="0030573C"/>
    <w:rsid w:val="003119D4"/>
    <w:rsid w:val="00315FF9"/>
    <w:rsid w:val="00316DA9"/>
    <w:rsid w:val="00320263"/>
    <w:rsid w:val="00323663"/>
    <w:rsid w:val="0033673D"/>
    <w:rsid w:val="00344BE8"/>
    <w:rsid w:val="00345108"/>
    <w:rsid w:val="00345AB2"/>
    <w:rsid w:val="00355187"/>
    <w:rsid w:val="00356BB4"/>
    <w:rsid w:val="003614E7"/>
    <w:rsid w:val="00361572"/>
    <w:rsid w:val="003676D6"/>
    <w:rsid w:val="0037152F"/>
    <w:rsid w:val="00371E43"/>
    <w:rsid w:val="003721F7"/>
    <w:rsid w:val="00373CAB"/>
    <w:rsid w:val="0037633C"/>
    <w:rsid w:val="00377C23"/>
    <w:rsid w:val="00385B77"/>
    <w:rsid w:val="00392F61"/>
    <w:rsid w:val="00394D3D"/>
    <w:rsid w:val="00395F91"/>
    <w:rsid w:val="0039612B"/>
    <w:rsid w:val="003A0401"/>
    <w:rsid w:val="003A1377"/>
    <w:rsid w:val="003A1CF5"/>
    <w:rsid w:val="003A64F1"/>
    <w:rsid w:val="003B4220"/>
    <w:rsid w:val="003B6513"/>
    <w:rsid w:val="003B7392"/>
    <w:rsid w:val="003C108E"/>
    <w:rsid w:val="003C1FAB"/>
    <w:rsid w:val="003C2AD7"/>
    <w:rsid w:val="003D5732"/>
    <w:rsid w:val="003E24C6"/>
    <w:rsid w:val="003E374D"/>
    <w:rsid w:val="003E66E4"/>
    <w:rsid w:val="003F3095"/>
    <w:rsid w:val="003F7E93"/>
    <w:rsid w:val="00407CF0"/>
    <w:rsid w:val="00415E4E"/>
    <w:rsid w:val="00422292"/>
    <w:rsid w:val="00422E92"/>
    <w:rsid w:val="00422FF6"/>
    <w:rsid w:val="00424670"/>
    <w:rsid w:val="0042736B"/>
    <w:rsid w:val="00427B74"/>
    <w:rsid w:val="00431D08"/>
    <w:rsid w:val="00436D25"/>
    <w:rsid w:val="0044118E"/>
    <w:rsid w:val="00445CBB"/>
    <w:rsid w:val="00450C5B"/>
    <w:rsid w:val="00454066"/>
    <w:rsid w:val="00455C94"/>
    <w:rsid w:val="00456E51"/>
    <w:rsid w:val="00460FEF"/>
    <w:rsid w:val="0046470E"/>
    <w:rsid w:val="004676BA"/>
    <w:rsid w:val="00473D25"/>
    <w:rsid w:val="00482952"/>
    <w:rsid w:val="00490AFF"/>
    <w:rsid w:val="00494988"/>
    <w:rsid w:val="00495897"/>
    <w:rsid w:val="00497F56"/>
    <w:rsid w:val="004A0D2E"/>
    <w:rsid w:val="004A1F38"/>
    <w:rsid w:val="004A20BC"/>
    <w:rsid w:val="004A4B00"/>
    <w:rsid w:val="004A7F30"/>
    <w:rsid w:val="004B0FBE"/>
    <w:rsid w:val="004B2895"/>
    <w:rsid w:val="004B5937"/>
    <w:rsid w:val="004B5F26"/>
    <w:rsid w:val="004C55A3"/>
    <w:rsid w:val="004C77D5"/>
    <w:rsid w:val="004D127D"/>
    <w:rsid w:val="004D40FF"/>
    <w:rsid w:val="004D4588"/>
    <w:rsid w:val="004D50E4"/>
    <w:rsid w:val="004E35CE"/>
    <w:rsid w:val="004E5327"/>
    <w:rsid w:val="004E711D"/>
    <w:rsid w:val="004F2E14"/>
    <w:rsid w:val="004F4143"/>
    <w:rsid w:val="004F7B44"/>
    <w:rsid w:val="00504E87"/>
    <w:rsid w:val="00505F45"/>
    <w:rsid w:val="005113A7"/>
    <w:rsid w:val="00513380"/>
    <w:rsid w:val="00521432"/>
    <w:rsid w:val="005247F2"/>
    <w:rsid w:val="00524BF5"/>
    <w:rsid w:val="00526615"/>
    <w:rsid w:val="00526A44"/>
    <w:rsid w:val="005271E7"/>
    <w:rsid w:val="005273F5"/>
    <w:rsid w:val="00542AFE"/>
    <w:rsid w:val="0054496F"/>
    <w:rsid w:val="00554E66"/>
    <w:rsid w:val="00563695"/>
    <w:rsid w:val="00565F26"/>
    <w:rsid w:val="00566228"/>
    <w:rsid w:val="005679C3"/>
    <w:rsid w:val="005748E3"/>
    <w:rsid w:val="00574C5F"/>
    <w:rsid w:val="00582B18"/>
    <w:rsid w:val="00586781"/>
    <w:rsid w:val="00590962"/>
    <w:rsid w:val="005922A8"/>
    <w:rsid w:val="00595703"/>
    <w:rsid w:val="005A0F20"/>
    <w:rsid w:val="005A3F42"/>
    <w:rsid w:val="005A3FC9"/>
    <w:rsid w:val="005B0C36"/>
    <w:rsid w:val="005B3B1A"/>
    <w:rsid w:val="005B619E"/>
    <w:rsid w:val="005B7330"/>
    <w:rsid w:val="005C02EC"/>
    <w:rsid w:val="005C546C"/>
    <w:rsid w:val="005D21AF"/>
    <w:rsid w:val="005D2BF3"/>
    <w:rsid w:val="005D46C6"/>
    <w:rsid w:val="005D4E07"/>
    <w:rsid w:val="005D6753"/>
    <w:rsid w:val="005E21C7"/>
    <w:rsid w:val="005E5677"/>
    <w:rsid w:val="005E660A"/>
    <w:rsid w:val="005F055D"/>
    <w:rsid w:val="00607440"/>
    <w:rsid w:val="00610070"/>
    <w:rsid w:val="0062560B"/>
    <w:rsid w:val="00626943"/>
    <w:rsid w:val="00630A97"/>
    <w:rsid w:val="00632DE1"/>
    <w:rsid w:val="00634B13"/>
    <w:rsid w:val="00634B6B"/>
    <w:rsid w:val="006417D4"/>
    <w:rsid w:val="00641F4B"/>
    <w:rsid w:val="006475D5"/>
    <w:rsid w:val="006533B2"/>
    <w:rsid w:val="00656D13"/>
    <w:rsid w:val="00661A03"/>
    <w:rsid w:val="006663E2"/>
    <w:rsid w:val="0067416A"/>
    <w:rsid w:val="006758AE"/>
    <w:rsid w:val="00683F0E"/>
    <w:rsid w:val="00684287"/>
    <w:rsid w:val="0069309D"/>
    <w:rsid w:val="006A4C94"/>
    <w:rsid w:val="006A6467"/>
    <w:rsid w:val="006A68EC"/>
    <w:rsid w:val="006B26AF"/>
    <w:rsid w:val="006C1939"/>
    <w:rsid w:val="006C404D"/>
    <w:rsid w:val="006C559D"/>
    <w:rsid w:val="006C7067"/>
    <w:rsid w:val="006D16E8"/>
    <w:rsid w:val="006D2DB7"/>
    <w:rsid w:val="006D5B27"/>
    <w:rsid w:val="006D5E7C"/>
    <w:rsid w:val="006E6E4E"/>
    <w:rsid w:val="006F4723"/>
    <w:rsid w:val="006F71C7"/>
    <w:rsid w:val="0070090B"/>
    <w:rsid w:val="00702A97"/>
    <w:rsid w:val="00702DB6"/>
    <w:rsid w:val="0070519E"/>
    <w:rsid w:val="007051D3"/>
    <w:rsid w:val="00706CEB"/>
    <w:rsid w:val="0070742C"/>
    <w:rsid w:val="007100BC"/>
    <w:rsid w:val="0071292A"/>
    <w:rsid w:val="00717838"/>
    <w:rsid w:val="007262CC"/>
    <w:rsid w:val="0072799F"/>
    <w:rsid w:val="00727F75"/>
    <w:rsid w:val="007358FF"/>
    <w:rsid w:val="00735A77"/>
    <w:rsid w:val="00741669"/>
    <w:rsid w:val="00754B0D"/>
    <w:rsid w:val="007551AC"/>
    <w:rsid w:val="00755392"/>
    <w:rsid w:val="0076286C"/>
    <w:rsid w:val="00764F1E"/>
    <w:rsid w:val="00774693"/>
    <w:rsid w:val="007747BC"/>
    <w:rsid w:val="0077603E"/>
    <w:rsid w:val="00776464"/>
    <w:rsid w:val="0077687C"/>
    <w:rsid w:val="00776E92"/>
    <w:rsid w:val="007815C6"/>
    <w:rsid w:val="00782410"/>
    <w:rsid w:val="00783CD6"/>
    <w:rsid w:val="00785233"/>
    <w:rsid w:val="00791040"/>
    <w:rsid w:val="0079432C"/>
    <w:rsid w:val="007A2588"/>
    <w:rsid w:val="007A6D2F"/>
    <w:rsid w:val="007A765A"/>
    <w:rsid w:val="007B0AAF"/>
    <w:rsid w:val="007B1630"/>
    <w:rsid w:val="007B2330"/>
    <w:rsid w:val="007B338C"/>
    <w:rsid w:val="007B5D8C"/>
    <w:rsid w:val="007B63E2"/>
    <w:rsid w:val="007B7BBD"/>
    <w:rsid w:val="007B7C1D"/>
    <w:rsid w:val="007C25BD"/>
    <w:rsid w:val="007C43B0"/>
    <w:rsid w:val="007C6CE9"/>
    <w:rsid w:val="007D51D0"/>
    <w:rsid w:val="007D7704"/>
    <w:rsid w:val="007E0739"/>
    <w:rsid w:val="007E3C2E"/>
    <w:rsid w:val="007F16F9"/>
    <w:rsid w:val="007F3FA0"/>
    <w:rsid w:val="007F7BB1"/>
    <w:rsid w:val="0080593B"/>
    <w:rsid w:val="00810700"/>
    <w:rsid w:val="00811378"/>
    <w:rsid w:val="00812A88"/>
    <w:rsid w:val="00813137"/>
    <w:rsid w:val="00815DC2"/>
    <w:rsid w:val="00816405"/>
    <w:rsid w:val="00822D66"/>
    <w:rsid w:val="0082370B"/>
    <w:rsid w:val="00823BB3"/>
    <w:rsid w:val="0082461F"/>
    <w:rsid w:val="00825DF1"/>
    <w:rsid w:val="008320D0"/>
    <w:rsid w:val="00832819"/>
    <w:rsid w:val="00835BE5"/>
    <w:rsid w:val="00836DA0"/>
    <w:rsid w:val="008376F8"/>
    <w:rsid w:val="00837BD3"/>
    <w:rsid w:val="00837DAD"/>
    <w:rsid w:val="008425A7"/>
    <w:rsid w:val="00845CEE"/>
    <w:rsid w:val="00846726"/>
    <w:rsid w:val="00851BA3"/>
    <w:rsid w:val="00852BB4"/>
    <w:rsid w:val="00854181"/>
    <w:rsid w:val="00856884"/>
    <w:rsid w:val="00863AD9"/>
    <w:rsid w:val="00867FD1"/>
    <w:rsid w:val="00871359"/>
    <w:rsid w:val="00874F07"/>
    <w:rsid w:val="00882036"/>
    <w:rsid w:val="00882545"/>
    <w:rsid w:val="008978AF"/>
    <w:rsid w:val="008A1061"/>
    <w:rsid w:val="008A36C7"/>
    <w:rsid w:val="008A379B"/>
    <w:rsid w:val="008A4F6A"/>
    <w:rsid w:val="008A50AA"/>
    <w:rsid w:val="008B172E"/>
    <w:rsid w:val="008B2931"/>
    <w:rsid w:val="008B386B"/>
    <w:rsid w:val="008C0B96"/>
    <w:rsid w:val="008C7C59"/>
    <w:rsid w:val="008D123C"/>
    <w:rsid w:val="008D3DC5"/>
    <w:rsid w:val="008D6579"/>
    <w:rsid w:val="008D68FF"/>
    <w:rsid w:val="008E0C26"/>
    <w:rsid w:val="008E1E11"/>
    <w:rsid w:val="008E2211"/>
    <w:rsid w:val="008E57BC"/>
    <w:rsid w:val="008E67CC"/>
    <w:rsid w:val="008F357B"/>
    <w:rsid w:val="00901DFE"/>
    <w:rsid w:val="00904D44"/>
    <w:rsid w:val="00906D73"/>
    <w:rsid w:val="0090722C"/>
    <w:rsid w:val="0091236D"/>
    <w:rsid w:val="00913EE6"/>
    <w:rsid w:val="0092257C"/>
    <w:rsid w:val="009231CE"/>
    <w:rsid w:val="009333ED"/>
    <w:rsid w:val="00935104"/>
    <w:rsid w:val="00937850"/>
    <w:rsid w:val="00945A50"/>
    <w:rsid w:val="00954B2A"/>
    <w:rsid w:val="00957CA1"/>
    <w:rsid w:val="0097111A"/>
    <w:rsid w:val="009754BD"/>
    <w:rsid w:val="00975F49"/>
    <w:rsid w:val="00976BEC"/>
    <w:rsid w:val="009806D1"/>
    <w:rsid w:val="00982278"/>
    <w:rsid w:val="00984D85"/>
    <w:rsid w:val="0098540A"/>
    <w:rsid w:val="00992E7F"/>
    <w:rsid w:val="00994D33"/>
    <w:rsid w:val="009962D3"/>
    <w:rsid w:val="00996482"/>
    <w:rsid w:val="009A452A"/>
    <w:rsid w:val="009A5919"/>
    <w:rsid w:val="009A5ACA"/>
    <w:rsid w:val="009C2E7D"/>
    <w:rsid w:val="009C49D8"/>
    <w:rsid w:val="009D07B4"/>
    <w:rsid w:val="009D2028"/>
    <w:rsid w:val="009E3C46"/>
    <w:rsid w:val="009E4552"/>
    <w:rsid w:val="00A02471"/>
    <w:rsid w:val="00A03EDF"/>
    <w:rsid w:val="00A0543D"/>
    <w:rsid w:val="00A0673F"/>
    <w:rsid w:val="00A10887"/>
    <w:rsid w:val="00A10E86"/>
    <w:rsid w:val="00A12F01"/>
    <w:rsid w:val="00A14DB5"/>
    <w:rsid w:val="00A15998"/>
    <w:rsid w:val="00A160C0"/>
    <w:rsid w:val="00A172E1"/>
    <w:rsid w:val="00A21BE9"/>
    <w:rsid w:val="00A2284F"/>
    <w:rsid w:val="00A3013A"/>
    <w:rsid w:val="00A324D2"/>
    <w:rsid w:val="00A325CA"/>
    <w:rsid w:val="00A44792"/>
    <w:rsid w:val="00A52751"/>
    <w:rsid w:val="00A603DC"/>
    <w:rsid w:val="00A638D7"/>
    <w:rsid w:val="00A66CD4"/>
    <w:rsid w:val="00A71D85"/>
    <w:rsid w:val="00A72035"/>
    <w:rsid w:val="00A77055"/>
    <w:rsid w:val="00A77C64"/>
    <w:rsid w:val="00A77EED"/>
    <w:rsid w:val="00A804E6"/>
    <w:rsid w:val="00A80C09"/>
    <w:rsid w:val="00A81FB6"/>
    <w:rsid w:val="00A82420"/>
    <w:rsid w:val="00A852B7"/>
    <w:rsid w:val="00A86AF7"/>
    <w:rsid w:val="00A94664"/>
    <w:rsid w:val="00AA2166"/>
    <w:rsid w:val="00AA3E2F"/>
    <w:rsid w:val="00AA48EC"/>
    <w:rsid w:val="00AB4660"/>
    <w:rsid w:val="00AB73CC"/>
    <w:rsid w:val="00AC309C"/>
    <w:rsid w:val="00AC4C05"/>
    <w:rsid w:val="00AC7EE8"/>
    <w:rsid w:val="00AD195C"/>
    <w:rsid w:val="00AD3362"/>
    <w:rsid w:val="00AD37B6"/>
    <w:rsid w:val="00AD45FF"/>
    <w:rsid w:val="00AD6600"/>
    <w:rsid w:val="00AD7EC1"/>
    <w:rsid w:val="00AE29C1"/>
    <w:rsid w:val="00AE5126"/>
    <w:rsid w:val="00AF5014"/>
    <w:rsid w:val="00AF61CD"/>
    <w:rsid w:val="00B002B0"/>
    <w:rsid w:val="00B007EF"/>
    <w:rsid w:val="00B04494"/>
    <w:rsid w:val="00B06EC3"/>
    <w:rsid w:val="00B10C97"/>
    <w:rsid w:val="00B142A9"/>
    <w:rsid w:val="00B217A4"/>
    <w:rsid w:val="00B223CD"/>
    <w:rsid w:val="00B30A0D"/>
    <w:rsid w:val="00B35B0C"/>
    <w:rsid w:val="00B35B52"/>
    <w:rsid w:val="00B3661B"/>
    <w:rsid w:val="00B377FD"/>
    <w:rsid w:val="00B41B11"/>
    <w:rsid w:val="00B4378D"/>
    <w:rsid w:val="00B440A5"/>
    <w:rsid w:val="00B47553"/>
    <w:rsid w:val="00B47C8B"/>
    <w:rsid w:val="00B505F1"/>
    <w:rsid w:val="00B55C7C"/>
    <w:rsid w:val="00B55D36"/>
    <w:rsid w:val="00B60EF0"/>
    <w:rsid w:val="00B83F98"/>
    <w:rsid w:val="00B93985"/>
    <w:rsid w:val="00B9443C"/>
    <w:rsid w:val="00B94FA8"/>
    <w:rsid w:val="00BA066D"/>
    <w:rsid w:val="00BA126A"/>
    <w:rsid w:val="00BA2F32"/>
    <w:rsid w:val="00BA3368"/>
    <w:rsid w:val="00BA3A86"/>
    <w:rsid w:val="00BB411E"/>
    <w:rsid w:val="00BB7D3F"/>
    <w:rsid w:val="00BC50CE"/>
    <w:rsid w:val="00BC561F"/>
    <w:rsid w:val="00BC69EE"/>
    <w:rsid w:val="00BD1CA2"/>
    <w:rsid w:val="00BD5FB7"/>
    <w:rsid w:val="00BD775F"/>
    <w:rsid w:val="00BE05EA"/>
    <w:rsid w:val="00BE0CBF"/>
    <w:rsid w:val="00BE50A3"/>
    <w:rsid w:val="00BE6377"/>
    <w:rsid w:val="00BE6AC5"/>
    <w:rsid w:val="00BF1053"/>
    <w:rsid w:val="00BF1151"/>
    <w:rsid w:val="00BF2738"/>
    <w:rsid w:val="00C028A9"/>
    <w:rsid w:val="00C03D11"/>
    <w:rsid w:val="00C06708"/>
    <w:rsid w:val="00C160D6"/>
    <w:rsid w:val="00C16AD1"/>
    <w:rsid w:val="00C2235F"/>
    <w:rsid w:val="00C23078"/>
    <w:rsid w:val="00C30693"/>
    <w:rsid w:val="00C31882"/>
    <w:rsid w:val="00C34FD5"/>
    <w:rsid w:val="00C376C3"/>
    <w:rsid w:val="00C4232B"/>
    <w:rsid w:val="00C42B5C"/>
    <w:rsid w:val="00C4409D"/>
    <w:rsid w:val="00C5084A"/>
    <w:rsid w:val="00C513CD"/>
    <w:rsid w:val="00C526A6"/>
    <w:rsid w:val="00C52BA0"/>
    <w:rsid w:val="00C6237C"/>
    <w:rsid w:val="00C638E5"/>
    <w:rsid w:val="00C64269"/>
    <w:rsid w:val="00C73A4B"/>
    <w:rsid w:val="00C73ABB"/>
    <w:rsid w:val="00C756C4"/>
    <w:rsid w:val="00C808D7"/>
    <w:rsid w:val="00C84984"/>
    <w:rsid w:val="00C84A9B"/>
    <w:rsid w:val="00C853E1"/>
    <w:rsid w:val="00C936A2"/>
    <w:rsid w:val="00CA31C9"/>
    <w:rsid w:val="00CA3A11"/>
    <w:rsid w:val="00CA4166"/>
    <w:rsid w:val="00CA5A15"/>
    <w:rsid w:val="00CA714B"/>
    <w:rsid w:val="00CB06B0"/>
    <w:rsid w:val="00CB1EB0"/>
    <w:rsid w:val="00CB3241"/>
    <w:rsid w:val="00CB3690"/>
    <w:rsid w:val="00CB3B56"/>
    <w:rsid w:val="00CB5F61"/>
    <w:rsid w:val="00CB729D"/>
    <w:rsid w:val="00CC1FA2"/>
    <w:rsid w:val="00CC490B"/>
    <w:rsid w:val="00CD2C0A"/>
    <w:rsid w:val="00CD3599"/>
    <w:rsid w:val="00CD66B1"/>
    <w:rsid w:val="00CE5529"/>
    <w:rsid w:val="00CE712D"/>
    <w:rsid w:val="00CF0CF2"/>
    <w:rsid w:val="00CF1AC7"/>
    <w:rsid w:val="00CF22BE"/>
    <w:rsid w:val="00CF4B40"/>
    <w:rsid w:val="00CF4C1D"/>
    <w:rsid w:val="00CF5A79"/>
    <w:rsid w:val="00CF79D5"/>
    <w:rsid w:val="00D008FD"/>
    <w:rsid w:val="00D01217"/>
    <w:rsid w:val="00D037D9"/>
    <w:rsid w:val="00D05205"/>
    <w:rsid w:val="00D11129"/>
    <w:rsid w:val="00D12F8B"/>
    <w:rsid w:val="00D15E99"/>
    <w:rsid w:val="00D1764C"/>
    <w:rsid w:val="00D21EB5"/>
    <w:rsid w:val="00D2683A"/>
    <w:rsid w:val="00D33D7C"/>
    <w:rsid w:val="00D34C82"/>
    <w:rsid w:val="00D356A8"/>
    <w:rsid w:val="00D36FB7"/>
    <w:rsid w:val="00D4021A"/>
    <w:rsid w:val="00D40EBE"/>
    <w:rsid w:val="00D423F8"/>
    <w:rsid w:val="00D44BDD"/>
    <w:rsid w:val="00D45293"/>
    <w:rsid w:val="00D47C57"/>
    <w:rsid w:val="00D51C55"/>
    <w:rsid w:val="00D64DE4"/>
    <w:rsid w:val="00D70128"/>
    <w:rsid w:val="00D779F7"/>
    <w:rsid w:val="00D83D78"/>
    <w:rsid w:val="00D850F7"/>
    <w:rsid w:val="00D92A6F"/>
    <w:rsid w:val="00D939B6"/>
    <w:rsid w:val="00D9561B"/>
    <w:rsid w:val="00D95D26"/>
    <w:rsid w:val="00DA2875"/>
    <w:rsid w:val="00DA5BA5"/>
    <w:rsid w:val="00DB4790"/>
    <w:rsid w:val="00DB59B5"/>
    <w:rsid w:val="00DB5D7B"/>
    <w:rsid w:val="00DC2590"/>
    <w:rsid w:val="00DD0844"/>
    <w:rsid w:val="00DD4D22"/>
    <w:rsid w:val="00DE15F4"/>
    <w:rsid w:val="00DE4D65"/>
    <w:rsid w:val="00DF6E0D"/>
    <w:rsid w:val="00DF70A6"/>
    <w:rsid w:val="00E03DF1"/>
    <w:rsid w:val="00E050C4"/>
    <w:rsid w:val="00E07A71"/>
    <w:rsid w:val="00E120FE"/>
    <w:rsid w:val="00E16338"/>
    <w:rsid w:val="00E26852"/>
    <w:rsid w:val="00E2753E"/>
    <w:rsid w:val="00E27BBD"/>
    <w:rsid w:val="00E31896"/>
    <w:rsid w:val="00E35654"/>
    <w:rsid w:val="00E3677E"/>
    <w:rsid w:val="00E375FF"/>
    <w:rsid w:val="00E40345"/>
    <w:rsid w:val="00E4215E"/>
    <w:rsid w:val="00E42A57"/>
    <w:rsid w:val="00E46241"/>
    <w:rsid w:val="00E51750"/>
    <w:rsid w:val="00E52AAD"/>
    <w:rsid w:val="00E535C7"/>
    <w:rsid w:val="00E56D5D"/>
    <w:rsid w:val="00E57413"/>
    <w:rsid w:val="00E577AD"/>
    <w:rsid w:val="00E62095"/>
    <w:rsid w:val="00E64E25"/>
    <w:rsid w:val="00E67C3E"/>
    <w:rsid w:val="00E73BAE"/>
    <w:rsid w:val="00E8000F"/>
    <w:rsid w:val="00E86E17"/>
    <w:rsid w:val="00E95438"/>
    <w:rsid w:val="00E954E6"/>
    <w:rsid w:val="00E954F0"/>
    <w:rsid w:val="00E96103"/>
    <w:rsid w:val="00E9762D"/>
    <w:rsid w:val="00EA0529"/>
    <w:rsid w:val="00EA5FF5"/>
    <w:rsid w:val="00EB22EE"/>
    <w:rsid w:val="00EB4052"/>
    <w:rsid w:val="00EB57F1"/>
    <w:rsid w:val="00EB6EF0"/>
    <w:rsid w:val="00EB735D"/>
    <w:rsid w:val="00EC227F"/>
    <w:rsid w:val="00EC2952"/>
    <w:rsid w:val="00EC7C05"/>
    <w:rsid w:val="00ED5FAA"/>
    <w:rsid w:val="00EE1E5D"/>
    <w:rsid w:val="00EE27BE"/>
    <w:rsid w:val="00EE5E19"/>
    <w:rsid w:val="00EE7C18"/>
    <w:rsid w:val="00EF3FAF"/>
    <w:rsid w:val="00EF4DCF"/>
    <w:rsid w:val="00F00045"/>
    <w:rsid w:val="00F05E42"/>
    <w:rsid w:val="00F06008"/>
    <w:rsid w:val="00F1031A"/>
    <w:rsid w:val="00F1467B"/>
    <w:rsid w:val="00F17B66"/>
    <w:rsid w:val="00F23515"/>
    <w:rsid w:val="00F2370A"/>
    <w:rsid w:val="00F32114"/>
    <w:rsid w:val="00F33DF4"/>
    <w:rsid w:val="00F355E3"/>
    <w:rsid w:val="00F3608B"/>
    <w:rsid w:val="00F36E57"/>
    <w:rsid w:val="00F373FA"/>
    <w:rsid w:val="00F40146"/>
    <w:rsid w:val="00F409AF"/>
    <w:rsid w:val="00F5129F"/>
    <w:rsid w:val="00F53C23"/>
    <w:rsid w:val="00F60151"/>
    <w:rsid w:val="00F62897"/>
    <w:rsid w:val="00F63534"/>
    <w:rsid w:val="00F74778"/>
    <w:rsid w:val="00F749B0"/>
    <w:rsid w:val="00F80C14"/>
    <w:rsid w:val="00F85487"/>
    <w:rsid w:val="00F97020"/>
    <w:rsid w:val="00FA105A"/>
    <w:rsid w:val="00FA6C69"/>
    <w:rsid w:val="00FB0ED7"/>
    <w:rsid w:val="00FB3A39"/>
    <w:rsid w:val="00FB6B90"/>
    <w:rsid w:val="00FB7993"/>
    <w:rsid w:val="00FC0A9F"/>
    <w:rsid w:val="00FD0BA3"/>
    <w:rsid w:val="00FE25ED"/>
    <w:rsid w:val="00FE5F72"/>
    <w:rsid w:val="00FE761B"/>
    <w:rsid w:val="00FF1455"/>
    <w:rsid w:val="015F4109"/>
    <w:rsid w:val="021D391B"/>
    <w:rsid w:val="03112A41"/>
    <w:rsid w:val="03130A11"/>
    <w:rsid w:val="03F90AE6"/>
    <w:rsid w:val="043E488E"/>
    <w:rsid w:val="04DA7483"/>
    <w:rsid w:val="053A63E8"/>
    <w:rsid w:val="0639670C"/>
    <w:rsid w:val="06AC0A08"/>
    <w:rsid w:val="06C515E5"/>
    <w:rsid w:val="06C645D8"/>
    <w:rsid w:val="07675C76"/>
    <w:rsid w:val="07C72E2F"/>
    <w:rsid w:val="084F4AED"/>
    <w:rsid w:val="086F18EA"/>
    <w:rsid w:val="09667F5C"/>
    <w:rsid w:val="09864BCA"/>
    <w:rsid w:val="099312FD"/>
    <w:rsid w:val="0A0C2682"/>
    <w:rsid w:val="0A4D38B3"/>
    <w:rsid w:val="0AA32563"/>
    <w:rsid w:val="0AD27C05"/>
    <w:rsid w:val="0AEB30B8"/>
    <w:rsid w:val="0AF71DB6"/>
    <w:rsid w:val="0B9156DD"/>
    <w:rsid w:val="0BFE15A2"/>
    <w:rsid w:val="0C231496"/>
    <w:rsid w:val="0C874EE1"/>
    <w:rsid w:val="0CC40930"/>
    <w:rsid w:val="0D0802C8"/>
    <w:rsid w:val="0D0B5E0F"/>
    <w:rsid w:val="0D257A91"/>
    <w:rsid w:val="0DA33866"/>
    <w:rsid w:val="0DA9043F"/>
    <w:rsid w:val="0DEB76F2"/>
    <w:rsid w:val="0EA229CD"/>
    <w:rsid w:val="0FCE263A"/>
    <w:rsid w:val="0FF56606"/>
    <w:rsid w:val="102C15DC"/>
    <w:rsid w:val="10790082"/>
    <w:rsid w:val="108F3E01"/>
    <w:rsid w:val="10A90BB5"/>
    <w:rsid w:val="10B349F6"/>
    <w:rsid w:val="10D46A26"/>
    <w:rsid w:val="11315C5B"/>
    <w:rsid w:val="11A4521E"/>
    <w:rsid w:val="11E50338"/>
    <w:rsid w:val="11FF59BF"/>
    <w:rsid w:val="12B15EBF"/>
    <w:rsid w:val="12B5759A"/>
    <w:rsid w:val="12CC1E0B"/>
    <w:rsid w:val="132F7D3F"/>
    <w:rsid w:val="13554C23"/>
    <w:rsid w:val="136C1425"/>
    <w:rsid w:val="13A40F9B"/>
    <w:rsid w:val="13D13EB9"/>
    <w:rsid w:val="153A0202"/>
    <w:rsid w:val="15594E76"/>
    <w:rsid w:val="15BA1700"/>
    <w:rsid w:val="163D39B8"/>
    <w:rsid w:val="16932E9C"/>
    <w:rsid w:val="169A1A92"/>
    <w:rsid w:val="174B0D9F"/>
    <w:rsid w:val="17562080"/>
    <w:rsid w:val="17A042B9"/>
    <w:rsid w:val="17C0471D"/>
    <w:rsid w:val="180E0CC0"/>
    <w:rsid w:val="181A1D46"/>
    <w:rsid w:val="18283B15"/>
    <w:rsid w:val="1843707B"/>
    <w:rsid w:val="18BA089C"/>
    <w:rsid w:val="18E67433"/>
    <w:rsid w:val="19B450BF"/>
    <w:rsid w:val="19F822EC"/>
    <w:rsid w:val="1A4C52BF"/>
    <w:rsid w:val="1A5503F0"/>
    <w:rsid w:val="1A6B3399"/>
    <w:rsid w:val="1AA07514"/>
    <w:rsid w:val="1ABE6F31"/>
    <w:rsid w:val="1AF26D6C"/>
    <w:rsid w:val="1AFD67FA"/>
    <w:rsid w:val="1B3B0CD5"/>
    <w:rsid w:val="1B683762"/>
    <w:rsid w:val="1BA103AC"/>
    <w:rsid w:val="1BE8658C"/>
    <w:rsid w:val="1C551710"/>
    <w:rsid w:val="1C987B51"/>
    <w:rsid w:val="1C9B2A3F"/>
    <w:rsid w:val="1D250EB1"/>
    <w:rsid w:val="1D5D2F1D"/>
    <w:rsid w:val="1D836882"/>
    <w:rsid w:val="1DE3568D"/>
    <w:rsid w:val="1E580DC1"/>
    <w:rsid w:val="1E8E51A0"/>
    <w:rsid w:val="1E9A1D20"/>
    <w:rsid w:val="1E9E4C6F"/>
    <w:rsid w:val="1EDE7AAE"/>
    <w:rsid w:val="1F160A01"/>
    <w:rsid w:val="1F387B68"/>
    <w:rsid w:val="1F8E4729"/>
    <w:rsid w:val="1FD04999"/>
    <w:rsid w:val="1FD54F7B"/>
    <w:rsid w:val="2006252C"/>
    <w:rsid w:val="20115428"/>
    <w:rsid w:val="20706917"/>
    <w:rsid w:val="21E5750C"/>
    <w:rsid w:val="22785194"/>
    <w:rsid w:val="22805E36"/>
    <w:rsid w:val="231D1783"/>
    <w:rsid w:val="245D38E3"/>
    <w:rsid w:val="24840783"/>
    <w:rsid w:val="249D0564"/>
    <w:rsid w:val="253A423C"/>
    <w:rsid w:val="255426AC"/>
    <w:rsid w:val="25680762"/>
    <w:rsid w:val="25C04C02"/>
    <w:rsid w:val="25D96BB9"/>
    <w:rsid w:val="26506209"/>
    <w:rsid w:val="26A036EA"/>
    <w:rsid w:val="27406324"/>
    <w:rsid w:val="27822DB6"/>
    <w:rsid w:val="27EB40C3"/>
    <w:rsid w:val="284B24CB"/>
    <w:rsid w:val="2889054C"/>
    <w:rsid w:val="28BB6AFD"/>
    <w:rsid w:val="28BF2919"/>
    <w:rsid w:val="299E005F"/>
    <w:rsid w:val="29B70979"/>
    <w:rsid w:val="2A944F41"/>
    <w:rsid w:val="2AFF0827"/>
    <w:rsid w:val="2B0B0423"/>
    <w:rsid w:val="2B31595B"/>
    <w:rsid w:val="2B614E00"/>
    <w:rsid w:val="2BBE56A2"/>
    <w:rsid w:val="2BDE4ADB"/>
    <w:rsid w:val="2BF950DA"/>
    <w:rsid w:val="2C53423F"/>
    <w:rsid w:val="2C6170A5"/>
    <w:rsid w:val="2C737595"/>
    <w:rsid w:val="2C8C73FD"/>
    <w:rsid w:val="2CA326B1"/>
    <w:rsid w:val="2D4060B1"/>
    <w:rsid w:val="2DEC1052"/>
    <w:rsid w:val="2E156474"/>
    <w:rsid w:val="2E3F4F0B"/>
    <w:rsid w:val="2E4F5F03"/>
    <w:rsid w:val="2E664ECD"/>
    <w:rsid w:val="2E795944"/>
    <w:rsid w:val="2F4777E6"/>
    <w:rsid w:val="2F8E7A3B"/>
    <w:rsid w:val="2F8F69AC"/>
    <w:rsid w:val="2FA25307"/>
    <w:rsid w:val="2FBF3CD4"/>
    <w:rsid w:val="2FF748EB"/>
    <w:rsid w:val="300211EF"/>
    <w:rsid w:val="30263335"/>
    <w:rsid w:val="307A5B16"/>
    <w:rsid w:val="30A627B0"/>
    <w:rsid w:val="30EF725D"/>
    <w:rsid w:val="31486275"/>
    <w:rsid w:val="31A8394E"/>
    <w:rsid w:val="31AB2B70"/>
    <w:rsid w:val="31DB3DE6"/>
    <w:rsid w:val="32B5139A"/>
    <w:rsid w:val="32FB18D5"/>
    <w:rsid w:val="331D5956"/>
    <w:rsid w:val="33232F1F"/>
    <w:rsid w:val="33E434B3"/>
    <w:rsid w:val="33EF497A"/>
    <w:rsid w:val="33F45DEE"/>
    <w:rsid w:val="351F7EE3"/>
    <w:rsid w:val="354F70FE"/>
    <w:rsid w:val="35762A79"/>
    <w:rsid w:val="35870510"/>
    <w:rsid w:val="36632192"/>
    <w:rsid w:val="36EE1DC4"/>
    <w:rsid w:val="371D4192"/>
    <w:rsid w:val="3755179A"/>
    <w:rsid w:val="37616C53"/>
    <w:rsid w:val="3762096E"/>
    <w:rsid w:val="37B14443"/>
    <w:rsid w:val="38EB7DEE"/>
    <w:rsid w:val="39401C96"/>
    <w:rsid w:val="3A207518"/>
    <w:rsid w:val="3A543551"/>
    <w:rsid w:val="3A692013"/>
    <w:rsid w:val="3ADA063A"/>
    <w:rsid w:val="3ADF113F"/>
    <w:rsid w:val="3B5D2F3E"/>
    <w:rsid w:val="3B697D2B"/>
    <w:rsid w:val="3BD3405B"/>
    <w:rsid w:val="3C16141A"/>
    <w:rsid w:val="3C44256E"/>
    <w:rsid w:val="3C4C0E90"/>
    <w:rsid w:val="3C803369"/>
    <w:rsid w:val="3D670D63"/>
    <w:rsid w:val="3D7A7812"/>
    <w:rsid w:val="3D8E13DA"/>
    <w:rsid w:val="3DE04810"/>
    <w:rsid w:val="3DF172E7"/>
    <w:rsid w:val="3E10092B"/>
    <w:rsid w:val="3E2508BD"/>
    <w:rsid w:val="3E7567F3"/>
    <w:rsid w:val="3E9271F4"/>
    <w:rsid w:val="3F3101B5"/>
    <w:rsid w:val="3FBC3142"/>
    <w:rsid w:val="40244528"/>
    <w:rsid w:val="41403D89"/>
    <w:rsid w:val="416168A9"/>
    <w:rsid w:val="421745BE"/>
    <w:rsid w:val="42262E69"/>
    <w:rsid w:val="42AE3CB4"/>
    <w:rsid w:val="42CA0090"/>
    <w:rsid w:val="4349035A"/>
    <w:rsid w:val="43C2058B"/>
    <w:rsid w:val="43C27B98"/>
    <w:rsid w:val="4427252A"/>
    <w:rsid w:val="448E10FE"/>
    <w:rsid w:val="452F1176"/>
    <w:rsid w:val="45341814"/>
    <w:rsid w:val="453531D2"/>
    <w:rsid w:val="45F2042B"/>
    <w:rsid w:val="46074774"/>
    <w:rsid w:val="46943789"/>
    <w:rsid w:val="473070C1"/>
    <w:rsid w:val="47542F0B"/>
    <w:rsid w:val="478A2318"/>
    <w:rsid w:val="479D19FB"/>
    <w:rsid w:val="47C27E51"/>
    <w:rsid w:val="47D8081E"/>
    <w:rsid w:val="48286F77"/>
    <w:rsid w:val="485049F7"/>
    <w:rsid w:val="49290EBF"/>
    <w:rsid w:val="49E04914"/>
    <w:rsid w:val="49EA57FA"/>
    <w:rsid w:val="4A2E3BD3"/>
    <w:rsid w:val="4A442B1E"/>
    <w:rsid w:val="4B221649"/>
    <w:rsid w:val="4B285C9E"/>
    <w:rsid w:val="4B355626"/>
    <w:rsid w:val="4B684435"/>
    <w:rsid w:val="4B8148DD"/>
    <w:rsid w:val="4C421C73"/>
    <w:rsid w:val="4CF114C9"/>
    <w:rsid w:val="4CFB4554"/>
    <w:rsid w:val="4D7E1EBA"/>
    <w:rsid w:val="4DA72024"/>
    <w:rsid w:val="4DDF048D"/>
    <w:rsid w:val="4E196BBC"/>
    <w:rsid w:val="4ED17C3D"/>
    <w:rsid w:val="4EE118B8"/>
    <w:rsid w:val="4FD84503"/>
    <w:rsid w:val="501B4B30"/>
    <w:rsid w:val="503C6D48"/>
    <w:rsid w:val="50E3241A"/>
    <w:rsid w:val="50ED096D"/>
    <w:rsid w:val="510E6F3F"/>
    <w:rsid w:val="512F1441"/>
    <w:rsid w:val="516C7D38"/>
    <w:rsid w:val="51B86C95"/>
    <w:rsid w:val="51C27D36"/>
    <w:rsid w:val="51DB35C2"/>
    <w:rsid w:val="51EB3B4D"/>
    <w:rsid w:val="523276B0"/>
    <w:rsid w:val="52570549"/>
    <w:rsid w:val="52BB1BB0"/>
    <w:rsid w:val="52C84070"/>
    <w:rsid w:val="52EC21A1"/>
    <w:rsid w:val="52EE211C"/>
    <w:rsid w:val="533A5CDF"/>
    <w:rsid w:val="539F04E6"/>
    <w:rsid w:val="53A5521A"/>
    <w:rsid w:val="53C2756F"/>
    <w:rsid w:val="54681ECE"/>
    <w:rsid w:val="54845A24"/>
    <w:rsid w:val="56692FD1"/>
    <w:rsid w:val="56B9264C"/>
    <w:rsid w:val="57B67488"/>
    <w:rsid w:val="57DA1460"/>
    <w:rsid w:val="58321583"/>
    <w:rsid w:val="584525CF"/>
    <w:rsid w:val="585E72A6"/>
    <w:rsid w:val="58B7483E"/>
    <w:rsid w:val="58EB6B8A"/>
    <w:rsid w:val="59353AD1"/>
    <w:rsid w:val="594C4847"/>
    <w:rsid w:val="5984210B"/>
    <w:rsid w:val="59A728E8"/>
    <w:rsid w:val="59D831CB"/>
    <w:rsid w:val="5A067F12"/>
    <w:rsid w:val="5A853B90"/>
    <w:rsid w:val="5A8C1376"/>
    <w:rsid w:val="5A957839"/>
    <w:rsid w:val="5B2003E6"/>
    <w:rsid w:val="5B4358BA"/>
    <w:rsid w:val="5B465534"/>
    <w:rsid w:val="5BAC7BD6"/>
    <w:rsid w:val="5BED4A53"/>
    <w:rsid w:val="5C0420D4"/>
    <w:rsid w:val="5C933896"/>
    <w:rsid w:val="5CA92B49"/>
    <w:rsid w:val="5D0631CD"/>
    <w:rsid w:val="5D325409"/>
    <w:rsid w:val="5D4973C8"/>
    <w:rsid w:val="5D713524"/>
    <w:rsid w:val="5DAE288D"/>
    <w:rsid w:val="5DC4015B"/>
    <w:rsid w:val="5DF57AE2"/>
    <w:rsid w:val="5E2F6BED"/>
    <w:rsid w:val="5E3971AC"/>
    <w:rsid w:val="5ED61BA9"/>
    <w:rsid w:val="5EF36F7A"/>
    <w:rsid w:val="5EF66ECF"/>
    <w:rsid w:val="5F126946"/>
    <w:rsid w:val="5F202555"/>
    <w:rsid w:val="5F360478"/>
    <w:rsid w:val="5FE873D0"/>
    <w:rsid w:val="60D72DF5"/>
    <w:rsid w:val="61BB3AB3"/>
    <w:rsid w:val="61E24585"/>
    <w:rsid w:val="622017FD"/>
    <w:rsid w:val="625405BD"/>
    <w:rsid w:val="64961943"/>
    <w:rsid w:val="651A5177"/>
    <w:rsid w:val="67212171"/>
    <w:rsid w:val="677B7AD3"/>
    <w:rsid w:val="679873FD"/>
    <w:rsid w:val="67FF4D19"/>
    <w:rsid w:val="680138BE"/>
    <w:rsid w:val="68036093"/>
    <w:rsid w:val="68270D00"/>
    <w:rsid w:val="68E44C83"/>
    <w:rsid w:val="68FF178A"/>
    <w:rsid w:val="698414AB"/>
    <w:rsid w:val="6AD65FE8"/>
    <w:rsid w:val="6B4E5287"/>
    <w:rsid w:val="6B783DDA"/>
    <w:rsid w:val="6B7C6025"/>
    <w:rsid w:val="6BA3608B"/>
    <w:rsid w:val="6BBC3D1C"/>
    <w:rsid w:val="6C346B2E"/>
    <w:rsid w:val="6C3B4FD0"/>
    <w:rsid w:val="6C3F060F"/>
    <w:rsid w:val="6C705F6D"/>
    <w:rsid w:val="6CED2E22"/>
    <w:rsid w:val="6D135354"/>
    <w:rsid w:val="6D172E93"/>
    <w:rsid w:val="6DA044B0"/>
    <w:rsid w:val="6DA62B86"/>
    <w:rsid w:val="6DE416BB"/>
    <w:rsid w:val="6F561D3C"/>
    <w:rsid w:val="6FEA2AB7"/>
    <w:rsid w:val="7067798F"/>
    <w:rsid w:val="707B20FC"/>
    <w:rsid w:val="70AD6E71"/>
    <w:rsid w:val="70B949D4"/>
    <w:rsid w:val="71651C4B"/>
    <w:rsid w:val="7187780D"/>
    <w:rsid w:val="725517B3"/>
    <w:rsid w:val="72710EC7"/>
    <w:rsid w:val="72B66CB8"/>
    <w:rsid w:val="73B15321"/>
    <w:rsid w:val="73BE3A62"/>
    <w:rsid w:val="741C519C"/>
    <w:rsid w:val="74C517D1"/>
    <w:rsid w:val="74C94C63"/>
    <w:rsid w:val="74FC3819"/>
    <w:rsid w:val="75095CAE"/>
    <w:rsid w:val="752C5111"/>
    <w:rsid w:val="757C7FD0"/>
    <w:rsid w:val="759A0127"/>
    <w:rsid w:val="76086D93"/>
    <w:rsid w:val="76196E11"/>
    <w:rsid w:val="764B0D5A"/>
    <w:rsid w:val="764E742B"/>
    <w:rsid w:val="76674E34"/>
    <w:rsid w:val="773612F6"/>
    <w:rsid w:val="773A77D7"/>
    <w:rsid w:val="776677F3"/>
    <w:rsid w:val="777B3AF3"/>
    <w:rsid w:val="77853A88"/>
    <w:rsid w:val="77D05953"/>
    <w:rsid w:val="7854279B"/>
    <w:rsid w:val="789355CA"/>
    <w:rsid w:val="78AF6E36"/>
    <w:rsid w:val="78F13953"/>
    <w:rsid w:val="78FA4DA0"/>
    <w:rsid w:val="79B67100"/>
    <w:rsid w:val="79C270CA"/>
    <w:rsid w:val="79D004A5"/>
    <w:rsid w:val="7B816579"/>
    <w:rsid w:val="7BFC435E"/>
    <w:rsid w:val="7C8F4DBF"/>
    <w:rsid w:val="7CBE210E"/>
    <w:rsid w:val="7CE111F7"/>
    <w:rsid w:val="7D8C52EB"/>
    <w:rsid w:val="7DCC1688"/>
    <w:rsid w:val="7E0C382D"/>
    <w:rsid w:val="7E8B7BBA"/>
    <w:rsid w:val="7EBA71AB"/>
    <w:rsid w:val="7ECB046D"/>
    <w:rsid w:val="7ED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Document Map"/>
    <w:basedOn w:val="1"/>
    <w:semiHidden/>
    <w:qFormat/>
    <w:uiPriority w:val="0"/>
    <w:pPr>
      <w:shd w:val="clear" w:color="auto" w:fill="000080"/>
    </w:pPr>
  </w:style>
  <w:style w:type="paragraph" w:styleId="19">
    <w:name w:val="annotation text"/>
    <w:basedOn w:val="1"/>
    <w:link w:val="117"/>
    <w:qFormat/>
    <w:uiPriority w:val="0"/>
    <w:pPr>
      <w:jc w:val="left"/>
    </w:pPr>
  </w:style>
  <w:style w:type="paragraph" w:styleId="20">
    <w:name w:val="HTML Address"/>
    <w:basedOn w:val="1"/>
    <w:qFormat/>
    <w:uiPriority w:val="0"/>
    <w:rPr>
      <w:i/>
      <w:iCs/>
    </w:rPr>
  </w:style>
  <w:style w:type="paragraph" w:styleId="21">
    <w:name w:val="Plain Text"/>
    <w:basedOn w:val="1"/>
    <w:link w:val="116"/>
    <w:qFormat/>
    <w:uiPriority w:val="0"/>
    <w:rPr>
      <w:rFonts w:ascii="宋体" w:hAnsi="Courier New"/>
      <w:szCs w:val="20"/>
    </w:rPr>
  </w:style>
  <w:style w:type="paragraph" w:styleId="22">
    <w:name w:val="toc 8"/>
    <w:basedOn w:val="11"/>
    <w:next w:val="1"/>
    <w:semiHidden/>
    <w:qFormat/>
    <w:uiPriority w:val="0"/>
  </w:style>
  <w:style w:type="paragraph" w:styleId="23">
    <w:name w:val="Date"/>
    <w:basedOn w:val="1"/>
    <w:next w:val="1"/>
    <w:qFormat/>
    <w:uiPriority w:val="0"/>
    <w:pPr>
      <w:ind w:left="100" w:leftChars="2500"/>
    </w:pPr>
  </w:style>
  <w:style w:type="paragraph" w:styleId="24">
    <w:name w:val="Balloon Text"/>
    <w:basedOn w:val="1"/>
    <w:semiHidden/>
    <w:qFormat/>
    <w:uiPriority w:val="0"/>
    <w:rPr>
      <w:sz w:val="18"/>
      <w:szCs w:val="18"/>
    </w:rPr>
  </w:style>
  <w:style w:type="paragraph" w:styleId="25">
    <w:name w:val="footer"/>
    <w:basedOn w:val="1"/>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next w:val="1"/>
    <w:semiHidden/>
    <w:qFormat/>
    <w:uiPriority w:val="0"/>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9"/>
    <w:next w:val="19"/>
    <w:link w:val="118"/>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rPr>
      <w:rFonts w:ascii="Times New Roman" w:hAnsi="Times New Roman" w:eastAsia="宋体"/>
      <w:sz w:val="18"/>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3"/>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annotation reference"/>
    <w:basedOn w:val="33"/>
    <w:qFormat/>
    <w:uiPriority w:val="0"/>
    <w:rPr>
      <w:sz w:val="21"/>
      <w:szCs w:val="21"/>
    </w:rPr>
  </w:style>
  <w:style w:type="character" w:styleId="41">
    <w:name w:val="footnote reference"/>
    <w:semiHidden/>
    <w:qFormat/>
    <w:uiPriority w:val="0"/>
    <w:rPr>
      <w:vertAlign w:val="superscript"/>
    </w:rPr>
  </w:style>
  <w:style w:type="character" w:styleId="42">
    <w:name w:val="HTML Keyboard"/>
    <w:qFormat/>
    <w:uiPriority w:val="0"/>
    <w:rPr>
      <w:rFonts w:ascii="Courier New" w:hAnsi="Courier New"/>
      <w:sz w:val="20"/>
      <w:szCs w:val="20"/>
    </w:rPr>
  </w:style>
  <w:style w:type="character" w:styleId="43">
    <w:name w:val="HTML Sample"/>
    <w:qFormat/>
    <w:uiPriority w:val="0"/>
    <w:rPr>
      <w:rFonts w:ascii="Courier New" w:hAnsi="Courier New"/>
    </w:rPr>
  </w:style>
  <w:style w:type="character" w:customStyle="1" w:styleId="44">
    <w:name w:val="HTML 站点"/>
    <w:qFormat/>
    <w:uiPriority w:val="0"/>
    <w:rPr>
      <w:i/>
      <w:iCs/>
    </w:rPr>
  </w:style>
  <w:style w:type="character" w:customStyle="1" w:styleId="45">
    <w:name w:val="个人答复风格"/>
    <w:qFormat/>
    <w:uiPriority w:val="0"/>
    <w:rPr>
      <w:rFonts w:ascii="Arial" w:hAnsi="Arial" w:eastAsia="宋体" w:cs="Arial"/>
      <w:color w:val="auto"/>
      <w:sz w:val="20"/>
    </w:rPr>
  </w:style>
  <w:style w:type="character" w:customStyle="1" w:styleId="46">
    <w:name w:val="段 Char"/>
    <w:link w:val="47"/>
    <w:qFormat/>
    <w:uiPriority w:val="0"/>
    <w:rPr>
      <w:rFonts w:ascii="宋体"/>
      <w:sz w:val="21"/>
      <w:lang w:val="en-US" w:eastAsia="zh-CN" w:bidi="ar-SA"/>
    </w:rPr>
  </w:style>
  <w:style w:type="paragraph" w:customStyle="1" w:styleId="47">
    <w:name w:val="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8">
    <w:name w:val="个人撰写风格"/>
    <w:qFormat/>
    <w:uiPriority w:val="0"/>
    <w:rPr>
      <w:rFonts w:ascii="Arial" w:hAnsi="Arial" w:eastAsia="宋体" w:cs="Arial"/>
      <w:color w:val="auto"/>
      <w:sz w:val="20"/>
    </w:rPr>
  </w:style>
  <w:style w:type="character" w:customStyle="1" w:styleId="49">
    <w:name w:val="high-light-bg4"/>
    <w:qFormat/>
    <w:uiPriority w:val="0"/>
  </w:style>
  <w:style w:type="character" w:customStyle="1" w:styleId="50">
    <w:name w:val="HTML 编码"/>
    <w:qFormat/>
    <w:uiPriority w:val="0"/>
    <w:rPr>
      <w:rFonts w:ascii="Courier New" w:hAnsi="Courier New"/>
      <w:sz w:val="20"/>
      <w:szCs w:val="20"/>
    </w:rPr>
  </w:style>
  <w:style w:type="character" w:customStyle="1" w:styleId="51">
    <w:name w:val="发布"/>
    <w:qFormat/>
    <w:uiPriority w:val="0"/>
    <w:rPr>
      <w:rFonts w:ascii="黑体" w:eastAsia="黑体"/>
      <w:spacing w:val="22"/>
      <w:w w:val="100"/>
      <w:position w:val="3"/>
      <w:sz w:val="28"/>
    </w:rPr>
  </w:style>
  <w:style w:type="paragraph" w:customStyle="1" w:styleId="5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
    <w:name w:val="封面标准号2"/>
    <w:basedOn w:val="52"/>
    <w:qFormat/>
    <w:uiPriority w:val="0"/>
    <w:pPr>
      <w:framePr w:w="9138" w:h="1244" w:hRule="exact" w:wrap="around" w:vAnchor="page" w:hAnchor="margin" w:y="2908"/>
      <w:adjustRightInd w:val="0"/>
      <w:spacing w:before="357" w:line="280" w:lineRule="exact"/>
    </w:p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7">
    <w:name w:val="附录图标题"/>
    <w:next w:val="47"/>
    <w:qFormat/>
    <w:uiPriority w:val="0"/>
    <w:pPr>
      <w:jc w:val="center"/>
    </w:pPr>
    <w:rPr>
      <w:rFonts w:ascii="黑体" w:hAnsi="Times New Roman" w:eastAsia="黑体" w:cs="Times New Roman"/>
      <w:sz w:val="21"/>
      <w:lang w:val="en-US" w:eastAsia="zh-CN" w:bidi="ar-SA"/>
    </w:rPr>
  </w:style>
  <w:style w:type="paragraph" w:customStyle="1" w:styleId="58">
    <w:name w:val="附录二级条标题"/>
    <w:basedOn w:val="59"/>
    <w:next w:val="47"/>
    <w:qFormat/>
    <w:uiPriority w:val="0"/>
    <w:pPr>
      <w:numPr>
        <w:ilvl w:val="3"/>
      </w:numPr>
      <w:outlineLvl w:val="3"/>
    </w:pPr>
  </w:style>
  <w:style w:type="paragraph" w:customStyle="1" w:styleId="59">
    <w:name w:val="附录一级条标题"/>
    <w:basedOn w:val="60"/>
    <w:next w:val="47"/>
    <w:qFormat/>
    <w:uiPriority w:val="0"/>
    <w:pPr>
      <w:numPr>
        <w:ilvl w:val="2"/>
      </w:numPr>
      <w:autoSpaceDN w:val="0"/>
      <w:spacing w:before="0" w:beforeLines="0" w:after="0" w:afterLines="0"/>
      <w:outlineLvl w:val="2"/>
    </w:pPr>
  </w:style>
  <w:style w:type="paragraph" w:customStyle="1" w:styleId="60">
    <w:name w:val="附录章标题"/>
    <w:next w:val="47"/>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1">
    <w:name w:val="实施日期"/>
    <w:basedOn w:val="62"/>
    <w:qFormat/>
    <w:uiPriority w:val="0"/>
    <w:pPr>
      <w:framePr w:hSpace="0" w:wrap="around" w:xAlign="right"/>
      <w:jc w:val="right"/>
    </w:pPr>
  </w:style>
  <w:style w:type="paragraph" w:customStyle="1" w:styleId="6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3">
    <w:name w:val="封面正文"/>
    <w:qFormat/>
    <w:uiPriority w:val="0"/>
    <w:pPr>
      <w:jc w:val="both"/>
    </w:pPr>
    <w:rPr>
      <w:rFonts w:ascii="Times New Roman" w:hAnsi="Times New Roman" w:eastAsia="宋体" w:cs="Times New Roman"/>
      <w:lang w:val="en-US" w:eastAsia="zh-CN" w:bidi="ar-SA"/>
    </w:rPr>
  </w:style>
  <w:style w:type="paragraph" w:customStyle="1" w:styleId="6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5">
    <w:name w:val="附录四级条标题"/>
    <w:basedOn w:val="66"/>
    <w:next w:val="47"/>
    <w:qFormat/>
    <w:uiPriority w:val="0"/>
    <w:pPr>
      <w:numPr>
        <w:ilvl w:val="5"/>
      </w:numPr>
      <w:outlineLvl w:val="5"/>
    </w:pPr>
  </w:style>
  <w:style w:type="paragraph" w:customStyle="1" w:styleId="66">
    <w:name w:val="附录三级条标题"/>
    <w:basedOn w:val="58"/>
    <w:next w:val="47"/>
    <w:qFormat/>
    <w:uiPriority w:val="0"/>
    <w:pPr>
      <w:numPr>
        <w:ilvl w:val="4"/>
      </w:numPr>
      <w:outlineLvl w:val="4"/>
    </w:pPr>
  </w:style>
  <w:style w:type="paragraph" w:customStyle="1" w:styleId="67">
    <w:name w:val="注×："/>
    <w:qFormat/>
    <w:uiPriority w:val="0"/>
    <w:pPr>
      <w:widowControl w:val="0"/>
      <w:numPr>
        <w:ilvl w:val="0"/>
        <w:numId w:val="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68">
    <w:name w:val="条文脚注"/>
    <w:basedOn w:val="27"/>
    <w:qFormat/>
    <w:uiPriority w:val="0"/>
    <w:pPr>
      <w:ind w:left="780" w:leftChars="200" w:hanging="360" w:hangingChars="200"/>
      <w:jc w:val="both"/>
    </w:pPr>
    <w:rPr>
      <w:rFonts w:ascii="宋体"/>
    </w:rPr>
  </w:style>
  <w:style w:type="paragraph" w:customStyle="1" w:styleId="69">
    <w:name w:val="注："/>
    <w:next w:val="47"/>
    <w:qFormat/>
    <w:uiPriority w:val="0"/>
    <w:pPr>
      <w:widowControl w:val="0"/>
      <w:numPr>
        <w:ilvl w:val="0"/>
        <w:numId w:val="3"/>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7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1">
    <w:name w:val="发布部门"/>
    <w:next w:val="4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2">
    <w:name w:val="参考文献、索引标题"/>
    <w:basedOn w:val="73"/>
    <w:next w:val="1"/>
    <w:qFormat/>
    <w:uiPriority w:val="0"/>
    <w:pPr>
      <w:numPr>
        <w:numId w:val="0"/>
      </w:numPr>
      <w:spacing w:after="200"/>
    </w:pPr>
    <w:rPr>
      <w:sz w:val="21"/>
    </w:rPr>
  </w:style>
  <w:style w:type="paragraph" w:customStyle="1" w:styleId="73">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4">
    <w:name w:val="章标题"/>
    <w:next w:val="47"/>
    <w:qFormat/>
    <w:uiPriority w:val="0"/>
    <w:pPr>
      <w:numPr>
        <w:ilvl w:val="1"/>
        <w:numId w:val="4"/>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7">
    <w:name w:val="五级条标题"/>
    <w:basedOn w:val="78"/>
    <w:next w:val="47"/>
    <w:qFormat/>
    <w:uiPriority w:val="0"/>
    <w:pPr>
      <w:numPr>
        <w:ilvl w:val="6"/>
      </w:numPr>
      <w:outlineLvl w:val="6"/>
    </w:pPr>
  </w:style>
  <w:style w:type="paragraph" w:customStyle="1" w:styleId="78">
    <w:name w:val="四级条标题"/>
    <w:basedOn w:val="79"/>
    <w:next w:val="47"/>
    <w:qFormat/>
    <w:uiPriority w:val="0"/>
    <w:pPr>
      <w:numPr>
        <w:ilvl w:val="5"/>
      </w:numPr>
      <w:outlineLvl w:val="5"/>
    </w:pPr>
  </w:style>
  <w:style w:type="paragraph" w:customStyle="1" w:styleId="79">
    <w:name w:val="三级条标题"/>
    <w:basedOn w:val="80"/>
    <w:next w:val="47"/>
    <w:qFormat/>
    <w:uiPriority w:val="0"/>
    <w:pPr>
      <w:numPr>
        <w:ilvl w:val="4"/>
      </w:numPr>
      <w:outlineLvl w:val="4"/>
    </w:pPr>
  </w:style>
  <w:style w:type="paragraph" w:customStyle="1" w:styleId="80">
    <w:name w:val="二级条标题"/>
    <w:basedOn w:val="81"/>
    <w:next w:val="47"/>
    <w:qFormat/>
    <w:uiPriority w:val="0"/>
    <w:pPr>
      <w:numPr>
        <w:ilvl w:val="3"/>
      </w:numPr>
      <w:outlineLvl w:val="3"/>
    </w:pPr>
  </w:style>
  <w:style w:type="paragraph" w:customStyle="1" w:styleId="81">
    <w:name w:val="一级条标题"/>
    <w:basedOn w:val="74"/>
    <w:next w:val="47"/>
    <w:qFormat/>
    <w:uiPriority w:val="0"/>
    <w:pPr>
      <w:numPr>
        <w:ilvl w:val="2"/>
        <w:numId w:val="0"/>
      </w:numPr>
      <w:spacing w:before="0" w:beforeLines="0" w:after="0" w:afterLines="0"/>
      <w:outlineLvl w:val="2"/>
    </w:pPr>
  </w:style>
  <w:style w:type="paragraph" w:customStyle="1" w:styleId="82">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83">
    <w:name w:val="无标题条"/>
    <w:next w:val="47"/>
    <w:qFormat/>
    <w:uiPriority w:val="0"/>
    <w:pPr>
      <w:jc w:val="both"/>
    </w:pPr>
    <w:rPr>
      <w:rFonts w:ascii="Times New Roman" w:hAnsi="Times New Roman" w:eastAsia="宋体" w:cs="Times New Roman"/>
      <w:sz w:val="21"/>
      <w:lang w:val="en-US" w:eastAsia="zh-CN" w:bidi="ar-SA"/>
    </w:rPr>
  </w:style>
  <w:style w:type="paragraph" w:customStyle="1" w:styleId="8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二级无标题条"/>
    <w:basedOn w:val="1"/>
    <w:qFormat/>
    <w:uiPriority w:val="0"/>
    <w:pPr>
      <w:numPr>
        <w:ilvl w:val="3"/>
        <w:numId w:val="5"/>
      </w:numPr>
    </w:pPr>
  </w:style>
  <w:style w:type="paragraph" w:customStyle="1" w:styleId="8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7">
    <w:name w:val="正文表标题"/>
    <w:next w:val="4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88">
    <w:name w:val="一级无标题条"/>
    <w:basedOn w:val="1"/>
    <w:qFormat/>
    <w:uiPriority w:val="0"/>
    <w:pPr>
      <w:numPr>
        <w:ilvl w:val="2"/>
        <w:numId w:val="5"/>
      </w:numPr>
    </w:pPr>
  </w:style>
  <w:style w:type="paragraph" w:customStyle="1" w:styleId="89">
    <w:name w:val="列项——"/>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90">
    <w:name w:val="示例"/>
    <w:next w:val="47"/>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2">
    <w:name w:val="附录表标题"/>
    <w:next w:val="4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3">
    <w:name w:val="四级无标题条"/>
    <w:basedOn w:val="1"/>
    <w:qFormat/>
    <w:uiPriority w:val="0"/>
    <w:pPr>
      <w:numPr>
        <w:ilvl w:val="5"/>
        <w:numId w:val="5"/>
      </w:numPr>
    </w:pPr>
  </w:style>
  <w:style w:type="paragraph" w:customStyle="1" w:styleId="94">
    <w:name w:val="封面标准代替信息"/>
    <w:basedOn w:val="53"/>
    <w:qFormat/>
    <w:uiPriority w:val="0"/>
    <w:pPr>
      <w:framePr w:wrap="around"/>
      <w:spacing w:before="57"/>
    </w:pPr>
    <w:rPr>
      <w:rFonts w:ascii="宋体"/>
      <w:sz w:val="21"/>
    </w:rPr>
  </w:style>
  <w:style w:type="paragraph" w:customStyle="1" w:styleId="9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6">
    <w:name w:val="列项·"/>
    <w:qFormat/>
    <w:uiPriority w:val="0"/>
    <w:pPr>
      <w:numPr>
        <w:ilvl w:val="0"/>
        <w:numId w:val="9"/>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97">
    <w:name w:val="附录五级条标题"/>
    <w:basedOn w:val="65"/>
    <w:next w:val="47"/>
    <w:qFormat/>
    <w:uiPriority w:val="0"/>
    <w:pPr>
      <w:numPr>
        <w:ilvl w:val="6"/>
      </w:numPr>
      <w:outlineLvl w:val="6"/>
    </w:p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HTML 预先格式化"/>
    <w:basedOn w:val="1"/>
    <w:qFormat/>
    <w:uiPriority w:val="0"/>
    <w:rPr>
      <w:rFonts w:ascii="Courier New" w:hAnsi="Courier New" w:cs="楷体_GB2312"/>
      <w:sz w:val="20"/>
      <w:szCs w:val="20"/>
    </w:rPr>
  </w:style>
  <w:style w:type="paragraph" w:customStyle="1" w:styleId="100">
    <w:name w:val="标准书眉_偶数页"/>
    <w:basedOn w:val="101"/>
    <w:next w:val="1"/>
    <w:qFormat/>
    <w:uiPriority w:val="0"/>
    <w:pPr>
      <w:tabs>
        <w:tab w:val="center" w:pos="4154"/>
        <w:tab w:val="right" w:pos="8306"/>
      </w:tabs>
      <w:jc w:val="left"/>
    </w:pPr>
  </w:style>
  <w:style w:type="paragraph" w:customStyle="1" w:styleId="10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2">
    <w:name w:val="正文图标题"/>
    <w:next w:val="47"/>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4">
    <w:name w:val="五级无标题条"/>
    <w:basedOn w:val="1"/>
    <w:qFormat/>
    <w:uiPriority w:val="0"/>
    <w:pPr>
      <w:numPr>
        <w:ilvl w:val="6"/>
        <w:numId w:val="5"/>
      </w:numPr>
    </w:pPr>
  </w:style>
  <w:style w:type="paragraph" w:customStyle="1" w:styleId="105">
    <w:name w:val="其他发布部门"/>
    <w:basedOn w:val="71"/>
    <w:qFormat/>
    <w:uiPriority w:val="0"/>
    <w:pPr>
      <w:framePr w:wrap="around"/>
      <w:spacing w:line="0" w:lineRule="atLeast"/>
    </w:pPr>
    <w:rPr>
      <w:rFonts w:ascii="黑体" w:eastAsia="黑体"/>
      <w:b w:val="0"/>
    </w:rPr>
  </w:style>
  <w:style w:type="paragraph" w:customStyle="1" w:styleId="106">
    <w:name w:val="三级无标题条"/>
    <w:basedOn w:val="1"/>
    <w:qFormat/>
    <w:uiPriority w:val="0"/>
    <w:pPr>
      <w:numPr>
        <w:ilvl w:val="4"/>
        <w:numId w:val="5"/>
      </w:numPr>
    </w:pPr>
  </w:style>
  <w:style w:type="paragraph" w:customStyle="1" w:styleId="107">
    <w:name w:val="标准"/>
    <w:basedOn w:val="1"/>
    <w:qFormat/>
    <w:uiPriority w:val="0"/>
    <w:pPr>
      <w:adjustRightInd w:val="0"/>
      <w:spacing w:line="312" w:lineRule="atLeast"/>
      <w:jc w:val="center"/>
      <w:textAlignment w:val="baseline"/>
    </w:pPr>
    <w:rPr>
      <w:kern w:val="0"/>
      <w:szCs w:val="20"/>
    </w:rPr>
  </w:style>
  <w:style w:type="paragraph" w:customStyle="1" w:styleId="108">
    <w:name w:val="目次、标准名称标题"/>
    <w:basedOn w:val="73"/>
    <w:next w:val="47"/>
    <w:qFormat/>
    <w:uiPriority w:val="0"/>
    <w:pPr>
      <w:numPr>
        <w:numId w:val="0"/>
      </w:numPr>
      <w:spacing w:line="460" w:lineRule="exact"/>
    </w:pPr>
  </w:style>
  <w:style w:type="paragraph" w:customStyle="1" w:styleId="109">
    <w:name w:val="图表脚注"/>
    <w:next w:val="4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0">
    <w:name w:val="附录标识"/>
    <w:basedOn w:val="73"/>
    <w:qFormat/>
    <w:uiPriority w:val="0"/>
    <w:pPr>
      <w:numPr>
        <w:ilvl w:val="0"/>
        <w:numId w:val="1"/>
      </w:numPr>
      <w:tabs>
        <w:tab w:val="left" w:pos="6405"/>
      </w:tabs>
      <w:spacing w:after="200"/>
    </w:pPr>
    <w:rPr>
      <w:sz w:val="21"/>
    </w:rPr>
  </w:style>
  <w:style w:type="paragraph" w:customStyle="1" w:styleId="11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table" w:customStyle="1" w:styleId="113">
    <w:name w:val="网格型1"/>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4">
    <w:name w:val="List Paragraph"/>
    <w:basedOn w:val="1"/>
    <w:qFormat/>
    <w:uiPriority w:val="34"/>
    <w:pPr>
      <w:ind w:firstLine="420" w:firstLineChars="200"/>
    </w:pPr>
  </w:style>
  <w:style w:type="character" w:styleId="115">
    <w:name w:val="Placeholder Text"/>
    <w:basedOn w:val="33"/>
    <w:unhideWhenUsed/>
    <w:qFormat/>
    <w:uiPriority w:val="99"/>
    <w:rPr>
      <w:color w:val="808080"/>
    </w:rPr>
  </w:style>
  <w:style w:type="character" w:customStyle="1" w:styleId="116">
    <w:name w:val="纯文本 字符"/>
    <w:link w:val="21"/>
    <w:qFormat/>
    <w:uiPriority w:val="0"/>
    <w:rPr>
      <w:rFonts w:ascii="宋体" w:hAnsi="Courier New"/>
      <w:kern w:val="2"/>
      <w:sz w:val="21"/>
    </w:rPr>
  </w:style>
  <w:style w:type="character" w:customStyle="1" w:styleId="117">
    <w:name w:val="批注文字 字符"/>
    <w:basedOn w:val="33"/>
    <w:link w:val="19"/>
    <w:qFormat/>
    <w:uiPriority w:val="0"/>
    <w:rPr>
      <w:kern w:val="2"/>
      <w:sz w:val="21"/>
      <w:szCs w:val="24"/>
    </w:rPr>
  </w:style>
  <w:style w:type="character" w:customStyle="1" w:styleId="118">
    <w:name w:val="批注主题 字符"/>
    <w:basedOn w:val="117"/>
    <w:link w:val="30"/>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6311BB-04E2-4B9A-BF2C-0CDAC8A83314}">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10</Pages>
  <Words>5397</Words>
  <Characters>6960</Characters>
  <Lines>54</Lines>
  <Paragraphs>15</Paragraphs>
  <TotalTime>0</TotalTime>
  <ScaleCrop>false</ScaleCrop>
  <LinksUpToDate>false</LinksUpToDate>
  <CharactersWithSpaces>7159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2022-06-14T07:18:00Z</dcterms:created>
  <dc:creator>赣州有色冶金研究所有限公司</dc:creator>
  <cp:lastModifiedBy>大海</cp:lastModifiedBy>
  <cp:lastPrinted>2022-06-04T01:58:00Z</cp:lastPrinted>
  <dcterms:modified xsi:type="dcterms:W3CDTF">2024-08-28T08:51:39Z</dcterms:modified>
  <dc:title>前    言</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012A029F9DD84AE7B9DBFB20FCA90161_13</vt:lpwstr>
  </property>
</Properties>
</file>