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snapToGrid/>
        <w:spacing w:line="240" w:lineRule="auto"/>
        <w:ind w:firstLine="0" w:firstLineChars="0"/>
        <w:jc w:val="center"/>
        <w:rPr>
          <w:rFonts w:ascii="Times New Roman" w:eastAsia="黑体"/>
          <w:color w:val="000000"/>
          <w:sz w:val="30"/>
          <w:szCs w:val="30"/>
        </w:rPr>
      </w:pPr>
      <w:r>
        <w:rPr>
          <w:rFonts w:hint="eastAsia" w:eastAsia="黑体"/>
          <w:color w:val="000000"/>
          <w:sz w:val="30"/>
          <w:szCs w:val="30"/>
          <w:lang w:val="en-US" w:eastAsia="zh-CN"/>
        </w:rPr>
        <w:t>国家</w:t>
      </w:r>
      <w:r>
        <w:rPr>
          <w:rFonts w:eastAsia="黑体"/>
          <w:color w:val="000000"/>
          <w:sz w:val="30"/>
          <w:szCs w:val="30"/>
        </w:rPr>
        <w:t>标准《</w:t>
      </w:r>
      <w:r>
        <w:rPr>
          <w:rFonts w:hint="eastAsia" w:eastAsia="黑体"/>
          <w:color w:val="000000"/>
          <w:sz w:val="30"/>
          <w:szCs w:val="30"/>
          <w:lang w:val="en-US" w:eastAsia="zh-CN"/>
        </w:rPr>
        <w:t>硅外延用三氯氢硅中杂质含量的测定 电感耦合等离子体质谱法</w:t>
      </w:r>
      <w:r>
        <w:rPr>
          <w:rFonts w:eastAsia="黑体"/>
          <w:color w:val="000000"/>
          <w:sz w:val="30"/>
          <w:szCs w:val="30"/>
        </w:rPr>
        <w:t>》</w:t>
      </w:r>
      <w:r>
        <w:rPr>
          <w:rFonts w:ascii="Times New Roman" w:eastAsia="黑体"/>
          <w:color w:val="000000"/>
          <w:sz w:val="30"/>
          <w:szCs w:val="30"/>
        </w:rPr>
        <w:t>编制说明</w:t>
      </w:r>
      <w:r>
        <w:rPr>
          <w:rFonts w:hint="eastAsia" w:ascii="Times New Roman" w:eastAsia="黑体"/>
          <w:color w:val="000000"/>
          <w:sz w:val="30"/>
          <w:szCs w:val="30"/>
        </w:rPr>
        <w:t>（</w:t>
      </w:r>
      <w:r>
        <w:rPr>
          <w:rFonts w:hint="eastAsia" w:eastAsia="黑体"/>
          <w:color w:val="000000"/>
          <w:sz w:val="30"/>
          <w:szCs w:val="30"/>
          <w:lang w:val="en-US" w:eastAsia="zh-CN"/>
        </w:rPr>
        <w:t>讨论</w:t>
      </w:r>
      <w:r>
        <w:rPr>
          <w:rFonts w:hint="eastAsia" w:ascii="Times New Roman" w:eastAsia="黑体"/>
          <w:color w:val="000000"/>
          <w:sz w:val="30"/>
          <w:szCs w:val="30"/>
        </w:rPr>
        <w:t>稿）</w:t>
      </w:r>
    </w:p>
    <w:p>
      <w:pPr>
        <w:pStyle w:val="7"/>
        <w:spacing w:line="276" w:lineRule="auto"/>
        <w:ind w:firstLine="600"/>
        <w:jc w:val="center"/>
        <w:rPr>
          <w:rFonts w:ascii="Times New Roman" w:eastAsia="黑体"/>
          <w:color w:val="000000"/>
          <w:sz w:val="30"/>
          <w:szCs w:val="30"/>
        </w:rPr>
      </w:pPr>
    </w:p>
    <w:p>
      <w:pPr>
        <w:pStyle w:val="2"/>
        <w:rPr>
          <w:color w:val="000000"/>
        </w:rPr>
      </w:pPr>
      <w:bookmarkStart w:id="0" w:name="_Toc497309492"/>
      <w:bookmarkStart w:id="1" w:name="_Toc511234377"/>
      <w:r>
        <w:rPr>
          <w:rFonts w:hint="eastAsia"/>
          <w:color w:val="000000"/>
        </w:rPr>
        <w:t>一、</w:t>
      </w:r>
      <w:r>
        <w:rPr>
          <w:color w:val="000000"/>
        </w:rPr>
        <w:t>工作简况</w:t>
      </w:r>
      <w:bookmarkEnd w:id="0"/>
      <w:bookmarkEnd w:id="1"/>
    </w:p>
    <w:p>
      <w:pPr>
        <w:pStyle w:val="3"/>
        <w:rPr>
          <w:color w:val="000000"/>
        </w:rPr>
      </w:pPr>
      <w:bookmarkStart w:id="2" w:name="_Toc508985095"/>
      <w:bookmarkStart w:id="3" w:name="_Toc511234378"/>
      <w:bookmarkStart w:id="4" w:name="_Toc497309493"/>
      <w:r>
        <w:rPr>
          <w:rFonts w:hint="eastAsia"/>
          <w:color w:val="000000"/>
        </w:rPr>
        <w:t>1</w:t>
      </w:r>
      <w:r>
        <w:rPr>
          <w:color w:val="000000"/>
        </w:rPr>
        <w:t>.1 立项目的</w:t>
      </w:r>
      <w:bookmarkEnd w:id="2"/>
      <w:bookmarkEnd w:id="3"/>
      <w:bookmarkEnd w:id="4"/>
    </w:p>
    <w:p>
      <w:pPr>
        <w:pStyle w:val="7"/>
        <w:spacing w:line="360" w:lineRule="auto"/>
        <w:ind w:firstLine="420"/>
        <w:contextualSpacing/>
        <w:rPr>
          <w:rFonts w:hint="eastAsia" w:ascii="Times New Roman" w:hAnsi="Times New Roman"/>
          <w:color w:val="auto"/>
          <w:szCs w:val="24"/>
          <w:highlight w:val="none"/>
        </w:rPr>
      </w:pPr>
      <w:bookmarkStart w:id="5" w:name="_Toc508985096"/>
      <w:bookmarkStart w:id="6" w:name="_Toc511234379"/>
      <w:bookmarkStart w:id="7" w:name="_Toc497309494"/>
      <w:r>
        <w:rPr>
          <w:rFonts w:hint="eastAsia" w:ascii="Times New Roman" w:hAnsi="Times New Roman"/>
          <w:color w:val="auto"/>
          <w:szCs w:val="24"/>
          <w:highlight w:val="none"/>
        </w:rPr>
        <w:t>电子信息产业是我国国民经济的支柱产业，是经济保持中高速增长和产业迈向中高端水平的中坚力量。2014年国务院发布《国家集成电路产业发展推进纲要》，提出将集成电路产业上升至国家战略高度，强调“集成电路产业是信息技术产业的核心，是支撑经济社会发展和保障国家安全的战略性、基础性和先导性产业”以来，一系列针对集成电路发展的产业扶持政策相继出炉，如设立了国家集成电路产业投资基金、设立地方性产业投资基金；出台《中国制造2025》，强调突破发展集成电路国产重要性。</w:t>
      </w:r>
    </w:p>
    <w:p>
      <w:pPr>
        <w:pStyle w:val="7"/>
        <w:spacing w:line="360" w:lineRule="auto"/>
        <w:ind w:firstLine="420"/>
        <w:contextualSpacing/>
        <w:rPr>
          <w:rFonts w:hint="eastAsia" w:ascii="Times New Roman" w:hAnsi="Times New Roman"/>
          <w:color w:val="auto"/>
          <w:szCs w:val="24"/>
          <w:highlight w:val="none"/>
        </w:rPr>
      </w:pPr>
      <w:r>
        <w:rPr>
          <w:rFonts w:hint="eastAsia" w:ascii="Times New Roman" w:hAnsi="Times New Roman"/>
          <w:color w:val="auto"/>
          <w:szCs w:val="24"/>
          <w:highlight w:val="none"/>
        </w:rPr>
        <w:t>高纯电子气体是集成电路制造过程中必不可少的原料。它也广泛应用于光电子、化合物半导体、太阳能光伏电池、液晶显示器、光导纤维制造等其它诸多领域。集成电路制造的前道工序如外延、化学气相沉积、离子注入、掺杂、刻蚀、清洗、掩蔽膜生成等工艺，几乎都需要不同种类和不同纯度的电子气体。硅外延用三氯氢硅是高纯电子气体之一，主要作为半导体硅外延所需的反应气体，在硅外延片生产中得到了广泛的应用，硅外延片主要用于功率半导体器件和12英寸逻辑芯片。</w:t>
      </w:r>
    </w:p>
    <w:p>
      <w:pPr>
        <w:pStyle w:val="7"/>
        <w:spacing w:line="360" w:lineRule="auto"/>
        <w:ind w:firstLine="420"/>
        <w:contextualSpacing/>
        <w:rPr>
          <w:rFonts w:hint="eastAsia" w:ascii="Times New Roman" w:hAnsi="Times New Roman"/>
          <w:color w:val="auto"/>
          <w:szCs w:val="24"/>
          <w:highlight w:val="none"/>
        </w:rPr>
      </w:pPr>
      <w:r>
        <w:rPr>
          <w:rFonts w:hint="eastAsia" w:ascii="Times New Roman" w:hAnsi="Times New Roman"/>
          <w:color w:val="auto"/>
          <w:szCs w:val="24"/>
          <w:highlight w:val="none"/>
        </w:rPr>
        <w:t>硅外延用三氯氢硅</w:t>
      </w:r>
      <w:r>
        <w:rPr>
          <w:rFonts w:hint="eastAsia" w:ascii="Times New Roman" w:hAnsi="Times New Roman"/>
          <w:color w:val="auto"/>
          <w:szCs w:val="24"/>
          <w:highlight w:val="none"/>
          <w:lang w:eastAsia="zh-CN"/>
        </w:rPr>
        <w:t>作为</w:t>
      </w:r>
      <w:r>
        <w:rPr>
          <w:rFonts w:hint="eastAsia" w:ascii="Times New Roman" w:hAnsi="Times New Roman"/>
          <w:color w:val="auto"/>
          <w:szCs w:val="24"/>
          <w:highlight w:val="none"/>
        </w:rPr>
        <w:t>半导体行业不可或缺的重要电子特种气体原材料，符合2016年国家商务部发布《鼓励进口技术和产品目录》，其中明确“ 半导体、光电子元件、新型电子元件等电子产品用材料制造”为国家鼓励发展的重点行业，行业序号C30。</w:t>
      </w:r>
    </w:p>
    <w:p>
      <w:pPr>
        <w:pStyle w:val="7"/>
        <w:spacing w:line="360" w:lineRule="auto"/>
        <w:ind w:firstLine="420"/>
        <w:contextualSpacing/>
        <w:rPr>
          <w:rFonts w:hint="eastAsia" w:ascii="Times New Roman" w:hAnsi="Times New Roman"/>
          <w:color w:val="auto"/>
          <w:szCs w:val="24"/>
          <w:highlight w:val="none"/>
        </w:rPr>
      </w:pPr>
      <w:r>
        <w:rPr>
          <w:rFonts w:hint="eastAsia" w:ascii="Times New Roman" w:hAnsi="Times New Roman"/>
          <w:color w:val="auto"/>
          <w:szCs w:val="24"/>
          <w:highlight w:val="none"/>
        </w:rPr>
        <w:t>当前，我国集成电路行业快速增长，对硅外延用三氯氢硅需求呈日益增长态势。但由于硅外延用三氯氢硅生产和制造存在非常高的技术要求，因此主要依赖进口，国外主要的生产商是日本信越。硅外延用三氯氢硅特种气体国产化研究对我国集成电路行业发展意义重大，值得深入研究应用。</w:t>
      </w:r>
    </w:p>
    <w:p>
      <w:pPr>
        <w:pStyle w:val="7"/>
        <w:spacing w:line="360" w:lineRule="auto"/>
        <w:ind w:firstLine="420"/>
        <w:contextualSpacing/>
        <w:rPr>
          <w:rFonts w:hint="eastAsia" w:ascii="Times New Roman" w:hAnsi="Times New Roman"/>
          <w:color w:val="auto"/>
          <w:szCs w:val="24"/>
          <w:highlight w:val="none"/>
        </w:rPr>
      </w:pPr>
      <w:r>
        <w:rPr>
          <w:rFonts w:hint="eastAsia" w:ascii="Times New Roman" w:hAnsi="Times New Roman"/>
          <w:color w:val="auto"/>
          <w:szCs w:val="24"/>
          <w:highlight w:val="none"/>
        </w:rPr>
        <w:t>硅外延用三氯氢硅是电子工业用的新型硅源气体，是广泛用于生产半导体器件的关键原料。硅外延用三氯氢硅中微量的杂质元素如硼、磷、铁等会对硅外延片的电学性能产生重要影响，金属元素对硅片表面杂质分布也有影响，因此，为了满足各种半导体器件的需要，使半导体器件得到所需求的电参数，对硅外延用三氯氢硅中杂质含量的分析控制是保证产品质量的重要环节。</w:t>
      </w:r>
    </w:p>
    <w:p>
      <w:pPr>
        <w:pStyle w:val="7"/>
        <w:spacing w:line="360" w:lineRule="auto"/>
        <w:ind w:firstLine="420"/>
        <w:contextualSpacing/>
        <w:rPr>
          <w:rFonts w:hint="eastAsia" w:ascii="Times New Roman" w:hAnsi="Times New Roman"/>
          <w:color w:val="auto"/>
          <w:szCs w:val="24"/>
          <w:highlight w:val="none"/>
        </w:rPr>
      </w:pPr>
      <w:r>
        <w:rPr>
          <w:rFonts w:hint="eastAsia" w:ascii="Times New Roman" w:hAnsi="Times New Roman"/>
          <w:color w:val="auto"/>
          <w:szCs w:val="24"/>
          <w:highlight w:val="none"/>
        </w:rPr>
        <w:t>超高纯硅基电子材料是我国发展集成电路的关键材料，长期依赖进口，严重影响国家信息和产业安全，已成为我国集成电路产业发展的“卡脖子”问题，硅外延用三氯氢硅</w:t>
      </w:r>
      <w:r>
        <w:rPr>
          <w:rFonts w:hint="eastAsia" w:ascii="Times New Roman" w:hAnsi="Times New Roman"/>
          <w:color w:val="auto"/>
          <w:szCs w:val="24"/>
          <w:highlight w:val="none"/>
          <w:lang w:eastAsia="zh-CN"/>
        </w:rPr>
        <w:t>作为</w:t>
      </w:r>
      <w:r>
        <w:rPr>
          <w:rFonts w:hint="eastAsia" w:ascii="Times New Roman" w:hAnsi="Times New Roman"/>
          <w:color w:val="auto"/>
          <w:szCs w:val="24"/>
          <w:highlight w:val="none"/>
        </w:rPr>
        <w:t>集成电路用关键硅基材料之一</w:t>
      </w:r>
      <w:r>
        <w:rPr>
          <w:rFonts w:hint="eastAsia" w:ascii="Times New Roman" w:hAnsi="Times New Roman"/>
          <w:color w:val="auto"/>
          <w:szCs w:val="24"/>
          <w:highlight w:val="none"/>
          <w:lang w:eastAsia="zh-CN"/>
        </w:rPr>
        <w:t>，</w:t>
      </w:r>
      <w:r>
        <w:rPr>
          <w:rFonts w:hint="eastAsia" w:ascii="Times New Roman" w:hAnsi="Times New Roman"/>
          <w:color w:val="auto"/>
          <w:szCs w:val="24"/>
          <w:highlight w:val="none"/>
        </w:rPr>
        <w:t>经过近5年的技术攻克，包含洛阳中硅高科技有限公司在内的一些国内企业，已完成了高纯度三氯氢硅产品从技术到市场的全链条的攻关，实现了该产品的国产化替代，目前国产化替代率接近50%</w:t>
      </w:r>
      <w:r>
        <w:rPr>
          <w:rFonts w:hint="eastAsia" w:ascii="Times New Roman" w:hAnsi="Times New Roman"/>
          <w:color w:val="auto"/>
          <w:szCs w:val="24"/>
          <w:highlight w:val="none"/>
          <w:lang w:eastAsia="zh-CN"/>
        </w:rPr>
        <w:t>。洛阳中硅高科有限公司</w:t>
      </w:r>
      <w:r>
        <w:rPr>
          <w:rFonts w:hint="eastAsia" w:ascii="Times New Roman" w:hAnsi="Times New Roman"/>
          <w:color w:val="auto"/>
          <w:szCs w:val="24"/>
          <w:highlight w:val="none"/>
        </w:rPr>
        <w:t>在产品研发的同时，开发建立了</w:t>
      </w:r>
      <w:r>
        <w:rPr>
          <w:rFonts w:hint="eastAsia" w:ascii="Times New Roman" w:hAnsi="Times New Roman"/>
          <w:color w:val="auto"/>
          <w:szCs w:val="24"/>
          <w:highlight w:val="none"/>
          <w:lang w:eastAsia="zh-CN"/>
        </w:rPr>
        <w:t>硅外延</w:t>
      </w:r>
      <w:r>
        <w:rPr>
          <w:rFonts w:hint="eastAsia" w:ascii="Times New Roman" w:hAnsi="Times New Roman"/>
          <w:color w:val="auto"/>
          <w:szCs w:val="24"/>
          <w:highlight w:val="none"/>
        </w:rPr>
        <w:t>三氯氢硅杂质含量的测定方法，为保证产品品质提供了强有力的保障。</w:t>
      </w:r>
    </w:p>
    <w:p>
      <w:pPr>
        <w:pStyle w:val="7"/>
        <w:spacing w:line="360" w:lineRule="auto"/>
        <w:ind w:left="0" w:leftChars="0" w:firstLine="420" w:firstLineChars="200"/>
        <w:contextualSpacing/>
        <w:rPr>
          <w:rFonts w:hint="eastAsia" w:ascii="Times New Roman" w:hAnsi="Times New Roman"/>
          <w:color w:val="auto"/>
          <w:szCs w:val="24"/>
          <w:highlight w:val="none"/>
        </w:rPr>
      </w:pPr>
      <w:r>
        <w:rPr>
          <w:rFonts w:hint="eastAsia" w:ascii="Times New Roman" w:hAnsi="Times New Roman"/>
          <w:color w:val="auto"/>
          <w:szCs w:val="24"/>
          <w:highlight w:val="none"/>
          <w:lang w:eastAsia="zh-CN"/>
        </w:rPr>
        <w:t>目前</w:t>
      </w:r>
      <w:r>
        <w:rPr>
          <w:rFonts w:hint="eastAsia" w:ascii="Times New Roman" w:hAnsi="Times New Roman"/>
          <w:color w:val="auto"/>
          <w:szCs w:val="24"/>
          <w:highlight w:val="none"/>
        </w:rPr>
        <w:t>国内半导体客户使用的产品标准GB/T 30652-2023《硅外延用三氯氢硅》标准</w:t>
      </w:r>
      <w:r>
        <w:rPr>
          <w:rFonts w:hint="eastAsia" w:ascii="Times New Roman" w:hAnsi="Times New Roman"/>
          <w:color w:val="auto"/>
          <w:szCs w:val="24"/>
          <w:highlight w:val="none"/>
          <w:lang w:eastAsia="zh-CN"/>
        </w:rPr>
        <w:t>于</w:t>
      </w:r>
      <w:r>
        <w:rPr>
          <w:rFonts w:hint="eastAsia" w:ascii="Times New Roman" w:hAnsi="Times New Roman"/>
          <w:color w:val="auto"/>
          <w:szCs w:val="24"/>
          <w:highlight w:val="none"/>
        </w:rPr>
        <w:t>2023年8月6号正式发布。</w:t>
      </w:r>
      <w:r>
        <w:rPr>
          <w:rFonts w:hint="default"/>
          <w:color w:val="auto"/>
          <w:lang w:val="en-US" w:eastAsia="zh-CN"/>
        </w:rPr>
        <w:t>经过对硅外延生产厂商的调研，目前从国外进口的硅外延用三氯氢硅大部分均采用ICP-MS检测杂质元素，该方法是一个非常常规的痕量杂质元素测试方法，用ICP-MS测定金属元素具有基体效应小，干扰少，精密度高、准确性好，多元素同时测定的特点，可满足硅外延用三氯氢硅杂质元素检测需求</w:t>
      </w:r>
      <w:r>
        <w:rPr>
          <w:rFonts w:hint="eastAsia"/>
          <w:color w:val="auto"/>
          <w:lang w:val="en-US" w:eastAsia="zh-CN"/>
        </w:rPr>
        <w:t>。但</w:t>
      </w:r>
      <w:r>
        <w:rPr>
          <w:rFonts w:hint="eastAsia" w:ascii="Times New Roman" w:hAnsi="Times New Roman"/>
          <w:color w:val="auto"/>
          <w:szCs w:val="24"/>
          <w:highlight w:val="none"/>
        </w:rPr>
        <w:t>在该标准制定过程中，发现与之配套的GB/T 29056-2012杂质测试方法标准存在</w:t>
      </w:r>
      <w:r>
        <w:rPr>
          <w:rFonts w:hint="eastAsia" w:ascii="Times New Roman" w:hAnsi="Times New Roman"/>
          <w:color w:val="auto"/>
          <w:szCs w:val="24"/>
          <w:highlight w:val="none"/>
          <w:lang w:eastAsia="zh-CN"/>
        </w:rPr>
        <w:t>几方面</w:t>
      </w:r>
      <w:r>
        <w:rPr>
          <w:rFonts w:hint="eastAsia" w:ascii="Times New Roman" w:hAnsi="Times New Roman"/>
          <w:color w:val="auto"/>
          <w:szCs w:val="24"/>
          <w:highlight w:val="none"/>
        </w:rPr>
        <w:t>问题：</w:t>
      </w:r>
      <w:r>
        <w:rPr>
          <w:rFonts w:hint="eastAsia" w:ascii="Times New Roman" w:hAnsi="Times New Roman"/>
          <w:color w:val="auto"/>
          <w:szCs w:val="24"/>
          <w:highlight w:val="none"/>
          <w:lang w:eastAsia="zh-CN"/>
        </w:rPr>
        <w:t>首先是</w:t>
      </w:r>
      <w:r>
        <w:rPr>
          <w:rFonts w:hint="eastAsia" w:ascii="Times New Roman" w:hAnsi="Times New Roman"/>
          <w:color w:val="auto"/>
          <w:szCs w:val="24"/>
          <w:highlight w:val="none"/>
        </w:rPr>
        <w:t>原标准测试元素涵盖范围不全</w:t>
      </w:r>
      <w:r>
        <w:rPr>
          <w:rFonts w:hint="eastAsia" w:ascii="Times New Roman" w:hAnsi="Times New Roman"/>
          <w:color w:val="auto"/>
          <w:szCs w:val="24"/>
          <w:highlight w:val="none"/>
          <w:lang w:eastAsia="zh-CN"/>
        </w:rPr>
        <w:t>，</w:t>
      </w:r>
      <w:r>
        <w:rPr>
          <w:rFonts w:hint="eastAsia" w:ascii="Times New Roman" w:hAnsi="Times New Roman"/>
          <w:color w:val="auto"/>
          <w:szCs w:val="24"/>
          <w:highlight w:val="none"/>
        </w:rPr>
        <w:t>最新发布的产品标准中定义了芯片有害杂质Ca、Zn，</w:t>
      </w:r>
      <w:r>
        <w:rPr>
          <w:rFonts w:hint="eastAsia" w:ascii="Times New Roman" w:hAnsi="Times New Roman"/>
          <w:color w:val="auto"/>
          <w:szCs w:val="24"/>
          <w:highlight w:val="none"/>
          <w:lang w:eastAsia="zh-CN"/>
        </w:rPr>
        <w:t>但</w:t>
      </w:r>
      <w:r>
        <w:rPr>
          <w:rFonts w:hint="eastAsia" w:ascii="Times New Roman" w:hAnsi="Times New Roman"/>
          <w:color w:val="auto"/>
          <w:szCs w:val="24"/>
          <w:highlight w:val="none"/>
          <w:lang w:val="en-US" w:eastAsia="zh-CN"/>
        </w:rPr>
        <w:t>原</w:t>
      </w:r>
      <w:r>
        <w:rPr>
          <w:rFonts w:hint="eastAsia" w:ascii="Times New Roman" w:hAnsi="Times New Roman"/>
          <w:color w:val="auto"/>
          <w:szCs w:val="24"/>
          <w:highlight w:val="none"/>
        </w:rPr>
        <w:t>标准中未定义该元素，且有些客户特殊要求的金属项，该标准也不能完全覆盖；</w:t>
      </w:r>
      <w:r>
        <w:rPr>
          <w:rFonts w:hint="eastAsia" w:ascii="Times New Roman" w:hAnsi="Times New Roman"/>
          <w:color w:val="auto"/>
          <w:szCs w:val="24"/>
          <w:highlight w:val="none"/>
          <w:lang w:eastAsia="zh-CN"/>
        </w:rPr>
        <w:t>其次是</w:t>
      </w:r>
      <w:r>
        <w:rPr>
          <w:rFonts w:hint="eastAsia" w:ascii="Times New Roman" w:hAnsi="Times New Roman"/>
          <w:color w:val="auto"/>
          <w:szCs w:val="24"/>
          <w:highlight w:val="none"/>
        </w:rPr>
        <w:t>原标准中所用试剂乙腈有毒，且市面上购买不到满足要求的乙腈，使用前需要进行提纯，而提纯过程又极易引入杂质。目前研究并已经使用的测试方法在不使用乙腈的情况</w:t>
      </w:r>
      <w:r>
        <w:rPr>
          <w:rFonts w:hint="eastAsia" w:ascii="Times New Roman" w:hAnsi="Times New Roman"/>
          <w:color w:val="auto"/>
          <w:szCs w:val="24"/>
          <w:highlight w:val="none"/>
          <w:lang w:eastAsia="zh-CN"/>
        </w:rPr>
        <w:t>下</w:t>
      </w:r>
      <w:r>
        <w:rPr>
          <w:rFonts w:hint="eastAsia" w:ascii="Times New Roman" w:hAnsi="Times New Roman"/>
          <w:color w:val="auto"/>
          <w:szCs w:val="24"/>
          <w:highlight w:val="none"/>
        </w:rPr>
        <w:t>，经过加标回收验证，满足测试准确度要求；</w:t>
      </w:r>
      <w:r>
        <w:rPr>
          <w:rFonts w:hint="eastAsia" w:ascii="Times New Roman" w:hAnsi="Times New Roman"/>
          <w:color w:val="auto"/>
          <w:szCs w:val="24"/>
          <w:highlight w:val="none"/>
          <w:lang w:eastAsia="zh-CN"/>
        </w:rPr>
        <w:t>再次是</w:t>
      </w:r>
      <w:r>
        <w:rPr>
          <w:rFonts w:hint="eastAsia" w:ascii="Times New Roman" w:hAnsi="Times New Roman"/>
          <w:color w:val="auto"/>
          <w:szCs w:val="24"/>
          <w:highlight w:val="none"/>
        </w:rPr>
        <w:t>原标准中B、P等元素，被更先进的测试方法替代</w:t>
      </w:r>
      <w:r>
        <w:rPr>
          <w:rFonts w:hint="eastAsia" w:ascii="Times New Roman" w:hAnsi="Times New Roman"/>
          <w:color w:val="auto"/>
          <w:szCs w:val="24"/>
          <w:highlight w:val="none"/>
          <w:lang w:eastAsia="zh-CN"/>
        </w:rPr>
        <w:t>，</w:t>
      </w:r>
      <w:r>
        <w:rPr>
          <w:rFonts w:hint="eastAsia" w:ascii="Times New Roman" w:hAnsi="Times New Roman"/>
          <w:color w:val="auto"/>
          <w:szCs w:val="24"/>
          <w:highlight w:val="none"/>
        </w:rPr>
        <w:t>因半导体对施、受主要求极为严苛，在2012年并无更先进的施受主测试手段，因此只能靠用ICP-MS测试，事实上ICP-MS测试非金属的准确性有待考究。近几年随着低温傅里叶红外以及微型评价技术的普及，已经有施</w:t>
      </w:r>
      <w:r>
        <w:rPr>
          <w:rFonts w:hint="eastAsia" w:ascii="Times New Roman" w:hAnsi="Times New Roman"/>
          <w:color w:val="auto"/>
          <w:szCs w:val="24"/>
          <w:highlight w:val="none"/>
          <w:lang w:eastAsia="zh-CN"/>
        </w:rPr>
        <w:t>、</w:t>
      </w:r>
      <w:r>
        <w:rPr>
          <w:rFonts w:hint="eastAsia" w:ascii="Times New Roman" w:hAnsi="Times New Roman"/>
          <w:color w:val="auto"/>
          <w:szCs w:val="24"/>
          <w:highlight w:val="none"/>
        </w:rPr>
        <w:t>受主直接测试技术。</w:t>
      </w:r>
    </w:p>
    <w:p>
      <w:pPr>
        <w:pStyle w:val="7"/>
        <w:spacing w:line="360" w:lineRule="auto"/>
        <w:ind w:firstLine="420"/>
        <w:contextualSpacing/>
        <w:rPr>
          <w:rFonts w:hint="eastAsia" w:ascii="Times New Roman" w:hAnsi="Times New Roman"/>
          <w:color w:val="auto"/>
          <w:szCs w:val="24"/>
          <w:highlight w:val="none"/>
        </w:rPr>
      </w:pPr>
      <w:r>
        <w:rPr>
          <w:rFonts w:hint="eastAsia" w:ascii="Times New Roman" w:hAnsi="Times New Roman"/>
          <w:color w:val="auto"/>
          <w:szCs w:val="24"/>
          <w:highlight w:val="none"/>
        </w:rPr>
        <w:t>基于</w:t>
      </w:r>
      <w:r>
        <w:rPr>
          <w:rFonts w:hint="eastAsia" w:ascii="Times New Roman" w:hAnsi="Times New Roman"/>
          <w:color w:val="auto"/>
          <w:szCs w:val="24"/>
          <w:highlight w:val="none"/>
          <w:lang w:eastAsia="zh-CN"/>
        </w:rPr>
        <w:t>原标准</w:t>
      </w:r>
      <w:r>
        <w:rPr>
          <w:rFonts w:hint="eastAsia" w:ascii="Times New Roman" w:hAnsi="Times New Roman"/>
          <w:color w:val="auto"/>
          <w:szCs w:val="24"/>
          <w:highlight w:val="none"/>
        </w:rPr>
        <w:t>与实际执行不匹配的问题，以及硅外延用三氯氢硅产品国产化攻艰期需要标准化支持的需求，该标准的修订是必要且急迫的。</w:t>
      </w:r>
    </w:p>
    <w:p>
      <w:pPr>
        <w:pStyle w:val="3"/>
        <w:rPr>
          <w:color w:val="000000"/>
        </w:rPr>
      </w:pPr>
      <w:r>
        <w:rPr>
          <w:color w:val="000000"/>
        </w:rPr>
        <w:t>1.2 任务来源</w:t>
      </w:r>
      <w:bookmarkEnd w:id="5"/>
      <w:bookmarkEnd w:id="6"/>
      <w:bookmarkEnd w:id="7"/>
    </w:p>
    <w:p>
      <w:pPr>
        <w:pStyle w:val="7"/>
        <w:spacing w:line="360" w:lineRule="auto"/>
        <w:ind w:firstLine="420"/>
        <w:contextualSpacing/>
        <w:rPr>
          <w:rFonts w:ascii="Times New Roman" w:hAnsi="Times New Roman"/>
          <w:color w:val="000000"/>
          <w:szCs w:val="24"/>
          <w:highlight w:val="none"/>
        </w:rPr>
      </w:pPr>
      <w:bookmarkStart w:id="8" w:name="_Toc508985097"/>
      <w:bookmarkStart w:id="9" w:name="_Toc511234380"/>
      <w:bookmarkStart w:id="10" w:name="_Toc497309497"/>
      <w:r>
        <w:rPr>
          <w:rFonts w:ascii="Times New Roman" w:hAnsi="Times New Roman"/>
          <w:color w:val="000000"/>
          <w:szCs w:val="24"/>
          <w:highlight w:val="none"/>
        </w:rPr>
        <w:t>根据</w:t>
      </w:r>
      <w:r>
        <w:rPr>
          <w:rFonts w:hint="eastAsia" w:ascii="Times New Roman" w:hAnsi="Times New Roman"/>
          <w:color w:val="000000"/>
          <w:szCs w:val="24"/>
          <w:highlight w:val="none"/>
        </w:rPr>
        <w:t>《国家标准化管理委员会关于下达2024年第一批推荐性国家标准计划及相关标准外文版计划的通知》(国标委发[2024]16号)及《工业和信息化部办公厅关于印发2024年第一批行业标准制修订计划的通知》(工信厅科(2024)18号)，</w:t>
      </w:r>
      <w:r>
        <w:rPr>
          <w:rFonts w:hint="eastAsia" w:ascii="Times New Roman" w:hAnsi="Times New Roman"/>
          <w:color w:val="000000"/>
          <w:szCs w:val="24"/>
          <w:highlight w:val="none"/>
          <w:lang w:eastAsia="zh-CN"/>
        </w:rPr>
        <w:t>以及</w:t>
      </w:r>
      <w:r>
        <w:rPr>
          <w:rFonts w:ascii="Times New Roman" w:hAnsi="Times New Roman"/>
          <w:color w:val="000000"/>
          <w:szCs w:val="24"/>
          <w:highlight w:val="none"/>
        </w:rPr>
        <w:t>《</w:t>
      </w:r>
      <w:r>
        <w:rPr>
          <w:rFonts w:hint="eastAsia" w:ascii="Times New Roman" w:hAnsi="Times New Roman"/>
          <w:color w:val="000000"/>
          <w:szCs w:val="24"/>
          <w:highlight w:val="none"/>
        </w:rPr>
        <w:t>关于</w:t>
      </w:r>
      <w:r>
        <w:rPr>
          <w:rFonts w:hint="eastAsia" w:ascii="Times New Roman" w:hAnsi="Times New Roman"/>
          <w:color w:val="000000"/>
          <w:szCs w:val="24"/>
          <w:highlight w:val="none"/>
          <w:lang w:eastAsia="zh-CN"/>
        </w:rPr>
        <w:t>转发</w:t>
      </w:r>
      <w:r>
        <w:rPr>
          <w:rFonts w:hint="eastAsia" w:ascii="Times New Roman" w:hAnsi="Times New Roman"/>
          <w:color w:val="000000"/>
          <w:szCs w:val="24"/>
          <w:highlight w:val="none"/>
          <w:lang w:val="en-US" w:eastAsia="zh-CN"/>
        </w:rPr>
        <w:t>2024年第一批半导体材料标准项目计划及征集起草单位的通知</w:t>
      </w:r>
      <w:r>
        <w:rPr>
          <w:rFonts w:ascii="Times New Roman" w:hAnsi="Times New Roman"/>
          <w:color w:val="000000"/>
          <w:szCs w:val="24"/>
          <w:highlight w:val="none"/>
        </w:rPr>
        <w:t>》（</w:t>
      </w:r>
      <w:r>
        <w:rPr>
          <w:rFonts w:hint="eastAsia" w:ascii="Times New Roman" w:hAnsi="Times New Roman"/>
          <w:color w:val="000000"/>
          <w:szCs w:val="24"/>
          <w:highlight w:val="none"/>
          <w:lang w:val="en-US" w:eastAsia="zh-CN"/>
        </w:rPr>
        <w:t>半材标委</w:t>
      </w:r>
      <w:r>
        <w:rPr>
          <w:rFonts w:ascii="Times New Roman" w:hAnsi="Times New Roman"/>
          <w:color w:val="000000"/>
          <w:szCs w:val="24"/>
          <w:highlight w:val="none"/>
        </w:rPr>
        <w:t>[20</w:t>
      </w:r>
      <w:r>
        <w:rPr>
          <w:rFonts w:hint="eastAsia" w:ascii="Times New Roman" w:hAnsi="Times New Roman"/>
          <w:color w:val="000000"/>
          <w:szCs w:val="24"/>
          <w:highlight w:val="none"/>
          <w:lang w:val="en-US" w:eastAsia="zh-CN"/>
        </w:rPr>
        <w:t>24</w:t>
      </w:r>
      <w:r>
        <w:rPr>
          <w:rFonts w:ascii="Times New Roman" w:hAnsi="Times New Roman"/>
          <w:color w:val="000000"/>
          <w:szCs w:val="24"/>
          <w:highlight w:val="none"/>
        </w:rPr>
        <w:t>]</w:t>
      </w:r>
      <w:r>
        <w:rPr>
          <w:rFonts w:hint="eastAsia" w:ascii="Times New Roman" w:hAnsi="Times New Roman"/>
          <w:color w:val="000000"/>
          <w:szCs w:val="24"/>
          <w:highlight w:val="none"/>
          <w:lang w:val="en-US" w:eastAsia="zh-CN"/>
        </w:rPr>
        <w:t>11</w:t>
      </w:r>
      <w:r>
        <w:rPr>
          <w:rFonts w:ascii="Times New Roman" w:hAnsi="Times New Roman"/>
          <w:color w:val="000000"/>
          <w:szCs w:val="24"/>
          <w:highlight w:val="none"/>
        </w:rPr>
        <w:t>号），</w:t>
      </w:r>
      <w:r>
        <w:rPr>
          <w:rFonts w:hint="eastAsia" w:ascii="Times New Roman" w:hAnsi="Times New Roman"/>
          <w:color w:val="000000"/>
          <w:szCs w:val="24"/>
          <w:highlight w:val="none"/>
          <w:lang w:eastAsia="zh-CN"/>
        </w:rPr>
        <w:t>国家标准</w:t>
      </w:r>
      <w:r>
        <w:rPr>
          <w:rFonts w:ascii="Times New Roman" w:hAnsi="Times New Roman"/>
          <w:color w:val="000000"/>
          <w:szCs w:val="24"/>
          <w:highlight w:val="none"/>
        </w:rPr>
        <w:t>《</w:t>
      </w:r>
      <w:r>
        <w:rPr>
          <w:rFonts w:hint="eastAsia" w:ascii="Times New Roman" w:hAnsi="Times New Roman"/>
          <w:color w:val="000000"/>
          <w:szCs w:val="24"/>
          <w:highlight w:val="none"/>
          <w:lang w:val="en-US" w:eastAsia="zh-CN"/>
        </w:rPr>
        <w:t>硅外延用三氯氢硅中杂质含量的测定 电感耦合等离子体质谱法</w:t>
      </w:r>
      <w:r>
        <w:rPr>
          <w:rFonts w:ascii="Times New Roman" w:hAnsi="Times New Roman"/>
          <w:color w:val="000000"/>
          <w:szCs w:val="24"/>
          <w:highlight w:val="none"/>
        </w:rPr>
        <w:t>》</w:t>
      </w:r>
      <w:r>
        <w:rPr>
          <w:rFonts w:hint="eastAsia" w:ascii="Times New Roman" w:hAnsi="Times New Roman"/>
          <w:color w:val="000000"/>
          <w:szCs w:val="24"/>
          <w:highlight w:val="none"/>
          <w:lang w:eastAsia="zh-CN"/>
        </w:rPr>
        <w:t>由洛阳中硅高科技有限公司</w:t>
      </w:r>
      <w:r>
        <w:rPr>
          <w:rFonts w:ascii="Times New Roman" w:hAnsi="Times New Roman"/>
          <w:color w:val="000000"/>
          <w:szCs w:val="24"/>
          <w:highlight w:val="none"/>
        </w:rPr>
        <w:t>牵头起草，由全国有色金属标准化技术委员会、全国半导体设备和材料标准化技术委员会材料分技术委员会归口，全国半导体设备和材料标准化技术委员会材料分技术委员会</w:t>
      </w:r>
      <w:r>
        <w:rPr>
          <w:rFonts w:hint="eastAsia" w:ascii="Times New Roman" w:hAnsi="Times New Roman"/>
          <w:color w:val="000000"/>
          <w:szCs w:val="24"/>
          <w:highlight w:val="none"/>
          <w:lang w:eastAsia="zh-CN"/>
        </w:rPr>
        <w:t>具体</w:t>
      </w:r>
      <w:r>
        <w:rPr>
          <w:rFonts w:ascii="Times New Roman" w:hAnsi="Times New Roman"/>
          <w:color w:val="000000"/>
          <w:szCs w:val="24"/>
          <w:highlight w:val="none"/>
        </w:rPr>
        <w:t>组织</w:t>
      </w:r>
      <w:r>
        <w:rPr>
          <w:rFonts w:hint="eastAsia" w:ascii="Times New Roman" w:hAnsi="Times New Roman"/>
          <w:color w:val="000000"/>
          <w:szCs w:val="24"/>
          <w:highlight w:val="none"/>
          <w:lang w:eastAsia="zh-CN"/>
        </w:rPr>
        <w:t>编制，计划编号20240139-T-469</w:t>
      </w:r>
      <w:r>
        <w:rPr>
          <w:rFonts w:ascii="Times New Roman" w:hAnsi="Times New Roman"/>
          <w:color w:val="000000"/>
          <w:szCs w:val="24"/>
          <w:highlight w:val="none"/>
        </w:rPr>
        <w:t>。</w:t>
      </w:r>
    </w:p>
    <w:p>
      <w:pPr>
        <w:pStyle w:val="3"/>
        <w:rPr>
          <w:color w:val="000000"/>
        </w:rPr>
      </w:pPr>
      <w:r>
        <w:rPr>
          <w:color w:val="000000"/>
        </w:rPr>
        <w:t>1.3 项目编制组单位简况</w:t>
      </w:r>
      <w:bookmarkEnd w:id="8"/>
      <w:bookmarkEnd w:id="9"/>
      <w:bookmarkEnd w:id="10"/>
    </w:p>
    <w:p>
      <w:pPr>
        <w:ind w:left="0" w:leftChars="0" w:firstLine="420" w:firstLineChars="200"/>
        <w:rPr>
          <w:rFonts w:hint="eastAsia"/>
          <w:color w:val="auto"/>
          <w:lang w:val="en-US" w:eastAsia="zh-CN"/>
        </w:rPr>
      </w:pPr>
      <w:r>
        <w:rPr>
          <w:rFonts w:hint="eastAsia"/>
          <w:color w:val="auto"/>
          <w:lang w:val="en-US" w:eastAsia="zh-CN"/>
        </w:rPr>
        <w:t>洛阳中硅高科技有限公司成立于2003年，注册资金10.57亿元，现有员工约800人，隶属于中国五矿集团有限公司，主要生产、研发、销售新能源、光通信及集成电路用高端基础材料，是我国电子信息行业优秀创新企业，河南省创新龙头企业、专精特新企业和高新技术企业。</w:t>
      </w:r>
    </w:p>
    <w:p>
      <w:pPr>
        <w:ind w:left="0" w:leftChars="0" w:firstLine="420" w:firstLineChars="200"/>
        <w:rPr>
          <w:rFonts w:hint="default"/>
          <w:color w:val="auto"/>
          <w:lang w:val="en-US" w:eastAsia="zh-CN"/>
        </w:rPr>
      </w:pPr>
      <w:r>
        <w:rPr>
          <w:rFonts w:hint="eastAsia"/>
          <w:color w:val="auto"/>
          <w:lang w:val="en-US" w:eastAsia="zh-CN"/>
        </w:rPr>
        <w:t>洛阳中硅高科技有限公司始终坚持把科技创新作为引领发展的第一动力，研发应用了一大批具有自主知识产权的核心技术和产品。目前拥有2个国家级创新平台、3个省级创新平台和3个市级创新平台，设立了博士后科研工作站。积极融入国家科技创新体系，先后承担实施国家重点研发及产业化项目26项，通过校企合作、课题共研、平台共建、定制开发、产品应用迭代验证、柔性引才等举措，构建了基于市场需求的复合型研发体系，培育了以多晶硅、硅基电子特气、硅基功能材料三个板块为核心的原创技术体系，获得授权专利200余项，多项成果填补国内空白，有3项成果达到国际领先水平，牵头制定国际、国家、行业和团体标准71项，荣获国家科技进步二等奖、中国发明专利金奖、国家工业大奖提名奖等省部级以上荣誉奖励40多项。公司</w:t>
      </w:r>
      <w:r>
        <w:rPr>
          <w:rFonts w:hint="default"/>
          <w:color w:val="auto"/>
          <w:lang w:val="en-US" w:eastAsia="zh-CN"/>
        </w:rPr>
        <w:t>按照“关注一批、研发一批、突破一批”的滚动发展思路，聚焦解决公司已形成500吨/年电子级多晶硅以及相应的光纤级四氯化硅、电子级三氯氢硅、电子级二氯二氢硅、电子级六氯乙硅烷等集成电路用硅基电子特气生产规模。</w:t>
      </w:r>
      <w:r>
        <w:rPr>
          <w:rFonts w:hint="eastAsia"/>
          <w:color w:val="auto"/>
          <w:lang w:val="en-US" w:eastAsia="zh-CN"/>
        </w:rPr>
        <w:t>洛阳中硅高科技有限公司</w:t>
      </w:r>
      <w:r>
        <w:rPr>
          <w:rFonts w:hint="default"/>
          <w:color w:val="auto"/>
          <w:lang w:val="en-US" w:eastAsia="zh-CN"/>
        </w:rPr>
        <w:t>从2015年开始研发硅基电子材料，目前已具备年产硅外延用三氯氢硅1000吨的产品线，生产出质量稳定的硅外延用三氯氢硅，填补了国内空白，替代了部分进口三氯氢硅，产品质量得到客户的认可。在产品研发的同时，开发建立了三氯氢硅杂质含量的测定方法，为保证产品品质提供了强有力的保障。</w:t>
      </w:r>
    </w:p>
    <w:p>
      <w:pPr>
        <w:ind w:left="0" w:leftChars="0" w:firstLine="420" w:firstLineChars="200"/>
        <w:rPr>
          <w:rFonts w:hint="default"/>
          <w:color w:val="auto"/>
          <w:lang w:val="en-US" w:eastAsia="zh-CN"/>
        </w:rPr>
      </w:pPr>
      <w:r>
        <w:rPr>
          <w:rFonts w:hint="default"/>
          <w:color w:val="auto"/>
          <w:lang w:val="en-US" w:eastAsia="zh-CN"/>
        </w:rPr>
        <w:t>标准主编单位洛阳中硅高科技有限公司在标准的编制过程中，积极主动收集国内外的</w:t>
      </w:r>
      <w:r>
        <w:rPr>
          <w:rFonts w:hint="eastAsia"/>
          <w:color w:val="auto"/>
          <w:lang w:val="en-US" w:eastAsia="zh-CN"/>
        </w:rPr>
        <w:t>三氯氢硅</w:t>
      </w:r>
      <w:r>
        <w:rPr>
          <w:rFonts w:hint="default"/>
          <w:color w:val="auto"/>
          <w:lang w:val="en-US" w:eastAsia="zh-CN"/>
        </w:rPr>
        <w:t>检测方法标准，对有代表性企业进行调研，根据了解到的情况，编制标准文本，公司带领编制组成员单位认真细致修改标准文本，征求多家企业的意见，最终带领编制组完成标准的编制工作。</w:t>
      </w:r>
    </w:p>
    <w:p>
      <w:pPr>
        <w:pStyle w:val="3"/>
        <w:rPr>
          <w:color w:val="000000"/>
        </w:rPr>
      </w:pPr>
      <w:bookmarkStart w:id="11" w:name="_Toc511234384"/>
      <w:r>
        <w:rPr>
          <w:rFonts w:hint="eastAsia"/>
          <w:color w:val="000000"/>
        </w:rPr>
        <w:t>1</w:t>
      </w:r>
      <w:r>
        <w:rPr>
          <w:color w:val="000000"/>
        </w:rPr>
        <w:t xml:space="preserve">.4 </w:t>
      </w:r>
      <w:r>
        <w:rPr>
          <w:rFonts w:hint="eastAsia"/>
          <w:color w:val="000000"/>
        </w:rPr>
        <w:t>工作过程</w:t>
      </w:r>
      <w:bookmarkEnd w:id="11"/>
    </w:p>
    <w:p>
      <w:pPr>
        <w:ind w:left="0" w:leftChars="0" w:firstLine="0" w:firstLineChars="0"/>
        <w:rPr>
          <w:rFonts w:hint="eastAsia" w:eastAsia="宋体"/>
          <w:color w:val="000000"/>
          <w:lang w:val="en-US" w:eastAsia="zh-CN"/>
        </w:rPr>
      </w:pPr>
      <w:r>
        <w:rPr>
          <w:rFonts w:hint="eastAsia"/>
          <w:color w:val="000000"/>
          <w:lang w:val="en-US" w:eastAsia="zh-CN"/>
        </w:rPr>
        <w:t>1.4.1起草阶段</w:t>
      </w:r>
    </w:p>
    <w:p>
      <w:pPr>
        <w:ind w:firstLine="420"/>
        <w:rPr>
          <w:rFonts w:hint="eastAsia"/>
          <w:color w:val="auto"/>
        </w:rPr>
      </w:pPr>
      <w:r>
        <w:rPr>
          <w:rFonts w:hint="eastAsia"/>
          <w:color w:val="auto"/>
        </w:rPr>
        <w:t>标准起草单位和参编单位在接到标准制定计划任务后，在全国半导体设备和材料标准化技术委员会材料分技术委员会的组织下，洛阳中硅高科技有限公司和参编单位成立了标准编制组，确定了编制组成员的任务分工和计划。根据工作计划进度安排，标准编制组收集查阅了国内外相关政策、标准、文献，认真学习编制原则和需要注意的内容</w:t>
      </w:r>
      <w:r>
        <w:rPr>
          <w:rFonts w:hint="eastAsia"/>
          <w:color w:val="auto"/>
          <w:lang w:eastAsia="zh-CN"/>
        </w:rPr>
        <w:t>，</w:t>
      </w:r>
      <w:r>
        <w:rPr>
          <w:rFonts w:hint="eastAsia"/>
          <w:color w:val="auto"/>
        </w:rPr>
        <w:t>同时标准编制组也充分调研了本公司和同行业其他单位的</w:t>
      </w:r>
      <w:r>
        <w:rPr>
          <w:rFonts w:hint="eastAsia"/>
          <w:color w:val="auto"/>
          <w:lang w:eastAsia="zh-CN"/>
        </w:rPr>
        <w:t>三氯氢硅</w:t>
      </w:r>
      <w:r>
        <w:rPr>
          <w:rFonts w:hint="eastAsia"/>
          <w:color w:val="auto"/>
        </w:rPr>
        <w:t>中杂质的检测方法，并组织相关技术人员进行了</w:t>
      </w:r>
      <w:r>
        <w:rPr>
          <w:rFonts w:hint="eastAsia"/>
          <w:color w:val="auto"/>
          <w:lang w:eastAsia="zh-CN"/>
        </w:rPr>
        <w:t>三氯氢硅</w:t>
      </w:r>
      <w:r>
        <w:rPr>
          <w:rFonts w:hint="eastAsia"/>
          <w:color w:val="auto"/>
        </w:rPr>
        <w:t>中杂质含量检测的试验工作，结合实际情况和具体的试验结果，对拟制定标准所涉及的内容、范围、适用性、可操作性、科学性等内容进行了认真研讨、论证和改进，通过试验，初步确立了方法标准的内容。最终形成了《</w:t>
      </w:r>
      <w:r>
        <w:rPr>
          <w:rFonts w:hint="eastAsia"/>
          <w:color w:val="auto"/>
          <w:lang w:val="en-US" w:eastAsia="zh-CN"/>
        </w:rPr>
        <w:t>硅外延用三氯氢硅中杂质含量的测定 电感耦合等离子体质谱法</w:t>
      </w:r>
      <w:r>
        <w:rPr>
          <w:rFonts w:hint="eastAsia"/>
          <w:color w:val="auto"/>
        </w:rPr>
        <w:t>》的讨论稿。</w:t>
      </w:r>
    </w:p>
    <w:p>
      <w:pPr>
        <w:pStyle w:val="2"/>
        <w:rPr>
          <w:color w:val="auto"/>
        </w:rPr>
      </w:pPr>
      <w:bookmarkStart w:id="12" w:name="_Toc497309525"/>
      <w:bookmarkStart w:id="13" w:name="_Toc511234385"/>
      <w:r>
        <w:rPr>
          <w:rFonts w:hint="eastAsia"/>
          <w:color w:val="auto"/>
        </w:rPr>
        <w:t>二、</w:t>
      </w:r>
      <w:r>
        <w:rPr>
          <w:color w:val="auto"/>
        </w:rPr>
        <w:t>标准编制原则和确定标准主要内容</w:t>
      </w:r>
      <w:bookmarkEnd w:id="12"/>
      <w:bookmarkEnd w:id="13"/>
    </w:p>
    <w:p>
      <w:pPr>
        <w:pStyle w:val="3"/>
        <w:rPr>
          <w:rFonts w:hint="eastAsia" w:hAnsi="宋体"/>
          <w:b/>
          <w:color w:val="auto"/>
          <w:sz w:val="21"/>
          <w:szCs w:val="21"/>
        </w:rPr>
      </w:pPr>
      <w:bookmarkStart w:id="14" w:name="_Toc508985102"/>
      <w:bookmarkStart w:id="15" w:name="_Toc511234386"/>
      <w:bookmarkStart w:id="16" w:name="_Toc497309526"/>
      <w:r>
        <w:rPr>
          <w:rFonts w:hint="eastAsia"/>
          <w:color w:val="auto"/>
        </w:rPr>
        <w:t>2</w:t>
      </w:r>
      <w:r>
        <w:rPr>
          <w:color w:val="auto"/>
        </w:rPr>
        <w:t>.1编制原则</w:t>
      </w:r>
      <w:bookmarkEnd w:id="14"/>
      <w:bookmarkEnd w:id="15"/>
      <w:bookmarkEnd w:id="16"/>
      <w:bookmarkStart w:id="17" w:name="_Toc497309549"/>
      <w:bookmarkStart w:id="18" w:name="_Toc511234398"/>
    </w:p>
    <w:p>
      <w:pPr>
        <w:rPr>
          <w:rFonts w:hint="eastAsia"/>
          <w:color w:val="auto"/>
          <w:lang w:val="en-US" w:eastAsia="zh-CN"/>
        </w:rPr>
      </w:pPr>
      <w:r>
        <w:rPr>
          <w:rFonts w:hint="eastAsia"/>
          <w:color w:val="auto"/>
          <w:lang w:val="en-US" w:eastAsia="zh-CN"/>
        </w:rPr>
        <w:t>本标准按照GB/T 1.1-2020《标准化工作导则 第1部分：标准化文件的结构和起草规则》和GB/T 20001.4-2015《标准编写规则 第4部分：试验方法标准》的要求进行编写。标准中主要包含范围、规范性引用文件、术语和定义、原理、干扰因素、试验条件、试剂和材料、仪器设备、样品、试验步骤、试验数据处理、精密度、试验报告等内容。</w:t>
      </w:r>
    </w:p>
    <w:p>
      <w:pPr>
        <w:pStyle w:val="3"/>
        <w:rPr>
          <w:rFonts w:hint="eastAsia" w:ascii="Arial" w:hAnsi="Arial"/>
          <w:color w:val="auto"/>
        </w:rPr>
      </w:pPr>
      <w:r>
        <w:rPr>
          <w:rFonts w:hint="eastAsia" w:ascii="Arial" w:hAnsi="Arial"/>
          <w:color w:val="auto"/>
          <w:lang w:val="en-US" w:eastAsia="zh-CN"/>
        </w:rPr>
        <w:t>2.2</w:t>
      </w:r>
      <w:r>
        <w:rPr>
          <w:rFonts w:hint="eastAsia" w:ascii="Arial" w:hAnsi="Arial"/>
          <w:color w:val="auto"/>
        </w:rPr>
        <w:t>标准主要内容说明</w:t>
      </w:r>
    </w:p>
    <w:p>
      <w:pPr>
        <w:ind w:left="0" w:leftChars="0" w:firstLine="0" w:firstLineChars="0"/>
        <w:rPr>
          <w:rFonts w:hint="eastAsia"/>
          <w:color w:val="auto"/>
          <w:lang w:val="en-US" w:eastAsia="zh-CN"/>
        </w:rPr>
      </w:pPr>
      <w:r>
        <w:rPr>
          <w:rFonts w:hint="eastAsia"/>
          <w:color w:val="auto"/>
          <w:lang w:val="en-US" w:eastAsia="zh-CN"/>
        </w:rPr>
        <w:t>本次修订，主要技术变动内容及其依据如下：</w:t>
      </w:r>
    </w:p>
    <w:p>
      <w:pPr>
        <w:ind w:left="0" w:leftChars="0" w:firstLine="0" w:firstLineChars="0"/>
        <w:rPr>
          <w:rFonts w:hint="eastAsia"/>
          <w:color w:val="auto"/>
          <w:lang w:val="en-US" w:eastAsia="zh-CN"/>
        </w:rPr>
      </w:pPr>
      <w:r>
        <w:rPr>
          <w:rFonts w:hint="eastAsia"/>
          <w:color w:val="auto"/>
          <w:lang w:val="en-US" w:eastAsia="zh-CN"/>
        </w:rPr>
        <w:t>2.2.1范围中</w:t>
      </w:r>
      <w:r>
        <w:rPr>
          <w:rFonts w:hint="default"/>
          <w:color w:val="auto"/>
          <w:lang w:val="en-US" w:eastAsia="zh-CN"/>
        </w:rPr>
        <w:t>原</w:t>
      </w:r>
      <w:r>
        <w:rPr>
          <w:rFonts w:hint="eastAsia"/>
          <w:color w:val="auto"/>
          <w:lang w:val="en-US" w:eastAsia="zh-CN"/>
        </w:rPr>
        <w:t>文件</w:t>
      </w:r>
      <w:r>
        <w:rPr>
          <w:rFonts w:hint="default"/>
          <w:color w:val="auto"/>
          <w:lang w:val="en-US" w:eastAsia="zh-CN"/>
        </w:rPr>
        <w:t>未涵盖目前行业重点关注的杂质元素，修订后调整测定元素以满足行业需求，修订后测定元素为Li、B、Na、Mg、Al、K、Ca、P、Ti、V、Cr、Mn、Fe、Co、Ni、Cu、Zn、Ga、Mo、As、Pb</w:t>
      </w:r>
      <w:r>
        <w:rPr>
          <w:rFonts w:hint="eastAsia"/>
          <w:color w:val="auto"/>
          <w:lang w:val="en-US" w:eastAsia="zh-CN"/>
        </w:rPr>
        <w:t>。</w:t>
      </w:r>
    </w:p>
    <w:p>
      <w:pPr>
        <w:ind w:left="0" w:leftChars="0" w:firstLine="0" w:firstLineChars="0"/>
        <w:rPr>
          <w:rFonts w:hint="eastAsia"/>
          <w:color w:val="auto"/>
          <w:lang w:val="en-US" w:eastAsia="zh-CN"/>
        </w:rPr>
      </w:pPr>
      <w:r>
        <w:rPr>
          <w:rFonts w:hint="eastAsia"/>
          <w:color w:val="auto"/>
          <w:lang w:val="en-US" w:eastAsia="zh-CN"/>
        </w:rPr>
        <w:t>2.2.2原文件所用试剂乙腈有毒，且由于市面上购买不到满足要求的乙腈，使用前需要进行提纯，提纯过程又极易引入杂质，修订后的检测方法在不使用乙腈的情况下经过加标回收试验验证满足回收率的要求。</w:t>
      </w:r>
    </w:p>
    <w:p>
      <w:pPr>
        <w:ind w:left="0" w:leftChars="0" w:firstLine="0" w:firstLineChars="0"/>
        <w:rPr>
          <w:rFonts w:hint="default"/>
          <w:color w:val="auto"/>
          <w:lang w:val="en-US" w:eastAsia="zh-CN"/>
        </w:rPr>
      </w:pPr>
      <w:r>
        <w:rPr>
          <w:rFonts w:hint="eastAsia"/>
          <w:color w:val="auto"/>
          <w:lang w:val="en-US" w:eastAsia="zh-CN"/>
        </w:rPr>
        <w:t>2.2.3按照GB/T 1.1-2020《标准化工作导则  第1部分：标准化文件的结构和起草规则》新规定调整文件结构，主要为将“方法提要”修改为“原理”并重新进行表述，增加“规范性引用文件”和“试验条件”，进一步明确文件的使用条件。</w:t>
      </w:r>
      <w:bookmarkStart w:id="33" w:name="_GoBack"/>
      <w:bookmarkEnd w:id="33"/>
    </w:p>
    <w:bookmarkEnd w:id="17"/>
    <w:bookmarkEnd w:id="18"/>
    <w:p>
      <w:pPr>
        <w:pStyle w:val="2"/>
        <w:rPr>
          <w:color w:val="auto"/>
        </w:rPr>
      </w:pPr>
      <w:bookmarkStart w:id="19" w:name="_Toc511234399"/>
      <w:bookmarkStart w:id="20" w:name="_Toc497309557"/>
      <w:r>
        <w:rPr>
          <w:rFonts w:hint="eastAsia"/>
          <w:color w:val="auto"/>
          <w:lang w:eastAsia="zh-CN"/>
        </w:rPr>
        <w:t>三</w:t>
      </w:r>
      <w:r>
        <w:rPr>
          <w:rFonts w:hint="eastAsia"/>
          <w:color w:val="auto"/>
        </w:rPr>
        <w:t>、</w:t>
      </w:r>
      <w:r>
        <w:rPr>
          <w:color w:val="auto"/>
        </w:rPr>
        <w:t>与现行相关法律、法规、规章及相关标准，特别是强制性标准的协调性</w:t>
      </w:r>
      <w:bookmarkEnd w:id="19"/>
      <w:bookmarkEnd w:id="20"/>
    </w:p>
    <w:p>
      <w:pPr>
        <w:ind w:firstLine="420"/>
        <w:rPr>
          <w:color w:val="auto"/>
        </w:rPr>
      </w:pPr>
      <w:r>
        <w:rPr>
          <w:color w:val="auto"/>
        </w:rPr>
        <w:t>本标准是</w:t>
      </w:r>
      <w:r>
        <w:rPr>
          <w:rFonts w:hint="eastAsia"/>
          <w:color w:val="auto"/>
          <w:lang w:eastAsia="zh-CN"/>
        </w:rPr>
        <w:t>修订</w:t>
      </w:r>
      <w:r>
        <w:rPr>
          <w:color w:val="auto"/>
        </w:rPr>
        <w:t>标准</w:t>
      </w:r>
      <w:r>
        <w:rPr>
          <w:rFonts w:hint="eastAsia"/>
          <w:color w:val="auto"/>
          <w:lang w:eastAsia="zh-CN"/>
        </w:rPr>
        <w:t>，</w:t>
      </w:r>
      <w:r>
        <w:rPr>
          <w:color w:val="auto"/>
        </w:rPr>
        <w:t>与现行的相关法律、法规、规章及相关标准的关系不矛盾、不冲突，其相互关系非常协调。</w:t>
      </w:r>
    </w:p>
    <w:p>
      <w:pPr>
        <w:pStyle w:val="2"/>
        <w:rPr>
          <w:color w:val="auto"/>
        </w:rPr>
      </w:pPr>
      <w:bookmarkStart w:id="21" w:name="_Toc511234400"/>
      <w:bookmarkStart w:id="22" w:name="_Toc497309558"/>
      <w:r>
        <w:rPr>
          <w:rFonts w:hint="eastAsia"/>
          <w:color w:val="auto"/>
        </w:rPr>
        <w:t>五、</w:t>
      </w:r>
      <w:r>
        <w:rPr>
          <w:color w:val="auto"/>
        </w:rPr>
        <w:t>标准中涉及的专利或知识产权说明</w:t>
      </w:r>
      <w:bookmarkEnd w:id="21"/>
      <w:bookmarkEnd w:id="22"/>
    </w:p>
    <w:p>
      <w:pPr>
        <w:ind w:firstLine="420"/>
        <w:rPr>
          <w:color w:val="auto"/>
        </w:rPr>
      </w:pPr>
      <w:r>
        <w:rPr>
          <w:color w:val="auto"/>
        </w:rPr>
        <w:t>本标准不涉及任何专利或知识产权。</w:t>
      </w:r>
    </w:p>
    <w:p>
      <w:pPr>
        <w:pStyle w:val="2"/>
        <w:rPr>
          <w:color w:val="auto"/>
        </w:rPr>
      </w:pPr>
      <w:bookmarkStart w:id="23" w:name="_Toc497309559"/>
      <w:bookmarkStart w:id="24" w:name="_Toc511234401"/>
      <w:r>
        <w:rPr>
          <w:rFonts w:hint="eastAsia"/>
          <w:color w:val="auto"/>
        </w:rPr>
        <w:t>六、</w:t>
      </w:r>
      <w:r>
        <w:rPr>
          <w:color w:val="auto"/>
        </w:rPr>
        <w:t>重大分歧意见的处理经过和依据</w:t>
      </w:r>
      <w:bookmarkEnd w:id="23"/>
      <w:bookmarkEnd w:id="24"/>
    </w:p>
    <w:p>
      <w:pPr>
        <w:ind w:firstLine="420"/>
        <w:rPr>
          <w:color w:val="auto"/>
        </w:rPr>
      </w:pPr>
      <w:r>
        <w:rPr>
          <w:color w:val="auto"/>
        </w:rPr>
        <w:t>（无）</w:t>
      </w:r>
    </w:p>
    <w:p>
      <w:pPr>
        <w:pStyle w:val="2"/>
        <w:rPr>
          <w:color w:val="auto"/>
        </w:rPr>
      </w:pPr>
      <w:bookmarkStart w:id="25" w:name="_Toc497309560"/>
      <w:bookmarkStart w:id="26" w:name="_Toc511234402"/>
      <w:r>
        <w:rPr>
          <w:rFonts w:hint="eastAsia"/>
          <w:color w:val="auto"/>
        </w:rPr>
        <w:t>七、</w:t>
      </w:r>
      <w:r>
        <w:rPr>
          <w:color w:val="auto"/>
        </w:rPr>
        <w:t>标准作为强制性或推荐性</w:t>
      </w:r>
      <w:r>
        <w:rPr>
          <w:rFonts w:hint="eastAsia"/>
          <w:color w:val="auto"/>
        </w:rPr>
        <w:t>行业</w:t>
      </w:r>
      <w:r>
        <w:rPr>
          <w:color w:val="auto"/>
        </w:rPr>
        <w:t>标准的建议</w:t>
      </w:r>
      <w:bookmarkEnd w:id="25"/>
      <w:bookmarkEnd w:id="26"/>
    </w:p>
    <w:p>
      <w:pPr>
        <w:ind w:firstLine="420"/>
        <w:rPr>
          <w:color w:val="auto"/>
        </w:rPr>
      </w:pPr>
      <w:r>
        <w:rPr>
          <w:rFonts w:hint="eastAsia"/>
          <w:color w:val="auto"/>
        </w:rPr>
        <w:t>本标准作为推荐性国家标准</w:t>
      </w:r>
      <w:r>
        <w:rPr>
          <w:color w:val="auto"/>
        </w:rPr>
        <w:t>。</w:t>
      </w:r>
    </w:p>
    <w:p>
      <w:pPr>
        <w:pStyle w:val="2"/>
        <w:rPr>
          <w:color w:val="auto"/>
        </w:rPr>
      </w:pPr>
      <w:bookmarkStart w:id="27" w:name="_Toc497309561"/>
      <w:bookmarkStart w:id="28" w:name="_Toc511234403"/>
      <w:r>
        <w:rPr>
          <w:rFonts w:hint="eastAsia"/>
          <w:color w:val="auto"/>
        </w:rPr>
        <w:t>八、</w:t>
      </w:r>
      <w:r>
        <w:rPr>
          <w:color w:val="auto"/>
        </w:rPr>
        <w:t>贯彻标准的要求和措施建议</w:t>
      </w:r>
      <w:bookmarkEnd w:id="27"/>
      <w:bookmarkEnd w:id="28"/>
    </w:p>
    <w:p>
      <w:pPr>
        <w:pStyle w:val="2"/>
        <w:rPr>
          <w:color w:val="auto"/>
        </w:rPr>
      </w:pPr>
      <w:bookmarkStart w:id="29" w:name="_Toc497309562"/>
      <w:bookmarkStart w:id="30" w:name="_Toc511234406"/>
      <w:r>
        <w:rPr>
          <w:rFonts w:hint="eastAsia"/>
          <w:color w:val="auto"/>
        </w:rPr>
        <w:t>九、</w:t>
      </w:r>
      <w:r>
        <w:rPr>
          <w:color w:val="auto"/>
        </w:rPr>
        <w:t>废止现行有关标准的建议</w:t>
      </w:r>
      <w:bookmarkEnd w:id="29"/>
      <w:bookmarkEnd w:id="30"/>
    </w:p>
    <w:p>
      <w:pPr>
        <w:ind w:firstLine="420"/>
        <w:rPr>
          <w:color w:val="auto"/>
        </w:rPr>
      </w:pPr>
      <w:r>
        <w:rPr>
          <w:rFonts w:hint="eastAsia"/>
          <w:color w:val="auto"/>
        </w:rPr>
        <w:t>本标准发布实施之日起，代替 GB/T 29056-2012。</w:t>
      </w:r>
    </w:p>
    <w:p>
      <w:pPr>
        <w:pStyle w:val="2"/>
        <w:rPr>
          <w:color w:val="auto"/>
        </w:rPr>
      </w:pPr>
      <w:bookmarkStart w:id="31" w:name="_Toc497309563"/>
      <w:bookmarkStart w:id="32" w:name="_Toc511234407"/>
      <w:r>
        <w:rPr>
          <w:rFonts w:hint="eastAsia"/>
          <w:color w:val="auto"/>
        </w:rPr>
        <w:t>十、其他应予说明的事项</w:t>
      </w:r>
      <w:bookmarkEnd w:id="31"/>
      <w:bookmarkEnd w:id="32"/>
    </w:p>
    <w:p>
      <w:pPr>
        <w:pStyle w:val="32"/>
        <w:spacing w:line="360" w:lineRule="auto"/>
        <w:ind w:firstLine="420" w:firstLineChars="20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无</w:t>
      </w:r>
    </w:p>
    <w:p>
      <w:pPr>
        <w:ind w:firstLine="420"/>
        <w:rPr>
          <w:color w:val="000000"/>
        </w:rPr>
      </w:pPr>
    </w:p>
    <w:p>
      <w:pPr>
        <w:ind w:firstLine="420"/>
        <w:rPr>
          <w:color w:val="000000"/>
        </w:rPr>
      </w:pPr>
    </w:p>
    <w:p>
      <w:pPr>
        <w:rPr>
          <w:rFonts w:hint="eastAsia" w:ascii="宋体" w:hAnsi="宋体" w:eastAsia="宋体" w:cs="宋体"/>
          <w:color w:val="000000"/>
          <w:kern w:val="0"/>
          <w:sz w:val="21"/>
          <w:szCs w:val="21"/>
          <w:lang w:val="en-US" w:eastAsia="zh-CN" w:bidi="ar-SA"/>
        </w:rPr>
      </w:pPr>
      <w:r>
        <w:rPr>
          <w:rFonts w:hint="eastAsia"/>
          <w:color w:val="000000"/>
          <w:lang w:val="en-US" w:eastAsia="zh-CN"/>
        </w:rPr>
        <w:t xml:space="preserve">                                             </w:t>
      </w:r>
      <w:r>
        <w:rPr>
          <w:rFonts w:hint="eastAsia" w:ascii="宋体" w:hAnsi="宋体" w:eastAsia="宋体" w:cs="宋体"/>
          <w:color w:val="000000"/>
          <w:kern w:val="0"/>
          <w:sz w:val="24"/>
          <w:szCs w:val="24"/>
          <w:lang w:val="en-US" w:eastAsia="zh-CN" w:bidi="ar-SA"/>
        </w:rPr>
        <w:t xml:space="preserve">   </w:t>
      </w:r>
      <w:r>
        <w:rPr>
          <w:rFonts w:hint="eastAsia" w:ascii="宋体" w:hAnsi="宋体" w:eastAsia="宋体" w:cs="宋体"/>
          <w:color w:val="000000"/>
          <w:kern w:val="0"/>
          <w:sz w:val="21"/>
          <w:szCs w:val="21"/>
          <w:lang w:val="en-US" w:eastAsia="zh-CN" w:bidi="ar-SA"/>
        </w:rPr>
        <w:t>标准编制组</w:t>
      </w:r>
    </w:p>
    <w:p>
      <w:pPr>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                                     202</w:t>
      </w:r>
      <w:r>
        <w:rPr>
          <w:rFonts w:hint="eastAsia" w:ascii="宋体" w:hAnsi="宋体" w:cs="宋体"/>
          <w:color w:val="000000"/>
          <w:kern w:val="0"/>
          <w:sz w:val="21"/>
          <w:szCs w:val="21"/>
          <w:lang w:val="en-US" w:eastAsia="zh-CN" w:bidi="ar-SA"/>
        </w:rPr>
        <w:t>4</w:t>
      </w:r>
      <w:r>
        <w:rPr>
          <w:rFonts w:hint="eastAsia" w:ascii="宋体" w:hAnsi="宋体" w:eastAsia="宋体" w:cs="宋体"/>
          <w:color w:val="000000"/>
          <w:kern w:val="0"/>
          <w:sz w:val="21"/>
          <w:szCs w:val="21"/>
          <w:lang w:val="en-US" w:eastAsia="zh-CN" w:bidi="ar-SA"/>
        </w:rPr>
        <w:t>.</w:t>
      </w:r>
      <w:r>
        <w:rPr>
          <w:rFonts w:hint="eastAsia" w:ascii="宋体" w:hAnsi="宋体" w:cs="宋体"/>
          <w:color w:val="000000"/>
          <w:kern w:val="0"/>
          <w:sz w:val="21"/>
          <w:szCs w:val="21"/>
          <w:lang w:val="en-US" w:eastAsia="zh-CN" w:bidi="ar-SA"/>
        </w:rPr>
        <w:t>9</w:t>
      </w:r>
      <w:r>
        <w:rPr>
          <w:rFonts w:hint="eastAsia" w:ascii="宋体" w:hAnsi="宋体" w:eastAsia="宋体" w:cs="宋体"/>
          <w:color w:val="000000"/>
          <w:kern w:val="0"/>
          <w:sz w:val="21"/>
          <w:szCs w:val="21"/>
          <w:lang w:val="en-US" w:eastAsia="zh-CN" w:bidi="ar-SA"/>
        </w:rPr>
        <w:t>.</w:t>
      </w:r>
      <w:r>
        <w:rPr>
          <w:rFonts w:hint="eastAsia" w:ascii="宋体" w:hAnsi="宋体" w:cs="宋体"/>
          <w:color w:val="000000"/>
          <w:kern w:val="0"/>
          <w:sz w:val="21"/>
          <w:szCs w:val="21"/>
          <w:lang w:val="en-US" w:eastAsia="zh-CN" w:bidi="ar-SA"/>
        </w:rPr>
        <w:t>12</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222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rStyle w:val="21"/>
      </w:rPr>
    </w:pPr>
    <w:r>
      <w:fldChar w:fldCharType="begin"/>
    </w:r>
    <w:r>
      <w:rPr>
        <w:rStyle w:val="21"/>
      </w:rPr>
      <w:instrText xml:space="preserve">PAGE  </w:instrText>
    </w:r>
    <w:r>
      <w:fldChar w:fldCharType="separate"/>
    </w:r>
    <w:r>
      <w:rPr>
        <w:rStyle w:val="21"/>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Style w:val="21"/>
      </w:rPr>
    </w:pPr>
    <w:r>
      <w:fldChar w:fldCharType="begin"/>
    </w:r>
    <w:r>
      <w:rPr>
        <w:rStyle w:val="21"/>
      </w:rPr>
      <w:instrText xml:space="preserve">PAGE  </w:instrText>
    </w:r>
    <w:r>
      <w:fldChar w:fldCharType="separate"/>
    </w:r>
    <w:r>
      <w:rPr>
        <w:rStyle w:val="21"/>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multilevel"/>
    <w:tmpl w:val="00000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6"/>
      <w:suff w:val="nothing"/>
      <w:lvlText w:val="%1%2　"/>
      <w:lvlJc w:val="left"/>
      <w:pPr>
        <w:ind w:left="142" w:firstLine="0"/>
      </w:pPr>
      <w:rPr>
        <w:rFonts w:hint="eastAsia" w:ascii="黑体" w:hAnsi="Times New Roman" w:eastAsia="黑体"/>
        <w:b w:val="0"/>
        <w:i w:val="0"/>
        <w:sz w:val="21"/>
      </w:rPr>
    </w:lvl>
    <w:lvl w:ilvl="2" w:tentative="0">
      <w:start w:val="1"/>
      <w:numFmt w:val="decimal"/>
      <w:pStyle w:val="5"/>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568" w:firstLine="0"/>
      </w:pPr>
      <w:rPr>
        <w:rFonts w:hint="eastAsia" w:ascii="黑体" w:hAnsi="Times New Roman" w:eastAsia="黑体"/>
        <w:b w:val="0"/>
        <w:i w:val="0"/>
        <w:sz w:val="21"/>
      </w:rPr>
    </w:lvl>
    <w:lvl w:ilvl="4" w:tentative="0">
      <w:start w:val="1"/>
      <w:numFmt w:val="decimal"/>
      <w:suff w:val="nothing"/>
      <w:lvlText w:val="%1%2.%3.%4.%5　"/>
      <w:lvlJc w:val="left"/>
      <w:pPr>
        <w:ind w:left="1276"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color w:val="auto"/>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FC91163"/>
    <w:multiLevelType w:val="multilevel"/>
    <w:tmpl w:val="1FC91163"/>
    <w:lvl w:ilvl="0" w:tentative="0">
      <w:start w:val="1"/>
      <w:numFmt w:val="decimal"/>
      <w:suff w:val="nothing"/>
      <w:lvlText w:val="%1　"/>
      <w:lvlJc w:val="left"/>
      <w:pPr>
        <w:ind w:left="284" w:firstLine="0"/>
      </w:pPr>
      <w:rPr>
        <w:rFonts w:hint="eastAsia" w:ascii="黑体" w:hAnsi="Times New Roman" w:eastAsia="黑体"/>
        <w:b w:val="0"/>
        <w:i w:val="0"/>
        <w:sz w:val="21"/>
        <w:szCs w:val="21"/>
      </w:rPr>
    </w:lvl>
    <w:lvl w:ilvl="1" w:tentative="0">
      <w:start w:val="1"/>
      <w:numFmt w:val="decimal"/>
      <w:suff w:val="nothing"/>
      <w:lvlText w:val="%1.%2　"/>
      <w:lvlJc w:val="left"/>
      <w:pPr>
        <w:ind w:left="568"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3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46260FA"/>
    <w:multiLevelType w:val="multilevel"/>
    <w:tmpl w:val="646260FA"/>
    <w:lvl w:ilvl="0" w:tentative="0">
      <w:start w:val="1"/>
      <w:numFmt w:val="decimal"/>
      <w:pStyle w:val="3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M2QwODg0MmE0OTBlNmNiYjJiODFkOWMxZTdmZDAifQ=="/>
  </w:docVars>
  <w:rsids>
    <w:rsidRoot w:val="007D6007"/>
    <w:rsid w:val="000A31D2"/>
    <w:rsid w:val="00265196"/>
    <w:rsid w:val="00293D9E"/>
    <w:rsid w:val="00412EC7"/>
    <w:rsid w:val="0046451C"/>
    <w:rsid w:val="00511939"/>
    <w:rsid w:val="005B173E"/>
    <w:rsid w:val="005B7993"/>
    <w:rsid w:val="006339AD"/>
    <w:rsid w:val="006D693D"/>
    <w:rsid w:val="007309AE"/>
    <w:rsid w:val="007429CF"/>
    <w:rsid w:val="007D6007"/>
    <w:rsid w:val="007F03B5"/>
    <w:rsid w:val="0087688A"/>
    <w:rsid w:val="008B3999"/>
    <w:rsid w:val="00994EE6"/>
    <w:rsid w:val="009D0EA3"/>
    <w:rsid w:val="00AE5536"/>
    <w:rsid w:val="00BE6407"/>
    <w:rsid w:val="00C12E5B"/>
    <w:rsid w:val="00E55F3D"/>
    <w:rsid w:val="00F24070"/>
    <w:rsid w:val="024C08EB"/>
    <w:rsid w:val="026A3424"/>
    <w:rsid w:val="03FD7AD2"/>
    <w:rsid w:val="050B16E7"/>
    <w:rsid w:val="05C71354"/>
    <w:rsid w:val="05EC0902"/>
    <w:rsid w:val="062D3D93"/>
    <w:rsid w:val="06473896"/>
    <w:rsid w:val="064E35E8"/>
    <w:rsid w:val="06A875B8"/>
    <w:rsid w:val="084E5DED"/>
    <w:rsid w:val="09451486"/>
    <w:rsid w:val="0A001A0F"/>
    <w:rsid w:val="0C2B2D14"/>
    <w:rsid w:val="0C400524"/>
    <w:rsid w:val="0CDF2F6F"/>
    <w:rsid w:val="0E70518F"/>
    <w:rsid w:val="0EBB3568"/>
    <w:rsid w:val="10F64275"/>
    <w:rsid w:val="11621192"/>
    <w:rsid w:val="1288647B"/>
    <w:rsid w:val="13C74749"/>
    <w:rsid w:val="149C2EBA"/>
    <w:rsid w:val="15E343BA"/>
    <w:rsid w:val="160C0BD9"/>
    <w:rsid w:val="16BC2837"/>
    <w:rsid w:val="16CB2353"/>
    <w:rsid w:val="16CC4B8B"/>
    <w:rsid w:val="17700978"/>
    <w:rsid w:val="17A41D79"/>
    <w:rsid w:val="17E420C9"/>
    <w:rsid w:val="18445780"/>
    <w:rsid w:val="1A0E1ACA"/>
    <w:rsid w:val="1ADD6F4B"/>
    <w:rsid w:val="1B6C3086"/>
    <w:rsid w:val="1F332CA6"/>
    <w:rsid w:val="205D1405"/>
    <w:rsid w:val="210532AF"/>
    <w:rsid w:val="212112E9"/>
    <w:rsid w:val="22A15498"/>
    <w:rsid w:val="246C67BC"/>
    <w:rsid w:val="253B7C04"/>
    <w:rsid w:val="257A33DD"/>
    <w:rsid w:val="26064EA6"/>
    <w:rsid w:val="264239CA"/>
    <w:rsid w:val="274148CD"/>
    <w:rsid w:val="28175969"/>
    <w:rsid w:val="29B33362"/>
    <w:rsid w:val="2A1E4E03"/>
    <w:rsid w:val="2ABE513C"/>
    <w:rsid w:val="2ADF2840"/>
    <w:rsid w:val="2B3D6352"/>
    <w:rsid w:val="2B4B652C"/>
    <w:rsid w:val="2B8650B2"/>
    <w:rsid w:val="2CA6795F"/>
    <w:rsid w:val="2DC31699"/>
    <w:rsid w:val="31524423"/>
    <w:rsid w:val="32A370F4"/>
    <w:rsid w:val="33F627C9"/>
    <w:rsid w:val="34266679"/>
    <w:rsid w:val="36E36AF5"/>
    <w:rsid w:val="38401E97"/>
    <w:rsid w:val="398305B1"/>
    <w:rsid w:val="3A2B0DC4"/>
    <w:rsid w:val="3A897050"/>
    <w:rsid w:val="3B4E4C98"/>
    <w:rsid w:val="3B683931"/>
    <w:rsid w:val="3B7F3683"/>
    <w:rsid w:val="3D032769"/>
    <w:rsid w:val="3DCC2505"/>
    <w:rsid w:val="3DD005BB"/>
    <w:rsid w:val="40AD5D1F"/>
    <w:rsid w:val="40E54674"/>
    <w:rsid w:val="41DD5D1C"/>
    <w:rsid w:val="428B43FD"/>
    <w:rsid w:val="43151FA6"/>
    <w:rsid w:val="437C436D"/>
    <w:rsid w:val="43B006B0"/>
    <w:rsid w:val="43E20674"/>
    <w:rsid w:val="446773DE"/>
    <w:rsid w:val="44EB79FC"/>
    <w:rsid w:val="4783216D"/>
    <w:rsid w:val="481903DC"/>
    <w:rsid w:val="482D324A"/>
    <w:rsid w:val="49B964AF"/>
    <w:rsid w:val="4B2255F5"/>
    <w:rsid w:val="4B23750C"/>
    <w:rsid w:val="4B66338F"/>
    <w:rsid w:val="4C040308"/>
    <w:rsid w:val="4C5A4EBB"/>
    <w:rsid w:val="4C796A0A"/>
    <w:rsid w:val="4CCA75FF"/>
    <w:rsid w:val="4D104273"/>
    <w:rsid w:val="4EE2777A"/>
    <w:rsid w:val="50CC486C"/>
    <w:rsid w:val="519303DB"/>
    <w:rsid w:val="56042F00"/>
    <w:rsid w:val="56EF6ED8"/>
    <w:rsid w:val="57A43A06"/>
    <w:rsid w:val="59E91789"/>
    <w:rsid w:val="5ABA6F5D"/>
    <w:rsid w:val="5AC24903"/>
    <w:rsid w:val="5DFE347F"/>
    <w:rsid w:val="609355AC"/>
    <w:rsid w:val="61336661"/>
    <w:rsid w:val="61CE19F6"/>
    <w:rsid w:val="62B252F4"/>
    <w:rsid w:val="62EC62DB"/>
    <w:rsid w:val="645A4B51"/>
    <w:rsid w:val="64B07D7C"/>
    <w:rsid w:val="655D5954"/>
    <w:rsid w:val="67801F5C"/>
    <w:rsid w:val="6784763D"/>
    <w:rsid w:val="67EB5421"/>
    <w:rsid w:val="683E214F"/>
    <w:rsid w:val="6B4652AE"/>
    <w:rsid w:val="6BCB2619"/>
    <w:rsid w:val="6CC938CF"/>
    <w:rsid w:val="6E564B30"/>
    <w:rsid w:val="6EDC5B3C"/>
    <w:rsid w:val="70DD0C77"/>
    <w:rsid w:val="71AF52FC"/>
    <w:rsid w:val="723E2669"/>
    <w:rsid w:val="74802EAD"/>
    <w:rsid w:val="75722D56"/>
    <w:rsid w:val="75FA4664"/>
    <w:rsid w:val="76010A3C"/>
    <w:rsid w:val="76544B51"/>
    <w:rsid w:val="76C21ABB"/>
    <w:rsid w:val="776642E5"/>
    <w:rsid w:val="7A1347DE"/>
    <w:rsid w:val="7B3C53FB"/>
    <w:rsid w:val="7CC85B39"/>
    <w:rsid w:val="7CE64C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20" w:after="120"/>
      <w:ind w:firstLine="0" w:firstLineChars="0"/>
      <w:outlineLvl w:val="0"/>
    </w:pPr>
    <w:rPr>
      <w:rFonts w:eastAsia="黑体"/>
      <w:b/>
      <w:bCs/>
      <w:kern w:val="44"/>
      <w:sz w:val="28"/>
      <w:szCs w:val="44"/>
    </w:rPr>
  </w:style>
  <w:style w:type="paragraph" w:styleId="3">
    <w:name w:val="heading 2"/>
    <w:basedOn w:val="1"/>
    <w:next w:val="1"/>
    <w:qFormat/>
    <w:uiPriority w:val="0"/>
    <w:pPr>
      <w:keepNext/>
      <w:keepLines/>
      <w:spacing w:before="120"/>
      <w:ind w:firstLine="0" w:firstLineChars="0"/>
      <w:outlineLvl w:val="1"/>
    </w:pPr>
    <w:rPr>
      <w:rFonts w:ascii="Arial" w:hAnsi="Arial" w:eastAsia="黑体"/>
      <w:bCs/>
      <w:sz w:val="28"/>
      <w:szCs w:val="32"/>
    </w:rPr>
  </w:style>
  <w:style w:type="paragraph" w:styleId="4">
    <w:name w:val="heading 3"/>
    <w:basedOn w:val="5"/>
    <w:next w:val="1"/>
    <w:qFormat/>
    <w:uiPriority w:val="0"/>
    <w:pPr>
      <w:numPr>
        <w:ilvl w:val="0"/>
        <w:numId w:val="0"/>
      </w:numPr>
      <w:spacing w:beforeLines="50" w:afterLines="50" w:line="240" w:lineRule="auto"/>
      <w:ind w:left="142"/>
      <w:jc w:val="left"/>
      <w:outlineLvl w:val="2"/>
    </w:pPr>
    <w:rPr>
      <w:rFonts w:ascii="Times New Roman"/>
      <w:color w:val="000000"/>
      <w:sz w:val="24"/>
    </w:rPr>
  </w:style>
  <w:style w:type="paragraph" w:styleId="8">
    <w:name w:val="heading 4"/>
    <w:basedOn w:val="1"/>
    <w:next w:val="1"/>
    <w:qFormat/>
    <w:uiPriority w:val="0"/>
    <w:pPr>
      <w:keepNext/>
      <w:keepLines/>
      <w:outlineLvl w:val="3"/>
    </w:pPr>
    <w:rPr>
      <w:rFonts w:ascii="Arial" w:hAnsi="Arial"/>
      <w:b/>
      <w:bCs/>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5">
    <w:name w:val="一级条标题"/>
    <w:basedOn w:val="6"/>
    <w:next w:val="7"/>
    <w:qFormat/>
    <w:uiPriority w:val="0"/>
    <w:pPr>
      <w:numPr>
        <w:ilvl w:val="2"/>
      </w:numPr>
      <w:spacing w:beforeLines="0" w:afterLines="0" w:line="300" w:lineRule="auto"/>
      <w:outlineLvl w:val="2"/>
    </w:pPr>
    <w:rPr>
      <w:color w:val="FF0000"/>
      <w:spacing w:val="-4"/>
      <w:szCs w:val="24"/>
    </w:rPr>
  </w:style>
  <w:style w:type="paragraph" w:customStyle="1" w:styleId="6">
    <w:name w:val="章标题"/>
    <w:next w:val="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7">
    <w:name w:val="段"/>
    <w:qFormat/>
    <w:uiPriority w:val="0"/>
    <w:pPr>
      <w:autoSpaceDE w:val="0"/>
      <w:autoSpaceDN w:val="0"/>
      <w:ind w:firstLine="200" w:firstLineChars="200"/>
      <w:jc w:val="both"/>
    </w:pPr>
    <w:rPr>
      <w:rFonts w:ascii="宋体" w:hAnsi="Calibri" w:eastAsia="宋体" w:cs="Times New Roman"/>
      <w:kern w:val="2"/>
      <w:sz w:val="21"/>
      <w:szCs w:val="22"/>
      <w:lang w:val="en-US" w:eastAsia="zh-CN" w:bidi="ar-SA"/>
    </w:rPr>
  </w:style>
  <w:style w:type="paragraph" w:styleId="9">
    <w:name w:val="Body Text"/>
    <w:basedOn w:val="1"/>
    <w:qFormat/>
    <w:uiPriority w:val="0"/>
    <w:pPr>
      <w:spacing w:after="120"/>
    </w:pPr>
  </w:style>
  <w:style w:type="paragraph" w:styleId="10">
    <w:name w:val="Body Text Indent"/>
    <w:basedOn w:val="1"/>
    <w:link w:val="22"/>
    <w:qFormat/>
    <w:uiPriority w:val="0"/>
    <w:pPr>
      <w:spacing w:after="120"/>
      <w:ind w:left="420" w:leftChars="200"/>
    </w:pPr>
  </w:style>
  <w:style w:type="paragraph" w:styleId="11">
    <w:name w:val="Balloon Text"/>
    <w:basedOn w:val="1"/>
    <w:link w:val="23"/>
    <w:qFormat/>
    <w:uiPriority w:val="0"/>
    <w:pPr>
      <w:spacing w:line="240" w:lineRule="auto"/>
    </w:pPr>
    <w:rPr>
      <w:sz w:val="18"/>
      <w:szCs w:val="18"/>
    </w:rPr>
  </w:style>
  <w:style w:type="paragraph" w:styleId="12">
    <w:name w:val="footer"/>
    <w:basedOn w:val="1"/>
    <w:unhideWhenUsed/>
    <w:qFormat/>
    <w:uiPriority w:val="99"/>
    <w:pPr>
      <w:tabs>
        <w:tab w:val="center" w:pos="4153"/>
        <w:tab w:val="right" w:pos="8306"/>
      </w:tabs>
      <w:jc w:val="left"/>
    </w:pPr>
    <w:rPr>
      <w:sz w:val="18"/>
      <w:szCs w:val="18"/>
    </w:rPr>
  </w:style>
  <w:style w:type="paragraph" w:styleId="13">
    <w:name w:val="header"/>
    <w:basedOn w:val="1"/>
    <w:link w:val="24"/>
    <w:qFormat/>
    <w:uiPriority w:val="0"/>
    <w:pPr>
      <w:pBdr>
        <w:bottom w:val="single" w:color="auto" w:sz="6" w:space="1"/>
      </w:pBdr>
      <w:tabs>
        <w:tab w:val="center" w:pos="4153"/>
        <w:tab w:val="right" w:pos="8306"/>
      </w:tabs>
      <w:spacing w:line="240" w:lineRule="auto"/>
      <w:jc w:val="center"/>
    </w:pPr>
    <w:rPr>
      <w:sz w:val="18"/>
      <w:szCs w:val="18"/>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5">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paragraph" w:styleId="16">
    <w:name w:val="Body Text First Indent"/>
    <w:basedOn w:val="9"/>
    <w:qFormat/>
    <w:uiPriority w:val="0"/>
    <w:pPr>
      <w:adjustRightInd w:val="0"/>
      <w:spacing w:after="0" w:line="240" w:lineRule="atLeast"/>
      <w:jc w:val="left"/>
      <w:textAlignment w:val="baseline"/>
    </w:pPr>
    <w:rPr>
      <w:rFonts w:ascii="宋体" w:hAnsi="宋体"/>
      <w:color w:val="000000"/>
    </w:rPr>
  </w:style>
  <w:style w:type="paragraph" w:styleId="17">
    <w:name w:val="Body Text First Indent 2"/>
    <w:basedOn w:val="10"/>
    <w:link w:val="25"/>
    <w:qFormat/>
    <w:uiPriority w:val="0"/>
    <w:pPr>
      <w:ind w:firstLine="420"/>
    </w:pPr>
  </w:style>
  <w:style w:type="table" w:styleId="19">
    <w:name w:val="Table Grid"/>
    <w:basedOn w:val="18"/>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qFormat/>
    <w:uiPriority w:val="0"/>
    <w:rPr>
      <w:rFonts w:ascii="Times New Roman" w:hAnsi="Times New Roman" w:eastAsia="宋体"/>
      <w:sz w:val="18"/>
    </w:rPr>
  </w:style>
  <w:style w:type="character" w:customStyle="1" w:styleId="22">
    <w:name w:val="正文文本缩进 字符"/>
    <w:link w:val="10"/>
    <w:qFormat/>
    <w:uiPriority w:val="0"/>
    <w:rPr>
      <w:kern w:val="2"/>
      <w:sz w:val="21"/>
      <w:szCs w:val="24"/>
    </w:rPr>
  </w:style>
  <w:style w:type="character" w:customStyle="1" w:styleId="23">
    <w:name w:val="批注框文本 字符"/>
    <w:link w:val="11"/>
    <w:qFormat/>
    <w:uiPriority w:val="0"/>
    <w:rPr>
      <w:kern w:val="2"/>
      <w:sz w:val="18"/>
      <w:szCs w:val="18"/>
    </w:rPr>
  </w:style>
  <w:style w:type="character" w:customStyle="1" w:styleId="24">
    <w:name w:val="页眉 字符"/>
    <w:link w:val="13"/>
    <w:qFormat/>
    <w:uiPriority w:val="0"/>
    <w:rPr>
      <w:kern w:val="2"/>
      <w:sz w:val="18"/>
      <w:szCs w:val="18"/>
    </w:rPr>
  </w:style>
  <w:style w:type="character" w:customStyle="1" w:styleId="25">
    <w:name w:val="正文文本首行缩进 2 字符"/>
    <w:basedOn w:val="22"/>
    <w:link w:val="17"/>
    <w:qFormat/>
    <w:uiPriority w:val="0"/>
  </w:style>
  <w:style w:type="paragraph" w:customStyle="1" w:styleId="2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7">
    <w:name w:val="标准书眉一"/>
    <w:qFormat/>
    <w:uiPriority w:val="0"/>
    <w:pPr>
      <w:jc w:val="both"/>
    </w:pPr>
    <w:rPr>
      <w:rFonts w:ascii="Times New Roman" w:hAnsi="Times New Roman" w:eastAsia="宋体" w:cs="Times New Roman"/>
      <w:lang w:val="en-US" w:eastAsia="zh-CN" w:bidi="ar-SA"/>
    </w:rPr>
  </w:style>
  <w:style w:type="paragraph" w:customStyle="1" w:styleId="28">
    <w:name w:val="样式 正文首行缩进 2 + 首行缩进:  2 字符"/>
    <w:basedOn w:val="1"/>
    <w:next w:val="9"/>
    <w:qFormat/>
    <w:uiPriority w:val="0"/>
    <w:pPr>
      <w:adjustRightInd/>
      <w:snapToGrid/>
      <w:spacing w:line="400" w:lineRule="exact"/>
      <w:ind w:firstLine="480"/>
    </w:pPr>
    <w:rPr>
      <w:rFonts w:cs="宋体"/>
      <w:sz w:val="24"/>
      <w:szCs w:val="20"/>
    </w:rPr>
  </w:style>
  <w:style w:type="paragraph" w:customStyle="1" w:styleId="29">
    <w:name w:val="二级无"/>
    <w:basedOn w:val="30"/>
    <w:qFormat/>
    <w:uiPriority w:val="0"/>
    <w:pPr>
      <w:spacing w:before="0" w:beforeLines="0" w:after="0" w:afterLines="0"/>
    </w:pPr>
    <w:rPr>
      <w:rFonts w:ascii="宋体" w:eastAsia="宋体"/>
    </w:rPr>
  </w:style>
  <w:style w:type="paragraph" w:customStyle="1" w:styleId="30">
    <w:name w:val="二级条标题"/>
    <w:basedOn w:val="5"/>
    <w:next w:val="7"/>
    <w:qFormat/>
    <w:uiPriority w:val="99"/>
    <w:pPr>
      <w:numPr>
        <w:ilvl w:val="2"/>
        <w:numId w:val="2"/>
      </w:numPr>
      <w:spacing w:before="50" w:after="50"/>
      <w:outlineLvl w:val="3"/>
    </w:pPr>
  </w:style>
  <w:style w:type="paragraph" w:customStyle="1" w:styleId="3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2">
    <w:name w:val="p0"/>
    <w:basedOn w:val="1"/>
    <w:qFormat/>
    <w:uiPriority w:val="0"/>
    <w:pPr>
      <w:widowControl/>
    </w:pPr>
    <w:rPr>
      <w:rFonts w:ascii="Calibri" w:hAnsi="Calibri" w:cs="宋体"/>
      <w:kern w:val="0"/>
      <w:szCs w:val="21"/>
    </w:rPr>
  </w:style>
  <w:style w:type="paragraph" w:customStyle="1" w:styleId="33">
    <w:name w:val="正文表标题"/>
    <w:next w:val="7"/>
    <w:qFormat/>
    <w:uiPriority w:val="0"/>
    <w:pPr>
      <w:numPr>
        <w:ilvl w:val="0"/>
        <w:numId w:val="3"/>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3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5">
    <w:name w:val="标准书眉_偶数页"/>
    <w:basedOn w:val="26"/>
    <w:next w:val="1"/>
    <w:qFormat/>
    <w:uiPriority w:val="0"/>
    <w:pPr>
      <w:jc w:val="left"/>
    </w:pPr>
  </w:style>
  <w:style w:type="paragraph" w:customStyle="1" w:styleId="36">
    <w:name w:val="体系题目2"/>
    <w:basedOn w:val="1"/>
    <w:qFormat/>
    <w:uiPriority w:val="0"/>
    <w:pPr>
      <w:ind w:left="400" w:hanging="400"/>
      <w:jc w:val="left"/>
      <w:outlineLvl w:val="1"/>
    </w:pPr>
    <w:rPr>
      <w:rFonts w:ascii="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3141</Words>
  <Characters>3315</Characters>
  <Lines>69</Lines>
  <Paragraphs>19</Paragraphs>
  <TotalTime>0</TotalTime>
  <ScaleCrop>false</ScaleCrop>
  <LinksUpToDate>false</LinksUpToDate>
  <CharactersWithSpaces>3424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2020-09-11T08:09:00Z</dcterms:created>
  <dc:creator>XTJC-liuguoxia</dc:creator>
  <cp:lastModifiedBy>检测中心曹俊英</cp:lastModifiedBy>
  <dcterms:modified xsi:type="dcterms:W3CDTF">2024-09-12T08:35:01Z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588C43706E4D4300A6562B64F03417A5_13</vt:lpwstr>
  </property>
</Properties>
</file>