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1D632">
      <w:pPr>
        <w:adjustRightInd w:val="0"/>
        <w:snapToGrid w:val="0"/>
        <w:jc w:val="center"/>
        <w:rPr>
          <w:rFonts w:ascii="黑体" w:hAnsi="宋体" w:eastAsia="黑体"/>
          <w:sz w:val="28"/>
          <w:szCs w:val="28"/>
        </w:rPr>
      </w:pPr>
      <w:r>
        <w:rPr>
          <w:rFonts w:hint="eastAsia" w:ascii="黑体" w:hAnsi="宋体" w:eastAsia="黑体"/>
          <w:sz w:val="28"/>
          <w:szCs w:val="28"/>
        </w:rPr>
        <w:t>团体标准《光伏用半片硅单晶片》</w:t>
      </w:r>
    </w:p>
    <w:p w14:paraId="2A598C13">
      <w:pPr>
        <w:adjustRightInd w:val="0"/>
        <w:snapToGrid w:val="0"/>
        <w:jc w:val="center"/>
        <w:rPr>
          <w:rFonts w:ascii="黑体" w:hAnsi="宋体" w:eastAsia="黑体"/>
          <w:sz w:val="28"/>
          <w:szCs w:val="28"/>
        </w:rPr>
      </w:pPr>
      <w:r>
        <w:rPr>
          <w:rFonts w:hint="eastAsia" w:ascii="黑体" w:hAnsi="宋体" w:eastAsia="黑体"/>
          <w:sz w:val="28"/>
          <w:szCs w:val="28"/>
        </w:rPr>
        <w:t>（</w:t>
      </w:r>
      <w:r>
        <w:rPr>
          <w:rFonts w:hint="eastAsia" w:ascii="黑体" w:hAnsi="宋体" w:eastAsia="黑体"/>
          <w:sz w:val="28"/>
          <w:szCs w:val="28"/>
          <w:lang w:val="en-US" w:eastAsia="zh-CN"/>
        </w:rPr>
        <w:t>送审稿</w:t>
      </w:r>
      <w:r>
        <w:rPr>
          <w:rFonts w:hint="eastAsia" w:ascii="黑体" w:hAnsi="宋体" w:eastAsia="黑体"/>
          <w:sz w:val="28"/>
          <w:szCs w:val="28"/>
        </w:rPr>
        <w:t>）编制说明</w:t>
      </w:r>
    </w:p>
    <w:p w14:paraId="3916701E">
      <w:pPr>
        <w:adjustRightInd w:val="0"/>
        <w:snapToGrid w:val="0"/>
        <w:jc w:val="center"/>
        <w:rPr>
          <w:rFonts w:ascii="黑体" w:hAnsi="宋体" w:eastAsia="黑体"/>
          <w:sz w:val="28"/>
          <w:szCs w:val="28"/>
        </w:rPr>
      </w:pPr>
    </w:p>
    <w:p w14:paraId="13766693">
      <w:pPr>
        <w:numPr>
          <w:ilvl w:val="0"/>
          <w:numId w:val="1"/>
        </w:numPr>
        <w:adjustRightInd w:val="0"/>
        <w:snapToGrid w:val="0"/>
        <w:spacing w:line="360" w:lineRule="auto"/>
        <w:rPr>
          <w:rFonts w:ascii="宋体" w:hAnsi="宋体"/>
          <w:sz w:val="24"/>
        </w:rPr>
      </w:pPr>
      <w:r>
        <w:rPr>
          <w:rFonts w:hint="eastAsia" w:ascii="黑体" w:eastAsia="黑体"/>
          <w:sz w:val="24"/>
        </w:rPr>
        <w:t>工作简况</w:t>
      </w:r>
    </w:p>
    <w:p w14:paraId="6533D087">
      <w:pPr>
        <w:numPr>
          <w:ilvl w:val="0"/>
          <w:numId w:val="6"/>
        </w:numPr>
        <w:adjustRightInd w:val="0"/>
        <w:snapToGrid w:val="0"/>
        <w:spacing w:line="360" w:lineRule="auto"/>
        <w:rPr>
          <w:rFonts w:ascii="黑体" w:hAnsi="黑体" w:eastAsia="黑体"/>
          <w:sz w:val="24"/>
        </w:rPr>
      </w:pPr>
      <w:r>
        <w:rPr>
          <w:rFonts w:hint="eastAsia" w:ascii="黑体" w:hAnsi="黑体" w:eastAsia="黑体"/>
          <w:sz w:val="24"/>
        </w:rPr>
        <w:t>立项目的和意义</w:t>
      </w:r>
      <w:bookmarkStart w:id="0" w:name="OLE_LINK6"/>
      <w:bookmarkStart w:id="1" w:name="OLE_LINK7"/>
    </w:p>
    <w:p w14:paraId="4B75AD74">
      <w:pPr>
        <w:adjustRightInd w:val="0"/>
        <w:snapToGrid w:val="0"/>
        <w:spacing w:line="360" w:lineRule="auto"/>
        <w:ind w:firstLine="480" w:firstLineChars="200"/>
        <w:rPr>
          <w:sz w:val="24"/>
        </w:rPr>
      </w:pPr>
      <w:r>
        <w:rPr>
          <w:rFonts w:hint="eastAsia"/>
          <w:sz w:val="24"/>
        </w:rPr>
        <w:t>在碳中和的目标下，到2030年，火力发电将从49%下降至28%，光伏从11%上升至27%，风电从13%上升至21%。值得注意的是，2030年之后，光伏将超越火电成为所有能源发电中最重要的能源，也就意味着在“双碳”背景下，光伏行业是实现“碳中和、碳达峰”目标的主力军。持续降低的制造成本和不断提升的光伏电池转化效率是驱动光伏行业不断前进的两架马车。</w:t>
      </w:r>
    </w:p>
    <w:p w14:paraId="2630EF99">
      <w:pPr>
        <w:adjustRightInd w:val="0"/>
        <w:snapToGrid w:val="0"/>
        <w:spacing w:line="360" w:lineRule="auto"/>
        <w:ind w:firstLine="480" w:firstLineChars="200"/>
        <w:rPr>
          <w:sz w:val="24"/>
        </w:rPr>
      </w:pPr>
      <w:r>
        <w:rPr>
          <w:rFonts w:hint="eastAsia"/>
          <w:sz w:val="24"/>
        </w:rPr>
        <w:t>2021年硅单晶片占光伏用硅片市场的85%左右（图1）。其中，182mm硅片和210mm硅片已逐步取代了166mm、158.75mm等小尺寸硅片，成为市场的主流。硅单晶片的大尺寸化推广大幅降低了晶体及硅片的制造成本。另一方面，</w:t>
      </w:r>
      <w:bookmarkStart w:id="5" w:name="_GoBack"/>
      <w:bookmarkEnd w:id="5"/>
      <w:r>
        <w:rPr>
          <w:rFonts w:hint="eastAsia"/>
          <w:sz w:val="24"/>
        </w:rPr>
        <w:t>由于硅片面积的增加带来了单片电池片的电流大幅增加，在传统的封装工艺下，电流的增大将引起内电路的功损增大，最终导致组件端的功率损失变大。因此，组件端为了降低电池内耗，在做完电池后，采用激光划片技术，将硅片一分为二，然后再进行组件封装。电池片一分为二后，半片电池的电流降低为整片的一半，则功率损耗降低为整片的四分之一。从国际光伏技术路线图(图2)来看，166mm以上的半片电池已占90%以上的晶硅电池市场，在未来的1-2年内，半片电池将实现产业100%全覆盖。</w:t>
      </w:r>
    </w:p>
    <w:p w14:paraId="3AF11A7A">
      <w:pPr>
        <w:adjustRightInd w:val="0"/>
        <w:snapToGrid w:val="0"/>
        <w:spacing w:line="360" w:lineRule="auto"/>
        <w:ind w:firstLine="480" w:firstLineChars="200"/>
        <w:jc w:val="center"/>
        <w:rPr>
          <w:sz w:val="24"/>
        </w:rPr>
      </w:pPr>
      <w:r>
        <w:rPr>
          <w:rFonts w:hint="eastAsia"/>
          <w:sz w:val="24"/>
        </w:rPr>
        <w:drawing>
          <wp:inline distT="0" distB="0" distL="0" distR="0">
            <wp:extent cx="4055110" cy="211518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055110" cy="2115185"/>
                    </a:xfrm>
                    <a:prstGeom prst="rect">
                      <a:avLst/>
                    </a:prstGeom>
                    <a:noFill/>
                    <a:ln>
                      <a:noFill/>
                    </a:ln>
                  </pic:spPr>
                </pic:pic>
              </a:graphicData>
            </a:graphic>
          </wp:inline>
        </w:drawing>
      </w:r>
    </w:p>
    <w:p w14:paraId="0EA9172E">
      <w:pPr>
        <w:adjustRightInd w:val="0"/>
        <w:snapToGrid w:val="0"/>
        <w:spacing w:line="360" w:lineRule="auto"/>
        <w:ind w:firstLine="480" w:firstLineChars="200"/>
        <w:jc w:val="center"/>
        <w:rPr>
          <w:sz w:val="24"/>
        </w:rPr>
      </w:pPr>
      <w:r>
        <w:rPr>
          <w:rFonts w:hint="eastAsia"/>
          <w:sz w:val="24"/>
        </w:rPr>
        <w:t>图1 硅单晶片占光伏晶硅市场的份额</w:t>
      </w:r>
    </w:p>
    <w:p w14:paraId="7C21C58C">
      <w:pPr>
        <w:adjustRightInd w:val="0"/>
        <w:snapToGrid w:val="0"/>
        <w:spacing w:line="360" w:lineRule="auto"/>
        <w:ind w:firstLine="480" w:firstLineChars="200"/>
        <w:rPr>
          <w:sz w:val="24"/>
        </w:rPr>
      </w:pPr>
      <w:r>
        <w:rPr>
          <w:rFonts w:hint="eastAsia"/>
          <w:sz w:val="24"/>
        </w:rPr>
        <w:t>随着电池片的大尺寸化以及PERC（背钝化发射极电池）、TOPCon（隧穿氧化层钝化接触太阳能电池）、HIT/HJT（异质结电池）等新型电池的不断推出，电池转化效率越来越高，而激光划片带来的弊端也越来越大，综合下来主要有如下几点：</w:t>
      </w:r>
    </w:p>
    <w:p w14:paraId="1FC66E73">
      <w:pPr>
        <w:adjustRightInd w:val="0"/>
        <w:snapToGrid w:val="0"/>
        <w:spacing w:line="360" w:lineRule="auto"/>
        <w:ind w:firstLine="480" w:firstLineChars="200"/>
        <w:rPr>
          <w:sz w:val="24"/>
        </w:rPr>
      </w:pPr>
      <w:r>
        <w:rPr>
          <w:rFonts w:hint="eastAsia"/>
          <w:sz w:val="24"/>
        </w:rPr>
        <w:t>1）激光划片将引起功率损失：划片过程中产生的切口处无法有效钝化，漏电增加，在PERC电池中影响电池效率0.1%，效率越高的电池，电池端激光划片的影响越大，TOPCon、HIT/HJT等电池中影响效率超过0.3%。</w:t>
      </w:r>
    </w:p>
    <w:p w14:paraId="113A757C">
      <w:pPr>
        <w:adjustRightInd w:val="0"/>
        <w:snapToGrid w:val="0"/>
        <w:spacing w:line="360" w:lineRule="auto"/>
        <w:ind w:firstLine="480" w:firstLineChars="200"/>
        <w:rPr>
          <w:sz w:val="24"/>
        </w:rPr>
      </w:pPr>
      <w:r>
        <w:rPr>
          <w:rFonts w:hint="eastAsia"/>
          <w:sz w:val="24"/>
        </w:rPr>
        <w:t>2）激光划片引起碎片损失：目前电池片划片的碎片率约为0.2%以上，电池做完了再发生的碎片，损失的成本将大幅上升。</w:t>
      </w:r>
    </w:p>
    <w:p w14:paraId="26392A67">
      <w:pPr>
        <w:adjustRightInd w:val="0"/>
        <w:snapToGrid w:val="0"/>
        <w:spacing w:line="360" w:lineRule="auto"/>
        <w:ind w:firstLine="480" w:firstLineChars="200"/>
        <w:rPr>
          <w:sz w:val="24"/>
        </w:rPr>
      </w:pPr>
      <w:r>
        <w:rPr>
          <w:rFonts w:hint="eastAsia"/>
          <w:sz w:val="24"/>
        </w:rPr>
        <w:t>3）激光划片导致工序延长：由于增加了一道划片工序，需增加激光设备投入、人力投入以及相关的动力设备投入，使得电池片的制造成本上升。</w:t>
      </w:r>
    </w:p>
    <w:p w14:paraId="7BCF3909">
      <w:pPr>
        <w:adjustRightInd w:val="0"/>
        <w:snapToGrid w:val="0"/>
        <w:spacing w:line="360" w:lineRule="auto"/>
        <w:ind w:firstLine="480" w:firstLineChars="200"/>
        <w:rPr>
          <w:sz w:val="24"/>
        </w:rPr>
      </w:pPr>
      <w:r>
        <w:rPr>
          <w:rFonts w:hint="eastAsia"/>
          <w:sz w:val="24"/>
        </w:rPr>
        <w:t>基于大尺寸半片电池片的发展趋势以及激光划片过程中产生的诸多弊端，硅片端已开始规模切入半片硅片的生产。半片硅片的规模使用，充分发挥光伏半片电池的功率优势性能的同时，大大降低了电池片的制造成本。另外，随着大尺寸(182mm、210mm)硅片薄片化(170μm、160μm、150μm、120μm等)趋势的加剧，整片硅片在硅片端、电池端制造的均匀性越来越差，半片硅片的推出将更有利于如扩散、镀膜等工艺的均匀化，以此来进一步提升硅片的转化效率性能。因此，半片硅片已在逐步成为高效电池的主流基底材料，半片硅片标准的建立，将更好为高效光伏硅片的研发、生产和应用提供参考和指导，引导光伏硅片行业的健康发展。</w:t>
      </w:r>
    </w:p>
    <w:p w14:paraId="43E435FB">
      <w:pPr>
        <w:adjustRightInd w:val="0"/>
        <w:snapToGrid w:val="0"/>
        <w:spacing w:line="360" w:lineRule="auto"/>
        <w:ind w:firstLine="480" w:firstLineChars="200"/>
        <w:rPr>
          <w:sz w:val="24"/>
        </w:rPr>
      </w:pPr>
      <w:r>
        <w:rPr>
          <w:rFonts w:hint="eastAsia"/>
          <w:sz w:val="24"/>
        </w:rPr>
        <w:t>目前光伏用硅片生产主要在中国大陆，中国在光伏用硅片标准的制定中有充分的话语权。</w:t>
      </w:r>
    </w:p>
    <w:p w14:paraId="7B8D1404">
      <w:pPr>
        <w:adjustRightInd w:val="0"/>
        <w:snapToGrid w:val="0"/>
        <w:spacing w:line="360" w:lineRule="auto"/>
        <w:ind w:firstLine="480" w:firstLineChars="200"/>
        <w:rPr>
          <w:sz w:val="24"/>
        </w:rPr>
      </w:pPr>
      <w:r>
        <w:rPr>
          <w:rFonts w:hint="eastAsia"/>
          <w:sz w:val="24"/>
        </w:rPr>
        <w:t>随着PERC电池的进一步提效，以及TOPCon、HIT/HJT等更高效电池的推广，电池切半将务必前置，即产生一系列的半片硅片产品。目前，半片电池已成为行业发展的标配，166mm以上90%的电池片为半片使用，整片电池在未来的1-2年内将彻底消失。</w:t>
      </w:r>
    </w:p>
    <w:p w14:paraId="160281CD">
      <w:pPr>
        <w:adjustRightInd w:val="0"/>
        <w:snapToGrid w:val="0"/>
        <w:spacing w:line="360" w:lineRule="auto"/>
        <w:ind w:firstLine="480" w:firstLineChars="200"/>
        <w:jc w:val="center"/>
        <w:rPr>
          <w:sz w:val="24"/>
        </w:rPr>
      </w:pPr>
      <w:r>
        <w:rPr>
          <w:rFonts w:hint="eastAsia"/>
          <w:sz w:val="24"/>
        </w:rPr>
        <w:drawing>
          <wp:inline distT="0" distB="0" distL="0" distR="0">
            <wp:extent cx="2401570" cy="17176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401570" cy="1717675"/>
                    </a:xfrm>
                    <a:prstGeom prst="rect">
                      <a:avLst/>
                    </a:prstGeom>
                    <a:noFill/>
                    <a:ln>
                      <a:noFill/>
                    </a:ln>
                  </pic:spPr>
                </pic:pic>
              </a:graphicData>
            </a:graphic>
          </wp:inline>
        </w:drawing>
      </w:r>
    </w:p>
    <w:p w14:paraId="09F359D4">
      <w:pPr>
        <w:adjustRightInd w:val="0"/>
        <w:snapToGrid w:val="0"/>
        <w:spacing w:line="360" w:lineRule="auto"/>
        <w:ind w:firstLine="480" w:firstLineChars="200"/>
        <w:jc w:val="center"/>
        <w:rPr>
          <w:sz w:val="24"/>
        </w:rPr>
      </w:pPr>
      <w:r>
        <w:rPr>
          <w:rFonts w:hint="eastAsia"/>
          <w:sz w:val="24"/>
        </w:rPr>
        <w:t>图2 半片电池的市场份额</w:t>
      </w:r>
    </w:p>
    <w:p w14:paraId="1EAD50D3">
      <w:pPr>
        <w:adjustRightInd w:val="0"/>
        <w:snapToGrid w:val="0"/>
        <w:spacing w:line="360" w:lineRule="auto"/>
        <w:ind w:firstLine="480" w:firstLineChars="200"/>
        <w:rPr>
          <w:sz w:val="24"/>
        </w:rPr>
      </w:pPr>
      <w:r>
        <w:rPr>
          <w:rFonts w:hint="eastAsia"/>
          <w:sz w:val="24"/>
        </w:rPr>
        <w:t>在现行的GB/T 26071-2018《太阳能电池用硅单晶片》不但缺少了目前行业主流的158.75mm、166mm、182mm、210mm等尺寸硅片的规范，对166mm以上含182mm、210mm等半片电池所需的硅片产品并没有任何定义和界定。</w:t>
      </w:r>
    </w:p>
    <w:p w14:paraId="53F7D16D">
      <w:pPr>
        <w:adjustRightInd w:val="0"/>
        <w:snapToGrid w:val="0"/>
        <w:spacing w:line="360" w:lineRule="auto"/>
        <w:ind w:firstLine="480" w:firstLineChars="200"/>
        <w:rPr>
          <w:sz w:val="24"/>
        </w:rPr>
      </w:pPr>
      <w:r>
        <w:rPr>
          <w:rFonts w:hint="eastAsia"/>
          <w:sz w:val="24"/>
        </w:rPr>
        <w:t>本标准的制定将填补国内半片硅片标准的空白，满足市场对半片标准的需求。制定《光伏用半片硅单晶片》标准，有利于规范、指导半片硅片的生产，指导行业不断优化更适合的半片硅片尺寸规格，进而促进产业的进步和发展。</w:t>
      </w:r>
    </w:p>
    <w:p w14:paraId="447CEBF2">
      <w:pPr>
        <w:adjustRightInd w:val="0"/>
        <w:snapToGrid w:val="0"/>
        <w:spacing w:line="360" w:lineRule="auto"/>
        <w:ind w:firstLine="480" w:firstLineChars="200"/>
        <w:rPr>
          <w:sz w:val="24"/>
        </w:rPr>
      </w:pPr>
    </w:p>
    <w:bookmarkEnd w:id="0"/>
    <w:bookmarkEnd w:id="1"/>
    <w:p w14:paraId="17FEA9C6">
      <w:pPr>
        <w:numPr>
          <w:ilvl w:val="0"/>
          <w:numId w:val="6"/>
        </w:numPr>
        <w:adjustRightInd w:val="0"/>
        <w:snapToGrid w:val="0"/>
        <w:spacing w:line="360" w:lineRule="auto"/>
        <w:rPr>
          <w:rFonts w:ascii="黑体" w:hAnsi="黑体" w:eastAsia="黑体"/>
          <w:sz w:val="24"/>
        </w:rPr>
      </w:pPr>
      <w:r>
        <w:rPr>
          <w:rFonts w:hint="eastAsia" w:ascii="黑体" w:hAnsi="黑体" w:eastAsia="黑体"/>
          <w:sz w:val="24"/>
        </w:rPr>
        <w:t>任务来源</w:t>
      </w:r>
    </w:p>
    <w:p w14:paraId="1AD586C1">
      <w:pPr>
        <w:adjustRightInd w:val="0"/>
        <w:snapToGrid w:val="0"/>
        <w:spacing w:line="360" w:lineRule="auto"/>
        <w:ind w:firstLine="480" w:firstLineChars="200"/>
        <w:rPr>
          <w:sz w:val="24"/>
        </w:rPr>
      </w:pPr>
      <w:r>
        <w:rPr>
          <w:rFonts w:hint="eastAsia"/>
          <w:sz w:val="24"/>
        </w:rPr>
        <w:t>根据2023年9月07日，《关于转发2023年第二批半导体材料标准项目计划及征集起草单位的通知》（半材标委[</w:t>
      </w:r>
      <w:r>
        <w:rPr>
          <w:sz w:val="24"/>
        </w:rPr>
        <w:t>2023]26</w:t>
      </w:r>
      <w:r>
        <w:rPr>
          <w:rFonts w:hint="eastAsia"/>
          <w:sz w:val="24"/>
        </w:rPr>
        <w:t>号）要求，由常州时创能源股份有限公司负责《光伏用半片硅单晶片》的编制，项目编号：2023-042-T/CNIA，要求2025年2月前完成。</w:t>
      </w:r>
    </w:p>
    <w:p w14:paraId="4A1F4073">
      <w:pPr>
        <w:adjustRightInd w:val="0"/>
        <w:snapToGrid w:val="0"/>
        <w:spacing w:line="360" w:lineRule="auto"/>
        <w:ind w:firstLine="480" w:firstLineChars="200"/>
        <w:rPr>
          <w:sz w:val="24"/>
        </w:rPr>
      </w:pPr>
    </w:p>
    <w:p w14:paraId="03654A47">
      <w:pPr>
        <w:numPr>
          <w:ilvl w:val="0"/>
          <w:numId w:val="6"/>
        </w:numPr>
        <w:adjustRightInd w:val="0"/>
        <w:snapToGrid w:val="0"/>
        <w:spacing w:line="360" w:lineRule="auto"/>
        <w:rPr>
          <w:rFonts w:ascii="黑体" w:hAnsi="黑体" w:eastAsia="黑体"/>
          <w:sz w:val="24"/>
        </w:rPr>
      </w:pPr>
      <w:r>
        <w:rPr>
          <w:rFonts w:hint="eastAsia" w:ascii="黑体" w:hAnsi="黑体" w:eastAsia="黑体"/>
          <w:sz w:val="24"/>
        </w:rPr>
        <w:t>项目承担单位概况</w:t>
      </w:r>
    </w:p>
    <w:p w14:paraId="18A9C04C">
      <w:pPr>
        <w:adjustRightInd w:val="0"/>
        <w:snapToGrid w:val="0"/>
        <w:spacing w:line="360" w:lineRule="auto"/>
        <w:ind w:firstLine="480" w:firstLineChars="200"/>
        <w:rPr>
          <w:sz w:val="24"/>
        </w:rPr>
      </w:pPr>
      <w:r>
        <w:rPr>
          <w:rFonts w:hint="eastAsia"/>
          <w:sz w:val="24"/>
        </w:rPr>
        <w:t>本项目承研单位常州时创能源股份有限公司。常州时创能源股份有限公司创立于2009年，是一家由浙江大学硅材料国家重点实验室毕业的博士团队所创立的高科技企业，是国内上市公司（股票代号：688429）。公司以研发为主导，利用自身强大的技术实力致力解决当今中国“低碳环保”所面临的诸多挑战。公司拥有超过 200 人的研发技术团队，其中多名人员具备博士研究生、 硕士研究生等较高学历，汇聚了材料、化学、物理、微电子、机械及电气自动化等多领域科研人才。公司产品涉及光伏湿制程辅助品、光伏设备及光伏电池三大类主要产品，主要从事相关产品的研发、生产和销售业务。时创能源为全国100多家光伏企业提供了国际领先的太阳能晶硅电池制绒辅助剂、硅片抛光液、高效电池工艺设备、高效硅单晶片及高效电池片等产品，拥有国内首家半片硅单晶片和半片电池制造生产线。</w:t>
      </w:r>
    </w:p>
    <w:p w14:paraId="23564676">
      <w:pPr>
        <w:adjustRightInd w:val="0"/>
        <w:snapToGrid w:val="0"/>
        <w:spacing w:line="360" w:lineRule="auto"/>
        <w:rPr>
          <w:sz w:val="24"/>
        </w:rPr>
      </w:pPr>
    </w:p>
    <w:p w14:paraId="01589486">
      <w:pPr>
        <w:numPr>
          <w:ilvl w:val="0"/>
          <w:numId w:val="6"/>
        </w:numPr>
        <w:adjustRightInd w:val="0"/>
        <w:snapToGrid w:val="0"/>
        <w:spacing w:line="360" w:lineRule="auto"/>
        <w:rPr>
          <w:rFonts w:ascii="黑体" w:hAnsi="黑体" w:eastAsia="黑体"/>
          <w:sz w:val="24"/>
        </w:rPr>
      </w:pPr>
      <w:r>
        <w:rPr>
          <w:rFonts w:hint="eastAsia" w:ascii="黑体" w:hAnsi="黑体" w:eastAsia="黑体"/>
          <w:sz w:val="24"/>
        </w:rPr>
        <w:t>主要工作过程</w:t>
      </w:r>
    </w:p>
    <w:p w14:paraId="66C7F316">
      <w:pPr>
        <w:adjustRightInd w:val="0"/>
        <w:snapToGrid w:val="0"/>
        <w:spacing w:line="360" w:lineRule="auto"/>
        <w:ind w:firstLine="480" w:firstLineChars="200"/>
        <w:rPr>
          <w:sz w:val="24"/>
        </w:rPr>
      </w:pPr>
      <w:r>
        <w:rPr>
          <w:rFonts w:hint="eastAsia"/>
          <w:sz w:val="24"/>
        </w:rPr>
        <w:t>本项目在下达计划之日起，在常州时创能源股份有限公司内部召开了关于标准起草的工作会议，布置了标准起草的相关工作、数据收集等工作。会议上对标准的起草任务进行确定，成立了标准编制组，确定了时间进度安排和主要内容等。</w:t>
      </w:r>
    </w:p>
    <w:p w14:paraId="0E0F0D04">
      <w:pPr>
        <w:adjustRightInd w:val="0"/>
        <w:snapToGrid w:val="0"/>
        <w:spacing w:line="360" w:lineRule="auto"/>
        <w:ind w:firstLine="480" w:firstLineChars="200"/>
        <w:rPr>
          <w:sz w:val="24"/>
        </w:rPr>
      </w:pPr>
      <w:r>
        <w:rPr>
          <w:kern w:val="0"/>
          <w:sz w:val="24"/>
        </w:rPr>
        <w:t>20</w:t>
      </w:r>
      <w:r>
        <w:rPr>
          <w:rFonts w:hint="eastAsia"/>
          <w:kern w:val="0"/>
          <w:sz w:val="24"/>
        </w:rPr>
        <w:t>23</w:t>
      </w:r>
      <w:r>
        <w:rPr>
          <w:kern w:val="0"/>
          <w:sz w:val="24"/>
        </w:rPr>
        <w:t>年</w:t>
      </w:r>
      <w:r>
        <w:rPr>
          <w:rFonts w:hint="eastAsia"/>
          <w:kern w:val="0"/>
          <w:sz w:val="24"/>
        </w:rPr>
        <w:t>9</w:t>
      </w:r>
      <w:r>
        <w:rPr>
          <w:kern w:val="0"/>
          <w:sz w:val="24"/>
        </w:rPr>
        <w:t>月～20</w:t>
      </w:r>
      <w:r>
        <w:rPr>
          <w:rFonts w:hint="eastAsia"/>
          <w:kern w:val="0"/>
          <w:sz w:val="24"/>
        </w:rPr>
        <w:t>24</w:t>
      </w:r>
      <w:r>
        <w:rPr>
          <w:kern w:val="0"/>
          <w:sz w:val="24"/>
        </w:rPr>
        <w:t>年</w:t>
      </w:r>
      <w:r>
        <w:rPr>
          <w:rFonts w:hint="eastAsia"/>
          <w:kern w:val="0"/>
          <w:sz w:val="24"/>
        </w:rPr>
        <w:t>4</w:t>
      </w:r>
      <w:r>
        <w:rPr>
          <w:kern w:val="0"/>
          <w:sz w:val="24"/>
        </w:rPr>
        <w:t>月，编制组根据任务落实确定的起草原则，对我国目前</w:t>
      </w:r>
      <w:r>
        <w:rPr>
          <w:rFonts w:hint="eastAsia"/>
          <w:kern w:val="0"/>
          <w:sz w:val="24"/>
        </w:rPr>
        <w:t>光伏行业</w:t>
      </w:r>
      <w:r>
        <w:rPr>
          <w:kern w:val="0"/>
          <w:sz w:val="24"/>
        </w:rPr>
        <w:t>生产硅</w:t>
      </w:r>
      <w:r>
        <w:rPr>
          <w:rFonts w:hint="eastAsia"/>
          <w:kern w:val="0"/>
          <w:sz w:val="24"/>
        </w:rPr>
        <w:t>片/电池片</w:t>
      </w:r>
      <w:r>
        <w:rPr>
          <w:kern w:val="0"/>
          <w:sz w:val="24"/>
        </w:rPr>
        <w:t>的企业</w:t>
      </w:r>
      <w:r>
        <w:rPr>
          <w:rFonts w:hint="eastAsia"/>
          <w:kern w:val="0"/>
          <w:sz w:val="24"/>
        </w:rPr>
        <w:t>相关产品规格</w:t>
      </w:r>
      <w:r>
        <w:rPr>
          <w:kern w:val="0"/>
          <w:sz w:val="24"/>
        </w:rPr>
        <w:t>进行调研和统计</w:t>
      </w:r>
      <w:r>
        <w:rPr>
          <w:rFonts w:hint="eastAsia"/>
          <w:kern w:val="0"/>
          <w:sz w:val="24"/>
        </w:rPr>
        <w:t>，</w:t>
      </w:r>
      <w:r>
        <w:rPr>
          <w:kern w:val="0"/>
          <w:sz w:val="24"/>
        </w:rPr>
        <w:t>参考</w:t>
      </w:r>
      <w:r>
        <w:rPr>
          <w:rFonts w:hint="eastAsia"/>
          <w:sz w:val="24"/>
        </w:rPr>
        <w:t>国标“GB/T 26071-2018 太阳能电池用硅单晶片”、“GB/T 25076-2018 太阳能电池用硅单晶”、“</w:t>
      </w:r>
      <w:r>
        <w:rPr>
          <w:sz w:val="24"/>
        </w:rPr>
        <w:t xml:space="preserve">T/CPIA 0037—202X </w:t>
      </w:r>
      <w:r>
        <w:rPr>
          <w:rFonts w:hint="eastAsia"/>
          <w:sz w:val="24"/>
        </w:rPr>
        <w:t>光伏晶体硅片规范”、“</w:t>
      </w:r>
      <w:r>
        <w:rPr>
          <w:sz w:val="24"/>
        </w:rPr>
        <w:t>SEMI PV22-0817, SPECIFICATION FOR SILICON WAFERS FOR USE IN PHOTOVOLTAIC SOLAR CELLS</w:t>
      </w:r>
      <w:r>
        <w:rPr>
          <w:rFonts w:hint="eastAsia"/>
          <w:sz w:val="24"/>
        </w:rPr>
        <w:t>”等中，对光伏硅片尺寸、性能、检测方法等，形成项目文件初稿</w:t>
      </w:r>
      <w:r>
        <w:rPr>
          <w:sz w:val="24"/>
        </w:rPr>
        <w:t>。</w:t>
      </w:r>
    </w:p>
    <w:p w14:paraId="6B5DBE6A">
      <w:pPr>
        <w:adjustRightInd w:val="0"/>
        <w:snapToGrid w:val="0"/>
        <w:spacing w:line="360" w:lineRule="auto"/>
        <w:ind w:firstLine="480" w:firstLineChars="200"/>
        <w:rPr>
          <w:rFonts w:hAnsi="宋体"/>
          <w:sz w:val="24"/>
        </w:rPr>
      </w:pPr>
      <w:r>
        <w:rPr>
          <w:rFonts w:hint="eastAsia" w:hAnsi="宋体"/>
          <w:sz w:val="24"/>
        </w:rPr>
        <w:t>2024年4月9日，在山东济南召开的半导体材料标准会议上，与会的30多位专家，对《光伏用半片硅单晶片》进行了充分的讨论，会议采用了专家提出的28条修改意见，并形成了《光伏用半片硅单晶片（征求意见稿）》。</w:t>
      </w:r>
    </w:p>
    <w:p w14:paraId="549CF7E0">
      <w:pPr>
        <w:adjustRightInd w:val="0"/>
        <w:snapToGrid w:val="0"/>
        <w:spacing w:line="360" w:lineRule="auto"/>
        <w:ind w:firstLine="480" w:firstLineChars="200"/>
        <w:rPr>
          <w:rFonts w:ascii="宋体" w:hAnsi="宋体" w:cs="宋体"/>
          <w:color w:val="000000"/>
          <w:kern w:val="0"/>
          <w:sz w:val="24"/>
        </w:rPr>
      </w:pPr>
      <w:r>
        <w:rPr>
          <w:rFonts w:hint="eastAsia" w:hAnsi="宋体"/>
          <w:sz w:val="24"/>
        </w:rPr>
        <w:t>2024年，5月8日，编制组以邮件的形式，向</w:t>
      </w:r>
      <w:r>
        <w:rPr>
          <w:rFonts w:hint="eastAsia" w:ascii="宋体" w:hAnsi="宋体" w:cs="宋体"/>
          <w:color w:val="000000"/>
          <w:kern w:val="0"/>
          <w:sz w:val="24"/>
        </w:rPr>
        <w:t>隆基、中环、协鑫、美科、弘元、通威、晶澳等公司发出征求意见稿，得到相关专家的回复意见。编制组在汇总讨论会及征求意见中各位专家的意见基础上，形成了《光伏用半片硅单晶片（预审稿）》。</w:t>
      </w:r>
    </w:p>
    <w:p w14:paraId="54DF2895">
      <w:pPr>
        <w:adjustRightInd w:val="0"/>
        <w:snapToGrid w:val="0"/>
        <w:spacing w:line="360" w:lineRule="auto"/>
        <w:ind w:firstLine="480" w:firstLineChars="200"/>
        <w:rPr>
          <w:rFonts w:hAnsi="宋体"/>
          <w:sz w:val="24"/>
        </w:rPr>
      </w:pPr>
      <w:r>
        <w:rPr>
          <w:rFonts w:hint="eastAsia" w:ascii="宋体" w:hAnsi="宋体" w:cs="宋体"/>
          <w:color w:val="000000"/>
          <w:kern w:val="0"/>
          <w:sz w:val="24"/>
        </w:rPr>
        <w:t>2024年，8月22日，</w:t>
      </w:r>
      <w:r>
        <w:rPr>
          <w:rFonts w:hint="eastAsia" w:hAnsi="宋体"/>
          <w:sz w:val="24"/>
        </w:rPr>
        <w:t>在江苏徐州召开的半导体材料标准会议上，与会的20多位专家，对《光伏用半片硅单晶片》的技术要求进行了详细并充分的讨论，会议采用了专家提出的15条修改意见，并形成了《光伏用半片硅单晶片（征求意见稿）》。</w:t>
      </w:r>
    </w:p>
    <w:p w14:paraId="5743D529">
      <w:pPr>
        <w:adjustRightInd w:val="0"/>
        <w:snapToGrid w:val="0"/>
        <w:spacing w:line="360" w:lineRule="auto"/>
        <w:ind w:firstLine="480" w:firstLineChars="200"/>
        <w:rPr>
          <w:rFonts w:hAnsi="宋体"/>
          <w:sz w:val="24"/>
        </w:rPr>
      </w:pPr>
    </w:p>
    <w:p w14:paraId="7718F5B0">
      <w:pPr>
        <w:numPr>
          <w:ilvl w:val="0"/>
          <w:numId w:val="6"/>
        </w:numPr>
        <w:adjustRightInd w:val="0"/>
        <w:snapToGrid w:val="0"/>
        <w:spacing w:line="360" w:lineRule="auto"/>
        <w:rPr>
          <w:rFonts w:ascii="黑体" w:hAnsi="黑体" w:eastAsia="黑体"/>
          <w:sz w:val="24"/>
        </w:rPr>
      </w:pPr>
      <w:r>
        <w:rPr>
          <w:rFonts w:hint="eastAsia" w:ascii="黑体" w:hAnsi="黑体" w:eastAsia="黑体"/>
          <w:sz w:val="24"/>
        </w:rPr>
        <w:t>标准主要起草人及起草工作</w:t>
      </w:r>
    </w:p>
    <w:p w14:paraId="07E6D81D">
      <w:pPr>
        <w:adjustRightInd w:val="0"/>
        <w:snapToGrid w:val="0"/>
        <w:spacing w:line="360" w:lineRule="auto"/>
        <w:ind w:firstLine="480" w:firstLineChars="200"/>
        <w:rPr>
          <w:sz w:val="24"/>
        </w:rPr>
      </w:pPr>
      <w:r>
        <w:rPr>
          <w:rFonts w:hint="eastAsia"/>
          <w:sz w:val="24"/>
        </w:rPr>
        <w:t>宫龙飞同志，常州时创能源股份有限公司研发总监，本标准的主要起草人之一，组织公司研发、技术、品质、体系等相关人员，成立项目小组，制定了企业内部半片硅单晶片的技术标准。潘维同志，常州时创能源股份有限公司品质经理，本标准的主要起草人之一。符黎明等同志负责标准起草的指导工作。</w:t>
      </w:r>
    </w:p>
    <w:p w14:paraId="7794D069">
      <w:pPr>
        <w:adjustRightInd w:val="0"/>
        <w:snapToGrid w:val="0"/>
        <w:spacing w:line="360" w:lineRule="auto"/>
        <w:ind w:firstLine="480" w:firstLineChars="200"/>
        <w:rPr>
          <w:sz w:val="24"/>
        </w:rPr>
      </w:pPr>
    </w:p>
    <w:p w14:paraId="3023120F">
      <w:pPr>
        <w:numPr>
          <w:ilvl w:val="0"/>
          <w:numId w:val="1"/>
        </w:numPr>
        <w:tabs>
          <w:tab w:val="left" w:pos="567"/>
        </w:tabs>
        <w:adjustRightInd w:val="0"/>
        <w:snapToGrid w:val="0"/>
        <w:spacing w:line="360" w:lineRule="auto"/>
        <w:rPr>
          <w:sz w:val="24"/>
        </w:rPr>
      </w:pPr>
      <w:r>
        <w:rPr>
          <w:rFonts w:hint="eastAsia" w:ascii="黑体" w:eastAsia="黑体"/>
          <w:sz w:val="24"/>
        </w:rPr>
        <w:t>标准编制原则和确定标准主要内容的依据</w:t>
      </w:r>
    </w:p>
    <w:p w14:paraId="5FB7B219">
      <w:pPr>
        <w:numPr>
          <w:ilvl w:val="0"/>
          <w:numId w:val="7"/>
        </w:numPr>
        <w:adjustRightInd w:val="0"/>
        <w:snapToGrid w:val="0"/>
        <w:spacing w:line="360" w:lineRule="auto"/>
        <w:rPr>
          <w:rFonts w:ascii="黑体" w:eastAsia="黑体"/>
          <w:sz w:val="24"/>
        </w:rPr>
      </w:pPr>
      <w:r>
        <w:rPr>
          <w:rFonts w:hint="eastAsia" w:ascii="黑体" w:eastAsia="黑体"/>
          <w:sz w:val="24"/>
        </w:rPr>
        <w:t>编制原则</w:t>
      </w:r>
    </w:p>
    <w:p w14:paraId="1D737BF1">
      <w:pPr>
        <w:adjustRightInd w:val="0"/>
        <w:snapToGrid w:val="0"/>
        <w:spacing w:line="360" w:lineRule="auto"/>
        <w:ind w:firstLine="480" w:firstLineChars="200"/>
        <w:rPr>
          <w:sz w:val="24"/>
        </w:rPr>
      </w:pPr>
      <w:bookmarkStart w:id="2" w:name="OLE_LINK12"/>
      <w:bookmarkStart w:id="3" w:name="OLE_LINK11"/>
      <w:bookmarkStart w:id="4" w:name="OLE_LINK10"/>
      <w:r>
        <w:rPr>
          <w:rFonts w:hint="eastAsia"/>
          <w:sz w:val="24"/>
        </w:rPr>
        <w:t>本标准起草单位自接受起草任务后，成立了标准编制组负责收集生产统计、检验数据、市场需求及客户要求等信息，初步确定了《光伏用半片硅单晶片》标准起草所遵循的基本原则和编制依据：</w:t>
      </w:r>
    </w:p>
    <w:p w14:paraId="0E4DFDDB">
      <w:pPr>
        <w:adjustRightInd w:val="0"/>
        <w:snapToGrid w:val="0"/>
        <w:spacing w:line="360" w:lineRule="auto"/>
        <w:ind w:firstLine="480" w:firstLineChars="200"/>
        <w:rPr>
          <w:sz w:val="24"/>
        </w:rPr>
      </w:pPr>
      <w:r>
        <w:rPr>
          <w:rFonts w:hint="eastAsia"/>
          <w:sz w:val="24"/>
        </w:rPr>
        <w:t>1）查阅相关标准和国内外客户的相关技术要求；</w:t>
      </w:r>
    </w:p>
    <w:p w14:paraId="1BBF8C4A">
      <w:pPr>
        <w:adjustRightInd w:val="0"/>
        <w:snapToGrid w:val="0"/>
        <w:spacing w:line="360" w:lineRule="auto"/>
        <w:ind w:firstLine="480" w:firstLineChars="200"/>
        <w:rPr>
          <w:sz w:val="24"/>
        </w:rPr>
      </w:pPr>
      <w:r>
        <w:rPr>
          <w:rFonts w:hint="eastAsia"/>
          <w:sz w:val="24"/>
        </w:rPr>
        <w:t>2）根据国内硅片/电池生产企业的具体情况，力求做到标准的合理性和实用性；</w:t>
      </w:r>
    </w:p>
    <w:p w14:paraId="37843E57">
      <w:pPr>
        <w:adjustRightInd w:val="0"/>
        <w:snapToGrid w:val="0"/>
        <w:spacing w:line="360" w:lineRule="auto"/>
        <w:ind w:firstLine="480" w:firstLineChars="200"/>
        <w:rPr>
          <w:sz w:val="24"/>
        </w:rPr>
      </w:pPr>
      <w:r>
        <w:rPr>
          <w:rFonts w:hint="eastAsia"/>
          <w:sz w:val="24"/>
        </w:rPr>
        <w:t>3）根据技术发展水平及测试数据确定技术指标取值范围；</w:t>
      </w:r>
    </w:p>
    <w:p w14:paraId="0B6AD3D6">
      <w:pPr>
        <w:adjustRightInd w:val="0"/>
        <w:snapToGrid w:val="0"/>
        <w:spacing w:line="360" w:lineRule="auto"/>
        <w:ind w:firstLine="480" w:firstLineChars="200"/>
        <w:rPr>
          <w:rFonts w:ascii="宋体" w:hAnsi="宋体"/>
          <w:kern w:val="0"/>
          <w:sz w:val="24"/>
        </w:rPr>
      </w:pPr>
      <w:r>
        <w:rPr>
          <w:rFonts w:hint="eastAsia" w:ascii="宋体" w:hAnsi="宋体"/>
          <w:kern w:val="0"/>
          <w:sz w:val="24"/>
        </w:rPr>
        <w:t>4）按照GB/T 1.1和有色加工产品标准和国家标准编写示例的要求进行格式和结构编写。</w:t>
      </w:r>
      <w:bookmarkEnd w:id="2"/>
      <w:bookmarkEnd w:id="3"/>
      <w:bookmarkEnd w:id="4"/>
    </w:p>
    <w:p w14:paraId="28CBA460">
      <w:pPr>
        <w:numPr>
          <w:ilvl w:val="0"/>
          <w:numId w:val="7"/>
        </w:numPr>
        <w:adjustRightInd w:val="0"/>
        <w:snapToGrid w:val="0"/>
        <w:spacing w:line="360" w:lineRule="auto"/>
        <w:rPr>
          <w:sz w:val="24"/>
        </w:rPr>
      </w:pPr>
      <w:r>
        <w:rPr>
          <w:rFonts w:hint="eastAsia" w:ascii="黑体" w:eastAsia="黑体"/>
          <w:sz w:val="24"/>
        </w:rPr>
        <w:t>确定标准主要内容的依据</w:t>
      </w:r>
    </w:p>
    <w:p w14:paraId="4A5FDB7A">
      <w:pPr>
        <w:adjustRightInd w:val="0"/>
        <w:snapToGrid w:val="0"/>
        <w:spacing w:line="360" w:lineRule="auto"/>
        <w:ind w:firstLine="480" w:firstLineChars="200"/>
        <w:rPr>
          <w:rFonts w:ascii="宋体" w:hAnsi="宋体"/>
          <w:sz w:val="24"/>
        </w:rPr>
      </w:pPr>
      <w:r>
        <w:rPr>
          <w:rFonts w:hint="eastAsia" w:ascii="宋体" w:hAnsi="宋体"/>
          <w:sz w:val="24"/>
        </w:rPr>
        <w:t>本标准结合我国光伏行业内硅片/电池的加工生产实际及使用需求，考虑到全产业链协同发展需求的现状制定而成。</w:t>
      </w:r>
    </w:p>
    <w:p w14:paraId="5D088E6E">
      <w:pPr>
        <w:adjustRightInd w:val="0"/>
        <w:snapToGrid w:val="0"/>
        <w:spacing w:line="360" w:lineRule="auto"/>
        <w:ind w:firstLine="480" w:firstLineChars="200"/>
        <w:rPr>
          <w:sz w:val="24"/>
        </w:rPr>
      </w:pPr>
      <w:r>
        <w:rPr>
          <w:rFonts w:hint="eastAsia"/>
          <w:sz w:val="24"/>
        </w:rPr>
        <w:t>根据前期调研、资料查阅、研讨讨论，项目组明确了：</w:t>
      </w:r>
    </w:p>
    <w:p w14:paraId="6948872A">
      <w:pPr>
        <w:pStyle w:val="43"/>
        <w:numPr>
          <w:ilvl w:val="0"/>
          <w:numId w:val="8"/>
        </w:numPr>
        <w:adjustRightInd w:val="0"/>
        <w:snapToGrid w:val="0"/>
        <w:spacing w:line="360" w:lineRule="auto"/>
        <w:ind w:firstLineChars="0"/>
        <w:rPr>
          <w:sz w:val="24"/>
        </w:rPr>
      </w:pPr>
      <w:r>
        <w:rPr>
          <w:rFonts w:hint="eastAsia"/>
          <w:sz w:val="24"/>
        </w:rPr>
        <w:t>半片电池产品，已成为组件封装市场的主流，166mm尺寸以上的半片电池占产业近100%覆盖。从硅片端开始实现半片单晶产品，为整个产业链的效率提升和成本降低提供了解决方案，半片硅片产品已大规模生产和出货。</w:t>
      </w:r>
    </w:p>
    <w:p w14:paraId="652CA436">
      <w:pPr>
        <w:pStyle w:val="43"/>
        <w:numPr>
          <w:ilvl w:val="0"/>
          <w:numId w:val="8"/>
        </w:numPr>
        <w:adjustRightInd w:val="0"/>
        <w:snapToGrid w:val="0"/>
        <w:spacing w:line="360" w:lineRule="auto"/>
        <w:ind w:firstLineChars="0"/>
        <w:rPr>
          <w:sz w:val="24"/>
        </w:rPr>
      </w:pPr>
      <w:r>
        <w:rPr>
          <w:rFonts w:hint="eastAsia"/>
          <w:sz w:val="24"/>
        </w:rPr>
        <w:t>目前国内国标、行标、团标，以及国际的SEMI标准中，半片硅片领域尚属空白，在现行的GB/T 26071-2018《太阳能电池用硅单晶片》不但缺少了目前行业主流的158.75mm、166mm、182mm、210mm等尺寸硅片的规范，对166mm以上含182mm、210mm等半片电池所需的硅片产品并没有任何定义和界定。</w:t>
      </w:r>
    </w:p>
    <w:p w14:paraId="488617F4">
      <w:pPr>
        <w:pStyle w:val="43"/>
        <w:numPr>
          <w:ilvl w:val="0"/>
          <w:numId w:val="8"/>
        </w:numPr>
        <w:adjustRightInd w:val="0"/>
        <w:snapToGrid w:val="0"/>
        <w:spacing w:line="360" w:lineRule="auto"/>
        <w:ind w:firstLineChars="0"/>
        <w:rPr>
          <w:sz w:val="24"/>
        </w:rPr>
      </w:pPr>
      <w:r>
        <w:rPr>
          <w:rFonts w:hint="eastAsia"/>
          <w:sz w:val="24"/>
        </w:rPr>
        <w:t>本标准结合当前半片组件及电池的产品需求、半片电池客户品质需求、半片硅片的生产技术能力和品质控制能力等编制而成。</w:t>
      </w:r>
    </w:p>
    <w:p w14:paraId="46C5112D">
      <w:pPr>
        <w:pStyle w:val="43"/>
        <w:numPr>
          <w:ilvl w:val="0"/>
          <w:numId w:val="8"/>
        </w:numPr>
        <w:adjustRightInd w:val="0"/>
        <w:snapToGrid w:val="0"/>
        <w:spacing w:line="360" w:lineRule="auto"/>
        <w:ind w:firstLineChars="0"/>
        <w:rPr>
          <w:sz w:val="24"/>
        </w:rPr>
      </w:pPr>
      <w:r>
        <w:rPr>
          <w:rFonts w:hint="eastAsia"/>
          <w:sz w:val="24"/>
        </w:rPr>
        <w:t>无相关及类似标准或知识产权等问题。</w:t>
      </w:r>
    </w:p>
    <w:p w14:paraId="304C4B69">
      <w:pPr>
        <w:adjustRightInd w:val="0"/>
        <w:snapToGrid w:val="0"/>
        <w:spacing w:line="360" w:lineRule="auto"/>
        <w:ind w:firstLine="480" w:firstLineChars="200"/>
        <w:rPr>
          <w:sz w:val="24"/>
        </w:rPr>
      </w:pPr>
      <w:r>
        <w:rPr>
          <w:rFonts w:hint="eastAsia" w:ascii="宋体" w:hAnsi="宋体"/>
          <w:sz w:val="24"/>
        </w:rPr>
        <w:t>基于此，项目组建立相关的标准</w:t>
      </w:r>
      <w:r>
        <w:rPr>
          <w:rFonts w:hint="eastAsia"/>
          <w:sz w:val="24"/>
        </w:rPr>
        <w:t>补充硅材料产品标准体系，规范和指导半片硅单晶片的生产，促进产业的进步和发展。</w:t>
      </w:r>
    </w:p>
    <w:p w14:paraId="24DCBBFB">
      <w:pPr>
        <w:adjustRightInd w:val="0"/>
        <w:snapToGrid w:val="0"/>
        <w:spacing w:line="360" w:lineRule="auto"/>
        <w:ind w:firstLine="480" w:firstLineChars="200"/>
        <w:rPr>
          <w:rFonts w:ascii="宋体" w:hAnsi="宋体"/>
          <w:sz w:val="24"/>
        </w:rPr>
      </w:pPr>
      <w:r>
        <w:rPr>
          <w:rFonts w:hint="eastAsia"/>
          <w:sz w:val="24"/>
        </w:rPr>
        <w:t>常州时创能源股份有限公司在用硅单晶边皮料加工半片硅单晶片的研究中积累了丰富的经验，并将这一技术广泛应用于规模生产，建立了10GW以上半片硅片生产产能。大大提升了硅单晶棒的利用率，降低了整个产业链的产品能耗。同时，其半片生产技术也适用于硅单晶中心棒的加工。根据标准的需求，项目组对“半片硅单晶片”进行了定义，并对其外形尺寸进行了分类和重新定义。相对于GBT26071-2018标准来说，加严了对角线、倒角长度等范围，引用了垂直度、电学性能、晶向等参数要求。</w:t>
      </w:r>
    </w:p>
    <w:p w14:paraId="23BD195C">
      <w:pPr>
        <w:spacing w:line="360" w:lineRule="auto"/>
        <w:ind w:firstLine="480" w:firstLineChars="200"/>
        <w:rPr>
          <w:sz w:val="24"/>
        </w:rPr>
      </w:pPr>
    </w:p>
    <w:p w14:paraId="5A597C09">
      <w:pPr>
        <w:numPr>
          <w:ilvl w:val="0"/>
          <w:numId w:val="7"/>
        </w:numPr>
        <w:adjustRightInd w:val="0"/>
        <w:snapToGrid w:val="0"/>
        <w:spacing w:line="360" w:lineRule="auto"/>
        <w:rPr>
          <w:rFonts w:ascii="黑体" w:eastAsia="黑体"/>
          <w:sz w:val="24"/>
        </w:rPr>
      </w:pPr>
      <w:r>
        <w:rPr>
          <w:rFonts w:hint="eastAsia" w:ascii="黑体" w:eastAsia="黑体"/>
          <w:sz w:val="24"/>
        </w:rPr>
        <w:t>标题题目与适用范围</w:t>
      </w:r>
    </w:p>
    <w:p w14:paraId="560CB543">
      <w:pPr>
        <w:adjustRightInd w:val="0"/>
        <w:snapToGrid w:val="0"/>
        <w:spacing w:line="360" w:lineRule="auto"/>
        <w:ind w:firstLine="480" w:firstLineChars="200"/>
        <w:rPr>
          <w:rFonts w:ascii="宋体" w:hAnsi="宋体"/>
          <w:kern w:val="0"/>
          <w:sz w:val="24"/>
        </w:rPr>
      </w:pPr>
      <w:r>
        <w:rPr>
          <w:rFonts w:hint="eastAsia" w:ascii="宋体" w:hAnsi="宋体"/>
          <w:kern w:val="0"/>
          <w:sz w:val="24"/>
        </w:rPr>
        <w:t>1.1 本标准立项名称为《</w:t>
      </w:r>
      <w:r>
        <w:rPr>
          <w:rFonts w:hint="eastAsia"/>
          <w:sz w:val="24"/>
        </w:rPr>
        <w:t>光伏用半片硅单晶片》</w:t>
      </w:r>
      <w:r>
        <w:rPr>
          <w:rFonts w:hint="eastAsia" w:ascii="宋体" w:hAnsi="宋体"/>
          <w:kern w:val="0"/>
          <w:sz w:val="24"/>
        </w:rPr>
        <w:t>。标准规定了太阳能电池用半片硅单晶片的技术标准、牌号、分类、要求、试验方法、检测规则、标识、包装、运输、贮存、质量说明书、和订货单（或合同）内容等。</w:t>
      </w:r>
    </w:p>
    <w:p w14:paraId="53019363">
      <w:pPr>
        <w:adjustRightInd w:val="0"/>
        <w:snapToGrid w:val="0"/>
        <w:spacing w:line="360" w:lineRule="auto"/>
        <w:ind w:firstLine="480" w:firstLineChars="200"/>
        <w:rPr>
          <w:rFonts w:ascii="宋体" w:hAnsi="宋体"/>
          <w:kern w:val="0"/>
          <w:sz w:val="24"/>
        </w:rPr>
      </w:pPr>
      <w:r>
        <w:rPr>
          <w:rFonts w:hint="eastAsia" w:ascii="宋体" w:hAnsi="宋体"/>
          <w:kern w:val="0"/>
          <w:sz w:val="24"/>
        </w:rPr>
        <w:t>1.2</w:t>
      </w:r>
      <w:r>
        <w:rPr>
          <w:rFonts w:ascii="宋体" w:hAnsi="宋体"/>
          <w:kern w:val="0"/>
          <w:sz w:val="24"/>
        </w:rPr>
        <w:t xml:space="preserve"> </w:t>
      </w:r>
      <w:r>
        <w:rPr>
          <w:rFonts w:hint="eastAsia" w:ascii="宋体" w:hAnsi="宋体"/>
          <w:kern w:val="0"/>
          <w:sz w:val="24"/>
        </w:rPr>
        <w:t>本标准适用范围：由直拉法或区熔法制定的硅单晶中心棒、边皮棒，加工成的半片硅单晶片，产品用于制作太阳能电池的衬底片。</w:t>
      </w:r>
    </w:p>
    <w:p w14:paraId="401B546D">
      <w:pPr>
        <w:adjustRightInd w:val="0"/>
        <w:snapToGrid w:val="0"/>
        <w:spacing w:line="360" w:lineRule="auto"/>
        <w:ind w:firstLine="360" w:firstLineChars="150"/>
        <w:rPr>
          <w:rFonts w:ascii="宋体" w:hAnsi="宋体"/>
          <w:kern w:val="0"/>
          <w:sz w:val="24"/>
        </w:rPr>
      </w:pPr>
    </w:p>
    <w:p w14:paraId="285B25EA">
      <w:pPr>
        <w:numPr>
          <w:ilvl w:val="0"/>
          <w:numId w:val="7"/>
        </w:numPr>
        <w:adjustRightInd w:val="0"/>
        <w:snapToGrid w:val="0"/>
        <w:spacing w:line="360" w:lineRule="auto"/>
        <w:rPr>
          <w:rFonts w:ascii="黑体" w:eastAsia="黑体"/>
          <w:sz w:val="24"/>
        </w:rPr>
      </w:pPr>
      <w:r>
        <w:rPr>
          <w:rFonts w:hint="eastAsia" w:ascii="黑体" w:eastAsia="黑体"/>
          <w:sz w:val="24"/>
        </w:rPr>
        <w:t>标准基本原理</w:t>
      </w:r>
    </w:p>
    <w:p w14:paraId="37994F8D">
      <w:pPr>
        <w:adjustRightInd w:val="0"/>
        <w:snapToGrid w:val="0"/>
        <w:spacing w:line="360" w:lineRule="auto"/>
        <w:ind w:firstLine="480" w:firstLineChars="200"/>
        <w:rPr>
          <w:rFonts w:ascii="宋体" w:hAnsi="宋体"/>
          <w:kern w:val="0"/>
          <w:sz w:val="24"/>
        </w:rPr>
      </w:pPr>
      <w:r>
        <w:rPr>
          <w:rFonts w:hint="eastAsia" w:ascii="宋体" w:hAnsi="宋体"/>
          <w:kern w:val="0"/>
          <w:sz w:val="24"/>
        </w:rPr>
        <w:t>无</w:t>
      </w:r>
    </w:p>
    <w:p w14:paraId="41961721">
      <w:pPr>
        <w:numPr>
          <w:ilvl w:val="0"/>
          <w:numId w:val="7"/>
        </w:numPr>
        <w:adjustRightInd w:val="0"/>
        <w:snapToGrid w:val="0"/>
        <w:spacing w:line="360" w:lineRule="auto"/>
        <w:rPr>
          <w:rFonts w:ascii="黑体" w:eastAsia="黑体"/>
          <w:sz w:val="24"/>
        </w:rPr>
      </w:pPr>
      <w:r>
        <w:rPr>
          <w:rFonts w:hint="eastAsia" w:ascii="黑体" w:eastAsia="黑体"/>
          <w:sz w:val="24"/>
        </w:rPr>
        <w:t>精密度</w:t>
      </w:r>
    </w:p>
    <w:p w14:paraId="3296A7C8">
      <w:pPr>
        <w:adjustRightInd w:val="0"/>
        <w:snapToGrid w:val="0"/>
        <w:spacing w:line="360" w:lineRule="auto"/>
        <w:ind w:firstLine="480" w:firstLineChars="200"/>
        <w:rPr>
          <w:rFonts w:ascii="宋体" w:hAnsi="宋体"/>
          <w:kern w:val="0"/>
          <w:sz w:val="24"/>
        </w:rPr>
      </w:pPr>
      <w:r>
        <w:rPr>
          <w:rFonts w:hint="eastAsia" w:ascii="宋体" w:hAnsi="宋体"/>
          <w:kern w:val="0"/>
          <w:sz w:val="24"/>
        </w:rPr>
        <w:t>无</w:t>
      </w:r>
    </w:p>
    <w:p w14:paraId="5024F336">
      <w:pPr>
        <w:adjustRightInd w:val="0"/>
        <w:snapToGrid w:val="0"/>
        <w:spacing w:line="360" w:lineRule="auto"/>
        <w:ind w:firstLine="480" w:firstLineChars="200"/>
        <w:rPr>
          <w:rFonts w:ascii="宋体" w:hAnsi="宋体"/>
          <w:strike/>
          <w:kern w:val="0"/>
          <w:sz w:val="24"/>
        </w:rPr>
      </w:pPr>
    </w:p>
    <w:p w14:paraId="1423D37F">
      <w:pPr>
        <w:numPr>
          <w:ilvl w:val="0"/>
          <w:numId w:val="1"/>
        </w:numPr>
        <w:tabs>
          <w:tab w:val="left" w:pos="567"/>
        </w:tabs>
        <w:adjustRightInd w:val="0"/>
        <w:snapToGrid w:val="0"/>
        <w:spacing w:line="360" w:lineRule="auto"/>
        <w:rPr>
          <w:rFonts w:ascii="黑体" w:eastAsia="黑体"/>
          <w:sz w:val="24"/>
        </w:rPr>
      </w:pPr>
      <w:r>
        <w:rPr>
          <w:rFonts w:hint="eastAsia" w:ascii="黑体" w:eastAsia="黑体"/>
          <w:sz w:val="24"/>
        </w:rPr>
        <w:t>标准水平分析</w:t>
      </w:r>
    </w:p>
    <w:p w14:paraId="7F1BEA25">
      <w:pPr>
        <w:spacing w:line="360" w:lineRule="auto"/>
        <w:ind w:firstLine="480" w:firstLineChars="200"/>
        <w:rPr>
          <w:sz w:val="24"/>
        </w:rPr>
      </w:pPr>
      <w:r>
        <w:rPr>
          <w:rFonts w:hint="eastAsia"/>
          <w:sz w:val="24"/>
        </w:rPr>
        <w:t>“光伏用半片单晶硅片”目前尚无相应的国际标准、国家标准和行业标准。本次标准起草为新制定的团体标准，推荐性的标准，主要目的是规范和统一光伏用半片硅单晶片的产品标准、检测方法、检验规则及判断、产品包装标识运输贮存等规范。本标准的制定，规范了光伏用半片硅片的规格，补充了光伏用硅单晶片的品类，填补了半片硅单晶片的标准空白。</w:t>
      </w:r>
    </w:p>
    <w:p w14:paraId="495B2530">
      <w:pPr>
        <w:spacing w:line="360" w:lineRule="auto"/>
        <w:ind w:firstLine="480" w:firstLineChars="200"/>
        <w:rPr>
          <w:sz w:val="24"/>
        </w:rPr>
      </w:pPr>
      <w:r>
        <w:rPr>
          <w:rFonts w:hint="eastAsia"/>
          <w:sz w:val="24"/>
        </w:rPr>
        <w:t>本标准达到了国内先进水平。</w:t>
      </w:r>
    </w:p>
    <w:p w14:paraId="384DDA13">
      <w:pPr>
        <w:spacing w:line="420" w:lineRule="exact"/>
        <w:ind w:firstLine="480" w:firstLineChars="200"/>
        <w:rPr>
          <w:sz w:val="24"/>
        </w:rPr>
      </w:pPr>
    </w:p>
    <w:p w14:paraId="3966E948">
      <w:pPr>
        <w:numPr>
          <w:ilvl w:val="0"/>
          <w:numId w:val="1"/>
        </w:numPr>
        <w:tabs>
          <w:tab w:val="left" w:pos="567"/>
          <w:tab w:val="left" w:pos="1276"/>
        </w:tabs>
        <w:adjustRightInd w:val="0"/>
        <w:snapToGrid w:val="0"/>
        <w:spacing w:before="156" w:beforeLines="50" w:line="360" w:lineRule="auto"/>
        <w:ind w:left="357" w:hanging="357"/>
        <w:rPr>
          <w:rFonts w:ascii="黑体" w:eastAsia="黑体"/>
          <w:sz w:val="24"/>
        </w:rPr>
      </w:pPr>
      <w:r>
        <w:rPr>
          <w:rFonts w:hint="eastAsia" w:ascii="黑体" w:eastAsia="黑体"/>
          <w:sz w:val="24"/>
        </w:rPr>
        <w:t>与我国有关的现行法律、法规和相关强制性标准的关系。</w:t>
      </w:r>
    </w:p>
    <w:p w14:paraId="78D762B4">
      <w:pPr>
        <w:adjustRightInd w:val="0"/>
        <w:snapToGrid w:val="0"/>
        <w:spacing w:line="360" w:lineRule="auto"/>
        <w:ind w:firstLine="480" w:firstLineChars="200"/>
        <w:rPr>
          <w:rFonts w:ascii="宋体" w:hAnsi="宋体"/>
          <w:sz w:val="24"/>
        </w:rPr>
      </w:pPr>
      <w:r>
        <w:rPr>
          <w:rFonts w:hint="eastAsia" w:ascii="宋体" w:hAnsi="宋体"/>
          <w:sz w:val="24"/>
        </w:rPr>
        <w:t>标准《光伏用半片硅单晶片》是推荐性标准，与国家现行法律、法规和相关强制性标准不存在相违背和抵触的地方。</w:t>
      </w:r>
    </w:p>
    <w:p w14:paraId="286B6430">
      <w:pPr>
        <w:numPr>
          <w:ilvl w:val="0"/>
          <w:numId w:val="1"/>
        </w:numPr>
        <w:tabs>
          <w:tab w:val="left" w:pos="567"/>
        </w:tabs>
        <w:adjustRightInd w:val="0"/>
        <w:snapToGrid w:val="0"/>
        <w:spacing w:line="360" w:lineRule="auto"/>
        <w:rPr>
          <w:rFonts w:ascii="黑体" w:eastAsia="黑体"/>
          <w:sz w:val="24"/>
        </w:rPr>
      </w:pPr>
      <w:r>
        <w:rPr>
          <w:rFonts w:hint="eastAsia" w:ascii="黑体" w:eastAsia="黑体"/>
          <w:sz w:val="24"/>
        </w:rPr>
        <w:t>重大分歧意见的处理经过和依据。</w:t>
      </w:r>
    </w:p>
    <w:p w14:paraId="56CC13BC">
      <w:pPr>
        <w:adjustRightInd w:val="0"/>
        <w:snapToGrid w:val="0"/>
        <w:spacing w:line="360" w:lineRule="auto"/>
        <w:ind w:firstLine="480" w:firstLineChars="200"/>
        <w:rPr>
          <w:rFonts w:ascii="宋体" w:hAnsi="宋体"/>
          <w:sz w:val="24"/>
        </w:rPr>
      </w:pPr>
      <w:r>
        <w:rPr>
          <w:rFonts w:hint="eastAsia" w:ascii="宋体" w:hAnsi="宋体"/>
          <w:sz w:val="24"/>
        </w:rPr>
        <w:t>无</w:t>
      </w:r>
    </w:p>
    <w:p w14:paraId="0597506A">
      <w:pPr>
        <w:numPr>
          <w:ilvl w:val="0"/>
          <w:numId w:val="1"/>
        </w:numPr>
        <w:tabs>
          <w:tab w:val="left" w:pos="567"/>
        </w:tabs>
        <w:adjustRightInd w:val="0"/>
        <w:snapToGrid w:val="0"/>
        <w:spacing w:line="360" w:lineRule="auto"/>
        <w:rPr>
          <w:sz w:val="24"/>
        </w:rPr>
      </w:pPr>
      <w:r>
        <w:rPr>
          <w:rFonts w:hint="eastAsia" w:ascii="黑体" w:eastAsia="黑体"/>
          <w:sz w:val="24"/>
        </w:rPr>
        <w:t>标准作为强制性标准或推荐性标准的建议</w:t>
      </w:r>
    </w:p>
    <w:p w14:paraId="15C569F0">
      <w:pPr>
        <w:adjustRightInd w:val="0"/>
        <w:snapToGrid w:val="0"/>
        <w:spacing w:line="360" w:lineRule="auto"/>
        <w:ind w:firstLine="480" w:firstLineChars="200"/>
        <w:rPr>
          <w:rFonts w:ascii="宋体" w:hAnsi="宋体"/>
          <w:sz w:val="24"/>
        </w:rPr>
      </w:pPr>
      <w:r>
        <w:rPr>
          <w:rFonts w:hint="eastAsia"/>
          <w:sz w:val="24"/>
        </w:rPr>
        <w:t>建议本标准作为推荐性国家标准发布实施。</w:t>
      </w:r>
    </w:p>
    <w:p w14:paraId="748CA408">
      <w:pPr>
        <w:numPr>
          <w:ilvl w:val="0"/>
          <w:numId w:val="1"/>
        </w:numPr>
        <w:tabs>
          <w:tab w:val="left" w:pos="567"/>
        </w:tabs>
        <w:adjustRightInd w:val="0"/>
        <w:snapToGrid w:val="0"/>
        <w:spacing w:line="360" w:lineRule="auto"/>
        <w:rPr>
          <w:rFonts w:ascii="黑体" w:eastAsia="黑体"/>
          <w:sz w:val="24"/>
        </w:rPr>
      </w:pPr>
      <w:r>
        <w:rPr>
          <w:rFonts w:hint="eastAsia" w:ascii="黑体" w:eastAsia="黑体"/>
          <w:sz w:val="24"/>
        </w:rPr>
        <w:t>代替或废止现行有关标准的建议</w:t>
      </w:r>
    </w:p>
    <w:p w14:paraId="2022C51D">
      <w:pPr>
        <w:adjustRightInd w:val="0"/>
        <w:snapToGrid w:val="0"/>
        <w:spacing w:line="360" w:lineRule="auto"/>
        <w:ind w:firstLine="480" w:firstLineChars="200"/>
        <w:rPr>
          <w:rFonts w:ascii="宋体" w:hAnsi="宋体"/>
          <w:sz w:val="24"/>
        </w:rPr>
      </w:pPr>
      <w:r>
        <w:rPr>
          <w:rFonts w:hint="eastAsia" w:ascii="宋体" w:hAnsi="宋体"/>
          <w:sz w:val="24"/>
        </w:rPr>
        <w:t>无</w:t>
      </w:r>
    </w:p>
    <w:p w14:paraId="441B03CB">
      <w:pPr>
        <w:numPr>
          <w:ilvl w:val="0"/>
          <w:numId w:val="1"/>
        </w:numPr>
        <w:tabs>
          <w:tab w:val="left" w:pos="567"/>
        </w:tabs>
        <w:adjustRightInd w:val="0"/>
        <w:snapToGrid w:val="0"/>
        <w:spacing w:line="360" w:lineRule="auto"/>
        <w:rPr>
          <w:sz w:val="24"/>
        </w:rPr>
      </w:pPr>
      <w:r>
        <w:rPr>
          <w:rFonts w:hint="eastAsia" w:ascii="黑体" w:eastAsia="黑体"/>
          <w:sz w:val="24"/>
        </w:rPr>
        <w:t>其他需要说明的事项</w:t>
      </w:r>
    </w:p>
    <w:p w14:paraId="700E3633">
      <w:pPr>
        <w:pStyle w:val="15"/>
        <w:adjustRightInd w:val="0"/>
        <w:snapToGrid w:val="0"/>
        <w:spacing w:line="360" w:lineRule="auto"/>
        <w:ind w:firstLine="480"/>
        <w:rPr>
          <w:rFonts w:ascii="Times New Roman"/>
          <w:kern w:val="2"/>
          <w:sz w:val="24"/>
          <w:szCs w:val="24"/>
        </w:rPr>
      </w:pPr>
      <w:r>
        <w:rPr>
          <w:rFonts w:hint="eastAsia" w:ascii="Times New Roman"/>
          <w:kern w:val="2"/>
          <w:sz w:val="24"/>
          <w:szCs w:val="24"/>
        </w:rPr>
        <w:t>无。</w:t>
      </w:r>
    </w:p>
    <w:p w14:paraId="22107688">
      <w:pPr>
        <w:numPr>
          <w:ilvl w:val="0"/>
          <w:numId w:val="1"/>
        </w:numPr>
        <w:tabs>
          <w:tab w:val="left" w:pos="567"/>
        </w:tabs>
        <w:adjustRightInd w:val="0"/>
        <w:snapToGrid w:val="0"/>
        <w:spacing w:line="360" w:lineRule="auto"/>
        <w:rPr>
          <w:sz w:val="24"/>
        </w:rPr>
      </w:pPr>
      <w:r>
        <w:rPr>
          <w:rFonts w:hint="eastAsia" w:ascii="黑体" w:eastAsia="黑体"/>
          <w:sz w:val="24"/>
        </w:rPr>
        <w:t>预期效果</w:t>
      </w:r>
    </w:p>
    <w:p w14:paraId="1F832A36">
      <w:pPr>
        <w:spacing w:line="360" w:lineRule="auto"/>
        <w:ind w:firstLine="480" w:firstLineChars="200"/>
        <w:rPr>
          <w:sz w:val="24"/>
        </w:rPr>
      </w:pPr>
      <w:r>
        <w:rPr>
          <w:rFonts w:hint="eastAsia"/>
          <w:sz w:val="24"/>
        </w:rPr>
        <w:t>本标准规定了半片硅单晶片的牌号及分类、技术要求、试验方法、检验规则、标志、包装、运输、贮存、随行文件和订货单内容。标准适用于光伏用半片硅单晶片，产品用于制作太阳能电池的基底材料。基于当前光伏行业90%以上的组件产品均为半片电池制作，硅片端推广半片产品，有利于如扩散、镀膜等工艺的均匀化，并进一步提升硅片的转化效率性能。半片硅片产品已逐步成为高效电池的主流基底材料。</w:t>
      </w:r>
    </w:p>
    <w:p w14:paraId="3C76FF6C">
      <w:pPr>
        <w:spacing w:line="360" w:lineRule="auto"/>
        <w:ind w:firstLine="480" w:firstLineChars="200"/>
        <w:rPr>
          <w:sz w:val="24"/>
        </w:rPr>
      </w:pPr>
      <w:r>
        <w:rPr>
          <w:rFonts w:hint="eastAsia"/>
          <w:sz w:val="24"/>
        </w:rPr>
        <w:t>本标准的制定，规范了光伏用半片硅片的规格，补充了光伏用硅单晶片的品类，填补了半片硅片的标准空白，有利于供需双方对硅片产品更好地推广与应用。标准的制定，将更好为高效光伏硅片的研发、生产和应用提供参考和指导，引导光伏硅片行业的健康发展。</w:t>
      </w:r>
    </w:p>
    <w:sectPr>
      <w:footerReference r:id="rId3" w:type="default"/>
      <w:pgSz w:w="11906" w:h="16838"/>
      <w:pgMar w:top="1134" w:right="1247"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69870">
    <w:pPr>
      <w:pStyle w:val="5"/>
      <w:jc w:val="center"/>
    </w:pPr>
    <w:r>
      <w:fldChar w:fldCharType="begin"/>
    </w:r>
    <w:r>
      <w:instrText xml:space="preserve"> PAGE   \* MERGEFORMAT </w:instrText>
    </w:r>
    <w:r>
      <w:fldChar w:fldCharType="separate"/>
    </w:r>
    <w:r>
      <w:rPr>
        <w:lang w:val="zh-CN"/>
      </w:rPr>
      <w:t>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6B5F4A"/>
    <w:multiLevelType w:val="multilevel"/>
    <w:tmpl w:val="026B5F4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8D87812"/>
    <w:multiLevelType w:val="multilevel"/>
    <w:tmpl w:val="08D878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3F5D41"/>
    <w:multiLevelType w:val="multilevel"/>
    <w:tmpl w:val="2E3F5D41"/>
    <w:lvl w:ilvl="0" w:tentative="0">
      <w:start w:val="1"/>
      <w:numFmt w:val="decimal"/>
      <w:pStyle w:val="28"/>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
    <w:nsid w:val="45CE3429"/>
    <w:multiLevelType w:val="multilevel"/>
    <w:tmpl w:val="45CE3429"/>
    <w:lvl w:ilvl="0" w:tentative="0">
      <w:start w:val="1"/>
      <w:numFmt w:val="japaneseCounting"/>
      <w:pStyle w:val="27"/>
      <w:lvlText w:val="%1、"/>
      <w:lvlJc w:val="left"/>
      <w:pPr>
        <w:tabs>
          <w:tab w:val="left" w:pos="360"/>
        </w:tabs>
        <w:ind w:left="360" w:hanging="360"/>
      </w:pPr>
      <w:rPr>
        <w:rFonts w:ascii="黑体" w:hAnsi="Times New Roman" w:eastAsia="黑体" w:cs="Times New Roman"/>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57C2AF5"/>
    <w:multiLevelType w:val="multilevel"/>
    <w:tmpl w:val="557C2AF5"/>
    <w:lvl w:ilvl="0" w:tentative="0">
      <w:start w:val="1"/>
      <w:numFmt w:val="decimal"/>
      <w:pStyle w:val="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5D793C26"/>
    <w:multiLevelType w:val="multilevel"/>
    <w:tmpl w:val="5D793C2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46260FA"/>
    <w:multiLevelType w:val="multilevel"/>
    <w:tmpl w:val="646260FA"/>
    <w:lvl w:ilvl="0" w:tentative="0">
      <w:start w:val="1"/>
      <w:numFmt w:val="decimal"/>
      <w:pStyle w:val="29"/>
      <w:suff w:val="nothing"/>
      <w:lvlText w:val="表%1　"/>
      <w:lvlJc w:val="left"/>
      <w:pPr>
        <w:ind w:left="2978" w:firstLine="0"/>
      </w:pPr>
      <w:rPr>
        <w:rFonts w:hint="eastAsia" w:ascii="黑体" w:hAnsi="Times New Roman" w:eastAsia="黑体"/>
        <w:b w:val="0"/>
        <w:i w:val="0"/>
        <w:sz w:val="21"/>
      </w:rPr>
    </w:lvl>
    <w:lvl w:ilvl="1" w:tentative="0">
      <w:start w:val="1"/>
      <w:numFmt w:val="decimal"/>
      <w:lvlText w:val="%1.%2"/>
      <w:lvlJc w:val="left"/>
      <w:pPr>
        <w:tabs>
          <w:tab w:val="left" w:pos="3970"/>
        </w:tabs>
        <w:ind w:left="3970" w:hanging="567"/>
      </w:pPr>
      <w:rPr>
        <w:rFonts w:hint="eastAsia"/>
      </w:rPr>
    </w:lvl>
    <w:lvl w:ilvl="2" w:tentative="0">
      <w:start w:val="1"/>
      <w:numFmt w:val="decimal"/>
      <w:lvlText w:val="%1.%2.%3"/>
      <w:lvlJc w:val="left"/>
      <w:pPr>
        <w:tabs>
          <w:tab w:val="left" w:pos="4396"/>
        </w:tabs>
        <w:ind w:left="4396" w:hanging="567"/>
      </w:pPr>
      <w:rPr>
        <w:rFonts w:hint="eastAsia"/>
      </w:rPr>
    </w:lvl>
    <w:lvl w:ilvl="3" w:tentative="0">
      <w:start w:val="1"/>
      <w:numFmt w:val="decimal"/>
      <w:lvlText w:val="%1.%2.%3.%4"/>
      <w:lvlJc w:val="left"/>
      <w:pPr>
        <w:tabs>
          <w:tab w:val="left" w:pos="4962"/>
        </w:tabs>
        <w:ind w:left="4962" w:hanging="708"/>
      </w:pPr>
      <w:rPr>
        <w:rFonts w:hint="eastAsia"/>
      </w:rPr>
    </w:lvl>
    <w:lvl w:ilvl="4" w:tentative="0">
      <w:start w:val="1"/>
      <w:numFmt w:val="decimal"/>
      <w:lvlText w:val="%1.%2.%3.%4.%5"/>
      <w:lvlJc w:val="left"/>
      <w:pPr>
        <w:tabs>
          <w:tab w:val="left" w:pos="5529"/>
        </w:tabs>
        <w:ind w:left="5529" w:hanging="850"/>
      </w:pPr>
      <w:rPr>
        <w:rFonts w:hint="eastAsia"/>
      </w:rPr>
    </w:lvl>
    <w:lvl w:ilvl="5" w:tentative="0">
      <w:start w:val="1"/>
      <w:numFmt w:val="decimal"/>
      <w:lvlText w:val="%1.%2.%3.%4.%5.%6"/>
      <w:lvlJc w:val="left"/>
      <w:pPr>
        <w:tabs>
          <w:tab w:val="left" w:pos="6238"/>
        </w:tabs>
        <w:ind w:left="6238" w:hanging="1134"/>
      </w:pPr>
      <w:rPr>
        <w:rFonts w:hint="eastAsia"/>
      </w:rPr>
    </w:lvl>
    <w:lvl w:ilvl="6" w:tentative="0">
      <w:start w:val="1"/>
      <w:numFmt w:val="decimal"/>
      <w:lvlText w:val="%1.%2.%3.%4.%5.%6.%7"/>
      <w:lvlJc w:val="left"/>
      <w:pPr>
        <w:tabs>
          <w:tab w:val="left" w:pos="6805"/>
        </w:tabs>
        <w:ind w:left="6805" w:hanging="1276"/>
      </w:pPr>
      <w:rPr>
        <w:rFonts w:hint="eastAsia"/>
      </w:rPr>
    </w:lvl>
    <w:lvl w:ilvl="7" w:tentative="0">
      <w:start w:val="1"/>
      <w:numFmt w:val="decimal"/>
      <w:lvlText w:val="%1.%2.%3.%4.%5.%6.%7.%8"/>
      <w:lvlJc w:val="left"/>
      <w:pPr>
        <w:tabs>
          <w:tab w:val="left" w:pos="7372"/>
        </w:tabs>
        <w:ind w:left="7372" w:hanging="1418"/>
      </w:pPr>
      <w:rPr>
        <w:rFonts w:hint="eastAsia"/>
      </w:rPr>
    </w:lvl>
    <w:lvl w:ilvl="8" w:tentative="0">
      <w:start w:val="1"/>
      <w:numFmt w:val="decimal"/>
      <w:lvlText w:val="%1.%2.%3.%4.%5.%6.%7.%8.%9"/>
      <w:lvlJc w:val="left"/>
      <w:pPr>
        <w:tabs>
          <w:tab w:val="left" w:pos="8080"/>
        </w:tabs>
        <w:ind w:left="8080" w:hanging="1700"/>
      </w:pPr>
      <w:rPr>
        <w:rFonts w:hint="eastAsia"/>
      </w:rPr>
    </w:lvl>
  </w:abstractNum>
  <w:abstractNum w:abstractNumId="7">
    <w:nsid w:val="657D3FBC"/>
    <w:multiLevelType w:val="multilevel"/>
    <w:tmpl w:val="657D3FBC"/>
    <w:lvl w:ilvl="0" w:tentative="0">
      <w:start w:val="1"/>
      <w:numFmt w:val="upperLetter"/>
      <w:pStyle w:val="3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4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42"/>
      <w:suff w:val="nothing"/>
      <w:lvlText w:val="%1.%2.%3　"/>
      <w:lvlJc w:val="left"/>
      <w:pPr>
        <w:ind w:left="0" w:firstLine="0"/>
      </w:pPr>
      <w:rPr>
        <w:rFonts w:hint="eastAsia" w:ascii="黑体" w:hAnsi="Times New Roman" w:eastAsia="黑体"/>
        <w:b w:val="0"/>
        <w:i w:val="0"/>
        <w:sz w:val="21"/>
      </w:rPr>
    </w:lvl>
    <w:lvl w:ilvl="3" w:tentative="0">
      <w:start w:val="1"/>
      <w:numFmt w:val="decimal"/>
      <w:pStyle w:val="37"/>
      <w:suff w:val="nothing"/>
      <w:lvlText w:val="%1.%2.%3.%4　"/>
      <w:lvlJc w:val="left"/>
      <w:pPr>
        <w:ind w:left="0" w:firstLine="0"/>
      </w:pPr>
      <w:rPr>
        <w:rFonts w:hint="eastAsia" w:ascii="黑体" w:hAnsi="Times New Roman" w:eastAsia="黑体"/>
        <w:b w:val="0"/>
        <w:i w:val="0"/>
        <w:sz w:val="21"/>
      </w:rPr>
    </w:lvl>
    <w:lvl w:ilvl="4" w:tentative="0">
      <w:start w:val="1"/>
      <w:numFmt w:val="decimal"/>
      <w:pStyle w:val="38"/>
      <w:suff w:val="nothing"/>
      <w:lvlText w:val="%1.%2.%3.%4.%5　"/>
      <w:lvlJc w:val="left"/>
      <w:pPr>
        <w:ind w:left="0" w:firstLine="0"/>
      </w:pPr>
      <w:rPr>
        <w:rFonts w:hint="eastAsia" w:ascii="黑体" w:hAnsi="Times New Roman" w:eastAsia="黑体"/>
        <w:b w:val="0"/>
        <w:i w:val="0"/>
        <w:sz w:val="21"/>
      </w:rPr>
    </w:lvl>
    <w:lvl w:ilvl="5" w:tentative="0">
      <w:start w:val="1"/>
      <w:numFmt w:val="decimal"/>
      <w:pStyle w:val="39"/>
      <w:suff w:val="nothing"/>
      <w:lvlText w:val="%1.%2.%3.%4.%5.%6　"/>
      <w:lvlJc w:val="left"/>
      <w:pPr>
        <w:ind w:left="0" w:firstLine="0"/>
      </w:pPr>
      <w:rPr>
        <w:rFonts w:hint="eastAsia" w:ascii="黑体" w:hAnsi="Times New Roman" w:eastAsia="黑体"/>
        <w:b w:val="0"/>
        <w:i w:val="0"/>
        <w:sz w:val="21"/>
      </w:rPr>
    </w:lvl>
    <w:lvl w:ilvl="6" w:tentative="0">
      <w:start w:val="1"/>
      <w:numFmt w:val="decimal"/>
      <w:pStyle w:val="4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
  </w:num>
  <w:num w:numId="2">
    <w:abstractNumId w:val="2"/>
  </w:num>
  <w:num w:numId="3">
    <w:abstractNumId w:val="6"/>
  </w:num>
  <w:num w:numId="4">
    <w:abstractNumId w:val="4"/>
  </w:num>
  <w:num w:numId="5">
    <w:abstractNumId w:val="7"/>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NDk3ZWFkNmRhNWE5ODMzNzE5OTQxMTA3M2NjZDkifQ=="/>
  </w:docVars>
  <w:rsids>
    <w:rsidRoot w:val="00D8619E"/>
    <w:rsid w:val="00000285"/>
    <w:rsid w:val="0000433E"/>
    <w:rsid w:val="00004378"/>
    <w:rsid w:val="00006F92"/>
    <w:rsid w:val="0000759A"/>
    <w:rsid w:val="0001202C"/>
    <w:rsid w:val="0001386C"/>
    <w:rsid w:val="0001775A"/>
    <w:rsid w:val="00021C2F"/>
    <w:rsid w:val="00030427"/>
    <w:rsid w:val="00040054"/>
    <w:rsid w:val="0004378C"/>
    <w:rsid w:val="00045FA0"/>
    <w:rsid w:val="000607CD"/>
    <w:rsid w:val="0007225F"/>
    <w:rsid w:val="000761DE"/>
    <w:rsid w:val="00076E6E"/>
    <w:rsid w:val="0008318E"/>
    <w:rsid w:val="00085F50"/>
    <w:rsid w:val="00093370"/>
    <w:rsid w:val="000A208E"/>
    <w:rsid w:val="000A3D99"/>
    <w:rsid w:val="000A71E0"/>
    <w:rsid w:val="000B4590"/>
    <w:rsid w:val="000B5A1A"/>
    <w:rsid w:val="000B6E78"/>
    <w:rsid w:val="000C6096"/>
    <w:rsid w:val="000D6F12"/>
    <w:rsid w:val="000E40CA"/>
    <w:rsid w:val="001030C9"/>
    <w:rsid w:val="00105CE0"/>
    <w:rsid w:val="00113BDA"/>
    <w:rsid w:val="00113FA7"/>
    <w:rsid w:val="001148C8"/>
    <w:rsid w:val="001311B0"/>
    <w:rsid w:val="001428FE"/>
    <w:rsid w:val="00144BA2"/>
    <w:rsid w:val="001450FD"/>
    <w:rsid w:val="00151342"/>
    <w:rsid w:val="00151A96"/>
    <w:rsid w:val="001633FA"/>
    <w:rsid w:val="001637E8"/>
    <w:rsid w:val="00164163"/>
    <w:rsid w:val="0016712B"/>
    <w:rsid w:val="0016740C"/>
    <w:rsid w:val="00176C84"/>
    <w:rsid w:val="00185C04"/>
    <w:rsid w:val="001906B5"/>
    <w:rsid w:val="00191CD3"/>
    <w:rsid w:val="001A6305"/>
    <w:rsid w:val="001A631B"/>
    <w:rsid w:val="001B4625"/>
    <w:rsid w:val="001C58A2"/>
    <w:rsid w:val="001C622D"/>
    <w:rsid w:val="001C708C"/>
    <w:rsid w:val="001D2DD3"/>
    <w:rsid w:val="001D763E"/>
    <w:rsid w:val="001E43C4"/>
    <w:rsid w:val="001F1FBE"/>
    <w:rsid w:val="001F623A"/>
    <w:rsid w:val="001F6511"/>
    <w:rsid w:val="00200133"/>
    <w:rsid w:val="00202FC5"/>
    <w:rsid w:val="00203C00"/>
    <w:rsid w:val="00204CAB"/>
    <w:rsid w:val="00207DC8"/>
    <w:rsid w:val="00212D00"/>
    <w:rsid w:val="00216A0A"/>
    <w:rsid w:val="00223320"/>
    <w:rsid w:val="00232987"/>
    <w:rsid w:val="002417FC"/>
    <w:rsid w:val="00241899"/>
    <w:rsid w:val="0024526A"/>
    <w:rsid w:val="002514E6"/>
    <w:rsid w:val="00262D55"/>
    <w:rsid w:val="00263EAA"/>
    <w:rsid w:val="00264A22"/>
    <w:rsid w:val="0026540F"/>
    <w:rsid w:val="002707D1"/>
    <w:rsid w:val="00272468"/>
    <w:rsid w:val="0027452D"/>
    <w:rsid w:val="00284FBF"/>
    <w:rsid w:val="002852E8"/>
    <w:rsid w:val="00291D44"/>
    <w:rsid w:val="00295DBE"/>
    <w:rsid w:val="002B5DB4"/>
    <w:rsid w:val="002B6266"/>
    <w:rsid w:val="002F0006"/>
    <w:rsid w:val="00306F87"/>
    <w:rsid w:val="00317028"/>
    <w:rsid w:val="00326A9D"/>
    <w:rsid w:val="00327539"/>
    <w:rsid w:val="00335910"/>
    <w:rsid w:val="0034023D"/>
    <w:rsid w:val="00341AD2"/>
    <w:rsid w:val="00346645"/>
    <w:rsid w:val="00355B71"/>
    <w:rsid w:val="0036034F"/>
    <w:rsid w:val="003622BE"/>
    <w:rsid w:val="00366554"/>
    <w:rsid w:val="003852A1"/>
    <w:rsid w:val="00385EFA"/>
    <w:rsid w:val="00391C62"/>
    <w:rsid w:val="00392655"/>
    <w:rsid w:val="003A0F37"/>
    <w:rsid w:val="003B75F1"/>
    <w:rsid w:val="003B7760"/>
    <w:rsid w:val="003C75C1"/>
    <w:rsid w:val="003C7A48"/>
    <w:rsid w:val="003D1E9F"/>
    <w:rsid w:val="003D280C"/>
    <w:rsid w:val="003D568C"/>
    <w:rsid w:val="003E2E3C"/>
    <w:rsid w:val="003F11A1"/>
    <w:rsid w:val="003F25CA"/>
    <w:rsid w:val="00400404"/>
    <w:rsid w:val="0040591E"/>
    <w:rsid w:val="004143A8"/>
    <w:rsid w:val="00426002"/>
    <w:rsid w:val="00427A6C"/>
    <w:rsid w:val="0043326C"/>
    <w:rsid w:val="004447E1"/>
    <w:rsid w:val="004647EA"/>
    <w:rsid w:val="00466A37"/>
    <w:rsid w:val="004709D0"/>
    <w:rsid w:val="00472299"/>
    <w:rsid w:val="00476FE9"/>
    <w:rsid w:val="00481B0E"/>
    <w:rsid w:val="00496718"/>
    <w:rsid w:val="004972E8"/>
    <w:rsid w:val="004B77D0"/>
    <w:rsid w:val="004C6B0D"/>
    <w:rsid w:val="004D77AA"/>
    <w:rsid w:val="004E2597"/>
    <w:rsid w:val="00501066"/>
    <w:rsid w:val="0051021B"/>
    <w:rsid w:val="00515E37"/>
    <w:rsid w:val="00522C62"/>
    <w:rsid w:val="005334BE"/>
    <w:rsid w:val="0053687B"/>
    <w:rsid w:val="00537DED"/>
    <w:rsid w:val="00540D40"/>
    <w:rsid w:val="00542AD3"/>
    <w:rsid w:val="0055056B"/>
    <w:rsid w:val="00560A52"/>
    <w:rsid w:val="00561C06"/>
    <w:rsid w:val="00576325"/>
    <w:rsid w:val="005768D7"/>
    <w:rsid w:val="005A1F39"/>
    <w:rsid w:val="005A78AB"/>
    <w:rsid w:val="005B1A9E"/>
    <w:rsid w:val="005C168A"/>
    <w:rsid w:val="005C6B41"/>
    <w:rsid w:val="005C76FC"/>
    <w:rsid w:val="005D19B6"/>
    <w:rsid w:val="005D3B9E"/>
    <w:rsid w:val="005D4ADD"/>
    <w:rsid w:val="005F09F7"/>
    <w:rsid w:val="005F4242"/>
    <w:rsid w:val="005F4911"/>
    <w:rsid w:val="0060186D"/>
    <w:rsid w:val="00616786"/>
    <w:rsid w:val="00625011"/>
    <w:rsid w:val="00625732"/>
    <w:rsid w:val="00626573"/>
    <w:rsid w:val="00626A08"/>
    <w:rsid w:val="006312B4"/>
    <w:rsid w:val="006315AF"/>
    <w:rsid w:val="00640F94"/>
    <w:rsid w:val="00644818"/>
    <w:rsid w:val="0065437C"/>
    <w:rsid w:val="00665969"/>
    <w:rsid w:val="0066696C"/>
    <w:rsid w:val="00666E8D"/>
    <w:rsid w:val="00680947"/>
    <w:rsid w:val="00682AB2"/>
    <w:rsid w:val="00684D70"/>
    <w:rsid w:val="006A0A20"/>
    <w:rsid w:val="006A12FA"/>
    <w:rsid w:val="006A391A"/>
    <w:rsid w:val="006A7ADE"/>
    <w:rsid w:val="006C4341"/>
    <w:rsid w:val="006D2363"/>
    <w:rsid w:val="006D6C43"/>
    <w:rsid w:val="006E6FF6"/>
    <w:rsid w:val="006F52C0"/>
    <w:rsid w:val="007032FF"/>
    <w:rsid w:val="00704E3C"/>
    <w:rsid w:val="00710FE7"/>
    <w:rsid w:val="00712DC2"/>
    <w:rsid w:val="007207C9"/>
    <w:rsid w:val="0072316C"/>
    <w:rsid w:val="007427CA"/>
    <w:rsid w:val="00746540"/>
    <w:rsid w:val="007603BA"/>
    <w:rsid w:val="0076458D"/>
    <w:rsid w:val="00776059"/>
    <w:rsid w:val="00777E97"/>
    <w:rsid w:val="00791D8D"/>
    <w:rsid w:val="007945C1"/>
    <w:rsid w:val="00794D08"/>
    <w:rsid w:val="007A53B4"/>
    <w:rsid w:val="007A787E"/>
    <w:rsid w:val="007B1D1B"/>
    <w:rsid w:val="007B584F"/>
    <w:rsid w:val="007C5E19"/>
    <w:rsid w:val="007E021D"/>
    <w:rsid w:val="007F3308"/>
    <w:rsid w:val="00801061"/>
    <w:rsid w:val="0082232A"/>
    <w:rsid w:val="00831F80"/>
    <w:rsid w:val="00844348"/>
    <w:rsid w:val="00850B6E"/>
    <w:rsid w:val="00852A7F"/>
    <w:rsid w:val="008540E3"/>
    <w:rsid w:val="00860144"/>
    <w:rsid w:val="008700FA"/>
    <w:rsid w:val="0087397C"/>
    <w:rsid w:val="0087406E"/>
    <w:rsid w:val="008810E3"/>
    <w:rsid w:val="00887C58"/>
    <w:rsid w:val="00887EBC"/>
    <w:rsid w:val="0089325C"/>
    <w:rsid w:val="008A3E83"/>
    <w:rsid w:val="008A44B9"/>
    <w:rsid w:val="008A5E87"/>
    <w:rsid w:val="008B7C97"/>
    <w:rsid w:val="008C15E0"/>
    <w:rsid w:val="008C4BFB"/>
    <w:rsid w:val="008E5E6A"/>
    <w:rsid w:val="008F13DD"/>
    <w:rsid w:val="008F26F9"/>
    <w:rsid w:val="008F39C4"/>
    <w:rsid w:val="008F456F"/>
    <w:rsid w:val="00903312"/>
    <w:rsid w:val="0090769E"/>
    <w:rsid w:val="009134A9"/>
    <w:rsid w:val="0092085C"/>
    <w:rsid w:val="00920C39"/>
    <w:rsid w:val="00921449"/>
    <w:rsid w:val="00925792"/>
    <w:rsid w:val="0092586E"/>
    <w:rsid w:val="00942CD7"/>
    <w:rsid w:val="00946732"/>
    <w:rsid w:val="00964006"/>
    <w:rsid w:val="00973B86"/>
    <w:rsid w:val="00975ECD"/>
    <w:rsid w:val="0098401F"/>
    <w:rsid w:val="0099131C"/>
    <w:rsid w:val="009A019C"/>
    <w:rsid w:val="009A4FE1"/>
    <w:rsid w:val="009A7AA8"/>
    <w:rsid w:val="009D39EE"/>
    <w:rsid w:val="009E502E"/>
    <w:rsid w:val="00A00B99"/>
    <w:rsid w:val="00A12F6C"/>
    <w:rsid w:val="00A25AB1"/>
    <w:rsid w:val="00A26D8C"/>
    <w:rsid w:val="00A31AE7"/>
    <w:rsid w:val="00A33FE4"/>
    <w:rsid w:val="00A407DC"/>
    <w:rsid w:val="00A46016"/>
    <w:rsid w:val="00A53D32"/>
    <w:rsid w:val="00A56B65"/>
    <w:rsid w:val="00A61FA5"/>
    <w:rsid w:val="00A6608E"/>
    <w:rsid w:val="00A74C34"/>
    <w:rsid w:val="00A752F2"/>
    <w:rsid w:val="00AA1D76"/>
    <w:rsid w:val="00AA5898"/>
    <w:rsid w:val="00AB06D8"/>
    <w:rsid w:val="00AC5D41"/>
    <w:rsid w:val="00AF5316"/>
    <w:rsid w:val="00AF6CAE"/>
    <w:rsid w:val="00B13813"/>
    <w:rsid w:val="00B15CC8"/>
    <w:rsid w:val="00B21A06"/>
    <w:rsid w:val="00B21E5E"/>
    <w:rsid w:val="00B21E80"/>
    <w:rsid w:val="00B31BD9"/>
    <w:rsid w:val="00B36E94"/>
    <w:rsid w:val="00B46E22"/>
    <w:rsid w:val="00B47F73"/>
    <w:rsid w:val="00B50E51"/>
    <w:rsid w:val="00B548A1"/>
    <w:rsid w:val="00B554BB"/>
    <w:rsid w:val="00B57699"/>
    <w:rsid w:val="00B578C7"/>
    <w:rsid w:val="00B66964"/>
    <w:rsid w:val="00B80F94"/>
    <w:rsid w:val="00B823E9"/>
    <w:rsid w:val="00B86822"/>
    <w:rsid w:val="00B87AA8"/>
    <w:rsid w:val="00B93238"/>
    <w:rsid w:val="00BA0804"/>
    <w:rsid w:val="00BA0948"/>
    <w:rsid w:val="00BA0A5B"/>
    <w:rsid w:val="00BA6965"/>
    <w:rsid w:val="00BB02DB"/>
    <w:rsid w:val="00BB2692"/>
    <w:rsid w:val="00BB3FE9"/>
    <w:rsid w:val="00BC4956"/>
    <w:rsid w:val="00BE61FF"/>
    <w:rsid w:val="00BF1428"/>
    <w:rsid w:val="00C0272C"/>
    <w:rsid w:val="00C06A10"/>
    <w:rsid w:val="00C17A3C"/>
    <w:rsid w:val="00C20869"/>
    <w:rsid w:val="00C44A34"/>
    <w:rsid w:val="00C51222"/>
    <w:rsid w:val="00C545AF"/>
    <w:rsid w:val="00C5705A"/>
    <w:rsid w:val="00C662BB"/>
    <w:rsid w:val="00C666C8"/>
    <w:rsid w:val="00C66FCB"/>
    <w:rsid w:val="00C75692"/>
    <w:rsid w:val="00C80CF8"/>
    <w:rsid w:val="00C815D8"/>
    <w:rsid w:val="00C82655"/>
    <w:rsid w:val="00CA6F08"/>
    <w:rsid w:val="00CB021B"/>
    <w:rsid w:val="00CB387D"/>
    <w:rsid w:val="00CD056D"/>
    <w:rsid w:val="00CD10C0"/>
    <w:rsid w:val="00CE3E29"/>
    <w:rsid w:val="00CF6EE7"/>
    <w:rsid w:val="00CF778C"/>
    <w:rsid w:val="00D0209C"/>
    <w:rsid w:val="00D11797"/>
    <w:rsid w:val="00D141F4"/>
    <w:rsid w:val="00D24914"/>
    <w:rsid w:val="00D310CE"/>
    <w:rsid w:val="00D33B6D"/>
    <w:rsid w:val="00D34546"/>
    <w:rsid w:val="00D352F2"/>
    <w:rsid w:val="00D35711"/>
    <w:rsid w:val="00D35DBB"/>
    <w:rsid w:val="00D42841"/>
    <w:rsid w:val="00D4489A"/>
    <w:rsid w:val="00D52291"/>
    <w:rsid w:val="00D64043"/>
    <w:rsid w:val="00D67943"/>
    <w:rsid w:val="00D817FC"/>
    <w:rsid w:val="00D8619E"/>
    <w:rsid w:val="00D91C1F"/>
    <w:rsid w:val="00DA20F0"/>
    <w:rsid w:val="00DA3946"/>
    <w:rsid w:val="00DC217C"/>
    <w:rsid w:val="00DC77F9"/>
    <w:rsid w:val="00DE4E99"/>
    <w:rsid w:val="00DF4F0D"/>
    <w:rsid w:val="00E03AE0"/>
    <w:rsid w:val="00E0417B"/>
    <w:rsid w:val="00E06687"/>
    <w:rsid w:val="00E06CC0"/>
    <w:rsid w:val="00E143E5"/>
    <w:rsid w:val="00E15E51"/>
    <w:rsid w:val="00E226DE"/>
    <w:rsid w:val="00E231FD"/>
    <w:rsid w:val="00E23411"/>
    <w:rsid w:val="00E23A31"/>
    <w:rsid w:val="00E27D4F"/>
    <w:rsid w:val="00E41CC2"/>
    <w:rsid w:val="00E44DF7"/>
    <w:rsid w:val="00E53168"/>
    <w:rsid w:val="00E54AE0"/>
    <w:rsid w:val="00E55732"/>
    <w:rsid w:val="00E70A21"/>
    <w:rsid w:val="00E7701A"/>
    <w:rsid w:val="00E805DF"/>
    <w:rsid w:val="00E915DC"/>
    <w:rsid w:val="00EB4F7F"/>
    <w:rsid w:val="00EC2216"/>
    <w:rsid w:val="00EC5ABC"/>
    <w:rsid w:val="00ED0059"/>
    <w:rsid w:val="00ED0FB1"/>
    <w:rsid w:val="00ED29A3"/>
    <w:rsid w:val="00ED3196"/>
    <w:rsid w:val="00ED4464"/>
    <w:rsid w:val="00ED4702"/>
    <w:rsid w:val="00EE4881"/>
    <w:rsid w:val="00EF270E"/>
    <w:rsid w:val="00F01D52"/>
    <w:rsid w:val="00F02F2D"/>
    <w:rsid w:val="00F047D0"/>
    <w:rsid w:val="00F04843"/>
    <w:rsid w:val="00F057A0"/>
    <w:rsid w:val="00F151D7"/>
    <w:rsid w:val="00F23DBF"/>
    <w:rsid w:val="00F33B1E"/>
    <w:rsid w:val="00F37D0E"/>
    <w:rsid w:val="00F409FA"/>
    <w:rsid w:val="00F416BD"/>
    <w:rsid w:val="00F53691"/>
    <w:rsid w:val="00F76363"/>
    <w:rsid w:val="00F83456"/>
    <w:rsid w:val="00FA15B3"/>
    <w:rsid w:val="00FA3A6E"/>
    <w:rsid w:val="00FB12D9"/>
    <w:rsid w:val="00FC6889"/>
    <w:rsid w:val="00FD2B93"/>
    <w:rsid w:val="00FE17F6"/>
    <w:rsid w:val="00FE2DFB"/>
    <w:rsid w:val="00FE30F1"/>
    <w:rsid w:val="00FE68C9"/>
    <w:rsid w:val="00FE6E8B"/>
    <w:rsid w:val="00FE7E9E"/>
    <w:rsid w:val="00FF5909"/>
    <w:rsid w:val="6F8D5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1"/>
    <w:qFormat/>
    <w:uiPriority w:val="0"/>
    <w:pPr>
      <w:jc w:val="left"/>
    </w:pPr>
  </w:style>
  <w:style w:type="paragraph" w:styleId="3">
    <w:name w:val="Body Text"/>
    <w:basedOn w:val="1"/>
    <w:link w:val="19"/>
    <w:semiHidden/>
    <w:unhideWhenUsed/>
    <w:qFormat/>
    <w:uiPriority w:val="99"/>
    <w:pPr>
      <w:spacing w:after="120"/>
    </w:pPr>
  </w:style>
  <w:style w:type="paragraph" w:styleId="4">
    <w:name w:val="Balloon Text"/>
    <w:basedOn w:val="1"/>
    <w:link w:val="22"/>
    <w:semiHidden/>
    <w:unhideWhenUsed/>
    <w:qFormat/>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35"/>
    <w:semiHidden/>
    <w:unhideWhenUsed/>
    <w:qFormat/>
    <w:uiPriority w:val="99"/>
    <w:rPr>
      <w:b/>
      <w:bCs/>
    </w:rPr>
  </w:style>
  <w:style w:type="paragraph" w:styleId="8">
    <w:name w:val="Body Text First Indent"/>
    <w:basedOn w:val="3"/>
    <w:link w:val="20"/>
    <w:qFormat/>
    <w:uiPriority w:val="0"/>
    <w:pPr>
      <w:adjustRightInd w:val="0"/>
      <w:spacing w:after="0" w:line="240" w:lineRule="atLeast"/>
      <w:jc w:val="left"/>
      <w:textAlignment w:val="baseline"/>
    </w:pPr>
    <w:rPr>
      <w:rFonts w:ascii="宋体" w:hAnsi="宋体"/>
      <w:color w:val="000000"/>
      <w:kern w:val="0"/>
      <w:szCs w:val="20"/>
    </w:rPr>
  </w:style>
  <w:style w:type="table" w:styleId="10">
    <w:name w:val="Table Grid"/>
    <w:basedOn w:val="9"/>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annotation reference"/>
    <w:basedOn w:val="11"/>
    <w:qFormat/>
    <w:uiPriority w:val="0"/>
    <w:rPr>
      <w:sz w:val="21"/>
      <w:szCs w:val="21"/>
    </w:rPr>
  </w:style>
  <w:style w:type="character" w:customStyle="1" w:styleId="13">
    <w:name w:val="页眉 字符"/>
    <w:basedOn w:val="11"/>
    <w:link w:val="6"/>
    <w:semiHidden/>
    <w:uiPriority w:val="99"/>
    <w:rPr>
      <w:sz w:val="18"/>
      <w:szCs w:val="18"/>
    </w:rPr>
  </w:style>
  <w:style w:type="character" w:customStyle="1" w:styleId="14">
    <w:name w:val="页脚 字符"/>
    <w:basedOn w:val="11"/>
    <w:link w:val="5"/>
    <w:qFormat/>
    <w:uiPriority w:val="99"/>
    <w:rPr>
      <w:sz w:val="18"/>
      <w:szCs w:val="18"/>
    </w:rPr>
  </w:style>
  <w:style w:type="paragraph" w:customStyle="1" w:styleId="15">
    <w:name w:val="段"/>
    <w:link w:val="1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6">
    <w:name w:val="段 Char"/>
    <w:basedOn w:val="11"/>
    <w:link w:val="15"/>
    <w:qFormat/>
    <w:uiPriority w:val="0"/>
    <w:rPr>
      <w:rFonts w:ascii="宋体" w:hAnsi="Times New Roman"/>
      <w:sz w:val="21"/>
      <w:lang w:val="en-US" w:eastAsia="zh-CN" w:bidi="ar-SA"/>
    </w:rPr>
  </w:style>
  <w:style w:type="paragraph" w:customStyle="1" w:styleId="1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character" w:customStyle="1" w:styleId="19">
    <w:name w:val="正文文本 字符"/>
    <w:basedOn w:val="11"/>
    <w:link w:val="3"/>
    <w:semiHidden/>
    <w:qFormat/>
    <w:uiPriority w:val="99"/>
    <w:rPr>
      <w:rFonts w:ascii="Times New Roman" w:hAnsi="Times New Roman"/>
      <w:kern w:val="2"/>
      <w:sz w:val="21"/>
      <w:szCs w:val="24"/>
    </w:rPr>
  </w:style>
  <w:style w:type="character" w:customStyle="1" w:styleId="20">
    <w:name w:val="正文首行缩进 字符"/>
    <w:basedOn w:val="19"/>
    <w:link w:val="8"/>
    <w:qFormat/>
    <w:uiPriority w:val="0"/>
    <w:rPr>
      <w:rFonts w:ascii="宋体" w:hAnsi="宋体"/>
      <w:color w:val="000000"/>
      <w:kern w:val="2"/>
      <w:sz w:val="21"/>
      <w:szCs w:val="24"/>
    </w:rPr>
  </w:style>
  <w:style w:type="character" w:customStyle="1" w:styleId="21">
    <w:name w:val="批注文字 字符"/>
    <w:basedOn w:val="11"/>
    <w:link w:val="2"/>
    <w:qFormat/>
    <w:uiPriority w:val="0"/>
    <w:rPr>
      <w:rFonts w:ascii="Times New Roman" w:hAnsi="Times New Roman"/>
      <w:kern w:val="2"/>
      <w:sz w:val="21"/>
      <w:szCs w:val="24"/>
    </w:rPr>
  </w:style>
  <w:style w:type="character" w:customStyle="1" w:styleId="22">
    <w:name w:val="批注框文本 字符"/>
    <w:basedOn w:val="11"/>
    <w:link w:val="4"/>
    <w:semiHidden/>
    <w:qFormat/>
    <w:uiPriority w:val="99"/>
    <w:rPr>
      <w:rFonts w:ascii="Times New Roman" w:hAnsi="Times New Roman"/>
      <w:kern w:val="2"/>
      <w:sz w:val="18"/>
      <w:szCs w:val="18"/>
    </w:rPr>
  </w:style>
  <w:style w:type="paragraph" w:customStyle="1" w:styleId="23">
    <w:name w:val="一级条标题"/>
    <w:basedOn w:val="1"/>
    <w:next w:val="15"/>
    <w:link w:val="24"/>
    <w:qFormat/>
    <w:uiPriority w:val="0"/>
    <w:pPr>
      <w:widowControl/>
      <w:outlineLvl w:val="2"/>
    </w:pPr>
    <w:rPr>
      <w:rFonts w:ascii="黑体" w:eastAsia="黑体"/>
      <w:kern w:val="0"/>
      <w:szCs w:val="20"/>
      <w:lang w:val="zh-CN" w:eastAsia="zh-CN"/>
    </w:rPr>
  </w:style>
  <w:style w:type="character" w:customStyle="1" w:styleId="24">
    <w:name w:val="一级条标题 Char"/>
    <w:link w:val="23"/>
    <w:qFormat/>
    <w:uiPriority w:val="0"/>
    <w:rPr>
      <w:rFonts w:ascii="黑体" w:hAnsi="Times New Roman" w:eastAsia="黑体"/>
      <w:sz w:val="21"/>
      <w:lang w:val="zh-CN" w:eastAsia="zh-CN"/>
    </w:rPr>
  </w:style>
  <w:style w:type="paragraph" w:customStyle="1" w:styleId="25">
    <w:name w:val="章标题"/>
    <w:next w:val="15"/>
    <w:link w:val="26"/>
    <w:qFormat/>
    <w:uiPriority w:val="0"/>
    <w:pPr>
      <w:spacing w:before="156" w:beforeLines="50" w:after="156" w:afterLines="50"/>
      <w:jc w:val="both"/>
      <w:outlineLvl w:val="1"/>
    </w:pPr>
    <w:rPr>
      <w:rFonts w:ascii="黑体" w:hAnsi="Times New Roman" w:eastAsia="黑体" w:cs="Times New Roman"/>
      <w:sz w:val="21"/>
      <w:lang w:val="en-US" w:eastAsia="zh-CN" w:bidi="ar-SA"/>
    </w:rPr>
  </w:style>
  <w:style w:type="character" w:customStyle="1" w:styleId="26">
    <w:name w:val="章标题 Char"/>
    <w:link w:val="25"/>
    <w:qFormat/>
    <w:uiPriority w:val="0"/>
    <w:rPr>
      <w:rFonts w:ascii="黑体" w:hAnsi="Times New Roman" w:eastAsia="黑体"/>
      <w:sz w:val="21"/>
      <w:lang w:bidi="ar-SA"/>
    </w:rPr>
  </w:style>
  <w:style w:type="paragraph" w:customStyle="1" w:styleId="27">
    <w:name w:val="注：（正文）"/>
    <w:basedOn w:val="1"/>
    <w:next w:val="15"/>
    <w:qFormat/>
    <w:uiPriority w:val="0"/>
    <w:pPr>
      <w:numPr>
        <w:ilvl w:val="0"/>
        <w:numId w:val="1"/>
      </w:numPr>
      <w:autoSpaceDE w:val="0"/>
      <w:autoSpaceDN w:val="0"/>
      <w:ind w:left="726"/>
    </w:pPr>
    <w:rPr>
      <w:rFonts w:ascii="宋体"/>
      <w:kern w:val="0"/>
      <w:sz w:val="18"/>
      <w:szCs w:val="18"/>
    </w:rPr>
  </w:style>
  <w:style w:type="paragraph" w:customStyle="1" w:styleId="28">
    <w:name w:val="正文表标题"/>
    <w:next w:val="15"/>
    <w:qFormat/>
    <w:uiPriority w:val="0"/>
    <w:pPr>
      <w:numPr>
        <w:ilvl w:val="0"/>
        <w:numId w:val="2"/>
      </w:numPr>
      <w:spacing w:before="156" w:beforeLines="50" w:after="156" w:afterLines="50"/>
      <w:jc w:val="center"/>
    </w:pPr>
    <w:rPr>
      <w:rFonts w:ascii="黑体" w:hAnsi="Times New Roman" w:eastAsia="黑体" w:cs="Times New Roman"/>
      <w:sz w:val="21"/>
      <w:lang w:val="en-US" w:eastAsia="zh-CN" w:bidi="ar-SA"/>
    </w:rPr>
  </w:style>
  <w:style w:type="paragraph" w:customStyle="1" w:styleId="29">
    <w:name w:val="正文图标题"/>
    <w:next w:val="15"/>
    <w:qFormat/>
    <w:uiPriority w:val="0"/>
    <w:pPr>
      <w:numPr>
        <w:ilvl w:val="0"/>
        <w:numId w:val="3"/>
      </w:numPr>
      <w:tabs>
        <w:tab w:val="left" w:pos="360"/>
      </w:tabs>
      <w:spacing w:before="156" w:beforeLines="50" w:after="156" w:afterLines="50"/>
      <w:ind w:left="0"/>
      <w:jc w:val="center"/>
    </w:pPr>
    <w:rPr>
      <w:rFonts w:ascii="黑体" w:hAnsi="Times New Roman" w:eastAsia="黑体" w:cs="Times New Roman"/>
      <w:sz w:val="21"/>
      <w:lang w:val="en-US" w:eastAsia="zh-CN" w:bidi="ar-SA"/>
    </w:rPr>
  </w:style>
  <w:style w:type="paragraph" w:customStyle="1" w:styleId="30">
    <w:name w:val="其他发布日期"/>
    <w:basedOn w:val="1"/>
    <w:qFormat/>
    <w:uiPriority w:val="0"/>
    <w:pPr>
      <w:framePr w:w="3997" w:h="471" w:hRule="exact" w:vSpace="181" w:wrap="around" w:vAnchor="page" w:hAnchor="page" w:x="1419" w:y="14097" w:anchorLock="1"/>
      <w:widowControl/>
      <w:numPr>
        <w:ilvl w:val="0"/>
        <w:numId w:val="4"/>
      </w:numPr>
      <w:jc w:val="left"/>
    </w:pPr>
    <w:rPr>
      <w:rFonts w:eastAsia="黑体"/>
      <w:kern w:val="0"/>
      <w:sz w:val="28"/>
      <w:szCs w:val="20"/>
    </w:rPr>
  </w:style>
  <w:style w:type="paragraph" w:customStyle="1" w:styleId="31">
    <w:name w:val="二级条标题"/>
    <w:basedOn w:val="23"/>
    <w:next w:val="15"/>
    <w:qFormat/>
    <w:uiPriority w:val="0"/>
    <w:pPr>
      <w:spacing w:before="50" w:beforeLines="50" w:after="50" w:afterLines="50"/>
      <w:jc w:val="left"/>
      <w:outlineLvl w:val="3"/>
    </w:pPr>
    <w:rPr>
      <w:szCs w:val="21"/>
      <w:lang w:val="en-US" w:eastAsia="zh-CN"/>
    </w:rPr>
  </w:style>
  <w:style w:type="paragraph" w:customStyle="1" w:styleId="32">
    <w:name w:val="三级条标题"/>
    <w:basedOn w:val="31"/>
    <w:next w:val="15"/>
    <w:qFormat/>
    <w:uiPriority w:val="0"/>
    <w:pPr>
      <w:outlineLvl w:val="4"/>
    </w:pPr>
  </w:style>
  <w:style w:type="paragraph" w:customStyle="1" w:styleId="33">
    <w:name w:val="四级条标题"/>
    <w:basedOn w:val="32"/>
    <w:next w:val="15"/>
    <w:qFormat/>
    <w:uiPriority w:val="0"/>
    <w:pPr>
      <w:outlineLvl w:val="5"/>
    </w:pPr>
  </w:style>
  <w:style w:type="paragraph" w:customStyle="1" w:styleId="34">
    <w:name w:val="五级条标题"/>
    <w:basedOn w:val="33"/>
    <w:next w:val="15"/>
    <w:uiPriority w:val="0"/>
    <w:pPr>
      <w:outlineLvl w:val="6"/>
    </w:pPr>
  </w:style>
  <w:style w:type="character" w:customStyle="1" w:styleId="35">
    <w:name w:val="批注主题 字符"/>
    <w:basedOn w:val="21"/>
    <w:link w:val="7"/>
    <w:semiHidden/>
    <w:qFormat/>
    <w:uiPriority w:val="99"/>
    <w:rPr>
      <w:rFonts w:ascii="Times New Roman" w:hAnsi="Times New Roman"/>
      <w:b/>
      <w:bCs/>
      <w:kern w:val="2"/>
      <w:sz w:val="21"/>
      <w:szCs w:val="24"/>
    </w:rPr>
  </w:style>
  <w:style w:type="paragraph" w:customStyle="1" w:styleId="36">
    <w:name w:val="附录标识"/>
    <w:basedOn w:val="1"/>
    <w:next w:val="15"/>
    <w:qFormat/>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37">
    <w:name w:val="附录二级条标题"/>
    <w:basedOn w:val="1"/>
    <w:next w:val="15"/>
    <w:qFormat/>
    <w:uiPriority w:val="0"/>
    <w:pPr>
      <w:widowControl/>
      <w:numPr>
        <w:ilvl w:val="3"/>
        <w:numId w:val="5"/>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38">
    <w:name w:val="附录三级条标题"/>
    <w:basedOn w:val="37"/>
    <w:next w:val="15"/>
    <w:uiPriority w:val="0"/>
    <w:pPr>
      <w:numPr>
        <w:ilvl w:val="4"/>
      </w:numPr>
      <w:outlineLvl w:val="4"/>
    </w:pPr>
  </w:style>
  <w:style w:type="paragraph" w:customStyle="1" w:styleId="39">
    <w:name w:val="附录四级条标题"/>
    <w:basedOn w:val="38"/>
    <w:next w:val="15"/>
    <w:qFormat/>
    <w:uiPriority w:val="0"/>
    <w:pPr>
      <w:numPr>
        <w:ilvl w:val="5"/>
      </w:numPr>
      <w:outlineLvl w:val="5"/>
    </w:pPr>
  </w:style>
  <w:style w:type="paragraph" w:customStyle="1" w:styleId="40">
    <w:name w:val="附录五级条标题"/>
    <w:basedOn w:val="39"/>
    <w:next w:val="15"/>
    <w:qFormat/>
    <w:uiPriority w:val="0"/>
    <w:pPr>
      <w:numPr>
        <w:ilvl w:val="6"/>
      </w:numPr>
      <w:outlineLvl w:val="6"/>
    </w:pPr>
  </w:style>
  <w:style w:type="paragraph" w:customStyle="1" w:styleId="41">
    <w:name w:val="附录章标题"/>
    <w:next w:val="15"/>
    <w:qFormat/>
    <w:uiPriority w:val="0"/>
    <w:pPr>
      <w:numPr>
        <w:ilvl w:val="1"/>
        <w:numId w:val="5"/>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42">
    <w:name w:val="附录一级条标题"/>
    <w:basedOn w:val="41"/>
    <w:next w:val="15"/>
    <w:qFormat/>
    <w:uiPriority w:val="0"/>
    <w:pPr>
      <w:numPr>
        <w:ilvl w:val="2"/>
      </w:numPr>
      <w:autoSpaceDN w:val="0"/>
      <w:spacing w:before="50" w:beforeLines="50" w:after="50" w:afterLines="50"/>
      <w:outlineLvl w:val="2"/>
    </w:pPr>
  </w:style>
  <w:style w:type="paragraph" w:styleId="4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4241</Words>
  <Characters>4664</Characters>
  <Lines>33</Lines>
  <Paragraphs>9</Paragraphs>
  <TotalTime>306</TotalTime>
  <ScaleCrop>false</ScaleCrop>
  <LinksUpToDate>false</LinksUpToDate>
  <CharactersWithSpaces>4691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2024-03-14T06:22:00Z</dcterms:created>
  <dc:creator>Administrator</dc:creator>
  <cp:lastModifiedBy>素素</cp:lastModifiedBy>
  <cp:lastPrinted>2015-12-11T05:07:00Z</cp:lastPrinted>
  <dcterms:modified xsi:type="dcterms:W3CDTF">2024-09-18T02:35:07Z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6D681F0C4A4F4B5DA926D043946996D7_12</vt:lpwstr>
  </property>
</Properties>
</file>