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color w:val="000000"/>
          <w:sz w:val="44"/>
          <w:szCs w:val="44"/>
          <w:highlight w:val="none"/>
        </w:rPr>
      </w:pPr>
    </w:p>
    <w:p>
      <w:pPr>
        <w:spacing w:line="360" w:lineRule="auto"/>
        <w:jc w:val="center"/>
        <w:rPr>
          <w:rFonts w:hint="eastAsia" w:asciiTheme="minorEastAsia" w:hAnsiTheme="minorEastAsia" w:eastAsiaTheme="minorEastAsia" w:cstheme="minorEastAsia"/>
          <w:b/>
          <w:bCs w:val="0"/>
          <w:color w:val="000000"/>
          <w:sz w:val="52"/>
          <w:szCs w:val="52"/>
          <w:highlight w:val="none"/>
          <w:lang w:val="en-US" w:eastAsia="zh-CN"/>
        </w:rPr>
      </w:pPr>
    </w:p>
    <w:p>
      <w:pPr>
        <w:spacing w:line="360" w:lineRule="auto"/>
        <w:ind w:firstLine="0" w:firstLineChars="0"/>
        <w:jc w:val="center"/>
        <w:rPr>
          <w:rFonts w:hint="eastAsia" w:asciiTheme="minorEastAsia" w:hAnsiTheme="minorEastAsia" w:eastAsiaTheme="minorEastAsia" w:cstheme="minorEastAsia"/>
          <w:b/>
          <w:bCs w:val="0"/>
          <w:color w:val="000000"/>
          <w:sz w:val="52"/>
          <w:szCs w:val="52"/>
          <w:highlight w:val="none"/>
          <w:lang w:val="en-US" w:eastAsia="zh-CN"/>
        </w:rPr>
      </w:pPr>
      <w:r>
        <w:rPr>
          <w:rFonts w:hint="eastAsia" w:asciiTheme="minorEastAsia" w:hAnsiTheme="minorEastAsia" w:eastAsiaTheme="minorEastAsia" w:cstheme="minorEastAsia"/>
          <w:b/>
          <w:bCs w:val="0"/>
          <w:color w:val="000000"/>
          <w:sz w:val="52"/>
          <w:szCs w:val="52"/>
          <w:highlight w:val="none"/>
          <w:lang w:val="en-US" w:eastAsia="zh-CN"/>
        </w:rPr>
        <w:t>行业标准</w:t>
      </w:r>
    </w:p>
    <w:p>
      <w:pPr>
        <w:spacing w:line="360" w:lineRule="auto"/>
        <w:ind w:firstLine="0" w:firstLineChars="0"/>
        <w:jc w:val="both"/>
        <w:rPr>
          <w:rFonts w:hint="eastAsia" w:asciiTheme="minorEastAsia" w:hAnsiTheme="minorEastAsia" w:eastAsiaTheme="minorEastAsia" w:cstheme="minorEastAsia"/>
          <w:b/>
          <w:bCs w:val="0"/>
          <w:color w:val="000000"/>
          <w:sz w:val="52"/>
          <w:szCs w:val="52"/>
          <w:highlight w:val="none"/>
          <w:lang w:val="en-US" w:eastAsia="zh-CN"/>
        </w:rPr>
      </w:pPr>
      <w:r>
        <w:rPr>
          <w:rFonts w:hint="eastAsia" w:asciiTheme="minorEastAsia" w:hAnsiTheme="minorEastAsia" w:cstheme="minorEastAsia"/>
          <w:b/>
          <w:color w:val="000000"/>
          <w:sz w:val="52"/>
          <w:szCs w:val="52"/>
          <w:highlight w:val="none"/>
          <w:lang w:val="en-US" w:eastAsia="zh-CN"/>
        </w:rPr>
        <w:t>《</w:t>
      </w:r>
      <w:r>
        <w:rPr>
          <w:rFonts w:hint="eastAsia" w:asciiTheme="minorEastAsia" w:hAnsiTheme="minorEastAsia" w:eastAsiaTheme="minorEastAsia" w:cstheme="minorEastAsia"/>
          <w:b/>
          <w:color w:val="000000"/>
          <w:sz w:val="52"/>
          <w:szCs w:val="52"/>
          <w:highlight w:val="none"/>
          <w:lang w:val="en-US" w:eastAsia="zh-CN"/>
        </w:rPr>
        <w:t>丁</w:t>
      </w:r>
      <w:r>
        <w:rPr>
          <w:rFonts w:hint="eastAsia" w:asciiTheme="minorEastAsia" w:hAnsiTheme="minorEastAsia" w:eastAsiaTheme="minorEastAsia" w:cstheme="minorEastAsia"/>
          <w:b/>
          <w:color w:val="000000"/>
          <w:sz w:val="52"/>
          <w:szCs w:val="52"/>
          <w:highlight w:val="none"/>
        </w:rPr>
        <w:t>氧羰基异丁基硫代氨基甲酸酯</w:t>
      </w:r>
      <w:r>
        <w:rPr>
          <w:rFonts w:hint="eastAsia" w:asciiTheme="minorEastAsia" w:hAnsiTheme="minorEastAsia" w:cstheme="minorEastAsia"/>
          <w:b/>
          <w:color w:val="000000"/>
          <w:sz w:val="52"/>
          <w:szCs w:val="52"/>
          <w:highlight w:val="none"/>
          <w:lang w:val="en-US" w:eastAsia="zh-CN"/>
        </w:rPr>
        <w:t>》</w:t>
      </w:r>
    </w:p>
    <w:p>
      <w:pPr>
        <w:spacing w:line="360" w:lineRule="auto"/>
        <w:jc w:val="both"/>
        <w:rPr>
          <w:rFonts w:hint="eastAsia" w:asciiTheme="minorEastAsia" w:hAnsiTheme="minorEastAsia" w:eastAsiaTheme="minorEastAsia" w:cstheme="minorEastAsia"/>
          <w:b/>
          <w:color w:val="000000"/>
          <w:sz w:val="24"/>
          <w:highlight w:val="none"/>
        </w:rPr>
      </w:pPr>
    </w:p>
    <w:p>
      <w:pPr>
        <w:spacing w:line="360" w:lineRule="auto"/>
        <w:jc w:val="center"/>
        <w:rPr>
          <w:rFonts w:hint="eastAsia" w:asciiTheme="minorEastAsia" w:hAnsiTheme="minorEastAsia" w:eastAsiaTheme="minorEastAsia" w:cstheme="minorEastAsia"/>
          <w:b/>
          <w:color w:val="000000"/>
          <w:sz w:val="24"/>
          <w:highlight w:val="none"/>
        </w:rPr>
      </w:pPr>
    </w:p>
    <w:p>
      <w:pPr>
        <w:spacing w:line="360" w:lineRule="auto"/>
        <w:jc w:val="center"/>
        <w:rPr>
          <w:rFonts w:hint="eastAsia" w:asciiTheme="minorEastAsia" w:hAnsiTheme="minorEastAsia" w:eastAsiaTheme="minorEastAsia" w:cstheme="minorEastAsia"/>
          <w:b/>
          <w:color w:val="000000"/>
          <w:sz w:val="24"/>
          <w:highlight w:val="none"/>
        </w:rPr>
      </w:pPr>
    </w:p>
    <w:p>
      <w:pPr>
        <w:spacing w:line="360" w:lineRule="auto"/>
        <w:jc w:val="center"/>
        <w:rPr>
          <w:rFonts w:hint="eastAsia" w:asciiTheme="minorEastAsia" w:hAnsiTheme="minorEastAsia" w:eastAsiaTheme="minorEastAsia" w:cstheme="minorEastAsia"/>
          <w:b/>
          <w:color w:val="000000"/>
          <w:sz w:val="24"/>
          <w:highlight w:val="none"/>
        </w:rPr>
      </w:pPr>
    </w:p>
    <w:p>
      <w:pPr>
        <w:spacing w:line="360" w:lineRule="auto"/>
        <w:ind w:firstLine="0" w:firstLineChars="0"/>
        <w:jc w:val="center"/>
        <w:rPr>
          <w:rFonts w:hint="eastAsia" w:asciiTheme="minorEastAsia" w:hAnsiTheme="minorEastAsia" w:eastAsiaTheme="minorEastAsia" w:cstheme="minorEastAsia"/>
          <w:b/>
          <w:color w:val="000000"/>
          <w:sz w:val="52"/>
          <w:szCs w:val="52"/>
          <w:highlight w:val="none"/>
        </w:rPr>
      </w:pPr>
      <w:r>
        <w:rPr>
          <w:rFonts w:hint="eastAsia" w:asciiTheme="minorEastAsia" w:hAnsiTheme="minorEastAsia" w:eastAsiaTheme="minorEastAsia" w:cstheme="minorEastAsia"/>
          <w:b/>
          <w:color w:val="000000"/>
          <w:sz w:val="52"/>
          <w:szCs w:val="52"/>
          <w:highlight w:val="none"/>
        </w:rPr>
        <w:t>编</w:t>
      </w:r>
    </w:p>
    <w:p>
      <w:pPr>
        <w:spacing w:line="360" w:lineRule="auto"/>
        <w:ind w:firstLine="0" w:firstLineChars="0"/>
        <w:jc w:val="center"/>
        <w:rPr>
          <w:rFonts w:hint="eastAsia" w:asciiTheme="minorEastAsia" w:hAnsiTheme="minorEastAsia" w:eastAsiaTheme="minorEastAsia" w:cstheme="minorEastAsia"/>
          <w:b/>
          <w:color w:val="000000"/>
          <w:sz w:val="52"/>
          <w:szCs w:val="52"/>
          <w:highlight w:val="none"/>
        </w:rPr>
      </w:pPr>
      <w:r>
        <w:rPr>
          <w:rFonts w:hint="eastAsia" w:asciiTheme="minorEastAsia" w:hAnsiTheme="minorEastAsia" w:eastAsiaTheme="minorEastAsia" w:cstheme="minorEastAsia"/>
          <w:b/>
          <w:color w:val="000000"/>
          <w:sz w:val="52"/>
          <w:szCs w:val="52"/>
          <w:highlight w:val="none"/>
        </w:rPr>
        <w:t>制</w:t>
      </w:r>
    </w:p>
    <w:p>
      <w:pPr>
        <w:spacing w:line="360" w:lineRule="auto"/>
        <w:ind w:firstLine="0" w:firstLineChars="0"/>
        <w:jc w:val="center"/>
        <w:rPr>
          <w:rFonts w:hint="eastAsia" w:asciiTheme="minorEastAsia" w:hAnsiTheme="minorEastAsia" w:eastAsiaTheme="minorEastAsia" w:cstheme="minorEastAsia"/>
          <w:b/>
          <w:color w:val="000000"/>
          <w:sz w:val="52"/>
          <w:szCs w:val="52"/>
          <w:highlight w:val="none"/>
        </w:rPr>
      </w:pPr>
      <w:r>
        <w:rPr>
          <w:rFonts w:hint="eastAsia" w:asciiTheme="minorEastAsia" w:hAnsiTheme="minorEastAsia" w:eastAsiaTheme="minorEastAsia" w:cstheme="minorEastAsia"/>
          <w:b/>
          <w:color w:val="000000"/>
          <w:sz w:val="52"/>
          <w:szCs w:val="52"/>
          <w:highlight w:val="none"/>
        </w:rPr>
        <w:t>说</w:t>
      </w:r>
    </w:p>
    <w:p>
      <w:pPr>
        <w:spacing w:line="360" w:lineRule="auto"/>
        <w:ind w:firstLine="0" w:firstLineChars="0"/>
        <w:jc w:val="center"/>
        <w:rPr>
          <w:rFonts w:hint="eastAsia" w:asciiTheme="minorEastAsia" w:hAnsiTheme="minorEastAsia" w:eastAsiaTheme="minorEastAsia" w:cstheme="minorEastAsia"/>
          <w:b/>
          <w:color w:val="000000"/>
          <w:sz w:val="52"/>
          <w:szCs w:val="52"/>
          <w:highlight w:val="none"/>
        </w:rPr>
      </w:pPr>
      <w:r>
        <w:rPr>
          <w:rFonts w:hint="eastAsia" w:asciiTheme="minorEastAsia" w:hAnsiTheme="minorEastAsia" w:eastAsiaTheme="minorEastAsia" w:cstheme="minorEastAsia"/>
          <w:b/>
          <w:color w:val="000000"/>
          <w:sz w:val="52"/>
          <w:szCs w:val="52"/>
          <w:highlight w:val="none"/>
        </w:rPr>
        <w:t>明</w:t>
      </w:r>
    </w:p>
    <w:p>
      <w:pPr>
        <w:spacing w:line="360" w:lineRule="auto"/>
        <w:ind w:firstLine="0" w:firstLineChars="0"/>
        <w:jc w:val="center"/>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t>（</w:t>
      </w:r>
      <w:r>
        <w:rPr>
          <w:rFonts w:hint="eastAsia" w:asciiTheme="minorEastAsia" w:hAnsiTheme="minorEastAsia" w:cstheme="minorEastAsia"/>
          <w:b/>
          <w:color w:val="000000"/>
          <w:sz w:val="28"/>
          <w:szCs w:val="28"/>
          <w:highlight w:val="none"/>
          <w:lang w:val="en-US" w:eastAsia="zh-CN"/>
        </w:rPr>
        <w:t>送审</w:t>
      </w:r>
      <w:r>
        <w:rPr>
          <w:rFonts w:hint="eastAsia" w:asciiTheme="minorEastAsia" w:hAnsiTheme="minorEastAsia" w:eastAsiaTheme="minorEastAsia" w:cstheme="minorEastAsia"/>
          <w:b/>
          <w:color w:val="000000"/>
          <w:sz w:val="28"/>
          <w:szCs w:val="28"/>
          <w:highlight w:val="none"/>
        </w:rPr>
        <w:t>稿）</w:t>
      </w:r>
    </w:p>
    <w:p>
      <w:pPr>
        <w:spacing w:line="360" w:lineRule="auto"/>
        <w:jc w:val="both"/>
        <w:rPr>
          <w:rFonts w:hint="eastAsia" w:asciiTheme="minorEastAsia" w:hAnsiTheme="minorEastAsia" w:eastAsiaTheme="minorEastAsia" w:cstheme="minorEastAsia"/>
          <w:b/>
          <w:color w:val="000000"/>
          <w:sz w:val="28"/>
          <w:szCs w:val="28"/>
          <w:highlight w:val="none"/>
          <w:lang w:eastAsia="zh-CN"/>
        </w:rPr>
      </w:pPr>
    </w:p>
    <w:p>
      <w:pPr>
        <w:spacing w:line="360" w:lineRule="auto"/>
        <w:jc w:val="center"/>
        <w:rPr>
          <w:rFonts w:hint="eastAsia" w:asciiTheme="minorEastAsia" w:hAnsiTheme="minorEastAsia" w:eastAsiaTheme="minorEastAsia" w:cstheme="minorEastAsia"/>
          <w:b/>
          <w:color w:val="000000"/>
          <w:sz w:val="28"/>
          <w:szCs w:val="28"/>
          <w:highlight w:val="none"/>
          <w:lang w:eastAsia="zh-CN"/>
        </w:rPr>
      </w:pPr>
    </w:p>
    <w:p>
      <w:pPr>
        <w:spacing w:line="360" w:lineRule="auto"/>
        <w:ind w:firstLine="0" w:firstLineChars="0"/>
        <w:jc w:val="center"/>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lang w:val="en-US" w:eastAsia="zh-CN"/>
        </w:rPr>
        <w:t>沈阳有研矿物化工有限</w:t>
      </w:r>
      <w:r>
        <w:rPr>
          <w:rFonts w:hint="eastAsia" w:asciiTheme="minorEastAsia" w:hAnsiTheme="minorEastAsia" w:eastAsiaTheme="minorEastAsia" w:cstheme="minorEastAsia"/>
          <w:b/>
          <w:color w:val="000000"/>
          <w:sz w:val="28"/>
          <w:szCs w:val="28"/>
          <w:highlight w:val="none"/>
        </w:rPr>
        <w:t>公司</w:t>
      </w:r>
    </w:p>
    <w:p>
      <w:pPr>
        <w:spacing w:line="360" w:lineRule="auto"/>
        <w:jc w:val="center"/>
        <w:rPr>
          <w:rFonts w:hint="eastAsia" w:asciiTheme="minorEastAsia" w:hAnsiTheme="minorEastAsia" w:eastAsiaTheme="minorEastAsia" w:cstheme="minorEastAsia"/>
          <w:b/>
          <w:color w:val="000000"/>
          <w:sz w:val="28"/>
          <w:szCs w:val="28"/>
          <w:highlight w:val="none"/>
        </w:rPr>
      </w:pPr>
    </w:p>
    <w:p>
      <w:pPr>
        <w:spacing w:line="360" w:lineRule="auto"/>
        <w:ind w:firstLine="0" w:firstLineChars="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202</w:t>
      </w:r>
      <w:r>
        <w:rPr>
          <w:rFonts w:hint="eastAsia" w:asciiTheme="minorEastAsia" w:hAnsiTheme="minorEastAsia" w:cstheme="minorEastAsia"/>
          <w:b/>
          <w:color w:val="auto"/>
          <w:sz w:val="28"/>
          <w:szCs w:val="28"/>
          <w:highlight w:val="none"/>
          <w:lang w:val="en-US" w:eastAsia="zh-CN"/>
        </w:rPr>
        <w:t>4</w:t>
      </w:r>
      <w:r>
        <w:rPr>
          <w:rFonts w:hint="eastAsia" w:asciiTheme="minorEastAsia" w:hAnsiTheme="minorEastAsia" w:eastAsiaTheme="minorEastAsia" w:cstheme="minorEastAsia"/>
          <w:b/>
          <w:color w:val="auto"/>
          <w:sz w:val="28"/>
          <w:szCs w:val="28"/>
          <w:highlight w:val="none"/>
        </w:rPr>
        <w:t>年</w:t>
      </w:r>
      <w:r>
        <w:rPr>
          <w:rFonts w:hint="eastAsia" w:asciiTheme="minorEastAsia" w:hAnsiTheme="minorEastAsia" w:cstheme="minorEastAsia"/>
          <w:b/>
          <w:color w:val="auto"/>
          <w:sz w:val="28"/>
          <w:szCs w:val="28"/>
          <w:highlight w:val="none"/>
          <w:lang w:val="en-US" w:eastAsia="zh-CN"/>
        </w:rPr>
        <w:t>9</w:t>
      </w:r>
      <w:r>
        <w:rPr>
          <w:rFonts w:hint="eastAsia" w:asciiTheme="minorEastAsia" w:hAnsiTheme="minorEastAsia" w:eastAsiaTheme="minorEastAsia" w:cstheme="minorEastAsia"/>
          <w:b/>
          <w:color w:val="auto"/>
          <w:sz w:val="28"/>
          <w:szCs w:val="28"/>
          <w:highlight w:val="none"/>
        </w:rPr>
        <w:t>月</w:t>
      </w:r>
    </w:p>
    <w:p>
      <w:pPr>
        <w:pStyle w:val="24"/>
        <w:spacing w:line="360" w:lineRule="auto"/>
        <w:rPr>
          <w:rFonts w:hint="eastAsia" w:asciiTheme="minorEastAsia" w:hAnsiTheme="minorEastAsia" w:eastAsiaTheme="minorEastAsia" w:cstheme="minorEastAsia"/>
          <w:b/>
          <w:color w:val="000000"/>
          <w:sz w:val="30"/>
          <w:szCs w:val="30"/>
          <w:highlight w:val="none"/>
          <w:lang w:val="en-US" w:eastAsia="zh-CN"/>
        </w:rPr>
      </w:pPr>
    </w:p>
    <w:p>
      <w:pPr>
        <w:jc w:val="center"/>
        <w:rPr>
          <w:rFonts w:hint="eastAsia" w:asciiTheme="minorEastAsia" w:hAnsiTheme="minorEastAsia" w:eastAsiaTheme="minorEastAsia" w:cstheme="minorEastAsia"/>
          <w:color w:val="auto"/>
          <w:sz w:val="28"/>
          <w:szCs w:val="28"/>
          <w:highlight w:val="none"/>
          <w:lang w:val="en-US" w:eastAsia="zh-CN"/>
        </w:rPr>
        <w:sectPr>
          <w:footerReference r:id="rId3" w:type="default"/>
          <w:pgSz w:w="11906" w:h="16838"/>
          <w:pgMar w:top="1440" w:right="1780" w:bottom="1440" w:left="1780" w:header="851" w:footer="992" w:gutter="0"/>
          <w:cols w:space="425" w:num="1"/>
          <w:docGrid w:type="lines" w:linePitch="312" w:charSpace="0"/>
        </w:sectPr>
      </w:pPr>
    </w:p>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val="en-US" w:eastAsia="zh-CN"/>
        </w:rPr>
        <w:t>行业标准</w:t>
      </w:r>
      <w:r>
        <w:rPr>
          <w:rFonts w:hint="eastAsia" w:asciiTheme="minorEastAsia" w:hAnsiTheme="minorEastAsia" w:eastAsiaTheme="minorEastAsia" w:cstheme="minorEastAsia"/>
          <w:b/>
          <w:bCs/>
          <w:color w:val="000000"/>
          <w:sz w:val="30"/>
          <w:szCs w:val="30"/>
          <w:highlight w:val="none"/>
        </w:rPr>
        <w:t>《</w:t>
      </w:r>
      <w:r>
        <w:rPr>
          <w:rFonts w:hint="eastAsia" w:asciiTheme="minorEastAsia" w:hAnsiTheme="minorEastAsia" w:eastAsiaTheme="minorEastAsia" w:cstheme="minorEastAsia"/>
          <w:b/>
          <w:bCs/>
          <w:color w:val="auto"/>
          <w:sz w:val="30"/>
          <w:szCs w:val="30"/>
          <w:highlight w:val="none"/>
          <w:lang w:val="en-US" w:eastAsia="zh-CN"/>
        </w:rPr>
        <w:t>丁</w:t>
      </w:r>
      <w:r>
        <w:rPr>
          <w:rFonts w:hint="eastAsia" w:asciiTheme="minorEastAsia" w:hAnsiTheme="minorEastAsia" w:eastAsiaTheme="minorEastAsia" w:cstheme="minorEastAsia"/>
          <w:b/>
          <w:bCs/>
          <w:color w:val="auto"/>
          <w:sz w:val="30"/>
          <w:szCs w:val="30"/>
          <w:highlight w:val="none"/>
        </w:rPr>
        <w:t>氧羰基异丁基硫代氨基甲酸酯</w:t>
      </w:r>
      <w:r>
        <w:rPr>
          <w:rFonts w:hint="eastAsia" w:asciiTheme="minorEastAsia" w:hAnsiTheme="minorEastAsia" w:eastAsiaTheme="minorEastAsia" w:cstheme="minorEastAsia"/>
          <w:b/>
          <w:bCs/>
          <w:color w:val="000000"/>
          <w:sz w:val="30"/>
          <w:szCs w:val="30"/>
          <w:highlight w:val="none"/>
        </w:rPr>
        <w:t>》</w:t>
      </w:r>
    </w:p>
    <w:p>
      <w:pPr>
        <w:jc w:val="center"/>
        <w:rPr>
          <w:rFonts w:hint="eastAsia" w:asciiTheme="minorEastAsia" w:hAnsiTheme="minorEastAsia" w:cstheme="minorEastAsia"/>
          <w:color w:val="auto"/>
          <w:sz w:val="30"/>
          <w:szCs w:val="30"/>
          <w:highlight w:val="none"/>
          <w:lang w:val="de-DE"/>
        </w:rPr>
      </w:pPr>
      <w:r>
        <w:rPr>
          <w:rFonts w:hint="eastAsia" w:asciiTheme="minorEastAsia" w:hAnsiTheme="minorEastAsia" w:eastAsiaTheme="minorEastAsia" w:cstheme="minorEastAsia"/>
          <w:b/>
          <w:bCs/>
          <w:color w:val="auto"/>
          <w:sz w:val="30"/>
          <w:szCs w:val="30"/>
          <w:highlight w:val="none"/>
        </w:rPr>
        <w:t>编制说明（</w:t>
      </w:r>
      <w:r>
        <w:rPr>
          <w:rFonts w:hint="eastAsia" w:asciiTheme="minorEastAsia" w:hAnsiTheme="minorEastAsia" w:cstheme="minorEastAsia"/>
          <w:b/>
          <w:bCs/>
          <w:color w:val="auto"/>
          <w:sz w:val="30"/>
          <w:szCs w:val="30"/>
          <w:highlight w:val="none"/>
          <w:lang w:val="en-US" w:eastAsia="zh-CN"/>
        </w:rPr>
        <w:t>送审</w:t>
      </w:r>
      <w:r>
        <w:rPr>
          <w:rFonts w:hint="eastAsia" w:asciiTheme="minorEastAsia" w:hAnsiTheme="minorEastAsia" w:eastAsiaTheme="minorEastAsia" w:cstheme="minorEastAsia"/>
          <w:b/>
          <w:bCs/>
          <w:color w:val="auto"/>
          <w:sz w:val="30"/>
          <w:szCs w:val="30"/>
          <w:highlight w:val="none"/>
          <w:lang w:val="en-US" w:eastAsia="zh-CN"/>
        </w:rPr>
        <w:t>稿</w:t>
      </w:r>
      <w:r>
        <w:rPr>
          <w:rFonts w:hint="eastAsia" w:asciiTheme="minorEastAsia" w:hAnsiTheme="minorEastAsia" w:eastAsiaTheme="minorEastAsia" w:cstheme="minorEastAsia"/>
          <w:b/>
          <w:bCs/>
          <w:color w:val="auto"/>
          <w:sz w:val="30"/>
          <w:szCs w:val="30"/>
          <w:highlight w:val="none"/>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eastAsia="宋体" w:asciiTheme="minorAscii" w:hAnsiTheme="minorAscii" w:cstheme="minorBidi"/>
          <w:b/>
          <w:bCs w:val="0"/>
          <w:color w:val="auto"/>
          <w:sz w:val="30"/>
          <w:szCs w:val="22"/>
          <w:highlight w:val="none"/>
        </w:rPr>
      </w:pPr>
      <w:r>
        <w:rPr>
          <w:rFonts w:hint="default" w:eastAsia="宋体" w:asciiTheme="minorAscii" w:hAnsiTheme="minorAscii" w:cstheme="minorBidi"/>
          <w:b/>
          <w:bCs w:val="0"/>
          <w:color w:val="auto"/>
          <w:sz w:val="30"/>
          <w:szCs w:val="22"/>
          <w:highlight w:val="none"/>
        </w:rPr>
        <w:t>一、工作简况</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eastAsia="宋体" w:asciiTheme="minorAscii" w:hAnsiTheme="minorAscii" w:cstheme="minorBidi"/>
          <w:b/>
          <w:bCs w:val="0"/>
          <w:color w:val="auto"/>
          <w:sz w:val="28"/>
          <w:szCs w:val="22"/>
          <w:highlight w:val="none"/>
        </w:rPr>
      </w:pPr>
      <w:r>
        <w:rPr>
          <w:rFonts w:hint="default" w:eastAsia="宋体" w:asciiTheme="minorAscii" w:hAnsiTheme="minorAscii" w:cstheme="minorBidi"/>
          <w:b/>
          <w:bCs w:val="0"/>
          <w:color w:val="auto"/>
          <w:sz w:val="28"/>
          <w:szCs w:val="22"/>
          <w:highlight w:val="none"/>
        </w:rPr>
        <w:t>1</w:t>
      </w:r>
      <w:r>
        <w:rPr>
          <w:rFonts w:hint="default" w:eastAsia="宋体" w:asciiTheme="minorAscii" w:hAnsiTheme="minorAscii" w:cstheme="minorBidi"/>
          <w:b/>
          <w:bCs w:val="0"/>
          <w:color w:val="auto"/>
          <w:sz w:val="28"/>
          <w:szCs w:val="22"/>
          <w:highlight w:val="none"/>
          <w:lang w:val="en-US" w:eastAsia="zh-CN"/>
        </w:rPr>
        <w:t>.</w:t>
      </w:r>
      <w:r>
        <w:rPr>
          <w:rFonts w:hint="default" w:eastAsia="宋体" w:asciiTheme="minorAscii" w:hAnsiTheme="minorAscii" w:cstheme="minorBidi"/>
          <w:b/>
          <w:bCs w:val="0"/>
          <w:color w:val="auto"/>
          <w:sz w:val="28"/>
          <w:szCs w:val="22"/>
          <w:highlight w:val="none"/>
        </w:rPr>
        <w:t>1任务来源</w:t>
      </w:r>
    </w:p>
    <w:p>
      <w:pPr>
        <w:pageBreakBefore w:val="0"/>
        <w:kinsoku/>
        <w:wordWrap/>
        <w:overflowPunct/>
        <w:topLinePunct w:val="0"/>
        <w:bidi w:val="0"/>
        <w:spacing w:line="360" w:lineRule="auto"/>
        <w:ind w:firstLine="480" w:firstLineChars="200"/>
        <w:jc w:val="both"/>
        <w:rPr>
          <w:rFonts w:hint="eastAsia" w:eastAsia="宋体" w:asciiTheme="minorAscii" w:hAnsiTheme="minorAscii" w:cstheme="minorBidi"/>
          <w:color w:val="auto"/>
          <w:highlight w:val="none"/>
        </w:rPr>
      </w:pPr>
      <w:r>
        <w:rPr>
          <w:rFonts w:hint="eastAsia" w:eastAsia="宋体" w:asciiTheme="minorAscii" w:hAnsiTheme="minorAscii" w:cstheme="minorBidi"/>
          <w:color w:val="auto"/>
          <w:highlight w:val="none"/>
        </w:rPr>
        <w:t>根据《</w:t>
      </w:r>
      <w:r>
        <w:rPr>
          <w:rFonts w:hint="eastAsia" w:eastAsia="宋体" w:asciiTheme="minorAscii" w:hAnsiTheme="minorAscii" w:cstheme="minorBidi"/>
          <w:i w:val="0"/>
          <w:caps w:val="0"/>
          <w:color w:val="auto"/>
          <w:spacing w:val="0"/>
          <w:sz w:val="24"/>
          <w:szCs w:val="22"/>
          <w:highlight w:val="none"/>
          <w:shd w:val="clear" w:fill="auto"/>
        </w:rPr>
        <w:t>工业和信息化部办公厅关于印发2022年第三批行业标准制修订和外文版项目计划的通知</w:t>
      </w:r>
      <w:r>
        <w:rPr>
          <w:rFonts w:hint="eastAsia" w:eastAsia="宋体" w:asciiTheme="minorAscii" w:hAnsiTheme="minorAscii" w:cstheme="minorBidi"/>
          <w:color w:val="auto"/>
          <w:highlight w:val="none"/>
        </w:rPr>
        <w:t>》（工信厅科函〔2022〕</w:t>
      </w:r>
      <w:r>
        <w:rPr>
          <w:rFonts w:hint="eastAsia" w:eastAsia="宋体" w:asciiTheme="minorAscii" w:hAnsiTheme="minorAscii" w:cstheme="minorBidi"/>
          <w:color w:val="auto"/>
          <w:highlight w:val="none"/>
          <w:lang w:val="en-US" w:eastAsia="zh-CN"/>
        </w:rPr>
        <w:t>312</w:t>
      </w:r>
      <w:r>
        <w:rPr>
          <w:rFonts w:hint="eastAsia" w:eastAsia="宋体" w:asciiTheme="minorAscii" w:hAnsiTheme="minorAscii" w:cstheme="minorBidi"/>
          <w:color w:val="auto"/>
          <w:highlight w:val="none"/>
        </w:rPr>
        <w:t>号）文件要求，</w:t>
      </w:r>
      <w:r>
        <w:rPr>
          <w:rFonts w:hint="eastAsia" w:eastAsia="宋体" w:asciiTheme="minorAscii" w:hAnsiTheme="minorAscii" w:cstheme="minorBidi"/>
          <w:color w:val="auto"/>
          <w:highlight w:val="none"/>
          <w:lang w:val="en-US" w:eastAsia="zh-CN"/>
        </w:rPr>
        <w:t>行业</w:t>
      </w:r>
      <w:r>
        <w:rPr>
          <w:rFonts w:hint="eastAsia" w:eastAsia="宋体" w:asciiTheme="minorAscii" w:hAnsiTheme="minorAscii" w:cstheme="minorBidi"/>
          <w:color w:val="auto"/>
          <w:highlight w:val="none"/>
        </w:rPr>
        <w:t>标准《</w:t>
      </w:r>
      <w:r>
        <w:rPr>
          <w:rFonts w:hint="eastAsia" w:eastAsia="宋体" w:asciiTheme="minorAscii" w:hAnsiTheme="minorAscii" w:cstheme="minorBidi"/>
          <w:color w:val="auto"/>
          <w:sz w:val="24"/>
          <w:szCs w:val="22"/>
          <w:highlight w:val="none"/>
          <w:lang w:val="en-US" w:eastAsia="zh-CN"/>
        </w:rPr>
        <w:t>丁</w:t>
      </w:r>
      <w:r>
        <w:rPr>
          <w:rFonts w:hint="eastAsia" w:eastAsia="宋体" w:asciiTheme="minorAscii" w:hAnsiTheme="minorAscii" w:cstheme="minorBidi"/>
          <w:color w:val="auto"/>
          <w:sz w:val="24"/>
          <w:szCs w:val="22"/>
          <w:highlight w:val="none"/>
        </w:rPr>
        <w:t>氧羰基异丁基硫代氨基甲酸酯</w:t>
      </w:r>
      <w:r>
        <w:rPr>
          <w:rFonts w:hint="eastAsia" w:eastAsia="宋体" w:asciiTheme="minorAscii" w:hAnsiTheme="minorAscii" w:cstheme="minorBidi"/>
          <w:color w:val="auto"/>
          <w:highlight w:val="none"/>
        </w:rPr>
        <w:t>》修订项目由全国有色金属标准化技术委员会归口，计划编号为</w:t>
      </w:r>
      <w:r>
        <w:rPr>
          <w:rFonts w:hint="eastAsia" w:eastAsia="宋体" w:asciiTheme="minorAscii" w:hAnsiTheme="minorAscii" w:cstheme="minorBidi"/>
          <w:color w:val="auto"/>
          <w:kern w:val="2"/>
          <w:szCs w:val="22"/>
          <w:highlight w:val="none"/>
          <w:lang w:val="en-US" w:eastAsia="zh-CN"/>
        </w:rPr>
        <w:t>2022-1292T-YS</w:t>
      </w:r>
      <w:r>
        <w:rPr>
          <w:rFonts w:hint="eastAsia" w:eastAsia="宋体" w:asciiTheme="minorAscii" w:hAnsiTheme="minorAscii" w:cstheme="minorBidi"/>
          <w:color w:val="auto"/>
          <w:highlight w:val="none"/>
        </w:rPr>
        <w:t>，项目周期为</w:t>
      </w:r>
      <w:r>
        <w:rPr>
          <w:rFonts w:hint="eastAsia" w:eastAsia="宋体" w:asciiTheme="minorAscii" w:hAnsiTheme="minorAscii" w:cstheme="minorBidi"/>
          <w:color w:val="auto"/>
          <w:highlight w:val="none"/>
          <w:lang w:eastAsia="zh-CN"/>
        </w:rPr>
        <w:t>2</w:t>
      </w:r>
      <w:r>
        <w:rPr>
          <w:rFonts w:hint="eastAsia" w:eastAsia="宋体" w:asciiTheme="minorAscii" w:hAnsiTheme="minorAscii" w:cstheme="minorBidi"/>
          <w:color w:val="auto"/>
          <w:highlight w:val="none"/>
          <w:lang w:val="en-US" w:eastAsia="zh-CN"/>
        </w:rPr>
        <w:t>4</w:t>
      </w:r>
      <w:r>
        <w:rPr>
          <w:rFonts w:hint="eastAsia" w:eastAsia="宋体" w:asciiTheme="minorAscii" w:hAnsiTheme="minorAscii" w:cstheme="minorBidi"/>
          <w:color w:val="auto"/>
          <w:highlight w:val="none"/>
        </w:rPr>
        <w:t>个月，</w:t>
      </w:r>
      <w:r>
        <w:rPr>
          <w:rFonts w:hint="eastAsia" w:eastAsia="宋体" w:asciiTheme="minorAscii" w:hAnsiTheme="minorAscii" w:cstheme="minorBidi"/>
          <w:color w:val="auto"/>
          <w:highlight w:val="none"/>
          <w:lang w:val="en-US" w:eastAsia="zh-CN"/>
        </w:rPr>
        <w:t>计划</w:t>
      </w:r>
      <w:r>
        <w:rPr>
          <w:rFonts w:hint="eastAsia" w:eastAsia="宋体" w:asciiTheme="minorAscii" w:hAnsiTheme="minorAscii" w:cstheme="minorBidi"/>
          <w:color w:val="auto"/>
          <w:highlight w:val="none"/>
        </w:rPr>
        <w:t>完成年限为202</w:t>
      </w:r>
      <w:r>
        <w:rPr>
          <w:rFonts w:hint="eastAsia" w:eastAsia="宋体" w:asciiTheme="minorAscii" w:hAnsiTheme="minorAscii" w:cstheme="minorBidi"/>
          <w:color w:val="auto"/>
          <w:highlight w:val="none"/>
          <w:lang w:val="en-US" w:eastAsia="zh-CN"/>
        </w:rPr>
        <w:t>4</w:t>
      </w:r>
      <w:r>
        <w:rPr>
          <w:rFonts w:hint="eastAsia" w:eastAsia="宋体" w:asciiTheme="minorAscii" w:hAnsiTheme="minorAscii" w:cstheme="minorBidi"/>
          <w:color w:val="auto"/>
          <w:highlight w:val="none"/>
        </w:rPr>
        <w:t>年。</w:t>
      </w:r>
    </w:p>
    <w:p>
      <w:pPr>
        <w:spacing w:line="360" w:lineRule="auto"/>
        <w:ind w:firstLine="480" w:firstLineChars="200"/>
        <w:rPr>
          <w:rFonts w:hint="default" w:eastAsia="宋体" w:asciiTheme="minorAscii" w:hAnsiTheme="minorAscii" w:cstheme="minorBidi"/>
          <w:bCs w:val="0"/>
          <w:color w:val="auto"/>
          <w:szCs w:val="22"/>
          <w:highlight w:val="none"/>
          <w:lang w:val="en-US" w:eastAsia="zh-CN"/>
        </w:rPr>
      </w:pPr>
      <w:r>
        <w:rPr>
          <w:rFonts w:hint="eastAsia" w:eastAsia="宋体" w:asciiTheme="minorAscii" w:hAnsiTheme="minorAscii" w:cstheme="minorBidi"/>
          <w:color w:val="auto"/>
          <w:kern w:val="2"/>
          <w:sz w:val="24"/>
          <w:szCs w:val="22"/>
          <w:highlight w:val="none"/>
          <w:lang w:val="en-US" w:eastAsia="zh-CN" w:bidi="ar-SA"/>
        </w:rPr>
        <w:t>编制组单位有</w:t>
      </w:r>
      <w:r>
        <w:rPr>
          <w:rFonts w:hint="eastAsia" w:eastAsia="宋体" w:asciiTheme="minorAscii" w:hAnsiTheme="minorAscii" w:cstheme="minorBidi"/>
          <w:bCs w:val="0"/>
          <w:color w:val="auto"/>
          <w:szCs w:val="22"/>
          <w:highlight w:val="none"/>
          <w:lang w:val="en-US" w:eastAsia="zh-CN"/>
        </w:rPr>
        <w:t>沈阳有研矿物化工有限公司、铁岭选矿药剂有限公司</w:t>
      </w:r>
      <w:r>
        <w:rPr>
          <w:rFonts w:hint="eastAsia" w:eastAsia="宋体" w:asciiTheme="minorAscii" w:hAnsiTheme="minorAscii" w:cstheme="minorBidi"/>
          <w:color w:val="auto"/>
          <w:sz w:val="24"/>
          <w:szCs w:val="22"/>
          <w:highlight w:val="none"/>
          <w:lang w:eastAsia="zh-CN"/>
        </w:rPr>
        <w:t>、</w:t>
      </w:r>
      <w:r>
        <w:rPr>
          <w:rFonts w:hint="eastAsia" w:eastAsia="宋体" w:asciiTheme="minorAscii" w:hAnsiTheme="minorAscii" w:cstheme="minorBidi"/>
          <w:bCs w:val="0"/>
          <w:color w:val="auto"/>
          <w:szCs w:val="22"/>
          <w:highlight w:val="none"/>
          <w:lang w:val="en-US" w:eastAsia="zh-CN"/>
        </w:rPr>
        <w:t>矿冶科技集团有限公司。</w:t>
      </w:r>
    </w:p>
    <w:p>
      <w:pPr>
        <w:pStyle w:val="3"/>
        <w:spacing w:line="360" w:lineRule="auto"/>
        <w:ind w:firstLine="0" w:firstLineChars="0"/>
        <w:rPr>
          <w:rFonts w:hint="eastAsia" w:ascii="宋体" w:hAnsi="宋体" w:eastAsia="宋体" w:cs="宋体"/>
          <w:color w:val="4F81BD" w:themeColor="accent1"/>
          <w:sz w:val="28"/>
          <w:szCs w:val="22"/>
          <w:highlight w:val="none"/>
          <w14:textFill>
            <w14:solidFill>
              <w14:schemeClr w14:val="accent1"/>
            </w14:solidFill>
          </w14:textFill>
        </w:rPr>
      </w:pPr>
      <w:r>
        <w:rPr>
          <w:rFonts w:hint="eastAsia" w:ascii="宋体" w:hAnsi="宋体" w:eastAsia="宋体" w:cs="宋体"/>
          <w:b/>
          <w:bCs w:val="0"/>
          <w:color w:val="auto"/>
          <w:sz w:val="28"/>
          <w:szCs w:val="22"/>
          <w:highlight w:val="none"/>
          <w:lang w:val="en-US" w:eastAsia="zh-CN"/>
        </w:rPr>
        <w:t>1.2 立项目的和意义</w:t>
      </w:r>
    </w:p>
    <w:p>
      <w:pPr>
        <w:spacing w:line="360" w:lineRule="auto"/>
        <w:ind w:firstLine="480" w:firstLineChars="200"/>
        <w:jc w:val="left"/>
        <w:rPr>
          <w:rFonts w:hint="eastAsia" w:ascii="宋体" w:hAnsi="宋体" w:eastAsia="宋体" w:cs="宋体"/>
          <w:b w:val="0"/>
          <w:bCs w:val="0"/>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丁</w:t>
      </w:r>
      <w:r>
        <w:rPr>
          <w:rFonts w:hint="eastAsia" w:ascii="宋体" w:hAnsi="宋体" w:eastAsia="宋体" w:cs="宋体"/>
          <w:color w:val="auto"/>
          <w:sz w:val="24"/>
          <w:szCs w:val="22"/>
          <w:highlight w:val="none"/>
        </w:rPr>
        <w:t>氧羰基异丁基硫代氨基甲酸酯”作为一种新型的第三代酯类选矿药剂，</w:t>
      </w:r>
      <w:r>
        <w:rPr>
          <w:rFonts w:hint="eastAsia" w:ascii="宋体" w:hAnsi="宋体" w:cs="宋体"/>
          <w:color w:val="auto"/>
          <w:sz w:val="24"/>
          <w:szCs w:val="22"/>
          <w:highlight w:val="none"/>
          <w:lang w:val="en-US" w:eastAsia="zh-CN"/>
        </w:rPr>
        <w:t>外观为</w:t>
      </w:r>
      <w:r>
        <w:rPr>
          <w:rFonts w:hint="eastAsia" w:ascii="宋体" w:hAnsi="宋体" w:eastAsia="宋体" w:cs="宋体"/>
          <w:color w:val="auto"/>
          <w:sz w:val="24"/>
          <w:szCs w:val="22"/>
          <w:highlight w:val="none"/>
        </w:rPr>
        <w:t>黄色</w:t>
      </w:r>
      <w:r>
        <w:rPr>
          <w:rFonts w:hint="eastAsia" w:ascii="宋体" w:hAnsi="宋体" w:eastAsia="宋体" w:cs="宋体"/>
          <w:color w:val="auto"/>
          <w:sz w:val="24"/>
          <w:szCs w:val="22"/>
          <w:highlight w:val="none"/>
          <w:lang w:val="en-US" w:eastAsia="zh-CN"/>
        </w:rPr>
        <w:t>至琥珀色</w:t>
      </w:r>
      <w:r>
        <w:rPr>
          <w:rFonts w:hint="eastAsia" w:ascii="宋体" w:hAnsi="宋体" w:eastAsia="宋体" w:cs="宋体"/>
          <w:color w:val="auto"/>
          <w:sz w:val="24"/>
          <w:szCs w:val="22"/>
          <w:highlight w:val="none"/>
        </w:rPr>
        <w:t>透明油状液体</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主要应用于</w:t>
      </w:r>
      <w:r>
        <w:rPr>
          <w:rFonts w:hint="eastAsia" w:ascii="宋体" w:hAnsi="宋体" w:eastAsia="宋体" w:cs="宋体"/>
          <w:color w:val="auto"/>
          <w:sz w:val="24"/>
          <w:szCs w:val="22"/>
          <w:highlight w:val="none"/>
        </w:rPr>
        <w:t>硫化铜</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硫化铜钼</w:t>
      </w:r>
      <w:r>
        <w:rPr>
          <w:rFonts w:hint="eastAsia" w:ascii="宋体" w:hAnsi="宋体" w:eastAsia="宋体" w:cs="宋体"/>
          <w:color w:val="auto"/>
          <w:sz w:val="24"/>
          <w:szCs w:val="22"/>
          <w:highlight w:val="none"/>
        </w:rPr>
        <w:t>矿物</w:t>
      </w:r>
      <w:r>
        <w:rPr>
          <w:rFonts w:hint="eastAsia" w:ascii="宋体" w:hAnsi="宋体" w:eastAsia="宋体" w:cs="宋体"/>
          <w:color w:val="auto"/>
          <w:sz w:val="24"/>
          <w:szCs w:val="22"/>
          <w:highlight w:val="none"/>
          <w:lang w:val="en-US" w:eastAsia="zh-CN"/>
        </w:rPr>
        <w:t>浮选</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是一种优良的捕收剂。针对低品位微细</w:t>
      </w:r>
      <w:r>
        <w:rPr>
          <w:rFonts w:hint="eastAsia" w:ascii="宋体" w:hAnsi="宋体" w:cs="宋体"/>
          <w:color w:val="auto"/>
          <w:sz w:val="24"/>
          <w:szCs w:val="22"/>
          <w:highlight w:val="none"/>
          <w:lang w:val="en-US" w:eastAsia="zh-CN"/>
        </w:rPr>
        <w:t>粒难选铜矿非常有效，对黄铁矿捕收力弱，选择性好，能有效的进行铜硫分离。</w:t>
      </w:r>
      <w:r>
        <w:rPr>
          <w:rFonts w:hint="eastAsia" w:ascii="宋体" w:hAnsi="宋体" w:eastAsia="宋体" w:cs="宋体"/>
          <w:color w:val="auto"/>
          <w:sz w:val="24"/>
          <w:szCs w:val="22"/>
          <w:highlight w:val="none"/>
        </w:rPr>
        <w:t>作为一种新型的高效捕收剂，</w:t>
      </w:r>
      <w:r>
        <w:rPr>
          <w:rFonts w:hint="eastAsia" w:ascii="宋体" w:hAnsi="宋体" w:eastAsia="宋体" w:cs="宋体"/>
          <w:color w:val="auto"/>
          <w:sz w:val="24"/>
          <w:szCs w:val="22"/>
          <w:highlight w:val="none"/>
          <w:lang w:val="en-US" w:eastAsia="zh-CN"/>
        </w:rPr>
        <w:t>丁</w:t>
      </w:r>
      <w:r>
        <w:rPr>
          <w:rFonts w:hint="eastAsia" w:ascii="宋体" w:hAnsi="宋体" w:eastAsia="宋体" w:cs="宋体"/>
          <w:color w:val="auto"/>
          <w:sz w:val="24"/>
          <w:szCs w:val="22"/>
          <w:highlight w:val="none"/>
        </w:rPr>
        <w:t>氧羰基</w:t>
      </w:r>
      <w:r>
        <w:rPr>
          <w:rFonts w:hint="eastAsia" w:ascii="宋体" w:hAnsi="宋体" w:eastAsia="宋体" w:cs="宋体"/>
          <w:color w:val="auto"/>
          <w:sz w:val="24"/>
          <w:szCs w:val="22"/>
          <w:highlight w:val="none"/>
          <w:lang w:val="en-US" w:eastAsia="zh-CN"/>
        </w:rPr>
        <w:t>异丁</w:t>
      </w:r>
      <w:r>
        <w:rPr>
          <w:rFonts w:hint="eastAsia" w:ascii="宋体" w:hAnsi="宋体" w:eastAsia="宋体" w:cs="宋体"/>
          <w:color w:val="auto"/>
          <w:sz w:val="24"/>
          <w:szCs w:val="22"/>
          <w:highlight w:val="none"/>
        </w:rPr>
        <w:t>基硫氨酯产品已在金、银等贵金属矿及铜矿选矿生产中试用成功。此种药剂毒性低、对环境污染小，可完全替代黄药等环境污染严重的老一代选矿捕收剂。该药剂与传统药剂相比较具有很多优势：1.使用剂量少</w:t>
      </w:r>
      <w:r>
        <w:rPr>
          <w:rFonts w:hint="eastAsia" w:ascii="宋体" w:hAnsi="宋体" w:cs="宋体"/>
          <w:color w:val="auto"/>
          <w:sz w:val="24"/>
          <w:szCs w:val="22"/>
          <w:highlight w:val="none"/>
          <w:lang w:eastAsia="zh-CN"/>
        </w:rPr>
        <w:t>：</w:t>
      </w:r>
      <w:r>
        <w:rPr>
          <w:rFonts w:hint="eastAsia" w:ascii="宋体" w:hAnsi="宋体" w:eastAsia="宋体" w:cs="宋体"/>
          <w:color w:val="auto"/>
          <w:sz w:val="24"/>
          <w:szCs w:val="22"/>
          <w:highlight w:val="none"/>
        </w:rPr>
        <w:t>用于铜硫矿石的优先浮选，其用量只有丁基黄药的1/3--1/4。2.选矿成本低</w:t>
      </w:r>
      <w:r>
        <w:rPr>
          <w:rFonts w:hint="eastAsia" w:ascii="宋体" w:hAnsi="宋体" w:cs="宋体"/>
          <w:color w:val="auto"/>
          <w:sz w:val="24"/>
          <w:szCs w:val="22"/>
          <w:highlight w:val="none"/>
          <w:lang w:eastAsia="zh-CN"/>
        </w:rPr>
        <w:t>：</w:t>
      </w:r>
      <w:r>
        <w:rPr>
          <w:rFonts w:hint="eastAsia" w:ascii="宋体" w:hAnsi="宋体" w:eastAsia="宋体" w:cs="宋体"/>
          <w:color w:val="auto"/>
          <w:sz w:val="24"/>
          <w:szCs w:val="22"/>
          <w:highlight w:val="none"/>
        </w:rPr>
        <w:t>在选矿过程中大大降低了药剂使用量和石灰使用量，降低了选矿成本，给矿山带来了良好的经济效益；3.使用方法简单方便</w:t>
      </w:r>
      <w:r>
        <w:rPr>
          <w:rFonts w:hint="eastAsia" w:ascii="宋体" w:hAnsi="宋体" w:cs="宋体"/>
          <w:color w:val="auto"/>
          <w:sz w:val="24"/>
          <w:szCs w:val="22"/>
          <w:highlight w:val="none"/>
          <w:lang w:eastAsia="zh-CN"/>
        </w:rPr>
        <w:t>：</w:t>
      </w:r>
      <w:r>
        <w:rPr>
          <w:rFonts w:hint="eastAsia" w:ascii="宋体" w:hAnsi="宋体" w:eastAsia="宋体" w:cs="宋体"/>
          <w:color w:val="auto"/>
          <w:sz w:val="24"/>
          <w:szCs w:val="22"/>
          <w:highlight w:val="none"/>
        </w:rPr>
        <w:t>该药剂是油状液体可直接添加到选矿搅拌槽中，不用稀释和溶解易于操作；4.</w:t>
      </w:r>
      <w:r>
        <w:rPr>
          <w:rFonts w:hint="eastAsia" w:ascii="宋体" w:hAnsi="宋体" w:cs="宋体"/>
          <w:color w:val="auto"/>
          <w:sz w:val="24"/>
          <w:szCs w:val="22"/>
          <w:highlight w:val="none"/>
          <w:lang w:val="en-US" w:eastAsia="zh-CN"/>
        </w:rPr>
        <w:t>选择性好：选择性捕收铜能力强，对黄铁矿捕收能力弱</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不仅能提高贫、细、杂难选铜矿的精矿品位和回收率，而且还能大幅度提高伴生的金、银、钼等贵金属的回收率，</w:t>
      </w:r>
      <w:r>
        <w:rPr>
          <w:rFonts w:hint="eastAsia" w:ascii="宋体" w:hAnsi="宋体" w:eastAsia="宋体" w:cs="宋体"/>
          <w:color w:val="auto"/>
          <w:sz w:val="24"/>
          <w:szCs w:val="22"/>
          <w:highlight w:val="none"/>
        </w:rPr>
        <w:t>尤其是对铜金属矿伴生金、银等贵金属选矿效果特别显著；5.</w:t>
      </w:r>
      <w:r>
        <w:rPr>
          <w:rFonts w:hint="eastAsia" w:ascii="宋体" w:hAnsi="宋体" w:cs="宋体"/>
          <w:color w:val="auto"/>
          <w:sz w:val="24"/>
          <w:szCs w:val="22"/>
          <w:highlight w:val="none"/>
          <w:lang w:val="en-US" w:eastAsia="zh-CN"/>
        </w:rPr>
        <w:t>环保性能好：药剂毒性较小，</w:t>
      </w:r>
      <w:r>
        <w:rPr>
          <w:rFonts w:hint="eastAsia" w:ascii="宋体" w:hAnsi="宋体" w:eastAsia="宋体" w:cs="宋体"/>
          <w:color w:val="auto"/>
          <w:sz w:val="24"/>
          <w:szCs w:val="22"/>
          <w:highlight w:val="none"/>
        </w:rPr>
        <w:t>污染小。因此，对生产区域的环境保护起到了积极的保护作用，属于国家环保部门提倡的环保型选矿药剂。</w:t>
      </w:r>
    </w:p>
    <w:p>
      <w:pPr>
        <w:spacing w:line="360" w:lineRule="auto"/>
        <w:ind w:firstLine="480" w:firstLineChars="200"/>
        <w:jc w:val="left"/>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丁氧羰基异丁基硫代氨基甲酸酯是一种黄色至琥珀色透明油状液体，主要应用于有色金属硫化矿浮选捕收剂。该产品生产技术稳定，高效、低毒、降解性好，是一款性能优良的绿色环保浮选药剂。我公司目前每年生产能力500吨，年销量为300-400吨，由于该产品价格较高，国内用户较少，主要以出口为主，客户遍布亚洲、欧洲、非洲、南美洲、北美洲等30多个国家和地区，发展前景很好。随着国内环保强度的不断升级，国民环保意识的不断提高，该产品的在国内的市场前景非常广阔。目前，国内还没有统一的行业标准，国内生产厂家各自执行企业的内控标准，导致产品质量、外观等因素参差不齐，制约了该产品的发展和销售。因此迫切需要制定产品的行业标准，规范产品质量，在达到国内外要求的前提下，提高国际市场的权威性。</w:t>
      </w:r>
    </w:p>
    <w:p>
      <w:pPr>
        <w:spacing w:line="360" w:lineRule="auto"/>
        <w:ind w:firstLine="480" w:firstLineChars="200"/>
        <w:jc w:val="left"/>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丁氧羰基异丁基硫代氨基甲酸酯”目前没有国外相关标准和国际先进标准，只有国外用户提供的订货合同要求标准，可适当作为该标准的参考依据。本标准属国内首次制订，标准涉及的内容不具有知识产权问题，该标准的制定对我国选矿药剂行业具有重要意义。</w:t>
      </w:r>
    </w:p>
    <w:p>
      <w:pPr>
        <w:pStyle w:val="19"/>
        <w:keepNext w:val="0"/>
        <w:keepLines w:val="0"/>
        <w:pageBreakBefore w:val="0"/>
        <w:kinsoku/>
        <w:wordWrap/>
        <w:overflowPunct/>
        <w:topLinePunct w:val="0"/>
        <w:autoSpaceDE/>
        <w:autoSpaceDN/>
        <w:bidi w:val="0"/>
        <w:adjustRightInd/>
        <w:snapToGrid/>
        <w:spacing w:beforeLines="0" w:afterLines="0" w:line="360" w:lineRule="auto"/>
        <w:textAlignment w:val="auto"/>
        <w:outlineLvl w:val="9"/>
        <w:rPr>
          <w:rFonts w:hint="default" w:eastAsia="宋体" w:asciiTheme="minorAscii" w:hAnsiTheme="minorAscii" w:cstheme="minorBidi"/>
          <w:b/>
          <w:bCs w:val="0"/>
          <w:color w:val="auto"/>
          <w:kern w:val="2"/>
          <w:sz w:val="28"/>
          <w:szCs w:val="22"/>
          <w:highlight w:val="none"/>
          <w:lang w:val="en-US" w:eastAsia="zh-CN"/>
        </w:rPr>
      </w:pPr>
      <w:r>
        <w:rPr>
          <w:rFonts w:hint="default" w:eastAsia="宋体" w:asciiTheme="minorAscii" w:hAnsiTheme="minorAscii" w:cstheme="minorBidi"/>
          <w:b/>
          <w:bCs w:val="0"/>
          <w:color w:val="auto"/>
          <w:kern w:val="2"/>
          <w:sz w:val="28"/>
          <w:szCs w:val="22"/>
          <w:highlight w:val="none"/>
        </w:rPr>
        <w:t>1.3</w:t>
      </w:r>
      <w:r>
        <w:rPr>
          <w:rFonts w:hint="default" w:eastAsia="宋体" w:asciiTheme="minorAscii" w:hAnsiTheme="minorAscii" w:cstheme="minorBidi"/>
          <w:b/>
          <w:bCs w:val="0"/>
          <w:color w:val="auto"/>
          <w:kern w:val="2"/>
          <w:sz w:val="28"/>
          <w:szCs w:val="22"/>
          <w:highlight w:val="none"/>
          <w:lang w:val="en-US" w:eastAsia="zh-CN"/>
        </w:rPr>
        <w:t>主要参加单位和工作成员所作的工作</w:t>
      </w:r>
    </w:p>
    <w:p>
      <w:pPr>
        <w:keepNext w:val="0"/>
        <w:keepLines w:val="0"/>
        <w:pageBreakBefore w:val="0"/>
        <w:shd w:val="clear" w:color="auto" w:fill="auto"/>
        <w:kinsoku/>
        <w:wordWrap/>
        <w:overflowPunct/>
        <w:topLinePunct w:val="0"/>
        <w:autoSpaceDE/>
        <w:autoSpaceDN/>
        <w:bidi w:val="0"/>
        <w:adjustRightInd/>
        <w:snapToGrid/>
        <w:spacing w:line="360" w:lineRule="auto"/>
        <w:ind w:firstLine="0" w:firstLineChars="0"/>
        <w:textAlignment w:val="auto"/>
        <w:outlineLvl w:val="1"/>
        <w:rPr>
          <w:rFonts w:hint="default" w:eastAsia="宋体" w:asciiTheme="minorAscii" w:hAnsiTheme="minorAscii" w:cstheme="minorBidi"/>
          <w:b/>
          <w:bCs w:val="0"/>
          <w:color w:val="auto"/>
          <w:sz w:val="28"/>
          <w:szCs w:val="22"/>
          <w:highlight w:val="none"/>
          <w:lang w:val="en-US" w:eastAsia="zh-CN"/>
        </w:rPr>
      </w:pPr>
      <w:r>
        <w:rPr>
          <w:rFonts w:hint="default" w:eastAsia="宋体" w:asciiTheme="minorAscii" w:hAnsiTheme="minorAscii" w:cstheme="minorBidi"/>
          <w:b/>
          <w:bCs w:val="0"/>
          <w:color w:val="auto"/>
          <w:sz w:val="28"/>
          <w:szCs w:val="22"/>
          <w:highlight w:val="none"/>
          <w:lang w:val="en-US" w:eastAsia="zh-CN"/>
        </w:rPr>
        <w:t>1.3.1 承担单位情况</w:t>
      </w:r>
    </w:p>
    <w:p>
      <w:pPr>
        <w:pStyle w:val="7"/>
        <w:spacing w:line="360" w:lineRule="auto"/>
        <w:ind w:firstLine="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（1）沈阳有研矿物化工有限公司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沈阳有研矿物化工有限公司</w:t>
      </w:r>
      <w:r>
        <w:rPr>
          <w:rFonts w:hint="eastAsia" w:ascii="宋体" w:hAnsi="宋体" w:eastAsia="宋体" w:cs="宋体"/>
          <w:sz w:val="24"/>
          <w:szCs w:val="24"/>
          <w:highlight w:val="none"/>
        </w:rPr>
        <w:t>公司成立于</w:t>
      </w:r>
      <w:r>
        <w:rPr>
          <w:rFonts w:hint="eastAsia" w:ascii="宋体" w:hAnsi="宋体" w:eastAsia="宋体" w:cs="宋体"/>
          <w:sz w:val="24"/>
          <w:szCs w:val="24"/>
          <w:highlight w:val="none"/>
          <w:lang w:val="en-US" w:eastAsia="zh-CN"/>
        </w:rPr>
        <w:t>2007</w:t>
      </w:r>
      <w:r>
        <w:rPr>
          <w:rFonts w:hint="eastAsia" w:ascii="宋体" w:hAnsi="宋体" w:eastAsia="宋体" w:cs="宋体"/>
          <w:sz w:val="24"/>
          <w:szCs w:val="24"/>
          <w:highlight w:val="none"/>
        </w:rPr>
        <w:t>年，是一家主要从事</w:t>
      </w:r>
      <w:r>
        <w:rPr>
          <w:rFonts w:hint="eastAsia" w:ascii="宋体" w:hAnsi="宋体" w:eastAsia="宋体" w:cs="宋体"/>
          <w:sz w:val="24"/>
          <w:szCs w:val="24"/>
          <w:highlight w:val="none"/>
          <w:lang w:val="en-US" w:eastAsia="zh-CN"/>
        </w:rPr>
        <w:t>有色金属选矿药剂的</w:t>
      </w:r>
      <w:r>
        <w:rPr>
          <w:rFonts w:hint="eastAsia" w:ascii="宋体" w:hAnsi="宋体" w:eastAsia="宋体" w:cs="宋体"/>
          <w:sz w:val="24"/>
          <w:szCs w:val="24"/>
          <w:highlight w:val="none"/>
        </w:rPr>
        <w:t>研发、生产的高新技术企业，</w:t>
      </w:r>
      <w:r>
        <w:rPr>
          <w:rFonts w:hint="eastAsia" w:ascii="宋体" w:hAnsi="宋体" w:eastAsia="宋体" w:cs="宋体"/>
          <w:sz w:val="24"/>
          <w:szCs w:val="24"/>
          <w:highlight w:val="none"/>
          <w:lang w:val="en-US" w:eastAsia="zh-CN"/>
        </w:rPr>
        <w:t>2018</w:t>
      </w:r>
      <w:r>
        <w:rPr>
          <w:rFonts w:hint="eastAsia" w:ascii="宋体" w:hAnsi="宋体" w:eastAsia="宋体" w:cs="宋体"/>
          <w:sz w:val="24"/>
          <w:szCs w:val="24"/>
          <w:highlight w:val="none"/>
        </w:rPr>
        <w:t>年首次认定成为高新技术企业，</w:t>
      </w:r>
      <w:r>
        <w:rPr>
          <w:rFonts w:hint="eastAsia" w:ascii="宋体" w:hAnsi="宋体" w:eastAsia="宋体" w:cs="宋体"/>
          <w:color w:val="auto"/>
          <w:sz w:val="24"/>
          <w:szCs w:val="24"/>
          <w:highlight w:val="none"/>
        </w:rPr>
        <w:t>高新技术领域为</w:t>
      </w:r>
      <w:r>
        <w:rPr>
          <w:rFonts w:hint="eastAsia" w:ascii="宋体" w:hAnsi="宋体" w:eastAsia="宋体" w:cs="宋体"/>
          <w:color w:val="auto"/>
          <w:sz w:val="24"/>
          <w:szCs w:val="24"/>
          <w:highlight w:val="none"/>
          <w:lang w:val="en-US" w:eastAsia="zh-CN"/>
        </w:rPr>
        <w:t>提高矿产资源回收利用率的采矿、选矿技术。</w:t>
      </w:r>
    </w:p>
    <w:p>
      <w:pPr>
        <w:spacing w:line="360" w:lineRule="auto"/>
        <w:ind w:firstLine="480" w:firstLineChars="200"/>
        <w:rPr>
          <w:rFonts w:hint="eastAsia" w:ascii="宋体" w:hAnsi="宋体" w:eastAsia="宋体" w:cs="宋体"/>
          <w:b w:val="0"/>
          <w:i w:val="0"/>
          <w:color w:val="000000"/>
          <w:sz w:val="24"/>
          <w:szCs w:val="24"/>
          <w:highlight w:val="none"/>
        </w:rPr>
      </w:pPr>
      <w:r>
        <w:rPr>
          <w:rFonts w:hint="eastAsia" w:ascii="宋体" w:hAnsi="宋体" w:eastAsia="宋体" w:cs="宋体"/>
          <w:b w:val="0"/>
          <w:i w:val="0"/>
          <w:color w:val="000000"/>
          <w:sz w:val="24"/>
          <w:szCs w:val="24"/>
          <w:highlight w:val="none"/>
        </w:rPr>
        <w:t>公司经营范围选矿药剂、化学助剂、矿物材料研制、生产、销售。拥有辽宁省内品牌矿友牌”烷基黄原酸酯系列产品、烷基硫氨酯系列产品，巯基乙酸钠，做优做强药剂板块。公司主要产品是自主创新、自主研发，拥有完全自主知识产权</w:t>
      </w:r>
      <w:r>
        <w:rPr>
          <w:rFonts w:hint="eastAsia" w:ascii="宋体" w:hAnsi="宋体" w:eastAsia="宋体" w:cs="宋体"/>
          <w:b w:val="0"/>
          <w:i w:val="0"/>
          <w:color w:val="000000"/>
          <w:sz w:val="24"/>
          <w:szCs w:val="24"/>
          <w:highlight w:val="none"/>
          <w:lang w:eastAsia="zh-CN"/>
        </w:rPr>
        <w:t>，</w:t>
      </w:r>
      <w:r>
        <w:rPr>
          <w:rFonts w:hint="eastAsia" w:ascii="宋体" w:hAnsi="宋体" w:eastAsia="宋体" w:cs="宋体"/>
          <w:b w:val="0"/>
          <w:i w:val="0"/>
          <w:color w:val="000000"/>
          <w:sz w:val="24"/>
          <w:szCs w:val="24"/>
          <w:highlight w:val="none"/>
        </w:rPr>
        <w:t>在有色金属选矿药剂行业属于最早研发单位。有研矿化公司依托于公司设备先进、工艺技术要求严格、产品质量稳定、企业管理规范为多家国内、外知名企业提供选矿药剂及化学助剂等。产品用户遍布国内有色金属矿山及相关化工企业，同时远销亚洲、欧洲、非洲、美洲等30多个国家和地区，建立了良好稳固的长期贸易关系,主要的客户群体有矿山、化工等行业。</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（2）铁岭选矿药剂有限公司</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铁岭选矿药剂有限公司（以下简称公司）始建于1942年，位于辽宁省铁岭市银州区，是中国最早、药剂品种最全的选矿药剂生产厂家，被称为中国选矿药剂“鼻祖”企业。2019年与沈阳有研矿化有限公司资产重组，由中国有色矿业集团沈阳矿业投资有限公司投资控股，控股比例61.88%、矿冶科技集团有限公司参股，参股比例38.12%，组建成立国有股份制公司。公司坚持绿色发展、科技创新、完善自我的发展理念，发挥“矿友”品牌、沈铁联动优势，加快“走出去”步伐，拓展“轻资产”业务，做强做优做大“药剂板块”。</w:t>
      </w:r>
    </w:p>
    <w:p>
      <w:pPr>
        <w:numPr>
          <w:ilvl w:val="0"/>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公司产品多次获得国家、省、市各级奖项，多次被评为市企业纳税、出口创汇先进单位，辽宁省用户满意产品、模范职工之家等荣誉称号。“矿友”牌选矿药剂被认定为省名牌产品。拥有辽宁省企业技术中心、辽宁省选矿药剂专项技术专业技术创新中心。</w:t>
      </w:r>
      <w:r>
        <w:rPr>
          <w:rFonts w:hint="eastAsia" w:ascii="宋体" w:hAnsi="宋体" w:eastAsia="宋体" w:cs="宋体"/>
          <w:sz w:val="24"/>
          <w:szCs w:val="24"/>
          <w:highlight w:val="none"/>
          <w:lang w:val="en-US" w:eastAsia="zh-CN"/>
        </w:rPr>
        <w:t>2020年同时获得了辽宁省及国家级专精特新“小巨人”企业荣誉称号。2021年继续被认定为省级高新技术企业。公司生产严格执行ISO9000质量管理体系、ISO14000环境管理体系、OHSAS18000职业安全健康管理体系管控，保证生产高质量产品的同时下，保障环境及职工健康安全。</w:t>
      </w:r>
    </w:p>
    <w:p>
      <w:pPr>
        <w:pStyle w:val="7"/>
        <w:numPr>
          <w:ilvl w:val="0"/>
          <w:numId w:val="1"/>
        </w:numPr>
        <w:spacing w:line="360" w:lineRule="auto"/>
        <w:ind w:firstLine="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矿冶科技集团有限公司</w:t>
      </w:r>
    </w:p>
    <w:p>
      <w:pPr>
        <w:pStyle w:val="7"/>
        <w:numPr>
          <w:ilvl w:val="-1"/>
          <w:numId w:val="0"/>
        </w:num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矿冶科技集团有限公司（原北京矿冶研究总院）建于1956年，是隶属于国务院国资委管理的中央企业，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2个国家重点实验室（矿物加工科学与技术国家重点实验室和矿冶过程自动控制技术国家重点实验室）、3个国家级工程(技术)研究中心（国家金属矿产资源综合利用工程技术研究中心、无污染有色金属提取及节能技术国家工程研究中心、国家磁性材料工程技术研究中心）和1个国家重有色金属质量监督检测中心。矿冶科技集团有限公司共获得国家和省部级科技成果奖励1100余项，授权专利和制订国家及行业标准1100余项；拥有中国工程院院士3人，享受国务院政府津贴92人，百千万人才工程、新世纪百千万人才工程国家级人选11人；具有矿业工程、冶金工程、材料科学与工程和机械工程4个一级学科硕士学位授予权。</w:t>
      </w:r>
    </w:p>
    <w:p>
      <w:pPr>
        <w:pStyle w:val="7"/>
        <w:numPr>
          <w:ilvl w:val="-1"/>
          <w:numId w:val="0"/>
        </w:num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选冶药剂的研发和应用是矿山化学品重要发展方向之一，矿冶集团作为国家重点实验室和国家工程中心的研究平台，在其研究课题“选冶药剂分子结构与绿色合成工艺计算机辅助设计（CAMD）技术”上取得重大突破，此项课题研究从化学药剂和矿物间的空间效应、电子效应等出发，研究化学药剂分子与矿物表面作用机理，通过量子化学、量子电化学等研究形成矿物加工化学药剂的分子结构计算机辅助分子设计（CAMD）理论，并研究化学药剂结构与环境影响的相关性及内在规律，建立选矿化学药剂结构与对环境影响的构效关系，指导并形成化学药剂的绿色合成技术。矿冶集团研发的选冶药剂以第三、四代药剂为主，多项成果获得了国家和省部级科技进步奖。</w:t>
      </w:r>
    </w:p>
    <w:p>
      <w:pPr>
        <w:keepNext w:val="0"/>
        <w:keepLines w:val="0"/>
        <w:pageBreakBefore w:val="0"/>
        <w:shd w:val="clear" w:color="auto" w:fill="auto"/>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b/>
          <w:bCs/>
          <w:color w:val="000000"/>
          <w:sz w:val="24"/>
          <w:szCs w:val="24"/>
          <w:highlight w:val="none"/>
          <w:lang w:val="en-US" w:eastAsia="zh-CN"/>
        </w:rPr>
      </w:pPr>
      <w:r>
        <w:rPr>
          <w:rFonts w:hint="default" w:eastAsia="宋体" w:asciiTheme="minorAscii" w:hAnsiTheme="minorAscii" w:cstheme="minorBidi"/>
          <w:b/>
          <w:bCs w:val="0"/>
          <w:color w:val="auto"/>
          <w:sz w:val="28"/>
          <w:szCs w:val="22"/>
          <w:highlight w:val="none"/>
          <w:lang w:val="en-US" w:eastAsia="zh-CN"/>
        </w:rPr>
        <w:t>1.3.2</w:t>
      </w:r>
      <w:r>
        <w:rPr>
          <w:rFonts w:hint="default" w:eastAsia="宋体" w:asciiTheme="minorAscii" w:hAnsiTheme="minorAscii" w:cstheme="minorBidi"/>
          <w:b/>
          <w:bCs w:val="0"/>
          <w:color w:val="auto"/>
          <w:sz w:val="28"/>
          <w:szCs w:val="22"/>
          <w:highlight w:val="none"/>
        </w:rPr>
        <w:t>参编单位及主要起草人工作情况</w:t>
      </w:r>
    </w:p>
    <w:p>
      <w:pPr>
        <w:keepNext w:val="0"/>
        <w:keepLines w:val="0"/>
        <w:pageBreakBefore w:val="0"/>
        <w:widowControl w:val="0"/>
        <w:kinsoku/>
        <w:wordWrap/>
        <w:overflowPunct/>
        <w:topLinePunct w:val="0"/>
        <w:autoSpaceDE/>
        <w:autoSpaceDN/>
        <w:bidi w:val="0"/>
        <w:adjustRightInd w:val="0"/>
        <w:snapToGrid w:val="0"/>
        <w:spacing w:line="360" w:lineRule="auto"/>
        <w:ind w:firstLine="20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表1 主要起草人及</w:t>
      </w:r>
      <w:r>
        <w:rPr>
          <w:rFonts w:hint="eastAsia" w:ascii="宋体" w:hAnsi="宋体" w:eastAsia="宋体" w:cs="宋体"/>
          <w:color w:val="000000"/>
          <w:sz w:val="24"/>
          <w:szCs w:val="24"/>
          <w:highlight w:val="none"/>
          <w:lang w:val="en-US" w:eastAsia="zh-CN"/>
        </w:rPr>
        <w:t>工作职责</w:t>
      </w:r>
      <w:bookmarkStart w:id="6" w:name="_GoBack"/>
      <w:bookmarkEnd w:id="6"/>
    </w:p>
    <w:tbl>
      <w:tblPr>
        <w:tblStyle w:val="14"/>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09"/>
        <w:gridCol w:w="2942"/>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26" w:hRule="atLeast"/>
          <w:jc w:val="center"/>
        </w:trPr>
        <w:tc>
          <w:tcPr>
            <w:tcW w:w="2509"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起草人</w:t>
            </w:r>
          </w:p>
        </w:tc>
        <w:tc>
          <w:tcPr>
            <w:tcW w:w="2942"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单位</w:t>
            </w:r>
          </w:p>
        </w:tc>
        <w:tc>
          <w:tcPr>
            <w:tcW w:w="3540"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644" w:hRule="atLeast"/>
          <w:jc w:val="center"/>
        </w:trPr>
        <w:tc>
          <w:tcPr>
            <w:tcW w:w="2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关蕴、</w:t>
            </w:r>
            <w:r>
              <w:rPr>
                <w:rFonts w:hint="eastAsia" w:ascii="宋体" w:hAnsi="宋体" w:cs="宋体"/>
                <w:color w:val="000000"/>
                <w:sz w:val="24"/>
                <w:szCs w:val="24"/>
                <w:highlight w:val="none"/>
                <w:lang w:val="en-US" w:eastAsia="zh-CN"/>
              </w:rPr>
              <w:t>郭靖宇、牟松、</w:t>
            </w:r>
            <w:r>
              <w:rPr>
                <w:rFonts w:hint="eastAsia" w:ascii="宋体" w:hAnsi="宋体" w:eastAsia="宋体" w:cs="宋体"/>
                <w:color w:val="000000"/>
                <w:sz w:val="24"/>
                <w:szCs w:val="24"/>
                <w:highlight w:val="none"/>
                <w:lang w:val="en-US" w:eastAsia="zh-CN"/>
              </w:rPr>
              <w:t>傅强</w:t>
            </w:r>
            <w:r>
              <w:rPr>
                <w:rFonts w:hint="eastAsia" w:ascii="宋体" w:hAnsi="宋体" w:cs="宋体"/>
                <w:color w:val="000000"/>
                <w:sz w:val="24"/>
                <w:szCs w:val="24"/>
                <w:highlight w:val="none"/>
                <w:lang w:val="en-US" w:eastAsia="zh-CN"/>
              </w:rPr>
              <w:t>、张连芝、赵越峰</w:t>
            </w:r>
          </w:p>
        </w:tc>
        <w:tc>
          <w:tcPr>
            <w:tcW w:w="2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沈阳有研矿物化工有限公司</w:t>
            </w:r>
          </w:p>
        </w:tc>
        <w:tc>
          <w:tcPr>
            <w:tcW w:w="3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产品各项性能指标的调研、总结；标准文本和编制说明的撰写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644" w:hRule="atLeast"/>
          <w:jc w:val="center"/>
        </w:trPr>
        <w:tc>
          <w:tcPr>
            <w:tcW w:w="2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张学明、卢嘉</w:t>
            </w:r>
          </w:p>
        </w:tc>
        <w:tc>
          <w:tcPr>
            <w:tcW w:w="2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铁岭选矿药剂有限公司</w:t>
            </w:r>
          </w:p>
        </w:tc>
        <w:tc>
          <w:tcPr>
            <w:tcW w:w="3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参与数据调研，提供产品指标数据；参与产品测试方法调研，确认试验方法的可行性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644" w:hRule="atLeast"/>
          <w:jc w:val="center"/>
        </w:trPr>
        <w:tc>
          <w:tcPr>
            <w:tcW w:w="2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吴桂叶</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朱阳戈</w:t>
            </w:r>
          </w:p>
        </w:tc>
        <w:tc>
          <w:tcPr>
            <w:tcW w:w="2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Cs w:val="0"/>
                <w:color w:val="000000"/>
                <w:sz w:val="24"/>
                <w:szCs w:val="24"/>
                <w:highlight w:val="none"/>
                <w:lang w:val="en-US" w:eastAsia="zh-CN"/>
              </w:rPr>
              <w:t>矿冶科技集团有限公司</w:t>
            </w:r>
          </w:p>
        </w:tc>
        <w:tc>
          <w:tcPr>
            <w:tcW w:w="3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国内外产品进展前沿动态，提供理论支撑</w:t>
            </w:r>
          </w:p>
        </w:tc>
      </w:tr>
    </w:tbl>
    <w:p>
      <w:pPr>
        <w:pStyle w:val="19"/>
        <w:keepNext w:val="0"/>
        <w:keepLines w:val="0"/>
        <w:pageBreakBefore w:val="0"/>
        <w:kinsoku/>
        <w:wordWrap/>
        <w:overflowPunct/>
        <w:topLinePunct w:val="0"/>
        <w:autoSpaceDE/>
        <w:autoSpaceDN/>
        <w:bidi w:val="0"/>
        <w:adjustRightInd/>
        <w:snapToGrid/>
        <w:spacing w:beforeLines="0" w:afterLines="0" w:line="360" w:lineRule="auto"/>
        <w:textAlignment w:val="auto"/>
        <w:outlineLvl w:val="9"/>
        <w:rPr>
          <w:rFonts w:hint="default" w:eastAsia="宋体" w:asciiTheme="minorAscii" w:hAnsiTheme="minorAscii" w:cstheme="minorBidi"/>
          <w:b/>
          <w:bCs w:val="0"/>
          <w:color w:val="auto"/>
          <w:kern w:val="2"/>
          <w:sz w:val="28"/>
          <w:szCs w:val="22"/>
          <w:highlight w:val="none"/>
        </w:rPr>
      </w:pPr>
      <w:r>
        <w:rPr>
          <w:rFonts w:hint="default" w:eastAsia="宋体" w:asciiTheme="minorAscii" w:hAnsiTheme="minorAscii" w:cstheme="minorBidi"/>
          <w:b/>
          <w:bCs w:val="0"/>
          <w:color w:val="auto"/>
          <w:kern w:val="2"/>
          <w:sz w:val="28"/>
          <w:szCs w:val="22"/>
          <w:highlight w:val="none"/>
        </w:rPr>
        <w:t>1.4 主要工作过程</w:t>
      </w:r>
    </w:p>
    <w:p>
      <w:pPr>
        <w:pStyle w:val="19"/>
        <w:spacing w:beforeLines="0" w:afterLines="0" w:line="360" w:lineRule="auto"/>
        <w:outlineLvl w:val="9"/>
        <w:rPr>
          <w:rFonts w:hint="default" w:eastAsia="宋体" w:asciiTheme="minorAscii" w:hAnsiTheme="minorAscii" w:cstheme="minorBidi"/>
          <w:b/>
          <w:bCs w:val="0"/>
          <w:color w:val="auto"/>
          <w:kern w:val="2"/>
          <w:sz w:val="28"/>
          <w:szCs w:val="22"/>
          <w:highlight w:val="none"/>
          <w:lang w:val="en-US" w:eastAsia="zh-CN" w:bidi="ar-SA"/>
        </w:rPr>
      </w:pPr>
      <w:r>
        <w:rPr>
          <w:rFonts w:hint="default" w:eastAsia="宋体" w:asciiTheme="minorAscii" w:hAnsiTheme="minorAscii" w:cstheme="minorBidi"/>
          <w:b/>
          <w:bCs w:val="0"/>
          <w:color w:val="auto"/>
          <w:kern w:val="2"/>
          <w:sz w:val="28"/>
          <w:szCs w:val="22"/>
          <w:highlight w:val="none"/>
          <w:lang w:val="en-US" w:eastAsia="zh-CN" w:bidi="ar-SA"/>
        </w:rPr>
        <w:t>1.4.1预研阶段</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前期调研与试验工作简介。</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2021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月初，成立标准编制小组，制定计划和下达编制任务。</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编制小组走访和调研，认真收集、整理、分析、研究技术资料，确定标准的主要技术指标内容，采集产品样品，在需求比较大的部分用户单位进行产品性能试验，获得了大量的试验数据，最后在综合分析、研究相关资料及数据的基础上，编制小组对技术要素、性能指标进行了确定。</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月底完成了行业标准《</w:t>
      </w:r>
      <w:r>
        <w:rPr>
          <w:rFonts w:hint="eastAsia" w:ascii="宋体" w:hAnsi="宋体" w:cs="宋体"/>
          <w:color w:val="auto"/>
          <w:sz w:val="24"/>
          <w:szCs w:val="24"/>
          <w:highlight w:val="none"/>
          <w:lang w:val="en-US" w:eastAsia="zh-CN"/>
        </w:rPr>
        <w:t>丁</w:t>
      </w:r>
      <w:r>
        <w:rPr>
          <w:rFonts w:hint="eastAsia" w:ascii="宋体" w:hAnsi="宋体" w:cs="宋体"/>
          <w:color w:val="auto"/>
          <w:sz w:val="24"/>
          <w:szCs w:val="24"/>
          <w:highlight w:val="none"/>
        </w:rPr>
        <w:t>氧羰基异丁基硫代氨基甲酸酯》标准讨论稿。</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月，申报材料上交至标准委员会。</w:t>
      </w:r>
    </w:p>
    <w:p>
      <w:pPr>
        <w:shd w:val="clear" w:color="auto" w:fill="auto"/>
        <w:spacing w:line="360" w:lineRule="auto"/>
        <w:ind w:firstLine="0" w:firstLineChars="0"/>
        <w:outlineLvl w:val="1"/>
        <w:rPr>
          <w:rFonts w:hint="default" w:eastAsia="宋体" w:asciiTheme="minorAscii" w:hAnsiTheme="minorAscii" w:cstheme="minorBidi"/>
          <w:b/>
          <w:bCs w:val="0"/>
          <w:color w:val="auto"/>
          <w:kern w:val="2"/>
          <w:sz w:val="28"/>
          <w:szCs w:val="22"/>
          <w:highlight w:val="none"/>
          <w:lang w:val="en-US" w:eastAsia="zh-CN" w:bidi="ar-SA"/>
        </w:rPr>
      </w:pPr>
      <w:r>
        <w:rPr>
          <w:rFonts w:hint="default" w:eastAsia="宋体" w:asciiTheme="minorAscii" w:hAnsiTheme="minorAscii" w:cstheme="minorBidi"/>
          <w:b/>
          <w:bCs w:val="0"/>
          <w:color w:val="auto"/>
          <w:kern w:val="2"/>
          <w:sz w:val="28"/>
          <w:szCs w:val="22"/>
          <w:highlight w:val="none"/>
          <w:lang w:val="en-US" w:eastAsia="zh-CN" w:bidi="ar-SA"/>
        </w:rPr>
        <w:t>1.4.2标准立项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2021年10月，</w:t>
      </w:r>
      <w:r>
        <w:rPr>
          <w:rFonts w:hint="eastAsia" w:ascii="宋体" w:hAnsi="宋体" w:eastAsia="宋体" w:cs="宋体"/>
          <w:color w:val="auto"/>
          <w:sz w:val="24"/>
          <w:szCs w:val="24"/>
          <w:highlight w:val="none"/>
          <w:lang w:val="en-US" w:eastAsia="zh-CN"/>
        </w:rPr>
        <w:t>沈阳有研矿物化工有限公司</w:t>
      </w:r>
      <w:r>
        <w:rPr>
          <w:rFonts w:hint="eastAsia" w:ascii="宋体" w:hAnsi="宋体" w:eastAsia="宋体" w:cs="宋体"/>
          <w:color w:val="auto"/>
          <w:kern w:val="0"/>
          <w:sz w:val="24"/>
          <w:szCs w:val="24"/>
          <w:highlight w:val="none"/>
          <w:lang w:val="en-US" w:eastAsia="zh-CN" w:bidi="ar-SA"/>
        </w:rPr>
        <w:t>向</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"mailto:tc243sc2@cnsmq.com"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全国有色金属标准化技术委员会</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"mailto:tc243sc2@cnsmq.com"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重金属分会</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rPr>
        <w:t>SAC/TC243</w:t>
      </w:r>
      <w:r>
        <w:rPr>
          <w:rFonts w:hint="eastAsia" w:ascii="宋体" w:hAnsi="宋体" w:eastAsia="宋体" w:cs="宋体"/>
          <w:color w:val="auto"/>
          <w:sz w:val="24"/>
          <w:szCs w:val="24"/>
          <w:highlight w:val="none"/>
          <w:lang w:val="en-US" w:eastAsia="zh-CN"/>
        </w:rPr>
        <w:t>）提交了《丁</w:t>
      </w:r>
      <w:r>
        <w:rPr>
          <w:rFonts w:hint="eastAsia" w:ascii="宋体" w:hAnsi="宋体" w:eastAsia="宋体" w:cs="宋体"/>
          <w:color w:val="auto"/>
          <w:sz w:val="24"/>
          <w:szCs w:val="24"/>
          <w:highlight w:val="none"/>
        </w:rPr>
        <w:t>氧羰基异丁基硫代氨基甲酸酯</w:t>
      </w:r>
      <w:r>
        <w:rPr>
          <w:rFonts w:hint="eastAsia" w:ascii="宋体" w:hAnsi="宋体" w:eastAsia="宋体" w:cs="宋体"/>
          <w:color w:val="auto"/>
          <w:sz w:val="24"/>
          <w:szCs w:val="24"/>
          <w:highlight w:val="none"/>
          <w:lang w:val="en-US" w:eastAsia="zh-CN"/>
        </w:rPr>
        <w:t>》行业标准修订项目建议书</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2022年12月，</w:t>
      </w:r>
      <w:r>
        <w:rPr>
          <w:rFonts w:hint="eastAsia" w:ascii="宋体" w:hAnsi="宋体" w:eastAsia="宋体" w:cs="宋体"/>
          <w:color w:val="auto"/>
          <w:kern w:val="2"/>
          <w:sz w:val="24"/>
          <w:szCs w:val="24"/>
          <w:highlight w:val="none"/>
          <w:lang w:val="en-US" w:eastAsia="zh-CN" w:bidi="ar-SA"/>
        </w:rPr>
        <w:t>工业和信息化部办公厅印发</w:t>
      </w: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fill="auto"/>
        </w:rPr>
        <w:t>工业和信息化部办公厅关于印发2022年第三批行业标准制修订和外文版项目计划的通知</w:t>
      </w:r>
      <w:r>
        <w:rPr>
          <w:rFonts w:hint="eastAsia" w:ascii="宋体" w:hAnsi="宋体" w:eastAsia="宋体" w:cs="宋体"/>
          <w:color w:val="auto"/>
          <w:sz w:val="24"/>
          <w:szCs w:val="24"/>
          <w:highlight w:val="none"/>
        </w:rPr>
        <w:t>》（工信厅科函〔2022〕</w:t>
      </w:r>
      <w:r>
        <w:rPr>
          <w:rFonts w:hint="eastAsia" w:ascii="宋体" w:hAnsi="宋体" w:eastAsia="宋体" w:cs="宋体"/>
          <w:color w:val="auto"/>
          <w:sz w:val="24"/>
          <w:szCs w:val="24"/>
          <w:highlight w:val="none"/>
          <w:lang w:val="en-US" w:eastAsia="zh-CN"/>
        </w:rPr>
        <w:t>312</w:t>
      </w:r>
      <w:r>
        <w:rPr>
          <w:rFonts w:hint="eastAsia" w:ascii="宋体" w:hAnsi="宋体" w:eastAsia="宋体" w:cs="宋体"/>
          <w:color w:val="auto"/>
          <w:sz w:val="24"/>
          <w:szCs w:val="24"/>
          <w:highlight w:val="none"/>
        </w:rPr>
        <w:t>号）文件要求，</w:t>
      </w:r>
      <w:r>
        <w:rPr>
          <w:rFonts w:hint="eastAsia" w:ascii="宋体" w:hAnsi="宋体" w:eastAsia="宋体" w:cs="宋体"/>
          <w:color w:val="auto"/>
          <w:sz w:val="24"/>
          <w:szCs w:val="24"/>
          <w:highlight w:val="none"/>
          <w:lang w:val="en-US" w:eastAsia="zh-CN"/>
        </w:rPr>
        <w:t>行业</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val="en-US" w:eastAsia="zh-CN"/>
        </w:rPr>
        <w:t>丁</w:t>
      </w:r>
      <w:r>
        <w:rPr>
          <w:rFonts w:hint="eastAsia" w:ascii="宋体" w:hAnsi="宋体" w:eastAsia="宋体" w:cs="宋体"/>
          <w:color w:val="auto"/>
          <w:sz w:val="24"/>
          <w:szCs w:val="24"/>
          <w:highlight w:val="none"/>
        </w:rPr>
        <w:t>氧羰基异丁基硫代氨基甲酸酯》计划编号为</w:t>
      </w:r>
      <w:r>
        <w:rPr>
          <w:rFonts w:hint="eastAsia" w:ascii="宋体" w:hAnsi="宋体" w:eastAsia="宋体" w:cs="宋体"/>
          <w:color w:val="auto"/>
          <w:kern w:val="2"/>
          <w:sz w:val="24"/>
          <w:szCs w:val="24"/>
          <w:highlight w:val="none"/>
          <w:lang w:val="en-US" w:eastAsia="zh-CN"/>
        </w:rPr>
        <w:t>2022-1292T-YS</w:t>
      </w:r>
      <w:r>
        <w:rPr>
          <w:rFonts w:hint="eastAsia" w:ascii="宋体" w:hAnsi="宋体" w:eastAsia="宋体" w:cs="宋体"/>
          <w:color w:val="auto"/>
          <w:sz w:val="24"/>
          <w:szCs w:val="24"/>
          <w:highlight w:val="none"/>
        </w:rPr>
        <w:t>，项目周期为</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val="en-US" w:eastAsia="zh-CN"/>
        </w:rPr>
        <w:t>计划</w:t>
      </w:r>
      <w:r>
        <w:rPr>
          <w:rFonts w:hint="eastAsia" w:ascii="宋体" w:hAnsi="宋体" w:eastAsia="宋体" w:cs="宋体"/>
          <w:color w:val="auto"/>
          <w:sz w:val="24"/>
          <w:szCs w:val="24"/>
          <w:highlight w:val="none"/>
        </w:rPr>
        <w:t>完成年限为202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技术归口单位为全国有色金属标准化技术委员会。</w:t>
      </w:r>
    </w:p>
    <w:p>
      <w:pPr>
        <w:shd w:val="clear" w:color="auto" w:fill="auto"/>
        <w:spacing w:line="360" w:lineRule="auto"/>
        <w:ind w:firstLine="0" w:firstLineChars="0"/>
        <w:outlineLvl w:val="1"/>
        <w:rPr>
          <w:rFonts w:hint="default" w:eastAsia="宋体" w:asciiTheme="minorAscii" w:hAnsiTheme="minorAscii" w:cstheme="minorBidi"/>
          <w:b/>
          <w:bCs w:val="0"/>
          <w:color w:val="auto"/>
          <w:kern w:val="2"/>
          <w:sz w:val="28"/>
          <w:szCs w:val="22"/>
          <w:highlight w:val="none"/>
          <w:lang w:val="en-US" w:eastAsia="zh-CN" w:bidi="ar-SA"/>
        </w:rPr>
      </w:pPr>
      <w:r>
        <w:rPr>
          <w:rFonts w:hint="default" w:eastAsia="宋体" w:asciiTheme="minorAscii" w:hAnsiTheme="minorAscii" w:cstheme="minorBidi"/>
          <w:b/>
          <w:bCs w:val="0"/>
          <w:color w:val="auto"/>
          <w:kern w:val="2"/>
          <w:sz w:val="28"/>
          <w:szCs w:val="22"/>
          <w:highlight w:val="none"/>
          <w:lang w:val="en-US" w:eastAsia="zh-CN" w:bidi="ar-SA"/>
        </w:rPr>
        <w:t>1.4.3起草阶段</w:t>
      </w:r>
    </w:p>
    <w:p>
      <w:pPr>
        <w:spacing w:line="360" w:lineRule="auto"/>
        <w:ind w:firstLine="480" w:firstLineChars="200"/>
        <w:outlineLvl w:val="2"/>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沈阳有研矿物化工有限公司</w:t>
      </w:r>
      <w:r>
        <w:rPr>
          <w:rFonts w:hint="eastAsia" w:ascii="宋体" w:hAnsi="宋体" w:eastAsia="宋体" w:cs="宋体"/>
          <w:sz w:val="24"/>
          <w:szCs w:val="24"/>
          <w:highlight w:val="none"/>
        </w:rPr>
        <w:t>接到</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color w:val="000000"/>
          <w:sz w:val="24"/>
          <w:szCs w:val="24"/>
          <w:highlight w:val="none"/>
          <w:lang w:val="en-US" w:eastAsia="zh-CN"/>
        </w:rPr>
        <w:t>丁</w:t>
      </w:r>
      <w:r>
        <w:rPr>
          <w:rFonts w:hint="eastAsia" w:ascii="宋体" w:hAnsi="宋体" w:eastAsia="宋体" w:cs="宋体"/>
          <w:color w:val="000000"/>
          <w:sz w:val="24"/>
          <w:szCs w:val="24"/>
          <w:highlight w:val="none"/>
        </w:rPr>
        <w:t>氧羰基异丁基硫代氨基甲酸酯</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sz w:val="24"/>
          <w:szCs w:val="24"/>
          <w:highlight w:val="none"/>
          <w:lang w:val="en-US" w:eastAsia="zh-CN"/>
        </w:rPr>
        <w:t>修订</w:t>
      </w:r>
      <w:r>
        <w:rPr>
          <w:rFonts w:hint="eastAsia" w:ascii="宋体" w:hAnsi="宋体" w:eastAsia="宋体" w:cs="宋体"/>
          <w:sz w:val="24"/>
          <w:szCs w:val="24"/>
          <w:highlight w:val="none"/>
        </w:rPr>
        <w:t>工作任务后，成立了</w:t>
      </w:r>
      <w:r>
        <w:rPr>
          <w:rFonts w:hint="eastAsia" w:ascii="宋体" w:hAnsi="宋体" w:eastAsia="宋体" w:cs="宋体"/>
          <w:color w:val="000000"/>
          <w:sz w:val="24"/>
          <w:szCs w:val="24"/>
          <w:highlight w:val="none"/>
          <w:lang w:val="en-US" w:eastAsia="zh-CN"/>
        </w:rPr>
        <w:t>行业标准</w:t>
      </w:r>
      <w:r>
        <w:rPr>
          <w:rFonts w:hint="eastAsia" w:ascii="宋体" w:hAnsi="宋体" w:eastAsia="宋体" w:cs="宋体"/>
          <w:sz w:val="24"/>
          <w:szCs w:val="24"/>
          <w:highlight w:val="none"/>
        </w:rPr>
        <w:t>编制工作组，</w:t>
      </w:r>
      <w:r>
        <w:rPr>
          <w:rFonts w:hint="eastAsia" w:ascii="宋体" w:hAnsi="宋体" w:eastAsia="宋体" w:cs="宋体"/>
          <w:color w:val="000000"/>
          <w:sz w:val="24"/>
          <w:szCs w:val="24"/>
          <w:highlight w:val="none"/>
          <w:lang w:val="en-US" w:eastAsia="zh-CN"/>
        </w:rPr>
        <w:t>对目标任务进行了分解，明确成员的任务要求，制定工作计划和进度安排。</w:t>
      </w:r>
      <w:r>
        <w:rPr>
          <w:rFonts w:hint="eastAsia" w:ascii="宋体" w:hAnsi="宋体" w:eastAsia="宋体" w:cs="宋体"/>
          <w:sz w:val="24"/>
          <w:szCs w:val="24"/>
          <w:highlight w:val="none"/>
        </w:rPr>
        <w:t>本文件在起草过程中</w:t>
      </w:r>
      <w:r>
        <w:rPr>
          <w:rFonts w:hint="eastAsia" w:ascii="宋体" w:hAnsi="宋体" w:eastAsia="宋体" w:cs="宋体"/>
          <w:color w:val="000000"/>
          <w:sz w:val="24"/>
          <w:szCs w:val="24"/>
          <w:highlight w:val="none"/>
          <w:lang w:val="en-US" w:eastAsia="zh-CN"/>
        </w:rPr>
        <w:t>，铁岭选矿药剂有限公司、</w:t>
      </w:r>
      <w:r>
        <w:rPr>
          <w:rFonts w:hint="eastAsia" w:ascii="宋体" w:hAnsi="宋体" w:eastAsia="宋体" w:cs="宋体"/>
          <w:bCs w:val="0"/>
          <w:color w:val="000000"/>
          <w:sz w:val="24"/>
          <w:szCs w:val="24"/>
          <w:highlight w:val="none"/>
          <w:lang w:val="en-US" w:eastAsia="zh-CN"/>
        </w:rPr>
        <w:t>矿冶科技集团有限公司</w:t>
      </w:r>
      <w:r>
        <w:rPr>
          <w:rFonts w:hint="eastAsia" w:ascii="宋体" w:hAnsi="宋体" w:eastAsia="宋体" w:cs="宋体"/>
          <w:color w:val="000000"/>
          <w:sz w:val="24"/>
          <w:szCs w:val="24"/>
          <w:highlight w:val="none"/>
        </w:rPr>
        <w:t>参与数据调研，提供产品指标数据；参与产品测试方法调研，确认试验方法的可行性</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国内外产品进展前沿动态，提供理论支撑</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工作组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对上述资料整合汇总后，形成了标准草案和编制说明。</w:t>
      </w:r>
    </w:p>
    <w:p>
      <w:pPr>
        <w:spacing w:line="360" w:lineRule="auto"/>
        <w:ind w:firstLine="480" w:firstLineChars="200"/>
        <w:outlineLvl w:val="2"/>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2023年3月28日-29日，全国有色金属标准化技术委员会组织在湖南省衡阳市召开本标准的讨论会。编制组成员云南锡业股份有限公司、矿冶科技集团有限公司、大冶有色金属有限责任公司、广西华锡集团股份有限公司、沈阳有研矿物化工有限公司等单位的23位专家代表参加了会议。与会代表对本标准征求意见稿进行了认真、细致的讨论，提出了修改意见及建议，并形成有色金属行业标准会议纪要：</w:t>
      </w:r>
    </w:p>
    <w:p>
      <w:pPr>
        <w:pStyle w:val="7"/>
        <w:keepNext w:val="0"/>
        <w:keepLines w:val="0"/>
        <w:pageBreakBefore w:val="0"/>
        <w:numPr>
          <w:ilvl w:val="0"/>
          <w:numId w:val="2"/>
        </w:numPr>
        <w:kinsoku/>
        <w:wordWrap/>
        <w:overflowPunct/>
        <w:topLinePunct w:val="0"/>
        <w:bidi w:val="0"/>
        <w:adjustRightInd/>
        <w:snapToGrid/>
        <w:spacing w:line="360" w:lineRule="auto"/>
        <w:ind w:firstLine="480"/>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产品的物理性能和外观质量需要分开说明。</w:t>
      </w:r>
    </w:p>
    <w:p>
      <w:pPr>
        <w:pStyle w:val="7"/>
        <w:keepNext w:val="0"/>
        <w:keepLines w:val="0"/>
        <w:pageBreakBefore w:val="0"/>
        <w:numPr>
          <w:ilvl w:val="0"/>
          <w:numId w:val="2"/>
        </w:numPr>
        <w:kinsoku/>
        <w:wordWrap/>
        <w:overflowPunct/>
        <w:topLinePunct w:val="0"/>
        <w:bidi w:val="0"/>
        <w:adjustRightInd/>
        <w:snapToGrid/>
        <w:spacing w:line="360" w:lineRule="auto"/>
        <w:ind w:firstLine="480"/>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4.2中化学成分“丁氧羰基异丁基硫代氨基甲酸酯含量（质量分数）应该大于等于84%”改为“丁氧羰基异丁基硫代氨基甲酸酯含量（质量分数）应该大于等于84.00%”。</w:t>
      </w:r>
    </w:p>
    <w:p>
      <w:pPr>
        <w:pStyle w:val="7"/>
        <w:keepNext w:val="0"/>
        <w:keepLines w:val="0"/>
        <w:pageBreakBefore w:val="0"/>
        <w:numPr>
          <w:ilvl w:val="0"/>
          <w:numId w:val="2"/>
        </w:numPr>
        <w:kinsoku/>
        <w:wordWrap/>
        <w:overflowPunct/>
        <w:topLinePunct w:val="0"/>
        <w:bidi w:val="0"/>
        <w:adjustRightInd/>
        <w:snapToGrid/>
        <w:spacing w:line="360" w:lineRule="auto"/>
        <w:ind w:firstLine="480"/>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4.3物理性能中去掉“20℃条件下”。</w:t>
      </w:r>
    </w:p>
    <w:p>
      <w:pPr>
        <w:pStyle w:val="7"/>
        <w:keepNext w:val="0"/>
        <w:keepLines w:val="0"/>
        <w:pageBreakBefore w:val="0"/>
        <w:numPr>
          <w:ilvl w:val="0"/>
          <w:numId w:val="2"/>
        </w:numPr>
        <w:kinsoku/>
        <w:wordWrap/>
        <w:overflowPunct/>
        <w:topLinePunct w:val="0"/>
        <w:bidi w:val="0"/>
        <w:adjustRightInd/>
        <w:snapToGrid/>
        <w:spacing w:line="360" w:lineRule="auto"/>
        <w:ind w:firstLine="480"/>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6.2组批中增加组批重量，修改为“产品应成批提交验收，每批产品由同一品级多个生产班次组成，检验批次重量应不大于100t。”</w:t>
      </w:r>
    </w:p>
    <w:p>
      <w:pPr>
        <w:pStyle w:val="22"/>
        <w:keepNext w:val="0"/>
        <w:keepLines w:val="0"/>
        <w:pageBreakBefore w:val="0"/>
        <w:numPr>
          <w:ilvl w:val="0"/>
          <w:numId w:val="2"/>
        </w:numPr>
        <w:tabs>
          <w:tab w:val="center" w:pos="4201"/>
          <w:tab w:val="right" w:leader="dot" w:pos="9298"/>
        </w:tabs>
        <w:kinsoku/>
        <w:wordWrap/>
        <w:overflowPunct/>
        <w:topLinePunct w:val="0"/>
        <w:bidi w:val="0"/>
        <w:adjustRightInd/>
        <w:snapToGrid/>
        <w:spacing w:line="360" w:lineRule="auto"/>
        <w:ind w:left="0" w:leftChars="0" w:firstLine="480" w:firstLineChars="200"/>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6.4.1增加“采样的总量应保证检验的需求”。</w:t>
      </w:r>
    </w:p>
    <w:p>
      <w:pPr>
        <w:pStyle w:val="7"/>
        <w:numPr>
          <w:ilvl w:val="0"/>
          <w:numId w:val="2"/>
        </w:numPr>
        <w:spacing w:line="360" w:lineRule="auto"/>
        <w:ind w:left="0" w:leftChars="0"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附录中A.5允许差“增加实验室差值”的说明。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预审会议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2023年12月18日-20日，全国有色金属标准化技术委员会组织在四川省成都市召开本标准的预审会，云南锡业集团（控股）有限责任公司、云南锡业矿冶检测中心有限公司、云南锡业股份有限公司、铁岭选矿药剂有限公司、矿冶科技集团有限公司等单位相关人员参加会议，会议对《丁氧羰基异丁基硫代氨基甲酸酯》行业标准及编制说明进行了预审。会议对丁氧羰基异丁基硫代氨基甲酸酯标准草案内容进行了讨论，形成了有效的更改意见，会后编制组根据会议讨论意见对标准进行完善形成征求意见稿。</w:t>
      </w:r>
    </w:p>
    <w:p>
      <w:pPr>
        <w:shd w:val="clear" w:color="auto" w:fill="auto"/>
        <w:spacing w:line="360" w:lineRule="auto"/>
        <w:ind w:firstLine="0" w:firstLineChars="0"/>
        <w:outlineLvl w:val="1"/>
        <w:rPr>
          <w:rFonts w:hint="default" w:eastAsia="宋体" w:asciiTheme="minorAscii" w:hAnsiTheme="minorAscii" w:cstheme="minorBidi"/>
          <w:b/>
          <w:bCs w:val="0"/>
          <w:color w:val="auto"/>
          <w:kern w:val="2"/>
          <w:sz w:val="28"/>
          <w:szCs w:val="22"/>
          <w:highlight w:val="none"/>
          <w:lang w:val="en-US" w:eastAsia="zh-CN" w:bidi="ar-SA"/>
        </w:rPr>
      </w:pPr>
      <w:r>
        <w:rPr>
          <w:rFonts w:hint="default" w:eastAsia="宋体" w:asciiTheme="minorAscii" w:hAnsiTheme="minorAscii" w:cstheme="minorBidi"/>
          <w:b/>
          <w:bCs w:val="0"/>
          <w:color w:val="auto"/>
          <w:kern w:val="2"/>
          <w:sz w:val="28"/>
          <w:szCs w:val="22"/>
          <w:highlight w:val="none"/>
          <w:lang w:val="en-US" w:eastAsia="zh-CN" w:bidi="ar-SA"/>
        </w:rPr>
        <w:t>1.4.4征求意见阶段</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2024年7月，丁氧羰基异丁基硫代氨基甲酸酯编制小组通过邮件、电话、微信等广泛向全国丁氧羰基异丁基硫代氨基甲酸酯生产厂商，用户及科研院所发送标准草案稿征求意见。发送征求意见稿的单位有：沈阳有色金属研究院有限公司、中南大学、金堆城钼业股份有限集团、沈阳飞瑞化工有限公司、云南锡业股份有限公司、沈阳沈化院测试技术有限公司、沈阳理工大学、大连宏和伟丰贸易有限公司、</w:t>
      </w:r>
      <w:r>
        <w:rPr>
          <w:rFonts w:hint="eastAsia" w:ascii="宋体" w:hAnsi="宋体" w:eastAsia="宋体" w:cs="宋体"/>
          <w:kern w:val="0"/>
          <w:szCs w:val="24"/>
          <w:highlight w:val="none"/>
        </w:rPr>
        <w:t>嵩县辽铁选矿药剂销售有限公司</w:t>
      </w:r>
      <w:r>
        <w:rPr>
          <w:rFonts w:hint="eastAsia" w:ascii="宋体" w:hAnsi="宋体" w:eastAsia="宋体" w:cs="宋体"/>
          <w:kern w:val="0"/>
          <w:sz w:val="24"/>
          <w:szCs w:val="24"/>
          <w:highlight w:val="none"/>
          <w:lang w:eastAsia="zh-CN"/>
        </w:rPr>
        <w:t>、</w:t>
      </w:r>
      <w:r>
        <w:rPr>
          <w:rFonts w:hint="eastAsia" w:ascii="宋体" w:hAnsi="宋体" w:eastAsia="宋体" w:cs="宋体"/>
          <w:kern w:val="0"/>
          <w:szCs w:val="24"/>
          <w:highlight w:val="none"/>
        </w:rPr>
        <w:t>紫金铜业有限公司</w:t>
      </w:r>
      <w:r>
        <w:rPr>
          <w:rFonts w:hint="eastAsia" w:ascii="宋体" w:hAnsi="宋体" w:eastAsia="宋体" w:cs="宋体"/>
          <w:kern w:val="0"/>
          <w:sz w:val="24"/>
          <w:szCs w:val="24"/>
          <w:highlight w:val="none"/>
          <w:lang w:val="en-US" w:eastAsia="zh-CN" w:bidi="ar-SA"/>
        </w:rPr>
        <w:t xml:space="preserve"> 。发送“征求意见稿”的单位数：10个，收到“征求意见稿”后，回函的单位数：9 个，收到“征求意见稿”后，回函并有建议或意见的单位数：3个，没有回函的单位数：1个。</w:t>
      </w:r>
      <w:bookmarkStart w:id="0" w:name="_Hlk65783369"/>
      <w:r>
        <w:rPr>
          <w:rFonts w:hint="eastAsia" w:ascii="宋体" w:hAnsi="宋体" w:eastAsia="宋体" w:cs="宋体"/>
          <w:kern w:val="0"/>
          <w:sz w:val="24"/>
          <w:szCs w:val="24"/>
          <w:highlight w:val="none"/>
          <w:lang w:val="en-US" w:eastAsia="zh-CN" w:bidi="ar-SA"/>
        </w:rPr>
        <w:t>根据征求意见稿的回函情况，针对各家反馈的意见情况，经编制组讨论研究，提出具体修改意见及采纳情况，编写了《标准征求意见稿的征求意见汇总表》</w:t>
      </w:r>
      <w:bookmarkEnd w:id="0"/>
      <w:r>
        <w:rPr>
          <w:rFonts w:hint="eastAsia" w:ascii="宋体" w:hAnsi="宋体" w:eastAsia="宋体" w:cs="宋体"/>
          <w:kern w:val="0"/>
          <w:sz w:val="24"/>
          <w:szCs w:val="24"/>
          <w:highlight w:val="none"/>
          <w:lang w:val="en-US" w:eastAsia="zh-CN" w:bidi="ar-SA"/>
        </w:rPr>
        <w:t>。</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SA"/>
        </w:rPr>
        <w:t>经过征求意见阶段，同时征求用户和生产厂商建议，我们编制了征求意见汇总表，形成丁氧羰基异丁基硫代氨基甲酸酯送审稿。</w:t>
      </w:r>
    </w:p>
    <w:p>
      <w:pPr>
        <w:shd w:val="clear" w:color="auto" w:fill="auto"/>
        <w:spacing w:line="360" w:lineRule="auto"/>
        <w:ind w:firstLine="0" w:firstLineChars="0"/>
        <w:outlineLvl w:val="1"/>
        <w:rPr>
          <w:rFonts w:hint="default" w:eastAsia="宋体" w:asciiTheme="minorAscii" w:hAnsiTheme="minorAscii" w:cstheme="minorBidi"/>
          <w:b/>
          <w:bCs w:val="0"/>
          <w:color w:val="auto"/>
          <w:kern w:val="2"/>
          <w:sz w:val="28"/>
          <w:szCs w:val="22"/>
          <w:highlight w:val="none"/>
          <w:lang w:val="en-US" w:eastAsia="zh-CN" w:bidi="ar-SA"/>
        </w:rPr>
      </w:pPr>
      <w:r>
        <w:rPr>
          <w:rFonts w:hint="default" w:eastAsia="宋体" w:asciiTheme="minorAscii" w:hAnsiTheme="minorAscii" w:cstheme="minorBidi"/>
          <w:b/>
          <w:bCs w:val="0"/>
          <w:color w:val="auto"/>
          <w:kern w:val="2"/>
          <w:sz w:val="28"/>
          <w:szCs w:val="22"/>
          <w:highlight w:val="none"/>
          <w:lang w:val="en-US" w:eastAsia="zh-CN" w:bidi="ar-SA"/>
        </w:rPr>
        <w:t>1.4.5审查阶段</w:t>
      </w:r>
    </w:p>
    <w:p>
      <w:pPr>
        <w:spacing w:line="360" w:lineRule="auto"/>
        <w:ind w:firstLine="482" w:firstLineChars="200"/>
        <w:rPr>
          <w:rFonts w:hint="eastAsia" w:ascii="宋体" w:hAnsi="宋体" w:eastAsia="宋体" w:cs="宋体"/>
          <w:b/>
          <w:bCs/>
          <w:szCs w:val="24"/>
          <w:shd w:val="clear" w:color="auto" w:fill="FFFFFF"/>
          <w:lang w:val="en-US" w:eastAsia="zh-CN"/>
        </w:rPr>
      </w:pPr>
      <w:r>
        <w:rPr>
          <w:rFonts w:hint="eastAsia" w:ascii="宋体" w:hAnsi="宋体" w:eastAsia="宋体" w:cs="宋体"/>
          <w:b/>
          <w:bCs/>
          <w:szCs w:val="24"/>
          <w:shd w:val="clear" w:color="auto" w:fill="FFFFFF"/>
          <w:lang w:val="en-US" w:eastAsia="zh-CN"/>
        </w:rPr>
        <w:t>A.技术专家审查</w:t>
      </w:r>
    </w:p>
    <w:p>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jc w:val="left"/>
        <w:textAlignment w:val="auto"/>
        <w:rPr>
          <w:rFonts w:hint="eastAsia"/>
        </w:rPr>
      </w:pPr>
      <w:r>
        <w:rPr>
          <w:rFonts w:hint="eastAsia"/>
        </w:rPr>
        <w:t>2024年</w:t>
      </w:r>
      <w:r>
        <w:rPr>
          <w:rFonts w:hint="eastAsia"/>
          <w:lang w:val="en-US" w:eastAsia="zh-CN"/>
        </w:rPr>
        <w:t>9</w:t>
      </w:r>
      <w:r>
        <w:rPr>
          <w:rFonts w:hint="eastAsia"/>
        </w:rPr>
        <w:t>月2</w:t>
      </w:r>
      <w:r>
        <w:rPr>
          <w:rFonts w:hint="eastAsia"/>
          <w:lang w:val="en-US" w:eastAsia="zh-CN"/>
        </w:rPr>
        <w:t>5</w:t>
      </w:r>
      <w:r>
        <w:rPr>
          <w:rFonts w:hint="eastAsia"/>
        </w:rPr>
        <w:t>日，全国有色金属标准化技术委员会在</w:t>
      </w:r>
      <w:r>
        <w:rPr>
          <w:rFonts w:hint="eastAsia"/>
          <w:lang w:val="en-US" w:eastAsia="zh-CN"/>
        </w:rPr>
        <w:t>柳州</w:t>
      </w:r>
      <w:r>
        <w:rPr>
          <w:rFonts w:hint="eastAsia"/>
        </w:rPr>
        <w:t>市召开重金属标准工作会，</w:t>
      </w:r>
      <w:r>
        <w:rPr>
          <w:rFonts w:hint="eastAsia"/>
          <w:lang w:val="en-US" w:eastAsia="zh-CN"/>
        </w:rPr>
        <w:t>XXX</w:t>
      </w:r>
      <w:r>
        <w:rPr>
          <w:rFonts w:hint="eastAsia"/>
        </w:rPr>
        <w:t>等多家单位的代表参加会议。会议对《</w:t>
      </w:r>
      <w:r>
        <w:rPr>
          <w:rFonts w:hint="eastAsia" w:ascii="宋体" w:hAnsi="宋体" w:eastAsia="宋体" w:cs="宋体"/>
          <w:kern w:val="0"/>
          <w:sz w:val="24"/>
          <w:szCs w:val="24"/>
          <w:highlight w:val="none"/>
          <w:lang w:val="en-US" w:eastAsia="zh-CN" w:bidi="ar-SA"/>
        </w:rPr>
        <w:t>丁氧羰基异丁基硫代氨基甲酸酯</w:t>
      </w:r>
      <w:r>
        <w:rPr>
          <w:rFonts w:hint="eastAsia"/>
        </w:rPr>
        <w:t>》行业标准编制说明、标准文本的</w:t>
      </w:r>
      <w:r>
        <w:rPr>
          <w:rFonts w:hint="eastAsia"/>
          <w:lang w:val="en-US" w:eastAsia="zh-CN"/>
        </w:rPr>
        <w:t>送</w:t>
      </w:r>
      <w:r>
        <w:rPr>
          <w:rFonts w:hint="eastAsia"/>
        </w:rPr>
        <w:t>审稿进行讨论，提出修改意见和建议。</w:t>
      </w:r>
    </w:p>
    <w:p>
      <w:pPr>
        <w:adjustRightInd w:val="0"/>
        <w:snapToGrid w:val="0"/>
        <w:spacing w:line="360" w:lineRule="auto"/>
        <w:ind w:firstLine="482" w:firstLineChars="200"/>
        <w:jc w:val="left"/>
        <w:rPr>
          <w:rFonts w:hint="eastAsia" w:ascii="宋体" w:hAnsi="宋体" w:cs="宋体"/>
          <w:b/>
          <w:bCs/>
          <w:szCs w:val="24"/>
        </w:rPr>
      </w:pPr>
      <w:r>
        <w:rPr>
          <w:rFonts w:hint="eastAsia" w:ascii="宋体" w:hAnsi="宋体" w:cs="宋体"/>
          <w:b/>
          <w:bCs/>
          <w:szCs w:val="24"/>
          <w:lang w:val="en-US" w:eastAsia="zh-CN"/>
        </w:rPr>
        <w:t>B.</w:t>
      </w:r>
      <w:r>
        <w:rPr>
          <w:rFonts w:hint="eastAsia" w:ascii="宋体" w:hAnsi="宋体" w:cs="宋体"/>
          <w:b/>
          <w:bCs/>
          <w:szCs w:val="24"/>
        </w:rPr>
        <w:t>委员审查</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cs="宋体"/>
          <w:kern w:val="0"/>
          <w:szCs w:val="24"/>
        </w:rPr>
        <w:t>2024年</w:t>
      </w:r>
      <w:r>
        <w:rPr>
          <w:rFonts w:hint="eastAsia" w:ascii="宋体" w:hAnsi="宋体" w:cs="宋体"/>
          <w:kern w:val="0"/>
          <w:szCs w:val="24"/>
          <w:lang w:val="en-US" w:eastAsia="zh-CN"/>
        </w:rPr>
        <w:t>X</w:t>
      </w:r>
      <w:r>
        <w:rPr>
          <w:rFonts w:hint="eastAsia" w:ascii="宋体" w:hAnsi="宋体" w:cs="宋体"/>
          <w:kern w:val="0"/>
          <w:szCs w:val="24"/>
        </w:rPr>
        <w:t>月</w:t>
      </w:r>
      <w:r>
        <w:rPr>
          <w:rFonts w:hint="eastAsia" w:ascii="宋体" w:hAnsi="宋体" w:cs="宋体"/>
          <w:kern w:val="0"/>
          <w:szCs w:val="24"/>
          <w:lang w:val="en-US" w:eastAsia="zh-CN"/>
        </w:rPr>
        <w:t>X</w:t>
      </w:r>
      <w:r>
        <w:rPr>
          <w:rFonts w:hint="eastAsia" w:ascii="宋体" w:hAnsi="宋体" w:cs="宋体"/>
          <w:kern w:val="0"/>
          <w:szCs w:val="24"/>
        </w:rPr>
        <w:t>日，全国有色金属标准化技术委员会在</w:t>
      </w:r>
      <w:r>
        <w:rPr>
          <w:rFonts w:hint="eastAsia" w:ascii="宋体" w:hAnsi="宋体" w:cs="宋体"/>
          <w:kern w:val="0"/>
          <w:szCs w:val="24"/>
          <w:lang w:val="en-US" w:eastAsia="zh-CN"/>
        </w:rPr>
        <w:t>X</w:t>
      </w:r>
      <w:r>
        <w:rPr>
          <w:rFonts w:hint="eastAsia" w:ascii="宋体" w:hAnsi="宋体" w:cs="宋体"/>
          <w:kern w:val="0"/>
          <w:szCs w:val="24"/>
        </w:rPr>
        <w:t>召开了全国有色金属标准化技术委员会全体委员大会。全国有色金属标准化技术委员会全体委员大会应到会委员共计</w:t>
      </w:r>
      <w:r>
        <w:rPr>
          <w:rFonts w:hint="eastAsia" w:ascii="宋体" w:hAnsi="宋体" w:cs="宋体"/>
          <w:kern w:val="0"/>
          <w:szCs w:val="24"/>
          <w:lang w:val="en-US" w:eastAsia="zh-CN"/>
        </w:rPr>
        <w:t>X</w:t>
      </w:r>
      <w:r>
        <w:rPr>
          <w:rFonts w:hint="eastAsia" w:ascii="宋体" w:hAnsi="宋体" w:cs="宋体"/>
          <w:kern w:val="0"/>
          <w:szCs w:val="24"/>
        </w:rPr>
        <w:t>名，实际到会委员</w:t>
      </w:r>
      <w:r>
        <w:rPr>
          <w:rFonts w:hint="eastAsia" w:ascii="宋体" w:hAnsi="宋体" w:cs="宋体"/>
          <w:kern w:val="0"/>
          <w:szCs w:val="24"/>
          <w:lang w:val="en-US" w:eastAsia="zh-CN"/>
        </w:rPr>
        <w:t>X</w:t>
      </w:r>
      <w:r>
        <w:rPr>
          <w:rFonts w:hint="eastAsia" w:ascii="宋体" w:hAnsi="宋体" w:cs="宋体"/>
          <w:kern w:val="0"/>
          <w:szCs w:val="24"/>
        </w:rPr>
        <w:t>名。与会委员对该标准制修订程序、征求意见的过程、以及技术内容的确定等多方面进行了审查。与会</w:t>
      </w:r>
      <w:r>
        <w:rPr>
          <w:rFonts w:hint="eastAsia" w:ascii="宋体" w:hAnsi="宋体" w:cs="宋体"/>
          <w:kern w:val="0"/>
          <w:szCs w:val="24"/>
          <w:lang w:val="en-US" w:eastAsia="zh-CN"/>
        </w:rPr>
        <w:t>X</w:t>
      </w:r>
      <w:r>
        <w:rPr>
          <w:rFonts w:hint="eastAsia" w:ascii="宋体" w:hAnsi="宋体" w:cs="宋体"/>
          <w:kern w:val="0"/>
          <w:szCs w:val="24"/>
        </w:rPr>
        <w:t>名委员全体投票通过，同意该标准《送审稿》及和《送审稿编制说明》通过审查。</w:t>
      </w:r>
    </w:p>
    <w:p>
      <w:pPr>
        <w:shd w:val="clear" w:color="auto" w:fill="auto"/>
        <w:adjustRightInd/>
        <w:snapToGrid/>
        <w:spacing w:line="360" w:lineRule="auto"/>
        <w:ind w:firstLine="0" w:firstLineChars="0"/>
        <w:jc w:val="left"/>
        <w:outlineLvl w:val="1"/>
        <w:rPr>
          <w:rFonts w:hint="default"/>
          <w:b/>
          <w:bCs w:val="0"/>
          <w:sz w:val="28"/>
        </w:rPr>
      </w:pPr>
      <w:r>
        <w:rPr>
          <w:rFonts w:hint="default"/>
          <w:b/>
          <w:bCs w:val="0"/>
          <w:sz w:val="28"/>
          <w:lang w:val="en-US" w:eastAsia="zh-CN"/>
        </w:rPr>
        <w:t>1.4.6</w:t>
      </w:r>
      <w:r>
        <w:rPr>
          <w:rFonts w:hint="default"/>
          <w:b/>
          <w:bCs w:val="0"/>
          <w:sz w:val="28"/>
        </w:rPr>
        <w:t xml:space="preserve"> 报批阶段</w:t>
      </w:r>
    </w:p>
    <w:p>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rPr>
      </w:pPr>
      <w:r>
        <w:rPr>
          <w:rFonts w:hint="eastAsia"/>
        </w:rPr>
        <w:t xml:space="preserve"> 2024年</w:t>
      </w:r>
      <w:r>
        <w:rPr>
          <w:rFonts w:hint="eastAsia"/>
          <w:lang w:val="en-US" w:eastAsia="zh-CN"/>
        </w:rPr>
        <w:t>X</w:t>
      </w:r>
      <w:r>
        <w:rPr>
          <w:rFonts w:hint="eastAsia"/>
        </w:rPr>
        <w:t>月，标准编制组根据审定会提出的修订意见和建议对标准文本进行了进一步的修改整理，形成了本文件及其编制说明的报批稿，报标委会秘书处。</w:t>
      </w:r>
    </w:p>
    <w:p>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bCs/>
          <w:color w:val="auto"/>
          <w:sz w:val="24"/>
          <w:szCs w:val="24"/>
          <w:highlight w:val="none"/>
        </w:rPr>
      </w:pPr>
      <w:r>
        <w:rPr>
          <w:rFonts w:hint="default" w:eastAsia="宋体" w:asciiTheme="minorAscii" w:hAnsiTheme="minorAscii" w:cstheme="minorBidi"/>
          <w:b/>
          <w:bCs w:val="0"/>
          <w:color w:val="auto"/>
          <w:kern w:val="2"/>
          <w:sz w:val="30"/>
          <w:szCs w:val="22"/>
          <w:highlight w:val="none"/>
        </w:rPr>
        <w:t>二、编制原则</w:t>
      </w:r>
    </w:p>
    <w:p>
      <w:pPr>
        <w:pStyle w:val="7"/>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国不仅是选矿药剂产品的生产大国，同时也是选矿药剂产品的贸易大国。随着科技进步和市场的供需情况及其发展需要，为了规范选矿药剂产品的生产、贮存及运输，促进社会和经济的可持续发展，制定本标准，本标准的制定主要遵循以下原则：</w:t>
      </w:r>
    </w:p>
    <w:p>
      <w:pPr>
        <w:pStyle w:val="7"/>
        <w:numPr>
          <w:ilvl w:val="0"/>
          <w:numId w:val="3"/>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kern w:val="2"/>
          <w:sz w:val="24"/>
          <w:szCs w:val="24"/>
          <w:highlight w:val="none"/>
          <w:lang w:val="en-US" w:eastAsia="zh-CN" w:bidi="ar-SA"/>
        </w:rPr>
        <w:t>《中华人民共和国产品质量法》《中华人民共和国安全生产法》等有关法律、法规、政策及标准；</w:t>
      </w:r>
    </w:p>
    <w:p>
      <w:pPr>
        <w:pStyle w:val="7"/>
        <w:numPr>
          <w:ilvl w:val="0"/>
          <w:numId w:val="3"/>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标准制定工作按</w:t>
      </w:r>
      <w:r>
        <w:rPr>
          <w:rFonts w:hint="eastAsia" w:ascii="宋体" w:hAnsi="宋体" w:eastAsia="宋体" w:cs="宋体"/>
          <w:color w:val="auto"/>
          <w:kern w:val="2"/>
          <w:sz w:val="24"/>
          <w:szCs w:val="24"/>
          <w:highlight w:val="none"/>
          <w:lang w:val="en-US" w:eastAsia="zh-CN" w:bidi="ar-SA"/>
        </w:rPr>
        <w:t>GB/T 1.1-2020《标准化工作导则 第1部分：标准化文件的结构和起草规则》；</w:t>
      </w:r>
    </w:p>
    <w:p>
      <w:pPr>
        <w:pStyle w:val="7"/>
        <w:numPr>
          <w:ilvl w:val="0"/>
          <w:numId w:val="3"/>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为适应推荐性标准体系，标准制定过程中注意市场属性，强调供需方的协调一致，把生产产品标准与销售、贸易紧密结合，提高了标准的市场适应性；</w:t>
      </w:r>
    </w:p>
    <w:p>
      <w:pPr>
        <w:pStyle w:val="7"/>
        <w:numPr>
          <w:ilvl w:val="0"/>
          <w:numId w:val="3"/>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随着设备的更新、生产工艺的改进及节能减排、减污增效，主要技术指标的确定科学、经济、合理，生产技术和产品质量指标都可以有一定程度的提高，根据国内外用户的需求，可以满足用户更高的产品技术指标和包装的需求。</w:t>
      </w:r>
    </w:p>
    <w:p>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default" w:eastAsia="宋体" w:asciiTheme="minorAscii" w:hAnsiTheme="minorAscii" w:cstheme="minorBidi"/>
          <w:b/>
          <w:bCs w:val="0"/>
          <w:color w:val="auto"/>
          <w:kern w:val="2"/>
          <w:sz w:val="30"/>
          <w:szCs w:val="22"/>
          <w:highlight w:val="none"/>
          <w:lang w:val="en-US" w:eastAsia="zh-CN"/>
        </w:rPr>
      </w:pPr>
      <w:r>
        <w:rPr>
          <w:rFonts w:hint="default" w:eastAsia="宋体" w:asciiTheme="minorAscii" w:hAnsiTheme="minorAscii" w:cstheme="minorBidi"/>
          <w:b/>
          <w:bCs w:val="0"/>
          <w:color w:val="auto"/>
          <w:kern w:val="2"/>
          <w:sz w:val="30"/>
          <w:szCs w:val="22"/>
          <w:highlight w:val="none"/>
        </w:rPr>
        <w:t>三、标准主要技术内容</w:t>
      </w:r>
      <w:r>
        <w:rPr>
          <w:rFonts w:hint="default" w:eastAsia="宋体" w:asciiTheme="minorAscii" w:hAnsiTheme="minorAscii" w:cstheme="minorBidi"/>
          <w:b/>
          <w:bCs w:val="0"/>
          <w:color w:val="auto"/>
          <w:kern w:val="2"/>
          <w:sz w:val="30"/>
          <w:szCs w:val="22"/>
          <w:highlight w:val="none"/>
          <w:lang w:val="en-US" w:eastAsia="zh-CN"/>
        </w:rPr>
        <w:t>的确定依据及主要试验和验证情况分析</w:t>
      </w:r>
    </w:p>
    <w:p>
      <w:pPr>
        <w:pStyle w:val="7"/>
        <w:numPr>
          <w:ilvl w:val="-1"/>
          <w:numId w:val="0"/>
        </w:numPr>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default" w:eastAsia="宋体" w:asciiTheme="minorAscii" w:hAnsiTheme="minorAscii" w:cstheme="minorBidi"/>
          <w:b/>
          <w:bCs w:val="0"/>
          <w:color w:val="auto"/>
          <w:sz w:val="28"/>
          <w:szCs w:val="22"/>
          <w:highlight w:val="none"/>
          <w:lang w:val="en-US" w:eastAsia="zh-CN"/>
        </w:rPr>
        <w:t>3.</w:t>
      </w:r>
      <w:r>
        <w:rPr>
          <w:rFonts w:hint="default" w:eastAsia="宋体" w:asciiTheme="minorAscii" w:hAnsiTheme="minorAscii" w:cstheme="minorBidi"/>
          <w:b/>
          <w:bCs w:val="0"/>
          <w:color w:val="auto"/>
          <w:sz w:val="28"/>
          <w:szCs w:val="22"/>
          <w:highlight w:val="none"/>
        </w:rPr>
        <w:t>1</w:t>
      </w:r>
      <w:r>
        <w:rPr>
          <w:rFonts w:hint="default" w:eastAsia="宋体" w:asciiTheme="minorAscii" w:hAnsiTheme="minorAscii" w:cstheme="minorBidi"/>
          <w:b/>
          <w:bCs w:val="0"/>
          <w:color w:val="auto"/>
          <w:sz w:val="28"/>
          <w:szCs w:val="22"/>
          <w:highlight w:val="none"/>
          <w:lang w:val="en-US" w:eastAsia="zh-CN"/>
        </w:rPr>
        <w:t>产品性质</w:t>
      </w:r>
    </w:p>
    <w:p>
      <w:pPr>
        <w:pStyle w:val="7"/>
        <w:numPr>
          <w:ilvl w:val="-1"/>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丁氧羰基异丁基硫代氨基甲酸酯产品外观为黄色至琥珀色透明油状液体，不应混有不溶性杂质，产品运输过程中应注意防晒，不能卧放或倒置，产品的贮存条件应为通风、阴凉、防晒。</w:t>
      </w:r>
    </w:p>
    <w:p>
      <w:pPr>
        <w:pStyle w:val="7"/>
        <w:numPr>
          <w:ilvl w:val="-1"/>
          <w:numId w:val="0"/>
        </w:numPr>
        <w:spacing w:line="360" w:lineRule="auto"/>
        <w:ind w:firstLine="0" w:firstLineChars="0"/>
        <w:rPr>
          <w:rFonts w:hint="default" w:eastAsia="宋体" w:asciiTheme="minorAscii" w:hAnsiTheme="minorAscii" w:cstheme="minorBidi"/>
          <w:b/>
          <w:color w:val="auto"/>
          <w:kern w:val="2"/>
          <w:sz w:val="28"/>
          <w:szCs w:val="22"/>
          <w:highlight w:val="none"/>
          <w:lang w:val="en-US" w:eastAsia="zh-CN" w:bidi="ar-SA"/>
        </w:rPr>
      </w:pPr>
      <w:r>
        <w:rPr>
          <w:rFonts w:hint="default" w:eastAsia="宋体" w:asciiTheme="minorAscii" w:hAnsiTheme="minorAscii" w:cstheme="minorBidi"/>
          <w:b/>
          <w:bCs w:val="0"/>
          <w:color w:val="auto"/>
          <w:sz w:val="28"/>
          <w:szCs w:val="22"/>
          <w:highlight w:val="none"/>
          <w:lang w:val="en-US" w:eastAsia="zh-CN"/>
        </w:rPr>
        <w:t>3.2产品用途</w:t>
      </w:r>
    </w:p>
    <w:p>
      <w:pPr>
        <w:pStyle w:val="7"/>
        <w:numPr>
          <w:ilvl w:val="-1"/>
          <w:numId w:val="0"/>
        </w:num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丁</w:t>
      </w:r>
      <w:r>
        <w:rPr>
          <w:rFonts w:hint="eastAsia" w:ascii="宋体" w:hAnsi="宋体" w:eastAsia="宋体" w:cs="宋体"/>
          <w:color w:val="000000" w:themeColor="text1"/>
          <w:sz w:val="24"/>
          <w:szCs w:val="24"/>
          <w:highlight w:val="none"/>
          <w14:textFill>
            <w14:solidFill>
              <w14:schemeClr w14:val="tx1"/>
            </w14:solidFill>
          </w14:textFill>
        </w:rPr>
        <w:t>氧羰基</w:t>
      </w:r>
      <w:r>
        <w:rPr>
          <w:rFonts w:hint="eastAsia" w:ascii="宋体" w:hAnsi="宋体" w:eastAsia="宋体" w:cs="宋体"/>
          <w:color w:val="000000" w:themeColor="text1"/>
          <w:sz w:val="24"/>
          <w:szCs w:val="24"/>
          <w:highlight w:val="none"/>
          <w:lang w:val="en-US" w:eastAsia="zh-CN"/>
          <w14:textFill>
            <w14:solidFill>
              <w14:schemeClr w14:val="tx1"/>
            </w14:solidFill>
          </w14:textFill>
        </w:rPr>
        <w:t>异丁</w:t>
      </w:r>
      <w:r>
        <w:rPr>
          <w:rFonts w:hint="eastAsia" w:ascii="宋体" w:hAnsi="宋体" w:eastAsia="宋体" w:cs="宋体"/>
          <w:color w:val="000000" w:themeColor="text1"/>
          <w:sz w:val="24"/>
          <w:szCs w:val="24"/>
          <w:highlight w:val="none"/>
          <w14:textFill>
            <w14:solidFill>
              <w14:schemeClr w14:val="tx1"/>
            </w14:solidFill>
          </w14:textFill>
        </w:rPr>
        <w:t>基硫氨酯产品选择性好，捕收力强，</w:t>
      </w:r>
      <w:r>
        <w:rPr>
          <w:rFonts w:hint="eastAsia" w:ascii="宋体" w:hAnsi="宋体" w:eastAsia="宋体" w:cs="宋体"/>
          <w:color w:val="000000" w:themeColor="text1"/>
          <w:sz w:val="24"/>
          <w:szCs w:val="24"/>
          <w:highlight w:val="none"/>
          <w:lang w:val="en-US" w:eastAsia="zh-CN"/>
          <w14:textFill>
            <w14:solidFill>
              <w14:schemeClr w14:val="tx1"/>
            </w14:solidFill>
          </w14:textFill>
        </w:rPr>
        <w:t>不仅能提高贫、细、杂难选铜矿的精矿品位和回收率，而且还能大幅度提高伴生的金、银、钼等贵金属的回收率</w:t>
      </w:r>
      <w:r>
        <w:rPr>
          <w:rFonts w:hint="eastAsia" w:ascii="宋体" w:hAnsi="宋体" w:eastAsia="宋体" w:cs="宋体"/>
          <w:color w:val="000000" w:themeColor="text1"/>
          <w:sz w:val="24"/>
          <w:szCs w:val="24"/>
          <w:highlight w:val="none"/>
          <w14:textFill>
            <w14:solidFill>
              <w14:schemeClr w14:val="tx1"/>
            </w14:solidFill>
          </w14:textFill>
        </w:rPr>
        <w:t>在选矿过程中能大幅度提高金属精矿的产品质量和金属回收率，尤其是对铜金属矿伴生的金、银等贵金属选矿效果特别显著</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7"/>
        <w:numPr>
          <w:ilvl w:val="-1"/>
          <w:numId w:val="0"/>
        </w:numPr>
        <w:spacing w:line="360" w:lineRule="auto"/>
        <w:ind w:firstLine="0" w:firstLineChars="0"/>
        <w:rPr>
          <w:rFonts w:hint="eastAsia" w:ascii="宋体" w:hAnsi="宋体" w:eastAsia="宋体" w:cs="宋体"/>
          <w:b/>
          <w:bCs/>
          <w:color w:val="auto"/>
          <w:sz w:val="24"/>
          <w:szCs w:val="24"/>
          <w:highlight w:val="none"/>
          <w:lang w:val="en-US" w:eastAsia="zh-CN"/>
        </w:rPr>
      </w:pPr>
      <w:r>
        <w:rPr>
          <w:rFonts w:hint="default" w:eastAsia="宋体" w:asciiTheme="minorAscii" w:hAnsiTheme="minorAscii" w:cstheme="minorBidi"/>
          <w:b/>
          <w:bCs w:val="0"/>
          <w:color w:val="auto"/>
          <w:sz w:val="28"/>
          <w:szCs w:val="22"/>
          <w:highlight w:val="none"/>
          <w:lang w:val="en-US" w:eastAsia="zh-CN"/>
        </w:rPr>
        <w:t>3.3分类</w:t>
      </w:r>
    </w:p>
    <w:p>
      <w:pPr>
        <w:pStyle w:val="22"/>
        <w:tabs>
          <w:tab w:val="center" w:pos="4201"/>
          <w:tab w:val="right" w:leader="dot" w:pos="9298"/>
        </w:tabs>
        <w:spacing w:line="360" w:lineRule="auto"/>
        <w:rPr>
          <w:rFonts w:hint="eastAsia" w:hAnsi="宋体" w:cs="宋体"/>
          <w:sz w:val="24"/>
          <w:szCs w:val="24"/>
          <w:highlight w:val="none"/>
          <w:u w:val="none"/>
        </w:rPr>
      </w:pPr>
      <w:r>
        <w:rPr>
          <w:rFonts w:hint="eastAsia" w:hAnsi="宋体" w:cs="宋体"/>
          <w:sz w:val="24"/>
          <w:szCs w:val="24"/>
          <w:highlight w:val="none"/>
          <w:u w:val="none"/>
          <w:lang w:val="en-US" w:eastAsia="zh-CN"/>
        </w:rPr>
        <w:t>产品</w:t>
      </w:r>
      <w:r>
        <w:rPr>
          <w:rFonts w:hint="eastAsia" w:hAnsi="宋体" w:cs="宋体"/>
          <w:sz w:val="24"/>
          <w:szCs w:val="24"/>
          <w:highlight w:val="none"/>
          <w:u w:val="none"/>
        </w:rPr>
        <w:t>的牌号</w:t>
      </w:r>
      <w:r>
        <w:rPr>
          <w:rFonts w:hint="eastAsia" w:hAnsi="宋体" w:cs="宋体"/>
          <w:sz w:val="24"/>
          <w:szCs w:val="24"/>
          <w:highlight w:val="none"/>
          <w:u w:val="none"/>
          <w:lang w:eastAsia="zh-CN"/>
        </w:rPr>
        <w:t>、</w:t>
      </w:r>
      <w:r>
        <w:rPr>
          <w:rFonts w:hint="eastAsia" w:hAnsi="宋体" w:cs="宋体"/>
          <w:sz w:val="24"/>
          <w:szCs w:val="24"/>
          <w:highlight w:val="none"/>
          <w:u w:val="none"/>
          <w:lang w:val="en-US" w:eastAsia="zh-CN"/>
        </w:rPr>
        <w:t>化学分子式、结构式、分子量、化学名称</w:t>
      </w:r>
      <w:r>
        <w:rPr>
          <w:rFonts w:hint="eastAsia" w:hAnsi="宋体" w:cs="宋体"/>
          <w:sz w:val="24"/>
          <w:szCs w:val="24"/>
          <w:highlight w:val="none"/>
          <w:u w:val="none"/>
        </w:rPr>
        <w:t>应符合表1的规定。</w:t>
      </w:r>
    </w:p>
    <w:p>
      <w:pPr>
        <w:pStyle w:val="22"/>
        <w:tabs>
          <w:tab w:val="center" w:pos="4201"/>
          <w:tab w:val="right" w:leader="dot" w:pos="9298"/>
        </w:tabs>
        <w:spacing w:line="360" w:lineRule="auto"/>
        <w:ind w:firstLine="0" w:firstLineChars="0"/>
        <w:jc w:val="center"/>
        <w:rPr>
          <w:rFonts w:hint="eastAsia" w:hAnsi="宋体" w:cs="宋体"/>
          <w:sz w:val="24"/>
          <w:szCs w:val="24"/>
          <w:highlight w:val="none"/>
          <w:u w:val="none"/>
        </w:rPr>
      </w:pPr>
      <w:r>
        <w:rPr>
          <w:rFonts w:hint="eastAsia" w:hAnsi="宋体" w:cs="宋体"/>
          <w:sz w:val="24"/>
          <w:szCs w:val="24"/>
          <w:highlight w:val="none"/>
          <w:u w:val="none"/>
        </w:rPr>
        <w:t>表1  产品的牌号、化学</w:t>
      </w:r>
      <w:r>
        <w:rPr>
          <w:rFonts w:hint="eastAsia" w:hAnsi="宋体" w:cs="宋体"/>
          <w:sz w:val="24"/>
          <w:szCs w:val="24"/>
          <w:highlight w:val="none"/>
          <w:u w:val="none"/>
          <w:lang w:val="en-US" w:eastAsia="zh-CN"/>
        </w:rPr>
        <w:t>分子式</w:t>
      </w:r>
      <w:r>
        <w:rPr>
          <w:rFonts w:hint="eastAsia" w:hAnsi="宋体" w:cs="宋体"/>
          <w:sz w:val="24"/>
          <w:szCs w:val="24"/>
          <w:highlight w:val="none"/>
          <w:u w:val="none"/>
        </w:rPr>
        <w:t>、</w:t>
      </w:r>
      <w:r>
        <w:rPr>
          <w:rFonts w:hint="eastAsia" w:hAnsi="宋体" w:cs="宋体"/>
          <w:sz w:val="24"/>
          <w:szCs w:val="24"/>
          <w:highlight w:val="none"/>
          <w:u w:val="none"/>
          <w:lang w:val="en-US" w:eastAsia="zh-CN"/>
        </w:rPr>
        <w:t>结构式、分子量和</w:t>
      </w:r>
      <w:r>
        <w:rPr>
          <w:rFonts w:hint="eastAsia" w:hAnsi="宋体" w:cs="宋体"/>
          <w:sz w:val="24"/>
          <w:szCs w:val="24"/>
          <w:highlight w:val="none"/>
          <w:u w:val="none"/>
        </w:rPr>
        <w:t>化学名称</w:t>
      </w:r>
    </w:p>
    <w:tbl>
      <w:tblPr>
        <w:tblStyle w:val="14"/>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136"/>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vAlign w:val="center"/>
          </w:tcPr>
          <w:p>
            <w:pPr>
              <w:pStyle w:val="22"/>
              <w:tabs>
                <w:tab w:val="center" w:pos="4201"/>
                <w:tab w:val="right" w:leader="dot" w:pos="9298"/>
              </w:tabs>
              <w:spacing w:line="360" w:lineRule="auto"/>
              <w:ind w:firstLine="0" w:firstLineChars="0"/>
              <w:jc w:val="center"/>
              <w:rPr>
                <w:rFonts w:hint="eastAsia" w:hAnsi="宋体" w:cs="宋体"/>
                <w:sz w:val="24"/>
                <w:szCs w:val="24"/>
                <w:highlight w:val="none"/>
                <w:u w:val="none"/>
              </w:rPr>
            </w:pPr>
            <w:r>
              <w:rPr>
                <w:rFonts w:hint="eastAsia" w:hAnsi="宋体" w:cs="宋体"/>
                <w:sz w:val="24"/>
                <w:szCs w:val="24"/>
                <w:highlight w:val="none"/>
                <w:u w:val="none"/>
              </w:rPr>
              <w:t>牌号</w:t>
            </w:r>
          </w:p>
        </w:tc>
        <w:tc>
          <w:tcPr>
            <w:tcW w:w="5136" w:type="dxa"/>
            <w:tcBorders>
              <w:top w:val="single" w:color="auto" w:sz="4" w:space="0"/>
              <w:left w:val="nil"/>
              <w:bottom w:val="single" w:color="auto" w:sz="4" w:space="0"/>
              <w:right w:val="single" w:color="auto" w:sz="4" w:space="0"/>
            </w:tcBorders>
            <w:vAlign w:val="center"/>
          </w:tcPr>
          <w:p>
            <w:pPr>
              <w:pStyle w:val="22"/>
              <w:tabs>
                <w:tab w:val="center" w:pos="4201"/>
                <w:tab w:val="right" w:leader="dot" w:pos="9298"/>
              </w:tabs>
              <w:spacing w:line="360" w:lineRule="auto"/>
              <w:ind w:firstLine="0" w:firstLineChars="0"/>
              <w:jc w:val="center"/>
              <w:rPr>
                <w:rFonts w:hint="eastAsia" w:hAnsi="宋体" w:eastAsia="宋体" w:cs="宋体"/>
                <w:sz w:val="24"/>
                <w:szCs w:val="24"/>
                <w:highlight w:val="none"/>
                <w:u w:val="none"/>
                <w:lang w:val="en-US" w:eastAsia="zh-CN"/>
              </w:rPr>
            </w:pPr>
            <w:r>
              <w:rPr>
                <w:rFonts w:hint="eastAsia" w:hAnsi="宋体" w:cs="宋体"/>
                <w:sz w:val="24"/>
                <w:szCs w:val="24"/>
                <w:highlight w:val="none"/>
                <w:u w:val="none"/>
              </w:rPr>
              <w:t>化学</w:t>
            </w:r>
            <w:r>
              <w:rPr>
                <w:rFonts w:hint="eastAsia" w:hAnsi="宋体" w:cs="宋体"/>
                <w:sz w:val="24"/>
                <w:szCs w:val="24"/>
                <w:highlight w:val="none"/>
                <w:u w:val="none"/>
                <w:lang w:val="en-US" w:eastAsia="zh-CN"/>
              </w:rPr>
              <w:t>分子式、</w:t>
            </w:r>
            <w:r>
              <w:rPr>
                <w:rFonts w:hint="eastAsia" w:hAnsi="宋体" w:cs="宋体"/>
                <w:sz w:val="24"/>
                <w:szCs w:val="24"/>
                <w:highlight w:val="none"/>
                <w:u w:val="none"/>
              </w:rPr>
              <w:t>结构式</w:t>
            </w:r>
            <w:r>
              <w:rPr>
                <w:rFonts w:hint="eastAsia" w:hAnsi="宋体" w:cs="宋体"/>
                <w:sz w:val="24"/>
                <w:szCs w:val="24"/>
                <w:highlight w:val="none"/>
                <w:u w:val="none"/>
                <w:lang w:eastAsia="zh-CN"/>
              </w:rPr>
              <w:t>、</w:t>
            </w:r>
            <w:r>
              <w:rPr>
                <w:rFonts w:hint="eastAsia" w:hAnsi="宋体" w:cs="宋体"/>
                <w:sz w:val="24"/>
                <w:szCs w:val="24"/>
                <w:highlight w:val="none"/>
                <w:u w:val="none"/>
                <w:lang w:val="en-US" w:eastAsia="zh-CN"/>
              </w:rPr>
              <w:t>分子量</w:t>
            </w:r>
          </w:p>
        </w:tc>
        <w:tc>
          <w:tcPr>
            <w:tcW w:w="2490" w:type="dxa"/>
            <w:tcBorders>
              <w:top w:val="single" w:color="auto" w:sz="4" w:space="0"/>
              <w:left w:val="nil"/>
              <w:bottom w:val="single" w:color="auto" w:sz="4" w:space="0"/>
              <w:right w:val="single" w:color="auto" w:sz="4" w:space="0"/>
            </w:tcBorders>
            <w:vAlign w:val="center"/>
          </w:tcPr>
          <w:p>
            <w:pPr>
              <w:pStyle w:val="22"/>
              <w:tabs>
                <w:tab w:val="center" w:pos="4201"/>
                <w:tab w:val="right" w:leader="dot" w:pos="9298"/>
              </w:tabs>
              <w:spacing w:line="360" w:lineRule="auto"/>
              <w:ind w:firstLine="0" w:firstLineChars="0"/>
              <w:jc w:val="center"/>
              <w:rPr>
                <w:rFonts w:hint="eastAsia" w:hAnsi="宋体" w:cs="宋体"/>
                <w:sz w:val="24"/>
                <w:szCs w:val="24"/>
                <w:highlight w:val="none"/>
                <w:u w:val="none"/>
              </w:rPr>
            </w:pPr>
            <w:r>
              <w:rPr>
                <w:rFonts w:hint="eastAsia" w:hAnsi="宋体" w:cs="宋体"/>
                <w:sz w:val="24"/>
                <w:szCs w:val="24"/>
                <w:highlight w:val="none"/>
                <w:u w:val="none"/>
              </w:rPr>
              <w:t>化学名称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trPr>
        <w:tc>
          <w:tcPr>
            <w:tcW w:w="936" w:type="dxa"/>
            <w:tcBorders>
              <w:top w:val="single" w:color="auto" w:sz="4" w:space="0"/>
              <w:left w:val="single" w:color="auto" w:sz="4" w:space="0"/>
              <w:bottom w:val="single" w:color="auto" w:sz="4" w:space="0"/>
              <w:right w:val="single" w:color="auto" w:sz="4" w:space="0"/>
            </w:tcBorders>
            <w:vAlign w:val="center"/>
          </w:tcPr>
          <w:p>
            <w:pPr>
              <w:pStyle w:val="22"/>
              <w:tabs>
                <w:tab w:val="center" w:pos="4201"/>
                <w:tab w:val="right" w:leader="dot" w:pos="9298"/>
              </w:tabs>
              <w:spacing w:line="360" w:lineRule="auto"/>
              <w:ind w:firstLine="0" w:firstLineChars="0"/>
              <w:jc w:val="center"/>
              <w:rPr>
                <w:rFonts w:hint="eastAsia" w:hAnsi="宋体" w:cs="宋体"/>
                <w:sz w:val="24"/>
                <w:szCs w:val="24"/>
                <w:highlight w:val="none"/>
                <w:u w:val="none"/>
              </w:rPr>
            </w:pPr>
            <w:r>
              <w:rPr>
                <w:rFonts w:hint="eastAsia" w:hAnsi="宋体" w:cs="宋体"/>
                <w:sz w:val="24"/>
                <w:szCs w:val="24"/>
                <w:highlight w:val="none"/>
                <w:u w:val="none"/>
              </w:rPr>
              <w:t>B1-203</w:t>
            </w:r>
          </w:p>
        </w:tc>
        <w:tc>
          <w:tcPr>
            <w:tcW w:w="5136" w:type="dxa"/>
            <w:tcBorders>
              <w:top w:val="single" w:color="auto" w:sz="4" w:space="0"/>
              <w:left w:val="nil"/>
              <w:bottom w:val="single" w:color="auto" w:sz="4" w:space="0"/>
              <w:right w:val="single" w:color="auto" w:sz="4" w:space="0"/>
            </w:tcBorders>
            <w:vAlign w:val="center"/>
          </w:tcPr>
          <w:p>
            <w:pPr>
              <w:pStyle w:val="22"/>
              <w:tabs>
                <w:tab w:val="center" w:pos="4201"/>
                <w:tab w:val="right" w:leader="dot" w:pos="9298"/>
              </w:tabs>
              <w:spacing w:line="360" w:lineRule="auto"/>
              <w:ind w:firstLine="120" w:firstLineChars="50"/>
              <w:textAlignment w:val="center"/>
              <w:rPr>
                <w:rFonts w:hint="eastAsia" w:hAnsi="宋体" w:cs="宋体"/>
                <w:sz w:val="24"/>
                <w:szCs w:val="24"/>
                <w:highlight w:val="none"/>
                <w:u w:val="none"/>
              </w:rPr>
            </w:pPr>
            <w:r>
              <w:rPr>
                <w:rFonts w:hint="eastAsia" w:hAnsi="宋体" w:cs="宋体"/>
                <w:sz w:val="24"/>
                <w:szCs w:val="24"/>
                <w:highlight w:val="none"/>
                <w:u w:val="none"/>
                <w:lang w:val="en-US" w:eastAsia="zh-CN"/>
              </w:rPr>
              <w:t>化学</w:t>
            </w:r>
            <w:r>
              <w:rPr>
                <w:rFonts w:hint="eastAsia" w:hAnsi="宋体" w:cs="宋体"/>
                <w:sz w:val="24"/>
                <w:szCs w:val="24"/>
                <w:highlight w:val="none"/>
                <w:u w:val="none"/>
              </w:rPr>
              <w:t>分子式：C</w:t>
            </w:r>
            <w:r>
              <w:rPr>
                <w:rFonts w:hint="eastAsia" w:hAnsi="宋体" w:cs="宋体"/>
                <w:sz w:val="24"/>
                <w:szCs w:val="24"/>
                <w:highlight w:val="none"/>
                <w:u w:val="none"/>
                <w:vertAlign w:val="subscript"/>
              </w:rPr>
              <w:t>10</w:t>
            </w:r>
            <w:r>
              <w:rPr>
                <w:rFonts w:hint="eastAsia" w:hAnsi="宋体" w:cs="宋体"/>
                <w:sz w:val="24"/>
                <w:szCs w:val="24"/>
                <w:highlight w:val="none"/>
                <w:u w:val="none"/>
              </w:rPr>
              <w:t>H</w:t>
            </w:r>
            <w:r>
              <w:rPr>
                <w:rFonts w:hint="eastAsia" w:hAnsi="宋体" w:cs="宋体"/>
                <w:sz w:val="24"/>
                <w:szCs w:val="24"/>
                <w:highlight w:val="none"/>
                <w:u w:val="none"/>
                <w:vertAlign w:val="subscript"/>
              </w:rPr>
              <w:t>19</w:t>
            </w:r>
            <w:r>
              <w:rPr>
                <w:rFonts w:hint="eastAsia" w:hAnsi="宋体" w:cs="宋体"/>
                <w:sz w:val="24"/>
                <w:szCs w:val="24"/>
                <w:highlight w:val="none"/>
                <w:u w:val="none"/>
              </w:rPr>
              <w:t>O</w:t>
            </w:r>
            <w:r>
              <w:rPr>
                <w:rFonts w:hint="eastAsia" w:hAnsi="宋体" w:cs="宋体"/>
                <w:sz w:val="24"/>
                <w:szCs w:val="24"/>
                <w:highlight w:val="none"/>
                <w:u w:val="none"/>
                <w:vertAlign w:val="subscript"/>
              </w:rPr>
              <w:t>3</w:t>
            </w:r>
            <w:r>
              <w:rPr>
                <w:rFonts w:hint="eastAsia" w:hAnsi="宋体" w:cs="宋体"/>
                <w:sz w:val="24"/>
                <w:szCs w:val="24"/>
                <w:highlight w:val="none"/>
                <w:u w:val="none"/>
              </w:rPr>
              <w:t>SN</w:t>
            </w:r>
          </w:p>
          <w:p>
            <w:pPr>
              <w:pStyle w:val="22"/>
              <w:tabs>
                <w:tab w:val="center" w:pos="4201"/>
                <w:tab w:val="right" w:leader="dot" w:pos="9298"/>
              </w:tabs>
              <w:spacing w:line="360" w:lineRule="auto"/>
              <w:ind w:firstLine="120" w:firstLineChars="50"/>
              <w:textAlignment w:val="center"/>
              <w:rPr>
                <w:rFonts w:hint="eastAsia" w:hAnsi="宋体" w:cs="宋体"/>
                <w:sz w:val="24"/>
                <w:szCs w:val="24"/>
                <w:highlight w:val="none"/>
                <w:u w:val="none"/>
              </w:rPr>
            </w:pPr>
            <w:r>
              <w:rPr>
                <w:rFonts w:hint="eastAsia" w:hAnsi="宋体" w:cs="宋体"/>
                <w:sz w:val="24"/>
                <w:szCs w:val="24"/>
                <w:highlight w:val="none"/>
                <w:u w:val="none"/>
              </w:rPr>
              <w:t>结构式：</w:t>
            </w:r>
          </w:p>
          <w:p>
            <w:pPr>
              <w:pStyle w:val="22"/>
              <w:tabs>
                <w:tab w:val="center" w:pos="4201"/>
                <w:tab w:val="right" w:leader="dot" w:pos="9298"/>
              </w:tabs>
              <w:spacing w:line="360" w:lineRule="auto"/>
              <w:ind w:firstLine="0" w:firstLineChars="0"/>
              <w:jc w:val="center"/>
              <w:rPr>
                <w:rFonts w:hint="eastAsia" w:hAnsi="宋体" w:eastAsia="宋体" w:cs="宋体"/>
                <w:sz w:val="24"/>
                <w:szCs w:val="24"/>
                <w:highlight w:val="none"/>
                <w:u w:val="none"/>
                <w:lang w:eastAsia="zh-CN"/>
              </w:rPr>
            </w:pPr>
            <w:r>
              <w:rPr>
                <w:rFonts w:hint="eastAsia" w:hAnsi="宋体" w:eastAsia="宋体" w:cs="宋体"/>
                <w:sz w:val="24"/>
                <w:szCs w:val="24"/>
                <w:highlight w:val="none"/>
                <w:u w:val="none"/>
                <w:lang w:eastAsia="zh-CN"/>
              </w:rPr>
              <w:drawing>
                <wp:inline distT="0" distB="0" distL="114300" distR="114300">
                  <wp:extent cx="3107690" cy="654685"/>
                  <wp:effectExtent l="0" t="0" r="16510" b="12065"/>
                  <wp:docPr id="3" name="图片 3" descr="159bb0b57d7cde7ba14fbcc27e05c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bb0b57d7cde7ba14fbcc27e05c3b"/>
                          <pic:cNvPicPr>
                            <a:picLocks noChangeAspect="1"/>
                          </pic:cNvPicPr>
                        </pic:nvPicPr>
                        <pic:blipFill>
                          <a:blip r:embed="rId5"/>
                          <a:stretch>
                            <a:fillRect/>
                          </a:stretch>
                        </pic:blipFill>
                        <pic:spPr>
                          <a:xfrm>
                            <a:off x="0" y="0"/>
                            <a:ext cx="3107690" cy="654685"/>
                          </a:xfrm>
                          <a:prstGeom prst="rect">
                            <a:avLst/>
                          </a:prstGeom>
                        </pic:spPr>
                      </pic:pic>
                    </a:graphicData>
                  </a:graphic>
                </wp:inline>
              </w:drawing>
            </w:r>
          </w:p>
          <w:p>
            <w:pPr>
              <w:pStyle w:val="22"/>
              <w:tabs>
                <w:tab w:val="center" w:pos="4201"/>
                <w:tab w:val="right" w:leader="dot" w:pos="9298"/>
              </w:tabs>
              <w:spacing w:line="360" w:lineRule="auto"/>
              <w:ind w:left="0" w:leftChars="0" w:firstLine="0" w:firstLineChars="0"/>
              <w:jc w:val="left"/>
              <w:rPr>
                <w:rFonts w:hint="eastAsia" w:hAnsi="宋体" w:cs="宋体"/>
                <w:color w:val="FF0000"/>
                <w:sz w:val="24"/>
                <w:szCs w:val="24"/>
                <w:highlight w:val="none"/>
                <w:u w:val="none"/>
              </w:rPr>
            </w:pPr>
            <w:r>
              <w:rPr>
                <w:rFonts w:hint="eastAsia" w:hAnsi="宋体" w:cs="宋体"/>
                <w:sz w:val="24"/>
                <w:szCs w:val="24"/>
                <w:highlight w:val="none"/>
                <w:u w:val="none"/>
              </w:rPr>
              <w:t>分子量（按2016年国际原子量）：233.326</w:t>
            </w:r>
          </w:p>
        </w:tc>
        <w:tc>
          <w:tcPr>
            <w:tcW w:w="2490" w:type="dxa"/>
            <w:tcBorders>
              <w:top w:val="single" w:color="auto" w:sz="4" w:space="0"/>
              <w:left w:val="nil"/>
              <w:bottom w:val="single" w:color="auto" w:sz="4" w:space="0"/>
              <w:right w:val="single" w:color="auto" w:sz="4" w:space="0"/>
            </w:tcBorders>
            <w:vAlign w:val="center"/>
          </w:tcPr>
          <w:p>
            <w:pPr>
              <w:pStyle w:val="22"/>
              <w:tabs>
                <w:tab w:val="center" w:pos="4201"/>
                <w:tab w:val="right" w:leader="dot" w:pos="9298"/>
              </w:tabs>
              <w:spacing w:line="360" w:lineRule="auto"/>
              <w:ind w:firstLine="0" w:firstLineChars="0"/>
              <w:jc w:val="center"/>
              <w:rPr>
                <w:rFonts w:hint="eastAsia" w:hAnsi="宋体" w:cs="宋体"/>
                <w:sz w:val="24"/>
                <w:szCs w:val="24"/>
                <w:highlight w:val="none"/>
                <w:u w:val="none"/>
              </w:rPr>
            </w:pPr>
            <w:r>
              <w:rPr>
                <w:rFonts w:hint="eastAsia" w:hAnsi="宋体" w:cs="宋体"/>
                <w:sz w:val="24"/>
                <w:szCs w:val="24"/>
                <w:highlight w:val="none"/>
                <w:u w:val="none"/>
              </w:rPr>
              <w:t>丁氧羰基异丁基硫代氨基甲酸酯</w:t>
            </w:r>
          </w:p>
        </w:tc>
      </w:tr>
    </w:tbl>
    <w:p>
      <w:pPr>
        <w:pStyle w:val="22"/>
        <w:tabs>
          <w:tab w:val="center" w:pos="4201"/>
          <w:tab w:val="right" w:leader="dot" w:pos="9298"/>
        </w:tabs>
        <w:spacing w:line="360" w:lineRule="auto"/>
        <w:ind w:firstLine="0" w:firstLineChars="0"/>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heme="minorAscii" w:hAnsiTheme="minorAscii" w:cstheme="minorBidi"/>
          <w:b/>
          <w:bCs w:val="0"/>
          <w:color w:val="auto"/>
          <w:kern w:val="2"/>
          <w:sz w:val="28"/>
          <w:szCs w:val="22"/>
          <w:highlight w:val="none"/>
          <w:lang w:val="en-US" w:eastAsia="zh-CN"/>
        </w:rPr>
        <w:t>3.4</w:t>
      </w:r>
      <w:r>
        <w:rPr>
          <w:rFonts w:hint="default" w:eastAsia="宋体" w:asciiTheme="minorAscii" w:hAnsiTheme="minorAscii" w:cstheme="minorBidi"/>
          <w:b/>
          <w:bCs w:val="0"/>
          <w:color w:val="auto"/>
          <w:kern w:val="2"/>
          <w:sz w:val="28"/>
          <w:szCs w:val="22"/>
          <w:highlight w:val="none"/>
          <w:lang w:val="en-US" w:eastAsia="zh-CN"/>
        </w:rPr>
        <w:t>化学成分</w:t>
      </w:r>
    </w:p>
    <w:p>
      <w:pPr>
        <w:pStyle w:val="22"/>
        <w:tabs>
          <w:tab w:val="center" w:pos="4201"/>
          <w:tab w:val="right" w:leader="dot" w:pos="9298"/>
        </w:tabs>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根据</w:t>
      </w:r>
      <w:r>
        <w:rPr>
          <w:rFonts w:hint="eastAsia" w:hAnsi="宋体" w:cs="宋体"/>
          <w:color w:val="000000" w:themeColor="text1"/>
          <w:kern w:val="2"/>
          <w:sz w:val="24"/>
          <w:szCs w:val="24"/>
          <w:highlight w:val="none"/>
          <w:lang w:val="en-US" w:eastAsia="zh-CN"/>
          <w14:textFill>
            <w14:solidFill>
              <w14:schemeClr w14:val="tx1"/>
            </w14:solidFill>
          </w14:textFill>
        </w:rPr>
        <w:t>本标准</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试验方法测定丁</w:t>
      </w:r>
      <w:r>
        <w:rPr>
          <w:rFonts w:hint="eastAsia" w:ascii="宋体" w:hAnsi="宋体" w:eastAsia="宋体" w:cs="宋体"/>
          <w:color w:val="000000" w:themeColor="text1"/>
          <w:kern w:val="2"/>
          <w:sz w:val="24"/>
          <w:szCs w:val="24"/>
          <w:highlight w:val="none"/>
          <w14:textFill>
            <w14:solidFill>
              <w14:schemeClr w14:val="tx1"/>
            </w14:solidFill>
          </w14:textFill>
        </w:rPr>
        <w:t>氧羰基异丁基硫代氨基甲酸酯含量（质量分数）</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沈阳有研矿物化工有限公司和铁岭选矿药剂有限公司数据如下表:</w:t>
      </w:r>
    </w:p>
    <w:tbl>
      <w:tblPr>
        <w:tblStyle w:val="15"/>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3405"/>
        <w:gridCol w:w="1061"/>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序号</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沈阳有研矿物化工有限公司</w:t>
            </w:r>
          </w:p>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测定（%）</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序号</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铁岭选矿药剂有限公司</w:t>
            </w:r>
          </w:p>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84.02</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11</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2</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84.66</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12</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3</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84.52</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13</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4</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84.13</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14</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5</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84.74</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15</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6</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85.08</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16</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7</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85.10</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17</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84.79</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18</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9</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85.89</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19</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10</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86.01</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20</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85.03</w:t>
            </w:r>
          </w:p>
        </w:tc>
      </w:tr>
    </w:tbl>
    <w:p>
      <w:pPr>
        <w:pStyle w:val="7"/>
        <w:numPr>
          <w:ilvl w:val="-1"/>
          <w:numId w:val="0"/>
        </w:num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根据数据推荐丁氧羰基异丁基硫代氨基甲酸酯含量应该不小于84.00%。</w:t>
      </w:r>
    </w:p>
    <w:p>
      <w:pPr>
        <w:pStyle w:val="7"/>
        <w:numPr>
          <w:ilvl w:val="-1"/>
          <w:numId w:val="0"/>
        </w:numPr>
        <w:spacing w:line="360" w:lineRule="auto"/>
        <w:ind w:firstLine="0" w:firstLineChars="0"/>
        <w:outlineLvl w:val="9"/>
        <w:rPr>
          <w:rFonts w:hint="default" w:eastAsia="宋体" w:asciiTheme="minorAscii" w:hAnsiTheme="minorAscii" w:cstheme="minorBidi"/>
          <w:b/>
          <w:color w:val="auto"/>
          <w:sz w:val="28"/>
          <w:szCs w:val="22"/>
          <w:highlight w:val="none"/>
          <w:lang w:val="en-US" w:eastAsia="zh-CN"/>
        </w:rPr>
      </w:pPr>
      <w:r>
        <w:rPr>
          <w:rFonts w:hint="default" w:eastAsia="宋体" w:asciiTheme="minorAscii" w:hAnsiTheme="minorAscii" w:cstheme="minorBidi"/>
          <w:b/>
          <w:color w:val="auto"/>
          <w:sz w:val="28"/>
          <w:szCs w:val="22"/>
          <w:highlight w:val="none"/>
          <w:lang w:val="en-US" w:eastAsia="zh-CN"/>
        </w:rPr>
        <w:t>3.5</w:t>
      </w:r>
      <w:r>
        <w:rPr>
          <w:rFonts w:hint="default" w:eastAsia="宋体" w:asciiTheme="minorAscii" w:hAnsiTheme="minorAscii" w:cstheme="minorBidi"/>
          <w:b/>
          <w:bCs w:val="0"/>
          <w:color w:val="auto"/>
          <w:sz w:val="28"/>
          <w:szCs w:val="22"/>
          <w:highlight w:val="none"/>
          <w:lang w:val="en-US" w:eastAsia="zh-CN"/>
        </w:rPr>
        <w:t>物理性质</w:t>
      </w:r>
    </w:p>
    <w:p>
      <w:pPr>
        <w:pStyle w:val="22"/>
        <w:tabs>
          <w:tab w:val="center" w:pos="4201"/>
          <w:tab w:val="right" w:leader="dot" w:pos="9298"/>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主要指产品颜色、密度以及闭口闪点等数据：</w:t>
      </w:r>
    </w:p>
    <w:p>
      <w:pPr>
        <w:pStyle w:val="22"/>
        <w:tabs>
          <w:tab w:val="center" w:pos="4201"/>
          <w:tab w:val="right" w:leader="dot" w:pos="9298"/>
        </w:tabs>
        <w:spacing w:line="360" w:lineRule="auto"/>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t>产品的密度按GB/T 4472的规定测定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产品密度为</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g/cm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0g/cm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vertAlign w:val="baseline"/>
          <w:lang w:val="en-US" w:eastAsia="zh-CN"/>
        </w:rPr>
        <w:t xml:space="preserve"> ；</w:t>
      </w:r>
    </w:p>
    <w:p>
      <w:pPr>
        <w:pStyle w:val="22"/>
        <w:tabs>
          <w:tab w:val="center" w:pos="4201"/>
          <w:tab w:val="right" w:leader="dot" w:pos="9298"/>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闭口闪点的测定方法按GB/T 261的规定进行测定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vertAlign w:val="baseline"/>
          <w:lang w:val="en-US" w:eastAsia="zh-CN"/>
        </w:rPr>
        <w:t>测定闭口闪点大于60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pStyle w:val="22"/>
        <w:tabs>
          <w:tab w:val="center" w:pos="4201"/>
          <w:tab w:val="right" w:leader="dot" w:pos="9298"/>
        </w:tabs>
        <w:spacing w:before="0" w:beforeLines="-2147483648" w:after="100" w:afterLines="-2147483648" w:afterAutospacing="1"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外观质量采用目视法检验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产品为黄色</w:t>
      </w:r>
      <w:r>
        <w:rPr>
          <w:rFonts w:hint="eastAsia" w:ascii="宋体" w:hAnsi="宋体" w:eastAsia="宋体" w:cs="宋体"/>
          <w:sz w:val="24"/>
          <w:szCs w:val="24"/>
          <w:highlight w:val="none"/>
          <w:lang w:val="en-US" w:eastAsia="zh-CN"/>
        </w:rPr>
        <w:t>至琥珀色。</w:t>
      </w:r>
    </w:p>
    <w:p>
      <w:pPr>
        <w:pStyle w:val="7"/>
        <w:numPr>
          <w:ilvl w:val="0"/>
          <w:numId w:val="0"/>
        </w:numPr>
        <w:spacing w:before="0" w:beforeLines="-2147483648" w:after="100" w:afterLines="-2147483648" w:afterAutospacing="1" w:line="360" w:lineRule="auto"/>
        <w:ind w:firstLine="0" w:firstLineChars="0"/>
        <w:rPr>
          <w:rFonts w:hint="default" w:eastAsia="宋体" w:hAnsiTheme="minorAscii" w:cstheme="minorBidi"/>
          <w:b/>
          <w:sz w:val="28"/>
          <w:szCs w:val="22"/>
          <w:highlight w:val="none"/>
          <w:lang w:val="en-US" w:eastAsia="zh-CN"/>
        </w:rPr>
      </w:pPr>
      <w:r>
        <w:rPr>
          <w:rFonts w:hint="default" w:eastAsia="宋体" w:hAnsiTheme="minorAscii" w:cstheme="minorBidi"/>
          <w:b/>
          <w:sz w:val="28"/>
          <w:szCs w:val="22"/>
          <w:highlight w:val="none"/>
          <w:lang w:val="en-US" w:eastAsia="zh-CN"/>
        </w:rPr>
        <w:t>3.5.1产品密度</w:t>
      </w:r>
    </w:p>
    <w:p>
      <w:pPr>
        <w:pStyle w:val="22"/>
        <w:tabs>
          <w:tab w:val="center" w:pos="4201"/>
          <w:tab w:val="right" w:leader="dot" w:pos="9298"/>
        </w:tabs>
        <w:spacing w:before="0" w:beforeLines="-2147483648" w:after="100" w:afterLines="-2147483648" w:afterAutospacing="1" w:line="360" w:lineRule="auto"/>
        <w:ind w:firstLine="480" w:firstLineChars="200"/>
        <w:rPr>
          <w:rFonts w:hint="eastAsia" w:hAnsi="宋体" w:cs="宋体"/>
          <w:sz w:val="24"/>
          <w:szCs w:val="24"/>
          <w:highlight w:val="none"/>
          <w:lang w:val="en-US" w:eastAsia="zh-CN"/>
        </w:rPr>
      </w:pPr>
      <w:r>
        <w:rPr>
          <w:rFonts w:hint="eastAsia" w:ascii="宋体" w:hAnsi="宋体" w:eastAsia="宋体" w:cs="宋体"/>
          <w:sz w:val="24"/>
          <w:szCs w:val="24"/>
          <w:highlight w:val="none"/>
        </w:rPr>
        <w:t>按GB/T 4472的规定测定</w:t>
      </w:r>
      <w:r>
        <w:rPr>
          <w:rFonts w:hint="eastAsia" w:hAnsi="宋体" w:cs="宋体"/>
          <w:sz w:val="24"/>
          <w:szCs w:val="24"/>
          <w:highlight w:val="none"/>
          <w:lang w:val="en-US" w:eastAsia="zh-CN"/>
        </w:rPr>
        <w:t>本产品密度，沈阳有研矿物化工有限公司和铁岭选矿药剂有限公司试验结果如下表:</w:t>
      </w:r>
    </w:p>
    <w:tbl>
      <w:tblPr>
        <w:tblStyle w:val="15"/>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3405"/>
        <w:gridCol w:w="1061"/>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序号</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沈阳有研矿物化工有限公司</w:t>
            </w:r>
          </w:p>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测定（</w:t>
            </w:r>
            <w:r>
              <w:rPr>
                <w:rFonts w:hint="eastAsia" w:ascii="宋体" w:hAnsi="宋体" w:eastAsia="宋体" w:cs="宋体"/>
                <w:sz w:val="24"/>
                <w:szCs w:val="24"/>
                <w:highlight w:val="none"/>
              </w:rPr>
              <w:t>g/cm</w:t>
            </w:r>
            <w:r>
              <w:rPr>
                <w:rFonts w:hint="eastAsia" w:ascii="宋体" w:hAnsi="宋体" w:eastAsia="宋体" w:cs="宋体"/>
                <w:sz w:val="24"/>
                <w:szCs w:val="24"/>
                <w:highlight w:val="none"/>
                <w:vertAlign w:val="superscript"/>
              </w:rPr>
              <w:t>3</w:t>
            </w: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序号</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铁岭选矿药剂有限公司</w:t>
            </w:r>
          </w:p>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测定（</w:t>
            </w:r>
            <w:r>
              <w:rPr>
                <w:rFonts w:hint="eastAsia" w:ascii="宋体" w:hAnsi="宋体" w:eastAsia="宋体" w:cs="宋体"/>
                <w:sz w:val="24"/>
                <w:szCs w:val="24"/>
                <w:highlight w:val="none"/>
              </w:rPr>
              <w:t>g/cm</w:t>
            </w:r>
            <w:r>
              <w:rPr>
                <w:rFonts w:hint="eastAsia" w:ascii="宋体" w:hAnsi="宋体" w:eastAsia="宋体" w:cs="宋体"/>
                <w:sz w:val="24"/>
                <w:szCs w:val="24"/>
                <w:highlight w:val="none"/>
                <w:vertAlign w:val="superscript"/>
              </w:rPr>
              <w:t>3</w:t>
            </w: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1.051</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11</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2</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1.069</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12</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3</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1.070</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13</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4</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1.056</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14</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5</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1.066</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15</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6</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1.063</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16</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7</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1.058</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17</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1.054</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18</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9</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1.050</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19</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10</w:t>
            </w:r>
          </w:p>
        </w:tc>
        <w:tc>
          <w:tcPr>
            <w:tcW w:w="340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1.067</w:t>
            </w:r>
          </w:p>
        </w:tc>
        <w:tc>
          <w:tcPr>
            <w:tcW w:w="1061"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20</w:t>
            </w:r>
          </w:p>
        </w:tc>
        <w:tc>
          <w:tcPr>
            <w:tcW w:w="3035" w:type="dxa"/>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hAnsi="宋体" w:cs="宋体"/>
                <w:color w:val="000000" w:themeColor="text1"/>
                <w:kern w:val="2"/>
                <w:sz w:val="24"/>
                <w:szCs w:val="24"/>
                <w:highlight w:val="none"/>
                <w:vertAlign w:val="baseline"/>
                <w:lang w:val="en-US" w:eastAsia="zh-CN"/>
                <w14:textFill>
                  <w14:solidFill>
                    <w14:schemeClr w14:val="tx1"/>
                  </w14:solidFill>
                </w14:textFill>
              </w:rPr>
              <w:t>1.066</w:t>
            </w:r>
          </w:p>
        </w:tc>
      </w:tr>
    </w:tbl>
    <w:p>
      <w:pPr>
        <w:pStyle w:val="22"/>
        <w:tabs>
          <w:tab w:val="center" w:pos="4201"/>
          <w:tab w:val="right" w:leader="dot" w:pos="9298"/>
        </w:tabs>
        <w:spacing w:before="0" w:beforeLines="-2147483648" w:after="100" w:afterLines="-2147483648" w:afterAutospacing="1" w:line="360" w:lineRule="auto"/>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产品的密度按GB/T 4472的规定测定</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根据数据推荐</w:t>
      </w:r>
      <w:r>
        <w:rPr>
          <w:rFonts w:hint="eastAsia" w:ascii="宋体" w:hAnsi="宋体" w:eastAsia="宋体" w:cs="宋体"/>
          <w:sz w:val="24"/>
          <w:szCs w:val="24"/>
          <w:highlight w:val="none"/>
          <w:lang w:val="en-US" w:eastAsia="zh-CN"/>
        </w:rPr>
        <w:t>产品密度为</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g/cm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0g/cm</w:t>
      </w:r>
      <w:r>
        <w:rPr>
          <w:rFonts w:hint="eastAsia" w:ascii="宋体" w:hAnsi="宋体" w:eastAsia="宋体" w:cs="宋体"/>
          <w:sz w:val="24"/>
          <w:szCs w:val="24"/>
          <w:highlight w:val="none"/>
          <w:vertAlign w:val="superscript"/>
        </w:rPr>
        <w:t>3</w:t>
      </w:r>
      <w:r>
        <w:rPr>
          <w:rFonts w:hint="eastAsia" w:hAnsi="宋体" w:cs="宋体"/>
          <w:sz w:val="24"/>
          <w:szCs w:val="24"/>
          <w:highlight w:val="none"/>
          <w:vertAlign w:val="baseline"/>
          <w:lang w:eastAsia="zh-CN"/>
        </w:rPr>
        <w:t>。</w:t>
      </w:r>
    </w:p>
    <w:p>
      <w:pPr>
        <w:pStyle w:val="7"/>
        <w:numPr>
          <w:ilvl w:val="0"/>
          <w:numId w:val="0"/>
        </w:numPr>
        <w:ind w:firstLine="0" w:firstLineChars="0"/>
        <w:rPr>
          <w:rFonts w:eastAsia="宋体" w:asciiTheme="minorAscii" w:hAnsiTheme="minorAscii"/>
          <w:b/>
          <w:sz w:val="28"/>
          <w:highlight w:val="none"/>
          <w:u w:val="none"/>
        </w:rPr>
      </w:pPr>
      <w:r>
        <w:rPr>
          <w:rFonts w:hint="default" w:eastAsia="宋体" w:asciiTheme="minorAscii" w:hAnsiTheme="minorAscii"/>
          <w:b/>
          <w:sz w:val="28"/>
          <w:highlight w:val="none"/>
          <w:u w:val="none"/>
          <w:lang w:val="en-US" w:eastAsia="zh-CN"/>
        </w:rPr>
        <w:t>3.6</w:t>
      </w:r>
      <w:r>
        <w:rPr>
          <w:rFonts w:hint="default" w:eastAsia="宋体" w:asciiTheme="minorAscii" w:hAnsiTheme="minorAscii"/>
          <w:b/>
          <w:sz w:val="28"/>
          <w:highlight w:val="none"/>
          <w:u w:val="none"/>
        </w:rPr>
        <w:t xml:space="preserve">  </w:t>
      </w:r>
      <w:r>
        <w:rPr>
          <w:rFonts w:hint="default" w:eastAsia="宋体" w:asciiTheme="minorAscii" w:hAnsiTheme="minorAscii"/>
          <w:b/>
          <w:sz w:val="28"/>
          <w:szCs w:val="22"/>
          <w:highlight w:val="none"/>
          <w:u w:val="none"/>
        </w:rPr>
        <w:t>取样和制样</w:t>
      </w:r>
    </w:p>
    <w:p>
      <w:pPr>
        <w:pStyle w:val="22"/>
        <w:tabs>
          <w:tab w:val="center" w:pos="4201"/>
          <w:tab w:val="right" w:leader="dot" w:pos="9298"/>
        </w:tabs>
        <w:spacing w:line="360" w:lineRule="auto"/>
        <w:ind w:firstLine="0" w:firstLineChars="0"/>
        <w:rPr>
          <w:rStyle w:val="13"/>
          <w:rFonts w:hint="eastAsia" w:hAnsi="宋体" w:eastAsia="宋体" w:cs="宋体"/>
          <w:szCs w:val="22"/>
          <w:highlight w:val="none"/>
          <w:u w:val="none"/>
          <w:lang w:val="en-US" w:eastAsia="zh-CN"/>
        </w:rPr>
      </w:pPr>
      <w:r>
        <w:rPr>
          <w:rFonts w:hint="default" w:eastAsia="宋体" w:asciiTheme="minorAscii" w:hAnsiTheme="minorAscii" w:cstheme="minorBidi"/>
          <w:b/>
          <w:kern w:val="2"/>
          <w:sz w:val="28"/>
          <w:highlight w:val="none"/>
          <w:u w:val="none"/>
          <w:lang w:val="en-US" w:eastAsia="zh-CN"/>
        </w:rPr>
        <w:t>3.6.1</w:t>
      </w:r>
      <w:r>
        <w:rPr>
          <w:rFonts w:ascii="黑体" w:hAnsi="宋体" w:eastAsia="黑体"/>
          <w:highlight w:val="none"/>
          <w:u w:val="none"/>
        </w:rPr>
        <w:t xml:space="preserve">  </w:t>
      </w:r>
      <w:r>
        <w:rPr>
          <w:rFonts w:hint="eastAsia" w:hAnsi="宋体" w:cs="宋体"/>
          <w:sz w:val="24"/>
          <w:szCs w:val="24"/>
          <w:highlight w:val="none"/>
          <w:u w:val="none"/>
        </w:rPr>
        <w:t>产品的取样方法按</w:t>
      </w:r>
      <w:r>
        <w:rPr>
          <w:rFonts w:hint="eastAsia" w:ascii="宋体" w:hAnsi="宋体" w:cs="宋体"/>
          <w:sz w:val="24"/>
          <w:szCs w:val="24"/>
          <w:highlight w:val="none"/>
          <w:u w:val="none"/>
        </w:rPr>
        <w:t>GB/T</w:t>
      </w:r>
      <w:r>
        <w:rPr>
          <w:rFonts w:hint="eastAsia" w:hAnsi="宋体" w:cs="宋体"/>
          <w:sz w:val="24"/>
          <w:szCs w:val="24"/>
          <w:highlight w:val="none"/>
          <w:u w:val="none"/>
        </w:rPr>
        <w:t xml:space="preserve"> 6680</w:t>
      </w:r>
      <w:r>
        <w:rPr>
          <w:rFonts w:hint="eastAsia" w:hAnsi="宋体" w:cs="宋体"/>
          <w:sz w:val="24"/>
          <w:szCs w:val="24"/>
          <w:highlight w:val="none"/>
          <w:u w:val="none"/>
          <w:lang w:val="en-US" w:eastAsia="zh-CN"/>
        </w:rPr>
        <w:t>的</w:t>
      </w:r>
      <w:r>
        <w:rPr>
          <w:rFonts w:hint="eastAsia" w:hAnsi="宋体" w:cs="宋体"/>
          <w:sz w:val="24"/>
          <w:szCs w:val="24"/>
          <w:highlight w:val="none"/>
          <w:u w:val="none"/>
        </w:rPr>
        <w:t>规定进行，产品采样单元数按</w:t>
      </w:r>
      <w:r>
        <w:rPr>
          <w:rFonts w:hint="eastAsia" w:ascii="宋体" w:hAnsi="宋体" w:cs="宋体"/>
          <w:sz w:val="24"/>
          <w:szCs w:val="24"/>
          <w:highlight w:val="none"/>
          <w:u w:val="none"/>
        </w:rPr>
        <w:t>GB/T</w:t>
      </w:r>
      <w:r>
        <w:rPr>
          <w:rFonts w:hint="eastAsia" w:hAnsi="宋体" w:cs="宋体"/>
          <w:sz w:val="24"/>
          <w:szCs w:val="24"/>
          <w:highlight w:val="none"/>
          <w:u w:val="none"/>
        </w:rPr>
        <w:t xml:space="preserve"> 6678</w:t>
      </w:r>
      <w:r>
        <w:rPr>
          <w:rFonts w:hint="eastAsia" w:hAnsi="宋体" w:cs="宋体"/>
          <w:sz w:val="24"/>
          <w:szCs w:val="24"/>
          <w:highlight w:val="none"/>
          <w:u w:val="none"/>
          <w:lang w:val="en-US" w:eastAsia="zh-CN"/>
        </w:rPr>
        <w:t>的</w:t>
      </w:r>
      <w:r>
        <w:rPr>
          <w:rFonts w:hint="eastAsia" w:hAnsi="宋体" w:cs="宋体"/>
          <w:sz w:val="24"/>
          <w:szCs w:val="24"/>
          <w:highlight w:val="none"/>
          <w:u w:val="none"/>
        </w:rPr>
        <w:t>规定进行。</w:t>
      </w:r>
      <w:r>
        <w:rPr>
          <w:rStyle w:val="13"/>
          <w:rFonts w:hint="eastAsia" w:hAnsi="宋体" w:eastAsia="宋体" w:cs="宋体"/>
          <w:sz w:val="24"/>
          <w:szCs w:val="24"/>
          <w:highlight w:val="none"/>
          <w:u w:val="none"/>
          <w:lang w:val="en-US" w:eastAsia="zh-CN"/>
        </w:rPr>
        <w:t>采样的总量</w:t>
      </w:r>
      <w:r>
        <w:rPr>
          <w:rStyle w:val="13"/>
          <w:rFonts w:hint="eastAsia" w:ascii="宋体" w:hAnsi="宋体" w:eastAsia="宋体" w:cs="宋体"/>
          <w:sz w:val="24"/>
          <w:szCs w:val="24"/>
          <w:highlight w:val="none"/>
          <w:u w:val="none"/>
          <w:lang w:val="en-US" w:eastAsia="zh-CN"/>
        </w:rPr>
        <w:t>应</w:t>
      </w:r>
      <w:r>
        <w:rPr>
          <w:rStyle w:val="13"/>
          <w:rFonts w:hint="eastAsia" w:hAnsi="宋体" w:cs="宋体"/>
          <w:sz w:val="24"/>
          <w:szCs w:val="24"/>
          <w:highlight w:val="none"/>
          <w:u w:val="none"/>
          <w:lang w:val="en-US" w:eastAsia="zh-CN"/>
        </w:rPr>
        <w:t>不少于600</w:t>
      </w:r>
      <w:r>
        <w:rPr>
          <w:rFonts w:hint="eastAsia" w:ascii="宋体" w:hAnsi="宋体" w:cs="宋体"/>
          <w:sz w:val="24"/>
          <w:szCs w:val="24"/>
          <w:highlight w:val="none"/>
          <w:u w:val="none"/>
        </w:rPr>
        <w:t>mL</w:t>
      </w:r>
      <w:r>
        <w:rPr>
          <w:rStyle w:val="13"/>
          <w:rFonts w:hint="eastAsia" w:hAnsi="宋体" w:cs="宋体"/>
          <w:sz w:val="24"/>
          <w:szCs w:val="24"/>
          <w:highlight w:val="none"/>
          <w:u w:val="none"/>
          <w:lang w:val="en-US" w:eastAsia="zh-CN"/>
        </w:rPr>
        <w:t>，</w:t>
      </w:r>
      <w:r>
        <w:rPr>
          <w:rStyle w:val="13"/>
          <w:rFonts w:hint="eastAsia" w:hAnsi="宋体" w:eastAsia="宋体" w:cs="宋体"/>
          <w:sz w:val="24"/>
          <w:szCs w:val="24"/>
          <w:highlight w:val="none"/>
          <w:u w:val="none"/>
          <w:lang w:val="en-US" w:eastAsia="zh-CN"/>
        </w:rPr>
        <w:t>保证检验的需求。</w:t>
      </w:r>
    </w:p>
    <w:p>
      <w:pPr>
        <w:pStyle w:val="22"/>
        <w:tabs>
          <w:tab w:val="center" w:pos="4201"/>
          <w:tab w:val="right" w:leader="dot" w:pos="9298"/>
        </w:tabs>
        <w:spacing w:before="0" w:beforeLines="-2147483648" w:after="100" w:afterLines="-2147483648" w:afterAutospacing="1" w:line="360" w:lineRule="auto"/>
        <w:ind w:firstLine="0" w:firstLineChars="0"/>
        <w:rPr>
          <w:rFonts w:hint="eastAsia" w:ascii="宋体" w:hAnsi="宋体" w:eastAsia="宋体" w:cs="宋体"/>
          <w:sz w:val="24"/>
          <w:szCs w:val="24"/>
          <w:highlight w:val="none"/>
          <w:lang w:eastAsia="zh-CN"/>
        </w:rPr>
      </w:pPr>
      <w:r>
        <w:rPr>
          <w:rFonts w:hint="default" w:eastAsia="宋体" w:asciiTheme="minorAscii" w:hAnsiTheme="minorAscii" w:cstheme="minorBidi"/>
          <w:b/>
          <w:kern w:val="2"/>
          <w:sz w:val="28"/>
          <w:highlight w:val="none"/>
          <w:u w:val="none"/>
          <w:lang w:val="en-US" w:eastAsia="zh-CN"/>
        </w:rPr>
        <w:t>3.6.2</w:t>
      </w:r>
      <w:r>
        <w:rPr>
          <w:rFonts w:ascii="黑体" w:hAnsi="宋体" w:eastAsia="黑体"/>
          <w:highlight w:val="none"/>
          <w:u w:val="none"/>
        </w:rPr>
        <w:t xml:space="preserve"> </w:t>
      </w:r>
      <w:r>
        <w:rPr>
          <w:rFonts w:hint="eastAsia" w:ascii="黑体" w:hAnsi="宋体" w:eastAsia="黑体"/>
          <w:highlight w:val="none"/>
          <w:u w:val="none"/>
          <w:lang w:val="en-US" w:eastAsia="zh-CN"/>
        </w:rPr>
        <w:t xml:space="preserve"> </w:t>
      </w:r>
      <w:r>
        <w:rPr>
          <w:rFonts w:hint="eastAsia" w:hAnsi="宋体" w:cs="宋体"/>
          <w:sz w:val="24"/>
          <w:szCs w:val="24"/>
          <w:highlight w:val="none"/>
          <w:u w:val="none"/>
        </w:rPr>
        <w:t>将所取试样混合均匀，分成两份，每份试样量不少于300</w:t>
      </w:r>
      <w:r>
        <w:rPr>
          <w:rFonts w:hint="eastAsia" w:ascii="宋体" w:hAnsi="宋体" w:cs="宋体"/>
          <w:sz w:val="24"/>
          <w:szCs w:val="24"/>
          <w:highlight w:val="none"/>
          <w:u w:val="none"/>
        </w:rPr>
        <w:t>mL</w:t>
      </w:r>
      <w:r>
        <w:rPr>
          <w:rFonts w:hint="eastAsia" w:hAnsi="宋体" w:cs="宋体"/>
          <w:sz w:val="24"/>
          <w:szCs w:val="24"/>
          <w:highlight w:val="none"/>
          <w:u w:val="none"/>
        </w:rPr>
        <w:t>，分别装入两个具有磨口塞</w:t>
      </w:r>
      <w:r>
        <w:rPr>
          <w:rFonts w:hint="eastAsia" w:hAnsi="宋体" w:cs="宋体"/>
          <w:sz w:val="24"/>
          <w:szCs w:val="24"/>
          <w:highlight w:val="none"/>
          <w:u w:val="none"/>
          <w:lang w:val="en-US" w:eastAsia="zh-CN"/>
        </w:rPr>
        <w:t>且</w:t>
      </w:r>
      <w:r>
        <w:rPr>
          <w:rFonts w:hint="eastAsia" w:hAnsi="宋体" w:cs="宋体"/>
          <w:sz w:val="24"/>
          <w:szCs w:val="24"/>
          <w:highlight w:val="none"/>
          <w:u w:val="none"/>
        </w:rPr>
        <w:t>清洁干燥的玻璃瓶中，做好</w:t>
      </w:r>
      <w:r>
        <w:rPr>
          <w:rFonts w:hint="eastAsia" w:hAnsi="宋体" w:cs="宋体"/>
          <w:sz w:val="24"/>
          <w:szCs w:val="24"/>
          <w:highlight w:val="none"/>
          <w:u w:val="none"/>
          <w:lang w:val="en-US" w:eastAsia="zh-CN"/>
        </w:rPr>
        <w:t>试样名称、日期、含量</w:t>
      </w:r>
      <w:r>
        <w:rPr>
          <w:rFonts w:hint="eastAsia" w:hAnsi="宋体" w:cs="宋体"/>
          <w:sz w:val="24"/>
          <w:szCs w:val="24"/>
          <w:highlight w:val="none"/>
          <w:u w:val="none"/>
        </w:rPr>
        <w:t>标识。一瓶供检验用，另一瓶保存，以备查用，保存期限为三个月。</w:t>
      </w:r>
    </w:p>
    <w:p>
      <w:pPr>
        <w:pStyle w:val="22"/>
        <w:keepNext w:val="0"/>
        <w:keepLines w:val="0"/>
        <w:pageBreakBefore w:val="0"/>
        <w:numPr>
          <w:ilvl w:val="0"/>
          <w:numId w:val="0"/>
        </w:numPr>
        <w:tabs>
          <w:tab w:val="center" w:pos="4201"/>
          <w:tab w:val="right" w:leader="dot" w:pos="9298"/>
        </w:tabs>
        <w:kinsoku/>
        <w:wordWrap/>
        <w:overflowPunct/>
        <w:topLinePunct w:val="0"/>
        <w:bidi w:val="0"/>
        <w:snapToGrid/>
        <w:spacing w:beforeLines="50" w:after="100" w:afterLines="50" w:line="360" w:lineRule="auto"/>
        <w:ind w:firstLine="0" w:firstLineChars="0"/>
        <w:textAlignment w:val="auto"/>
        <w:rPr>
          <w:rFonts w:hint="eastAsia" w:ascii="宋体" w:hAnsi="宋体" w:eastAsia="宋体" w:cs="宋体"/>
          <w:b/>
          <w:bCs w:val="0"/>
          <w:color w:val="auto"/>
          <w:sz w:val="24"/>
          <w:szCs w:val="24"/>
          <w:highlight w:val="none"/>
          <w:lang w:val="en-US" w:eastAsia="zh-CN"/>
        </w:rPr>
      </w:pPr>
      <w:r>
        <w:rPr>
          <w:rFonts w:hint="default" w:asciiTheme="minorAscii" w:hAnsiTheme="minorAscii" w:cstheme="minorBidi"/>
          <w:b/>
          <w:kern w:val="2"/>
          <w:sz w:val="28"/>
          <w:szCs w:val="22"/>
          <w:highlight w:val="none"/>
          <w:u w:val="none"/>
          <w:lang w:val="en-US" w:eastAsia="zh-CN"/>
        </w:rPr>
        <w:t>3.7</w:t>
      </w:r>
      <w:r>
        <w:rPr>
          <w:rFonts w:hint="default" w:eastAsia="宋体" w:asciiTheme="minorAscii" w:hAnsiTheme="minorAscii" w:cstheme="minorBidi"/>
          <w:b/>
          <w:kern w:val="2"/>
          <w:sz w:val="28"/>
          <w:szCs w:val="22"/>
          <w:highlight w:val="none"/>
          <w:u w:val="none"/>
          <w:lang w:val="en-US" w:eastAsia="zh-CN"/>
        </w:rPr>
        <w:t>产品保存期限</w:t>
      </w:r>
    </w:p>
    <w:p>
      <w:pPr>
        <w:pStyle w:val="22"/>
        <w:tabs>
          <w:tab w:val="center" w:pos="4201"/>
          <w:tab w:val="right" w:leader="dot" w:pos="9298"/>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国内生产及使用的生产厂家主要有沈阳有研矿物化工有限公司、铁岭选矿药</w:t>
      </w:r>
    </w:p>
    <w:p>
      <w:pPr>
        <w:pStyle w:val="7"/>
        <w:numPr>
          <w:ilvl w:val="-1"/>
          <w:numId w:val="0"/>
        </w:numPr>
        <w:spacing w:line="360" w:lineRule="auto"/>
        <w:ind w:firstLine="0" w:firstLineChars="0"/>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lang w:val="en-US" w:eastAsia="zh-CN"/>
        </w:rPr>
        <w:t>剂有限公司、矿冶科技集团有限公司、沈阳飞瑞化工有限公司，经四家研究表明，丁氧羰基异丁基硫代氨基甲酸酯运输时长为两个月，所以推荐保存期限为三个月。</w:t>
      </w:r>
    </w:p>
    <w:p>
      <w:pPr>
        <w:pStyle w:val="7"/>
        <w:numPr>
          <w:ilvl w:val="-1"/>
          <w:numId w:val="0"/>
        </w:numPr>
        <w:spacing w:line="360" w:lineRule="auto"/>
        <w:ind w:firstLine="0" w:firstLineChars="0"/>
        <w:rPr>
          <w:rFonts w:hint="default" w:eastAsia="宋体" w:asciiTheme="minorAscii" w:hAnsiTheme="minorAscii" w:cstheme="minorBidi"/>
          <w:b/>
          <w:sz w:val="28"/>
          <w:szCs w:val="22"/>
          <w:u w:val="none"/>
          <w:lang w:val="en-US" w:eastAsia="zh-CN"/>
        </w:rPr>
      </w:pPr>
      <w:r>
        <w:rPr>
          <w:rFonts w:hint="default" w:eastAsia="宋体" w:asciiTheme="minorAscii" w:hAnsiTheme="minorAscii" w:cstheme="minorBidi"/>
          <w:b/>
          <w:color w:val="auto"/>
          <w:sz w:val="28"/>
          <w:szCs w:val="22"/>
          <w:highlight w:val="none"/>
          <w:u w:val="none"/>
          <w:lang w:val="en-US" w:eastAsia="zh-CN"/>
        </w:rPr>
        <w:t>3.8实验方法</w:t>
      </w:r>
    </w:p>
    <w:p>
      <w:pPr>
        <w:pStyle w:val="7"/>
        <w:numPr>
          <w:ilvl w:val="0"/>
          <w:numId w:val="0"/>
        </w:numPr>
        <w:spacing w:before="156" w:beforeLines="50" w:after="156" w:afterLines="50" w:line="360" w:lineRule="auto"/>
        <w:ind w:firstLine="0" w:firstLineChars="0"/>
        <w:rPr>
          <w:rFonts w:hint="default" w:eastAsia="宋体" w:asciiTheme="minorAscii" w:hAnsiTheme="minorAscii" w:cstheme="minorBidi"/>
          <w:b/>
          <w:color w:val="000000" w:themeColor="text1"/>
          <w:kern w:val="2"/>
          <w:sz w:val="28"/>
          <w:szCs w:val="22"/>
          <w:highlight w:val="none"/>
          <w:u w:val="none"/>
          <w:lang w:val="en-US" w:eastAsia="zh-CN"/>
          <w14:textFill>
            <w14:solidFill>
              <w14:schemeClr w14:val="tx1"/>
            </w14:solidFill>
          </w14:textFill>
        </w:rPr>
      </w:pPr>
      <w:r>
        <w:rPr>
          <w:rFonts w:hint="default" w:eastAsia="宋体" w:asciiTheme="minorAscii" w:hAnsiTheme="minorAscii" w:cstheme="minorBidi"/>
          <w:b/>
          <w:color w:val="000000" w:themeColor="text1"/>
          <w:kern w:val="2"/>
          <w:sz w:val="28"/>
          <w:szCs w:val="22"/>
          <w:highlight w:val="none"/>
          <w:u w:val="none"/>
          <w:lang w:val="en-US" w:eastAsia="zh-CN"/>
          <w14:textFill>
            <w14:solidFill>
              <w14:schemeClr w14:val="tx1"/>
            </w14:solidFill>
          </w14:textFill>
        </w:rPr>
        <w:t>3.8.1 同一实验室重复性、再现性实验</w:t>
      </w:r>
    </w:p>
    <w:p>
      <w:pPr>
        <w:pStyle w:val="22"/>
        <w:tabs>
          <w:tab w:val="center" w:pos="4201"/>
          <w:tab w:val="right" w:leader="dot" w:pos="9298"/>
        </w:tabs>
        <w:spacing w:before="156" w:beforeLines="50" w:after="156" w:afterLines="50" w:line="360" w:lineRule="auto"/>
        <w:ind w:firstLine="480" w:firstLineChars="20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试验内容：考察行业标准《丁</w:t>
      </w:r>
      <w:r>
        <w:rPr>
          <w:rFonts w:hint="eastAsia" w:ascii="宋体" w:hAnsi="宋体" w:eastAsia="宋体" w:cs="宋体"/>
          <w:color w:val="000000" w:themeColor="text1"/>
          <w:kern w:val="2"/>
          <w:sz w:val="24"/>
          <w:szCs w:val="24"/>
          <w:highlight w:val="none"/>
          <w14:textFill>
            <w14:solidFill>
              <w14:schemeClr w14:val="tx1"/>
            </w14:solidFill>
          </w14:textFill>
        </w:rPr>
        <w:t>氧羰基异丁基硫代氨基甲酸</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酯》对丁</w:t>
      </w:r>
      <w:r>
        <w:rPr>
          <w:rFonts w:hint="eastAsia" w:ascii="宋体" w:hAnsi="宋体" w:eastAsia="宋体" w:cs="宋体"/>
          <w:color w:val="000000" w:themeColor="text1"/>
          <w:kern w:val="2"/>
          <w:sz w:val="24"/>
          <w:szCs w:val="24"/>
          <w:highlight w:val="none"/>
          <w14:textFill>
            <w14:solidFill>
              <w14:schemeClr w14:val="tx1"/>
            </w14:solidFill>
          </w14:textFill>
        </w:rPr>
        <w:t>氧羰基异丁基硫代氨基甲酸</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酯的含量的检测误差。</w:t>
      </w:r>
    </w:p>
    <w:p>
      <w:pPr>
        <w:pStyle w:val="22"/>
        <w:tabs>
          <w:tab w:val="center" w:pos="4201"/>
          <w:tab w:val="right" w:leader="dot" w:pos="9298"/>
        </w:tabs>
        <w:spacing w:before="156" w:beforeLines="50" w:after="156" w:afterLines="50" w:line="360" w:lineRule="auto"/>
        <w:ind w:firstLine="480" w:firstLineChars="20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试验方法：参考行业标准《丁</w:t>
      </w:r>
      <w:r>
        <w:rPr>
          <w:rFonts w:hint="eastAsia" w:ascii="宋体" w:hAnsi="宋体" w:eastAsia="宋体" w:cs="宋体"/>
          <w:color w:val="000000" w:themeColor="text1"/>
          <w:kern w:val="2"/>
          <w:sz w:val="24"/>
          <w:szCs w:val="24"/>
          <w:highlight w:val="none"/>
          <w14:textFill>
            <w14:solidFill>
              <w14:schemeClr w14:val="tx1"/>
            </w14:solidFill>
          </w14:textFill>
        </w:rPr>
        <w:t>氧羰基异丁基硫代氨基甲酸</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酯》YS/T xx-20xx。丁</w:t>
      </w:r>
      <w:r>
        <w:rPr>
          <w:rFonts w:hint="eastAsia" w:ascii="宋体" w:hAnsi="宋体" w:eastAsia="宋体" w:cs="宋体"/>
          <w:color w:val="000000" w:themeColor="text1"/>
          <w:kern w:val="2"/>
          <w:sz w:val="24"/>
          <w:szCs w:val="24"/>
          <w:highlight w:val="none"/>
          <w14:textFill>
            <w14:solidFill>
              <w14:schemeClr w14:val="tx1"/>
            </w14:solidFill>
          </w14:textFill>
        </w:rPr>
        <w:t>氧羰基异丁基硫代氨基甲酸酯</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产品中含有异丁醇以及氯甲酸正丁酯，异丁醇的沸点为105℃且易挥发，氯甲酸正丁酯沸点为142℃，丁</w:t>
      </w:r>
      <w:r>
        <w:rPr>
          <w:rFonts w:hint="eastAsia" w:ascii="宋体" w:hAnsi="宋体" w:eastAsia="宋体" w:cs="宋体"/>
          <w:color w:val="000000" w:themeColor="text1"/>
          <w:kern w:val="2"/>
          <w:sz w:val="24"/>
          <w:szCs w:val="24"/>
          <w:highlight w:val="none"/>
          <w14:textFill>
            <w14:solidFill>
              <w14:schemeClr w14:val="tx1"/>
            </w14:solidFill>
          </w14:textFill>
        </w:rPr>
        <w:t>氧羰基异丁基硫代氨基甲酸酯</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沸点为240℃，根据沸点确定检测温度。</w:t>
      </w:r>
    </w:p>
    <w:p>
      <w:pPr>
        <w:pStyle w:val="22"/>
        <w:tabs>
          <w:tab w:val="center" w:pos="4201"/>
          <w:tab w:val="right" w:leader="dot" w:pos="9298"/>
        </w:tabs>
        <w:spacing w:before="156" w:beforeLines="50" w:after="156" w:afterLines="50" w:line="360" w:lineRule="auto"/>
        <w:ind w:firstLine="480" w:firstLineChars="20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方法摘要</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采用气相色谱法，试样经过气相色谱仪的色谱柱，经仪器测定用面积归一化法定量求得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产品中丁</w:t>
      </w:r>
      <w:r>
        <w:rPr>
          <w:rFonts w:hint="eastAsia" w:ascii="宋体" w:hAnsi="宋体" w:eastAsia="宋体" w:cs="宋体"/>
          <w:color w:val="000000" w:themeColor="text1"/>
          <w:kern w:val="2"/>
          <w:sz w:val="24"/>
          <w:szCs w:val="24"/>
          <w:highlight w:val="none"/>
          <w14:textFill>
            <w14:solidFill>
              <w14:schemeClr w14:val="tx1"/>
            </w14:solidFill>
          </w14:textFill>
        </w:rPr>
        <w:t>氧羰基异丁基硫代氨基甲酸酯的含量</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分析条件如下表2：</w:t>
      </w:r>
    </w:p>
    <w:p>
      <w:pPr>
        <w:pStyle w:val="22"/>
        <w:tabs>
          <w:tab w:val="center" w:pos="4201"/>
          <w:tab w:val="right" w:leader="dot" w:pos="9298"/>
        </w:tabs>
        <w:spacing w:line="360" w:lineRule="auto"/>
        <w:ind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表2 </w:t>
      </w:r>
      <w:r>
        <w:rPr>
          <w:rFonts w:hint="eastAsia" w:ascii="宋体" w:hAnsi="宋体" w:eastAsia="宋体" w:cs="宋体"/>
          <w:sz w:val="24"/>
          <w:szCs w:val="24"/>
          <w:highlight w:val="none"/>
        </w:rPr>
        <w:t>典型分析条件</w:t>
      </w:r>
    </w:p>
    <w:tbl>
      <w:tblPr>
        <w:tblStyle w:val="15"/>
        <w:tblW w:w="85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57"/>
        <w:gridCol w:w="919"/>
        <w:gridCol w:w="1554"/>
        <w:gridCol w:w="1078"/>
        <w:gridCol w:w="1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jc w:val="center"/>
        </w:trPr>
        <w:tc>
          <w:tcPr>
            <w:tcW w:w="3457" w:type="dxa"/>
            <w:vMerge w:val="restart"/>
            <w:vAlign w:val="center"/>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柱相温度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程序升温</w:t>
            </w:r>
            <w:r>
              <w:rPr>
                <w:rFonts w:hint="eastAsia" w:ascii="宋体" w:hAnsi="宋体" w:eastAsia="宋体" w:cs="宋体"/>
                <w:sz w:val="24"/>
                <w:szCs w:val="24"/>
                <w:highlight w:val="none"/>
                <w:lang w:eastAsia="zh-CN"/>
              </w:rPr>
              <w:t>）</w:t>
            </w:r>
          </w:p>
        </w:tc>
        <w:tc>
          <w:tcPr>
            <w:tcW w:w="919" w:type="dxa"/>
            <w:tcBorders>
              <w:bottom w:val="single" w:color="auto" w:sz="4" w:space="0"/>
              <w:right w:val="single" w:color="auto" w:sz="4" w:space="0"/>
            </w:tcBorders>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阶数</w:t>
            </w:r>
          </w:p>
        </w:tc>
        <w:tc>
          <w:tcPr>
            <w:tcW w:w="1554" w:type="dxa"/>
            <w:tcBorders>
              <w:left w:val="single" w:color="auto" w:sz="4" w:space="0"/>
              <w:bottom w:val="single" w:color="auto" w:sz="4" w:space="0"/>
              <w:right w:val="single" w:color="auto" w:sz="4" w:space="0"/>
            </w:tcBorders>
            <w:vAlign w:val="top"/>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升温速率</w:t>
            </w:r>
          </w:p>
        </w:tc>
        <w:tc>
          <w:tcPr>
            <w:tcW w:w="1078" w:type="dxa"/>
            <w:tcBorders>
              <w:left w:val="single" w:color="auto" w:sz="4" w:space="0"/>
              <w:bottom w:val="single" w:color="auto" w:sz="4" w:space="0"/>
              <w:right w:val="single" w:color="auto" w:sz="4" w:space="0"/>
            </w:tcBorders>
            <w:vAlign w:val="top"/>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温度</w:t>
            </w:r>
          </w:p>
        </w:tc>
        <w:tc>
          <w:tcPr>
            <w:tcW w:w="1554" w:type="dxa"/>
            <w:tcBorders>
              <w:left w:val="single" w:color="auto" w:sz="4" w:space="0"/>
              <w:bottom w:val="single" w:color="auto" w:sz="4" w:space="0"/>
            </w:tcBorders>
            <w:vAlign w:val="top"/>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保温时间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trPr>
        <w:tc>
          <w:tcPr>
            <w:tcW w:w="3457" w:type="dxa"/>
            <w:vMerge w:val="continue"/>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p>
        </w:tc>
        <w:tc>
          <w:tcPr>
            <w:tcW w:w="919" w:type="dxa"/>
            <w:tcBorders>
              <w:top w:val="single" w:color="auto" w:sz="4" w:space="0"/>
              <w:bottom w:val="single" w:color="auto" w:sz="4" w:space="0"/>
              <w:right w:val="single" w:color="auto" w:sz="4" w:space="0"/>
            </w:tcBorders>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初始</w:t>
            </w:r>
          </w:p>
        </w:tc>
        <w:tc>
          <w:tcPr>
            <w:tcW w:w="1554" w:type="dxa"/>
            <w:tcBorders>
              <w:top w:val="single" w:color="auto" w:sz="4" w:space="0"/>
              <w:left w:val="single" w:color="auto" w:sz="4" w:space="0"/>
              <w:bottom w:val="single" w:color="auto" w:sz="4" w:space="0"/>
              <w:right w:val="single" w:color="auto" w:sz="4" w:space="0"/>
            </w:tcBorders>
            <w:vAlign w:val="top"/>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1078" w:type="dxa"/>
            <w:tcBorders>
              <w:top w:val="single" w:color="auto" w:sz="4" w:space="0"/>
              <w:left w:val="single" w:color="auto" w:sz="4" w:space="0"/>
              <w:bottom w:val="single" w:color="auto" w:sz="4" w:space="0"/>
              <w:right w:val="single" w:color="auto" w:sz="4" w:space="0"/>
            </w:tcBorders>
            <w:vAlign w:val="top"/>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w:t>
            </w:r>
          </w:p>
        </w:tc>
        <w:tc>
          <w:tcPr>
            <w:tcW w:w="1554" w:type="dxa"/>
            <w:tcBorders>
              <w:top w:val="single" w:color="auto" w:sz="4" w:space="0"/>
              <w:left w:val="single" w:color="auto" w:sz="4" w:space="0"/>
              <w:bottom w:val="single" w:color="auto" w:sz="4" w:space="0"/>
            </w:tcBorders>
            <w:vAlign w:val="top"/>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 w:hRule="atLeast"/>
          <w:jc w:val="center"/>
        </w:trPr>
        <w:tc>
          <w:tcPr>
            <w:tcW w:w="3457" w:type="dxa"/>
            <w:vMerge w:val="continue"/>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p>
        </w:tc>
        <w:tc>
          <w:tcPr>
            <w:tcW w:w="919" w:type="dxa"/>
            <w:tcBorders>
              <w:top w:val="single" w:color="auto" w:sz="4" w:space="0"/>
              <w:bottom w:val="single" w:color="auto" w:sz="4" w:space="0"/>
              <w:right w:val="single" w:color="auto" w:sz="4" w:space="0"/>
            </w:tcBorders>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一阶</w:t>
            </w:r>
          </w:p>
        </w:tc>
        <w:tc>
          <w:tcPr>
            <w:tcW w:w="1554" w:type="dxa"/>
            <w:tcBorders>
              <w:top w:val="single" w:color="auto" w:sz="4" w:space="0"/>
              <w:left w:val="single" w:color="auto" w:sz="4" w:space="0"/>
              <w:bottom w:val="single" w:color="auto" w:sz="4" w:space="0"/>
              <w:right w:val="single" w:color="auto" w:sz="4" w:space="0"/>
            </w:tcBorders>
            <w:vAlign w:val="top"/>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/min</w:t>
            </w:r>
          </w:p>
        </w:tc>
        <w:tc>
          <w:tcPr>
            <w:tcW w:w="1078" w:type="dxa"/>
            <w:tcBorders>
              <w:top w:val="single" w:color="auto" w:sz="4" w:space="0"/>
              <w:left w:val="single" w:color="auto" w:sz="4" w:space="0"/>
              <w:bottom w:val="single" w:color="auto" w:sz="4" w:space="0"/>
              <w:right w:val="single" w:color="auto" w:sz="4" w:space="0"/>
            </w:tcBorders>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140</w:t>
            </w:r>
            <w:r>
              <w:rPr>
                <w:rFonts w:hint="eastAsia" w:ascii="宋体" w:hAnsi="宋体" w:eastAsia="宋体" w:cs="宋体"/>
                <w:sz w:val="24"/>
                <w:szCs w:val="24"/>
                <w:highlight w:val="none"/>
              </w:rPr>
              <w:t>℃</w:t>
            </w:r>
          </w:p>
        </w:tc>
        <w:tc>
          <w:tcPr>
            <w:tcW w:w="1554" w:type="dxa"/>
            <w:tcBorders>
              <w:top w:val="single" w:color="auto" w:sz="4" w:space="0"/>
              <w:left w:val="single" w:color="auto" w:sz="4" w:space="0"/>
              <w:bottom w:val="single" w:color="auto" w:sz="4" w:space="0"/>
            </w:tcBorders>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 w:hRule="atLeast"/>
          <w:jc w:val="center"/>
        </w:trPr>
        <w:tc>
          <w:tcPr>
            <w:tcW w:w="3457" w:type="dxa"/>
            <w:vMerge w:val="continue"/>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p>
        </w:tc>
        <w:tc>
          <w:tcPr>
            <w:tcW w:w="919" w:type="dxa"/>
            <w:tcBorders>
              <w:top w:val="single" w:color="auto" w:sz="4" w:space="0"/>
              <w:right w:val="single" w:color="auto" w:sz="4" w:space="0"/>
            </w:tcBorders>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二阶</w:t>
            </w:r>
          </w:p>
        </w:tc>
        <w:tc>
          <w:tcPr>
            <w:tcW w:w="1554" w:type="dxa"/>
            <w:tcBorders>
              <w:top w:val="single" w:color="auto" w:sz="4" w:space="0"/>
              <w:left w:val="single" w:color="auto" w:sz="4" w:space="0"/>
              <w:right w:val="single" w:color="auto" w:sz="4" w:space="0"/>
            </w:tcBorders>
            <w:vAlign w:val="top"/>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/min</w:t>
            </w:r>
          </w:p>
        </w:tc>
        <w:tc>
          <w:tcPr>
            <w:tcW w:w="1078" w:type="dxa"/>
            <w:tcBorders>
              <w:top w:val="single" w:color="auto" w:sz="4" w:space="0"/>
              <w:left w:val="single" w:color="auto" w:sz="4" w:space="0"/>
              <w:right w:val="single" w:color="auto" w:sz="4" w:space="0"/>
            </w:tcBorders>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240</w:t>
            </w:r>
            <w:r>
              <w:rPr>
                <w:rFonts w:hint="eastAsia" w:ascii="宋体" w:hAnsi="宋体" w:eastAsia="宋体" w:cs="宋体"/>
                <w:sz w:val="24"/>
                <w:szCs w:val="24"/>
                <w:highlight w:val="none"/>
              </w:rPr>
              <w:t>℃</w:t>
            </w:r>
          </w:p>
        </w:tc>
        <w:tc>
          <w:tcPr>
            <w:tcW w:w="1554" w:type="dxa"/>
            <w:tcBorders>
              <w:top w:val="single" w:color="auto" w:sz="4" w:space="0"/>
              <w:left w:val="single" w:color="auto" w:sz="4" w:space="0"/>
            </w:tcBorders>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57" w:type="dxa"/>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汽化室温度</w:t>
            </w:r>
          </w:p>
        </w:tc>
        <w:tc>
          <w:tcPr>
            <w:tcW w:w="5105" w:type="dxa"/>
            <w:gridSpan w:val="4"/>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140 </w:t>
            </w:r>
            <w:r>
              <w:rPr>
                <w:rFonts w:hint="eastAsia" w:ascii="宋体" w:hAnsi="宋体" w:eastAsia="宋体" w:cs="宋体"/>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57" w:type="dxa"/>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检测器温度</w:t>
            </w:r>
          </w:p>
        </w:tc>
        <w:tc>
          <w:tcPr>
            <w:tcW w:w="5105" w:type="dxa"/>
            <w:gridSpan w:val="4"/>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280 </w:t>
            </w:r>
            <w:r>
              <w:rPr>
                <w:rFonts w:hint="eastAsia" w:ascii="宋体" w:hAnsi="宋体" w:eastAsia="宋体" w:cs="宋体"/>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57" w:type="dxa"/>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载气流量</w:t>
            </w:r>
          </w:p>
        </w:tc>
        <w:tc>
          <w:tcPr>
            <w:tcW w:w="5105" w:type="dxa"/>
            <w:gridSpan w:val="4"/>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m</w:t>
            </w:r>
            <w:r>
              <w:rPr>
                <w:rFonts w:hint="eastAsia" w:ascii="宋体" w:hAnsi="宋体" w:eastAsia="宋体" w:cs="宋体"/>
                <w:sz w:val="24"/>
                <w:szCs w:val="24"/>
                <w:highlight w:val="none"/>
                <w:lang w:val="en-US" w:eastAsia="zh-CN"/>
              </w:rPr>
              <w:t>L</w:t>
            </w:r>
            <w:r>
              <w:rPr>
                <w:rFonts w:hint="eastAsia" w:ascii="宋体" w:hAnsi="宋体" w:eastAsia="宋体" w:cs="宋体"/>
                <w:sz w:val="24"/>
                <w:szCs w:val="24"/>
                <w:highlight w:val="none"/>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57" w:type="dxa"/>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助燃气流量</w:t>
            </w:r>
          </w:p>
        </w:tc>
        <w:tc>
          <w:tcPr>
            <w:tcW w:w="5105" w:type="dxa"/>
            <w:gridSpan w:val="4"/>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m</w:t>
            </w:r>
            <w:r>
              <w:rPr>
                <w:rFonts w:hint="eastAsia" w:ascii="宋体" w:hAnsi="宋体" w:eastAsia="宋体" w:cs="宋体"/>
                <w:sz w:val="24"/>
                <w:szCs w:val="24"/>
                <w:highlight w:val="none"/>
                <w:lang w:val="en-US" w:eastAsia="zh-CN"/>
              </w:rPr>
              <w:t>L</w:t>
            </w:r>
            <w:r>
              <w:rPr>
                <w:rFonts w:hint="eastAsia" w:ascii="宋体" w:hAnsi="宋体" w:eastAsia="宋体" w:cs="宋体"/>
                <w:sz w:val="24"/>
                <w:szCs w:val="24"/>
                <w:highlight w:val="none"/>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57" w:type="dxa"/>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分流比</w:t>
            </w:r>
          </w:p>
        </w:tc>
        <w:tc>
          <w:tcPr>
            <w:tcW w:w="5105" w:type="dxa"/>
            <w:gridSpan w:val="4"/>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57" w:type="dxa"/>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进样量</w:t>
            </w:r>
          </w:p>
        </w:tc>
        <w:tc>
          <w:tcPr>
            <w:tcW w:w="5105" w:type="dxa"/>
            <w:gridSpan w:val="4"/>
          </w:tcPr>
          <w:p>
            <w:pPr>
              <w:pStyle w:val="22"/>
              <w:tabs>
                <w:tab w:val="center" w:pos="4201"/>
                <w:tab w:val="right" w:leader="dot" w:pos="9298"/>
              </w:tabs>
              <w:spacing w:line="360" w:lineRule="auto"/>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0.1 μ</w:t>
            </w:r>
            <w:r>
              <w:rPr>
                <w:rFonts w:hint="eastAsia" w:ascii="宋体" w:hAnsi="宋体" w:eastAsia="宋体" w:cs="宋体"/>
                <w:sz w:val="24"/>
                <w:szCs w:val="24"/>
                <w:highlight w:val="none"/>
                <w:lang w:val="en-US" w:eastAsia="zh-CN"/>
              </w:rPr>
              <w:t>L</w:t>
            </w:r>
          </w:p>
        </w:tc>
      </w:tr>
    </w:tbl>
    <w:p>
      <w:pPr>
        <w:pStyle w:val="22"/>
        <w:tabs>
          <w:tab w:val="center" w:pos="4201"/>
          <w:tab w:val="right" w:leader="dot" w:pos="9298"/>
        </w:tabs>
        <w:spacing w:line="360" w:lineRule="auto"/>
        <w:ind w:firstLine="480" w:firstLineChars="20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分析步骤：启动气相色谱仪，按表所列色谱操作条件或其他合适的条件调试仪器，基线稳定后在同一条件下对样品进行色谱分析。</w:t>
      </w:r>
    </w:p>
    <w:p>
      <w:pPr>
        <w:pStyle w:val="22"/>
        <w:tabs>
          <w:tab w:val="center" w:pos="4201"/>
          <w:tab w:val="right" w:leader="dot" w:pos="9298"/>
        </w:tabs>
        <w:spacing w:line="360" w:lineRule="auto"/>
        <w:ind w:firstLine="480" w:firstLineChars="20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结果计算：用色谱工作站计算峰面积，使用面积归一法计算丁氧羰基异丁基硫代氨基甲酸酯含量。在同一实验室，由同一操作人员，使用同一设备，按相同的测试方法，在同一温度条件下，并在短时间内对同一被测对象，相互独立进行测试，获得的两次主含量的测试结果，其绝对差值应该不大于0.50%。取两次重复测定的算术平均值为测定结果，数字修约按GB/T8170执行。</w:t>
      </w:r>
    </w:p>
    <w:p>
      <w:pPr>
        <w:pStyle w:val="22"/>
        <w:tabs>
          <w:tab w:val="center" w:pos="4201"/>
          <w:tab w:val="right" w:leader="dot" w:pos="9298"/>
        </w:tabs>
        <w:spacing w:line="360" w:lineRule="auto"/>
        <w:ind w:firstLine="480" w:firstLineChars="20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试验结果：对丁氧羰基异丁基硫代氨基甲酸酯含量进行测定，每个样品分别进行两次检测，结果见表3。</w:t>
      </w:r>
    </w:p>
    <w:p>
      <w:pPr>
        <w:pStyle w:val="22"/>
        <w:tabs>
          <w:tab w:val="center" w:pos="4201"/>
          <w:tab w:val="right" w:leader="dot" w:pos="9298"/>
        </w:tabs>
        <w:spacing w:line="360" w:lineRule="auto"/>
        <w:ind w:firstLine="480" w:firstLineChars="200"/>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表3 丁氧羰基异丁基硫代氨基甲酸酯检测结果</w:t>
      </w:r>
    </w:p>
    <w:tbl>
      <w:tblPr>
        <w:tblStyle w:val="15"/>
        <w:tblW w:w="8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450"/>
        <w:gridCol w:w="1591"/>
        <w:gridCol w:w="1451"/>
        <w:gridCol w:w="131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0"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序号</w:t>
            </w:r>
          </w:p>
        </w:tc>
        <w:tc>
          <w:tcPr>
            <w:tcW w:w="1450"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检测结果</w:t>
            </w:r>
          </w:p>
        </w:tc>
        <w:tc>
          <w:tcPr>
            <w:tcW w:w="1591"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平均值</w:t>
            </w:r>
          </w:p>
        </w:tc>
        <w:tc>
          <w:tcPr>
            <w:tcW w:w="1451"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绝对差值</w:t>
            </w:r>
          </w:p>
        </w:tc>
        <w:tc>
          <w:tcPr>
            <w:tcW w:w="1310"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SD</w:t>
            </w:r>
          </w:p>
        </w:tc>
        <w:tc>
          <w:tcPr>
            <w:tcW w:w="1450"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0" w:type="dxa"/>
            <w:vMerge w:val="restart"/>
            <w:vAlign w:val="center"/>
          </w:tcPr>
          <w:p>
            <w:pPr>
              <w:pStyle w:val="22"/>
              <w:tabs>
                <w:tab w:val="center" w:pos="4201"/>
                <w:tab w:val="right" w:leader="dot" w:pos="9298"/>
              </w:tabs>
              <w:spacing w:line="360" w:lineRule="auto"/>
              <w:jc w:val="both"/>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w:t>
            </w:r>
          </w:p>
        </w:tc>
        <w:tc>
          <w:tcPr>
            <w:tcW w:w="1450"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84.03</w:t>
            </w:r>
          </w:p>
        </w:tc>
        <w:tc>
          <w:tcPr>
            <w:tcW w:w="1591"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84.09%</w:t>
            </w:r>
          </w:p>
        </w:tc>
        <w:tc>
          <w:tcPr>
            <w:tcW w:w="1451"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0.12%</w:t>
            </w:r>
          </w:p>
        </w:tc>
        <w:tc>
          <w:tcPr>
            <w:tcW w:w="1310"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0.08</w:t>
            </w:r>
          </w:p>
        </w:tc>
        <w:tc>
          <w:tcPr>
            <w:tcW w:w="1450"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0"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450"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84.15</w:t>
            </w:r>
          </w:p>
        </w:tc>
        <w:tc>
          <w:tcPr>
            <w:tcW w:w="1591"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451"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310"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450"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0" w:type="dxa"/>
            <w:vMerge w:val="restart"/>
            <w:vAlign w:val="center"/>
          </w:tcPr>
          <w:p>
            <w:pPr>
              <w:pStyle w:val="22"/>
              <w:tabs>
                <w:tab w:val="center" w:pos="4201"/>
                <w:tab w:val="right" w:leader="dot" w:pos="9298"/>
              </w:tabs>
              <w:spacing w:line="360" w:lineRule="auto"/>
              <w:jc w:val="both"/>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2</w:t>
            </w:r>
          </w:p>
        </w:tc>
        <w:tc>
          <w:tcPr>
            <w:tcW w:w="1450"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84.32</w:t>
            </w:r>
          </w:p>
        </w:tc>
        <w:tc>
          <w:tcPr>
            <w:tcW w:w="1591"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84.29%</w:t>
            </w:r>
          </w:p>
        </w:tc>
        <w:tc>
          <w:tcPr>
            <w:tcW w:w="1451"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0.07%</w:t>
            </w:r>
          </w:p>
        </w:tc>
        <w:tc>
          <w:tcPr>
            <w:tcW w:w="1310"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0.05</w:t>
            </w:r>
          </w:p>
        </w:tc>
        <w:tc>
          <w:tcPr>
            <w:tcW w:w="1450"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0"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450"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84.25</w:t>
            </w:r>
          </w:p>
        </w:tc>
        <w:tc>
          <w:tcPr>
            <w:tcW w:w="1591"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451"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310"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450"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0" w:type="dxa"/>
            <w:vMerge w:val="restart"/>
            <w:vAlign w:val="center"/>
          </w:tcPr>
          <w:p>
            <w:pPr>
              <w:pStyle w:val="22"/>
              <w:tabs>
                <w:tab w:val="center" w:pos="4201"/>
                <w:tab w:val="right" w:leader="dot" w:pos="9298"/>
              </w:tabs>
              <w:spacing w:line="360" w:lineRule="auto"/>
              <w:jc w:val="both"/>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3</w:t>
            </w:r>
          </w:p>
        </w:tc>
        <w:tc>
          <w:tcPr>
            <w:tcW w:w="1450"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84.59</w:t>
            </w:r>
          </w:p>
        </w:tc>
        <w:tc>
          <w:tcPr>
            <w:tcW w:w="1591"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84.62%</w:t>
            </w:r>
          </w:p>
        </w:tc>
        <w:tc>
          <w:tcPr>
            <w:tcW w:w="1451"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0.07%</w:t>
            </w:r>
          </w:p>
        </w:tc>
        <w:tc>
          <w:tcPr>
            <w:tcW w:w="1310"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0.05</w:t>
            </w:r>
          </w:p>
        </w:tc>
        <w:tc>
          <w:tcPr>
            <w:tcW w:w="1450"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0" w:type="dxa"/>
            <w:vMerge w:val="continue"/>
          </w:tcPr>
          <w:p>
            <w:pPr>
              <w:pStyle w:val="22"/>
              <w:tabs>
                <w:tab w:val="center" w:pos="4201"/>
                <w:tab w:val="right" w:leader="dot" w:pos="9298"/>
              </w:tabs>
              <w:spacing w:line="360" w:lineRule="auto"/>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450"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84.66</w:t>
            </w:r>
          </w:p>
        </w:tc>
        <w:tc>
          <w:tcPr>
            <w:tcW w:w="1591" w:type="dxa"/>
            <w:vMerge w:val="continue"/>
          </w:tcPr>
          <w:p>
            <w:pPr>
              <w:pStyle w:val="22"/>
              <w:tabs>
                <w:tab w:val="center" w:pos="4201"/>
                <w:tab w:val="right" w:leader="dot" w:pos="9298"/>
              </w:tabs>
              <w:spacing w:line="360" w:lineRule="auto"/>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451" w:type="dxa"/>
            <w:vMerge w:val="continue"/>
          </w:tcPr>
          <w:p>
            <w:pPr>
              <w:pStyle w:val="22"/>
              <w:tabs>
                <w:tab w:val="center" w:pos="4201"/>
                <w:tab w:val="right" w:leader="dot" w:pos="9298"/>
              </w:tabs>
              <w:spacing w:line="360" w:lineRule="auto"/>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310" w:type="dxa"/>
            <w:vMerge w:val="continue"/>
          </w:tcPr>
          <w:p>
            <w:pPr>
              <w:pStyle w:val="22"/>
              <w:tabs>
                <w:tab w:val="center" w:pos="4201"/>
                <w:tab w:val="right" w:leader="dot" w:pos="9298"/>
              </w:tabs>
              <w:spacing w:line="360" w:lineRule="auto"/>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450" w:type="dxa"/>
            <w:vMerge w:val="continue"/>
          </w:tcPr>
          <w:p>
            <w:pPr>
              <w:pStyle w:val="22"/>
              <w:tabs>
                <w:tab w:val="center" w:pos="4201"/>
                <w:tab w:val="right" w:leader="dot" w:pos="9298"/>
              </w:tabs>
              <w:spacing w:line="360" w:lineRule="auto"/>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r>
    </w:tbl>
    <w:p>
      <w:pPr>
        <w:pStyle w:val="22"/>
        <w:tabs>
          <w:tab w:val="center" w:pos="4201"/>
          <w:tab w:val="right" w:leader="dot" w:pos="9298"/>
        </w:tabs>
        <w:spacing w:line="360" w:lineRule="auto"/>
        <w:ind w:firstLine="0" w:firstLineChars="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default" w:eastAsia="宋体" w:asciiTheme="minorAscii" w:hAnsiTheme="minorAscii" w:cstheme="minorBidi"/>
          <w:b/>
          <w:color w:val="auto"/>
          <w:kern w:val="2"/>
          <w:sz w:val="28"/>
          <w:szCs w:val="22"/>
          <w:highlight w:val="none"/>
          <w:u w:val="none"/>
          <w:lang w:val="en-US" w:eastAsia="zh-CN"/>
        </w:rPr>
        <w:t>3.8.2 不同实验室间对比</w:t>
      </w:r>
    </w:p>
    <w:p>
      <w:pPr>
        <w:pStyle w:val="22"/>
        <w:tabs>
          <w:tab w:val="center" w:pos="4201"/>
          <w:tab w:val="right" w:leader="dot" w:pos="9298"/>
        </w:tabs>
        <w:spacing w:before="156" w:beforeLines="50" w:after="156" w:afterLines="50" w:line="360" w:lineRule="auto"/>
        <w:ind w:firstLine="480" w:firstLineChars="20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试验内容：铁岭选矿药剂有限公司对丁</w:t>
      </w:r>
      <w:r>
        <w:rPr>
          <w:rFonts w:hint="eastAsia" w:ascii="宋体" w:hAnsi="宋体" w:eastAsia="宋体" w:cs="宋体"/>
          <w:color w:val="000000" w:themeColor="text1"/>
          <w:kern w:val="2"/>
          <w:sz w:val="24"/>
          <w:szCs w:val="24"/>
          <w:highlight w:val="none"/>
          <w14:textFill>
            <w14:solidFill>
              <w14:schemeClr w14:val="tx1"/>
            </w14:solidFill>
          </w14:textFill>
        </w:rPr>
        <w:t>氧羰基异丁基硫代氨基甲酸</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酯的含量的检测。</w:t>
      </w:r>
    </w:p>
    <w:p>
      <w:pPr>
        <w:pStyle w:val="22"/>
        <w:tabs>
          <w:tab w:val="center" w:pos="4201"/>
          <w:tab w:val="right" w:leader="dot" w:pos="9298"/>
        </w:tabs>
        <w:spacing w:line="360" w:lineRule="auto"/>
        <w:ind w:left="0" w:leftChars="0" w:firstLine="480" w:firstLineChars="20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试验方法：试验方法同上。</w:t>
      </w:r>
    </w:p>
    <w:p>
      <w:pPr>
        <w:pStyle w:val="22"/>
        <w:tabs>
          <w:tab w:val="center" w:pos="4201"/>
          <w:tab w:val="right" w:leader="dot" w:pos="9298"/>
        </w:tabs>
        <w:spacing w:before="156" w:beforeLines="50" w:after="156" w:afterLines="50" w:line="360" w:lineRule="auto"/>
        <w:ind w:firstLine="480" w:firstLineChars="20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试验结果：铁岭选矿药剂有限公司对丁</w:t>
      </w:r>
      <w:r>
        <w:rPr>
          <w:rFonts w:hint="eastAsia" w:ascii="宋体" w:hAnsi="宋体" w:eastAsia="宋体" w:cs="宋体"/>
          <w:color w:val="000000" w:themeColor="text1"/>
          <w:kern w:val="2"/>
          <w:sz w:val="24"/>
          <w:szCs w:val="24"/>
          <w:highlight w:val="none"/>
          <w14:textFill>
            <w14:solidFill>
              <w14:schemeClr w14:val="tx1"/>
            </w14:solidFill>
          </w14:textFill>
        </w:rPr>
        <w:t>氧羰基异丁基硫代氨基甲酸</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酯的含量的检测结果见表4。</w:t>
      </w:r>
    </w:p>
    <w:p>
      <w:pPr>
        <w:pStyle w:val="22"/>
        <w:tabs>
          <w:tab w:val="center" w:pos="4201"/>
          <w:tab w:val="right" w:leader="dot" w:pos="9298"/>
        </w:tabs>
        <w:spacing w:line="360" w:lineRule="auto"/>
        <w:ind w:firstLine="480" w:firstLineChars="200"/>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表4 丁氧羰基异丁基硫代氨基甲酸酯检测结果</w:t>
      </w:r>
    </w:p>
    <w:tbl>
      <w:tblPr>
        <w:tblStyle w:val="15"/>
        <w:tblW w:w="8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258"/>
        <w:gridCol w:w="1379"/>
        <w:gridCol w:w="1259"/>
        <w:gridCol w:w="1136"/>
        <w:gridCol w:w="113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序号</w:t>
            </w:r>
          </w:p>
        </w:tc>
        <w:tc>
          <w:tcPr>
            <w:tcW w:w="1258" w:type="dxa"/>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检测结果</w:t>
            </w:r>
          </w:p>
        </w:tc>
        <w:tc>
          <w:tcPr>
            <w:tcW w:w="1379" w:type="dxa"/>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平均值</w:t>
            </w:r>
          </w:p>
        </w:tc>
        <w:tc>
          <w:tcPr>
            <w:tcW w:w="1259" w:type="dxa"/>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绝对差值</w:t>
            </w:r>
          </w:p>
        </w:tc>
        <w:tc>
          <w:tcPr>
            <w:tcW w:w="1136" w:type="dxa"/>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实验室间绝对差值</w:t>
            </w:r>
          </w:p>
        </w:tc>
        <w:tc>
          <w:tcPr>
            <w:tcW w:w="1137" w:type="dxa"/>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SD</w:t>
            </w:r>
          </w:p>
        </w:tc>
        <w:tc>
          <w:tcPr>
            <w:tcW w:w="1257" w:type="dxa"/>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1</w:t>
            </w:r>
          </w:p>
        </w:tc>
        <w:tc>
          <w:tcPr>
            <w:tcW w:w="1258"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84.45</w:t>
            </w:r>
          </w:p>
        </w:tc>
        <w:tc>
          <w:tcPr>
            <w:tcW w:w="1379"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84.56%</w:t>
            </w:r>
          </w:p>
        </w:tc>
        <w:tc>
          <w:tcPr>
            <w:tcW w:w="1259"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0.21%</w:t>
            </w:r>
          </w:p>
        </w:tc>
        <w:tc>
          <w:tcPr>
            <w:tcW w:w="1136"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0.47%</w:t>
            </w:r>
          </w:p>
        </w:tc>
        <w:tc>
          <w:tcPr>
            <w:tcW w:w="1137"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0.15</w:t>
            </w:r>
          </w:p>
        </w:tc>
        <w:tc>
          <w:tcPr>
            <w:tcW w:w="1257"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258"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84.66</w:t>
            </w:r>
          </w:p>
        </w:tc>
        <w:tc>
          <w:tcPr>
            <w:tcW w:w="1379"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259"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136"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137"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257"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2</w:t>
            </w:r>
          </w:p>
        </w:tc>
        <w:tc>
          <w:tcPr>
            <w:tcW w:w="1258"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84.57</w:t>
            </w:r>
          </w:p>
        </w:tc>
        <w:tc>
          <w:tcPr>
            <w:tcW w:w="1379"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84.53%</w:t>
            </w:r>
          </w:p>
        </w:tc>
        <w:tc>
          <w:tcPr>
            <w:tcW w:w="1259"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0.08%</w:t>
            </w:r>
          </w:p>
        </w:tc>
        <w:tc>
          <w:tcPr>
            <w:tcW w:w="1136"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0.24%</w:t>
            </w:r>
          </w:p>
        </w:tc>
        <w:tc>
          <w:tcPr>
            <w:tcW w:w="1137"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0.06</w:t>
            </w:r>
          </w:p>
        </w:tc>
        <w:tc>
          <w:tcPr>
            <w:tcW w:w="1257"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258"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84.49</w:t>
            </w:r>
          </w:p>
        </w:tc>
        <w:tc>
          <w:tcPr>
            <w:tcW w:w="1379"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259"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136"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137"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257" w:type="dxa"/>
            <w:vMerge w:val="continue"/>
            <w:vAlign w:val="center"/>
          </w:tcPr>
          <w:p>
            <w:pPr>
              <w:pStyle w:val="22"/>
              <w:tabs>
                <w:tab w:val="center" w:pos="4201"/>
                <w:tab w:val="right" w:leader="dot" w:pos="9298"/>
              </w:tabs>
              <w:spacing w:line="360" w:lineRule="auto"/>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3</w:t>
            </w:r>
          </w:p>
        </w:tc>
        <w:tc>
          <w:tcPr>
            <w:tcW w:w="1258"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84.83</w:t>
            </w:r>
          </w:p>
        </w:tc>
        <w:tc>
          <w:tcPr>
            <w:tcW w:w="1379"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84.77%</w:t>
            </w:r>
          </w:p>
        </w:tc>
        <w:tc>
          <w:tcPr>
            <w:tcW w:w="1259"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0.13%</w:t>
            </w:r>
          </w:p>
        </w:tc>
        <w:tc>
          <w:tcPr>
            <w:tcW w:w="1136"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0.15%</w:t>
            </w:r>
          </w:p>
        </w:tc>
        <w:tc>
          <w:tcPr>
            <w:tcW w:w="1137"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0.09</w:t>
            </w:r>
          </w:p>
        </w:tc>
        <w:tc>
          <w:tcPr>
            <w:tcW w:w="1257" w:type="dxa"/>
            <w:vMerge w:val="restart"/>
            <w:vAlign w:val="center"/>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Pr>
          <w:p>
            <w:pPr>
              <w:pStyle w:val="22"/>
              <w:tabs>
                <w:tab w:val="center" w:pos="4201"/>
                <w:tab w:val="right" w:leader="dot" w:pos="9298"/>
              </w:tabs>
              <w:spacing w:line="360" w:lineRule="auto"/>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258" w:type="dxa"/>
          </w:tcPr>
          <w:p>
            <w:pPr>
              <w:pStyle w:val="22"/>
              <w:tabs>
                <w:tab w:val="center" w:pos="4201"/>
                <w:tab w:val="right" w:leader="dot" w:pos="9298"/>
              </w:tabs>
              <w:spacing w:line="360" w:lineRule="auto"/>
              <w:ind w:left="0" w:leftChars="0" w:firstLine="0" w:firstLineChars="0"/>
              <w:jc w:val="cente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t>84.70</w:t>
            </w:r>
          </w:p>
        </w:tc>
        <w:tc>
          <w:tcPr>
            <w:tcW w:w="1379" w:type="dxa"/>
            <w:vMerge w:val="continue"/>
          </w:tcPr>
          <w:p>
            <w:pPr>
              <w:pStyle w:val="22"/>
              <w:tabs>
                <w:tab w:val="center" w:pos="4201"/>
                <w:tab w:val="right" w:leader="dot" w:pos="9298"/>
              </w:tabs>
              <w:spacing w:line="360" w:lineRule="auto"/>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259" w:type="dxa"/>
            <w:vMerge w:val="continue"/>
          </w:tcPr>
          <w:p>
            <w:pPr>
              <w:pStyle w:val="22"/>
              <w:tabs>
                <w:tab w:val="center" w:pos="4201"/>
                <w:tab w:val="right" w:leader="dot" w:pos="9298"/>
              </w:tabs>
              <w:spacing w:line="360" w:lineRule="auto"/>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136" w:type="dxa"/>
            <w:vMerge w:val="continue"/>
          </w:tcPr>
          <w:p>
            <w:pPr>
              <w:pStyle w:val="22"/>
              <w:tabs>
                <w:tab w:val="center" w:pos="4201"/>
                <w:tab w:val="right" w:leader="dot" w:pos="9298"/>
              </w:tabs>
              <w:spacing w:line="360" w:lineRule="auto"/>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137" w:type="dxa"/>
            <w:vMerge w:val="continue"/>
          </w:tcPr>
          <w:p>
            <w:pPr>
              <w:pStyle w:val="22"/>
              <w:tabs>
                <w:tab w:val="center" w:pos="4201"/>
                <w:tab w:val="right" w:leader="dot" w:pos="9298"/>
              </w:tabs>
              <w:spacing w:line="360" w:lineRule="auto"/>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c>
          <w:tcPr>
            <w:tcW w:w="1257" w:type="dxa"/>
            <w:vMerge w:val="continue"/>
          </w:tcPr>
          <w:p>
            <w:pPr>
              <w:pStyle w:val="22"/>
              <w:tabs>
                <w:tab w:val="center" w:pos="4201"/>
                <w:tab w:val="right" w:leader="dot" w:pos="9298"/>
              </w:tabs>
              <w:spacing w:line="360" w:lineRule="auto"/>
              <w:rPr>
                <w:rFonts w:hint="eastAsia" w:ascii="宋体" w:hAnsi="宋体" w:eastAsia="宋体" w:cs="宋体"/>
                <w:color w:val="000000" w:themeColor="text1"/>
                <w:kern w:val="2"/>
                <w:sz w:val="24"/>
                <w:szCs w:val="24"/>
                <w:highlight w:val="none"/>
                <w:vertAlign w:val="baseline"/>
                <w:lang w:val="en-US" w:eastAsia="zh-CN"/>
                <w14:textFill>
                  <w14:solidFill>
                    <w14:schemeClr w14:val="tx1"/>
                  </w14:solidFill>
                </w14:textFill>
              </w:rPr>
            </w:pPr>
          </w:p>
        </w:tc>
      </w:tr>
    </w:tbl>
    <w:p>
      <w:pPr>
        <w:pStyle w:val="22"/>
        <w:tabs>
          <w:tab w:val="center" w:pos="4201"/>
          <w:tab w:val="right" w:leader="dot" w:pos="9298"/>
        </w:tabs>
        <w:adjustRightInd w:val="0"/>
        <w:spacing w:before="156" w:beforeLines="50" w:after="156" w:afterLines="50" w:line="360" w:lineRule="auto"/>
        <w:ind w:firstLine="420" w:firstLineChars="200"/>
        <w:rPr>
          <w:rFonts w:hint="default" w:ascii="宋体" w:hAnsi="Times New Roman" w:eastAsia="宋体" w:cs="Times New Roman"/>
          <w:kern w:val="0"/>
          <w:sz w:val="21"/>
          <w:szCs w:val="22"/>
          <w:lang w:val="en-US" w:eastAsia="zh-CN"/>
        </w:rPr>
      </w:pPr>
      <w:r>
        <w:rPr>
          <w:rFonts w:hint="default" w:ascii="宋体" w:hAnsi="Times New Roman" w:eastAsia="宋体" w:cs="Times New Roman"/>
          <w:kern w:val="0"/>
          <w:sz w:val="21"/>
          <w:szCs w:val="22"/>
          <w:lang w:val="en-US" w:eastAsia="zh-CN"/>
        </w:rPr>
        <w:t>试验结论：铁岭选矿药剂有限公司按照起草单位沈阳有研矿物化工有限公司提供的方法草案《丁氧羰基异丁基硫代氨基甲酸酯》进行了方法验证工作。结果表明该方法满足测定要求。</w:t>
      </w:r>
    </w:p>
    <w:p>
      <w:pPr>
        <w:pStyle w:val="22"/>
        <w:tabs>
          <w:tab w:val="center" w:pos="4201"/>
          <w:tab w:val="right" w:leader="dot" w:pos="9298"/>
        </w:tabs>
        <w:adjustRightInd w:val="0"/>
        <w:spacing w:before="156" w:beforeLines="50" w:after="156" w:afterLines="50" w:line="360" w:lineRule="auto"/>
        <w:ind w:firstLine="1890" w:firstLineChars="900"/>
        <w:rPr>
          <w:rFonts w:hint="default" w:ascii="宋体" w:hAnsi="Times New Roman" w:eastAsia="宋体" w:cs="Times New Roman"/>
          <w:kern w:val="0"/>
          <w:sz w:val="21"/>
          <w:szCs w:val="22"/>
          <w:lang w:val="en-US" w:eastAsia="zh-CN"/>
        </w:rPr>
      </w:pPr>
    </w:p>
    <w:p>
      <w:pPr>
        <w:pStyle w:val="22"/>
        <w:keepNext w:val="0"/>
        <w:keepLines w:val="0"/>
        <w:pageBreakBefore w:val="0"/>
        <w:tabs>
          <w:tab w:val="center" w:pos="4201"/>
          <w:tab w:val="right" w:leader="dot" w:pos="9298"/>
        </w:tabs>
        <w:kinsoku/>
        <w:wordWrap/>
        <w:overflowPunct/>
        <w:topLinePunct w:val="0"/>
        <w:bidi w:val="0"/>
        <w:snapToGrid/>
        <w:spacing w:before="156" w:beforeLines="50" w:after="156" w:afterLines="50" w:line="360" w:lineRule="auto"/>
        <w:ind w:firstLine="0" w:firstLineChars="0"/>
        <w:textAlignment w:val="auto"/>
        <w:rPr>
          <w:rFonts w:hint="default" w:eastAsia="宋体" w:asciiTheme="minorAscii" w:hAnsiTheme="minorAscii" w:cstheme="minorBidi"/>
          <w:b/>
          <w:bCs w:val="0"/>
          <w:color w:val="auto"/>
          <w:kern w:val="2"/>
          <w:sz w:val="30"/>
          <w:szCs w:val="22"/>
          <w:highlight w:val="none"/>
          <w:lang w:val="en-US" w:eastAsia="zh-CN"/>
        </w:rPr>
      </w:pPr>
      <w:r>
        <w:rPr>
          <w:rFonts w:hint="default" w:eastAsia="宋体" w:asciiTheme="minorAscii" w:hAnsiTheme="minorAscii" w:cstheme="minorBidi"/>
          <w:b/>
          <w:bCs w:val="0"/>
          <w:color w:val="auto"/>
          <w:kern w:val="2"/>
          <w:sz w:val="30"/>
          <w:szCs w:val="22"/>
          <w:highlight w:val="none"/>
          <w:lang w:val="en-US" w:eastAsia="zh-CN"/>
        </w:rPr>
        <w:t>四、标准中涉及专利的情况</w:t>
      </w:r>
    </w:p>
    <w:p>
      <w:pPr>
        <w:pStyle w:val="7"/>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本标准不涉及专利问题。</w:t>
      </w:r>
    </w:p>
    <w:p>
      <w:pPr>
        <w:pStyle w:val="22"/>
        <w:keepNext w:val="0"/>
        <w:keepLines w:val="0"/>
        <w:pageBreakBefore w:val="0"/>
        <w:numPr>
          <w:ilvl w:val="0"/>
          <w:numId w:val="4"/>
        </w:numPr>
        <w:tabs>
          <w:tab w:val="center" w:pos="4201"/>
          <w:tab w:val="right" w:leader="dot" w:pos="9298"/>
        </w:tabs>
        <w:kinsoku/>
        <w:wordWrap/>
        <w:overflowPunct/>
        <w:topLinePunct w:val="0"/>
        <w:bidi w:val="0"/>
        <w:snapToGrid/>
        <w:spacing w:before="156" w:beforeLines="50" w:after="156" w:afterLines="50" w:line="360" w:lineRule="auto"/>
        <w:ind w:firstLine="0" w:firstLineChars="0"/>
        <w:textAlignment w:val="auto"/>
        <w:rPr>
          <w:rFonts w:hint="default" w:eastAsia="宋体" w:asciiTheme="minorAscii" w:hAnsiTheme="minorAscii" w:cstheme="minorBidi"/>
          <w:b/>
          <w:bCs w:val="0"/>
          <w:color w:val="auto"/>
          <w:kern w:val="2"/>
          <w:sz w:val="30"/>
          <w:szCs w:val="22"/>
          <w:highlight w:val="none"/>
          <w:lang w:val="en-US" w:eastAsia="zh-CN"/>
        </w:rPr>
      </w:pPr>
      <w:r>
        <w:rPr>
          <w:rFonts w:hint="default" w:eastAsia="宋体" w:asciiTheme="minorAscii" w:hAnsiTheme="minorAscii" w:cstheme="minorBidi"/>
          <w:b/>
          <w:bCs w:val="0"/>
          <w:kern w:val="2"/>
          <w:sz w:val="30"/>
          <w:szCs w:val="22"/>
          <w:lang w:val="en-US" w:eastAsia="zh-CN"/>
        </w:rPr>
        <w:t>五、</w:t>
      </w:r>
      <w:r>
        <w:rPr>
          <w:rFonts w:hint="default" w:eastAsia="宋体" w:asciiTheme="minorAscii" w:hAnsiTheme="minorAscii" w:cstheme="minorBidi"/>
          <w:b/>
          <w:bCs w:val="0"/>
          <w:color w:val="auto"/>
          <w:kern w:val="2"/>
          <w:sz w:val="30"/>
          <w:szCs w:val="22"/>
          <w:highlight w:val="none"/>
          <w:lang w:val="en-US" w:eastAsia="zh-CN"/>
        </w:rPr>
        <w:t>预期达到的社会效益等情况</w:t>
      </w:r>
    </w:p>
    <w:p>
      <w:pPr>
        <w:pStyle w:val="7"/>
        <w:numPr>
          <w:ilvl w:val="0"/>
          <w:numId w:val="5"/>
        </w:numPr>
        <w:spacing w:line="360" w:lineRule="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项目的必要性阐述</w:t>
      </w:r>
    </w:p>
    <w:p>
      <w:pPr>
        <w:pStyle w:val="7"/>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国内生产厂家产品质量参差不齐，没有统一的执行标准，严重制约了行业的发展。为了规范“</w:t>
      </w:r>
      <w:r>
        <w:rPr>
          <w:rFonts w:hint="eastAsia" w:ascii="宋体" w:hAnsi="宋体" w:eastAsia="宋体" w:cs="宋体"/>
          <w:sz w:val="24"/>
          <w:szCs w:val="24"/>
          <w:highlight w:val="none"/>
          <w:lang w:val="en-US" w:eastAsia="zh-CN"/>
        </w:rPr>
        <w:t>丁</w:t>
      </w:r>
      <w:r>
        <w:rPr>
          <w:rFonts w:hint="eastAsia" w:ascii="宋体" w:hAnsi="宋体" w:eastAsia="宋体" w:cs="宋体"/>
          <w:sz w:val="24"/>
          <w:szCs w:val="24"/>
          <w:highlight w:val="none"/>
        </w:rPr>
        <w:t>氧羰基异丁基硫代氨基甲酸酯”的生产、贮存、运输和销售等各环节更加科学、标准和可操作性，对国内生产企业起到规范和指导作用，促进生产企业全面可持续健康发展，推动选矿药剂行业不断向前发展，树立产品在国际市场上质量和价格等方面的权威性具有重要意义。本标准属国内首次制</w:t>
      </w:r>
      <w:r>
        <w:rPr>
          <w:rFonts w:hint="eastAsia" w:ascii="宋体" w:hAnsi="宋体" w:eastAsia="宋体" w:cs="宋体"/>
          <w:sz w:val="24"/>
          <w:szCs w:val="24"/>
          <w:highlight w:val="none"/>
          <w:lang w:val="en-US" w:eastAsia="zh-CN"/>
        </w:rPr>
        <w:t>定</w:t>
      </w:r>
      <w:r>
        <w:rPr>
          <w:rFonts w:hint="eastAsia" w:ascii="宋体" w:hAnsi="宋体" w:eastAsia="宋体" w:cs="宋体"/>
          <w:sz w:val="24"/>
          <w:szCs w:val="24"/>
          <w:highlight w:val="none"/>
        </w:rPr>
        <w:t>，它将为生产商、用户提供最基本的技术依据，它的制</w:t>
      </w:r>
      <w:r>
        <w:rPr>
          <w:rFonts w:hint="eastAsia" w:ascii="宋体" w:hAnsi="宋体" w:eastAsia="宋体" w:cs="宋体"/>
          <w:sz w:val="24"/>
          <w:szCs w:val="24"/>
          <w:highlight w:val="none"/>
          <w:lang w:val="en-US" w:eastAsia="zh-CN"/>
        </w:rPr>
        <w:t>定</w:t>
      </w:r>
      <w:r>
        <w:rPr>
          <w:rFonts w:hint="eastAsia" w:ascii="宋体" w:hAnsi="宋体" w:eastAsia="宋体" w:cs="宋体"/>
          <w:sz w:val="24"/>
          <w:szCs w:val="24"/>
          <w:highlight w:val="none"/>
        </w:rPr>
        <w:t>将建立和完善中国选矿药剂行业标准体系，为加速中国选矿药剂行业的进程起到积极的推动作用。</w:t>
      </w:r>
    </w:p>
    <w:p>
      <w:pPr>
        <w:pStyle w:val="7"/>
        <w:numPr>
          <w:ilvl w:val="0"/>
          <w:numId w:val="5"/>
        </w:numPr>
        <w:spacing w:line="360" w:lineRule="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项目的可行性阐述</w:t>
      </w:r>
    </w:p>
    <w:p>
      <w:pPr>
        <w:numPr>
          <w:ilvl w:val="0"/>
          <w:numId w:val="0"/>
        </w:numPr>
        <w:adjustRightInd w:val="0"/>
        <w:snapToGrid w:val="0"/>
        <w:spacing w:line="360" w:lineRule="auto"/>
        <w:ind w:firstLine="480" w:firstLineChars="200"/>
        <w:rPr>
          <w:rFonts w:hint="default" w:eastAsia="宋体" w:asciiTheme="minorAscii" w:hAnsiTheme="minorAscii" w:cstheme="minorBidi"/>
          <w:color w:val="auto"/>
          <w:kern w:val="2"/>
          <w:sz w:val="24"/>
          <w:szCs w:val="22"/>
          <w:highlight w:val="none"/>
          <w:lang w:val="en-US" w:eastAsia="zh-CN" w:bidi="ar-SA"/>
        </w:rPr>
      </w:pPr>
      <w:r>
        <w:rPr>
          <w:rFonts w:hint="eastAsia" w:ascii="宋体" w:hAnsi="宋体" w:eastAsia="宋体" w:cs="宋体"/>
          <w:sz w:val="24"/>
          <w:szCs w:val="24"/>
          <w:highlight w:val="none"/>
        </w:rPr>
        <w:t>我国目前共有大小30多家选矿药剂生产企业，</w:t>
      </w:r>
      <w:r>
        <w:rPr>
          <w:rFonts w:hint="eastAsia" w:ascii="宋体" w:hAnsi="宋体" w:eastAsia="宋体" w:cs="宋体"/>
          <w:sz w:val="24"/>
          <w:szCs w:val="24"/>
          <w:highlight w:val="none"/>
          <w:lang w:val="en-US" w:eastAsia="zh-CN"/>
        </w:rPr>
        <w:t>丁</w:t>
      </w:r>
      <w:r>
        <w:rPr>
          <w:rFonts w:hint="eastAsia" w:ascii="宋体" w:hAnsi="宋体" w:eastAsia="宋体" w:cs="宋体"/>
          <w:sz w:val="24"/>
          <w:szCs w:val="24"/>
          <w:highlight w:val="none"/>
        </w:rPr>
        <w:t>氧羰基异丁基硫代氨基甲酸酯产品是一种新型的第三代酯类选矿药剂，在国内的生产厂家较少，一直没有统一的行业技术标准，一些民营企业也在做选矿药剂产品，民营企业与国有企业履行的社会责任不同，执行标准不严格，产品质量参差不齐，严重制约了行业的发展。随着选矿药剂产品需求的国际市场化，为了规范</w:t>
      </w:r>
      <w:r>
        <w:rPr>
          <w:rFonts w:hint="eastAsia" w:ascii="宋体" w:hAnsi="宋体" w:eastAsia="宋体" w:cs="宋体"/>
          <w:sz w:val="24"/>
          <w:szCs w:val="24"/>
          <w:highlight w:val="none"/>
          <w:lang w:val="en-US" w:eastAsia="zh-CN"/>
        </w:rPr>
        <w:t>丁</w:t>
      </w:r>
      <w:r>
        <w:rPr>
          <w:rFonts w:hint="eastAsia" w:ascii="宋体" w:hAnsi="宋体" w:eastAsia="宋体" w:cs="宋体"/>
          <w:sz w:val="24"/>
          <w:szCs w:val="24"/>
          <w:highlight w:val="none"/>
        </w:rPr>
        <w:t>氧羰基异丁基硫代氨基甲酸酯产品的生产、贮存和运输，促进社会和经济的可持续发展，对国内生产企业起到规范作用，推动选矿药剂行业的发展，制定</w:t>
      </w:r>
      <w:r>
        <w:rPr>
          <w:rFonts w:hint="eastAsia" w:ascii="宋体" w:hAnsi="宋体" w:eastAsia="宋体" w:cs="宋体"/>
          <w:sz w:val="24"/>
          <w:szCs w:val="24"/>
          <w:highlight w:val="none"/>
          <w:lang w:val="en-US" w:eastAsia="zh-CN"/>
        </w:rPr>
        <w:t>丁</w:t>
      </w:r>
      <w:r>
        <w:rPr>
          <w:rFonts w:hint="eastAsia" w:ascii="宋体" w:hAnsi="宋体" w:eastAsia="宋体" w:cs="宋体"/>
          <w:sz w:val="24"/>
          <w:szCs w:val="24"/>
          <w:highlight w:val="none"/>
        </w:rPr>
        <w:t>氧羰基异丁基硫代氨基甲酸酯产品的行业标准势在必行。</w:t>
      </w:r>
      <w:r>
        <w:rPr>
          <w:rFonts w:hint="eastAsia" w:ascii="宋体" w:hAnsi="宋体" w:cs="宋体"/>
          <w:sz w:val="24"/>
          <w:szCs w:val="24"/>
          <w:highlight w:val="none"/>
          <w:lang w:val="en-US" w:eastAsia="zh-CN"/>
        </w:rPr>
        <w:t xml:space="preserve"> </w:t>
      </w:r>
    </w:p>
    <w:p>
      <w:pPr>
        <w:pStyle w:val="7"/>
        <w:numPr>
          <w:ilvl w:val="0"/>
          <w:numId w:val="5"/>
        </w:numPr>
        <w:spacing w:line="360" w:lineRule="auto"/>
        <w:ind w:left="0" w:leftChars="0"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标准的先进性、创新性、标准实施后预期产生的经济效益和社会效益</w:t>
      </w:r>
    </w:p>
    <w:p>
      <w:pPr>
        <w:adjustRightInd w:val="0"/>
        <w:snapToGri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经济效益：</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）产品利润在5000元/吨以上；</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）公司已有一条年产量500吨的成熟生产线，年产量300吨，利润为150万元。</w:t>
      </w:r>
    </w:p>
    <w:p>
      <w:pPr>
        <w:numPr>
          <w:ilvl w:val="0"/>
          <w:numId w:val="0"/>
        </w:numPr>
        <w:adjustRightInd w:val="0"/>
        <w:snapToGrid w:val="0"/>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sz w:val="24"/>
          <w:szCs w:val="24"/>
          <w:highlight w:val="none"/>
        </w:rPr>
        <w:t>社会效益：</w:t>
      </w:r>
      <w:r>
        <w:rPr>
          <w:rFonts w:hint="eastAsia" w:ascii="宋体" w:hAnsi="宋体" w:eastAsia="宋体" w:cs="宋体"/>
          <w:sz w:val="24"/>
          <w:szCs w:val="24"/>
          <w:highlight w:val="none"/>
        </w:rPr>
        <w:t>本标准属国内首次制</w:t>
      </w:r>
      <w:r>
        <w:rPr>
          <w:rFonts w:hint="eastAsia" w:ascii="宋体" w:hAnsi="宋体" w:eastAsia="宋体" w:cs="宋体"/>
          <w:sz w:val="24"/>
          <w:szCs w:val="24"/>
          <w:highlight w:val="none"/>
          <w:lang w:val="en-US" w:eastAsia="zh-CN"/>
        </w:rPr>
        <w:t>定</w:t>
      </w:r>
      <w:r>
        <w:rPr>
          <w:rFonts w:hint="eastAsia" w:ascii="宋体" w:hAnsi="宋体" w:eastAsia="宋体" w:cs="宋体"/>
          <w:sz w:val="24"/>
          <w:szCs w:val="24"/>
          <w:highlight w:val="none"/>
        </w:rPr>
        <w:t>，它将为生产商、用户提供最基本的技术依据，它的制</w:t>
      </w:r>
      <w:r>
        <w:rPr>
          <w:rFonts w:hint="eastAsia" w:ascii="宋体" w:hAnsi="宋体" w:eastAsia="宋体" w:cs="宋体"/>
          <w:sz w:val="24"/>
          <w:szCs w:val="24"/>
          <w:highlight w:val="none"/>
          <w:lang w:val="en-US" w:eastAsia="zh-CN"/>
        </w:rPr>
        <w:t>定</w:t>
      </w:r>
      <w:r>
        <w:rPr>
          <w:rFonts w:hint="eastAsia" w:ascii="宋体" w:hAnsi="宋体" w:eastAsia="宋体" w:cs="宋体"/>
          <w:sz w:val="24"/>
          <w:szCs w:val="24"/>
          <w:highlight w:val="none"/>
        </w:rPr>
        <w:t>将建立和完善中国选矿药剂行业标准体系，为加速中国选矿药剂行业的进程起到积极的推动作用，在标准中起着主导作用。</w:t>
      </w:r>
    </w:p>
    <w:p>
      <w:pPr>
        <w:keepNext w:val="0"/>
        <w:keepLines w:val="0"/>
        <w:pageBreakBefore w:val="0"/>
        <w:numPr>
          <w:ilvl w:val="-1"/>
          <w:numId w:val="0"/>
        </w:numPr>
        <w:kinsoku/>
        <w:wordWrap/>
        <w:overflowPunct/>
        <w:topLinePunct w:val="0"/>
        <w:bidi w:val="0"/>
        <w:snapToGrid/>
        <w:spacing w:beforeLines="50" w:afterLines="50" w:line="360" w:lineRule="auto"/>
        <w:ind w:firstLine="0" w:firstLineChars="0"/>
        <w:textAlignment w:val="auto"/>
        <w:rPr>
          <w:rFonts w:hint="eastAsia" w:ascii="宋体" w:hAnsi="宋体" w:eastAsia="宋体" w:cs="宋体"/>
          <w:b/>
          <w:bCs w:val="0"/>
          <w:color w:val="auto"/>
          <w:sz w:val="24"/>
          <w:szCs w:val="24"/>
          <w:highlight w:val="none"/>
        </w:rPr>
      </w:pPr>
      <w:r>
        <w:rPr>
          <w:rFonts w:hint="eastAsia" w:eastAsia="宋体" w:cstheme="minorBidi"/>
          <w:b/>
          <w:bCs w:val="0"/>
          <w:sz w:val="30"/>
          <w:szCs w:val="22"/>
          <w:lang w:val="en-US" w:eastAsia="zh-CN"/>
        </w:rPr>
        <w:t>六、</w:t>
      </w:r>
      <w:r>
        <w:rPr>
          <w:rFonts w:hint="default" w:eastAsia="宋体" w:asciiTheme="minorAscii" w:hAnsiTheme="minorAscii" w:cstheme="minorBidi"/>
          <w:b/>
          <w:bCs w:val="0"/>
          <w:color w:val="auto"/>
          <w:sz w:val="30"/>
          <w:szCs w:val="22"/>
          <w:highlight w:val="none"/>
          <w:lang w:val="en-US" w:eastAsia="zh-CN"/>
        </w:rPr>
        <w:t>采用国际标准和国外先进标准的情况</w:t>
      </w:r>
    </w:p>
    <w:p>
      <w:pPr>
        <w:pStyle w:val="7"/>
        <w:spacing w:line="360" w:lineRule="auto"/>
        <w:ind w:firstLine="480" w:firstLineChars="200"/>
        <w:jc w:val="left"/>
        <w:rPr>
          <w:rFonts w:hint="eastAsia" w:ascii="宋体" w:hAnsi="宋体" w:eastAsia="宋体" w:cs="宋体"/>
          <w:szCs w:val="24"/>
          <w:highlight w:val="none"/>
          <w:lang w:val="en-US" w:eastAsia="zh-CN"/>
        </w:rPr>
      </w:pPr>
      <w:r>
        <w:rPr>
          <w:rFonts w:hint="eastAsia" w:ascii="宋体" w:hAnsi="宋体" w:eastAsia="宋体" w:cs="宋体"/>
          <w:sz w:val="24"/>
          <w:szCs w:val="24"/>
          <w:highlight w:val="none"/>
          <w:lang w:val="en-US" w:eastAsia="zh-CN"/>
        </w:rPr>
        <w:t>无。</w:t>
      </w:r>
    </w:p>
    <w:p>
      <w:pPr>
        <w:keepNext w:val="0"/>
        <w:keepLines w:val="0"/>
        <w:pageBreakBefore w:val="0"/>
        <w:numPr>
          <w:ilvl w:val="-1"/>
          <w:numId w:val="0"/>
        </w:numPr>
        <w:kinsoku/>
        <w:wordWrap/>
        <w:overflowPunct/>
        <w:topLinePunct w:val="0"/>
        <w:bidi w:val="0"/>
        <w:snapToGrid/>
        <w:spacing w:beforeLines="50" w:afterLines="50" w:line="360" w:lineRule="auto"/>
        <w:ind w:firstLine="0" w:firstLineChars="0"/>
        <w:textAlignment w:val="auto"/>
        <w:rPr>
          <w:rFonts w:hint="eastAsia" w:ascii="宋体" w:hAnsi="宋体" w:eastAsia="宋体" w:cs="宋体"/>
          <w:b/>
          <w:bCs w:val="0"/>
          <w:color w:val="auto"/>
          <w:sz w:val="24"/>
          <w:szCs w:val="24"/>
          <w:highlight w:val="none"/>
        </w:rPr>
      </w:pPr>
      <w:r>
        <w:rPr>
          <w:rFonts w:hint="eastAsia" w:eastAsia="宋体" w:cstheme="minorBidi"/>
          <w:b/>
          <w:bCs w:val="0"/>
          <w:sz w:val="30"/>
          <w:szCs w:val="22"/>
          <w:lang w:val="en-US" w:eastAsia="zh-CN"/>
        </w:rPr>
        <w:t>七、</w:t>
      </w:r>
      <w:r>
        <w:rPr>
          <w:rFonts w:hint="default" w:eastAsia="宋体" w:asciiTheme="minorAscii" w:hAnsiTheme="minorAscii" w:cstheme="minorBidi"/>
          <w:b/>
          <w:bCs w:val="0"/>
          <w:color w:val="auto"/>
          <w:sz w:val="30"/>
          <w:szCs w:val="22"/>
          <w:highlight w:val="none"/>
        </w:rPr>
        <w:t>与现行法律、法规、强制性国家标准及相关标准协调配套情况</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本标准符合现行法律、法规的要求，并与其他同类国家标准、国家</w:t>
      </w:r>
      <w:r>
        <w:rPr>
          <w:rFonts w:hint="eastAsia" w:ascii="宋体" w:hAnsi="宋体" w:cs="宋体"/>
          <w:color w:val="auto"/>
          <w:sz w:val="24"/>
          <w:szCs w:val="24"/>
          <w:highlight w:val="none"/>
          <w:lang w:val="en-US" w:eastAsia="zh-CN"/>
        </w:rPr>
        <w:t>军</w:t>
      </w:r>
      <w:r>
        <w:rPr>
          <w:rFonts w:hint="eastAsia" w:ascii="宋体" w:hAnsi="宋体" w:cs="宋体"/>
          <w:color w:val="auto"/>
          <w:sz w:val="24"/>
          <w:szCs w:val="24"/>
          <w:highlight w:val="none"/>
        </w:rPr>
        <w:t>用标准、行业标准无冲突、重叠和不协调之处。</w:t>
      </w:r>
    </w:p>
    <w:p>
      <w:pPr>
        <w:keepNext w:val="0"/>
        <w:keepLines w:val="0"/>
        <w:pageBreakBefore w:val="0"/>
        <w:numPr>
          <w:ilvl w:val="-1"/>
          <w:numId w:val="0"/>
        </w:numPr>
        <w:kinsoku/>
        <w:wordWrap/>
        <w:overflowPunct/>
        <w:topLinePunct w:val="0"/>
        <w:bidi w:val="0"/>
        <w:snapToGrid/>
        <w:spacing w:beforeLines="50" w:afterLines="50" w:line="360" w:lineRule="auto"/>
        <w:ind w:firstLine="0" w:firstLineChars="0"/>
        <w:textAlignment w:val="auto"/>
        <w:rPr>
          <w:rFonts w:hint="default" w:eastAsia="宋体" w:asciiTheme="minorAscii" w:hAnsiTheme="minorAscii" w:cstheme="minorBidi"/>
          <w:b/>
          <w:bCs w:val="0"/>
          <w:color w:val="auto"/>
          <w:sz w:val="30"/>
          <w:szCs w:val="22"/>
          <w:highlight w:val="none"/>
        </w:rPr>
      </w:pPr>
      <w:bookmarkStart w:id="1" w:name="_Toc32100"/>
      <w:r>
        <w:rPr>
          <w:rFonts w:hint="default" w:eastAsia="宋体" w:asciiTheme="minorAscii" w:hAnsiTheme="minorAscii" w:cstheme="minorBidi"/>
          <w:b/>
          <w:bCs w:val="0"/>
          <w:color w:val="auto"/>
          <w:sz w:val="30"/>
          <w:szCs w:val="22"/>
          <w:highlight w:val="none"/>
          <w:lang w:val="en-US" w:eastAsia="zh-CN"/>
        </w:rPr>
        <w:t>八</w:t>
      </w:r>
      <w:r>
        <w:rPr>
          <w:rFonts w:hint="default" w:eastAsia="宋体" w:asciiTheme="minorAscii" w:hAnsiTheme="minorAscii" w:cstheme="minorBidi"/>
          <w:b/>
          <w:bCs w:val="0"/>
          <w:color w:val="auto"/>
          <w:sz w:val="30"/>
          <w:szCs w:val="22"/>
          <w:highlight w:val="none"/>
        </w:rPr>
        <w:t>、重大分歧意见的处理经过和依据</w:t>
      </w:r>
      <w:bookmarkEnd w:id="1"/>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暂无。</w:t>
      </w:r>
    </w:p>
    <w:p>
      <w:pPr>
        <w:keepNext w:val="0"/>
        <w:keepLines w:val="0"/>
        <w:pageBreakBefore w:val="0"/>
        <w:numPr>
          <w:ilvl w:val="-1"/>
          <w:numId w:val="0"/>
        </w:numPr>
        <w:kinsoku/>
        <w:wordWrap/>
        <w:overflowPunct/>
        <w:topLinePunct w:val="0"/>
        <w:bidi w:val="0"/>
        <w:snapToGrid/>
        <w:spacing w:beforeLines="50" w:afterLines="50" w:line="360" w:lineRule="auto"/>
        <w:ind w:firstLine="0" w:firstLineChars="0"/>
        <w:textAlignment w:val="auto"/>
        <w:rPr>
          <w:rFonts w:hint="default" w:eastAsia="宋体" w:asciiTheme="minorAscii" w:hAnsiTheme="minorAscii" w:cstheme="minorBidi"/>
          <w:b/>
          <w:bCs w:val="0"/>
          <w:color w:val="auto"/>
          <w:sz w:val="30"/>
          <w:szCs w:val="22"/>
          <w:highlight w:val="none"/>
        </w:rPr>
      </w:pPr>
      <w:bookmarkStart w:id="2" w:name="_Toc15989"/>
      <w:r>
        <w:rPr>
          <w:rFonts w:hint="default" w:eastAsia="宋体" w:asciiTheme="minorAscii" w:hAnsiTheme="minorAscii" w:cstheme="minorBidi"/>
          <w:b/>
          <w:bCs w:val="0"/>
          <w:color w:val="auto"/>
          <w:sz w:val="30"/>
          <w:szCs w:val="22"/>
          <w:highlight w:val="none"/>
          <w:lang w:val="en-US" w:eastAsia="zh-CN"/>
        </w:rPr>
        <w:t>九</w:t>
      </w:r>
      <w:r>
        <w:rPr>
          <w:rFonts w:hint="default" w:eastAsia="宋体" w:asciiTheme="minorAscii" w:hAnsiTheme="minorAscii" w:cstheme="minorBidi"/>
          <w:b/>
          <w:bCs w:val="0"/>
          <w:color w:val="auto"/>
          <w:sz w:val="30"/>
          <w:szCs w:val="22"/>
          <w:highlight w:val="none"/>
        </w:rPr>
        <w:t>、作为强制性或推荐性国家标准的建议</w:t>
      </w:r>
      <w:bookmarkEnd w:id="2"/>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本标准建议作为推荐性行业标准发布。</w:t>
      </w:r>
    </w:p>
    <w:p>
      <w:pPr>
        <w:keepNext w:val="0"/>
        <w:keepLines w:val="0"/>
        <w:pageBreakBefore w:val="0"/>
        <w:numPr>
          <w:ilvl w:val="-1"/>
          <w:numId w:val="0"/>
        </w:numPr>
        <w:kinsoku/>
        <w:wordWrap/>
        <w:overflowPunct/>
        <w:topLinePunct w:val="0"/>
        <w:bidi w:val="0"/>
        <w:snapToGrid/>
        <w:spacing w:beforeLines="50" w:afterLines="50" w:line="360" w:lineRule="auto"/>
        <w:ind w:firstLine="0" w:firstLineChars="0"/>
        <w:textAlignment w:val="auto"/>
        <w:rPr>
          <w:rFonts w:hint="default" w:eastAsia="宋体" w:asciiTheme="minorAscii" w:hAnsiTheme="minorAscii" w:cstheme="minorBidi"/>
          <w:b/>
          <w:bCs w:val="0"/>
          <w:color w:val="auto"/>
          <w:sz w:val="30"/>
          <w:szCs w:val="22"/>
          <w:highlight w:val="none"/>
        </w:rPr>
      </w:pPr>
      <w:bookmarkStart w:id="3" w:name="_Toc15588"/>
      <w:r>
        <w:rPr>
          <w:rFonts w:hint="default" w:eastAsia="宋体" w:asciiTheme="minorAscii" w:hAnsiTheme="minorAscii" w:cstheme="minorBidi"/>
          <w:b/>
          <w:bCs w:val="0"/>
          <w:color w:val="auto"/>
          <w:sz w:val="30"/>
          <w:szCs w:val="22"/>
          <w:highlight w:val="none"/>
          <w:lang w:val="en-US" w:eastAsia="zh-CN"/>
        </w:rPr>
        <w:t>十</w:t>
      </w:r>
      <w:r>
        <w:rPr>
          <w:rFonts w:hint="default" w:eastAsia="宋体" w:asciiTheme="minorAscii" w:hAnsiTheme="minorAscii" w:cstheme="minorBidi"/>
          <w:b/>
          <w:bCs w:val="0"/>
          <w:color w:val="auto"/>
          <w:sz w:val="30"/>
          <w:szCs w:val="22"/>
          <w:highlight w:val="none"/>
        </w:rPr>
        <w:t>、贯彻标准的要求和措施建议</w:t>
      </w:r>
      <w:bookmarkEnd w:id="3"/>
    </w:p>
    <w:p>
      <w:pPr>
        <w:pStyle w:val="22"/>
        <w:keepNext w:val="0"/>
        <w:keepLines w:val="0"/>
        <w:pageBreakBefore w:val="0"/>
        <w:kinsoku/>
        <w:wordWrap/>
        <w:overflowPunct/>
        <w:topLinePunct w:val="0"/>
        <w:bidi w:val="0"/>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p>
      <w:pPr>
        <w:keepNext w:val="0"/>
        <w:keepLines w:val="0"/>
        <w:pageBreakBefore w:val="0"/>
        <w:numPr>
          <w:ilvl w:val="-1"/>
          <w:numId w:val="0"/>
        </w:numPr>
        <w:kinsoku/>
        <w:wordWrap/>
        <w:overflowPunct/>
        <w:topLinePunct w:val="0"/>
        <w:bidi w:val="0"/>
        <w:snapToGrid/>
        <w:spacing w:beforeLines="50" w:afterLines="50" w:line="360" w:lineRule="auto"/>
        <w:ind w:firstLine="0" w:firstLineChars="0"/>
        <w:textAlignment w:val="auto"/>
        <w:rPr>
          <w:rFonts w:hint="default" w:eastAsia="宋体" w:asciiTheme="minorAscii" w:hAnsiTheme="minorAscii" w:cstheme="minorBidi"/>
          <w:b/>
          <w:bCs w:val="0"/>
          <w:color w:val="auto"/>
          <w:sz w:val="30"/>
          <w:szCs w:val="22"/>
          <w:highlight w:val="none"/>
        </w:rPr>
      </w:pPr>
      <w:bookmarkStart w:id="4" w:name="_Toc7802"/>
      <w:r>
        <w:rPr>
          <w:rFonts w:hint="default" w:eastAsia="宋体" w:asciiTheme="minorAscii" w:hAnsiTheme="minorAscii" w:cstheme="minorBidi"/>
          <w:b/>
          <w:bCs w:val="0"/>
          <w:color w:val="auto"/>
          <w:sz w:val="30"/>
          <w:szCs w:val="22"/>
          <w:highlight w:val="none"/>
          <w:lang w:val="en-US" w:eastAsia="zh-CN"/>
        </w:rPr>
        <w:t>十一</w:t>
      </w:r>
      <w:r>
        <w:rPr>
          <w:rFonts w:hint="default" w:eastAsia="宋体" w:asciiTheme="minorAscii" w:hAnsiTheme="minorAscii" w:cstheme="minorBidi"/>
          <w:b/>
          <w:bCs w:val="0"/>
          <w:color w:val="auto"/>
          <w:sz w:val="30"/>
          <w:szCs w:val="22"/>
          <w:highlight w:val="none"/>
        </w:rPr>
        <w:t>、废止现行有关标准的建议</w:t>
      </w:r>
      <w:bookmarkEnd w:id="4"/>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无。</w:t>
      </w:r>
    </w:p>
    <w:p>
      <w:pPr>
        <w:keepNext w:val="0"/>
        <w:keepLines w:val="0"/>
        <w:pageBreakBefore w:val="0"/>
        <w:numPr>
          <w:ilvl w:val="-1"/>
          <w:numId w:val="0"/>
        </w:numPr>
        <w:kinsoku/>
        <w:wordWrap/>
        <w:overflowPunct/>
        <w:topLinePunct w:val="0"/>
        <w:bidi w:val="0"/>
        <w:snapToGrid/>
        <w:spacing w:beforeLines="50" w:afterLines="50" w:line="360" w:lineRule="auto"/>
        <w:ind w:firstLine="0" w:firstLineChars="0"/>
        <w:textAlignment w:val="auto"/>
        <w:rPr>
          <w:rFonts w:hint="default" w:eastAsia="宋体" w:asciiTheme="minorAscii" w:hAnsiTheme="minorAscii" w:cstheme="minorBidi"/>
          <w:b/>
          <w:bCs w:val="0"/>
          <w:color w:val="auto"/>
          <w:sz w:val="30"/>
          <w:szCs w:val="22"/>
          <w:highlight w:val="none"/>
        </w:rPr>
      </w:pPr>
      <w:bookmarkStart w:id="5" w:name="_Toc22451"/>
      <w:r>
        <w:rPr>
          <w:rFonts w:hint="default" w:eastAsia="宋体" w:asciiTheme="minorAscii" w:hAnsiTheme="minorAscii" w:cstheme="minorBidi"/>
          <w:b/>
          <w:bCs w:val="0"/>
          <w:color w:val="auto"/>
          <w:sz w:val="30"/>
          <w:szCs w:val="22"/>
          <w:highlight w:val="none"/>
        </w:rPr>
        <w:t>十</w:t>
      </w:r>
      <w:r>
        <w:rPr>
          <w:rFonts w:hint="default" w:eastAsia="宋体" w:asciiTheme="minorAscii" w:hAnsiTheme="minorAscii" w:cstheme="minorBidi"/>
          <w:b/>
          <w:bCs w:val="0"/>
          <w:color w:val="auto"/>
          <w:sz w:val="30"/>
          <w:szCs w:val="22"/>
          <w:highlight w:val="none"/>
          <w:lang w:val="en-US" w:eastAsia="zh-CN"/>
        </w:rPr>
        <w:t>二</w:t>
      </w:r>
      <w:r>
        <w:rPr>
          <w:rFonts w:hint="default" w:eastAsia="宋体" w:asciiTheme="minorAscii" w:hAnsiTheme="minorAscii" w:cstheme="minorBidi"/>
          <w:b/>
          <w:bCs w:val="0"/>
          <w:color w:val="auto"/>
          <w:sz w:val="30"/>
          <w:szCs w:val="22"/>
          <w:highlight w:val="none"/>
        </w:rPr>
        <w:t>、其他主要内容的解释和其他需要说明的事项。</w:t>
      </w:r>
      <w:bookmarkEnd w:id="5"/>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无。</w:t>
      </w:r>
    </w:p>
    <w:p>
      <w:pPr>
        <w:spacing w:line="360" w:lineRule="auto"/>
        <w:jc w:val="righ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丁</w:t>
      </w:r>
      <w:r>
        <w:rPr>
          <w:rFonts w:hint="eastAsia" w:ascii="宋体" w:hAnsi="宋体" w:cs="宋体"/>
          <w:color w:val="auto"/>
          <w:sz w:val="24"/>
          <w:szCs w:val="24"/>
          <w:highlight w:val="none"/>
        </w:rPr>
        <w:t>氧羰基异丁基硫代氨基甲酸酯》</w:t>
      </w:r>
      <w:r>
        <w:rPr>
          <w:rFonts w:hint="eastAsia" w:ascii="宋体" w:hAnsi="宋体" w:eastAsia="宋体" w:cs="宋体"/>
          <w:color w:val="auto"/>
          <w:sz w:val="24"/>
          <w:szCs w:val="24"/>
          <w:highlight w:val="none"/>
        </w:rPr>
        <w:t>编制组</w:t>
      </w:r>
    </w:p>
    <w:p>
      <w:pPr>
        <w:keepNext w:val="0"/>
        <w:keepLines w:val="0"/>
        <w:pageBreakBefore w:val="0"/>
        <w:kinsoku/>
        <w:wordWrap/>
        <w:overflowPunct/>
        <w:topLinePunct w:val="0"/>
        <w:bidi w:val="0"/>
        <w:snapToGrid/>
        <w:spacing w:beforeLines="100" w:line="36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p>
    <w:p>
      <w:pPr>
        <w:pStyle w:val="7"/>
        <w:spacing w:line="360" w:lineRule="auto"/>
        <w:rPr>
          <w:rFonts w:hint="eastAsia" w:ascii="宋体" w:hAnsi="宋体" w:eastAsia="宋体" w:cs="宋体"/>
          <w:color w:val="auto"/>
          <w:sz w:val="24"/>
          <w:szCs w:val="24"/>
          <w:highlight w:val="none"/>
          <w:lang w:val="en-US" w:eastAsia="zh-CN"/>
        </w:rPr>
      </w:pP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096852"/>
    <w:multiLevelType w:val="singleLevel"/>
    <w:tmpl w:val="C7096852"/>
    <w:lvl w:ilvl="0" w:tentative="0">
      <w:start w:val="1"/>
      <w:numFmt w:val="decimal"/>
      <w:suff w:val="nothing"/>
      <w:lvlText w:val="%1、"/>
      <w:lvlJc w:val="left"/>
    </w:lvl>
  </w:abstractNum>
  <w:abstractNum w:abstractNumId="1">
    <w:nsid w:val="CFCEA38F"/>
    <w:multiLevelType w:val="singleLevel"/>
    <w:tmpl w:val="CFCEA38F"/>
    <w:lvl w:ilvl="0" w:tentative="0">
      <w:start w:val="3"/>
      <w:numFmt w:val="decimal"/>
      <w:suff w:val="nothing"/>
      <w:lvlText w:val="（%1）"/>
      <w:lvlJc w:val="left"/>
    </w:lvl>
  </w:abstractNum>
  <w:abstractNum w:abstractNumId="2">
    <w:nsid w:val="DA9F0784"/>
    <w:multiLevelType w:val="singleLevel"/>
    <w:tmpl w:val="DA9F0784"/>
    <w:lvl w:ilvl="0" w:tentative="0">
      <w:start w:val="5"/>
      <w:numFmt w:val="chineseCounting"/>
      <w:suff w:val="nothing"/>
      <w:lvlText w:val="%1、"/>
      <w:lvlJc w:val="left"/>
      <w:rPr>
        <w:rFonts w:hint="eastAsia"/>
      </w:rPr>
    </w:lvl>
  </w:abstractNum>
  <w:abstractNum w:abstractNumId="3">
    <w:nsid w:val="F116BB8D"/>
    <w:multiLevelType w:val="singleLevel"/>
    <w:tmpl w:val="F116BB8D"/>
    <w:lvl w:ilvl="0" w:tentative="0">
      <w:start w:val="1"/>
      <w:numFmt w:val="chineseCounting"/>
      <w:suff w:val="nothing"/>
      <w:lvlText w:val="（%1）"/>
      <w:lvlJc w:val="left"/>
      <w:rPr>
        <w:rFonts w:hint="eastAsia"/>
      </w:rPr>
    </w:lvl>
  </w:abstractNum>
  <w:abstractNum w:abstractNumId="4">
    <w:nsid w:val="68C03922"/>
    <w:multiLevelType w:val="singleLevel"/>
    <w:tmpl w:val="68C03922"/>
    <w:lvl w:ilvl="0" w:tentative="0">
      <w:start w:val="1"/>
      <w:numFmt w:val="decimal"/>
      <w:suff w:val="nothing"/>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ZjM0YjdhMWI4MGI1OWE0ODRkNjk3NzZiODZkMzI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0FA5"/>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029C"/>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010"/>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35BC"/>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3E38DC"/>
    <w:rsid w:val="016E044A"/>
    <w:rsid w:val="0186391F"/>
    <w:rsid w:val="01F55E61"/>
    <w:rsid w:val="01F85FEB"/>
    <w:rsid w:val="026408E0"/>
    <w:rsid w:val="02D4130B"/>
    <w:rsid w:val="030A6A98"/>
    <w:rsid w:val="03AB2260"/>
    <w:rsid w:val="03D31057"/>
    <w:rsid w:val="03F32F00"/>
    <w:rsid w:val="045F5DD3"/>
    <w:rsid w:val="046D7BBC"/>
    <w:rsid w:val="04722D72"/>
    <w:rsid w:val="0550409E"/>
    <w:rsid w:val="057549A6"/>
    <w:rsid w:val="05C0100F"/>
    <w:rsid w:val="065851EF"/>
    <w:rsid w:val="06A163C8"/>
    <w:rsid w:val="06AA39F5"/>
    <w:rsid w:val="06DA1E13"/>
    <w:rsid w:val="06F14910"/>
    <w:rsid w:val="07097F81"/>
    <w:rsid w:val="071B14DB"/>
    <w:rsid w:val="07216CAB"/>
    <w:rsid w:val="0739061B"/>
    <w:rsid w:val="0826393F"/>
    <w:rsid w:val="08A85CE1"/>
    <w:rsid w:val="09140B80"/>
    <w:rsid w:val="09F0626E"/>
    <w:rsid w:val="0A852C1B"/>
    <w:rsid w:val="0AE4208E"/>
    <w:rsid w:val="0AF6410C"/>
    <w:rsid w:val="0B12078A"/>
    <w:rsid w:val="0B374F21"/>
    <w:rsid w:val="0B5671E4"/>
    <w:rsid w:val="0C482343"/>
    <w:rsid w:val="0CE67599"/>
    <w:rsid w:val="0D0F7037"/>
    <w:rsid w:val="0D51468E"/>
    <w:rsid w:val="0D770A75"/>
    <w:rsid w:val="0DA71548"/>
    <w:rsid w:val="0DFB5B20"/>
    <w:rsid w:val="0ECD0E40"/>
    <w:rsid w:val="0F197BCC"/>
    <w:rsid w:val="0F202691"/>
    <w:rsid w:val="0F9825E4"/>
    <w:rsid w:val="0FBB4B90"/>
    <w:rsid w:val="0FF52278"/>
    <w:rsid w:val="10257F61"/>
    <w:rsid w:val="106B4AAF"/>
    <w:rsid w:val="109E5C97"/>
    <w:rsid w:val="10EE431D"/>
    <w:rsid w:val="10F33AA1"/>
    <w:rsid w:val="10F947D2"/>
    <w:rsid w:val="11090E55"/>
    <w:rsid w:val="115271BB"/>
    <w:rsid w:val="121D15A5"/>
    <w:rsid w:val="12A677E8"/>
    <w:rsid w:val="12E92459"/>
    <w:rsid w:val="12ED7D8D"/>
    <w:rsid w:val="13DA4490"/>
    <w:rsid w:val="13E134A3"/>
    <w:rsid w:val="13E23345"/>
    <w:rsid w:val="147E038B"/>
    <w:rsid w:val="14994872"/>
    <w:rsid w:val="14B061A7"/>
    <w:rsid w:val="15553F1E"/>
    <w:rsid w:val="15816DA8"/>
    <w:rsid w:val="15C35EBD"/>
    <w:rsid w:val="15FC4F84"/>
    <w:rsid w:val="16121CCB"/>
    <w:rsid w:val="16297536"/>
    <w:rsid w:val="16870442"/>
    <w:rsid w:val="168D61A3"/>
    <w:rsid w:val="169454C5"/>
    <w:rsid w:val="16D05547"/>
    <w:rsid w:val="17361DA9"/>
    <w:rsid w:val="175860EB"/>
    <w:rsid w:val="17A21C54"/>
    <w:rsid w:val="18083340"/>
    <w:rsid w:val="1864621D"/>
    <w:rsid w:val="18704CB4"/>
    <w:rsid w:val="18C441F3"/>
    <w:rsid w:val="18D06265"/>
    <w:rsid w:val="192E28F8"/>
    <w:rsid w:val="19817C7A"/>
    <w:rsid w:val="19852FA6"/>
    <w:rsid w:val="19EA2F53"/>
    <w:rsid w:val="1A5C4D40"/>
    <w:rsid w:val="1AE13BD6"/>
    <w:rsid w:val="1AE50DF4"/>
    <w:rsid w:val="1AFB62E1"/>
    <w:rsid w:val="1B4B028E"/>
    <w:rsid w:val="1B5231B9"/>
    <w:rsid w:val="1BE26822"/>
    <w:rsid w:val="1CD55571"/>
    <w:rsid w:val="1CE3088B"/>
    <w:rsid w:val="1D1E2202"/>
    <w:rsid w:val="1D350E63"/>
    <w:rsid w:val="1D3750ED"/>
    <w:rsid w:val="1D78498E"/>
    <w:rsid w:val="1DFE6FCD"/>
    <w:rsid w:val="1E0D6564"/>
    <w:rsid w:val="1E1226A7"/>
    <w:rsid w:val="1E355345"/>
    <w:rsid w:val="1E601A36"/>
    <w:rsid w:val="1E6913CC"/>
    <w:rsid w:val="1E931701"/>
    <w:rsid w:val="1ED10273"/>
    <w:rsid w:val="1EFC34DB"/>
    <w:rsid w:val="1F4B415D"/>
    <w:rsid w:val="1F83524C"/>
    <w:rsid w:val="1FDD68C2"/>
    <w:rsid w:val="200D1749"/>
    <w:rsid w:val="20204692"/>
    <w:rsid w:val="2042733F"/>
    <w:rsid w:val="2053450B"/>
    <w:rsid w:val="209A4AFD"/>
    <w:rsid w:val="210F0625"/>
    <w:rsid w:val="21A932B5"/>
    <w:rsid w:val="21B22790"/>
    <w:rsid w:val="22C80A1D"/>
    <w:rsid w:val="23573455"/>
    <w:rsid w:val="249E20D8"/>
    <w:rsid w:val="24AB2783"/>
    <w:rsid w:val="24B67736"/>
    <w:rsid w:val="257858B7"/>
    <w:rsid w:val="257F1732"/>
    <w:rsid w:val="25C32FD6"/>
    <w:rsid w:val="26556018"/>
    <w:rsid w:val="268C786C"/>
    <w:rsid w:val="26AC3261"/>
    <w:rsid w:val="27221F7E"/>
    <w:rsid w:val="289724F8"/>
    <w:rsid w:val="28E05C4D"/>
    <w:rsid w:val="28E92B74"/>
    <w:rsid w:val="28EC3597"/>
    <w:rsid w:val="29191DDD"/>
    <w:rsid w:val="292D3160"/>
    <w:rsid w:val="29757CC6"/>
    <w:rsid w:val="298567F4"/>
    <w:rsid w:val="29F411F3"/>
    <w:rsid w:val="2A2379F6"/>
    <w:rsid w:val="2A38309F"/>
    <w:rsid w:val="2AA52E9F"/>
    <w:rsid w:val="2ACF3C40"/>
    <w:rsid w:val="2AFE63AE"/>
    <w:rsid w:val="2B275776"/>
    <w:rsid w:val="2BB13033"/>
    <w:rsid w:val="2BB76EED"/>
    <w:rsid w:val="2BBF5F38"/>
    <w:rsid w:val="2CD72CDD"/>
    <w:rsid w:val="2CF17ED9"/>
    <w:rsid w:val="2D1D5512"/>
    <w:rsid w:val="2D491F9E"/>
    <w:rsid w:val="2DD6396D"/>
    <w:rsid w:val="2DFD4BAB"/>
    <w:rsid w:val="2DFE3A76"/>
    <w:rsid w:val="2E001152"/>
    <w:rsid w:val="2EBC75F9"/>
    <w:rsid w:val="2EBD7423"/>
    <w:rsid w:val="2F20599A"/>
    <w:rsid w:val="2F491D5C"/>
    <w:rsid w:val="2F633134"/>
    <w:rsid w:val="2FE50BA9"/>
    <w:rsid w:val="2FEF1536"/>
    <w:rsid w:val="301663F8"/>
    <w:rsid w:val="302357FD"/>
    <w:rsid w:val="306D17B8"/>
    <w:rsid w:val="313115D7"/>
    <w:rsid w:val="3137305D"/>
    <w:rsid w:val="317F0BCA"/>
    <w:rsid w:val="31BD1A6A"/>
    <w:rsid w:val="31E3055C"/>
    <w:rsid w:val="31F370E9"/>
    <w:rsid w:val="321B7CF6"/>
    <w:rsid w:val="32594507"/>
    <w:rsid w:val="32832A04"/>
    <w:rsid w:val="337A48C5"/>
    <w:rsid w:val="33A56860"/>
    <w:rsid w:val="344A13D8"/>
    <w:rsid w:val="347C4931"/>
    <w:rsid w:val="35791BFD"/>
    <w:rsid w:val="362408CF"/>
    <w:rsid w:val="36986345"/>
    <w:rsid w:val="369C5364"/>
    <w:rsid w:val="369F5FB5"/>
    <w:rsid w:val="36E20E7C"/>
    <w:rsid w:val="37A5151F"/>
    <w:rsid w:val="37FE1114"/>
    <w:rsid w:val="385348DE"/>
    <w:rsid w:val="38E96BE1"/>
    <w:rsid w:val="390F7D87"/>
    <w:rsid w:val="391266DE"/>
    <w:rsid w:val="391C28EE"/>
    <w:rsid w:val="39202096"/>
    <w:rsid w:val="392E09A2"/>
    <w:rsid w:val="39312F57"/>
    <w:rsid w:val="393F31AE"/>
    <w:rsid w:val="39612FAC"/>
    <w:rsid w:val="39A57400"/>
    <w:rsid w:val="39B12BDB"/>
    <w:rsid w:val="39FD77BE"/>
    <w:rsid w:val="3A0A67FC"/>
    <w:rsid w:val="3A383F80"/>
    <w:rsid w:val="3A6C3919"/>
    <w:rsid w:val="3A930E30"/>
    <w:rsid w:val="3B20082B"/>
    <w:rsid w:val="3B7A0F58"/>
    <w:rsid w:val="3C4022DB"/>
    <w:rsid w:val="3C672EE2"/>
    <w:rsid w:val="3CA923C9"/>
    <w:rsid w:val="3D637C7F"/>
    <w:rsid w:val="3DA117DB"/>
    <w:rsid w:val="3DB80AE5"/>
    <w:rsid w:val="3DE059B2"/>
    <w:rsid w:val="3DF14823"/>
    <w:rsid w:val="3E7D078F"/>
    <w:rsid w:val="3F6165F2"/>
    <w:rsid w:val="400973E0"/>
    <w:rsid w:val="402E7006"/>
    <w:rsid w:val="408E2415"/>
    <w:rsid w:val="41636D14"/>
    <w:rsid w:val="41E73D1F"/>
    <w:rsid w:val="41F200FA"/>
    <w:rsid w:val="42211828"/>
    <w:rsid w:val="43107660"/>
    <w:rsid w:val="432804C5"/>
    <w:rsid w:val="43442826"/>
    <w:rsid w:val="43877EB6"/>
    <w:rsid w:val="440F51E1"/>
    <w:rsid w:val="443E30D7"/>
    <w:rsid w:val="44417AA6"/>
    <w:rsid w:val="444C1930"/>
    <w:rsid w:val="4472559A"/>
    <w:rsid w:val="449E020E"/>
    <w:rsid w:val="44BF7722"/>
    <w:rsid w:val="45CE60DD"/>
    <w:rsid w:val="46112CCB"/>
    <w:rsid w:val="46357E56"/>
    <w:rsid w:val="475C6294"/>
    <w:rsid w:val="476F408E"/>
    <w:rsid w:val="47FA6D46"/>
    <w:rsid w:val="483B0FDF"/>
    <w:rsid w:val="48905F98"/>
    <w:rsid w:val="48960B41"/>
    <w:rsid w:val="48DC2132"/>
    <w:rsid w:val="48E44E8E"/>
    <w:rsid w:val="48EA1124"/>
    <w:rsid w:val="493733B5"/>
    <w:rsid w:val="494A12E4"/>
    <w:rsid w:val="495221D9"/>
    <w:rsid w:val="49FF1483"/>
    <w:rsid w:val="4A763501"/>
    <w:rsid w:val="4A786917"/>
    <w:rsid w:val="4B081895"/>
    <w:rsid w:val="4B0A5AC0"/>
    <w:rsid w:val="4B541C32"/>
    <w:rsid w:val="4BE80063"/>
    <w:rsid w:val="4C427CBA"/>
    <w:rsid w:val="4C4C62F7"/>
    <w:rsid w:val="4CED3700"/>
    <w:rsid w:val="4D6B0B4D"/>
    <w:rsid w:val="4DC872D6"/>
    <w:rsid w:val="4EF47F3E"/>
    <w:rsid w:val="4F595B21"/>
    <w:rsid w:val="4F5B7607"/>
    <w:rsid w:val="503F77DF"/>
    <w:rsid w:val="505065B7"/>
    <w:rsid w:val="50B66E34"/>
    <w:rsid w:val="50CD4459"/>
    <w:rsid w:val="50CE10DD"/>
    <w:rsid w:val="50F9037E"/>
    <w:rsid w:val="518A6050"/>
    <w:rsid w:val="52AA4A52"/>
    <w:rsid w:val="53CB1124"/>
    <w:rsid w:val="542D6F1A"/>
    <w:rsid w:val="5479202C"/>
    <w:rsid w:val="54890F8C"/>
    <w:rsid w:val="54A7391E"/>
    <w:rsid w:val="54E15B1C"/>
    <w:rsid w:val="54F621D1"/>
    <w:rsid w:val="558827BA"/>
    <w:rsid w:val="55AE0998"/>
    <w:rsid w:val="55DA3996"/>
    <w:rsid w:val="55E91087"/>
    <w:rsid w:val="56B650FB"/>
    <w:rsid w:val="56E53D63"/>
    <w:rsid w:val="57B474D9"/>
    <w:rsid w:val="5860495B"/>
    <w:rsid w:val="59404864"/>
    <w:rsid w:val="595139EF"/>
    <w:rsid w:val="5992689C"/>
    <w:rsid w:val="59986DFA"/>
    <w:rsid w:val="59F9536D"/>
    <w:rsid w:val="5A2F591E"/>
    <w:rsid w:val="5AE27140"/>
    <w:rsid w:val="5AED6FF2"/>
    <w:rsid w:val="5C344A48"/>
    <w:rsid w:val="5C383483"/>
    <w:rsid w:val="5C497A82"/>
    <w:rsid w:val="5CC20EF4"/>
    <w:rsid w:val="5DAD658B"/>
    <w:rsid w:val="5DC34F27"/>
    <w:rsid w:val="5EB57F75"/>
    <w:rsid w:val="5F2E6A0B"/>
    <w:rsid w:val="5F971AAB"/>
    <w:rsid w:val="602D6CC3"/>
    <w:rsid w:val="60DC0D2E"/>
    <w:rsid w:val="60ED46D6"/>
    <w:rsid w:val="61286CB6"/>
    <w:rsid w:val="61BA51F3"/>
    <w:rsid w:val="61E5688F"/>
    <w:rsid w:val="61E838C3"/>
    <w:rsid w:val="6261528F"/>
    <w:rsid w:val="62804AB5"/>
    <w:rsid w:val="63232EF0"/>
    <w:rsid w:val="63E121D5"/>
    <w:rsid w:val="63FC7B00"/>
    <w:rsid w:val="64416899"/>
    <w:rsid w:val="64654905"/>
    <w:rsid w:val="646F07C8"/>
    <w:rsid w:val="652D063A"/>
    <w:rsid w:val="658C5B9D"/>
    <w:rsid w:val="6675498B"/>
    <w:rsid w:val="66A55D31"/>
    <w:rsid w:val="66C079B4"/>
    <w:rsid w:val="66C20182"/>
    <w:rsid w:val="66DA731D"/>
    <w:rsid w:val="66FB2E6F"/>
    <w:rsid w:val="68017981"/>
    <w:rsid w:val="689930D4"/>
    <w:rsid w:val="68AD4253"/>
    <w:rsid w:val="68BB5852"/>
    <w:rsid w:val="68C96AC3"/>
    <w:rsid w:val="6A1D0CBC"/>
    <w:rsid w:val="6A78217E"/>
    <w:rsid w:val="6A9F06C8"/>
    <w:rsid w:val="6AA14B9D"/>
    <w:rsid w:val="6ADF1AA1"/>
    <w:rsid w:val="6B3E697D"/>
    <w:rsid w:val="6B4E0851"/>
    <w:rsid w:val="6B767E3E"/>
    <w:rsid w:val="6BD66460"/>
    <w:rsid w:val="6C691E33"/>
    <w:rsid w:val="6C855FBD"/>
    <w:rsid w:val="6CC05A9E"/>
    <w:rsid w:val="6E3C6504"/>
    <w:rsid w:val="6E417F8E"/>
    <w:rsid w:val="6F18166C"/>
    <w:rsid w:val="6F2B6AC3"/>
    <w:rsid w:val="6F3335BA"/>
    <w:rsid w:val="6F5F3C13"/>
    <w:rsid w:val="6FEF3508"/>
    <w:rsid w:val="700C06E0"/>
    <w:rsid w:val="70560CA9"/>
    <w:rsid w:val="706309E8"/>
    <w:rsid w:val="70BB7408"/>
    <w:rsid w:val="70F91EED"/>
    <w:rsid w:val="71116FB5"/>
    <w:rsid w:val="712E1AA6"/>
    <w:rsid w:val="7170400C"/>
    <w:rsid w:val="717D75BF"/>
    <w:rsid w:val="71D822D5"/>
    <w:rsid w:val="72094889"/>
    <w:rsid w:val="7289422C"/>
    <w:rsid w:val="72A268E0"/>
    <w:rsid w:val="72AD6094"/>
    <w:rsid w:val="72D03FD8"/>
    <w:rsid w:val="732C2206"/>
    <w:rsid w:val="73436C2F"/>
    <w:rsid w:val="7344673B"/>
    <w:rsid w:val="73A31975"/>
    <w:rsid w:val="74125FFC"/>
    <w:rsid w:val="7489597B"/>
    <w:rsid w:val="74C45C20"/>
    <w:rsid w:val="75913A2E"/>
    <w:rsid w:val="761C138D"/>
    <w:rsid w:val="76256BC6"/>
    <w:rsid w:val="762D78F8"/>
    <w:rsid w:val="76A76695"/>
    <w:rsid w:val="76E521D9"/>
    <w:rsid w:val="776C058E"/>
    <w:rsid w:val="77E92439"/>
    <w:rsid w:val="77EE2537"/>
    <w:rsid w:val="77F52E6F"/>
    <w:rsid w:val="780D4A7B"/>
    <w:rsid w:val="781F2DE2"/>
    <w:rsid w:val="7892429B"/>
    <w:rsid w:val="79291364"/>
    <w:rsid w:val="799E4C8A"/>
    <w:rsid w:val="7A241826"/>
    <w:rsid w:val="7AA257AF"/>
    <w:rsid w:val="7ADD13BF"/>
    <w:rsid w:val="7B0248DF"/>
    <w:rsid w:val="7B221D5E"/>
    <w:rsid w:val="7B527729"/>
    <w:rsid w:val="7B76109D"/>
    <w:rsid w:val="7B77183E"/>
    <w:rsid w:val="7BD65545"/>
    <w:rsid w:val="7C3433C0"/>
    <w:rsid w:val="7C37004F"/>
    <w:rsid w:val="7C656903"/>
    <w:rsid w:val="7C884D56"/>
    <w:rsid w:val="7CB26FA6"/>
    <w:rsid w:val="7CFE6FDB"/>
    <w:rsid w:val="7D250FBB"/>
    <w:rsid w:val="7DED73E6"/>
    <w:rsid w:val="7F68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500" w:lineRule="exact"/>
      <w:ind w:firstLine="0" w:firstLineChars="0"/>
      <w:outlineLvl w:val="2"/>
    </w:pPr>
    <w:rPr>
      <w:b/>
      <w:sz w:val="28"/>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5">
    <w:name w:val="Normal Indent"/>
    <w:basedOn w:val="1"/>
    <w:qFormat/>
    <w:uiPriority w:val="0"/>
    <w:pPr>
      <w:ind w:firstLine="420" w:firstLineChars="200"/>
    </w:pPr>
    <w:rPr>
      <w:rFonts w:ascii="Calibri" w:hAnsi="Calibri"/>
      <w:szCs w:val="24"/>
    </w:rPr>
  </w:style>
  <w:style w:type="paragraph" w:styleId="6">
    <w:name w:val="annotation text"/>
    <w:basedOn w:val="1"/>
    <w:link w:val="21"/>
    <w:qFormat/>
    <w:uiPriority w:val="0"/>
    <w:pPr>
      <w:spacing w:line="360" w:lineRule="auto"/>
      <w:jc w:val="left"/>
    </w:pPr>
    <w:rPr>
      <w:rFonts w:ascii="宋体" w:hAnsi="宋体" w:eastAsia="宋体" w:cs="Times New Roman"/>
      <w:szCs w:val="24"/>
    </w:rPr>
  </w:style>
  <w:style w:type="paragraph" w:styleId="7">
    <w:name w:val="Body Text"/>
    <w:basedOn w:val="1"/>
    <w:unhideWhenUsed/>
    <w:qFormat/>
    <w:uiPriority w:val="99"/>
    <w:pPr>
      <w:spacing w:after="120"/>
    </w:pPr>
    <w:rPr>
      <w:rFonts w:eastAsia="仿宋_GB2312"/>
    </w:rPr>
  </w:style>
  <w:style w:type="paragraph" w:styleId="8">
    <w:name w:val="Body Text Indent"/>
    <w:basedOn w:val="1"/>
    <w:link w:val="20"/>
    <w:qFormat/>
    <w:uiPriority w:val="0"/>
    <w:pPr>
      <w:ind w:firstLine="420"/>
    </w:pPr>
    <w:rPr>
      <w:rFonts w:ascii="Times New Roman" w:hAnsi="Times New Roman" w:eastAsia="宋体" w:cs="Times New Roman"/>
      <w:sz w:val="24"/>
      <w:szCs w:val="24"/>
    </w:rPr>
  </w:style>
  <w:style w:type="paragraph" w:styleId="9">
    <w:name w:val="Balloon Text"/>
    <w:basedOn w:val="1"/>
    <w:link w:val="16"/>
    <w:semiHidden/>
    <w:unhideWhenUsed/>
    <w:qFormat/>
    <w:uiPriority w:val="99"/>
    <w:rPr>
      <w:sz w:val="18"/>
      <w:szCs w:val="18"/>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批注框文本 Char"/>
    <w:basedOn w:val="13"/>
    <w:link w:val="9"/>
    <w:semiHidden/>
    <w:qFormat/>
    <w:uiPriority w:val="99"/>
    <w:rPr>
      <w:sz w:val="18"/>
      <w:szCs w:val="18"/>
    </w:rPr>
  </w:style>
  <w:style w:type="character" w:customStyle="1" w:styleId="17">
    <w:name w:val="页眉 Char"/>
    <w:basedOn w:val="13"/>
    <w:link w:val="11"/>
    <w:semiHidden/>
    <w:qFormat/>
    <w:uiPriority w:val="99"/>
    <w:rPr>
      <w:sz w:val="18"/>
      <w:szCs w:val="18"/>
    </w:rPr>
  </w:style>
  <w:style w:type="character" w:customStyle="1" w:styleId="18">
    <w:name w:val="页脚 Char"/>
    <w:basedOn w:val="13"/>
    <w:link w:val="10"/>
    <w:semiHidden/>
    <w:qFormat/>
    <w:uiPriority w:val="99"/>
    <w:rPr>
      <w:sz w:val="18"/>
      <w:szCs w:val="18"/>
    </w:rPr>
  </w:style>
  <w:style w:type="paragraph" w:customStyle="1" w:styleId="19">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character" w:customStyle="1" w:styleId="20">
    <w:name w:val="正文文本缩进 Char"/>
    <w:basedOn w:val="13"/>
    <w:link w:val="8"/>
    <w:qFormat/>
    <w:uiPriority w:val="0"/>
    <w:rPr>
      <w:rFonts w:ascii="Times New Roman" w:hAnsi="Times New Roman" w:eastAsia="宋体" w:cs="Times New Roman"/>
      <w:sz w:val="24"/>
      <w:szCs w:val="24"/>
    </w:rPr>
  </w:style>
  <w:style w:type="character" w:customStyle="1" w:styleId="21">
    <w:name w:val="批注文字 Char"/>
    <w:basedOn w:val="13"/>
    <w:link w:val="6"/>
    <w:qFormat/>
    <w:uiPriority w:val="0"/>
    <w:rPr>
      <w:rFonts w:ascii="宋体" w:hAnsi="宋体" w:eastAsia="宋体" w:cs="Times New Roman"/>
      <w:szCs w:val="24"/>
    </w:rPr>
  </w:style>
  <w:style w:type="paragraph" w:customStyle="1" w:styleId="22">
    <w:name w:val="段"/>
    <w:link w:val="23"/>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23">
    <w:name w:val="段 Char"/>
    <w:link w:val="22"/>
    <w:qFormat/>
    <w:uiPriority w:val="0"/>
    <w:rPr>
      <w:rFonts w:ascii="宋体" w:hAnsi="Times New Roman" w:eastAsia="宋体" w:cs="Times New Roman"/>
      <w:kern w:val="0"/>
    </w:rPr>
  </w:style>
  <w:style w:type="paragraph" w:customStyle="1" w:styleId="2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5">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2C55B-7085-467F-ABDB-CBEB33EA78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7538</Words>
  <Characters>8172</Characters>
  <Lines>68</Lines>
  <Paragraphs>19</Paragraphs>
  <TotalTime>50</TotalTime>
  <ScaleCrop>false</ScaleCrop>
  <LinksUpToDate>false</LinksUpToDate>
  <CharactersWithSpaces>8249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GY</cp:lastModifiedBy>
  <dcterms:modified xsi:type="dcterms:W3CDTF">2024-09-20T06:02:48Z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42FC542A0AD84031A38962A5C4F94EFF_13</vt:lpwstr>
  </property>
</Properties>
</file>