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0E04"/>
    <w:tbl>
      <w:tblPr>
        <w:tblStyle w:val="7"/>
        <w:tblW w:w="8177" w:type="dxa"/>
        <w:jc w:val="center"/>
        <w:tblLayout w:type="autofit"/>
        <w:tblCellMar>
          <w:top w:w="0" w:type="dxa"/>
          <w:left w:w="108" w:type="dxa"/>
          <w:bottom w:w="0" w:type="dxa"/>
          <w:right w:w="108" w:type="dxa"/>
        </w:tblCellMar>
      </w:tblPr>
      <w:tblGrid>
        <w:gridCol w:w="8177"/>
      </w:tblGrid>
      <w:tr w14:paraId="2BCC0343">
        <w:tblPrEx>
          <w:tblCellMar>
            <w:top w:w="0" w:type="dxa"/>
            <w:left w:w="108" w:type="dxa"/>
            <w:bottom w:w="0" w:type="dxa"/>
            <w:right w:w="108" w:type="dxa"/>
          </w:tblCellMar>
        </w:tblPrEx>
        <w:trPr>
          <w:trHeight w:val="2335" w:hRule="atLeast"/>
          <w:jc w:val="center"/>
        </w:trPr>
        <w:tc>
          <w:tcPr>
            <w:tcW w:w="8177" w:type="dxa"/>
            <w:vAlign w:val="center"/>
          </w:tcPr>
          <w:p w14:paraId="7C0EE995">
            <w:pPr>
              <w:spacing w:line="360" w:lineRule="auto"/>
              <w:ind w:firstLine="3092" w:firstLineChars="700"/>
              <w:rPr>
                <w:b/>
                <w:spacing w:val="20"/>
                <w:sz w:val="44"/>
                <w:szCs w:val="44"/>
              </w:rPr>
            </w:pPr>
            <w:r>
              <w:rPr>
                <w:rFonts w:hint="eastAsia"/>
                <w:b/>
                <w:sz w:val="44"/>
                <w:szCs w:val="44"/>
              </w:rPr>
              <w:t>辛酸铑</w:t>
            </w:r>
          </w:p>
        </w:tc>
      </w:tr>
      <w:tr w14:paraId="307CEE2C">
        <w:tblPrEx>
          <w:tblCellMar>
            <w:top w:w="0" w:type="dxa"/>
            <w:left w:w="108" w:type="dxa"/>
            <w:bottom w:w="0" w:type="dxa"/>
            <w:right w:w="108" w:type="dxa"/>
          </w:tblCellMar>
        </w:tblPrEx>
        <w:trPr>
          <w:trHeight w:val="2337" w:hRule="atLeast"/>
          <w:jc w:val="center"/>
        </w:trPr>
        <w:tc>
          <w:tcPr>
            <w:tcW w:w="8177" w:type="dxa"/>
          </w:tcPr>
          <w:p w14:paraId="34374EC6">
            <w:pPr>
              <w:jc w:val="center"/>
              <w:rPr>
                <w:rFonts w:eastAsia="黑体"/>
                <w:spacing w:val="20"/>
                <w:sz w:val="44"/>
              </w:rPr>
            </w:pPr>
            <w:r>
              <w:rPr>
                <w:rFonts w:eastAsia="黑体"/>
                <w:spacing w:val="20"/>
                <w:sz w:val="44"/>
              </w:rPr>
              <w:t>编制说明</w:t>
            </w:r>
          </w:p>
        </w:tc>
      </w:tr>
      <w:tr w14:paraId="7214BB94">
        <w:tblPrEx>
          <w:tblCellMar>
            <w:top w:w="0" w:type="dxa"/>
            <w:left w:w="108" w:type="dxa"/>
            <w:bottom w:w="0" w:type="dxa"/>
            <w:right w:w="108" w:type="dxa"/>
          </w:tblCellMar>
        </w:tblPrEx>
        <w:trPr>
          <w:trHeight w:val="5454" w:hRule="atLeast"/>
          <w:jc w:val="center"/>
        </w:trPr>
        <w:tc>
          <w:tcPr>
            <w:tcW w:w="8177" w:type="dxa"/>
          </w:tcPr>
          <w:p w14:paraId="6EA1D25A">
            <w:pPr>
              <w:pStyle w:val="14"/>
            </w:pPr>
            <w:r>
              <w:rPr>
                <w:rFonts w:hint="eastAsia"/>
              </w:rPr>
              <w:t>（</w:t>
            </w:r>
            <w:r>
              <w:rPr>
                <w:rFonts w:hint="eastAsia"/>
                <w:b/>
                <w:lang w:val="en-US" w:eastAsia="zh-CN"/>
              </w:rPr>
              <w:t>预审</w:t>
            </w:r>
            <w:r>
              <w:rPr>
                <w:rFonts w:hint="eastAsia"/>
                <w:b/>
              </w:rPr>
              <w:t>稿</w:t>
            </w:r>
            <w:r>
              <w:rPr>
                <w:rFonts w:hint="eastAsia"/>
              </w:rPr>
              <w:t>）</w:t>
            </w:r>
          </w:p>
          <w:p w14:paraId="21FF1F6F">
            <w:pPr>
              <w:jc w:val="center"/>
              <w:rPr>
                <w:spacing w:val="20"/>
                <w:sz w:val="28"/>
              </w:rPr>
            </w:pPr>
          </w:p>
        </w:tc>
      </w:tr>
      <w:tr w14:paraId="5BBD67AF">
        <w:tblPrEx>
          <w:tblCellMar>
            <w:top w:w="0" w:type="dxa"/>
            <w:left w:w="108" w:type="dxa"/>
            <w:bottom w:w="0" w:type="dxa"/>
            <w:right w:w="108" w:type="dxa"/>
          </w:tblCellMar>
        </w:tblPrEx>
        <w:trPr>
          <w:trHeight w:val="632" w:hRule="atLeast"/>
          <w:jc w:val="center"/>
        </w:trPr>
        <w:tc>
          <w:tcPr>
            <w:tcW w:w="8177" w:type="dxa"/>
          </w:tcPr>
          <w:p w14:paraId="3860C874">
            <w:pPr>
              <w:jc w:val="center"/>
              <w:rPr>
                <w:sz w:val="28"/>
              </w:rPr>
            </w:pPr>
            <w:r>
              <w:rPr>
                <w:rFonts w:hint="eastAsia"/>
                <w:sz w:val="28"/>
              </w:rPr>
              <w:t>202</w:t>
            </w:r>
            <w:r>
              <w:rPr>
                <w:rFonts w:hint="eastAsia"/>
                <w:sz w:val="28"/>
                <w:lang w:val="en-US" w:eastAsia="zh-CN"/>
              </w:rPr>
              <w:t>4</w:t>
            </w:r>
            <w:r>
              <w:rPr>
                <w:sz w:val="28"/>
              </w:rPr>
              <w:t>年</w:t>
            </w:r>
            <w:r>
              <w:rPr>
                <w:rFonts w:hint="eastAsia"/>
                <w:sz w:val="28"/>
                <w:lang w:val="en-US" w:eastAsia="zh-CN"/>
              </w:rPr>
              <w:t>9</w:t>
            </w:r>
            <w:r>
              <w:rPr>
                <w:sz w:val="28"/>
              </w:rPr>
              <w:t>月</w:t>
            </w:r>
          </w:p>
        </w:tc>
      </w:tr>
    </w:tbl>
    <w:p w14:paraId="43C55F50">
      <w:pPr>
        <w:spacing w:line="360" w:lineRule="auto"/>
        <w:rPr>
          <w:sz w:val="24"/>
        </w:rPr>
      </w:pPr>
    </w:p>
    <w:p w14:paraId="74C95CBD">
      <w:pPr>
        <w:spacing w:line="360" w:lineRule="auto"/>
        <w:jc w:val="center"/>
        <w:rPr>
          <w:rFonts w:ascii="黑体" w:hAnsi="宋体" w:eastAsia="黑体"/>
          <w:sz w:val="30"/>
          <w:szCs w:val="30"/>
        </w:rPr>
      </w:pPr>
    </w:p>
    <w:p w14:paraId="2B449E40">
      <w:pPr>
        <w:spacing w:line="360" w:lineRule="auto"/>
        <w:jc w:val="center"/>
        <w:rPr>
          <w:rFonts w:ascii="黑体" w:hAnsi="宋体" w:eastAsia="黑体"/>
          <w:sz w:val="30"/>
          <w:szCs w:val="30"/>
        </w:rPr>
      </w:pPr>
    </w:p>
    <w:p w14:paraId="6E08A73C">
      <w:pPr>
        <w:spacing w:line="360" w:lineRule="auto"/>
        <w:jc w:val="center"/>
        <w:rPr>
          <w:rFonts w:ascii="黑体" w:hAnsi="宋体" w:eastAsia="黑体"/>
          <w:sz w:val="30"/>
          <w:szCs w:val="30"/>
        </w:rPr>
      </w:pPr>
    </w:p>
    <w:p w14:paraId="64A6D792">
      <w:pPr>
        <w:spacing w:line="360" w:lineRule="auto"/>
        <w:jc w:val="center"/>
        <w:rPr>
          <w:rFonts w:ascii="黑体" w:hAnsi="宋体" w:eastAsia="黑体"/>
          <w:sz w:val="30"/>
          <w:szCs w:val="30"/>
        </w:rPr>
      </w:pPr>
    </w:p>
    <w:p w14:paraId="3FD37EB5">
      <w:pPr>
        <w:spacing w:line="360" w:lineRule="auto"/>
        <w:jc w:val="center"/>
        <w:rPr>
          <w:rFonts w:hint="eastAsia" w:ascii="黑体" w:hAnsi="黑体" w:eastAsia="黑体" w:cs="黑体"/>
          <w:b w:val="0"/>
          <w:bCs w:val="0"/>
          <w:sz w:val="30"/>
        </w:rPr>
      </w:pPr>
      <w:r>
        <w:rPr>
          <w:rFonts w:hint="eastAsia" w:ascii="黑体" w:hAnsi="黑体" w:eastAsia="黑体" w:cs="黑体"/>
          <w:b w:val="0"/>
          <w:bCs w:val="0"/>
          <w:sz w:val="30"/>
        </w:rPr>
        <w:t>编制说明</w:t>
      </w:r>
    </w:p>
    <w:p w14:paraId="416050D8">
      <w:pPr>
        <w:pStyle w:val="19"/>
        <w:numPr>
          <w:ilvl w:val="0"/>
          <w:numId w:val="3"/>
        </w:numPr>
        <w:spacing w:line="360" w:lineRule="auto"/>
        <w:ind w:firstLineChars="0"/>
        <w:rPr>
          <w:rFonts w:ascii="宋体" w:hAnsi="宋体"/>
          <w:b/>
          <w:color w:val="auto"/>
          <w:sz w:val="24"/>
        </w:rPr>
      </w:pPr>
      <w:r>
        <w:rPr>
          <w:rFonts w:hint="eastAsia" w:ascii="宋体" w:hAnsi="宋体"/>
          <w:b/>
          <w:color w:val="auto"/>
          <w:sz w:val="24"/>
        </w:rPr>
        <w:t>工作简况</w:t>
      </w:r>
    </w:p>
    <w:p w14:paraId="38A46913">
      <w:pPr>
        <w:spacing w:line="360" w:lineRule="auto"/>
        <w:rPr>
          <w:rFonts w:ascii="宋体" w:hAnsi="宋体"/>
          <w:b/>
          <w:color w:val="auto"/>
          <w:sz w:val="24"/>
        </w:rPr>
      </w:pPr>
      <w:r>
        <w:rPr>
          <w:rFonts w:hint="eastAsia" w:ascii="宋体" w:hAnsi="宋体"/>
          <w:b/>
          <w:color w:val="auto"/>
          <w:sz w:val="24"/>
        </w:rPr>
        <w:t>（一）任务来源</w:t>
      </w:r>
    </w:p>
    <w:p w14:paraId="2948417E">
      <w:pPr>
        <w:spacing w:line="360" w:lineRule="auto"/>
        <w:rPr>
          <w:rFonts w:ascii="宋体" w:hAnsi="宋体"/>
          <w:b/>
          <w:color w:val="auto"/>
          <w:sz w:val="24"/>
        </w:rPr>
      </w:pPr>
      <w:r>
        <w:rPr>
          <w:rFonts w:hint="eastAsia" w:ascii="宋体" w:hAnsi="宋体"/>
          <w:b/>
          <w:color w:val="auto"/>
          <w:sz w:val="24"/>
        </w:rPr>
        <w:t>1.1计划批准文件名称、文号及项目编号、项目名称、计划完成年限、项目名称更改说明、 编制组成员（单位）</w:t>
      </w:r>
    </w:p>
    <w:p w14:paraId="6007A2E1">
      <w:pPr>
        <w:pStyle w:val="13"/>
        <w:numPr>
          <w:ilvl w:val="0"/>
          <w:numId w:val="4"/>
        </w:numPr>
        <w:spacing w:line="360" w:lineRule="auto"/>
        <w:ind w:firstLine="480"/>
        <w:rPr>
          <w:sz w:val="24"/>
          <w:szCs w:val="24"/>
        </w:rPr>
      </w:pPr>
      <w:r>
        <w:rPr>
          <w:rFonts w:hint="eastAsia"/>
          <w:sz w:val="24"/>
          <w:szCs w:val="24"/>
        </w:rPr>
        <w:t xml:space="preserve"> 根据工业和信息化部</w:t>
      </w:r>
      <w:r>
        <w:rPr>
          <w:rFonts w:hint="eastAsia" w:hAnsi="Times New Roman" w:cs="Times New Roman"/>
          <w:color w:val="auto"/>
          <w:sz w:val="24"/>
          <w:szCs w:val="24"/>
        </w:rPr>
        <w:t>〔2023〕291</w:t>
      </w:r>
      <w:r>
        <w:rPr>
          <w:rFonts w:hint="eastAsia"/>
          <w:sz w:val="24"/>
          <w:szCs w:val="24"/>
        </w:rPr>
        <w:t>号文《</w:t>
      </w:r>
      <w:r>
        <w:rPr>
          <w:rFonts w:hint="eastAsia" w:hAnsi="Times New Roman" w:cs="Times New Roman"/>
          <w:sz w:val="24"/>
          <w:szCs w:val="24"/>
        </w:rPr>
        <w:t>2023年第四批有色金属行业标准制（修）订计划》</w:t>
      </w:r>
      <w:r>
        <w:rPr>
          <w:rFonts w:hint="eastAsia"/>
          <w:sz w:val="24"/>
          <w:szCs w:val="24"/>
        </w:rPr>
        <w:t>，有色金属行业标准《</w:t>
      </w:r>
      <w:r>
        <w:rPr>
          <w:rFonts w:hint="eastAsia" w:hAnsi="宋体" w:cs="宋体"/>
          <w:sz w:val="24"/>
          <w:lang w:val="en-US" w:eastAsia="zh-CN"/>
        </w:rPr>
        <w:t>辛酸铑</w:t>
      </w:r>
      <w:r>
        <w:rPr>
          <w:rFonts w:hint="eastAsia"/>
          <w:sz w:val="24"/>
          <w:szCs w:val="24"/>
        </w:rPr>
        <w:t>》</w:t>
      </w:r>
      <w:r>
        <w:rPr>
          <w:rFonts w:hint="eastAsia" w:hAnsi="宋体" w:cs="宋体"/>
          <w:sz w:val="24"/>
        </w:rPr>
        <w:t>制定项目</w:t>
      </w:r>
      <w:r>
        <w:rPr>
          <w:rFonts w:hint="eastAsia"/>
          <w:sz w:val="24"/>
          <w:szCs w:val="24"/>
        </w:rPr>
        <w:t>由全国有色金属标准化技术委员会归口，主要起草单位为贵研化学材料（云南）有限公司，项目计划编号：</w:t>
      </w:r>
      <w:r>
        <w:rPr>
          <w:rFonts w:hint="eastAsia" w:hAnsi="宋体" w:cs="宋体"/>
          <w:color w:val="auto"/>
          <w:sz w:val="24"/>
        </w:rPr>
        <w:t>工信厅科函</w:t>
      </w:r>
      <w:r>
        <w:rPr>
          <w:rFonts w:hint="eastAsia" w:ascii="宋体" w:hAnsi="宋体" w:eastAsia="宋体" w:cs="宋体"/>
          <w:color w:val="auto"/>
          <w:sz w:val="24"/>
          <w:lang w:val="en-US" w:eastAsia="zh-CN"/>
        </w:rPr>
        <w:t>〔2023〕291号</w:t>
      </w:r>
      <w:r>
        <w:rPr>
          <w:rFonts w:hint="eastAsia" w:ascii="宋体" w:hAnsi="Times New Roman" w:eastAsia="宋体" w:cs="Times New Roman"/>
          <w:color w:val="auto"/>
          <w:sz w:val="24"/>
          <w:szCs w:val="24"/>
        </w:rPr>
        <w:t>2023-154</w:t>
      </w:r>
      <w:r>
        <w:rPr>
          <w:rFonts w:hint="eastAsia" w:ascii="宋体" w:hAnsi="Times New Roman" w:eastAsia="宋体" w:cs="Times New Roman"/>
          <w:color w:val="auto"/>
          <w:sz w:val="24"/>
          <w:szCs w:val="24"/>
          <w:lang w:val="en-US" w:eastAsia="zh-CN"/>
        </w:rPr>
        <w:t>5</w:t>
      </w:r>
      <w:r>
        <w:rPr>
          <w:rFonts w:hint="eastAsia" w:ascii="宋体" w:hAnsi="Times New Roman" w:eastAsia="宋体" w:cs="Times New Roman"/>
          <w:color w:val="auto"/>
          <w:sz w:val="24"/>
          <w:szCs w:val="24"/>
        </w:rPr>
        <w:t>T-YS</w:t>
      </w:r>
      <w:r>
        <w:rPr>
          <w:rFonts w:hint="eastAsia" w:hAnsi="宋体" w:cs="宋体"/>
          <w:color w:val="auto"/>
          <w:sz w:val="24"/>
        </w:rPr>
        <w:t>，项目周期</w:t>
      </w:r>
      <w:r>
        <w:rPr>
          <w:rFonts w:hint="eastAsia"/>
          <w:color w:val="auto"/>
          <w:sz w:val="24"/>
          <w:szCs w:val="24"/>
        </w:rPr>
        <w:t>为</w:t>
      </w:r>
      <w:r>
        <w:rPr>
          <w:rFonts w:hint="eastAsia"/>
          <w:color w:val="auto"/>
          <w:sz w:val="24"/>
          <w:szCs w:val="24"/>
          <w:lang w:val="en-US" w:eastAsia="zh-CN"/>
        </w:rPr>
        <w:t>16</w:t>
      </w:r>
      <w:r>
        <w:rPr>
          <w:rFonts w:hint="eastAsia"/>
          <w:color w:val="auto"/>
          <w:sz w:val="24"/>
          <w:szCs w:val="24"/>
        </w:rPr>
        <w:t>个月，完成年限为20</w:t>
      </w:r>
      <w:r>
        <w:rPr>
          <w:rFonts w:hint="eastAsia"/>
          <w:color w:val="auto"/>
          <w:sz w:val="24"/>
          <w:szCs w:val="24"/>
          <w:lang w:val="en-US" w:eastAsia="zh-CN"/>
        </w:rPr>
        <w:t>23</w:t>
      </w:r>
      <w:r>
        <w:rPr>
          <w:rFonts w:hint="eastAsia"/>
          <w:color w:val="auto"/>
          <w:sz w:val="24"/>
          <w:szCs w:val="24"/>
        </w:rPr>
        <w:t>年</w:t>
      </w:r>
      <w:r>
        <w:rPr>
          <w:rFonts w:hint="eastAsia"/>
          <w:color w:val="auto"/>
          <w:sz w:val="24"/>
          <w:szCs w:val="24"/>
          <w:lang w:val="en-US" w:eastAsia="zh-CN"/>
        </w:rPr>
        <w:t>12</w:t>
      </w:r>
      <w:r>
        <w:rPr>
          <w:rFonts w:hint="eastAsia"/>
          <w:color w:val="auto"/>
          <w:sz w:val="24"/>
          <w:szCs w:val="24"/>
        </w:rPr>
        <w:t>月至202</w:t>
      </w:r>
      <w:r>
        <w:rPr>
          <w:rFonts w:hint="eastAsia"/>
          <w:color w:val="auto"/>
          <w:sz w:val="24"/>
          <w:szCs w:val="24"/>
          <w:lang w:val="en-US" w:eastAsia="zh-CN"/>
        </w:rPr>
        <w:t>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eastAsia="zh-CN"/>
        </w:rPr>
        <w:t>。</w:t>
      </w:r>
      <w:r>
        <w:rPr>
          <w:rFonts w:hint="eastAsia" w:ascii="宋体" w:hAnsi="宋体" w:eastAsia="宋体" w:cs="宋体"/>
          <w:b w:val="0"/>
          <w:bCs w:val="0"/>
          <w:color w:val="000000"/>
          <w:sz w:val="24"/>
          <w:szCs w:val="24"/>
        </w:rPr>
        <w:t>2023年12月18日～21日在四川省成都市召开的全国有色金属标准化技术委员会任务落实会[202</w:t>
      </w:r>
      <w:r>
        <w:rPr>
          <w:rFonts w:hint="eastAsia" w:hAnsi="宋体" w:cs="宋体"/>
          <w:b w:val="0"/>
          <w:bCs w:val="0"/>
          <w:color w:val="000000"/>
          <w:sz w:val="24"/>
          <w:szCs w:val="24"/>
          <w:lang w:val="en-US" w:eastAsia="zh-CN"/>
        </w:rPr>
        <w:t>3</w:t>
      </w:r>
      <w:r>
        <w:rPr>
          <w:rFonts w:hint="eastAsia" w:ascii="宋体" w:hAnsi="宋体" w:eastAsia="宋体" w:cs="宋体"/>
          <w:b w:val="0"/>
          <w:bCs w:val="0"/>
          <w:color w:val="000000"/>
          <w:sz w:val="24"/>
          <w:szCs w:val="24"/>
        </w:rPr>
        <w:t>]</w:t>
      </w:r>
      <w:r>
        <w:rPr>
          <w:rFonts w:hint="eastAsia" w:hAnsi="宋体" w:cs="宋体"/>
          <w:b w:val="0"/>
          <w:bCs w:val="0"/>
          <w:color w:val="000000"/>
          <w:sz w:val="24"/>
          <w:szCs w:val="24"/>
          <w:lang w:val="en-US" w:eastAsia="zh-CN"/>
        </w:rPr>
        <w:t>291</w:t>
      </w:r>
      <w:r>
        <w:rPr>
          <w:rFonts w:hint="eastAsia" w:ascii="宋体" w:hAnsi="宋体" w:eastAsia="宋体" w:cs="宋体"/>
          <w:b w:val="0"/>
          <w:bCs w:val="0"/>
          <w:color w:val="000000"/>
          <w:sz w:val="24"/>
          <w:szCs w:val="24"/>
        </w:rPr>
        <w:t>号，落实了《</w:t>
      </w:r>
      <w:r>
        <w:rPr>
          <w:rFonts w:hint="eastAsia" w:hAnsi="宋体" w:cs="宋体"/>
          <w:b w:val="0"/>
          <w:bCs w:val="0"/>
          <w:color w:val="000000"/>
          <w:sz w:val="24"/>
          <w:szCs w:val="24"/>
          <w:lang w:val="en-US" w:eastAsia="zh-CN"/>
        </w:rPr>
        <w:t>辛酸铑</w:t>
      </w:r>
      <w:r>
        <w:rPr>
          <w:rFonts w:hint="eastAsia" w:ascii="宋体" w:hAnsi="宋体" w:eastAsia="宋体" w:cs="宋体"/>
          <w:b w:val="0"/>
          <w:bCs w:val="0"/>
          <w:color w:val="000000"/>
          <w:sz w:val="24"/>
          <w:szCs w:val="24"/>
        </w:rPr>
        <w:t>》有色行业标准技术归口单位为全国有色金属标准化技术委员会，确定了标准的总体安排及</w:t>
      </w:r>
      <w:r>
        <w:rPr>
          <w:rFonts w:hint="eastAsia" w:hAnsi="宋体" w:cs="宋体"/>
          <w:b w:val="0"/>
          <w:bCs w:val="0"/>
          <w:color w:val="000000"/>
          <w:sz w:val="24"/>
          <w:szCs w:val="24"/>
          <w:lang w:val="en-US" w:eastAsia="zh-CN"/>
        </w:rPr>
        <w:t>修订</w:t>
      </w:r>
      <w:r>
        <w:rPr>
          <w:rFonts w:hint="eastAsia" w:ascii="宋体" w:hAnsi="宋体" w:eastAsia="宋体" w:cs="宋体"/>
          <w:b w:val="0"/>
          <w:bCs w:val="0"/>
          <w:color w:val="000000"/>
          <w:sz w:val="24"/>
          <w:szCs w:val="24"/>
        </w:rPr>
        <w:t>进度情况。</w:t>
      </w:r>
    </w:p>
    <w:p w14:paraId="336543F6">
      <w:pPr>
        <w:pStyle w:val="13"/>
        <w:numPr>
          <w:ilvl w:val="0"/>
          <w:numId w:val="4"/>
        </w:numPr>
        <w:spacing w:line="360" w:lineRule="auto"/>
        <w:ind w:firstLine="480" w:firstLineChars="0"/>
        <w:rPr>
          <w:rFonts w:hint="eastAsia" w:ascii="宋体" w:hAnsi="Times New Roman" w:eastAsia="宋体" w:cs="Times New Roman"/>
          <w:color w:val="auto"/>
          <w:sz w:val="24"/>
          <w:szCs w:val="24"/>
        </w:rPr>
      </w:pPr>
      <w:bookmarkStart w:id="0" w:name="_Hlk139277173"/>
      <w:r>
        <w:rPr>
          <w:rFonts w:hint="eastAsia"/>
          <w:color w:val="auto"/>
          <w:sz w:val="24"/>
          <w:szCs w:val="24"/>
        </w:rPr>
        <w:t>标准起草单位为：</w:t>
      </w:r>
      <w:r>
        <w:rPr>
          <w:rFonts w:hint="default" w:ascii="宋体" w:hAnsi="Times New Roman" w:eastAsia="宋体" w:cs="Times New Roman"/>
          <w:color w:val="auto"/>
          <w:sz w:val="24"/>
          <w:szCs w:val="24"/>
        </w:rPr>
        <w:t>贵研化学材料（云南）有限公司、贵研铂业股份有限公司、云南贵金属实验室有限公司、有色金属技术经济研究院有限责任公司、贵研资源（易门）有限公司、昆明贵金属研究所、</w:t>
      </w:r>
      <w:r>
        <w:rPr>
          <w:rFonts w:hint="eastAsia" w:ascii="宋体" w:hAnsi="Times New Roman" w:eastAsia="宋体" w:cs="Times New Roman"/>
          <w:color w:val="auto"/>
          <w:sz w:val="24"/>
          <w:szCs w:val="24"/>
          <w:lang w:val="en-US" w:eastAsia="zh-CN"/>
        </w:rPr>
        <w:t>中国有色金属工业标准计量质量研究所、</w:t>
      </w:r>
      <w:r>
        <w:rPr>
          <w:rFonts w:hint="default" w:ascii="宋体" w:hAnsi="Times New Roman" w:eastAsia="宋体" w:cs="Times New Roman"/>
          <w:color w:val="auto"/>
          <w:sz w:val="24"/>
          <w:szCs w:val="24"/>
        </w:rPr>
        <w:t>浙江微通催化新材料有限公司、西安凯立新材料股份有限公司、陕西瑞科新材料股份有限公司、有研亿金新材料有限公司、江西省汉氏贵金属有限公司、山东有研国晶辉新材料有限公司</w:t>
      </w:r>
      <w:r>
        <w:rPr>
          <w:rFonts w:hint="eastAsia" w:ascii="宋体" w:hAnsi="Times New Roman" w:eastAsia="宋体" w:cs="Times New Roman"/>
          <w:color w:val="auto"/>
          <w:sz w:val="24"/>
          <w:szCs w:val="24"/>
          <w:lang w:eastAsia="zh-CN"/>
        </w:rPr>
        <w:t>。</w:t>
      </w:r>
    </w:p>
    <w:p w14:paraId="05BEE949">
      <w:pPr>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1.2 项目编制组单位变化情况</w:t>
      </w:r>
    </w:p>
    <w:p w14:paraId="109AE252">
      <w:pPr>
        <w:pStyle w:val="13"/>
        <w:numPr>
          <w:ilvl w:val="0"/>
          <w:numId w:val="4"/>
        </w:numPr>
        <w:spacing w:line="360" w:lineRule="auto"/>
        <w:ind w:firstLine="48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000000"/>
          <w:sz w:val="24"/>
          <w:szCs w:val="24"/>
        </w:rPr>
        <w:t xml:space="preserve"> </w:t>
      </w:r>
      <w:r>
        <w:rPr>
          <w:rFonts w:hint="eastAsia" w:ascii="宋体" w:hAnsi="宋体" w:eastAsia="宋体" w:cs="宋体"/>
          <w:b w:val="0"/>
          <w:bCs w:val="0"/>
          <w:color w:val="000000"/>
          <w:sz w:val="24"/>
          <w:szCs w:val="24"/>
        </w:rPr>
        <w:t>标准</w:t>
      </w:r>
      <w:r>
        <w:rPr>
          <w:rFonts w:hint="eastAsia" w:ascii="宋体" w:hAnsi="宋体" w:eastAsia="宋体" w:cs="宋体"/>
          <w:b w:val="0"/>
          <w:bCs w:val="0"/>
          <w:color w:val="000000"/>
          <w:sz w:val="24"/>
          <w:szCs w:val="24"/>
          <w:lang w:val="en-US" w:eastAsia="zh-CN"/>
        </w:rPr>
        <w:t>编制单位</w:t>
      </w:r>
      <w:r>
        <w:rPr>
          <w:rFonts w:hint="eastAsia" w:ascii="宋体" w:hAnsi="宋体" w:eastAsia="宋体" w:cs="宋体"/>
          <w:b w:val="0"/>
          <w:bCs w:val="0"/>
          <w:color w:val="000000"/>
          <w:sz w:val="24"/>
          <w:szCs w:val="24"/>
        </w:rPr>
        <w:t>贵研铂业股份有限公司</w:t>
      </w:r>
      <w:r>
        <w:rPr>
          <w:rFonts w:hint="eastAsia" w:ascii="宋体" w:hAnsi="宋体" w:eastAsia="宋体" w:cs="宋体"/>
          <w:b w:val="0"/>
          <w:bCs w:val="0"/>
          <w:color w:val="000000"/>
          <w:sz w:val="24"/>
          <w:szCs w:val="24"/>
          <w:lang w:eastAsia="zh-CN"/>
        </w:rPr>
        <w:t>，</w:t>
      </w:r>
      <w:r>
        <w:rPr>
          <w:rFonts w:hint="eastAsia" w:ascii="宋体" w:hAnsi="宋体" w:eastAsia="宋体" w:cs="宋体"/>
          <w:color w:val="auto"/>
          <w:kern w:val="0"/>
          <w:sz w:val="24"/>
          <w:szCs w:val="24"/>
          <w:lang w:val="en-US" w:eastAsia="zh-CN" w:bidi="ar-SA"/>
        </w:rPr>
        <w:t>因业务发展需要，贵研铂业股份有限公司</w:t>
      </w:r>
      <w:r>
        <w:rPr>
          <w:rFonts w:hint="eastAsia" w:hAnsi="宋体" w:cs="宋体"/>
          <w:color w:val="auto"/>
          <w:kern w:val="0"/>
          <w:sz w:val="24"/>
          <w:szCs w:val="24"/>
          <w:lang w:val="en-US" w:eastAsia="zh-CN" w:bidi="ar-SA"/>
        </w:rPr>
        <w:t>现</w:t>
      </w:r>
      <w:r>
        <w:rPr>
          <w:rFonts w:hint="eastAsia" w:ascii="宋体" w:hAnsi="宋体" w:eastAsia="宋体" w:cs="宋体"/>
          <w:color w:val="auto"/>
          <w:kern w:val="0"/>
          <w:sz w:val="24"/>
          <w:szCs w:val="24"/>
          <w:lang w:val="en-US" w:eastAsia="zh-CN" w:bidi="ar-SA"/>
        </w:rPr>
        <w:t>已更名为</w:t>
      </w:r>
      <w:bookmarkStart w:id="1" w:name="_Hlk156837157"/>
      <w:r>
        <w:rPr>
          <w:rFonts w:hint="eastAsia" w:ascii="宋体" w:hAnsi="宋体" w:eastAsia="宋体" w:cs="宋体"/>
          <w:color w:val="auto"/>
          <w:kern w:val="0"/>
          <w:sz w:val="24"/>
          <w:szCs w:val="24"/>
          <w:lang w:val="en-US" w:eastAsia="zh-CN" w:bidi="ar-SA"/>
        </w:rPr>
        <w:t>云南省贵金属新材料控股集团股份有限公司</w:t>
      </w:r>
      <w:bookmarkEnd w:id="1"/>
      <w:r>
        <w:rPr>
          <w:rFonts w:hint="eastAsia" w:ascii="宋体" w:hAnsi="宋体" w:eastAsia="宋体" w:cs="宋体"/>
          <w:color w:val="auto"/>
          <w:kern w:val="0"/>
          <w:sz w:val="24"/>
          <w:szCs w:val="24"/>
          <w:lang w:val="en-US" w:eastAsia="zh-CN" w:bidi="ar-SA"/>
        </w:rPr>
        <w:t>，更名事宜于 2023 年12月8日通过上市公司股东大会审议，2023 年12月12日完成工商变更，并取得新的营业执照。</w:t>
      </w:r>
    </w:p>
    <w:bookmarkEnd w:id="0"/>
    <w:p w14:paraId="02F24A31">
      <w:pPr>
        <w:rPr>
          <w:rFonts w:hint="eastAsia" w:ascii="宋体" w:hAnsi="宋体"/>
          <w:b/>
          <w:sz w:val="24"/>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b/>
          <w:sz w:val="24"/>
          <w:lang w:eastAsia="zh-CN"/>
        </w:rPr>
        <w:t>）</w:t>
      </w:r>
      <w:r>
        <w:rPr>
          <w:rFonts w:hint="eastAsia" w:ascii="宋体" w:hAnsi="宋体"/>
          <w:b/>
          <w:sz w:val="24"/>
        </w:rPr>
        <w:t>主要参加单位和工作成员及其所做的工作</w:t>
      </w:r>
    </w:p>
    <w:p w14:paraId="3BDF8468">
      <w:pPr>
        <w:rPr>
          <w:rFonts w:hint="eastAsia"/>
          <w:b/>
          <w:sz w:val="24"/>
        </w:rPr>
      </w:pPr>
      <w:r>
        <w:rPr>
          <w:rFonts w:hint="eastAsia"/>
          <w:b/>
          <w:sz w:val="24"/>
        </w:rPr>
        <w:t>2.1 主要参加单位情况</w:t>
      </w:r>
    </w:p>
    <w:p w14:paraId="4CC6C887">
      <w:pPr>
        <w:spacing w:line="360" w:lineRule="auto"/>
        <w:ind w:firstLine="480" w:firstLineChars="200"/>
        <w:rPr>
          <w:rFonts w:ascii="宋体" w:hAnsi="宋体" w:cs="宋体"/>
          <w:kern w:val="0"/>
          <w:sz w:val="24"/>
        </w:rPr>
      </w:pPr>
      <w:r>
        <w:rPr>
          <w:rFonts w:hint="eastAsia" w:ascii="宋体" w:hAnsi="宋体" w:cs="宋体"/>
          <w:kern w:val="0"/>
          <w:sz w:val="24"/>
        </w:rPr>
        <w:t>标准主</w:t>
      </w:r>
      <w:r>
        <w:rPr>
          <w:rFonts w:hint="eastAsia" w:ascii="宋体" w:hAnsi="宋体" w:cs="宋体"/>
          <w:kern w:val="0"/>
          <w:sz w:val="24"/>
          <w:lang w:val="en-US" w:eastAsia="zh-CN"/>
        </w:rPr>
        <w:t>编</w:t>
      </w:r>
      <w:r>
        <w:rPr>
          <w:rFonts w:hint="eastAsia" w:ascii="宋体" w:hAnsi="宋体" w:cs="宋体"/>
          <w:kern w:val="0"/>
          <w:sz w:val="24"/>
        </w:rPr>
        <w:t>单位贵研化学材料（云南）有限公司简称贵研化学，</w:t>
      </w:r>
      <w:r>
        <w:rPr>
          <w:rFonts w:hint="eastAsia" w:ascii="宋体" w:hAnsi="宋体" w:cs="宋体"/>
          <w:kern w:val="0"/>
          <w:sz w:val="24"/>
          <w:lang w:val="en-US" w:eastAsia="zh-CN"/>
        </w:rPr>
        <w:t>在标准的编制过程中，积极主动收集国内外的相关标准，到一些有代表性的企业进行调研并收集数据，根据了解到是实际情况，编制数据统计表，主编单位带领编制组成员认真细致修改标准文本，征求多家企业的修改意见，最终带领编制组完成标准的编制工作。</w:t>
      </w:r>
    </w:p>
    <w:p w14:paraId="1191E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在标准起草任务落实后，积极组织相关人员查阅和检索国内外有关该产品的技术标准和资料，同时开展对用户的走访调研工作，征求客户使用意见，确定厂家对产品的性能要求及杂质含量允许范围，组织公司分析检测部门进行相关技术指标的检测分析研究工作，收集现场实测数据并科学分析，制定科学可靠的检测方法，最后在结合生产实际的基础上完成了本标准草案的编制工作。</w:t>
      </w:r>
    </w:p>
    <w:p w14:paraId="22865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贵研资源(易门)有限公司</w:t>
      </w:r>
      <w:r>
        <w:rPr>
          <w:rFonts w:hint="eastAsia" w:ascii="宋体" w:hAnsi="宋体" w:cs="宋体"/>
          <w:kern w:val="0"/>
          <w:sz w:val="24"/>
          <w:lang w:val="en-US" w:eastAsia="zh-CN"/>
        </w:rPr>
        <w:t>对文本格式提出了修改意见</w:t>
      </w:r>
      <w:r>
        <w:rPr>
          <w:rFonts w:hint="eastAsia" w:ascii="宋体" w:hAnsi="宋体" w:eastAsia="宋体" w:cs="宋体"/>
          <w:kern w:val="0"/>
          <w:sz w:val="24"/>
          <w:lang w:val="en-US" w:eastAsia="zh-CN"/>
        </w:rPr>
        <w:t>。</w:t>
      </w:r>
    </w:p>
    <w:p w14:paraId="5105FC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浙江微通催化新材料有限公司对检查方法提供了有益的建议。</w:t>
      </w:r>
    </w:p>
    <w:p w14:paraId="276E2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西安凯立、陕西瑞科公司也对标准的内容提出了修改建议。</w:t>
      </w:r>
    </w:p>
    <w:p w14:paraId="61084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有色金属技术经济研究院有限责任公司</w:t>
      </w:r>
      <w:r>
        <w:rPr>
          <w:rFonts w:hint="eastAsia" w:ascii="宋体" w:hAnsi="宋体" w:cs="宋体"/>
          <w:kern w:val="0"/>
          <w:sz w:val="24"/>
          <w:lang w:val="en-US" w:eastAsia="zh-CN"/>
        </w:rPr>
        <w:t>对标准的工作程序提供了必要的支持</w:t>
      </w:r>
      <w:r>
        <w:rPr>
          <w:rFonts w:hint="eastAsia" w:ascii="宋体" w:hAnsi="宋体" w:eastAsia="宋体" w:cs="宋体"/>
          <w:kern w:val="0"/>
          <w:sz w:val="24"/>
          <w:lang w:val="en-US" w:eastAsia="zh-CN"/>
        </w:rPr>
        <w:t>。</w:t>
      </w:r>
    </w:p>
    <w:p w14:paraId="029F1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编制组在标准起草任务落实后，积极组织相关人员查阅和检索国内外有关该产品的技术标准和资料，同时积极开展生产同行及用户的走访调研工作，收集现场实测数据，征求客户使用意见，确定厂家对产品的性能要求及杂质含量允许范围，组织公司分析检测部门进行相关技术指标的检测分析研究工作，制定科学可靠的检测方法，最后在结合生产实际的基础上完成了本标准草案的编制工作。</w:t>
      </w:r>
    </w:p>
    <w:p w14:paraId="1310D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kern w:val="0"/>
          <w:sz w:val="28"/>
          <w:szCs w:val="28"/>
          <w:lang w:val="en-US" w:eastAsia="zh-CN"/>
        </w:rPr>
      </w:pPr>
      <w:r>
        <w:rPr>
          <w:rFonts w:hint="eastAsia" w:ascii="宋体" w:hAnsi="宋体" w:cs="宋体"/>
          <w:kern w:val="0"/>
          <w:sz w:val="24"/>
          <w:lang w:val="en-US" w:eastAsia="zh-CN"/>
        </w:rPr>
        <w:t>其它编制组单位为标准的编制提供了一些有益的建议，为标准技术要求部分提供了有力保障。</w:t>
      </w:r>
    </w:p>
    <w:p w14:paraId="1BA98911">
      <w:pPr>
        <w:rPr>
          <w:rFonts w:hint="eastAsia" w:ascii="黑体" w:hAnsi="黑体" w:eastAsia="黑体" w:cs="黑体"/>
          <w:b w:val="0"/>
          <w:bCs w:val="0"/>
          <w:sz w:val="28"/>
          <w:szCs w:val="28"/>
        </w:rPr>
      </w:pPr>
      <w:r>
        <w:rPr>
          <w:rFonts w:hint="eastAsia" w:ascii="黑体" w:hAnsi="黑体" w:eastAsia="黑体" w:cs="黑体"/>
          <w:b w:val="0"/>
          <w:bCs w:val="0"/>
          <w:sz w:val="28"/>
          <w:szCs w:val="28"/>
        </w:rPr>
        <w:t>2.2标准起草主要工作成员所负责的工作情况</w:t>
      </w:r>
    </w:p>
    <w:p w14:paraId="3979D9CE">
      <w:pPr>
        <w:pStyle w:val="6"/>
        <w:spacing w:before="0" w:beforeAutospacing="0" w:after="0" w:afterAutospacing="0" w:line="360" w:lineRule="auto"/>
        <w:ind w:firstLine="480" w:firstLineChars="200"/>
        <w:rPr>
          <w:rFonts w:hint="eastAsia"/>
        </w:rPr>
      </w:pPr>
      <w:r>
        <w:rPr>
          <w:rFonts w:hint="eastAsia"/>
        </w:rPr>
        <w:t>标准主要起草人均为高级工程师</w:t>
      </w:r>
      <w:r>
        <w:rPr>
          <w:rFonts w:hint="eastAsia"/>
          <w:lang w:eastAsia="zh-CN"/>
        </w:rPr>
        <w:t>、</w:t>
      </w:r>
      <w:r>
        <w:rPr>
          <w:rFonts w:hint="eastAsia"/>
          <w:lang w:val="en-US" w:eastAsia="zh-CN"/>
        </w:rPr>
        <w:t>工程师</w:t>
      </w:r>
      <w:r>
        <w:rPr>
          <w:rFonts w:hint="eastAsia"/>
        </w:rPr>
        <w:t>，且长期从事贵金属化合物的研发及生产工作，先后参与制定了贵金属化合物产品的国家标准或行业标准十余项，曾获中国有色金属行业协会的多项标准奖励，经验丰富，实践能力强。标准起草人及工作职责见表一。</w:t>
      </w:r>
    </w:p>
    <w:p w14:paraId="760FD330">
      <w:pPr>
        <w:ind w:firstLine="2400" w:firstLineChars="1000"/>
        <w:rPr>
          <w:sz w:val="24"/>
        </w:rPr>
      </w:pPr>
      <w:r>
        <w:rPr>
          <w:rFonts w:hint="eastAsia"/>
          <w:sz w:val="24"/>
        </w:rPr>
        <w:t>表一 主要起草人及工作职责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EE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8B52862">
            <w:pPr>
              <w:rPr>
                <w:rFonts w:ascii="Calibri" w:hAnsi="Calibri"/>
                <w:kern w:val="0"/>
                <w:sz w:val="24"/>
              </w:rPr>
            </w:pPr>
            <w:r>
              <w:rPr>
                <w:rFonts w:hint="eastAsia" w:ascii="Calibri" w:hAnsi="Calibri"/>
                <w:kern w:val="0"/>
                <w:sz w:val="24"/>
              </w:rPr>
              <w:t>起草人</w:t>
            </w:r>
          </w:p>
        </w:tc>
        <w:tc>
          <w:tcPr>
            <w:tcW w:w="4261" w:type="dxa"/>
            <w:noWrap w:val="0"/>
            <w:vAlign w:val="top"/>
          </w:tcPr>
          <w:p w14:paraId="5EEE6154">
            <w:pPr>
              <w:rPr>
                <w:rFonts w:ascii="Calibri" w:hAnsi="Calibri"/>
                <w:kern w:val="0"/>
                <w:sz w:val="24"/>
              </w:rPr>
            </w:pPr>
            <w:r>
              <w:rPr>
                <w:rFonts w:hint="eastAsia" w:ascii="Calibri" w:hAnsi="Calibri"/>
                <w:kern w:val="0"/>
                <w:sz w:val="24"/>
              </w:rPr>
              <w:t>工作职责</w:t>
            </w:r>
          </w:p>
        </w:tc>
      </w:tr>
      <w:tr w14:paraId="07C8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5F0D98B">
            <w:pPr>
              <w:rPr>
                <w:rFonts w:hint="default" w:ascii="Calibri" w:hAnsi="Calibri" w:eastAsia="宋体"/>
                <w:kern w:val="0"/>
                <w:sz w:val="24"/>
                <w:lang w:val="en-US" w:eastAsia="zh-CN"/>
              </w:rPr>
            </w:pPr>
            <w:r>
              <w:rPr>
                <w:rFonts w:hint="eastAsia" w:ascii="Calibri" w:hAnsi="Calibri"/>
                <w:kern w:val="0"/>
                <w:sz w:val="24"/>
                <w:lang w:val="en-US" w:eastAsia="zh-CN"/>
              </w:rPr>
              <w:t>刘桂华、苏琳琳</w:t>
            </w:r>
          </w:p>
        </w:tc>
        <w:tc>
          <w:tcPr>
            <w:tcW w:w="4261" w:type="dxa"/>
            <w:noWrap w:val="0"/>
            <w:vAlign w:val="top"/>
          </w:tcPr>
          <w:p w14:paraId="381B359E">
            <w:pPr>
              <w:rPr>
                <w:rFonts w:ascii="Calibri" w:hAnsi="Calibri"/>
                <w:kern w:val="0"/>
                <w:sz w:val="24"/>
              </w:rPr>
            </w:pPr>
            <w:r>
              <w:rPr>
                <w:rFonts w:hint="eastAsia" w:ascii="Calibri" w:hAnsi="Calibri"/>
                <w:kern w:val="0"/>
                <w:sz w:val="24"/>
              </w:rPr>
              <w:t>主要负责人，负责标准的编写、试验方案确定及组织协调工作。</w:t>
            </w:r>
          </w:p>
        </w:tc>
      </w:tr>
      <w:tr w14:paraId="2F4E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BA30A40">
            <w:pPr>
              <w:rPr>
                <w:rFonts w:hint="default" w:ascii="Calibri" w:hAnsi="Calibri" w:eastAsia="宋体"/>
                <w:kern w:val="0"/>
                <w:sz w:val="24"/>
                <w:lang w:val="en-US" w:eastAsia="zh-CN"/>
              </w:rPr>
            </w:pPr>
            <w:r>
              <w:rPr>
                <w:rFonts w:hint="eastAsia" w:ascii="Calibri" w:hAnsi="Calibri"/>
                <w:kern w:val="0"/>
                <w:sz w:val="24"/>
                <w:lang w:val="en-US" w:eastAsia="zh-CN"/>
              </w:rPr>
              <w:t>左川、侯文明</w:t>
            </w:r>
            <w:r>
              <w:rPr>
                <w:rFonts w:hint="eastAsia" w:ascii="Calibri" w:hAnsi="Calibri"/>
                <w:kern w:val="0"/>
                <w:sz w:val="24"/>
                <w:lang w:eastAsia="zh-CN"/>
              </w:rPr>
              <w:t>、</w:t>
            </w:r>
            <w:r>
              <w:rPr>
                <w:rFonts w:hint="eastAsia" w:ascii="Calibri" w:hAnsi="Calibri"/>
                <w:kern w:val="0"/>
                <w:sz w:val="24"/>
              </w:rPr>
              <w:t>戴云生</w:t>
            </w:r>
          </w:p>
        </w:tc>
        <w:tc>
          <w:tcPr>
            <w:tcW w:w="4261" w:type="dxa"/>
            <w:noWrap w:val="0"/>
            <w:vAlign w:val="top"/>
          </w:tcPr>
          <w:p w14:paraId="502C3F15">
            <w:pPr>
              <w:rPr>
                <w:rFonts w:ascii="Calibri" w:hAnsi="Calibri"/>
                <w:kern w:val="0"/>
                <w:sz w:val="24"/>
              </w:rPr>
            </w:pPr>
            <w:r>
              <w:rPr>
                <w:rFonts w:hint="eastAsia" w:ascii="Calibri" w:hAnsi="Calibri"/>
                <w:color w:val="auto"/>
                <w:kern w:val="0"/>
                <w:sz w:val="24"/>
                <w:lang w:val="en-US" w:eastAsia="zh-CN"/>
              </w:rPr>
              <w:t>产品策划及指导</w:t>
            </w:r>
          </w:p>
        </w:tc>
      </w:tr>
      <w:tr w14:paraId="2F2E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F4F023A">
            <w:pPr>
              <w:rPr>
                <w:rFonts w:hint="default" w:ascii="Calibri" w:hAnsi="Calibri" w:eastAsia="宋体"/>
                <w:kern w:val="0"/>
                <w:sz w:val="24"/>
                <w:lang w:val="en-US" w:eastAsia="zh-CN"/>
              </w:rPr>
            </w:pPr>
            <w:r>
              <w:rPr>
                <w:rFonts w:hint="eastAsia" w:ascii="Calibri" w:hAnsi="Calibri"/>
                <w:kern w:val="0"/>
                <w:sz w:val="24"/>
                <w:lang w:val="en-US" w:eastAsia="zh-CN"/>
              </w:rPr>
              <w:t>冯洋洋、</w:t>
            </w:r>
            <w:r>
              <w:rPr>
                <w:rFonts w:hint="eastAsia" w:ascii="Calibri" w:hAnsi="Calibri"/>
                <w:kern w:val="0"/>
                <w:sz w:val="24"/>
              </w:rPr>
              <w:t>雷怀东</w:t>
            </w:r>
            <w:r>
              <w:rPr>
                <w:rFonts w:hint="eastAsia" w:ascii="Calibri" w:hAnsi="Calibri"/>
                <w:kern w:val="0"/>
                <w:sz w:val="24"/>
                <w:lang w:eastAsia="zh-CN"/>
              </w:rPr>
              <w:t>、</w:t>
            </w:r>
            <w:r>
              <w:rPr>
                <w:rFonts w:hint="eastAsia" w:ascii="Calibri" w:hAnsi="Calibri"/>
                <w:kern w:val="0"/>
                <w:sz w:val="24"/>
                <w:lang w:val="en-US" w:eastAsia="zh-CN"/>
              </w:rPr>
              <w:t>王洪友</w:t>
            </w:r>
          </w:p>
        </w:tc>
        <w:tc>
          <w:tcPr>
            <w:tcW w:w="4261" w:type="dxa"/>
            <w:noWrap w:val="0"/>
            <w:vAlign w:val="top"/>
          </w:tcPr>
          <w:p w14:paraId="38FAF655">
            <w:pPr>
              <w:rPr>
                <w:rFonts w:ascii="Calibri" w:hAnsi="Calibri"/>
                <w:kern w:val="0"/>
                <w:sz w:val="24"/>
              </w:rPr>
            </w:pPr>
            <w:r>
              <w:rPr>
                <w:rFonts w:hint="eastAsia" w:ascii="Calibri" w:hAnsi="Calibri"/>
                <w:color w:val="auto"/>
                <w:kern w:val="0"/>
                <w:sz w:val="24"/>
              </w:rPr>
              <w:t>客户调研工作</w:t>
            </w:r>
            <w:r>
              <w:rPr>
                <w:rFonts w:hint="eastAsia" w:ascii="Calibri" w:hAnsi="Calibri"/>
                <w:color w:val="auto"/>
                <w:kern w:val="0"/>
                <w:sz w:val="24"/>
                <w:lang w:val="en-US" w:eastAsia="zh-CN"/>
              </w:rPr>
              <w:t>及产品销售</w:t>
            </w:r>
          </w:p>
        </w:tc>
      </w:tr>
      <w:tr w14:paraId="080E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52F20362">
            <w:pPr>
              <w:rPr>
                <w:rFonts w:hint="default" w:ascii="Calibri" w:hAnsi="Calibri"/>
                <w:kern w:val="0"/>
                <w:sz w:val="24"/>
                <w:lang w:val="en-US"/>
              </w:rPr>
            </w:pPr>
            <w:r>
              <w:rPr>
                <w:rFonts w:hint="eastAsia" w:ascii="Calibri" w:hAnsi="Calibri"/>
                <w:kern w:val="0"/>
                <w:sz w:val="24"/>
                <w:lang w:val="en-US" w:eastAsia="zh-CN"/>
              </w:rPr>
              <w:t>许明明</w:t>
            </w:r>
            <w:r>
              <w:rPr>
                <w:rFonts w:hint="eastAsia" w:ascii="Calibri" w:hAnsi="Calibri"/>
                <w:kern w:val="0"/>
                <w:sz w:val="24"/>
              </w:rPr>
              <w:t>、</w:t>
            </w:r>
            <w:r>
              <w:rPr>
                <w:rFonts w:hint="eastAsia" w:ascii="Calibri" w:hAnsi="Calibri"/>
                <w:kern w:val="0"/>
                <w:sz w:val="24"/>
                <w:lang w:val="en-US" w:eastAsia="zh-CN"/>
              </w:rPr>
              <w:t>凡兴强</w:t>
            </w:r>
            <w:r>
              <w:rPr>
                <w:rFonts w:hint="eastAsia" w:ascii="Calibri" w:hAnsi="Calibri"/>
                <w:kern w:val="0"/>
                <w:sz w:val="24"/>
              </w:rPr>
              <w:t>、</w:t>
            </w:r>
            <w:r>
              <w:rPr>
                <w:rFonts w:hint="eastAsia" w:ascii="Calibri" w:hAnsi="Calibri"/>
                <w:kern w:val="0"/>
                <w:sz w:val="24"/>
                <w:lang w:val="en-US" w:eastAsia="zh-CN"/>
              </w:rPr>
              <w:t>张熊波、岳昊东、徐兴成、李昌昊</w:t>
            </w:r>
          </w:p>
        </w:tc>
        <w:tc>
          <w:tcPr>
            <w:tcW w:w="4261" w:type="dxa"/>
            <w:noWrap w:val="0"/>
            <w:vAlign w:val="top"/>
          </w:tcPr>
          <w:p w14:paraId="28F93F36">
            <w:pPr>
              <w:rPr>
                <w:rFonts w:ascii="Calibri" w:hAnsi="Calibri"/>
                <w:kern w:val="0"/>
                <w:sz w:val="24"/>
              </w:rPr>
            </w:pPr>
            <w:r>
              <w:rPr>
                <w:rFonts w:hint="eastAsia" w:ascii="Calibri" w:hAnsi="Calibri"/>
                <w:kern w:val="0"/>
                <w:sz w:val="24"/>
              </w:rPr>
              <w:t>产品生产及试验数据积累</w:t>
            </w:r>
          </w:p>
        </w:tc>
      </w:tr>
      <w:tr w14:paraId="16FA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631B522">
            <w:pPr>
              <w:rPr>
                <w:rFonts w:hint="default" w:ascii="Calibri" w:hAnsi="Calibri" w:eastAsia="宋体"/>
                <w:kern w:val="0"/>
                <w:sz w:val="24"/>
                <w:lang w:val="en-US" w:eastAsia="zh-CN"/>
              </w:rPr>
            </w:pPr>
            <w:r>
              <w:rPr>
                <w:rFonts w:hint="eastAsia" w:ascii="Calibri" w:hAnsi="Calibri"/>
                <w:kern w:val="0"/>
                <w:sz w:val="24"/>
              </w:rPr>
              <w:t>苏琳琳</w:t>
            </w:r>
            <w:r>
              <w:rPr>
                <w:rFonts w:hint="eastAsia" w:ascii="Calibri" w:hAnsi="Calibri"/>
                <w:kern w:val="0"/>
                <w:sz w:val="24"/>
                <w:lang w:eastAsia="zh-CN"/>
              </w:rPr>
              <w:t>、</w:t>
            </w:r>
            <w:r>
              <w:rPr>
                <w:rFonts w:hint="eastAsia" w:ascii="Calibri" w:hAnsi="Calibri"/>
                <w:kern w:val="0"/>
                <w:sz w:val="24"/>
                <w:lang w:val="en-US" w:eastAsia="zh-CN"/>
              </w:rPr>
              <w:t>冯璐</w:t>
            </w:r>
          </w:p>
        </w:tc>
        <w:tc>
          <w:tcPr>
            <w:tcW w:w="4261" w:type="dxa"/>
            <w:noWrap w:val="0"/>
            <w:vAlign w:val="top"/>
          </w:tcPr>
          <w:p w14:paraId="5705C510">
            <w:pPr>
              <w:rPr>
                <w:rFonts w:ascii="Calibri" w:hAnsi="Calibri"/>
                <w:kern w:val="0"/>
                <w:sz w:val="24"/>
              </w:rPr>
            </w:pPr>
            <w:r>
              <w:rPr>
                <w:rFonts w:hint="eastAsia" w:ascii="Calibri" w:hAnsi="Calibri"/>
                <w:kern w:val="0"/>
                <w:sz w:val="24"/>
              </w:rPr>
              <w:t>产品分析检测方法研究</w:t>
            </w:r>
          </w:p>
        </w:tc>
      </w:tr>
      <w:tr w14:paraId="7649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CD1F9AE">
            <w:pPr>
              <w:rPr>
                <w:rFonts w:hint="eastAsia" w:ascii="Calibri" w:hAnsi="Calibri" w:eastAsia="宋体"/>
                <w:kern w:val="0"/>
                <w:sz w:val="24"/>
                <w:lang w:eastAsia="zh-CN"/>
              </w:rPr>
            </w:pPr>
            <w:r>
              <w:rPr>
                <w:rFonts w:hint="eastAsia" w:ascii="Calibri" w:hAnsi="Calibri"/>
                <w:kern w:val="0"/>
                <w:sz w:val="24"/>
              </w:rPr>
              <w:t>朱武勋</w:t>
            </w:r>
            <w:r>
              <w:rPr>
                <w:rFonts w:hint="eastAsia" w:ascii="Calibri" w:hAnsi="Calibri"/>
                <w:kern w:val="0"/>
                <w:sz w:val="24"/>
                <w:lang w:eastAsia="zh-CN"/>
              </w:rPr>
              <w:t>、</w:t>
            </w:r>
            <w:r>
              <w:rPr>
                <w:rFonts w:hint="eastAsia" w:ascii="Calibri" w:hAnsi="Calibri"/>
                <w:kern w:val="0"/>
                <w:sz w:val="24"/>
                <w:lang w:val="en-US" w:eastAsia="zh-CN"/>
              </w:rPr>
              <w:t>奚菊芳</w:t>
            </w:r>
          </w:p>
        </w:tc>
        <w:tc>
          <w:tcPr>
            <w:tcW w:w="4261" w:type="dxa"/>
            <w:noWrap w:val="0"/>
            <w:vAlign w:val="top"/>
          </w:tcPr>
          <w:p w14:paraId="607506B5">
            <w:pPr>
              <w:rPr>
                <w:rFonts w:hint="default" w:ascii="Calibri" w:hAnsi="Calibri" w:eastAsia="宋体"/>
                <w:kern w:val="0"/>
                <w:sz w:val="24"/>
                <w:lang w:val="en-US" w:eastAsia="zh-CN"/>
              </w:rPr>
            </w:pPr>
            <w:r>
              <w:rPr>
                <w:rFonts w:hint="eastAsia" w:ascii="Calibri" w:hAnsi="Calibri"/>
                <w:kern w:val="0"/>
                <w:sz w:val="24"/>
                <w:lang w:val="en-US" w:eastAsia="zh-CN"/>
              </w:rPr>
              <w:t>会议</w:t>
            </w:r>
            <w:r>
              <w:rPr>
                <w:rFonts w:hint="eastAsia" w:ascii="Calibri" w:hAnsi="Calibri"/>
                <w:kern w:val="0"/>
                <w:sz w:val="24"/>
              </w:rPr>
              <w:t>组织协调工作</w:t>
            </w:r>
            <w:r>
              <w:rPr>
                <w:rFonts w:hint="eastAsia" w:ascii="Calibri" w:hAnsi="Calibri"/>
                <w:kern w:val="0"/>
                <w:sz w:val="24"/>
                <w:lang w:eastAsia="zh-CN"/>
              </w:rPr>
              <w:t>、</w:t>
            </w:r>
            <w:r>
              <w:rPr>
                <w:rFonts w:hint="eastAsia" w:ascii="Calibri" w:hAnsi="Calibri"/>
                <w:kern w:val="0"/>
                <w:sz w:val="24"/>
                <w:lang w:val="en-US" w:eastAsia="zh-CN"/>
              </w:rPr>
              <w:t>文稿校对</w:t>
            </w:r>
          </w:p>
        </w:tc>
      </w:tr>
      <w:tr w14:paraId="752A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D433170">
            <w:pPr>
              <w:rPr>
                <w:rFonts w:hint="default" w:ascii="Calibri" w:hAnsi="Calibri" w:eastAsia="宋体"/>
                <w:kern w:val="0"/>
                <w:sz w:val="24"/>
                <w:lang w:val="en-US" w:eastAsia="zh-CN"/>
              </w:rPr>
            </w:pPr>
            <w:r>
              <w:rPr>
                <w:rFonts w:hint="eastAsia" w:ascii="Calibri" w:hAnsi="Calibri"/>
                <w:kern w:val="0"/>
                <w:sz w:val="24"/>
                <w:lang w:val="en-US" w:eastAsia="zh-CN"/>
              </w:rPr>
              <w:t>雷一韬、颜力、蒋金科</w:t>
            </w:r>
          </w:p>
        </w:tc>
        <w:tc>
          <w:tcPr>
            <w:tcW w:w="4261" w:type="dxa"/>
            <w:noWrap w:val="0"/>
            <w:vAlign w:val="top"/>
          </w:tcPr>
          <w:p w14:paraId="08A2AD4F">
            <w:pPr>
              <w:rPr>
                <w:rFonts w:hint="default" w:ascii="Calibri" w:hAnsi="Calibri"/>
                <w:kern w:val="0"/>
                <w:sz w:val="24"/>
                <w:lang w:val="en-US" w:eastAsia="zh-CN"/>
              </w:rPr>
            </w:pPr>
            <w:r>
              <w:rPr>
                <w:rFonts w:hint="eastAsia" w:ascii="Calibri" w:hAnsi="Calibri"/>
                <w:kern w:val="0"/>
                <w:sz w:val="24"/>
                <w:lang w:val="en-US" w:eastAsia="zh-CN"/>
              </w:rPr>
              <w:t>后勤保障</w:t>
            </w:r>
          </w:p>
        </w:tc>
      </w:tr>
    </w:tbl>
    <w:p w14:paraId="7FFE4846">
      <w:pPr>
        <w:spacing w:line="360" w:lineRule="auto"/>
        <w:rPr>
          <w:rFonts w:hint="eastAsia" w:ascii="宋体" w:hAnsi="宋体" w:cs="Times New Roman"/>
          <w:b/>
          <w:color w:val="auto"/>
          <w:sz w:val="24"/>
        </w:rPr>
      </w:pPr>
      <w:r>
        <w:rPr>
          <w:rFonts w:hint="eastAsia" w:ascii="宋体" w:hAnsi="宋体" w:cs="Times New Roman"/>
          <w:b/>
          <w:color w:val="auto"/>
          <w:sz w:val="24"/>
          <w:lang w:eastAsia="zh-CN"/>
        </w:rPr>
        <w:t>（</w:t>
      </w:r>
      <w:r>
        <w:rPr>
          <w:rFonts w:hint="eastAsia" w:ascii="宋体" w:hAnsi="宋体" w:cs="Times New Roman"/>
          <w:b/>
          <w:color w:val="auto"/>
          <w:sz w:val="24"/>
          <w:lang w:val="en-US" w:eastAsia="zh-CN"/>
        </w:rPr>
        <w:t>三</w:t>
      </w:r>
      <w:r>
        <w:rPr>
          <w:rFonts w:hint="eastAsia" w:ascii="宋体" w:hAnsi="宋体" w:cs="Times New Roman"/>
          <w:b/>
          <w:color w:val="auto"/>
          <w:sz w:val="24"/>
          <w:lang w:eastAsia="zh-CN"/>
        </w:rPr>
        <w:t>）</w:t>
      </w:r>
      <w:r>
        <w:rPr>
          <w:rFonts w:hint="eastAsia" w:ascii="宋体" w:hAnsi="宋体" w:cs="Times New Roman"/>
          <w:b/>
          <w:color w:val="auto"/>
          <w:sz w:val="24"/>
        </w:rPr>
        <w:t>主要工作过程</w:t>
      </w:r>
    </w:p>
    <w:p w14:paraId="5BCE34BB">
      <w:pPr>
        <w:spacing w:line="360" w:lineRule="auto"/>
        <w:rPr>
          <w:rFonts w:hint="eastAsia" w:ascii="宋体" w:hAnsi="宋体" w:cs="Times New Roman"/>
          <w:b/>
          <w:color w:val="auto"/>
          <w:sz w:val="24"/>
          <w:lang w:val="en-US" w:eastAsia="zh-CN"/>
        </w:rPr>
      </w:pPr>
      <w:r>
        <w:rPr>
          <w:rFonts w:hint="eastAsia" w:ascii="宋体" w:hAnsi="宋体" w:cs="Times New Roman"/>
          <w:b/>
          <w:color w:val="auto"/>
          <w:sz w:val="24"/>
        </w:rPr>
        <w:t>1</w:t>
      </w:r>
      <w:r>
        <w:rPr>
          <w:rFonts w:hint="eastAsia" w:ascii="宋体" w:hAnsi="宋体" w:cs="Times New Roman"/>
          <w:b/>
          <w:color w:val="auto"/>
          <w:sz w:val="24"/>
          <w:lang w:eastAsia="zh-CN"/>
        </w:rPr>
        <w:t>.</w:t>
      </w:r>
      <w:r>
        <w:rPr>
          <w:rFonts w:hint="eastAsia" w:ascii="宋体" w:hAnsi="宋体" w:cs="Times New Roman"/>
          <w:b/>
          <w:color w:val="auto"/>
          <w:sz w:val="24"/>
        </w:rPr>
        <w:t xml:space="preserve"> </w:t>
      </w:r>
      <w:r>
        <w:rPr>
          <w:rFonts w:hint="eastAsia" w:ascii="宋体" w:hAnsi="宋体" w:cs="Times New Roman"/>
          <w:b/>
          <w:color w:val="auto"/>
          <w:sz w:val="24"/>
          <w:lang w:val="en-US" w:eastAsia="zh-CN"/>
        </w:rPr>
        <w:t>项目确定阶段</w:t>
      </w:r>
    </w:p>
    <w:p w14:paraId="7FC62542">
      <w:pPr>
        <w:keepNext w:val="0"/>
        <w:keepLines w:val="0"/>
        <w:pageBreakBefore w:val="0"/>
        <w:widowControl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贵研</w:t>
      </w:r>
      <w:r>
        <w:rPr>
          <w:rFonts w:hint="eastAsia" w:ascii="宋体" w:hAnsi="宋体" w:eastAsia="宋体" w:cs="宋体"/>
          <w:sz w:val="24"/>
          <w:lang w:val="en-US" w:eastAsia="zh-CN"/>
        </w:rPr>
        <w:t>化学材料（云南）</w:t>
      </w:r>
      <w:r>
        <w:rPr>
          <w:rFonts w:hint="eastAsia" w:ascii="宋体" w:hAnsi="宋体" w:eastAsia="宋体" w:cs="宋体"/>
          <w:sz w:val="24"/>
        </w:rPr>
        <w:t>有限公司接到标准修订任务后，组织人员查阅和检索了国内外有关技术标准和资料，并征求了使用企业的意见，作为建立本技术标准的技术依据，也考虑了国内厂家生产实际和分析水平等情况，于20</w:t>
      </w:r>
      <w:r>
        <w:rPr>
          <w:rFonts w:hint="eastAsia" w:ascii="宋体" w:hAnsi="宋体" w:eastAsia="宋体" w:cs="宋体"/>
          <w:sz w:val="24"/>
          <w:lang w:val="en-US" w:eastAsia="zh-CN"/>
        </w:rPr>
        <w:t>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9</w:t>
      </w:r>
      <w:r>
        <w:rPr>
          <w:rFonts w:hint="eastAsia" w:ascii="宋体" w:hAnsi="宋体" w:eastAsia="宋体" w:cs="宋体"/>
          <w:sz w:val="24"/>
        </w:rPr>
        <w:t>月由公司相关技术人员组成了《</w:t>
      </w:r>
      <w:r>
        <w:rPr>
          <w:rFonts w:hint="eastAsia" w:ascii="宋体" w:hAnsi="宋体" w:cs="宋体"/>
          <w:sz w:val="24"/>
          <w:lang w:val="en-US" w:eastAsia="zh-CN"/>
        </w:rPr>
        <w:t>辛酸铑</w:t>
      </w:r>
      <w:r>
        <w:rPr>
          <w:rFonts w:hint="eastAsia" w:ascii="宋体" w:hAnsi="宋体" w:eastAsia="宋体" w:cs="宋体"/>
          <w:sz w:val="24"/>
        </w:rPr>
        <w:t>》标准</w:t>
      </w:r>
      <w:r>
        <w:rPr>
          <w:rFonts w:hint="eastAsia" w:ascii="宋体" w:hAnsi="宋体" w:eastAsia="宋体" w:cs="宋体"/>
          <w:sz w:val="24"/>
          <w:lang w:val="en-US" w:eastAsia="zh-CN"/>
        </w:rPr>
        <w:t>专项</w:t>
      </w:r>
      <w:r>
        <w:rPr>
          <w:rFonts w:hint="eastAsia" w:ascii="宋体" w:hAnsi="宋体" w:eastAsia="宋体" w:cs="宋体"/>
          <w:sz w:val="24"/>
        </w:rPr>
        <w:t>组，主要进行如下工作：</w:t>
      </w:r>
    </w:p>
    <w:p w14:paraId="6B94C126">
      <w:pPr>
        <w:keepNext w:val="0"/>
        <w:keepLines w:val="0"/>
        <w:pageBreakBefore w:val="0"/>
        <w:widowControl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1）确立《</w:t>
      </w:r>
      <w:r>
        <w:rPr>
          <w:rFonts w:hint="eastAsia" w:ascii="宋体" w:hAnsi="宋体" w:cs="宋体"/>
          <w:sz w:val="24"/>
          <w:lang w:val="en-US" w:eastAsia="zh-CN"/>
        </w:rPr>
        <w:t>辛酸铑</w:t>
      </w:r>
      <w:r>
        <w:rPr>
          <w:rFonts w:hint="eastAsia" w:ascii="宋体" w:hAnsi="宋体" w:eastAsia="宋体" w:cs="宋体"/>
          <w:sz w:val="24"/>
        </w:rPr>
        <w:t>》标准修订遵循的基本原则；</w:t>
      </w:r>
    </w:p>
    <w:p w14:paraId="3AF75139">
      <w:pPr>
        <w:keepNext w:val="0"/>
        <w:keepLines w:val="0"/>
        <w:pageBreakBefore w:val="0"/>
        <w:widowControl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2）对生产、使用厂家进行调研、收集资料；</w:t>
      </w:r>
    </w:p>
    <w:p w14:paraId="08006269">
      <w:pPr>
        <w:keepNext w:val="0"/>
        <w:keepLines w:val="0"/>
        <w:pageBreakBefore w:val="0"/>
        <w:widowControl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3）查阅相关标准；</w:t>
      </w:r>
    </w:p>
    <w:p w14:paraId="06E22C19">
      <w:pPr>
        <w:keepNext w:val="0"/>
        <w:keepLines w:val="0"/>
        <w:pageBreakBefore w:val="0"/>
        <w:widowControl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4）确定产品主要技术内容；</w:t>
      </w:r>
    </w:p>
    <w:p w14:paraId="2D152752">
      <w:pPr>
        <w:keepNext w:val="0"/>
        <w:keepLines w:val="0"/>
        <w:pageBreakBefore w:val="0"/>
        <w:widowControl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5）确定</w:t>
      </w:r>
      <w:r>
        <w:rPr>
          <w:rFonts w:hint="eastAsia" w:ascii="宋体" w:hAnsi="宋体" w:eastAsia="宋体" w:cs="宋体"/>
          <w:sz w:val="24"/>
          <w:lang w:val="en-US" w:eastAsia="zh-CN"/>
        </w:rPr>
        <w:t>技术要求的</w:t>
      </w:r>
      <w:r>
        <w:rPr>
          <w:rFonts w:hint="eastAsia" w:ascii="宋体" w:hAnsi="宋体" w:eastAsia="宋体" w:cs="宋体"/>
          <w:sz w:val="24"/>
        </w:rPr>
        <w:t>分析方法；</w:t>
      </w:r>
    </w:p>
    <w:p w14:paraId="3CD46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6）根据测试数据确定技术指标取值范围</w:t>
      </w:r>
      <w:r>
        <w:rPr>
          <w:rFonts w:hint="eastAsia" w:ascii="宋体" w:hAnsi="宋体" w:cs="宋体"/>
          <w:sz w:val="24"/>
          <w:lang w:eastAsia="zh-CN"/>
        </w:rPr>
        <w:t>。</w:t>
      </w:r>
    </w:p>
    <w:p w14:paraId="4DA6BE64">
      <w:pPr>
        <w:spacing w:line="360" w:lineRule="auto"/>
        <w:rPr>
          <w:rFonts w:hint="eastAsia" w:ascii="宋体" w:hAnsi="宋体" w:cs="宋体"/>
          <w:b/>
          <w:color w:val="auto"/>
          <w:sz w:val="24"/>
        </w:rPr>
      </w:pPr>
      <w:r>
        <w:rPr>
          <w:rFonts w:hint="eastAsia" w:ascii="宋体" w:hAnsi="宋体" w:cs="宋体"/>
          <w:b/>
          <w:color w:val="auto"/>
          <w:sz w:val="24"/>
        </w:rPr>
        <w:t>2 立项阶段</w:t>
      </w:r>
    </w:p>
    <w:p w14:paraId="687A84AB">
      <w:pPr>
        <w:keepNext w:val="0"/>
        <w:keepLines w:val="0"/>
        <w:pageBreakBefore w:val="0"/>
        <w:widowControl w:val="0"/>
        <w:kinsoku/>
        <w:wordWrap/>
        <w:overflowPunct/>
        <w:topLinePunct w:val="0"/>
        <w:bidi w:val="0"/>
        <w:snapToGrid/>
        <w:spacing w:line="360" w:lineRule="auto"/>
        <w:ind w:firstLine="480" w:firstLineChars="200"/>
        <w:jc w:val="both"/>
        <w:textAlignment w:val="auto"/>
        <w:rPr>
          <w:color w:val="000000"/>
          <w:kern w:val="0"/>
          <w:sz w:val="24"/>
        </w:rPr>
      </w:pPr>
      <w:r>
        <w:rPr>
          <w:rFonts w:hint="eastAsia"/>
          <w:color w:val="auto"/>
          <w:kern w:val="0"/>
          <w:sz w:val="24"/>
        </w:rPr>
        <w:t>20</w:t>
      </w:r>
      <w:r>
        <w:rPr>
          <w:rFonts w:hint="eastAsia"/>
          <w:color w:val="auto"/>
          <w:kern w:val="0"/>
          <w:sz w:val="24"/>
          <w:lang w:val="en-US" w:eastAsia="zh-CN"/>
        </w:rPr>
        <w:t>23</w:t>
      </w:r>
      <w:r>
        <w:rPr>
          <w:rFonts w:hint="eastAsia"/>
          <w:color w:val="auto"/>
          <w:kern w:val="0"/>
          <w:sz w:val="24"/>
        </w:rPr>
        <w:t>年</w:t>
      </w:r>
      <w:r>
        <w:rPr>
          <w:rFonts w:hint="eastAsia"/>
          <w:color w:val="auto"/>
          <w:kern w:val="0"/>
          <w:sz w:val="24"/>
          <w:lang w:val="en-US" w:eastAsia="zh-CN"/>
        </w:rPr>
        <w:t>11</w:t>
      </w:r>
      <w:r>
        <w:rPr>
          <w:rFonts w:hint="eastAsia"/>
          <w:color w:val="auto"/>
          <w:kern w:val="0"/>
          <w:sz w:val="24"/>
        </w:rPr>
        <w:t>月，</w:t>
      </w:r>
      <w:r>
        <w:rPr>
          <w:color w:val="000000"/>
          <w:kern w:val="0"/>
          <w:sz w:val="24"/>
        </w:rPr>
        <w:t>贵研</w:t>
      </w:r>
      <w:r>
        <w:rPr>
          <w:rFonts w:hint="eastAsia"/>
          <w:color w:val="000000"/>
          <w:kern w:val="0"/>
          <w:sz w:val="24"/>
          <w:lang w:val="en-US" w:eastAsia="zh-CN"/>
        </w:rPr>
        <w:t>化学（云南）</w:t>
      </w:r>
      <w:r>
        <w:rPr>
          <w:color w:val="000000"/>
          <w:kern w:val="0"/>
          <w:sz w:val="24"/>
        </w:rPr>
        <w:t>有限公司</w:t>
      </w:r>
      <w:r>
        <w:rPr>
          <w:rFonts w:hint="eastAsia"/>
          <w:color w:val="000000"/>
          <w:kern w:val="0"/>
          <w:sz w:val="24"/>
        </w:rPr>
        <w:t>向全体委员会议提交了《</w:t>
      </w:r>
      <w:r>
        <w:rPr>
          <w:rFonts w:hint="eastAsia"/>
          <w:color w:val="000000"/>
          <w:kern w:val="0"/>
          <w:sz w:val="24"/>
          <w:lang w:val="en-US" w:eastAsia="zh-CN"/>
        </w:rPr>
        <w:t>辛酸铑</w:t>
      </w:r>
      <w:r>
        <w:rPr>
          <w:rFonts w:hint="eastAsia"/>
          <w:color w:val="000000"/>
          <w:kern w:val="0"/>
          <w:sz w:val="24"/>
        </w:rPr>
        <w:t>》标准项目修订建议书、 标准修订草案及标准修订立项说明等材料，全体委员会议论证结论为同意行业标准修订立项</w:t>
      </w:r>
      <w:r>
        <w:rPr>
          <w:rFonts w:hint="eastAsia"/>
          <w:color w:val="000000"/>
          <w:kern w:val="0"/>
          <w:sz w:val="24"/>
          <w:lang w:eastAsia="zh-CN"/>
        </w:rPr>
        <w:t>，</w:t>
      </w:r>
      <w:r>
        <w:rPr>
          <w:rFonts w:hint="eastAsia"/>
          <w:color w:val="000000"/>
          <w:kern w:val="0"/>
          <w:sz w:val="24"/>
          <w:lang w:val="en-US" w:eastAsia="zh-CN"/>
        </w:rPr>
        <w:t>由秘书处组织委员投票，投票通过后报国标委，并挂网向社会公开征求意见。</w:t>
      </w:r>
    </w:p>
    <w:p w14:paraId="6B884823">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20</w:t>
      </w:r>
      <w:r>
        <w:rPr>
          <w:rFonts w:hint="eastAsia" w:ascii="Times New Roman" w:hAnsi="Times New Roman" w:eastAsia="宋体" w:cs="Times New Roman"/>
          <w:color w:val="auto"/>
          <w:kern w:val="0"/>
          <w:sz w:val="24"/>
          <w:lang w:val="en-US" w:eastAsia="zh-CN"/>
        </w:rPr>
        <w:t>23</w:t>
      </w:r>
      <w:r>
        <w:rPr>
          <w:rFonts w:hint="eastAsia" w:ascii="Times New Roman" w:hAnsi="Times New Roman" w:eastAsia="宋体" w:cs="Times New Roman"/>
          <w:color w:val="auto"/>
          <w:kern w:val="0"/>
          <w:sz w:val="24"/>
        </w:rPr>
        <w:t>年</w:t>
      </w:r>
      <w:r>
        <w:rPr>
          <w:rFonts w:hint="eastAsia" w:ascii="Times New Roman" w:hAnsi="Times New Roman" w:eastAsia="宋体" w:cs="Times New Roman"/>
          <w:color w:val="auto"/>
          <w:kern w:val="0"/>
          <w:sz w:val="24"/>
          <w:lang w:val="en-US" w:eastAsia="zh-CN"/>
        </w:rPr>
        <w:t>12</w:t>
      </w:r>
      <w:r>
        <w:rPr>
          <w:rFonts w:hint="eastAsia" w:ascii="Times New Roman" w:hAnsi="Times New Roman" w:eastAsia="宋体" w:cs="Times New Roman"/>
          <w:color w:val="auto"/>
          <w:kern w:val="0"/>
          <w:sz w:val="24"/>
        </w:rPr>
        <w:t>月，全国有色金属标准化技术委员下达了《</w:t>
      </w:r>
      <w:r>
        <w:rPr>
          <w:rFonts w:hint="eastAsia" w:ascii="Times New Roman" w:hAnsi="Times New Roman" w:eastAsia="宋体" w:cs="Times New Roman"/>
          <w:color w:val="auto"/>
          <w:kern w:val="0"/>
          <w:sz w:val="24"/>
          <w:lang w:val="en-US" w:eastAsia="zh-CN"/>
        </w:rPr>
        <w:t>辛酸铑</w:t>
      </w:r>
      <w:r>
        <w:rPr>
          <w:rFonts w:hint="eastAsia" w:ascii="Times New Roman" w:hAnsi="Times New Roman" w:eastAsia="宋体" w:cs="Times New Roman"/>
          <w:color w:val="auto"/>
          <w:kern w:val="0"/>
          <w:sz w:val="24"/>
        </w:rPr>
        <w:t>》行业标准的修订任务，项目计划编号：工信厅科函[202</w:t>
      </w:r>
      <w:r>
        <w:rPr>
          <w:rFonts w:hint="eastAsia" w:ascii="Times New Roman" w:hAnsi="Times New Roman" w:eastAsia="宋体" w:cs="Times New Roman"/>
          <w:color w:val="auto"/>
          <w:kern w:val="0"/>
          <w:sz w:val="24"/>
          <w:lang w:val="en-US" w:eastAsia="zh-CN"/>
        </w:rPr>
        <w:t>3</w:t>
      </w:r>
      <w:r>
        <w:rPr>
          <w:rFonts w:hint="eastAsia"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val="en-US" w:eastAsia="zh-CN"/>
        </w:rPr>
        <w:t>291</w:t>
      </w:r>
      <w:r>
        <w:rPr>
          <w:rFonts w:hint="eastAsia" w:ascii="Times New Roman" w:hAnsi="Times New Roman" w:eastAsia="宋体" w:cs="Times New Roman"/>
          <w:color w:val="auto"/>
          <w:kern w:val="0"/>
          <w:sz w:val="24"/>
        </w:rPr>
        <w:t>号2023-154</w:t>
      </w:r>
      <w:r>
        <w:rPr>
          <w:rFonts w:hint="eastAsia" w:ascii="Times New Roman" w:hAnsi="Times New Roman" w:eastAsia="宋体" w:cs="Times New Roman"/>
          <w:color w:val="auto"/>
          <w:kern w:val="0"/>
          <w:sz w:val="24"/>
          <w:lang w:val="en-US" w:eastAsia="zh-CN"/>
        </w:rPr>
        <w:t>5</w:t>
      </w:r>
      <w:r>
        <w:rPr>
          <w:rFonts w:hint="eastAsia" w:ascii="Times New Roman" w:hAnsi="Times New Roman" w:eastAsia="宋体" w:cs="Times New Roman"/>
          <w:color w:val="auto"/>
          <w:kern w:val="0"/>
          <w:sz w:val="24"/>
        </w:rPr>
        <w:t>T-YS，项目周期为</w:t>
      </w:r>
      <w:r>
        <w:rPr>
          <w:rFonts w:hint="eastAsia" w:ascii="Times New Roman" w:hAnsi="Times New Roman" w:eastAsia="宋体" w:cs="Times New Roman"/>
          <w:color w:val="auto"/>
          <w:kern w:val="0"/>
          <w:sz w:val="24"/>
          <w:lang w:val="en-US" w:eastAsia="zh-CN"/>
        </w:rPr>
        <w:t>16</w:t>
      </w:r>
      <w:r>
        <w:rPr>
          <w:rFonts w:hint="eastAsia" w:ascii="Times New Roman" w:hAnsi="Times New Roman" w:eastAsia="宋体" w:cs="Times New Roman"/>
          <w:color w:val="auto"/>
          <w:kern w:val="0"/>
          <w:sz w:val="24"/>
        </w:rPr>
        <w:t>个月，完成年限为</w:t>
      </w:r>
      <w:r>
        <w:rPr>
          <w:rFonts w:hint="eastAsia"/>
          <w:color w:val="auto"/>
          <w:sz w:val="24"/>
          <w:szCs w:val="24"/>
        </w:rPr>
        <w:t>20</w:t>
      </w:r>
      <w:r>
        <w:rPr>
          <w:rFonts w:hint="eastAsia"/>
          <w:color w:val="auto"/>
          <w:sz w:val="24"/>
          <w:szCs w:val="24"/>
          <w:lang w:val="en-US" w:eastAsia="zh-CN"/>
        </w:rPr>
        <w:t>23</w:t>
      </w:r>
      <w:r>
        <w:rPr>
          <w:rFonts w:hint="eastAsia"/>
          <w:color w:val="auto"/>
          <w:sz w:val="24"/>
          <w:szCs w:val="24"/>
        </w:rPr>
        <w:t>年</w:t>
      </w:r>
      <w:r>
        <w:rPr>
          <w:rFonts w:hint="eastAsia"/>
          <w:color w:val="auto"/>
          <w:sz w:val="24"/>
          <w:szCs w:val="24"/>
          <w:lang w:val="en-US" w:eastAsia="zh-CN"/>
        </w:rPr>
        <w:t>12</w:t>
      </w:r>
      <w:r>
        <w:rPr>
          <w:rFonts w:hint="eastAsia"/>
          <w:color w:val="auto"/>
          <w:sz w:val="24"/>
          <w:szCs w:val="24"/>
        </w:rPr>
        <w:t>月至202</w:t>
      </w:r>
      <w:r>
        <w:rPr>
          <w:rFonts w:hint="eastAsia"/>
          <w:color w:val="auto"/>
          <w:sz w:val="24"/>
          <w:szCs w:val="24"/>
          <w:lang w:val="en-US" w:eastAsia="zh-CN"/>
        </w:rPr>
        <w:t>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技术归口单位为全国有色金属标准化技术委员会。</w:t>
      </w:r>
    </w:p>
    <w:p w14:paraId="2AE608B7">
      <w:pPr>
        <w:numPr>
          <w:ilvl w:val="0"/>
          <w:numId w:val="5"/>
        </w:numPr>
        <w:rPr>
          <w:rFonts w:hint="eastAsia" w:ascii="黑体" w:hAnsi="黑体" w:eastAsia="黑体" w:cs="黑体"/>
          <w:b w:val="0"/>
          <w:bCs/>
          <w:sz w:val="28"/>
          <w:szCs w:val="28"/>
        </w:rPr>
      </w:pPr>
      <w:r>
        <w:rPr>
          <w:rFonts w:hint="eastAsia" w:ascii="黑体" w:hAnsi="黑体" w:eastAsia="黑体" w:cs="黑体"/>
          <w:b w:val="0"/>
          <w:bCs/>
          <w:sz w:val="28"/>
          <w:szCs w:val="28"/>
        </w:rPr>
        <w:t>起草阶段</w:t>
      </w:r>
    </w:p>
    <w:p w14:paraId="475C603A">
      <w:pPr>
        <w:pStyle w:val="13"/>
        <w:numPr>
          <w:ilvl w:val="0"/>
          <w:numId w:val="4"/>
        </w:numPr>
        <w:spacing w:line="360" w:lineRule="auto"/>
        <w:ind w:firstLine="480" w:firstLineChars="0"/>
        <w:rPr>
          <w:rFonts w:hint="eastAsia" w:ascii="宋体" w:hAnsi="宋体" w:cs="宋体"/>
          <w:color w:val="000000"/>
          <w:kern w:val="0"/>
          <w:sz w:val="24"/>
          <w:lang w:val="en-US" w:eastAsia="zh-CN"/>
        </w:rPr>
      </w:pPr>
      <w:r>
        <w:rPr>
          <w:rFonts w:hint="eastAsia"/>
          <w:color w:val="000000"/>
          <w:sz w:val="24"/>
        </w:rPr>
        <w:t>20</w:t>
      </w:r>
      <w:r>
        <w:rPr>
          <w:rFonts w:hint="eastAsia"/>
          <w:color w:val="000000"/>
          <w:sz w:val="24"/>
          <w:lang w:val="en-US" w:eastAsia="zh-CN"/>
        </w:rPr>
        <w:t>23</w:t>
      </w:r>
      <w:r>
        <w:rPr>
          <w:rFonts w:hint="eastAsia"/>
          <w:color w:val="000000"/>
          <w:sz w:val="24"/>
        </w:rPr>
        <w:t>年</w:t>
      </w:r>
      <w:r>
        <w:rPr>
          <w:rFonts w:hint="eastAsia"/>
          <w:color w:val="000000"/>
          <w:sz w:val="24"/>
          <w:lang w:val="en-US" w:eastAsia="zh-CN"/>
        </w:rPr>
        <w:t>12</w:t>
      </w:r>
      <w:r>
        <w:rPr>
          <w:rFonts w:hint="eastAsia"/>
          <w:color w:val="000000"/>
          <w:sz w:val="24"/>
        </w:rPr>
        <w:t>月，</w:t>
      </w:r>
      <w:r>
        <w:rPr>
          <w:rFonts w:hint="eastAsia" w:ascii="宋体" w:hAnsi="宋体" w:eastAsia="宋体" w:cs="宋体"/>
          <w:color w:val="000000"/>
          <w:sz w:val="24"/>
        </w:rPr>
        <w:t>在四川省成都市召</w:t>
      </w:r>
      <w:r>
        <w:rPr>
          <w:rFonts w:hint="eastAsia"/>
          <w:color w:val="000000"/>
          <w:sz w:val="24"/>
        </w:rPr>
        <w:t>开了《</w:t>
      </w:r>
      <w:r>
        <w:rPr>
          <w:rFonts w:hint="eastAsia"/>
          <w:color w:val="000000"/>
          <w:sz w:val="24"/>
          <w:lang w:val="en-US" w:eastAsia="zh-CN"/>
        </w:rPr>
        <w:t>辛酸铑</w:t>
      </w:r>
      <w:r>
        <w:rPr>
          <w:rFonts w:hint="eastAsia"/>
          <w:color w:val="000000"/>
          <w:sz w:val="24"/>
        </w:rPr>
        <w:t>》有色金属行业标准修订任务落实会，根据与会专家及企业代表认真研究和讨论，</w:t>
      </w:r>
      <w:r>
        <w:rPr>
          <w:rFonts w:hint="eastAsia"/>
          <w:color w:val="000000"/>
          <w:sz w:val="24"/>
          <w:lang w:val="en-US" w:eastAsia="zh-CN"/>
        </w:rPr>
        <w:t>并对各项工作任务及工作进度做了详细的安排，</w:t>
      </w:r>
      <w:r>
        <w:rPr>
          <w:rFonts w:hint="eastAsia"/>
          <w:color w:val="000000"/>
          <w:sz w:val="24"/>
        </w:rPr>
        <w:t>确定了标准制定的主要参</w:t>
      </w:r>
      <w:r>
        <w:rPr>
          <w:rFonts w:hint="eastAsia"/>
          <w:color w:val="000000"/>
          <w:sz w:val="24"/>
          <w:lang w:val="en-US" w:eastAsia="zh-CN"/>
        </w:rPr>
        <w:t>与</w:t>
      </w:r>
      <w:r>
        <w:rPr>
          <w:rFonts w:hint="eastAsia"/>
          <w:color w:val="000000"/>
          <w:sz w:val="24"/>
        </w:rPr>
        <w:t>单位为</w:t>
      </w:r>
      <w:r>
        <w:rPr>
          <w:rFonts w:hint="default" w:ascii="宋体" w:hAnsi="Times New Roman" w:eastAsia="宋体" w:cs="Times New Roman"/>
          <w:color w:val="auto"/>
          <w:sz w:val="24"/>
          <w:szCs w:val="24"/>
        </w:rPr>
        <w:t>贵研化学材料（云南）有限公司、云南贵金属实验室有限公司、贵研铂业股份有限公司、贵研资源（易门）有限公司、昆明贵金属研究所、浙江微通催化新材料有限公司、西安凯立新材料股份有限公司、陕西瑞科新材料股份有限公司、有色金属技术经济研究院有限责任公司、有研亿金新材料有限公司、江西省汉氏贵金属有限公司</w:t>
      </w:r>
      <w:r>
        <w:rPr>
          <w:rFonts w:hint="eastAsia" w:ascii="宋体" w:hAnsi="Times New Roman" w:eastAsia="宋体" w:cs="Times New Roman"/>
          <w:color w:val="auto"/>
          <w:sz w:val="24"/>
          <w:szCs w:val="24"/>
          <w:lang w:eastAsia="zh-CN"/>
        </w:rPr>
        <w:t>。</w:t>
      </w:r>
    </w:p>
    <w:p w14:paraId="52765D69">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sz w:val="24"/>
          <w:lang w:val="en-US" w:eastAsia="zh-CN"/>
        </w:rPr>
      </w:pPr>
      <w:r>
        <w:rPr>
          <w:rFonts w:hint="eastAsia"/>
          <w:sz w:val="24"/>
        </w:rPr>
        <w:t>根据此次会议精神，贵研铂业股份有限公司公司于</w:t>
      </w:r>
      <w:r>
        <w:rPr>
          <w:rFonts w:hint="eastAsia"/>
          <w:color w:val="000000"/>
          <w:sz w:val="24"/>
        </w:rPr>
        <w:t>20</w:t>
      </w:r>
      <w:r>
        <w:rPr>
          <w:rFonts w:hint="eastAsia"/>
          <w:color w:val="000000"/>
          <w:sz w:val="24"/>
          <w:lang w:val="en-US" w:eastAsia="zh-CN"/>
        </w:rPr>
        <w:t>24</w:t>
      </w:r>
      <w:r>
        <w:rPr>
          <w:rFonts w:hint="eastAsia"/>
          <w:color w:val="000000"/>
          <w:sz w:val="24"/>
        </w:rPr>
        <w:t>年</w:t>
      </w:r>
      <w:r>
        <w:rPr>
          <w:rFonts w:hint="eastAsia"/>
          <w:color w:val="000000"/>
          <w:sz w:val="24"/>
          <w:lang w:val="en-US" w:eastAsia="zh-CN"/>
        </w:rPr>
        <w:t>1</w:t>
      </w:r>
      <w:r>
        <w:rPr>
          <w:rFonts w:hint="eastAsia"/>
          <w:color w:val="000000"/>
          <w:sz w:val="24"/>
        </w:rPr>
        <w:t>月</w:t>
      </w:r>
      <w:r>
        <w:rPr>
          <w:rFonts w:hint="eastAsia"/>
          <w:sz w:val="24"/>
        </w:rPr>
        <w:t>组织相关技术人员组成了《</w:t>
      </w:r>
      <w:r>
        <w:rPr>
          <w:rFonts w:hint="eastAsia"/>
          <w:sz w:val="24"/>
          <w:lang w:val="en-US" w:eastAsia="zh-CN"/>
        </w:rPr>
        <w:t>辛酸铑</w:t>
      </w:r>
      <w:r>
        <w:rPr>
          <w:rFonts w:hint="eastAsia"/>
          <w:sz w:val="24"/>
        </w:rPr>
        <w:t>》标准修订</w:t>
      </w:r>
      <w:r>
        <w:rPr>
          <w:rFonts w:hint="eastAsia"/>
          <w:sz w:val="24"/>
          <w:lang w:val="en-US" w:eastAsia="zh-CN"/>
        </w:rPr>
        <w:t>工作组</w:t>
      </w:r>
      <w:r>
        <w:rPr>
          <w:rFonts w:hint="eastAsia"/>
          <w:sz w:val="24"/>
        </w:rPr>
        <w:t>，</w:t>
      </w:r>
      <w:r>
        <w:rPr>
          <w:rFonts w:hint="eastAsia"/>
          <w:sz w:val="24"/>
          <w:lang w:val="en-US" w:eastAsia="zh-CN"/>
        </w:rPr>
        <w:t>并建立相关的工作微信群，</w:t>
      </w:r>
      <w:r>
        <w:rPr>
          <w:rFonts w:hint="eastAsia"/>
          <w:sz w:val="24"/>
        </w:rPr>
        <w:t>主要进行如下工作：</w:t>
      </w:r>
    </w:p>
    <w:p w14:paraId="063A7963">
      <w:pPr>
        <w:keepNext w:val="0"/>
        <w:keepLines w:val="0"/>
        <w:pageBreakBefore w:val="0"/>
        <w:widowControl w:val="0"/>
        <w:numPr>
          <w:ilvl w:val="0"/>
          <w:numId w:val="6"/>
        </w:numPr>
        <w:kinsoku/>
        <w:wordWrap/>
        <w:overflowPunct/>
        <w:topLinePunct w:val="0"/>
        <w:bidi w:val="0"/>
        <w:snapToGrid/>
        <w:spacing w:line="360" w:lineRule="auto"/>
        <w:ind w:firstLine="480" w:firstLineChars="200"/>
        <w:jc w:val="left"/>
        <w:textAlignment w:val="auto"/>
        <w:rPr>
          <w:rFonts w:hint="eastAsia"/>
          <w:sz w:val="24"/>
          <w:lang w:val="en-US" w:eastAsia="zh-CN"/>
        </w:rPr>
      </w:pPr>
      <w:r>
        <w:rPr>
          <w:rFonts w:hint="eastAsia" w:ascii="宋体" w:hAnsi="宋体"/>
          <w:color w:val="000000"/>
          <w:sz w:val="24"/>
          <w:lang w:val="en-US" w:eastAsia="zh-CN"/>
        </w:rPr>
        <w:t>组织小组成员</w:t>
      </w:r>
      <w:r>
        <w:rPr>
          <w:rFonts w:hint="eastAsia" w:ascii="宋体" w:hAnsi="宋体"/>
          <w:color w:val="000000"/>
          <w:sz w:val="24"/>
        </w:rPr>
        <w:t>查阅和检索国内外有关该产品技术标准和资料</w:t>
      </w:r>
      <w:r>
        <w:rPr>
          <w:rFonts w:hint="eastAsia" w:ascii="宋体" w:hAnsi="宋体"/>
          <w:color w:val="000000"/>
          <w:sz w:val="24"/>
          <w:lang w:eastAsia="zh-CN"/>
        </w:rPr>
        <w:t>；</w:t>
      </w:r>
    </w:p>
    <w:p w14:paraId="5A3BDA7E">
      <w:pPr>
        <w:keepNext w:val="0"/>
        <w:keepLines w:val="0"/>
        <w:pageBreakBefore w:val="0"/>
        <w:widowControl w:val="0"/>
        <w:numPr>
          <w:ilvl w:val="0"/>
          <w:numId w:val="7"/>
        </w:numPr>
        <w:kinsoku/>
        <w:wordWrap/>
        <w:overflowPunct/>
        <w:topLinePunct w:val="0"/>
        <w:bidi w:val="0"/>
        <w:snapToGrid/>
        <w:spacing w:line="360" w:lineRule="auto"/>
        <w:ind w:firstLine="480" w:firstLineChars="200"/>
        <w:jc w:val="left"/>
        <w:textAlignment w:val="auto"/>
        <w:rPr>
          <w:rFonts w:hint="eastAsia"/>
          <w:sz w:val="24"/>
          <w:lang w:val="en-US" w:eastAsia="zh-CN"/>
        </w:rPr>
      </w:pPr>
      <w:r>
        <w:rPr>
          <w:rFonts w:hint="eastAsia"/>
          <w:sz w:val="24"/>
        </w:rPr>
        <w:t>标准起草成员</w:t>
      </w:r>
      <w:r>
        <w:rPr>
          <w:rFonts w:hint="eastAsia"/>
          <w:sz w:val="24"/>
          <w:lang w:val="en-US" w:eastAsia="zh-CN"/>
        </w:rPr>
        <w:t>开展同行和用户调研；</w:t>
      </w:r>
    </w:p>
    <w:p w14:paraId="0A8C58E0">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sz w:val="24"/>
          <w:lang w:val="en-US" w:eastAsia="zh-CN"/>
        </w:rPr>
      </w:pPr>
      <w:r>
        <w:rPr>
          <w:rFonts w:hint="eastAsia" w:ascii="宋体" w:hAnsi="宋体" w:eastAsia="宋体" w:cs="宋体"/>
          <w:i w:val="0"/>
          <w:iCs w:val="0"/>
          <w:caps w:val="0"/>
          <w:color w:val="000000"/>
          <w:spacing w:val="0"/>
          <w:sz w:val="24"/>
          <w:szCs w:val="24"/>
          <w:shd w:val="clear" w:color="auto" w:fill="FFFFFF"/>
        </w:rPr>
        <w:t>标准制定工作组</w:t>
      </w:r>
      <w:r>
        <w:rPr>
          <w:rFonts w:hint="default" w:ascii="Times New Roman" w:hAnsi="Times New Roman" w:eastAsia="宋体" w:cs="Times New Roman"/>
          <w:i w:val="0"/>
          <w:iCs w:val="0"/>
          <w:caps w:val="0"/>
          <w:color w:val="000000"/>
          <w:spacing w:val="0"/>
          <w:sz w:val="24"/>
          <w:szCs w:val="24"/>
          <w:shd w:val="clear" w:color="auto" w:fill="FFFFFF"/>
        </w:rPr>
        <w:t>深入国内</w:t>
      </w:r>
      <w:r>
        <w:rPr>
          <w:rFonts w:hint="eastAsia" w:ascii="Times New Roman" w:hAnsi="Times New Roman" w:eastAsia="宋体" w:cs="Times New Roman"/>
          <w:i w:val="0"/>
          <w:iCs w:val="0"/>
          <w:caps w:val="0"/>
          <w:color w:val="000000"/>
          <w:spacing w:val="0"/>
          <w:sz w:val="24"/>
          <w:szCs w:val="24"/>
          <w:shd w:val="clear" w:color="auto" w:fill="FFFFFF"/>
          <w:lang w:val="en-US" w:eastAsia="zh-CN"/>
        </w:rPr>
        <w:t>辛酸铑</w:t>
      </w:r>
      <w:r>
        <w:rPr>
          <w:rFonts w:hint="default" w:ascii="Times New Roman" w:hAnsi="Times New Roman" w:eastAsia="宋体" w:cs="Times New Roman"/>
          <w:i w:val="0"/>
          <w:iCs w:val="0"/>
          <w:caps w:val="0"/>
          <w:color w:val="000000"/>
          <w:spacing w:val="0"/>
          <w:sz w:val="24"/>
          <w:szCs w:val="24"/>
          <w:shd w:val="clear" w:color="auto" w:fill="FFFFFF"/>
        </w:rPr>
        <w:t>主要生产企业如</w:t>
      </w:r>
      <w:r>
        <w:rPr>
          <w:rFonts w:hint="eastAsia" w:ascii="Times New Roman" w:hAnsi="Times New Roman" w:eastAsia="宋体" w:cs="Times New Roman"/>
          <w:i w:val="0"/>
          <w:iCs w:val="0"/>
          <w:caps w:val="0"/>
          <w:color w:val="000000"/>
          <w:spacing w:val="0"/>
          <w:sz w:val="24"/>
          <w:szCs w:val="24"/>
          <w:shd w:val="clear" w:color="auto" w:fill="FFFFFF"/>
          <w:lang w:val="en-US" w:eastAsia="zh-CN"/>
        </w:rPr>
        <w:t>浙江微通催化新材料有限公司、</w:t>
      </w:r>
      <w:r>
        <w:rPr>
          <w:rFonts w:hint="eastAsia" w:ascii="宋体" w:hAnsi="宋体" w:eastAsia="宋体" w:cs="宋体"/>
          <w:i w:val="0"/>
          <w:iCs w:val="0"/>
          <w:caps w:val="0"/>
          <w:color w:val="000000"/>
          <w:spacing w:val="0"/>
          <w:sz w:val="24"/>
          <w:szCs w:val="24"/>
          <w:shd w:val="clear" w:color="auto" w:fill="FFFFFF"/>
          <w:lang w:val="en-US" w:eastAsia="zh-CN"/>
        </w:rPr>
        <w:t>西安凯立新材料股份有限公司</w:t>
      </w:r>
      <w:r>
        <w:rPr>
          <w:rFonts w:hint="eastAsia" w:ascii="宋体" w:hAnsi="宋体" w:eastAsia="宋体" w:cs="宋体"/>
          <w:i w:val="0"/>
          <w:iCs w:val="0"/>
          <w:caps w:val="0"/>
          <w:color w:val="000000"/>
          <w:spacing w:val="0"/>
          <w:sz w:val="24"/>
          <w:szCs w:val="24"/>
          <w:shd w:val="clear" w:color="auto" w:fill="FFFFFF"/>
        </w:rPr>
        <w:t>、</w:t>
      </w:r>
      <w:r>
        <w:rPr>
          <w:rFonts w:hint="eastAsia" w:ascii="宋体" w:hAnsi="宋体" w:eastAsia="宋体" w:cs="宋体"/>
          <w:i w:val="0"/>
          <w:iCs w:val="0"/>
          <w:caps w:val="0"/>
          <w:color w:val="000000"/>
          <w:spacing w:val="0"/>
          <w:sz w:val="24"/>
          <w:szCs w:val="24"/>
          <w:shd w:val="clear" w:color="auto" w:fill="FFFFFF"/>
          <w:lang w:val="en-US" w:eastAsia="zh-CN"/>
        </w:rPr>
        <w:t>陕西瑞科</w:t>
      </w:r>
      <w:r>
        <w:rPr>
          <w:rFonts w:hint="eastAsia" w:ascii="宋体" w:hAnsi="宋体" w:eastAsia="宋体" w:cs="宋体"/>
          <w:i w:val="0"/>
          <w:iCs w:val="0"/>
          <w:caps w:val="0"/>
          <w:color w:val="000000"/>
          <w:spacing w:val="0"/>
          <w:sz w:val="24"/>
          <w:szCs w:val="24"/>
          <w:shd w:val="clear" w:color="auto" w:fill="FFFFFF"/>
        </w:rPr>
        <w:t>有限公司等开展广泛调研，明确目前</w:t>
      </w:r>
      <w:r>
        <w:rPr>
          <w:rFonts w:hint="default" w:ascii="Times New Roman" w:hAnsi="Times New Roman" w:eastAsia="宋体" w:cs="Times New Roman"/>
          <w:i w:val="0"/>
          <w:iCs w:val="0"/>
          <w:caps w:val="0"/>
          <w:color w:val="000000"/>
          <w:spacing w:val="0"/>
          <w:sz w:val="24"/>
          <w:szCs w:val="24"/>
          <w:shd w:val="clear" w:color="auto" w:fill="FFFFFF"/>
        </w:rPr>
        <w:t>国内有关</w:t>
      </w:r>
      <w:r>
        <w:rPr>
          <w:rFonts w:hint="eastAsia" w:ascii="Times New Roman" w:hAnsi="Times New Roman" w:eastAsia="宋体" w:cs="Times New Roman"/>
          <w:i w:val="0"/>
          <w:iCs w:val="0"/>
          <w:caps w:val="0"/>
          <w:color w:val="000000"/>
          <w:spacing w:val="0"/>
          <w:sz w:val="24"/>
          <w:szCs w:val="24"/>
          <w:shd w:val="clear" w:color="auto" w:fill="FFFFFF"/>
          <w:lang w:val="en-US" w:eastAsia="zh-CN"/>
        </w:rPr>
        <w:t>辛酸铑</w:t>
      </w:r>
      <w:r>
        <w:rPr>
          <w:rFonts w:hint="default" w:ascii="Times New Roman" w:hAnsi="Times New Roman" w:eastAsia="宋体" w:cs="Times New Roman"/>
          <w:i w:val="0"/>
          <w:iCs w:val="0"/>
          <w:caps w:val="0"/>
          <w:color w:val="000000"/>
          <w:spacing w:val="0"/>
          <w:sz w:val="24"/>
          <w:szCs w:val="24"/>
          <w:shd w:val="clear" w:color="auto" w:fill="FFFFFF"/>
        </w:rPr>
        <w:t>的生产规模、生产工艺、产品性能等，为高质量标准</w:t>
      </w:r>
      <w:r>
        <w:rPr>
          <w:rFonts w:hint="eastAsia" w:ascii="Times New Roman" w:hAnsi="Times New Roman" w:eastAsia="宋体" w:cs="Times New Roman"/>
          <w:i w:val="0"/>
          <w:iCs w:val="0"/>
          <w:caps w:val="0"/>
          <w:color w:val="000000"/>
          <w:spacing w:val="0"/>
          <w:sz w:val="24"/>
          <w:szCs w:val="24"/>
          <w:shd w:val="clear" w:color="auto" w:fill="FFFFFF"/>
          <w:lang w:val="en-US" w:eastAsia="zh-CN"/>
        </w:rPr>
        <w:t>修订</w:t>
      </w:r>
      <w:r>
        <w:rPr>
          <w:rFonts w:hint="default" w:ascii="Times New Roman" w:hAnsi="Times New Roman" w:eastAsia="宋体" w:cs="Times New Roman"/>
          <w:i w:val="0"/>
          <w:iCs w:val="0"/>
          <w:caps w:val="0"/>
          <w:color w:val="000000"/>
          <w:spacing w:val="0"/>
          <w:sz w:val="24"/>
          <w:szCs w:val="24"/>
          <w:shd w:val="clear" w:color="auto" w:fill="FFFFFF"/>
        </w:rPr>
        <w:t>打下基础。</w:t>
      </w:r>
    </w:p>
    <w:p w14:paraId="12E882F1">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color w:val="000000"/>
          <w:sz w:val="24"/>
        </w:rPr>
      </w:pPr>
      <w:r>
        <w:rPr>
          <w:rFonts w:hint="eastAsia"/>
          <w:sz w:val="24"/>
          <w:lang w:val="en-US" w:eastAsia="zh-CN"/>
        </w:rPr>
        <w:t>同时海正制药等用户调研，走访了企业负责人和相关技术人员，</w:t>
      </w:r>
      <w:r>
        <w:rPr>
          <w:rFonts w:hint="eastAsia"/>
          <w:sz w:val="24"/>
        </w:rPr>
        <w:t>调研</w:t>
      </w:r>
      <w:r>
        <w:rPr>
          <w:rFonts w:hint="eastAsia"/>
          <w:sz w:val="24"/>
          <w:lang w:val="en-US" w:eastAsia="zh-CN"/>
        </w:rPr>
        <w:t>产品的使用情况，</w:t>
      </w:r>
      <w:r>
        <w:rPr>
          <w:rFonts w:hint="eastAsia" w:ascii="Times New Roman" w:hAnsi="Times New Roman" w:eastAsia="宋体" w:cs="Times New Roman"/>
          <w:sz w:val="24"/>
          <w:lang w:val="en-US" w:eastAsia="zh-CN"/>
        </w:rPr>
        <w:t>了解他们对产品的使用情况、设备、检验工艺过程，满意度、需求和反馈等方面的信息，用户提出了很多有益的意见，这些信息可以帮助标准编制小组更好地了解用户的需求，合理的制定出标准的技术要求，提高用户对标准的满意度</w:t>
      </w:r>
      <w:r>
        <w:rPr>
          <w:rFonts w:hint="eastAsia" w:ascii="宋体" w:hAnsi="宋体"/>
          <w:color w:val="000000"/>
          <w:sz w:val="24"/>
        </w:rPr>
        <w:t>。</w:t>
      </w:r>
    </w:p>
    <w:p w14:paraId="34A708DE">
      <w:pPr>
        <w:pStyle w:val="30"/>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olor w:val="000000"/>
          <w:sz w:val="24"/>
        </w:rPr>
      </w:pPr>
      <w:r>
        <w:rPr>
          <w:rFonts w:hint="eastAsia" w:hAnsi="宋体"/>
          <w:color w:val="000000"/>
          <w:sz w:val="24"/>
          <w:lang w:val="en-US" w:eastAsia="zh-CN"/>
        </w:rPr>
        <w:t>另外</w:t>
      </w:r>
      <w:r>
        <w:rPr>
          <w:rFonts w:hint="eastAsia" w:ascii="宋体" w:hAnsi="宋体"/>
          <w:color w:val="000000"/>
          <w:sz w:val="24"/>
        </w:rPr>
        <w:t>组织人员查阅和检索国内外有关该产品技术标准和资料，</w:t>
      </w:r>
      <w:r>
        <w:rPr>
          <w:rFonts w:hint="eastAsia" w:ascii="宋体" w:hAnsi="宋体"/>
          <w:color w:val="000000"/>
          <w:sz w:val="24"/>
          <w:lang w:val="en-US" w:eastAsia="zh-CN"/>
        </w:rPr>
        <w:t>组织市场部的</w:t>
      </w:r>
      <w:r>
        <w:rPr>
          <w:rFonts w:hint="eastAsia" w:ascii="宋体" w:hAnsi="宋体"/>
          <w:color w:val="000000"/>
          <w:sz w:val="24"/>
        </w:rPr>
        <w:t>人员开展对用户的走访调研工作，确定了不同</w:t>
      </w:r>
      <w:r>
        <w:rPr>
          <w:rFonts w:hint="eastAsia" w:hAnsi="宋体"/>
          <w:color w:val="000000"/>
          <w:sz w:val="24"/>
          <w:lang w:val="en-US" w:eastAsia="zh-CN"/>
        </w:rPr>
        <w:t>使用</w:t>
      </w:r>
      <w:r>
        <w:rPr>
          <w:rFonts w:hint="eastAsia" w:ascii="宋体" w:hAnsi="宋体"/>
          <w:color w:val="000000"/>
          <w:sz w:val="24"/>
        </w:rPr>
        <w:t>厂家对杂质元素的要求及杂质含量允许的范围，相关技术指标见表二:</w:t>
      </w:r>
    </w:p>
    <w:p w14:paraId="4A15B3B1">
      <w:pPr>
        <w:spacing w:line="360" w:lineRule="auto"/>
        <w:jc w:val="center"/>
        <w:rPr>
          <w:rFonts w:hint="eastAsia" w:ascii="黑体" w:hAnsi="黑体" w:eastAsia="黑体" w:cs="黑体"/>
          <w:kern w:val="0"/>
          <w:sz w:val="21"/>
          <w:szCs w:val="21"/>
          <w:lang w:eastAsia="zh-TW"/>
        </w:rPr>
      </w:pPr>
      <w:r>
        <w:rPr>
          <w:rFonts w:hint="eastAsia" w:ascii="黑体" w:hAnsi="黑体" w:eastAsia="黑体" w:cs="黑体"/>
          <w:kern w:val="0"/>
          <w:sz w:val="21"/>
          <w:szCs w:val="21"/>
          <w:lang w:eastAsia="zh-TW"/>
        </w:rPr>
        <w:t>表</w:t>
      </w:r>
      <w:r>
        <w:rPr>
          <w:rFonts w:hint="eastAsia" w:ascii="黑体" w:hAnsi="黑体" w:eastAsia="黑体" w:cs="黑体"/>
          <w:kern w:val="0"/>
          <w:sz w:val="21"/>
          <w:szCs w:val="21"/>
        </w:rPr>
        <w:t>二</w:t>
      </w:r>
      <w:r>
        <w:rPr>
          <w:rFonts w:hint="eastAsia" w:ascii="黑体" w:hAnsi="黑体" w:eastAsia="黑体" w:cs="黑体"/>
          <w:kern w:val="0"/>
          <w:sz w:val="21"/>
          <w:szCs w:val="21"/>
          <w:lang w:eastAsia="zh-TW"/>
        </w:rPr>
        <w:t xml:space="preserve"> 不同使用厂家技术要求</w:t>
      </w:r>
    </w:p>
    <w:tbl>
      <w:tblPr>
        <w:tblStyle w:val="8"/>
        <w:tblW w:w="47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294"/>
        <w:gridCol w:w="1300"/>
        <w:gridCol w:w="1416"/>
        <w:gridCol w:w="1422"/>
        <w:gridCol w:w="1383"/>
      </w:tblGrid>
      <w:tr w14:paraId="6E1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vMerge w:val="restart"/>
            <w:noWrap w:val="0"/>
            <w:vAlign w:val="center"/>
          </w:tcPr>
          <w:p w14:paraId="2D70BB26">
            <w:pPr>
              <w:jc w:val="center"/>
              <w:rPr>
                <w:rFonts w:eastAsia="等线"/>
                <w:kern w:val="0"/>
                <w:sz w:val="20"/>
              </w:rPr>
            </w:pPr>
          </w:p>
          <w:p w14:paraId="5B62173E">
            <w:pPr>
              <w:jc w:val="center"/>
              <w:rPr>
                <w:rFonts w:ascii="宋体" w:hAnsi="宋体"/>
                <w:color w:val="000000"/>
                <w:kern w:val="0"/>
                <w:sz w:val="24"/>
              </w:rPr>
            </w:pPr>
            <w:r>
              <w:rPr>
                <w:rFonts w:hint="eastAsia" w:eastAsia="PMingLiU"/>
                <w:kern w:val="0"/>
                <w:sz w:val="20"/>
                <w:lang w:eastAsia="zh-TW"/>
              </w:rPr>
              <w:t>指标项目</w:t>
            </w:r>
          </w:p>
        </w:tc>
        <w:tc>
          <w:tcPr>
            <w:tcW w:w="4198" w:type="pct"/>
            <w:gridSpan w:val="5"/>
            <w:noWrap w:val="0"/>
            <w:vAlign w:val="center"/>
          </w:tcPr>
          <w:p w14:paraId="626E9067">
            <w:pPr>
              <w:spacing w:line="360" w:lineRule="auto"/>
              <w:jc w:val="center"/>
              <w:rPr>
                <w:rFonts w:ascii="宋体" w:hAnsi="宋体"/>
                <w:color w:val="000000"/>
                <w:kern w:val="0"/>
                <w:sz w:val="24"/>
              </w:rPr>
            </w:pPr>
            <w:r>
              <w:rPr>
                <w:rFonts w:hint="eastAsia" w:eastAsia="PMingLiU"/>
                <w:kern w:val="0"/>
                <w:sz w:val="20"/>
                <w:lang w:eastAsia="zh-TW"/>
              </w:rPr>
              <w:t>技术指标</w:t>
            </w:r>
          </w:p>
        </w:tc>
      </w:tr>
      <w:tr w14:paraId="7871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vMerge w:val="continue"/>
            <w:noWrap w:val="0"/>
            <w:vAlign w:val="center"/>
          </w:tcPr>
          <w:p w14:paraId="496DDDD2">
            <w:pPr>
              <w:jc w:val="center"/>
              <w:rPr>
                <w:rFonts w:eastAsia="PMingLiU"/>
                <w:kern w:val="0"/>
                <w:sz w:val="20"/>
                <w:lang w:eastAsia="zh-TW"/>
              </w:rPr>
            </w:pPr>
          </w:p>
        </w:tc>
        <w:tc>
          <w:tcPr>
            <w:tcW w:w="797" w:type="pct"/>
            <w:noWrap w:val="0"/>
            <w:vAlign w:val="center"/>
          </w:tcPr>
          <w:p w14:paraId="2B4BC6BF">
            <w:pPr>
              <w:jc w:val="center"/>
              <w:rPr>
                <w:kern w:val="0"/>
                <w:sz w:val="20"/>
              </w:rPr>
            </w:pPr>
            <w:r>
              <w:rPr>
                <w:rFonts w:hint="eastAsia" w:ascii="等线" w:hAnsi="等线" w:eastAsia="等线"/>
                <w:kern w:val="0"/>
                <w:sz w:val="20"/>
              </w:rPr>
              <w:t>A用户</w:t>
            </w:r>
          </w:p>
        </w:tc>
        <w:tc>
          <w:tcPr>
            <w:tcW w:w="801" w:type="pct"/>
            <w:noWrap w:val="0"/>
            <w:vAlign w:val="center"/>
          </w:tcPr>
          <w:p w14:paraId="014288E9">
            <w:pPr>
              <w:jc w:val="center"/>
              <w:rPr>
                <w:kern w:val="0"/>
                <w:sz w:val="20"/>
              </w:rPr>
            </w:pPr>
            <w:r>
              <w:rPr>
                <w:rFonts w:hint="eastAsia" w:ascii="等线" w:hAnsi="等线" w:eastAsia="等线"/>
                <w:kern w:val="0"/>
                <w:sz w:val="20"/>
                <w:lang w:val="en-US" w:eastAsia="zh-CN"/>
              </w:rPr>
              <w:t>B</w:t>
            </w:r>
            <w:r>
              <w:rPr>
                <w:rFonts w:hint="eastAsia" w:ascii="等线" w:hAnsi="等线" w:eastAsia="等线"/>
                <w:kern w:val="0"/>
                <w:sz w:val="20"/>
              </w:rPr>
              <w:t>用户</w:t>
            </w:r>
          </w:p>
        </w:tc>
        <w:tc>
          <w:tcPr>
            <w:tcW w:w="872" w:type="pct"/>
            <w:noWrap w:val="0"/>
            <w:vAlign w:val="center"/>
          </w:tcPr>
          <w:p w14:paraId="0B0E2624">
            <w:pPr>
              <w:jc w:val="center"/>
              <w:rPr>
                <w:rFonts w:ascii="等线" w:hAnsi="等线" w:eastAsia="等线"/>
                <w:kern w:val="0"/>
                <w:sz w:val="20"/>
              </w:rPr>
            </w:pPr>
            <w:r>
              <w:rPr>
                <w:rFonts w:hint="eastAsia" w:ascii="等线" w:hAnsi="等线" w:eastAsia="等线"/>
                <w:kern w:val="0"/>
                <w:sz w:val="20"/>
                <w:lang w:val="en-US" w:eastAsia="zh-CN"/>
              </w:rPr>
              <w:t>C</w:t>
            </w:r>
            <w:r>
              <w:rPr>
                <w:rFonts w:hint="eastAsia" w:ascii="等线" w:hAnsi="等线" w:eastAsia="等线"/>
                <w:kern w:val="0"/>
                <w:sz w:val="20"/>
              </w:rPr>
              <w:t>用户</w:t>
            </w:r>
          </w:p>
        </w:tc>
        <w:tc>
          <w:tcPr>
            <w:tcW w:w="876" w:type="pct"/>
            <w:noWrap w:val="0"/>
            <w:vAlign w:val="center"/>
          </w:tcPr>
          <w:p w14:paraId="36556820">
            <w:pPr>
              <w:jc w:val="center"/>
              <w:rPr>
                <w:rFonts w:ascii="等线" w:hAnsi="等线" w:eastAsia="等线"/>
                <w:kern w:val="0"/>
                <w:sz w:val="20"/>
              </w:rPr>
            </w:pPr>
            <w:r>
              <w:rPr>
                <w:rFonts w:hint="eastAsia" w:ascii="等线" w:hAnsi="等线" w:eastAsia="等线"/>
                <w:kern w:val="0"/>
                <w:sz w:val="20"/>
              </w:rPr>
              <w:t>D用户</w:t>
            </w:r>
          </w:p>
        </w:tc>
        <w:tc>
          <w:tcPr>
            <w:tcW w:w="850" w:type="pct"/>
            <w:noWrap w:val="0"/>
            <w:vAlign w:val="center"/>
          </w:tcPr>
          <w:p w14:paraId="6097BDB6">
            <w:pPr>
              <w:jc w:val="center"/>
              <w:rPr>
                <w:rFonts w:ascii="等线" w:hAnsi="等线" w:eastAsia="等线"/>
                <w:kern w:val="0"/>
                <w:sz w:val="20"/>
              </w:rPr>
            </w:pPr>
            <w:r>
              <w:rPr>
                <w:rFonts w:hint="eastAsia" w:ascii="等线" w:hAnsi="等线" w:eastAsia="等线"/>
                <w:kern w:val="0"/>
                <w:sz w:val="20"/>
              </w:rPr>
              <w:t>E用户</w:t>
            </w:r>
          </w:p>
        </w:tc>
      </w:tr>
      <w:tr w14:paraId="5B37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01" w:type="pct"/>
            <w:noWrap w:val="0"/>
            <w:vAlign w:val="center"/>
          </w:tcPr>
          <w:p w14:paraId="579C5BFF">
            <w:pPr>
              <w:jc w:val="center"/>
              <w:rPr>
                <w:rFonts w:hint="default" w:eastAsia="宋体"/>
                <w:kern w:val="0"/>
                <w:sz w:val="18"/>
                <w:szCs w:val="18"/>
                <w:lang w:val="en-US" w:eastAsia="zh-CN"/>
              </w:rPr>
            </w:pPr>
            <w:r>
              <w:rPr>
                <w:rFonts w:hint="eastAsia"/>
                <w:kern w:val="0"/>
                <w:sz w:val="18"/>
                <w:szCs w:val="18"/>
                <w:lang w:val="en-US" w:eastAsia="zh-CN"/>
              </w:rPr>
              <w:t>Rh</w:t>
            </w:r>
          </w:p>
        </w:tc>
        <w:tc>
          <w:tcPr>
            <w:tcW w:w="797" w:type="pct"/>
            <w:noWrap w:val="0"/>
            <w:vAlign w:val="center"/>
          </w:tcPr>
          <w:p w14:paraId="1E61562D">
            <w:pPr>
              <w:tabs>
                <w:tab w:val="left" w:pos="465"/>
                <w:tab w:val="center" w:pos="882"/>
              </w:tabs>
              <w:jc w:val="center"/>
              <w:rPr>
                <w:kern w:val="0"/>
                <w:sz w:val="18"/>
                <w:szCs w:val="18"/>
              </w:rPr>
            </w:pPr>
            <w:r>
              <w:rPr>
                <w:rFonts w:hint="eastAsia" w:ascii="宋体" w:hAnsi="宋体"/>
                <w:kern w:val="0"/>
                <w:sz w:val="18"/>
                <w:szCs w:val="18"/>
                <w:lang w:val="en-US" w:eastAsia="zh-CN"/>
              </w:rPr>
              <w:t>25-27</w:t>
            </w:r>
            <w:r>
              <w:rPr>
                <w:rFonts w:hint="eastAsia" w:ascii="宋体" w:hAnsi="宋体"/>
                <w:kern w:val="0"/>
                <w:sz w:val="18"/>
                <w:szCs w:val="18"/>
              </w:rPr>
              <w:t>%</w:t>
            </w:r>
          </w:p>
          <w:p w14:paraId="7BE0DD75">
            <w:pPr>
              <w:tabs>
                <w:tab w:val="left" w:pos="465"/>
                <w:tab w:val="center" w:pos="882"/>
              </w:tabs>
              <w:jc w:val="center"/>
              <w:rPr>
                <w:kern w:val="0"/>
                <w:sz w:val="18"/>
                <w:szCs w:val="18"/>
              </w:rPr>
            </w:pPr>
            <w:r>
              <w:rPr>
                <w:rFonts w:hint="eastAsia"/>
                <w:kern w:val="0"/>
                <w:sz w:val="18"/>
                <w:szCs w:val="18"/>
              </w:rPr>
              <w:t>Wt%</w:t>
            </w:r>
          </w:p>
        </w:tc>
        <w:tc>
          <w:tcPr>
            <w:tcW w:w="801" w:type="pct"/>
            <w:noWrap w:val="0"/>
            <w:vAlign w:val="center"/>
          </w:tcPr>
          <w:p w14:paraId="41EFDCF6">
            <w:pPr>
              <w:tabs>
                <w:tab w:val="left" w:pos="465"/>
                <w:tab w:val="center" w:pos="882"/>
              </w:tabs>
              <w:jc w:val="center"/>
              <w:rPr>
                <w:kern w:val="0"/>
                <w:sz w:val="18"/>
                <w:szCs w:val="18"/>
              </w:rPr>
            </w:pPr>
            <w:r>
              <w:rPr>
                <w:rFonts w:hint="eastAsia" w:ascii="宋体" w:hAnsi="宋体"/>
                <w:kern w:val="0"/>
                <w:sz w:val="18"/>
                <w:szCs w:val="18"/>
                <w:lang w:val="en-US" w:eastAsia="zh-CN"/>
              </w:rPr>
              <w:t>26</w:t>
            </w:r>
            <w:r>
              <w:rPr>
                <w:rFonts w:hint="eastAsia" w:ascii="宋体" w:hAnsi="宋体"/>
                <w:kern w:val="0"/>
                <w:sz w:val="18"/>
                <w:szCs w:val="18"/>
              </w:rPr>
              <w:t>%±</w:t>
            </w:r>
            <w:r>
              <w:rPr>
                <w:rFonts w:hint="eastAsia" w:ascii="宋体" w:hAnsi="宋体"/>
                <w:kern w:val="0"/>
                <w:sz w:val="18"/>
                <w:szCs w:val="18"/>
                <w:lang w:val="en-US" w:eastAsia="zh-CN"/>
              </w:rPr>
              <w:t>0.5</w:t>
            </w:r>
            <w:r>
              <w:rPr>
                <w:rFonts w:hint="eastAsia"/>
                <w:color w:val="000000"/>
                <w:kern w:val="0"/>
                <w:sz w:val="18"/>
                <w:szCs w:val="18"/>
                <w:lang w:val="en-US" w:eastAsia="zh-CN"/>
              </w:rPr>
              <w:t>%</w:t>
            </w:r>
          </w:p>
          <w:p w14:paraId="4CCB4CD1">
            <w:pPr>
              <w:tabs>
                <w:tab w:val="left" w:pos="465"/>
                <w:tab w:val="center" w:pos="882"/>
              </w:tabs>
              <w:jc w:val="center"/>
              <w:rPr>
                <w:kern w:val="0"/>
                <w:sz w:val="18"/>
                <w:szCs w:val="18"/>
              </w:rPr>
            </w:pPr>
            <w:r>
              <w:rPr>
                <w:rFonts w:hint="eastAsia"/>
                <w:kern w:val="0"/>
                <w:sz w:val="18"/>
                <w:szCs w:val="18"/>
              </w:rPr>
              <w:t>Wt%</w:t>
            </w:r>
          </w:p>
        </w:tc>
        <w:tc>
          <w:tcPr>
            <w:tcW w:w="872" w:type="pct"/>
            <w:noWrap w:val="0"/>
            <w:vAlign w:val="center"/>
          </w:tcPr>
          <w:p w14:paraId="271C7523">
            <w:pPr>
              <w:tabs>
                <w:tab w:val="left" w:pos="465"/>
                <w:tab w:val="center" w:pos="882"/>
              </w:tabs>
              <w:jc w:val="center"/>
              <w:rPr>
                <w:kern w:val="0"/>
                <w:sz w:val="18"/>
                <w:szCs w:val="18"/>
              </w:rPr>
            </w:pPr>
            <w:r>
              <w:rPr>
                <w:rFonts w:hint="eastAsia" w:ascii="宋体" w:hAnsi="宋体"/>
                <w:kern w:val="0"/>
                <w:sz w:val="18"/>
                <w:szCs w:val="18"/>
                <w:lang w:val="en-US" w:eastAsia="zh-CN"/>
              </w:rPr>
              <w:t>26-26.5</w:t>
            </w:r>
            <w:r>
              <w:rPr>
                <w:rFonts w:hint="eastAsia" w:ascii="宋体" w:hAnsi="宋体"/>
                <w:kern w:val="0"/>
                <w:sz w:val="18"/>
                <w:szCs w:val="18"/>
              </w:rPr>
              <w:t>%</w:t>
            </w:r>
          </w:p>
          <w:p w14:paraId="1953A98C">
            <w:pPr>
              <w:tabs>
                <w:tab w:val="left" w:pos="465"/>
                <w:tab w:val="center" w:pos="882"/>
              </w:tabs>
              <w:jc w:val="center"/>
              <w:rPr>
                <w:kern w:val="0"/>
                <w:sz w:val="18"/>
                <w:szCs w:val="18"/>
              </w:rPr>
            </w:pPr>
            <w:r>
              <w:rPr>
                <w:rFonts w:hint="eastAsia"/>
                <w:kern w:val="0"/>
                <w:sz w:val="18"/>
                <w:szCs w:val="18"/>
              </w:rPr>
              <w:t>Wt%</w:t>
            </w:r>
          </w:p>
        </w:tc>
        <w:tc>
          <w:tcPr>
            <w:tcW w:w="876" w:type="pct"/>
            <w:noWrap w:val="0"/>
            <w:vAlign w:val="center"/>
          </w:tcPr>
          <w:p w14:paraId="3BE9BEFA">
            <w:pPr>
              <w:tabs>
                <w:tab w:val="left" w:pos="465"/>
                <w:tab w:val="center" w:pos="882"/>
              </w:tabs>
              <w:jc w:val="center"/>
              <w:rPr>
                <w:kern w:val="0"/>
                <w:sz w:val="18"/>
                <w:szCs w:val="18"/>
              </w:rPr>
            </w:pPr>
            <w:r>
              <w:rPr>
                <w:rFonts w:hint="eastAsia"/>
                <w:color w:val="000000"/>
                <w:kern w:val="0"/>
                <w:sz w:val="18"/>
                <w:szCs w:val="18"/>
                <w:lang w:val="en-US" w:eastAsia="zh-CN"/>
              </w:rPr>
              <w:t>＞26%</w:t>
            </w:r>
          </w:p>
          <w:p w14:paraId="05AF3B94">
            <w:pPr>
              <w:tabs>
                <w:tab w:val="left" w:pos="465"/>
                <w:tab w:val="center" w:pos="882"/>
              </w:tabs>
              <w:jc w:val="center"/>
              <w:rPr>
                <w:kern w:val="0"/>
                <w:sz w:val="18"/>
                <w:szCs w:val="18"/>
              </w:rPr>
            </w:pPr>
            <w:r>
              <w:rPr>
                <w:rFonts w:hint="eastAsia"/>
                <w:kern w:val="0"/>
                <w:sz w:val="18"/>
                <w:szCs w:val="18"/>
              </w:rPr>
              <w:t>Wt%</w:t>
            </w:r>
          </w:p>
        </w:tc>
        <w:tc>
          <w:tcPr>
            <w:tcW w:w="850" w:type="pct"/>
            <w:noWrap w:val="0"/>
            <w:vAlign w:val="center"/>
          </w:tcPr>
          <w:p w14:paraId="29F0CAB5">
            <w:pPr>
              <w:tabs>
                <w:tab w:val="left" w:pos="465"/>
                <w:tab w:val="center" w:pos="882"/>
              </w:tabs>
              <w:jc w:val="center"/>
              <w:rPr>
                <w:kern w:val="0"/>
                <w:sz w:val="18"/>
                <w:szCs w:val="18"/>
              </w:rPr>
            </w:pPr>
            <w:r>
              <w:rPr>
                <w:rFonts w:hint="eastAsia" w:ascii="宋体" w:hAnsi="宋体"/>
                <w:kern w:val="0"/>
                <w:sz w:val="18"/>
                <w:szCs w:val="18"/>
                <w:lang w:val="en-US" w:eastAsia="zh-CN"/>
              </w:rPr>
              <w:t>＞26.3</w:t>
            </w:r>
            <w:r>
              <w:rPr>
                <w:rFonts w:hint="eastAsia" w:ascii="宋体" w:hAnsi="宋体"/>
                <w:kern w:val="0"/>
                <w:sz w:val="18"/>
                <w:szCs w:val="18"/>
              </w:rPr>
              <w:t>%</w:t>
            </w:r>
          </w:p>
          <w:p w14:paraId="381BF6CE">
            <w:pPr>
              <w:tabs>
                <w:tab w:val="left" w:pos="465"/>
                <w:tab w:val="center" w:pos="882"/>
              </w:tabs>
              <w:jc w:val="center"/>
              <w:rPr>
                <w:rFonts w:hint="default" w:ascii="Times New Roman" w:hAnsi="Times New Roman" w:eastAsia="宋体" w:cs="Times New Roman"/>
                <w:kern w:val="0"/>
                <w:sz w:val="18"/>
                <w:szCs w:val="18"/>
                <w:lang w:val="en-US" w:eastAsia="zh-CN" w:bidi="ar-SA"/>
              </w:rPr>
            </w:pPr>
            <w:r>
              <w:rPr>
                <w:rFonts w:hint="eastAsia"/>
                <w:kern w:val="0"/>
                <w:sz w:val="18"/>
                <w:szCs w:val="18"/>
              </w:rPr>
              <w:t>Wt%</w:t>
            </w:r>
          </w:p>
        </w:tc>
      </w:tr>
      <w:tr w14:paraId="7756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48781DFA">
            <w:pPr>
              <w:jc w:val="center"/>
              <w:rPr>
                <w:kern w:val="0"/>
                <w:sz w:val="18"/>
                <w:szCs w:val="18"/>
              </w:rPr>
            </w:pPr>
            <w:r>
              <w:rPr>
                <w:sz w:val="18"/>
              </w:rPr>
              <w:t>Pb</w:t>
            </w:r>
          </w:p>
        </w:tc>
        <w:tc>
          <w:tcPr>
            <w:tcW w:w="797" w:type="pct"/>
            <w:noWrap w:val="0"/>
            <w:vAlign w:val="center"/>
          </w:tcPr>
          <w:p w14:paraId="101CDB18">
            <w:pPr>
              <w:jc w:val="center"/>
              <w:rPr>
                <w:color w:val="000000"/>
                <w:kern w:val="0"/>
                <w:sz w:val="18"/>
                <w:szCs w:val="18"/>
              </w:rPr>
            </w:pPr>
            <w:r>
              <w:rPr>
                <w:rFonts w:hint="eastAsia"/>
                <w:color w:val="000000"/>
                <w:kern w:val="0"/>
                <w:sz w:val="18"/>
                <w:szCs w:val="18"/>
              </w:rPr>
              <w:t>&lt;0.005%    Wt%</w:t>
            </w:r>
          </w:p>
        </w:tc>
        <w:tc>
          <w:tcPr>
            <w:tcW w:w="801" w:type="pct"/>
            <w:noWrap w:val="0"/>
            <w:vAlign w:val="center"/>
          </w:tcPr>
          <w:p w14:paraId="32A23BBD">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p>
        </w:tc>
        <w:tc>
          <w:tcPr>
            <w:tcW w:w="872" w:type="pct"/>
            <w:noWrap w:val="0"/>
            <w:vAlign w:val="center"/>
          </w:tcPr>
          <w:p w14:paraId="5C9C79BA">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p>
        </w:tc>
        <w:tc>
          <w:tcPr>
            <w:tcW w:w="876" w:type="pct"/>
            <w:noWrap w:val="0"/>
            <w:vAlign w:val="center"/>
          </w:tcPr>
          <w:p w14:paraId="5C01E58E">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5</w:t>
            </w:r>
            <w:r>
              <w:rPr>
                <w:rFonts w:hint="eastAsia"/>
                <w:color w:val="000000"/>
                <w:kern w:val="0"/>
                <w:sz w:val="18"/>
                <w:szCs w:val="18"/>
              </w:rPr>
              <w:t>%    Wt%</w:t>
            </w:r>
          </w:p>
        </w:tc>
        <w:tc>
          <w:tcPr>
            <w:tcW w:w="850" w:type="pct"/>
            <w:noWrap w:val="0"/>
            <w:vAlign w:val="center"/>
          </w:tcPr>
          <w:p w14:paraId="69BCBDA1">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5</w:t>
            </w:r>
            <w:r>
              <w:rPr>
                <w:rFonts w:hint="eastAsia"/>
                <w:color w:val="000000"/>
                <w:kern w:val="0"/>
                <w:sz w:val="18"/>
                <w:szCs w:val="18"/>
              </w:rPr>
              <w:t>%    Wt%</w:t>
            </w:r>
          </w:p>
        </w:tc>
      </w:tr>
      <w:tr w14:paraId="79E6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546C92CF">
            <w:pPr>
              <w:jc w:val="center"/>
              <w:rPr>
                <w:kern w:val="0"/>
                <w:sz w:val="18"/>
                <w:szCs w:val="18"/>
              </w:rPr>
            </w:pPr>
            <w:r>
              <w:rPr>
                <w:sz w:val="18"/>
              </w:rPr>
              <w:t>Cu</w:t>
            </w:r>
          </w:p>
        </w:tc>
        <w:tc>
          <w:tcPr>
            <w:tcW w:w="797" w:type="pct"/>
            <w:noWrap w:val="0"/>
            <w:vAlign w:val="center"/>
          </w:tcPr>
          <w:p w14:paraId="63BF7044">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01" w:type="pct"/>
            <w:noWrap w:val="0"/>
            <w:vAlign w:val="center"/>
          </w:tcPr>
          <w:p w14:paraId="282BCB56">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p>
        </w:tc>
        <w:tc>
          <w:tcPr>
            <w:tcW w:w="872" w:type="pct"/>
            <w:noWrap w:val="0"/>
            <w:vAlign w:val="center"/>
          </w:tcPr>
          <w:p w14:paraId="1B05FDD5">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p>
        </w:tc>
        <w:tc>
          <w:tcPr>
            <w:tcW w:w="876" w:type="pct"/>
            <w:noWrap w:val="0"/>
            <w:vAlign w:val="center"/>
          </w:tcPr>
          <w:p w14:paraId="1D535A3A">
            <w:pPr>
              <w:jc w:val="center"/>
              <w:rPr>
                <w:color w:val="000000"/>
                <w:kern w:val="0"/>
                <w:sz w:val="18"/>
                <w:szCs w:val="18"/>
              </w:rPr>
            </w:pPr>
            <w:r>
              <w:rPr>
                <w:rFonts w:hint="eastAsia"/>
                <w:color w:val="000000"/>
                <w:kern w:val="0"/>
                <w:sz w:val="18"/>
                <w:szCs w:val="18"/>
              </w:rPr>
              <w:t>&lt;0.005%    Wt%</w:t>
            </w:r>
          </w:p>
        </w:tc>
        <w:tc>
          <w:tcPr>
            <w:tcW w:w="850" w:type="pct"/>
            <w:noWrap w:val="0"/>
            <w:vAlign w:val="center"/>
          </w:tcPr>
          <w:p w14:paraId="4B24E976">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lang w:val="en-US" w:eastAsia="zh-CN"/>
              </w:rPr>
              <w:t>5</w:t>
            </w:r>
            <w:r>
              <w:rPr>
                <w:rFonts w:hint="eastAsia"/>
                <w:color w:val="000000"/>
                <w:kern w:val="0"/>
                <w:sz w:val="18"/>
                <w:szCs w:val="18"/>
              </w:rPr>
              <w:t>%    Wt%</w:t>
            </w:r>
          </w:p>
        </w:tc>
      </w:tr>
      <w:tr w14:paraId="7765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0D16AEE6">
            <w:pPr>
              <w:jc w:val="center"/>
              <w:rPr>
                <w:rFonts w:hint="eastAsia" w:eastAsia="宋体"/>
                <w:kern w:val="0"/>
                <w:sz w:val="18"/>
                <w:szCs w:val="18"/>
                <w:lang w:val="en-US" w:eastAsia="zh-CN"/>
              </w:rPr>
            </w:pPr>
            <w:r>
              <w:rPr>
                <w:sz w:val="18"/>
              </w:rPr>
              <w:t>Fe</w:t>
            </w:r>
          </w:p>
        </w:tc>
        <w:tc>
          <w:tcPr>
            <w:tcW w:w="797" w:type="pct"/>
            <w:noWrap w:val="0"/>
            <w:vAlign w:val="center"/>
          </w:tcPr>
          <w:p w14:paraId="1DE52347">
            <w:pPr>
              <w:jc w:val="center"/>
              <w:rPr>
                <w:rFonts w:hint="eastAsia" w:eastAsia="宋体"/>
                <w:color w:val="000000"/>
                <w:kern w:val="0"/>
                <w:sz w:val="18"/>
                <w:szCs w:val="18"/>
                <w:lang w:eastAsia="zh-CN"/>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01" w:type="pct"/>
            <w:noWrap w:val="0"/>
            <w:vAlign w:val="center"/>
          </w:tcPr>
          <w:p w14:paraId="44823379">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03</w:t>
            </w:r>
            <w:r>
              <w:rPr>
                <w:rFonts w:hint="eastAsia"/>
                <w:color w:val="000000"/>
                <w:kern w:val="0"/>
                <w:sz w:val="18"/>
                <w:szCs w:val="18"/>
              </w:rPr>
              <w:t>%    Wt%</w:t>
            </w:r>
          </w:p>
        </w:tc>
        <w:tc>
          <w:tcPr>
            <w:tcW w:w="872" w:type="pct"/>
            <w:noWrap w:val="0"/>
            <w:vAlign w:val="center"/>
          </w:tcPr>
          <w:p w14:paraId="4C99DBB1">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p>
        </w:tc>
        <w:tc>
          <w:tcPr>
            <w:tcW w:w="876" w:type="pct"/>
            <w:noWrap w:val="0"/>
            <w:vAlign w:val="center"/>
          </w:tcPr>
          <w:p w14:paraId="4D945A2E">
            <w:pPr>
              <w:jc w:val="center"/>
              <w:rPr>
                <w:color w:val="000000"/>
                <w:kern w:val="0"/>
                <w:sz w:val="18"/>
                <w:szCs w:val="18"/>
              </w:rPr>
            </w:pPr>
            <w:r>
              <w:rPr>
                <w:rFonts w:hint="eastAsia"/>
                <w:color w:val="000000"/>
                <w:kern w:val="0"/>
                <w:sz w:val="18"/>
                <w:szCs w:val="18"/>
              </w:rPr>
              <w:t xml:space="preserve">&lt;0.005%   </w:t>
            </w:r>
          </w:p>
          <w:p w14:paraId="78803152">
            <w:pPr>
              <w:jc w:val="center"/>
              <w:rPr>
                <w:color w:val="000000"/>
                <w:kern w:val="0"/>
                <w:sz w:val="18"/>
                <w:szCs w:val="18"/>
              </w:rPr>
            </w:pPr>
            <w:r>
              <w:rPr>
                <w:rFonts w:hint="eastAsia"/>
                <w:color w:val="000000"/>
                <w:kern w:val="0"/>
                <w:sz w:val="18"/>
                <w:szCs w:val="18"/>
              </w:rPr>
              <w:t xml:space="preserve"> Wt%</w:t>
            </w:r>
          </w:p>
        </w:tc>
        <w:tc>
          <w:tcPr>
            <w:tcW w:w="850" w:type="pct"/>
            <w:noWrap w:val="0"/>
            <w:vAlign w:val="center"/>
          </w:tcPr>
          <w:p w14:paraId="5B8090D3">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lang w:val="en-US" w:eastAsia="zh-CN"/>
              </w:rPr>
              <w:t>5</w:t>
            </w:r>
            <w:r>
              <w:rPr>
                <w:rFonts w:hint="eastAsia"/>
                <w:color w:val="000000"/>
                <w:kern w:val="0"/>
                <w:sz w:val="18"/>
                <w:szCs w:val="18"/>
              </w:rPr>
              <w:t>%    Wt%</w:t>
            </w:r>
          </w:p>
        </w:tc>
      </w:tr>
      <w:tr w14:paraId="1E95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39EBA84F">
            <w:pPr>
              <w:jc w:val="center"/>
              <w:rPr>
                <w:kern w:val="0"/>
                <w:sz w:val="18"/>
                <w:szCs w:val="18"/>
              </w:rPr>
            </w:pPr>
            <w:r>
              <w:rPr>
                <w:rFonts w:hint="eastAsia"/>
                <w:sz w:val="18"/>
              </w:rPr>
              <w:t>Zn</w:t>
            </w:r>
          </w:p>
        </w:tc>
        <w:tc>
          <w:tcPr>
            <w:tcW w:w="797" w:type="pct"/>
            <w:noWrap w:val="0"/>
            <w:vAlign w:val="center"/>
          </w:tcPr>
          <w:p w14:paraId="50E38997">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01" w:type="pct"/>
            <w:noWrap w:val="0"/>
            <w:vAlign w:val="center"/>
          </w:tcPr>
          <w:p w14:paraId="0904D45A">
            <w:pPr>
              <w:jc w:val="center"/>
              <w:rPr>
                <w:rFonts w:ascii="Times New Roman" w:hAnsi="Times New Roman" w:eastAsia="宋体" w:cs="Times New Roman"/>
                <w:color w:val="000000"/>
                <w:kern w:val="0"/>
                <w:sz w:val="18"/>
                <w:szCs w:val="18"/>
                <w:lang w:val="en-US" w:eastAsia="zh-CN" w:bidi="ar-SA"/>
              </w:rPr>
            </w:pPr>
            <w:r>
              <w:rPr>
                <w:rFonts w:hint="eastAsia"/>
                <w:color w:val="000000"/>
                <w:kern w:val="0"/>
                <w:sz w:val="18"/>
                <w:szCs w:val="18"/>
              </w:rPr>
              <w:t>&lt;0.0</w:t>
            </w:r>
            <w:r>
              <w:rPr>
                <w:rFonts w:hint="eastAsia"/>
                <w:color w:val="000000"/>
                <w:kern w:val="0"/>
                <w:sz w:val="18"/>
                <w:szCs w:val="18"/>
                <w:lang w:val="en-US" w:eastAsia="zh-CN"/>
              </w:rPr>
              <w:t>02</w:t>
            </w:r>
            <w:r>
              <w:rPr>
                <w:rFonts w:hint="eastAsia"/>
                <w:color w:val="000000"/>
                <w:kern w:val="0"/>
                <w:sz w:val="18"/>
                <w:szCs w:val="18"/>
              </w:rPr>
              <w:t>%    Wt%</w:t>
            </w:r>
          </w:p>
        </w:tc>
        <w:tc>
          <w:tcPr>
            <w:tcW w:w="872" w:type="pct"/>
            <w:noWrap w:val="0"/>
            <w:vAlign w:val="center"/>
          </w:tcPr>
          <w:p w14:paraId="63B66C88">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p>
        </w:tc>
        <w:tc>
          <w:tcPr>
            <w:tcW w:w="876" w:type="pct"/>
            <w:noWrap w:val="0"/>
            <w:vAlign w:val="center"/>
          </w:tcPr>
          <w:p w14:paraId="07780DDB">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01</w:t>
            </w:r>
            <w:r>
              <w:rPr>
                <w:rFonts w:hint="eastAsia"/>
                <w:color w:val="000000"/>
                <w:kern w:val="0"/>
                <w:sz w:val="18"/>
                <w:szCs w:val="18"/>
              </w:rPr>
              <w:t>%    Wt%</w:t>
            </w:r>
          </w:p>
        </w:tc>
        <w:tc>
          <w:tcPr>
            <w:tcW w:w="850" w:type="pct"/>
            <w:noWrap w:val="0"/>
            <w:vAlign w:val="center"/>
          </w:tcPr>
          <w:p w14:paraId="48A23079">
            <w:pPr>
              <w:jc w:val="center"/>
              <w:rPr>
                <w:color w:val="000000"/>
                <w:kern w:val="0"/>
                <w:sz w:val="18"/>
                <w:szCs w:val="18"/>
              </w:rPr>
            </w:pPr>
            <w:r>
              <w:rPr>
                <w:rFonts w:hint="eastAsia"/>
                <w:color w:val="000000"/>
                <w:kern w:val="0"/>
                <w:sz w:val="18"/>
                <w:szCs w:val="18"/>
              </w:rPr>
              <w:t>&lt;0.0</w:t>
            </w:r>
            <w:r>
              <w:rPr>
                <w:color w:val="000000"/>
                <w:kern w:val="0"/>
                <w:sz w:val="18"/>
                <w:szCs w:val="18"/>
              </w:rPr>
              <w:t>0</w:t>
            </w:r>
            <w:r>
              <w:rPr>
                <w:rFonts w:hint="eastAsia"/>
                <w:color w:val="000000"/>
                <w:kern w:val="0"/>
                <w:sz w:val="18"/>
                <w:szCs w:val="18"/>
                <w:lang w:val="en-US" w:eastAsia="zh-CN"/>
              </w:rPr>
              <w:t>5</w:t>
            </w:r>
            <w:r>
              <w:rPr>
                <w:rFonts w:hint="eastAsia"/>
                <w:color w:val="000000"/>
                <w:kern w:val="0"/>
                <w:sz w:val="18"/>
                <w:szCs w:val="18"/>
              </w:rPr>
              <w:t>%    Wt%</w:t>
            </w:r>
          </w:p>
        </w:tc>
      </w:tr>
      <w:tr w14:paraId="3957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7AEFB751">
            <w:pPr>
              <w:jc w:val="center"/>
              <w:rPr>
                <w:kern w:val="0"/>
                <w:sz w:val="18"/>
                <w:szCs w:val="18"/>
              </w:rPr>
            </w:pPr>
            <w:r>
              <w:rPr>
                <w:rFonts w:hint="eastAsia"/>
                <w:sz w:val="18"/>
              </w:rPr>
              <w:t>Ni</w:t>
            </w:r>
          </w:p>
        </w:tc>
        <w:tc>
          <w:tcPr>
            <w:tcW w:w="797" w:type="pct"/>
            <w:noWrap w:val="0"/>
            <w:vAlign w:val="center"/>
          </w:tcPr>
          <w:p w14:paraId="35E8B4C6">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01" w:type="pct"/>
            <w:noWrap w:val="0"/>
            <w:vAlign w:val="center"/>
          </w:tcPr>
          <w:p w14:paraId="3A7E7748">
            <w:pPr>
              <w:jc w:val="center"/>
              <w:rPr>
                <w:rFonts w:ascii="Times New Roman" w:hAnsi="Times New Roman" w:eastAsia="宋体" w:cs="Times New Roman"/>
                <w:color w:val="000000"/>
                <w:kern w:val="0"/>
                <w:sz w:val="18"/>
                <w:szCs w:val="18"/>
                <w:lang w:val="en-US" w:eastAsia="zh-CN" w:bidi="ar-SA"/>
              </w:rPr>
            </w:pPr>
            <w:r>
              <w:rPr>
                <w:rFonts w:hint="eastAsia"/>
                <w:color w:val="000000"/>
                <w:kern w:val="0"/>
                <w:sz w:val="18"/>
                <w:szCs w:val="18"/>
              </w:rPr>
              <w:t>&lt;0.0</w:t>
            </w:r>
            <w:r>
              <w:rPr>
                <w:rFonts w:hint="eastAsia"/>
                <w:color w:val="000000"/>
                <w:kern w:val="0"/>
                <w:sz w:val="18"/>
                <w:szCs w:val="18"/>
                <w:lang w:val="en-US" w:eastAsia="zh-CN"/>
              </w:rPr>
              <w:t>02</w:t>
            </w:r>
            <w:r>
              <w:rPr>
                <w:rFonts w:hint="eastAsia"/>
                <w:color w:val="000000"/>
                <w:kern w:val="0"/>
                <w:sz w:val="18"/>
                <w:szCs w:val="18"/>
              </w:rPr>
              <w:t>%    Wt%</w:t>
            </w:r>
          </w:p>
        </w:tc>
        <w:tc>
          <w:tcPr>
            <w:tcW w:w="872" w:type="pct"/>
            <w:noWrap w:val="0"/>
            <w:vAlign w:val="center"/>
          </w:tcPr>
          <w:p w14:paraId="6197E4EE">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05</w:t>
            </w:r>
            <w:r>
              <w:rPr>
                <w:rFonts w:hint="eastAsia"/>
                <w:color w:val="000000"/>
                <w:kern w:val="0"/>
                <w:sz w:val="18"/>
                <w:szCs w:val="18"/>
              </w:rPr>
              <w:t>%    Wt%</w:t>
            </w:r>
          </w:p>
        </w:tc>
        <w:tc>
          <w:tcPr>
            <w:tcW w:w="876" w:type="pct"/>
            <w:noWrap w:val="0"/>
            <w:vAlign w:val="center"/>
          </w:tcPr>
          <w:p w14:paraId="7E3D1824">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01</w:t>
            </w:r>
            <w:r>
              <w:rPr>
                <w:rFonts w:hint="eastAsia"/>
                <w:color w:val="000000"/>
                <w:kern w:val="0"/>
                <w:sz w:val="18"/>
                <w:szCs w:val="18"/>
              </w:rPr>
              <w:t>%    Wt%</w:t>
            </w:r>
          </w:p>
        </w:tc>
        <w:tc>
          <w:tcPr>
            <w:tcW w:w="850" w:type="pct"/>
            <w:noWrap w:val="0"/>
            <w:vAlign w:val="center"/>
          </w:tcPr>
          <w:p w14:paraId="67E9399E">
            <w:pPr>
              <w:jc w:val="center"/>
              <w:rPr>
                <w:color w:val="000000"/>
                <w:kern w:val="0"/>
                <w:sz w:val="18"/>
                <w:szCs w:val="18"/>
              </w:rPr>
            </w:pPr>
            <w:r>
              <w:rPr>
                <w:rFonts w:hint="eastAsia"/>
                <w:color w:val="000000"/>
                <w:kern w:val="0"/>
                <w:sz w:val="18"/>
                <w:szCs w:val="18"/>
              </w:rPr>
              <w:t xml:space="preserve">&lt;0.005%   </w:t>
            </w:r>
          </w:p>
          <w:p w14:paraId="6172270B">
            <w:pPr>
              <w:jc w:val="center"/>
              <w:rPr>
                <w:color w:val="000000"/>
                <w:kern w:val="0"/>
                <w:sz w:val="18"/>
                <w:szCs w:val="18"/>
              </w:rPr>
            </w:pPr>
            <w:r>
              <w:rPr>
                <w:rFonts w:hint="eastAsia"/>
                <w:color w:val="000000"/>
                <w:kern w:val="0"/>
                <w:sz w:val="18"/>
                <w:szCs w:val="18"/>
              </w:rPr>
              <w:t xml:space="preserve"> Wt%</w:t>
            </w:r>
          </w:p>
        </w:tc>
      </w:tr>
      <w:tr w14:paraId="52CD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76430EC2">
            <w:pPr>
              <w:jc w:val="center"/>
              <w:rPr>
                <w:kern w:val="0"/>
                <w:sz w:val="18"/>
                <w:szCs w:val="18"/>
              </w:rPr>
            </w:pPr>
            <w:r>
              <w:rPr>
                <w:rFonts w:hint="eastAsia"/>
                <w:sz w:val="18"/>
              </w:rPr>
              <w:t>Al</w:t>
            </w:r>
          </w:p>
        </w:tc>
        <w:tc>
          <w:tcPr>
            <w:tcW w:w="797" w:type="pct"/>
            <w:noWrap w:val="0"/>
            <w:vAlign w:val="center"/>
          </w:tcPr>
          <w:p w14:paraId="697CC251">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01" w:type="pct"/>
            <w:noWrap w:val="0"/>
            <w:vAlign w:val="center"/>
          </w:tcPr>
          <w:p w14:paraId="3EE34850">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w:t>
            </w:r>
            <w:r>
              <w:rPr>
                <w:color w:val="000000"/>
                <w:kern w:val="0"/>
                <w:sz w:val="18"/>
                <w:szCs w:val="18"/>
              </w:rPr>
              <w:t>1</w:t>
            </w:r>
            <w:r>
              <w:rPr>
                <w:rFonts w:hint="eastAsia"/>
                <w:color w:val="000000"/>
                <w:kern w:val="0"/>
                <w:sz w:val="18"/>
                <w:szCs w:val="18"/>
              </w:rPr>
              <w:t>%    Wt%</w:t>
            </w:r>
          </w:p>
        </w:tc>
        <w:tc>
          <w:tcPr>
            <w:tcW w:w="872" w:type="pct"/>
            <w:noWrap w:val="0"/>
            <w:vAlign w:val="center"/>
          </w:tcPr>
          <w:p w14:paraId="0ECD9AD5">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01</w:t>
            </w:r>
            <w:r>
              <w:rPr>
                <w:rFonts w:hint="eastAsia"/>
                <w:color w:val="000000"/>
                <w:kern w:val="0"/>
                <w:sz w:val="18"/>
                <w:szCs w:val="18"/>
              </w:rPr>
              <w:t>%    Wt%</w:t>
            </w:r>
          </w:p>
        </w:tc>
        <w:tc>
          <w:tcPr>
            <w:tcW w:w="876" w:type="pct"/>
            <w:noWrap w:val="0"/>
            <w:vAlign w:val="center"/>
          </w:tcPr>
          <w:p w14:paraId="51E49FF9">
            <w:pPr>
              <w:jc w:val="center"/>
              <w:rPr>
                <w:color w:val="000000"/>
                <w:kern w:val="0"/>
                <w:sz w:val="18"/>
                <w:szCs w:val="18"/>
              </w:rPr>
            </w:pPr>
            <w:r>
              <w:rPr>
                <w:rFonts w:hint="eastAsia"/>
                <w:color w:val="000000"/>
                <w:kern w:val="0"/>
                <w:sz w:val="18"/>
                <w:szCs w:val="18"/>
              </w:rPr>
              <w:t>&lt;0.0</w:t>
            </w:r>
            <w:r>
              <w:rPr>
                <w:color w:val="000000"/>
                <w:kern w:val="0"/>
                <w:sz w:val="18"/>
                <w:szCs w:val="18"/>
              </w:rPr>
              <w:t>01</w:t>
            </w:r>
            <w:r>
              <w:rPr>
                <w:rFonts w:hint="eastAsia"/>
                <w:color w:val="000000"/>
                <w:kern w:val="0"/>
                <w:sz w:val="18"/>
                <w:szCs w:val="18"/>
              </w:rPr>
              <w:t>%    Wt%</w:t>
            </w:r>
          </w:p>
        </w:tc>
        <w:tc>
          <w:tcPr>
            <w:tcW w:w="850" w:type="pct"/>
            <w:noWrap w:val="0"/>
            <w:vAlign w:val="center"/>
          </w:tcPr>
          <w:p w14:paraId="09A2E030">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5</w:t>
            </w:r>
            <w:r>
              <w:rPr>
                <w:rFonts w:hint="eastAsia"/>
                <w:color w:val="000000"/>
                <w:kern w:val="0"/>
                <w:sz w:val="18"/>
                <w:szCs w:val="18"/>
              </w:rPr>
              <w:t xml:space="preserve">%   </w:t>
            </w:r>
          </w:p>
          <w:p w14:paraId="33250659">
            <w:pPr>
              <w:jc w:val="center"/>
              <w:rPr>
                <w:color w:val="000000"/>
                <w:kern w:val="0"/>
                <w:sz w:val="18"/>
                <w:szCs w:val="18"/>
              </w:rPr>
            </w:pPr>
            <w:r>
              <w:rPr>
                <w:rFonts w:hint="eastAsia"/>
                <w:color w:val="000000"/>
                <w:kern w:val="0"/>
                <w:sz w:val="18"/>
                <w:szCs w:val="18"/>
              </w:rPr>
              <w:t xml:space="preserve"> Wt%</w:t>
            </w:r>
          </w:p>
        </w:tc>
      </w:tr>
      <w:tr w14:paraId="0530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2A4DACC6">
            <w:pPr>
              <w:jc w:val="center"/>
              <w:rPr>
                <w:rFonts w:hint="default" w:eastAsia="宋体"/>
                <w:kern w:val="0"/>
                <w:sz w:val="18"/>
                <w:szCs w:val="18"/>
                <w:lang w:val="en-US" w:eastAsia="zh-CN"/>
              </w:rPr>
            </w:pPr>
            <w:r>
              <w:rPr>
                <w:rFonts w:hint="eastAsia"/>
                <w:sz w:val="18"/>
                <w:lang w:val="en-US" w:eastAsia="zh-CN"/>
              </w:rPr>
              <w:t>Pd</w:t>
            </w:r>
          </w:p>
        </w:tc>
        <w:tc>
          <w:tcPr>
            <w:tcW w:w="797" w:type="pct"/>
            <w:noWrap w:val="0"/>
            <w:vAlign w:val="center"/>
          </w:tcPr>
          <w:p w14:paraId="77450DA8">
            <w:pPr>
              <w:jc w:val="center"/>
              <w:rPr>
                <w:color w:val="000000"/>
                <w:kern w:val="0"/>
                <w:sz w:val="18"/>
                <w:szCs w:val="18"/>
              </w:rPr>
            </w:pPr>
            <w:r>
              <w:rPr>
                <w:rFonts w:hint="eastAsia"/>
                <w:color w:val="000000"/>
                <w:kern w:val="0"/>
                <w:sz w:val="18"/>
                <w:szCs w:val="18"/>
                <w:lang w:val="en-US" w:eastAsia="zh-CN"/>
              </w:rPr>
              <w:t>/</w:t>
            </w:r>
          </w:p>
        </w:tc>
        <w:tc>
          <w:tcPr>
            <w:tcW w:w="801" w:type="pct"/>
            <w:noWrap w:val="0"/>
            <w:vAlign w:val="center"/>
          </w:tcPr>
          <w:p w14:paraId="71D0743B">
            <w:pPr>
              <w:jc w:val="center"/>
              <w:rPr>
                <w:rFonts w:ascii="Times New Roman" w:hAnsi="Times New Roman" w:eastAsia="宋体" w:cs="Times New Roman"/>
                <w:color w:val="000000"/>
                <w:kern w:val="0"/>
                <w:sz w:val="18"/>
                <w:szCs w:val="18"/>
                <w:lang w:val="en-US" w:eastAsia="zh-CN" w:bidi="ar-SA"/>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72" w:type="pct"/>
            <w:noWrap w:val="0"/>
            <w:vAlign w:val="center"/>
          </w:tcPr>
          <w:p w14:paraId="3B4A31FD">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5</w:t>
            </w:r>
            <w:r>
              <w:rPr>
                <w:rFonts w:hint="eastAsia"/>
                <w:color w:val="000000"/>
                <w:kern w:val="0"/>
                <w:sz w:val="18"/>
                <w:szCs w:val="18"/>
              </w:rPr>
              <w:t xml:space="preserve">%   </w:t>
            </w:r>
          </w:p>
          <w:p w14:paraId="3039207A">
            <w:pPr>
              <w:jc w:val="center"/>
              <w:rPr>
                <w:color w:val="000000"/>
                <w:kern w:val="0"/>
                <w:sz w:val="18"/>
                <w:szCs w:val="18"/>
              </w:rPr>
            </w:pPr>
            <w:r>
              <w:rPr>
                <w:rFonts w:hint="eastAsia"/>
                <w:color w:val="000000"/>
                <w:kern w:val="0"/>
                <w:sz w:val="18"/>
                <w:szCs w:val="18"/>
              </w:rPr>
              <w:t xml:space="preserve"> Wt%</w:t>
            </w:r>
          </w:p>
        </w:tc>
        <w:tc>
          <w:tcPr>
            <w:tcW w:w="876" w:type="pct"/>
            <w:noWrap w:val="0"/>
            <w:vAlign w:val="center"/>
          </w:tcPr>
          <w:p w14:paraId="10DE5BEE">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0</w:t>
            </w:r>
            <w:r>
              <w:rPr>
                <w:color w:val="000000"/>
                <w:kern w:val="0"/>
                <w:sz w:val="18"/>
                <w:szCs w:val="18"/>
              </w:rPr>
              <w:t>1</w:t>
            </w:r>
            <w:r>
              <w:rPr>
                <w:rFonts w:hint="eastAsia"/>
                <w:color w:val="000000"/>
                <w:kern w:val="0"/>
                <w:sz w:val="18"/>
                <w:szCs w:val="18"/>
              </w:rPr>
              <w:t xml:space="preserve">%   </w:t>
            </w:r>
          </w:p>
          <w:p w14:paraId="617721B9">
            <w:pPr>
              <w:jc w:val="center"/>
              <w:rPr>
                <w:color w:val="000000"/>
                <w:kern w:val="0"/>
                <w:sz w:val="18"/>
                <w:szCs w:val="18"/>
              </w:rPr>
            </w:pPr>
            <w:r>
              <w:rPr>
                <w:rFonts w:hint="eastAsia"/>
                <w:color w:val="000000"/>
                <w:kern w:val="0"/>
                <w:sz w:val="18"/>
                <w:szCs w:val="18"/>
              </w:rPr>
              <w:t xml:space="preserve"> Wt%</w:t>
            </w:r>
          </w:p>
        </w:tc>
        <w:tc>
          <w:tcPr>
            <w:tcW w:w="850" w:type="pct"/>
            <w:noWrap w:val="0"/>
            <w:vAlign w:val="center"/>
          </w:tcPr>
          <w:p w14:paraId="57B391CA">
            <w:pPr>
              <w:jc w:val="center"/>
              <w:rPr>
                <w:color w:val="000000"/>
                <w:kern w:val="0"/>
                <w:sz w:val="18"/>
                <w:szCs w:val="18"/>
              </w:rPr>
            </w:pPr>
            <w:r>
              <w:rPr>
                <w:rFonts w:hint="eastAsia"/>
                <w:color w:val="000000"/>
                <w:kern w:val="0"/>
                <w:sz w:val="18"/>
                <w:szCs w:val="18"/>
              </w:rPr>
              <w:t xml:space="preserve">&lt;0.005%    </w:t>
            </w:r>
          </w:p>
          <w:p w14:paraId="1FC2106E">
            <w:pPr>
              <w:jc w:val="center"/>
              <w:rPr>
                <w:color w:val="000000"/>
                <w:kern w:val="0"/>
                <w:sz w:val="18"/>
                <w:szCs w:val="18"/>
              </w:rPr>
            </w:pPr>
            <w:r>
              <w:rPr>
                <w:rFonts w:hint="eastAsia"/>
                <w:color w:val="000000"/>
                <w:kern w:val="0"/>
                <w:sz w:val="18"/>
                <w:szCs w:val="18"/>
              </w:rPr>
              <w:t>Wt%</w:t>
            </w:r>
          </w:p>
        </w:tc>
      </w:tr>
      <w:tr w14:paraId="607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3BA3EBDB">
            <w:pPr>
              <w:jc w:val="center"/>
              <w:rPr>
                <w:rFonts w:hint="default" w:eastAsia="宋体"/>
                <w:kern w:val="0"/>
                <w:sz w:val="18"/>
                <w:szCs w:val="18"/>
                <w:lang w:val="en-US" w:eastAsia="zh-CN"/>
              </w:rPr>
            </w:pPr>
            <w:r>
              <w:rPr>
                <w:rFonts w:hint="eastAsia"/>
                <w:kern w:val="0"/>
                <w:sz w:val="18"/>
                <w:szCs w:val="18"/>
                <w:lang w:val="en-US" w:eastAsia="zh-CN"/>
              </w:rPr>
              <w:t>Pt</w:t>
            </w:r>
          </w:p>
        </w:tc>
        <w:tc>
          <w:tcPr>
            <w:tcW w:w="797" w:type="pct"/>
            <w:noWrap w:val="0"/>
            <w:vAlign w:val="center"/>
          </w:tcPr>
          <w:p w14:paraId="333781F2">
            <w:pPr>
              <w:jc w:val="center"/>
              <w:rPr>
                <w:color w:val="000000"/>
                <w:kern w:val="0"/>
                <w:sz w:val="18"/>
                <w:szCs w:val="18"/>
              </w:rPr>
            </w:pPr>
            <w:r>
              <w:rPr>
                <w:rFonts w:hint="eastAsia"/>
                <w:color w:val="000000"/>
                <w:kern w:val="0"/>
                <w:sz w:val="18"/>
                <w:szCs w:val="18"/>
                <w:lang w:val="en-US" w:eastAsia="zh-CN"/>
              </w:rPr>
              <w:t>/</w:t>
            </w:r>
          </w:p>
        </w:tc>
        <w:tc>
          <w:tcPr>
            <w:tcW w:w="801" w:type="pct"/>
            <w:noWrap w:val="0"/>
            <w:vAlign w:val="center"/>
          </w:tcPr>
          <w:p w14:paraId="5AA35344">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72" w:type="pct"/>
            <w:noWrap w:val="0"/>
            <w:vAlign w:val="center"/>
          </w:tcPr>
          <w:p w14:paraId="75150052">
            <w:pPr>
              <w:jc w:val="center"/>
              <w:rPr>
                <w:color w:val="000000"/>
                <w:kern w:val="0"/>
                <w:sz w:val="18"/>
                <w:szCs w:val="18"/>
              </w:rPr>
            </w:pPr>
            <w:r>
              <w:rPr>
                <w:rFonts w:hint="eastAsia"/>
                <w:color w:val="000000"/>
                <w:kern w:val="0"/>
                <w:sz w:val="18"/>
                <w:szCs w:val="18"/>
              </w:rPr>
              <w:t>&lt;0.</w:t>
            </w:r>
            <w:r>
              <w:rPr>
                <w:rFonts w:hint="eastAsia"/>
                <w:color w:val="000000"/>
                <w:kern w:val="0"/>
                <w:sz w:val="18"/>
                <w:szCs w:val="18"/>
                <w:lang w:val="en-US" w:eastAsia="zh-CN"/>
              </w:rPr>
              <w:t>005</w:t>
            </w:r>
            <w:r>
              <w:rPr>
                <w:rFonts w:hint="eastAsia"/>
                <w:color w:val="000000"/>
                <w:kern w:val="0"/>
                <w:sz w:val="18"/>
                <w:szCs w:val="18"/>
              </w:rPr>
              <w:t xml:space="preserve">%    </w:t>
            </w:r>
          </w:p>
          <w:p w14:paraId="0BFF6816">
            <w:pPr>
              <w:jc w:val="center"/>
              <w:rPr>
                <w:color w:val="000000"/>
                <w:kern w:val="0"/>
                <w:sz w:val="18"/>
                <w:szCs w:val="18"/>
              </w:rPr>
            </w:pPr>
            <w:r>
              <w:rPr>
                <w:rFonts w:hint="eastAsia"/>
                <w:color w:val="000000"/>
                <w:kern w:val="0"/>
                <w:sz w:val="18"/>
                <w:szCs w:val="18"/>
              </w:rPr>
              <w:t>Wt%%</w:t>
            </w:r>
          </w:p>
        </w:tc>
        <w:tc>
          <w:tcPr>
            <w:tcW w:w="876" w:type="pct"/>
            <w:noWrap w:val="0"/>
            <w:vAlign w:val="center"/>
          </w:tcPr>
          <w:p w14:paraId="6F61C1AB">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50" w:type="pct"/>
            <w:noWrap w:val="0"/>
            <w:vAlign w:val="center"/>
          </w:tcPr>
          <w:p w14:paraId="4E590D22">
            <w:pPr>
              <w:jc w:val="center"/>
              <w:rPr>
                <w:color w:val="000000"/>
                <w:kern w:val="0"/>
                <w:sz w:val="18"/>
                <w:szCs w:val="18"/>
              </w:rPr>
            </w:pPr>
            <w:r>
              <w:rPr>
                <w:rFonts w:hint="eastAsia"/>
                <w:color w:val="000000"/>
                <w:kern w:val="0"/>
                <w:sz w:val="18"/>
                <w:szCs w:val="18"/>
              </w:rPr>
              <w:t>&lt;0.00</w:t>
            </w:r>
            <w:r>
              <w:rPr>
                <w:rFonts w:hint="eastAsia"/>
                <w:color w:val="000000"/>
                <w:kern w:val="0"/>
                <w:sz w:val="18"/>
                <w:szCs w:val="18"/>
                <w:lang w:val="en-US" w:eastAsia="zh-CN"/>
              </w:rPr>
              <w:t>5</w:t>
            </w:r>
            <w:r>
              <w:rPr>
                <w:rFonts w:hint="eastAsia"/>
                <w:color w:val="000000"/>
                <w:kern w:val="0"/>
                <w:sz w:val="18"/>
                <w:szCs w:val="18"/>
              </w:rPr>
              <w:t xml:space="preserve">%   </w:t>
            </w:r>
          </w:p>
          <w:p w14:paraId="2A2FE1B5">
            <w:pPr>
              <w:jc w:val="center"/>
              <w:rPr>
                <w:color w:val="000000"/>
                <w:kern w:val="0"/>
                <w:sz w:val="18"/>
                <w:szCs w:val="18"/>
              </w:rPr>
            </w:pPr>
            <w:r>
              <w:rPr>
                <w:rFonts w:hint="eastAsia"/>
                <w:color w:val="000000"/>
                <w:kern w:val="0"/>
                <w:sz w:val="18"/>
                <w:szCs w:val="18"/>
              </w:rPr>
              <w:t xml:space="preserve"> Wt%</w:t>
            </w:r>
          </w:p>
        </w:tc>
      </w:tr>
      <w:tr w14:paraId="59B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60CB42D9">
            <w:pPr>
              <w:jc w:val="center"/>
              <w:rPr>
                <w:rFonts w:hint="default" w:eastAsia="宋体"/>
                <w:kern w:val="0"/>
                <w:sz w:val="18"/>
                <w:szCs w:val="18"/>
                <w:lang w:val="en-US" w:eastAsia="zh-CN"/>
              </w:rPr>
            </w:pPr>
            <w:r>
              <w:rPr>
                <w:rFonts w:hint="eastAsia" w:hAnsi="Calibri" w:cs="Times New Roman"/>
                <w:sz w:val="18"/>
                <w:lang w:val="en-US" w:eastAsia="zh-CN"/>
              </w:rPr>
              <w:t>Ir</w:t>
            </w:r>
          </w:p>
        </w:tc>
        <w:tc>
          <w:tcPr>
            <w:tcW w:w="797" w:type="pct"/>
            <w:noWrap w:val="0"/>
            <w:vAlign w:val="center"/>
          </w:tcPr>
          <w:p w14:paraId="5FBA1F7D">
            <w:pPr>
              <w:jc w:val="center"/>
              <w:rPr>
                <w:rFonts w:hint="eastAsia" w:eastAsia="宋体"/>
                <w:color w:val="000000"/>
                <w:kern w:val="0"/>
                <w:sz w:val="18"/>
                <w:szCs w:val="18"/>
                <w:lang w:eastAsia="zh-CN"/>
              </w:rPr>
            </w:pPr>
            <w:r>
              <w:rPr>
                <w:rFonts w:hint="eastAsia"/>
                <w:color w:val="000000"/>
                <w:kern w:val="0"/>
                <w:sz w:val="18"/>
                <w:szCs w:val="18"/>
                <w:lang w:val="en-US" w:eastAsia="zh-CN"/>
              </w:rPr>
              <w:t>/</w:t>
            </w:r>
          </w:p>
        </w:tc>
        <w:tc>
          <w:tcPr>
            <w:tcW w:w="801" w:type="pct"/>
            <w:noWrap w:val="0"/>
            <w:vAlign w:val="center"/>
          </w:tcPr>
          <w:p w14:paraId="499778F8">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5</w:t>
            </w:r>
            <w:r>
              <w:rPr>
                <w:rFonts w:hint="eastAsia"/>
                <w:color w:val="000000"/>
                <w:kern w:val="0"/>
                <w:sz w:val="18"/>
                <w:szCs w:val="18"/>
              </w:rPr>
              <w:t>%    Wt%</w:t>
            </w:r>
          </w:p>
        </w:tc>
        <w:tc>
          <w:tcPr>
            <w:tcW w:w="872" w:type="pct"/>
            <w:noWrap w:val="0"/>
            <w:vAlign w:val="center"/>
          </w:tcPr>
          <w:p w14:paraId="6671F8C6">
            <w:pPr>
              <w:jc w:val="center"/>
              <w:rPr>
                <w:color w:val="000000"/>
                <w:kern w:val="0"/>
                <w:sz w:val="18"/>
                <w:szCs w:val="18"/>
              </w:rPr>
            </w:pPr>
            <w:r>
              <w:rPr>
                <w:rFonts w:hint="eastAsia"/>
                <w:color w:val="000000"/>
                <w:kern w:val="0"/>
                <w:sz w:val="18"/>
                <w:szCs w:val="18"/>
                <w:lang w:val="en-US" w:eastAsia="zh-CN"/>
              </w:rPr>
              <w:t>/</w:t>
            </w:r>
          </w:p>
        </w:tc>
        <w:tc>
          <w:tcPr>
            <w:tcW w:w="876" w:type="pct"/>
            <w:noWrap w:val="0"/>
            <w:vAlign w:val="center"/>
          </w:tcPr>
          <w:p w14:paraId="62E8BBEF">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5</w:t>
            </w:r>
            <w:r>
              <w:rPr>
                <w:rFonts w:hint="eastAsia"/>
                <w:color w:val="000000"/>
                <w:kern w:val="0"/>
                <w:sz w:val="18"/>
                <w:szCs w:val="18"/>
              </w:rPr>
              <w:t xml:space="preserve">%   </w:t>
            </w:r>
          </w:p>
          <w:p w14:paraId="6C3459C8">
            <w:pPr>
              <w:jc w:val="center"/>
              <w:rPr>
                <w:color w:val="000000"/>
                <w:kern w:val="0"/>
                <w:sz w:val="18"/>
                <w:szCs w:val="18"/>
              </w:rPr>
            </w:pPr>
            <w:r>
              <w:rPr>
                <w:rFonts w:hint="eastAsia"/>
                <w:color w:val="000000"/>
                <w:kern w:val="0"/>
                <w:sz w:val="18"/>
                <w:szCs w:val="18"/>
              </w:rPr>
              <w:t xml:space="preserve"> Wt%</w:t>
            </w:r>
          </w:p>
        </w:tc>
        <w:tc>
          <w:tcPr>
            <w:tcW w:w="850" w:type="pct"/>
            <w:noWrap w:val="0"/>
            <w:vAlign w:val="center"/>
          </w:tcPr>
          <w:p w14:paraId="4772739C">
            <w:pPr>
              <w:jc w:val="center"/>
              <w:rPr>
                <w:color w:val="000000"/>
                <w:kern w:val="0"/>
                <w:sz w:val="18"/>
                <w:szCs w:val="18"/>
              </w:rPr>
            </w:pPr>
            <w:r>
              <w:rPr>
                <w:rFonts w:hint="eastAsia"/>
                <w:color w:val="000000"/>
                <w:kern w:val="0"/>
                <w:sz w:val="18"/>
                <w:szCs w:val="18"/>
              </w:rPr>
              <w:t>&lt;0.</w:t>
            </w:r>
            <w:r>
              <w:rPr>
                <w:rFonts w:hint="eastAsia"/>
                <w:color w:val="000000"/>
                <w:kern w:val="0"/>
                <w:sz w:val="18"/>
                <w:szCs w:val="18"/>
                <w:lang w:val="en-US" w:eastAsia="zh-CN"/>
              </w:rPr>
              <w:t>005</w:t>
            </w:r>
            <w:r>
              <w:rPr>
                <w:rFonts w:hint="eastAsia"/>
                <w:color w:val="000000"/>
                <w:kern w:val="0"/>
                <w:sz w:val="18"/>
                <w:szCs w:val="18"/>
              </w:rPr>
              <w:t xml:space="preserve">%    </w:t>
            </w:r>
          </w:p>
          <w:p w14:paraId="29BF4B48">
            <w:pPr>
              <w:jc w:val="center"/>
              <w:rPr>
                <w:rFonts w:hint="eastAsia" w:eastAsia="宋体"/>
                <w:color w:val="000000"/>
                <w:kern w:val="0"/>
                <w:sz w:val="18"/>
                <w:szCs w:val="18"/>
                <w:lang w:eastAsia="zh-CN"/>
              </w:rPr>
            </w:pPr>
            <w:r>
              <w:rPr>
                <w:rFonts w:hint="eastAsia"/>
                <w:color w:val="000000"/>
                <w:kern w:val="0"/>
                <w:sz w:val="18"/>
                <w:szCs w:val="18"/>
              </w:rPr>
              <w:t>Wt%%</w:t>
            </w:r>
          </w:p>
        </w:tc>
      </w:tr>
      <w:tr w14:paraId="054F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09DCCCA8">
            <w:pPr>
              <w:jc w:val="center"/>
              <w:rPr>
                <w:rFonts w:hint="default" w:eastAsia="宋体"/>
                <w:kern w:val="0"/>
                <w:sz w:val="18"/>
                <w:szCs w:val="18"/>
                <w:lang w:val="en-US" w:eastAsia="zh-CN"/>
              </w:rPr>
            </w:pPr>
            <w:r>
              <w:rPr>
                <w:rFonts w:hint="eastAsia" w:hAnsi="Calibri" w:cs="Times New Roman"/>
                <w:sz w:val="18"/>
                <w:lang w:val="en-US" w:eastAsia="zh-CN"/>
              </w:rPr>
              <w:t>Mg</w:t>
            </w:r>
          </w:p>
        </w:tc>
        <w:tc>
          <w:tcPr>
            <w:tcW w:w="797" w:type="pct"/>
            <w:noWrap w:val="0"/>
            <w:vAlign w:val="center"/>
          </w:tcPr>
          <w:p w14:paraId="470D5614">
            <w:pPr>
              <w:jc w:val="center"/>
              <w:rPr>
                <w:rFonts w:hint="eastAsia" w:eastAsia="宋体"/>
                <w:color w:val="000000"/>
                <w:kern w:val="0"/>
                <w:sz w:val="18"/>
                <w:szCs w:val="18"/>
                <w:lang w:eastAsia="zh-CN"/>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01" w:type="pct"/>
            <w:noWrap w:val="0"/>
            <w:vAlign w:val="center"/>
          </w:tcPr>
          <w:p w14:paraId="71A8E51E">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72" w:type="pct"/>
            <w:noWrap w:val="0"/>
            <w:vAlign w:val="center"/>
          </w:tcPr>
          <w:p w14:paraId="3B859E2D">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76" w:type="pct"/>
            <w:noWrap w:val="0"/>
            <w:vAlign w:val="center"/>
          </w:tcPr>
          <w:p w14:paraId="25745AA8">
            <w:pPr>
              <w:jc w:val="center"/>
              <w:rPr>
                <w:color w:val="000000"/>
                <w:kern w:val="0"/>
                <w:sz w:val="18"/>
                <w:szCs w:val="18"/>
              </w:rPr>
            </w:pPr>
            <w:r>
              <w:rPr>
                <w:rFonts w:hint="eastAsia"/>
                <w:color w:val="000000"/>
                <w:kern w:val="0"/>
                <w:sz w:val="18"/>
                <w:szCs w:val="18"/>
              </w:rPr>
              <w:t>&lt;0.0</w:t>
            </w:r>
            <w:r>
              <w:rPr>
                <w:rFonts w:hint="eastAsia"/>
                <w:color w:val="000000"/>
                <w:kern w:val="0"/>
                <w:sz w:val="18"/>
                <w:szCs w:val="18"/>
                <w:lang w:val="en-US" w:eastAsia="zh-CN"/>
              </w:rPr>
              <w:t>1</w:t>
            </w:r>
            <w:r>
              <w:rPr>
                <w:rFonts w:hint="eastAsia"/>
                <w:color w:val="000000"/>
                <w:kern w:val="0"/>
                <w:sz w:val="18"/>
                <w:szCs w:val="18"/>
              </w:rPr>
              <w:t>%    Wt%</w:t>
            </w:r>
          </w:p>
        </w:tc>
        <w:tc>
          <w:tcPr>
            <w:tcW w:w="850" w:type="pct"/>
            <w:noWrap w:val="0"/>
            <w:vAlign w:val="center"/>
          </w:tcPr>
          <w:p w14:paraId="07E60FCD">
            <w:pPr>
              <w:jc w:val="center"/>
              <w:rPr>
                <w:color w:val="000000"/>
                <w:kern w:val="0"/>
                <w:sz w:val="18"/>
                <w:szCs w:val="18"/>
              </w:rPr>
            </w:pPr>
            <w:r>
              <w:rPr>
                <w:rFonts w:hint="eastAsia"/>
                <w:color w:val="000000"/>
                <w:kern w:val="0"/>
                <w:sz w:val="18"/>
                <w:szCs w:val="18"/>
              </w:rPr>
              <w:t>&lt;0.</w:t>
            </w:r>
            <w:r>
              <w:rPr>
                <w:rFonts w:hint="eastAsia"/>
                <w:color w:val="000000"/>
                <w:kern w:val="0"/>
                <w:sz w:val="18"/>
                <w:szCs w:val="18"/>
                <w:lang w:val="en-US" w:eastAsia="zh-CN"/>
              </w:rPr>
              <w:t>005</w:t>
            </w:r>
            <w:r>
              <w:rPr>
                <w:rFonts w:hint="eastAsia"/>
                <w:color w:val="000000"/>
                <w:kern w:val="0"/>
                <w:sz w:val="18"/>
                <w:szCs w:val="18"/>
              </w:rPr>
              <w:t xml:space="preserve">%    </w:t>
            </w:r>
          </w:p>
          <w:p w14:paraId="30916DF4">
            <w:pPr>
              <w:jc w:val="center"/>
              <w:rPr>
                <w:color w:val="000000"/>
                <w:kern w:val="0"/>
                <w:sz w:val="18"/>
                <w:szCs w:val="18"/>
              </w:rPr>
            </w:pPr>
            <w:r>
              <w:rPr>
                <w:rFonts w:hint="eastAsia"/>
                <w:color w:val="000000"/>
                <w:kern w:val="0"/>
                <w:sz w:val="18"/>
                <w:szCs w:val="18"/>
              </w:rPr>
              <w:t>Wt%%</w:t>
            </w:r>
          </w:p>
        </w:tc>
      </w:tr>
      <w:tr w14:paraId="46D4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231B19FB">
            <w:pPr>
              <w:jc w:val="center"/>
              <w:rPr>
                <w:kern w:val="0"/>
                <w:sz w:val="18"/>
                <w:szCs w:val="18"/>
              </w:rPr>
            </w:pPr>
            <w:r>
              <w:rPr>
                <w:rFonts w:hint="eastAsia"/>
                <w:kern w:val="0"/>
                <w:sz w:val="18"/>
                <w:szCs w:val="18"/>
              </w:rPr>
              <w:t>外观</w:t>
            </w:r>
          </w:p>
        </w:tc>
        <w:tc>
          <w:tcPr>
            <w:tcW w:w="797" w:type="pct"/>
            <w:noWrap w:val="0"/>
            <w:vAlign w:val="center"/>
          </w:tcPr>
          <w:p w14:paraId="0A2D05E1">
            <w:pPr>
              <w:jc w:val="both"/>
              <w:rPr>
                <w:rFonts w:hint="default" w:eastAsia="宋体"/>
                <w:kern w:val="0"/>
                <w:sz w:val="18"/>
                <w:szCs w:val="18"/>
                <w:lang w:val="en-US" w:eastAsia="zh-CN"/>
              </w:rPr>
            </w:pPr>
            <w:r>
              <w:rPr>
                <w:rFonts w:hint="eastAsia" w:hAnsi="宋体"/>
                <w:kern w:val="0"/>
                <w:sz w:val="18"/>
                <w:szCs w:val="18"/>
                <w:lang w:val="en-US" w:eastAsia="zh-CN"/>
              </w:rPr>
              <w:t>草绿色粉末</w:t>
            </w:r>
          </w:p>
        </w:tc>
        <w:tc>
          <w:tcPr>
            <w:tcW w:w="801" w:type="pct"/>
            <w:noWrap w:val="0"/>
            <w:vAlign w:val="center"/>
          </w:tcPr>
          <w:p w14:paraId="1D4D13DD">
            <w:pPr>
              <w:jc w:val="center"/>
              <w:rPr>
                <w:kern w:val="0"/>
                <w:sz w:val="18"/>
                <w:szCs w:val="18"/>
              </w:rPr>
            </w:pPr>
            <w:r>
              <w:rPr>
                <w:rFonts w:hint="eastAsia" w:hAnsi="宋体"/>
                <w:kern w:val="0"/>
                <w:sz w:val="18"/>
                <w:szCs w:val="18"/>
                <w:lang w:val="en-US" w:eastAsia="zh-CN"/>
              </w:rPr>
              <w:t>草绿色粉末</w:t>
            </w:r>
          </w:p>
        </w:tc>
        <w:tc>
          <w:tcPr>
            <w:tcW w:w="872" w:type="pct"/>
            <w:noWrap w:val="0"/>
            <w:vAlign w:val="center"/>
          </w:tcPr>
          <w:p w14:paraId="682FA563">
            <w:pPr>
              <w:jc w:val="center"/>
              <w:rPr>
                <w:kern w:val="0"/>
                <w:sz w:val="18"/>
                <w:szCs w:val="18"/>
              </w:rPr>
            </w:pPr>
            <w:r>
              <w:rPr>
                <w:rFonts w:hint="eastAsia" w:hAnsi="宋体"/>
                <w:kern w:val="0"/>
                <w:sz w:val="18"/>
                <w:szCs w:val="18"/>
                <w:lang w:val="en-US" w:eastAsia="zh-CN"/>
              </w:rPr>
              <w:t>草绿色粉末</w:t>
            </w:r>
          </w:p>
        </w:tc>
        <w:tc>
          <w:tcPr>
            <w:tcW w:w="876" w:type="pct"/>
            <w:noWrap w:val="0"/>
            <w:vAlign w:val="center"/>
          </w:tcPr>
          <w:p w14:paraId="48DCF0D8">
            <w:pPr>
              <w:jc w:val="center"/>
              <w:rPr>
                <w:kern w:val="0"/>
                <w:sz w:val="18"/>
                <w:szCs w:val="18"/>
              </w:rPr>
            </w:pPr>
            <w:r>
              <w:rPr>
                <w:rFonts w:hint="eastAsia" w:hAnsi="宋体"/>
                <w:kern w:val="0"/>
                <w:sz w:val="18"/>
                <w:szCs w:val="18"/>
                <w:lang w:val="en-US" w:eastAsia="zh-CN"/>
              </w:rPr>
              <w:t>草绿色粉末</w:t>
            </w:r>
          </w:p>
        </w:tc>
        <w:tc>
          <w:tcPr>
            <w:tcW w:w="850" w:type="pct"/>
            <w:noWrap w:val="0"/>
            <w:vAlign w:val="center"/>
          </w:tcPr>
          <w:p w14:paraId="3D16697A">
            <w:pPr>
              <w:jc w:val="center"/>
              <w:rPr>
                <w:kern w:val="0"/>
                <w:sz w:val="18"/>
                <w:szCs w:val="18"/>
              </w:rPr>
            </w:pPr>
            <w:r>
              <w:rPr>
                <w:rFonts w:hint="eastAsia" w:hAnsi="宋体"/>
                <w:kern w:val="0"/>
                <w:sz w:val="18"/>
                <w:szCs w:val="18"/>
                <w:lang w:val="en-US" w:eastAsia="zh-CN"/>
              </w:rPr>
              <w:t>草绿色粉末</w:t>
            </w:r>
          </w:p>
        </w:tc>
      </w:tr>
      <w:tr w14:paraId="517A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1" w:type="pct"/>
            <w:noWrap w:val="0"/>
            <w:vAlign w:val="center"/>
          </w:tcPr>
          <w:p w14:paraId="6A173B60">
            <w:pPr>
              <w:jc w:val="center"/>
              <w:rPr>
                <w:kern w:val="0"/>
                <w:sz w:val="18"/>
                <w:szCs w:val="18"/>
              </w:rPr>
            </w:pPr>
            <w:r>
              <w:rPr>
                <w:rFonts w:hint="eastAsia"/>
                <w:kern w:val="0"/>
                <w:sz w:val="18"/>
                <w:szCs w:val="18"/>
              </w:rPr>
              <w:t>溶解性</w:t>
            </w:r>
          </w:p>
        </w:tc>
        <w:tc>
          <w:tcPr>
            <w:tcW w:w="797" w:type="pct"/>
            <w:noWrap w:val="0"/>
            <w:vAlign w:val="center"/>
          </w:tcPr>
          <w:p w14:paraId="2C44B084">
            <w:pPr>
              <w:jc w:val="both"/>
              <w:rPr>
                <w:rFonts w:hint="default" w:eastAsia="宋体"/>
                <w:color w:val="000000"/>
                <w:kern w:val="0"/>
                <w:sz w:val="18"/>
                <w:szCs w:val="18"/>
                <w:lang w:val="en-US" w:eastAsia="zh-CN"/>
              </w:rPr>
            </w:pPr>
            <w:r>
              <w:rPr>
                <w:rFonts w:hint="eastAsia"/>
                <w:color w:val="000000"/>
                <w:kern w:val="0"/>
                <w:sz w:val="18"/>
                <w:szCs w:val="18"/>
                <w:lang w:val="en-US" w:eastAsia="zh-CN"/>
              </w:rPr>
              <w:t>无目视可见不溶物</w:t>
            </w:r>
          </w:p>
        </w:tc>
        <w:tc>
          <w:tcPr>
            <w:tcW w:w="801" w:type="pct"/>
            <w:noWrap w:val="0"/>
            <w:vAlign w:val="center"/>
          </w:tcPr>
          <w:p w14:paraId="6A403866">
            <w:pPr>
              <w:jc w:val="center"/>
              <w:rPr>
                <w:kern w:val="0"/>
                <w:sz w:val="20"/>
              </w:rPr>
            </w:pPr>
            <w:r>
              <w:rPr>
                <w:rFonts w:hint="eastAsia"/>
                <w:color w:val="000000"/>
                <w:kern w:val="0"/>
                <w:sz w:val="18"/>
                <w:szCs w:val="18"/>
                <w:lang w:val="en-US" w:eastAsia="zh-CN"/>
              </w:rPr>
              <w:t>无目视可见不溶物</w:t>
            </w:r>
          </w:p>
        </w:tc>
        <w:tc>
          <w:tcPr>
            <w:tcW w:w="872" w:type="pct"/>
            <w:noWrap w:val="0"/>
            <w:vAlign w:val="center"/>
          </w:tcPr>
          <w:p w14:paraId="104A0BD1">
            <w:pPr>
              <w:jc w:val="center"/>
              <w:rPr>
                <w:kern w:val="0"/>
                <w:sz w:val="20"/>
              </w:rPr>
            </w:pPr>
            <w:r>
              <w:rPr>
                <w:rFonts w:hint="eastAsia"/>
                <w:color w:val="000000"/>
                <w:kern w:val="0"/>
                <w:sz w:val="18"/>
                <w:szCs w:val="18"/>
                <w:lang w:val="en-US" w:eastAsia="zh-CN"/>
              </w:rPr>
              <w:t>无目视可见不溶物</w:t>
            </w:r>
          </w:p>
        </w:tc>
        <w:tc>
          <w:tcPr>
            <w:tcW w:w="876" w:type="pct"/>
            <w:noWrap w:val="0"/>
            <w:vAlign w:val="center"/>
          </w:tcPr>
          <w:p w14:paraId="21EABCE6">
            <w:pPr>
              <w:jc w:val="center"/>
              <w:rPr>
                <w:kern w:val="0"/>
                <w:sz w:val="20"/>
              </w:rPr>
            </w:pPr>
            <w:r>
              <w:rPr>
                <w:rFonts w:hint="eastAsia"/>
                <w:color w:val="000000"/>
                <w:kern w:val="0"/>
                <w:sz w:val="18"/>
                <w:szCs w:val="18"/>
                <w:lang w:val="en-US" w:eastAsia="zh-CN"/>
              </w:rPr>
              <w:t>无目视可见不溶物</w:t>
            </w:r>
          </w:p>
        </w:tc>
        <w:tc>
          <w:tcPr>
            <w:tcW w:w="850" w:type="pct"/>
            <w:noWrap w:val="0"/>
            <w:vAlign w:val="center"/>
          </w:tcPr>
          <w:p w14:paraId="69803962">
            <w:pPr>
              <w:jc w:val="center"/>
              <w:rPr>
                <w:kern w:val="0"/>
                <w:sz w:val="20"/>
              </w:rPr>
            </w:pPr>
            <w:r>
              <w:rPr>
                <w:rFonts w:hint="eastAsia"/>
                <w:color w:val="000000"/>
                <w:kern w:val="0"/>
                <w:sz w:val="18"/>
                <w:szCs w:val="18"/>
                <w:lang w:val="en-US" w:eastAsia="zh-CN"/>
              </w:rPr>
              <w:t>无目视可见不溶物</w:t>
            </w:r>
          </w:p>
        </w:tc>
      </w:tr>
    </w:tbl>
    <w:p w14:paraId="13BBC7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sz w:val="24"/>
        </w:rPr>
      </w:pPr>
      <w:r>
        <w:rPr>
          <w:rFonts w:hint="eastAsia"/>
          <w:sz w:val="24"/>
        </w:rPr>
        <w:t>《</w:t>
      </w:r>
      <w:r>
        <w:rPr>
          <w:rFonts w:hint="eastAsia"/>
          <w:sz w:val="24"/>
          <w:lang w:val="en-US" w:eastAsia="zh-CN"/>
        </w:rPr>
        <w:t>辛酸铑</w:t>
      </w:r>
      <w:r>
        <w:rPr>
          <w:rFonts w:hint="eastAsia"/>
          <w:sz w:val="24"/>
        </w:rPr>
        <w:t>》标准的修订依据主要来自于对相关应用企业的调研，并征求了使用企业的意见，作为建立本技术标准的依据，同时也考虑了国内厂家生产实际和分析水平等情况。</w:t>
      </w:r>
    </w:p>
    <w:p w14:paraId="43E3AE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sz w:val="24"/>
          <w:lang w:val="en-US" w:eastAsia="zh-CN"/>
        </w:rPr>
      </w:pPr>
      <w:r>
        <w:rPr>
          <w:rFonts w:hint="eastAsia"/>
          <w:sz w:val="24"/>
          <w:lang w:val="en-US" w:eastAsia="zh-CN"/>
        </w:rPr>
        <w:t>同时，主编单位组织各参与单位进行了进一步的调研工作，广泛收集与标准起草有关的资料并加以研究、分析。国内外的相关标准、资料，国内外的生产情况；达到的水平，生产企业的生产经验，存在的问题和解决的办法；相关的科研成果、专利；国内外产品、样品有关数据的对比。</w:t>
      </w:r>
    </w:p>
    <w:p w14:paraId="592ECB22">
      <w:pP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4、征求意见阶段</w:t>
      </w:r>
    </w:p>
    <w:p w14:paraId="15BF88FD">
      <w:pP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4. 1标准征求意见会议</w:t>
      </w:r>
    </w:p>
    <w:p w14:paraId="387D35D6">
      <w:pPr>
        <w:autoSpaceDE w:val="0"/>
        <w:autoSpaceDN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2024年9月24日～9月27日全国有色金属标准化技术委员会在柳州召开了GB/T 42793-2024《铁道货车、公路货车用铝合金板材》等68项有色金属标准工作会议。会议对本标准的相关技术文件进行分析和讨论，并安排了后续工作。</w:t>
      </w:r>
    </w:p>
    <w:p w14:paraId="3F83F6DC">
      <w:pP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4.2标准</w:t>
      </w:r>
      <w:r>
        <w:rPr>
          <w:rFonts w:hint="eastAsia" w:ascii="黑体" w:hAnsi="黑体" w:eastAsia="黑体" w:cs="黑体"/>
          <w:b w:val="0"/>
          <w:bCs/>
          <w:color w:val="000000"/>
          <w:kern w:val="0"/>
          <w:sz w:val="28"/>
          <w:szCs w:val="28"/>
          <w:lang w:val="en-US" w:eastAsia="zh-CN"/>
        </w:rPr>
        <w:t>在线</w:t>
      </w:r>
      <w:r>
        <w:rPr>
          <w:rFonts w:hint="eastAsia" w:ascii="黑体" w:hAnsi="黑体" w:eastAsia="黑体" w:cs="黑体"/>
          <w:b w:val="0"/>
          <w:bCs/>
          <w:color w:val="000000"/>
          <w:kern w:val="0"/>
          <w:sz w:val="28"/>
          <w:szCs w:val="28"/>
        </w:rPr>
        <w:t>征求意见</w:t>
      </w:r>
    </w:p>
    <w:p w14:paraId="11B0A10A">
      <w:pPr>
        <w:autoSpaceDE w:val="0"/>
        <w:autoSpaceDN w:val="0"/>
        <w:adjustRightInd w:val="0"/>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202x年x月～202x年x月以会议的形式召开工作会议以及通过网络、微信和电子邮件等方式在全国开展征求意见意见工作，对XX家相关研究院所、生产企业、下游用户以及第三方检测机构进行了征求意见，发送《征求意见稿》的单位数xx个，收到《征求意见稿》后，回函的单位数xx个，回函并有建议或意见的单位数xx个。编制组单位根据回函意见，对标准稿进行了修改和完善，并于2025年3月形成了送审稿。</w:t>
      </w:r>
    </w:p>
    <w:p w14:paraId="3918413D">
      <w:pPr>
        <w:numPr>
          <w:ilvl w:val="0"/>
          <w:numId w:val="8"/>
        </w:numP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lang w:val="en-US" w:eastAsia="zh-CN"/>
        </w:rPr>
        <w:t>审查</w:t>
      </w:r>
      <w:r>
        <w:rPr>
          <w:rFonts w:hint="eastAsia" w:ascii="黑体" w:hAnsi="黑体" w:eastAsia="黑体" w:cs="黑体"/>
          <w:b w:val="0"/>
          <w:bCs/>
          <w:color w:val="000000"/>
          <w:kern w:val="0"/>
          <w:sz w:val="28"/>
          <w:szCs w:val="28"/>
        </w:rPr>
        <w:t>阶段</w:t>
      </w:r>
    </w:p>
    <w:p w14:paraId="24F76C9C">
      <w:pPr>
        <w:rPr>
          <w:rFonts w:hint="eastAsia" w:ascii="黑体" w:hAnsi="黑体" w:eastAsia="黑体" w:cs="黑体"/>
          <w:b w:val="0"/>
          <w:bCs/>
          <w:color w:val="000000"/>
          <w:kern w:val="0"/>
          <w:sz w:val="28"/>
          <w:szCs w:val="28"/>
          <w:lang w:val="en-US" w:eastAsia="zh-CN"/>
        </w:rPr>
      </w:pPr>
      <w:r>
        <w:rPr>
          <w:rFonts w:hint="eastAsia" w:ascii="黑体" w:hAnsi="黑体" w:eastAsia="黑体" w:cs="黑体"/>
          <w:b w:val="0"/>
          <w:bCs/>
          <w:color w:val="000000"/>
          <w:kern w:val="0"/>
          <w:sz w:val="28"/>
          <w:szCs w:val="28"/>
          <w:lang w:val="en-US" w:eastAsia="zh-CN"/>
        </w:rPr>
        <w:t>5.1 标准技术专家审查会议</w:t>
      </w:r>
    </w:p>
    <w:p w14:paraId="283C3B6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FF0000"/>
          <w:sz w:val="24"/>
        </w:rPr>
      </w:pPr>
      <w:r>
        <w:rPr>
          <w:rFonts w:hint="eastAsia" w:ascii="宋体" w:hAnsi="宋体" w:eastAsia="宋体" w:cs="宋体"/>
          <w:color w:val="FF0000"/>
          <w:sz w:val="24"/>
        </w:rPr>
        <w:t>202</w:t>
      </w:r>
      <w:r>
        <w:rPr>
          <w:rFonts w:hint="eastAsia" w:ascii="宋体" w:hAnsi="宋体" w:cs="宋体"/>
          <w:color w:val="FF0000"/>
          <w:sz w:val="24"/>
          <w:lang w:val="en-US" w:eastAsia="zh-CN"/>
        </w:rPr>
        <w:t>4</w:t>
      </w:r>
      <w:r>
        <w:rPr>
          <w:rFonts w:hint="eastAsia" w:ascii="宋体" w:hAnsi="宋体" w:eastAsia="宋体" w:cs="宋体"/>
          <w:color w:val="FF0000"/>
          <w:sz w:val="24"/>
        </w:rPr>
        <w:t>年</w:t>
      </w:r>
      <w:r>
        <w:rPr>
          <w:rFonts w:hint="eastAsia" w:ascii="宋体" w:hAnsi="宋体" w:cs="宋体"/>
          <w:color w:val="FF0000"/>
          <w:sz w:val="24"/>
          <w:lang w:val="en-US" w:eastAsia="zh-CN"/>
        </w:rPr>
        <w:t>x</w:t>
      </w:r>
      <w:r>
        <w:rPr>
          <w:rFonts w:hint="eastAsia" w:ascii="宋体" w:hAnsi="宋体" w:eastAsia="宋体" w:cs="宋体"/>
          <w:color w:val="FF0000"/>
          <w:sz w:val="24"/>
        </w:rPr>
        <w:t>月</w:t>
      </w:r>
      <w:r>
        <w:rPr>
          <w:rFonts w:hint="eastAsia" w:ascii="宋体" w:hAnsi="宋体" w:cs="宋体"/>
          <w:color w:val="FF0000"/>
          <w:sz w:val="24"/>
          <w:lang w:val="en-US" w:eastAsia="zh-CN"/>
        </w:rPr>
        <w:t>xx</w:t>
      </w:r>
      <w:r>
        <w:rPr>
          <w:rFonts w:hint="eastAsia" w:ascii="宋体" w:hAnsi="宋体" w:eastAsia="宋体" w:cs="宋体"/>
          <w:color w:val="FF0000"/>
          <w:sz w:val="24"/>
        </w:rPr>
        <w:t>日～</w:t>
      </w:r>
      <w:r>
        <w:rPr>
          <w:rFonts w:hint="eastAsia" w:ascii="宋体" w:hAnsi="宋体" w:cs="宋体"/>
          <w:color w:val="FF0000"/>
          <w:sz w:val="24"/>
          <w:lang w:val="en-US" w:eastAsia="zh-CN"/>
        </w:rPr>
        <w:t>x</w:t>
      </w:r>
      <w:r>
        <w:rPr>
          <w:rFonts w:hint="eastAsia" w:ascii="宋体" w:hAnsi="宋体" w:eastAsia="宋体" w:cs="宋体"/>
          <w:color w:val="FF0000"/>
          <w:sz w:val="24"/>
        </w:rPr>
        <w:t>月</w:t>
      </w:r>
      <w:r>
        <w:rPr>
          <w:rFonts w:hint="eastAsia" w:ascii="宋体" w:hAnsi="宋体" w:cs="宋体"/>
          <w:color w:val="FF0000"/>
          <w:sz w:val="24"/>
          <w:lang w:val="en-US" w:eastAsia="zh-CN"/>
        </w:rPr>
        <w:t>xx</w:t>
      </w:r>
      <w:r>
        <w:rPr>
          <w:rFonts w:hint="eastAsia" w:ascii="宋体" w:hAnsi="宋体" w:eastAsia="宋体" w:cs="宋体"/>
          <w:color w:val="FF0000"/>
          <w:sz w:val="24"/>
        </w:rPr>
        <w:t>日全国有色金属标准化技术委员会</w:t>
      </w:r>
      <w:r>
        <w:rPr>
          <w:rFonts w:hint="eastAsia" w:ascii="宋体" w:hAnsi="宋体" w:cs="宋体"/>
          <w:color w:val="FF0000"/>
          <w:sz w:val="24"/>
          <w:lang w:val="en-US" w:eastAsia="zh-CN"/>
        </w:rPr>
        <w:t>在xxx召开了xxxx有色金属标准工作会议，</w:t>
      </w:r>
      <w:r>
        <w:rPr>
          <w:rFonts w:hint="eastAsia" w:ascii="Times New Roman" w:hAnsi="Times New Roman"/>
          <w:color w:val="FF0000"/>
          <w:kern w:val="0"/>
          <w:sz w:val="24"/>
          <w:szCs w:val="24"/>
        </w:rPr>
        <w:t>会议对《</w:t>
      </w:r>
      <w:r>
        <w:rPr>
          <w:rFonts w:hint="eastAsia"/>
          <w:color w:val="FF0000"/>
          <w:kern w:val="0"/>
          <w:sz w:val="24"/>
          <w:szCs w:val="24"/>
          <w:lang w:val="en-US" w:eastAsia="zh-CN"/>
        </w:rPr>
        <w:t>辛酸铑</w:t>
      </w:r>
      <w:r>
        <w:rPr>
          <w:rFonts w:hint="eastAsia" w:ascii="Times New Roman" w:hAnsi="Times New Roman"/>
          <w:color w:val="FF0000"/>
          <w:kern w:val="0"/>
          <w:sz w:val="24"/>
          <w:szCs w:val="24"/>
        </w:rPr>
        <w:t>》标准送审稿进行了认真、热烈的讨论，进一步规范、完备标准稿的内容</w:t>
      </w:r>
      <w:r>
        <w:rPr>
          <w:rFonts w:hint="eastAsia" w:ascii="宋体" w:hAnsi="宋体" w:eastAsia="宋体" w:cs="宋体"/>
          <w:color w:val="FF0000"/>
          <w:sz w:val="24"/>
        </w:rPr>
        <w:t>。</w:t>
      </w:r>
    </w:p>
    <w:p w14:paraId="04122B6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Times New Roman" w:hAnsi="Times New Roman"/>
          <w:kern w:val="0"/>
          <w:sz w:val="24"/>
          <w:szCs w:val="24"/>
        </w:rPr>
        <w:t>会议经讨论后一致认为，本标准中涉及内容全面，条款详细，在标准制定过程中吸纳了</w:t>
      </w:r>
      <w:r>
        <w:rPr>
          <w:rFonts w:hint="eastAsia"/>
          <w:kern w:val="0"/>
          <w:sz w:val="24"/>
          <w:szCs w:val="24"/>
          <w:lang w:val="en-US" w:eastAsia="zh-CN"/>
        </w:rPr>
        <w:t>辛酸铑生产和使用</w:t>
      </w:r>
      <w:r>
        <w:rPr>
          <w:rFonts w:hint="eastAsia" w:ascii="Times New Roman" w:hAnsi="Times New Roman"/>
          <w:kern w:val="0"/>
          <w:sz w:val="24"/>
          <w:szCs w:val="24"/>
        </w:rPr>
        <w:t>企业长期积累的数据。</w:t>
      </w:r>
    </w:p>
    <w:p w14:paraId="668438B6">
      <w:pPr>
        <w:rPr>
          <w:rFonts w:hint="eastAsia" w:ascii="黑体" w:hAnsi="黑体" w:eastAsia="黑体" w:cs="黑体"/>
          <w:b w:val="0"/>
          <w:bCs/>
          <w:color w:val="000000"/>
          <w:kern w:val="0"/>
          <w:sz w:val="28"/>
          <w:szCs w:val="28"/>
          <w:lang w:val="en-US" w:eastAsia="zh-CN"/>
        </w:rPr>
      </w:pPr>
      <w:r>
        <w:rPr>
          <w:rFonts w:hint="eastAsia" w:ascii="黑体" w:hAnsi="黑体" w:eastAsia="黑体" w:cs="黑体"/>
          <w:b w:val="0"/>
          <w:bCs/>
          <w:color w:val="000000"/>
          <w:kern w:val="0"/>
          <w:sz w:val="28"/>
          <w:szCs w:val="28"/>
          <w:lang w:val="en-US" w:eastAsia="zh-CN"/>
        </w:rPr>
        <w:t>5.2 委员审查会议</w:t>
      </w:r>
    </w:p>
    <w:p w14:paraId="0848B0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黑体" w:hAnsi="黑体" w:eastAsia="黑体" w:cs="黑体"/>
          <w:b w:val="0"/>
          <w:bCs/>
          <w:color w:val="000000"/>
          <w:kern w:val="0"/>
          <w:sz w:val="28"/>
          <w:szCs w:val="28"/>
          <w:lang w:val="en-US" w:eastAsia="zh-CN"/>
        </w:rPr>
      </w:pPr>
      <w:r>
        <w:rPr>
          <w:rFonts w:hint="eastAsia"/>
          <w:color w:val="FF0000"/>
          <w:kern w:val="0"/>
          <w:sz w:val="24"/>
          <w:szCs w:val="24"/>
          <w:lang w:val="en-US" w:eastAsia="zh-CN"/>
        </w:rPr>
        <w:t>2024年x月x日，由全国有色金属标准化技术委员会在xxx组织召开了《xxxx》等多项贵金属标准项目委员审查工作会议。全国有色金属标准化技术委员会贵金属分技术委员会(SAC/TC243/SC5) 全体委员大会应到会委员共计 xx 名，实际到会委员 xx名，委托投票参会代表xx名。对本年度已完成审定的《xxx》等标准项目进行了审查，会议经过认真热烈的讨论，对标准制修订程序、征求意见的过程、以及技术内容的确定等多方面进行了仔细审查和表决投票，审查结论均为通过。无修改意见。会议要求标准起草单位和秘书处按照审查意见对标准文本进行修改完善，尽快完成标准的报批工作.与会委员表示后续会积极配合这些报批国家标准项目的电子投票工作。标准主起草单位按照专家修改意见对标准稿和编制说明等技术文件进行了修改，于 2024年 x 月上报有色金属技术经济研究院有限责任公司,有色金属技术经济研究院有限责任公司组织所内专家对标准稿和编制说明等技术文件进行了评审和格式审查，并提出了系列修改意见，标准主起草单位再次对标准稿和编制说明等技术文件进行了修改和完善，于 2025 年 x月形成了报批稿，并上报。</w:t>
      </w:r>
    </w:p>
    <w:p w14:paraId="78FC7770">
      <w:pPr>
        <w:autoSpaceDE w:val="0"/>
        <w:autoSpaceDN w:val="0"/>
        <w:adjustRightInd w:val="0"/>
        <w:spacing w:line="360" w:lineRule="auto"/>
        <w:rPr>
          <w:rFonts w:hint="eastAsia" w:ascii="黑体" w:hAnsi="黑体" w:eastAsia="黑体" w:cs="黑体"/>
          <w:b w:val="0"/>
          <w:bCs/>
          <w:sz w:val="28"/>
          <w:szCs w:val="28"/>
          <w:lang w:val="en-US" w:eastAsia="zh-CN"/>
        </w:rPr>
      </w:pPr>
      <w:r>
        <w:rPr>
          <w:rFonts w:hint="eastAsia" w:ascii="黑体" w:hAnsi="黑体" w:eastAsia="黑体" w:cs="黑体"/>
          <w:b w:val="0"/>
          <w:bCs/>
          <w:color w:val="000000"/>
          <w:kern w:val="0"/>
          <w:sz w:val="28"/>
          <w:szCs w:val="28"/>
          <w:lang w:val="en-US" w:eastAsia="zh-CN"/>
        </w:rPr>
        <w:t>6、 报批阶段</w:t>
      </w:r>
    </w:p>
    <w:p w14:paraId="17B9EDB8">
      <w:pPr>
        <w:spacing w:after="160"/>
        <w:ind w:firstLine="480" w:firstLineChars="200"/>
        <w:rPr>
          <w:rFonts w:hint="eastAsia" w:ascii="黑体" w:hAnsi="黑体" w:eastAsia="黑体" w:cs="黑体"/>
          <w:b w:val="0"/>
          <w:bCs/>
          <w:color w:val="auto"/>
          <w:kern w:val="0"/>
          <w:sz w:val="28"/>
          <w:szCs w:val="28"/>
        </w:rPr>
      </w:pPr>
      <w:r>
        <w:rPr>
          <w:rFonts w:hint="eastAsia" w:ascii="Times New Roman" w:hAnsi="Times New Roman"/>
          <w:color w:val="FF0000"/>
          <w:kern w:val="0"/>
          <w:sz w:val="24"/>
          <w:szCs w:val="24"/>
        </w:rPr>
        <w:t>2</w:t>
      </w:r>
      <w:r>
        <w:rPr>
          <w:rFonts w:ascii="Times New Roman" w:hAnsi="Times New Roman"/>
          <w:color w:val="FF0000"/>
          <w:kern w:val="0"/>
          <w:sz w:val="24"/>
          <w:szCs w:val="24"/>
        </w:rPr>
        <w:t>02</w:t>
      </w:r>
      <w:r>
        <w:rPr>
          <w:rFonts w:hint="eastAsia"/>
          <w:color w:val="FF0000"/>
          <w:kern w:val="0"/>
          <w:sz w:val="24"/>
          <w:szCs w:val="24"/>
          <w:lang w:val="en-US" w:eastAsia="zh-CN"/>
        </w:rPr>
        <w:t>5</w:t>
      </w:r>
      <w:r>
        <w:rPr>
          <w:rFonts w:hint="eastAsia" w:ascii="Times New Roman" w:hAnsi="Times New Roman"/>
          <w:color w:val="FF0000"/>
          <w:kern w:val="0"/>
          <w:sz w:val="24"/>
          <w:szCs w:val="24"/>
        </w:rPr>
        <w:t>年</w:t>
      </w:r>
      <w:r>
        <w:rPr>
          <w:rFonts w:hint="eastAsia"/>
          <w:color w:val="FF0000"/>
          <w:kern w:val="0"/>
          <w:sz w:val="24"/>
          <w:szCs w:val="24"/>
          <w:lang w:val="en-US" w:eastAsia="zh-CN"/>
        </w:rPr>
        <w:t>x</w:t>
      </w:r>
      <w:r>
        <w:rPr>
          <w:rFonts w:hint="eastAsia" w:ascii="Times New Roman" w:hAnsi="Times New Roman"/>
          <w:color w:val="FF0000"/>
          <w:kern w:val="0"/>
          <w:sz w:val="24"/>
          <w:szCs w:val="24"/>
        </w:rPr>
        <w:t>月，标准起草工作组根据审查会提出的修改意见和建议对标准进行了进一步修改和整理，形成了本标准的报批稿。报标委会秘书处。</w:t>
      </w:r>
    </w:p>
    <w:p w14:paraId="1D2B61AA">
      <w:p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二、标准编制原则</w:t>
      </w:r>
    </w:p>
    <w:p w14:paraId="24F63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bCs/>
          <w:sz w:val="24"/>
        </w:rPr>
        <w:t>本标准起草单位</w:t>
      </w:r>
      <w:r>
        <w:rPr>
          <w:rFonts w:hint="eastAsia" w:ascii="宋体" w:hAnsi="宋体" w:eastAsia="宋体" w:cs="宋体"/>
          <w:sz w:val="24"/>
        </w:rPr>
        <w:t>自接受修订任务后，成立了标准编制工作组负责收集整理相关资料、市场需求及客户要求等信息，同时结合国家大政方针政策，未来发展趋势，本着科学发展、可持续发展的原则，坚决贯彻以人为本、绿色环保的精神，以严谨、科学的态度对本标准修订进行了反复的讨论、修改，使之不断完善。</w:t>
      </w:r>
      <w:r>
        <w:rPr>
          <w:rFonts w:hint="eastAsia" w:ascii="宋体" w:hAnsi="宋体" w:eastAsia="宋体" w:cs="宋体"/>
          <w:kern w:val="2"/>
          <w:sz w:val="24"/>
          <w:szCs w:val="24"/>
          <w:lang w:val="en-US" w:eastAsia="zh-CN" w:bidi="ar-SA"/>
        </w:rPr>
        <w:t>为了确保产品质量，制定相应的标准规范，《</w:t>
      </w:r>
      <w:r>
        <w:rPr>
          <w:rFonts w:hint="eastAsia" w:ascii="宋体" w:hAnsi="宋体" w:cs="宋体"/>
          <w:kern w:val="2"/>
          <w:sz w:val="24"/>
          <w:szCs w:val="24"/>
          <w:lang w:val="en-US" w:eastAsia="zh-CN" w:bidi="ar-SA"/>
        </w:rPr>
        <w:t>辛酸铑</w:t>
      </w:r>
      <w:r>
        <w:rPr>
          <w:rFonts w:hint="eastAsia" w:ascii="宋体" w:hAnsi="宋体" w:eastAsia="宋体" w:cs="宋体"/>
          <w:kern w:val="2"/>
          <w:sz w:val="24"/>
          <w:szCs w:val="24"/>
          <w:lang w:val="en-US" w:eastAsia="zh-CN" w:bidi="ar-SA"/>
        </w:rPr>
        <w:t>》</w:t>
      </w:r>
      <w:r>
        <w:rPr>
          <w:rFonts w:hint="eastAsia" w:ascii="宋体" w:hAnsi="宋体" w:eastAsia="宋体" w:cs="宋体"/>
          <w:sz w:val="24"/>
        </w:rPr>
        <w:t>准修订所遵循的基本原则：</w:t>
      </w:r>
    </w:p>
    <w:p w14:paraId="764077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1.科学性原则。标准必须符合科学、合理、先进的原则，确保标准内容科学、准确、可靠。</w:t>
      </w:r>
    </w:p>
    <w:p w14:paraId="79E719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2.公正性原则。标准编制必须遵循公正、公开、透明、公平的原则，维护各利益相关者的合法权益。</w:t>
      </w:r>
    </w:p>
    <w:p w14:paraId="0F03E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3.适用性原则。标准必须符合产品实际需求，具有实用性和适用性，能够满足产品设计、生产和使用的实际需求。</w:t>
      </w:r>
    </w:p>
    <w:p w14:paraId="6BFD2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4.可行性原则。标准必须具有可操作性和可实施性，能够被生产者和使用者接受和实施。</w:t>
      </w:r>
    </w:p>
    <w:p w14:paraId="20BD9E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5.技术先进性原则。标准必须体现技术先进性，促进技术创新和技术进步，提高产品质量和安全性。</w:t>
      </w:r>
    </w:p>
    <w:p w14:paraId="3C52F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6.协调性原则。标准必须符合国际和地区标准的协调性，避免相互冲突和重复，促进贸易自由化和技术交流。</w:t>
      </w:r>
    </w:p>
    <w:p w14:paraId="77661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7.法律法规遵循原则。标准必须遵循国家法律、法规和政策，维护国家利益和公共利益。</w:t>
      </w:r>
    </w:p>
    <w:p w14:paraId="2B0A8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kern w:val="2"/>
          <w:sz w:val="24"/>
          <w:szCs w:val="24"/>
          <w:lang w:val="en-US" w:eastAsia="zh-CN" w:bidi="ar-SA"/>
        </w:rPr>
        <w:t>通过以上原则，制定出符合实际需求的产品《</w:t>
      </w:r>
      <w:r>
        <w:rPr>
          <w:rFonts w:hint="eastAsia" w:ascii="宋体" w:hAnsi="宋体" w:cs="宋体"/>
          <w:kern w:val="2"/>
          <w:sz w:val="24"/>
          <w:szCs w:val="24"/>
          <w:lang w:val="en-US" w:eastAsia="zh-CN" w:bidi="ar-SA"/>
        </w:rPr>
        <w:t>辛酸铑</w:t>
      </w:r>
      <w:r>
        <w:rPr>
          <w:rFonts w:hint="eastAsia" w:ascii="宋体" w:hAnsi="宋体" w:eastAsia="宋体" w:cs="宋体"/>
          <w:kern w:val="2"/>
          <w:sz w:val="24"/>
          <w:szCs w:val="24"/>
          <w:lang w:val="en-US" w:eastAsia="zh-CN" w:bidi="ar-SA"/>
        </w:rPr>
        <w:t>》标准，能够提高产品质量和安全性，保障消费者权益，促进产品贸易和技术交流。</w:t>
      </w:r>
    </w:p>
    <w:p w14:paraId="0AE769AA">
      <w:pPr>
        <w:spacing w:line="360" w:lineRule="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三、标准主要内容的确定依据及主要试验和验证情况分析</w:t>
      </w:r>
    </w:p>
    <w:p w14:paraId="33F126DA">
      <w:pPr>
        <w:pStyle w:val="1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本标准</w:t>
      </w:r>
      <w:bookmarkStart w:id="2" w:name="OLE_LINK7"/>
      <w:r>
        <w:rPr>
          <w:rFonts w:hint="eastAsia" w:ascii="宋体" w:hAnsi="宋体" w:eastAsia="宋体" w:cs="宋体"/>
          <w:color w:val="auto"/>
          <w:sz w:val="24"/>
          <w:szCs w:val="24"/>
        </w:rPr>
        <w:t>完全按照GB/T 1.1-2020和GB/T 20001.10-2014产品标准的要求进行格式和结构编写</w:t>
      </w:r>
      <w:bookmarkEnd w:id="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本文件代替</w:t>
      </w:r>
      <w:r>
        <w:rPr>
          <w:rFonts w:hint="eastAsia" w:ascii="宋体" w:hAnsi="宋体" w:eastAsia="宋体" w:cs="宋体"/>
          <w:color w:val="auto"/>
          <w:sz w:val="24"/>
          <w:szCs w:val="24"/>
          <w:lang w:val="en-US" w:eastAsia="zh-CN"/>
        </w:rPr>
        <w:t>YS</w:t>
      </w:r>
      <w:r>
        <w:rPr>
          <w:rFonts w:hint="eastAsia" w:ascii="宋体" w:hAnsi="宋体" w:eastAsia="宋体" w:cs="宋体"/>
          <w:color w:val="auto"/>
          <w:sz w:val="24"/>
          <w:szCs w:val="24"/>
        </w:rPr>
        <w:t xml:space="preserve">/T </w:t>
      </w:r>
      <w:r>
        <w:rPr>
          <w:rFonts w:hint="eastAsia" w:ascii="宋体" w:hAnsi="宋体" w:eastAsia="宋体" w:cs="宋体"/>
          <w:color w:val="auto"/>
          <w:sz w:val="24"/>
          <w:szCs w:val="24"/>
          <w:lang w:val="en-US" w:eastAsia="zh-CN"/>
        </w:rPr>
        <w:t>933</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辛酸铑</w:t>
      </w:r>
      <w:r>
        <w:rPr>
          <w:rFonts w:hint="eastAsia" w:ascii="宋体" w:hAnsi="宋体" w:eastAsia="宋体" w:cs="宋体"/>
          <w:color w:val="auto"/>
          <w:sz w:val="24"/>
          <w:szCs w:val="24"/>
        </w:rPr>
        <w:t>》，与YS/T 9</w:t>
      </w:r>
      <w:r>
        <w:rPr>
          <w:rFonts w:hint="eastAsia" w:hAnsi="宋体" w:cs="宋体"/>
          <w:color w:val="auto"/>
          <w:sz w:val="24"/>
          <w:szCs w:val="24"/>
          <w:lang w:val="en-US" w:eastAsia="zh-CN"/>
        </w:rPr>
        <w:t>33</w:t>
      </w:r>
      <w:r>
        <w:rPr>
          <w:rFonts w:hint="eastAsia" w:ascii="宋体" w:hAnsi="宋体" w:eastAsia="宋体" w:cs="宋体"/>
          <w:color w:val="auto"/>
          <w:sz w:val="24"/>
          <w:szCs w:val="24"/>
        </w:rPr>
        <w:t>-2013相比，除结构调整和编辑性改动外，主要技术变化如下：</w:t>
      </w:r>
    </w:p>
    <w:p w14:paraId="390BD812">
      <w:pPr>
        <w:pStyle w:val="13"/>
        <w:numPr>
          <w:ilvl w:val="0"/>
          <w:numId w:val="4"/>
        </w:numPr>
        <w:spacing w:line="360" w:lineRule="auto"/>
        <w:ind w:firstLineChars="0"/>
        <w:rPr>
          <w:rFonts w:hint="eastAsia" w:hAnsi="宋体" w:eastAsia="宋体" w:cs="Times New Roman"/>
          <w:b/>
          <w:bCs/>
          <w:kern w:val="2"/>
          <w:sz w:val="24"/>
          <w:szCs w:val="24"/>
          <w:lang w:val="en-US" w:eastAsia="zh-CN"/>
        </w:rPr>
      </w:pPr>
      <w:r>
        <w:rPr>
          <w:rFonts w:hint="eastAsia" w:hAnsi="宋体" w:cs="Times New Roman"/>
          <w:kern w:val="2"/>
          <w:szCs w:val="21"/>
          <w:lang w:val="en-US" w:eastAsia="zh-CN"/>
        </w:rPr>
        <w:t xml:space="preserve"> </w:t>
      </w:r>
      <w:r>
        <w:rPr>
          <w:rFonts w:hint="eastAsia" w:ascii="黑体" w:hAnsi="黑体" w:eastAsia="黑体" w:cs="黑体"/>
          <w:bCs/>
          <w:kern w:val="0"/>
          <w:sz w:val="24"/>
          <w:szCs w:val="24"/>
          <w:lang w:val="en-US" w:eastAsia="zh-CN"/>
        </w:rPr>
        <w:t>1.增加了产品标记，对产品进行了标记增加了产品标记中产品名称、化学式、</w:t>
      </w:r>
      <w:r>
        <w:rPr>
          <w:rFonts w:hint="eastAsia" w:ascii="黑体" w:hAnsi="黑体" w:eastAsia="黑体" w:cs="黑体"/>
          <w:bCs/>
          <w:color w:val="FF0000"/>
          <w:kern w:val="0"/>
          <w:sz w:val="24"/>
          <w:szCs w:val="24"/>
          <w:lang w:val="en-US" w:eastAsia="zh-CN"/>
        </w:rPr>
        <w:t>产品标记</w:t>
      </w:r>
      <w:r>
        <w:rPr>
          <w:rFonts w:hint="eastAsia" w:ascii="黑体" w:hAnsi="黑体" w:eastAsia="黑体" w:cs="黑体"/>
          <w:bCs/>
          <w:kern w:val="0"/>
          <w:sz w:val="24"/>
          <w:szCs w:val="24"/>
          <w:lang w:val="en-US" w:eastAsia="zh-CN"/>
        </w:rPr>
        <w:t>（见标准文本4.1）</w:t>
      </w:r>
    </w:p>
    <w:p w14:paraId="30D49869">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37" w:afterAutospacing="0" w:line="360" w:lineRule="auto"/>
        <w:ind w:left="0" w:firstLine="0"/>
        <w:textAlignment w:val="auto"/>
        <w:rPr>
          <w:rFonts w:hint="default" w:ascii="宋体" w:hAnsi="Times New Roman" w:eastAsia="宋体" w:cs="Times New Roman"/>
          <w:color w:val="000000"/>
          <w:kern w:val="0"/>
          <w:sz w:val="24"/>
          <w:szCs w:val="24"/>
          <w:lang w:val="en-US" w:eastAsia="zh-CN" w:bidi="ar-SA"/>
        </w:rPr>
      </w:pPr>
      <w:r>
        <w:rPr>
          <w:rFonts w:hint="eastAsia" w:hAnsi="宋体" w:eastAsia="宋体" w:cs="Times New Roman"/>
          <w:b/>
          <w:bCs/>
          <w:kern w:val="2"/>
          <w:sz w:val="24"/>
          <w:szCs w:val="24"/>
          <w:lang w:val="en-US" w:eastAsia="zh-CN"/>
        </w:rPr>
        <w:t>编制依据</w:t>
      </w:r>
      <w:r>
        <w:rPr>
          <w:rFonts w:hint="eastAsia" w:hAnsi="宋体" w:cs="Times New Roman"/>
          <w:b/>
          <w:bCs/>
          <w:kern w:val="2"/>
          <w:sz w:val="24"/>
          <w:szCs w:val="24"/>
          <w:lang w:val="en-US" w:eastAsia="zh-CN"/>
        </w:rPr>
        <w:t>：</w:t>
      </w:r>
      <w:r>
        <w:rPr>
          <w:rFonts w:hint="eastAsia" w:ascii="宋体" w:hAnsi="Times New Roman" w:eastAsia="宋体" w:cs="Times New Roman"/>
          <w:color w:val="000000"/>
          <w:kern w:val="0"/>
          <w:sz w:val="24"/>
          <w:szCs w:val="24"/>
          <w:lang w:val="en-US" w:eastAsia="zh-CN" w:bidi="ar-SA"/>
        </w:rPr>
        <w:t>产品标记作为产品信息的重要载体，不仅承载着产品的名称、规格、型号等基本信息，还关乎着产品的安全、质量、合规等方面。在《辛酸铑》标准，产品标记中添加产品名称及</w:t>
      </w:r>
      <w:r>
        <w:rPr>
          <w:rFonts w:hint="eastAsia" w:ascii="黑体" w:hAnsi="黑体" w:eastAsia="黑体" w:cs="黑体"/>
          <w:bCs/>
          <w:color w:val="FF0000"/>
          <w:kern w:val="0"/>
          <w:sz w:val="24"/>
          <w:szCs w:val="24"/>
          <w:lang w:val="en-US" w:eastAsia="zh-CN"/>
        </w:rPr>
        <w:t>产品标记</w:t>
      </w:r>
      <w:r>
        <w:rPr>
          <w:rFonts w:hint="eastAsia" w:ascii="宋体" w:hAnsi="Times New Roman" w:eastAsia="宋体" w:cs="Times New Roman"/>
          <w:color w:val="000000"/>
          <w:kern w:val="0"/>
          <w:sz w:val="24"/>
          <w:szCs w:val="24"/>
          <w:lang w:val="en-US" w:eastAsia="zh-CN" w:bidi="ar-SA"/>
        </w:rPr>
        <w:t>，有助于消费者快速识别和记忆产品。</w:t>
      </w:r>
      <w:r>
        <w:rPr>
          <w:rFonts w:hint="default" w:ascii="宋体" w:hAnsi="Times New Roman" w:eastAsia="宋体" w:cs="Times New Roman"/>
          <w:color w:val="000000"/>
          <w:kern w:val="0"/>
          <w:sz w:val="24"/>
          <w:szCs w:val="24"/>
          <w:lang w:val="en-US" w:eastAsia="zh-CN" w:bidi="ar-SA"/>
        </w:rPr>
        <w:t>增加标准编号有助于提高产品合规性</w:t>
      </w:r>
      <w:r>
        <w:rPr>
          <w:rFonts w:hint="eastAsia" w:ascii="宋体" w:hAnsi="Times New Roman" w:eastAsia="宋体" w:cs="Times New Roman"/>
          <w:color w:val="000000"/>
          <w:kern w:val="0"/>
          <w:sz w:val="24"/>
          <w:szCs w:val="24"/>
          <w:lang w:val="en-US" w:eastAsia="zh-CN" w:bidi="ar-SA"/>
        </w:rPr>
        <w:t>，</w:t>
      </w:r>
      <w:r>
        <w:rPr>
          <w:rFonts w:hint="default" w:ascii="宋体" w:hAnsi="Times New Roman" w:eastAsia="宋体" w:cs="Times New Roman"/>
          <w:color w:val="000000"/>
          <w:kern w:val="0"/>
          <w:sz w:val="24"/>
          <w:szCs w:val="24"/>
          <w:lang w:val="en-US" w:eastAsia="zh-CN" w:bidi="ar-SA"/>
        </w:rPr>
        <w:t>提升产品在市场上的竞争力</w:t>
      </w:r>
      <w:r>
        <w:rPr>
          <w:rFonts w:hint="eastAsia" w:ascii="宋体" w:hAnsi="Times New Roman" w:eastAsia="宋体" w:cs="Times New Roman"/>
          <w:color w:val="000000"/>
          <w:kern w:val="0"/>
          <w:sz w:val="24"/>
          <w:szCs w:val="24"/>
          <w:lang w:val="en-US" w:eastAsia="zh-CN" w:bidi="ar-SA"/>
        </w:rPr>
        <w:t>，同时</w:t>
      </w:r>
      <w:r>
        <w:rPr>
          <w:rFonts w:hint="default" w:ascii="宋体" w:hAnsi="Times New Roman" w:eastAsia="宋体" w:cs="Times New Roman"/>
          <w:color w:val="000000"/>
          <w:kern w:val="0"/>
          <w:sz w:val="24"/>
          <w:szCs w:val="24"/>
          <w:lang w:val="en-US" w:eastAsia="zh-CN" w:bidi="ar-SA"/>
        </w:rPr>
        <w:t>标准编号为产品追溯提供依据，增加标准编号</w:t>
      </w:r>
      <w:r>
        <w:rPr>
          <w:rFonts w:hint="eastAsia" w:ascii="宋体" w:hAnsi="Times New Roman" w:eastAsia="宋体" w:cs="Times New Roman"/>
          <w:color w:val="000000"/>
          <w:kern w:val="0"/>
          <w:sz w:val="24"/>
          <w:szCs w:val="24"/>
          <w:lang w:val="en-US" w:eastAsia="zh-CN" w:bidi="ar-SA"/>
        </w:rPr>
        <w:t>也</w:t>
      </w:r>
      <w:r>
        <w:rPr>
          <w:rFonts w:hint="default" w:ascii="宋体" w:hAnsi="Times New Roman" w:eastAsia="宋体" w:cs="Times New Roman"/>
          <w:color w:val="000000"/>
          <w:kern w:val="0"/>
          <w:sz w:val="24"/>
          <w:szCs w:val="24"/>
          <w:lang w:val="en-US" w:eastAsia="zh-CN" w:bidi="ar-SA"/>
        </w:rPr>
        <w:t>有助于企业进行产品质量管理。</w:t>
      </w:r>
    </w:p>
    <w:p w14:paraId="2621D3A9">
      <w:pPr>
        <w:pStyle w:val="13"/>
        <w:spacing w:line="360" w:lineRule="auto"/>
        <w:ind w:firstLine="420"/>
        <w:rPr>
          <w:rFonts w:hint="default" w:ascii="宋体" w:hAnsi="Times New Roman" w:eastAsia="宋体" w:cs="Times New Roman"/>
          <w:color w:val="FF0000"/>
          <w:kern w:val="0"/>
          <w:sz w:val="24"/>
          <w:szCs w:val="24"/>
          <w:lang w:val="en-US" w:eastAsia="zh-CN" w:bidi="ar-SA"/>
        </w:rPr>
      </w:pPr>
      <w:r>
        <w:rPr>
          <w:rFonts w:hint="eastAsia" w:ascii="宋体" w:hAnsi="Times New Roman" w:eastAsia="宋体" w:cs="Times New Roman"/>
          <w:color w:val="FF0000"/>
          <w:kern w:val="0"/>
          <w:sz w:val="24"/>
          <w:szCs w:val="24"/>
          <w:lang w:val="en-US" w:eastAsia="zh-CN" w:bidi="ar-SA"/>
        </w:rPr>
        <w:t>有机物特点为同分异构现象，结构不同，性能也不同，修订时规定了辛酸铑二聚体的结构如下图</w:t>
      </w:r>
      <w:r>
        <w:rPr>
          <w:rFonts w:hint="default" w:ascii="宋体" w:hAnsi="Times New Roman" w:eastAsia="宋体" w:cs="Times New Roman"/>
          <w:color w:val="FF0000"/>
          <w:kern w:val="0"/>
          <w:sz w:val="24"/>
          <w:szCs w:val="24"/>
          <w:lang w:val="en-US" w:eastAsia="zh-CN" w:bidi="ar-SA"/>
        </w:rPr>
        <w:t>。</w:t>
      </w:r>
    </w:p>
    <w:p w14:paraId="32054FF4">
      <w:pPr>
        <w:pStyle w:val="13"/>
        <w:spacing w:line="360" w:lineRule="auto"/>
        <w:ind w:firstLine="420"/>
        <w:rPr>
          <w:rFonts w:hint="default" w:ascii="宋体" w:hAnsi="Times New Roman" w:eastAsia="宋体" w:cs="Times New Roman"/>
          <w:color w:val="FF0000"/>
          <w:kern w:val="0"/>
          <w:sz w:val="24"/>
          <w:szCs w:val="24"/>
          <w:lang w:val="en-US" w:eastAsia="zh-CN" w:bidi="ar-SA"/>
        </w:rPr>
      </w:pPr>
      <w:r>
        <w:drawing>
          <wp:inline distT="0" distB="0" distL="114300" distR="114300">
            <wp:extent cx="3670935" cy="2026285"/>
            <wp:effectExtent l="0" t="0" r="1206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670935" cy="2026285"/>
                    </a:xfrm>
                    <a:prstGeom prst="rect">
                      <a:avLst/>
                    </a:prstGeom>
                    <a:noFill/>
                    <a:ln>
                      <a:noFill/>
                    </a:ln>
                  </pic:spPr>
                </pic:pic>
              </a:graphicData>
            </a:graphic>
          </wp:inline>
        </w:drawing>
      </w:r>
    </w:p>
    <w:p w14:paraId="62EA9ACA">
      <w:pPr>
        <w:pStyle w:val="13"/>
        <w:numPr>
          <w:ilvl w:val="0"/>
          <w:numId w:val="4"/>
        </w:numPr>
        <w:spacing w:line="360" w:lineRule="auto"/>
        <w:ind w:firstLineChars="0"/>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2.增加了辛酸铑纯度的规定 (见5.1中表１）</w:t>
      </w:r>
    </w:p>
    <w:p w14:paraId="096B037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hAnsi="宋体" w:eastAsia="宋体" w:cs="Times New Roman"/>
          <w:b/>
          <w:bCs/>
          <w:kern w:val="2"/>
          <w:sz w:val="24"/>
          <w:szCs w:val="24"/>
          <w:lang w:val="en-US" w:eastAsia="zh-CN"/>
        </w:rPr>
        <w:t>编制依据</w:t>
      </w:r>
      <w:r>
        <w:rPr>
          <w:rFonts w:hint="eastAsia" w:hAnsi="宋体" w:cs="Times New Roman"/>
          <w:b/>
          <w:bCs/>
          <w:kern w:val="2"/>
          <w:sz w:val="24"/>
          <w:szCs w:val="24"/>
          <w:lang w:val="en-US" w:eastAsia="zh-CN"/>
        </w:rPr>
        <w:t>：</w:t>
      </w:r>
      <w:r>
        <w:rPr>
          <w:rFonts w:ascii="宋体" w:hAnsi="宋体" w:eastAsia="宋体" w:cs="宋体"/>
          <w:sz w:val="24"/>
          <w:szCs w:val="24"/>
        </w:rPr>
        <w:t>辛酸铑是一种以羧基为桥基配体的双核二价铑，属于新型的贵金属均相催化剂，在环丙烷化</w:t>
      </w:r>
      <w:r>
        <w:rPr>
          <w:rFonts w:hint="eastAsia" w:ascii="宋体" w:hAnsi="宋体" w:cs="宋体"/>
          <w:sz w:val="24"/>
          <w:szCs w:val="24"/>
          <w:lang w:eastAsia="zh-CN"/>
        </w:rPr>
        <w:t>、</w:t>
      </w:r>
      <w:r>
        <w:rPr>
          <w:rFonts w:ascii="宋体" w:hAnsi="宋体" w:eastAsia="宋体" w:cs="宋体"/>
          <w:sz w:val="24"/>
          <w:szCs w:val="24"/>
        </w:rPr>
        <w:t>氢甲酰化等反应中催化效果突出。同时辛酸铑还作为很多复杂催化剂的前体</w:t>
      </w:r>
      <w:r>
        <w:rPr>
          <w:rFonts w:hint="eastAsia" w:ascii="宋体" w:hAnsi="宋体" w:cs="宋体"/>
          <w:sz w:val="24"/>
          <w:szCs w:val="24"/>
          <w:lang w:eastAsia="zh-CN"/>
        </w:rPr>
        <w:t>，</w:t>
      </w:r>
      <w:r>
        <w:rPr>
          <w:rFonts w:ascii="宋体" w:hAnsi="宋体" w:eastAsia="宋体" w:cs="宋体"/>
          <w:sz w:val="24"/>
          <w:szCs w:val="24"/>
        </w:rPr>
        <w:t>用于合成各种不对称铑催化剂等，在化工和医药碳青霉烯类抗生素产品的化学合成有着重要的作用。目前,辛酸铑只标示产品中铑的含量 ,不能直接</w:t>
      </w:r>
      <w:r>
        <w:rPr>
          <w:rFonts w:hint="eastAsia" w:ascii="宋体" w:hAnsi="宋体" w:cs="宋体"/>
          <w:sz w:val="24"/>
          <w:szCs w:val="24"/>
          <w:lang w:val="en-US" w:eastAsia="zh-CN"/>
        </w:rPr>
        <w:t>反应</w:t>
      </w:r>
      <w:r>
        <w:rPr>
          <w:rFonts w:ascii="宋体" w:hAnsi="宋体" w:eastAsia="宋体" w:cs="宋体"/>
          <w:sz w:val="24"/>
          <w:szCs w:val="24"/>
        </w:rPr>
        <w:t>辛酸铑的纯度</w:t>
      </w:r>
      <w:r>
        <w:rPr>
          <w:rFonts w:hint="eastAsia" w:ascii="宋体" w:hAnsi="宋体" w:cs="宋体"/>
          <w:sz w:val="24"/>
          <w:szCs w:val="24"/>
          <w:lang w:eastAsia="zh-CN"/>
        </w:rPr>
        <w:t>，</w:t>
      </w:r>
      <w:r>
        <w:rPr>
          <w:rFonts w:ascii="宋体" w:hAnsi="宋体" w:eastAsia="宋体" w:cs="宋体"/>
          <w:sz w:val="24"/>
          <w:szCs w:val="24"/>
        </w:rPr>
        <w:t xml:space="preserve">为此, </w:t>
      </w:r>
      <w:r>
        <w:rPr>
          <w:rFonts w:hint="eastAsia" w:ascii="宋体" w:hAnsi="宋体" w:cs="宋体"/>
          <w:sz w:val="24"/>
          <w:szCs w:val="24"/>
          <w:lang w:val="en-US" w:eastAsia="zh-CN"/>
        </w:rPr>
        <w:t>辛酸铑标准</w:t>
      </w:r>
      <w:r>
        <w:rPr>
          <w:rFonts w:ascii="宋体" w:hAnsi="宋体" w:eastAsia="宋体" w:cs="宋体"/>
          <w:sz w:val="24"/>
          <w:szCs w:val="24"/>
        </w:rPr>
        <w:t>很有必要</w:t>
      </w:r>
      <w:r>
        <w:rPr>
          <w:rFonts w:hint="eastAsia" w:ascii="宋体" w:hAnsi="宋体" w:cs="宋体"/>
          <w:sz w:val="24"/>
          <w:szCs w:val="24"/>
          <w:lang w:val="en-US" w:eastAsia="zh-CN"/>
        </w:rPr>
        <w:t>增加</w:t>
      </w:r>
      <w:r>
        <w:rPr>
          <w:rFonts w:ascii="宋体" w:hAnsi="宋体" w:eastAsia="宋体" w:cs="宋体"/>
          <w:sz w:val="24"/>
          <w:szCs w:val="24"/>
        </w:rPr>
        <w:t>辛酸铑</w:t>
      </w:r>
      <w:r>
        <w:rPr>
          <w:rFonts w:hint="eastAsia" w:ascii="宋体" w:hAnsi="宋体" w:cs="宋体"/>
          <w:sz w:val="24"/>
          <w:szCs w:val="24"/>
          <w:lang w:val="en-US" w:eastAsia="zh-CN"/>
        </w:rPr>
        <w:t>纯度指标</w:t>
      </w:r>
      <w:r>
        <w:rPr>
          <w:rFonts w:ascii="宋体" w:hAnsi="宋体" w:eastAsia="宋体" w:cs="宋体"/>
          <w:sz w:val="24"/>
          <w:szCs w:val="24"/>
        </w:rPr>
        <w:t xml:space="preserve"> 。本</w:t>
      </w:r>
      <w:r>
        <w:rPr>
          <w:rFonts w:hint="eastAsia" w:ascii="宋体" w:hAnsi="宋体" w:cs="宋体"/>
          <w:sz w:val="24"/>
          <w:szCs w:val="24"/>
          <w:lang w:val="en-US" w:eastAsia="zh-CN"/>
        </w:rPr>
        <w:t>次修订标准采用</w:t>
      </w:r>
      <w:r>
        <w:rPr>
          <w:rFonts w:ascii="宋体" w:hAnsi="宋体" w:eastAsia="宋体" w:cs="宋体"/>
          <w:sz w:val="24"/>
          <w:szCs w:val="24"/>
        </w:rPr>
        <w:t>高效液相色谱法测定均相催化剂辛酸铑 ,为辛酸铑的质量控制提供了可靠数据。</w:t>
      </w:r>
      <w:r>
        <w:rPr>
          <w:rFonts w:hint="eastAsia" w:ascii="宋体" w:hAnsi="宋体" w:cs="宋体"/>
          <w:sz w:val="24"/>
          <w:szCs w:val="24"/>
          <w:lang w:val="en-US" w:eastAsia="zh-CN"/>
        </w:rPr>
        <w:t>根据铑质量分数和纯度的对应关系，故本次修订时将纯度规定为不小于95%。</w:t>
      </w:r>
    </w:p>
    <w:p w14:paraId="78567E32">
      <w:pPr>
        <w:pStyle w:val="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以下为不同客户提出对辛酸铑纯度的要求见表3。</w:t>
      </w:r>
    </w:p>
    <w:p w14:paraId="6384BF7C">
      <w:pPr>
        <w:pStyle w:val="3"/>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表3 不同客户提出对辛酸铑纯度的要求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55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95BB5F2">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A</w:t>
            </w:r>
            <w:r>
              <w:rPr>
                <w:rFonts w:hint="eastAsia" w:ascii="宋体" w:hAnsi="宋体" w:eastAsia="宋体" w:cs="宋体"/>
                <w:kern w:val="2"/>
                <w:sz w:val="24"/>
                <w:szCs w:val="24"/>
                <w:lang w:val="en-US" w:eastAsia="zh-CN" w:bidi="ar-SA"/>
              </w:rPr>
              <w:t>客户</w:t>
            </w:r>
          </w:p>
        </w:tc>
        <w:tc>
          <w:tcPr>
            <w:tcW w:w="1704" w:type="dxa"/>
          </w:tcPr>
          <w:p w14:paraId="0AAB3357">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B</w:t>
            </w:r>
            <w:r>
              <w:rPr>
                <w:rFonts w:hint="eastAsia" w:ascii="宋体" w:hAnsi="宋体" w:eastAsia="宋体" w:cs="宋体"/>
                <w:kern w:val="2"/>
                <w:sz w:val="24"/>
                <w:szCs w:val="24"/>
                <w:lang w:val="en-US" w:eastAsia="zh-CN" w:bidi="ar-SA"/>
              </w:rPr>
              <w:t>客户</w:t>
            </w:r>
          </w:p>
        </w:tc>
        <w:tc>
          <w:tcPr>
            <w:tcW w:w="1704" w:type="dxa"/>
          </w:tcPr>
          <w:p w14:paraId="6D285254">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C</w:t>
            </w:r>
            <w:r>
              <w:rPr>
                <w:rFonts w:hint="eastAsia" w:ascii="宋体" w:hAnsi="宋体" w:eastAsia="宋体" w:cs="宋体"/>
                <w:kern w:val="2"/>
                <w:sz w:val="24"/>
                <w:szCs w:val="24"/>
                <w:lang w:val="en-US" w:eastAsia="zh-CN" w:bidi="ar-SA"/>
              </w:rPr>
              <w:t>客户</w:t>
            </w:r>
          </w:p>
        </w:tc>
        <w:tc>
          <w:tcPr>
            <w:tcW w:w="1705" w:type="dxa"/>
          </w:tcPr>
          <w:p w14:paraId="32AA1D9F">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D</w:t>
            </w:r>
            <w:r>
              <w:rPr>
                <w:rFonts w:hint="eastAsia" w:ascii="宋体" w:hAnsi="宋体" w:eastAsia="宋体" w:cs="宋体"/>
                <w:kern w:val="2"/>
                <w:sz w:val="24"/>
                <w:szCs w:val="24"/>
                <w:lang w:val="en-US" w:eastAsia="zh-CN" w:bidi="ar-SA"/>
              </w:rPr>
              <w:t>客户</w:t>
            </w:r>
          </w:p>
        </w:tc>
        <w:tc>
          <w:tcPr>
            <w:tcW w:w="1705" w:type="dxa"/>
          </w:tcPr>
          <w:p w14:paraId="4D880481">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E客户</w:t>
            </w:r>
          </w:p>
        </w:tc>
      </w:tr>
      <w:tr w14:paraId="2F94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312304A">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纯度要求</w:t>
            </w:r>
          </w:p>
        </w:tc>
        <w:tc>
          <w:tcPr>
            <w:tcW w:w="1704" w:type="dxa"/>
          </w:tcPr>
          <w:p w14:paraId="566B6B27">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纯度要求</w:t>
            </w:r>
          </w:p>
        </w:tc>
        <w:tc>
          <w:tcPr>
            <w:tcW w:w="1704" w:type="dxa"/>
          </w:tcPr>
          <w:p w14:paraId="18CBBBFD">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纯度要求</w:t>
            </w:r>
          </w:p>
        </w:tc>
        <w:tc>
          <w:tcPr>
            <w:tcW w:w="1705" w:type="dxa"/>
          </w:tcPr>
          <w:p w14:paraId="31D7A31B">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纯度要求</w:t>
            </w:r>
          </w:p>
        </w:tc>
        <w:tc>
          <w:tcPr>
            <w:tcW w:w="1705" w:type="dxa"/>
          </w:tcPr>
          <w:p w14:paraId="30640718">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纯度要求</w:t>
            </w:r>
          </w:p>
        </w:tc>
      </w:tr>
      <w:tr w14:paraId="142A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5B9E709">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99%</w:t>
            </w:r>
          </w:p>
        </w:tc>
        <w:tc>
          <w:tcPr>
            <w:tcW w:w="1704" w:type="dxa"/>
          </w:tcPr>
          <w:p w14:paraId="76B6AF3D">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95%</w:t>
            </w:r>
          </w:p>
        </w:tc>
        <w:tc>
          <w:tcPr>
            <w:tcW w:w="1704" w:type="dxa"/>
          </w:tcPr>
          <w:p w14:paraId="67404C4B">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95%</w:t>
            </w:r>
          </w:p>
        </w:tc>
        <w:tc>
          <w:tcPr>
            <w:tcW w:w="1705" w:type="dxa"/>
          </w:tcPr>
          <w:p w14:paraId="6B85C94A">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＞98%</w:t>
            </w:r>
          </w:p>
        </w:tc>
        <w:tc>
          <w:tcPr>
            <w:tcW w:w="1705" w:type="dxa"/>
          </w:tcPr>
          <w:p w14:paraId="00C0A1E9">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99%</w:t>
            </w:r>
          </w:p>
        </w:tc>
      </w:tr>
    </w:tbl>
    <w:p w14:paraId="0BD0BE7E">
      <w:pPr>
        <w:pStyle w:val="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kern w:val="2"/>
          <w:sz w:val="24"/>
          <w:szCs w:val="24"/>
          <w:lang w:val="en-US" w:eastAsia="zh-CN" w:bidi="ar-SA"/>
        </w:rPr>
      </w:pPr>
    </w:p>
    <w:p w14:paraId="15619BD8">
      <w:pPr>
        <w:pStyle w:val="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Times New Roman" w:eastAsia="宋体" w:cs="Times New Roman"/>
          <w:color w:val="000000"/>
          <w:kern w:val="0"/>
          <w:sz w:val="24"/>
          <w:szCs w:val="24"/>
          <w:lang w:val="en-US" w:eastAsia="zh-CN" w:bidi="ar-SA"/>
        </w:rPr>
      </w:pPr>
      <w:r>
        <w:rPr>
          <w:rFonts w:hint="eastAsia" w:ascii="宋体" w:hAnsi="宋体" w:eastAsia="宋体" w:cs="宋体"/>
          <w:kern w:val="2"/>
          <w:sz w:val="24"/>
          <w:szCs w:val="24"/>
          <w:lang w:val="en-US" w:eastAsia="zh-CN" w:bidi="ar-SA"/>
        </w:rPr>
        <w:t>在大规模工业应用上，产品不一定追求纯度越高越好，不同纯度等级对应不同的价格，各使用厂家根据自己的使用要求、使用水平、工况条件、经济因素等，都会选择不同等级的催化剂</w:t>
      </w:r>
      <w:r>
        <w:rPr>
          <w:rFonts w:hint="eastAsia" w:ascii="宋体" w:hAnsi="Times New Roman" w:eastAsia="宋体" w:cs="Times New Roman"/>
          <w:color w:val="000000"/>
          <w:kern w:val="0"/>
          <w:sz w:val="24"/>
          <w:szCs w:val="24"/>
          <w:lang w:val="en-US" w:eastAsia="zh-CN" w:bidi="ar-SA"/>
        </w:rPr>
        <w:t>。</w:t>
      </w:r>
    </w:p>
    <w:p w14:paraId="4590060D">
      <w:pPr>
        <w:pStyle w:val="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kern w:val="2"/>
          <w:sz w:val="24"/>
          <w:szCs w:val="24"/>
          <w:lang w:val="en-US" w:eastAsia="zh-CN" w:bidi="ar-SA"/>
        </w:rPr>
        <w:t>调研了</w:t>
      </w:r>
      <w:r>
        <w:rPr>
          <w:rFonts w:hint="eastAsia" w:ascii="宋体" w:hAnsi="宋体" w:cs="宋体"/>
          <w:kern w:val="2"/>
          <w:sz w:val="24"/>
          <w:szCs w:val="24"/>
          <w:lang w:val="en-US" w:eastAsia="zh-CN" w:bidi="ar-SA"/>
        </w:rPr>
        <w:t>行业内代表性的</w:t>
      </w:r>
      <w:r>
        <w:rPr>
          <w:rFonts w:hint="eastAsia" w:ascii="宋体" w:hAnsi="宋体" w:eastAsia="宋体" w:cs="宋体"/>
          <w:kern w:val="2"/>
          <w:sz w:val="24"/>
          <w:szCs w:val="24"/>
          <w:lang w:val="en-US" w:eastAsia="zh-CN" w:bidi="ar-SA"/>
        </w:rPr>
        <w:t>生产厂家生产水平情况，</w:t>
      </w:r>
      <w:r>
        <w:rPr>
          <w:rFonts w:hint="eastAsia" w:ascii="宋体" w:hAnsi="Times New Roman" w:eastAsia="宋体" w:cs="Times New Roman"/>
          <w:color w:val="000000"/>
          <w:kern w:val="0"/>
          <w:sz w:val="24"/>
          <w:szCs w:val="24"/>
          <w:lang w:val="en-US" w:eastAsia="zh-CN" w:bidi="ar-SA"/>
        </w:rPr>
        <w:t>不同生产厂家生产的</w:t>
      </w:r>
      <w:r>
        <w:rPr>
          <w:rFonts w:hint="eastAsia" w:ascii="宋体" w:cs="Times New Roman"/>
          <w:color w:val="000000"/>
          <w:kern w:val="0"/>
          <w:sz w:val="24"/>
          <w:szCs w:val="24"/>
          <w:lang w:val="en-US" w:eastAsia="zh-CN" w:bidi="ar-SA"/>
        </w:rPr>
        <w:t>辛酸铑</w:t>
      </w:r>
      <w:r>
        <w:rPr>
          <w:rFonts w:hint="eastAsia" w:ascii="宋体" w:hAnsi="Times New Roman" w:eastAsia="宋体" w:cs="Times New Roman"/>
          <w:color w:val="000000"/>
          <w:kern w:val="0"/>
          <w:sz w:val="24"/>
          <w:szCs w:val="24"/>
          <w:lang w:val="en-US" w:eastAsia="zh-CN" w:bidi="ar-SA"/>
        </w:rPr>
        <w:t>纯度见下表</w:t>
      </w:r>
      <w:r>
        <w:rPr>
          <w:rFonts w:hint="eastAsia" w:ascii="宋体" w:hAnsi="宋体" w:eastAsia="宋体" w:cs="宋体"/>
          <w:color w:val="000000"/>
          <w:kern w:val="0"/>
          <w:sz w:val="24"/>
          <w:szCs w:val="24"/>
          <w:lang w:val="en-US" w:eastAsia="zh-CN" w:bidi="ar-SA"/>
        </w:rPr>
        <w:t>（见表4）</w:t>
      </w:r>
    </w:p>
    <w:p w14:paraId="7B6DDD9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eastAsia="zh-TW"/>
        </w:rPr>
        <w:t>表</w:t>
      </w:r>
      <w:r>
        <w:rPr>
          <w:rFonts w:hint="eastAsia" w:ascii="黑体" w:hAnsi="黑体" w:eastAsia="黑体" w:cs="黑体"/>
          <w:kern w:val="0"/>
          <w:sz w:val="21"/>
          <w:szCs w:val="21"/>
          <w:lang w:val="en-US" w:eastAsia="zh-CN"/>
        </w:rPr>
        <w:t>4</w:t>
      </w:r>
      <w:r>
        <w:rPr>
          <w:rFonts w:hint="eastAsia" w:ascii="黑体" w:hAnsi="黑体" w:eastAsia="黑体" w:cs="黑体"/>
          <w:kern w:val="0"/>
          <w:sz w:val="21"/>
          <w:szCs w:val="21"/>
          <w:lang w:eastAsia="zh-TW"/>
        </w:rPr>
        <w:t xml:space="preserve"> 不同生产厂家</w:t>
      </w:r>
      <w:r>
        <w:rPr>
          <w:rFonts w:hint="eastAsia" w:ascii="黑体" w:hAnsi="黑体" w:eastAsia="黑体" w:cs="黑体"/>
          <w:kern w:val="0"/>
          <w:sz w:val="21"/>
          <w:szCs w:val="21"/>
          <w:lang w:val="en-US" w:eastAsia="zh-CN"/>
        </w:rPr>
        <w:t>生产的辛酸铑纯度</w:t>
      </w:r>
    </w:p>
    <w:tbl>
      <w:tblPr>
        <w:tblStyle w:val="8"/>
        <w:tblpPr w:leftFromText="180" w:rightFromText="180" w:vertAnchor="text" w:horzAnchor="page" w:tblpX="3242" w:tblpY="5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tblGrid>
      <w:tr w14:paraId="3CAE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14:paraId="4AF1CF5A">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A</w:t>
            </w:r>
            <w:r>
              <w:rPr>
                <w:rFonts w:hint="eastAsia" w:ascii="宋体" w:hAnsi="宋体" w:eastAsia="宋体" w:cs="宋体"/>
                <w:kern w:val="2"/>
                <w:sz w:val="24"/>
                <w:szCs w:val="24"/>
                <w:lang w:val="en-US" w:eastAsia="zh-CN" w:bidi="ar-SA"/>
              </w:rPr>
              <w:t>厂家</w:t>
            </w:r>
          </w:p>
        </w:tc>
        <w:tc>
          <w:tcPr>
            <w:tcW w:w="1704" w:type="dxa"/>
          </w:tcPr>
          <w:p w14:paraId="0B571E84">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B</w:t>
            </w:r>
            <w:r>
              <w:rPr>
                <w:rFonts w:hint="eastAsia" w:ascii="宋体" w:hAnsi="宋体" w:eastAsia="宋体" w:cs="宋体"/>
                <w:kern w:val="2"/>
                <w:sz w:val="24"/>
                <w:szCs w:val="24"/>
                <w:lang w:val="en-US" w:eastAsia="zh-CN" w:bidi="ar-SA"/>
              </w:rPr>
              <w:t>厂家</w:t>
            </w:r>
          </w:p>
        </w:tc>
        <w:tc>
          <w:tcPr>
            <w:tcW w:w="1704" w:type="dxa"/>
          </w:tcPr>
          <w:p w14:paraId="2C909523">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C</w:t>
            </w:r>
            <w:r>
              <w:rPr>
                <w:rFonts w:hint="eastAsia" w:ascii="宋体" w:hAnsi="宋体" w:eastAsia="宋体" w:cs="宋体"/>
                <w:kern w:val="2"/>
                <w:sz w:val="24"/>
                <w:szCs w:val="24"/>
                <w:lang w:val="en-US" w:eastAsia="zh-CN" w:bidi="ar-SA"/>
              </w:rPr>
              <w:t>厂家</w:t>
            </w:r>
          </w:p>
        </w:tc>
        <w:tc>
          <w:tcPr>
            <w:tcW w:w="1705" w:type="dxa"/>
          </w:tcPr>
          <w:p w14:paraId="64D26EFB">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D</w:t>
            </w:r>
            <w:r>
              <w:rPr>
                <w:rFonts w:hint="eastAsia" w:ascii="宋体" w:hAnsi="宋体" w:eastAsia="宋体" w:cs="宋体"/>
                <w:kern w:val="2"/>
                <w:sz w:val="24"/>
                <w:szCs w:val="24"/>
                <w:lang w:val="en-US" w:eastAsia="zh-CN" w:bidi="ar-SA"/>
              </w:rPr>
              <w:t>厂家</w:t>
            </w:r>
          </w:p>
        </w:tc>
      </w:tr>
      <w:tr w14:paraId="0643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EB63200">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w:t>
            </w:r>
          </w:p>
        </w:tc>
        <w:tc>
          <w:tcPr>
            <w:tcW w:w="1704" w:type="dxa"/>
          </w:tcPr>
          <w:p w14:paraId="7CEDEC73">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w:t>
            </w:r>
          </w:p>
        </w:tc>
        <w:tc>
          <w:tcPr>
            <w:tcW w:w="1704" w:type="dxa"/>
          </w:tcPr>
          <w:p w14:paraId="1891EC1B">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w:t>
            </w:r>
          </w:p>
        </w:tc>
        <w:tc>
          <w:tcPr>
            <w:tcW w:w="1705" w:type="dxa"/>
          </w:tcPr>
          <w:p w14:paraId="476FE354">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纯度</w:t>
            </w:r>
          </w:p>
        </w:tc>
      </w:tr>
      <w:tr w14:paraId="02F9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5988884">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99%</w:t>
            </w:r>
          </w:p>
        </w:tc>
        <w:tc>
          <w:tcPr>
            <w:tcW w:w="1704" w:type="dxa"/>
          </w:tcPr>
          <w:p w14:paraId="261217C5">
            <w:pPr>
              <w:pStyle w:val="3"/>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97%</w:t>
            </w:r>
          </w:p>
        </w:tc>
        <w:tc>
          <w:tcPr>
            <w:tcW w:w="1704" w:type="dxa"/>
          </w:tcPr>
          <w:p w14:paraId="770B49A0">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95%</w:t>
            </w:r>
          </w:p>
        </w:tc>
        <w:tc>
          <w:tcPr>
            <w:tcW w:w="1705" w:type="dxa"/>
          </w:tcPr>
          <w:p w14:paraId="17E28691">
            <w:pPr>
              <w:pStyle w:val="3"/>
              <w:keepNext w:val="0"/>
              <w:keepLines w:val="0"/>
              <w:pageBreakBefore w:val="0"/>
              <w:kinsoku/>
              <w:wordWrap/>
              <w:overflowPunct/>
              <w:topLinePunct w:val="0"/>
              <w:bidi w:val="0"/>
              <w:spacing w:line="360" w:lineRule="auto"/>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＞98%</w:t>
            </w:r>
          </w:p>
        </w:tc>
      </w:tr>
    </w:tbl>
    <w:p w14:paraId="4FF02B2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default" w:ascii="黑体" w:hAnsi="黑体" w:eastAsia="黑体" w:cs="黑体"/>
          <w:kern w:val="0"/>
          <w:sz w:val="21"/>
          <w:szCs w:val="21"/>
          <w:lang w:val="en-US" w:eastAsia="zh-CN"/>
        </w:rPr>
      </w:pPr>
    </w:p>
    <w:p w14:paraId="30A5C26B">
      <w:pPr>
        <w:pStyle w:val="13"/>
        <w:keepNext w:val="0"/>
        <w:keepLines w:val="0"/>
        <w:pageBreakBefore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hAnsi="宋体"/>
          <w:color w:val="000000"/>
          <w:kern w:val="2"/>
          <w:sz w:val="24"/>
          <w:szCs w:val="24"/>
          <w:lang w:val="en-US" w:eastAsia="zh-CN"/>
        </w:rPr>
      </w:pPr>
    </w:p>
    <w:p w14:paraId="0BA4EA1C">
      <w:pPr>
        <w:pStyle w:val="13"/>
        <w:keepNext w:val="0"/>
        <w:keepLines w:val="0"/>
        <w:pageBreakBefore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hAnsi="宋体"/>
          <w:color w:val="000000"/>
          <w:kern w:val="2"/>
          <w:sz w:val="24"/>
          <w:szCs w:val="24"/>
          <w:lang w:val="en-US" w:eastAsia="zh-CN"/>
        </w:rPr>
      </w:pPr>
    </w:p>
    <w:p w14:paraId="2776F012">
      <w:pPr>
        <w:pStyle w:val="13"/>
        <w:keepNext w:val="0"/>
        <w:keepLines w:val="0"/>
        <w:pageBreakBefore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hAnsi="宋体"/>
          <w:color w:val="000000"/>
          <w:kern w:val="2"/>
          <w:sz w:val="24"/>
          <w:szCs w:val="24"/>
          <w:lang w:val="en-US" w:eastAsia="zh-CN"/>
        </w:rPr>
      </w:pPr>
    </w:p>
    <w:p w14:paraId="7F8E64DA">
      <w:pPr>
        <w:pStyle w:val="13"/>
        <w:keepNext w:val="0"/>
        <w:keepLines w:val="0"/>
        <w:pageBreakBefore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hAnsi="宋体"/>
          <w:color w:val="000000"/>
          <w:kern w:val="2"/>
          <w:sz w:val="24"/>
          <w:szCs w:val="24"/>
          <w:lang w:val="en-US" w:eastAsia="zh-CN"/>
        </w:rPr>
      </w:pPr>
    </w:p>
    <w:p w14:paraId="3B532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kern w:val="2"/>
          <w:sz w:val="21"/>
          <w:szCs w:val="21"/>
          <w:lang w:val="en-US" w:eastAsia="zh-CN" w:bidi="ar-SA"/>
        </w:rPr>
      </w:pPr>
      <w:r>
        <w:rPr>
          <w:rFonts w:hint="eastAsia" w:ascii="宋体" w:hAnsi="Times New Roman" w:eastAsia="宋体" w:cs="Times New Roman"/>
          <w:color w:val="000000"/>
          <w:kern w:val="0"/>
          <w:sz w:val="24"/>
          <w:szCs w:val="24"/>
          <w:lang w:val="en-US" w:eastAsia="zh-CN" w:bidi="ar-SA"/>
        </w:rPr>
        <w:t>项目组在结合客户的使用要求（参照表3）及各厂家实际生产的情况(参照表4)基础上</w:t>
      </w:r>
      <w:r>
        <w:rPr>
          <w:rFonts w:hint="eastAsia" w:ascii="宋体" w:cs="Times New Roman"/>
          <w:color w:val="000000"/>
          <w:kern w:val="0"/>
          <w:sz w:val="24"/>
          <w:szCs w:val="24"/>
          <w:lang w:val="en-US" w:eastAsia="zh-CN" w:bidi="ar-SA"/>
        </w:rPr>
        <w:t>，</w:t>
      </w:r>
      <w:r>
        <w:rPr>
          <w:rFonts w:hint="eastAsia" w:ascii="宋体" w:hAnsi="Times New Roman" w:eastAsia="宋体" w:cs="Times New Roman"/>
          <w:color w:val="000000"/>
          <w:kern w:val="0"/>
          <w:sz w:val="24"/>
          <w:szCs w:val="24"/>
          <w:lang w:val="en-US" w:eastAsia="zh-CN" w:bidi="ar-SA"/>
        </w:rPr>
        <w:t>经过多方讨论和调研</w:t>
      </w:r>
      <w:r>
        <w:rPr>
          <w:rFonts w:hint="eastAsia" w:ascii="宋体" w:cs="Times New Roman"/>
          <w:color w:val="000000"/>
          <w:kern w:val="0"/>
          <w:sz w:val="24"/>
          <w:szCs w:val="24"/>
          <w:lang w:val="en-US" w:eastAsia="zh-CN" w:bidi="ar-SA"/>
        </w:rPr>
        <w:t>、</w:t>
      </w:r>
      <w:r>
        <w:rPr>
          <w:rFonts w:hint="eastAsia" w:ascii="宋体" w:hAnsi="Times New Roman" w:eastAsia="宋体" w:cs="Times New Roman"/>
          <w:color w:val="000000"/>
          <w:kern w:val="0"/>
          <w:sz w:val="24"/>
          <w:szCs w:val="24"/>
          <w:lang w:val="en-US" w:eastAsia="zh-CN" w:bidi="ar-SA"/>
        </w:rPr>
        <w:t>合理研判</w:t>
      </w:r>
      <w:r>
        <w:rPr>
          <w:rFonts w:hint="eastAsia" w:ascii="宋体" w:cs="Times New Roman"/>
          <w:color w:val="000000"/>
          <w:kern w:val="0"/>
          <w:sz w:val="24"/>
          <w:szCs w:val="24"/>
          <w:lang w:val="en-US" w:eastAsia="zh-CN" w:bidi="ar-SA"/>
        </w:rPr>
        <w:t>，</w:t>
      </w:r>
      <w:r>
        <w:rPr>
          <w:rFonts w:hint="eastAsia" w:ascii="Times New Roman"/>
          <w:kern w:val="2"/>
          <w:sz w:val="24"/>
          <w:szCs w:val="24"/>
        </w:rPr>
        <w:t>最终确定</w:t>
      </w:r>
      <w:r>
        <w:rPr>
          <w:rFonts w:hint="eastAsia"/>
          <w:kern w:val="2"/>
          <w:sz w:val="24"/>
          <w:szCs w:val="24"/>
          <w:lang w:val="en-US" w:eastAsia="zh-CN"/>
        </w:rPr>
        <w:t>了辛酸铑</w:t>
      </w:r>
      <w:r>
        <w:rPr>
          <w:rFonts w:hint="eastAsia" w:ascii="Times New Roman"/>
          <w:kern w:val="2"/>
          <w:sz w:val="24"/>
          <w:szCs w:val="24"/>
        </w:rPr>
        <w:t>质量分数</w:t>
      </w:r>
      <w:r>
        <w:rPr>
          <w:rFonts w:hint="eastAsia"/>
          <w:kern w:val="2"/>
          <w:sz w:val="24"/>
          <w:szCs w:val="24"/>
          <w:lang w:eastAsia="zh-CN"/>
        </w:rPr>
        <w:t>、</w:t>
      </w:r>
      <w:r>
        <w:rPr>
          <w:rFonts w:hint="eastAsia" w:ascii="宋体" w:hAnsi="Times New Roman" w:eastAsia="宋体" w:cs="Times New Roman"/>
          <w:color w:val="000000"/>
          <w:kern w:val="0"/>
          <w:sz w:val="24"/>
          <w:szCs w:val="24"/>
          <w:lang w:val="en-US" w:eastAsia="zh-CN" w:bidi="ar-SA"/>
        </w:rPr>
        <w:t>杂质元素质量分数的规定</w:t>
      </w:r>
      <w:r>
        <w:rPr>
          <w:rFonts w:hint="eastAsia" w:ascii="宋体" w:cs="Times New Roman"/>
          <w:color w:val="000000"/>
          <w:kern w:val="0"/>
          <w:sz w:val="24"/>
          <w:szCs w:val="24"/>
          <w:lang w:val="en-US" w:eastAsia="zh-CN" w:bidi="ar-SA"/>
        </w:rPr>
        <w:t>（</w:t>
      </w:r>
      <w:r>
        <w:rPr>
          <w:rFonts w:hint="eastAsia" w:ascii="宋体" w:hAnsi="Times New Roman" w:eastAsia="宋体" w:cs="Times New Roman"/>
          <w:color w:val="000000"/>
          <w:kern w:val="0"/>
          <w:sz w:val="24"/>
          <w:szCs w:val="24"/>
          <w:lang w:val="en-US" w:eastAsia="zh-CN" w:bidi="ar-SA"/>
        </w:rPr>
        <w:t>参照表5</w:t>
      </w:r>
      <w:r>
        <w:rPr>
          <w:rFonts w:hint="eastAsia" w:ascii="宋体" w:cs="Times New Roman"/>
          <w:color w:val="000000"/>
          <w:kern w:val="0"/>
          <w:sz w:val="24"/>
          <w:szCs w:val="24"/>
          <w:lang w:val="en-US" w:eastAsia="zh-CN" w:bidi="ar-SA"/>
        </w:rPr>
        <w:t>），</w:t>
      </w:r>
      <w:r>
        <w:rPr>
          <w:rFonts w:hint="eastAsia" w:ascii="Times New Roman"/>
          <w:kern w:val="2"/>
          <w:sz w:val="24"/>
          <w:szCs w:val="24"/>
          <w:lang w:val="en-US" w:eastAsia="zh-CN"/>
        </w:rPr>
        <w:t>该范围的</w:t>
      </w:r>
      <w:r>
        <w:rPr>
          <w:rFonts w:hint="eastAsia"/>
          <w:kern w:val="2"/>
          <w:sz w:val="24"/>
          <w:szCs w:val="24"/>
          <w:lang w:val="en-US" w:eastAsia="zh-CN"/>
        </w:rPr>
        <w:t>取值</w:t>
      </w:r>
      <w:r>
        <w:rPr>
          <w:rFonts w:hint="eastAsia" w:ascii="Times New Roman"/>
          <w:kern w:val="2"/>
          <w:sz w:val="24"/>
          <w:szCs w:val="24"/>
          <w:lang w:val="en-US" w:eastAsia="zh-CN"/>
        </w:rPr>
        <w:t>结合实际生产也比较容易做到，同时也能够满足更多不同客户的使用要求。</w:t>
      </w:r>
    </w:p>
    <w:p w14:paraId="3F05FC57">
      <w:pPr>
        <w:pStyle w:val="3"/>
        <w:ind w:left="0" w:leftChars="0" w:firstLine="0" w:firstLineChars="0"/>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                             </w:t>
      </w:r>
    </w:p>
    <w:p w14:paraId="38DCC97C">
      <w:pPr>
        <w:pStyle w:val="3"/>
        <w:ind w:left="0" w:leftChars="0" w:firstLine="0" w:firstLineChars="0"/>
        <w:jc w:val="center"/>
        <w:rPr>
          <w:rFonts w:hint="eastAsia" w:ascii="黑体" w:hAnsi="黑体" w:eastAsia="黑体" w:cs="黑体"/>
          <w:b w:val="0"/>
          <w:bCs w:val="0"/>
          <w:kern w:val="2"/>
          <w:sz w:val="21"/>
          <w:szCs w:val="21"/>
          <w:lang w:val="en-US" w:eastAsia="zh-CN" w:bidi="ar-SA"/>
        </w:rPr>
      </w:pPr>
    </w:p>
    <w:p w14:paraId="7E040549">
      <w:pPr>
        <w:pStyle w:val="3"/>
        <w:ind w:left="0" w:leftChars="0" w:firstLine="0" w:firstLineChars="0"/>
        <w:jc w:val="center"/>
        <w:rPr>
          <w:rFonts w:hint="eastAsia" w:ascii="黑体" w:hAnsi="黑体" w:eastAsia="黑体" w:cs="黑体"/>
          <w:b w:val="0"/>
          <w:bCs w:val="0"/>
          <w:kern w:val="2"/>
          <w:sz w:val="21"/>
          <w:szCs w:val="21"/>
          <w:lang w:val="en-US" w:eastAsia="zh-CN" w:bidi="ar-SA"/>
        </w:rPr>
      </w:pPr>
    </w:p>
    <w:p w14:paraId="28C21077">
      <w:pPr>
        <w:pStyle w:val="3"/>
        <w:ind w:left="0" w:leftChars="0" w:firstLine="0" w:firstLineChars="0"/>
        <w:jc w:val="center"/>
        <w:rPr>
          <w:rFonts w:hint="eastAsia" w:ascii="Times New Roman"/>
          <w:kern w:val="2"/>
          <w:sz w:val="24"/>
          <w:szCs w:val="24"/>
          <w:lang w:val="en-US" w:eastAsia="zh-CN"/>
        </w:rPr>
      </w:pPr>
      <w:r>
        <w:rPr>
          <w:rFonts w:hint="eastAsia" w:ascii="黑体" w:hAnsi="黑体" w:eastAsia="黑体" w:cs="黑体"/>
          <w:b w:val="0"/>
          <w:bCs w:val="0"/>
          <w:kern w:val="2"/>
          <w:sz w:val="21"/>
          <w:szCs w:val="21"/>
          <w:lang w:val="en-US" w:eastAsia="zh-CN" w:bidi="ar-SA"/>
        </w:rPr>
        <w:t xml:space="preserve"> 表5辛酸铑化学成分                     </w:t>
      </w:r>
    </w:p>
    <w:p w14:paraId="3635315F">
      <w:pPr>
        <w:pStyle w:val="27"/>
        <w:numPr>
          <w:ilvl w:val="0"/>
          <w:numId w:val="0"/>
        </w:numPr>
        <w:jc w:val="both"/>
        <w:rPr>
          <w:rFonts w:hint="eastAsia"/>
          <w:sz w:val="18"/>
          <w:szCs w:val="18"/>
        </w:rPr>
      </w:pPr>
      <w:r>
        <w:rPr>
          <w:rFonts w:hint="eastAsia"/>
        </w:rPr>
        <w:t xml:space="preserve">                    </w:t>
      </w:r>
      <w:r>
        <w:rPr>
          <w:rFonts w:hint="eastAsia"/>
          <w:sz w:val="18"/>
          <w:szCs w:val="18"/>
        </w:rPr>
        <w:t xml:space="preserve">  </w:t>
      </w:r>
      <w:r>
        <w:rPr>
          <w:sz w:val="18"/>
          <w:szCs w:val="18"/>
        </w:rPr>
        <w:t xml:space="preserve">              </w:t>
      </w:r>
      <w:r>
        <w:rPr>
          <w:rFonts w:hint="eastAsia"/>
          <w:sz w:val="18"/>
          <w:szCs w:val="18"/>
          <w:lang w:val="en-US" w:eastAsia="zh-CN"/>
        </w:rPr>
        <w:t xml:space="preserve">                                      </w:t>
      </w:r>
      <w:r>
        <w:rPr>
          <w:rFonts w:hint="eastAsia" w:ascii="宋体" w:hAnsi="宋体" w:eastAsia="宋体"/>
          <w:sz w:val="18"/>
          <w:szCs w:val="18"/>
        </w:rPr>
        <w:t>质量分数</w:t>
      </w:r>
      <w:r>
        <w:rPr>
          <w:rFonts w:hint="eastAsia"/>
          <w:sz w:val="18"/>
          <w:szCs w:val="18"/>
        </w:rPr>
        <w:t>%</w:t>
      </w:r>
    </w:p>
    <w:tbl>
      <w:tblPr>
        <w:tblStyle w:val="7"/>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333"/>
        <w:gridCol w:w="872"/>
        <w:gridCol w:w="700"/>
        <w:gridCol w:w="736"/>
        <w:gridCol w:w="666"/>
        <w:gridCol w:w="713"/>
        <w:gridCol w:w="666"/>
        <w:gridCol w:w="666"/>
        <w:gridCol w:w="666"/>
        <w:gridCol w:w="666"/>
        <w:gridCol w:w="666"/>
      </w:tblGrid>
      <w:tr w14:paraId="6920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526" w:type="dxa"/>
            <w:vMerge w:val="restart"/>
            <w:noWrap w:val="0"/>
            <w:vAlign w:val="top"/>
          </w:tcPr>
          <w:p w14:paraId="671FBB8C">
            <w:pPr>
              <w:pStyle w:val="13"/>
              <w:ind w:firstLine="0" w:firstLineChars="0"/>
              <w:rPr>
                <w:rFonts w:hint="eastAsia"/>
                <w:sz w:val="18"/>
              </w:rPr>
            </w:pPr>
            <w:r>
              <w:rPr>
                <w:rFonts w:hint="eastAsia"/>
                <w:sz w:val="18"/>
              </w:rPr>
              <w:t>辛酸铑质量分数（不小于）</w:t>
            </w:r>
          </w:p>
        </w:tc>
        <w:tc>
          <w:tcPr>
            <w:tcW w:w="1361" w:type="dxa"/>
            <w:vMerge w:val="restart"/>
            <w:noWrap w:val="0"/>
            <w:vAlign w:val="center"/>
          </w:tcPr>
          <w:p w14:paraId="1D47DBCB">
            <w:pPr>
              <w:pStyle w:val="13"/>
              <w:ind w:firstLine="0" w:firstLineChars="0"/>
              <w:rPr>
                <w:rFonts w:hint="eastAsia"/>
                <w:sz w:val="18"/>
              </w:rPr>
            </w:pPr>
            <w:r>
              <w:rPr>
                <w:rFonts w:hint="eastAsia"/>
                <w:sz w:val="18"/>
              </w:rPr>
              <w:t>铑质量分数</w:t>
            </w:r>
          </w:p>
        </w:tc>
        <w:tc>
          <w:tcPr>
            <w:tcW w:w="6945" w:type="dxa"/>
            <w:gridSpan w:val="10"/>
            <w:noWrap w:val="0"/>
            <w:vAlign w:val="center"/>
          </w:tcPr>
          <w:p w14:paraId="3061FB02">
            <w:pPr>
              <w:pStyle w:val="13"/>
              <w:ind w:firstLine="0" w:firstLineChars="0"/>
              <w:jc w:val="center"/>
              <w:rPr>
                <w:rFonts w:hint="eastAsia" w:hAnsi="宋体"/>
                <w:szCs w:val="21"/>
              </w:rPr>
            </w:pPr>
            <w:r>
              <w:rPr>
                <w:rFonts w:hint="eastAsia" w:hAnsi="宋体"/>
                <w:szCs w:val="21"/>
              </w:rPr>
              <w:t>杂质元素质量分数，</w:t>
            </w:r>
            <w:r>
              <w:rPr>
                <w:rFonts w:hint="eastAsia" w:hAnsi="宋体"/>
                <w:szCs w:val="21"/>
                <w:lang w:val="en-US" w:eastAsia="zh-CN"/>
              </w:rPr>
              <w:t>不大于</w:t>
            </w:r>
          </w:p>
        </w:tc>
      </w:tr>
      <w:tr w14:paraId="3264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526" w:type="dxa"/>
            <w:vMerge w:val="continue"/>
            <w:noWrap w:val="0"/>
            <w:vAlign w:val="top"/>
          </w:tcPr>
          <w:p w14:paraId="7EAE10F5">
            <w:pPr>
              <w:pStyle w:val="13"/>
              <w:ind w:firstLine="360"/>
              <w:jc w:val="center"/>
              <w:rPr>
                <w:rFonts w:hint="eastAsia"/>
                <w:sz w:val="18"/>
              </w:rPr>
            </w:pPr>
          </w:p>
        </w:tc>
        <w:tc>
          <w:tcPr>
            <w:tcW w:w="1361" w:type="dxa"/>
            <w:vMerge w:val="continue"/>
            <w:noWrap w:val="0"/>
            <w:vAlign w:val="center"/>
          </w:tcPr>
          <w:p w14:paraId="046BCCCF">
            <w:pPr>
              <w:pStyle w:val="13"/>
              <w:ind w:firstLine="360"/>
              <w:jc w:val="center"/>
              <w:rPr>
                <w:rFonts w:hint="eastAsia"/>
                <w:sz w:val="18"/>
              </w:rPr>
            </w:pPr>
          </w:p>
        </w:tc>
        <w:tc>
          <w:tcPr>
            <w:tcW w:w="882" w:type="dxa"/>
            <w:noWrap w:val="0"/>
            <w:vAlign w:val="center"/>
          </w:tcPr>
          <w:p w14:paraId="3D7C52B0">
            <w:pPr>
              <w:pStyle w:val="13"/>
              <w:ind w:firstLine="0" w:firstLineChars="0"/>
              <w:jc w:val="center"/>
              <w:rPr>
                <w:rFonts w:hint="eastAsia"/>
                <w:sz w:val="18"/>
              </w:rPr>
            </w:pPr>
            <w:r>
              <w:rPr>
                <w:sz w:val="18"/>
              </w:rPr>
              <w:t>Pb</w:t>
            </w:r>
          </w:p>
        </w:tc>
        <w:tc>
          <w:tcPr>
            <w:tcW w:w="702" w:type="dxa"/>
            <w:noWrap w:val="0"/>
            <w:vAlign w:val="center"/>
          </w:tcPr>
          <w:p w14:paraId="5CCFC54D">
            <w:pPr>
              <w:pStyle w:val="13"/>
              <w:ind w:firstLine="0" w:firstLineChars="0"/>
              <w:jc w:val="center"/>
              <w:rPr>
                <w:rFonts w:hint="eastAsia"/>
                <w:sz w:val="18"/>
              </w:rPr>
            </w:pPr>
            <w:r>
              <w:rPr>
                <w:sz w:val="18"/>
              </w:rPr>
              <w:t>Fe</w:t>
            </w:r>
          </w:p>
        </w:tc>
        <w:tc>
          <w:tcPr>
            <w:tcW w:w="739" w:type="dxa"/>
            <w:noWrap w:val="0"/>
            <w:vAlign w:val="center"/>
          </w:tcPr>
          <w:p w14:paraId="474FB753">
            <w:pPr>
              <w:pStyle w:val="13"/>
              <w:ind w:firstLine="0" w:firstLineChars="0"/>
              <w:jc w:val="center"/>
              <w:rPr>
                <w:rFonts w:hint="eastAsia"/>
                <w:sz w:val="18"/>
              </w:rPr>
            </w:pPr>
            <w:r>
              <w:rPr>
                <w:sz w:val="18"/>
              </w:rPr>
              <w:t>Cu</w:t>
            </w:r>
          </w:p>
        </w:tc>
        <w:tc>
          <w:tcPr>
            <w:tcW w:w="666" w:type="dxa"/>
            <w:noWrap w:val="0"/>
            <w:vAlign w:val="center"/>
          </w:tcPr>
          <w:p w14:paraId="31D29E63">
            <w:pPr>
              <w:pStyle w:val="13"/>
              <w:ind w:firstLine="0" w:firstLineChars="0"/>
              <w:jc w:val="center"/>
              <w:rPr>
                <w:rFonts w:hint="eastAsia"/>
                <w:sz w:val="18"/>
              </w:rPr>
            </w:pPr>
            <w:r>
              <w:rPr>
                <w:rFonts w:hint="eastAsia"/>
                <w:sz w:val="18"/>
              </w:rPr>
              <w:t>Pd</w:t>
            </w:r>
          </w:p>
        </w:tc>
        <w:tc>
          <w:tcPr>
            <w:tcW w:w="715" w:type="dxa"/>
            <w:noWrap w:val="0"/>
            <w:vAlign w:val="center"/>
          </w:tcPr>
          <w:p w14:paraId="3FD4F519">
            <w:pPr>
              <w:pStyle w:val="13"/>
              <w:ind w:firstLine="0" w:firstLineChars="0"/>
              <w:jc w:val="center"/>
              <w:rPr>
                <w:rFonts w:hint="eastAsia"/>
                <w:sz w:val="18"/>
              </w:rPr>
            </w:pPr>
            <w:r>
              <w:rPr>
                <w:rFonts w:hint="eastAsia"/>
                <w:sz w:val="18"/>
              </w:rPr>
              <w:t>P</w:t>
            </w:r>
            <w:r>
              <w:rPr>
                <w:sz w:val="18"/>
              </w:rPr>
              <w:t>t</w:t>
            </w:r>
          </w:p>
        </w:tc>
        <w:tc>
          <w:tcPr>
            <w:tcW w:w="666" w:type="dxa"/>
            <w:noWrap w:val="0"/>
            <w:vAlign w:val="center"/>
          </w:tcPr>
          <w:p w14:paraId="4A925E60">
            <w:pPr>
              <w:pStyle w:val="13"/>
              <w:ind w:firstLine="0" w:firstLineChars="0"/>
              <w:jc w:val="center"/>
              <w:rPr>
                <w:rFonts w:hint="eastAsia"/>
                <w:sz w:val="18"/>
              </w:rPr>
            </w:pPr>
            <w:r>
              <w:rPr>
                <w:sz w:val="18"/>
              </w:rPr>
              <w:t>Al</w:t>
            </w:r>
          </w:p>
        </w:tc>
        <w:tc>
          <w:tcPr>
            <w:tcW w:w="666" w:type="dxa"/>
            <w:noWrap w:val="0"/>
            <w:vAlign w:val="center"/>
          </w:tcPr>
          <w:p w14:paraId="1998208A">
            <w:pPr>
              <w:pStyle w:val="13"/>
              <w:ind w:firstLine="0" w:firstLineChars="0"/>
              <w:jc w:val="center"/>
              <w:rPr>
                <w:rFonts w:hint="eastAsia"/>
                <w:sz w:val="18"/>
              </w:rPr>
            </w:pPr>
            <w:r>
              <w:rPr>
                <w:sz w:val="18"/>
              </w:rPr>
              <w:t>Ni</w:t>
            </w:r>
          </w:p>
        </w:tc>
        <w:tc>
          <w:tcPr>
            <w:tcW w:w="666" w:type="dxa"/>
            <w:noWrap w:val="0"/>
            <w:vAlign w:val="top"/>
          </w:tcPr>
          <w:p w14:paraId="6B755BF9">
            <w:pPr>
              <w:pStyle w:val="13"/>
              <w:ind w:firstLine="0" w:firstLineChars="0"/>
              <w:jc w:val="center"/>
              <w:rPr>
                <w:sz w:val="18"/>
              </w:rPr>
            </w:pPr>
            <w:r>
              <w:rPr>
                <w:rFonts w:hint="eastAsia"/>
                <w:sz w:val="18"/>
              </w:rPr>
              <w:t>M</w:t>
            </w:r>
            <w:r>
              <w:rPr>
                <w:sz w:val="18"/>
              </w:rPr>
              <w:t>g</w:t>
            </w:r>
          </w:p>
        </w:tc>
        <w:tc>
          <w:tcPr>
            <w:tcW w:w="666" w:type="dxa"/>
            <w:noWrap w:val="0"/>
            <w:vAlign w:val="top"/>
          </w:tcPr>
          <w:p w14:paraId="640593FA">
            <w:pPr>
              <w:pStyle w:val="13"/>
              <w:ind w:firstLine="0" w:firstLineChars="0"/>
              <w:jc w:val="center"/>
              <w:rPr>
                <w:rFonts w:hint="eastAsia"/>
                <w:sz w:val="18"/>
              </w:rPr>
            </w:pPr>
            <w:r>
              <w:rPr>
                <w:rFonts w:hint="eastAsia"/>
                <w:sz w:val="18"/>
              </w:rPr>
              <w:t>Z</w:t>
            </w:r>
            <w:r>
              <w:rPr>
                <w:sz w:val="18"/>
              </w:rPr>
              <w:t>n</w:t>
            </w:r>
          </w:p>
        </w:tc>
        <w:tc>
          <w:tcPr>
            <w:tcW w:w="577" w:type="dxa"/>
            <w:noWrap w:val="0"/>
            <w:vAlign w:val="top"/>
          </w:tcPr>
          <w:p w14:paraId="35EEB052">
            <w:pPr>
              <w:pStyle w:val="13"/>
              <w:ind w:firstLine="0" w:firstLineChars="0"/>
              <w:jc w:val="center"/>
              <w:rPr>
                <w:rFonts w:hint="eastAsia"/>
                <w:sz w:val="18"/>
              </w:rPr>
            </w:pPr>
            <w:r>
              <w:rPr>
                <w:sz w:val="18"/>
              </w:rPr>
              <w:t>Ir</w:t>
            </w:r>
          </w:p>
        </w:tc>
      </w:tr>
      <w:tr w14:paraId="7A17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526" w:type="dxa"/>
            <w:noWrap w:val="0"/>
            <w:vAlign w:val="top"/>
          </w:tcPr>
          <w:p w14:paraId="7B5619F3">
            <w:pPr>
              <w:pStyle w:val="13"/>
              <w:ind w:firstLine="0" w:firstLineChars="0"/>
              <w:jc w:val="center"/>
              <w:rPr>
                <w:rFonts w:hint="eastAsia" w:hAnsi="宋体"/>
              </w:rPr>
            </w:pPr>
            <w:r>
              <w:rPr>
                <w:rFonts w:hint="eastAsia" w:hAnsi="宋体"/>
              </w:rPr>
              <w:t>9</w:t>
            </w:r>
            <w:r>
              <w:rPr>
                <w:rFonts w:hAnsi="宋体"/>
              </w:rPr>
              <w:t>5</w:t>
            </w:r>
          </w:p>
        </w:tc>
        <w:tc>
          <w:tcPr>
            <w:tcW w:w="1361" w:type="dxa"/>
            <w:noWrap w:val="0"/>
            <w:vAlign w:val="center"/>
          </w:tcPr>
          <w:p w14:paraId="710AE611">
            <w:pPr>
              <w:pStyle w:val="13"/>
              <w:ind w:firstLine="0" w:firstLineChars="0"/>
              <w:jc w:val="center"/>
              <w:rPr>
                <w:rFonts w:hint="eastAsia"/>
                <w:sz w:val="18"/>
              </w:rPr>
            </w:pPr>
            <w:r>
              <w:rPr>
                <w:rFonts w:hint="eastAsia" w:hAnsi="宋体"/>
              </w:rPr>
              <w:t>2</w:t>
            </w:r>
            <w:r>
              <w:rPr>
                <w:rFonts w:hAnsi="宋体"/>
              </w:rPr>
              <w:t>5</w:t>
            </w:r>
            <w:r>
              <w:rPr>
                <w:rFonts w:hint="eastAsia" w:hAnsi="宋体"/>
              </w:rPr>
              <w:t>～2</w:t>
            </w:r>
            <w:r>
              <w:rPr>
                <w:rFonts w:hAnsi="宋体"/>
              </w:rPr>
              <w:t>6.43</w:t>
            </w:r>
          </w:p>
        </w:tc>
        <w:tc>
          <w:tcPr>
            <w:tcW w:w="882" w:type="dxa"/>
            <w:noWrap w:val="0"/>
            <w:vAlign w:val="center"/>
          </w:tcPr>
          <w:p w14:paraId="10D17B27">
            <w:pPr>
              <w:pStyle w:val="13"/>
              <w:ind w:firstLine="0" w:firstLineChars="0"/>
              <w:jc w:val="center"/>
              <w:rPr>
                <w:rFonts w:hint="eastAsia"/>
                <w:sz w:val="18"/>
              </w:rPr>
            </w:pPr>
            <w:r>
              <w:rPr>
                <w:sz w:val="18"/>
              </w:rPr>
              <w:t>0.0</w:t>
            </w:r>
            <w:r>
              <w:rPr>
                <w:rFonts w:hint="eastAsia"/>
                <w:sz w:val="18"/>
              </w:rPr>
              <w:t>05</w:t>
            </w:r>
          </w:p>
        </w:tc>
        <w:tc>
          <w:tcPr>
            <w:tcW w:w="702" w:type="dxa"/>
            <w:noWrap w:val="0"/>
            <w:vAlign w:val="center"/>
          </w:tcPr>
          <w:p w14:paraId="07118552">
            <w:pPr>
              <w:pStyle w:val="13"/>
              <w:ind w:firstLine="0" w:firstLineChars="0"/>
              <w:jc w:val="center"/>
              <w:rPr>
                <w:rFonts w:hint="eastAsia"/>
                <w:sz w:val="18"/>
              </w:rPr>
            </w:pPr>
            <w:r>
              <w:rPr>
                <w:sz w:val="18"/>
              </w:rPr>
              <w:t>0.005</w:t>
            </w:r>
          </w:p>
        </w:tc>
        <w:tc>
          <w:tcPr>
            <w:tcW w:w="739" w:type="dxa"/>
            <w:noWrap w:val="0"/>
            <w:vAlign w:val="center"/>
          </w:tcPr>
          <w:p w14:paraId="288BB0A6">
            <w:pPr>
              <w:pStyle w:val="13"/>
              <w:ind w:firstLine="0" w:firstLineChars="0"/>
              <w:jc w:val="center"/>
              <w:rPr>
                <w:rFonts w:hint="eastAsia"/>
                <w:sz w:val="18"/>
              </w:rPr>
            </w:pPr>
            <w:r>
              <w:rPr>
                <w:sz w:val="18"/>
              </w:rPr>
              <w:t>0.0</w:t>
            </w:r>
            <w:r>
              <w:rPr>
                <w:rFonts w:hint="eastAsia"/>
                <w:sz w:val="18"/>
              </w:rPr>
              <w:t>05</w:t>
            </w:r>
          </w:p>
        </w:tc>
        <w:tc>
          <w:tcPr>
            <w:tcW w:w="666" w:type="dxa"/>
            <w:noWrap w:val="0"/>
            <w:vAlign w:val="center"/>
          </w:tcPr>
          <w:p w14:paraId="63A34D83">
            <w:pPr>
              <w:pStyle w:val="13"/>
              <w:ind w:firstLine="0" w:firstLineChars="0"/>
              <w:jc w:val="center"/>
              <w:rPr>
                <w:rFonts w:hint="eastAsia"/>
                <w:sz w:val="18"/>
              </w:rPr>
            </w:pPr>
            <w:r>
              <w:rPr>
                <w:sz w:val="18"/>
              </w:rPr>
              <w:t>0.0</w:t>
            </w:r>
            <w:r>
              <w:rPr>
                <w:rFonts w:hint="eastAsia"/>
                <w:sz w:val="18"/>
              </w:rPr>
              <w:t>05</w:t>
            </w:r>
          </w:p>
        </w:tc>
        <w:tc>
          <w:tcPr>
            <w:tcW w:w="715" w:type="dxa"/>
            <w:noWrap w:val="0"/>
            <w:vAlign w:val="center"/>
          </w:tcPr>
          <w:p w14:paraId="314C6C98">
            <w:pPr>
              <w:pStyle w:val="13"/>
              <w:ind w:firstLine="0" w:firstLineChars="0"/>
              <w:jc w:val="center"/>
              <w:rPr>
                <w:rFonts w:hint="eastAsia"/>
                <w:sz w:val="18"/>
              </w:rPr>
            </w:pPr>
            <w:r>
              <w:rPr>
                <w:sz w:val="18"/>
              </w:rPr>
              <w:t>0.0</w:t>
            </w:r>
            <w:r>
              <w:rPr>
                <w:rFonts w:hint="eastAsia"/>
                <w:sz w:val="18"/>
              </w:rPr>
              <w:t>05</w:t>
            </w:r>
          </w:p>
        </w:tc>
        <w:tc>
          <w:tcPr>
            <w:tcW w:w="666" w:type="dxa"/>
            <w:noWrap w:val="0"/>
            <w:vAlign w:val="center"/>
          </w:tcPr>
          <w:p w14:paraId="146802B6">
            <w:pPr>
              <w:pStyle w:val="13"/>
              <w:ind w:firstLine="0" w:firstLineChars="0"/>
              <w:jc w:val="center"/>
              <w:rPr>
                <w:rFonts w:hint="eastAsia"/>
                <w:sz w:val="18"/>
              </w:rPr>
            </w:pPr>
            <w:r>
              <w:rPr>
                <w:sz w:val="18"/>
              </w:rPr>
              <w:t>0.0</w:t>
            </w:r>
            <w:r>
              <w:rPr>
                <w:rFonts w:hint="eastAsia"/>
                <w:sz w:val="18"/>
              </w:rPr>
              <w:t>05</w:t>
            </w:r>
          </w:p>
        </w:tc>
        <w:tc>
          <w:tcPr>
            <w:tcW w:w="666" w:type="dxa"/>
            <w:noWrap w:val="0"/>
            <w:vAlign w:val="center"/>
          </w:tcPr>
          <w:p w14:paraId="7E76D239">
            <w:pPr>
              <w:pStyle w:val="13"/>
              <w:ind w:firstLine="0" w:firstLineChars="0"/>
              <w:jc w:val="center"/>
              <w:rPr>
                <w:rFonts w:hint="eastAsia"/>
                <w:sz w:val="18"/>
              </w:rPr>
            </w:pPr>
            <w:r>
              <w:rPr>
                <w:sz w:val="18"/>
              </w:rPr>
              <w:t>0.0</w:t>
            </w:r>
            <w:r>
              <w:rPr>
                <w:rFonts w:hint="eastAsia"/>
                <w:sz w:val="18"/>
              </w:rPr>
              <w:t>05</w:t>
            </w:r>
          </w:p>
        </w:tc>
        <w:tc>
          <w:tcPr>
            <w:tcW w:w="666" w:type="dxa"/>
            <w:noWrap w:val="0"/>
            <w:vAlign w:val="top"/>
          </w:tcPr>
          <w:p w14:paraId="1A108ECB">
            <w:pPr>
              <w:pStyle w:val="13"/>
              <w:ind w:firstLine="0" w:firstLineChars="0"/>
              <w:jc w:val="center"/>
              <w:rPr>
                <w:sz w:val="18"/>
              </w:rPr>
            </w:pPr>
            <w:r>
              <w:rPr>
                <w:rFonts w:hint="eastAsia"/>
                <w:sz w:val="18"/>
              </w:rPr>
              <w:t>0</w:t>
            </w:r>
            <w:r>
              <w:rPr>
                <w:sz w:val="18"/>
              </w:rPr>
              <w:t>.005</w:t>
            </w:r>
          </w:p>
        </w:tc>
        <w:tc>
          <w:tcPr>
            <w:tcW w:w="666" w:type="dxa"/>
            <w:noWrap w:val="0"/>
            <w:vAlign w:val="top"/>
          </w:tcPr>
          <w:p w14:paraId="5AE186E8">
            <w:pPr>
              <w:pStyle w:val="13"/>
              <w:ind w:firstLine="0" w:firstLineChars="0"/>
              <w:jc w:val="center"/>
              <w:rPr>
                <w:rFonts w:hint="eastAsia"/>
                <w:sz w:val="18"/>
              </w:rPr>
            </w:pPr>
            <w:r>
              <w:rPr>
                <w:rFonts w:hint="eastAsia"/>
                <w:sz w:val="18"/>
              </w:rPr>
              <w:t>0</w:t>
            </w:r>
            <w:r>
              <w:rPr>
                <w:sz w:val="18"/>
              </w:rPr>
              <w:t>.005</w:t>
            </w:r>
          </w:p>
        </w:tc>
        <w:tc>
          <w:tcPr>
            <w:tcW w:w="577" w:type="dxa"/>
            <w:noWrap w:val="0"/>
            <w:vAlign w:val="top"/>
          </w:tcPr>
          <w:p w14:paraId="0CA7CADC">
            <w:pPr>
              <w:pStyle w:val="13"/>
              <w:ind w:firstLine="0" w:firstLineChars="0"/>
              <w:jc w:val="center"/>
              <w:rPr>
                <w:rFonts w:hint="eastAsia" w:eastAsia="宋体"/>
                <w:sz w:val="18"/>
                <w:lang w:eastAsia="zh-CN"/>
              </w:rPr>
            </w:pPr>
            <w:r>
              <w:rPr>
                <w:rFonts w:hint="eastAsia"/>
                <w:sz w:val="18"/>
              </w:rPr>
              <w:t>0</w:t>
            </w:r>
            <w:r>
              <w:rPr>
                <w:sz w:val="18"/>
              </w:rPr>
              <w:t>.0</w:t>
            </w:r>
            <w:r>
              <w:rPr>
                <w:rFonts w:hint="eastAsia"/>
                <w:sz w:val="18"/>
                <w:lang w:val="en-US" w:eastAsia="zh-CN"/>
              </w:rPr>
              <w:t>05</w:t>
            </w:r>
          </w:p>
        </w:tc>
      </w:tr>
    </w:tbl>
    <w:p w14:paraId="297F05D2">
      <w:pPr>
        <w:pStyle w:val="23"/>
        <w:numPr>
          <w:ilvl w:val="0"/>
          <w:numId w:val="0"/>
        </w:numPr>
        <w:rPr>
          <w:rFonts w:hint="eastAsia" w:ascii="宋体" w:hAnsi="宋体" w:eastAsia="宋体"/>
        </w:rPr>
      </w:pPr>
    </w:p>
    <w:p w14:paraId="5C1C9AA8">
      <w:pPr>
        <w:pStyle w:val="13"/>
        <w:numPr>
          <w:ilvl w:val="0"/>
          <w:numId w:val="4"/>
        </w:numPr>
        <w:spacing w:line="360" w:lineRule="auto"/>
        <w:ind w:firstLineChars="0"/>
        <w:rPr>
          <w:rFonts w:hint="eastAsia" w:ascii="宋体" w:hAnsi="Times New Roman" w:eastAsia="宋体" w:cs="Times New Roman"/>
          <w:color w:val="000000"/>
          <w:kern w:val="0"/>
          <w:sz w:val="24"/>
          <w:szCs w:val="24"/>
          <w:lang w:val="en-US" w:eastAsia="zh-CN" w:bidi="ar-SA"/>
        </w:rPr>
      </w:pPr>
    </w:p>
    <w:p w14:paraId="52D6ED55">
      <w:pPr>
        <w:pStyle w:val="13"/>
        <w:numPr>
          <w:ilvl w:val="0"/>
          <w:numId w:val="4"/>
        </w:numPr>
        <w:spacing w:line="360" w:lineRule="auto"/>
        <w:ind w:firstLineChars="0"/>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3.增加了增加了辛酸铑中杂质元素镁（Mg）、锌（Zn）、铱（Ir）质量分数的规定 (见表5）</w:t>
      </w:r>
    </w:p>
    <w:p w14:paraId="1D7ECC6C">
      <w:pPr>
        <w:pStyle w:val="13"/>
        <w:numPr>
          <w:ilvl w:val="0"/>
          <w:numId w:val="4"/>
        </w:numPr>
        <w:spacing w:line="360" w:lineRule="auto"/>
        <w:ind w:firstLineChars="0"/>
        <w:rPr>
          <w:rFonts w:hint="eastAsia" w:ascii="宋体" w:hAnsi="Times New Roman" w:eastAsia="宋体" w:cs="Times New Roman"/>
          <w:color w:val="000000"/>
          <w:kern w:val="0"/>
          <w:sz w:val="24"/>
          <w:szCs w:val="24"/>
          <w:lang w:val="en-US" w:eastAsia="zh-CN" w:bidi="ar-SA"/>
        </w:rPr>
      </w:pPr>
    </w:p>
    <w:p w14:paraId="0C3E9701">
      <w:pPr>
        <w:pStyle w:val="13"/>
        <w:numPr>
          <w:ilvl w:val="0"/>
          <w:numId w:val="4"/>
        </w:numPr>
        <w:spacing w:line="360" w:lineRule="auto"/>
        <w:ind w:firstLineChars="0"/>
        <w:rPr>
          <w:rFonts w:hint="eastAsia" w:ascii="宋体" w:hAnsi="Times New Roman" w:eastAsia="宋体" w:cs="Times New Roman"/>
          <w:color w:val="000000"/>
          <w:kern w:val="0"/>
          <w:sz w:val="24"/>
          <w:szCs w:val="24"/>
          <w:lang w:val="en-US" w:eastAsia="zh-CN" w:bidi="ar-SA"/>
        </w:rPr>
      </w:pPr>
      <w:r>
        <w:rPr>
          <w:rFonts w:hint="eastAsia" w:hAnsi="宋体" w:eastAsia="宋体" w:cs="Times New Roman"/>
          <w:b/>
          <w:bCs/>
          <w:kern w:val="2"/>
          <w:sz w:val="24"/>
          <w:szCs w:val="24"/>
          <w:lang w:val="en-US" w:eastAsia="zh-CN"/>
        </w:rPr>
        <w:t>编制依据</w:t>
      </w:r>
      <w:r>
        <w:rPr>
          <w:rFonts w:hint="eastAsia" w:hAnsi="宋体" w:cs="Times New Roman"/>
          <w:b/>
          <w:bCs/>
          <w:kern w:val="2"/>
          <w:sz w:val="24"/>
          <w:szCs w:val="24"/>
          <w:lang w:val="en-US" w:eastAsia="zh-CN"/>
        </w:rPr>
        <w:t>：</w:t>
      </w:r>
      <w:r>
        <w:rPr>
          <w:rFonts w:hint="eastAsia" w:ascii="宋体" w:hAnsi="Times New Roman" w:eastAsia="宋体" w:cs="Times New Roman"/>
          <w:color w:val="000000"/>
          <w:kern w:val="0"/>
          <w:sz w:val="24"/>
          <w:szCs w:val="24"/>
          <w:lang w:val="en-US" w:eastAsia="zh-CN" w:bidi="ar-SA"/>
        </w:rPr>
        <w:t>中国由于铂族金属资源缺乏，主要依靠进口及从二次资源中回收提炼，再制成相应的产品供市场使用。</w:t>
      </w:r>
    </w:p>
    <w:p w14:paraId="5B125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color w:val="000000"/>
          <w:kern w:val="0"/>
          <w:sz w:val="24"/>
          <w:szCs w:val="24"/>
          <w:lang w:val="en-US" w:eastAsia="zh-CN" w:bidi="ar-SA"/>
        </w:rPr>
      </w:pPr>
      <w:r>
        <w:rPr>
          <w:rFonts w:hint="eastAsia" w:ascii="宋体" w:hAnsi="宋体" w:eastAsia="宋体" w:cs="宋体"/>
          <w:kern w:val="0"/>
          <w:sz w:val="24"/>
          <w:szCs w:val="24"/>
          <w:lang w:val="en-US" w:eastAsia="zh-CN" w:bidi="ar-SA"/>
        </w:rPr>
        <w:t>根据国内各精炼厂回收工艺情况及物料来源，铑资源的最主要的来源一般为汽车排气管上的失效铂、钯、铑三元催化剂、醋酸厂失效的三碘化铑催化剂、化工厂失效的铑派克催化剂、失效铂铑合金催化网、玻纤漏板等。</w:t>
      </w:r>
      <w:r>
        <w:rPr>
          <w:rFonts w:hint="eastAsia" w:ascii="宋体" w:hAnsi="Times New Roman" w:eastAsia="宋体" w:cs="Times New Roman"/>
          <w:color w:val="000000"/>
          <w:kern w:val="0"/>
          <w:sz w:val="24"/>
          <w:szCs w:val="24"/>
          <w:lang w:val="en-US" w:eastAsia="zh-CN" w:bidi="ar-SA"/>
        </w:rPr>
        <w:t>‌</w:t>
      </w:r>
    </w:p>
    <w:p w14:paraId="3B631B31">
      <w:pPr>
        <w:pStyle w:val="13"/>
        <w:spacing w:line="360" w:lineRule="auto"/>
        <w:ind w:left="0" w:leftChars="0" w:firstLine="480" w:firstLineChars="200"/>
        <w:rPr>
          <w:rFonts w:hint="eastAsia" w:ascii="宋体" w:hAnsi="宋体" w:eastAsia="宋体" w:cs="宋体"/>
          <w:kern w:val="0"/>
          <w:sz w:val="24"/>
          <w:szCs w:val="24"/>
          <w:lang w:val="en-US" w:eastAsia="zh-CN" w:bidi="ar-SA"/>
        </w:rPr>
      </w:pPr>
      <w:r>
        <w:rPr>
          <w:rFonts w:hint="eastAsia" w:hAnsi="宋体" w:cs="宋体"/>
          <w:sz w:val="24"/>
          <w:szCs w:val="24"/>
          <w:lang w:val="en-US" w:eastAsia="zh-CN"/>
        </w:rPr>
        <w:t>贵</w:t>
      </w:r>
      <w:r>
        <w:rPr>
          <w:rFonts w:hint="eastAsia" w:ascii="宋体" w:hAnsi="宋体" w:eastAsia="宋体" w:cs="宋体"/>
          <w:kern w:val="0"/>
          <w:sz w:val="24"/>
          <w:szCs w:val="24"/>
          <w:lang w:val="en-US" w:eastAsia="zh-CN" w:bidi="ar-SA"/>
        </w:rPr>
        <w:t>金属分离提纯技术难度大，一般是先通过火法富集，再通过湿法分离、提纯，镁（Mg）、锌（Zn）、铱（Ir）都是铑精炼过程中容易引入的杂质，特别是铱，铑、铱分离技术难度十分高，是行业内公认的难题，故此次修订也将上述杂质含量在标准中做了规定。</w:t>
      </w:r>
    </w:p>
    <w:p w14:paraId="081F6B17">
      <w:pPr>
        <w:pStyle w:val="13"/>
        <w:numPr>
          <w:ilvl w:val="0"/>
          <w:numId w:val="4"/>
        </w:numPr>
        <w:spacing w:line="360" w:lineRule="auto"/>
        <w:ind w:firstLineChars="0"/>
        <w:rPr>
          <w:rFonts w:hint="eastAsia"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4.更改了铑质量分数的测定方法</w:t>
      </w:r>
    </w:p>
    <w:p w14:paraId="78FBF027">
      <w:pPr>
        <w:pStyle w:val="13"/>
        <w:numPr>
          <w:ilvl w:val="0"/>
          <w:numId w:val="0"/>
        </w:numPr>
        <w:spacing w:line="360" w:lineRule="auto"/>
        <w:ind w:leftChars="0" w:firstLine="480" w:firstLineChars="200"/>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由YS/T 561《 贵金属合金化学分析方法 铂铑合金中铑量的测定》更改为GB/T 34609.1 《铑化合物化学分析方法  第1部分：铑量的测定 硝酸六氨合钴重量法》（见6.1.1，2013年版的4.1）；</w:t>
      </w:r>
    </w:p>
    <w:p w14:paraId="1DBADA4C">
      <w:pPr>
        <w:pStyle w:val="13"/>
        <w:spacing w:line="360" w:lineRule="auto"/>
        <w:ind w:firstLine="482"/>
        <w:rPr>
          <w:rFonts w:hint="eastAsia" w:ascii="Times New Roman"/>
          <w:color w:val="auto"/>
          <w:kern w:val="2"/>
          <w:sz w:val="24"/>
          <w:szCs w:val="24"/>
          <w:lang w:val="en-US" w:eastAsia="zh-CN"/>
        </w:rPr>
      </w:pPr>
      <w:r>
        <w:rPr>
          <w:rFonts w:hint="eastAsia" w:hAnsi="宋体" w:eastAsia="宋体" w:cs="Times New Roman"/>
          <w:b/>
          <w:bCs/>
          <w:kern w:val="2"/>
          <w:sz w:val="24"/>
          <w:szCs w:val="24"/>
          <w:lang w:val="en-US" w:eastAsia="zh-CN"/>
        </w:rPr>
        <w:t>编制依据：</w:t>
      </w:r>
      <w:r>
        <w:rPr>
          <w:rFonts w:hint="eastAsia" w:ascii="Times New Roman"/>
          <w:color w:val="auto"/>
          <w:kern w:val="2"/>
          <w:sz w:val="24"/>
          <w:szCs w:val="24"/>
          <w:lang w:val="en-US" w:eastAsia="zh-CN"/>
        </w:rPr>
        <w:t>YS/T 561《 贵金属合金化学分析方法 铂铑合金中铑量的测定》主要针对的铂铑合金中铑的分析方法，方法原理为：试料用玻璃封管氯化法溶解，在铂铑的氯络合物微酸性溶液中，用硝酸六氨合钴使铑呈复盐沉淀，重量法测定铑量。封管氯化法先已几乎很少用，而且不安全，而GB/T 34609.1铑化合物分析方法第1部分，提纯了试料用硝酸、盐酸、高氯酸预处理后，置于聚四氟乙烯消化罐中加盐酸和双氧水高温高压消解，使之成为铑的氯络合物微酸性溶液，再用硝酸六氨合钴使铑呈复盐沉淀，重量法测定铑重量分数。现在的分析方法更安全</w:t>
      </w:r>
      <w:bookmarkStart w:id="3" w:name="_GoBack"/>
      <w:bookmarkEnd w:id="3"/>
      <w:r>
        <w:rPr>
          <w:rFonts w:hint="eastAsia" w:ascii="Times New Roman"/>
          <w:color w:val="auto"/>
          <w:kern w:val="2"/>
          <w:sz w:val="24"/>
          <w:szCs w:val="24"/>
          <w:lang w:val="en-US" w:eastAsia="zh-CN"/>
        </w:rPr>
        <w:t>便捷，故本次修订时将辛酸铑中铑质量分数的测定方法更改为GB/T 34609.1 《铑化合物化学分析方法  第1部分：铑量的测定 硝酸六氨合钴重量法》。</w:t>
      </w:r>
    </w:p>
    <w:p w14:paraId="48D087FB">
      <w:pPr>
        <w:pStyle w:val="13"/>
        <w:numPr>
          <w:ilvl w:val="0"/>
          <w:numId w:val="5"/>
        </w:numPr>
        <w:spacing w:line="360" w:lineRule="auto"/>
        <w:ind w:left="0" w:leftChars="0" w:firstLine="0" w:firstLineChars="0"/>
        <w:rPr>
          <w:rFonts w:hint="eastAsia"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更改了杂质元素的测定方法。</w:t>
      </w:r>
    </w:p>
    <w:p w14:paraId="248FE483">
      <w:pPr>
        <w:pStyle w:val="13"/>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辛酸铑产品杂质元素质量分数的测定由YS/T363 《纯铑中杂质元素的光谱分析方法》更改为GB/T34609.2《铑化合物化学分析方法  第2部分：银、金、铂、钯、、铱、钌、铅、镍、铜、铁、锡、锌、镁、锰、铝、钙、钠、钾、铬、硅含量的测定 电感耦合等离子体发射光谱法》</w:t>
      </w:r>
    </w:p>
    <w:p w14:paraId="60F48E4E">
      <w:pPr>
        <w:pStyle w:val="19"/>
        <w:spacing w:line="360" w:lineRule="auto"/>
        <w:rPr>
          <w:rFonts w:hint="eastAsia" w:ascii="Times New Roman"/>
          <w:color w:val="auto"/>
          <w:kern w:val="2"/>
          <w:sz w:val="24"/>
          <w:szCs w:val="24"/>
          <w:lang w:val="en-US" w:eastAsia="zh-CN"/>
        </w:rPr>
      </w:pPr>
      <w:r>
        <w:rPr>
          <w:rFonts w:hint="eastAsia" w:hAnsi="宋体"/>
          <w:b/>
          <w:bCs/>
          <w:sz w:val="24"/>
        </w:rPr>
        <w:t>编制依据：</w:t>
      </w:r>
      <w:r>
        <w:rPr>
          <w:rFonts w:hint="eastAsia" w:ascii="宋体" w:hAnsi="宋体" w:cs="宋体"/>
          <w:sz w:val="24"/>
        </w:rPr>
        <w:t>原标准</w:t>
      </w:r>
      <w:r>
        <w:rPr>
          <w:rFonts w:hint="eastAsia" w:ascii="宋体" w:hAnsi="宋体" w:eastAsia="宋体" w:cs="宋体"/>
          <w:color w:val="000000"/>
          <w:kern w:val="0"/>
          <w:sz w:val="24"/>
          <w:szCs w:val="24"/>
          <w:lang w:val="en-US" w:eastAsia="zh-CN" w:bidi="ar-SA"/>
        </w:rPr>
        <w:t>YS/T</w:t>
      </w:r>
      <w:r>
        <w:rPr>
          <w:rFonts w:hint="eastAsia" w:hAnsi="宋体" w:cs="宋体"/>
          <w:color w:val="000000"/>
          <w:kern w:val="0"/>
          <w:sz w:val="24"/>
          <w:szCs w:val="24"/>
          <w:lang w:val="en-US" w:eastAsia="zh-CN" w:bidi="ar-SA"/>
        </w:rPr>
        <w:t xml:space="preserve"> 363是测定纯铑</w:t>
      </w:r>
      <w:r>
        <w:rPr>
          <w:rFonts w:hint="eastAsia" w:ascii="宋体" w:hAnsi="宋体" w:cs="宋体"/>
          <w:sz w:val="24"/>
        </w:rPr>
        <w:t>中</w:t>
      </w:r>
      <w:r>
        <w:rPr>
          <w:rFonts w:hint="eastAsia" w:ascii="宋体" w:hAnsi="宋体" w:cs="宋体"/>
          <w:sz w:val="24"/>
          <w:lang w:val="en-US" w:eastAsia="zh-CN"/>
        </w:rPr>
        <w:t>杂质元素含量，</w:t>
      </w:r>
      <w:r>
        <w:rPr>
          <w:rFonts w:hint="eastAsia" w:hAnsi="宋体" w:cs="宋体"/>
          <w:sz w:val="24"/>
          <w:lang w:val="en-US" w:eastAsia="zh-CN"/>
        </w:rPr>
        <w:t>样品转化成粉末（海绵状）</w:t>
      </w:r>
      <w:r>
        <w:rPr>
          <w:rFonts w:hint="eastAsia" w:ascii="宋体" w:hAnsi="宋体" w:cs="宋体"/>
          <w:sz w:val="24"/>
          <w:lang w:val="en-US" w:eastAsia="zh-CN"/>
        </w:rPr>
        <w:t>，加入石墨缓存剂，装入杯状石墨电极中，直流电极阳极激发，摄谱测定</w:t>
      </w: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该方法误差较大，</w:t>
      </w:r>
      <w:r>
        <w:rPr>
          <w:rFonts w:hint="eastAsia" w:hAnsi="宋体" w:cs="宋体"/>
          <w:color w:val="000000"/>
          <w:kern w:val="0"/>
          <w:sz w:val="24"/>
          <w:szCs w:val="24"/>
          <w:lang w:val="en-US" w:eastAsia="zh-CN" w:bidi="ar-SA"/>
        </w:rPr>
        <w:t>数据不准</w:t>
      </w:r>
      <w:r>
        <w:rPr>
          <w:rFonts w:hint="eastAsia" w:ascii="Times New Roman"/>
          <w:color w:val="auto"/>
          <w:kern w:val="2"/>
          <w:sz w:val="24"/>
          <w:szCs w:val="24"/>
          <w:lang w:val="en-US" w:eastAsia="zh-CN"/>
        </w:rPr>
        <w:t>，随着分析技术的进步，分析经验的丰富，</w:t>
      </w:r>
      <w:r>
        <w:rPr>
          <w:rFonts w:hint="eastAsia"/>
          <w:color w:val="auto"/>
          <w:kern w:val="2"/>
          <w:sz w:val="24"/>
          <w:szCs w:val="24"/>
          <w:lang w:val="en-US" w:eastAsia="zh-CN"/>
        </w:rPr>
        <w:t>分析人员提出了更</w:t>
      </w:r>
      <w:r>
        <w:rPr>
          <w:rFonts w:hint="eastAsia" w:ascii="Times New Roman"/>
          <w:color w:val="auto"/>
          <w:kern w:val="2"/>
          <w:sz w:val="24"/>
          <w:szCs w:val="24"/>
          <w:lang w:val="en-US" w:eastAsia="zh-CN"/>
        </w:rPr>
        <w:t>安全可靠</w:t>
      </w:r>
      <w:r>
        <w:rPr>
          <w:rFonts w:hint="eastAsia"/>
          <w:color w:val="auto"/>
          <w:kern w:val="2"/>
          <w:sz w:val="24"/>
          <w:szCs w:val="24"/>
          <w:lang w:val="en-US" w:eastAsia="zh-CN"/>
        </w:rPr>
        <w:t>、</w:t>
      </w:r>
      <w:r>
        <w:rPr>
          <w:rFonts w:hint="eastAsia" w:ascii="Times New Roman"/>
          <w:color w:val="auto"/>
          <w:kern w:val="2"/>
          <w:sz w:val="24"/>
          <w:szCs w:val="24"/>
          <w:lang w:val="en-US" w:eastAsia="zh-CN"/>
        </w:rPr>
        <w:t>操作门槛</w:t>
      </w:r>
      <w:r>
        <w:rPr>
          <w:rFonts w:hint="eastAsia"/>
          <w:color w:val="auto"/>
          <w:kern w:val="2"/>
          <w:sz w:val="24"/>
          <w:szCs w:val="24"/>
          <w:lang w:val="en-US" w:eastAsia="zh-CN"/>
        </w:rPr>
        <w:t>低、</w:t>
      </w:r>
      <w:r>
        <w:rPr>
          <w:rFonts w:hint="eastAsia" w:ascii="Times New Roman"/>
          <w:color w:val="auto"/>
          <w:kern w:val="2"/>
          <w:sz w:val="24"/>
          <w:szCs w:val="24"/>
          <w:lang w:val="en-US" w:eastAsia="zh-CN"/>
        </w:rPr>
        <w:t>快速准确</w:t>
      </w:r>
      <w:r>
        <w:rPr>
          <w:rFonts w:hint="eastAsia"/>
          <w:color w:val="auto"/>
          <w:kern w:val="2"/>
          <w:sz w:val="24"/>
          <w:szCs w:val="24"/>
          <w:lang w:val="en-US" w:eastAsia="zh-CN"/>
        </w:rPr>
        <w:t xml:space="preserve">的分析方法GB/T 34609.2铑化合物分析方法 第2部分 </w:t>
      </w:r>
      <w:r>
        <w:rPr>
          <w:rFonts w:hint="eastAsia" w:ascii="Times New Roman"/>
          <w:color w:val="auto"/>
          <w:kern w:val="2"/>
          <w:sz w:val="24"/>
          <w:szCs w:val="24"/>
          <w:lang w:val="en-US" w:eastAsia="zh-CN"/>
        </w:rPr>
        <w:t>银、金、铂、钯、、铱、钌、铅、镍、铜、铁、锡、锌、镁、锰、铝、钙、钠、钾、铬、硅含量的测定 电感耦合等离子体发射光谱法》</w:t>
      </w:r>
      <w:r>
        <w:rPr>
          <w:rFonts w:hint="eastAsia"/>
          <w:color w:val="auto"/>
          <w:kern w:val="2"/>
          <w:sz w:val="24"/>
          <w:szCs w:val="24"/>
          <w:lang w:val="en-US" w:eastAsia="zh-CN"/>
        </w:rPr>
        <w:t>。该方法为：试料用盐酸、硝酸的混合酸于聚四氟乙烯烧杯中加热溶解，在稀盐酸介质中，采用</w:t>
      </w:r>
      <w:r>
        <w:rPr>
          <w:rFonts w:hint="eastAsia" w:ascii="Times New Roman"/>
          <w:color w:val="auto"/>
          <w:kern w:val="2"/>
          <w:sz w:val="24"/>
          <w:szCs w:val="24"/>
          <w:lang w:val="en-US" w:eastAsia="zh-CN"/>
        </w:rPr>
        <w:t>电感耦合等离子体原子发射光谱</w:t>
      </w:r>
      <w:r>
        <w:rPr>
          <w:rFonts w:hint="eastAsia"/>
          <w:color w:val="auto"/>
          <w:kern w:val="2"/>
          <w:sz w:val="24"/>
          <w:szCs w:val="24"/>
          <w:lang w:val="en-US" w:eastAsia="zh-CN"/>
        </w:rPr>
        <w:t>仪测定各元素的含量。</w:t>
      </w:r>
      <w:r>
        <w:rPr>
          <w:rFonts w:hint="eastAsia" w:ascii="Times New Roman"/>
          <w:color w:val="auto"/>
          <w:kern w:val="2"/>
          <w:sz w:val="24"/>
          <w:szCs w:val="24"/>
          <w:lang w:val="en-US" w:eastAsia="zh-CN"/>
        </w:rPr>
        <w:t>故本次修订时将辛酸铑杂质质量分数测定的方法</w:t>
      </w:r>
      <w:r>
        <w:rPr>
          <w:rFonts w:hint="eastAsia"/>
          <w:color w:val="auto"/>
          <w:kern w:val="2"/>
          <w:sz w:val="24"/>
          <w:szCs w:val="24"/>
          <w:lang w:val="en-US" w:eastAsia="zh-CN"/>
        </w:rPr>
        <w:t>修订为</w:t>
      </w:r>
      <w:r>
        <w:rPr>
          <w:rFonts w:hint="eastAsia" w:ascii="Times New Roman"/>
          <w:color w:val="auto"/>
          <w:kern w:val="2"/>
          <w:sz w:val="24"/>
          <w:szCs w:val="24"/>
          <w:lang w:val="en-US" w:eastAsia="zh-CN"/>
        </w:rPr>
        <w:t>GB/T 34609.2 铑化合物化学分析方法  第2部分  银、金、铂、钯、铱、钌、铅、镍、铜、铁、锡、锌、镁、锰、铝、钙、钠、钾、铬、硅含量的测定 电感耦合等离子体原子发射光谱法。</w:t>
      </w:r>
    </w:p>
    <w:p w14:paraId="534E02F2">
      <w:pPr>
        <w:pStyle w:val="13"/>
        <w:numPr>
          <w:ilvl w:val="0"/>
          <w:numId w:val="5"/>
        </w:numPr>
        <w:spacing w:line="360" w:lineRule="auto"/>
        <w:ind w:left="0" w:leftChars="0" w:firstLine="0" w:firstLineChars="0"/>
        <w:rPr>
          <w:rFonts w:hint="eastAsia"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增加了检验结果的数值按GB/T 8170的规定进行修约，并采用修约值比较法判定（见7.5.1）</w:t>
      </w:r>
    </w:p>
    <w:p w14:paraId="7E8EE2D1">
      <w:pPr>
        <w:pStyle w:val="13"/>
        <w:numPr>
          <w:ilvl w:val="0"/>
          <w:numId w:val="4"/>
        </w:numPr>
        <w:spacing w:line="360" w:lineRule="auto"/>
        <w:ind w:firstLineChars="0"/>
        <w:rPr>
          <w:rFonts w:hint="eastAsia" w:ascii="宋体" w:hAnsi="宋体" w:eastAsia="宋体" w:cs="宋体"/>
          <w:color w:val="000000"/>
          <w:kern w:val="0"/>
          <w:sz w:val="24"/>
          <w:szCs w:val="24"/>
          <w:lang w:val="en-US" w:eastAsia="zh-CN" w:bidi="ar-SA"/>
        </w:rPr>
      </w:pPr>
      <w:r>
        <w:rPr>
          <w:rFonts w:hint="eastAsia" w:hAnsi="宋体" w:eastAsia="宋体" w:cs="Times New Roman"/>
          <w:b/>
          <w:bCs/>
          <w:kern w:val="2"/>
          <w:sz w:val="24"/>
          <w:szCs w:val="24"/>
          <w:lang w:val="en-US" w:eastAsia="zh-CN"/>
        </w:rPr>
        <w:t>编制依据</w:t>
      </w:r>
      <w:r>
        <w:rPr>
          <w:rFonts w:hint="eastAsia" w:hAnsi="宋体" w:cs="Times New Roman"/>
          <w:b/>
          <w:bCs/>
          <w:kern w:val="2"/>
          <w:sz w:val="24"/>
          <w:szCs w:val="24"/>
          <w:lang w:val="en-US" w:eastAsia="zh-CN"/>
        </w:rPr>
        <w:t>：</w:t>
      </w:r>
      <w:r>
        <w:rPr>
          <w:rFonts w:hint="eastAsia" w:ascii="宋体" w:hAnsi="宋体" w:eastAsia="宋体" w:cs="宋体"/>
          <w:color w:val="000000"/>
          <w:kern w:val="0"/>
          <w:sz w:val="24"/>
          <w:szCs w:val="24"/>
          <w:lang w:val="en-US" w:eastAsia="zh-CN" w:bidi="ar-SA"/>
        </w:rPr>
        <w:t>该规范文件对数值修约规则与极限数值的表示和判定进行规范，参考引用国标文件，使得本文件更加规范。</w:t>
      </w:r>
    </w:p>
    <w:p w14:paraId="25F7D9C1">
      <w:pPr>
        <w:pStyle w:val="13"/>
        <w:numPr>
          <w:ilvl w:val="0"/>
          <w:numId w:val="5"/>
        </w:numPr>
        <w:spacing w:line="360" w:lineRule="auto"/>
        <w:ind w:left="0" w:leftChars="0" w:firstLine="0" w:firstLineChars="0"/>
        <w:rPr>
          <w:rFonts w:hint="eastAsia"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更改了标志，分为了产品标志和包装标志（见8.1，2013版的6.1）</w:t>
      </w:r>
    </w:p>
    <w:p w14:paraId="02AC5934">
      <w:pPr>
        <w:pStyle w:val="13"/>
        <w:numPr>
          <w:ilvl w:val="0"/>
          <w:numId w:val="4"/>
        </w:numPr>
        <w:spacing w:line="360" w:lineRule="auto"/>
        <w:ind w:firstLineChars="0"/>
        <w:rPr>
          <w:rFonts w:hint="default" w:ascii="宋体" w:hAnsi="宋体" w:eastAsia="宋体" w:cs="Times New Roman"/>
          <w:b/>
          <w:bCs/>
          <w:kern w:val="2"/>
          <w:sz w:val="24"/>
          <w:szCs w:val="24"/>
          <w:lang w:val="en-US" w:eastAsia="zh-CN"/>
        </w:rPr>
      </w:pPr>
      <w:r>
        <w:rPr>
          <w:rFonts w:hint="eastAsia" w:ascii="宋体" w:hAnsi="宋体" w:eastAsia="宋体" w:cs="Times New Roman"/>
          <w:b/>
          <w:bCs/>
          <w:kern w:val="2"/>
          <w:sz w:val="24"/>
          <w:szCs w:val="24"/>
          <w:lang w:val="en-US" w:eastAsia="zh-CN"/>
        </w:rPr>
        <w:t>编制依据：</w:t>
      </w:r>
      <w:r>
        <w:rPr>
          <w:rFonts w:hint="eastAsia" w:ascii="宋体" w:hAnsi="宋体" w:eastAsia="宋体" w:cs="宋体"/>
          <w:color w:val="000000"/>
          <w:kern w:val="0"/>
          <w:sz w:val="24"/>
          <w:szCs w:val="24"/>
          <w:lang w:val="en-US" w:eastAsia="zh-CN" w:bidi="ar-SA"/>
        </w:rPr>
        <w:t>根据最新的标准化工作导则编写要求，增加了包装标志，规定了产品的包装箱标志应符合GB/T 191的规定，提高标准的规范性。</w:t>
      </w:r>
    </w:p>
    <w:p w14:paraId="64902372">
      <w:pPr>
        <w:spacing w:line="360" w:lineRule="auto"/>
        <w:rPr>
          <w:rFonts w:hint="eastAsia" w:ascii="黑体" w:hAnsi="黑体" w:eastAsia="黑体" w:cs="黑体"/>
          <w:b w:val="0"/>
          <w:bCs/>
          <w:color w:val="FF0000"/>
          <w:sz w:val="28"/>
          <w:szCs w:val="28"/>
        </w:rPr>
      </w:pPr>
      <w:r>
        <w:rPr>
          <w:rFonts w:hint="eastAsia" w:ascii="黑体" w:hAnsi="黑体" w:eastAsia="黑体" w:cs="黑体"/>
          <w:b w:val="0"/>
          <w:bCs/>
          <w:sz w:val="28"/>
          <w:szCs w:val="28"/>
        </w:rPr>
        <w:t>四、标准中涉及专利的情况</w:t>
      </w:r>
    </w:p>
    <w:p w14:paraId="0FCC3DA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sz w:val="24"/>
        </w:rPr>
      </w:pPr>
      <w:r>
        <w:rPr>
          <w:rFonts w:hint="eastAsia"/>
          <w:sz w:val="24"/>
        </w:rPr>
        <w:t>本标准不涉及专利问题。</w:t>
      </w:r>
    </w:p>
    <w:p w14:paraId="491BCDDD">
      <w:pPr>
        <w:spacing w:line="360" w:lineRule="auto"/>
        <w:rPr>
          <w:rFonts w:hint="eastAsia" w:ascii="黑体" w:hAnsi="黑体" w:eastAsia="黑体" w:cs="黑体"/>
          <w:b w:val="0"/>
          <w:bCs/>
          <w:color w:val="FF0000"/>
          <w:sz w:val="28"/>
          <w:szCs w:val="28"/>
        </w:rPr>
      </w:pPr>
      <w:r>
        <w:rPr>
          <w:rFonts w:hint="eastAsia" w:ascii="黑体" w:hAnsi="黑体" w:eastAsia="黑体" w:cs="黑体"/>
          <w:b w:val="0"/>
          <w:bCs/>
          <w:sz w:val="28"/>
          <w:szCs w:val="28"/>
        </w:rPr>
        <w:t>五、预期达到的社会效益等情况</w:t>
      </w:r>
    </w:p>
    <w:p w14:paraId="3656D5B4">
      <w:pPr>
        <w:rPr>
          <w:rFonts w:hint="eastAsia" w:ascii="黑体" w:hAnsi="黑体" w:eastAsia="黑体" w:cs="黑体"/>
          <w:b w:val="0"/>
          <w:bCs/>
          <w:sz w:val="28"/>
          <w:szCs w:val="28"/>
        </w:rPr>
      </w:pP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一</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项目的必要性简述</w:t>
      </w:r>
    </w:p>
    <w:p w14:paraId="657CA7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sz w:val="24"/>
        </w:rPr>
      </w:pPr>
      <w:r>
        <w:rPr>
          <w:rFonts w:hint="eastAsia"/>
          <w:sz w:val="24"/>
          <w:lang w:eastAsia="zh-CN"/>
        </w:rPr>
        <w:t>辛酸铑</w:t>
      </w:r>
      <w:r>
        <w:rPr>
          <w:rFonts w:hint="eastAsia"/>
          <w:sz w:val="24"/>
        </w:rPr>
        <w:t>作为应用广泛的</w:t>
      </w:r>
      <w:r>
        <w:rPr>
          <w:rFonts w:hint="eastAsia"/>
          <w:sz w:val="24"/>
          <w:lang w:val="en-US" w:eastAsia="zh-CN"/>
        </w:rPr>
        <w:t>铑</w:t>
      </w:r>
      <w:r>
        <w:rPr>
          <w:rFonts w:hint="eastAsia"/>
          <w:sz w:val="24"/>
        </w:rPr>
        <w:t>基础化合物，是重要的</w:t>
      </w:r>
      <w:r>
        <w:rPr>
          <w:rFonts w:hint="eastAsia"/>
          <w:sz w:val="24"/>
          <w:lang w:val="en-US" w:eastAsia="zh-CN"/>
        </w:rPr>
        <w:t>医药</w:t>
      </w:r>
      <w:r>
        <w:rPr>
          <w:rFonts w:hint="eastAsia"/>
          <w:sz w:val="24"/>
        </w:rPr>
        <w:t>化工</w:t>
      </w:r>
      <w:r>
        <w:rPr>
          <w:rFonts w:hint="eastAsia"/>
          <w:sz w:val="24"/>
          <w:lang w:val="en-US" w:eastAsia="zh-CN"/>
        </w:rPr>
        <w:t>催化剂</w:t>
      </w:r>
      <w:r>
        <w:rPr>
          <w:rFonts w:hint="eastAsia"/>
          <w:sz w:val="24"/>
        </w:rPr>
        <w:t>，主要用于</w:t>
      </w:r>
      <w:r>
        <w:rPr>
          <w:rFonts w:hint="eastAsia"/>
          <w:sz w:val="24"/>
          <w:lang w:val="en-US" w:eastAsia="zh-CN"/>
        </w:rPr>
        <w:t>催化美罗培南合成</w:t>
      </w:r>
      <w:r>
        <w:rPr>
          <w:rFonts w:hint="eastAsia"/>
          <w:sz w:val="24"/>
        </w:rPr>
        <w:t>。近年来随着科学技术和经济的快速发展，产品需求量和应用领域也有了较大的提升，因此对质量也提出了更高的要求，为</w:t>
      </w:r>
      <w:r>
        <w:rPr>
          <w:rFonts w:hint="eastAsia"/>
          <w:sz w:val="24"/>
          <w:lang w:val="en-US" w:eastAsia="zh-CN"/>
        </w:rPr>
        <w:t>了进一步规范生产、</w:t>
      </w:r>
      <w:r>
        <w:rPr>
          <w:rFonts w:hint="eastAsia"/>
          <w:sz w:val="24"/>
        </w:rPr>
        <w:t>提高产品质量</w:t>
      </w:r>
      <w:r>
        <w:rPr>
          <w:rFonts w:hint="eastAsia"/>
          <w:sz w:val="24"/>
          <w:lang w:eastAsia="zh-CN"/>
        </w:rPr>
        <w:t>、</w:t>
      </w:r>
      <w:r>
        <w:rPr>
          <w:rFonts w:hint="eastAsia"/>
          <w:sz w:val="24"/>
        </w:rPr>
        <w:t>满足行业使用要求</w:t>
      </w:r>
      <w:r>
        <w:rPr>
          <w:rFonts w:hint="eastAsia"/>
          <w:sz w:val="24"/>
          <w:lang w:eastAsia="zh-CN"/>
        </w:rPr>
        <w:t>、</w:t>
      </w:r>
      <w:r>
        <w:rPr>
          <w:rFonts w:hint="eastAsia"/>
          <w:sz w:val="24"/>
          <w:lang w:val="en-US" w:eastAsia="zh-CN"/>
        </w:rPr>
        <w:t>促进行业的进步，</w:t>
      </w:r>
      <w:r>
        <w:rPr>
          <w:rFonts w:hint="eastAsia"/>
          <w:sz w:val="24"/>
        </w:rPr>
        <w:t>进一步修订产品技术指标变得尤为重要，标准的修订将会进一步规范产品供应市场，利于促进企业生产工艺装备、技术水平、试验检测的升级发展，同时进一步提升</w:t>
      </w:r>
      <w:r>
        <w:rPr>
          <w:rFonts w:hint="eastAsia"/>
          <w:sz w:val="24"/>
          <w:lang w:eastAsia="zh-CN"/>
        </w:rPr>
        <w:t>辛酸铑</w:t>
      </w:r>
      <w:r>
        <w:rPr>
          <w:rFonts w:hint="eastAsia"/>
          <w:sz w:val="24"/>
        </w:rPr>
        <w:t>的质量，提高该产品的竞争力，无疑具有重要的经济效益和社会效益。现行的</w:t>
      </w:r>
      <w:r>
        <w:rPr>
          <w:rFonts w:hint="eastAsia"/>
          <w:sz w:val="24"/>
          <w:lang w:eastAsia="zh-CN"/>
        </w:rPr>
        <w:t>辛酸铑</w:t>
      </w:r>
      <w:r>
        <w:rPr>
          <w:rFonts w:hint="eastAsia"/>
          <w:sz w:val="24"/>
        </w:rPr>
        <w:t>标准于2013年发布，至今已有</w:t>
      </w:r>
      <w:r>
        <w:rPr>
          <w:rFonts w:hint="eastAsia"/>
          <w:sz w:val="24"/>
          <w:lang w:val="en-US" w:eastAsia="zh-CN"/>
        </w:rPr>
        <w:t>11</w:t>
      </w:r>
      <w:r>
        <w:rPr>
          <w:rFonts w:hint="eastAsia"/>
          <w:sz w:val="24"/>
        </w:rPr>
        <w:t>年之多，已不能满足现有的生产技术和使用需求，为了适应行业发展需求，进一步规范</w:t>
      </w:r>
      <w:r>
        <w:rPr>
          <w:rFonts w:hint="eastAsia"/>
          <w:sz w:val="24"/>
          <w:lang w:eastAsia="zh-CN"/>
        </w:rPr>
        <w:t>辛酸铑</w:t>
      </w:r>
      <w:r>
        <w:rPr>
          <w:rFonts w:hint="eastAsia"/>
          <w:sz w:val="24"/>
        </w:rPr>
        <w:t>产品的生产、检验、和验收，急需对原标准进行修订，做到国内外标准统一，从而更好的加强与国内外客户之间的交流、沟通、使</w:t>
      </w:r>
      <w:r>
        <w:rPr>
          <w:rFonts w:hint="eastAsia"/>
          <w:sz w:val="24"/>
          <w:lang w:eastAsia="zh-CN"/>
        </w:rPr>
        <w:t>辛酸铑</w:t>
      </w:r>
      <w:r>
        <w:rPr>
          <w:rFonts w:hint="eastAsia"/>
          <w:sz w:val="24"/>
        </w:rPr>
        <w:t>加工走向国际化提供保障。</w:t>
      </w:r>
    </w:p>
    <w:p w14:paraId="4A89FA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黑体" w:hAnsi="黑体" w:eastAsia="黑体" w:cs="黑体"/>
          <w:b w:val="0"/>
          <w:bCs/>
          <w:sz w:val="28"/>
          <w:szCs w:val="28"/>
        </w:rPr>
      </w:pPr>
      <w:r>
        <w:rPr>
          <w:rFonts w:hint="eastAsia"/>
          <w:sz w:val="24"/>
        </w:rPr>
        <w:t>本标准修订的各项指标合理，规范产品技术要求满足用户需求，符合生产实际情况，通过本标准的进一步实施，会促进</w:t>
      </w:r>
      <w:r>
        <w:rPr>
          <w:rFonts w:hint="eastAsia"/>
          <w:sz w:val="24"/>
          <w:lang w:eastAsia="zh-CN"/>
        </w:rPr>
        <w:t>辛酸铑</w:t>
      </w:r>
      <w:r>
        <w:rPr>
          <w:rFonts w:hint="eastAsia"/>
          <w:sz w:val="24"/>
        </w:rPr>
        <w:t>在催化剂行业中应用的推广和水平的提升，引导促进行业市场的良好蓬勃发展。</w:t>
      </w:r>
    </w:p>
    <w:p w14:paraId="395E218B">
      <w:pPr>
        <w:numPr>
          <w:ilvl w:val="0"/>
          <w:numId w:val="0"/>
        </w:numPr>
        <w:ind w:leftChars="0"/>
        <w:rPr>
          <w:rFonts w:hint="eastAsia" w:ascii="黑体" w:hAnsi="黑体" w:eastAsia="黑体" w:cs="黑体"/>
          <w:b w:val="0"/>
          <w:bCs/>
          <w:sz w:val="28"/>
          <w:szCs w:val="28"/>
        </w:rPr>
      </w:pP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项目的可行性简述</w:t>
      </w:r>
    </w:p>
    <w:p w14:paraId="5619ADCD">
      <w:pPr>
        <w:pStyle w:val="6"/>
        <w:spacing w:before="0" w:beforeAutospacing="0" w:after="0" w:afterAutospacing="0" w:line="360" w:lineRule="auto"/>
        <w:ind w:firstLine="480" w:firstLineChars="200"/>
        <w:rPr>
          <w:rFonts w:hint="eastAsia" w:ascii="黑体" w:hAnsi="黑体" w:eastAsia="黑体" w:cs="黑体"/>
          <w:b w:val="0"/>
          <w:bCs w:val="0"/>
          <w:sz w:val="28"/>
          <w:szCs w:val="28"/>
        </w:rPr>
      </w:pPr>
      <w:r>
        <w:rPr>
          <w:rFonts w:hint="eastAsia"/>
          <w:sz w:val="24"/>
          <w:lang w:val="en-US" w:eastAsia="zh-CN"/>
        </w:rPr>
        <w:t>贵研化学材料（云南）有限公司是由贵研铂业股份有限公司全资控股的一家子公司，其前身是贵研铂业股份有限公司环境材料事业部。</w:t>
      </w:r>
      <w:r>
        <w:rPr>
          <w:rFonts w:hint="eastAsia" w:ascii="Times New Roman" w:hAnsi="Times New Roman" w:eastAsia="宋体" w:cs="Times New Roman"/>
          <w:kern w:val="2"/>
          <w:sz w:val="24"/>
          <w:szCs w:val="24"/>
          <w:lang w:val="en-US" w:eastAsia="zh-CN" w:bidi="ar-SA"/>
        </w:rPr>
        <w:t>是集贵金属系列功能材料研发、制造、销售于一体的高新技术企业</w:t>
      </w:r>
      <w:r>
        <w:rPr>
          <w:rFonts w:hint="eastAsia" w:cs="Times New Roman"/>
          <w:kern w:val="2"/>
          <w:sz w:val="24"/>
          <w:szCs w:val="24"/>
          <w:lang w:val="en-US" w:eastAsia="zh-CN" w:bidi="ar-SA"/>
        </w:rPr>
        <w:t>，</w:t>
      </w:r>
      <w:r>
        <w:rPr>
          <w:rFonts w:hint="eastAsia" w:ascii="Times New Roman" w:hAnsi="Times New Roman" w:cs="Times New Roman"/>
          <w:kern w:val="2"/>
        </w:rPr>
        <w:t>有各类工程技术和管理人员1</w:t>
      </w:r>
      <w:r>
        <w:rPr>
          <w:rFonts w:hint="eastAsia" w:ascii="Times New Roman" w:hAnsi="Times New Roman" w:cs="Times New Roman"/>
          <w:kern w:val="2"/>
          <w:lang w:val="en-US" w:eastAsia="zh-CN"/>
        </w:rPr>
        <w:t>6</w:t>
      </w:r>
      <w:r>
        <w:rPr>
          <w:rFonts w:hint="eastAsia" w:ascii="Times New Roman" w:hAnsi="Times New Roman" w:cs="Times New Roman"/>
          <w:kern w:val="2"/>
        </w:rPr>
        <w:t>0余人，是我国目前铂族金属化合物的主要生产基地，产品用户遍布全国各行各业上百家企业。</w:t>
      </w:r>
      <w:r>
        <w:rPr>
          <w:rFonts w:hint="eastAsia" w:ascii="Times New Roman" w:hAnsi="Times New Roman" w:eastAsia="宋体" w:cs="Times New Roman"/>
          <w:kern w:val="2"/>
          <w:sz w:val="24"/>
          <w:szCs w:val="24"/>
          <w:lang w:val="en-US" w:eastAsia="zh-CN" w:bidi="ar-SA"/>
        </w:rPr>
        <w:t>对</w:t>
      </w:r>
      <w:r>
        <w:rPr>
          <w:rFonts w:hint="eastAsia"/>
          <w:sz w:val="24"/>
          <w:lang w:val="en-US" w:eastAsia="zh-CN"/>
        </w:rPr>
        <w:t>辛酸铑</w:t>
      </w:r>
      <w:r>
        <w:rPr>
          <w:rFonts w:hint="eastAsia"/>
          <w:sz w:val="24"/>
        </w:rPr>
        <w:t>产品的生产工艺不断优化改进，明确了保证产品质量的关键工艺控制点，合成工艺成熟，产品质量稳定，已建立完整生产线，能进行大批量生产，且</w:t>
      </w:r>
      <w:r>
        <w:rPr>
          <w:rFonts w:hint="eastAsia"/>
          <w:sz w:val="24"/>
          <w:lang w:val="en-US" w:eastAsia="zh-CN"/>
        </w:rPr>
        <w:t>具备产品完整的</w:t>
      </w:r>
      <w:r>
        <w:rPr>
          <w:rFonts w:hint="eastAsia"/>
          <w:sz w:val="24"/>
        </w:rPr>
        <w:t>作业指导书，规定了内控标准，相关项目检测方法及手段较为成熟，客户效果良好，销售量逐年增加，为后续标准的修订及实施提供</w:t>
      </w:r>
      <w:r>
        <w:rPr>
          <w:rFonts w:hint="eastAsia"/>
          <w:b w:val="0"/>
          <w:bCs w:val="0"/>
          <w:sz w:val="24"/>
        </w:rPr>
        <w:t>了坚实的技术保障，且可提供必要的经费支持。</w:t>
      </w:r>
    </w:p>
    <w:p w14:paraId="41DC2D61">
      <w:pPr>
        <w:spacing w:line="360" w:lineRule="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标准的先进性、创新性、标准实施后预期产生的经济效益和社会效益</w:t>
      </w:r>
    </w:p>
    <w:p w14:paraId="7B253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本标准规定的技术指标体现了</w:t>
      </w:r>
      <w:r>
        <w:rPr>
          <w:rFonts w:hint="eastAsia"/>
          <w:sz w:val="24"/>
          <w:lang w:val="en-US" w:eastAsia="zh-CN"/>
        </w:rPr>
        <w:t>辛酸铑</w:t>
      </w:r>
      <w:r>
        <w:rPr>
          <w:rFonts w:hint="eastAsia"/>
          <w:sz w:val="24"/>
        </w:rPr>
        <w:t>生产行业发展的最新水平，技术指标先进，检测方法更为科学可靠。</w:t>
      </w:r>
    </w:p>
    <w:p w14:paraId="209E0E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sz w:val="24"/>
        </w:rPr>
        <w:t>本标准所规定的技术指标均优于不同客户对本产品的技术指标要求（参见表二），同时化学成分的试验方法规定中体现了相关检测技术的的最新发展水平，本标准所规定的其它项目如检验规则及标志、包装、运输、贮存、质量证明书和订货单（或合同）内容也能最大限度保护生产及使用厂家的利益。不同生产厂家指标项目实测值（参见表三）基本符合本标准的规定，说明本标准的制定是符合生产实际的。本标准制订的各项指标均能满足国内外大多数生产厂家实际生产情况，又能满足使用厂家的要求。本标准文字简练、条理清晰，制订的各项指标合理、先进，具有实用性、可操作性，能够满足生产和使用需要，</w:t>
      </w:r>
      <w:r>
        <w:rPr>
          <w:rFonts w:hint="eastAsia" w:ascii="宋体" w:hAnsi="宋体" w:cs="宋体"/>
          <w:sz w:val="24"/>
        </w:rPr>
        <w:t>确定该标准指标水平为总体国内先进水平。</w:t>
      </w:r>
    </w:p>
    <w:p w14:paraId="3493B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default"/>
          <w:sz w:val="24"/>
          <w:lang w:val="en-US" w:eastAsia="zh-CN"/>
        </w:rPr>
        <w:t>标准的修订将会进一步规范产品供应市场，利于促进企业生产工艺装备、技术水平、试验检测的升级发展，同时进一步提升</w:t>
      </w:r>
      <w:r>
        <w:rPr>
          <w:rFonts w:hint="eastAsia"/>
          <w:sz w:val="24"/>
          <w:lang w:val="en-US" w:eastAsia="zh-CN"/>
        </w:rPr>
        <w:t>辛酸铑</w:t>
      </w:r>
      <w:r>
        <w:rPr>
          <w:rFonts w:hint="default"/>
          <w:sz w:val="24"/>
          <w:lang w:val="en-US" w:eastAsia="zh-CN"/>
        </w:rPr>
        <w:t>的质量，提高该产品的竞争力，</w:t>
      </w:r>
      <w:r>
        <w:rPr>
          <w:rFonts w:hint="eastAsia"/>
          <w:sz w:val="24"/>
          <w:lang w:val="en-US" w:eastAsia="zh-CN"/>
        </w:rPr>
        <w:t>能</w:t>
      </w:r>
      <w:r>
        <w:rPr>
          <w:rFonts w:hint="default"/>
          <w:sz w:val="24"/>
          <w:lang w:val="en-US" w:eastAsia="zh-CN"/>
        </w:rPr>
        <w:t>促进</w:t>
      </w:r>
      <w:r>
        <w:rPr>
          <w:rFonts w:hint="eastAsia"/>
          <w:sz w:val="24"/>
          <w:lang w:val="en-US" w:eastAsia="zh-CN"/>
        </w:rPr>
        <w:t>辛酸铑</w:t>
      </w:r>
      <w:r>
        <w:rPr>
          <w:rFonts w:hint="default"/>
          <w:sz w:val="24"/>
          <w:lang w:val="en-US" w:eastAsia="zh-CN"/>
        </w:rPr>
        <w:t>在催化剂行业中应用的推广和水平的提升，引导促进行业市场的良好蓬勃发展</w:t>
      </w:r>
      <w:r>
        <w:rPr>
          <w:rFonts w:hint="eastAsia"/>
          <w:sz w:val="24"/>
          <w:lang w:val="en-US" w:eastAsia="zh-CN"/>
        </w:rPr>
        <w:t>，</w:t>
      </w:r>
      <w:r>
        <w:rPr>
          <w:rFonts w:hint="default"/>
          <w:sz w:val="24"/>
          <w:lang w:val="en-US" w:eastAsia="zh-CN"/>
        </w:rPr>
        <w:t>具有</w:t>
      </w:r>
      <w:r>
        <w:rPr>
          <w:rFonts w:hint="eastAsia"/>
          <w:sz w:val="24"/>
          <w:lang w:val="en-US" w:eastAsia="zh-CN"/>
        </w:rPr>
        <w:t>巨大</w:t>
      </w:r>
      <w:r>
        <w:rPr>
          <w:rFonts w:hint="default"/>
          <w:sz w:val="24"/>
          <w:lang w:val="en-US" w:eastAsia="zh-CN"/>
        </w:rPr>
        <w:t>的经济效益和社会效益。</w:t>
      </w:r>
    </w:p>
    <w:p w14:paraId="5EBFFEFE">
      <w:pPr>
        <w:spacing w:line="360" w:lineRule="auto"/>
        <w:rPr>
          <w:rFonts w:hint="eastAsia" w:ascii="黑体" w:hAnsi="黑体" w:eastAsia="黑体" w:cs="黑体"/>
          <w:b w:val="0"/>
          <w:bCs/>
          <w:color w:val="FF0000"/>
          <w:sz w:val="28"/>
          <w:szCs w:val="28"/>
        </w:rPr>
      </w:pPr>
      <w:r>
        <w:rPr>
          <w:rFonts w:hint="eastAsia" w:ascii="黑体" w:hAnsi="黑体" w:eastAsia="黑体" w:cs="黑体"/>
          <w:b w:val="0"/>
          <w:bCs/>
          <w:sz w:val="28"/>
          <w:szCs w:val="28"/>
        </w:rPr>
        <w:t>六、采用国际标准和国外先进标准的情况</w:t>
      </w:r>
    </w:p>
    <w:p w14:paraId="41C49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无采用国际标准和国外先进标准的情况。</w:t>
      </w:r>
    </w:p>
    <w:p w14:paraId="036CEEC3">
      <w:pPr>
        <w:spacing w:line="360" w:lineRule="auto"/>
        <w:rPr>
          <w:rFonts w:hint="eastAsia" w:ascii="黑体" w:hAnsi="黑体" w:eastAsia="黑体" w:cs="黑体"/>
          <w:b w:val="0"/>
          <w:bCs/>
          <w:color w:val="FF0000"/>
          <w:sz w:val="28"/>
          <w:szCs w:val="28"/>
        </w:rPr>
      </w:pPr>
      <w:r>
        <w:rPr>
          <w:rFonts w:hint="eastAsia" w:ascii="黑体" w:hAnsi="黑体" w:eastAsia="黑体" w:cs="黑体"/>
          <w:b w:val="0"/>
          <w:bCs/>
          <w:sz w:val="28"/>
          <w:szCs w:val="28"/>
        </w:rPr>
        <w:t>七、与现行相关法律、法规、规章及相关标准，特别是强制性国家标准的协调配套情况</w:t>
      </w:r>
    </w:p>
    <w:p w14:paraId="2AE5D2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lang w:val="en-US"/>
        </w:rPr>
      </w:pPr>
      <w:r>
        <w:rPr>
          <w:rFonts w:hint="eastAsia"/>
          <w:sz w:val="24"/>
          <w:lang w:val="en-US" w:eastAsia="zh-CN"/>
        </w:rPr>
        <w:t>本标准属于其它有色金属标准体系“贵金属”类产品标准。</w:t>
      </w:r>
      <w:r>
        <w:rPr>
          <w:rFonts w:hint="eastAsia"/>
          <w:sz w:val="24"/>
        </w:rPr>
        <w:t>标</w:t>
      </w:r>
      <w:r>
        <w:rPr>
          <w:rFonts w:hint="eastAsia"/>
          <w:sz w:val="24"/>
          <w:lang w:val="en-US" w:eastAsia="zh-CN"/>
        </w:rPr>
        <w:t>修订时，考虑到与国际标准和规范接轨，在规范性引用文件上按照我国标准体系进行了调整和编辑，并引用我国国家标准的最新版本，在标准的技术要求、试验方法、检验规则、标志、包装、运输和贮存等方面与国内相关标准协调一致；新修订的《辛酸铑》标准条文精炼表达清楚，技术要求全面、准确、科学、合理；标准的格式和表达方式等方面完全执行了现行的国家标准和有关法规，符合GB/T 1.1的有关要求。本标准完全满足现行国家法规的要求，与现标准相比，技术参数要求更合理，格式更规范，可取代原标准。</w:t>
      </w:r>
    </w:p>
    <w:p w14:paraId="46871AF4">
      <w:pPr>
        <w:rPr>
          <w:rFonts w:hint="eastAsia" w:ascii="黑体" w:hAnsi="黑体" w:eastAsia="黑体" w:cs="黑体"/>
          <w:b w:val="0"/>
          <w:bCs/>
          <w:sz w:val="28"/>
          <w:szCs w:val="28"/>
        </w:rPr>
      </w:pPr>
      <w:r>
        <w:rPr>
          <w:rFonts w:hint="eastAsia" w:ascii="黑体" w:hAnsi="黑体" w:eastAsia="黑体" w:cs="黑体"/>
          <w:b w:val="0"/>
          <w:bCs/>
          <w:sz w:val="28"/>
          <w:szCs w:val="28"/>
        </w:rPr>
        <w:t>八、重大分歧意见的处理经过和依据</w:t>
      </w:r>
    </w:p>
    <w:p w14:paraId="12CEA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本标准属于有色金属领域专业基础标准，编制组根据起草前确定的编制原则进行了标准起草，标准起草过程中未发生重大分歧意见。</w:t>
      </w:r>
    </w:p>
    <w:p w14:paraId="0DE62AAE">
      <w:pPr>
        <w:rPr>
          <w:rFonts w:hint="eastAsia" w:ascii="黑体" w:hAnsi="黑体" w:eastAsia="黑体" w:cs="黑体"/>
          <w:b w:val="0"/>
          <w:bCs/>
          <w:sz w:val="28"/>
          <w:szCs w:val="28"/>
        </w:rPr>
      </w:pPr>
      <w:r>
        <w:rPr>
          <w:rFonts w:hint="eastAsia" w:ascii="黑体" w:hAnsi="黑体" w:eastAsia="黑体" w:cs="黑体"/>
          <w:b w:val="0"/>
          <w:bCs/>
          <w:sz w:val="28"/>
          <w:szCs w:val="28"/>
        </w:rPr>
        <w:t>九、标准性质的建议说明</w:t>
      </w:r>
    </w:p>
    <w:p w14:paraId="4910570F">
      <w:pPr>
        <w:pStyle w:val="19"/>
        <w:ind w:firstLine="480"/>
        <w:rPr>
          <w:rFonts w:hint="eastAsia"/>
          <w:sz w:val="24"/>
        </w:rPr>
      </w:pPr>
      <w:r>
        <w:rPr>
          <w:rFonts w:hint="eastAsia"/>
          <w:sz w:val="24"/>
          <w:lang w:val="en-US" w:eastAsia="zh-CN"/>
        </w:rPr>
        <w:t>根据标准化法和有关规定，</w:t>
      </w:r>
      <w:r>
        <w:rPr>
          <w:rFonts w:hint="eastAsia"/>
          <w:sz w:val="24"/>
        </w:rPr>
        <w:t>建议该标准为推荐性有色金属行业产品标准。</w:t>
      </w:r>
    </w:p>
    <w:p w14:paraId="6C14E7A8">
      <w:pPr>
        <w:rPr>
          <w:rFonts w:hint="eastAsia" w:ascii="黑体" w:hAnsi="黑体" w:eastAsia="黑体" w:cs="黑体"/>
          <w:b w:val="0"/>
          <w:bCs/>
          <w:sz w:val="28"/>
          <w:szCs w:val="28"/>
        </w:rPr>
      </w:pPr>
      <w:r>
        <w:rPr>
          <w:rFonts w:hint="eastAsia" w:ascii="黑体" w:hAnsi="黑体" w:eastAsia="黑体" w:cs="黑体"/>
          <w:b w:val="0"/>
          <w:bCs/>
          <w:sz w:val="28"/>
          <w:szCs w:val="28"/>
        </w:rPr>
        <w:t>十、贯彻标准的要求和建议措施</w:t>
      </w:r>
    </w:p>
    <w:p w14:paraId="6FD83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1.首先应在实施前保证标准文本的充足供应</w:t>
      </w:r>
      <w:r>
        <w:rPr>
          <w:rFonts w:hint="eastAsia"/>
          <w:sz w:val="24"/>
        </w:rPr>
        <w:t>，</w:t>
      </w:r>
      <w:r>
        <w:rPr>
          <w:rFonts w:hint="eastAsia"/>
          <w:sz w:val="24"/>
          <w:lang w:val="en-US" w:eastAsia="zh-CN"/>
        </w:rPr>
        <w:t>使每个生产单位以及检测机构等都能及时获得本标准文件，这是保证新标准贯彻实施的基础。</w:t>
      </w:r>
    </w:p>
    <w:p w14:paraId="4C1DE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2.本次修订的《辛酸铑》标准，不仅与生产企业有关，而且与使用企业和检测机构等相关，对于标准使用过程中容易出现的疑问，起草单位有义务进行必要的解释。</w:t>
      </w:r>
    </w:p>
    <w:p w14:paraId="7544DE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eastAsia"/>
          <w:sz w:val="24"/>
          <w:lang w:val="en-US" w:eastAsia="zh-CN"/>
        </w:rPr>
        <w:t>3.可以针对标准使用的不同对象，有侧重点的进行标准的培训和贯宣，以保证标准的贯彻实施。</w:t>
      </w:r>
    </w:p>
    <w:p w14:paraId="5045C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eastAsia"/>
          <w:sz w:val="24"/>
          <w:lang w:val="en-US" w:eastAsia="zh-CN"/>
        </w:rPr>
        <w:t>4.建议本标准批准发布6个月后实施。</w:t>
      </w:r>
    </w:p>
    <w:p w14:paraId="4067172A">
      <w:pPr>
        <w:rPr>
          <w:rFonts w:hint="eastAsia" w:ascii="黑体" w:hAnsi="黑体" w:eastAsia="黑体" w:cs="黑体"/>
          <w:b w:val="0"/>
          <w:bCs/>
          <w:sz w:val="28"/>
          <w:szCs w:val="28"/>
        </w:rPr>
      </w:pPr>
      <w:r>
        <w:rPr>
          <w:rFonts w:hint="eastAsia" w:ascii="黑体" w:hAnsi="黑体" w:eastAsia="黑体" w:cs="黑体"/>
          <w:b w:val="0"/>
          <w:bCs/>
          <w:sz w:val="28"/>
          <w:szCs w:val="28"/>
        </w:rPr>
        <w:t>十一、废止现行相关标准的建议</w:t>
      </w:r>
    </w:p>
    <w:p w14:paraId="594F8529">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rPr>
      </w:pPr>
      <w:r>
        <w:rPr>
          <w:rFonts w:hint="eastAsia"/>
          <w:sz w:val="24"/>
          <w:lang w:val="en-US" w:eastAsia="zh-CN"/>
        </w:rPr>
        <w:t>本标准发布实施之日起，代替</w:t>
      </w:r>
      <w:r>
        <w:rPr>
          <w:rFonts w:hint="eastAsia"/>
          <w:sz w:val="24"/>
        </w:rPr>
        <w:t>YS/T</w:t>
      </w:r>
      <w:r>
        <w:rPr>
          <w:rFonts w:hint="eastAsia"/>
          <w:sz w:val="24"/>
          <w:lang w:val="en-US" w:eastAsia="zh-CN"/>
        </w:rPr>
        <w:t xml:space="preserve"> </w:t>
      </w:r>
      <w:r>
        <w:rPr>
          <w:rFonts w:hint="eastAsia"/>
          <w:sz w:val="24"/>
        </w:rPr>
        <w:t>93</w:t>
      </w:r>
      <w:r>
        <w:rPr>
          <w:rFonts w:hint="eastAsia"/>
          <w:sz w:val="24"/>
          <w:lang w:val="en-US" w:eastAsia="zh-CN"/>
        </w:rPr>
        <w:t>2</w:t>
      </w:r>
      <w:r>
        <w:rPr>
          <w:rFonts w:hint="eastAsia"/>
          <w:sz w:val="24"/>
        </w:rPr>
        <w:t>—2013《</w:t>
      </w:r>
      <w:r>
        <w:rPr>
          <w:rFonts w:hint="eastAsia"/>
          <w:sz w:val="24"/>
          <w:lang w:val="en-US" w:eastAsia="zh-CN"/>
        </w:rPr>
        <w:t>辛酸铑</w:t>
      </w:r>
      <w:r>
        <w:rPr>
          <w:rFonts w:hint="eastAsia"/>
          <w:sz w:val="24"/>
        </w:rPr>
        <w:t>》。</w:t>
      </w:r>
    </w:p>
    <w:p w14:paraId="7480FD7E">
      <w:pPr>
        <w:rPr>
          <w:rFonts w:hint="eastAsia" w:ascii="黑体" w:hAnsi="黑体" w:eastAsia="黑体" w:cs="黑体"/>
          <w:b w:val="0"/>
          <w:bCs/>
          <w:sz w:val="28"/>
          <w:szCs w:val="28"/>
        </w:rPr>
      </w:pPr>
      <w:r>
        <w:rPr>
          <w:rFonts w:hint="eastAsia" w:ascii="黑体" w:hAnsi="黑体" w:eastAsia="黑体" w:cs="黑体"/>
          <w:b w:val="0"/>
          <w:bCs/>
          <w:sz w:val="28"/>
          <w:szCs w:val="28"/>
        </w:rPr>
        <w:t>十二、其他应予说明的事项</w:t>
      </w:r>
    </w:p>
    <w:p w14:paraId="12060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8"/>
          <w:szCs w:val="28"/>
        </w:rPr>
      </w:pPr>
      <w:r>
        <w:rPr>
          <w:rFonts w:hint="eastAsia"/>
          <w:sz w:val="24"/>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p>
    <w:p w14:paraId="010E970E">
      <w:pPr>
        <w:numPr>
          <w:ilvl w:val="0"/>
          <w:numId w:val="9"/>
        </w:numPr>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参考资料清单 </w:t>
      </w:r>
    </w:p>
    <w:p w14:paraId="7113EB72">
      <w:pPr>
        <w:pStyle w:val="19"/>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GB/T 191 包装储运图示标志</w:t>
      </w:r>
    </w:p>
    <w:p w14:paraId="67DFA0B2">
      <w:pPr>
        <w:pStyle w:val="19"/>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sz w:val="24"/>
        </w:rPr>
      </w:pPr>
      <w:r>
        <w:rPr>
          <w:rFonts w:hint="eastAsia" w:ascii="宋体" w:hAnsi="宋体" w:eastAsia="宋体" w:cs="宋体"/>
          <w:sz w:val="24"/>
        </w:rPr>
        <w:t>GB/T 8170 数值修约规则与极限数值的表示和判定</w:t>
      </w:r>
    </w:p>
    <w:p w14:paraId="19053F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GB/T 1.1-2020《标准标准化工作导则 第1部分：标准的结构和编写》</w:t>
      </w:r>
    </w:p>
    <w:p w14:paraId="1B1C85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GB</w:t>
      </w:r>
      <w:r>
        <w:rPr>
          <w:rFonts w:hint="eastAsia" w:ascii="宋体" w:hAnsi="宋体" w:eastAsia="宋体" w:cs="宋体"/>
          <w:kern w:val="2"/>
          <w:sz w:val="24"/>
          <w:szCs w:val="24"/>
          <w:lang w:val="en-US" w:eastAsia="zh-CN" w:bidi="ar-SA"/>
        </w:rPr>
        <w:t>/T 20001.10-2014《标准编写规则 第10部分：产品标准》</w:t>
      </w:r>
    </w:p>
    <w:p w14:paraId="15D4B934">
      <w:pPr>
        <w:pStyle w:val="1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GB/T 34609.1 铑化合物化学分析方法 第1部分  铑量的测定 硝酸六氨合钴重量法</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ab/>
      </w:r>
    </w:p>
    <w:p w14:paraId="36B4A5C9">
      <w:pPr>
        <w:pStyle w:val="1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GB/T 34609.2 铑化合物化学分析方法  第2部分  银、金、铂、钯、铱、钌、铅、镍、铜、铁、锡、锌、镁、锰、铝、钙、钠、钾、铬、硅含量的测定 电感耦合等离子体原子发射光谱法。</w:t>
      </w:r>
    </w:p>
    <w:p w14:paraId="19346B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0822AC0C">
      <w:pPr>
        <w:spacing w:line="360" w:lineRule="auto"/>
        <w:ind w:right="960"/>
        <w:jc w:val="right"/>
        <w:rPr>
          <w:sz w:val="24"/>
        </w:rPr>
      </w:pPr>
      <w:r>
        <w:rPr>
          <w:rFonts w:hint="eastAsia"/>
          <w:sz w:val="24"/>
          <w:lang w:val="en-US" w:eastAsia="zh-CN"/>
        </w:rPr>
        <w:t>贵研化学材料（云南）有限公司</w:t>
      </w:r>
    </w:p>
    <w:p w14:paraId="67E1FBF0">
      <w:pPr>
        <w:spacing w:line="360" w:lineRule="auto"/>
        <w:ind w:right="960" w:firstLine="4320" w:firstLineChars="1800"/>
        <w:rPr>
          <w:sz w:val="24"/>
        </w:rPr>
      </w:pPr>
      <w:r>
        <w:rPr>
          <w:rFonts w:hint="eastAsia"/>
          <w:sz w:val="24"/>
        </w:rPr>
        <w:t>《</w:t>
      </w:r>
      <w:r>
        <w:rPr>
          <w:rFonts w:hint="eastAsia"/>
          <w:sz w:val="24"/>
          <w:lang w:val="en-US" w:eastAsia="zh-CN"/>
        </w:rPr>
        <w:t>辛酸铑</w:t>
      </w:r>
      <w:r>
        <w:rPr>
          <w:rFonts w:hint="eastAsia"/>
          <w:sz w:val="24"/>
        </w:rPr>
        <w:t xml:space="preserve">》行业标准修订小组 </w:t>
      </w:r>
    </w:p>
    <w:p w14:paraId="239F4EE0">
      <w:pPr>
        <w:spacing w:line="360" w:lineRule="auto"/>
        <w:ind w:right="960" w:firstLine="5520" w:firstLineChars="2300"/>
        <w:rPr>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9</w:t>
      </w:r>
      <w:r>
        <w:rPr>
          <w:rFonts w:hint="eastAsia"/>
          <w:sz w:val="24"/>
        </w:rPr>
        <w:t>月</w:t>
      </w:r>
    </w:p>
    <w:p w14:paraId="6E6275FE">
      <w:pPr>
        <w:spacing w:line="360" w:lineRule="auto"/>
        <w:rPr>
          <w:rFonts w:asciiTheme="minorEastAsia" w:hAnsiTheme="minorEastAsia" w:eastAsia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E0681"/>
    <w:multiLevelType w:val="singleLevel"/>
    <w:tmpl w:val="A51E0681"/>
    <w:lvl w:ilvl="0" w:tentative="0">
      <w:start w:val="5"/>
      <w:numFmt w:val="decimal"/>
      <w:suff w:val="nothing"/>
      <w:lvlText w:val="%1、"/>
      <w:lvlJc w:val="left"/>
    </w:lvl>
  </w:abstractNum>
  <w:abstractNum w:abstractNumId="1">
    <w:nsid w:val="AAAC0DBC"/>
    <w:multiLevelType w:val="singleLevel"/>
    <w:tmpl w:val="AAAC0DBC"/>
    <w:lvl w:ilvl="0" w:tentative="0">
      <w:start w:val="13"/>
      <w:numFmt w:val="chineseCounting"/>
      <w:suff w:val="nothing"/>
      <w:lvlText w:val="%1、"/>
      <w:lvlJc w:val="left"/>
      <w:rPr>
        <w:rFonts w:hint="eastAsia"/>
      </w:rPr>
    </w:lvl>
  </w:abstractNum>
  <w:abstractNum w:abstractNumId="2">
    <w:nsid w:val="FADDB50B"/>
    <w:multiLevelType w:val="singleLevel"/>
    <w:tmpl w:val="FADDB50B"/>
    <w:lvl w:ilvl="0" w:tentative="0">
      <w:start w:val="2"/>
      <w:numFmt w:val="decimal"/>
      <w:suff w:val="nothing"/>
      <w:lvlText w:val="%1）"/>
      <w:lvlJc w:val="left"/>
    </w:lvl>
  </w:abstractNum>
  <w:abstractNum w:abstractNumId="3">
    <w:nsid w:val="00000004"/>
    <w:multiLevelType w:val="multilevel"/>
    <w:tmpl w:val="000000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黑体"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F9B271"/>
    <w:multiLevelType w:val="singleLevel"/>
    <w:tmpl w:val="60F9B271"/>
    <w:lvl w:ilvl="0" w:tentative="0">
      <w:start w:val="1"/>
      <w:numFmt w:val="decimal"/>
      <w:lvlText w:val="%1)"/>
      <w:lvlJc w:val="left"/>
      <w:pPr>
        <w:tabs>
          <w:tab w:val="left" w:pos="312"/>
        </w:tabs>
      </w:pPr>
    </w:lvl>
  </w:abstractNum>
  <w:abstractNum w:abstractNumId="5">
    <w:nsid w:val="646260FA"/>
    <w:multiLevelType w:val="multilevel"/>
    <w:tmpl w:val="646260FA"/>
    <w:lvl w:ilvl="0" w:tentative="0">
      <w:start w:val="1"/>
      <w:numFmt w:val="decimal"/>
      <w:pStyle w:val="27"/>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B124CFE"/>
    <w:multiLevelType w:val="multilevel"/>
    <w:tmpl w:val="6B124CF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EA2025"/>
    <w:multiLevelType w:val="multilevel"/>
    <w:tmpl w:val="6CEA2025"/>
    <w:lvl w:ilvl="0" w:tentative="0">
      <w:start w:val="1"/>
      <w:numFmt w:val="none"/>
      <w:pStyle w:val="20"/>
      <w:suff w:val="nothing"/>
      <w:lvlText w:val="%1"/>
      <w:lvlJc w:val="left"/>
      <w:rPr>
        <w:rFonts w:hint="default" w:ascii="Times New Roman" w:hAnsi="Times New Roman" w:cs="Times New Roman"/>
        <w:b/>
        <w:bCs/>
        <w:i w:val="0"/>
        <w:iCs w:val="0"/>
        <w:sz w:val="21"/>
        <w:szCs w:val="21"/>
      </w:rPr>
    </w:lvl>
    <w:lvl w:ilvl="1" w:tentative="0">
      <w:start w:val="1"/>
      <w:numFmt w:val="decimal"/>
      <w:pStyle w:val="21"/>
      <w:suff w:val="nothing"/>
      <w:lvlText w:val="%1%2　"/>
      <w:lvlJc w:val="left"/>
      <w:rPr>
        <w:rFonts w:hint="eastAsia" w:ascii="黑体" w:hAnsi="Times New Roman" w:eastAsia="黑体"/>
        <w:b/>
        <w:bCs/>
        <w:i w:val="0"/>
        <w:iCs w:val="0"/>
        <w:sz w:val="21"/>
        <w:szCs w:val="21"/>
      </w:rPr>
    </w:lvl>
    <w:lvl w:ilvl="2" w:tentative="0">
      <w:start w:val="1"/>
      <w:numFmt w:val="decimal"/>
      <w:pStyle w:val="22"/>
      <w:suff w:val="nothing"/>
      <w:lvlText w:val="%1%2.%3　"/>
      <w:lvlJc w:val="left"/>
      <w:rPr>
        <w:rFonts w:hint="eastAsia" w:ascii="黑体" w:hAnsi="Times New Roman" w:eastAsia="黑体"/>
        <w:b/>
        <w:bCs/>
        <w:i w:val="0"/>
        <w:iCs w:val="0"/>
        <w:sz w:val="21"/>
        <w:szCs w:val="21"/>
      </w:rPr>
    </w:lvl>
    <w:lvl w:ilvl="3" w:tentative="0">
      <w:start w:val="1"/>
      <w:numFmt w:val="decimal"/>
      <w:pStyle w:val="23"/>
      <w:suff w:val="nothing"/>
      <w:lvlText w:val="%1%2.%3.%4　"/>
      <w:lvlJc w:val="left"/>
      <w:rPr>
        <w:rFonts w:hint="eastAsia" w:ascii="黑体" w:hAnsi="Times New Roman" w:eastAsia="黑体"/>
        <w:b/>
        <w:bCs/>
        <w:i w:val="0"/>
        <w:iCs w:val="0"/>
        <w:sz w:val="21"/>
        <w:szCs w:val="21"/>
      </w:rPr>
    </w:lvl>
    <w:lvl w:ilvl="4" w:tentative="0">
      <w:start w:val="1"/>
      <w:numFmt w:val="decimal"/>
      <w:pStyle w:val="24"/>
      <w:suff w:val="nothing"/>
      <w:lvlText w:val="%1%2.%3.%4.%5　"/>
      <w:lvlJc w:val="left"/>
      <w:rPr>
        <w:rFonts w:hint="eastAsia" w:ascii="黑体" w:hAnsi="Times New Roman" w:eastAsia="黑体"/>
        <w:b/>
        <w:bCs/>
        <w:i w:val="0"/>
        <w:iCs w:val="0"/>
        <w:sz w:val="21"/>
        <w:szCs w:val="21"/>
      </w:rPr>
    </w:lvl>
    <w:lvl w:ilvl="5" w:tentative="0">
      <w:start w:val="1"/>
      <w:numFmt w:val="decimal"/>
      <w:pStyle w:val="25"/>
      <w:suff w:val="nothing"/>
      <w:lvlText w:val="%1%2.%3.%4.%5.%6　"/>
      <w:lvlJc w:val="left"/>
      <w:rPr>
        <w:rFonts w:hint="eastAsia" w:ascii="黑体" w:hAnsi="Times New Roman" w:eastAsia="黑体"/>
        <w:b w:val="0"/>
        <w:bCs w:val="0"/>
        <w:i w:val="0"/>
        <w:iCs w:val="0"/>
        <w:sz w:val="21"/>
        <w:szCs w:val="21"/>
      </w:rPr>
    </w:lvl>
    <w:lvl w:ilvl="6" w:tentative="0">
      <w:start w:val="1"/>
      <w:numFmt w:val="decimal"/>
      <w:pStyle w:val="26"/>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F62C482"/>
    <w:multiLevelType w:val="singleLevel"/>
    <w:tmpl w:val="7F62C482"/>
    <w:lvl w:ilvl="0" w:tentative="0">
      <w:start w:val="3"/>
      <w:numFmt w:val="decimal"/>
      <w:lvlText w:val="%1."/>
      <w:lvlJc w:val="left"/>
      <w:pPr>
        <w:tabs>
          <w:tab w:val="left" w:pos="312"/>
        </w:tabs>
      </w:pPr>
    </w:lvl>
  </w:abstractNum>
  <w:num w:numId="1">
    <w:abstractNumId w:val="7"/>
  </w:num>
  <w:num w:numId="2">
    <w:abstractNumId w:val="5"/>
  </w:num>
  <w:num w:numId="3">
    <w:abstractNumId w:val="6"/>
  </w:num>
  <w:num w:numId="4">
    <w:abstractNumId w:val="3"/>
  </w:num>
  <w:num w:numId="5">
    <w:abstractNumId w:val="8"/>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xMzg4OWFlOGYyYjMzNzU1MGMxNzVkNTRiNWFkY2YifQ=="/>
  </w:docVars>
  <w:rsids>
    <w:rsidRoot w:val="005463A4"/>
    <w:rsid w:val="000145B9"/>
    <w:rsid w:val="0002322B"/>
    <w:rsid w:val="00025683"/>
    <w:rsid w:val="0003685F"/>
    <w:rsid w:val="00042E13"/>
    <w:rsid w:val="000448C4"/>
    <w:rsid w:val="000A4CEE"/>
    <w:rsid w:val="000E4B1F"/>
    <w:rsid w:val="0010504D"/>
    <w:rsid w:val="00110094"/>
    <w:rsid w:val="00116461"/>
    <w:rsid w:val="00120B46"/>
    <w:rsid w:val="00136064"/>
    <w:rsid w:val="00150CB5"/>
    <w:rsid w:val="00165811"/>
    <w:rsid w:val="00170324"/>
    <w:rsid w:val="00171B32"/>
    <w:rsid w:val="001C0F73"/>
    <w:rsid w:val="001D1E0C"/>
    <w:rsid w:val="001F0749"/>
    <w:rsid w:val="00245A78"/>
    <w:rsid w:val="002532CE"/>
    <w:rsid w:val="00282886"/>
    <w:rsid w:val="002836CD"/>
    <w:rsid w:val="00293550"/>
    <w:rsid w:val="002C263D"/>
    <w:rsid w:val="002D428E"/>
    <w:rsid w:val="002E75A6"/>
    <w:rsid w:val="0030166A"/>
    <w:rsid w:val="00302B46"/>
    <w:rsid w:val="00306E6E"/>
    <w:rsid w:val="0031108A"/>
    <w:rsid w:val="00346345"/>
    <w:rsid w:val="00372C58"/>
    <w:rsid w:val="00372D07"/>
    <w:rsid w:val="00385AB5"/>
    <w:rsid w:val="003A5306"/>
    <w:rsid w:val="003B0B6C"/>
    <w:rsid w:val="003B3A09"/>
    <w:rsid w:val="003C5CCB"/>
    <w:rsid w:val="003D2BDA"/>
    <w:rsid w:val="003D5C0D"/>
    <w:rsid w:val="003E0121"/>
    <w:rsid w:val="00402849"/>
    <w:rsid w:val="004135A3"/>
    <w:rsid w:val="00427CE1"/>
    <w:rsid w:val="0043693E"/>
    <w:rsid w:val="00441EF8"/>
    <w:rsid w:val="00463FE1"/>
    <w:rsid w:val="00485B2E"/>
    <w:rsid w:val="004B6807"/>
    <w:rsid w:val="004C1A44"/>
    <w:rsid w:val="00502E86"/>
    <w:rsid w:val="00517C07"/>
    <w:rsid w:val="005463A4"/>
    <w:rsid w:val="00555DF1"/>
    <w:rsid w:val="00584D44"/>
    <w:rsid w:val="005C007E"/>
    <w:rsid w:val="005E5BDE"/>
    <w:rsid w:val="006018A6"/>
    <w:rsid w:val="00630246"/>
    <w:rsid w:val="006A690D"/>
    <w:rsid w:val="006B112C"/>
    <w:rsid w:val="006C5B78"/>
    <w:rsid w:val="006D51D8"/>
    <w:rsid w:val="007204B6"/>
    <w:rsid w:val="00740CF8"/>
    <w:rsid w:val="00767F09"/>
    <w:rsid w:val="00775931"/>
    <w:rsid w:val="007777F6"/>
    <w:rsid w:val="0079447B"/>
    <w:rsid w:val="007B321B"/>
    <w:rsid w:val="007F6E19"/>
    <w:rsid w:val="008043BA"/>
    <w:rsid w:val="00824B9D"/>
    <w:rsid w:val="0083139C"/>
    <w:rsid w:val="00837B7A"/>
    <w:rsid w:val="008500B1"/>
    <w:rsid w:val="00852135"/>
    <w:rsid w:val="0086173F"/>
    <w:rsid w:val="00865288"/>
    <w:rsid w:val="008A1694"/>
    <w:rsid w:val="008A5E63"/>
    <w:rsid w:val="008B32FD"/>
    <w:rsid w:val="008C254B"/>
    <w:rsid w:val="008D2341"/>
    <w:rsid w:val="008E687F"/>
    <w:rsid w:val="00937634"/>
    <w:rsid w:val="0094110D"/>
    <w:rsid w:val="00946CCF"/>
    <w:rsid w:val="0095033C"/>
    <w:rsid w:val="00953080"/>
    <w:rsid w:val="009731B4"/>
    <w:rsid w:val="009C5F2E"/>
    <w:rsid w:val="00A00A20"/>
    <w:rsid w:val="00A45CEA"/>
    <w:rsid w:val="00A53751"/>
    <w:rsid w:val="00A63AFE"/>
    <w:rsid w:val="00A84B75"/>
    <w:rsid w:val="00A97E8B"/>
    <w:rsid w:val="00AA328F"/>
    <w:rsid w:val="00AA4C7C"/>
    <w:rsid w:val="00B66B3C"/>
    <w:rsid w:val="00B928A6"/>
    <w:rsid w:val="00C25BC9"/>
    <w:rsid w:val="00C2674B"/>
    <w:rsid w:val="00C41A20"/>
    <w:rsid w:val="00C51FDB"/>
    <w:rsid w:val="00CA0AA3"/>
    <w:rsid w:val="00CA1DA2"/>
    <w:rsid w:val="00CA47A7"/>
    <w:rsid w:val="00CB12B8"/>
    <w:rsid w:val="00CB4101"/>
    <w:rsid w:val="00CC0CA5"/>
    <w:rsid w:val="00CC3F87"/>
    <w:rsid w:val="00CF2A40"/>
    <w:rsid w:val="00CF3147"/>
    <w:rsid w:val="00D245AA"/>
    <w:rsid w:val="00D61AE1"/>
    <w:rsid w:val="00DA67B1"/>
    <w:rsid w:val="00DB5023"/>
    <w:rsid w:val="00DC0043"/>
    <w:rsid w:val="00DD0E21"/>
    <w:rsid w:val="00DF1991"/>
    <w:rsid w:val="00DF5DD7"/>
    <w:rsid w:val="00E21A83"/>
    <w:rsid w:val="00E41235"/>
    <w:rsid w:val="00E50B54"/>
    <w:rsid w:val="00EB1653"/>
    <w:rsid w:val="00ED4A0C"/>
    <w:rsid w:val="00F07F45"/>
    <w:rsid w:val="00F1414A"/>
    <w:rsid w:val="00F20028"/>
    <w:rsid w:val="00F463E4"/>
    <w:rsid w:val="00F631B5"/>
    <w:rsid w:val="00F70A2B"/>
    <w:rsid w:val="00F91753"/>
    <w:rsid w:val="00FC6864"/>
    <w:rsid w:val="00FF1A85"/>
    <w:rsid w:val="1A442210"/>
    <w:rsid w:val="1AE314C2"/>
    <w:rsid w:val="1E16717F"/>
    <w:rsid w:val="201155BD"/>
    <w:rsid w:val="2B752725"/>
    <w:rsid w:val="2E6A417B"/>
    <w:rsid w:val="30D806B4"/>
    <w:rsid w:val="37EE1E6D"/>
    <w:rsid w:val="433A635D"/>
    <w:rsid w:val="45F23D0D"/>
    <w:rsid w:val="47525CE1"/>
    <w:rsid w:val="57773614"/>
    <w:rsid w:val="748D0EEB"/>
    <w:rsid w:val="7F73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rPr>
      <w:rFonts w:ascii="宋体" w:hAnsi="宋体"/>
    </w:rPr>
  </w:style>
  <w:style w:type="paragraph" w:styleId="3">
    <w:name w:val="Body Text Indent"/>
    <w:basedOn w:val="1"/>
    <w:link w:val="16"/>
    <w:qFormat/>
    <w:uiPriority w:val="0"/>
    <w:pPr>
      <w:spacing w:line="360" w:lineRule="auto"/>
      <w:ind w:firstLine="425"/>
    </w:pPr>
    <w:rPr>
      <w:sz w:val="24"/>
      <w:szCs w:val="20"/>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段"/>
    <w:link w:val="18"/>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16">
    <w:name w:val="正文文本缩进 Char"/>
    <w:basedOn w:val="9"/>
    <w:link w:val="3"/>
    <w:qFormat/>
    <w:uiPriority w:val="0"/>
    <w:rPr>
      <w:rFonts w:ascii="Times New Roman" w:hAnsi="Times New Roman" w:eastAsia="宋体" w:cs="Times New Roman"/>
      <w:sz w:val="24"/>
      <w:szCs w:val="20"/>
    </w:rPr>
  </w:style>
  <w:style w:type="character" w:customStyle="1" w:styleId="17">
    <w:name w:val="正文文本 Char"/>
    <w:basedOn w:val="9"/>
    <w:link w:val="2"/>
    <w:qFormat/>
    <w:uiPriority w:val="0"/>
    <w:rPr>
      <w:rFonts w:ascii="宋体" w:hAnsi="宋体" w:eastAsia="宋体" w:cs="Times New Roman"/>
      <w:szCs w:val="24"/>
    </w:rPr>
  </w:style>
  <w:style w:type="character" w:customStyle="1" w:styleId="18">
    <w:name w:val="段 Char"/>
    <w:basedOn w:val="9"/>
    <w:link w:val="13"/>
    <w:qFormat/>
    <w:uiPriority w:val="99"/>
    <w:rPr>
      <w:rFonts w:ascii="宋体" w:hAnsi="Times New Roman" w:eastAsia="宋体" w:cs="Times New Roman"/>
      <w:kern w:val="0"/>
      <w:szCs w:val="20"/>
    </w:rPr>
  </w:style>
  <w:style w:type="paragraph" w:styleId="19">
    <w:name w:val="List Paragraph"/>
    <w:basedOn w:val="1"/>
    <w:qFormat/>
    <w:uiPriority w:val="34"/>
    <w:pPr>
      <w:ind w:firstLine="420" w:firstLineChars="200"/>
    </w:p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21">
    <w:name w:val="章标题"/>
    <w:next w:val="13"/>
    <w:qFormat/>
    <w:uiPriority w:val="0"/>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22">
    <w:name w:val="一级条标题"/>
    <w:basedOn w:val="21"/>
    <w:next w:val="13"/>
    <w:link w:val="28"/>
    <w:qFormat/>
    <w:uiPriority w:val="0"/>
    <w:pPr>
      <w:numPr>
        <w:ilvl w:val="2"/>
      </w:numPr>
      <w:spacing w:beforeLines="0" w:afterLines="0"/>
      <w:outlineLvl w:val="2"/>
    </w:pPr>
    <w:rPr>
      <w:sz w:val="20"/>
      <w:szCs w:val="20"/>
    </w:rPr>
  </w:style>
  <w:style w:type="paragraph" w:customStyle="1" w:styleId="23">
    <w:name w:val="二级条标题"/>
    <w:basedOn w:val="22"/>
    <w:next w:val="13"/>
    <w:link w:val="29"/>
    <w:qFormat/>
    <w:uiPriority w:val="0"/>
    <w:pPr>
      <w:numPr>
        <w:ilvl w:val="3"/>
      </w:numPr>
      <w:outlineLvl w:val="3"/>
    </w:pPr>
  </w:style>
  <w:style w:type="paragraph" w:customStyle="1" w:styleId="24">
    <w:name w:val="三级条标题"/>
    <w:basedOn w:val="23"/>
    <w:next w:val="13"/>
    <w:qFormat/>
    <w:uiPriority w:val="0"/>
    <w:pPr>
      <w:numPr>
        <w:ilvl w:val="4"/>
      </w:numPr>
      <w:tabs>
        <w:tab w:val="left" w:pos="360"/>
        <w:tab w:val="left" w:pos="450"/>
      </w:tabs>
      <w:ind w:left="450" w:hanging="450"/>
      <w:outlineLvl w:val="4"/>
    </w:pPr>
  </w:style>
  <w:style w:type="paragraph" w:customStyle="1" w:styleId="25">
    <w:name w:val="四级条标题"/>
    <w:basedOn w:val="24"/>
    <w:next w:val="13"/>
    <w:qFormat/>
    <w:uiPriority w:val="0"/>
    <w:pPr>
      <w:numPr>
        <w:ilvl w:val="5"/>
      </w:numPr>
      <w:outlineLvl w:val="5"/>
    </w:pPr>
  </w:style>
  <w:style w:type="paragraph" w:customStyle="1" w:styleId="26">
    <w:name w:val="五级条标题"/>
    <w:basedOn w:val="25"/>
    <w:next w:val="13"/>
    <w:qFormat/>
    <w:uiPriority w:val="0"/>
    <w:pPr>
      <w:numPr>
        <w:ilvl w:val="6"/>
      </w:numPr>
      <w:outlineLvl w:val="6"/>
    </w:pPr>
  </w:style>
  <w:style w:type="paragraph" w:customStyle="1" w:styleId="27">
    <w:name w:val="正文表标题"/>
    <w:next w:val="13"/>
    <w:qFormat/>
    <w:uiPriority w:val="99"/>
    <w:pPr>
      <w:numPr>
        <w:ilvl w:val="0"/>
        <w:numId w:val="2"/>
      </w:numPr>
      <w:jc w:val="center"/>
    </w:pPr>
    <w:rPr>
      <w:rFonts w:ascii="黑体" w:hAnsi="Times New Roman" w:eastAsia="黑体" w:cs="黑体"/>
      <w:kern w:val="0"/>
      <w:sz w:val="21"/>
      <w:szCs w:val="21"/>
      <w:lang w:val="en-US" w:eastAsia="zh-CN" w:bidi="ar-SA"/>
    </w:rPr>
  </w:style>
  <w:style w:type="character" w:customStyle="1" w:styleId="28">
    <w:name w:val="一级条标题[858D7CFB-ED40-4347-BF05-701D383B685F]"/>
    <w:link w:val="22"/>
    <w:qFormat/>
    <w:locked/>
    <w:uiPriority w:val="99"/>
    <w:rPr>
      <w:rFonts w:ascii="黑体" w:hAnsi="Times New Roman" w:eastAsia="黑体" w:cs="黑体"/>
      <w:kern w:val="0"/>
      <w:sz w:val="20"/>
      <w:szCs w:val="20"/>
    </w:rPr>
  </w:style>
  <w:style w:type="character" w:customStyle="1" w:styleId="29">
    <w:name w:val="二级条标题[858D7CFB-ED40-4347-BF05-701D383B685F]"/>
    <w:link w:val="23"/>
    <w:qFormat/>
    <w:locked/>
    <w:uiPriority w:val="0"/>
    <w:rPr>
      <w:rFonts w:ascii="黑体" w:hAnsi="Times New Roman" w:eastAsia="黑体" w:cs="黑体"/>
      <w:kern w:val="0"/>
      <w:sz w:val="20"/>
      <w:szCs w:val="2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F1FA0-731A-43DD-A6AA-52400216348B}">
  <ds:schemaRefs/>
</ds:datastoreItem>
</file>

<file path=docProps/app.xml><?xml version="1.0" encoding="utf-8"?>
<Properties xmlns="http://schemas.openxmlformats.org/officeDocument/2006/extended-properties" xmlns:vt="http://schemas.openxmlformats.org/officeDocument/2006/docPropsVTypes">
  <Template>Normal</Template>
  <Pages>15</Pages>
  <Words>9477</Words>
  <Characters>10407</Characters>
  <Lines>17</Lines>
  <Paragraphs>4</Paragraphs>
  <TotalTime>3</TotalTime>
  <ScaleCrop>false</ScaleCrop>
  <LinksUpToDate>false</LinksUpToDate>
  <CharactersWithSpaces>10826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2015-08-31T03:11:00Z</dcterms:created>
  <dc:creator>admin</dc:creator>
  <cp:lastModifiedBy>雪隐鹭鸶</cp:lastModifiedBy>
  <cp:lastPrinted>2015-05-18T05:14:00Z</cp:lastPrinted>
  <dcterms:modified xsi:type="dcterms:W3CDTF">2024-09-18T03:18:48Z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7374B4727C3848DAABE5EDC2D2479DAA_12</vt:lpwstr>
  </property>
</Properties>
</file>