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66ADB">
      <w:pPr>
        <w:ind w:firstLine="2409" w:firstLineChars="1000"/>
        <w:jc w:val="left"/>
        <w:rPr>
          <w:rFonts w:hint="eastAsia" w:ascii="宋体" w:hAnsi="宋体" w:eastAsia="宋体" w:cs="宋体"/>
          <w:b/>
          <w:bCs/>
          <w:kern w:val="0"/>
          <w:sz w:val="24"/>
          <w:szCs w:val="24"/>
        </w:rPr>
      </w:pPr>
      <w:bookmarkStart w:id="9" w:name="_GoBack"/>
      <w:bookmarkEnd w:id="9"/>
      <w:r>
        <w:rPr>
          <w:rFonts w:hint="eastAsia" w:ascii="宋体" w:hAnsi="宋体" w:eastAsia="宋体" w:cs="宋体"/>
          <w:b/>
          <w:bCs/>
          <w:kern w:val="0"/>
          <w:sz w:val="24"/>
          <w:szCs w:val="24"/>
        </w:rPr>
        <w:t>亚硝酰基硝酸钌行业标准</w:t>
      </w:r>
    </w:p>
    <w:p w14:paraId="493E0490">
      <w:pPr>
        <w:ind w:firstLine="3132" w:firstLineChars="13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编制说明</w:t>
      </w:r>
    </w:p>
    <w:p w14:paraId="6B41DA35">
      <w:pPr>
        <w:jc w:val="left"/>
        <w:rPr>
          <w:rFonts w:hint="eastAsia" w:ascii="宋体" w:hAnsi="宋体" w:eastAsia="宋体" w:cs="宋体"/>
          <w:b/>
          <w:bCs/>
          <w:kern w:val="0"/>
          <w:sz w:val="24"/>
          <w:szCs w:val="24"/>
        </w:rPr>
      </w:pPr>
      <w:r>
        <w:rPr>
          <w:rFonts w:ascii="宋体" w:hAnsi="宋体" w:eastAsia="宋体" w:cs="宋体"/>
          <w:b/>
          <w:bCs/>
          <w:kern w:val="0"/>
          <w:sz w:val="24"/>
          <w:szCs w:val="24"/>
        </w:rPr>
        <w:t>一、</w:t>
      </w:r>
      <w:r>
        <w:rPr>
          <w:rFonts w:hint="eastAsia" w:ascii="宋体" w:hAnsi="宋体" w:eastAsia="宋体" w:cs="宋体"/>
          <w:b/>
          <w:bCs/>
          <w:kern w:val="0"/>
          <w:sz w:val="24"/>
          <w:szCs w:val="24"/>
        </w:rPr>
        <w:t>工作简况</w:t>
      </w:r>
    </w:p>
    <w:p w14:paraId="585D118C">
      <w:pPr>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（一）任务来源</w:t>
      </w:r>
    </w:p>
    <w:p w14:paraId="05771017">
      <w:pPr>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1.1计划批准文件名称、文号及项目编号、项目名称、计划完成年限、项目名称更改说明、编制组成员（单位）</w:t>
      </w:r>
    </w:p>
    <w:p w14:paraId="43B0E8DE">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根据工业工业和信息化部办公厅关于印发2023年第三批行业标准制修订和外文版项目计划，和信息化部[2023]291号文，有色金属行业标准《亚硝酰基硝酸钌》修订项目由</w:t>
      </w:r>
      <w:bookmarkStart w:id="0" w:name="_Hlk161735850"/>
      <w:r>
        <w:rPr>
          <w:rFonts w:hint="eastAsia" w:ascii="宋体" w:hAnsi="Times New Roman" w:eastAsia="宋体" w:cs="Times New Roman"/>
          <w:kern w:val="0"/>
          <w:sz w:val="24"/>
          <w:szCs w:val="24"/>
        </w:rPr>
        <w:t>全国有色金属标准化技术委员</w:t>
      </w:r>
      <w:bookmarkEnd w:id="0"/>
      <w:r>
        <w:rPr>
          <w:rFonts w:hint="eastAsia" w:ascii="宋体" w:hAnsi="Times New Roman" w:eastAsia="宋体" w:cs="Times New Roman"/>
          <w:kern w:val="0"/>
          <w:sz w:val="24"/>
          <w:szCs w:val="24"/>
        </w:rPr>
        <w:t>会归口，主要起草单位为贵研化学材料（云南）有限公司，项目计划编号：工信厅科函(2023)291号2023-1546T-YS，项目周期为18个月，完成年限2023年10月至2025年6月</w:t>
      </w:r>
    </w:p>
    <w:p w14:paraId="74E2746C">
      <w:pPr>
        <w:widowControl/>
        <w:autoSpaceDE w:val="0"/>
        <w:autoSpaceDN w:val="0"/>
        <w:spacing w:line="360" w:lineRule="auto"/>
        <w:rPr>
          <w:rFonts w:ascii="宋体" w:hAnsi="Times New Roman" w:eastAsia="宋体" w:cs="Times New Roman"/>
          <w:kern w:val="0"/>
          <w:sz w:val="24"/>
          <w:szCs w:val="24"/>
        </w:rPr>
      </w:pPr>
      <w:bookmarkStart w:id="1" w:name="_Hlk139277173"/>
      <w:r>
        <w:rPr>
          <w:rFonts w:hint="eastAsia" w:ascii="宋体" w:hAnsi="Times New Roman" w:eastAsia="宋体" w:cs="Times New Roman"/>
          <w:kern w:val="0"/>
          <w:sz w:val="24"/>
          <w:szCs w:val="24"/>
        </w:rPr>
        <w:t xml:space="preserve">     标准原来由贵研铂业股份有限公司环境材料事业部负责起草，因发展需要，贵研铂业股份有限公司已更名为</w:t>
      </w:r>
      <w:bookmarkStart w:id="2" w:name="_Hlk156837157"/>
      <w:r>
        <w:rPr>
          <w:rFonts w:hint="eastAsia" w:ascii="宋体" w:hAnsi="Times New Roman" w:eastAsia="宋体" w:cs="Times New Roman"/>
          <w:kern w:val="0"/>
          <w:sz w:val="24"/>
          <w:szCs w:val="24"/>
        </w:rPr>
        <w:t>云南省贵金属新材料控股集团股份有限公司</w:t>
      </w:r>
      <w:bookmarkEnd w:id="2"/>
      <w:r>
        <w:rPr>
          <w:rFonts w:hint="eastAsia" w:ascii="宋体" w:hAnsi="Times New Roman" w:eastAsia="宋体" w:cs="Times New Roman"/>
          <w:kern w:val="0"/>
          <w:sz w:val="24"/>
          <w:szCs w:val="24"/>
        </w:rPr>
        <w:t>，更名事宜于 2023 年12月8日通过上市公司股东大会审议，2023 年12月12日完成工商变更，并取得新的营业执照。另现环境材料事业部已成为云南省贵金属新材料控股集团股份有限公司下的独立法人子公司，名称为</w:t>
      </w:r>
      <w:bookmarkStart w:id="3" w:name="_Hlk156837188"/>
      <w:r>
        <w:rPr>
          <w:rFonts w:hint="eastAsia" w:ascii="宋体" w:hAnsi="Times New Roman" w:eastAsia="宋体" w:cs="Times New Roman"/>
          <w:kern w:val="0"/>
          <w:sz w:val="24"/>
          <w:szCs w:val="24"/>
        </w:rPr>
        <w:t>贵研化学材料（云南）有限公司</w:t>
      </w:r>
      <w:bookmarkEnd w:id="3"/>
      <w:r>
        <w:rPr>
          <w:rFonts w:hint="eastAsia" w:ascii="宋体" w:hAnsi="Times New Roman" w:eastAsia="宋体" w:cs="Times New Roman"/>
          <w:kern w:val="0"/>
          <w:sz w:val="24"/>
          <w:szCs w:val="24"/>
        </w:rPr>
        <w:t>。故第一起草单位名称变更为贵研化学材料（云南）有限公司。</w:t>
      </w:r>
    </w:p>
    <w:p w14:paraId="2E994307">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标准起草单位为：贵研化学材料（云南）有限公司，云南省贵金属新材料股份有限公司，云南贵金属实验室有限公司，贵研资源（易门）有限公司，昆明贵金属研究所，浙江微通催化新材料有限公司，西安凯立新材料股份有限公司，陕西瑞科新材料股份有限公司，有色金属技术经济研究院有限责任公司，有研亿金新材料有限公司。</w:t>
      </w:r>
      <w:r>
        <w:rPr>
          <w:rFonts w:ascii="宋体" w:hAnsi="Times New Roman" w:eastAsia="宋体" w:cs="Times New Roman"/>
          <w:kern w:val="0"/>
          <w:sz w:val="24"/>
          <w:szCs w:val="24"/>
        </w:rPr>
        <w:t xml:space="preserve"> </w:t>
      </w:r>
      <w:bookmarkEnd w:id="1"/>
    </w:p>
    <w:p w14:paraId="48AD3DAE">
      <w:pPr>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（二）主要参加单位和工作成员及其所做的工作</w:t>
      </w:r>
    </w:p>
    <w:p w14:paraId="392429C2">
      <w:pPr>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2.1 主要参加单位情况</w:t>
      </w:r>
    </w:p>
    <w:p w14:paraId="3B62C062">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标准主起草单位贵研化学材料（云南）有限公司简称贵研化学，是云南省贵金属新材料控股集团股份有限公司的全资子公司，搬迁至昆明马金铺贵金属新材料产业园区，建设了最先进的贵金属化学品生产线，主要从事贵金属基础化合物、催化剂前驱体化合物、均相催化剂的研发及生产工作，有各类研发人员、工程技术人员和管理人员130余人，是目前我国铂族金属化合物的主要生产基地，产品用户遍布全国各行各业上百家企业，部分产品出口到日韩及欧美国家。贵研铂业股份有限公司是由中国唯一从事贵金属多学科领域综合性研究开发机构昆明贵金属研究所发起成立的高新技术企业，于2003年在上海证券交易所上市。公司以标准引领行业发展，持续保持贵金属领域标准制(修)订的优势地位，截至2021年末，主持和参与制订、修订国家标准、国家军用标准、行业标准200多项，具备良好的工作基础。</w:t>
      </w:r>
    </w:p>
    <w:p w14:paraId="567B3F53">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其他参与编制的单位负责提供用户调研数据，产品分析检测数据，及对标准稿件的意见建议，一起合作完成标准的编制，使标准更具有广泛性、适用性、准确性、代表性。其他编制组单位为标准的编制提供了一些有益的建议，为标准技术要求部分提供了有力保障。</w:t>
      </w:r>
    </w:p>
    <w:p w14:paraId="5139372E">
      <w:pPr>
        <w:widowControl/>
        <w:autoSpaceDE w:val="0"/>
        <w:autoSpaceDN w:val="0"/>
        <w:spacing w:line="360" w:lineRule="auto"/>
        <w:rPr>
          <w:rFonts w:ascii="宋体" w:hAnsi="Times New Roman" w:eastAsia="宋体" w:cs="Times New Roman"/>
          <w:b/>
          <w:bCs/>
          <w:kern w:val="0"/>
          <w:sz w:val="24"/>
          <w:szCs w:val="24"/>
        </w:rPr>
      </w:pPr>
      <w:r>
        <w:rPr>
          <w:rFonts w:hint="eastAsia" w:ascii="宋体" w:hAnsi="Times New Roman" w:eastAsia="宋体" w:cs="Times New Roman"/>
          <w:b/>
          <w:bCs/>
          <w:kern w:val="0"/>
          <w:sz w:val="24"/>
          <w:szCs w:val="24"/>
        </w:rPr>
        <w:t>2.2 标准起草主要工作成员所负责的工作情况</w:t>
      </w:r>
    </w:p>
    <w:p w14:paraId="1B06CC5C">
      <w:pPr>
        <w:widowControl/>
        <w:autoSpaceDE w:val="0"/>
        <w:autoSpaceDN w:val="0"/>
        <w:spacing w:line="360" w:lineRule="auto"/>
        <w:ind w:firstLine="400"/>
        <w:rPr>
          <w:rFonts w:ascii="宋体" w:hAnsi="Times New Roman" w:eastAsia="宋体" w:cs="Times New Roman"/>
          <w:kern w:val="0"/>
          <w:sz w:val="24"/>
          <w:szCs w:val="24"/>
        </w:rPr>
      </w:pPr>
      <w:r>
        <w:rPr>
          <w:rFonts w:hint="eastAsia" w:ascii="宋体" w:hAnsi="Times New Roman" w:eastAsia="宋体" w:cs="Times New Roman"/>
          <w:kern w:val="0"/>
          <w:sz w:val="24"/>
          <w:szCs w:val="24"/>
        </w:rPr>
        <w:t>准主要起草人均为高级工程师、工程师，且长期从事贵金属化合物的研发及生产工作，先后参与制定了贵金属化合物产品的国家标准或行业标准十余项，曾获中国有色金属行业协会的多项标准奖励，经验丰富，实践能力强。标准起草人及工作职责见表一。</w:t>
      </w:r>
    </w:p>
    <w:p w14:paraId="735454E6">
      <w:pPr>
        <w:widowControl/>
        <w:autoSpaceDE w:val="0"/>
        <w:autoSpaceDN w:val="0"/>
        <w:spacing w:line="360" w:lineRule="auto"/>
        <w:ind w:firstLine="400"/>
        <w:rPr>
          <w:rFonts w:ascii="宋体" w:hAnsi="Times New Roman" w:eastAsia="宋体" w:cs="Times New Roman"/>
          <w:kern w:val="0"/>
          <w:sz w:val="24"/>
          <w:szCs w:val="24"/>
        </w:rPr>
      </w:pPr>
    </w:p>
    <w:p w14:paraId="6EDAA76E">
      <w:pPr>
        <w:ind w:firstLine="2640" w:firstLineChars="11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表一主要修订人及工作职责</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54C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5562823">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修订人</w:t>
            </w:r>
          </w:p>
        </w:tc>
        <w:tc>
          <w:tcPr>
            <w:tcW w:w="4261" w:type="dxa"/>
          </w:tcPr>
          <w:p w14:paraId="654EA63F">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工作职责</w:t>
            </w:r>
          </w:p>
        </w:tc>
      </w:tr>
      <w:tr w14:paraId="189E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9F2E20F">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许明明</w:t>
            </w:r>
          </w:p>
        </w:tc>
        <w:tc>
          <w:tcPr>
            <w:tcW w:w="4261" w:type="dxa"/>
          </w:tcPr>
          <w:p w14:paraId="35D71DC9">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主要负责人，负责标准的编写、试验方案确定及组织协调工作。</w:t>
            </w:r>
          </w:p>
        </w:tc>
      </w:tr>
      <w:tr w14:paraId="3A96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1EEBD5C">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侯文明、刘桂华</w:t>
            </w:r>
          </w:p>
        </w:tc>
        <w:tc>
          <w:tcPr>
            <w:tcW w:w="4261" w:type="dxa"/>
          </w:tcPr>
          <w:p w14:paraId="0EE321DB">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技术指导及统筹工作</w:t>
            </w:r>
          </w:p>
        </w:tc>
      </w:tr>
      <w:tr w14:paraId="05D8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AE7C65D">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冯洋洋、雷怀东、王洪友</w:t>
            </w:r>
          </w:p>
        </w:tc>
        <w:tc>
          <w:tcPr>
            <w:tcW w:w="4261" w:type="dxa"/>
          </w:tcPr>
          <w:p w14:paraId="68B1BE24">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产品销售及客户调研工作</w:t>
            </w:r>
          </w:p>
        </w:tc>
      </w:tr>
      <w:tr w14:paraId="1EF5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83CD5FC">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陶乔平、刘盛虎、范太雨、郑思凡</w:t>
            </w:r>
          </w:p>
        </w:tc>
        <w:tc>
          <w:tcPr>
            <w:tcW w:w="4261" w:type="dxa"/>
          </w:tcPr>
          <w:p w14:paraId="30EA135E">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产品生产及试验数据积累</w:t>
            </w:r>
          </w:p>
        </w:tc>
      </w:tr>
      <w:tr w14:paraId="3A82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63D30FD">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李秋莹、杨辉</w:t>
            </w:r>
          </w:p>
        </w:tc>
        <w:tc>
          <w:tcPr>
            <w:tcW w:w="4261" w:type="dxa"/>
          </w:tcPr>
          <w:p w14:paraId="048D4450">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产品分析检测方法研究</w:t>
            </w:r>
          </w:p>
        </w:tc>
      </w:tr>
      <w:tr w14:paraId="3847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6F05876">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朱武勋</w:t>
            </w:r>
          </w:p>
        </w:tc>
        <w:tc>
          <w:tcPr>
            <w:tcW w:w="4261" w:type="dxa"/>
          </w:tcPr>
          <w:p w14:paraId="3D7E7B29">
            <w:pPr>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组织协调工作</w:t>
            </w:r>
          </w:p>
        </w:tc>
      </w:tr>
    </w:tbl>
    <w:p w14:paraId="32DDA014">
      <w:pPr>
        <w:jc w:val="left"/>
        <w:rPr>
          <w:rFonts w:hint="eastAsia" w:ascii="宋体" w:hAnsi="宋体" w:eastAsia="宋体" w:cs="宋体"/>
          <w:b/>
          <w:bCs/>
          <w:kern w:val="0"/>
          <w:sz w:val="24"/>
          <w:szCs w:val="24"/>
        </w:rPr>
      </w:pPr>
    </w:p>
    <w:p w14:paraId="7B52F821">
      <w:pPr>
        <w:widowControl/>
        <w:autoSpaceDE w:val="0"/>
        <w:autoSpaceDN w:val="0"/>
        <w:spacing w:line="360" w:lineRule="auto"/>
        <w:rPr>
          <w:rFonts w:ascii="宋体" w:hAnsi="Times New Roman" w:eastAsia="宋体" w:cs="Times New Roman"/>
          <w:b/>
          <w:bCs/>
          <w:kern w:val="0"/>
          <w:sz w:val="24"/>
          <w:szCs w:val="24"/>
        </w:rPr>
      </w:pPr>
      <w:r>
        <w:rPr>
          <w:rFonts w:hint="eastAsia" w:ascii="宋体" w:hAnsi="Times New Roman" w:eastAsia="宋体" w:cs="Times New Roman"/>
          <w:b/>
          <w:bCs/>
          <w:kern w:val="0"/>
          <w:sz w:val="24"/>
          <w:szCs w:val="24"/>
        </w:rPr>
        <w:t>(三）主要工作过程</w:t>
      </w:r>
    </w:p>
    <w:p w14:paraId="3905F42A">
      <w:pPr>
        <w:widowControl/>
        <w:autoSpaceDE w:val="0"/>
        <w:autoSpaceDN w:val="0"/>
        <w:spacing w:line="360" w:lineRule="auto"/>
        <w:rPr>
          <w:rFonts w:ascii="宋体" w:hAnsi="Times New Roman" w:eastAsia="宋体" w:cs="Times New Roman"/>
          <w:b/>
          <w:bCs/>
          <w:kern w:val="0"/>
          <w:sz w:val="24"/>
          <w:szCs w:val="24"/>
        </w:rPr>
      </w:pPr>
      <w:r>
        <w:rPr>
          <w:rFonts w:hint="eastAsia" w:ascii="宋体" w:hAnsi="Times New Roman" w:eastAsia="宋体" w:cs="Times New Roman"/>
          <w:b/>
          <w:bCs/>
          <w:kern w:val="0"/>
          <w:sz w:val="24"/>
          <w:szCs w:val="24"/>
        </w:rPr>
        <w:t>1 项目确定阶段</w:t>
      </w:r>
    </w:p>
    <w:p w14:paraId="3474B192">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贵研化学材料（云南）有限公司接到标准修订任务后，组织人员查阅和检索了国内外有关技术标准和资料，并征求了使用企业的意见，作为建立本技术标准的技术依据，也考虑了国内厂家生产实际和分析水平等情况，于2023年10月由公司相关技术人员组成了《亚硝酰基硝酸钌》标准专项组，主要进行如下工作：</w:t>
      </w:r>
    </w:p>
    <w:p w14:paraId="7BCCFE5C">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1）确立《亚硝酰基硝酸钌》标准修订遵循的基本原则；</w:t>
      </w:r>
    </w:p>
    <w:p w14:paraId="024704D7">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2）对生产、使用厂家进行调研、收集资料；</w:t>
      </w:r>
    </w:p>
    <w:p w14:paraId="7991517E">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3）查阅相关标准；</w:t>
      </w:r>
    </w:p>
    <w:p w14:paraId="56F0411E">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4）确定产品主要技术内容；</w:t>
      </w:r>
    </w:p>
    <w:p w14:paraId="59FEED7E">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5）确定技术要求的分析方法；</w:t>
      </w:r>
    </w:p>
    <w:p w14:paraId="23E9F38F">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6）根据测试数据确定技术指标取值范围。</w:t>
      </w:r>
    </w:p>
    <w:p w14:paraId="6131874B">
      <w:pPr>
        <w:widowControl/>
        <w:autoSpaceDE w:val="0"/>
        <w:autoSpaceDN w:val="0"/>
        <w:spacing w:line="360" w:lineRule="auto"/>
        <w:rPr>
          <w:rFonts w:ascii="宋体" w:hAnsi="Times New Roman" w:eastAsia="宋体" w:cs="Times New Roman"/>
          <w:b/>
          <w:bCs/>
          <w:kern w:val="0"/>
          <w:sz w:val="24"/>
          <w:szCs w:val="24"/>
        </w:rPr>
      </w:pPr>
      <w:r>
        <w:rPr>
          <w:rFonts w:hint="eastAsia" w:ascii="宋体" w:hAnsi="Times New Roman" w:eastAsia="宋体" w:cs="Times New Roman"/>
          <w:b/>
          <w:bCs/>
          <w:kern w:val="0"/>
          <w:sz w:val="24"/>
          <w:szCs w:val="24"/>
        </w:rPr>
        <w:t>2 立项阶段</w:t>
      </w:r>
    </w:p>
    <w:p w14:paraId="442039FD">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2023年9月，贵研铂业股份有限公司向全体委员会议提交了《亚硝酰基硝酸钌》标准项目建议书、标准草案及标准立项说明等材料，全体委员会议论证结论为同意行业标准申请修订立项，由秘书处组织委员投票，投票通过后报全国有色金属标准化技术委员会，并挂网向社会公开征求意见。</w:t>
      </w:r>
    </w:p>
    <w:p w14:paraId="235D6E69">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2023年工信部下达了第三批行业标准修订计划，《亚硝酰基硝酸钌》标准修订的计划号为工信厅科函(2023)291号2023-1546T-YS，项目周期为18个月，完成年限为2023年10月至2025年6月，技术归口单位为全国有色金属标准化技术委员会。主要起草单位：贵研化学材料（云南）有限公司，云南省贵金属新材料股份有限公司，云南贵金属实验室有限公司，贵研资源（易门）有限公司，昆明贵金属研究所，浙江微通催化新材料有限公司，西安凯立新材料股份有限公司，陕西瑞科新材料股份有限公司，有色金属技术经济研究院有限责任公司，有研亿金新材料有限公司，江西省汉氏贵金属有限公司</w:t>
      </w:r>
    </w:p>
    <w:p w14:paraId="52618145">
      <w:pPr>
        <w:widowControl/>
        <w:autoSpaceDE w:val="0"/>
        <w:autoSpaceDN w:val="0"/>
        <w:spacing w:line="360" w:lineRule="auto"/>
        <w:ind w:left="1" w:hanging="1"/>
        <w:rPr>
          <w:rFonts w:ascii="宋体" w:hAnsi="Times New Roman" w:eastAsia="宋体" w:cs="Times New Roman"/>
          <w:b/>
          <w:bCs/>
          <w:kern w:val="0"/>
          <w:sz w:val="24"/>
          <w:szCs w:val="24"/>
        </w:rPr>
      </w:pPr>
      <w:r>
        <w:rPr>
          <w:rFonts w:hint="eastAsia" w:ascii="宋体" w:hAnsi="Times New Roman" w:eastAsia="宋体" w:cs="Times New Roman"/>
          <w:b/>
          <w:bCs/>
          <w:kern w:val="0"/>
          <w:sz w:val="24"/>
          <w:szCs w:val="24"/>
        </w:rPr>
        <w:t>3 起草阶段</w:t>
      </w:r>
    </w:p>
    <w:p w14:paraId="01A906B7">
      <w:pPr>
        <w:widowControl/>
        <w:autoSpaceDE w:val="0"/>
        <w:autoSpaceDN w:val="0"/>
        <w:spacing w:line="360" w:lineRule="auto"/>
        <w:ind w:left="1" w:hanging="1"/>
        <w:rPr>
          <w:rFonts w:ascii="宋体" w:hAnsi="Times New Roman" w:eastAsia="宋体" w:cs="Times New Roman"/>
          <w:b/>
          <w:bCs/>
          <w:kern w:val="0"/>
          <w:sz w:val="24"/>
          <w:szCs w:val="24"/>
        </w:rPr>
      </w:pPr>
      <w:r>
        <w:rPr>
          <w:rFonts w:hint="eastAsia" w:ascii="宋体" w:hAnsi="Times New Roman" w:eastAsia="宋体" w:cs="Times New Roman"/>
          <w:b/>
          <w:bCs/>
          <w:kern w:val="0"/>
          <w:sz w:val="24"/>
          <w:szCs w:val="24"/>
        </w:rPr>
        <w:t>3.1召开标准进度汇报及进度协调会</w:t>
      </w:r>
    </w:p>
    <w:p w14:paraId="4C735B5E">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2023年12月，在四川省成都市召开了有色金属行业标准修订任务落实会，根据与会专家及企业代表认真研究和讨论，确定了《亚硝酰基硝酸钌》标准修订的主要参与单位为贵研化学材料（云南）有限公司。其他编制组单位为：</w:t>
      </w:r>
      <w:bookmarkStart w:id="4" w:name="_Hlk139281187"/>
      <w:r>
        <w:rPr>
          <w:rFonts w:hint="eastAsia" w:ascii="宋体" w:hAnsi="Times New Roman" w:eastAsia="宋体" w:cs="Times New Roman"/>
          <w:kern w:val="0"/>
          <w:sz w:val="24"/>
          <w:szCs w:val="24"/>
        </w:rPr>
        <w:t>云南省贵金属新材料股份有限公司，云南贵金属实验室有限公司，贵研资源（易门）有限公司，昆明贵金属研究所，浙江微通催化新材料有限公司，西安凯立新材料股份有限公司，陕西瑞科新材料股份有限公司，有色金属技术经济研究院有限责任公司，有研亿金新材料有限公司</w:t>
      </w:r>
      <w:bookmarkEnd w:id="4"/>
      <w:r>
        <w:rPr>
          <w:rFonts w:hint="eastAsia" w:ascii="宋体" w:hAnsi="Times New Roman" w:eastAsia="宋体" w:cs="Times New Roman"/>
          <w:kern w:val="0"/>
          <w:sz w:val="24"/>
          <w:szCs w:val="24"/>
        </w:rPr>
        <w:t>。</w:t>
      </w:r>
    </w:p>
    <w:p w14:paraId="00850A88">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根据此次会议精神，贵研化学材料（云南）有限公司于2024年1月组织《亚硝酰基硝酸钌》标准修订起草小组相关技术人员主要进行如下工作：</w:t>
      </w:r>
    </w:p>
    <w:p w14:paraId="0AF1B922">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1）组织小组成员查阅和检索国内外有关该产品技术标准和资料；</w:t>
      </w:r>
    </w:p>
    <w:p w14:paraId="765809E4">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2）标准起草成员开展同行和用户调研；</w:t>
      </w:r>
    </w:p>
    <w:p w14:paraId="2A80728B">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2024年2月至4月，主编单位贵研化学材料（云南）有限公司、通过电话、微信、电子邮件、现场走访等方式调研了国内使用亚硝酰基硝酸钌的用户，询问用户对产品的使用情况、产品在使用中存在的问题、产品的技术指标及分析检验结果等方面的信息，用户提出了很多有益的意见，这些意见帮助编制小组更好地了解用户的需求，合理的制定出标准的技术要求，提高用户对标准的满意度。</w:t>
      </w:r>
    </w:p>
    <w:p w14:paraId="1CB7005C">
      <w:pPr>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同时组织市场部的人员开展对用户的调研工作，确定了不同厂家对杂质元素的要求及杂质含量允许的范围，相关技术指标见表二:</w:t>
      </w:r>
    </w:p>
    <w:p w14:paraId="2FA3A98C">
      <w:pPr>
        <w:jc w:val="left"/>
        <w:rPr>
          <w:rFonts w:hint="eastAsia" w:ascii="宋体" w:hAnsi="宋体" w:eastAsia="宋体" w:cs="宋体"/>
          <w:b/>
          <w:bCs/>
          <w:kern w:val="0"/>
          <w:sz w:val="24"/>
          <w:szCs w:val="24"/>
        </w:rPr>
      </w:pPr>
    </w:p>
    <w:p w14:paraId="394C90D5">
      <w:pPr>
        <w:ind w:firstLine="3120" w:firstLineChars="13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表二 不同使用厂家技术要求</w:t>
      </w:r>
    </w:p>
    <w:tbl>
      <w:tblPr>
        <w:tblStyle w:val="10"/>
        <w:tblW w:w="5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333"/>
        <w:gridCol w:w="1333"/>
        <w:gridCol w:w="1150"/>
        <w:gridCol w:w="1394"/>
        <w:gridCol w:w="1394"/>
        <w:gridCol w:w="1391"/>
      </w:tblGrid>
      <w:tr w14:paraId="52DF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3" w:type="pct"/>
            <w:vMerge w:val="restart"/>
            <w:vAlign w:val="center"/>
          </w:tcPr>
          <w:p w14:paraId="495D028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指标项目</w:t>
            </w:r>
          </w:p>
        </w:tc>
        <w:tc>
          <w:tcPr>
            <w:tcW w:w="4427" w:type="pct"/>
            <w:gridSpan w:val="6"/>
            <w:vAlign w:val="center"/>
          </w:tcPr>
          <w:p w14:paraId="10381739">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技术指标</w:t>
            </w:r>
          </w:p>
        </w:tc>
      </w:tr>
      <w:tr w14:paraId="6610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3" w:type="pct"/>
            <w:vMerge w:val="continue"/>
            <w:vAlign w:val="center"/>
          </w:tcPr>
          <w:p w14:paraId="65806334">
            <w:pPr>
              <w:jc w:val="center"/>
              <w:rPr>
                <w:rFonts w:ascii="宋体" w:hAnsi="Times New Roman" w:eastAsia="宋体" w:cs="Times New Roman"/>
                <w:kern w:val="0"/>
                <w:sz w:val="24"/>
                <w:szCs w:val="24"/>
              </w:rPr>
            </w:pPr>
          </w:p>
        </w:tc>
        <w:tc>
          <w:tcPr>
            <w:tcW w:w="2113" w:type="pct"/>
            <w:gridSpan w:val="3"/>
            <w:vAlign w:val="center"/>
          </w:tcPr>
          <w:p w14:paraId="096AAE8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亚硝酰基硝酸钌溶液</w:t>
            </w:r>
          </w:p>
        </w:tc>
        <w:tc>
          <w:tcPr>
            <w:tcW w:w="2314" w:type="pct"/>
            <w:gridSpan w:val="3"/>
            <w:vAlign w:val="center"/>
          </w:tcPr>
          <w:p w14:paraId="5CB6A62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亚硝酰基硝酸钌固体</w:t>
            </w:r>
          </w:p>
        </w:tc>
      </w:tr>
      <w:tr w14:paraId="7E95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3" w:type="pct"/>
            <w:vMerge w:val="continue"/>
            <w:vAlign w:val="center"/>
          </w:tcPr>
          <w:p w14:paraId="29E00126">
            <w:pPr>
              <w:jc w:val="center"/>
              <w:rPr>
                <w:rFonts w:ascii="宋体" w:hAnsi="Times New Roman" w:eastAsia="宋体" w:cs="Times New Roman"/>
                <w:kern w:val="0"/>
                <w:sz w:val="24"/>
                <w:szCs w:val="24"/>
              </w:rPr>
            </w:pPr>
          </w:p>
        </w:tc>
        <w:tc>
          <w:tcPr>
            <w:tcW w:w="738" w:type="pct"/>
            <w:vAlign w:val="center"/>
          </w:tcPr>
          <w:p w14:paraId="1198D8F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A用户</w:t>
            </w:r>
          </w:p>
        </w:tc>
        <w:tc>
          <w:tcPr>
            <w:tcW w:w="738" w:type="pct"/>
            <w:vAlign w:val="center"/>
          </w:tcPr>
          <w:p w14:paraId="2FC90EA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B用户</w:t>
            </w:r>
          </w:p>
        </w:tc>
        <w:tc>
          <w:tcPr>
            <w:tcW w:w="637" w:type="pct"/>
            <w:vAlign w:val="center"/>
          </w:tcPr>
          <w:p w14:paraId="4F43944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C用户</w:t>
            </w:r>
          </w:p>
        </w:tc>
        <w:tc>
          <w:tcPr>
            <w:tcW w:w="772" w:type="pct"/>
            <w:vAlign w:val="center"/>
          </w:tcPr>
          <w:p w14:paraId="6E9C347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A用户</w:t>
            </w:r>
          </w:p>
        </w:tc>
        <w:tc>
          <w:tcPr>
            <w:tcW w:w="772" w:type="pct"/>
            <w:vAlign w:val="center"/>
          </w:tcPr>
          <w:p w14:paraId="7994CC4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B用户</w:t>
            </w:r>
          </w:p>
        </w:tc>
        <w:tc>
          <w:tcPr>
            <w:tcW w:w="770" w:type="pct"/>
            <w:vAlign w:val="center"/>
          </w:tcPr>
          <w:p w14:paraId="5C6DE27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C用户</w:t>
            </w:r>
          </w:p>
        </w:tc>
      </w:tr>
      <w:tr w14:paraId="7CA5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4F89B4A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Ru</w:t>
            </w:r>
          </w:p>
        </w:tc>
        <w:tc>
          <w:tcPr>
            <w:tcW w:w="738" w:type="pct"/>
            <w:vAlign w:val="center"/>
          </w:tcPr>
          <w:p w14:paraId="70E4BAE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≥5%</w:t>
            </w:r>
          </w:p>
          <w:p w14:paraId="11E2B49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38" w:type="pct"/>
            <w:vAlign w:val="center"/>
          </w:tcPr>
          <w:p w14:paraId="4135DC5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8．50%</w:t>
            </w:r>
          </w:p>
          <w:p w14:paraId="4A52E24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637" w:type="pct"/>
            <w:vAlign w:val="center"/>
          </w:tcPr>
          <w:p w14:paraId="68BE999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10±2%</w:t>
            </w:r>
          </w:p>
          <w:p w14:paraId="731869E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72" w:type="pct"/>
            <w:vAlign w:val="center"/>
          </w:tcPr>
          <w:p w14:paraId="0AA4FBB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31±2%</w:t>
            </w:r>
          </w:p>
          <w:p w14:paraId="7659B27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72" w:type="pct"/>
            <w:vAlign w:val="center"/>
          </w:tcPr>
          <w:p w14:paraId="6A2032E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≥28.5%</w:t>
            </w:r>
          </w:p>
          <w:p w14:paraId="704EBB2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70" w:type="pct"/>
            <w:vAlign w:val="center"/>
          </w:tcPr>
          <w:p w14:paraId="176FFB6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≥31.3%</w:t>
            </w:r>
          </w:p>
          <w:p w14:paraId="3E0C65A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r>
      <w:tr w14:paraId="767F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716F1DC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Pt</w:t>
            </w:r>
          </w:p>
        </w:tc>
        <w:tc>
          <w:tcPr>
            <w:tcW w:w="738" w:type="pct"/>
            <w:vAlign w:val="center"/>
          </w:tcPr>
          <w:p w14:paraId="4ED772A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3A57470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637" w:type="pct"/>
            <w:vAlign w:val="center"/>
          </w:tcPr>
          <w:p w14:paraId="414C3B12">
            <w:pPr>
              <w:jc w:val="center"/>
              <w:rPr>
                <w:rFonts w:ascii="宋体" w:hAnsi="Times New Roman" w:eastAsia="宋体" w:cs="Times New Roman"/>
                <w:kern w:val="0"/>
                <w:sz w:val="24"/>
                <w:szCs w:val="24"/>
              </w:rPr>
            </w:pPr>
            <w:r>
              <w:rPr>
                <w:rFonts w:ascii="宋体" w:hAnsi="Times New Roman" w:eastAsia="宋体" w:cs="Times New Roman"/>
                <w:kern w:val="0"/>
                <w:sz w:val="24"/>
                <w:szCs w:val="24"/>
              </w:rPr>
              <w:t>/</w:t>
            </w:r>
          </w:p>
        </w:tc>
        <w:tc>
          <w:tcPr>
            <w:tcW w:w="772" w:type="pct"/>
            <w:vAlign w:val="center"/>
          </w:tcPr>
          <w:p w14:paraId="2482FA7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4FD00B76">
            <w:pPr>
              <w:jc w:val="center"/>
              <w:rPr>
                <w:rFonts w:ascii="宋体" w:hAnsi="Times New Roman" w:eastAsia="宋体" w:cs="Times New Roman"/>
                <w:kern w:val="0"/>
                <w:sz w:val="24"/>
                <w:szCs w:val="24"/>
              </w:rPr>
            </w:pPr>
            <w:r>
              <w:rPr>
                <w:rFonts w:ascii="宋体" w:hAnsi="Times New Roman" w:eastAsia="宋体" w:cs="Times New Roman"/>
                <w:kern w:val="0"/>
                <w:sz w:val="24"/>
                <w:szCs w:val="24"/>
              </w:rPr>
              <w:t>/</w:t>
            </w:r>
          </w:p>
        </w:tc>
        <w:tc>
          <w:tcPr>
            <w:tcW w:w="770" w:type="pct"/>
            <w:vAlign w:val="center"/>
          </w:tcPr>
          <w:p w14:paraId="7B54925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6CC3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077D7777">
            <w:pPr>
              <w:jc w:val="center"/>
              <w:rPr>
                <w:rFonts w:ascii="宋体" w:hAnsi="Times New Roman" w:eastAsia="宋体" w:cs="Times New Roman"/>
                <w:kern w:val="0"/>
                <w:sz w:val="24"/>
                <w:szCs w:val="24"/>
              </w:rPr>
            </w:pPr>
            <w:r>
              <w:rPr>
                <w:rFonts w:ascii="宋体" w:hAnsi="Times New Roman" w:eastAsia="宋体" w:cs="Times New Roman"/>
                <w:kern w:val="0"/>
                <w:sz w:val="24"/>
                <w:szCs w:val="24"/>
              </w:rPr>
              <w:t>Pd</w:t>
            </w:r>
          </w:p>
        </w:tc>
        <w:tc>
          <w:tcPr>
            <w:tcW w:w="738" w:type="pct"/>
            <w:vAlign w:val="center"/>
          </w:tcPr>
          <w:p w14:paraId="735CC70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494B42B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637" w:type="pct"/>
            <w:vAlign w:val="center"/>
          </w:tcPr>
          <w:p w14:paraId="674C0A53">
            <w:pPr>
              <w:jc w:val="center"/>
              <w:rPr>
                <w:rFonts w:ascii="宋体" w:hAnsi="Times New Roman" w:eastAsia="宋体" w:cs="Times New Roman"/>
                <w:kern w:val="0"/>
                <w:sz w:val="24"/>
                <w:szCs w:val="24"/>
              </w:rPr>
            </w:pPr>
            <w:r>
              <w:rPr>
                <w:rFonts w:ascii="宋体" w:hAnsi="Times New Roman" w:eastAsia="宋体" w:cs="Times New Roman"/>
                <w:kern w:val="0"/>
                <w:sz w:val="24"/>
                <w:szCs w:val="24"/>
              </w:rPr>
              <w:t>/</w:t>
            </w:r>
          </w:p>
        </w:tc>
        <w:tc>
          <w:tcPr>
            <w:tcW w:w="772" w:type="pct"/>
            <w:vAlign w:val="center"/>
          </w:tcPr>
          <w:p w14:paraId="6B34FEC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6B1FC07B">
            <w:pPr>
              <w:jc w:val="center"/>
              <w:rPr>
                <w:rFonts w:ascii="宋体" w:hAnsi="Times New Roman" w:eastAsia="宋体" w:cs="Times New Roman"/>
                <w:kern w:val="0"/>
                <w:sz w:val="24"/>
                <w:szCs w:val="24"/>
              </w:rPr>
            </w:pPr>
            <w:r>
              <w:rPr>
                <w:rFonts w:ascii="宋体" w:hAnsi="Times New Roman" w:eastAsia="宋体" w:cs="Times New Roman"/>
                <w:kern w:val="0"/>
                <w:sz w:val="24"/>
                <w:szCs w:val="24"/>
              </w:rPr>
              <w:t>/</w:t>
            </w:r>
          </w:p>
        </w:tc>
        <w:tc>
          <w:tcPr>
            <w:tcW w:w="770" w:type="pct"/>
            <w:vAlign w:val="center"/>
          </w:tcPr>
          <w:p w14:paraId="3C282FE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30F9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2E389E72">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Rh</w:t>
            </w:r>
          </w:p>
        </w:tc>
        <w:tc>
          <w:tcPr>
            <w:tcW w:w="738" w:type="pct"/>
            <w:vAlign w:val="center"/>
          </w:tcPr>
          <w:p w14:paraId="4D234AC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5DF8026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637" w:type="pct"/>
            <w:vAlign w:val="center"/>
          </w:tcPr>
          <w:p w14:paraId="0E80913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754FD17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1224481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0" w:type="pct"/>
            <w:vAlign w:val="center"/>
          </w:tcPr>
          <w:p w14:paraId="14EF075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3747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0059136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Ir</w:t>
            </w:r>
          </w:p>
        </w:tc>
        <w:tc>
          <w:tcPr>
            <w:tcW w:w="738" w:type="pct"/>
            <w:vAlign w:val="center"/>
          </w:tcPr>
          <w:p w14:paraId="7449DEC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50F5923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637" w:type="pct"/>
            <w:vAlign w:val="center"/>
          </w:tcPr>
          <w:p w14:paraId="77F79A0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70DBF78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41B39D8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0" w:type="pct"/>
            <w:vAlign w:val="center"/>
          </w:tcPr>
          <w:p w14:paraId="22AF39C2">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253F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4E52BCA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Na</w:t>
            </w:r>
          </w:p>
        </w:tc>
        <w:tc>
          <w:tcPr>
            <w:tcW w:w="738" w:type="pct"/>
            <w:vAlign w:val="center"/>
          </w:tcPr>
          <w:p w14:paraId="571BEC7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654A977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637" w:type="pct"/>
            <w:vAlign w:val="center"/>
          </w:tcPr>
          <w:p w14:paraId="79A1D06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4FC5CCC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724DA669">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0" w:type="pct"/>
            <w:vAlign w:val="center"/>
          </w:tcPr>
          <w:p w14:paraId="27F60C39">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&lt;0.01%    Wt%</w:t>
            </w:r>
          </w:p>
        </w:tc>
      </w:tr>
      <w:tr w14:paraId="61AE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15EDB90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Cu</w:t>
            </w:r>
          </w:p>
        </w:tc>
        <w:tc>
          <w:tcPr>
            <w:tcW w:w="738" w:type="pct"/>
            <w:vAlign w:val="center"/>
          </w:tcPr>
          <w:p w14:paraId="5BDFCC6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33B1989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637" w:type="pct"/>
            <w:vAlign w:val="center"/>
          </w:tcPr>
          <w:p w14:paraId="3F376E1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4C861EC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505860C9">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&lt;0.002%</w:t>
            </w:r>
          </w:p>
          <w:p w14:paraId="6985CF5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70" w:type="pct"/>
            <w:vAlign w:val="center"/>
          </w:tcPr>
          <w:p w14:paraId="4D70320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w:t>
            </w:r>
          </w:p>
          <w:p w14:paraId="643BB57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r>
      <w:tr w14:paraId="4E22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0090067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Fe</w:t>
            </w:r>
          </w:p>
        </w:tc>
        <w:tc>
          <w:tcPr>
            <w:tcW w:w="738" w:type="pct"/>
            <w:vAlign w:val="center"/>
          </w:tcPr>
          <w:p w14:paraId="3054178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2518A21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&lt;0.002%    Wt%</w:t>
            </w:r>
          </w:p>
        </w:tc>
        <w:tc>
          <w:tcPr>
            <w:tcW w:w="637" w:type="pct"/>
            <w:vAlign w:val="center"/>
          </w:tcPr>
          <w:p w14:paraId="3D101DB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2E51029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w:t>
            </w:r>
            <w:r>
              <w:rPr>
                <w:rFonts w:ascii="宋体" w:hAnsi="Times New Roman" w:eastAsia="宋体" w:cs="Times New Roman"/>
                <w:kern w:val="0"/>
                <w:sz w:val="24"/>
                <w:szCs w:val="24"/>
              </w:rPr>
              <w:t>1</w:t>
            </w:r>
            <w:r>
              <w:rPr>
                <w:rFonts w:hint="eastAsia" w:ascii="宋体" w:hAnsi="Times New Roman" w:eastAsia="宋体" w:cs="Times New Roman"/>
                <w:kern w:val="0"/>
                <w:sz w:val="24"/>
                <w:szCs w:val="24"/>
              </w:rPr>
              <w:t>%</w:t>
            </w:r>
          </w:p>
          <w:p w14:paraId="74DDE5E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72" w:type="pct"/>
            <w:vAlign w:val="center"/>
          </w:tcPr>
          <w:p w14:paraId="7FC9907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&lt;0.002%</w:t>
            </w:r>
          </w:p>
          <w:p w14:paraId="72B8961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70" w:type="pct"/>
            <w:vAlign w:val="center"/>
          </w:tcPr>
          <w:p w14:paraId="2E64229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w:t>
            </w:r>
            <w:r>
              <w:rPr>
                <w:rFonts w:ascii="宋体" w:hAnsi="Times New Roman" w:eastAsia="宋体" w:cs="Times New Roman"/>
                <w:kern w:val="0"/>
                <w:sz w:val="24"/>
                <w:szCs w:val="24"/>
              </w:rPr>
              <w:t>1</w:t>
            </w:r>
            <w:r>
              <w:rPr>
                <w:rFonts w:hint="eastAsia" w:ascii="宋体" w:hAnsi="Times New Roman" w:eastAsia="宋体" w:cs="Times New Roman"/>
                <w:kern w:val="0"/>
                <w:sz w:val="24"/>
                <w:szCs w:val="24"/>
              </w:rPr>
              <w:t>%</w:t>
            </w:r>
          </w:p>
          <w:p w14:paraId="528EDF8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r>
      <w:tr w14:paraId="3FEF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0F9E8C63">
            <w:pPr>
              <w:jc w:val="center"/>
              <w:rPr>
                <w:rFonts w:ascii="宋体" w:hAnsi="Times New Roman" w:eastAsia="宋体" w:cs="Times New Roman"/>
                <w:kern w:val="0"/>
                <w:sz w:val="24"/>
                <w:szCs w:val="24"/>
              </w:rPr>
            </w:pPr>
            <w:r>
              <w:rPr>
                <w:rFonts w:ascii="宋体" w:hAnsi="Times New Roman" w:eastAsia="宋体" w:cs="Times New Roman"/>
                <w:kern w:val="0"/>
                <w:sz w:val="24"/>
                <w:szCs w:val="24"/>
              </w:rPr>
              <w:t>Mg</w:t>
            </w:r>
          </w:p>
        </w:tc>
        <w:tc>
          <w:tcPr>
            <w:tcW w:w="738" w:type="pct"/>
            <w:vAlign w:val="center"/>
          </w:tcPr>
          <w:p w14:paraId="507C5BA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4DD3E2A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637" w:type="pct"/>
            <w:vAlign w:val="center"/>
          </w:tcPr>
          <w:p w14:paraId="54AB6FE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2" w:type="pct"/>
            <w:vAlign w:val="center"/>
          </w:tcPr>
          <w:p w14:paraId="4FF1743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w:t>
            </w:r>
            <w:r>
              <w:rPr>
                <w:rFonts w:ascii="宋体" w:hAnsi="Times New Roman" w:eastAsia="宋体" w:cs="Times New Roman"/>
                <w:kern w:val="0"/>
                <w:sz w:val="24"/>
                <w:szCs w:val="24"/>
              </w:rPr>
              <w:t>1</w:t>
            </w:r>
            <w:r>
              <w:rPr>
                <w:rFonts w:hint="eastAsia" w:ascii="宋体" w:hAnsi="Times New Roman" w:eastAsia="宋体" w:cs="Times New Roman"/>
                <w:kern w:val="0"/>
                <w:sz w:val="24"/>
                <w:szCs w:val="24"/>
              </w:rPr>
              <w:t>%</w:t>
            </w:r>
          </w:p>
          <w:p w14:paraId="7D05619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72" w:type="pct"/>
            <w:vAlign w:val="center"/>
          </w:tcPr>
          <w:p w14:paraId="527E9DE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0" w:type="pct"/>
            <w:vAlign w:val="center"/>
          </w:tcPr>
          <w:p w14:paraId="5E7B6C1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69E7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6BE3BAD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Ca</w:t>
            </w:r>
          </w:p>
        </w:tc>
        <w:tc>
          <w:tcPr>
            <w:tcW w:w="738" w:type="pct"/>
            <w:vAlign w:val="center"/>
          </w:tcPr>
          <w:p w14:paraId="1A84A2C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6D6574B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&lt;0.002%    Wt%</w:t>
            </w:r>
          </w:p>
        </w:tc>
        <w:tc>
          <w:tcPr>
            <w:tcW w:w="637" w:type="pct"/>
            <w:vAlign w:val="center"/>
          </w:tcPr>
          <w:p w14:paraId="683CB60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&lt;0.003%    Wt%</w:t>
            </w:r>
          </w:p>
        </w:tc>
        <w:tc>
          <w:tcPr>
            <w:tcW w:w="772" w:type="pct"/>
            <w:vAlign w:val="center"/>
          </w:tcPr>
          <w:p w14:paraId="7C20011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&lt;0.003%    Wt%</w:t>
            </w:r>
          </w:p>
        </w:tc>
        <w:tc>
          <w:tcPr>
            <w:tcW w:w="772" w:type="pct"/>
            <w:vAlign w:val="center"/>
          </w:tcPr>
          <w:p w14:paraId="72D67AF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&lt;0.002%    Wt%</w:t>
            </w:r>
          </w:p>
        </w:tc>
        <w:tc>
          <w:tcPr>
            <w:tcW w:w="770" w:type="pct"/>
            <w:vAlign w:val="center"/>
          </w:tcPr>
          <w:p w14:paraId="293824C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08F8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7E66001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P</w:t>
            </w:r>
            <w:r>
              <w:rPr>
                <w:rFonts w:ascii="宋体" w:hAnsi="Times New Roman" w:eastAsia="宋体" w:cs="Times New Roman"/>
                <w:kern w:val="0"/>
                <w:sz w:val="24"/>
                <w:szCs w:val="24"/>
              </w:rPr>
              <w:t>b</w:t>
            </w:r>
          </w:p>
        </w:tc>
        <w:tc>
          <w:tcPr>
            <w:tcW w:w="738" w:type="pct"/>
            <w:vAlign w:val="center"/>
          </w:tcPr>
          <w:p w14:paraId="2A1F862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w:t>
            </w:r>
            <w:r>
              <w:rPr>
                <w:rFonts w:ascii="宋体" w:hAnsi="Times New Roman" w:eastAsia="宋体" w:cs="Times New Roman"/>
                <w:kern w:val="0"/>
                <w:sz w:val="24"/>
                <w:szCs w:val="24"/>
              </w:rPr>
              <w:t>.00</w:t>
            </w:r>
            <w:r>
              <w:rPr>
                <w:rFonts w:hint="eastAsia" w:ascii="宋体" w:hAnsi="Times New Roman" w:eastAsia="宋体" w:cs="Times New Roman"/>
                <w:kern w:val="0"/>
                <w:sz w:val="24"/>
                <w:szCs w:val="24"/>
              </w:rPr>
              <w:t>5%    Wt%</w:t>
            </w:r>
          </w:p>
        </w:tc>
        <w:tc>
          <w:tcPr>
            <w:tcW w:w="738" w:type="pct"/>
            <w:vAlign w:val="center"/>
          </w:tcPr>
          <w:p w14:paraId="166A0E0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w:t>
            </w:r>
            <w:r>
              <w:rPr>
                <w:rFonts w:ascii="宋体" w:hAnsi="Times New Roman" w:eastAsia="宋体" w:cs="Times New Roman"/>
                <w:kern w:val="0"/>
                <w:sz w:val="24"/>
                <w:szCs w:val="24"/>
              </w:rPr>
              <w:t>.0</w:t>
            </w:r>
            <w:r>
              <w:rPr>
                <w:rFonts w:hint="eastAsia" w:ascii="宋体" w:hAnsi="Times New Roman" w:eastAsia="宋体" w:cs="Times New Roman"/>
                <w:kern w:val="0"/>
                <w:sz w:val="24"/>
                <w:szCs w:val="24"/>
              </w:rPr>
              <w:t>1%    Wt%</w:t>
            </w:r>
          </w:p>
        </w:tc>
        <w:tc>
          <w:tcPr>
            <w:tcW w:w="637" w:type="pct"/>
            <w:vAlign w:val="center"/>
          </w:tcPr>
          <w:p w14:paraId="7DA94BE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w:t>
            </w:r>
            <w:r>
              <w:rPr>
                <w:rFonts w:ascii="宋体" w:hAnsi="Times New Roman" w:eastAsia="宋体" w:cs="Times New Roman"/>
                <w:kern w:val="0"/>
                <w:sz w:val="24"/>
                <w:szCs w:val="24"/>
              </w:rPr>
              <w:t>.00</w:t>
            </w:r>
            <w:r>
              <w:rPr>
                <w:rFonts w:hint="eastAsia" w:ascii="宋体" w:hAnsi="Times New Roman" w:eastAsia="宋体" w:cs="Times New Roman"/>
                <w:kern w:val="0"/>
                <w:sz w:val="24"/>
                <w:szCs w:val="24"/>
              </w:rPr>
              <w:t>3%    Wt%</w:t>
            </w:r>
          </w:p>
        </w:tc>
        <w:tc>
          <w:tcPr>
            <w:tcW w:w="772" w:type="pct"/>
            <w:vAlign w:val="center"/>
          </w:tcPr>
          <w:p w14:paraId="62D0E40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w:t>
            </w:r>
            <w:r>
              <w:rPr>
                <w:rFonts w:ascii="宋体" w:hAnsi="Times New Roman" w:eastAsia="宋体" w:cs="Times New Roman"/>
                <w:kern w:val="0"/>
                <w:sz w:val="24"/>
                <w:szCs w:val="24"/>
              </w:rPr>
              <w:t>.00</w:t>
            </w:r>
            <w:r>
              <w:rPr>
                <w:rFonts w:hint="eastAsia" w:ascii="宋体" w:hAnsi="Times New Roman" w:eastAsia="宋体" w:cs="Times New Roman"/>
                <w:kern w:val="0"/>
                <w:sz w:val="24"/>
                <w:szCs w:val="24"/>
              </w:rPr>
              <w:t>5%    Wt%</w:t>
            </w:r>
          </w:p>
        </w:tc>
        <w:tc>
          <w:tcPr>
            <w:tcW w:w="772" w:type="pct"/>
            <w:vAlign w:val="center"/>
          </w:tcPr>
          <w:p w14:paraId="02C9EDE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w:t>
            </w:r>
            <w:r>
              <w:rPr>
                <w:rFonts w:ascii="宋体" w:hAnsi="Times New Roman" w:eastAsia="宋体" w:cs="Times New Roman"/>
                <w:kern w:val="0"/>
                <w:sz w:val="24"/>
                <w:szCs w:val="24"/>
              </w:rPr>
              <w:t>.0</w:t>
            </w:r>
            <w:r>
              <w:rPr>
                <w:rFonts w:hint="eastAsia" w:ascii="宋体" w:hAnsi="Times New Roman" w:eastAsia="宋体" w:cs="Times New Roman"/>
                <w:kern w:val="0"/>
                <w:sz w:val="24"/>
                <w:szCs w:val="24"/>
              </w:rPr>
              <w:t>1%    Wt%</w:t>
            </w:r>
          </w:p>
        </w:tc>
        <w:tc>
          <w:tcPr>
            <w:tcW w:w="770" w:type="pct"/>
            <w:vAlign w:val="center"/>
          </w:tcPr>
          <w:p w14:paraId="17B8008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w:t>
            </w:r>
            <w:r>
              <w:rPr>
                <w:rFonts w:ascii="宋体" w:hAnsi="Times New Roman" w:eastAsia="宋体" w:cs="Times New Roman"/>
                <w:kern w:val="0"/>
                <w:sz w:val="24"/>
                <w:szCs w:val="24"/>
              </w:rPr>
              <w:t>.00</w:t>
            </w:r>
            <w:r>
              <w:rPr>
                <w:rFonts w:hint="eastAsia" w:ascii="宋体" w:hAnsi="Times New Roman" w:eastAsia="宋体" w:cs="Times New Roman"/>
                <w:kern w:val="0"/>
                <w:sz w:val="24"/>
                <w:szCs w:val="24"/>
              </w:rPr>
              <w:t>3%    Wt%</w:t>
            </w:r>
          </w:p>
        </w:tc>
      </w:tr>
      <w:tr w14:paraId="350A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4BE146A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外观</w:t>
            </w:r>
          </w:p>
        </w:tc>
        <w:tc>
          <w:tcPr>
            <w:tcW w:w="738" w:type="pct"/>
            <w:vAlign w:val="center"/>
          </w:tcPr>
          <w:p w14:paraId="1C61015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红褐色液体</w:t>
            </w:r>
          </w:p>
        </w:tc>
        <w:tc>
          <w:tcPr>
            <w:tcW w:w="738" w:type="pct"/>
            <w:vAlign w:val="center"/>
          </w:tcPr>
          <w:p w14:paraId="507E0E32">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红褐色液体</w:t>
            </w:r>
          </w:p>
        </w:tc>
        <w:tc>
          <w:tcPr>
            <w:tcW w:w="637" w:type="pct"/>
            <w:vAlign w:val="center"/>
          </w:tcPr>
          <w:p w14:paraId="0EF383F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红褐色液体</w:t>
            </w:r>
          </w:p>
        </w:tc>
        <w:tc>
          <w:tcPr>
            <w:tcW w:w="772" w:type="pct"/>
            <w:vAlign w:val="center"/>
          </w:tcPr>
          <w:p w14:paraId="2F1A282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橙红色固体</w:t>
            </w:r>
          </w:p>
        </w:tc>
        <w:tc>
          <w:tcPr>
            <w:tcW w:w="772" w:type="pct"/>
            <w:vAlign w:val="center"/>
          </w:tcPr>
          <w:p w14:paraId="1982DAA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橙红色固体</w:t>
            </w:r>
          </w:p>
        </w:tc>
        <w:tc>
          <w:tcPr>
            <w:tcW w:w="770" w:type="pct"/>
            <w:vAlign w:val="center"/>
          </w:tcPr>
          <w:p w14:paraId="4C09F50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橙红色固体</w:t>
            </w:r>
          </w:p>
        </w:tc>
      </w:tr>
      <w:tr w14:paraId="42A6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5C3A1B8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溶解试验</w:t>
            </w:r>
          </w:p>
        </w:tc>
        <w:tc>
          <w:tcPr>
            <w:tcW w:w="738" w:type="pct"/>
            <w:vAlign w:val="center"/>
          </w:tcPr>
          <w:p w14:paraId="3C3E839A">
            <w:pPr>
              <w:jc w:val="center"/>
              <w:rPr>
                <w:rFonts w:ascii="宋体" w:hAnsi="Times New Roman" w:eastAsia="宋体" w:cs="Times New Roman"/>
                <w:kern w:val="0"/>
                <w:sz w:val="24"/>
                <w:szCs w:val="24"/>
              </w:rPr>
            </w:pPr>
          </w:p>
        </w:tc>
        <w:tc>
          <w:tcPr>
            <w:tcW w:w="738" w:type="pct"/>
            <w:vAlign w:val="center"/>
          </w:tcPr>
          <w:p w14:paraId="454B6CF5">
            <w:pPr>
              <w:jc w:val="center"/>
              <w:rPr>
                <w:rFonts w:ascii="宋体" w:hAnsi="Times New Roman" w:eastAsia="宋体" w:cs="Times New Roman"/>
                <w:kern w:val="0"/>
                <w:sz w:val="24"/>
                <w:szCs w:val="24"/>
              </w:rPr>
            </w:pPr>
          </w:p>
        </w:tc>
        <w:tc>
          <w:tcPr>
            <w:tcW w:w="637" w:type="pct"/>
            <w:vAlign w:val="center"/>
          </w:tcPr>
          <w:p w14:paraId="799FCDD0">
            <w:pPr>
              <w:jc w:val="center"/>
              <w:rPr>
                <w:rFonts w:ascii="宋体" w:hAnsi="Times New Roman" w:eastAsia="宋体" w:cs="Times New Roman"/>
                <w:kern w:val="0"/>
                <w:sz w:val="24"/>
                <w:szCs w:val="24"/>
              </w:rPr>
            </w:pPr>
          </w:p>
        </w:tc>
        <w:tc>
          <w:tcPr>
            <w:tcW w:w="772" w:type="pct"/>
            <w:vAlign w:val="center"/>
          </w:tcPr>
          <w:p w14:paraId="02A7AA7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无目视可见不溶物</w:t>
            </w:r>
          </w:p>
        </w:tc>
        <w:tc>
          <w:tcPr>
            <w:tcW w:w="772" w:type="pct"/>
            <w:vAlign w:val="center"/>
          </w:tcPr>
          <w:p w14:paraId="75433B1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无目视可见不溶物</w:t>
            </w:r>
          </w:p>
        </w:tc>
        <w:tc>
          <w:tcPr>
            <w:tcW w:w="770" w:type="pct"/>
            <w:vAlign w:val="center"/>
          </w:tcPr>
          <w:p w14:paraId="2F3FEE5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无目视可见不溶物</w:t>
            </w:r>
          </w:p>
        </w:tc>
      </w:tr>
    </w:tbl>
    <w:p w14:paraId="177E4721">
      <w:pPr>
        <w:jc w:val="left"/>
        <w:rPr>
          <w:rFonts w:hint="eastAsia" w:ascii="宋体" w:hAnsi="宋体" w:eastAsia="宋体" w:cs="宋体"/>
          <w:b/>
          <w:bCs/>
          <w:kern w:val="0"/>
          <w:sz w:val="24"/>
          <w:szCs w:val="24"/>
        </w:rPr>
      </w:pPr>
    </w:p>
    <w:p w14:paraId="627B890A">
      <w:pPr>
        <w:widowControl/>
        <w:autoSpaceDE w:val="0"/>
        <w:autoSpaceDN w:val="0"/>
        <w:spacing w:line="360" w:lineRule="auto"/>
        <w:rPr>
          <w:rFonts w:hint="eastAsia" w:ascii="宋体" w:hAnsi="宋体" w:eastAsia="宋体" w:cs="宋体"/>
          <w:kern w:val="0"/>
          <w:sz w:val="24"/>
          <w:szCs w:val="24"/>
        </w:rPr>
      </w:pPr>
      <w:r>
        <w:rPr>
          <w:rFonts w:hint="eastAsia" w:ascii="宋体" w:hAnsi="Times New Roman" w:eastAsia="宋体" w:cs="Times New Roman"/>
          <w:kern w:val="0"/>
          <w:sz w:val="24"/>
          <w:szCs w:val="24"/>
        </w:rPr>
        <w:t xml:space="preserve">   《亚硝酰基硝酸钌》标准的修订依据主要来自于对相关应用企业的调研，并征求了使用企业的</w:t>
      </w:r>
      <w:r>
        <w:rPr>
          <w:rFonts w:hint="eastAsia" w:ascii="宋体" w:hAnsi="宋体" w:eastAsia="宋体" w:cs="宋体"/>
          <w:kern w:val="0"/>
          <w:sz w:val="24"/>
          <w:szCs w:val="24"/>
        </w:rPr>
        <w:t>意见，作为建立本技术标准的依据，同时也考虑了国内厂家生产实际和分析水平等情况。</w:t>
      </w:r>
    </w:p>
    <w:p w14:paraId="38452C7C">
      <w:pPr>
        <w:widowControl/>
        <w:autoSpaceDE w:val="0"/>
        <w:autoSpaceDN w:val="0"/>
        <w:spacing w:line="360" w:lineRule="auto"/>
        <w:ind w:firstLine="480" w:firstLine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同时，主编单位组织各参与单位进行了进一步的调研工作，广泛收集与标准起草有关的资料并加以研究、分析。国内外的相关标准、资料，国内外的生产情况；达到的水平，生产企业的生产经验，存在的问题和解决的办法；相关的科研成果、专利；国内外产品、样品有关数据的对比。</w:t>
      </w:r>
    </w:p>
    <w:p w14:paraId="50C86172">
      <w:pPr>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 征求意见阶段</w:t>
      </w:r>
    </w:p>
    <w:p w14:paraId="324F286F">
      <w:pPr>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4.1标准征求意见会议</w:t>
      </w:r>
    </w:p>
    <w:p w14:paraId="21CEF1E2">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2024年9月24日～9月26日全国有色金属标准化技术委员会在广西壮族自治区柳州市召开《铁道货车、公路货车用铝合金板材》等68项有色金属标准工作会议。会议将对本标准的相关技术文件进行分析和讨论，并安排后续工作。届时，编制组将根据与会专家及参会代表提出的意见，将对标准文本进行认真修改。</w:t>
      </w:r>
    </w:p>
    <w:p w14:paraId="3A76122C">
      <w:pPr>
        <w:widowControl/>
        <w:autoSpaceDE w:val="0"/>
        <w:autoSpaceDN w:val="0"/>
        <w:spacing w:line="360" w:lineRule="auto"/>
        <w:ind w:firstLine="480" w:firstLine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会下达的有关标准制修订计划的要求，兹定于2024年9月24日在广西壮族自治区柳州市召开《铁道货车、公路货车用铝合金板材》等68项有色金属标准工作会议。</w:t>
      </w:r>
    </w:p>
    <w:p w14:paraId="1B22307D">
      <w:pPr>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二、标准编制原则</w:t>
      </w:r>
    </w:p>
    <w:p w14:paraId="09AAE688">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本标准起草单位自接受修订任务后，成立了标准编制工作组负责收集整理相关资料、市场需求及客户要求等信息，同时结合国家大政方针政策，未来发展趋势，本着科学发展、可持续发展的原则，坚决贯彻以人为本、绿色环保的精神，以严谨、科学的态度对本标准修订进行了反复的讨论、修改，使之不断完善。为了确保产品质量，修订相应的标准规范，《亚硝酰基硝酸钌》标准的修订所遵循的基本原则：</w:t>
      </w:r>
    </w:p>
    <w:p w14:paraId="7C5AAEF1">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1.科学性原则。标准必须符合科学、合理、先进的原则，确保标准内容科学、准确、可靠。</w:t>
      </w:r>
    </w:p>
    <w:p w14:paraId="3DF654F4">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2.公正性原则。标准编制必须遵循公正、公开、透明、公平的原则，维护各利益相关者的合法权益。</w:t>
      </w:r>
    </w:p>
    <w:p w14:paraId="2E25E2CB">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3.适用性原则。标准必须符合产品实际需求，具有实用性和适用性，能够满足产品设计、生产和使用的实际需求。</w:t>
      </w:r>
    </w:p>
    <w:p w14:paraId="7E7A4A87">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4.可行性原则。标准必须具有可操作性和可实施性，能够被生产者和使用者接受和实施。</w:t>
      </w:r>
    </w:p>
    <w:p w14:paraId="348A1381">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5.技术先进性原则。标准必须体现技术先进性，促进技术创新和技术进步，提高产品质量和安全性。</w:t>
      </w:r>
    </w:p>
    <w:p w14:paraId="301B1C72">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6.协调性原则。标准必须符合国际和地区标准的协调性，避免相互冲突和重复，促进贸易自由化和技术交流。</w:t>
      </w:r>
    </w:p>
    <w:p w14:paraId="1B1F206D">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7.法律法规遵循原则。标准必须遵循国家法律、法规和政策，维护国家利益和公共利益。</w:t>
      </w:r>
    </w:p>
    <w:p w14:paraId="142BB55D">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通过以上原则，修订出满足实际需求的产品《亚硝酰基硝酸钌》标准，能够提高产品质量和安全性，保障消费者权益，促进产品贸易和技术交流。</w:t>
      </w:r>
    </w:p>
    <w:p w14:paraId="6BD97A5D">
      <w:pPr>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三、标准修订的主要内容和依据，以及主要试验和验证情况分析</w:t>
      </w:r>
    </w:p>
    <w:p w14:paraId="113829DD">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本标准完全按照GB/T 1.1-2020和GB/T 20001.10-2014产品标准的要求进行格式和结构编写，本文件代替</w:t>
      </w:r>
      <w:r>
        <w:rPr>
          <w:rFonts w:ascii="宋体" w:hAnsi="Times New Roman" w:eastAsia="宋体" w:cs="Times New Roman"/>
          <w:kern w:val="0"/>
          <w:sz w:val="24"/>
          <w:szCs w:val="24"/>
        </w:rPr>
        <w:t xml:space="preserve">YS/T </w:t>
      </w:r>
      <w:r>
        <w:rPr>
          <w:rFonts w:hint="eastAsia" w:ascii="宋体" w:hAnsi="Times New Roman" w:eastAsia="宋体" w:cs="Times New Roman"/>
          <w:kern w:val="0"/>
          <w:sz w:val="24"/>
          <w:szCs w:val="24"/>
        </w:rPr>
        <w:t>755</w:t>
      </w:r>
      <w:r>
        <w:rPr>
          <w:rFonts w:ascii="宋体" w:hAnsi="Times New Roman" w:eastAsia="宋体" w:cs="Times New Roman"/>
          <w:kern w:val="0"/>
          <w:sz w:val="24"/>
          <w:szCs w:val="24"/>
        </w:rPr>
        <w:t>-</w:t>
      </w:r>
      <w:r>
        <w:rPr>
          <w:rFonts w:hint="eastAsia" w:ascii="宋体" w:hAnsi="Times New Roman" w:eastAsia="宋体" w:cs="Times New Roman"/>
          <w:kern w:val="0"/>
          <w:sz w:val="24"/>
          <w:szCs w:val="24"/>
        </w:rPr>
        <w:t>2011《亚硝酰基硝酸钌》，与</w:t>
      </w:r>
      <w:r>
        <w:rPr>
          <w:rFonts w:ascii="宋体" w:hAnsi="Times New Roman" w:eastAsia="宋体" w:cs="Times New Roman"/>
          <w:kern w:val="0"/>
          <w:sz w:val="24"/>
          <w:szCs w:val="24"/>
        </w:rPr>
        <w:t xml:space="preserve">YS/T </w:t>
      </w:r>
      <w:r>
        <w:rPr>
          <w:rFonts w:hint="eastAsia" w:ascii="宋体" w:hAnsi="Times New Roman" w:eastAsia="宋体" w:cs="Times New Roman"/>
          <w:kern w:val="0"/>
          <w:sz w:val="24"/>
          <w:szCs w:val="24"/>
        </w:rPr>
        <w:t>755</w:t>
      </w:r>
      <w:r>
        <w:rPr>
          <w:rFonts w:ascii="宋体" w:hAnsi="Times New Roman" w:eastAsia="宋体" w:cs="Times New Roman"/>
          <w:kern w:val="0"/>
          <w:sz w:val="24"/>
          <w:szCs w:val="24"/>
        </w:rPr>
        <w:t>-</w:t>
      </w:r>
      <w:r>
        <w:rPr>
          <w:rFonts w:hint="eastAsia" w:ascii="宋体" w:hAnsi="Times New Roman" w:eastAsia="宋体" w:cs="Times New Roman"/>
          <w:kern w:val="0"/>
          <w:sz w:val="24"/>
          <w:szCs w:val="24"/>
        </w:rPr>
        <w:t>2011相比，除结构调整和编辑性改动外，主要技术变化如下：</w:t>
      </w:r>
    </w:p>
    <w:p w14:paraId="32AAC24D">
      <w:pPr>
        <w:pStyle w:val="17"/>
        <w:widowControl/>
        <w:numPr>
          <w:ilvl w:val="0"/>
          <w:numId w:val="3"/>
        </w:numPr>
        <w:autoSpaceDE w:val="0"/>
        <w:autoSpaceDN w:val="0"/>
        <w:spacing w:line="360" w:lineRule="auto"/>
        <w:rPr>
          <w:rFonts w:hint="eastAsia"/>
        </w:rPr>
      </w:pPr>
      <w:bookmarkStart w:id="5" w:name="OLE_LINK7"/>
      <w:r>
        <w:rPr>
          <w:rFonts w:hint="eastAsia"/>
        </w:rPr>
        <w:t>本标准修订的主要内容及依据</w:t>
      </w:r>
    </w:p>
    <w:p w14:paraId="3E14F233">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1.1  将标准英文名称修改为</w:t>
      </w:r>
      <w:r>
        <w:rPr>
          <w:rFonts w:ascii="宋体" w:hAnsi="Times New Roman" w:eastAsia="宋体" w:cs="Times New Roman"/>
          <w:kern w:val="0"/>
          <w:sz w:val="24"/>
          <w:szCs w:val="24"/>
        </w:rPr>
        <w:t>Ruthenium(III) nitrosyl</w:t>
      </w:r>
      <w:r>
        <w:rPr>
          <w:rFonts w:hint="eastAsia" w:ascii="宋体" w:hAnsi="Times New Roman" w:eastAsia="宋体" w:cs="Times New Roman"/>
          <w:kern w:val="0"/>
          <w:sz w:val="24"/>
          <w:szCs w:val="24"/>
        </w:rPr>
        <w:t xml:space="preserve"> </w:t>
      </w:r>
      <w:r>
        <w:rPr>
          <w:rFonts w:ascii="宋体" w:hAnsi="Times New Roman" w:eastAsia="宋体" w:cs="Times New Roman"/>
          <w:kern w:val="0"/>
          <w:sz w:val="24"/>
          <w:szCs w:val="24"/>
        </w:rPr>
        <w:t>nitrate</w:t>
      </w:r>
    </w:p>
    <w:p w14:paraId="28098741">
      <w:pPr>
        <w:rPr>
          <w:rFonts w:hint="eastAsia"/>
          <w:sz w:val="24"/>
          <w:szCs w:val="24"/>
        </w:rPr>
      </w:pPr>
      <w:r>
        <w:rPr>
          <w:rFonts w:hint="eastAsia"/>
          <w:sz w:val="24"/>
          <w:szCs w:val="24"/>
        </w:rPr>
        <w:t xml:space="preserve">     </w:t>
      </w:r>
      <w:r>
        <w:rPr>
          <w:rFonts w:hint="eastAsia" w:ascii="宋体" w:hAnsi="Times New Roman" w:eastAsia="宋体" w:cs="Times New Roman"/>
          <w:b/>
          <w:bCs/>
          <w:kern w:val="0"/>
          <w:sz w:val="24"/>
          <w:szCs w:val="24"/>
        </w:rPr>
        <w:t>修订依据</w:t>
      </w:r>
      <w:r>
        <w:rPr>
          <w:rFonts w:hint="eastAsia" w:ascii="宋体" w:hAnsi="Times New Roman" w:eastAsia="宋体" w:cs="Times New Roman"/>
          <w:kern w:val="0"/>
          <w:sz w:val="24"/>
          <w:szCs w:val="24"/>
        </w:rPr>
        <w:t>：根据IUPAC（国际应用化学联合会）英文命名规则，修改后表述更为规范。</w:t>
      </w:r>
    </w:p>
    <w:p w14:paraId="5BECD498">
      <w:pPr>
        <w:widowControl/>
        <w:autoSpaceDE w:val="0"/>
        <w:autoSpaceDN w:val="0"/>
        <w:spacing w:line="360" w:lineRule="auto"/>
        <w:rPr>
          <w:rFonts w:hint="eastAsia" w:ascii="宋体" w:hAnsi="宋体" w:eastAsia="宋体" w:cs="Times New Roman"/>
          <w:sz w:val="24"/>
          <w:szCs w:val="24"/>
        </w:rPr>
      </w:pPr>
      <w:r>
        <w:rPr>
          <w:rFonts w:hint="eastAsia" w:ascii="宋体" w:hAnsi="Times New Roman" w:eastAsia="宋体" w:cs="Times New Roman"/>
          <w:kern w:val="0"/>
          <w:sz w:val="24"/>
          <w:szCs w:val="24"/>
        </w:rPr>
        <w:t>1.2 增加了产品分类和标记。（见4.1）。</w:t>
      </w:r>
    </w:p>
    <w:p w14:paraId="27A4B625">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标准正文第4章，增加了产品的分类、标记。</w:t>
      </w:r>
    </w:p>
    <w:p w14:paraId="5E8E4B3B">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新修订的内容为：</w:t>
      </w:r>
      <w:r>
        <w:rPr>
          <w:rFonts w:ascii="宋体" w:hAnsi="Times New Roman" w:eastAsia="宋体" w:cs="Times New Roman"/>
          <w:kern w:val="0"/>
          <w:sz w:val="24"/>
          <w:szCs w:val="24"/>
        </w:rPr>
        <w:t xml:space="preserve"> </w:t>
      </w:r>
    </w:p>
    <w:p w14:paraId="081C44B7">
      <w:pPr>
        <w:spacing w:line="360" w:lineRule="auto"/>
        <w:ind w:firstLine="480" w:firstLineChars="200"/>
        <w:jc w:val="left"/>
        <w:rPr>
          <w:rFonts w:ascii="宋体" w:hAnsi="Times New Roman" w:eastAsia="宋体" w:cs="Times New Roman"/>
          <w:kern w:val="0"/>
          <w:sz w:val="24"/>
          <w:szCs w:val="24"/>
        </w:rPr>
      </w:pPr>
      <w:r>
        <w:rPr>
          <w:rFonts w:ascii="宋体" w:hAnsi="Times New Roman" w:eastAsia="宋体" w:cs="Times New Roman"/>
          <w:kern w:val="0"/>
          <w:sz w:val="24"/>
          <w:szCs w:val="24"/>
        </w:rPr>
        <w:t>4</w:t>
      </w:r>
      <w:r>
        <w:rPr>
          <w:rFonts w:hint="eastAsia" w:ascii="宋体" w:hAnsi="Times New Roman" w:eastAsia="宋体" w:cs="Times New Roman"/>
          <w:kern w:val="0"/>
          <w:sz w:val="24"/>
          <w:szCs w:val="24"/>
        </w:rPr>
        <w:t xml:space="preserve"> 分类和标记</w:t>
      </w:r>
    </w:p>
    <w:p w14:paraId="3F84D681">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4</w:t>
      </w:r>
      <w:r>
        <w:rPr>
          <w:rFonts w:ascii="宋体" w:hAnsi="Times New Roman" w:eastAsia="宋体" w:cs="Times New Roman"/>
          <w:kern w:val="0"/>
          <w:sz w:val="24"/>
          <w:szCs w:val="24"/>
        </w:rPr>
        <w:t>.1</w:t>
      </w:r>
      <w:r>
        <w:rPr>
          <w:rFonts w:hint="eastAsia" w:ascii="宋体" w:hAnsi="Times New Roman" w:eastAsia="宋体" w:cs="Times New Roman"/>
          <w:kern w:val="0"/>
          <w:sz w:val="24"/>
          <w:szCs w:val="24"/>
        </w:rPr>
        <w:t xml:space="preserve"> 产品分类</w:t>
      </w:r>
    </w:p>
    <w:p w14:paraId="6625EB47">
      <w:pPr>
        <w:spacing w:after="155" w:line="261" w:lineRule="auto"/>
        <w:ind w:firstLine="960" w:firstLineChars="4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按照产品形态可分为亚硝酰基硝酸钌固体和亚硝酰基硝酸钌溶液。</w:t>
      </w:r>
    </w:p>
    <w:p w14:paraId="57BFE985">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4</w:t>
      </w:r>
      <w:r>
        <w:rPr>
          <w:rFonts w:ascii="宋体" w:hAnsi="Times New Roman" w:eastAsia="宋体" w:cs="Times New Roman"/>
          <w:kern w:val="0"/>
          <w:sz w:val="24"/>
          <w:szCs w:val="24"/>
        </w:rPr>
        <w:t>.2</w:t>
      </w:r>
      <w:r>
        <w:rPr>
          <w:rFonts w:hint="eastAsia" w:ascii="宋体" w:hAnsi="Times New Roman" w:eastAsia="宋体" w:cs="Times New Roman"/>
          <w:kern w:val="0"/>
          <w:sz w:val="24"/>
          <w:szCs w:val="24"/>
        </w:rPr>
        <w:t xml:space="preserve"> 产品标记</w:t>
      </w:r>
    </w:p>
    <w:p w14:paraId="786E6E47">
      <w:pPr>
        <w:widowControl/>
        <w:autoSpaceDE w:val="0"/>
        <w:autoSpaceDN w:val="0"/>
        <w:spacing w:line="360" w:lineRule="auto"/>
        <w:ind w:firstLine="960" w:firstLineChars="400"/>
        <w:rPr>
          <w:rFonts w:ascii="宋体" w:hAnsi="Times New Roman" w:eastAsia="宋体" w:cs="Times New Roman"/>
          <w:kern w:val="0"/>
          <w:sz w:val="24"/>
          <w:szCs w:val="24"/>
        </w:rPr>
      </w:pPr>
      <w:r>
        <w:rPr>
          <w:rFonts w:hint="eastAsia" w:ascii="宋体" w:hAnsi="Times New Roman" w:eastAsia="宋体" w:cs="Times New Roman"/>
          <w:kern w:val="0"/>
          <w:sz w:val="24"/>
          <w:szCs w:val="24"/>
        </w:rPr>
        <w:t>亚硝酰基硝酸钌固体标记为：YS/T 755 XXX- Ru(NO)(NO 3)3(G)</w:t>
      </w:r>
    </w:p>
    <w:p w14:paraId="3F898743">
      <w:pPr>
        <w:widowControl/>
        <w:autoSpaceDE w:val="0"/>
        <w:autoSpaceDN w:val="0"/>
        <w:spacing w:line="360" w:lineRule="auto"/>
        <w:ind w:firstLine="960" w:firstLineChars="400"/>
        <w:rPr>
          <w:rFonts w:ascii="宋体" w:hAnsi="Times New Roman" w:eastAsia="宋体" w:cs="Times New Roman"/>
          <w:kern w:val="0"/>
          <w:sz w:val="24"/>
          <w:szCs w:val="24"/>
        </w:rPr>
      </w:pPr>
      <w:r>
        <w:rPr>
          <w:rFonts w:hint="eastAsia" w:ascii="宋体" w:hAnsi="Times New Roman" w:eastAsia="宋体" w:cs="Times New Roman"/>
          <w:kern w:val="0"/>
          <w:sz w:val="24"/>
          <w:szCs w:val="24"/>
        </w:rPr>
        <w:t>亚硝酰基硝酸钌溶液标记为：YS/T 755 XXX- Ru(NO)(NO 3)3(Y)</w:t>
      </w:r>
    </w:p>
    <w:p w14:paraId="268891C1">
      <w:pPr>
        <w:adjustRightInd w:val="0"/>
        <w:snapToGrid w:val="0"/>
        <w:spacing w:line="360" w:lineRule="auto"/>
        <w:ind w:firstLine="361" w:firstLineChars="150"/>
        <w:rPr>
          <w:rFonts w:ascii="宋体" w:hAnsi="Times New Roman" w:eastAsia="宋体" w:cs="Times New Roman"/>
          <w:kern w:val="0"/>
          <w:sz w:val="24"/>
          <w:szCs w:val="24"/>
        </w:rPr>
      </w:pPr>
      <w:r>
        <w:rPr>
          <w:rFonts w:hint="eastAsia" w:ascii="宋体" w:hAnsi="Times New Roman" w:eastAsia="宋体" w:cs="Times New Roman"/>
          <w:b/>
          <w:bCs/>
          <w:kern w:val="0"/>
          <w:sz w:val="24"/>
          <w:szCs w:val="24"/>
        </w:rPr>
        <w:t>修订依据</w:t>
      </w:r>
      <w:r>
        <w:rPr>
          <w:rFonts w:hint="eastAsia" w:ascii="宋体" w:hAnsi="Times New Roman" w:eastAsia="宋体" w:cs="Times New Roman"/>
          <w:kern w:val="0"/>
          <w:sz w:val="24"/>
          <w:szCs w:val="24"/>
        </w:rPr>
        <w:t>：</w:t>
      </w:r>
    </w:p>
    <w:p w14:paraId="142BC2D4">
      <w:pPr>
        <w:adjustRightInd w:val="0"/>
        <w:snapToGrid w:val="0"/>
        <w:spacing w:line="360" w:lineRule="auto"/>
        <w:ind w:firstLine="360" w:firstLineChars="150"/>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1．2．1根据市场调研增加了亚硝酰基硝酸钌溶液分类，目前亚硝酰基硝酸钌使用客户大多采购溶液形态的亚硝酰基硝酸钌，客户可根据自身的需求采购不同浓度亚硝酰硝酸钌溶液。现行的标准于2011年发布，至今已有十年之多，标准中并未指定溶液的指标，原技术要求已不能满足现有的生产技术和使用需求，为了适应行业发展需求，进一步规范亚硝酰基硝酸钌产品的生产、检验、和验收，急需对原标准进行修订，做到国内外标准统一，从而更好的加强与国内外客户之间的交流、沟通、使亚硝酰基硝酸钌加工走向国际化提供保障。</w:t>
      </w:r>
    </w:p>
    <w:p w14:paraId="47847D14">
      <w:pPr>
        <w:spacing w:line="360" w:lineRule="auto"/>
        <w:ind w:firstLine="480"/>
        <w:rPr>
          <w:rFonts w:ascii="宋体" w:hAnsi="Times New Roman" w:eastAsia="宋体" w:cs="Times New Roman"/>
          <w:kern w:val="0"/>
          <w:sz w:val="24"/>
          <w:szCs w:val="24"/>
        </w:rPr>
      </w:pPr>
      <w:r>
        <w:rPr>
          <w:rFonts w:hint="eastAsia" w:ascii="宋体" w:hAnsi="Times New Roman" w:eastAsia="宋体" w:cs="Times New Roman"/>
          <w:kern w:val="0"/>
          <w:sz w:val="24"/>
          <w:szCs w:val="24"/>
        </w:rPr>
        <w:t>1．2．2产品标记作为产品信息的重要载体，不仅承载着产品的名称、规格、型号等基本信息，还关乎着产品的安全、质量、合规等方面。在《亚硝酰基硝酸钌》标准，产品标记中添加产品名称、化学式、标准编号、产品分类，有助于消费者快速识别和记忆产品。</w:t>
      </w:r>
      <w:r>
        <w:rPr>
          <w:rFonts w:ascii="宋体" w:hAnsi="Times New Roman" w:eastAsia="宋体" w:cs="Times New Roman"/>
          <w:kern w:val="0"/>
          <w:sz w:val="24"/>
          <w:szCs w:val="24"/>
        </w:rPr>
        <w:t>增加标准编号、分类有助于提高产品合规性</w:t>
      </w:r>
      <w:r>
        <w:rPr>
          <w:rFonts w:hint="eastAsia" w:ascii="宋体" w:hAnsi="Times New Roman" w:eastAsia="宋体" w:cs="Times New Roman"/>
          <w:kern w:val="0"/>
          <w:sz w:val="24"/>
          <w:szCs w:val="24"/>
        </w:rPr>
        <w:t>，</w:t>
      </w:r>
      <w:r>
        <w:rPr>
          <w:rFonts w:ascii="宋体" w:hAnsi="Times New Roman" w:eastAsia="宋体" w:cs="Times New Roman"/>
          <w:kern w:val="0"/>
          <w:sz w:val="24"/>
          <w:szCs w:val="24"/>
        </w:rPr>
        <w:t>提升产品在市场上的竞争力</w:t>
      </w:r>
      <w:r>
        <w:rPr>
          <w:rFonts w:hint="eastAsia" w:ascii="宋体" w:hAnsi="Times New Roman" w:eastAsia="宋体" w:cs="Times New Roman"/>
          <w:kern w:val="0"/>
          <w:sz w:val="24"/>
          <w:szCs w:val="24"/>
        </w:rPr>
        <w:t>，同时</w:t>
      </w:r>
      <w:r>
        <w:rPr>
          <w:rFonts w:ascii="宋体" w:hAnsi="Times New Roman" w:eastAsia="宋体" w:cs="Times New Roman"/>
          <w:kern w:val="0"/>
          <w:sz w:val="24"/>
          <w:szCs w:val="24"/>
        </w:rPr>
        <w:t>标准编号为产品追溯提供依据，增加标准编号</w:t>
      </w:r>
      <w:r>
        <w:rPr>
          <w:rFonts w:hint="eastAsia" w:ascii="宋体" w:hAnsi="Times New Roman" w:eastAsia="宋体" w:cs="Times New Roman"/>
          <w:kern w:val="0"/>
          <w:sz w:val="24"/>
          <w:szCs w:val="24"/>
        </w:rPr>
        <w:t>也</w:t>
      </w:r>
      <w:r>
        <w:rPr>
          <w:rFonts w:ascii="宋体" w:hAnsi="Times New Roman" w:eastAsia="宋体" w:cs="Times New Roman"/>
          <w:kern w:val="0"/>
          <w:sz w:val="24"/>
          <w:szCs w:val="24"/>
        </w:rPr>
        <w:t>有助于企业进行产品质量管理。</w:t>
      </w:r>
    </w:p>
    <w:p w14:paraId="628BC873">
      <w:pPr>
        <w:spacing w:line="360" w:lineRule="auto"/>
        <w:ind w:firstLine="480" w:firstLineChars="200"/>
        <w:rPr>
          <w:rFonts w:hint="eastAsia"/>
          <w:sz w:val="24"/>
          <w:szCs w:val="24"/>
        </w:rPr>
      </w:pPr>
      <w:r>
        <w:rPr>
          <w:rFonts w:hint="eastAsia" w:ascii="宋体" w:hAnsi="Times New Roman" w:eastAsia="宋体" w:cs="Times New Roman"/>
          <w:kern w:val="0"/>
          <w:sz w:val="24"/>
          <w:szCs w:val="24"/>
        </w:rPr>
        <w:t>1．2．3化学式Ru(NO3)3NO修改为Ru(NO)(NO3)3，根据《无机化学》第八章- 配合物命名原则，中性分子NO与中心金属Ru</w:t>
      </w:r>
      <w:r>
        <w:rPr>
          <w:rFonts w:hint="eastAsia" w:ascii="宋体" w:hAnsi="Times New Roman" w:eastAsia="宋体" w:cs="Times New Roman"/>
          <w:kern w:val="0"/>
          <w:sz w:val="24"/>
          <w:szCs w:val="24"/>
          <w:vertAlign w:val="subscript"/>
        </w:rPr>
        <w:t>3</w:t>
      </w:r>
      <w:r>
        <w:rPr>
          <w:rFonts w:hint="eastAsia" w:ascii="宋体" w:hAnsi="Times New Roman" w:eastAsia="宋体" w:cs="Times New Roman"/>
          <w:kern w:val="0"/>
          <w:sz w:val="24"/>
          <w:szCs w:val="24"/>
        </w:rPr>
        <w:t>+配位行成阳离子，硝酸根是阴离子，规范的化学式应为Ru(NO)(NO</w:t>
      </w:r>
      <w:r>
        <w:rPr>
          <w:rFonts w:hint="eastAsia" w:ascii="宋体" w:hAnsi="Times New Roman" w:eastAsia="宋体" w:cs="Times New Roman"/>
          <w:kern w:val="0"/>
          <w:sz w:val="24"/>
          <w:szCs w:val="24"/>
          <w:vertAlign w:val="subscript"/>
        </w:rPr>
        <w:t>3</w:t>
      </w:r>
      <w:r>
        <w:rPr>
          <w:rFonts w:hint="eastAsia" w:ascii="宋体" w:hAnsi="Times New Roman" w:eastAsia="宋体" w:cs="Times New Roman"/>
          <w:kern w:val="0"/>
          <w:sz w:val="24"/>
          <w:szCs w:val="24"/>
        </w:rPr>
        <w:t>)</w:t>
      </w:r>
      <w:r>
        <w:rPr>
          <w:rFonts w:hint="eastAsia" w:ascii="宋体" w:hAnsi="Times New Roman" w:eastAsia="宋体" w:cs="Times New Roman"/>
          <w:kern w:val="0"/>
          <w:sz w:val="24"/>
          <w:szCs w:val="24"/>
          <w:vertAlign w:val="subscript"/>
        </w:rPr>
        <w:t>3</w:t>
      </w:r>
      <w:r>
        <w:rPr>
          <w:rFonts w:hint="eastAsia" w:ascii="宋体" w:hAnsi="Times New Roman" w:eastAsia="宋体" w:cs="Times New Roman"/>
          <w:kern w:val="0"/>
          <w:sz w:val="24"/>
          <w:szCs w:val="24"/>
        </w:rPr>
        <w:t>，对应的中文名分别有三硝基亚硝酰钌、亚硝酰基硝酸钌、亚硝酰硝酸钌等。</w:t>
      </w:r>
    </w:p>
    <w:p w14:paraId="2795CA22">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1.3 修改了亚硝酰基硝酸钌固体钌质量分数，增加了化学成分P</w:t>
      </w:r>
      <w:r>
        <w:rPr>
          <w:rFonts w:ascii="宋体" w:hAnsi="Times New Roman" w:eastAsia="宋体" w:cs="Times New Roman"/>
          <w:kern w:val="0"/>
          <w:sz w:val="24"/>
          <w:szCs w:val="24"/>
        </w:rPr>
        <w:t>t</w:t>
      </w:r>
      <w:r>
        <w:rPr>
          <w:rFonts w:hint="eastAsia" w:ascii="宋体" w:hAnsi="Times New Roman" w:eastAsia="宋体" w:cs="Times New Roman"/>
          <w:kern w:val="0"/>
          <w:sz w:val="24"/>
          <w:szCs w:val="24"/>
        </w:rPr>
        <w:t>、Pd、</w:t>
      </w:r>
      <w:r>
        <w:rPr>
          <w:rFonts w:ascii="宋体" w:hAnsi="Times New Roman" w:eastAsia="宋体" w:cs="Times New Roman"/>
          <w:kern w:val="0"/>
          <w:sz w:val="24"/>
          <w:szCs w:val="24"/>
        </w:rPr>
        <w:t>Rh</w:t>
      </w:r>
      <w:r>
        <w:rPr>
          <w:rFonts w:hint="eastAsia" w:ascii="宋体" w:hAnsi="Times New Roman" w:eastAsia="宋体" w:cs="Times New Roman"/>
          <w:kern w:val="0"/>
          <w:sz w:val="24"/>
          <w:szCs w:val="24"/>
        </w:rPr>
        <w:t>、Ir元素的杂质指标要求。（见5.1）</w:t>
      </w:r>
    </w:p>
    <w:p w14:paraId="02F98D49">
      <w:pPr>
        <w:spacing w:line="259" w:lineRule="auto"/>
        <w:ind w:left="116" w:right="754" w:hanging="10"/>
        <w:jc w:val="center"/>
        <w:rPr>
          <w:rFonts w:ascii="宋体" w:hAnsi="Times New Roman" w:eastAsia="宋体" w:cs="Times New Roman"/>
          <w:kern w:val="0"/>
          <w:sz w:val="24"/>
          <w:szCs w:val="24"/>
        </w:rPr>
      </w:pPr>
      <w:r>
        <w:rPr>
          <w:rFonts w:ascii="宋体" w:hAnsi="Times New Roman" w:eastAsia="宋体" w:cs="Times New Roman"/>
          <w:kern w:val="0"/>
          <w:sz w:val="24"/>
          <w:szCs w:val="24"/>
        </w:rPr>
        <w:t>表</w:t>
      </w:r>
      <w:r>
        <w:rPr>
          <w:rFonts w:hint="eastAsia" w:ascii="宋体" w:hAnsi="Times New Roman" w:eastAsia="宋体" w:cs="Times New Roman"/>
          <w:kern w:val="0"/>
          <w:sz w:val="24"/>
          <w:szCs w:val="24"/>
        </w:rPr>
        <w:t>三 亚硝酰基硝酸钌化学成分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701"/>
        <w:gridCol w:w="2268"/>
        <w:gridCol w:w="2318"/>
      </w:tblGrid>
      <w:tr w14:paraId="18C2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vMerge w:val="restart"/>
            <w:shd w:val="clear" w:color="auto" w:fill="auto"/>
            <w:vAlign w:val="center"/>
          </w:tcPr>
          <w:p w14:paraId="66021EFE">
            <w:pPr>
              <w:spacing w:line="360" w:lineRule="auto"/>
              <w:jc w:val="center"/>
              <w:rPr>
                <w:rFonts w:hint="eastAsia"/>
                <w:szCs w:val="21"/>
              </w:rPr>
            </w:pPr>
            <w:r>
              <w:rPr>
                <w:rFonts w:hint="eastAsia"/>
                <w:szCs w:val="21"/>
              </w:rPr>
              <w:t>项目</w:t>
            </w:r>
          </w:p>
        </w:tc>
        <w:tc>
          <w:tcPr>
            <w:tcW w:w="4586" w:type="dxa"/>
            <w:gridSpan w:val="2"/>
            <w:shd w:val="clear" w:color="auto" w:fill="auto"/>
            <w:vAlign w:val="center"/>
          </w:tcPr>
          <w:p w14:paraId="7A6BE877">
            <w:pPr>
              <w:spacing w:line="360" w:lineRule="auto"/>
              <w:jc w:val="center"/>
              <w:rPr>
                <w:rFonts w:hint="eastAsia"/>
                <w:szCs w:val="21"/>
              </w:rPr>
            </w:pPr>
            <w:r>
              <w:rPr>
                <w:rFonts w:hint="eastAsia"/>
                <w:szCs w:val="21"/>
              </w:rPr>
              <w:t>指标</w:t>
            </w:r>
          </w:p>
        </w:tc>
      </w:tr>
      <w:tr w14:paraId="1404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vMerge w:val="continue"/>
            <w:shd w:val="clear" w:color="auto" w:fill="auto"/>
            <w:vAlign w:val="center"/>
          </w:tcPr>
          <w:p w14:paraId="669A438E">
            <w:pPr>
              <w:spacing w:line="360" w:lineRule="auto"/>
              <w:rPr>
                <w:rFonts w:hint="eastAsia"/>
                <w:szCs w:val="21"/>
              </w:rPr>
            </w:pPr>
          </w:p>
        </w:tc>
        <w:tc>
          <w:tcPr>
            <w:tcW w:w="2268" w:type="dxa"/>
            <w:shd w:val="clear" w:color="auto" w:fill="auto"/>
            <w:vAlign w:val="center"/>
          </w:tcPr>
          <w:p w14:paraId="471E823E">
            <w:pPr>
              <w:spacing w:line="360" w:lineRule="auto"/>
              <w:jc w:val="center"/>
              <w:rPr>
                <w:rFonts w:hint="eastAsia"/>
                <w:szCs w:val="21"/>
              </w:rPr>
            </w:pPr>
            <w:r>
              <w:rPr>
                <w:rFonts w:hint="eastAsia"/>
                <w:szCs w:val="21"/>
              </w:rPr>
              <w:t>亚硝酰基硝酸钌固体</w:t>
            </w:r>
          </w:p>
        </w:tc>
        <w:tc>
          <w:tcPr>
            <w:tcW w:w="2318" w:type="dxa"/>
            <w:shd w:val="clear" w:color="auto" w:fill="auto"/>
            <w:vAlign w:val="center"/>
          </w:tcPr>
          <w:p w14:paraId="78774E53">
            <w:pPr>
              <w:spacing w:line="360" w:lineRule="auto"/>
              <w:jc w:val="center"/>
              <w:rPr>
                <w:rFonts w:hint="eastAsia"/>
                <w:szCs w:val="21"/>
              </w:rPr>
            </w:pPr>
            <w:r>
              <w:rPr>
                <w:rFonts w:hint="eastAsia"/>
                <w:szCs w:val="21"/>
              </w:rPr>
              <w:t>亚硝酰基硝酸钌溶液</w:t>
            </w:r>
          </w:p>
        </w:tc>
      </w:tr>
      <w:tr w14:paraId="47E4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shd w:val="clear" w:color="auto" w:fill="auto"/>
            <w:vAlign w:val="center"/>
          </w:tcPr>
          <w:p w14:paraId="15BEC84B">
            <w:pPr>
              <w:spacing w:line="360" w:lineRule="auto"/>
              <w:jc w:val="center"/>
              <w:rPr>
                <w:rFonts w:hint="eastAsia"/>
                <w:szCs w:val="21"/>
              </w:rPr>
            </w:pPr>
            <w:r>
              <w:rPr>
                <w:rFonts w:hint="eastAsia"/>
                <w:szCs w:val="21"/>
              </w:rPr>
              <w:t>钌质量分数</w:t>
            </w:r>
            <w:r>
              <w:rPr>
                <w:szCs w:val="21"/>
              </w:rPr>
              <w:t>(ω)</w:t>
            </w:r>
          </w:p>
        </w:tc>
        <w:tc>
          <w:tcPr>
            <w:tcW w:w="2268" w:type="dxa"/>
            <w:shd w:val="clear" w:color="auto" w:fill="auto"/>
            <w:vAlign w:val="center"/>
          </w:tcPr>
          <w:p w14:paraId="5316B006">
            <w:pPr>
              <w:spacing w:line="360" w:lineRule="auto"/>
              <w:jc w:val="center"/>
              <w:rPr>
                <w:rFonts w:hint="eastAsia"/>
                <w:szCs w:val="21"/>
              </w:rPr>
            </w:pPr>
            <w:r>
              <w:rPr>
                <w:rFonts w:hint="eastAsia" w:ascii="华文仿宋" w:hAnsi="华文仿宋" w:eastAsia="华文仿宋"/>
                <w:szCs w:val="21"/>
              </w:rPr>
              <w:t>≥</w:t>
            </w:r>
            <w:r>
              <w:rPr>
                <w:rFonts w:hint="eastAsia"/>
                <w:szCs w:val="21"/>
              </w:rPr>
              <w:t>28.50%</w:t>
            </w:r>
          </w:p>
        </w:tc>
        <w:tc>
          <w:tcPr>
            <w:tcW w:w="2318" w:type="dxa"/>
            <w:shd w:val="clear" w:color="auto" w:fill="auto"/>
            <w:vAlign w:val="center"/>
          </w:tcPr>
          <w:p w14:paraId="286BBAA9">
            <w:pPr>
              <w:spacing w:line="360" w:lineRule="auto"/>
              <w:jc w:val="center"/>
              <w:rPr>
                <w:rFonts w:hint="eastAsia"/>
                <w:szCs w:val="21"/>
              </w:rPr>
            </w:pPr>
            <w:r>
              <w:rPr>
                <w:rFonts w:hint="eastAsia"/>
                <w:szCs w:val="21"/>
              </w:rPr>
              <w:t>5.00%-12.00%</w:t>
            </w:r>
          </w:p>
        </w:tc>
      </w:tr>
      <w:tr w14:paraId="6F70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restart"/>
            <w:shd w:val="clear" w:color="auto" w:fill="auto"/>
            <w:vAlign w:val="center"/>
          </w:tcPr>
          <w:p w14:paraId="2B1F2E46">
            <w:pPr>
              <w:spacing w:line="360" w:lineRule="auto"/>
              <w:rPr>
                <w:rFonts w:hint="eastAsia"/>
                <w:szCs w:val="21"/>
              </w:rPr>
            </w:pPr>
            <w:r>
              <w:rPr>
                <w:szCs w:val="21"/>
              </w:rPr>
              <w:t>杂质元素质量分数(ω)</w:t>
            </w:r>
          </w:p>
        </w:tc>
        <w:tc>
          <w:tcPr>
            <w:tcW w:w="1701" w:type="dxa"/>
            <w:shd w:val="clear" w:color="auto" w:fill="auto"/>
            <w:vAlign w:val="center"/>
          </w:tcPr>
          <w:p w14:paraId="663F107D">
            <w:pPr>
              <w:spacing w:line="360" w:lineRule="auto"/>
              <w:jc w:val="center"/>
              <w:rPr>
                <w:rFonts w:hint="eastAsia"/>
                <w:szCs w:val="21"/>
              </w:rPr>
            </w:pPr>
            <w:r>
              <w:rPr>
                <w:rFonts w:hint="eastAsia"/>
                <w:sz w:val="18"/>
                <w:szCs w:val="18"/>
              </w:rPr>
              <w:t>P</w:t>
            </w:r>
            <w:r>
              <w:rPr>
                <w:sz w:val="18"/>
                <w:szCs w:val="18"/>
              </w:rPr>
              <w:t>t</w:t>
            </w:r>
          </w:p>
        </w:tc>
        <w:tc>
          <w:tcPr>
            <w:tcW w:w="4586" w:type="dxa"/>
            <w:gridSpan w:val="2"/>
            <w:shd w:val="clear" w:color="auto" w:fill="auto"/>
            <w:vAlign w:val="center"/>
          </w:tcPr>
          <w:p w14:paraId="1C687C2E">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05%</w:t>
            </w:r>
          </w:p>
        </w:tc>
      </w:tr>
      <w:tr w14:paraId="5E5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5176DEAB">
            <w:pPr>
              <w:spacing w:line="360" w:lineRule="auto"/>
              <w:rPr>
                <w:rFonts w:hint="eastAsia"/>
                <w:szCs w:val="21"/>
              </w:rPr>
            </w:pPr>
          </w:p>
        </w:tc>
        <w:tc>
          <w:tcPr>
            <w:tcW w:w="1701" w:type="dxa"/>
            <w:shd w:val="clear" w:color="auto" w:fill="auto"/>
            <w:vAlign w:val="center"/>
          </w:tcPr>
          <w:p w14:paraId="584913F8">
            <w:pPr>
              <w:spacing w:line="360" w:lineRule="auto"/>
              <w:jc w:val="center"/>
              <w:rPr>
                <w:rFonts w:hint="eastAsia"/>
                <w:szCs w:val="21"/>
              </w:rPr>
            </w:pPr>
            <w:r>
              <w:rPr>
                <w:sz w:val="18"/>
                <w:szCs w:val="18"/>
              </w:rPr>
              <w:t>Pd</w:t>
            </w:r>
          </w:p>
        </w:tc>
        <w:tc>
          <w:tcPr>
            <w:tcW w:w="4586" w:type="dxa"/>
            <w:gridSpan w:val="2"/>
            <w:shd w:val="clear" w:color="auto" w:fill="auto"/>
            <w:vAlign w:val="center"/>
          </w:tcPr>
          <w:p w14:paraId="069006BC">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05%</w:t>
            </w:r>
          </w:p>
        </w:tc>
      </w:tr>
      <w:tr w14:paraId="6AC4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00A2EAF7">
            <w:pPr>
              <w:spacing w:line="360" w:lineRule="auto"/>
              <w:rPr>
                <w:rFonts w:hint="eastAsia"/>
                <w:szCs w:val="21"/>
              </w:rPr>
            </w:pPr>
          </w:p>
        </w:tc>
        <w:tc>
          <w:tcPr>
            <w:tcW w:w="1701" w:type="dxa"/>
            <w:shd w:val="clear" w:color="auto" w:fill="auto"/>
            <w:vAlign w:val="center"/>
          </w:tcPr>
          <w:p w14:paraId="051CC580">
            <w:pPr>
              <w:spacing w:line="360" w:lineRule="auto"/>
              <w:jc w:val="center"/>
              <w:rPr>
                <w:rFonts w:hint="eastAsia"/>
                <w:szCs w:val="21"/>
              </w:rPr>
            </w:pPr>
            <w:r>
              <w:rPr>
                <w:sz w:val="18"/>
                <w:szCs w:val="18"/>
              </w:rPr>
              <w:t>Rh</w:t>
            </w:r>
          </w:p>
        </w:tc>
        <w:tc>
          <w:tcPr>
            <w:tcW w:w="4586" w:type="dxa"/>
            <w:gridSpan w:val="2"/>
            <w:shd w:val="clear" w:color="auto" w:fill="auto"/>
            <w:vAlign w:val="center"/>
          </w:tcPr>
          <w:p w14:paraId="3BD162B8">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05%</w:t>
            </w:r>
          </w:p>
        </w:tc>
      </w:tr>
      <w:tr w14:paraId="7E8C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21B9B112">
            <w:pPr>
              <w:spacing w:line="360" w:lineRule="auto"/>
              <w:rPr>
                <w:rFonts w:hint="eastAsia"/>
                <w:szCs w:val="21"/>
              </w:rPr>
            </w:pPr>
          </w:p>
        </w:tc>
        <w:tc>
          <w:tcPr>
            <w:tcW w:w="1701" w:type="dxa"/>
            <w:shd w:val="clear" w:color="auto" w:fill="auto"/>
            <w:vAlign w:val="center"/>
          </w:tcPr>
          <w:p w14:paraId="6BCACC30">
            <w:pPr>
              <w:spacing w:line="360" w:lineRule="auto"/>
              <w:jc w:val="center"/>
              <w:rPr>
                <w:rFonts w:hint="eastAsia"/>
                <w:szCs w:val="21"/>
              </w:rPr>
            </w:pPr>
            <w:r>
              <w:rPr>
                <w:rFonts w:hint="eastAsia"/>
                <w:sz w:val="18"/>
                <w:szCs w:val="18"/>
              </w:rPr>
              <w:t>Ir</w:t>
            </w:r>
          </w:p>
        </w:tc>
        <w:tc>
          <w:tcPr>
            <w:tcW w:w="4586" w:type="dxa"/>
            <w:gridSpan w:val="2"/>
            <w:shd w:val="clear" w:color="auto" w:fill="auto"/>
            <w:vAlign w:val="center"/>
          </w:tcPr>
          <w:p w14:paraId="5E0846AC">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05%</w:t>
            </w:r>
          </w:p>
        </w:tc>
      </w:tr>
      <w:tr w14:paraId="0A30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5D78DE8C">
            <w:pPr>
              <w:spacing w:line="360" w:lineRule="auto"/>
              <w:rPr>
                <w:rFonts w:hint="eastAsia"/>
                <w:szCs w:val="21"/>
              </w:rPr>
            </w:pPr>
          </w:p>
        </w:tc>
        <w:tc>
          <w:tcPr>
            <w:tcW w:w="1701" w:type="dxa"/>
            <w:shd w:val="clear" w:color="auto" w:fill="auto"/>
            <w:vAlign w:val="center"/>
          </w:tcPr>
          <w:p w14:paraId="00FE90E2">
            <w:pPr>
              <w:spacing w:line="360" w:lineRule="auto"/>
              <w:jc w:val="center"/>
              <w:rPr>
                <w:rFonts w:hint="eastAsia"/>
                <w:szCs w:val="21"/>
              </w:rPr>
            </w:pPr>
            <w:r>
              <w:rPr>
                <w:rFonts w:hint="eastAsia"/>
                <w:sz w:val="18"/>
                <w:szCs w:val="18"/>
              </w:rPr>
              <w:t>P</w:t>
            </w:r>
            <w:r>
              <w:rPr>
                <w:sz w:val="18"/>
                <w:szCs w:val="18"/>
              </w:rPr>
              <w:t>b</w:t>
            </w:r>
          </w:p>
        </w:tc>
        <w:tc>
          <w:tcPr>
            <w:tcW w:w="4586" w:type="dxa"/>
            <w:gridSpan w:val="2"/>
            <w:shd w:val="clear" w:color="auto" w:fill="auto"/>
            <w:vAlign w:val="center"/>
          </w:tcPr>
          <w:p w14:paraId="4108D06B">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03%</w:t>
            </w:r>
          </w:p>
        </w:tc>
      </w:tr>
      <w:tr w14:paraId="33F7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00C74095">
            <w:pPr>
              <w:spacing w:line="360" w:lineRule="auto"/>
              <w:rPr>
                <w:rFonts w:hint="eastAsia"/>
                <w:szCs w:val="21"/>
              </w:rPr>
            </w:pPr>
          </w:p>
        </w:tc>
        <w:tc>
          <w:tcPr>
            <w:tcW w:w="1701" w:type="dxa"/>
            <w:shd w:val="clear" w:color="auto" w:fill="auto"/>
            <w:vAlign w:val="center"/>
          </w:tcPr>
          <w:p w14:paraId="77055144">
            <w:pPr>
              <w:spacing w:line="360" w:lineRule="auto"/>
              <w:jc w:val="center"/>
              <w:rPr>
                <w:rFonts w:hint="eastAsia"/>
                <w:sz w:val="18"/>
                <w:szCs w:val="18"/>
              </w:rPr>
            </w:pPr>
            <w:r>
              <w:rPr>
                <w:sz w:val="18"/>
                <w:szCs w:val="18"/>
              </w:rPr>
              <w:t>Fe</w:t>
            </w:r>
          </w:p>
        </w:tc>
        <w:tc>
          <w:tcPr>
            <w:tcW w:w="4586" w:type="dxa"/>
            <w:gridSpan w:val="2"/>
            <w:shd w:val="clear" w:color="auto" w:fill="auto"/>
            <w:vAlign w:val="center"/>
          </w:tcPr>
          <w:p w14:paraId="220BA64D">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02%</w:t>
            </w:r>
          </w:p>
        </w:tc>
      </w:tr>
      <w:tr w14:paraId="55E3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3D2BAFBD">
            <w:pPr>
              <w:spacing w:line="360" w:lineRule="auto"/>
              <w:rPr>
                <w:rFonts w:hint="eastAsia"/>
                <w:szCs w:val="21"/>
              </w:rPr>
            </w:pPr>
          </w:p>
        </w:tc>
        <w:tc>
          <w:tcPr>
            <w:tcW w:w="1701" w:type="dxa"/>
            <w:shd w:val="clear" w:color="auto" w:fill="auto"/>
            <w:vAlign w:val="center"/>
          </w:tcPr>
          <w:p w14:paraId="5001C4E5">
            <w:pPr>
              <w:spacing w:line="360" w:lineRule="auto"/>
              <w:jc w:val="center"/>
              <w:rPr>
                <w:rFonts w:hint="eastAsia"/>
                <w:sz w:val="18"/>
                <w:szCs w:val="18"/>
              </w:rPr>
            </w:pPr>
            <w:r>
              <w:rPr>
                <w:sz w:val="18"/>
                <w:szCs w:val="18"/>
              </w:rPr>
              <w:t>Cu</w:t>
            </w:r>
          </w:p>
        </w:tc>
        <w:tc>
          <w:tcPr>
            <w:tcW w:w="4586" w:type="dxa"/>
            <w:gridSpan w:val="2"/>
            <w:shd w:val="clear" w:color="auto" w:fill="auto"/>
            <w:vAlign w:val="center"/>
          </w:tcPr>
          <w:p w14:paraId="6EEB59DC">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02%</w:t>
            </w:r>
          </w:p>
        </w:tc>
      </w:tr>
      <w:tr w14:paraId="0639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07C887C7">
            <w:pPr>
              <w:spacing w:line="360" w:lineRule="auto"/>
              <w:rPr>
                <w:rFonts w:hint="eastAsia"/>
                <w:szCs w:val="21"/>
              </w:rPr>
            </w:pPr>
          </w:p>
        </w:tc>
        <w:tc>
          <w:tcPr>
            <w:tcW w:w="1701" w:type="dxa"/>
            <w:shd w:val="clear" w:color="auto" w:fill="auto"/>
            <w:vAlign w:val="center"/>
          </w:tcPr>
          <w:p w14:paraId="330D98A3">
            <w:pPr>
              <w:spacing w:line="360" w:lineRule="auto"/>
              <w:jc w:val="center"/>
              <w:rPr>
                <w:rFonts w:hint="eastAsia"/>
                <w:sz w:val="18"/>
                <w:szCs w:val="18"/>
              </w:rPr>
            </w:pPr>
            <w:r>
              <w:rPr>
                <w:sz w:val="18"/>
                <w:szCs w:val="18"/>
              </w:rPr>
              <w:t>Na</w:t>
            </w:r>
          </w:p>
        </w:tc>
        <w:tc>
          <w:tcPr>
            <w:tcW w:w="4586" w:type="dxa"/>
            <w:gridSpan w:val="2"/>
            <w:shd w:val="clear" w:color="auto" w:fill="auto"/>
            <w:vAlign w:val="center"/>
          </w:tcPr>
          <w:p w14:paraId="2BA579A9">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05%</w:t>
            </w:r>
          </w:p>
        </w:tc>
      </w:tr>
      <w:tr w14:paraId="5BA2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5736DCBD">
            <w:pPr>
              <w:spacing w:line="360" w:lineRule="auto"/>
              <w:rPr>
                <w:rFonts w:hint="eastAsia"/>
                <w:szCs w:val="21"/>
              </w:rPr>
            </w:pPr>
          </w:p>
        </w:tc>
        <w:tc>
          <w:tcPr>
            <w:tcW w:w="1701" w:type="dxa"/>
            <w:shd w:val="clear" w:color="auto" w:fill="auto"/>
            <w:vAlign w:val="center"/>
          </w:tcPr>
          <w:p w14:paraId="6EBF1846">
            <w:pPr>
              <w:spacing w:line="360" w:lineRule="auto"/>
              <w:jc w:val="center"/>
              <w:rPr>
                <w:rFonts w:hint="eastAsia"/>
                <w:sz w:val="18"/>
                <w:szCs w:val="18"/>
              </w:rPr>
            </w:pPr>
            <w:r>
              <w:rPr>
                <w:rFonts w:hint="eastAsia"/>
                <w:sz w:val="18"/>
                <w:szCs w:val="18"/>
              </w:rPr>
              <w:t>C</w:t>
            </w:r>
            <w:r>
              <w:rPr>
                <w:sz w:val="18"/>
                <w:szCs w:val="18"/>
              </w:rPr>
              <w:t>a</w:t>
            </w:r>
          </w:p>
        </w:tc>
        <w:tc>
          <w:tcPr>
            <w:tcW w:w="4586" w:type="dxa"/>
            <w:gridSpan w:val="2"/>
            <w:shd w:val="clear" w:color="auto" w:fill="auto"/>
            <w:vAlign w:val="center"/>
          </w:tcPr>
          <w:p w14:paraId="34131890">
            <w:pPr>
              <w:spacing w:line="360" w:lineRule="auto"/>
              <w:jc w:val="center"/>
              <w:rPr>
                <w:rFonts w:hint="eastAsia" w:ascii="华文仿宋" w:hAnsi="华文仿宋" w:eastAsia="华文仿宋"/>
                <w:sz w:val="18"/>
                <w:szCs w:val="18"/>
              </w:rPr>
            </w:pPr>
            <w:r>
              <w:rPr>
                <w:rFonts w:hint="eastAsia" w:ascii="华文仿宋" w:hAnsi="华文仿宋" w:eastAsia="华文仿宋"/>
                <w:sz w:val="18"/>
                <w:szCs w:val="18"/>
              </w:rPr>
              <w:t>≤</w:t>
            </w:r>
            <w:r>
              <w:rPr>
                <w:sz w:val="18"/>
                <w:szCs w:val="18"/>
              </w:rPr>
              <w:t>0. 0</w:t>
            </w:r>
            <w:r>
              <w:rPr>
                <w:rFonts w:hint="eastAsia"/>
                <w:sz w:val="18"/>
                <w:szCs w:val="18"/>
              </w:rPr>
              <w:t>05%</w:t>
            </w:r>
          </w:p>
        </w:tc>
      </w:tr>
      <w:tr w14:paraId="1049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72AAA55C">
            <w:pPr>
              <w:spacing w:line="360" w:lineRule="auto"/>
              <w:rPr>
                <w:rFonts w:hint="eastAsia"/>
                <w:szCs w:val="21"/>
              </w:rPr>
            </w:pPr>
          </w:p>
        </w:tc>
        <w:tc>
          <w:tcPr>
            <w:tcW w:w="1701" w:type="dxa"/>
            <w:shd w:val="clear" w:color="auto" w:fill="auto"/>
            <w:vAlign w:val="center"/>
          </w:tcPr>
          <w:p w14:paraId="1796B2FC">
            <w:pPr>
              <w:spacing w:line="360" w:lineRule="auto"/>
              <w:jc w:val="center"/>
              <w:rPr>
                <w:rFonts w:hint="eastAsia"/>
                <w:sz w:val="18"/>
                <w:szCs w:val="18"/>
              </w:rPr>
            </w:pPr>
            <w:r>
              <w:rPr>
                <w:sz w:val="18"/>
                <w:szCs w:val="18"/>
              </w:rPr>
              <w:t>Mg</w:t>
            </w:r>
          </w:p>
        </w:tc>
        <w:tc>
          <w:tcPr>
            <w:tcW w:w="4586" w:type="dxa"/>
            <w:gridSpan w:val="2"/>
            <w:shd w:val="clear" w:color="auto" w:fill="auto"/>
            <w:vAlign w:val="center"/>
          </w:tcPr>
          <w:p w14:paraId="0B5D2B11">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05%</w:t>
            </w:r>
          </w:p>
        </w:tc>
      </w:tr>
      <w:tr w14:paraId="2474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shd w:val="clear" w:color="auto" w:fill="auto"/>
            <w:vAlign w:val="center"/>
          </w:tcPr>
          <w:p w14:paraId="7DAA55EE">
            <w:pPr>
              <w:spacing w:line="360" w:lineRule="auto"/>
              <w:rPr>
                <w:rFonts w:hint="eastAsia"/>
                <w:szCs w:val="21"/>
              </w:rPr>
            </w:pPr>
          </w:p>
        </w:tc>
        <w:tc>
          <w:tcPr>
            <w:tcW w:w="1701" w:type="dxa"/>
            <w:shd w:val="clear" w:color="auto" w:fill="auto"/>
            <w:vAlign w:val="center"/>
          </w:tcPr>
          <w:p w14:paraId="0AAF8BE4">
            <w:pPr>
              <w:spacing w:line="360" w:lineRule="auto"/>
              <w:jc w:val="center"/>
              <w:rPr>
                <w:rFonts w:hint="eastAsia"/>
                <w:sz w:val="18"/>
                <w:szCs w:val="18"/>
              </w:rPr>
            </w:pPr>
            <w:r>
              <w:rPr>
                <w:szCs w:val="21"/>
              </w:rPr>
              <w:t>杂质元素总量</w:t>
            </w:r>
          </w:p>
        </w:tc>
        <w:tc>
          <w:tcPr>
            <w:tcW w:w="4586" w:type="dxa"/>
            <w:gridSpan w:val="2"/>
            <w:shd w:val="clear" w:color="auto" w:fill="auto"/>
            <w:vAlign w:val="center"/>
          </w:tcPr>
          <w:p w14:paraId="0B966A32">
            <w:pPr>
              <w:spacing w:line="360" w:lineRule="auto"/>
              <w:jc w:val="center"/>
              <w:rPr>
                <w:rFonts w:hint="eastAsia"/>
                <w:szCs w:val="21"/>
              </w:rPr>
            </w:pPr>
            <w:r>
              <w:rPr>
                <w:rFonts w:hint="eastAsia" w:ascii="华文仿宋" w:hAnsi="华文仿宋" w:eastAsia="华文仿宋"/>
                <w:sz w:val="18"/>
                <w:szCs w:val="18"/>
              </w:rPr>
              <w:t>≤</w:t>
            </w:r>
            <w:r>
              <w:rPr>
                <w:sz w:val="18"/>
                <w:szCs w:val="18"/>
              </w:rPr>
              <w:t>0. 0</w:t>
            </w:r>
            <w:r>
              <w:rPr>
                <w:rFonts w:hint="eastAsia"/>
                <w:sz w:val="18"/>
                <w:szCs w:val="18"/>
              </w:rPr>
              <w:t>5%</w:t>
            </w:r>
          </w:p>
        </w:tc>
      </w:tr>
    </w:tbl>
    <w:p w14:paraId="7AD07307">
      <w:pPr>
        <w:spacing w:line="259" w:lineRule="auto"/>
        <w:ind w:right="754"/>
        <w:rPr>
          <w:rFonts w:ascii="宋体" w:hAnsi="Times New Roman" w:eastAsia="宋体" w:cs="Times New Roman"/>
          <w:kern w:val="0"/>
          <w:sz w:val="24"/>
          <w:szCs w:val="24"/>
        </w:rPr>
      </w:pPr>
      <w:r>
        <w:rPr>
          <w:rFonts w:hint="eastAsia" w:ascii="黑体" w:hAnsi="黑体" w:eastAsia="黑体"/>
          <w:sz w:val="24"/>
          <w:szCs w:val="24"/>
        </w:rPr>
        <w:t xml:space="preserve"> </w:t>
      </w:r>
    </w:p>
    <w:p w14:paraId="7BC9A8CD">
      <w:pPr>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w:t>
      </w:r>
      <w:r>
        <w:rPr>
          <w:rFonts w:hint="eastAsia" w:ascii="宋体" w:hAnsi="Times New Roman" w:eastAsia="宋体" w:cs="Times New Roman"/>
          <w:b/>
          <w:bCs/>
          <w:kern w:val="0"/>
          <w:sz w:val="24"/>
          <w:szCs w:val="24"/>
        </w:rPr>
        <w:t>修订依据：</w:t>
      </w:r>
      <w:r>
        <w:rPr>
          <w:rFonts w:hint="eastAsia" w:ascii="宋体" w:hAnsi="Times New Roman" w:eastAsia="宋体" w:cs="Times New Roman"/>
          <w:kern w:val="0"/>
          <w:sz w:val="24"/>
          <w:szCs w:val="24"/>
        </w:rPr>
        <w:t>该配位化合物实际是含有结晶水的配位化合物，结晶水个数≤2，所以分子式也可以表述为：Ru(NO)(NO3)3·nH2O（n≤2），当n=2时，分子量为353.13，当n=0时，分子量为317.09，根据化学式计算出钌含量分别为28.62%和31.88%。通过对用户的调研工作，考虑到不同生产厂家的工艺条件、生产环境、生产设备等，以及结合不同生产厂家的产品检验结果进行了分析比对，将亚硝酰基硝酸钌固体钌含量确定为：≥28.50</w:t>
      </w:r>
      <w:r>
        <w:rPr>
          <w:rFonts w:ascii="宋体" w:hAnsi="Times New Roman" w:eastAsia="宋体" w:cs="Times New Roman"/>
          <w:kern w:val="0"/>
          <w:sz w:val="24"/>
          <w:szCs w:val="24"/>
        </w:rPr>
        <w:t>％</w:t>
      </w:r>
      <w:r>
        <w:rPr>
          <w:rFonts w:hint="eastAsia" w:ascii="宋体" w:hAnsi="Times New Roman" w:eastAsia="宋体" w:cs="Times New Roman"/>
          <w:kern w:val="0"/>
          <w:sz w:val="24"/>
          <w:szCs w:val="24"/>
        </w:rPr>
        <w:t>。</w:t>
      </w:r>
    </w:p>
    <w:p w14:paraId="609F26AB">
      <w:pPr>
        <w:widowControl/>
        <w:autoSpaceDE w:val="0"/>
        <w:autoSpaceDN w:val="0"/>
        <w:spacing w:line="360" w:lineRule="auto"/>
        <w:ind w:firstLine="480" w:firstLineChars="200"/>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rPr>
        <w:t xml:space="preserve">杂质元素的确定基于以下原则，一是原料或生产过程中引入元素，包括设备接触到的材料所引入的元素；二是在产品使用过程中需要控制的杂质元素；三是常见易沾污的元素。 </w:t>
      </w:r>
      <w:r>
        <w:rPr>
          <w:rFonts w:hint="eastAsia" w:ascii="宋体" w:hAnsi="宋体" w:eastAsia="宋体" w:cs="宋体"/>
          <w:kern w:val="0"/>
          <w:sz w:val="24"/>
          <w:szCs w:val="24"/>
        </w:rPr>
        <w:t>根据调研不同使用厂家的使用需求，有使用厂家提</w:t>
      </w:r>
      <w:r>
        <w:rPr>
          <w:rFonts w:hint="eastAsia" w:ascii="宋体" w:hAnsi="Times New Roman" w:eastAsia="宋体" w:cs="Times New Roman"/>
          <w:kern w:val="0"/>
          <w:sz w:val="24"/>
          <w:szCs w:val="24"/>
        </w:rPr>
        <w:t>出铂族金属Pt、Pd、Rh、Ir元</w:t>
      </w:r>
      <w:r>
        <w:rPr>
          <w:rFonts w:hint="eastAsia" w:ascii="宋体" w:hAnsi="宋体" w:eastAsia="宋体" w:cs="宋体"/>
          <w:kern w:val="0"/>
          <w:sz w:val="24"/>
          <w:szCs w:val="24"/>
        </w:rPr>
        <w:t>素对下游产品有很大影响，</w:t>
      </w:r>
      <w:r>
        <w:rPr>
          <w:rFonts w:hint="eastAsia" w:ascii="宋体" w:hAnsi="Times New Roman" w:eastAsia="宋体" w:cs="Times New Roman"/>
          <w:kern w:val="0"/>
          <w:sz w:val="24"/>
          <w:szCs w:val="24"/>
        </w:rPr>
        <w:t>引入铂族金属较高对对负载型钌催化剂的活性有影响</w:t>
      </w:r>
      <w:r>
        <w:rPr>
          <w:rFonts w:hint="eastAsia" w:ascii="宋体" w:hAnsi="宋体" w:eastAsia="宋体" w:cs="宋体"/>
          <w:kern w:val="0"/>
          <w:sz w:val="24"/>
          <w:szCs w:val="24"/>
        </w:rPr>
        <w:t>，</w:t>
      </w:r>
      <w:r>
        <w:rPr>
          <w:rFonts w:hint="eastAsia" w:ascii="宋体" w:hAnsi="Times New Roman" w:eastAsia="宋体" w:cs="Times New Roman"/>
          <w:kern w:val="0"/>
          <w:sz w:val="24"/>
          <w:szCs w:val="24"/>
        </w:rPr>
        <w:t>同时近几年市场上由于钌金属价格的上涨二次回收钌粉流入市场较多，由于铂族金属Pt、Pd、Rh、Ir分离提纯较为复杂等</w:t>
      </w:r>
      <w:r>
        <w:rPr>
          <w:rFonts w:hint="eastAsia" w:ascii="宋体" w:hAnsi="宋体" w:eastAsia="宋体" w:cs="宋体"/>
          <w:kern w:val="0"/>
          <w:sz w:val="24"/>
          <w:szCs w:val="24"/>
        </w:rPr>
        <w:t>，使用厂家提出希望对这些杂质元素加以控制。</w:t>
      </w:r>
      <w:r>
        <w:rPr>
          <w:rFonts w:hint="eastAsia" w:ascii="宋体" w:hAnsi="Times New Roman" w:eastAsia="宋体" w:cs="Times New Roman"/>
          <w:kern w:val="0"/>
          <w:sz w:val="24"/>
          <w:szCs w:val="24"/>
        </w:rPr>
        <w:t>产品行业标准中铂族金属Pt、Pd、Rh、Ir离子含量限制的缺失，导致贵金属催化剂生产厂家、使用厂家和第三方检测机构无据可依，进而阻碍相关产业的发展，因此严格控制好产品中的Pt、Pd、Rh、Ir离子的含量尤为重要，目前钌化合物中采用离子色谱法检测氯元素的检测设备和技术都已近很成熟，且已经形成了行业标准。通过对用户的调研工作，确定了不同使用厂家对杂质元素的要求及杂质含量允许的范围（见表二）。</w:t>
      </w:r>
      <w:r>
        <w:rPr>
          <w:rFonts w:hint="eastAsia" w:ascii="宋体" w:hAnsi="宋体" w:eastAsia="宋体" w:cs="宋体"/>
          <w:kern w:val="0"/>
          <w:sz w:val="24"/>
          <w:szCs w:val="24"/>
        </w:rPr>
        <w:t>考虑到不同生产厂家的工艺条件、生产环境、生产设备等，以及在原料和整个生产过程中可能引入杂质元素，结合不同生产厂家的产品检验结果进行了分析比对，</w:t>
      </w:r>
      <w:r>
        <w:rPr>
          <w:rFonts w:hint="eastAsia" w:ascii="宋体" w:hAnsi="Times New Roman" w:eastAsia="宋体" w:cs="Times New Roman"/>
          <w:kern w:val="0"/>
          <w:sz w:val="24"/>
          <w:szCs w:val="24"/>
        </w:rPr>
        <w:t>市场上不同生产厂家生产的亚硝酰基硝酸钌中技术指</w:t>
      </w:r>
      <w:r>
        <w:rPr>
          <w:rFonts w:hint="eastAsia" w:ascii="宋体" w:hAnsi="宋体" w:eastAsia="宋体" w:cs="宋体"/>
          <w:kern w:val="0"/>
          <w:sz w:val="24"/>
          <w:szCs w:val="24"/>
        </w:rPr>
        <w:t>标检测结果（见表</w:t>
      </w:r>
      <w:r>
        <w:rPr>
          <w:rFonts w:hint="eastAsia" w:ascii="宋体" w:hAnsi="Times New Roman" w:eastAsia="宋体" w:cs="Times New Roman"/>
          <w:kern w:val="0"/>
          <w:sz w:val="24"/>
          <w:szCs w:val="24"/>
        </w:rPr>
        <w:t>四</w:t>
      </w:r>
      <w:r>
        <w:rPr>
          <w:rFonts w:hint="eastAsia" w:ascii="宋体" w:hAnsi="宋体" w:eastAsia="宋体" w:cs="宋体"/>
          <w:kern w:val="0"/>
          <w:sz w:val="24"/>
          <w:szCs w:val="24"/>
        </w:rPr>
        <w:t>）</w:t>
      </w:r>
    </w:p>
    <w:p w14:paraId="0E9A924F">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w:t>
      </w:r>
      <w:r>
        <w:rPr>
          <w:rFonts w:hint="eastAsia" w:ascii="宋体" w:hAnsi="Times New Roman" w:eastAsia="宋体" w:cs="Times New Roman"/>
          <w:kern w:val="0"/>
          <w:sz w:val="24"/>
          <w:szCs w:val="24"/>
          <w:lang w:eastAsia="zh-TW"/>
        </w:rPr>
        <w:t>表</w:t>
      </w:r>
      <w:r>
        <w:rPr>
          <w:rFonts w:hint="eastAsia" w:ascii="宋体" w:hAnsi="Times New Roman" w:eastAsia="宋体" w:cs="Times New Roman"/>
          <w:kern w:val="0"/>
          <w:sz w:val="24"/>
          <w:szCs w:val="24"/>
        </w:rPr>
        <w:t>四</w:t>
      </w:r>
      <w:r>
        <w:rPr>
          <w:rFonts w:hint="eastAsia" w:ascii="宋体" w:hAnsi="Times New Roman" w:eastAsia="宋体" w:cs="Times New Roman"/>
          <w:kern w:val="0"/>
          <w:sz w:val="24"/>
          <w:szCs w:val="24"/>
          <w:lang w:eastAsia="zh-TW"/>
        </w:rPr>
        <w:t xml:space="preserve"> 不同生产厂家指标检验结果</w:t>
      </w:r>
    </w:p>
    <w:tbl>
      <w:tblPr>
        <w:tblStyle w:val="10"/>
        <w:tblW w:w="5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333"/>
        <w:gridCol w:w="1333"/>
        <w:gridCol w:w="1392"/>
        <w:gridCol w:w="1309"/>
        <w:gridCol w:w="1315"/>
        <w:gridCol w:w="1313"/>
      </w:tblGrid>
      <w:tr w14:paraId="6FD4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573" w:type="pct"/>
            <w:vMerge w:val="restart"/>
            <w:vAlign w:val="center"/>
          </w:tcPr>
          <w:p w14:paraId="5AEBA7C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指标项目</w:t>
            </w:r>
          </w:p>
        </w:tc>
        <w:tc>
          <w:tcPr>
            <w:tcW w:w="4427" w:type="pct"/>
            <w:gridSpan w:val="6"/>
            <w:vAlign w:val="center"/>
          </w:tcPr>
          <w:p w14:paraId="1D91722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检验结果</w:t>
            </w:r>
          </w:p>
        </w:tc>
      </w:tr>
      <w:tr w14:paraId="2063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73" w:type="pct"/>
            <w:vMerge w:val="continue"/>
            <w:vAlign w:val="center"/>
          </w:tcPr>
          <w:p w14:paraId="45BB5D9B">
            <w:pPr>
              <w:jc w:val="center"/>
              <w:rPr>
                <w:rFonts w:ascii="宋体" w:hAnsi="Times New Roman" w:eastAsia="宋体" w:cs="Times New Roman"/>
                <w:kern w:val="0"/>
                <w:sz w:val="24"/>
                <w:szCs w:val="24"/>
              </w:rPr>
            </w:pPr>
          </w:p>
        </w:tc>
        <w:tc>
          <w:tcPr>
            <w:tcW w:w="2246" w:type="pct"/>
            <w:gridSpan w:val="3"/>
            <w:vAlign w:val="center"/>
          </w:tcPr>
          <w:p w14:paraId="4002CD4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亚硝酰基硝酸钌溶液</w:t>
            </w:r>
          </w:p>
        </w:tc>
        <w:tc>
          <w:tcPr>
            <w:tcW w:w="2180" w:type="pct"/>
            <w:gridSpan w:val="3"/>
            <w:vAlign w:val="center"/>
          </w:tcPr>
          <w:p w14:paraId="468967E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亚硝酰基硝酸钌固体</w:t>
            </w:r>
          </w:p>
        </w:tc>
      </w:tr>
      <w:tr w14:paraId="57C8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73" w:type="pct"/>
            <w:vMerge w:val="continue"/>
            <w:vAlign w:val="center"/>
          </w:tcPr>
          <w:p w14:paraId="2620D25C">
            <w:pPr>
              <w:jc w:val="center"/>
              <w:rPr>
                <w:rFonts w:ascii="宋体" w:hAnsi="Times New Roman" w:eastAsia="宋体" w:cs="Times New Roman"/>
                <w:kern w:val="0"/>
                <w:sz w:val="24"/>
                <w:szCs w:val="24"/>
              </w:rPr>
            </w:pPr>
          </w:p>
        </w:tc>
        <w:tc>
          <w:tcPr>
            <w:tcW w:w="738" w:type="pct"/>
            <w:vAlign w:val="center"/>
          </w:tcPr>
          <w:p w14:paraId="5432CA7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A厂家</w:t>
            </w:r>
          </w:p>
        </w:tc>
        <w:tc>
          <w:tcPr>
            <w:tcW w:w="738" w:type="pct"/>
            <w:vAlign w:val="center"/>
          </w:tcPr>
          <w:p w14:paraId="3B8F310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B厂家</w:t>
            </w:r>
          </w:p>
        </w:tc>
        <w:tc>
          <w:tcPr>
            <w:tcW w:w="771" w:type="pct"/>
            <w:vAlign w:val="center"/>
          </w:tcPr>
          <w:p w14:paraId="7F58603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C厂家</w:t>
            </w:r>
          </w:p>
        </w:tc>
        <w:tc>
          <w:tcPr>
            <w:tcW w:w="725" w:type="pct"/>
            <w:vAlign w:val="center"/>
          </w:tcPr>
          <w:p w14:paraId="7C6FD7D2">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A厂家</w:t>
            </w:r>
          </w:p>
        </w:tc>
        <w:tc>
          <w:tcPr>
            <w:tcW w:w="728" w:type="pct"/>
            <w:vAlign w:val="center"/>
          </w:tcPr>
          <w:p w14:paraId="69B79C2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B厂家</w:t>
            </w:r>
          </w:p>
        </w:tc>
        <w:tc>
          <w:tcPr>
            <w:tcW w:w="727" w:type="pct"/>
            <w:vAlign w:val="center"/>
          </w:tcPr>
          <w:p w14:paraId="43EF8B8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C厂家</w:t>
            </w:r>
          </w:p>
        </w:tc>
      </w:tr>
      <w:tr w14:paraId="126B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37B24E79">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Ru</w:t>
            </w:r>
          </w:p>
        </w:tc>
        <w:tc>
          <w:tcPr>
            <w:tcW w:w="738" w:type="pct"/>
            <w:vAlign w:val="center"/>
          </w:tcPr>
          <w:p w14:paraId="4E795192">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5．05%</w:t>
            </w:r>
          </w:p>
          <w:p w14:paraId="1F3B312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38" w:type="pct"/>
            <w:vAlign w:val="center"/>
          </w:tcPr>
          <w:p w14:paraId="3CDA246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8．50%</w:t>
            </w:r>
          </w:p>
          <w:p w14:paraId="17B243F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71" w:type="pct"/>
            <w:vAlign w:val="center"/>
          </w:tcPr>
          <w:p w14:paraId="2CE6A42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11．23%</w:t>
            </w:r>
          </w:p>
          <w:p w14:paraId="2733B62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25" w:type="pct"/>
            <w:vAlign w:val="center"/>
          </w:tcPr>
          <w:p w14:paraId="05DF84B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31．5%</w:t>
            </w:r>
          </w:p>
          <w:p w14:paraId="6AF2D05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28" w:type="pct"/>
            <w:vAlign w:val="center"/>
          </w:tcPr>
          <w:p w14:paraId="0030A45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30．10%</w:t>
            </w:r>
          </w:p>
          <w:p w14:paraId="651CFFD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27" w:type="pct"/>
            <w:vAlign w:val="center"/>
          </w:tcPr>
          <w:p w14:paraId="2490707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33．10%</w:t>
            </w:r>
          </w:p>
          <w:p w14:paraId="5438644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r>
      <w:tr w14:paraId="5DEA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41C26AD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Pt</w:t>
            </w:r>
          </w:p>
        </w:tc>
        <w:tc>
          <w:tcPr>
            <w:tcW w:w="738" w:type="pct"/>
            <w:vAlign w:val="center"/>
          </w:tcPr>
          <w:p w14:paraId="5A8A49C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063DE2B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1" w:type="pct"/>
            <w:vAlign w:val="center"/>
          </w:tcPr>
          <w:p w14:paraId="0F2F448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5" w:type="pct"/>
            <w:vAlign w:val="center"/>
          </w:tcPr>
          <w:p w14:paraId="23648B7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8" w:type="pct"/>
            <w:vAlign w:val="center"/>
          </w:tcPr>
          <w:p w14:paraId="634641D2">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7" w:type="pct"/>
            <w:vAlign w:val="center"/>
          </w:tcPr>
          <w:p w14:paraId="1957F1F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0ED5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147D62A2">
            <w:pPr>
              <w:jc w:val="center"/>
              <w:rPr>
                <w:rFonts w:ascii="宋体" w:hAnsi="Times New Roman" w:eastAsia="宋体" w:cs="Times New Roman"/>
                <w:kern w:val="0"/>
                <w:sz w:val="24"/>
                <w:szCs w:val="24"/>
              </w:rPr>
            </w:pPr>
            <w:r>
              <w:rPr>
                <w:rFonts w:ascii="宋体" w:hAnsi="Times New Roman" w:eastAsia="宋体" w:cs="Times New Roman"/>
                <w:kern w:val="0"/>
                <w:sz w:val="24"/>
                <w:szCs w:val="24"/>
              </w:rPr>
              <w:t>Pd</w:t>
            </w:r>
          </w:p>
        </w:tc>
        <w:tc>
          <w:tcPr>
            <w:tcW w:w="738" w:type="pct"/>
            <w:vAlign w:val="center"/>
          </w:tcPr>
          <w:p w14:paraId="293D96F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3AD4C7A9">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1" w:type="pct"/>
            <w:vAlign w:val="center"/>
          </w:tcPr>
          <w:p w14:paraId="0FFC810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5" w:type="pct"/>
            <w:vAlign w:val="center"/>
          </w:tcPr>
          <w:p w14:paraId="64EDB85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8" w:type="pct"/>
            <w:vAlign w:val="center"/>
          </w:tcPr>
          <w:p w14:paraId="0EC5A532">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7" w:type="pct"/>
            <w:vAlign w:val="center"/>
          </w:tcPr>
          <w:p w14:paraId="4F5F1C7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6BCD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1DE7E89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Rh</w:t>
            </w:r>
          </w:p>
        </w:tc>
        <w:tc>
          <w:tcPr>
            <w:tcW w:w="738" w:type="pct"/>
            <w:vAlign w:val="center"/>
          </w:tcPr>
          <w:p w14:paraId="64D3582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1AEA965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1" w:type="pct"/>
            <w:vAlign w:val="center"/>
          </w:tcPr>
          <w:p w14:paraId="3496088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5" w:type="pct"/>
            <w:vAlign w:val="center"/>
          </w:tcPr>
          <w:p w14:paraId="7AD11D9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8" w:type="pct"/>
            <w:vAlign w:val="center"/>
          </w:tcPr>
          <w:p w14:paraId="43693D2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7" w:type="pct"/>
            <w:vAlign w:val="center"/>
          </w:tcPr>
          <w:p w14:paraId="375C524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568B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54047D6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Ir</w:t>
            </w:r>
          </w:p>
        </w:tc>
        <w:tc>
          <w:tcPr>
            <w:tcW w:w="738" w:type="pct"/>
            <w:vAlign w:val="center"/>
          </w:tcPr>
          <w:p w14:paraId="4B4AD58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10EE1CA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1" w:type="pct"/>
            <w:vAlign w:val="center"/>
          </w:tcPr>
          <w:p w14:paraId="19CDAAC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5" w:type="pct"/>
            <w:vAlign w:val="center"/>
          </w:tcPr>
          <w:p w14:paraId="021E518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8" w:type="pct"/>
            <w:vAlign w:val="center"/>
          </w:tcPr>
          <w:p w14:paraId="602AF78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7" w:type="pct"/>
            <w:vAlign w:val="center"/>
          </w:tcPr>
          <w:p w14:paraId="6B6681B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109B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4F36ABC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Na</w:t>
            </w:r>
          </w:p>
        </w:tc>
        <w:tc>
          <w:tcPr>
            <w:tcW w:w="738" w:type="pct"/>
            <w:vAlign w:val="center"/>
          </w:tcPr>
          <w:p w14:paraId="7F69D3B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19EB806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1" w:type="pct"/>
            <w:vAlign w:val="center"/>
          </w:tcPr>
          <w:p w14:paraId="7AA8B09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5" w:type="pct"/>
            <w:vAlign w:val="center"/>
          </w:tcPr>
          <w:p w14:paraId="348ADF1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8" w:type="pct"/>
            <w:vAlign w:val="center"/>
          </w:tcPr>
          <w:p w14:paraId="4E9DD145">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7" w:type="pct"/>
            <w:vAlign w:val="center"/>
          </w:tcPr>
          <w:p w14:paraId="1772225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&lt;0.001%    Wt%</w:t>
            </w:r>
          </w:p>
        </w:tc>
      </w:tr>
      <w:tr w14:paraId="053B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40D4B79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Cu</w:t>
            </w:r>
          </w:p>
        </w:tc>
        <w:tc>
          <w:tcPr>
            <w:tcW w:w="738" w:type="pct"/>
            <w:vAlign w:val="center"/>
          </w:tcPr>
          <w:p w14:paraId="3B938D1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&lt;0.001%    Wt%</w:t>
            </w:r>
          </w:p>
        </w:tc>
        <w:tc>
          <w:tcPr>
            <w:tcW w:w="738" w:type="pct"/>
          </w:tcPr>
          <w:p w14:paraId="2698B3E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&lt;0.001%    Wt%</w:t>
            </w:r>
          </w:p>
        </w:tc>
        <w:tc>
          <w:tcPr>
            <w:tcW w:w="771" w:type="pct"/>
          </w:tcPr>
          <w:p w14:paraId="4B39704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&lt;0.001%    Wt%</w:t>
            </w:r>
          </w:p>
        </w:tc>
        <w:tc>
          <w:tcPr>
            <w:tcW w:w="725" w:type="pct"/>
          </w:tcPr>
          <w:p w14:paraId="7594BD0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&lt;0.001%    Wt%</w:t>
            </w:r>
          </w:p>
        </w:tc>
        <w:tc>
          <w:tcPr>
            <w:tcW w:w="728" w:type="pct"/>
          </w:tcPr>
          <w:p w14:paraId="662413E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&lt;0.001%    Wt%</w:t>
            </w:r>
          </w:p>
        </w:tc>
        <w:tc>
          <w:tcPr>
            <w:tcW w:w="727" w:type="pct"/>
          </w:tcPr>
          <w:p w14:paraId="111C497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&lt;0.001%    Wt%</w:t>
            </w:r>
          </w:p>
        </w:tc>
      </w:tr>
      <w:tr w14:paraId="6F3A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5DB0B43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Fe</w:t>
            </w:r>
          </w:p>
        </w:tc>
        <w:tc>
          <w:tcPr>
            <w:tcW w:w="738" w:type="pct"/>
            <w:vAlign w:val="center"/>
          </w:tcPr>
          <w:p w14:paraId="5EFFABC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&lt;0.0005%    Wt%</w:t>
            </w:r>
          </w:p>
        </w:tc>
        <w:tc>
          <w:tcPr>
            <w:tcW w:w="738" w:type="pct"/>
          </w:tcPr>
          <w:p w14:paraId="116ECC4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0.0016%    Wt%</w:t>
            </w:r>
          </w:p>
        </w:tc>
        <w:tc>
          <w:tcPr>
            <w:tcW w:w="771" w:type="pct"/>
          </w:tcPr>
          <w:p w14:paraId="629FED2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&lt;0.0005%    Wt%</w:t>
            </w:r>
          </w:p>
        </w:tc>
        <w:tc>
          <w:tcPr>
            <w:tcW w:w="725" w:type="pct"/>
          </w:tcPr>
          <w:p w14:paraId="2C5ABD5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0.001%    Wt%</w:t>
            </w:r>
          </w:p>
        </w:tc>
        <w:tc>
          <w:tcPr>
            <w:tcW w:w="728" w:type="pct"/>
          </w:tcPr>
          <w:p w14:paraId="301DFB29">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&lt;0.0005%    Wt%</w:t>
            </w:r>
          </w:p>
        </w:tc>
        <w:tc>
          <w:tcPr>
            <w:tcW w:w="727" w:type="pct"/>
          </w:tcPr>
          <w:p w14:paraId="09391DD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&lt;0.0005%    Wt%</w:t>
            </w:r>
          </w:p>
        </w:tc>
      </w:tr>
      <w:tr w14:paraId="4BAA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437190AA">
            <w:pPr>
              <w:jc w:val="center"/>
              <w:rPr>
                <w:rFonts w:ascii="宋体" w:hAnsi="Times New Roman" w:eastAsia="宋体" w:cs="Times New Roman"/>
                <w:kern w:val="0"/>
                <w:sz w:val="24"/>
                <w:szCs w:val="24"/>
              </w:rPr>
            </w:pPr>
            <w:r>
              <w:rPr>
                <w:rFonts w:ascii="宋体" w:hAnsi="Times New Roman" w:eastAsia="宋体" w:cs="Times New Roman"/>
                <w:kern w:val="0"/>
                <w:sz w:val="24"/>
                <w:szCs w:val="24"/>
              </w:rPr>
              <w:t>Mg</w:t>
            </w:r>
          </w:p>
        </w:tc>
        <w:tc>
          <w:tcPr>
            <w:tcW w:w="738" w:type="pct"/>
            <w:vAlign w:val="center"/>
          </w:tcPr>
          <w:p w14:paraId="76C7955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61B9CED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71" w:type="pct"/>
            <w:vAlign w:val="center"/>
          </w:tcPr>
          <w:p w14:paraId="30405DC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5" w:type="pct"/>
            <w:vAlign w:val="center"/>
          </w:tcPr>
          <w:p w14:paraId="305A6F1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w:t>
            </w:r>
            <w:r>
              <w:rPr>
                <w:rFonts w:ascii="宋体" w:hAnsi="Times New Roman" w:eastAsia="宋体" w:cs="Times New Roman"/>
                <w:kern w:val="0"/>
                <w:sz w:val="24"/>
                <w:szCs w:val="24"/>
              </w:rPr>
              <w:t>1</w:t>
            </w:r>
            <w:r>
              <w:rPr>
                <w:rFonts w:hint="eastAsia" w:ascii="宋体" w:hAnsi="Times New Roman" w:eastAsia="宋体" w:cs="Times New Roman"/>
                <w:kern w:val="0"/>
                <w:sz w:val="24"/>
                <w:szCs w:val="24"/>
              </w:rPr>
              <w:t>%</w:t>
            </w:r>
          </w:p>
          <w:p w14:paraId="1863958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Wt%</w:t>
            </w:r>
          </w:p>
        </w:tc>
        <w:tc>
          <w:tcPr>
            <w:tcW w:w="728" w:type="pct"/>
            <w:vAlign w:val="center"/>
          </w:tcPr>
          <w:p w14:paraId="3F6B1D6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27" w:type="pct"/>
            <w:vAlign w:val="center"/>
          </w:tcPr>
          <w:p w14:paraId="0B54B4D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0231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65E0320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Ca</w:t>
            </w:r>
          </w:p>
        </w:tc>
        <w:tc>
          <w:tcPr>
            <w:tcW w:w="738" w:type="pct"/>
            <w:vAlign w:val="center"/>
          </w:tcPr>
          <w:p w14:paraId="64ED4C0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c>
          <w:tcPr>
            <w:tcW w:w="738" w:type="pct"/>
            <w:vAlign w:val="center"/>
          </w:tcPr>
          <w:p w14:paraId="7E8B906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0.002%    Wt%</w:t>
            </w:r>
          </w:p>
        </w:tc>
        <w:tc>
          <w:tcPr>
            <w:tcW w:w="771" w:type="pct"/>
            <w:vAlign w:val="center"/>
          </w:tcPr>
          <w:p w14:paraId="4B30692F">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0.003%    Wt%</w:t>
            </w:r>
          </w:p>
        </w:tc>
        <w:tc>
          <w:tcPr>
            <w:tcW w:w="725" w:type="pct"/>
            <w:vAlign w:val="center"/>
          </w:tcPr>
          <w:p w14:paraId="1B4003E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0.003%    Wt%</w:t>
            </w:r>
          </w:p>
        </w:tc>
        <w:tc>
          <w:tcPr>
            <w:tcW w:w="728" w:type="pct"/>
            <w:vAlign w:val="center"/>
          </w:tcPr>
          <w:p w14:paraId="01E33208">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&lt;0.002%    Wt%</w:t>
            </w:r>
          </w:p>
        </w:tc>
        <w:tc>
          <w:tcPr>
            <w:tcW w:w="727" w:type="pct"/>
            <w:vAlign w:val="center"/>
          </w:tcPr>
          <w:p w14:paraId="0403005A">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&lt;0.005%    Wt%</w:t>
            </w:r>
          </w:p>
        </w:tc>
      </w:tr>
      <w:tr w14:paraId="516A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3396563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P</w:t>
            </w:r>
            <w:r>
              <w:rPr>
                <w:rFonts w:ascii="宋体" w:hAnsi="Times New Roman" w:eastAsia="宋体" w:cs="Times New Roman"/>
                <w:kern w:val="0"/>
                <w:sz w:val="24"/>
                <w:szCs w:val="24"/>
              </w:rPr>
              <w:t>b</w:t>
            </w:r>
          </w:p>
        </w:tc>
        <w:tc>
          <w:tcPr>
            <w:tcW w:w="738" w:type="pct"/>
            <w:vAlign w:val="center"/>
          </w:tcPr>
          <w:p w14:paraId="29762E7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0.0021%    Wt%</w:t>
            </w:r>
          </w:p>
        </w:tc>
        <w:tc>
          <w:tcPr>
            <w:tcW w:w="738" w:type="pct"/>
            <w:vAlign w:val="center"/>
          </w:tcPr>
          <w:p w14:paraId="35E059F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0.0010%    Wt%</w:t>
            </w:r>
          </w:p>
        </w:tc>
        <w:tc>
          <w:tcPr>
            <w:tcW w:w="771" w:type="pct"/>
          </w:tcPr>
          <w:p w14:paraId="7AE7A24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&lt;0.0005%    Wt%</w:t>
            </w:r>
          </w:p>
        </w:tc>
        <w:tc>
          <w:tcPr>
            <w:tcW w:w="725" w:type="pct"/>
          </w:tcPr>
          <w:p w14:paraId="234895CB">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0.0018%    Wt%</w:t>
            </w:r>
          </w:p>
        </w:tc>
        <w:tc>
          <w:tcPr>
            <w:tcW w:w="728" w:type="pct"/>
          </w:tcPr>
          <w:p w14:paraId="32A7621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&lt;0.0005%    Wt%</w:t>
            </w:r>
          </w:p>
        </w:tc>
        <w:tc>
          <w:tcPr>
            <w:tcW w:w="727" w:type="pct"/>
          </w:tcPr>
          <w:p w14:paraId="5A6AE1E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&lt;0.0005%    Wt%</w:t>
            </w:r>
          </w:p>
        </w:tc>
      </w:tr>
      <w:tr w14:paraId="4BBA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6B56A05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外观</w:t>
            </w:r>
          </w:p>
        </w:tc>
        <w:tc>
          <w:tcPr>
            <w:tcW w:w="738" w:type="pct"/>
            <w:vAlign w:val="center"/>
          </w:tcPr>
          <w:p w14:paraId="7552EF04">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红褐色液体</w:t>
            </w:r>
          </w:p>
        </w:tc>
        <w:tc>
          <w:tcPr>
            <w:tcW w:w="738" w:type="pct"/>
            <w:vAlign w:val="center"/>
          </w:tcPr>
          <w:p w14:paraId="09A8679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红褐色液体</w:t>
            </w:r>
          </w:p>
        </w:tc>
        <w:tc>
          <w:tcPr>
            <w:tcW w:w="771" w:type="pct"/>
            <w:vAlign w:val="center"/>
          </w:tcPr>
          <w:p w14:paraId="1C99C393">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红褐色液体</w:t>
            </w:r>
          </w:p>
        </w:tc>
        <w:tc>
          <w:tcPr>
            <w:tcW w:w="725" w:type="pct"/>
            <w:vAlign w:val="center"/>
          </w:tcPr>
          <w:p w14:paraId="51F0A416">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橙红色固体</w:t>
            </w:r>
          </w:p>
        </w:tc>
        <w:tc>
          <w:tcPr>
            <w:tcW w:w="728" w:type="pct"/>
            <w:vAlign w:val="center"/>
          </w:tcPr>
          <w:p w14:paraId="17D3B6FD">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橙红色固体</w:t>
            </w:r>
          </w:p>
        </w:tc>
        <w:tc>
          <w:tcPr>
            <w:tcW w:w="727" w:type="pct"/>
            <w:vAlign w:val="center"/>
          </w:tcPr>
          <w:p w14:paraId="301FB6F7">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橙红色固体</w:t>
            </w:r>
          </w:p>
        </w:tc>
      </w:tr>
      <w:tr w14:paraId="63B8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pct"/>
            <w:vAlign w:val="center"/>
          </w:tcPr>
          <w:p w14:paraId="5FB95D0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溶解试验</w:t>
            </w:r>
          </w:p>
        </w:tc>
        <w:tc>
          <w:tcPr>
            <w:tcW w:w="738" w:type="pct"/>
            <w:vAlign w:val="center"/>
          </w:tcPr>
          <w:p w14:paraId="6533C092">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无目视可见不溶物</w:t>
            </w:r>
          </w:p>
        </w:tc>
        <w:tc>
          <w:tcPr>
            <w:tcW w:w="738" w:type="pct"/>
            <w:vAlign w:val="center"/>
          </w:tcPr>
          <w:p w14:paraId="0D6F7CC1">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无目视可见不溶物</w:t>
            </w:r>
          </w:p>
        </w:tc>
        <w:tc>
          <w:tcPr>
            <w:tcW w:w="771" w:type="pct"/>
            <w:vAlign w:val="center"/>
          </w:tcPr>
          <w:p w14:paraId="0911B82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无目视可见不溶物</w:t>
            </w:r>
          </w:p>
        </w:tc>
        <w:tc>
          <w:tcPr>
            <w:tcW w:w="725" w:type="pct"/>
            <w:vAlign w:val="center"/>
          </w:tcPr>
          <w:p w14:paraId="07D37BCE">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无目视可见不溶物</w:t>
            </w:r>
          </w:p>
        </w:tc>
        <w:tc>
          <w:tcPr>
            <w:tcW w:w="728" w:type="pct"/>
            <w:vAlign w:val="center"/>
          </w:tcPr>
          <w:p w14:paraId="57413F10">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无目视可见不溶物</w:t>
            </w:r>
          </w:p>
        </w:tc>
        <w:tc>
          <w:tcPr>
            <w:tcW w:w="727" w:type="pct"/>
            <w:vAlign w:val="center"/>
          </w:tcPr>
          <w:p w14:paraId="7D1D2F9C">
            <w:pPr>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无目视可见不溶物</w:t>
            </w:r>
          </w:p>
        </w:tc>
      </w:tr>
    </w:tbl>
    <w:p w14:paraId="37789C28">
      <w:pPr>
        <w:jc w:val="left"/>
        <w:rPr>
          <w:rFonts w:hint="eastAsia" w:ascii="宋体" w:hAnsi="宋体" w:eastAsia="宋体" w:cs="宋体"/>
          <w:b/>
          <w:bCs/>
          <w:kern w:val="0"/>
          <w:sz w:val="24"/>
          <w:szCs w:val="24"/>
        </w:rPr>
      </w:pPr>
    </w:p>
    <w:p w14:paraId="290B73D0">
      <w:pPr>
        <w:spacing w:line="360" w:lineRule="auto"/>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1.4增加了亚硝酰基硝酸钌溶液产品的外观（见表5.3）。</w:t>
      </w:r>
    </w:p>
    <w:p w14:paraId="3766BEC4">
      <w:pPr>
        <w:spacing w:line="360" w:lineRule="auto"/>
        <w:ind w:firstLine="723" w:firstLineChars="300"/>
        <w:jc w:val="left"/>
        <w:rPr>
          <w:rFonts w:ascii="宋体" w:hAnsi="Times New Roman" w:eastAsia="宋体" w:cs="Times New Roman"/>
          <w:kern w:val="0"/>
          <w:sz w:val="24"/>
          <w:szCs w:val="24"/>
        </w:rPr>
      </w:pPr>
      <w:r>
        <w:rPr>
          <w:rFonts w:hint="eastAsia" w:ascii="宋体" w:hAnsi="Times New Roman" w:eastAsia="宋体" w:cs="Times New Roman"/>
          <w:b/>
          <w:bCs/>
          <w:kern w:val="0"/>
          <w:sz w:val="24"/>
          <w:szCs w:val="24"/>
        </w:rPr>
        <w:t>修订依据：</w:t>
      </w:r>
      <w:r>
        <w:rPr>
          <w:rFonts w:hint="eastAsia" w:ascii="宋体" w:hAnsi="Times New Roman" w:eastAsia="宋体" w:cs="Times New Roman"/>
          <w:kern w:val="0"/>
          <w:sz w:val="24"/>
          <w:szCs w:val="24"/>
        </w:rPr>
        <w:t>通过外观对产品进行定性判断。</w:t>
      </w:r>
    </w:p>
    <w:p w14:paraId="7BB134A0">
      <w:pPr>
        <w:spacing w:line="360" w:lineRule="auto"/>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1.5更改了杂质元素的测定方法，并删除了原标准上的附录A附录B。</w:t>
      </w:r>
    </w:p>
    <w:p w14:paraId="583CCCA5">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将杂质元素质量分数的测定按附录A和附录B的规定进行，修改为按</w:t>
      </w:r>
      <w:r>
        <w:rPr>
          <w:rFonts w:ascii="宋体" w:hAnsi="Times New Roman" w:eastAsia="宋体" w:cs="Times New Roman"/>
          <w:kern w:val="0"/>
          <w:sz w:val="24"/>
          <w:szCs w:val="24"/>
        </w:rPr>
        <w:t>YS/T 1502</w:t>
      </w:r>
      <w:r>
        <w:rPr>
          <w:rFonts w:hint="eastAsia" w:ascii="宋体" w:hAnsi="Times New Roman" w:eastAsia="宋体" w:cs="Times New Roman"/>
          <w:kern w:val="0"/>
          <w:sz w:val="24"/>
          <w:szCs w:val="24"/>
        </w:rPr>
        <w:t>《钌化合物化学分析方法 铂、钯、铑、铱、金、银、铜、铁、镍、镁、锰、铅、锌、钙、钠含量的测定 电感耦合等离子体原子发射光普法》，并删除了原标准上的附录A附录B（见6.1.2,2011版的4.2）。</w:t>
      </w:r>
    </w:p>
    <w:p w14:paraId="2F83ACC9">
      <w:pPr>
        <w:widowControl/>
        <w:autoSpaceDE w:val="0"/>
        <w:autoSpaceDN w:val="0"/>
        <w:spacing w:line="360" w:lineRule="auto"/>
        <w:rPr>
          <w:rFonts w:ascii="宋体" w:hAnsi="Times New Roman" w:eastAsia="宋体" w:cs="宋体"/>
          <w:kern w:val="0"/>
          <w:sz w:val="24"/>
          <w:szCs w:val="24"/>
        </w:rPr>
      </w:pPr>
      <w:r>
        <w:rPr>
          <w:rFonts w:hint="eastAsia" w:ascii="宋体" w:hAnsi="Times New Roman" w:eastAsia="宋体" w:cs="Times New Roman"/>
          <w:kern w:val="0"/>
          <w:sz w:val="24"/>
          <w:szCs w:val="24"/>
        </w:rPr>
        <w:t xml:space="preserve">     </w:t>
      </w:r>
      <w:r>
        <w:rPr>
          <w:rFonts w:hint="eastAsia" w:ascii="宋体" w:hAnsi="Times New Roman" w:eastAsia="宋体" w:cs="Times New Roman"/>
          <w:b/>
          <w:bCs/>
          <w:kern w:val="0"/>
          <w:sz w:val="24"/>
          <w:szCs w:val="24"/>
        </w:rPr>
        <w:t>修订依据：</w:t>
      </w:r>
      <w:r>
        <w:rPr>
          <w:rFonts w:hint="eastAsia" w:ascii="宋体" w:hAnsi="Times New Roman" w:eastAsia="宋体" w:cs="宋体"/>
          <w:kern w:val="0"/>
          <w:sz w:val="24"/>
          <w:szCs w:val="24"/>
        </w:rPr>
        <w:t xml:space="preserve"> </w:t>
      </w:r>
      <w:r>
        <w:rPr>
          <w:rFonts w:hint="eastAsia" w:ascii="Times New Roman"/>
          <w:sz w:val="24"/>
          <w:szCs w:val="24"/>
        </w:rPr>
        <w:t>随</w:t>
      </w:r>
      <w:r>
        <w:rPr>
          <w:rFonts w:hint="eastAsia" w:ascii="宋体" w:hAnsi="Times New Roman" w:eastAsia="宋体" w:cs="Times New Roman"/>
          <w:kern w:val="0"/>
          <w:sz w:val="24"/>
          <w:szCs w:val="24"/>
        </w:rPr>
        <w:t>着分析技术的进步，分析经验的丰富，检测人员提出针对性更强的分析方法，方法安全可靠，操作简便，快速准确，适用性高，故本次修订时将亚硝酰基硝酸钌杂质质量分数测定的方法进行了修订。</w:t>
      </w:r>
    </w:p>
    <w:p w14:paraId="69886280">
      <w:pPr>
        <w:widowControl/>
        <w:autoSpaceDE w:val="0"/>
        <w:autoSpaceDN w:val="0"/>
        <w:spacing w:line="360" w:lineRule="auto"/>
        <w:rPr>
          <w:rFonts w:ascii="宋体" w:hAnsi="Times New Roman" w:eastAsia="宋体" w:cs="宋体"/>
          <w:kern w:val="0"/>
          <w:sz w:val="24"/>
          <w:szCs w:val="24"/>
        </w:rPr>
      </w:pPr>
      <w:r>
        <w:rPr>
          <w:rFonts w:hint="eastAsia" w:ascii="宋体" w:hAnsi="Times New Roman" w:eastAsia="宋体" w:cs="Times New Roman"/>
          <w:kern w:val="0"/>
          <w:sz w:val="24"/>
          <w:szCs w:val="24"/>
        </w:rPr>
        <w:t>1.</w:t>
      </w:r>
      <w:bookmarkStart w:id="6" w:name="_Hlk176525633"/>
      <w:r>
        <w:rPr>
          <w:rFonts w:hint="eastAsia" w:ascii="宋体" w:hAnsi="Times New Roman" w:eastAsia="宋体" w:cs="Times New Roman"/>
          <w:kern w:val="0"/>
          <w:sz w:val="24"/>
          <w:szCs w:val="24"/>
        </w:rPr>
        <w:t>6更改了检查和验收要求。</w:t>
      </w:r>
      <w:bookmarkEnd w:id="6"/>
    </w:p>
    <w:p w14:paraId="3037AD48">
      <w:pPr>
        <w:widowControl/>
        <w:autoSpaceDE w:val="0"/>
        <w:autoSpaceDN w:val="0"/>
        <w:spacing w:line="360" w:lineRule="auto"/>
        <w:ind w:firstLine="480" w:firstLine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将“产品应由供方技术监督部门进行检验,保证产品质量符合本标准订货单(或合同)的规定,并填写质量证明书”修改为“</w:t>
      </w:r>
      <w:r>
        <w:rPr>
          <w:rFonts w:ascii="宋体" w:hAnsi="Times New Roman" w:eastAsia="宋体" w:cs="Times New Roman"/>
          <w:kern w:val="0"/>
          <w:sz w:val="24"/>
          <w:szCs w:val="24"/>
        </w:rPr>
        <w:t>产品应由供方</w:t>
      </w:r>
      <w:r>
        <w:rPr>
          <w:rFonts w:hint="eastAsia" w:ascii="宋体" w:hAnsi="Times New Roman" w:eastAsia="宋体" w:cs="Times New Roman"/>
          <w:kern w:val="0"/>
          <w:sz w:val="24"/>
          <w:szCs w:val="24"/>
        </w:rPr>
        <w:t>或第三方进行检验</w:t>
      </w:r>
      <w:r>
        <w:rPr>
          <w:rFonts w:ascii="宋体" w:hAnsi="Times New Roman" w:eastAsia="宋体" w:cs="Times New Roman"/>
          <w:kern w:val="0"/>
          <w:sz w:val="24"/>
          <w:szCs w:val="24"/>
        </w:rPr>
        <w:t>，保证产品质量符合本</w:t>
      </w:r>
      <w:r>
        <w:rPr>
          <w:rFonts w:hint="eastAsia" w:ascii="宋体" w:hAnsi="Times New Roman" w:eastAsia="宋体" w:cs="Times New Roman"/>
          <w:kern w:val="0"/>
          <w:sz w:val="24"/>
          <w:szCs w:val="24"/>
        </w:rPr>
        <w:t>文件及订货单</w:t>
      </w:r>
      <w:r>
        <w:rPr>
          <w:rFonts w:ascii="宋体" w:hAnsi="Times New Roman" w:eastAsia="宋体" w:cs="Times New Roman"/>
          <w:kern w:val="0"/>
          <w:sz w:val="24"/>
          <w:szCs w:val="24"/>
        </w:rPr>
        <w:t>的规定”</w:t>
      </w:r>
      <w:r>
        <w:rPr>
          <w:rFonts w:hint="eastAsia" w:ascii="宋体" w:hAnsi="Times New Roman" w:eastAsia="宋体" w:cs="Times New Roman"/>
          <w:kern w:val="0"/>
          <w:sz w:val="24"/>
          <w:szCs w:val="24"/>
        </w:rPr>
        <w:t>。</w:t>
      </w:r>
      <w:bookmarkStart w:id="7" w:name="_Hlk176525662"/>
      <w:r>
        <w:rPr>
          <w:rFonts w:hint="eastAsia" w:ascii="宋体" w:hAnsi="Times New Roman" w:eastAsia="宋体" w:cs="Times New Roman"/>
          <w:kern w:val="0"/>
          <w:sz w:val="24"/>
          <w:szCs w:val="24"/>
        </w:rPr>
        <w:t>（见7.1.1,2011版的5.1.1）</w:t>
      </w:r>
    </w:p>
    <w:bookmarkEnd w:id="7"/>
    <w:p w14:paraId="62FF6265">
      <w:pPr>
        <w:spacing w:line="360" w:lineRule="auto"/>
        <w:ind w:firstLine="723" w:firstLineChars="300"/>
        <w:jc w:val="left"/>
        <w:rPr>
          <w:rFonts w:ascii="宋体" w:hAnsi="Times New Roman" w:eastAsia="宋体" w:cs="Times New Roman"/>
          <w:kern w:val="0"/>
          <w:sz w:val="24"/>
          <w:szCs w:val="24"/>
        </w:rPr>
      </w:pPr>
      <w:r>
        <w:rPr>
          <w:rFonts w:hint="eastAsia" w:ascii="宋体" w:hAnsi="Times New Roman" w:eastAsia="宋体" w:cs="Times New Roman"/>
          <w:b/>
          <w:bCs/>
          <w:kern w:val="0"/>
          <w:sz w:val="24"/>
          <w:szCs w:val="24"/>
        </w:rPr>
        <w:t>修订依据</w:t>
      </w:r>
      <w:r>
        <w:rPr>
          <w:rFonts w:hint="eastAsia" w:ascii="宋体" w:hAnsi="Times New Roman" w:eastAsia="宋体" w:cs="Times New Roman"/>
          <w:kern w:val="0"/>
          <w:sz w:val="24"/>
          <w:szCs w:val="24"/>
        </w:rPr>
        <w:t>： 产品供方不具备检验能力，可以委托第三方检验机构对产品进行检验。修改后更加规范合理。</w:t>
      </w:r>
    </w:p>
    <w:p w14:paraId="7A6EA237">
      <w:pPr>
        <w:widowControl/>
        <w:autoSpaceDE w:val="0"/>
        <w:autoSpaceDN w:val="0"/>
        <w:spacing w:line="360" w:lineRule="auto"/>
        <w:ind w:firstLine="480" w:firstLine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将“需方应对收到的产品按本标准的规定进行复验。如复验结果与本标准订货单(或合同)的规定不符时,应在收到产品之日起七日内向供方提出,由供需双方协商解决。如需仲裁,仲裁取样应由供需双方在需方共同进行。”修改为“</w:t>
      </w:r>
      <w:r>
        <w:rPr>
          <w:rFonts w:ascii="宋体" w:hAnsi="Times New Roman" w:eastAsia="宋体" w:cs="Times New Roman"/>
          <w:kern w:val="0"/>
          <w:sz w:val="24"/>
          <w:szCs w:val="24"/>
        </w:rPr>
        <w:t>需方应对收到的产品按本</w:t>
      </w:r>
      <w:r>
        <w:rPr>
          <w:rFonts w:hint="eastAsia" w:ascii="宋体" w:hAnsi="Times New Roman" w:eastAsia="宋体" w:cs="Times New Roman"/>
          <w:kern w:val="0"/>
          <w:sz w:val="24"/>
          <w:szCs w:val="24"/>
        </w:rPr>
        <w:t>文件</w:t>
      </w:r>
      <w:r>
        <w:rPr>
          <w:rFonts w:ascii="宋体" w:hAnsi="Times New Roman" w:eastAsia="宋体" w:cs="Times New Roman"/>
          <w:kern w:val="0"/>
          <w:sz w:val="24"/>
          <w:szCs w:val="24"/>
        </w:rPr>
        <w:t>的规定进行</w:t>
      </w:r>
      <w:r>
        <w:rPr>
          <w:rFonts w:hint="eastAsia" w:ascii="宋体" w:hAnsi="Times New Roman" w:eastAsia="宋体" w:cs="Times New Roman"/>
          <w:kern w:val="0"/>
          <w:sz w:val="24"/>
          <w:szCs w:val="24"/>
        </w:rPr>
        <w:t>检验</w:t>
      </w:r>
      <w:r>
        <w:rPr>
          <w:rFonts w:ascii="宋体" w:hAnsi="Times New Roman" w:eastAsia="宋体" w:cs="Times New Roman"/>
          <w:kern w:val="0"/>
          <w:sz w:val="24"/>
          <w:szCs w:val="24"/>
        </w:rPr>
        <w:t>。如</w:t>
      </w:r>
      <w:r>
        <w:rPr>
          <w:rFonts w:hint="eastAsia" w:ascii="宋体" w:hAnsi="Times New Roman" w:eastAsia="宋体" w:cs="Times New Roman"/>
          <w:kern w:val="0"/>
          <w:sz w:val="24"/>
          <w:szCs w:val="24"/>
        </w:rPr>
        <w:t>检验</w:t>
      </w:r>
      <w:r>
        <w:rPr>
          <w:rFonts w:ascii="宋体" w:hAnsi="Times New Roman" w:eastAsia="宋体" w:cs="Times New Roman"/>
          <w:kern w:val="0"/>
          <w:sz w:val="24"/>
          <w:szCs w:val="24"/>
        </w:rPr>
        <w:t>结果与本</w:t>
      </w:r>
      <w:r>
        <w:rPr>
          <w:rFonts w:hint="eastAsia" w:ascii="宋体" w:hAnsi="Times New Roman" w:eastAsia="宋体" w:cs="Times New Roman"/>
          <w:kern w:val="0"/>
          <w:sz w:val="24"/>
          <w:szCs w:val="24"/>
        </w:rPr>
        <w:t>文件及订货单</w:t>
      </w:r>
      <w:r>
        <w:rPr>
          <w:rFonts w:ascii="宋体" w:hAnsi="Times New Roman" w:eastAsia="宋体" w:cs="Times New Roman"/>
          <w:kern w:val="0"/>
          <w:sz w:val="24"/>
          <w:szCs w:val="24"/>
        </w:rPr>
        <w:t>的规定不</w:t>
      </w:r>
      <w:r>
        <w:rPr>
          <w:rFonts w:hint="eastAsia" w:ascii="宋体" w:hAnsi="Times New Roman" w:eastAsia="宋体" w:cs="Times New Roman"/>
          <w:kern w:val="0"/>
          <w:sz w:val="24"/>
          <w:szCs w:val="24"/>
        </w:rPr>
        <w:t>符</w:t>
      </w:r>
      <w:r>
        <w:rPr>
          <w:rFonts w:ascii="宋体" w:hAnsi="Times New Roman" w:eastAsia="宋体" w:cs="Times New Roman"/>
          <w:kern w:val="0"/>
          <w:sz w:val="24"/>
          <w:szCs w:val="24"/>
        </w:rPr>
        <w:t>时，应</w:t>
      </w:r>
      <w:r>
        <w:rPr>
          <w:rFonts w:hint="eastAsia" w:ascii="宋体" w:hAnsi="Times New Roman" w:eastAsia="宋体" w:cs="Times New Roman"/>
          <w:kern w:val="0"/>
          <w:sz w:val="24"/>
          <w:szCs w:val="24"/>
        </w:rPr>
        <w:t>以书面形式向供方提出，由供需双方协商解决。属于外观质量的异议，应</w:t>
      </w:r>
      <w:r>
        <w:rPr>
          <w:rFonts w:ascii="宋体" w:hAnsi="Times New Roman" w:eastAsia="宋体" w:cs="Times New Roman"/>
          <w:kern w:val="0"/>
          <w:sz w:val="24"/>
          <w:szCs w:val="24"/>
        </w:rPr>
        <w:t>在收到产品之日起</w:t>
      </w:r>
      <w:r>
        <w:rPr>
          <w:rFonts w:hint="eastAsia" w:ascii="宋体" w:hAnsi="Times New Roman" w:eastAsia="宋体" w:cs="Times New Roman"/>
          <w:kern w:val="0"/>
          <w:sz w:val="24"/>
          <w:szCs w:val="24"/>
        </w:rPr>
        <w:t>3</w:t>
      </w:r>
      <w:r>
        <w:rPr>
          <w:rFonts w:ascii="宋体" w:hAnsi="Times New Roman" w:eastAsia="宋体" w:cs="Times New Roman"/>
          <w:kern w:val="0"/>
          <w:sz w:val="24"/>
          <w:szCs w:val="24"/>
        </w:rPr>
        <w:t>日内提出。</w:t>
      </w:r>
      <w:r>
        <w:rPr>
          <w:rFonts w:hint="eastAsia" w:ascii="宋体" w:hAnsi="Times New Roman" w:eastAsia="宋体" w:cs="Times New Roman"/>
          <w:kern w:val="0"/>
          <w:sz w:val="24"/>
          <w:szCs w:val="24"/>
        </w:rPr>
        <w:t>属于化学成分和溶解性能的异议，应在收到产品之日起15日内提出。如需仲裁，应由供需双方在需方共同取样或协商确定” 。（见7.1.2,2011版的5.1.2）</w:t>
      </w:r>
    </w:p>
    <w:p w14:paraId="01521CE8">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b/>
          <w:bCs/>
          <w:kern w:val="0"/>
          <w:sz w:val="24"/>
          <w:szCs w:val="24"/>
        </w:rPr>
        <w:t xml:space="preserve">    修订依据：</w:t>
      </w:r>
      <w:r>
        <w:rPr>
          <w:rFonts w:hint="eastAsia" w:ascii="宋体" w:hAnsi="Times New Roman" w:eastAsia="宋体" w:cs="Times New Roman"/>
          <w:kern w:val="0"/>
          <w:sz w:val="24"/>
          <w:szCs w:val="24"/>
        </w:rPr>
        <w:t xml:space="preserve">原标准中仅规定了“复验结果与本标准的规定不符时，应在收到产品之日起的7日内向供方提出，由供需双方协商解决。如需仲裁，取样应由供需双方共同进行”。验收规则中供需双方的职责定义比较模糊，修订为，“如检验结果与本文件及订货单的规定不符时，应以书面形式向供方提出，由供需双方协商解决。属于对外观质量的异议，应在收到产品之日起3日内提出；属于化学成分和溶解性能的异议，应在收到产品之日起15日内提出。如需仲裁，取样应由供需双方在需方共同取样或协商确定”修订后，检验规则更加规范，避免了后续验收环节带来不必要的纠纷。 </w:t>
      </w:r>
    </w:p>
    <w:p w14:paraId="462BACC0">
      <w:pPr>
        <w:pStyle w:val="18"/>
        <w:spacing w:before="156" w:after="156"/>
        <w:jc w:val="left"/>
        <w:rPr>
          <w:sz w:val="24"/>
          <w:szCs w:val="24"/>
        </w:rPr>
      </w:pPr>
      <w:r>
        <w:rPr>
          <w:rFonts w:hint="eastAsia"/>
          <w:sz w:val="24"/>
          <w:szCs w:val="24"/>
        </w:rPr>
        <w:t>1.7 增加了标准</w:t>
      </w:r>
      <w:r>
        <w:rPr>
          <w:sz w:val="24"/>
          <w:szCs w:val="24"/>
        </w:rPr>
        <w:t>GB/T 6680</w:t>
      </w:r>
      <w:r>
        <w:rPr>
          <w:rFonts w:hint="eastAsia"/>
          <w:sz w:val="24"/>
          <w:szCs w:val="24"/>
        </w:rPr>
        <w:t>-2003 液体化工产品采样通则的引用。（见7.4,2011版的5.4.1）</w:t>
      </w:r>
    </w:p>
    <w:p w14:paraId="148F0BA2">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b/>
          <w:bCs/>
          <w:kern w:val="0"/>
          <w:sz w:val="24"/>
          <w:szCs w:val="24"/>
        </w:rPr>
        <w:t xml:space="preserve">    修订依据:</w:t>
      </w:r>
      <w:r>
        <w:rPr>
          <w:rFonts w:hint="eastAsia" w:ascii="宋体" w:hAnsi="Times New Roman" w:eastAsia="宋体" w:cs="Times New Roman"/>
          <w:kern w:val="0"/>
          <w:sz w:val="24"/>
          <w:szCs w:val="24"/>
        </w:rPr>
        <w:t>产品取样按</w:t>
      </w:r>
      <w:r>
        <w:rPr>
          <w:rFonts w:ascii="宋体" w:hAnsi="Times New Roman" w:eastAsia="宋体" w:cs="Times New Roman"/>
          <w:kern w:val="0"/>
          <w:sz w:val="24"/>
          <w:szCs w:val="24"/>
        </w:rPr>
        <w:t>GB/T 6680</w:t>
      </w:r>
      <w:r>
        <w:rPr>
          <w:rFonts w:hint="eastAsia" w:ascii="宋体" w:hAnsi="Times New Roman" w:eastAsia="宋体" w:cs="Times New Roman"/>
          <w:kern w:val="0"/>
          <w:sz w:val="24"/>
          <w:szCs w:val="24"/>
        </w:rPr>
        <w:t>-2003取样规定进行，更科学，取样检测结果更具代表性。</w:t>
      </w:r>
    </w:p>
    <w:p w14:paraId="4EBE088A">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1.8增加了标准GB/T 8170 数值修约规则与极限数值的表示和判定的引用。</w:t>
      </w:r>
    </w:p>
    <w:p w14:paraId="6B5A62EF">
      <w:pPr>
        <w:spacing w:line="360" w:lineRule="auto"/>
        <w:ind w:firstLine="482" w:firstLineChars="200"/>
        <w:jc w:val="left"/>
        <w:rPr>
          <w:rFonts w:ascii="宋体" w:hAnsi="Times New Roman" w:eastAsia="宋体" w:cs="Times New Roman"/>
          <w:kern w:val="0"/>
          <w:sz w:val="24"/>
          <w:szCs w:val="24"/>
        </w:rPr>
      </w:pPr>
      <w:r>
        <w:rPr>
          <w:rFonts w:hint="eastAsia" w:ascii="宋体" w:hAnsi="宋体" w:eastAsia="宋体" w:cs="宋体"/>
          <w:b/>
          <w:bCs/>
          <w:kern w:val="0"/>
          <w:sz w:val="24"/>
          <w:szCs w:val="24"/>
        </w:rPr>
        <w:t>修订依据:</w:t>
      </w:r>
      <w:r>
        <w:rPr>
          <w:rFonts w:hint="eastAsia" w:ascii="宋体" w:hAnsi="Times New Roman" w:eastAsia="宋体" w:cs="Times New Roman"/>
          <w:kern w:val="0"/>
          <w:sz w:val="24"/>
          <w:szCs w:val="24"/>
        </w:rPr>
        <w:t>该规范文件对数值修约规则与极限数值的表示和判定进行规范，参考引用国标文件，使得本文件更加规范。</w:t>
      </w:r>
      <w:bookmarkEnd w:id="5"/>
    </w:p>
    <w:p w14:paraId="05924BA3">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1.9更改了标志，分为了产品标志和包装标志（见8.1，2013版的6.1）；</w:t>
      </w:r>
    </w:p>
    <w:p w14:paraId="586C5367">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w:t>
      </w:r>
      <w:r>
        <w:rPr>
          <w:rFonts w:hint="eastAsia" w:ascii="宋体" w:hAnsi="Times New Roman" w:eastAsia="宋体" w:cs="Times New Roman"/>
          <w:b/>
          <w:bCs/>
          <w:kern w:val="0"/>
          <w:sz w:val="24"/>
          <w:szCs w:val="24"/>
        </w:rPr>
        <w:t>修订依据:</w:t>
      </w:r>
      <w:r>
        <w:rPr>
          <w:rFonts w:hint="eastAsia" w:ascii="宋体" w:hAnsi="Times New Roman" w:eastAsia="宋体" w:cs="Times New Roman"/>
          <w:color w:val="000000"/>
          <w:kern w:val="0"/>
          <w:sz w:val="24"/>
          <w:szCs w:val="24"/>
        </w:rPr>
        <w:t xml:space="preserve"> </w:t>
      </w:r>
      <w:r>
        <w:rPr>
          <w:rFonts w:hint="eastAsia" w:ascii="宋体" w:hAnsi="Times New Roman" w:eastAsia="宋体" w:cs="Times New Roman"/>
          <w:kern w:val="0"/>
          <w:sz w:val="24"/>
          <w:szCs w:val="24"/>
        </w:rPr>
        <w:t>根据最新的标准化工作导则编写要求，增加了包装标志，规定了产品的包装箱标志应符合GB/T 191的规定，提高标准的规范性。</w:t>
      </w:r>
    </w:p>
    <w:p w14:paraId="4EC8702E">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四、标准中涉及专利的情况</w:t>
      </w:r>
    </w:p>
    <w:p w14:paraId="7A8485C6">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本标准不涉及专利问题。</w:t>
      </w:r>
    </w:p>
    <w:p w14:paraId="490D00CE">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五、预期达到的社会效益等情况</w:t>
      </w:r>
    </w:p>
    <w:p w14:paraId="12E4ACB1">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5.1 项目的必要性简述</w:t>
      </w:r>
    </w:p>
    <w:p w14:paraId="6381D83A">
      <w:pPr>
        <w:autoSpaceDE w:val="0"/>
        <w:autoSpaceDN w:val="0"/>
        <w:adjustRightInd w:val="0"/>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载体、助剂和钌活性前驱体是影响负载型钌催化剂催化性能的主要因素。负载型钌催化剂中活性组分钌是通过钌前驱体化合物引入的。现在通用的钌的前驱体化合物水合三氯化钌，由于在制备催化剂过程会引入氯，卤素的存在会导致催化剂使用过程中中毒，因此很多厂商都在积极的寻找水合三氯化钌的替代品，而亚硝酰基硝酸钌则引起了大家的注意。</w:t>
      </w:r>
    </w:p>
    <w:p w14:paraId="583E940F">
      <w:pPr>
        <w:autoSpaceDE w:val="0"/>
        <w:autoSpaceDN w:val="0"/>
        <w:adjustRightInd w:val="0"/>
        <w:spacing w:line="360" w:lineRule="auto"/>
        <w:ind w:firstLine="480" w:firstLineChars="200"/>
        <w:jc w:val="left"/>
        <w:rPr>
          <w:rFonts w:ascii="宋体" w:hAnsi="Times New Roman" w:eastAsia="宋体" w:cs="Times New Roman"/>
          <w:kern w:val="0"/>
          <w:sz w:val="24"/>
          <w:szCs w:val="24"/>
        </w:rPr>
      </w:pPr>
      <w:r>
        <w:rPr>
          <w:rFonts w:ascii="宋体" w:hAnsi="Times New Roman" w:eastAsia="宋体" w:cs="Times New Roman"/>
          <w:kern w:val="0"/>
          <w:sz w:val="24"/>
          <w:szCs w:val="24"/>
        </w:rPr>
        <w:t xml:space="preserve"> 亚硝酰基硝酸钌负载型钌催化剂具有催化活性高、化学选择性好、转化率高且反应条件温的特点，与其他贵金属催化剂相比较还具有价格便宜的优势，在石油化工、制药工程、环境工程以及精细有机合成领域得到了广泛应用。载体、助剂和钌催化前驱体是制备负载型钌催化剂的主要原料，其中钌催化前驱体是影响负载型钌催化剂催化性能最重要因素。由于前驱体中的部分杂质会对催化性能产生抑制作用，因此，在各类钌催化前驱体中，不含卤素元素的亚硝酰基硝酸钌己成为制备负载型钌催化剂最理想的前驱体。</w:t>
      </w:r>
      <w:r>
        <w:rPr>
          <w:rFonts w:hint="eastAsia" w:ascii="宋体" w:hAnsi="Times New Roman" w:eastAsia="宋体" w:cs="Times New Roman"/>
          <w:kern w:val="0"/>
          <w:sz w:val="24"/>
          <w:szCs w:val="24"/>
        </w:rPr>
        <w:t>近年来随着科学技术和经济的快速发展，产品需求量和应用领域也有了较大的提升，因此对质量也提出了更高的要求，为了进一步规范生产、提高产品质量、满足行业使用要求、促进行业的进步，进一步修订产品技术指标变得尤为重要，标准的修订将会进一步规范产品供应市场，利于促进企业生产工艺装备、技术水平、试验检测的升级发展，同时进一步提升</w:t>
      </w:r>
      <w:r>
        <w:rPr>
          <w:rFonts w:ascii="宋体" w:hAnsi="Times New Roman" w:eastAsia="宋体" w:cs="Times New Roman"/>
          <w:kern w:val="0"/>
          <w:sz w:val="24"/>
          <w:szCs w:val="24"/>
        </w:rPr>
        <w:t>亚硝酰基硝酸钌</w:t>
      </w:r>
      <w:r>
        <w:rPr>
          <w:rFonts w:hint="eastAsia" w:ascii="宋体" w:hAnsi="Times New Roman" w:eastAsia="宋体" w:cs="Times New Roman"/>
          <w:kern w:val="0"/>
          <w:sz w:val="24"/>
          <w:szCs w:val="24"/>
        </w:rPr>
        <w:t>的质量，提高该产品的竞争力，无疑具有重要的经济效益和社会效益。现行的</w:t>
      </w:r>
      <w:r>
        <w:rPr>
          <w:rFonts w:ascii="宋体" w:hAnsi="Times New Roman" w:eastAsia="宋体" w:cs="Times New Roman"/>
          <w:kern w:val="0"/>
          <w:sz w:val="24"/>
          <w:szCs w:val="24"/>
        </w:rPr>
        <w:t>亚硝酰基硝酸钌</w:t>
      </w:r>
      <w:r>
        <w:rPr>
          <w:rFonts w:hint="eastAsia" w:ascii="宋体" w:hAnsi="Times New Roman" w:eastAsia="宋体" w:cs="Times New Roman"/>
          <w:kern w:val="0"/>
          <w:sz w:val="24"/>
          <w:szCs w:val="24"/>
        </w:rPr>
        <w:t>标准于2013年发布，至今已有13年之多，已不能满足现有的生产技术和使用需求，为了适应行业发展需求，进一步规范</w:t>
      </w:r>
      <w:r>
        <w:rPr>
          <w:rFonts w:ascii="宋体" w:hAnsi="Times New Roman" w:eastAsia="宋体" w:cs="Times New Roman"/>
          <w:kern w:val="0"/>
          <w:sz w:val="24"/>
          <w:szCs w:val="24"/>
        </w:rPr>
        <w:t>亚硝酰基硝酸钌</w:t>
      </w:r>
      <w:r>
        <w:rPr>
          <w:rFonts w:hint="eastAsia" w:ascii="宋体" w:hAnsi="Times New Roman" w:eastAsia="宋体" w:cs="Times New Roman"/>
          <w:kern w:val="0"/>
          <w:sz w:val="24"/>
          <w:szCs w:val="24"/>
        </w:rPr>
        <w:t>产品的生产、检验、和验收，急需对原标准进行修订，做到国内外标准统一，从而更好的加强与国内外客户之间的交流、沟通、使</w:t>
      </w:r>
      <w:r>
        <w:rPr>
          <w:rFonts w:ascii="宋体" w:hAnsi="Times New Roman" w:eastAsia="宋体" w:cs="Times New Roman"/>
          <w:kern w:val="0"/>
          <w:sz w:val="24"/>
          <w:szCs w:val="24"/>
        </w:rPr>
        <w:t>亚硝酰基硝酸钌</w:t>
      </w:r>
      <w:r>
        <w:rPr>
          <w:rFonts w:hint="eastAsia" w:ascii="宋体" w:hAnsi="Times New Roman" w:eastAsia="宋体" w:cs="Times New Roman"/>
          <w:kern w:val="0"/>
          <w:sz w:val="24"/>
          <w:szCs w:val="24"/>
        </w:rPr>
        <w:t>加工走向国际化提供保障。</w:t>
      </w:r>
    </w:p>
    <w:p w14:paraId="73C2E4B4">
      <w:pPr>
        <w:autoSpaceDE w:val="0"/>
        <w:autoSpaceDN w:val="0"/>
        <w:adjustRightInd w:val="0"/>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本标准修订的各项指标合理，规范产品技术要求满足用户需求，符合生产实际情况，通过本标准的进一步实施，会促进</w:t>
      </w:r>
      <w:r>
        <w:rPr>
          <w:rFonts w:ascii="宋体" w:hAnsi="Times New Roman" w:eastAsia="宋体" w:cs="Times New Roman"/>
          <w:kern w:val="0"/>
          <w:sz w:val="24"/>
          <w:szCs w:val="24"/>
        </w:rPr>
        <w:t>亚硝酰基硝酸钌</w:t>
      </w:r>
      <w:r>
        <w:rPr>
          <w:rFonts w:hint="eastAsia" w:ascii="宋体" w:hAnsi="Times New Roman" w:eastAsia="宋体" w:cs="Times New Roman"/>
          <w:kern w:val="0"/>
          <w:sz w:val="24"/>
          <w:szCs w:val="24"/>
        </w:rPr>
        <w:t>在催化剂行业中应用的推广和水平的提升，引导促进行业市场的良好蓬勃发展。</w:t>
      </w:r>
    </w:p>
    <w:p w14:paraId="45D21733">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5.2 项目的可行性简述</w:t>
      </w:r>
      <w:bookmarkStart w:id="8" w:name="_Hlk139282272"/>
    </w:p>
    <w:p w14:paraId="27D0DE8A">
      <w:pPr>
        <w:widowControl/>
        <w:autoSpaceDE w:val="0"/>
        <w:autoSpaceDN w:val="0"/>
        <w:spacing w:line="360" w:lineRule="auto"/>
        <w:ind w:firstLine="480" w:firstLine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贵研化学材料（云南）有限公司</w:t>
      </w:r>
      <w:bookmarkEnd w:id="8"/>
      <w:r>
        <w:rPr>
          <w:rFonts w:hint="eastAsia" w:ascii="宋体" w:hAnsi="Times New Roman" w:eastAsia="宋体" w:cs="Times New Roman"/>
          <w:kern w:val="0"/>
          <w:sz w:val="24"/>
          <w:szCs w:val="24"/>
        </w:rPr>
        <w:t>是由贵研铂业股份有限公司全资控股的一家子公司，其前身是贵研铂业股份有限公司环境材料事业部。是集贵金属系列功能材料研发、制造、销售于一体的高新技术企业，有各类工程技术和管理人员160余人，是我国目前铂族金属化合物的主要生产基地，产品用户遍布全国各行各业上百家企业。贵研化学材料（云南）有限公司近年来积极研究开发，逐步掌握了多种新型前驱体贵金属化合物的生产制备技术，推向市场的亚硝酰基硝酸钌等产品已被部分厂家使用，效果良好。相关研发技术人员近年来对亚硝酰基硝酸钌生产工艺研究较为深入，解决了一系列合成难点，明确了保证产品质量的关键工艺控制点，合成工艺成熟，产品质量稳定，已建立完整生产线，能进行大批量生产，且修订了该产品的作业指导书，规定了内控标准，相关项目检测方法及手段较为成熟，为后续标准的修订及实施提供了坚实的技术保障，且可提供必要的经费支持。</w:t>
      </w:r>
    </w:p>
    <w:p w14:paraId="12F613E6">
      <w:pPr>
        <w:widowControl/>
        <w:autoSpaceDE w:val="0"/>
        <w:autoSpaceDN w:val="0"/>
        <w:spacing w:line="360" w:lineRule="auto"/>
        <w:rPr>
          <w:rFonts w:ascii="宋体" w:hAnsi="Times New Roman" w:eastAsia="宋体" w:cs="Times New Roman"/>
          <w:kern w:val="0"/>
          <w:sz w:val="24"/>
          <w:szCs w:val="24"/>
        </w:rPr>
      </w:pPr>
      <w:r>
        <w:rPr>
          <w:rFonts w:hint="eastAsia" w:ascii="宋体" w:hAnsi="Times New Roman" w:eastAsia="宋体" w:cs="Times New Roman"/>
          <w:kern w:val="0"/>
          <w:sz w:val="24"/>
          <w:szCs w:val="24"/>
        </w:rPr>
        <w:t>5.3 标准的先进性、创新性、标准实施后预期产生的经济效益和社会效益</w:t>
      </w:r>
    </w:p>
    <w:p w14:paraId="4BFABC49">
      <w:pPr>
        <w:spacing w:line="360" w:lineRule="auto"/>
        <w:ind w:firstLine="480" w:firstLine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本标准规定的技术指标体现了亚硝酰基硝酸钌生产行业发展的最新水平，技术指标先进，检测方法更为科学可靠。</w:t>
      </w:r>
    </w:p>
    <w:p w14:paraId="4EE02794">
      <w:pPr>
        <w:spacing w:line="360" w:lineRule="auto"/>
        <w:ind w:firstLine="480" w:firstLine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本标准所规定的技术指标均优于不同客户对本产品的技术指标要求（参见表二），同时化学成分的试验方法规定中体现了相关检测技术的的最新发展水平，本标准所规定的其它项目如检验规则及标志、包装、运输、贮存、质量证明书和订货单（或合同）内容也能最大限度保护生产及使用厂家的利益。不同生产厂家指标项目实测值（参见表五）基本符合本标准的规定，说明本标准的制定是符合生产实际的。本标准制订的各项指标均能满足国内外大多数生产厂家实际生产情况，又能满足使用厂家的要求。本标准文字简练、条理清晰，制订的各项指标合理、先进，具有实用性、可操作性，能够满足生产和使用需要，确定该标准指标水平为总体国内先进水平。  </w:t>
      </w:r>
    </w:p>
    <w:p w14:paraId="5B529BFA">
      <w:pPr>
        <w:spacing w:line="360" w:lineRule="auto"/>
        <w:ind w:firstLine="480" w:firstLineChars="200"/>
        <w:rPr>
          <w:rFonts w:ascii="宋体" w:hAnsi="Times New Roman" w:eastAsia="宋体" w:cs="Times New Roman"/>
          <w:kern w:val="0"/>
          <w:sz w:val="24"/>
          <w:szCs w:val="24"/>
        </w:rPr>
      </w:pPr>
      <w:r>
        <w:rPr>
          <w:rFonts w:ascii="宋体" w:hAnsi="Times New Roman" w:eastAsia="宋体" w:cs="Times New Roman"/>
          <w:kern w:val="0"/>
          <w:sz w:val="24"/>
          <w:szCs w:val="24"/>
        </w:rPr>
        <w:t>亚硝酰基硝酸钌负载型钌催化剂具有催化活性高、化学选择性好、转化率高且反应条件温的特点，与其他贵金属催化剂相比较还具有价格便宜的优势，在石油化工、制药工程、环境工程以及精细有机合成领域得到了广泛应用。载体、助剂和钌催化前驱体是制备负载型钌催化剂的主要原料，其中钌催化前驱体是影响负载型钌催化剂催化性能最重要因素。由于前驱体中的部分杂质会对催化性能产生抑制作用，因此，在各类钌催化前驱体中，不含卤素元素的亚硝酰基硝酸钌己成为制备负载型钌催化剂最理想的前驱体。</w:t>
      </w:r>
      <w:r>
        <w:rPr>
          <w:rFonts w:hint="eastAsia" w:ascii="宋体" w:hAnsi="Times New Roman" w:eastAsia="宋体" w:cs="Times New Roman"/>
          <w:kern w:val="0"/>
          <w:sz w:val="24"/>
          <w:szCs w:val="24"/>
        </w:rPr>
        <w:t>随着工业技术的进步，行业对产品的使用要求也越来越高，生产厂家的工艺技术、检测技术等也都提高迈入了新台阶，这个时候的进一步修订产品标准恰逢时宜，对整个行业的发展意义深远。</w:t>
      </w:r>
    </w:p>
    <w:p w14:paraId="378D8A2D">
      <w:pPr>
        <w:spacing w:line="360" w:lineRule="auto"/>
        <w:ind w:firstLine="480" w:firstLineChars="200"/>
        <w:rPr>
          <w:rFonts w:ascii="宋体" w:hAnsi="Times New Roman" w:eastAsia="宋体" w:cs="Times New Roman"/>
          <w:kern w:val="0"/>
          <w:sz w:val="24"/>
          <w:szCs w:val="24"/>
        </w:rPr>
      </w:pPr>
      <w:r>
        <w:rPr>
          <w:rFonts w:ascii="宋体" w:hAnsi="Times New Roman" w:eastAsia="宋体" w:cs="Times New Roman"/>
          <w:kern w:val="0"/>
          <w:sz w:val="24"/>
          <w:szCs w:val="24"/>
        </w:rPr>
        <w:t>标准的修订将会进一步规范产品供应市场，利于促进企业生产工艺装备、技术水平、试验检测的升级发展，同时进一步提升</w:t>
      </w:r>
      <w:r>
        <w:rPr>
          <w:rFonts w:hint="eastAsia" w:ascii="宋体" w:hAnsi="Times New Roman" w:eastAsia="宋体" w:cs="Times New Roman"/>
          <w:kern w:val="0"/>
          <w:sz w:val="24"/>
          <w:szCs w:val="24"/>
        </w:rPr>
        <w:t>亚硝酰基硝酸钌</w:t>
      </w:r>
      <w:r>
        <w:rPr>
          <w:rFonts w:ascii="宋体" w:hAnsi="Times New Roman" w:eastAsia="宋体" w:cs="Times New Roman"/>
          <w:kern w:val="0"/>
          <w:sz w:val="24"/>
          <w:szCs w:val="24"/>
        </w:rPr>
        <w:t>的质量，提高该产品的竞争力，</w:t>
      </w:r>
      <w:r>
        <w:rPr>
          <w:rFonts w:hint="eastAsia" w:ascii="宋体" w:hAnsi="Times New Roman" w:eastAsia="宋体" w:cs="Times New Roman"/>
          <w:kern w:val="0"/>
          <w:sz w:val="24"/>
          <w:szCs w:val="24"/>
        </w:rPr>
        <w:t>能</w:t>
      </w:r>
      <w:r>
        <w:rPr>
          <w:rFonts w:ascii="宋体" w:hAnsi="Times New Roman" w:eastAsia="宋体" w:cs="Times New Roman"/>
          <w:kern w:val="0"/>
          <w:sz w:val="24"/>
          <w:szCs w:val="24"/>
        </w:rPr>
        <w:t>促进</w:t>
      </w:r>
      <w:r>
        <w:rPr>
          <w:rFonts w:hint="eastAsia" w:ascii="宋体" w:hAnsi="Times New Roman" w:eastAsia="宋体" w:cs="Times New Roman"/>
          <w:kern w:val="0"/>
          <w:sz w:val="24"/>
          <w:szCs w:val="24"/>
        </w:rPr>
        <w:t>亚硝酰基硝酸钌</w:t>
      </w:r>
      <w:r>
        <w:rPr>
          <w:rFonts w:ascii="宋体" w:hAnsi="Times New Roman" w:eastAsia="宋体" w:cs="Times New Roman"/>
          <w:kern w:val="0"/>
          <w:sz w:val="24"/>
          <w:szCs w:val="24"/>
        </w:rPr>
        <w:t>在催化剂行业中应用的推广和水平的提升，引导促进行业市场的良好蓬勃发展</w:t>
      </w:r>
      <w:r>
        <w:rPr>
          <w:rFonts w:hint="eastAsia" w:ascii="宋体" w:hAnsi="Times New Roman" w:eastAsia="宋体" w:cs="Times New Roman"/>
          <w:kern w:val="0"/>
          <w:sz w:val="24"/>
          <w:szCs w:val="24"/>
        </w:rPr>
        <w:t>，</w:t>
      </w:r>
      <w:r>
        <w:rPr>
          <w:rFonts w:ascii="宋体" w:hAnsi="Times New Roman" w:eastAsia="宋体" w:cs="Times New Roman"/>
          <w:kern w:val="0"/>
          <w:sz w:val="24"/>
          <w:szCs w:val="24"/>
        </w:rPr>
        <w:t>具有</w:t>
      </w:r>
      <w:r>
        <w:rPr>
          <w:rFonts w:hint="eastAsia" w:ascii="宋体" w:hAnsi="Times New Roman" w:eastAsia="宋体" w:cs="Times New Roman"/>
          <w:kern w:val="0"/>
          <w:sz w:val="24"/>
          <w:szCs w:val="24"/>
        </w:rPr>
        <w:t>巨大</w:t>
      </w:r>
      <w:r>
        <w:rPr>
          <w:rFonts w:ascii="宋体" w:hAnsi="Times New Roman" w:eastAsia="宋体" w:cs="Times New Roman"/>
          <w:kern w:val="0"/>
          <w:sz w:val="24"/>
          <w:szCs w:val="24"/>
        </w:rPr>
        <w:t>的经济效益和社会效益。</w:t>
      </w:r>
    </w:p>
    <w:p w14:paraId="42426D15">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六、采用国际标准和国外先进标准的情况</w:t>
      </w:r>
    </w:p>
    <w:p w14:paraId="095F9FD1">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w:t>
      </w:r>
      <w:r>
        <w:rPr>
          <w:rFonts w:hint="eastAsia" w:ascii="宋体" w:hAnsi="Times New Roman" w:eastAsia="宋体" w:cs="Times New Roman"/>
          <w:kern w:val="0"/>
          <w:sz w:val="24"/>
          <w:szCs w:val="24"/>
        </w:rPr>
        <w:t>无采用国际标准和国外先进标准的情况。</w:t>
      </w:r>
    </w:p>
    <w:p w14:paraId="3482B898">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七、与现行相关法律、法规、规章及相关标准，特别是强制性国家标准的协调配套情况</w:t>
      </w:r>
    </w:p>
    <w:p w14:paraId="15F06461">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本标准属于其它有色金属标准体系“贵金属”类产品标准。标准修订时，考虑到与国际标准和规范接轨，在规范性引用文件上按照我国标准体系进行了调整和编辑，并引用我国国家标准的最新版本，在标准的技术要求、试验方法、检验规则、标志、包装、运输和贮存等方面与国内相关标准协调一致；新修订的《亚硝酰基硝酸钌》标准条文精炼表达清楚，技术要求全面、准确、科学、合理；标准的格式和表达方式等方面完全执行了现行的国家标准和有关法规，符合GB/T 1.1的有关要求。本标准完全满足现行国家法规的要求，技术参数要求合理，格式规范，没有现行的法律、法规、规章制度等对其有要求，本领域没有强制性标准。</w:t>
      </w:r>
    </w:p>
    <w:p w14:paraId="4247A9D1">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八、重大分歧意见的处理经过和依据</w:t>
      </w:r>
    </w:p>
    <w:p w14:paraId="524A82D4">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本标准属于有色金属领域专业基础标准，编制组根据起草前确定的编制原则进行了标准起草，标准起草过程中未发生重大分歧意见。</w:t>
      </w:r>
    </w:p>
    <w:p w14:paraId="0F89D8EF">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九、标准性质的建议说明</w:t>
      </w:r>
    </w:p>
    <w:p w14:paraId="3653FB1A">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根据标准化法和有关规定，建议该标准为推荐性有色金属行业产品标准。</w:t>
      </w:r>
    </w:p>
    <w:p w14:paraId="4ED4E9B7">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十、贯彻标准的要求和建议措施</w:t>
      </w:r>
    </w:p>
    <w:p w14:paraId="5916E014">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本标准全面覆盖了亚硝酰基硝酸钌的一般要求，建议相关单位组织专项标准宣贯会进行系统的学习与贯彻实施。</w:t>
      </w:r>
    </w:p>
    <w:p w14:paraId="5D9F4DDC">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本标准属于行业基础标准，对亚硝酰基硝酸钌产品的一般要求进行了约定，对特殊行业用亚硝酰基硝酸钌有特殊要求时，建议供需双方在本标准基础上对特殊要求在订货合同中进行详细的约定或起草专项技术协议。</w:t>
      </w:r>
    </w:p>
    <w:p w14:paraId="437ACEA8">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对于标准使用过程中容易出现的疑问，起草单位有义务进行必要的解释</w:t>
      </w:r>
    </w:p>
    <w:p w14:paraId="5956E5C9">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十一、废止现行相关标准的建议</w:t>
      </w:r>
    </w:p>
    <w:p w14:paraId="0434D3F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本标准发布实施之日起，代替YS/T 755-2011《亚硝酰基硝酸钌》。</w:t>
      </w:r>
    </w:p>
    <w:p w14:paraId="79B40C15">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十二、其他应予说明的事项</w:t>
      </w:r>
    </w:p>
    <w:p w14:paraId="0B4076AC">
      <w:pPr>
        <w:spacing w:line="360" w:lineRule="auto"/>
        <w:ind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本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p>
    <w:p w14:paraId="43154D78">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十三、参考资料清单 </w:t>
      </w:r>
    </w:p>
    <w:p w14:paraId="2349DC26">
      <w:pPr>
        <w:widowControl/>
        <w:autoSpaceDE w:val="0"/>
        <w:autoSpaceDN w:val="0"/>
        <w:spacing w:before="156" w:after="156" w:line="360" w:lineRule="auto"/>
        <w:ind w:firstLine="420"/>
        <w:rPr>
          <w:rFonts w:ascii="宋体" w:hAnsi="Calibri" w:eastAsia="宋体" w:cs="Times New Roman"/>
          <w:kern w:val="0"/>
          <w:sz w:val="24"/>
          <w:szCs w:val="24"/>
        </w:rPr>
      </w:pPr>
      <w:r>
        <w:rPr>
          <w:rFonts w:hint="eastAsia" w:ascii="宋体" w:hAnsi="Calibri" w:eastAsia="宋体" w:cs="Times New Roman"/>
          <w:kern w:val="0"/>
          <w:sz w:val="24"/>
          <w:szCs w:val="24"/>
        </w:rPr>
        <w:t>GB/T 191 包装储运图示标志</w:t>
      </w:r>
    </w:p>
    <w:p w14:paraId="12279685">
      <w:pPr>
        <w:widowControl/>
        <w:autoSpaceDE w:val="0"/>
        <w:autoSpaceDN w:val="0"/>
        <w:spacing w:before="156" w:after="156" w:line="360" w:lineRule="auto"/>
        <w:ind w:firstLine="420"/>
        <w:rPr>
          <w:rFonts w:ascii="宋体" w:hAnsi="Calibri" w:eastAsia="宋体" w:cs="Times New Roman"/>
          <w:kern w:val="0"/>
          <w:sz w:val="24"/>
          <w:szCs w:val="24"/>
        </w:rPr>
      </w:pPr>
      <w:r>
        <w:rPr>
          <w:rFonts w:ascii="宋体" w:hAnsi="Calibri" w:eastAsia="宋体" w:cs="Times New Roman"/>
          <w:kern w:val="0"/>
          <w:sz w:val="24"/>
          <w:szCs w:val="24"/>
        </w:rPr>
        <w:t>GB/T 6680</w:t>
      </w:r>
      <w:r>
        <w:rPr>
          <w:rFonts w:hint="eastAsia" w:ascii="宋体" w:hAnsi="Calibri" w:eastAsia="宋体" w:cs="Times New Roman"/>
          <w:kern w:val="0"/>
          <w:sz w:val="24"/>
          <w:szCs w:val="24"/>
        </w:rPr>
        <w:t>-2003 液体化工产品采样通则</w:t>
      </w:r>
    </w:p>
    <w:p w14:paraId="694516B6">
      <w:pPr>
        <w:widowControl/>
        <w:autoSpaceDE w:val="0"/>
        <w:autoSpaceDN w:val="0"/>
        <w:spacing w:before="156" w:after="156" w:line="360" w:lineRule="auto"/>
        <w:ind w:firstLine="420"/>
        <w:rPr>
          <w:rFonts w:ascii="宋体" w:hAnsi="Calibri" w:eastAsia="宋体" w:cs="Times New Roman"/>
          <w:kern w:val="0"/>
          <w:sz w:val="24"/>
          <w:szCs w:val="24"/>
        </w:rPr>
      </w:pPr>
      <w:r>
        <w:rPr>
          <w:rFonts w:ascii="宋体" w:hAnsi="宋体" w:eastAsia="宋体" w:cs="Times New Roman"/>
          <w:kern w:val="0"/>
          <w:sz w:val="24"/>
          <w:szCs w:val="24"/>
        </w:rPr>
        <w:t>GB/T 8170 数值修约规则与极限数值的表示和判定</w:t>
      </w:r>
    </w:p>
    <w:p w14:paraId="7E4702CC">
      <w:pPr>
        <w:widowControl/>
        <w:autoSpaceDE w:val="0"/>
        <w:autoSpaceDN w:val="0"/>
        <w:spacing w:before="156" w:after="156" w:line="360" w:lineRule="auto"/>
        <w:ind w:left="420" w:left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YS/T 562  贵金属合金化学分析方法   铂钌合金中钌量的测定  硫脲分光光度法</w:t>
      </w:r>
    </w:p>
    <w:p w14:paraId="64EF50DF">
      <w:pPr>
        <w:widowControl/>
        <w:autoSpaceDE w:val="0"/>
        <w:autoSpaceDN w:val="0"/>
        <w:spacing w:before="156" w:after="156" w:line="360" w:lineRule="auto"/>
        <w:ind w:left="420" w:leftChars="200"/>
        <w:rPr>
          <w:rFonts w:ascii="宋体" w:hAnsi="Calibri" w:eastAsia="宋体" w:cs="Times New Roman"/>
          <w:kern w:val="0"/>
          <w:sz w:val="24"/>
          <w:szCs w:val="24"/>
        </w:rPr>
      </w:pPr>
      <w:r>
        <w:rPr>
          <w:rFonts w:ascii="宋体" w:hAnsi="Times New Roman" w:eastAsia="宋体" w:cs="Times New Roman"/>
          <w:kern w:val="0"/>
          <w:sz w:val="24"/>
          <w:szCs w:val="24"/>
        </w:rPr>
        <w:t>YS/T 1502</w:t>
      </w:r>
      <w:r>
        <w:rPr>
          <w:rFonts w:hint="eastAsia" w:ascii="宋体" w:hAnsi="Times New Roman" w:eastAsia="宋体" w:cs="Times New Roman"/>
          <w:kern w:val="0"/>
          <w:sz w:val="24"/>
          <w:szCs w:val="24"/>
        </w:rPr>
        <w:t xml:space="preserve"> 钌化合物化学分析方法 铂、钯、铑、铱、金、银、铜、铁、镍、镁、锰、铅、锌、钙、钠含量的测定 电感耦合等离子体原子发射光普法。</w:t>
      </w:r>
    </w:p>
    <w:p w14:paraId="4BFE74D8">
      <w:pPr>
        <w:spacing w:line="360" w:lineRule="auto"/>
        <w:jc w:val="left"/>
        <w:rPr>
          <w:rFonts w:hint="eastAsia" w:ascii="宋体" w:hAnsi="宋体" w:eastAsia="宋体" w:cs="宋体"/>
          <w:b/>
          <w:bCs/>
          <w:kern w:val="0"/>
          <w:sz w:val="24"/>
          <w:szCs w:val="24"/>
        </w:rPr>
      </w:pPr>
    </w:p>
    <w:p w14:paraId="7BD569A4">
      <w:pPr>
        <w:spacing w:line="360" w:lineRule="auto"/>
        <w:jc w:val="left"/>
        <w:rPr>
          <w:rFonts w:ascii="宋体" w:hAnsi="Times New Roman" w:eastAsia="宋体" w:cs="Times New Roman"/>
          <w:kern w:val="0"/>
          <w:sz w:val="24"/>
          <w:szCs w:val="24"/>
        </w:rPr>
      </w:pPr>
      <w:r>
        <w:rPr>
          <w:rFonts w:hint="eastAsia" w:ascii="宋体" w:hAnsi="宋体" w:eastAsia="宋体" w:cs="宋体"/>
          <w:b/>
          <w:bCs/>
          <w:kern w:val="0"/>
          <w:sz w:val="24"/>
          <w:szCs w:val="24"/>
        </w:rPr>
        <w:t xml:space="preserve">                          </w:t>
      </w:r>
      <w:r>
        <w:rPr>
          <w:rFonts w:hint="eastAsia" w:ascii="宋体" w:hAnsi="Times New Roman" w:eastAsia="宋体" w:cs="Times New Roman"/>
          <w:kern w:val="0"/>
          <w:sz w:val="24"/>
          <w:szCs w:val="24"/>
        </w:rPr>
        <w:t xml:space="preserve">  贵研化学材料（云南）有限公司</w:t>
      </w:r>
    </w:p>
    <w:p w14:paraId="4542BD5A">
      <w:pPr>
        <w:spacing w:line="360" w:lineRule="auto"/>
        <w:ind w:firstLine="3600" w:firstLineChars="15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《亚硝酰基硝酸钌》行业标准起草小组 </w:t>
      </w:r>
    </w:p>
    <w:p w14:paraId="2C66FA71">
      <w:pPr>
        <w:spacing w:line="360" w:lineRule="auto"/>
        <w:ind w:firstLine="4560" w:firstLineChars="19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2024年8月</w:t>
      </w:r>
    </w:p>
    <w:p w14:paraId="05A2853D">
      <w:pPr>
        <w:jc w:val="left"/>
        <w:rPr>
          <w:rFonts w:ascii="宋体" w:hAnsi="Times New Roman" w:eastAsia="宋体" w:cs="Times New Roman"/>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黑体"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0" w:firstLine="0"/>
      </w:pPr>
      <w:rPr>
        <w:rFonts w:hint="eastAsia" w:ascii="黑体" w:hAnsi="Times New Roman" w:eastAsia="黑体"/>
        <w:b/>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14A14DA"/>
    <w:multiLevelType w:val="multilevel"/>
    <w:tmpl w:val="014A14DA"/>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B124CFE"/>
    <w:multiLevelType w:val="multilevel"/>
    <w:tmpl w:val="6B124CFE"/>
    <w:lvl w:ilvl="0" w:tentative="0">
      <w:start w:val="1"/>
      <w:numFmt w:val="japaneseCounting"/>
      <w:pStyle w:val="17"/>
      <w:lvlText w:val="%1、"/>
      <w:lvlJc w:val="left"/>
      <w:pPr>
        <w:ind w:left="876"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11"/>
    <w:rsid w:val="00025FD0"/>
    <w:rsid w:val="00035A6A"/>
    <w:rsid w:val="000644FA"/>
    <w:rsid w:val="00075A01"/>
    <w:rsid w:val="00105E02"/>
    <w:rsid w:val="00115CEF"/>
    <w:rsid w:val="00181ABE"/>
    <w:rsid w:val="001D07D7"/>
    <w:rsid w:val="001D3A22"/>
    <w:rsid w:val="001E0B66"/>
    <w:rsid w:val="00214CCC"/>
    <w:rsid w:val="002541AB"/>
    <w:rsid w:val="00256052"/>
    <w:rsid w:val="00277BE6"/>
    <w:rsid w:val="0036551E"/>
    <w:rsid w:val="003825A5"/>
    <w:rsid w:val="00413C96"/>
    <w:rsid w:val="00486E2C"/>
    <w:rsid w:val="004959A2"/>
    <w:rsid w:val="004C4C14"/>
    <w:rsid w:val="0051332D"/>
    <w:rsid w:val="00533262"/>
    <w:rsid w:val="005A735D"/>
    <w:rsid w:val="00601EDB"/>
    <w:rsid w:val="00611CC2"/>
    <w:rsid w:val="00654C99"/>
    <w:rsid w:val="00696095"/>
    <w:rsid w:val="006A3BA1"/>
    <w:rsid w:val="006A45DE"/>
    <w:rsid w:val="006C4E18"/>
    <w:rsid w:val="006E5871"/>
    <w:rsid w:val="00710FBA"/>
    <w:rsid w:val="00711423"/>
    <w:rsid w:val="00711B44"/>
    <w:rsid w:val="0073465A"/>
    <w:rsid w:val="00735766"/>
    <w:rsid w:val="007468A8"/>
    <w:rsid w:val="00781495"/>
    <w:rsid w:val="007B4F86"/>
    <w:rsid w:val="007D6D86"/>
    <w:rsid w:val="007E4D9E"/>
    <w:rsid w:val="00815311"/>
    <w:rsid w:val="00822AE9"/>
    <w:rsid w:val="008534D2"/>
    <w:rsid w:val="008D5DF0"/>
    <w:rsid w:val="008E42C6"/>
    <w:rsid w:val="009000A3"/>
    <w:rsid w:val="009272FE"/>
    <w:rsid w:val="009308D6"/>
    <w:rsid w:val="009D1619"/>
    <w:rsid w:val="009F1F5D"/>
    <w:rsid w:val="00A011BE"/>
    <w:rsid w:val="00A1250F"/>
    <w:rsid w:val="00A635E4"/>
    <w:rsid w:val="00A9052C"/>
    <w:rsid w:val="00AC0F14"/>
    <w:rsid w:val="00B32B35"/>
    <w:rsid w:val="00BC6C8B"/>
    <w:rsid w:val="00BE687B"/>
    <w:rsid w:val="00BF2180"/>
    <w:rsid w:val="00C01493"/>
    <w:rsid w:val="00C06631"/>
    <w:rsid w:val="00C46B7D"/>
    <w:rsid w:val="00C604E1"/>
    <w:rsid w:val="00C91AB8"/>
    <w:rsid w:val="00C93561"/>
    <w:rsid w:val="00CD4A40"/>
    <w:rsid w:val="00D81919"/>
    <w:rsid w:val="00DB7BE0"/>
    <w:rsid w:val="00DD0745"/>
    <w:rsid w:val="00E171B0"/>
    <w:rsid w:val="00E67C91"/>
    <w:rsid w:val="00E70906"/>
    <w:rsid w:val="00E83E30"/>
    <w:rsid w:val="00EA7E39"/>
    <w:rsid w:val="00F413FC"/>
    <w:rsid w:val="00FA433C"/>
    <w:rsid w:val="00FC1C37"/>
    <w:rsid w:val="00FD2CBA"/>
    <w:rsid w:val="00FF0972"/>
    <w:rsid w:val="00FF58CD"/>
    <w:rsid w:val="29DA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spacing w:before="100" w:beforeAutospacing="1" w:after="100" w:afterAutospacing="1"/>
      <w:jc w:val="left"/>
      <w:outlineLvl w:val="0"/>
    </w:pPr>
    <w:rPr>
      <w:rFonts w:hint="eastAsia" w:ascii="宋体" w:hAnsi="宋体" w:eastAsia="宋体" w:cs="宋体"/>
      <w:bCs/>
      <w:kern w:val="44"/>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unhideWhenUsed/>
    <w:uiPriority w:val="99"/>
    <w:pPr>
      <w:jc w:val="left"/>
    </w:pPr>
    <w:rPr>
      <w:rFonts w:ascii="宋体" w:hAnsi="宋体" w:eastAsia="宋体" w:cs="宋体"/>
      <w:b/>
      <w:bCs/>
      <w:kern w:val="0"/>
      <w:sz w:val="24"/>
      <w:szCs w:val="24"/>
    </w:rPr>
  </w:style>
  <w:style w:type="paragraph" w:styleId="4">
    <w:name w:val="Body Text Indent"/>
    <w:basedOn w:val="1"/>
    <w:link w:val="16"/>
    <w:autoRedefine/>
    <w:qFormat/>
    <w:uiPriority w:val="0"/>
    <w:pPr>
      <w:spacing w:line="360" w:lineRule="auto"/>
      <w:ind w:firstLine="425"/>
      <w:jc w:val="left"/>
    </w:pPr>
    <w:rPr>
      <w:rFonts w:ascii="宋体" w:hAnsi="宋体" w:eastAsia="宋体" w:cs="宋体"/>
      <w:b/>
      <w:bCs/>
      <w:kern w:val="0"/>
      <w:sz w:val="24"/>
      <w:szCs w:val="20"/>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b/>
      <w:bCs/>
      <w:kern w:val="0"/>
      <w:sz w:val="24"/>
      <w:szCs w:val="24"/>
    </w:rPr>
  </w:style>
  <w:style w:type="paragraph" w:styleId="8">
    <w:name w:val="annotation subject"/>
    <w:basedOn w:val="3"/>
    <w:next w:val="3"/>
    <w:link w:val="23"/>
    <w:semiHidden/>
    <w:unhideWhenUsed/>
    <w:uiPriority w:val="99"/>
    <w:rPr>
      <w:b w:val="0"/>
      <w:bCs w:val="0"/>
    </w:rPr>
  </w:style>
  <w:style w:type="table" w:styleId="10">
    <w:name w:val="Table Grid"/>
    <w:basedOn w:val="9"/>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character" w:customStyle="1" w:styleId="13">
    <w:name w:val="页眉 字符"/>
    <w:basedOn w:val="11"/>
    <w:link w:val="6"/>
    <w:uiPriority w:val="99"/>
    <w:rPr>
      <w:sz w:val="18"/>
      <w:szCs w:val="18"/>
    </w:rPr>
  </w:style>
  <w:style w:type="character" w:customStyle="1" w:styleId="14">
    <w:name w:val="页脚 字符"/>
    <w:basedOn w:val="11"/>
    <w:link w:val="5"/>
    <w:uiPriority w:val="99"/>
    <w:rPr>
      <w:sz w:val="18"/>
      <w:szCs w:val="18"/>
    </w:rPr>
  </w:style>
  <w:style w:type="character" w:customStyle="1" w:styleId="15">
    <w:name w:val="标题 1 字符"/>
    <w:basedOn w:val="11"/>
    <w:link w:val="2"/>
    <w:uiPriority w:val="0"/>
    <w:rPr>
      <w:rFonts w:ascii="宋体" w:hAnsi="宋体" w:eastAsia="宋体" w:cs="宋体"/>
      <w:bCs/>
      <w:kern w:val="44"/>
      <w:sz w:val="48"/>
      <w:szCs w:val="48"/>
    </w:rPr>
  </w:style>
  <w:style w:type="character" w:customStyle="1" w:styleId="16">
    <w:name w:val="正文文本缩进 字符"/>
    <w:basedOn w:val="11"/>
    <w:link w:val="4"/>
    <w:qFormat/>
    <w:uiPriority w:val="0"/>
    <w:rPr>
      <w:rFonts w:ascii="宋体" w:hAnsi="宋体" w:eastAsia="宋体" w:cs="宋体"/>
      <w:b/>
      <w:bCs/>
      <w:kern w:val="0"/>
      <w:sz w:val="24"/>
      <w:szCs w:val="20"/>
    </w:rPr>
  </w:style>
  <w:style w:type="paragraph" w:styleId="17">
    <w:name w:val="List Paragraph"/>
    <w:basedOn w:val="1"/>
    <w:autoRedefine/>
    <w:qFormat/>
    <w:uiPriority w:val="34"/>
    <w:pPr>
      <w:numPr>
        <w:ilvl w:val="0"/>
        <w:numId w:val="1"/>
      </w:numPr>
      <w:jc w:val="left"/>
    </w:pPr>
    <w:rPr>
      <w:rFonts w:ascii="宋体" w:hAnsi="宋体" w:eastAsia="宋体" w:cs="宋体"/>
      <w:b/>
      <w:bCs/>
      <w:kern w:val="0"/>
      <w:sz w:val="24"/>
      <w:szCs w:val="24"/>
    </w:rPr>
  </w:style>
  <w:style w:type="paragraph" w:customStyle="1" w:styleId="18">
    <w:name w:val="段"/>
    <w:link w:val="19"/>
    <w:autoRedefine/>
    <w:qFormat/>
    <w:uiPriority w:val="0"/>
    <w:pPr>
      <w:numPr>
        <w:ilvl w:val="0"/>
        <w:numId w:val="2"/>
      </w:numPr>
      <w:autoSpaceDE w:val="0"/>
      <w:autoSpaceDN w:val="0"/>
      <w:spacing w:line="360" w:lineRule="auto"/>
      <w:jc w:val="both"/>
    </w:pPr>
    <w:rPr>
      <w:rFonts w:ascii="宋体" w:hAnsi="Times New Roman" w:eastAsia="宋体" w:cs="Times New Roman"/>
      <w:kern w:val="0"/>
      <w:sz w:val="20"/>
      <w:szCs w:val="20"/>
      <w:lang w:val="en-US" w:eastAsia="zh-CN" w:bidi="ar-SA"/>
    </w:rPr>
  </w:style>
  <w:style w:type="character" w:customStyle="1" w:styleId="19">
    <w:name w:val="段 Char"/>
    <w:basedOn w:val="11"/>
    <w:link w:val="18"/>
    <w:autoRedefine/>
    <w:qFormat/>
    <w:uiPriority w:val="0"/>
    <w:rPr>
      <w:rFonts w:ascii="宋体" w:hAnsi="Times New Roman" w:eastAsia="宋体" w:cs="Times New Roman"/>
      <w:kern w:val="0"/>
      <w:sz w:val="20"/>
      <w:szCs w:val="20"/>
    </w:rPr>
  </w:style>
  <w:style w:type="paragraph" w:customStyle="1" w:styleId="20">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1">
    <w:name w:val="二级条标题"/>
    <w:basedOn w:val="1"/>
    <w:next w:val="18"/>
    <w:qFormat/>
    <w:uiPriority w:val="0"/>
    <w:pPr>
      <w:widowControl/>
      <w:spacing w:beforeLines="50" w:afterLines="50"/>
      <w:jc w:val="left"/>
      <w:outlineLvl w:val="3"/>
    </w:pPr>
    <w:rPr>
      <w:rFonts w:ascii="黑体" w:eastAsia="黑体"/>
      <w:b/>
      <w:bCs/>
      <w:kern w:val="0"/>
      <w:sz w:val="24"/>
    </w:rPr>
  </w:style>
  <w:style w:type="character" w:customStyle="1" w:styleId="22">
    <w:name w:val="批注文字 字符"/>
    <w:basedOn w:val="11"/>
    <w:link w:val="3"/>
    <w:uiPriority w:val="99"/>
    <w:rPr>
      <w:rFonts w:ascii="宋体" w:hAnsi="宋体" w:eastAsia="宋体" w:cs="宋体"/>
      <w:b/>
      <w:bCs/>
      <w:kern w:val="0"/>
      <w:sz w:val="24"/>
      <w:szCs w:val="24"/>
    </w:rPr>
  </w:style>
  <w:style w:type="character" w:customStyle="1" w:styleId="23">
    <w:name w:val="批注主题 字符"/>
    <w:basedOn w:val="22"/>
    <w:link w:val="8"/>
    <w:semiHidden/>
    <w:qFormat/>
    <w:uiPriority w:val="99"/>
    <w:rPr>
      <w:rFonts w:ascii="宋体" w:hAnsi="宋体" w:eastAsia="宋体" w:cs="宋体"/>
      <w:b w:val="0"/>
      <w:bCs w:val="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10036</Words>
  <Characters>11647</Characters>
  <Lines>91</Lines>
  <Paragraphs>25</Paragraphs>
  <TotalTime>1197</TotalTime>
  <ScaleCrop>false</ScaleCrop>
  <LinksUpToDate>false</LinksUpToDate>
  <CharactersWithSpaces>12382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2024-09-06T05:38:00Z</dcterms:created>
  <dc:creator>许明明</dc:creator>
  <cp:lastModifiedBy>雪隐鹭鸶</cp:lastModifiedBy>
  <dcterms:modified xsi:type="dcterms:W3CDTF">2024-09-20T00:16:16Z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1B5877276DCC498E8AF6188986235537_13</vt:lpwstr>
  </property>
</Properties>
</file>