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B06C5">
      <w:pPr>
        <w:spacing w:line="360" w:lineRule="auto"/>
        <w:jc w:val="center"/>
        <w:rPr>
          <w:rFonts w:eastAsia="黑体"/>
          <w:sz w:val="32"/>
          <w:szCs w:val="32"/>
        </w:rPr>
      </w:pPr>
      <w:r>
        <w:rPr>
          <w:rFonts w:hint="eastAsia" w:eastAsia="黑体"/>
          <w:sz w:val="32"/>
          <w:szCs w:val="32"/>
          <w:lang w:val="en-US" w:eastAsia="zh-CN"/>
        </w:rPr>
        <w:t>国家</w:t>
      </w:r>
      <w:r>
        <w:rPr>
          <w:rFonts w:eastAsia="黑体"/>
          <w:sz w:val="32"/>
          <w:szCs w:val="32"/>
        </w:rPr>
        <w:t>标准《</w:t>
      </w:r>
      <w:r>
        <w:rPr>
          <w:rFonts w:hint="eastAsia" w:eastAsia="黑体"/>
          <w:sz w:val="32"/>
          <w:szCs w:val="32"/>
          <w:lang w:val="en-US" w:eastAsia="zh-CN"/>
        </w:rPr>
        <w:t>铽镝铁磁致伸缩材料</w:t>
      </w:r>
      <w:r>
        <w:rPr>
          <w:rFonts w:eastAsia="黑体"/>
          <w:sz w:val="32"/>
          <w:szCs w:val="32"/>
        </w:rPr>
        <w:t>》</w:t>
      </w:r>
      <w:r>
        <w:rPr>
          <w:rFonts w:hint="eastAsia" w:eastAsia="黑体"/>
          <w:sz w:val="32"/>
          <w:szCs w:val="32"/>
          <w:lang w:val="en-US" w:eastAsia="zh-CN"/>
        </w:rPr>
        <w:t>送</w:t>
      </w:r>
      <w:bookmarkStart w:id="0" w:name="_GoBack"/>
      <w:bookmarkEnd w:id="0"/>
      <w:r>
        <w:rPr>
          <w:rFonts w:hint="eastAsia" w:eastAsia="黑体"/>
          <w:sz w:val="32"/>
          <w:szCs w:val="32"/>
          <w:lang w:val="en-US" w:eastAsia="zh-CN"/>
        </w:rPr>
        <w:t>审</w:t>
      </w:r>
      <w:r>
        <w:rPr>
          <w:rFonts w:eastAsia="黑体"/>
          <w:sz w:val="32"/>
          <w:szCs w:val="32"/>
        </w:rPr>
        <w:t>稿编制说明</w:t>
      </w:r>
    </w:p>
    <w:p w14:paraId="0A36FC9D">
      <w:pPr>
        <w:adjustRightInd w:val="0"/>
        <w:snapToGrid w:val="0"/>
        <w:spacing w:line="520" w:lineRule="exact"/>
        <w:rPr>
          <w:rFonts w:eastAsia="黑体"/>
          <w:sz w:val="24"/>
          <w:szCs w:val="24"/>
        </w:rPr>
      </w:pPr>
      <w:r>
        <w:rPr>
          <w:rFonts w:eastAsia="黑体"/>
          <w:sz w:val="24"/>
          <w:szCs w:val="24"/>
        </w:rPr>
        <w:t>一、工作简况</w:t>
      </w:r>
    </w:p>
    <w:p w14:paraId="08A749D8">
      <w:pPr>
        <w:tabs>
          <w:tab w:val="left" w:pos="522"/>
        </w:tabs>
        <w:adjustRightInd w:val="0"/>
        <w:snapToGrid w:val="0"/>
        <w:spacing w:line="520" w:lineRule="exact"/>
        <w:jc w:val="left"/>
        <w:rPr>
          <w:rFonts w:eastAsia="黑体"/>
          <w:sz w:val="24"/>
          <w:szCs w:val="24"/>
        </w:rPr>
      </w:pPr>
      <w:r>
        <w:rPr>
          <w:rFonts w:eastAsia="黑体"/>
          <w:sz w:val="24"/>
          <w:szCs w:val="24"/>
        </w:rPr>
        <w:t>1.1立项的目的和意义</w:t>
      </w:r>
    </w:p>
    <w:p w14:paraId="17B8187B">
      <w:pPr>
        <w:adjustRightInd w:val="0"/>
        <w:snapToGrid w:val="0"/>
        <w:spacing w:line="520" w:lineRule="exact"/>
        <w:ind w:firstLine="480" w:firstLineChars="200"/>
        <w:rPr>
          <w:sz w:val="24"/>
          <w:szCs w:val="24"/>
        </w:rPr>
      </w:pPr>
      <w:r>
        <w:rPr>
          <w:rFonts w:hint="eastAsia"/>
          <w:sz w:val="24"/>
          <w:szCs w:val="24"/>
          <w:lang w:eastAsia="zh-CN"/>
        </w:rPr>
        <w:t>铽镝铁磁致伸缩材料</w:t>
      </w:r>
      <w:r>
        <w:rPr>
          <w:rFonts w:hint="eastAsia"/>
          <w:sz w:val="24"/>
          <w:szCs w:val="24"/>
        </w:rPr>
        <w:t>是一种极其重要的功能材料。</w:t>
      </w:r>
      <w:r>
        <w:rPr>
          <w:rFonts w:hint="eastAsia"/>
          <w:sz w:val="24"/>
          <w:szCs w:val="24"/>
          <w:lang w:eastAsia="zh-CN"/>
        </w:rPr>
        <w:t>铽镝铁磁致伸缩材料</w:t>
      </w:r>
      <w:r>
        <w:rPr>
          <w:sz w:val="24"/>
          <w:szCs w:val="24"/>
        </w:rPr>
        <w:t>在磁场作用下，其长度发生变化，可发生位移</w:t>
      </w:r>
      <w:r>
        <w:rPr>
          <w:rFonts w:hint="eastAsia"/>
          <w:sz w:val="24"/>
          <w:szCs w:val="24"/>
        </w:rPr>
        <w:t>、力</w:t>
      </w:r>
      <w:r>
        <w:rPr>
          <w:sz w:val="24"/>
          <w:szCs w:val="24"/>
        </w:rPr>
        <w:t>而做功</w:t>
      </w:r>
      <w:r>
        <w:rPr>
          <w:rFonts w:hint="eastAsia"/>
          <w:sz w:val="24"/>
          <w:szCs w:val="24"/>
        </w:rPr>
        <w:t>，</w:t>
      </w:r>
      <w:r>
        <w:rPr>
          <w:sz w:val="24"/>
          <w:szCs w:val="24"/>
        </w:rPr>
        <w:t>在交变磁场作用可发生反复伸张与缩短，从而产生振动或声波</w:t>
      </w:r>
      <w:r>
        <w:rPr>
          <w:rFonts w:hint="eastAsia"/>
          <w:sz w:val="24"/>
          <w:szCs w:val="24"/>
        </w:rPr>
        <w:t>。同时，磁致伸缩</w:t>
      </w:r>
      <w:r>
        <w:rPr>
          <w:sz w:val="24"/>
          <w:szCs w:val="24"/>
        </w:rPr>
        <w:t>材料可将电磁能转换</w:t>
      </w:r>
      <w:r>
        <w:rPr>
          <w:rFonts w:hint="eastAsia"/>
          <w:sz w:val="24"/>
          <w:szCs w:val="24"/>
        </w:rPr>
        <w:t>为</w:t>
      </w:r>
      <w:r>
        <w:rPr>
          <w:sz w:val="24"/>
          <w:szCs w:val="24"/>
        </w:rPr>
        <w:t>机械能或声能，相反也可以将机械能转换成电磁能，是重要的能量与信息转换功能材料。</w:t>
      </w:r>
    </w:p>
    <w:p w14:paraId="25E3C8CB">
      <w:pPr>
        <w:adjustRightInd w:val="0"/>
        <w:snapToGrid w:val="0"/>
        <w:spacing w:line="520" w:lineRule="exact"/>
        <w:ind w:firstLine="480" w:firstLineChars="200"/>
        <w:rPr>
          <w:sz w:val="24"/>
          <w:szCs w:val="24"/>
        </w:rPr>
      </w:pPr>
      <w:r>
        <w:rPr>
          <w:rFonts w:hint="eastAsia"/>
          <w:sz w:val="24"/>
          <w:szCs w:val="24"/>
          <w:lang w:eastAsia="zh-CN"/>
        </w:rPr>
        <w:t>铽镝铁磁致伸缩材料</w:t>
      </w:r>
      <w:r>
        <w:rPr>
          <w:sz w:val="24"/>
          <w:szCs w:val="24"/>
        </w:rPr>
        <w:t>在</w:t>
      </w:r>
      <w:r>
        <w:rPr>
          <w:rFonts w:hint="eastAsia"/>
          <w:sz w:val="24"/>
          <w:szCs w:val="24"/>
        </w:rPr>
        <w:t>声呐，</w:t>
      </w:r>
      <w:r>
        <w:rPr>
          <w:sz w:val="24"/>
          <w:szCs w:val="24"/>
        </w:rPr>
        <w:t>水声换能器技术，电声换能器技术、海洋探测与开发技术、微位移驱动、减振与防振、减噪与防噪系统、智能机翼、机器人、自动化技术、燃油喷射技术、阀门、泵、波动采油等高技术领域</w:t>
      </w:r>
      <w:r>
        <w:rPr>
          <w:rFonts w:hint="eastAsia"/>
          <w:sz w:val="24"/>
          <w:szCs w:val="24"/>
          <w:lang w:val="en-US" w:eastAsia="zh-CN"/>
        </w:rPr>
        <w:t>具有广泛的应用</w:t>
      </w:r>
      <w:r>
        <w:rPr>
          <w:sz w:val="24"/>
          <w:szCs w:val="24"/>
        </w:rPr>
        <w:t>。</w:t>
      </w:r>
      <w:r>
        <w:rPr>
          <w:rFonts w:hint="eastAsia"/>
          <w:sz w:val="24"/>
          <w:szCs w:val="24"/>
        </w:rPr>
        <w:t>同时</w:t>
      </w:r>
      <w:r>
        <w:rPr>
          <w:rFonts w:hint="eastAsia"/>
          <w:sz w:val="24"/>
          <w:szCs w:val="24"/>
          <w:lang w:eastAsia="zh-CN"/>
        </w:rPr>
        <w:t>铽镝铁磁致伸缩材料</w:t>
      </w:r>
      <w:r>
        <w:rPr>
          <w:rFonts w:hint="eastAsia"/>
          <w:sz w:val="24"/>
          <w:szCs w:val="24"/>
        </w:rPr>
        <w:t>在磁场、力等传感器领域也展现了</w:t>
      </w:r>
      <w:r>
        <w:rPr>
          <w:rFonts w:hint="eastAsia"/>
          <w:sz w:val="24"/>
          <w:szCs w:val="24"/>
          <w:lang w:val="en-US" w:eastAsia="zh-CN"/>
        </w:rPr>
        <w:t>出色</w:t>
      </w:r>
      <w:r>
        <w:rPr>
          <w:rFonts w:hint="eastAsia"/>
          <w:sz w:val="24"/>
          <w:szCs w:val="24"/>
        </w:rPr>
        <w:t>的应用前景。</w:t>
      </w:r>
    </w:p>
    <w:p w14:paraId="116B23F1">
      <w:pPr>
        <w:adjustRightInd w:val="0"/>
        <w:snapToGrid w:val="0"/>
        <w:spacing w:line="520" w:lineRule="exact"/>
        <w:ind w:firstLine="480" w:firstLineChars="200"/>
        <w:rPr>
          <w:sz w:val="24"/>
          <w:szCs w:val="24"/>
        </w:rPr>
      </w:pPr>
      <w:r>
        <w:rPr>
          <w:rFonts w:hint="eastAsia"/>
          <w:sz w:val="24"/>
          <w:szCs w:val="24"/>
        </w:rPr>
        <w:t>随着</w:t>
      </w:r>
      <w:r>
        <w:rPr>
          <w:rFonts w:hint="eastAsia"/>
          <w:sz w:val="24"/>
          <w:szCs w:val="24"/>
          <w:lang w:eastAsia="zh-CN"/>
        </w:rPr>
        <w:t>铽镝铁磁致伸缩材料</w:t>
      </w:r>
      <w:r>
        <w:rPr>
          <w:rFonts w:hint="eastAsia"/>
          <w:sz w:val="24"/>
          <w:szCs w:val="24"/>
        </w:rPr>
        <w:t>研究的不断进展，其各类性能指标及测试表征方法在原有基础上都有所提高，包括磁致伸缩系数，尺寸、磁致伸缩温度系数等。一定磁场下的磁致伸缩系数有较大提升</w:t>
      </w:r>
      <w:r>
        <w:rPr>
          <w:rFonts w:hint="eastAsia"/>
          <w:sz w:val="24"/>
          <w:szCs w:val="24"/>
          <w:lang w:eastAsia="zh-CN"/>
        </w:rPr>
        <w:t>，</w:t>
      </w:r>
      <w:r>
        <w:rPr>
          <w:rFonts w:hint="eastAsia"/>
          <w:sz w:val="24"/>
          <w:szCs w:val="24"/>
        </w:rPr>
        <w:t>市场常见的铽镝铁棒最大直径从原来的3</w:t>
      </w:r>
      <w:r>
        <w:rPr>
          <w:sz w:val="24"/>
          <w:szCs w:val="24"/>
        </w:rPr>
        <w:t>0</w:t>
      </w:r>
      <w:r>
        <w:rPr>
          <w:rFonts w:hint="eastAsia"/>
          <w:sz w:val="24"/>
          <w:szCs w:val="24"/>
        </w:rPr>
        <w:t>mm增长到现在的7</w:t>
      </w:r>
      <w:r>
        <w:rPr>
          <w:sz w:val="24"/>
          <w:szCs w:val="24"/>
        </w:rPr>
        <w:t>0</w:t>
      </w:r>
      <w:r>
        <w:rPr>
          <w:rFonts w:hint="eastAsia"/>
          <w:sz w:val="24"/>
          <w:szCs w:val="24"/>
        </w:rPr>
        <w:t>mm甚至更大。</w:t>
      </w:r>
    </w:p>
    <w:p w14:paraId="491AB54F">
      <w:pPr>
        <w:adjustRightInd w:val="0"/>
        <w:snapToGrid w:val="0"/>
        <w:spacing w:line="520" w:lineRule="exact"/>
        <w:ind w:firstLine="480" w:firstLineChars="200"/>
        <w:rPr>
          <w:sz w:val="24"/>
          <w:szCs w:val="24"/>
        </w:rPr>
      </w:pPr>
      <w:r>
        <w:rPr>
          <w:rFonts w:hint="eastAsia"/>
          <w:sz w:val="24"/>
          <w:szCs w:val="24"/>
          <w:lang w:eastAsia="zh-CN"/>
        </w:rPr>
        <w:t>铽镝铁磁致伸缩材料</w:t>
      </w:r>
      <w:r>
        <w:rPr>
          <w:rFonts w:hint="eastAsia"/>
          <w:sz w:val="24"/>
          <w:szCs w:val="24"/>
        </w:rPr>
        <w:t>应用领域的不断扩展</w:t>
      </w:r>
      <w:r>
        <w:rPr>
          <w:rFonts w:hint="eastAsia"/>
          <w:sz w:val="24"/>
          <w:szCs w:val="24"/>
          <w:lang w:val="en-US" w:eastAsia="zh-CN"/>
        </w:rPr>
        <w:t>以及</w:t>
      </w:r>
      <w:r>
        <w:rPr>
          <w:rFonts w:hint="eastAsia"/>
          <w:sz w:val="24"/>
          <w:szCs w:val="24"/>
        </w:rPr>
        <w:t>具体应用器件的产品化都对</w:t>
      </w:r>
      <w:r>
        <w:rPr>
          <w:rFonts w:hint="eastAsia"/>
          <w:sz w:val="24"/>
          <w:szCs w:val="24"/>
          <w:lang w:eastAsia="zh-CN"/>
        </w:rPr>
        <w:t>铽镝铁磁致伸缩材料</w:t>
      </w:r>
      <w:r>
        <w:rPr>
          <w:rFonts w:hint="eastAsia"/>
          <w:sz w:val="24"/>
          <w:szCs w:val="24"/>
        </w:rPr>
        <w:t>提出了</w:t>
      </w:r>
      <w:r>
        <w:rPr>
          <w:rFonts w:hint="eastAsia"/>
          <w:sz w:val="24"/>
          <w:szCs w:val="24"/>
          <w:lang w:val="en-US" w:eastAsia="zh-CN"/>
        </w:rPr>
        <w:t>进一步</w:t>
      </w:r>
      <w:r>
        <w:rPr>
          <w:rFonts w:hint="eastAsia"/>
          <w:sz w:val="24"/>
          <w:szCs w:val="24"/>
        </w:rPr>
        <w:t>的要求，如更加细致的磁致伸缩性能的划分、更准确的磁致伸缩应变率的测量，对磁致伸缩温度系数的要求等。更加细致的磁致伸缩系数划分直接关系到磁致伸缩器件的一致性与稳定性；准确的磁致伸缩应变率与磁致伸缩主动执行类器件的输出性能密切相关；磁致伸缩温度系数具有非常重要的意义，</w:t>
      </w:r>
      <w:r>
        <w:rPr>
          <w:rFonts w:hint="eastAsia"/>
          <w:sz w:val="24"/>
          <w:szCs w:val="24"/>
          <w:lang w:eastAsia="zh-CN"/>
        </w:rPr>
        <w:t>铽镝铁磁致伸缩材料</w:t>
      </w:r>
      <w:r>
        <w:rPr>
          <w:rFonts w:hint="eastAsia"/>
          <w:sz w:val="24"/>
          <w:szCs w:val="24"/>
        </w:rPr>
        <w:t>的磁致伸缩性能受温度影响</w:t>
      </w:r>
      <w:r>
        <w:rPr>
          <w:rFonts w:hint="eastAsia"/>
          <w:sz w:val="24"/>
          <w:szCs w:val="24"/>
          <w:lang w:val="en-US" w:eastAsia="zh-CN"/>
        </w:rPr>
        <w:t>极大</w:t>
      </w:r>
      <w:r>
        <w:rPr>
          <w:rFonts w:hint="eastAsia"/>
          <w:sz w:val="24"/>
          <w:szCs w:val="24"/>
        </w:rPr>
        <w:t>，而作为产品在具体应用端使用时，温度变化是难以避免的，温度变化带来磁致伸缩系数的改变直接影响器件的精度及稳定性，所以应用端对</w:t>
      </w:r>
      <w:r>
        <w:rPr>
          <w:rFonts w:hint="eastAsia"/>
          <w:sz w:val="24"/>
          <w:szCs w:val="24"/>
          <w:lang w:eastAsia="zh-CN"/>
        </w:rPr>
        <w:t>铽镝铁磁致伸缩材料</w:t>
      </w:r>
      <w:r>
        <w:rPr>
          <w:rFonts w:hint="eastAsia"/>
          <w:sz w:val="24"/>
          <w:szCs w:val="24"/>
        </w:rPr>
        <w:t>提出了小磁致伸缩温度系数的要求。</w:t>
      </w:r>
    </w:p>
    <w:p w14:paraId="635E4425">
      <w:pPr>
        <w:adjustRightInd w:val="0"/>
        <w:snapToGrid w:val="0"/>
        <w:spacing w:line="520" w:lineRule="exact"/>
        <w:ind w:firstLine="480" w:firstLineChars="200"/>
        <w:rPr>
          <w:rFonts w:hint="eastAsia"/>
          <w:sz w:val="24"/>
          <w:szCs w:val="24"/>
        </w:rPr>
      </w:pPr>
      <w:r>
        <w:rPr>
          <w:rFonts w:hint="eastAsia"/>
          <w:sz w:val="24"/>
          <w:szCs w:val="24"/>
        </w:rPr>
        <w:t>随着</w:t>
      </w:r>
      <w:r>
        <w:rPr>
          <w:rFonts w:hint="eastAsia"/>
          <w:sz w:val="24"/>
          <w:szCs w:val="24"/>
          <w:lang w:eastAsia="zh-CN"/>
        </w:rPr>
        <w:t>铽镝铁磁致伸缩材料</w:t>
      </w:r>
      <w:r>
        <w:rPr>
          <w:rFonts w:hint="eastAsia"/>
          <w:sz w:val="24"/>
          <w:szCs w:val="24"/>
        </w:rPr>
        <w:t>研究及市场的不断进展，已有的产品标准在牌号、性能指标等方面已不能满足现有市场需求。修订</w:t>
      </w:r>
      <w:r>
        <w:rPr>
          <w:rFonts w:hint="eastAsia"/>
          <w:sz w:val="24"/>
          <w:szCs w:val="24"/>
          <w:lang w:eastAsia="zh-CN"/>
        </w:rPr>
        <w:t>铽镝铁磁致伸缩材料</w:t>
      </w:r>
      <w:r>
        <w:rPr>
          <w:rFonts w:hint="eastAsia"/>
          <w:sz w:val="24"/>
          <w:szCs w:val="24"/>
        </w:rPr>
        <w:t>产品标准，对规范</w:t>
      </w:r>
      <w:r>
        <w:rPr>
          <w:rFonts w:hint="eastAsia"/>
          <w:sz w:val="24"/>
          <w:szCs w:val="24"/>
          <w:lang w:eastAsia="zh-CN"/>
        </w:rPr>
        <w:t>铽镝铁磁致伸缩材料</w:t>
      </w:r>
      <w:r>
        <w:rPr>
          <w:rFonts w:hint="eastAsia"/>
          <w:sz w:val="24"/>
          <w:szCs w:val="24"/>
        </w:rPr>
        <w:t>产品，推动</w:t>
      </w:r>
      <w:r>
        <w:rPr>
          <w:rFonts w:hint="eastAsia"/>
          <w:sz w:val="24"/>
          <w:szCs w:val="24"/>
          <w:lang w:eastAsia="zh-CN"/>
        </w:rPr>
        <w:t>铽镝铁磁致伸缩材料</w:t>
      </w:r>
      <w:r>
        <w:rPr>
          <w:rFonts w:hint="eastAsia"/>
          <w:sz w:val="24"/>
          <w:szCs w:val="24"/>
        </w:rPr>
        <w:t>市场化应用具有重要意义。</w:t>
      </w:r>
    </w:p>
    <w:p w14:paraId="6D7471CE">
      <w:pPr>
        <w:tabs>
          <w:tab w:val="left" w:pos="522"/>
        </w:tabs>
        <w:adjustRightInd w:val="0"/>
        <w:snapToGrid w:val="0"/>
        <w:spacing w:line="520" w:lineRule="exact"/>
        <w:jc w:val="left"/>
        <w:rPr>
          <w:rFonts w:eastAsia="黑体"/>
          <w:sz w:val="24"/>
          <w:szCs w:val="24"/>
        </w:rPr>
      </w:pPr>
      <w:r>
        <w:rPr>
          <w:rFonts w:eastAsia="黑体"/>
          <w:sz w:val="24"/>
          <w:szCs w:val="24"/>
        </w:rPr>
        <w:t>1.2任务来源</w:t>
      </w:r>
    </w:p>
    <w:p w14:paraId="0C5CAAED">
      <w:pPr>
        <w:adjustRightInd w:val="0"/>
        <w:snapToGrid w:val="0"/>
        <w:spacing w:line="520" w:lineRule="exact"/>
        <w:ind w:firstLine="480" w:firstLineChars="200"/>
        <w:rPr>
          <w:rFonts w:hint="default"/>
          <w:sz w:val="24"/>
          <w:szCs w:val="24"/>
          <w:lang w:val="en-US" w:eastAsia="zh-CN"/>
        </w:rPr>
      </w:pPr>
      <w:r>
        <w:rPr>
          <w:rFonts w:hint="eastAsia"/>
          <w:sz w:val="24"/>
          <w:szCs w:val="24"/>
          <w:lang w:val="en-US" w:eastAsia="zh-CN"/>
        </w:rPr>
        <w:t>根据《关于印发《稀土复合钇锆陶瓷粉》等 24 项国家、行业标准计划任务落实会议纪要的通知》（稀土标委[2024]6号），国家标准制修订计划正式下达，项目编号为20230778-T-469，完成年限为2024年。</w:t>
      </w:r>
    </w:p>
    <w:p w14:paraId="2F9B5981">
      <w:pPr>
        <w:adjustRightInd w:val="0"/>
        <w:snapToGrid w:val="0"/>
        <w:spacing w:line="520" w:lineRule="exact"/>
        <w:ind w:firstLine="480" w:firstLineChars="200"/>
        <w:rPr>
          <w:rFonts w:hint="eastAsia"/>
          <w:sz w:val="24"/>
          <w:szCs w:val="24"/>
          <w:lang w:val="en-US" w:eastAsia="zh-CN"/>
        </w:rPr>
      </w:pPr>
      <w:r>
        <w:rPr>
          <w:rFonts w:hint="eastAsia"/>
          <w:sz w:val="24"/>
          <w:szCs w:val="24"/>
          <w:lang w:val="en-US" w:eastAsia="zh-CN"/>
        </w:rPr>
        <w:t>任务承担单位：包头稀土新材料技术研发中心、有研稀土新材料股份有限公司、中国北方稀土(集团)高科技股份有限公司、中国计量科学研究院、北京中科三环高技术股份有限公司、国瑞科创稀土功能材料(赣州)有限公司、信丰县包钢新利稀土有限责任公司、钢铁研究总院、河北工业大学、有研稀土高技术有限公司、西安交通大学。（部分参加单位仍正在与稀土标准委员会沟通，未记录至会议纪要上，包括北京科技大学、浙江大学、</w:t>
      </w:r>
      <w:r>
        <w:rPr>
          <w:rFonts w:hint="eastAsia" w:ascii="Times New Roman" w:hAnsi="Times New Roman" w:eastAsia="宋体" w:cs="Times New Roman"/>
          <w:sz w:val="24"/>
          <w:lang w:val="en-US" w:eastAsia="zh-CN"/>
        </w:rPr>
        <w:t>杭州应用声学研究所（中国船舶重工集团公司第七一五研究所）</w:t>
      </w:r>
      <w:r>
        <w:rPr>
          <w:rFonts w:hint="eastAsia" w:cs="Times New Roman"/>
          <w:sz w:val="24"/>
          <w:lang w:val="en-US" w:eastAsia="zh-CN"/>
        </w:rPr>
        <w:t>、沈阳工业大学</w:t>
      </w:r>
      <w:r>
        <w:rPr>
          <w:rFonts w:hint="eastAsia" w:ascii="Times New Roman" w:hAnsi="Times New Roman" w:eastAsia="宋体" w:cs="Times New Roman"/>
          <w:sz w:val="24"/>
          <w:lang w:val="en-US" w:eastAsia="zh-CN"/>
        </w:rPr>
        <w:t>；</w:t>
      </w:r>
      <w:r>
        <w:rPr>
          <w:rFonts w:hint="eastAsia"/>
          <w:sz w:val="24"/>
          <w:szCs w:val="24"/>
          <w:lang w:val="en-US" w:eastAsia="zh-CN"/>
        </w:rPr>
        <w:t>北京航空航天大学刘敬华、</w:t>
      </w:r>
      <w:r>
        <w:rPr>
          <w:rFonts w:hint="eastAsia"/>
          <w:sz w:val="24"/>
          <w:lang w:val="en-US" w:eastAsia="zh-CN"/>
        </w:rPr>
        <w:t>中国科学院声学研究所刘永平以个人名义参与。</w:t>
      </w:r>
      <w:r>
        <w:rPr>
          <w:rFonts w:hint="eastAsia"/>
          <w:sz w:val="24"/>
          <w:szCs w:val="24"/>
          <w:lang w:val="en-US" w:eastAsia="zh-CN"/>
        </w:rPr>
        <w:t>）</w:t>
      </w:r>
    </w:p>
    <w:p w14:paraId="54864E6D">
      <w:pPr>
        <w:adjustRightInd w:val="0"/>
        <w:snapToGrid w:val="0"/>
        <w:spacing w:line="520" w:lineRule="exact"/>
        <w:ind w:firstLine="480" w:firstLineChars="200"/>
        <w:rPr>
          <w:rFonts w:eastAsia="黑体"/>
          <w:sz w:val="24"/>
          <w:szCs w:val="24"/>
        </w:rPr>
      </w:pPr>
      <w:r>
        <w:rPr>
          <w:rFonts w:eastAsia="黑体"/>
          <w:sz w:val="24"/>
          <w:szCs w:val="24"/>
        </w:rPr>
        <w:t>1.3起草单位</w:t>
      </w:r>
    </w:p>
    <w:p w14:paraId="38C31F67">
      <w:pPr>
        <w:spacing w:line="520" w:lineRule="exact"/>
        <w:ind w:firstLine="480" w:firstLineChars="200"/>
        <w:rPr>
          <w:color w:val="000000"/>
          <w:sz w:val="24"/>
          <w:szCs w:val="24"/>
        </w:rPr>
      </w:pPr>
      <w:r>
        <w:rPr>
          <w:color w:val="000000"/>
          <w:sz w:val="24"/>
          <w:szCs w:val="24"/>
        </w:rPr>
        <w:t>项目承担单位包头稀土研究院于1960年按照聂荣臻副总理指示筹建，目前是全国最大的综合性稀土科技研发机构。研究院是以稀土资源的综合开发、利用为宗旨，以稀土冶金、环境保护、新型稀土功能材料及在高新技术领域的应用、稀土提升传统产业的技术水平、稀土分析检测、稀土情报信息为研究重点的，多专业、多学科的综合性研发机构，下设资源与环境研究所、金属材料研究所、磁性材料研究所、稀土功能材料研究所4个专业研究所和国内最大的稀土新材料中试基地。全院形成规范的母子公司体系，拥有以科技开发和行业服务及生产经营为主的全资、控股、参股公司13家。研究院建有国家级的“白云鄂博稀土资源研究与综合利用全国重点实验室”、“稀土冶金及功能材料国家工程研究中心”和“北方稀土行业生产力促进中心”等多个研究平台；建有内蒙古自治区和包头市两级“稀土新材料院士工作站”、“稀土永磁材料院士工作站”；在天津设立分院“天津包钢稀土研究院有限责任公司”。本院建有“世界稀土专利检索系统”；承办的“中国稀土网”是稀土行业门户网站；负责《稀土》、英文版《 China Rare Earth Information 》、《稀土信息》等杂志的出版发行。依托本院建有国家级的“国家稀土产品质量监督检验中心”，并拥有“全国分析检测人员能力培训中心”的资质。 研究院现有在册职工700余人，工程技术人员占总人数的一半以上，有多位国家级和自治区级有突出贡献的技术专家，形成了一支行业一流的高水平研发队伍。建院50多年来，共承担“863计划”、“973计划”等国家级科技项目、省部、地市级研发项目和为企业服务的各类项目1900多项，取得各类科研成果870多项，获得国家发明奖和省部级以上各类科技成果奖260多项，获得国家授权专利100多项。研究院通过了质量体系认证、环境与职业健康安全管理体系认证，为诸多国家重点工程，研制生产了大量的关键材料和器件，为我国稀土产业的发展和现代化建设做出了重大贡献。</w:t>
      </w:r>
    </w:p>
    <w:p w14:paraId="6D6798B6">
      <w:pPr>
        <w:spacing w:line="520" w:lineRule="exact"/>
        <w:ind w:firstLine="480" w:firstLineChars="200"/>
        <w:rPr>
          <w:color w:val="000000"/>
          <w:sz w:val="24"/>
          <w:szCs w:val="24"/>
        </w:rPr>
      </w:pPr>
      <w:r>
        <w:rPr>
          <w:color w:val="000000"/>
          <w:sz w:val="24"/>
          <w:szCs w:val="24"/>
        </w:rPr>
        <w:t>近几年以来，</w:t>
      </w:r>
      <w:r>
        <w:rPr>
          <w:rFonts w:hint="eastAsia"/>
          <w:color w:val="000000"/>
          <w:sz w:val="24"/>
          <w:szCs w:val="24"/>
        </w:rPr>
        <w:t>包头稀土研究院</w:t>
      </w:r>
      <w:r>
        <w:rPr>
          <w:color w:val="000000"/>
          <w:sz w:val="24"/>
          <w:szCs w:val="24"/>
        </w:rPr>
        <w:t>对</w:t>
      </w:r>
      <w:r>
        <w:rPr>
          <w:rFonts w:hint="eastAsia"/>
          <w:sz w:val="24"/>
          <w:szCs w:val="24"/>
          <w:lang w:eastAsia="zh-CN"/>
        </w:rPr>
        <w:t>铽镝铁磁致伸缩材料</w:t>
      </w:r>
      <w:r>
        <w:rPr>
          <w:rFonts w:hint="eastAsia"/>
          <w:sz w:val="24"/>
          <w:szCs w:val="24"/>
          <w:lang w:val="en-US" w:eastAsia="zh-CN"/>
        </w:rPr>
        <w:t>及应用</w:t>
      </w:r>
      <w:r>
        <w:rPr>
          <w:color w:val="000000"/>
          <w:sz w:val="24"/>
          <w:szCs w:val="24"/>
        </w:rPr>
        <w:t>相关技术进行了大量研究，</w:t>
      </w:r>
      <w:r>
        <w:rPr>
          <w:rFonts w:hint="eastAsia"/>
          <w:color w:val="000000"/>
          <w:sz w:val="24"/>
          <w:szCs w:val="24"/>
          <w:lang w:val="en-US" w:eastAsia="zh-CN"/>
        </w:rPr>
        <w:t>能够</w:t>
      </w:r>
      <w:r>
        <w:rPr>
          <w:color w:val="000000"/>
          <w:sz w:val="24"/>
          <w:szCs w:val="24"/>
        </w:rPr>
        <w:t>制备出能满足行业需求的</w:t>
      </w:r>
      <w:r>
        <w:rPr>
          <w:rFonts w:hint="eastAsia"/>
          <w:sz w:val="24"/>
          <w:szCs w:val="24"/>
          <w:lang w:eastAsia="zh-CN"/>
        </w:rPr>
        <w:t>铽镝铁磁致伸缩材料</w:t>
      </w:r>
      <w:r>
        <w:rPr>
          <w:color w:val="000000"/>
          <w:sz w:val="24"/>
          <w:szCs w:val="24"/>
        </w:rPr>
        <w:t>产品。</w:t>
      </w:r>
    </w:p>
    <w:p w14:paraId="46796C9D">
      <w:pPr>
        <w:tabs>
          <w:tab w:val="left" w:pos="522"/>
        </w:tabs>
        <w:adjustRightInd w:val="0"/>
        <w:snapToGrid w:val="0"/>
        <w:spacing w:line="520" w:lineRule="exact"/>
        <w:jc w:val="left"/>
        <w:rPr>
          <w:rFonts w:hint="default" w:eastAsia="黑体"/>
          <w:sz w:val="24"/>
          <w:szCs w:val="24"/>
          <w:lang w:val="en-US" w:eastAsia="zh-CN"/>
        </w:rPr>
      </w:pPr>
      <w:r>
        <w:rPr>
          <w:rFonts w:eastAsia="黑体"/>
          <w:sz w:val="24"/>
          <w:szCs w:val="24"/>
        </w:rPr>
        <w:t>1.4工作</w:t>
      </w:r>
      <w:r>
        <w:rPr>
          <w:rFonts w:hint="eastAsia" w:eastAsia="黑体"/>
          <w:sz w:val="24"/>
          <w:szCs w:val="24"/>
          <w:lang w:val="en-US" w:eastAsia="zh-CN"/>
        </w:rPr>
        <w:t>过程</w:t>
      </w:r>
    </w:p>
    <w:p w14:paraId="026A9DCA">
      <w:pPr>
        <w:spacing w:line="520" w:lineRule="exact"/>
        <w:ind w:firstLine="480" w:firstLineChars="200"/>
        <w:rPr>
          <w:color w:val="000000"/>
          <w:sz w:val="24"/>
          <w:szCs w:val="24"/>
        </w:rPr>
      </w:pPr>
      <w:r>
        <w:rPr>
          <w:color w:val="000000"/>
          <w:sz w:val="24"/>
          <w:szCs w:val="24"/>
        </w:rPr>
        <w:t>本标准编制</w:t>
      </w:r>
      <w:r>
        <w:rPr>
          <w:rFonts w:hint="eastAsia"/>
          <w:color w:val="000000"/>
          <w:sz w:val="24"/>
          <w:szCs w:val="24"/>
          <w:lang w:val="en-US" w:eastAsia="zh-CN"/>
        </w:rPr>
        <w:t>过程</w:t>
      </w:r>
      <w:r>
        <w:rPr>
          <w:color w:val="000000"/>
          <w:sz w:val="24"/>
          <w:szCs w:val="24"/>
        </w:rPr>
        <w:t>如下：</w:t>
      </w:r>
    </w:p>
    <w:p w14:paraId="274334DE">
      <w:pPr>
        <w:spacing w:line="520" w:lineRule="exact"/>
        <w:ind w:firstLine="480" w:firstLineChars="200"/>
        <w:rPr>
          <w:color w:val="000000"/>
          <w:sz w:val="24"/>
          <w:szCs w:val="24"/>
        </w:rPr>
      </w:pPr>
      <w:r>
        <w:rPr>
          <w:color w:val="000000"/>
          <w:sz w:val="24"/>
          <w:szCs w:val="24"/>
          <w:highlight w:val="none"/>
        </w:rPr>
        <w:t>1）</w:t>
      </w:r>
      <w:r>
        <w:rPr>
          <w:color w:val="000000"/>
          <w:sz w:val="24"/>
          <w:szCs w:val="24"/>
        </w:rPr>
        <w:t>202</w:t>
      </w:r>
      <w:r>
        <w:rPr>
          <w:rFonts w:hint="eastAsia"/>
          <w:color w:val="000000"/>
          <w:sz w:val="24"/>
          <w:szCs w:val="24"/>
          <w:lang w:val="en-US" w:eastAsia="zh-CN"/>
        </w:rPr>
        <w:t>3</w:t>
      </w:r>
      <w:r>
        <w:rPr>
          <w:color w:val="000000"/>
          <w:sz w:val="24"/>
          <w:szCs w:val="24"/>
        </w:rPr>
        <w:t>年</w:t>
      </w:r>
      <w:r>
        <w:rPr>
          <w:rFonts w:hint="eastAsia"/>
          <w:color w:val="000000"/>
          <w:sz w:val="24"/>
          <w:szCs w:val="24"/>
          <w:lang w:val="en-US" w:eastAsia="zh-CN"/>
        </w:rPr>
        <w:t>6</w:t>
      </w:r>
      <w:r>
        <w:rPr>
          <w:color w:val="000000"/>
          <w:sz w:val="24"/>
          <w:szCs w:val="24"/>
        </w:rPr>
        <w:t>月—202</w:t>
      </w:r>
      <w:r>
        <w:rPr>
          <w:rFonts w:hint="eastAsia"/>
          <w:color w:val="000000"/>
          <w:sz w:val="24"/>
          <w:szCs w:val="24"/>
          <w:lang w:val="en-US" w:eastAsia="zh-CN"/>
        </w:rPr>
        <w:t>3</w:t>
      </w:r>
      <w:r>
        <w:rPr>
          <w:color w:val="000000"/>
          <w:sz w:val="24"/>
          <w:szCs w:val="24"/>
        </w:rPr>
        <w:t>年11月：调研、查阅资料，了解</w:t>
      </w:r>
      <w:r>
        <w:rPr>
          <w:rFonts w:hint="eastAsia"/>
          <w:sz w:val="24"/>
          <w:szCs w:val="24"/>
          <w:lang w:eastAsia="zh-CN"/>
        </w:rPr>
        <w:t>铽镝铁磁致伸缩材料</w:t>
      </w:r>
      <w:r>
        <w:rPr>
          <w:color w:val="000000"/>
          <w:sz w:val="24"/>
          <w:szCs w:val="24"/>
        </w:rPr>
        <w:t>的生产动态及应用领域的变化，完成资料的消化吸收，编写标准初稿、编制说明。</w:t>
      </w:r>
    </w:p>
    <w:p w14:paraId="5EBA1286">
      <w:pPr>
        <w:spacing w:line="520" w:lineRule="exact"/>
        <w:ind w:firstLine="480" w:firstLineChars="200"/>
        <w:rPr>
          <w:color w:val="000000"/>
          <w:sz w:val="24"/>
          <w:szCs w:val="24"/>
        </w:rPr>
      </w:pPr>
      <w:r>
        <w:rPr>
          <w:color w:val="000000"/>
          <w:sz w:val="24"/>
          <w:szCs w:val="24"/>
        </w:rPr>
        <w:t>2）2023年</w:t>
      </w:r>
      <w:r>
        <w:rPr>
          <w:rFonts w:hint="eastAsia"/>
          <w:color w:val="000000"/>
          <w:sz w:val="24"/>
          <w:szCs w:val="24"/>
          <w:lang w:val="en-US" w:eastAsia="zh-CN"/>
        </w:rPr>
        <w:t>12</w:t>
      </w:r>
      <w:r>
        <w:rPr>
          <w:color w:val="000000"/>
          <w:sz w:val="24"/>
          <w:szCs w:val="24"/>
        </w:rPr>
        <w:t>月：</w:t>
      </w:r>
      <w:r>
        <w:rPr>
          <w:rFonts w:hint="eastAsia"/>
          <w:color w:val="000000"/>
          <w:sz w:val="24"/>
          <w:szCs w:val="24"/>
        </w:rPr>
        <w:t>起草单位提出标准征求意见稿发至各有关单位及稀土标委会秘书处征求意见</w:t>
      </w:r>
      <w:r>
        <w:rPr>
          <w:color w:val="000000"/>
          <w:sz w:val="24"/>
          <w:szCs w:val="24"/>
        </w:rPr>
        <w:t>。</w:t>
      </w:r>
    </w:p>
    <w:p w14:paraId="4F953BE7">
      <w:pPr>
        <w:spacing w:line="520" w:lineRule="exact"/>
        <w:ind w:firstLine="480" w:firstLineChars="200"/>
        <w:rPr>
          <w:color w:val="000000"/>
          <w:sz w:val="24"/>
          <w:szCs w:val="24"/>
        </w:rPr>
      </w:pPr>
      <w:r>
        <w:rPr>
          <w:color w:val="000000"/>
          <w:sz w:val="24"/>
          <w:szCs w:val="24"/>
        </w:rPr>
        <w:t>3）202</w:t>
      </w:r>
      <w:r>
        <w:rPr>
          <w:rFonts w:hint="eastAsia"/>
          <w:color w:val="000000"/>
          <w:sz w:val="24"/>
          <w:szCs w:val="24"/>
          <w:lang w:val="en-US" w:eastAsia="zh-CN"/>
        </w:rPr>
        <w:t>4</w:t>
      </w:r>
      <w:r>
        <w:rPr>
          <w:color w:val="000000"/>
          <w:sz w:val="24"/>
          <w:szCs w:val="24"/>
        </w:rPr>
        <w:t>年01月—202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4</w:t>
      </w:r>
      <w:r>
        <w:rPr>
          <w:color w:val="000000"/>
          <w:sz w:val="24"/>
          <w:szCs w:val="24"/>
        </w:rPr>
        <w:t>月：</w:t>
      </w:r>
      <w:r>
        <w:rPr>
          <w:rFonts w:hint="eastAsia"/>
          <w:color w:val="000000"/>
          <w:sz w:val="24"/>
          <w:szCs w:val="24"/>
        </w:rPr>
        <w:t>起草单位完成意见汇总，形成预审稿和编制说明，并将标准预审稿、编制说明、意见汇总等(电子版)发送至稀土标委会秘书处</w:t>
      </w:r>
      <w:r>
        <w:rPr>
          <w:color w:val="000000"/>
          <w:sz w:val="24"/>
          <w:szCs w:val="24"/>
        </w:rPr>
        <w:t>。</w:t>
      </w:r>
    </w:p>
    <w:p w14:paraId="03D49890">
      <w:pPr>
        <w:spacing w:line="520" w:lineRule="exact"/>
        <w:ind w:firstLine="480" w:firstLineChars="200"/>
        <w:rPr>
          <w:color w:val="000000"/>
          <w:sz w:val="24"/>
          <w:szCs w:val="24"/>
        </w:rPr>
      </w:pPr>
      <w:r>
        <w:rPr>
          <w:rFonts w:hint="eastAsia"/>
          <w:color w:val="000000"/>
          <w:sz w:val="24"/>
          <w:szCs w:val="24"/>
        </w:rPr>
        <w:t>稀土标委会负责将预审稿及编制说明挂网征求更广泛的意见，召开标准预审会</w:t>
      </w:r>
      <w:r>
        <w:rPr>
          <w:color w:val="000000"/>
          <w:sz w:val="24"/>
          <w:szCs w:val="24"/>
        </w:rPr>
        <w:t>。</w:t>
      </w:r>
    </w:p>
    <w:p w14:paraId="03D73815">
      <w:pPr>
        <w:spacing w:line="520" w:lineRule="exact"/>
        <w:ind w:firstLine="480" w:firstLineChars="200"/>
        <w:rPr>
          <w:rFonts w:hint="default" w:eastAsia="宋体"/>
          <w:color w:val="000000"/>
          <w:sz w:val="24"/>
          <w:szCs w:val="24"/>
          <w:lang w:val="en-US" w:eastAsia="zh-CN"/>
        </w:rPr>
      </w:pPr>
      <w:r>
        <w:rPr>
          <w:color w:val="000000"/>
          <w:sz w:val="24"/>
          <w:szCs w:val="24"/>
        </w:rPr>
        <w:t>4）202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5</w:t>
      </w:r>
      <w:r>
        <w:rPr>
          <w:color w:val="000000"/>
          <w:sz w:val="24"/>
          <w:szCs w:val="24"/>
        </w:rPr>
        <w:t>月—202</w:t>
      </w:r>
      <w:r>
        <w:rPr>
          <w:rFonts w:hint="eastAsia"/>
          <w:color w:val="000000"/>
          <w:sz w:val="24"/>
          <w:szCs w:val="24"/>
          <w:lang w:val="en-US" w:eastAsia="zh-CN"/>
        </w:rPr>
        <w:t>4</w:t>
      </w:r>
      <w:r>
        <w:rPr>
          <w:color w:val="000000"/>
          <w:sz w:val="24"/>
          <w:szCs w:val="24"/>
        </w:rPr>
        <w:t>年0</w:t>
      </w:r>
      <w:r>
        <w:rPr>
          <w:rFonts w:hint="eastAsia"/>
          <w:color w:val="000000"/>
          <w:sz w:val="24"/>
          <w:szCs w:val="24"/>
          <w:lang w:val="en-US" w:eastAsia="zh-CN"/>
        </w:rPr>
        <w:t>9</w:t>
      </w:r>
      <w:r>
        <w:rPr>
          <w:color w:val="000000"/>
          <w:sz w:val="24"/>
          <w:szCs w:val="24"/>
        </w:rPr>
        <w:t>月：</w:t>
      </w:r>
      <w:r>
        <w:rPr>
          <w:rFonts w:hint="eastAsia"/>
          <w:color w:val="000000"/>
          <w:sz w:val="24"/>
          <w:szCs w:val="24"/>
        </w:rPr>
        <w:t>在预审会</w:t>
      </w:r>
      <w:r>
        <w:rPr>
          <w:rFonts w:hint="eastAsia"/>
          <w:color w:val="000000"/>
          <w:sz w:val="24"/>
          <w:szCs w:val="24"/>
          <w:lang w:val="en-US" w:eastAsia="zh-CN"/>
        </w:rPr>
        <w:t>专家意见</w:t>
      </w:r>
      <w:r>
        <w:rPr>
          <w:rFonts w:hint="eastAsia"/>
          <w:color w:val="000000"/>
          <w:sz w:val="24"/>
          <w:szCs w:val="24"/>
        </w:rPr>
        <w:t>的基础上，对预审稿、编制说明、意见汇总处理表进行修改、调整，标准编制小组达成一致意见后形成送审稿，并将相关资料(电子版)发送至稀土标委会秘书处</w:t>
      </w:r>
      <w:r>
        <w:rPr>
          <w:color w:val="000000"/>
          <w:sz w:val="24"/>
          <w:szCs w:val="24"/>
        </w:rPr>
        <w:t>。</w:t>
      </w:r>
    </w:p>
    <w:p w14:paraId="196C186B">
      <w:pPr>
        <w:spacing w:line="520" w:lineRule="exact"/>
        <w:ind w:firstLine="480" w:firstLineChars="200"/>
        <w:rPr>
          <w:rFonts w:hint="default" w:eastAsia="宋体"/>
          <w:color w:val="000000"/>
          <w:sz w:val="24"/>
          <w:szCs w:val="24"/>
          <w:lang w:val="en-US" w:eastAsia="zh-CN"/>
        </w:rPr>
      </w:pPr>
      <w:r>
        <w:rPr>
          <w:color w:val="000000"/>
          <w:sz w:val="24"/>
          <w:szCs w:val="24"/>
        </w:rPr>
        <w:t>5）202</w:t>
      </w:r>
      <w:r>
        <w:rPr>
          <w:rFonts w:hint="eastAsia"/>
          <w:color w:val="000000"/>
          <w:sz w:val="24"/>
          <w:szCs w:val="24"/>
          <w:lang w:val="en-US" w:eastAsia="zh-CN"/>
        </w:rPr>
        <w:t>4</w:t>
      </w:r>
      <w:r>
        <w:rPr>
          <w:color w:val="000000"/>
          <w:sz w:val="24"/>
          <w:szCs w:val="24"/>
        </w:rPr>
        <w:t>年</w:t>
      </w:r>
      <w:r>
        <w:rPr>
          <w:rFonts w:hint="eastAsia"/>
          <w:color w:val="000000"/>
          <w:sz w:val="24"/>
          <w:szCs w:val="24"/>
          <w:lang w:val="en-US" w:eastAsia="zh-CN"/>
        </w:rPr>
        <w:t>09</w:t>
      </w:r>
      <w:r>
        <w:rPr>
          <w:color w:val="000000"/>
          <w:sz w:val="24"/>
          <w:szCs w:val="24"/>
        </w:rPr>
        <w:t>月</w:t>
      </w:r>
      <w:r>
        <w:rPr>
          <w:rFonts w:hint="eastAsia"/>
          <w:color w:val="000000"/>
          <w:sz w:val="24"/>
          <w:szCs w:val="24"/>
          <w:lang w:eastAsia="zh-CN"/>
        </w:rPr>
        <w:t>：</w:t>
      </w:r>
      <w:r>
        <w:rPr>
          <w:rFonts w:hint="eastAsia"/>
          <w:color w:val="000000"/>
          <w:sz w:val="24"/>
          <w:szCs w:val="24"/>
        </w:rPr>
        <w:t>稀土标委会负责将送审稿及编制说明挂网征求更广泛的意见，召开标准审定会</w:t>
      </w:r>
      <w:r>
        <w:rPr>
          <w:rFonts w:hint="eastAsia"/>
          <w:color w:val="000000"/>
          <w:sz w:val="24"/>
          <w:szCs w:val="24"/>
          <w:lang w:eastAsia="zh-CN"/>
        </w:rPr>
        <w:t>，</w:t>
      </w:r>
      <w:r>
        <w:rPr>
          <w:color w:val="000000"/>
          <w:sz w:val="24"/>
          <w:szCs w:val="24"/>
        </w:rPr>
        <w:t>报出报批稿。</w:t>
      </w:r>
    </w:p>
    <w:p w14:paraId="719CE0CD">
      <w:pPr>
        <w:adjustRightInd w:val="0"/>
        <w:snapToGrid w:val="0"/>
        <w:spacing w:line="520" w:lineRule="exact"/>
        <w:rPr>
          <w:rFonts w:ascii="Times New Roman" w:hAnsi="Times New Roman" w:eastAsia="黑体" w:cs="Times New Roman"/>
          <w:sz w:val="24"/>
          <w:szCs w:val="24"/>
        </w:rPr>
      </w:pPr>
      <w:r>
        <w:rPr>
          <w:rFonts w:ascii="Times New Roman" w:hAnsi="Times New Roman" w:eastAsia="黑体" w:cs="Times New Roman"/>
          <w:sz w:val="24"/>
          <w:szCs w:val="24"/>
        </w:rPr>
        <w:t>二、编制原则和依据及标准主要内容</w:t>
      </w:r>
    </w:p>
    <w:p w14:paraId="538B3F04">
      <w:pPr>
        <w:spacing w:line="520" w:lineRule="exact"/>
        <w:rPr>
          <w:rFonts w:eastAsia="黑体"/>
          <w:color w:val="000000"/>
          <w:sz w:val="24"/>
          <w:szCs w:val="24"/>
        </w:rPr>
      </w:pPr>
      <w:r>
        <w:rPr>
          <w:rFonts w:eastAsia="黑体"/>
          <w:color w:val="000000"/>
          <w:sz w:val="24"/>
          <w:szCs w:val="24"/>
        </w:rPr>
        <w:t>2.1 产品分类及论据</w:t>
      </w:r>
    </w:p>
    <w:p w14:paraId="045CB218">
      <w:pPr>
        <w:spacing w:line="520" w:lineRule="exact"/>
        <w:ind w:firstLine="480" w:firstLineChars="200"/>
        <w:rPr>
          <w:sz w:val="24"/>
          <w:szCs w:val="24"/>
        </w:rPr>
      </w:pPr>
      <w:r>
        <w:rPr>
          <w:color w:val="000000"/>
          <w:sz w:val="24"/>
          <w:szCs w:val="24"/>
        </w:rPr>
        <w:t>按</w:t>
      </w:r>
      <w:r>
        <w:rPr>
          <w:sz w:val="24"/>
          <w:szCs w:val="24"/>
        </w:rPr>
        <w:t>照GB/T 1.1-2020《标准化工作导则》的规定编写，本标准的制定主要依据近年来</w:t>
      </w:r>
      <w:r>
        <w:rPr>
          <w:rFonts w:hint="eastAsia"/>
          <w:sz w:val="24"/>
          <w:szCs w:val="24"/>
          <w:lang w:eastAsia="zh-CN"/>
        </w:rPr>
        <w:t>铽镝铁磁致伸缩材料</w:t>
      </w:r>
      <w:r>
        <w:rPr>
          <w:sz w:val="24"/>
          <w:szCs w:val="24"/>
        </w:rPr>
        <w:t>的</w:t>
      </w:r>
      <w:r>
        <w:rPr>
          <w:rFonts w:hint="eastAsia"/>
          <w:sz w:val="24"/>
          <w:szCs w:val="24"/>
          <w:lang w:val="en-US" w:eastAsia="zh-CN"/>
        </w:rPr>
        <w:t>性能</w:t>
      </w:r>
      <w:r>
        <w:rPr>
          <w:sz w:val="24"/>
          <w:szCs w:val="24"/>
        </w:rPr>
        <w:t>变化、</w:t>
      </w:r>
      <w:r>
        <w:rPr>
          <w:rFonts w:hint="eastAsia"/>
          <w:sz w:val="24"/>
          <w:szCs w:val="24"/>
          <w:lang w:val="en-US" w:eastAsia="zh-CN"/>
        </w:rPr>
        <w:t>后端产品对</w:t>
      </w:r>
      <w:r>
        <w:rPr>
          <w:rFonts w:hint="eastAsia"/>
          <w:sz w:val="24"/>
          <w:szCs w:val="24"/>
          <w:lang w:eastAsia="zh-CN"/>
        </w:rPr>
        <w:t>铽镝铁磁致伸缩材料</w:t>
      </w:r>
      <w:r>
        <w:rPr>
          <w:sz w:val="24"/>
          <w:szCs w:val="24"/>
        </w:rPr>
        <w:t>的要求</w:t>
      </w:r>
      <w:r>
        <w:rPr>
          <w:rFonts w:hint="eastAsia"/>
          <w:sz w:val="24"/>
          <w:szCs w:val="24"/>
          <w:lang w:val="en-US" w:eastAsia="zh-CN"/>
        </w:rPr>
        <w:t>及</w:t>
      </w:r>
      <w:r>
        <w:rPr>
          <w:sz w:val="24"/>
          <w:szCs w:val="24"/>
        </w:rPr>
        <w:t>生产厂家和主要用户的意见，是在大量的重复性工作、生产</w:t>
      </w:r>
      <w:r>
        <w:rPr>
          <w:rFonts w:hint="eastAsia"/>
          <w:sz w:val="24"/>
          <w:szCs w:val="24"/>
          <w:lang w:val="en-US" w:eastAsia="zh-CN"/>
        </w:rPr>
        <w:t>及用户单位调研的</w:t>
      </w:r>
      <w:r>
        <w:rPr>
          <w:sz w:val="24"/>
          <w:szCs w:val="24"/>
        </w:rPr>
        <w:t>基础上</w:t>
      </w:r>
      <w:r>
        <w:rPr>
          <w:rFonts w:hint="eastAsia"/>
          <w:sz w:val="24"/>
          <w:szCs w:val="24"/>
          <w:lang w:val="en-US" w:eastAsia="zh-CN"/>
        </w:rPr>
        <w:t>进行的修订。</w:t>
      </w:r>
      <w:r>
        <w:rPr>
          <w:sz w:val="24"/>
          <w:szCs w:val="24"/>
        </w:rPr>
        <w:t>在牌号划分和主要技术指标方面兼顾到多数</w:t>
      </w:r>
      <w:r>
        <w:rPr>
          <w:rFonts w:hint="eastAsia"/>
          <w:sz w:val="24"/>
          <w:szCs w:val="24"/>
          <w:lang w:val="en-US" w:eastAsia="zh-CN"/>
        </w:rPr>
        <w:t>生产和用户单位</w:t>
      </w:r>
      <w:r>
        <w:rPr>
          <w:sz w:val="24"/>
          <w:szCs w:val="24"/>
        </w:rPr>
        <w:t>的一般要求和部分特殊要求，若</w:t>
      </w:r>
      <w:r>
        <w:rPr>
          <w:rFonts w:hint="eastAsia"/>
          <w:sz w:val="24"/>
          <w:szCs w:val="24"/>
          <w:lang w:val="en-US" w:eastAsia="zh-CN"/>
        </w:rPr>
        <w:t>需方</w:t>
      </w:r>
      <w:r>
        <w:rPr>
          <w:sz w:val="24"/>
          <w:szCs w:val="24"/>
        </w:rPr>
        <w:t>还有更多的特殊要求，</w:t>
      </w:r>
      <w:r>
        <w:rPr>
          <w:rFonts w:hint="eastAsia"/>
          <w:sz w:val="24"/>
          <w:szCs w:val="24"/>
          <w:lang w:val="en-US" w:eastAsia="zh-CN"/>
        </w:rPr>
        <w:t>双方应在合同中协商确定</w:t>
      </w:r>
      <w:r>
        <w:rPr>
          <w:sz w:val="24"/>
          <w:szCs w:val="24"/>
        </w:rPr>
        <w:t>，本标准不一定包含全部特殊要求。依据国家相关的法律、法规；查询相关标准和收集</w:t>
      </w:r>
      <w:r>
        <w:rPr>
          <w:rFonts w:hint="eastAsia"/>
          <w:sz w:val="24"/>
          <w:szCs w:val="24"/>
          <w:lang w:val="en-US" w:eastAsia="zh-CN"/>
        </w:rPr>
        <w:t>生产、用户单位</w:t>
      </w:r>
      <w:r>
        <w:rPr>
          <w:sz w:val="24"/>
          <w:szCs w:val="24"/>
        </w:rPr>
        <w:t>的相关技术要求，积极向相关国际标准、世界领头企业的技术标准要求靠拢，做到标准的先进性，力求做到标的合理性、实用性，与时俱进。</w:t>
      </w:r>
    </w:p>
    <w:p w14:paraId="41D5265C">
      <w:pPr>
        <w:spacing w:line="520" w:lineRule="exact"/>
        <w:ind w:firstLine="470" w:firstLineChars="196"/>
        <w:rPr>
          <w:color w:val="000000"/>
          <w:sz w:val="24"/>
          <w:szCs w:val="24"/>
        </w:rPr>
      </w:pPr>
      <w:r>
        <w:rPr>
          <w:sz w:val="24"/>
          <w:szCs w:val="24"/>
        </w:rPr>
        <w:t>本标准产品分类主要以</w:t>
      </w:r>
      <w:r>
        <w:rPr>
          <w:rFonts w:hint="eastAsia"/>
          <w:sz w:val="24"/>
          <w:szCs w:val="24"/>
          <w:lang w:val="en-US" w:eastAsia="zh-CN"/>
        </w:rPr>
        <w:t>20℃、</w:t>
      </w:r>
      <w:r>
        <w:rPr>
          <w:rFonts w:hint="default"/>
          <w:sz w:val="24"/>
          <w:szCs w:val="24"/>
        </w:rPr>
        <w:t>80</w:t>
      </w:r>
      <m:oMath>
        <m:r>
          <m:rPr>
            <m:sty m:val="p"/>
          </m:rPr>
          <w:rPr>
            <w:rFonts w:hint="default" w:ascii="Cambria Math" w:hAnsi="Cambria Math"/>
            <w:sz w:val="24"/>
            <w:szCs w:val="24"/>
          </w:rPr>
          <m:t>kA/m</m:t>
        </m:r>
      </m:oMath>
      <w:r>
        <w:rPr>
          <w:rFonts w:hint="eastAsia" w:hAnsi="Cambria Math"/>
          <w:b w:val="0"/>
          <w:i w:val="0"/>
          <w:sz w:val="24"/>
          <w:szCs w:val="24"/>
          <w:lang w:eastAsia="zh-CN"/>
        </w:rPr>
        <w:t>、</w:t>
      </w:r>
      <w:r>
        <w:rPr>
          <w:rFonts w:hint="eastAsia"/>
          <w:sz w:val="24"/>
          <w:szCs w:val="24"/>
          <w:lang w:val="en-US" w:eastAsia="zh-CN"/>
        </w:rPr>
        <w:t>8</w:t>
      </w:r>
      <m:oMath>
        <m:r>
          <m:rPr>
            <m:sty m:val="p"/>
          </m:rPr>
          <w:rPr>
            <w:rFonts w:hint="default" w:ascii="Cambria Math" w:hAnsi="Cambria Math"/>
            <w:sz w:val="24"/>
            <w:szCs w:val="24"/>
          </w:rPr>
          <m:t xml:space="preserve"> N/</m:t>
        </m:r>
        <m:sSup>
          <m:sSupPr>
            <m:ctrlPr>
              <w:rPr>
                <w:rFonts w:hint="default" w:ascii="Cambria Math" w:hAnsi="Cambria Math"/>
                <w:sz w:val="24"/>
                <w:szCs w:val="24"/>
              </w:rPr>
            </m:ctrlPr>
          </m:sSupPr>
          <m:e>
            <m:r>
              <m:rPr>
                <m:sty m:val="p"/>
              </m:rPr>
              <w:rPr>
                <w:rFonts w:hint="default" w:ascii="Cambria Math" w:hAnsi="Cambria Math"/>
                <w:sz w:val="24"/>
                <w:szCs w:val="24"/>
              </w:rPr>
              <m:t>mm</m:t>
            </m:r>
            <m:ctrlPr>
              <w:rPr>
                <w:rFonts w:hint="default" w:ascii="Cambria Math" w:hAnsi="Cambria Math"/>
                <w:sz w:val="24"/>
                <w:szCs w:val="24"/>
              </w:rPr>
            </m:ctrlPr>
          </m:e>
          <m:sup>
            <m:r>
              <m:rPr>
                <m:sty m:val="p"/>
              </m:rPr>
              <w:rPr>
                <w:rFonts w:hint="default" w:ascii="Cambria Math" w:hAnsi="Cambria Math"/>
                <w:sz w:val="24"/>
                <w:szCs w:val="24"/>
              </w:rPr>
              <m:t>2</m:t>
            </m:r>
            <m:ctrlPr>
              <w:rPr>
                <w:rFonts w:hint="default" w:ascii="Cambria Math" w:hAnsi="Cambria Math"/>
                <w:sz w:val="24"/>
                <w:szCs w:val="24"/>
              </w:rPr>
            </m:ctrlPr>
          </m:sup>
        </m:sSup>
      </m:oMath>
      <w:r>
        <w:rPr>
          <w:rFonts w:hint="eastAsia"/>
          <w:sz w:val="24"/>
          <w:szCs w:val="24"/>
          <w:lang w:val="en-US" w:eastAsia="zh-CN"/>
        </w:rPr>
        <w:t>磁场下</w:t>
      </w:r>
      <w:r>
        <w:rPr>
          <w:rFonts w:hint="eastAsia"/>
          <w:sz w:val="24"/>
          <w:szCs w:val="24"/>
          <w:lang w:eastAsia="zh-CN"/>
        </w:rPr>
        <w:t>铽镝铁磁致伸缩材料</w:t>
      </w:r>
      <w:r>
        <w:rPr>
          <w:rFonts w:hint="eastAsia"/>
          <w:sz w:val="24"/>
          <w:szCs w:val="24"/>
          <w:lang w:val="en-US" w:eastAsia="zh-CN"/>
        </w:rPr>
        <w:t>的平行磁致伸缩系数作为划分依据，同时将压力影响考虑在内。</w:t>
      </w:r>
      <w:r>
        <w:rPr>
          <w:color w:val="000000"/>
          <w:sz w:val="24"/>
          <w:szCs w:val="24"/>
        </w:rPr>
        <w:t>本标准的分类旨在为生产、使用方提出</w:t>
      </w:r>
      <w:r>
        <w:rPr>
          <w:rFonts w:hint="eastAsia"/>
          <w:color w:val="000000"/>
          <w:sz w:val="24"/>
          <w:szCs w:val="24"/>
          <w:lang w:val="en-US" w:eastAsia="zh-CN"/>
        </w:rPr>
        <w:t>合适的分类</w:t>
      </w:r>
      <w:r>
        <w:rPr>
          <w:color w:val="000000"/>
          <w:sz w:val="24"/>
          <w:szCs w:val="24"/>
        </w:rPr>
        <w:t>，使标准具有可操作性和适应性。</w:t>
      </w:r>
    </w:p>
    <w:p w14:paraId="5DA4D7A2">
      <w:pPr>
        <w:widowControl/>
        <w:tabs>
          <w:tab w:val="left" w:pos="5954"/>
        </w:tabs>
        <w:autoSpaceDE w:val="0"/>
        <w:autoSpaceDN w:val="0"/>
        <w:spacing w:line="520" w:lineRule="exact"/>
        <w:textAlignment w:val="bottom"/>
        <w:rPr>
          <w:rFonts w:eastAsia="黑体"/>
          <w:color w:val="000000"/>
          <w:sz w:val="24"/>
          <w:szCs w:val="24"/>
        </w:rPr>
      </w:pPr>
      <w:r>
        <w:rPr>
          <w:rFonts w:eastAsia="黑体"/>
          <w:sz w:val="24"/>
          <w:szCs w:val="24"/>
        </w:rPr>
        <w:t>2.2</w:t>
      </w:r>
      <w:r>
        <w:rPr>
          <w:rFonts w:hint="eastAsia" w:eastAsia="黑体"/>
          <w:sz w:val="24"/>
          <w:szCs w:val="24"/>
          <w:lang w:val="en-US" w:eastAsia="zh-CN"/>
        </w:rPr>
        <w:t xml:space="preserve"> </w:t>
      </w:r>
      <w:r>
        <w:rPr>
          <w:rFonts w:eastAsia="黑体"/>
          <w:color w:val="000000"/>
          <w:sz w:val="24"/>
          <w:szCs w:val="24"/>
        </w:rPr>
        <w:t>技术指标的确定与论据</w:t>
      </w:r>
    </w:p>
    <w:p w14:paraId="2F4145F2">
      <w:pPr>
        <w:adjustRightInd w:val="0"/>
        <w:snapToGrid w:val="0"/>
        <w:spacing w:line="520" w:lineRule="exact"/>
        <w:ind w:firstLine="480" w:firstLineChars="200"/>
        <w:rPr>
          <w:color w:val="000000"/>
          <w:sz w:val="24"/>
          <w:szCs w:val="24"/>
        </w:rPr>
      </w:pPr>
      <w:r>
        <w:rPr>
          <w:bCs/>
          <w:color w:val="000000"/>
          <w:sz w:val="24"/>
          <w:szCs w:val="24"/>
        </w:rPr>
        <w:t>任</w:t>
      </w:r>
      <w:r>
        <w:rPr>
          <w:color w:val="000000"/>
          <w:sz w:val="24"/>
          <w:szCs w:val="24"/>
        </w:rPr>
        <w:t>务下达后，稀土院标准课题组组织相关人员成立了《</w:t>
      </w:r>
      <w:r>
        <w:rPr>
          <w:rFonts w:hint="eastAsia"/>
          <w:sz w:val="24"/>
          <w:szCs w:val="24"/>
          <w:lang w:eastAsia="zh-CN"/>
        </w:rPr>
        <w:t>铽镝铁磁致伸缩材料</w:t>
      </w:r>
      <w:r>
        <w:rPr>
          <w:color w:val="000000"/>
          <w:sz w:val="24"/>
          <w:szCs w:val="24"/>
        </w:rPr>
        <w:t>》</w:t>
      </w:r>
      <w:r>
        <w:rPr>
          <w:rFonts w:hint="eastAsia"/>
          <w:color w:val="000000"/>
          <w:sz w:val="24"/>
          <w:szCs w:val="24"/>
          <w:lang w:val="en-US" w:eastAsia="zh-CN"/>
        </w:rPr>
        <w:t>国家</w:t>
      </w:r>
      <w:r>
        <w:rPr>
          <w:color w:val="000000"/>
          <w:sz w:val="24"/>
          <w:szCs w:val="24"/>
        </w:rPr>
        <w:t>标准编制小组。在标准编制的过程中，按照标准的编制程序，标准编制小组成员对相关标准及研究进行了调研，与</w:t>
      </w:r>
      <w:r>
        <w:rPr>
          <w:rFonts w:hint="eastAsia"/>
          <w:color w:val="000000"/>
          <w:sz w:val="24"/>
          <w:szCs w:val="24"/>
          <w:lang w:val="en-US" w:eastAsia="zh-CN"/>
        </w:rPr>
        <w:t>北京航空航天大学、北京科技大学、钢铁研究总院、</w:t>
      </w:r>
      <w:r>
        <w:rPr>
          <w:rFonts w:hint="eastAsia" w:ascii="Times New Roman" w:hAnsi="Times New Roman" w:eastAsia="宋体" w:cs="Times New Roman"/>
          <w:sz w:val="24"/>
          <w:lang w:val="en-US" w:eastAsia="zh-CN"/>
        </w:rPr>
        <w:t>杭州应用声学研究所（中国船舶重工集团公司第七一五研究所）</w:t>
      </w:r>
      <w:r>
        <w:rPr>
          <w:rFonts w:hint="eastAsia"/>
          <w:sz w:val="24"/>
          <w:szCs w:val="24"/>
          <w:lang w:val="en-US" w:eastAsia="zh-CN"/>
        </w:rPr>
        <w:t>、</w:t>
      </w:r>
      <w:r>
        <w:rPr>
          <w:rFonts w:hint="eastAsia"/>
          <w:sz w:val="24"/>
          <w:lang w:val="en-US" w:eastAsia="zh-CN"/>
        </w:rPr>
        <w:t>中国科学院声学研究所等</w:t>
      </w:r>
      <w:r>
        <w:rPr>
          <w:rFonts w:hint="eastAsia"/>
          <w:color w:val="000000"/>
          <w:sz w:val="24"/>
          <w:szCs w:val="24"/>
          <w:lang w:val="en-US" w:eastAsia="zh-CN"/>
        </w:rPr>
        <w:t>主要生产及用户单位</w:t>
      </w:r>
      <w:r>
        <w:rPr>
          <w:color w:val="000000"/>
          <w:sz w:val="24"/>
          <w:szCs w:val="24"/>
        </w:rPr>
        <w:t>进行了</w:t>
      </w:r>
      <w:r>
        <w:rPr>
          <w:rFonts w:hint="eastAsia"/>
          <w:color w:val="000000"/>
          <w:sz w:val="24"/>
          <w:szCs w:val="24"/>
          <w:lang w:val="en-US" w:eastAsia="zh-CN"/>
        </w:rPr>
        <w:t>充分</w:t>
      </w:r>
      <w:r>
        <w:rPr>
          <w:color w:val="000000"/>
          <w:sz w:val="24"/>
          <w:szCs w:val="24"/>
        </w:rPr>
        <w:t>交流，根据各</w:t>
      </w:r>
      <w:r>
        <w:rPr>
          <w:rFonts w:hint="eastAsia"/>
          <w:color w:val="000000"/>
          <w:sz w:val="24"/>
          <w:szCs w:val="24"/>
          <w:lang w:val="en-US" w:eastAsia="zh-CN"/>
        </w:rPr>
        <w:t>单位</w:t>
      </w:r>
      <w:r>
        <w:rPr>
          <w:color w:val="000000"/>
          <w:sz w:val="24"/>
          <w:szCs w:val="24"/>
        </w:rPr>
        <w:t>所生产的</w:t>
      </w:r>
      <w:r>
        <w:rPr>
          <w:rFonts w:hint="eastAsia"/>
          <w:color w:val="000000"/>
          <w:sz w:val="24"/>
          <w:szCs w:val="24"/>
          <w:lang w:val="en-US" w:eastAsia="zh-CN"/>
        </w:rPr>
        <w:t>铽镝铁磁致伸缩材料</w:t>
      </w:r>
      <w:r>
        <w:rPr>
          <w:color w:val="000000"/>
          <w:sz w:val="24"/>
          <w:szCs w:val="24"/>
        </w:rPr>
        <w:t>产品的实际情况，进行</w:t>
      </w:r>
      <w:r>
        <w:rPr>
          <w:rFonts w:hint="eastAsia"/>
          <w:color w:val="000000"/>
          <w:sz w:val="24"/>
          <w:szCs w:val="24"/>
          <w:lang w:eastAsia="zh-CN"/>
        </w:rPr>
        <w:t>了</w:t>
      </w:r>
      <w:r>
        <w:rPr>
          <w:color w:val="000000"/>
          <w:sz w:val="24"/>
          <w:szCs w:val="24"/>
        </w:rPr>
        <w:t>标准制定前广泛调研、了解市场生产情况和用户应用情况及相应的论证；</w:t>
      </w:r>
      <w:r>
        <w:rPr>
          <w:rFonts w:hint="eastAsia"/>
          <w:color w:val="000000"/>
          <w:sz w:val="24"/>
          <w:szCs w:val="24"/>
          <w:lang w:val="en-US" w:eastAsia="zh-CN"/>
        </w:rPr>
        <w:t>据此</w:t>
      </w:r>
      <w:r>
        <w:rPr>
          <w:color w:val="000000"/>
          <w:sz w:val="24"/>
          <w:szCs w:val="24"/>
        </w:rPr>
        <w:t>形成了标准的征求意见稿发至</w:t>
      </w:r>
      <w:r>
        <w:rPr>
          <w:rFonts w:hint="eastAsia"/>
          <w:sz w:val="24"/>
          <w:szCs w:val="24"/>
          <w:lang w:val="en-US" w:eastAsia="zh-CN"/>
        </w:rPr>
        <w:t>包头稀土新材料技术研发中心、有研稀土新材料股份有限公司、中国北方稀土(集团)高科技股份有限公司、中国计量科学研究院、北京中科三环高技术股份有限公司、国瑞科创稀土功能材料(赣州)有限公司、信丰县包钢新利稀土有限责任公司、钢铁研究总院、河北工业大学、有研稀土高技术有限公司、西安交通大学、北京科技大学、浙江大学、</w:t>
      </w:r>
      <w:r>
        <w:rPr>
          <w:rFonts w:hint="eastAsia" w:ascii="Times New Roman" w:hAnsi="Times New Roman" w:eastAsia="宋体" w:cs="Times New Roman"/>
          <w:sz w:val="24"/>
          <w:lang w:val="en-US" w:eastAsia="zh-CN"/>
        </w:rPr>
        <w:t>杭州应用声学研究所（中国船舶重工集团公司第七一五研究所）</w:t>
      </w:r>
      <w:r>
        <w:rPr>
          <w:rFonts w:hint="eastAsia" w:cs="Times New Roman"/>
          <w:sz w:val="24"/>
          <w:lang w:val="en-US" w:eastAsia="zh-CN"/>
        </w:rPr>
        <w:t>、</w:t>
      </w:r>
      <w:r>
        <w:rPr>
          <w:rFonts w:hint="eastAsia"/>
          <w:sz w:val="24"/>
          <w:szCs w:val="24"/>
          <w:lang w:val="en-US" w:eastAsia="zh-CN"/>
        </w:rPr>
        <w:t>北京航空航天大学、</w:t>
      </w:r>
      <w:r>
        <w:rPr>
          <w:rFonts w:hint="eastAsia"/>
          <w:sz w:val="24"/>
          <w:lang w:val="en-US" w:eastAsia="zh-CN"/>
        </w:rPr>
        <w:t>中国科学院声学研究所、沈阳工业大学等</w:t>
      </w:r>
      <w:r>
        <w:rPr>
          <w:color w:val="000000"/>
          <w:sz w:val="24"/>
          <w:szCs w:val="24"/>
        </w:rPr>
        <w:t xml:space="preserve">单位广泛征求相关意见如下： </w:t>
      </w:r>
    </w:p>
    <w:p w14:paraId="581808E2">
      <w:pPr>
        <w:adjustRightInd w:val="0"/>
        <w:snapToGrid w:val="0"/>
        <w:spacing w:line="520" w:lineRule="exact"/>
        <w:ind w:firstLine="480" w:firstLineChars="200"/>
        <w:rPr>
          <w:rFonts w:hint="default"/>
          <w:bCs/>
          <w:color w:val="000000"/>
          <w:sz w:val="24"/>
          <w:szCs w:val="24"/>
          <w:lang w:val="en-US" w:eastAsia="zh-CN"/>
        </w:rPr>
      </w:pPr>
      <w:r>
        <w:rPr>
          <w:rFonts w:hint="eastAsia"/>
          <w:bCs/>
          <w:color w:val="000000"/>
          <w:sz w:val="24"/>
          <w:szCs w:val="24"/>
          <w:lang w:val="en-US" w:eastAsia="zh-CN"/>
        </w:rPr>
        <w:t>1.任务落实时名字改为《铽镝铁磁致伸缩材料》的依据不足，仍沿用原标准名称《铽镝铁大磁致伸缩材料》，具有延续性一致性；后续经预审会专家建议，就采用《铽镝铁磁致伸缩材料》这一名称，与任务落实名称一致。经</w:t>
      </w:r>
      <w:r>
        <w:rPr>
          <w:color w:val="000000"/>
          <w:sz w:val="24"/>
          <w:szCs w:val="24"/>
        </w:rPr>
        <w:t>标准编制小组</w:t>
      </w:r>
      <w:r>
        <w:rPr>
          <w:rFonts w:hint="eastAsia"/>
          <w:color w:val="000000"/>
          <w:sz w:val="24"/>
          <w:szCs w:val="24"/>
          <w:lang w:val="en-US" w:eastAsia="zh-CN"/>
        </w:rPr>
        <w:t>充分讨论，</w:t>
      </w:r>
      <w:r>
        <w:rPr>
          <w:rFonts w:hint="eastAsia"/>
          <w:bCs/>
          <w:color w:val="000000"/>
          <w:sz w:val="24"/>
          <w:szCs w:val="24"/>
          <w:lang w:val="en-US" w:eastAsia="zh-CN"/>
        </w:rPr>
        <w:t>采用预审会专家建议。</w:t>
      </w:r>
    </w:p>
    <w:p w14:paraId="3004562A">
      <w:pPr>
        <w:adjustRightInd w:val="0"/>
        <w:snapToGrid w:val="0"/>
        <w:spacing w:line="520" w:lineRule="exact"/>
        <w:ind w:firstLine="480" w:firstLineChars="200"/>
        <w:rPr>
          <w:rFonts w:hint="eastAsia" w:eastAsia="宋体"/>
          <w:bCs/>
          <w:color w:val="000000"/>
          <w:sz w:val="24"/>
          <w:szCs w:val="24"/>
          <w:lang w:val="en-US" w:eastAsia="zh-CN"/>
        </w:rPr>
      </w:pPr>
      <w:r>
        <w:rPr>
          <w:rFonts w:hint="eastAsia"/>
          <w:bCs/>
          <w:color w:val="000000"/>
          <w:sz w:val="24"/>
          <w:szCs w:val="24"/>
          <w:lang w:val="en-US" w:eastAsia="zh-CN"/>
        </w:rPr>
        <w:t>2.</w:t>
      </w:r>
      <w:r>
        <w:rPr>
          <w:rFonts w:hint="eastAsia"/>
          <w:bCs/>
          <w:color w:val="000000"/>
          <w:sz w:val="24"/>
          <w:szCs w:val="24"/>
        </w:rPr>
        <w:t>牌号要和17803-稀土产品牌号标识方法保持一致</w:t>
      </w:r>
      <w:r>
        <w:rPr>
          <w:rFonts w:hint="eastAsia"/>
          <w:bCs/>
          <w:color w:val="000000"/>
          <w:sz w:val="24"/>
          <w:szCs w:val="24"/>
          <w:lang w:eastAsia="zh-CN"/>
        </w:rPr>
        <w:t>，</w:t>
      </w:r>
      <w:r>
        <w:rPr>
          <w:rFonts w:hint="eastAsia"/>
          <w:bCs/>
          <w:color w:val="000000"/>
          <w:sz w:val="24"/>
          <w:szCs w:val="24"/>
        </w:rPr>
        <w:t>简化代号</w:t>
      </w:r>
      <w:r>
        <w:rPr>
          <w:rFonts w:hint="eastAsia"/>
          <w:bCs/>
          <w:color w:val="000000"/>
          <w:sz w:val="24"/>
          <w:szCs w:val="24"/>
          <w:lang w:val="en-US" w:eastAsia="zh-CN"/>
        </w:rPr>
        <w:t>意义不大应删除。经</w:t>
      </w:r>
      <w:r>
        <w:rPr>
          <w:color w:val="000000"/>
          <w:sz w:val="24"/>
          <w:szCs w:val="24"/>
        </w:rPr>
        <w:t>标准编制小组</w:t>
      </w:r>
      <w:r>
        <w:rPr>
          <w:rFonts w:hint="eastAsia"/>
          <w:color w:val="000000"/>
          <w:sz w:val="24"/>
          <w:szCs w:val="24"/>
          <w:lang w:val="en-US" w:eastAsia="zh-CN"/>
        </w:rPr>
        <w:t>充分讨论，</w:t>
      </w:r>
      <w:r>
        <w:rPr>
          <w:rFonts w:hint="eastAsia"/>
          <w:bCs/>
          <w:color w:val="000000"/>
          <w:sz w:val="24"/>
          <w:szCs w:val="24"/>
          <w:lang w:val="en-US" w:eastAsia="zh-CN"/>
        </w:rPr>
        <w:t>采用此建议</w:t>
      </w:r>
      <w:r>
        <w:rPr>
          <w:rFonts w:hint="eastAsia" w:hAnsi="Cambria Math"/>
          <w:i w:val="0"/>
          <w:sz w:val="24"/>
          <w:szCs w:val="24"/>
          <w:lang w:eastAsia="zh-CN"/>
        </w:rPr>
        <w:t>。</w:t>
      </w:r>
    </w:p>
    <w:p w14:paraId="56B7AF28">
      <w:pPr>
        <w:adjustRightInd w:val="0"/>
        <w:snapToGrid w:val="0"/>
        <w:spacing w:line="520" w:lineRule="exact"/>
        <w:ind w:firstLine="480" w:firstLineChars="200"/>
        <w:rPr>
          <w:rFonts w:hint="eastAsia" w:hAnsi="Cambria Math"/>
          <w:i w:val="0"/>
          <w:sz w:val="24"/>
          <w:szCs w:val="24"/>
          <w:lang w:eastAsia="zh-CN"/>
        </w:rPr>
      </w:pPr>
      <w:r>
        <w:rPr>
          <w:rFonts w:hint="eastAsia"/>
          <w:bCs/>
          <w:color w:val="000000"/>
          <w:sz w:val="24"/>
          <w:szCs w:val="24"/>
          <w:lang w:val="en-US" w:eastAsia="zh-CN"/>
        </w:rPr>
        <w:t>3.牌号</w:t>
      </w:r>
      <w:r>
        <w:rPr>
          <w:rFonts w:hint="eastAsia"/>
          <w:bCs/>
          <w:color w:val="000000"/>
          <w:sz w:val="24"/>
          <w:szCs w:val="24"/>
        </w:rPr>
        <w:t>TbDyFe</w:t>
      </w:r>
      <w:r>
        <w:rPr>
          <w:bCs/>
          <w:color w:val="000000"/>
          <w:sz w:val="24"/>
          <w:szCs w:val="24"/>
        </w:rPr>
        <w:t>-D</w:t>
      </w:r>
      <w:r>
        <w:rPr>
          <w:rFonts w:hint="eastAsia"/>
          <w:bCs/>
          <w:color w:val="000000"/>
          <w:sz w:val="24"/>
          <w:szCs w:val="24"/>
        </w:rPr>
        <w:t>-</w:t>
      </w:r>
      <w:r>
        <w:rPr>
          <w:bCs/>
          <w:color w:val="000000"/>
          <w:sz w:val="24"/>
          <w:szCs w:val="24"/>
        </w:rPr>
        <w:t>5</w:t>
      </w:r>
      <w:r>
        <w:rPr>
          <w:rFonts w:hint="eastAsia"/>
          <w:bCs/>
          <w:color w:val="000000"/>
          <w:sz w:val="24"/>
          <w:szCs w:val="24"/>
        </w:rPr>
        <w:t>（Pxx）</w:t>
      </w:r>
      <w:r>
        <w:rPr>
          <w:rFonts w:hint="eastAsia"/>
          <w:bCs/>
          <w:color w:val="000000"/>
          <w:sz w:val="24"/>
          <w:szCs w:val="24"/>
          <w:lang w:val="en-US" w:eastAsia="zh-CN"/>
        </w:rPr>
        <w:t>中</w:t>
      </w:r>
      <w:r>
        <w:rPr>
          <w:rFonts w:hint="eastAsia"/>
          <w:bCs/>
          <w:color w:val="000000"/>
          <w:sz w:val="24"/>
          <w:szCs w:val="24"/>
        </w:rPr>
        <w:t>牌号表示不怕长，但一定要</w:t>
      </w:r>
      <w:r>
        <w:rPr>
          <w:rFonts w:hint="eastAsia"/>
          <w:bCs/>
          <w:color w:val="000000"/>
          <w:sz w:val="24"/>
          <w:szCs w:val="24"/>
          <w:lang w:val="en-US" w:eastAsia="zh-CN"/>
        </w:rPr>
        <w:t>规范。经</w:t>
      </w:r>
      <w:r>
        <w:rPr>
          <w:color w:val="000000"/>
          <w:sz w:val="24"/>
          <w:szCs w:val="24"/>
        </w:rPr>
        <w:t>标准编制小组</w:t>
      </w:r>
      <w:r>
        <w:rPr>
          <w:rFonts w:hint="eastAsia"/>
          <w:color w:val="000000"/>
          <w:sz w:val="24"/>
          <w:szCs w:val="24"/>
          <w:lang w:val="en-US" w:eastAsia="zh-CN"/>
        </w:rPr>
        <w:t>充分讨论，</w:t>
      </w:r>
      <w:r>
        <w:rPr>
          <w:rFonts w:hint="eastAsia"/>
          <w:bCs/>
          <w:color w:val="000000"/>
          <w:sz w:val="24"/>
          <w:szCs w:val="24"/>
          <w:lang w:val="en-US" w:eastAsia="zh-CN"/>
        </w:rPr>
        <w:t>采用此建议，删除简化符号</w:t>
      </w:r>
      <w:r>
        <w:rPr>
          <w:rFonts w:hint="eastAsia" w:hAnsi="Cambria Math"/>
          <w:i w:val="0"/>
          <w:sz w:val="24"/>
          <w:szCs w:val="24"/>
          <w:lang w:eastAsia="zh-CN"/>
        </w:rPr>
        <w:t>。</w:t>
      </w:r>
    </w:p>
    <w:p w14:paraId="71B9B127">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4.</w:t>
      </w:r>
      <w:r>
        <w:rPr>
          <w:rFonts w:hint="eastAsia"/>
          <w:bCs/>
          <w:color w:val="000000"/>
          <w:sz w:val="24"/>
          <w:szCs w:val="24"/>
        </w:rPr>
        <w:t>讨论了是否加入曲线类型问题，未取得一致结论，后续</w:t>
      </w:r>
      <w:r>
        <w:rPr>
          <w:rFonts w:hint="eastAsia"/>
          <w:bCs/>
          <w:color w:val="000000"/>
          <w:sz w:val="24"/>
          <w:szCs w:val="24"/>
          <w:lang w:val="en-US" w:eastAsia="zh-CN"/>
        </w:rPr>
        <w:t>再</w:t>
      </w:r>
      <w:r>
        <w:rPr>
          <w:rFonts w:hint="eastAsia"/>
          <w:bCs/>
          <w:color w:val="000000"/>
          <w:sz w:val="24"/>
          <w:szCs w:val="24"/>
        </w:rPr>
        <w:t>讨论</w:t>
      </w:r>
      <w:r>
        <w:rPr>
          <w:rFonts w:hint="eastAsia"/>
          <w:bCs/>
          <w:color w:val="000000"/>
          <w:sz w:val="24"/>
          <w:szCs w:val="24"/>
          <w:lang w:eastAsia="zh-CN"/>
        </w:rPr>
        <w:t>。</w:t>
      </w:r>
      <w:r>
        <w:rPr>
          <w:rFonts w:hint="eastAsia"/>
          <w:bCs/>
          <w:color w:val="000000"/>
          <w:sz w:val="24"/>
          <w:szCs w:val="24"/>
          <w:lang w:val="en-US" w:eastAsia="zh-CN"/>
        </w:rPr>
        <w:t>经</w:t>
      </w:r>
      <w:r>
        <w:rPr>
          <w:color w:val="000000"/>
          <w:sz w:val="24"/>
          <w:szCs w:val="24"/>
        </w:rPr>
        <w:t>标准编制小组</w:t>
      </w:r>
      <w:r>
        <w:rPr>
          <w:rFonts w:hint="eastAsia"/>
          <w:color w:val="000000"/>
          <w:sz w:val="24"/>
          <w:szCs w:val="24"/>
          <w:lang w:val="en-US" w:eastAsia="zh-CN"/>
        </w:rPr>
        <w:t>讨论及意见征求，不加入曲线类型。</w:t>
      </w:r>
    </w:p>
    <w:p w14:paraId="2432BC67">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5.室温</w:t>
      </w:r>
      <w:r>
        <w:rPr>
          <w:rFonts w:hint="eastAsia"/>
          <w:bCs/>
          <w:color w:val="000000"/>
          <w:sz w:val="24"/>
          <w:szCs w:val="24"/>
        </w:rPr>
        <w:t>2</w:t>
      </w:r>
      <w:r>
        <w:rPr>
          <w:bCs/>
          <w:color w:val="000000"/>
          <w:sz w:val="24"/>
          <w:szCs w:val="24"/>
        </w:rPr>
        <w:t>3</w:t>
      </w:r>
      <w:r>
        <w:rPr>
          <w:rFonts w:hint="eastAsia"/>
          <w:bCs/>
          <w:color w:val="000000"/>
          <w:sz w:val="24"/>
          <w:szCs w:val="24"/>
        </w:rPr>
        <w:t>℃±</w:t>
      </w:r>
      <w:r>
        <w:rPr>
          <w:bCs/>
          <w:color w:val="000000"/>
          <w:sz w:val="24"/>
          <w:szCs w:val="24"/>
        </w:rPr>
        <w:t>3</w:t>
      </w:r>
      <w:r>
        <w:rPr>
          <w:rFonts w:hint="eastAsia"/>
          <w:bCs/>
          <w:color w:val="000000"/>
          <w:sz w:val="24"/>
          <w:szCs w:val="24"/>
        </w:rPr>
        <w:t>℃条件下测量，2</w:t>
      </w:r>
      <w:r>
        <w:rPr>
          <w:bCs/>
          <w:color w:val="000000"/>
          <w:sz w:val="24"/>
          <w:szCs w:val="24"/>
        </w:rPr>
        <w:t>3</w:t>
      </w:r>
      <w:r>
        <w:rPr>
          <w:rFonts w:hint="eastAsia"/>
          <w:bCs/>
          <w:color w:val="000000"/>
          <w:sz w:val="24"/>
          <w:szCs w:val="24"/>
        </w:rPr>
        <w:t>℃±</w:t>
      </w:r>
      <w:r>
        <w:rPr>
          <w:bCs/>
          <w:color w:val="000000"/>
          <w:sz w:val="24"/>
          <w:szCs w:val="24"/>
        </w:rPr>
        <w:t>3</w:t>
      </w:r>
      <w:r>
        <w:rPr>
          <w:rFonts w:hint="eastAsia"/>
          <w:bCs/>
          <w:color w:val="000000"/>
          <w:sz w:val="24"/>
          <w:szCs w:val="24"/>
        </w:rPr>
        <w:t>℃条件太宽，可能会影响牌号划分等问题，建议参照其它标准对室温的描述进行修改；牌号判定标准尽量唯一</w:t>
      </w:r>
      <w:r>
        <w:rPr>
          <w:rFonts w:hint="eastAsia"/>
          <w:bCs/>
          <w:color w:val="000000"/>
          <w:sz w:val="24"/>
          <w:szCs w:val="24"/>
          <w:lang w:eastAsia="zh-CN"/>
        </w:rPr>
        <w:t>；</w:t>
      </w:r>
      <w:r>
        <w:rPr>
          <w:rFonts w:hint="eastAsia"/>
          <w:bCs/>
          <w:color w:val="000000"/>
          <w:sz w:val="24"/>
          <w:szCs w:val="24"/>
          <w:lang w:val="en-US" w:eastAsia="zh-CN"/>
        </w:rPr>
        <w:t>经</w:t>
      </w:r>
      <w:r>
        <w:rPr>
          <w:color w:val="000000"/>
          <w:sz w:val="24"/>
          <w:szCs w:val="24"/>
        </w:rPr>
        <w:t>标准编制小组</w:t>
      </w:r>
      <w:r>
        <w:rPr>
          <w:rFonts w:hint="eastAsia"/>
          <w:color w:val="000000"/>
          <w:sz w:val="24"/>
          <w:szCs w:val="24"/>
          <w:lang w:val="en-US" w:eastAsia="zh-CN"/>
        </w:rPr>
        <w:t>充分讨论，</w:t>
      </w:r>
      <w:r>
        <w:rPr>
          <w:rFonts w:hint="eastAsia"/>
          <w:bCs/>
          <w:color w:val="000000"/>
          <w:sz w:val="24"/>
          <w:szCs w:val="24"/>
          <w:lang w:val="en-US" w:eastAsia="zh-CN"/>
        </w:rPr>
        <w:t>采用此建议，按其他标准确定室温20℃。</w:t>
      </w:r>
    </w:p>
    <w:p w14:paraId="7BC4F5E5">
      <w:pPr>
        <w:adjustRightInd w:val="0"/>
        <w:snapToGrid w:val="0"/>
        <w:spacing w:line="520" w:lineRule="exact"/>
        <w:ind w:firstLine="480" w:firstLineChars="200"/>
        <w:rPr>
          <w:rFonts w:hint="eastAsia"/>
          <w:color w:val="000000"/>
          <w:sz w:val="24"/>
          <w:szCs w:val="24"/>
          <w:lang w:val="en-US" w:eastAsia="zh-CN"/>
        </w:rPr>
      </w:pPr>
      <w:r>
        <w:rPr>
          <w:rFonts w:hint="eastAsia"/>
          <w:bCs/>
          <w:color w:val="000000"/>
          <w:sz w:val="24"/>
          <w:szCs w:val="24"/>
          <w:lang w:val="en-US" w:eastAsia="zh-CN"/>
        </w:rPr>
        <w:t>6.</w:t>
      </w:r>
      <w:r>
        <w:rPr>
          <w:rFonts w:hint="eastAsia"/>
          <w:bCs/>
          <w:color w:val="000000"/>
          <w:sz w:val="24"/>
          <w:szCs w:val="24"/>
        </w:rPr>
        <w:t>给压力范围容易引起牌号混乱，</w:t>
      </w:r>
      <w:r>
        <w:rPr>
          <w:rFonts w:hint="eastAsia"/>
          <w:bCs/>
          <w:color w:val="000000"/>
          <w:sz w:val="24"/>
          <w:szCs w:val="24"/>
          <w:lang w:val="en-US" w:eastAsia="zh-CN"/>
        </w:rPr>
        <w:t>有</w:t>
      </w:r>
      <w:r>
        <w:rPr>
          <w:rFonts w:hint="eastAsia"/>
          <w:bCs/>
          <w:color w:val="000000"/>
          <w:sz w:val="24"/>
          <w:szCs w:val="24"/>
        </w:rPr>
        <w:t>建议压力用定值</w:t>
      </w:r>
      <w:r>
        <w:rPr>
          <w:rFonts w:hint="eastAsia"/>
          <w:bCs/>
          <w:color w:val="000000"/>
          <w:sz w:val="24"/>
          <w:szCs w:val="24"/>
          <w:lang w:eastAsia="zh-CN"/>
        </w:rPr>
        <w:t>，</w:t>
      </w:r>
      <w:r>
        <w:rPr>
          <w:rFonts w:hint="eastAsia"/>
          <w:bCs/>
          <w:color w:val="000000"/>
          <w:sz w:val="24"/>
          <w:szCs w:val="24"/>
        </w:rPr>
        <w:t>也有提出扩大压力范围（到6</w:t>
      </w:r>
      <w:r>
        <w:rPr>
          <w:bCs/>
          <w:color w:val="000000"/>
          <w:sz w:val="24"/>
          <w:szCs w:val="24"/>
        </w:rPr>
        <w:t>0M</w:t>
      </w:r>
      <w:r>
        <w:rPr>
          <w:rFonts w:hint="eastAsia"/>
          <w:bCs/>
          <w:color w:val="000000"/>
          <w:sz w:val="24"/>
          <w:szCs w:val="24"/>
        </w:rPr>
        <w:t>pa，有会关注到高压下的性能）</w:t>
      </w:r>
      <w:r>
        <w:rPr>
          <w:rFonts w:hint="eastAsia"/>
          <w:bCs/>
          <w:color w:val="000000"/>
          <w:sz w:val="24"/>
          <w:szCs w:val="24"/>
          <w:lang w:eastAsia="zh-CN"/>
        </w:rPr>
        <w:t>，</w:t>
      </w:r>
      <w:r>
        <w:rPr>
          <w:rFonts w:hint="eastAsia"/>
          <w:bCs/>
          <w:color w:val="000000"/>
          <w:sz w:val="24"/>
          <w:szCs w:val="24"/>
          <w:lang w:val="en-US" w:eastAsia="zh-CN"/>
        </w:rPr>
        <w:t>未取得一致意见</w:t>
      </w:r>
      <w:r>
        <w:rPr>
          <w:rFonts w:hint="eastAsia" w:hAnsi="Cambria Math"/>
          <w:i w:val="0"/>
          <w:sz w:val="24"/>
          <w:szCs w:val="24"/>
          <w:lang w:eastAsia="zh-CN"/>
        </w:rPr>
        <w:t>。</w:t>
      </w:r>
      <w:r>
        <w:rPr>
          <w:rFonts w:hint="eastAsia"/>
          <w:color w:val="000000"/>
          <w:sz w:val="24"/>
          <w:szCs w:val="24"/>
          <w:lang w:val="en-US" w:eastAsia="zh-CN"/>
        </w:rPr>
        <w:t>经考虑预审会专家意见及9月份标准编制小组讨论会最终确定，以80</w:t>
      </w:r>
      <m:oMath>
        <m:r>
          <m:rPr>
            <m:sty m:val="p"/>
          </m:rPr>
          <w:rPr>
            <w:rFonts w:hint="default" w:ascii="Cambria Math" w:hAnsi="Cambria Math"/>
            <w:color w:val="000000"/>
            <w:sz w:val="24"/>
            <w:szCs w:val="24"/>
          </w:rPr>
          <m:t>kA/m</m:t>
        </m:r>
      </m:oMath>
      <w:r>
        <w:rPr>
          <w:rFonts w:hint="eastAsia"/>
          <w:color w:val="000000"/>
          <w:sz w:val="24"/>
          <w:szCs w:val="24"/>
        </w:rPr>
        <w:t>、2</w:t>
      </w:r>
      <w:r>
        <w:rPr>
          <w:rFonts w:hint="eastAsia"/>
          <w:color w:val="000000"/>
          <w:sz w:val="24"/>
          <w:szCs w:val="24"/>
          <w:lang w:val="en-US" w:eastAsia="zh-CN"/>
        </w:rPr>
        <w:t>0</w:t>
      </w:r>
      <w:r>
        <w:rPr>
          <w:rFonts w:hint="eastAsia"/>
          <w:color w:val="000000"/>
          <w:sz w:val="24"/>
          <w:szCs w:val="24"/>
        </w:rPr>
        <w:t>℃</w:t>
      </w:r>
      <w:r>
        <w:rPr>
          <w:rFonts w:hint="eastAsia"/>
          <w:color w:val="000000"/>
          <w:sz w:val="24"/>
          <w:szCs w:val="24"/>
          <w:lang w:eastAsia="zh-CN"/>
        </w:rPr>
        <w:t>、</w:t>
      </w:r>
      <w:r>
        <w:rPr>
          <w:rFonts w:hint="default"/>
          <w:color w:val="000000"/>
          <w:sz w:val="24"/>
          <w:szCs w:val="24"/>
        </w:rPr>
        <w:t>预压应力</w:t>
      </w:r>
      <w:r>
        <w:rPr>
          <w:rFonts w:hint="eastAsia"/>
          <w:color w:val="000000"/>
          <w:sz w:val="24"/>
          <w:szCs w:val="24"/>
          <w:lang w:val="en-US" w:eastAsia="zh-CN"/>
        </w:rPr>
        <w:t>8</w:t>
      </w:r>
      <m:oMath>
        <m:r>
          <m:rPr>
            <m:sty m:val="p"/>
          </m:rPr>
          <w:rPr>
            <w:rFonts w:hint="default" w:ascii="Cambria Math" w:hAnsi="Cambria Math"/>
            <w:color w:val="000000"/>
            <w:sz w:val="24"/>
            <w:szCs w:val="24"/>
          </w:rPr>
          <m:t xml:space="preserve"> N/</m:t>
        </m:r>
        <m:sSup>
          <m:sSupPr>
            <m:ctrlPr>
              <w:rPr>
                <w:rFonts w:hint="default" w:ascii="Cambria Math" w:hAnsi="Cambria Math"/>
                <w:color w:val="000000"/>
                <w:sz w:val="24"/>
                <w:szCs w:val="24"/>
              </w:rPr>
            </m:ctrlPr>
          </m:sSupPr>
          <m:e>
            <m:r>
              <m:rPr>
                <m:sty m:val="p"/>
              </m:rPr>
              <w:rPr>
                <w:rFonts w:hint="default" w:ascii="Cambria Math" w:hAnsi="Cambria Math"/>
                <w:color w:val="000000"/>
                <w:sz w:val="24"/>
                <w:szCs w:val="24"/>
              </w:rPr>
              <m:t>mm</m:t>
            </m:r>
            <m:ctrlPr>
              <w:rPr>
                <w:rFonts w:hint="default" w:ascii="Cambria Math" w:hAnsi="Cambria Math"/>
                <w:color w:val="000000"/>
                <w:sz w:val="24"/>
                <w:szCs w:val="24"/>
              </w:rPr>
            </m:ctrlPr>
          </m:e>
          <m:sup>
            <m:r>
              <m:rPr>
                <m:sty m:val="p"/>
              </m:rPr>
              <w:rPr>
                <w:rFonts w:hint="default" w:ascii="Cambria Math" w:hAnsi="Cambria Math"/>
                <w:color w:val="000000"/>
                <w:sz w:val="24"/>
                <w:szCs w:val="24"/>
              </w:rPr>
              <m:t>2</m:t>
            </m:r>
            <m:ctrlPr>
              <w:rPr>
                <w:rFonts w:hint="default" w:ascii="Cambria Math" w:hAnsi="Cambria Math"/>
                <w:color w:val="000000"/>
                <w:sz w:val="24"/>
                <w:szCs w:val="24"/>
              </w:rPr>
            </m:ctrlPr>
          </m:sup>
        </m:sSup>
      </m:oMath>
      <w:r>
        <w:rPr>
          <w:rFonts w:hint="eastAsia"/>
          <w:color w:val="000000"/>
          <w:sz w:val="24"/>
          <w:szCs w:val="24"/>
          <w:lang w:val="en-US" w:eastAsia="zh-CN"/>
        </w:rPr>
        <w:t>条件下</w:t>
      </w:r>
      <w:r>
        <w:rPr>
          <w:rFonts w:hint="default"/>
          <w:color w:val="000000"/>
          <w:sz w:val="24"/>
          <w:szCs w:val="24"/>
          <w:lang w:val="en-US" w:eastAsia="zh-CN"/>
        </w:rPr>
        <w:t>平行磁致伸缩系数</w:t>
      </w:r>
      <w:r>
        <w:rPr>
          <w:rFonts w:hint="eastAsia"/>
          <w:color w:val="000000"/>
          <w:sz w:val="24"/>
          <w:szCs w:val="24"/>
          <w:lang w:val="en-US" w:eastAsia="zh-CN"/>
        </w:rPr>
        <w:t>所在区间下限值作为牌号划分依据，且删除D及Pxx。</w:t>
      </w:r>
    </w:p>
    <w:p w14:paraId="2DB826FE">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7.</w:t>
      </w:r>
      <w:r>
        <w:rPr>
          <w:rFonts w:hint="eastAsia"/>
          <w:bCs/>
          <w:color w:val="000000"/>
          <w:sz w:val="24"/>
          <w:szCs w:val="24"/>
        </w:rPr>
        <w:t>建议引入平行度、垂直度、粗糙度及倒角控制</w:t>
      </w:r>
      <w:r>
        <w:rPr>
          <w:rFonts w:hint="eastAsia"/>
          <w:bCs/>
          <w:color w:val="000000"/>
          <w:sz w:val="24"/>
          <w:szCs w:val="24"/>
          <w:lang w:eastAsia="zh-CN"/>
        </w:rPr>
        <w:t>；</w:t>
      </w:r>
      <w:r>
        <w:rPr>
          <w:rFonts w:hint="eastAsia"/>
          <w:bCs/>
          <w:color w:val="000000"/>
          <w:sz w:val="24"/>
          <w:szCs w:val="24"/>
          <w:lang w:val="en-US" w:eastAsia="zh-CN"/>
        </w:rPr>
        <w:t>经</w:t>
      </w:r>
      <w:r>
        <w:rPr>
          <w:color w:val="000000"/>
          <w:sz w:val="24"/>
          <w:szCs w:val="24"/>
        </w:rPr>
        <w:t>标准编制小组</w:t>
      </w:r>
      <w:r>
        <w:rPr>
          <w:rFonts w:hint="eastAsia"/>
          <w:color w:val="000000"/>
          <w:sz w:val="24"/>
          <w:szCs w:val="24"/>
          <w:lang w:val="en-US" w:eastAsia="zh-CN"/>
        </w:rPr>
        <w:t>充分讨论，采用此建议，并根据加工精度、已有材料确定</w:t>
      </w:r>
      <w:r>
        <w:rPr>
          <w:rFonts w:hint="eastAsia"/>
          <w:bCs/>
          <w:color w:val="000000"/>
          <w:sz w:val="24"/>
          <w:szCs w:val="24"/>
        </w:rPr>
        <w:t>平行度、垂直度</w:t>
      </w:r>
      <w:r>
        <w:rPr>
          <w:rFonts w:hint="eastAsia"/>
          <w:bCs/>
          <w:color w:val="000000"/>
          <w:sz w:val="24"/>
          <w:szCs w:val="24"/>
          <w:lang w:val="en-US" w:eastAsia="zh-CN"/>
        </w:rPr>
        <w:t>范围；粗糙度及倒角未引入标准，可在购买合同中另行约定。</w:t>
      </w:r>
    </w:p>
    <w:p w14:paraId="014EB9B4">
      <w:pPr>
        <w:adjustRightInd w:val="0"/>
        <w:snapToGrid w:val="0"/>
        <w:spacing w:line="520" w:lineRule="exact"/>
        <w:ind w:firstLine="480" w:firstLineChars="200"/>
        <w:rPr>
          <w:rFonts w:hint="eastAsia"/>
          <w:bCs/>
          <w:color w:val="000000"/>
          <w:sz w:val="24"/>
          <w:szCs w:val="24"/>
          <w:lang w:val="en-US" w:eastAsia="zh-CN"/>
        </w:rPr>
      </w:pPr>
      <w:r>
        <w:rPr>
          <w:rFonts w:hint="eastAsia"/>
          <w:bCs/>
          <w:color w:val="000000"/>
          <w:sz w:val="24"/>
          <w:szCs w:val="24"/>
          <w:lang w:val="en-US" w:eastAsia="zh-CN"/>
        </w:rPr>
        <w:t>8.</w:t>
      </w:r>
      <w:r>
        <w:rPr>
          <w:rFonts w:hint="eastAsia"/>
          <w:bCs/>
          <w:color w:val="000000"/>
          <w:sz w:val="24"/>
          <w:szCs w:val="24"/>
        </w:rPr>
        <w:t>尺寸偏差中，产品描述“圆柱、方柱”说法不太规范</w:t>
      </w:r>
      <w:r>
        <w:rPr>
          <w:rFonts w:hint="eastAsia"/>
          <w:bCs/>
          <w:color w:val="000000"/>
          <w:sz w:val="24"/>
          <w:szCs w:val="24"/>
          <w:lang w:eastAsia="zh-CN"/>
        </w:rPr>
        <w:t>，</w:t>
      </w:r>
      <w:r>
        <w:rPr>
          <w:rFonts w:hint="eastAsia"/>
          <w:bCs/>
          <w:color w:val="000000"/>
          <w:sz w:val="24"/>
          <w:szCs w:val="24"/>
          <w:lang w:val="en-US" w:eastAsia="zh-CN"/>
        </w:rPr>
        <w:t>环柱去掉</w:t>
      </w:r>
      <w:r>
        <w:rPr>
          <w:rFonts w:hint="eastAsia"/>
          <w:bCs/>
          <w:color w:val="000000"/>
          <w:sz w:val="24"/>
          <w:szCs w:val="24"/>
        </w:rPr>
        <w:t>；</w:t>
      </w:r>
      <w:r>
        <w:rPr>
          <w:rFonts w:hint="eastAsia"/>
          <w:bCs/>
          <w:color w:val="000000"/>
          <w:sz w:val="24"/>
          <w:szCs w:val="24"/>
          <w:lang w:val="en-US" w:eastAsia="zh-CN"/>
        </w:rPr>
        <w:t>采用此建议，改为</w:t>
      </w:r>
      <w:r>
        <w:rPr>
          <w:rFonts w:hint="default"/>
          <w:bCs/>
          <w:color w:val="000000"/>
          <w:sz w:val="24"/>
          <w:szCs w:val="24"/>
          <w:lang w:val="en-US" w:eastAsia="zh-CN"/>
        </w:rPr>
        <w:t>圆柱体、长方体</w:t>
      </w:r>
      <w:r>
        <w:rPr>
          <w:rFonts w:hint="eastAsia"/>
          <w:bCs/>
          <w:color w:val="000000"/>
          <w:sz w:val="24"/>
          <w:szCs w:val="24"/>
          <w:lang w:val="en-US" w:eastAsia="zh-CN"/>
        </w:rPr>
        <w:t>描述。</w:t>
      </w:r>
    </w:p>
    <w:p w14:paraId="3EB0FB2C">
      <w:pPr>
        <w:adjustRightInd w:val="0"/>
        <w:snapToGrid w:val="0"/>
        <w:spacing w:line="520" w:lineRule="exact"/>
        <w:ind w:firstLine="480" w:firstLineChars="200"/>
        <w:rPr>
          <w:rFonts w:hint="default"/>
          <w:bCs/>
          <w:color w:val="000000"/>
          <w:sz w:val="24"/>
          <w:szCs w:val="24"/>
          <w:lang w:val="en-US" w:eastAsia="zh-CN"/>
        </w:rPr>
      </w:pPr>
      <w:r>
        <w:rPr>
          <w:rFonts w:hint="eastAsia"/>
          <w:bCs/>
          <w:color w:val="000000"/>
          <w:sz w:val="24"/>
          <w:szCs w:val="24"/>
          <w:lang w:val="en-US" w:eastAsia="zh-CN"/>
        </w:rPr>
        <w:t>9.</w:t>
      </w:r>
      <w:r>
        <w:rPr>
          <w:rFonts w:hint="default"/>
          <w:bCs/>
          <w:color w:val="000000"/>
          <w:sz w:val="24"/>
          <w:szCs w:val="24"/>
          <w:lang w:val="en-US" w:eastAsia="zh-CN"/>
        </w:rPr>
        <w:t>磁致伸缩性能的测量按附录C或附录D的规定进行。</w:t>
      </w:r>
      <w:r>
        <w:rPr>
          <w:rFonts w:hint="eastAsia"/>
          <w:color w:val="000000"/>
          <w:sz w:val="24"/>
          <w:szCs w:val="24"/>
          <w:lang w:val="en-US" w:eastAsia="zh-CN"/>
        </w:rPr>
        <w:t>经考虑预审会专家</w:t>
      </w:r>
      <w:r>
        <w:rPr>
          <w:rFonts w:hint="eastAsia"/>
          <w:bCs/>
          <w:color w:val="000000"/>
          <w:sz w:val="24"/>
          <w:szCs w:val="24"/>
          <w:lang w:val="en-US" w:eastAsia="zh-CN"/>
        </w:rPr>
        <w:t>意见及9月份标准编制小组讨论会最终确定，以附录C中</w:t>
      </w:r>
      <w:r>
        <w:rPr>
          <w:rFonts w:hint="default"/>
          <w:bCs/>
          <w:color w:val="000000"/>
          <w:sz w:val="24"/>
          <w:szCs w:val="24"/>
          <w:lang w:val="en-US" w:eastAsia="zh-CN"/>
        </w:rPr>
        <w:t>应变片测试方法</w:t>
      </w:r>
      <w:r>
        <w:rPr>
          <w:rFonts w:hint="eastAsia"/>
          <w:bCs/>
          <w:color w:val="000000"/>
          <w:sz w:val="24"/>
          <w:szCs w:val="24"/>
          <w:lang w:val="en-US" w:eastAsia="zh-CN"/>
        </w:rPr>
        <w:t>作为仲裁测试方法。</w:t>
      </w:r>
    </w:p>
    <w:p w14:paraId="47BE0560">
      <w:pPr>
        <w:adjustRightInd w:val="0"/>
        <w:snapToGrid w:val="0"/>
        <w:spacing w:line="520" w:lineRule="exact"/>
        <w:ind w:firstLine="480" w:firstLineChars="200"/>
        <w:rPr>
          <w:rFonts w:hint="eastAsia" w:eastAsia="宋体"/>
          <w:bCs/>
          <w:color w:val="000000"/>
          <w:sz w:val="24"/>
          <w:szCs w:val="24"/>
          <w:lang w:val="en-US" w:eastAsia="zh-CN"/>
        </w:rPr>
      </w:pPr>
      <w:r>
        <w:rPr>
          <w:rFonts w:hint="eastAsia"/>
          <w:bCs/>
          <w:color w:val="000000"/>
          <w:sz w:val="24"/>
          <w:szCs w:val="24"/>
          <w:lang w:val="en-US" w:eastAsia="zh-CN"/>
        </w:rPr>
        <w:t>10.</w:t>
      </w:r>
      <w:r>
        <w:rPr>
          <w:rFonts w:hint="eastAsia"/>
          <w:bCs/>
          <w:color w:val="000000"/>
          <w:sz w:val="24"/>
          <w:szCs w:val="24"/>
        </w:rPr>
        <w:t>物理性能中，实际抗压强度可能达不到400</w:t>
      </w:r>
      <m:oMath>
        <m:r>
          <m:rPr/>
          <w:rPr>
            <w:rFonts w:hint="default" w:ascii="Cambria Math" w:hAnsi="Cambria Math" w:cs="Times New Roman"/>
          </w:rPr>
          <m:t>N/</m:t>
        </m:r>
        <m:sSup>
          <m:sSupPr>
            <m:ctrlPr>
              <w:rPr>
                <w:rFonts w:hint="default" w:ascii="Cambria Math" w:hAnsi="Cambria Math" w:cs="Times New Roman"/>
                <w:i/>
              </w:rPr>
            </m:ctrlPr>
          </m:sSupPr>
          <m:e>
            <m:r>
              <m:rPr/>
              <w:rPr>
                <w:rFonts w:hint="default" w:ascii="Cambria Math" w:hAnsi="Cambria Math" w:cs="Times New Roman"/>
              </w:rPr>
              <m:t>mm</m:t>
            </m:r>
            <m:ctrlPr>
              <w:rPr>
                <w:rFonts w:hint="default" w:ascii="Cambria Math" w:hAnsi="Cambria Math" w:cs="Times New Roman"/>
                <w:i/>
              </w:rPr>
            </m:ctrlPr>
          </m:e>
          <m:sup>
            <m:r>
              <m:rPr/>
              <w:rPr>
                <w:rFonts w:hint="default" w:ascii="Cambria Math" w:hAnsi="Cambria Math" w:cs="Times New Roman"/>
              </w:rPr>
              <m:t>2</m:t>
            </m:r>
            <m:ctrlPr>
              <w:rPr>
                <w:rFonts w:hint="default" w:ascii="Cambria Math" w:hAnsi="Cambria Math" w:cs="Times New Roman"/>
                <w:i/>
              </w:rPr>
            </m:ctrlPr>
          </m:sup>
        </m:sSup>
      </m:oMath>
      <w:r>
        <w:rPr>
          <w:rFonts w:hint="eastAsia"/>
          <w:bCs/>
          <w:color w:val="000000"/>
          <w:sz w:val="24"/>
          <w:szCs w:val="24"/>
        </w:rPr>
        <w:t>，建议修改数值</w:t>
      </w:r>
      <w:r>
        <w:rPr>
          <w:rFonts w:hint="eastAsia"/>
          <w:bCs/>
          <w:color w:val="000000"/>
          <w:sz w:val="24"/>
          <w:szCs w:val="24"/>
          <w:lang w:eastAsia="zh-CN"/>
        </w:rPr>
        <w:t>；</w:t>
      </w:r>
      <w:r>
        <w:rPr>
          <w:rFonts w:hint="eastAsia"/>
          <w:bCs/>
          <w:color w:val="000000"/>
          <w:sz w:val="24"/>
          <w:szCs w:val="24"/>
          <w:lang w:val="en-US" w:eastAsia="zh-CN"/>
        </w:rPr>
        <w:t>经参考已有资料及征求各单位意见</w:t>
      </w:r>
      <w:r>
        <w:rPr>
          <w:rFonts w:hint="eastAsia"/>
          <w:color w:val="000000"/>
          <w:sz w:val="24"/>
          <w:szCs w:val="24"/>
          <w:lang w:val="en-US" w:eastAsia="zh-CN"/>
        </w:rPr>
        <w:t>，确定抗压强度值为300</w:t>
      </w:r>
      <m:oMath>
        <m:r>
          <m:rPr/>
          <w:rPr>
            <w:rFonts w:hint="default" w:ascii="Cambria Math" w:hAnsi="Cambria Math" w:cs="Times New Roman"/>
          </w:rPr>
          <m:t>N/</m:t>
        </m:r>
        <m:sSup>
          <m:sSupPr>
            <m:ctrlPr>
              <w:rPr>
                <w:rFonts w:hint="default" w:ascii="Cambria Math" w:hAnsi="Cambria Math" w:cs="Times New Roman"/>
                <w:i/>
              </w:rPr>
            </m:ctrlPr>
          </m:sSupPr>
          <m:e>
            <m:r>
              <m:rPr/>
              <w:rPr>
                <w:rFonts w:hint="default" w:ascii="Cambria Math" w:hAnsi="Cambria Math" w:cs="Times New Roman"/>
              </w:rPr>
              <m:t>mm</m:t>
            </m:r>
            <m:ctrlPr>
              <w:rPr>
                <w:rFonts w:hint="default" w:ascii="Cambria Math" w:hAnsi="Cambria Math" w:cs="Times New Roman"/>
                <w:i/>
              </w:rPr>
            </m:ctrlPr>
          </m:e>
          <m:sup>
            <m:r>
              <m:rPr/>
              <w:rPr>
                <w:rFonts w:hint="default" w:ascii="Cambria Math" w:hAnsi="Cambria Math" w:cs="Times New Roman"/>
              </w:rPr>
              <m:t>2</m:t>
            </m:r>
            <m:ctrlPr>
              <w:rPr>
                <w:rFonts w:hint="default" w:ascii="Cambria Math" w:hAnsi="Cambria Math" w:cs="Times New Roman"/>
                <w:i/>
              </w:rPr>
            </m:ctrlPr>
          </m:sup>
        </m:sSup>
      </m:oMath>
      <w:r>
        <w:rPr>
          <w:rFonts w:hint="eastAsia" w:hAnsi="Cambria Math" w:cs="Times New Roman"/>
          <w:i w:val="0"/>
          <w:lang w:eastAsia="zh-CN"/>
        </w:rPr>
        <w:t>。</w:t>
      </w:r>
    </w:p>
    <w:p w14:paraId="38F9BE8E">
      <w:pPr>
        <w:adjustRightInd w:val="0"/>
        <w:snapToGrid w:val="0"/>
        <w:spacing w:line="520" w:lineRule="exact"/>
        <w:ind w:firstLine="480" w:firstLineChars="200"/>
        <w:rPr>
          <w:rFonts w:hint="default"/>
          <w:bCs/>
          <w:color w:val="000000"/>
          <w:sz w:val="24"/>
          <w:szCs w:val="24"/>
          <w:lang w:val="en-US"/>
        </w:rPr>
      </w:pPr>
      <w:r>
        <w:rPr>
          <w:rFonts w:hint="eastAsia"/>
          <w:bCs/>
          <w:color w:val="000000"/>
          <w:sz w:val="24"/>
          <w:szCs w:val="24"/>
          <w:lang w:val="en-US" w:eastAsia="zh-CN"/>
        </w:rPr>
        <w:t>11.</w:t>
      </w:r>
      <w:r>
        <w:rPr>
          <w:rFonts w:hint="eastAsia"/>
          <w:bCs/>
          <w:color w:val="000000"/>
          <w:sz w:val="24"/>
          <w:szCs w:val="24"/>
        </w:rPr>
        <w:t>物理性能中，应用方不太关心不均匀度问题，是否加入后续由做材料单位在讨论确定</w:t>
      </w:r>
      <w:r>
        <w:rPr>
          <w:rFonts w:hint="eastAsia"/>
          <w:bCs/>
          <w:color w:val="000000"/>
          <w:sz w:val="24"/>
          <w:szCs w:val="24"/>
          <w:lang w:eastAsia="zh-CN"/>
        </w:rPr>
        <w:t>，</w:t>
      </w:r>
      <w:r>
        <w:rPr>
          <w:rFonts w:hint="eastAsia"/>
          <w:bCs/>
          <w:color w:val="000000"/>
          <w:sz w:val="24"/>
          <w:szCs w:val="24"/>
        </w:rPr>
        <w:t>密度不关心，可去掉</w:t>
      </w:r>
      <w:r>
        <w:rPr>
          <w:rFonts w:hint="eastAsia"/>
          <w:bCs/>
          <w:color w:val="000000"/>
          <w:sz w:val="24"/>
          <w:szCs w:val="24"/>
          <w:lang w:val="en-US" w:eastAsia="zh-CN"/>
        </w:rPr>
        <w:t>或放置后表；经</w:t>
      </w:r>
      <w:r>
        <w:rPr>
          <w:color w:val="000000"/>
          <w:sz w:val="24"/>
          <w:szCs w:val="24"/>
        </w:rPr>
        <w:t>标准编制小组</w:t>
      </w:r>
      <w:r>
        <w:rPr>
          <w:rFonts w:hint="eastAsia"/>
          <w:color w:val="000000"/>
          <w:sz w:val="24"/>
          <w:szCs w:val="24"/>
          <w:lang w:val="en-US" w:eastAsia="zh-CN"/>
        </w:rPr>
        <w:t>充分讨论，仍加入不均匀度这一指标，在物理性能中删除密度这一指标。</w:t>
      </w:r>
    </w:p>
    <w:p w14:paraId="6EB71E82">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12.</w:t>
      </w:r>
      <w:r>
        <w:rPr>
          <w:rFonts w:hint="eastAsia"/>
          <w:bCs/>
          <w:color w:val="000000"/>
          <w:sz w:val="24"/>
          <w:szCs w:val="24"/>
        </w:rPr>
        <w:t>性能要求与实验方法条目要对应，（6</w:t>
      </w:r>
      <w:r>
        <w:rPr>
          <w:bCs/>
          <w:color w:val="000000"/>
          <w:sz w:val="24"/>
          <w:szCs w:val="24"/>
        </w:rPr>
        <w:t>.1-6.8</w:t>
      </w:r>
      <w:r>
        <w:rPr>
          <w:rFonts w:hint="eastAsia"/>
          <w:bCs/>
          <w:color w:val="000000"/>
          <w:sz w:val="24"/>
          <w:szCs w:val="24"/>
        </w:rPr>
        <w:t>）写法不规范需要有标题有描述</w:t>
      </w:r>
      <w:r>
        <w:rPr>
          <w:rFonts w:hint="eastAsia"/>
          <w:bCs/>
          <w:color w:val="000000"/>
          <w:sz w:val="24"/>
          <w:szCs w:val="24"/>
          <w:lang w:eastAsia="zh-CN"/>
        </w:rPr>
        <w:t>。</w:t>
      </w:r>
      <w:r>
        <w:rPr>
          <w:rFonts w:hint="eastAsia"/>
          <w:bCs/>
          <w:color w:val="000000"/>
          <w:sz w:val="24"/>
          <w:szCs w:val="24"/>
          <w:lang w:val="en-US" w:eastAsia="zh-CN"/>
        </w:rPr>
        <w:t>采纳此建议，按标准规范进行修改。</w:t>
      </w:r>
    </w:p>
    <w:p w14:paraId="07ABF26B">
      <w:pPr>
        <w:adjustRightInd w:val="0"/>
        <w:snapToGrid w:val="0"/>
        <w:spacing w:line="520" w:lineRule="exact"/>
        <w:ind w:firstLine="480" w:firstLineChars="200"/>
        <w:rPr>
          <w:rFonts w:hint="eastAsia"/>
          <w:bCs/>
          <w:color w:val="000000"/>
          <w:sz w:val="24"/>
          <w:szCs w:val="24"/>
        </w:rPr>
      </w:pPr>
      <w:r>
        <w:rPr>
          <w:rFonts w:hint="eastAsia"/>
          <w:bCs/>
          <w:color w:val="000000"/>
          <w:sz w:val="24"/>
          <w:szCs w:val="24"/>
          <w:lang w:val="en-US" w:eastAsia="zh-CN"/>
        </w:rPr>
        <w:t>13.</w:t>
      </w:r>
      <w:r>
        <w:rPr>
          <w:rFonts w:hint="eastAsia"/>
          <w:bCs/>
          <w:color w:val="000000"/>
          <w:sz w:val="24"/>
          <w:szCs w:val="24"/>
        </w:rPr>
        <w:t>第七部分</w:t>
      </w:r>
      <w:r>
        <w:rPr>
          <w:rFonts w:hint="eastAsia"/>
          <w:bCs/>
          <w:color w:val="000000"/>
          <w:sz w:val="24"/>
          <w:szCs w:val="24"/>
          <w:lang w:val="en-US" w:eastAsia="zh-CN"/>
        </w:rPr>
        <w:t>需要</w:t>
      </w:r>
      <w:r>
        <w:rPr>
          <w:rFonts w:hint="eastAsia"/>
          <w:bCs/>
          <w:color w:val="000000"/>
          <w:sz w:val="24"/>
          <w:szCs w:val="24"/>
        </w:rPr>
        <w:t>修改，包括取样的规范（尺寸外观全检，部分指标抽检，取样有相关标准规范）、合格判定、测试检验内容与方法等。7</w:t>
      </w:r>
      <w:r>
        <w:rPr>
          <w:bCs/>
          <w:color w:val="000000"/>
          <w:sz w:val="24"/>
          <w:szCs w:val="24"/>
        </w:rPr>
        <w:t>.4</w:t>
      </w:r>
      <w:r>
        <w:rPr>
          <w:rFonts w:hint="eastAsia"/>
          <w:bCs/>
          <w:color w:val="000000"/>
          <w:sz w:val="24"/>
          <w:szCs w:val="24"/>
        </w:rPr>
        <w:t>取最差值放到7</w:t>
      </w:r>
      <w:r>
        <w:rPr>
          <w:bCs/>
          <w:color w:val="000000"/>
          <w:sz w:val="24"/>
          <w:szCs w:val="24"/>
        </w:rPr>
        <w:t>.5</w:t>
      </w:r>
      <w:r>
        <w:rPr>
          <w:rFonts w:hint="eastAsia"/>
          <w:bCs/>
          <w:color w:val="000000"/>
          <w:sz w:val="24"/>
          <w:szCs w:val="24"/>
        </w:rPr>
        <w:t>中，因其是一个检验结果的判定。</w:t>
      </w:r>
      <w:r>
        <w:rPr>
          <w:rFonts w:hint="eastAsia"/>
          <w:bCs/>
          <w:color w:val="000000"/>
          <w:sz w:val="24"/>
          <w:szCs w:val="24"/>
          <w:lang w:val="en-US" w:eastAsia="zh-CN"/>
        </w:rPr>
        <w:t>采纳此建议，并按标准规范进行修改。</w:t>
      </w:r>
    </w:p>
    <w:p w14:paraId="204AD477">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14.</w:t>
      </w:r>
      <w:r>
        <w:rPr>
          <w:rFonts w:hint="eastAsia"/>
          <w:bCs/>
          <w:color w:val="000000"/>
          <w:sz w:val="24"/>
          <w:szCs w:val="24"/>
        </w:rPr>
        <w:t>附录A.1中的一些易测的指标可以作为物理性能的指标，如磁导率、温度系数、电阻率等；</w:t>
      </w:r>
      <w:r>
        <w:rPr>
          <w:rFonts w:hint="eastAsia"/>
          <w:bCs/>
          <w:color w:val="000000"/>
          <w:sz w:val="24"/>
          <w:szCs w:val="24"/>
          <w:lang w:val="en-US" w:eastAsia="zh-CN"/>
        </w:rPr>
        <w:t>经</w:t>
      </w:r>
      <w:r>
        <w:rPr>
          <w:color w:val="000000"/>
          <w:sz w:val="24"/>
          <w:szCs w:val="24"/>
        </w:rPr>
        <w:t>标准编制小组</w:t>
      </w:r>
      <w:r>
        <w:rPr>
          <w:rFonts w:hint="eastAsia"/>
          <w:color w:val="000000"/>
          <w:sz w:val="24"/>
          <w:szCs w:val="24"/>
          <w:lang w:val="en-US" w:eastAsia="zh-CN"/>
        </w:rPr>
        <w:t>充分讨论，将</w:t>
      </w:r>
      <w:r>
        <w:rPr>
          <w:rFonts w:hint="eastAsia"/>
          <w:bCs/>
          <w:color w:val="000000"/>
          <w:sz w:val="24"/>
          <w:szCs w:val="24"/>
        </w:rPr>
        <w:t>磁导率</w:t>
      </w:r>
      <w:r>
        <w:rPr>
          <w:rFonts w:hint="eastAsia"/>
          <w:bCs/>
          <w:color w:val="000000"/>
          <w:sz w:val="24"/>
          <w:szCs w:val="24"/>
          <w:lang w:val="en-US" w:eastAsia="zh-CN"/>
        </w:rPr>
        <w:t>放入物理性能部分。</w:t>
      </w:r>
    </w:p>
    <w:p w14:paraId="3C5F15BC">
      <w:pPr>
        <w:adjustRightInd w:val="0"/>
        <w:snapToGrid w:val="0"/>
        <w:spacing w:line="520" w:lineRule="exact"/>
        <w:ind w:firstLine="480" w:firstLineChars="200"/>
        <w:rPr>
          <w:rFonts w:hint="default"/>
          <w:bCs/>
          <w:color w:val="000000"/>
          <w:sz w:val="24"/>
          <w:szCs w:val="24"/>
          <w:lang w:val="en-US" w:eastAsia="zh-CN"/>
        </w:rPr>
      </w:pPr>
      <w:r>
        <w:rPr>
          <w:rFonts w:hint="eastAsia"/>
          <w:bCs/>
          <w:color w:val="000000"/>
          <w:sz w:val="24"/>
          <w:szCs w:val="24"/>
          <w:lang w:val="en-US" w:eastAsia="zh-CN"/>
        </w:rPr>
        <w:t>15.</w:t>
      </w:r>
      <w:r>
        <w:rPr>
          <w:rFonts w:hint="eastAsia"/>
          <w:bCs/>
          <w:color w:val="000000"/>
          <w:sz w:val="24"/>
          <w:szCs w:val="24"/>
        </w:rPr>
        <w:t>附录C，磁场范围至1</w:t>
      </w:r>
      <w:r>
        <w:rPr>
          <w:bCs/>
          <w:color w:val="000000"/>
          <w:sz w:val="24"/>
          <w:szCs w:val="24"/>
        </w:rPr>
        <w:t>60kA/m</w:t>
      </w:r>
      <w:r>
        <w:rPr>
          <w:rFonts w:hint="eastAsia"/>
          <w:bCs/>
          <w:color w:val="000000"/>
          <w:sz w:val="24"/>
          <w:szCs w:val="24"/>
        </w:rPr>
        <w:t>可以，图中也对应测至1</w:t>
      </w:r>
      <w:r>
        <w:rPr>
          <w:bCs/>
          <w:color w:val="000000"/>
          <w:sz w:val="24"/>
          <w:szCs w:val="24"/>
        </w:rPr>
        <w:t>60kA/m</w:t>
      </w:r>
      <w:r>
        <w:rPr>
          <w:rFonts w:hint="eastAsia"/>
          <w:bCs/>
          <w:color w:val="000000"/>
          <w:sz w:val="24"/>
          <w:szCs w:val="24"/>
        </w:rPr>
        <w:t>，且横坐标间隔合适，最好有背底线</w:t>
      </w:r>
      <w:r>
        <w:rPr>
          <w:rFonts w:hint="eastAsia"/>
          <w:bCs/>
          <w:color w:val="000000"/>
          <w:sz w:val="24"/>
          <w:szCs w:val="24"/>
          <w:lang w:eastAsia="zh-CN"/>
        </w:rPr>
        <w:t>。</w:t>
      </w:r>
      <w:r>
        <w:rPr>
          <w:rFonts w:hint="eastAsia"/>
          <w:bCs/>
          <w:color w:val="000000"/>
          <w:sz w:val="24"/>
          <w:szCs w:val="24"/>
          <w:lang w:val="en-US" w:eastAsia="zh-CN"/>
        </w:rPr>
        <w:t>采纳此建议，并按标准规范进行修改。最终根据</w:t>
      </w:r>
      <w:r>
        <w:rPr>
          <w:rFonts w:hint="eastAsia"/>
          <w:color w:val="000000"/>
          <w:sz w:val="24"/>
          <w:szCs w:val="24"/>
          <w:lang w:val="en-US" w:eastAsia="zh-CN"/>
        </w:rPr>
        <w:t>预审会专家</w:t>
      </w:r>
      <w:r>
        <w:rPr>
          <w:rFonts w:hint="eastAsia"/>
          <w:bCs/>
          <w:color w:val="000000"/>
          <w:sz w:val="24"/>
          <w:szCs w:val="24"/>
          <w:lang w:val="en-US" w:eastAsia="zh-CN"/>
        </w:rPr>
        <w:t>意见，并征求标准编制小组意见，删出对应曲线图。</w:t>
      </w:r>
    </w:p>
    <w:p w14:paraId="70BE8F00">
      <w:pPr>
        <w:adjustRightInd w:val="0"/>
        <w:snapToGrid w:val="0"/>
        <w:spacing w:line="52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16..</w:t>
      </w:r>
      <w:r>
        <w:rPr>
          <w:rFonts w:hint="eastAsia"/>
          <w:bCs/>
          <w:color w:val="000000"/>
          <w:sz w:val="24"/>
          <w:szCs w:val="24"/>
        </w:rPr>
        <w:t>磁伸曲线，三次取平均值</w:t>
      </w:r>
      <w:r>
        <w:rPr>
          <w:rFonts w:hint="eastAsia"/>
          <w:bCs/>
          <w:color w:val="000000"/>
          <w:sz w:val="24"/>
          <w:szCs w:val="24"/>
          <w:lang w:eastAsia="zh-CN"/>
        </w:rPr>
        <w:t>。</w:t>
      </w:r>
      <w:r>
        <w:rPr>
          <w:rFonts w:hint="eastAsia"/>
          <w:bCs/>
          <w:color w:val="000000"/>
          <w:sz w:val="24"/>
          <w:szCs w:val="24"/>
          <w:lang w:val="en-US" w:eastAsia="zh-CN"/>
        </w:rPr>
        <w:t>经</w:t>
      </w:r>
      <w:r>
        <w:rPr>
          <w:color w:val="000000"/>
          <w:sz w:val="24"/>
          <w:szCs w:val="24"/>
        </w:rPr>
        <w:t>标准编制小组</w:t>
      </w:r>
      <w:r>
        <w:rPr>
          <w:rFonts w:hint="eastAsia"/>
          <w:color w:val="000000"/>
          <w:sz w:val="24"/>
          <w:szCs w:val="24"/>
          <w:lang w:val="en-US" w:eastAsia="zh-CN"/>
        </w:rPr>
        <w:t>充分讨论，采纳此意见.</w:t>
      </w:r>
    </w:p>
    <w:p w14:paraId="23C0D909">
      <w:pPr>
        <w:spacing w:line="520" w:lineRule="exact"/>
        <w:ind w:firstLine="480" w:firstLineChars="200"/>
        <w:rPr>
          <w:rFonts w:hint="eastAsia" w:eastAsia="宋体"/>
          <w:color w:val="000000"/>
          <w:sz w:val="24"/>
          <w:szCs w:val="24"/>
          <w:lang w:val="en-US" w:eastAsia="zh-CN"/>
        </w:rPr>
      </w:pPr>
      <w:r>
        <w:rPr>
          <w:color w:val="000000"/>
          <w:sz w:val="24"/>
          <w:szCs w:val="24"/>
        </w:rPr>
        <w:t>对</w:t>
      </w:r>
      <w:r>
        <w:rPr>
          <w:rFonts w:hint="eastAsia"/>
          <w:sz w:val="24"/>
          <w:szCs w:val="24"/>
          <w:lang w:eastAsia="zh-CN"/>
        </w:rPr>
        <w:t>铽镝铁磁致伸缩材料</w:t>
      </w:r>
      <w:r>
        <w:rPr>
          <w:color w:val="000000"/>
          <w:sz w:val="24"/>
          <w:szCs w:val="24"/>
        </w:rPr>
        <w:t>的</w:t>
      </w:r>
      <w:r>
        <w:rPr>
          <w:rFonts w:hint="eastAsia"/>
          <w:color w:val="000000"/>
          <w:sz w:val="24"/>
          <w:szCs w:val="24"/>
          <w:lang w:val="en-US" w:eastAsia="zh-CN"/>
        </w:rPr>
        <w:t>生产及用户单位</w:t>
      </w:r>
      <w:r>
        <w:rPr>
          <w:color w:val="000000"/>
          <w:sz w:val="24"/>
          <w:szCs w:val="24"/>
        </w:rPr>
        <w:t>进行了广泛调研后，收集了大量资料，对调研结果与</w:t>
      </w:r>
      <w:r>
        <w:rPr>
          <w:rFonts w:hint="eastAsia"/>
          <w:color w:val="000000"/>
          <w:sz w:val="24"/>
          <w:szCs w:val="24"/>
          <w:lang w:val="en-US" w:eastAsia="zh-CN"/>
        </w:rPr>
        <w:t>包头稀土研究院</w:t>
      </w:r>
      <w:r>
        <w:rPr>
          <w:color w:val="000000"/>
          <w:sz w:val="24"/>
          <w:szCs w:val="24"/>
        </w:rPr>
        <w:t>生产数据进行充分分析之后，经过多次讨论及征求意见，形成了《</w:t>
      </w:r>
      <w:r>
        <w:rPr>
          <w:rFonts w:hint="eastAsia"/>
          <w:sz w:val="24"/>
          <w:szCs w:val="24"/>
          <w:lang w:eastAsia="zh-CN"/>
        </w:rPr>
        <w:t>铽镝铁磁致伸缩材料</w:t>
      </w:r>
      <w:r>
        <w:rPr>
          <w:color w:val="000000"/>
          <w:sz w:val="24"/>
          <w:szCs w:val="24"/>
        </w:rPr>
        <w:t>》预审稿</w:t>
      </w:r>
      <w:r>
        <w:rPr>
          <w:rFonts w:hint="eastAsia"/>
          <w:color w:val="000000"/>
          <w:sz w:val="24"/>
          <w:szCs w:val="24"/>
          <w:lang w:eastAsia="zh-CN"/>
        </w:rPr>
        <w:t>；</w:t>
      </w:r>
      <w:r>
        <w:rPr>
          <w:rFonts w:hint="eastAsia"/>
          <w:color w:val="000000"/>
          <w:sz w:val="24"/>
          <w:szCs w:val="24"/>
          <w:lang w:val="en-US" w:eastAsia="zh-CN"/>
        </w:rPr>
        <w:t>再预审会议专家意见基础上，又进行征求意见及讨论，形成</w:t>
      </w:r>
      <w:r>
        <w:rPr>
          <w:color w:val="000000"/>
          <w:sz w:val="24"/>
          <w:szCs w:val="24"/>
        </w:rPr>
        <w:t>《</w:t>
      </w:r>
      <w:r>
        <w:rPr>
          <w:rFonts w:hint="eastAsia"/>
          <w:sz w:val="24"/>
          <w:szCs w:val="24"/>
          <w:lang w:eastAsia="zh-CN"/>
        </w:rPr>
        <w:t>铽镝铁磁致伸缩材料</w:t>
      </w:r>
      <w:r>
        <w:rPr>
          <w:color w:val="000000"/>
          <w:sz w:val="24"/>
          <w:szCs w:val="24"/>
        </w:rPr>
        <w:t>》</w:t>
      </w:r>
      <w:r>
        <w:rPr>
          <w:rFonts w:hint="eastAsia"/>
          <w:color w:val="000000"/>
          <w:sz w:val="24"/>
          <w:szCs w:val="24"/>
          <w:lang w:val="en-US" w:eastAsia="zh-CN"/>
        </w:rPr>
        <w:t>送</w:t>
      </w:r>
      <w:r>
        <w:rPr>
          <w:color w:val="000000"/>
          <w:sz w:val="24"/>
          <w:szCs w:val="24"/>
        </w:rPr>
        <w:t>审稿</w:t>
      </w:r>
      <w:r>
        <w:rPr>
          <w:rFonts w:hint="eastAsia"/>
          <w:color w:val="000000"/>
          <w:sz w:val="24"/>
          <w:szCs w:val="24"/>
          <w:lang w:eastAsia="zh-CN"/>
        </w:rPr>
        <w:t>。</w:t>
      </w:r>
    </w:p>
    <w:p w14:paraId="198F9DA4">
      <w:pPr>
        <w:adjustRightInd w:val="0"/>
        <w:snapToGrid w:val="0"/>
        <w:spacing w:line="520" w:lineRule="exact"/>
        <w:rPr>
          <w:rFonts w:ascii="Times New Roman" w:hAnsi="Times New Roman" w:eastAsia="黑体" w:cs="Times New Roman"/>
          <w:sz w:val="24"/>
          <w:szCs w:val="24"/>
        </w:rPr>
      </w:pPr>
      <w:r>
        <w:rPr>
          <w:rFonts w:ascii="Times New Roman" w:hAnsi="Times New Roman" w:eastAsia="黑体" w:cs="Times New Roman"/>
          <w:sz w:val="24"/>
          <w:szCs w:val="24"/>
        </w:rPr>
        <w:t>三、主要技术内容说明</w:t>
      </w:r>
    </w:p>
    <w:p w14:paraId="6FE6F460">
      <w:pPr>
        <w:adjustRightInd w:val="0"/>
        <w:snapToGrid w:val="0"/>
        <w:spacing w:line="520" w:lineRule="exact"/>
        <w:ind w:firstLine="480" w:firstLineChars="200"/>
        <w:rPr>
          <w:rFonts w:hint="default" w:eastAsia="宋体"/>
          <w:color w:val="000000"/>
          <w:sz w:val="24"/>
          <w:szCs w:val="24"/>
          <w:lang w:val="en-US" w:eastAsia="zh-CN"/>
        </w:rPr>
      </w:pPr>
      <w:r>
        <w:rPr>
          <w:color w:val="000000"/>
          <w:sz w:val="24"/>
          <w:szCs w:val="24"/>
        </w:rPr>
        <w:t>全国稀土标准化技术委员会于202</w:t>
      </w:r>
      <w:r>
        <w:rPr>
          <w:rFonts w:hint="eastAsia"/>
          <w:color w:val="000000"/>
          <w:sz w:val="24"/>
          <w:szCs w:val="24"/>
          <w:lang w:val="en-US" w:eastAsia="zh-CN"/>
        </w:rPr>
        <w:t>3</w:t>
      </w:r>
      <w:r>
        <w:rPr>
          <w:color w:val="000000"/>
          <w:sz w:val="24"/>
          <w:szCs w:val="24"/>
        </w:rPr>
        <w:t>年</w:t>
      </w:r>
      <w:r>
        <w:rPr>
          <w:rFonts w:hint="eastAsia"/>
          <w:color w:val="000000"/>
          <w:sz w:val="24"/>
          <w:szCs w:val="24"/>
          <w:lang w:val="en-US" w:eastAsia="zh-CN"/>
        </w:rPr>
        <w:t>9</w:t>
      </w:r>
      <w:r>
        <w:rPr>
          <w:color w:val="000000"/>
          <w:sz w:val="24"/>
          <w:szCs w:val="24"/>
        </w:rPr>
        <w:t>月</w:t>
      </w:r>
      <w:r>
        <w:rPr>
          <w:rFonts w:hint="eastAsia"/>
          <w:color w:val="000000"/>
          <w:sz w:val="24"/>
          <w:szCs w:val="24"/>
          <w:lang w:val="en-US" w:eastAsia="zh-CN"/>
        </w:rPr>
        <w:t>在四川省成都市</w:t>
      </w:r>
      <w:r>
        <w:rPr>
          <w:color w:val="000000"/>
          <w:sz w:val="24"/>
          <w:szCs w:val="24"/>
        </w:rPr>
        <w:t>召开了202</w:t>
      </w:r>
      <w:r>
        <w:rPr>
          <w:rFonts w:hint="eastAsia"/>
          <w:color w:val="000000"/>
          <w:sz w:val="24"/>
          <w:szCs w:val="24"/>
          <w:lang w:val="en-US" w:eastAsia="zh-CN"/>
        </w:rPr>
        <w:t>3</w:t>
      </w:r>
      <w:r>
        <w:rPr>
          <w:color w:val="000000"/>
          <w:sz w:val="24"/>
          <w:szCs w:val="24"/>
        </w:rPr>
        <w:t>年第</w:t>
      </w:r>
      <w:r>
        <w:rPr>
          <w:rFonts w:hint="eastAsia"/>
          <w:color w:val="000000"/>
          <w:sz w:val="24"/>
          <w:szCs w:val="24"/>
          <w:lang w:val="en-US" w:eastAsia="zh-CN"/>
        </w:rPr>
        <w:t>六</w:t>
      </w:r>
      <w:r>
        <w:rPr>
          <w:color w:val="000000"/>
          <w:sz w:val="24"/>
          <w:szCs w:val="24"/>
        </w:rPr>
        <w:t>次稀土标准工作会议，会上落实了《</w:t>
      </w:r>
      <w:r>
        <w:rPr>
          <w:rFonts w:hint="eastAsia"/>
          <w:sz w:val="24"/>
          <w:szCs w:val="24"/>
        </w:rPr>
        <w:t>铽镝铁磁致伸缩材料</w:t>
      </w:r>
      <w:r>
        <w:rPr>
          <w:color w:val="000000"/>
          <w:sz w:val="24"/>
          <w:szCs w:val="24"/>
        </w:rPr>
        <w:t>》</w:t>
      </w:r>
      <w:r>
        <w:rPr>
          <w:rFonts w:hint="eastAsia"/>
          <w:color w:val="000000"/>
          <w:sz w:val="24"/>
          <w:szCs w:val="24"/>
          <w:lang w:val="en-US" w:eastAsia="zh-CN"/>
        </w:rPr>
        <w:t>国家</w:t>
      </w:r>
      <w:r>
        <w:rPr>
          <w:color w:val="000000"/>
          <w:sz w:val="24"/>
          <w:szCs w:val="24"/>
        </w:rPr>
        <w:t>标准的任务。与会代表对</w:t>
      </w:r>
      <w:r>
        <w:rPr>
          <w:rFonts w:hint="eastAsia"/>
          <w:sz w:val="24"/>
          <w:szCs w:val="24"/>
          <w:lang w:eastAsia="zh-CN"/>
        </w:rPr>
        <w:t>铽镝铁磁致伸缩材料</w:t>
      </w:r>
      <w:r>
        <w:rPr>
          <w:color w:val="000000"/>
          <w:sz w:val="24"/>
          <w:szCs w:val="24"/>
        </w:rPr>
        <w:t>标准制订的方案进行了认真的讨论，确定了制定的进度。全国稀土标准化技术委员会</w:t>
      </w:r>
      <w:r>
        <w:rPr>
          <w:rFonts w:hint="eastAsia"/>
          <w:color w:val="000000"/>
          <w:sz w:val="24"/>
          <w:szCs w:val="24"/>
          <w:lang w:val="en-US" w:eastAsia="zh-CN"/>
        </w:rPr>
        <w:t>于2024年4月在重庆市召开2024年稀土标准论证会及第三次稀土标准工作会议，会议预审</w:t>
      </w:r>
      <w:r>
        <w:rPr>
          <w:color w:val="000000"/>
          <w:sz w:val="24"/>
          <w:szCs w:val="24"/>
        </w:rPr>
        <w:t>《</w:t>
      </w:r>
      <w:r>
        <w:rPr>
          <w:rFonts w:hint="eastAsia"/>
          <w:sz w:val="24"/>
          <w:szCs w:val="24"/>
        </w:rPr>
        <w:t>铽镝铁磁致伸缩材料</w:t>
      </w:r>
      <w:r>
        <w:rPr>
          <w:color w:val="000000"/>
          <w:sz w:val="24"/>
          <w:szCs w:val="24"/>
        </w:rPr>
        <w:t>》</w:t>
      </w:r>
      <w:r>
        <w:rPr>
          <w:rFonts w:hint="eastAsia"/>
          <w:color w:val="000000"/>
          <w:sz w:val="24"/>
          <w:szCs w:val="24"/>
          <w:lang w:val="en-US" w:eastAsia="zh-CN"/>
        </w:rPr>
        <w:t>标准，并提出相关意见。经</w:t>
      </w:r>
      <w:r>
        <w:rPr>
          <w:color w:val="000000"/>
          <w:sz w:val="24"/>
          <w:szCs w:val="24"/>
        </w:rPr>
        <w:t>标准编制小组</w:t>
      </w:r>
      <w:r>
        <w:rPr>
          <w:rFonts w:hint="eastAsia"/>
          <w:color w:val="000000"/>
          <w:sz w:val="24"/>
          <w:szCs w:val="24"/>
          <w:lang w:val="en-US" w:eastAsia="zh-CN"/>
        </w:rPr>
        <w:t>召开多次讨论会议并充分征求意见，对技术内容进行多轮修订。</w:t>
      </w:r>
    </w:p>
    <w:p w14:paraId="03510769">
      <w:pPr>
        <w:adjustRightInd w:val="0"/>
        <w:snapToGrid w:val="0"/>
        <w:spacing w:line="520" w:lineRule="exact"/>
        <w:ind w:firstLine="480" w:firstLineChars="200"/>
        <w:rPr>
          <w:color w:val="000000"/>
          <w:sz w:val="24"/>
          <w:szCs w:val="24"/>
        </w:rPr>
      </w:pPr>
      <w:r>
        <w:rPr>
          <w:color w:val="000000"/>
          <w:sz w:val="24"/>
          <w:szCs w:val="24"/>
        </w:rPr>
        <w:t>主要技术内容：</w:t>
      </w:r>
    </w:p>
    <w:p w14:paraId="6A0750B2">
      <w:pPr>
        <w:spacing w:line="520" w:lineRule="exact"/>
        <w:ind w:firstLine="480" w:firstLineChars="200"/>
        <w:rPr>
          <w:sz w:val="24"/>
          <w:szCs w:val="24"/>
        </w:rPr>
      </w:pPr>
      <w:r>
        <w:rPr>
          <w:rFonts w:hint="eastAsia"/>
          <w:sz w:val="24"/>
          <w:szCs w:val="24"/>
          <w:lang w:val="en-US" w:eastAsia="zh-CN"/>
        </w:rPr>
        <w:t>1.</w:t>
      </w:r>
      <w:r>
        <w:rPr>
          <w:sz w:val="24"/>
          <w:szCs w:val="24"/>
        </w:rPr>
        <w:t>调研阶段</w:t>
      </w:r>
    </w:p>
    <w:p w14:paraId="3D050120">
      <w:pPr>
        <w:spacing w:line="520" w:lineRule="exact"/>
        <w:ind w:firstLine="480" w:firstLineChars="200"/>
        <w:rPr>
          <w:sz w:val="24"/>
          <w:szCs w:val="24"/>
        </w:rPr>
      </w:pPr>
      <w:r>
        <w:rPr>
          <w:sz w:val="24"/>
          <w:szCs w:val="24"/>
        </w:rPr>
        <w:t>通过查阅资料，与生产</w:t>
      </w:r>
      <w:r>
        <w:rPr>
          <w:rFonts w:hint="eastAsia"/>
          <w:sz w:val="24"/>
          <w:szCs w:val="24"/>
          <w:lang w:eastAsia="zh-CN"/>
        </w:rPr>
        <w:t>、</w:t>
      </w:r>
      <w:r>
        <w:rPr>
          <w:rFonts w:hint="eastAsia"/>
          <w:sz w:val="24"/>
          <w:szCs w:val="24"/>
          <w:lang w:val="en-US" w:eastAsia="zh-CN"/>
        </w:rPr>
        <w:t>用户单位</w:t>
      </w:r>
      <w:r>
        <w:rPr>
          <w:sz w:val="24"/>
          <w:szCs w:val="24"/>
        </w:rPr>
        <w:t>进行沟通，了解生产动态</w:t>
      </w:r>
      <w:r>
        <w:rPr>
          <w:rFonts w:hint="eastAsia"/>
          <w:sz w:val="24"/>
          <w:szCs w:val="24"/>
          <w:lang w:val="en-US" w:eastAsia="zh-CN"/>
        </w:rPr>
        <w:t>及使用实际。</w:t>
      </w:r>
      <w:r>
        <w:rPr>
          <w:sz w:val="24"/>
          <w:szCs w:val="24"/>
        </w:rPr>
        <w:t>调研了</w:t>
      </w:r>
      <w:r>
        <w:rPr>
          <w:rFonts w:hint="eastAsia"/>
          <w:sz w:val="24"/>
          <w:szCs w:val="24"/>
          <w:lang w:val="en-US" w:eastAsia="zh-CN"/>
        </w:rPr>
        <w:t>北京航空航天大学、北京科技大学等生产单位，并与</w:t>
      </w:r>
      <w:r>
        <w:rPr>
          <w:rFonts w:hint="eastAsia" w:ascii="Times New Roman" w:hAnsi="Times New Roman" w:eastAsia="宋体" w:cs="Times New Roman"/>
          <w:sz w:val="24"/>
          <w:lang w:val="en-US" w:eastAsia="zh-CN"/>
        </w:rPr>
        <w:t>杭州应用声学研究所（中国船舶重工集团公司第七一五研究所）</w:t>
      </w:r>
      <w:r>
        <w:rPr>
          <w:rFonts w:hint="eastAsia"/>
          <w:sz w:val="24"/>
          <w:szCs w:val="24"/>
          <w:lang w:val="en-US" w:eastAsia="zh-CN"/>
        </w:rPr>
        <w:t>、</w:t>
      </w:r>
      <w:r>
        <w:rPr>
          <w:rFonts w:hint="eastAsia"/>
          <w:sz w:val="24"/>
          <w:lang w:val="en-US" w:eastAsia="zh-CN"/>
        </w:rPr>
        <w:t>中国科学院声学研究所进行了充分沟通</w:t>
      </w:r>
      <w:r>
        <w:rPr>
          <w:sz w:val="24"/>
          <w:szCs w:val="24"/>
        </w:rPr>
        <w:t>，对产品的制备工艺与应用领域进行了</w:t>
      </w:r>
      <w:r>
        <w:rPr>
          <w:rFonts w:hint="eastAsia"/>
          <w:sz w:val="24"/>
          <w:szCs w:val="24"/>
          <w:lang w:val="en-US" w:eastAsia="zh-CN"/>
        </w:rPr>
        <w:t>深入</w:t>
      </w:r>
      <w:r>
        <w:rPr>
          <w:sz w:val="24"/>
          <w:szCs w:val="24"/>
        </w:rPr>
        <w:t>了解</w:t>
      </w:r>
      <w:r>
        <w:rPr>
          <w:rFonts w:hint="eastAsia"/>
          <w:sz w:val="24"/>
          <w:szCs w:val="24"/>
          <w:lang w:eastAsia="zh-CN"/>
        </w:rPr>
        <w:t>，</w:t>
      </w:r>
      <w:r>
        <w:rPr>
          <w:rFonts w:hint="eastAsia"/>
          <w:sz w:val="24"/>
          <w:szCs w:val="24"/>
          <w:lang w:val="en-US" w:eastAsia="zh-CN"/>
        </w:rPr>
        <w:t>对生产、用户单位关注点进行了较为充分地掌握</w:t>
      </w:r>
      <w:r>
        <w:rPr>
          <w:sz w:val="24"/>
          <w:szCs w:val="24"/>
        </w:rPr>
        <w:t>。</w:t>
      </w:r>
    </w:p>
    <w:p w14:paraId="3685CDAA">
      <w:pPr>
        <w:spacing w:line="520" w:lineRule="exact"/>
        <w:ind w:firstLine="420"/>
        <w:rPr>
          <w:sz w:val="24"/>
          <w:szCs w:val="24"/>
        </w:rPr>
      </w:pPr>
      <w:r>
        <w:rPr>
          <w:rFonts w:hint="eastAsia"/>
          <w:sz w:val="24"/>
          <w:szCs w:val="24"/>
          <w:lang w:val="en-US" w:eastAsia="zh-CN"/>
        </w:rPr>
        <w:t>2.</w:t>
      </w:r>
      <w:r>
        <w:rPr>
          <w:sz w:val="24"/>
          <w:szCs w:val="24"/>
        </w:rPr>
        <w:t>指标收集阶段</w:t>
      </w:r>
    </w:p>
    <w:p w14:paraId="054B8F42">
      <w:pPr>
        <w:spacing w:line="520" w:lineRule="exact"/>
        <w:ind w:firstLine="480" w:firstLineChars="200"/>
        <w:rPr>
          <w:sz w:val="24"/>
          <w:szCs w:val="24"/>
        </w:rPr>
      </w:pPr>
      <w:r>
        <w:rPr>
          <w:sz w:val="24"/>
          <w:szCs w:val="24"/>
        </w:rPr>
        <w:t>在确定</w:t>
      </w:r>
      <w:r>
        <w:rPr>
          <w:rFonts w:hint="eastAsia"/>
          <w:sz w:val="24"/>
          <w:szCs w:val="24"/>
          <w:lang w:val="en-US" w:eastAsia="zh-CN"/>
        </w:rPr>
        <w:t>技术要求</w:t>
      </w:r>
      <w:r>
        <w:rPr>
          <w:sz w:val="24"/>
          <w:szCs w:val="24"/>
        </w:rPr>
        <w:t>时，以电话、微信、</w:t>
      </w:r>
      <w:r>
        <w:rPr>
          <w:rFonts w:hint="eastAsia"/>
          <w:sz w:val="24"/>
          <w:szCs w:val="24"/>
          <w:lang w:val="en-US" w:eastAsia="zh-CN"/>
        </w:rPr>
        <w:t>线下（同时线上）会议</w:t>
      </w:r>
      <w:r>
        <w:rPr>
          <w:sz w:val="24"/>
          <w:szCs w:val="24"/>
        </w:rPr>
        <w:t>等形式征询了</w:t>
      </w:r>
      <w:r>
        <w:rPr>
          <w:rFonts w:hint="eastAsia"/>
          <w:sz w:val="24"/>
          <w:szCs w:val="24"/>
          <w:lang w:val="en-US" w:eastAsia="zh-CN"/>
        </w:rPr>
        <w:t>包头稀土新材料技术研发中心、有研稀土新材料股份有限公司、中国北方稀土(集团)高科技股份有限公司、中国计量科学研究院、北京中科三环高技术股份有限公司、国瑞科创稀土功能材料(赣州)有限公司、信丰县包钢新利稀土有限责任公司、钢铁研究总院、河北工业大学、有研稀土高技术有限公司、西安交通大学、北京科技大学、浙江大学、</w:t>
      </w:r>
      <w:r>
        <w:rPr>
          <w:rFonts w:hint="eastAsia" w:ascii="Times New Roman" w:hAnsi="Times New Roman" w:eastAsia="宋体" w:cs="Times New Roman"/>
          <w:sz w:val="24"/>
          <w:lang w:val="en-US" w:eastAsia="zh-CN"/>
        </w:rPr>
        <w:t>杭州应用声学研究所（中国船舶重工集团公司第七一五研究所）</w:t>
      </w:r>
      <w:r>
        <w:rPr>
          <w:rFonts w:hint="eastAsia" w:cs="Times New Roman"/>
          <w:sz w:val="24"/>
          <w:lang w:val="en-US" w:eastAsia="zh-CN"/>
        </w:rPr>
        <w:t>、</w:t>
      </w:r>
      <w:r>
        <w:rPr>
          <w:rFonts w:hint="eastAsia"/>
          <w:sz w:val="24"/>
          <w:szCs w:val="24"/>
          <w:lang w:val="en-US" w:eastAsia="zh-CN"/>
        </w:rPr>
        <w:t>北京航空航天大学、</w:t>
      </w:r>
      <w:r>
        <w:rPr>
          <w:rFonts w:hint="eastAsia"/>
          <w:sz w:val="24"/>
          <w:lang w:val="en-US" w:eastAsia="zh-CN"/>
        </w:rPr>
        <w:t>中国科学院声学研究所</w:t>
      </w:r>
      <w:r>
        <w:rPr>
          <w:sz w:val="24"/>
          <w:szCs w:val="24"/>
        </w:rPr>
        <w:t>进行了征集，</w:t>
      </w:r>
      <w:r>
        <w:rPr>
          <w:rFonts w:hint="eastAsia"/>
          <w:sz w:val="24"/>
          <w:szCs w:val="24"/>
          <w:lang w:val="en-US" w:eastAsia="zh-CN"/>
        </w:rPr>
        <w:t>基本达成一致，</w:t>
      </w:r>
      <w:r>
        <w:rPr>
          <w:sz w:val="24"/>
          <w:szCs w:val="24"/>
        </w:rPr>
        <w:t>征集的</w:t>
      </w:r>
      <w:r>
        <w:rPr>
          <w:rFonts w:hint="eastAsia"/>
          <w:sz w:val="24"/>
          <w:szCs w:val="24"/>
          <w:lang w:val="en-US" w:eastAsia="zh-CN"/>
        </w:rPr>
        <w:t>技术要求</w:t>
      </w:r>
      <w:r>
        <w:rPr>
          <w:sz w:val="24"/>
          <w:szCs w:val="24"/>
        </w:rPr>
        <w:t>汇总如下</w:t>
      </w:r>
    </w:p>
    <w:p w14:paraId="103C9970">
      <w:pPr>
        <w:adjustRightInd w:val="0"/>
        <w:snapToGrid w:val="0"/>
        <w:spacing w:line="520" w:lineRule="exact"/>
        <w:ind w:firstLine="480" w:firstLineChars="200"/>
        <w:rPr>
          <w:rFonts w:hint="default" w:eastAsia="宋体"/>
          <w:color w:val="000000"/>
          <w:sz w:val="24"/>
          <w:szCs w:val="24"/>
          <w:lang w:val="en-US" w:eastAsia="zh-CN"/>
        </w:rPr>
      </w:pPr>
      <w:r>
        <w:rPr>
          <w:color w:val="000000"/>
          <w:sz w:val="24"/>
          <w:szCs w:val="24"/>
        </w:rPr>
        <w:t>产品按</w:t>
      </w:r>
      <w:r>
        <w:rPr>
          <w:rFonts w:hint="eastAsia"/>
          <w:color w:val="000000"/>
          <w:sz w:val="24"/>
          <w:szCs w:val="24"/>
          <w:lang w:val="en-US" w:eastAsia="zh-CN"/>
        </w:rPr>
        <w:t>特定条件下</w:t>
      </w:r>
      <w:r>
        <w:rPr>
          <w:rFonts w:hint="default"/>
          <w:color w:val="000000"/>
          <w:sz w:val="24"/>
          <w:szCs w:val="24"/>
          <w:lang w:val="en-US" w:eastAsia="zh-CN"/>
        </w:rPr>
        <w:t>的特征技术参数（</w:t>
      </w:r>
      <w:r>
        <w:rPr>
          <w:rFonts w:hint="eastAsia"/>
          <w:color w:val="000000"/>
          <w:sz w:val="24"/>
          <w:szCs w:val="24"/>
          <w:lang w:val="en-US" w:eastAsia="zh-CN"/>
        </w:rPr>
        <w:t>80</w:t>
      </w:r>
      <m:oMath>
        <m:r>
          <m:rPr>
            <m:sty m:val="p"/>
          </m:rPr>
          <w:rPr>
            <w:rFonts w:hint="default" w:ascii="Cambria Math" w:hAnsi="Cambria Math"/>
            <w:color w:val="000000"/>
            <w:sz w:val="24"/>
            <w:szCs w:val="24"/>
          </w:rPr>
          <m:t>kA/m</m:t>
        </m:r>
      </m:oMath>
      <w:r>
        <w:rPr>
          <w:rFonts w:hint="eastAsia"/>
          <w:color w:val="000000"/>
          <w:sz w:val="24"/>
          <w:szCs w:val="24"/>
        </w:rPr>
        <w:t>、2</w:t>
      </w:r>
      <w:r>
        <w:rPr>
          <w:rFonts w:hint="eastAsia"/>
          <w:color w:val="000000"/>
          <w:sz w:val="24"/>
          <w:szCs w:val="24"/>
          <w:lang w:val="en-US" w:eastAsia="zh-CN"/>
        </w:rPr>
        <w:t>0</w:t>
      </w:r>
      <w:r>
        <w:rPr>
          <w:rFonts w:hint="eastAsia"/>
          <w:color w:val="000000"/>
          <w:sz w:val="24"/>
          <w:szCs w:val="24"/>
        </w:rPr>
        <w:t>℃</w:t>
      </w:r>
      <w:r>
        <w:rPr>
          <w:rFonts w:hint="eastAsia"/>
          <w:color w:val="000000"/>
          <w:sz w:val="24"/>
          <w:szCs w:val="24"/>
          <w:lang w:eastAsia="zh-CN"/>
        </w:rPr>
        <w:t>、</w:t>
      </w:r>
      <w:r>
        <w:rPr>
          <w:rFonts w:hint="default"/>
          <w:color w:val="000000"/>
          <w:sz w:val="24"/>
          <w:szCs w:val="24"/>
        </w:rPr>
        <w:t>预压应力</w:t>
      </w:r>
      <w:r>
        <w:rPr>
          <w:rFonts w:hint="eastAsia"/>
          <w:color w:val="000000"/>
          <w:sz w:val="24"/>
          <w:szCs w:val="24"/>
          <w:lang w:val="en-US" w:eastAsia="zh-CN"/>
        </w:rPr>
        <w:t>8</w:t>
      </w:r>
      <m:oMath>
        <m:r>
          <m:rPr>
            <m:sty m:val="p"/>
          </m:rPr>
          <w:rPr>
            <w:rFonts w:hint="default" w:ascii="Cambria Math" w:hAnsi="Cambria Math"/>
            <w:color w:val="000000"/>
            <w:sz w:val="24"/>
            <w:szCs w:val="24"/>
          </w:rPr>
          <m:t xml:space="preserve"> N/</m:t>
        </m:r>
        <m:sSup>
          <m:sSupPr>
            <m:ctrlPr>
              <w:rPr>
                <w:rFonts w:hint="default" w:ascii="Cambria Math" w:hAnsi="Cambria Math"/>
                <w:color w:val="000000"/>
                <w:sz w:val="24"/>
                <w:szCs w:val="24"/>
              </w:rPr>
            </m:ctrlPr>
          </m:sSupPr>
          <m:e>
            <m:r>
              <m:rPr>
                <m:sty m:val="p"/>
              </m:rPr>
              <w:rPr>
                <w:rFonts w:hint="default" w:ascii="Cambria Math" w:hAnsi="Cambria Math"/>
                <w:color w:val="000000"/>
                <w:sz w:val="24"/>
                <w:szCs w:val="24"/>
              </w:rPr>
              <m:t>mm</m:t>
            </m:r>
            <m:ctrlPr>
              <w:rPr>
                <w:rFonts w:hint="default" w:ascii="Cambria Math" w:hAnsi="Cambria Math"/>
                <w:color w:val="000000"/>
                <w:sz w:val="24"/>
                <w:szCs w:val="24"/>
              </w:rPr>
            </m:ctrlPr>
          </m:e>
          <m:sup>
            <m:r>
              <m:rPr>
                <m:sty m:val="p"/>
              </m:rPr>
              <w:rPr>
                <w:rFonts w:hint="default" w:ascii="Cambria Math" w:hAnsi="Cambria Math"/>
                <w:color w:val="000000"/>
                <w:sz w:val="24"/>
                <w:szCs w:val="24"/>
              </w:rPr>
              <m:t>2</m:t>
            </m:r>
            <m:ctrlPr>
              <w:rPr>
                <w:rFonts w:hint="default" w:ascii="Cambria Math" w:hAnsi="Cambria Math"/>
                <w:color w:val="000000"/>
                <w:sz w:val="24"/>
                <w:szCs w:val="24"/>
              </w:rPr>
            </m:ctrlPr>
          </m:sup>
        </m:sSup>
      </m:oMath>
      <w:r>
        <w:rPr>
          <w:rFonts w:hint="eastAsia"/>
          <w:color w:val="000000"/>
          <w:sz w:val="24"/>
          <w:szCs w:val="24"/>
          <w:lang w:val="en-US" w:eastAsia="zh-CN"/>
        </w:rPr>
        <w:t>条件下</w:t>
      </w:r>
      <w:r>
        <w:rPr>
          <w:rFonts w:hint="default"/>
          <w:color w:val="000000"/>
          <w:sz w:val="24"/>
          <w:szCs w:val="24"/>
          <w:lang w:val="en-US" w:eastAsia="zh-CN"/>
        </w:rPr>
        <w:t>平行磁致伸缩系数</w:t>
      </w:r>
      <w:r>
        <w:rPr>
          <w:rFonts w:hint="eastAsia"/>
          <w:color w:val="000000"/>
          <w:sz w:val="24"/>
          <w:szCs w:val="24"/>
          <w:lang w:val="en-US" w:eastAsia="zh-CN"/>
        </w:rPr>
        <w:t>所在区间下限值</w:t>
      </w:r>
      <w:r>
        <w:rPr>
          <w:rFonts w:hint="default"/>
          <w:color w:val="000000"/>
          <w:sz w:val="24"/>
          <w:szCs w:val="24"/>
          <w:lang w:val="en-US" w:eastAsia="zh-CN"/>
        </w:rPr>
        <w:t>）</w:t>
      </w:r>
      <w:r>
        <w:rPr>
          <w:rFonts w:hint="eastAsia"/>
          <w:color w:val="000000"/>
          <w:sz w:val="24"/>
          <w:szCs w:val="24"/>
          <w:lang w:val="en-US" w:eastAsia="zh-CN"/>
        </w:rPr>
        <w:t>分为12个牌号，数字牌号</w:t>
      </w:r>
      <w:r>
        <w:rPr>
          <w:rFonts w:hint="eastAsia" w:ascii="Times New Roman" w:hAnsi="Times New Roman" w:cs="Times New Roman"/>
          <w:bCs/>
          <w:sz w:val="22"/>
          <w:szCs w:val="18"/>
          <w:highlight w:val="none"/>
          <w:lang w:val="en-US" w:eastAsia="zh-CN"/>
        </w:rPr>
        <w:t>符合</w:t>
      </w:r>
      <w:r>
        <w:rPr>
          <w:color w:val="000000"/>
          <w:sz w:val="24"/>
          <w:szCs w:val="24"/>
        </w:rPr>
        <w:t>GB/</w:t>
      </w:r>
      <w:r>
        <w:rPr>
          <w:sz w:val="24"/>
          <w:szCs w:val="24"/>
        </w:rPr>
        <w:t>T 17803的规定</w:t>
      </w:r>
      <w:r>
        <w:rPr>
          <w:rFonts w:hint="eastAsia"/>
          <w:sz w:val="24"/>
          <w:szCs w:val="24"/>
          <w:lang w:eastAsia="zh-CN"/>
        </w:rPr>
        <w:t>；</w:t>
      </w:r>
      <w:r>
        <w:rPr>
          <w:rFonts w:hint="eastAsia"/>
          <w:color w:val="000000"/>
          <w:sz w:val="24"/>
          <w:szCs w:val="24"/>
          <w:lang w:val="en-US" w:eastAsia="zh-CN"/>
        </w:rPr>
        <w:t>字符牌号表示方法为</w:t>
      </w:r>
      <w:r>
        <w:rPr>
          <w:rFonts w:hint="default" w:ascii="Times New Roman" w:hAnsi="Times New Roman" w:cs="Times New Roman"/>
          <w:bCs/>
          <w:sz w:val="22"/>
          <w:szCs w:val="18"/>
          <w:highlight w:val="none"/>
        </w:rPr>
        <w:t>TbDyFe – XX</w:t>
      </w:r>
      <w:r>
        <w:rPr>
          <w:rFonts w:hint="default" w:ascii="Times New Roman" w:hAnsi="Times New Roman" w:cs="Times New Roman"/>
          <w:bCs/>
          <w:sz w:val="22"/>
          <w:szCs w:val="18"/>
          <w:highlight w:val="none"/>
          <w:lang w:val="en-US" w:eastAsia="zh-CN"/>
        </w:rPr>
        <w:t>X</w:t>
      </w:r>
      <w:r>
        <w:rPr>
          <w:rFonts w:hint="eastAsia" w:ascii="Times New Roman" w:hAnsi="Times New Roman" w:cs="Times New Roman"/>
          <w:bCs/>
          <w:sz w:val="22"/>
          <w:szCs w:val="18"/>
          <w:highlight w:val="none"/>
          <w:lang w:eastAsia="zh-CN"/>
        </w:rPr>
        <w:t>，</w:t>
      </w:r>
      <w:r>
        <w:rPr>
          <w:rFonts w:hint="eastAsia"/>
          <w:sz w:val="24"/>
          <w:szCs w:val="24"/>
          <w:lang w:val="en-US" w:eastAsia="zh-CN"/>
        </w:rPr>
        <w:t>更加贴合生产、使用，便于实际使用。</w:t>
      </w:r>
    </w:p>
    <w:p w14:paraId="380E5349">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val="en-US" w:eastAsia="zh-CN"/>
        </w:rPr>
        <w:t>磁致伸缩</w:t>
      </w:r>
      <w:r>
        <w:rPr>
          <w:rFonts w:hint="default" w:ascii="Times New Roman" w:hAnsi="Times New Roman" w:eastAsia="黑体" w:cs="Times New Roman"/>
          <w:color w:val="000000"/>
          <w:sz w:val="24"/>
          <w:szCs w:val="24"/>
        </w:rPr>
        <w:t>性能</w:t>
      </w:r>
    </w:p>
    <w:p w14:paraId="29B8BBDB">
      <w:pPr>
        <w:keepNext w:val="0"/>
        <w:keepLines w:val="0"/>
        <w:pageBreakBefore w:val="0"/>
        <w:widowControl/>
        <w:kinsoku/>
        <w:wordWrap/>
        <w:overflowPunct/>
        <w:topLinePunct w:val="0"/>
        <w:bidi w:val="0"/>
        <w:spacing w:line="240" w:lineRule="auto"/>
        <w:ind w:firstLine="480" w:firstLineChars="200"/>
        <w:jc w:val="left"/>
        <w:textAlignment w:val="auto"/>
        <w:rPr>
          <w:rFonts w:hint="default" w:ascii="Times New Roman" w:hAnsi="Times New Roman" w:cs="Times New Roman"/>
          <w:color w:val="000000"/>
          <w:sz w:val="24"/>
          <w:szCs w:val="32"/>
          <w:lang w:eastAsia="zh-CN"/>
        </w:rPr>
      </w:pPr>
      <w:r>
        <w:rPr>
          <w:rFonts w:hint="default" w:ascii="Times New Roman" w:hAnsi="Times New Roman" w:cs="Times New Roman"/>
          <w:color w:val="000000"/>
          <w:sz w:val="24"/>
          <w:szCs w:val="32"/>
        </w:rPr>
        <w:t>材料磁致伸缩性能应符合表1的规定，其</w:t>
      </w:r>
      <w:r>
        <w:rPr>
          <w:rFonts w:hint="default" w:ascii="Times New Roman" w:hAnsi="Times New Roman" w:cs="Times New Roman"/>
          <w:color w:val="000000"/>
          <w:sz w:val="24"/>
          <w:szCs w:val="32"/>
          <w:lang w:val="en-US" w:eastAsia="zh-CN"/>
        </w:rPr>
        <w:t>磁致伸缩性能</w:t>
      </w:r>
      <w:r>
        <w:rPr>
          <w:rFonts w:hint="default" w:ascii="Times New Roman" w:hAnsi="Times New Roman" w:cs="Times New Roman"/>
          <w:color w:val="000000"/>
          <w:sz w:val="24"/>
          <w:szCs w:val="32"/>
        </w:rPr>
        <w:t>在</w:t>
      </w:r>
      <w:r>
        <w:rPr>
          <w:rFonts w:hint="default" w:ascii="Times New Roman" w:hAnsi="Times New Roman" w:cs="Times New Roman"/>
          <w:color w:val="000000"/>
          <w:sz w:val="24"/>
          <w:szCs w:val="32"/>
          <w:lang w:val="en-US" w:eastAsia="zh-CN"/>
        </w:rPr>
        <w:t>室温20℃下测量。</w:t>
      </w:r>
    </w:p>
    <w:p w14:paraId="6388D097">
      <w:pPr>
        <w:pStyle w:val="15"/>
        <w:keepNext w:val="0"/>
        <w:keepLines w:val="0"/>
        <w:pageBreakBefore w:val="0"/>
        <w:widowControl/>
        <w:kinsoku/>
        <w:wordWrap/>
        <w:overflowPunct/>
        <w:topLinePunct w:val="0"/>
        <w:autoSpaceDE w:val="0"/>
        <w:autoSpaceDN w:val="0"/>
        <w:bidi w:val="0"/>
        <w:adjustRightInd/>
        <w:snapToGrid/>
        <w:spacing w:before="157" w:beforeLines="50"/>
        <w:ind w:firstLine="468" w:firstLineChars="195"/>
        <w:jc w:val="center"/>
        <w:textAlignment w:val="auto"/>
        <w:rPr>
          <w:rFonts w:hint="default" w:ascii="Times New Roman" w:hAnsi="Times New Roman" w:eastAsia="黑体" w:cs="Times New Roman"/>
          <w:sz w:val="24"/>
          <w:szCs w:val="28"/>
          <w:lang w:val="en-US"/>
        </w:rPr>
      </w:pPr>
      <w:r>
        <w:rPr>
          <w:rFonts w:hint="default" w:ascii="Times New Roman" w:hAnsi="Times New Roman" w:eastAsia="黑体" w:cs="Times New Roman"/>
          <w:sz w:val="24"/>
          <w:szCs w:val="28"/>
        </w:rPr>
        <w:t xml:space="preserve">表1 </w:t>
      </w:r>
      <w:r>
        <w:rPr>
          <w:rFonts w:hint="eastAsia" w:ascii="Times New Roman" w:eastAsia="黑体" w:cs="Times New Roman"/>
          <w:sz w:val="24"/>
          <w:szCs w:val="28"/>
          <w:lang w:eastAsia="zh-CN"/>
        </w:rPr>
        <w:t>铽镝铁磁致伸缩材料</w:t>
      </w:r>
      <w:r>
        <w:rPr>
          <w:rFonts w:hint="default" w:ascii="Times New Roman" w:hAnsi="Times New Roman" w:eastAsia="黑体" w:cs="Times New Roman"/>
          <w:sz w:val="24"/>
          <w:szCs w:val="28"/>
          <w:lang w:val="en-US" w:eastAsia="zh-CN"/>
        </w:rPr>
        <w:t>20℃下磁致伸缩性能</w:t>
      </w:r>
    </w:p>
    <w:tbl>
      <w:tblPr>
        <w:tblStyle w:val="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584"/>
        <w:gridCol w:w="3833"/>
        <w:gridCol w:w="2098"/>
      </w:tblGrid>
      <w:tr w14:paraId="1ACA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44" w:type="dxa"/>
            <w:shd w:val="clear" w:color="auto" w:fill="auto"/>
            <w:vAlign w:val="center"/>
          </w:tcPr>
          <w:p w14:paraId="58EBFC74">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lang w:val="en-US" w:eastAsia="zh-CN"/>
              </w:rPr>
            </w:pPr>
            <w:r>
              <w:rPr>
                <w:rFonts w:hint="eastAsia" w:cs="Times New Roman"/>
                <w:bCs/>
                <w:szCs w:val="21"/>
                <w:lang w:val="en-US" w:eastAsia="zh-CN"/>
              </w:rPr>
              <w:t>数字牌号</w:t>
            </w:r>
          </w:p>
        </w:tc>
        <w:tc>
          <w:tcPr>
            <w:tcW w:w="1584" w:type="dxa"/>
            <w:shd w:val="clear" w:color="auto" w:fill="auto"/>
            <w:vAlign w:val="center"/>
          </w:tcPr>
          <w:p w14:paraId="5CC43BFA">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字符牌号</w:t>
            </w:r>
          </w:p>
        </w:tc>
        <w:tc>
          <w:tcPr>
            <w:tcW w:w="3833" w:type="dxa"/>
            <w:shd w:val="clear" w:color="auto" w:fill="auto"/>
            <w:vAlign w:val="center"/>
          </w:tcPr>
          <w:p w14:paraId="5B4E507C">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 w:val="18"/>
                <w:szCs w:val="18"/>
                <w:highlight w:val="none"/>
              </w:rPr>
              <w:t>×</w:t>
            </w:r>
            <w:r>
              <w:rPr>
                <w:rFonts w:hint="default" w:ascii="Times New Roman" w:hAnsi="Times New Roman" w:cs="Times New Roman"/>
                <w:bCs/>
                <w:szCs w:val="21"/>
                <w:highlight w:val="none"/>
              </w:rPr>
              <w:t>10</w:t>
            </w:r>
            <w:r>
              <w:rPr>
                <w:rFonts w:hint="default" w:ascii="Times New Roman" w:hAnsi="Times New Roman" w:cs="Times New Roman"/>
                <w:bCs/>
                <w:szCs w:val="21"/>
                <w:highlight w:val="none"/>
                <w:vertAlign w:val="superscript"/>
              </w:rPr>
              <w:t>-6</w:t>
            </w:r>
            <w:r>
              <w:rPr>
                <w:rFonts w:hint="default" w:ascii="Times New Roman" w:hAnsi="Times New Roman" w:cs="Times New Roman"/>
                <w:bCs/>
                <w:szCs w:val="21"/>
              </w:rPr>
              <w:t>（80</w:t>
            </w:r>
            <m:oMath>
              <m:r>
                <m:rPr/>
                <w:rPr>
                  <w:rFonts w:hint="default" w:ascii="Cambria Math" w:hAnsi="Cambria Math" w:cs="Times New Roman"/>
                  <w:szCs w:val="21"/>
                </w:rPr>
                <m:t>kA/m</m:t>
              </m:r>
            </m:oMath>
            <w:r>
              <w:rPr>
                <w:rFonts w:hint="default" w:ascii="Times New Roman" w:hAnsi="Times New Roman" w:cs="Times New Roman"/>
                <w:bCs/>
                <w:szCs w:val="21"/>
              </w:rPr>
              <w:t>，</w:t>
            </w:r>
            <w:r>
              <w:rPr>
                <w:rFonts w:hint="eastAsia" w:cs="Times New Roman"/>
                <w:bCs/>
                <w:szCs w:val="21"/>
                <w:lang w:val="en-US" w:eastAsia="zh-CN"/>
              </w:rPr>
              <w:t>1</w:t>
            </w:r>
            <w:r>
              <w:rPr>
                <w:rFonts w:hint="default" w:ascii="Times New Roman" w:hAnsi="Times New Roman" w:cs="Times New Roman"/>
                <w:bCs/>
                <w:szCs w:val="21"/>
                <w:highlight w:val="none"/>
              </w:rPr>
              <w:t>0</w:t>
            </w:r>
            <m:oMath>
              <m:r>
                <m:rPr/>
                <w:rPr>
                  <w:rFonts w:hint="default" w:ascii="Cambria Math" w:hAnsi="Cambria Math" w:cs="Times New Roman"/>
                  <w:szCs w:val="21"/>
                  <w:highlight w:val="none"/>
                </w:rPr>
                <m:t xml:space="preserve"> N/</m:t>
              </m:r>
              <m:sSup>
                <m:sSupPr>
                  <m:ctrlPr>
                    <w:rPr>
                      <w:rFonts w:hint="default" w:ascii="Cambria Math" w:hAnsi="Cambria Math" w:cs="Times New Roman"/>
                      <w:bCs/>
                      <w:i/>
                      <w:szCs w:val="21"/>
                      <w:highlight w:val="none"/>
                    </w:rPr>
                  </m:ctrlPr>
                </m:sSupPr>
                <m:e>
                  <m:r>
                    <m:rPr/>
                    <w:rPr>
                      <w:rFonts w:hint="default" w:ascii="Cambria Math" w:hAnsi="Cambria Math" w:cs="Times New Roman"/>
                      <w:szCs w:val="21"/>
                      <w:highlight w:val="none"/>
                    </w:rPr>
                    <m:t>mm</m:t>
                  </m:r>
                  <m:ctrlPr>
                    <w:rPr>
                      <w:rFonts w:hint="default" w:ascii="Cambria Math" w:hAnsi="Cambria Math" w:cs="Times New Roman"/>
                      <w:bCs/>
                      <w:i/>
                      <w:szCs w:val="21"/>
                      <w:highlight w:val="none"/>
                    </w:rPr>
                  </m:ctrlPr>
                </m:e>
                <m:sup>
                  <m:r>
                    <m:rPr/>
                    <w:rPr>
                      <w:rFonts w:hint="default" w:ascii="Cambria Math" w:hAnsi="Cambria Math" w:cs="Times New Roman"/>
                      <w:szCs w:val="21"/>
                      <w:highlight w:val="none"/>
                    </w:rPr>
                    <m:t>2</m:t>
                  </m:r>
                  <m:ctrlPr>
                    <w:rPr>
                      <w:rFonts w:hint="default" w:ascii="Cambria Math" w:hAnsi="Cambria Math" w:cs="Times New Roman"/>
                      <w:bCs/>
                      <w:i/>
                      <w:szCs w:val="21"/>
                      <w:highlight w:val="none"/>
                    </w:rPr>
                  </m:ctrlPr>
                </m:sup>
              </m:sSup>
            </m:oMath>
            <w:r>
              <w:rPr>
                <w:rFonts w:hint="default" w:ascii="Times New Roman" w:hAnsi="Times New Roman" w:cs="Times New Roman"/>
                <w:bCs/>
                <w:szCs w:val="21"/>
              </w:rPr>
              <w:t>）</w:t>
            </w:r>
          </w:p>
        </w:tc>
        <w:tc>
          <w:tcPr>
            <w:tcW w:w="2098" w:type="dxa"/>
            <w:shd w:val="clear" w:color="auto" w:fill="auto"/>
            <w:vAlign w:val="center"/>
          </w:tcPr>
          <w:p w14:paraId="7E567EE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磁致伸缩不均匀度</w:t>
            </w:r>
          </w:p>
        </w:tc>
      </w:tr>
      <w:tr w14:paraId="55EA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10C47406">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203000</w:t>
            </w:r>
          </w:p>
        </w:tc>
        <w:tc>
          <w:tcPr>
            <w:tcW w:w="1584" w:type="dxa"/>
            <w:shd w:val="clear" w:color="auto" w:fill="auto"/>
            <w:vAlign w:val="center"/>
          </w:tcPr>
          <w:p w14:paraId="6F104A3B">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TbDyFe-500</w:t>
            </w:r>
          </w:p>
        </w:tc>
        <w:tc>
          <w:tcPr>
            <w:tcW w:w="3833" w:type="dxa"/>
            <w:shd w:val="clear" w:color="auto" w:fill="auto"/>
            <w:vAlign w:val="center"/>
          </w:tcPr>
          <w:p w14:paraId="5C87708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500≤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vertAlign w:val="subscript"/>
                <w:lang w:val="en-US" w:eastAsia="zh-CN"/>
              </w:rPr>
              <w:t xml:space="preserve"> </w:t>
            </w:r>
            <w:r>
              <w:rPr>
                <w:rFonts w:hint="default" w:ascii="Times New Roman" w:hAnsi="Times New Roman" w:cs="Times New Roman"/>
                <w:bCs/>
                <w:szCs w:val="21"/>
              </w:rPr>
              <w:t>＜600</w:t>
            </w:r>
          </w:p>
        </w:tc>
        <w:tc>
          <w:tcPr>
            <w:tcW w:w="2098" w:type="dxa"/>
            <w:vMerge w:val="restart"/>
            <w:shd w:val="clear" w:color="auto" w:fill="auto"/>
            <w:vAlign w:val="center"/>
          </w:tcPr>
          <w:p w14:paraId="5947F4B1">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highlight w:val="none"/>
              </w:rPr>
              <w:t>≤10 %</w:t>
            </w:r>
          </w:p>
        </w:tc>
      </w:tr>
      <w:tr w14:paraId="1E1A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70B31EDA">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203001</w:t>
            </w:r>
          </w:p>
        </w:tc>
        <w:tc>
          <w:tcPr>
            <w:tcW w:w="1584" w:type="dxa"/>
            <w:shd w:val="clear" w:color="auto" w:fill="auto"/>
            <w:vAlign w:val="center"/>
          </w:tcPr>
          <w:p w14:paraId="767AC3B8">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TbDyFe-600</w:t>
            </w:r>
          </w:p>
        </w:tc>
        <w:tc>
          <w:tcPr>
            <w:tcW w:w="3833" w:type="dxa"/>
            <w:shd w:val="clear" w:color="auto" w:fill="auto"/>
            <w:vAlign w:val="center"/>
          </w:tcPr>
          <w:p w14:paraId="5B1F8883">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600≤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＜700</w:t>
            </w:r>
          </w:p>
        </w:tc>
        <w:tc>
          <w:tcPr>
            <w:tcW w:w="2098" w:type="dxa"/>
            <w:vMerge w:val="continue"/>
            <w:shd w:val="clear" w:color="auto" w:fill="auto"/>
            <w:vAlign w:val="center"/>
          </w:tcPr>
          <w:p w14:paraId="56DF1FE7">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042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22356E90">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203002</w:t>
            </w:r>
          </w:p>
        </w:tc>
        <w:tc>
          <w:tcPr>
            <w:tcW w:w="1584" w:type="dxa"/>
            <w:shd w:val="clear" w:color="auto" w:fill="auto"/>
            <w:vAlign w:val="center"/>
          </w:tcPr>
          <w:p w14:paraId="7F98E4D2">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TbDyFe-700</w:t>
            </w:r>
          </w:p>
        </w:tc>
        <w:tc>
          <w:tcPr>
            <w:tcW w:w="3833" w:type="dxa"/>
            <w:shd w:val="clear" w:color="auto" w:fill="auto"/>
            <w:vAlign w:val="center"/>
          </w:tcPr>
          <w:p w14:paraId="4142832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700≤</w:t>
            </w:r>
            <w:r>
              <w:rPr>
                <w:rFonts w:hint="default" w:ascii="Times New Roman" w:hAnsi="Times New Roman" w:cs="Times New Roman"/>
                <w:bCs/>
                <w:szCs w:val="21"/>
                <w:lang w:eastAsia="zh-CN"/>
              </w:rPr>
              <w:t xml:space="preserve"> </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＜800</w:t>
            </w:r>
          </w:p>
        </w:tc>
        <w:tc>
          <w:tcPr>
            <w:tcW w:w="2098" w:type="dxa"/>
            <w:vMerge w:val="continue"/>
            <w:shd w:val="clear" w:color="auto" w:fill="auto"/>
            <w:vAlign w:val="center"/>
          </w:tcPr>
          <w:p w14:paraId="12103BC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2DA8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3A72746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203003</w:t>
            </w:r>
          </w:p>
        </w:tc>
        <w:tc>
          <w:tcPr>
            <w:tcW w:w="1584" w:type="dxa"/>
            <w:shd w:val="clear" w:color="auto" w:fill="auto"/>
            <w:vAlign w:val="center"/>
          </w:tcPr>
          <w:p w14:paraId="684922AF">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TbDyFe-800</w:t>
            </w:r>
          </w:p>
        </w:tc>
        <w:tc>
          <w:tcPr>
            <w:tcW w:w="3833" w:type="dxa"/>
            <w:shd w:val="clear" w:color="auto" w:fill="auto"/>
            <w:vAlign w:val="center"/>
          </w:tcPr>
          <w:p w14:paraId="13604405">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800≤</w:t>
            </w:r>
            <w:r>
              <w:rPr>
                <w:rFonts w:hint="default" w:ascii="Times New Roman" w:hAnsi="Times New Roman" w:cs="Times New Roman"/>
                <w:bCs/>
                <w:szCs w:val="21"/>
                <w:lang w:eastAsia="zh-CN"/>
              </w:rPr>
              <w:t xml:space="preserve"> </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＜900</w:t>
            </w:r>
          </w:p>
        </w:tc>
        <w:tc>
          <w:tcPr>
            <w:tcW w:w="2098" w:type="dxa"/>
            <w:vMerge w:val="continue"/>
            <w:shd w:val="clear" w:color="auto" w:fill="auto"/>
            <w:vAlign w:val="center"/>
          </w:tcPr>
          <w:p w14:paraId="376D6C6C">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7D4C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4DCE1E8A">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203004</w:t>
            </w:r>
          </w:p>
        </w:tc>
        <w:tc>
          <w:tcPr>
            <w:tcW w:w="1584" w:type="dxa"/>
            <w:shd w:val="clear" w:color="auto" w:fill="auto"/>
            <w:vAlign w:val="center"/>
          </w:tcPr>
          <w:p w14:paraId="43E2B7CE">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TbDyFe-900</w:t>
            </w:r>
          </w:p>
        </w:tc>
        <w:tc>
          <w:tcPr>
            <w:tcW w:w="3833" w:type="dxa"/>
            <w:shd w:val="clear" w:color="auto" w:fill="auto"/>
            <w:vAlign w:val="center"/>
          </w:tcPr>
          <w:p w14:paraId="77A177C8">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900≤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lang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vertAlign w:val="subscript"/>
                <w:lang w:val="en-US" w:eastAsia="zh-CN"/>
              </w:rPr>
              <w:t xml:space="preserve"> </w:t>
            </w:r>
            <w:r>
              <w:rPr>
                <w:rFonts w:hint="default" w:ascii="Times New Roman" w:hAnsi="Times New Roman" w:cs="Times New Roman"/>
                <w:bCs/>
                <w:szCs w:val="21"/>
              </w:rPr>
              <w:t>＜1000</w:t>
            </w:r>
          </w:p>
        </w:tc>
        <w:tc>
          <w:tcPr>
            <w:tcW w:w="2098" w:type="dxa"/>
            <w:vMerge w:val="continue"/>
            <w:shd w:val="clear" w:color="auto" w:fill="auto"/>
            <w:vAlign w:val="center"/>
          </w:tcPr>
          <w:p w14:paraId="0AA97EF3">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0E22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0C7607B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203005</w:t>
            </w:r>
          </w:p>
        </w:tc>
        <w:tc>
          <w:tcPr>
            <w:tcW w:w="1584" w:type="dxa"/>
            <w:shd w:val="clear" w:color="auto" w:fill="auto"/>
            <w:vAlign w:val="center"/>
          </w:tcPr>
          <w:p w14:paraId="60428C3B">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TbDyFe-1000</w:t>
            </w:r>
          </w:p>
        </w:tc>
        <w:tc>
          <w:tcPr>
            <w:tcW w:w="3833" w:type="dxa"/>
            <w:shd w:val="clear" w:color="auto" w:fill="auto"/>
            <w:vAlign w:val="center"/>
          </w:tcPr>
          <w:p w14:paraId="474D36F4">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1000≤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＜1100</w:t>
            </w:r>
          </w:p>
        </w:tc>
        <w:tc>
          <w:tcPr>
            <w:tcW w:w="2098" w:type="dxa"/>
            <w:vMerge w:val="continue"/>
            <w:shd w:val="clear" w:color="auto" w:fill="auto"/>
            <w:vAlign w:val="center"/>
          </w:tcPr>
          <w:p w14:paraId="7CC34860">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300D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5AD0D89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203006</w:t>
            </w:r>
          </w:p>
        </w:tc>
        <w:tc>
          <w:tcPr>
            <w:tcW w:w="1584" w:type="dxa"/>
            <w:shd w:val="clear" w:color="auto" w:fill="auto"/>
            <w:vAlign w:val="center"/>
          </w:tcPr>
          <w:p w14:paraId="75BB96D0">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TbDyFe-1100</w:t>
            </w:r>
          </w:p>
        </w:tc>
        <w:tc>
          <w:tcPr>
            <w:tcW w:w="3833" w:type="dxa"/>
            <w:shd w:val="clear" w:color="auto" w:fill="auto"/>
            <w:vAlign w:val="center"/>
          </w:tcPr>
          <w:p w14:paraId="5790CE50">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1100≤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＜1200</w:t>
            </w:r>
          </w:p>
        </w:tc>
        <w:tc>
          <w:tcPr>
            <w:tcW w:w="2098" w:type="dxa"/>
            <w:vMerge w:val="continue"/>
            <w:shd w:val="clear" w:color="auto" w:fill="auto"/>
            <w:vAlign w:val="center"/>
          </w:tcPr>
          <w:p w14:paraId="4FA93D86">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34AB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742C895C">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203007</w:t>
            </w:r>
          </w:p>
        </w:tc>
        <w:tc>
          <w:tcPr>
            <w:tcW w:w="1584" w:type="dxa"/>
            <w:shd w:val="clear" w:color="auto" w:fill="auto"/>
            <w:vAlign w:val="center"/>
          </w:tcPr>
          <w:p w14:paraId="306B3091">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TbDyFe-1200</w:t>
            </w:r>
          </w:p>
        </w:tc>
        <w:tc>
          <w:tcPr>
            <w:tcW w:w="3833" w:type="dxa"/>
            <w:shd w:val="clear" w:color="auto" w:fill="auto"/>
            <w:vAlign w:val="center"/>
          </w:tcPr>
          <w:p w14:paraId="47AB3273">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1200≤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＜1300</w:t>
            </w:r>
          </w:p>
        </w:tc>
        <w:tc>
          <w:tcPr>
            <w:tcW w:w="2098" w:type="dxa"/>
            <w:vMerge w:val="continue"/>
            <w:shd w:val="clear" w:color="auto" w:fill="auto"/>
            <w:vAlign w:val="center"/>
          </w:tcPr>
          <w:p w14:paraId="10828D54">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0D58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4CE4FFCF">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203008</w:t>
            </w:r>
          </w:p>
        </w:tc>
        <w:tc>
          <w:tcPr>
            <w:tcW w:w="1584" w:type="dxa"/>
            <w:shd w:val="clear" w:color="auto" w:fill="auto"/>
            <w:vAlign w:val="center"/>
          </w:tcPr>
          <w:p w14:paraId="15F50DFE">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TbDyFe-1300</w:t>
            </w:r>
          </w:p>
        </w:tc>
        <w:tc>
          <w:tcPr>
            <w:tcW w:w="3833" w:type="dxa"/>
            <w:shd w:val="clear" w:color="auto" w:fill="auto"/>
            <w:vAlign w:val="center"/>
          </w:tcPr>
          <w:p w14:paraId="74B72AAF">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1300≤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＜1400</w:t>
            </w:r>
          </w:p>
        </w:tc>
        <w:tc>
          <w:tcPr>
            <w:tcW w:w="2098" w:type="dxa"/>
            <w:vMerge w:val="continue"/>
            <w:shd w:val="clear" w:color="auto" w:fill="auto"/>
            <w:vAlign w:val="center"/>
          </w:tcPr>
          <w:p w14:paraId="54C1AA13">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0E63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4DB0141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lang w:val="en-US"/>
              </w:rPr>
            </w:pPr>
            <w:r>
              <w:rPr>
                <w:rFonts w:hint="eastAsia" w:cs="Times New Roman"/>
                <w:bCs/>
                <w:szCs w:val="21"/>
                <w:highlight w:val="none"/>
                <w:lang w:val="en-US" w:eastAsia="zh-CN"/>
              </w:rPr>
              <w:t>203009</w:t>
            </w:r>
          </w:p>
        </w:tc>
        <w:tc>
          <w:tcPr>
            <w:tcW w:w="1584" w:type="dxa"/>
            <w:shd w:val="clear" w:color="auto" w:fill="auto"/>
            <w:vAlign w:val="center"/>
          </w:tcPr>
          <w:p w14:paraId="6E4A4EF0">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lang w:eastAsia="zh-CN"/>
              </w:rPr>
            </w:pPr>
            <w:r>
              <w:rPr>
                <w:rFonts w:hint="default" w:ascii="Times New Roman" w:hAnsi="Times New Roman" w:cs="Times New Roman"/>
                <w:bCs/>
                <w:szCs w:val="21"/>
              </w:rPr>
              <w:t>TbDyFe-14</w:t>
            </w:r>
            <w:r>
              <w:rPr>
                <w:rFonts w:hint="default" w:ascii="Times New Roman" w:hAnsi="Times New Roman" w:cs="Times New Roman"/>
                <w:bCs/>
                <w:szCs w:val="21"/>
                <w:lang w:val="en-US" w:eastAsia="zh-CN"/>
              </w:rPr>
              <w:t>00</w:t>
            </w:r>
          </w:p>
        </w:tc>
        <w:tc>
          <w:tcPr>
            <w:tcW w:w="3833" w:type="dxa"/>
            <w:shd w:val="clear" w:color="auto" w:fill="auto"/>
            <w:vAlign w:val="center"/>
          </w:tcPr>
          <w:p w14:paraId="0432F71B">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1400≤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＜1500</w:t>
            </w:r>
          </w:p>
        </w:tc>
        <w:tc>
          <w:tcPr>
            <w:tcW w:w="2098" w:type="dxa"/>
            <w:vMerge w:val="continue"/>
            <w:shd w:val="clear" w:color="auto" w:fill="auto"/>
            <w:vAlign w:val="center"/>
          </w:tcPr>
          <w:p w14:paraId="67A5EEC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p>
        </w:tc>
      </w:tr>
      <w:tr w14:paraId="424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1FD21D17">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lang w:val="en-US"/>
              </w:rPr>
            </w:pPr>
            <w:r>
              <w:rPr>
                <w:rFonts w:hint="eastAsia" w:cs="Times New Roman"/>
                <w:bCs/>
                <w:szCs w:val="21"/>
                <w:highlight w:val="none"/>
                <w:lang w:val="en-US" w:eastAsia="zh-CN"/>
              </w:rPr>
              <w:t>203010</w:t>
            </w:r>
          </w:p>
        </w:tc>
        <w:tc>
          <w:tcPr>
            <w:tcW w:w="1584" w:type="dxa"/>
            <w:shd w:val="clear" w:color="auto" w:fill="auto"/>
            <w:vAlign w:val="center"/>
          </w:tcPr>
          <w:p w14:paraId="08BA357D">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lang w:eastAsia="zh-CN"/>
              </w:rPr>
            </w:pPr>
            <w:r>
              <w:rPr>
                <w:rFonts w:hint="default" w:ascii="Times New Roman" w:hAnsi="Times New Roman" w:cs="Times New Roman"/>
                <w:bCs/>
                <w:szCs w:val="21"/>
              </w:rPr>
              <w:t>TbDyFe-15</w:t>
            </w:r>
            <w:r>
              <w:rPr>
                <w:rFonts w:hint="default" w:ascii="Times New Roman" w:hAnsi="Times New Roman" w:cs="Times New Roman"/>
                <w:bCs/>
                <w:szCs w:val="21"/>
                <w:lang w:val="en-US" w:eastAsia="zh-CN"/>
              </w:rPr>
              <w:t>00</w:t>
            </w:r>
          </w:p>
        </w:tc>
        <w:tc>
          <w:tcPr>
            <w:tcW w:w="3833" w:type="dxa"/>
            <w:shd w:val="clear" w:color="auto" w:fill="auto"/>
            <w:vAlign w:val="center"/>
          </w:tcPr>
          <w:p w14:paraId="4F7B173E">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bCs/>
                <w:szCs w:val="21"/>
              </w:rPr>
              <w:t>1500≤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＜1600</w:t>
            </w:r>
          </w:p>
        </w:tc>
        <w:tc>
          <w:tcPr>
            <w:tcW w:w="2098" w:type="dxa"/>
            <w:vMerge w:val="continue"/>
            <w:shd w:val="clear" w:color="auto" w:fill="auto"/>
            <w:vAlign w:val="center"/>
          </w:tcPr>
          <w:p w14:paraId="6F7BAD78">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cs="Times New Roman"/>
                <w:bCs/>
                <w:szCs w:val="21"/>
              </w:rPr>
            </w:pPr>
          </w:p>
        </w:tc>
      </w:tr>
      <w:tr w14:paraId="463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44" w:type="dxa"/>
            <w:shd w:val="clear" w:color="auto" w:fill="auto"/>
            <w:vAlign w:val="center"/>
          </w:tcPr>
          <w:p w14:paraId="16632E68">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lang w:val="en-US"/>
              </w:rPr>
            </w:pPr>
            <w:r>
              <w:rPr>
                <w:rFonts w:hint="eastAsia" w:cs="Times New Roman"/>
                <w:bCs/>
                <w:szCs w:val="21"/>
                <w:highlight w:val="none"/>
                <w:lang w:val="en-US" w:eastAsia="zh-CN"/>
              </w:rPr>
              <w:t>203011</w:t>
            </w:r>
          </w:p>
        </w:tc>
        <w:tc>
          <w:tcPr>
            <w:tcW w:w="1584" w:type="dxa"/>
            <w:shd w:val="clear" w:color="auto" w:fill="auto"/>
            <w:vAlign w:val="center"/>
          </w:tcPr>
          <w:p w14:paraId="7B82DEE4">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lang w:eastAsia="zh-CN"/>
              </w:rPr>
            </w:pPr>
            <w:r>
              <w:rPr>
                <w:rFonts w:hint="default" w:ascii="Times New Roman" w:hAnsi="Times New Roman" w:cs="Times New Roman"/>
                <w:bCs/>
                <w:szCs w:val="21"/>
              </w:rPr>
              <w:t>TbDyFe-1</w:t>
            </w:r>
            <w:r>
              <w:rPr>
                <w:rFonts w:hint="default" w:ascii="Times New Roman" w:hAnsi="Times New Roman" w:cs="Times New Roman"/>
                <w:bCs/>
                <w:szCs w:val="21"/>
                <w:lang w:val="en-US" w:eastAsia="zh-CN"/>
              </w:rPr>
              <w:t>600</w:t>
            </w:r>
          </w:p>
        </w:tc>
        <w:tc>
          <w:tcPr>
            <w:tcW w:w="3833" w:type="dxa"/>
            <w:shd w:val="clear" w:color="auto" w:fill="auto"/>
            <w:vAlign w:val="center"/>
          </w:tcPr>
          <w:p w14:paraId="4F96E184">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eastAsia="宋体" w:cs="Times New Roman"/>
                <w:bCs/>
                <w:szCs w:val="21"/>
                <w:lang w:val="en-US" w:eastAsia="zh-CN"/>
              </w:rPr>
            </w:pPr>
            <w:r>
              <w:rPr>
                <w:rFonts w:hint="default" w:ascii="Times New Roman" w:hAnsi="Times New Roman" w:cs="Times New Roman"/>
                <w:bCs/>
                <w:szCs w:val="21"/>
              </w:rPr>
              <w:t>λ</w:t>
            </w:r>
            <w:r>
              <w:rPr>
                <w:rFonts w:hint="default" w:ascii="Times New Roman" w:hAnsi="Times New Roman" w:cs="Times New Roman"/>
                <w:bCs/>
                <w:szCs w:val="21"/>
                <w:vertAlign w:val="subscript"/>
              </w:rPr>
              <w:t>∥</w:t>
            </w:r>
            <w:r>
              <w:rPr>
                <w:rFonts w:hint="default" w:ascii="Times New Roman" w:hAnsi="Times New Roman" w:cs="Times New Roman"/>
                <w:bCs/>
                <w:szCs w:val="21"/>
                <w:lang w:val="en-US" w:eastAsia="zh-CN"/>
              </w:rPr>
              <w:t xml:space="preserve"> ≥1600</w:t>
            </w:r>
          </w:p>
        </w:tc>
        <w:tc>
          <w:tcPr>
            <w:tcW w:w="2098" w:type="dxa"/>
            <w:vMerge w:val="continue"/>
            <w:shd w:val="clear" w:color="auto" w:fill="auto"/>
            <w:vAlign w:val="center"/>
          </w:tcPr>
          <w:p w14:paraId="7D4677CE">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cs="Times New Roman"/>
                <w:bCs/>
                <w:szCs w:val="21"/>
              </w:rPr>
            </w:pPr>
          </w:p>
        </w:tc>
      </w:tr>
    </w:tbl>
    <w:p w14:paraId="1B00141A">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物理性能</w:t>
      </w:r>
    </w:p>
    <w:p w14:paraId="11F0B273">
      <w:pPr>
        <w:keepNext w:val="0"/>
        <w:keepLines w:val="0"/>
        <w:pageBreakBefore w:val="0"/>
        <w:widowControl/>
        <w:kinsoku/>
        <w:wordWrap/>
        <w:overflowPunct/>
        <w:topLinePunct w:val="0"/>
        <w:autoSpaceDE/>
        <w:autoSpaceDN/>
        <w:bidi w:val="0"/>
        <w:adjustRightInd/>
        <w:snapToGrid/>
        <w:spacing w:after="157" w:afterLines="50" w:line="240" w:lineRule="auto"/>
        <w:ind w:firstLine="480" w:firstLineChars="200"/>
        <w:jc w:val="left"/>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rPr>
        <w:t>材料物理性能应符合表</w:t>
      </w:r>
      <w:r>
        <w:rPr>
          <w:rFonts w:hint="default"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rPr>
        <w:t>的规定</w:t>
      </w:r>
      <w:r>
        <w:rPr>
          <w:rFonts w:hint="default" w:ascii="Times New Roman" w:hAnsi="Times New Roman" w:cs="Times New Roman"/>
          <w:color w:val="000000"/>
          <w:sz w:val="24"/>
          <w:szCs w:val="24"/>
          <w:lang w:eastAsia="zh-CN"/>
        </w:rPr>
        <w:t>。</w:t>
      </w:r>
    </w:p>
    <w:p w14:paraId="47CDF450">
      <w:pPr>
        <w:pStyle w:val="15"/>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 xml:space="preserve"> </w:t>
      </w:r>
      <w:r>
        <w:rPr>
          <w:rFonts w:hint="eastAsia" w:ascii="Times New Roman" w:hAnsi="Times New Roman" w:eastAsia="黑体" w:cs="Times New Roman"/>
          <w:sz w:val="24"/>
          <w:szCs w:val="24"/>
          <w:lang w:eastAsia="zh-CN"/>
        </w:rPr>
        <w:t>铽镝铁磁致伸缩材料</w:t>
      </w:r>
      <w:r>
        <w:rPr>
          <w:rFonts w:hint="default" w:ascii="Times New Roman" w:hAnsi="Times New Roman" w:eastAsia="黑体" w:cs="Times New Roman"/>
          <w:sz w:val="24"/>
          <w:szCs w:val="24"/>
        </w:rPr>
        <w:t>物理性能</w:t>
      </w:r>
    </w:p>
    <w:tbl>
      <w:tblPr>
        <w:tblStyle w:val="7"/>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4850"/>
      </w:tblGrid>
      <w:tr w14:paraId="4A13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14:paraId="78B2AF9E">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物理性能</w:t>
            </w:r>
          </w:p>
        </w:tc>
        <w:tc>
          <w:tcPr>
            <w:tcW w:w="4850" w:type="dxa"/>
            <w:shd w:val="clear" w:color="auto" w:fill="auto"/>
          </w:tcPr>
          <w:p w14:paraId="06676A33">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指标</w:t>
            </w:r>
          </w:p>
        </w:tc>
      </w:tr>
      <w:tr w14:paraId="2D7E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4849" w:type="dxa"/>
            <w:shd w:val="clear" w:color="auto" w:fill="auto"/>
          </w:tcPr>
          <w:p w14:paraId="7D205224">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相对磁导率</w:t>
            </w:r>
            <m:oMath>
              <m:sSub>
                <m:sSubPr>
                  <m:ctrlPr>
                    <w:rPr>
                      <w:rFonts w:hint="default" w:ascii="Cambria Math" w:hAnsi="Cambria Math" w:cs="Times New Roman"/>
                      <w:i/>
                      <w:lang w:val="en-US"/>
                    </w:rPr>
                  </m:ctrlPr>
                </m:sSubPr>
                <m:e>
                  <m:r>
                    <m:rPr/>
                    <w:rPr>
                      <w:rFonts w:hint="default" w:ascii="Cambria Math" w:hAnsi="Cambria Math" w:cs="Times New Roman"/>
                      <w:lang w:val="en-US"/>
                    </w:rPr>
                    <m:t>μ</m:t>
                  </m:r>
                  <m:ctrlPr>
                    <w:rPr>
                      <w:rFonts w:hint="default" w:ascii="Cambria Math" w:hAnsi="Cambria Math" w:cs="Times New Roman"/>
                      <w:i/>
                      <w:lang w:val="en-US"/>
                    </w:rPr>
                  </m:ctrlPr>
                </m:e>
                <m:sub>
                  <m:r>
                    <m:rPr/>
                    <w:rPr>
                      <w:rFonts w:hint="default" w:ascii="Cambria Math" w:hAnsi="Cambria Math" w:cs="Times New Roman"/>
                      <w:lang w:val="en-US" w:eastAsia="zh-CN"/>
                    </w:rPr>
                    <m:t>r</m:t>
                  </m:r>
                  <m:ctrlPr>
                    <w:rPr>
                      <w:rFonts w:hint="default" w:ascii="Cambria Math" w:hAnsi="Cambria Math" w:cs="Times New Roman"/>
                      <w:i/>
                      <w:lang w:val="en-US"/>
                    </w:rPr>
                  </m:ctrlPr>
                </m:sub>
              </m:sSub>
            </m:oMath>
            <w:r>
              <w:rPr>
                <w:rFonts w:hint="default" w:ascii="Times New Roman" w:hAnsi="Times New Roman" w:cs="Times New Roman"/>
                <w:i w:val="0"/>
                <w:lang w:val="en-US" w:eastAsia="zh-CN"/>
              </w:rPr>
              <w:t>（</w:t>
            </w:r>
            <w:r>
              <w:rPr>
                <w:rFonts w:hint="default" w:ascii="Times New Roman" w:hAnsi="Times New Roman" w:cs="Times New Roman"/>
                <w:i w:val="0"/>
                <w:highlight w:val="none"/>
                <w:lang w:val="en-US" w:eastAsia="zh-CN"/>
              </w:rPr>
              <w:t>40kA/m</w:t>
            </w:r>
            <w:r>
              <w:rPr>
                <w:rFonts w:hint="default" w:ascii="Times New Roman" w:hAnsi="Times New Roman" w:cs="Times New Roman"/>
                <w:highlight w:val="none"/>
                <w:lang w:val="en-US" w:eastAsia="zh-CN"/>
              </w:rPr>
              <w:t>~</w:t>
            </w:r>
            <w:r>
              <w:rPr>
                <w:rFonts w:hint="default" w:ascii="Times New Roman" w:hAnsi="Times New Roman" w:cs="Times New Roman"/>
                <w:i w:val="0"/>
                <w:highlight w:val="none"/>
                <w:lang w:val="en-US" w:eastAsia="zh-CN"/>
              </w:rPr>
              <w:t>60kA/m</w:t>
            </w:r>
            <w:r>
              <w:rPr>
                <w:rFonts w:hint="default" w:ascii="Times New Roman" w:hAnsi="Times New Roman" w:cs="Times New Roman"/>
                <w:i w:val="0"/>
                <w:lang w:val="en-US" w:eastAsia="zh-CN"/>
              </w:rPr>
              <w:t>）</w:t>
            </w:r>
          </w:p>
        </w:tc>
        <w:tc>
          <w:tcPr>
            <w:tcW w:w="4850" w:type="dxa"/>
            <w:shd w:val="clear" w:color="auto" w:fill="auto"/>
          </w:tcPr>
          <w:p w14:paraId="4A8A608B">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3~15</w:t>
            </w:r>
          </w:p>
        </w:tc>
      </w:tr>
      <w:tr w14:paraId="525C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14:paraId="6E03573F">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抗压强度（</w:t>
            </w:r>
            <m:oMath>
              <m:r>
                <m:rPr/>
                <w:rPr>
                  <w:rFonts w:hint="default" w:ascii="Cambria Math" w:hAnsi="Cambria Math" w:cs="Times New Roman"/>
                </w:rPr>
                <m:t>N/</m:t>
              </m:r>
              <m:sSup>
                <m:sSupPr>
                  <m:ctrlPr>
                    <w:rPr>
                      <w:rFonts w:hint="default" w:ascii="Cambria Math" w:hAnsi="Cambria Math" w:cs="Times New Roman"/>
                      <w:i/>
                    </w:rPr>
                  </m:ctrlPr>
                </m:sSupPr>
                <m:e>
                  <m:r>
                    <m:rPr/>
                    <w:rPr>
                      <w:rFonts w:hint="default" w:ascii="Cambria Math" w:hAnsi="Cambria Math" w:cs="Times New Roman"/>
                    </w:rPr>
                    <m:t>mm</m:t>
                  </m:r>
                  <m:ctrlPr>
                    <w:rPr>
                      <w:rFonts w:hint="default" w:ascii="Cambria Math" w:hAnsi="Cambria Math" w:cs="Times New Roman"/>
                      <w:i/>
                    </w:rPr>
                  </m:ctrlPr>
                </m:e>
                <m:sup>
                  <m:r>
                    <m:rPr/>
                    <w:rPr>
                      <w:rFonts w:hint="default" w:ascii="Cambria Math" w:hAnsi="Cambria Math" w:cs="Times New Roman"/>
                    </w:rPr>
                    <m:t>2</m:t>
                  </m:r>
                  <m:ctrlPr>
                    <w:rPr>
                      <w:rFonts w:hint="default" w:ascii="Cambria Math" w:hAnsi="Cambria Math" w:cs="Times New Roman"/>
                      <w:i/>
                    </w:rPr>
                  </m:ctrlPr>
                </m:sup>
              </m:sSup>
            </m:oMath>
            <w:r>
              <w:rPr>
                <w:rFonts w:hint="default" w:ascii="Times New Roman" w:hAnsi="Times New Roman" w:cs="Times New Roman"/>
              </w:rPr>
              <w:t>）</w:t>
            </w:r>
          </w:p>
        </w:tc>
        <w:tc>
          <w:tcPr>
            <w:tcW w:w="4850" w:type="dxa"/>
            <w:shd w:val="clear" w:color="auto" w:fill="auto"/>
          </w:tcPr>
          <w:p w14:paraId="4A8F0B9E">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00</w:t>
            </w:r>
          </w:p>
        </w:tc>
      </w:tr>
      <w:tr w14:paraId="0EBA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99" w:type="dxa"/>
            <w:gridSpan w:val="2"/>
            <w:shd w:val="clear" w:color="auto" w:fill="auto"/>
          </w:tcPr>
          <w:p w14:paraId="76FD4E4E">
            <w:pPr>
              <w:keepNext w:val="0"/>
              <w:keepLines w:val="0"/>
              <w:pageBreakBefore w:val="0"/>
              <w:widowControl/>
              <w:kinsoku/>
              <w:wordWrap/>
              <w:overflowPunct/>
              <w:topLinePunct w:val="0"/>
              <w:autoSpaceDE w:val="0"/>
              <w:autoSpaceDN w:val="0"/>
              <w:bidi w:val="0"/>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注：材料其他物理性能不作为验收指标，若需方有要求，可参见附录A。</w:t>
            </w:r>
          </w:p>
        </w:tc>
      </w:tr>
    </w:tbl>
    <w:p w14:paraId="4B3287D5">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尺寸</w:t>
      </w:r>
      <w:r>
        <w:rPr>
          <w:rFonts w:hint="default" w:ascii="Times New Roman" w:hAnsi="Times New Roman" w:eastAsia="黑体" w:cs="Times New Roman"/>
          <w:color w:val="000000"/>
          <w:sz w:val="24"/>
          <w:szCs w:val="24"/>
          <w:lang w:val="en-US" w:eastAsia="zh-CN"/>
        </w:rPr>
        <w:t>及其允许偏差</w:t>
      </w:r>
    </w:p>
    <w:p w14:paraId="1769A0E3">
      <w:pPr>
        <w:keepNext w:val="0"/>
        <w:keepLines w:val="0"/>
        <w:pageBreakBefore w:val="0"/>
        <w:widowControl/>
        <w:kinsoku/>
        <w:wordWrap/>
        <w:overflowPunct/>
        <w:topLinePunct w:val="0"/>
        <w:autoSpaceDE/>
        <w:autoSpaceDN/>
        <w:bidi w:val="0"/>
        <w:adjustRightInd/>
        <w:snapToGrid/>
        <w:spacing w:after="157" w:afterLines="50" w:line="240" w:lineRule="auto"/>
        <w:ind w:firstLine="480" w:firstLineChars="200"/>
        <w:jc w:val="left"/>
        <w:textAlignment w:val="auto"/>
        <w:rPr>
          <w:rFonts w:hint="default" w:ascii="Times New Roman" w:hAnsi="Times New Roman" w:cs="Times New Roman"/>
          <w:color w:val="000000"/>
          <w:sz w:val="24"/>
          <w:szCs w:val="32"/>
        </w:rPr>
      </w:pPr>
      <w:r>
        <w:rPr>
          <w:rFonts w:hint="default" w:ascii="Times New Roman" w:hAnsi="Times New Roman" w:cs="Times New Roman"/>
          <w:color w:val="000000"/>
          <w:sz w:val="24"/>
          <w:szCs w:val="32"/>
          <w:lang w:val="en-US" w:eastAsia="zh-CN"/>
        </w:rPr>
        <w:t>产品</w:t>
      </w:r>
      <w:r>
        <w:rPr>
          <w:rFonts w:hint="default" w:ascii="Times New Roman" w:hAnsi="Times New Roman" w:cs="Times New Roman"/>
          <w:color w:val="000000"/>
          <w:sz w:val="24"/>
          <w:szCs w:val="32"/>
        </w:rPr>
        <w:t>根据需方要求有所不同，主要产品</w:t>
      </w:r>
      <w:r>
        <w:rPr>
          <w:rFonts w:hint="default" w:ascii="Times New Roman" w:hAnsi="Times New Roman" w:cs="Times New Roman"/>
          <w:color w:val="000000"/>
          <w:sz w:val="24"/>
          <w:szCs w:val="32"/>
          <w:lang w:val="en-US" w:eastAsia="zh-CN"/>
        </w:rPr>
        <w:t>几何形状</w:t>
      </w:r>
      <w:r>
        <w:rPr>
          <w:rFonts w:hint="default" w:ascii="Times New Roman" w:hAnsi="Times New Roman" w:cs="Times New Roman"/>
          <w:color w:val="000000"/>
          <w:sz w:val="24"/>
          <w:szCs w:val="32"/>
        </w:rPr>
        <w:t>为圆柱</w:t>
      </w:r>
      <w:r>
        <w:rPr>
          <w:rFonts w:hint="default" w:ascii="Times New Roman" w:hAnsi="Times New Roman" w:cs="Times New Roman"/>
          <w:color w:val="000000"/>
          <w:sz w:val="24"/>
          <w:szCs w:val="32"/>
          <w:lang w:val="en-US" w:eastAsia="zh-CN"/>
        </w:rPr>
        <w:t>体</w:t>
      </w:r>
      <w:r>
        <w:rPr>
          <w:rFonts w:hint="default" w:ascii="Times New Roman" w:hAnsi="Times New Roman" w:cs="Times New Roman"/>
          <w:color w:val="000000"/>
          <w:sz w:val="24"/>
          <w:szCs w:val="32"/>
        </w:rPr>
        <w:t>、</w:t>
      </w:r>
      <w:r>
        <w:rPr>
          <w:rFonts w:hint="default" w:ascii="Times New Roman" w:hAnsi="Times New Roman" w:cs="Times New Roman"/>
          <w:color w:val="000000"/>
          <w:sz w:val="24"/>
          <w:szCs w:val="32"/>
          <w:lang w:val="en-US" w:eastAsia="zh-CN"/>
        </w:rPr>
        <w:t>长方体</w:t>
      </w:r>
      <w:r>
        <w:rPr>
          <w:rFonts w:hint="default" w:ascii="Times New Roman" w:hAnsi="Times New Roman" w:cs="Times New Roman"/>
          <w:color w:val="000000"/>
          <w:sz w:val="24"/>
          <w:szCs w:val="32"/>
        </w:rPr>
        <w:t>等形状</w:t>
      </w:r>
      <w:r>
        <w:rPr>
          <w:rFonts w:hint="default" w:ascii="Times New Roman" w:hAnsi="Times New Roman" w:cs="Times New Roman"/>
          <w:color w:val="000000"/>
          <w:sz w:val="24"/>
          <w:szCs w:val="32"/>
          <w:lang w:eastAsia="zh-CN"/>
        </w:rPr>
        <w:t>。</w:t>
      </w:r>
      <w:r>
        <w:rPr>
          <w:rFonts w:hint="default" w:ascii="Times New Roman" w:hAnsi="Times New Roman" w:cs="Times New Roman"/>
          <w:color w:val="000000"/>
          <w:sz w:val="24"/>
          <w:szCs w:val="32"/>
        </w:rPr>
        <w:t>外形尺寸</w:t>
      </w:r>
      <w:r>
        <w:rPr>
          <w:rFonts w:hint="default" w:ascii="Times New Roman" w:hAnsi="Times New Roman" w:cs="Times New Roman"/>
          <w:color w:val="000000"/>
          <w:sz w:val="24"/>
          <w:szCs w:val="32"/>
          <w:lang w:val="en-US" w:eastAsia="zh-CN"/>
        </w:rPr>
        <w:t>及其允许形位</w:t>
      </w:r>
      <w:r>
        <w:rPr>
          <w:rFonts w:hint="default" w:ascii="Times New Roman" w:hAnsi="Times New Roman" w:cs="Times New Roman"/>
          <w:color w:val="000000"/>
          <w:sz w:val="24"/>
          <w:szCs w:val="32"/>
        </w:rPr>
        <w:t>偏差</w:t>
      </w:r>
      <w:r>
        <w:rPr>
          <w:rFonts w:hint="default" w:ascii="Times New Roman" w:hAnsi="Times New Roman" w:cs="Times New Roman"/>
          <w:color w:val="000000"/>
          <w:sz w:val="24"/>
          <w:szCs w:val="32"/>
          <w:lang w:val="en-US" w:eastAsia="zh-CN"/>
        </w:rPr>
        <w:t>应符合供需双方约定，如无相关约定，</w:t>
      </w:r>
      <w:r>
        <w:rPr>
          <w:rFonts w:hint="default" w:ascii="Times New Roman" w:hAnsi="Times New Roman" w:cs="Times New Roman"/>
          <w:color w:val="000000"/>
          <w:sz w:val="24"/>
          <w:szCs w:val="32"/>
        </w:rPr>
        <w:t>应符合表</w:t>
      </w:r>
      <w:r>
        <w:rPr>
          <w:rFonts w:hint="default" w:ascii="Times New Roman" w:hAnsi="Times New Roman" w:cs="Times New Roman"/>
          <w:color w:val="000000"/>
          <w:sz w:val="24"/>
          <w:szCs w:val="32"/>
          <w:lang w:val="en-US" w:eastAsia="zh-CN"/>
        </w:rPr>
        <w:t>3</w:t>
      </w:r>
      <w:r>
        <w:rPr>
          <w:rFonts w:hint="default" w:ascii="Times New Roman" w:hAnsi="Times New Roman" w:cs="Times New Roman"/>
          <w:color w:val="000000"/>
          <w:sz w:val="24"/>
          <w:szCs w:val="32"/>
          <w:lang w:eastAsia="zh-CN"/>
        </w:rPr>
        <w:t>、</w:t>
      </w:r>
      <w:r>
        <w:rPr>
          <w:rFonts w:hint="default" w:ascii="Times New Roman" w:hAnsi="Times New Roman" w:cs="Times New Roman"/>
          <w:color w:val="000000"/>
          <w:sz w:val="24"/>
          <w:szCs w:val="32"/>
          <w:lang w:val="en-US" w:eastAsia="zh-CN"/>
        </w:rPr>
        <w:t>表4</w:t>
      </w:r>
      <w:r>
        <w:rPr>
          <w:rFonts w:hint="default" w:ascii="Times New Roman" w:hAnsi="Times New Roman" w:cs="Times New Roman"/>
          <w:color w:val="000000"/>
          <w:sz w:val="24"/>
          <w:szCs w:val="32"/>
        </w:rPr>
        <w:t>规定。</w:t>
      </w:r>
    </w:p>
    <w:p w14:paraId="4375296C">
      <w:pPr>
        <w:pStyle w:val="15"/>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表</w:t>
      </w:r>
      <w:r>
        <w:rPr>
          <w:rFonts w:hint="default" w:ascii="Times New Roman" w:hAnsi="Times New Roman" w:eastAsia="黑体" w:cs="Times New Roman"/>
          <w:sz w:val="24"/>
          <w:szCs w:val="28"/>
          <w:lang w:val="en-US" w:eastAsia="zh-CN"/>
        </w:rPr>
        <w:t>3</w:t>
      </w:r>
      <w:r>
        <w:rPr>
          <w:rFonts w:hint="default" w:ascii="Times New Roman" w:hAnsi="Times New Roman" w:eastAsia="黑体" w:cs="Times New Roman"/>
          <w:sz w:val="24"/>
          <w:szCs w:val="28"/>
        </w:rPr>
        <w:t xml:space="preserve"> </w:t>
      </w:r>
      <w:r>
        <w:rPr>
          <w:rFonts w:hint="default" w:ascii="Times New Roman" w:hAnsi="Times New Roman" w:eastAsia="黑体" w:cs="Times New Roman"/>
          <w:sz w:val="24"/>
          <w:szCs w:val="28"/>
          <w:lang w:val="en-US" w:eastAsia="zh-CN"/>
        </w:rPr>
        <w:t>纵（轴）</w:t>
      </w:r>
      <w:r>
        <w:rPr>
          <w:rFonts w:hint="default" w:ascii="Times New Roman" w:hAnsi="Times New Roman" w:eastAsia="黑体" w:cs="Times New Roman"/>
          <w:sz w:val="24"/>
          <w:szCs w:val="28"/>
        </w:rPr>
        <w:t>向尺寸</w:t>
      </w:r>
      <w:r>
        <w:rPr>
          <w:rFonts w:hint="default" w:ascii="Times New Roman" w:hAnsi="Times New Roman" w:eastAsia="黑体" w:cs="Times New Roman"/>
          <w:sz w:val="24"/>
          <w:szCs w:val="28"/>
          <w:lang w:val="en-US" w:eastAsia="zh-CN"/>
        </w:rPr>
        <w:t>及其允许</w:t>
      </w:r>
      <w:r>
        <w:rPr>
          <w:rFonts w:hint="default" w:ascii="Times New Roman" w:hAnsi="Times New Roman" w:eastAsia="黑体" w:cs="Times New Roman"/>
          <w:sz w:val="24"/>
          <w:szCs w:val="28"/>
        </w:rPr>
        <w:t>偏差</w:t>
      </w:r>
    </w:p>
    <w:tbl>
      <w:tblPr>
        <w:tblStyle w:val="22"/>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3"/>
        <w:gridCol w:w="2774"/>
        <w:gridCol w:w="2774"/>
      </w:tblGrid>
      <w:tr w14:paraId="4AC93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6" w:type="pct"/>
          </w:tcPr>
          <w:p w14:paraId="7A7B71DE">
            <w:pPr>
              <w:keepNext w:val="0"/>
              <w:keepLines w:val="0"/>
              <w:pageBreakBefore w:val="0"/>
              <w:widowControl/>
              <w:kinsoku/>
              <w:wordWrap/>
              <w:overflowPunct/>
              <w:topLinePunct w:val="0"/>
              <w:bidi w:val="0"/>
              <w:spacing w:before="83" w:line="220"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highlight w:val="none"/>
              </w:rPr>
              <w:t>长度</w:t>
            </w:r>
            <w:r>
              <w:rPr>
                <w:rFonts w:hint="default" w:ascii="Times New Roman" w:hAnsi="Times New Roman" w:cs="Times New Roman"/>
                <w:spacing w:val="-2"/>
                <w:sz w:val="20"/>
                <w:szCs w:val="20"/>
                <w:highlight w:val="none"/>
                <w:lang w:val="en-US" w:eastAsia="zh-CN"/>
              </w:rPr>
              <w:t>/mm</w:t>
            </w:r>
          </w:p>
        </w:tc>
        <w:tc>
          <w:tcPr>
            <w:tcW w:w="1666" w:type="pct"/>
          </w:tcPr>
          <w:p w14:paraId="1C4646A0">
            <w:pPr>
              <w:keepNext w:val="0"/>
              <w:keepLines w:val="0"/>
              <w:pageBreakBefore w:val="0"/>
              <w:widowControl/>
              <w:kinsoku/>
              <w:wordWrap/>
              <w:overflowPunct/>
              <w:topLinePunct w:val="0"/>
              <w:bidi w:val="0"/>
              <w:spacing w:before="83" w:line="219"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lang w:val="en-US" w:eastAsia="zh-CN"/>
              </w:rPr>
              <w:t>允许</w:t>
            </w:r>
            <w:r>
              <w:rPr>
                <w:rFonts w:hint="default" w:ascii="Times New Roman" w:hAnsi="Times New Roman" w:cs="Times New Roman"/>
                <w:spacing w:val="-2"/>
                <w:sz w:val="20"/>
                <w:szCs w:val="20"/>
              </w:rPr>
              <w:t>偏差</w:t>
            </w:r>
            <w:r>
              <w:rPr>
                <w:rFonts w:hint="default" w:ascii="Times New Roman" w:hAnsi="Times New Roman" w:cs="Times New Roman"/>
                <w:spacing w:val="-2"/>
                <w:sz w:val="20"/>
                <w:szCs w:val="20"/>
                <w:lang w:val="en-US" w:eastAsia="zh-CN"/>
              </w:rPr>
              <w:t>/mm</w:t>
            </w:r>
          </w:p>
        </w:tc>
        <w:tc>
          <w:tcPr>
            <w:tcW w:w="1666" w:type="pct"/>
          </w:tcPr>
          <w:p w14:paraId="03F10307">
            <w:pPr>
              <w:keepNext w:val="0"/>
              <w:keepLines w:val="0"/>
              <w:pageBreakBefore w:val="0"/>
              <w:widowControl/>
              <w:kinsoku/>
              <w:wordWrap/>
              <w:overflowPunct/>
              <w:topLinePunct w:val="0"/>
              <w:bidi w:val="0"/>
              <w:spacing w:before="83" w:line="219"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垂直度、平行度</w:t>
            </w:r>
            <w:r>
              <w:rPr>
                <w:rFonts w:hint="default" w:ascii="Times New Roman" w:hAnsi="Times New Roman" w:cs="Times New Roman"/>
                <w:spacing w:val="-2"/>
                <w:sz w:val="20"/>
                <w:szCs w:val="20"/>
                <w:lang w:val="en-US" w:eastAsia="zh-CN"/>
              </w:rPr>
              <w:t>允许</w:t>
            </w:r>
            <w:r>
              <w:rPr>
                <w:rFonts w:hint="default" w:ascii="Times New Roman" w:hAnsi="Times New Roman" w:cs="Times New Roman"/>
                <w:spacing w:val="-2"/>
                <w:sz w:val="20"/>
                <w:szCs w:val="20"/>
              </w:rPr>
              <w:t>偏差</w:t>
            </w:r>
            <w:r>
              <w:rPr>
                <w:rFonts w:hint="default" w:ascii="Times New Roman" w:hAnsi="Times New Roman" w:cs="Times New Roman"/>
                <w:spacing w:val="-2"/>
                <w:sz w:val="20"/>
                <w:szCs w:val="20"/>
                <w:lang w:val="en-US" w:eastAsia="zh-CN"/>
              </w:rPr>
              <w:t>/mm</w:t>
            </w:r>
          </w:p>
        </w:tc>
      </w:tr>
      <w:tr w14:paraId="262F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6" w:type="pct"/>
          </w:tcPr>
          <w:p w14:paraId="58C63268">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3"/>
                <w:sz w:val="20"/>
                <w:szCs w:val="20"/>
              </w:rPr>
              <w:t>1.00</w:t>
            </w:r>
            <w:r>
              <w:rPr>
                <w:rFonts w:hint="eastAsia" w:cs="Times New Roman"/>
                <w:spacing w:val="-3"/>
                <w:sz w:val="20"/>
                <w:szCs w:val="20"/>
                <w:lang w:val="en-US" w:eastAsia="zh-CN"/>
              </w:rPr>
              <w:t xml:space="preserve"> ~ </w:t>
            </w:r>
            <w:r>
              <w:rPr>
                <w:rFonts w:hint="default" w:ascii="Times New Roman" w:hAnsi="Times New Roman" w:cs="Times New Roman"/>
                <w:spacing w:val="-3"/>
                <w:sz w:val="20"/>
                <w:szCs w:val="20"/>
                <w:lang w:val="en-US" w:eastAsia="zh-CN"/>
              </w:rPr>
              <w:t>5</w: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0</w:t>
            </w:r>
          </w:p>
        </w:tc>
        <w:tc>
          <w:tcPr>
            <w:tcW w:w="1666" w:type="pct"/>
          </w:tcPr>
          <w:p w14:paraId="1DEA27B4">
            <w:pPr>
              <w:keepNext w:val="0"/>
              <w:keepLines w:val="0"/>
              <w:pageBreakBefore w:val="0"/>
              <w:widowControl/>
              <w:kinsoku/>
              <w:wordWrap/>
              <w:overflowPunct/>
              <w:topLinePunct w:val="0"/>
              <w:bidi w:val="0"/>
              <w:spacing w:before="97" w:line="231"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7"/>
                <w:sz w:val="20"/>
                <w:szCs w:val="20"/>
              </w:rPr>
              <w:t>土0.0</w:t>
            </w:r>
            <w:r>
              <w:rPr>
                <w:rFonts w:hint="default" w:ascii="Times New Roman" w:hAnsi="Times New Roman" w:cs="Times New Roman"/>
                <w:spacing w:val="-7"/>
                <w:sz w:val="20"/>
                <w:szCs w:val="20"/>
                <w:lang w:val="en-US" w:eastAsia="zh-CN"/>
              </w:rPr>
              <w:t>8</w:t>
            </w:r>
          </w:p>
        </w:tc>
        <w:tc>
          <w:tcPr>
            <w:tcW w:w="3124" w:type="dxa"/>
            <w:vAlign w:val="top"/>
          </w:tcPr>
          <w:p w14:paraId="452409C6">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土0.0</w:t>
            </w:r>
            <w:r>
              <w:rPr>
                <w:rFonts w:hint="default" w:ascii="Times New Roman" w:hAnsi="Times New Roman" w:cs="Times New Roman"/>
                <w:spacing w:val="-2"/>
                <w:sz w:val="20"/>
                <w:szCs w:val="20"/>
                <w:lang w:val="en-US" w:eastAsia="zh-CN"/>
              </w:rPr>
              <w:t>5</w:t>
            </w:r>
          </w:p>
        </w:tc>
      </w:tr>
      <w:tr w14:paraId="74A8E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6" w:type="pct"/>
          </w:tcPr>
          <w:p w14:paraId="15BA1D75">
            <w:pPr>
              <w:keepNext w:val="0"/>
              <w:keepLines w:val="0"/>
              <w:pageBreakBefore w:val="0"/>
              <w:widowControl/>
              <w:kinsoku/>
              <w:wordWrap/>
              <w:overflowPunct/>
              <w:topLinePunct w:val="0"/>
              <w:bidi w:val="0"/>
              <w:spacing w:before="101" w:line="236"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pacing w:val="-2"/>
                <w:sz w:val="20"/>
                <w:szCs w:val="20"/>
                <w:lang w:val="en-US" w:eastAsia="zh-CN"/>
              </w:rPr>
              <w:t>5</w:t>
            </w:r>
            <w:r>
              <w:rPr>
                <w:rFonts w:hint="default" w:ascii="Times New Roman" w:hAnsi="Times New Roman" w:cs="Times New Roman"/>
                <w:spacing w:val="-2"/>
                <w:sz w:val="20"/>
                <w:szCs w:val="20"/>
              </w:rPr>
              <w:t>0.00</w:t>
            </w:r>
            <w:r>
              <w:rPr>
                <w:rFonts w:hint="eastAsia" w:cs="Times New Roman"/>
                <w:spacing w:val="-2"/>
                <w:sz w:val="20"/>
                <w:szCs w:val="20"/>
                <w:lang w:val="en-US" w:eastAsia="zh-CN"/>
              </w:rPr>
              <w:t xml:space="preserve"> ~ </w:t>
            </w:r>
            <w:r>
              <w:rPr>
                <w:rFonts w:hint="default" w:ascii="Times New Roman" w:hAnsi="Times New Roman" w:cs="Times New Roman"/>
                <w:spacing w:val="-2"/>
                <w:sz w:val="20"/>
                <w:szCs w:val="20"/>
                <w:lang w:val="en-US" w:eastAsia="zh-CN"/>
              </w:rPr>
              <w:t>1</w:t>
            </w:r>
            <w:r>
              <w:rPr>
                <w:rFonts w:hint="default" w:ascii="Times New Roman" w:hAnsi="Times New Roman" w:cs="Times New Roman"/>
                <w:spacing w:val="-2"/>
                <w:sz w:val="20"/>
                <w:szCs w:val="20"/>
              </w:rPr>
              <w:t>50.00</w:t>
            </w:r>
          </w:p>
        </w:tc>
        <w:tc>
          <w:tcPr>
            <w:tcW w:w="1666" w:type="pct"/>
          </w:tcPr>
          <w:p w14:paraId="116A1A32">
            <w:pPr>
              <w:keepNext w:val="0"/>
              <w:keepLines w:val="0"/>
              <w:pageBreakBefore w:val="0"/>
              <w:widowControl/>
              <w:kinsoku/>
              <w:wordWrap/>
              <w:overflowPunct/>
              <w:topLinePunct w:val="0"/>
              <w:bidi w:val="0"/>
              <w:spacing w:before="102" w:line="235"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2"/>
                <w:sz w:val="20"/>
                <w:szCs w:val="20"/>
              </w:rPr>
              <w:t>土0.</w:t>
            </w:r>
            <w:r>
              <w:rPr>
                <w:rFonts w:hint="default" w:ascii="Times New Roman" w:hAnsi="Times New Roman" w:cs="Times New Roman"/>
                <w:spacing w:val="2"/>
                <w:sz w:val="20"/>
                <w:szCs w:val="20"/>
                <w:lang w:val="en-US" w:eastAsia="zh-CN"/>
              </w:rPr>
              <w:t>10</w:t>
            </w:r>
          </w:p>
        </w:tc>
        <w:tc>
          <w:tcPr>
            <w:tcW w:w="3124" w:type="dxa"/>
            <w:vAlign w:val="top"/>
          </w:tcPr>
          <w:p w14:paraId="37F25EFD">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土0.0</w:t>
            </w:r>
            <w:r>
              <w:rPr>
                <w:rFonts w:hint="default" w:ascii="Times New Roman" w:hAnsi="Times New Roman" w:cs="Times New Roman"/>
                <w:spacing w:val="-2"/>
                <w:sz w:val="20"/>
                <w:szCs w:val="20"/>
                <w:lang w:val="en-US" w:eastAsia="zh-CN"/>
              </w:rPr>
              <w:t>8</w:t>
            </w:r>
          </w:p>
        </w:tc>
      </w:tr>
      <w:tr w14:paraId="531B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666" w:type="pct"/>
          </w:tcPr>
          <w:p w14:paraId="39559EE8">
            <w:pPr>
              <w:keepNext w:val="0"/>
              <w:keepLines w:val="0"/>
              <w:pageBreakBefore w:val="0"/>
              <w:widowControl/>
              <w:kinsoku/>
              <w:wordWrap/>
              <w:overflowPunct/>
              <w:topLinePunct w:val="0"/>
              <w:bidi w:val="0"/>
              <w:spacing w:before="103" w:line="230"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1"/>
                <w:sz w:val="20"/>
                <w:szCs w:val="20"/>
              </w:rPr>
              <w:t>≥</w:t>
            </w:r>
            <w:r>
              <w:rPr>
                <w:rFonts w:hint="default" w:ascii="Times New Roman" w:hAnsi="Times New Roman" w:cs="Times New Roman"/>
                <w:spacing w:val="-1"/>
                <w:sz w:val="20"/>
                <w:szCs w:val="20"/>
                <w:lang w:val="en-US" w:eastAsia="zh-CN"/>
              </w:rPr>
              <w:t>150.00</w:t>
            </w:r>
          </w:p>
        </w:tc>
        <w:tc>
          <w:tcPr>
            <w:tcW w:w="1666" w:type="pct"/>
          </w:tcPr>
          <w:p w14:paraId="00059F3F">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2"/>
                <w:sz w:val="20"/>
                <w:szCs w:val="20"/>
              </w:rPr>
              <w:t>土0.</w:t>
            </w:r>
            <w:r>
              <w:rPr>
                <w:rFonts w:hint="default" w:ascii="Times New Roman" w:hAnsi="Times New Roman" w:cs="Times New Roman"/>
                <w:spacing w:val="-2"/>
                <w:sz w:val="20"/>
                <w:szCs w:val="20"/>
                <w:lang w:val="en-US" w:eastAsia="zh-CN"/>
              </w:rPr>
              <w:t>15</w:t>
            </w:r>
          </w:p>
        </w:tc>
        <w:tc>
          <w:tcPr>
            <w:tcW w:w="3124" w:type="dxa"/>
            <w:vAlign w:val="top"/>
          </w:tcPr>
          <w:p w14:paraId="73CCD21E">
            <w:pPr>
              <w:keepNext w:val="0"/>
              <w:keepLines w:val="0"/>
              <w:pageBreakBefore w:val="0"/>
              <w:widowControl/>
              <w:kinsoku/>
              <w:wordWrap/>
              <w:overflowPunct/>
              <w:topLinePunct w:val="0"/>
              <w:bidi w:val="0"/>
              <w:spacing w:before="105" w:line="228" w:lineRule="auto"/>
              <w:ind w:left="0" w:leftChars="0" w:firstLine="0" w:firstLineChars="0"/>
              <w:jc w:val="center"/>
              <w:textAlignment w:val="auto"/>
              <w:rPr>
                <w:rFonts w:hint="default" w:ascii="Times New Roman" w:hAnsi="Times New Roman" w:cs="Times New Roman"/>
                <w:spacing w:val="-2"/>
                <w:sz w:val="20"/>
                <w:szCs w:val="20"/>
              </w:rPr>
            </w:pPr>
            <w:r>
              <w:rPr>
                <w:rFonts w:hint="default" w:ascii="Times New Roman" w:hAnsi="Times New Roman" w:cs="Times New Roman"/>
                <w:spacing w:val="-2"/>
                <w:sz w:val="20"/>
                <w:szCs w:val="20"/>
              </w:rPr>
              <w:t>土0.10</w:t>
            </w:r>
          </w:p>
        </w:tc>
      </w:tr>
    </w:tbl>
    <w:p w14:paraId="06BA4CD2">
      <w:pPr>
        <w:pStyle w:val="15"/>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表</w:t>
      </w:r>
      <w:r>
        <w:rPr>
          <w:rFonts w:hint="default" w:ascii="Times New Roman" w:hAnsi="Times New Roman" w:eastAsia="黑体" w:cs="Times New Roman"/>
          <w:sz w:val="24"/>
          <w:szCs w:val="28"/>
          <w:lang w:val="en-US" w:eastAsia="zh-CN"/>
        </w:rPr>
        <w:t>4</w:t>
      </w:r>
      <w:r>
        <w:rPr>
          <w:rFonts w:hint="default" w:ascii="Times New Roman" w:hAnsi="Times New Roman" w:eastAsia="黑体" w:cs="Times New Roman"/>
          <w:sz w:val="24"/>
          <w:szCs w:val="28"/>
        </w:rPr>
        <w:t xml:space="preserve"> </w:t>
      </w:r>
      <w:r>
        <w:rPr>
          <w:rFonts w:hint="default" w:ascii="Times New Roman" w:hAnsi="Times New Roman" w:eastAsia="黑体" w:cs="Times New Roman"/>
          <w:sz w:val="24"/>
          <w:szCs w:val="28"/>
          <w:highlight w:val="none"/>
          <w:lang w:val="en-US" w:eastAsia="zh-CN"/>
        </w:rPr>
        <w:t>横（径）向</w:t>
      </w:r>
      <w:r>
        <w:rPr>
          <w:rFonts w:hint="default" w:ascii="Times New Roman" w:hAnsi="Times New Roman" w:eastAsia="黑体" w:cs="Times New Roman"/>
          <w:sz w:val="24"/>
          <w:szCs w:val="28"/>
        </w:rPr>
        <w:t>尺寸</w:t>
      </w:r>
      <w:r>
        <w:rPr>
          <w:rFonts w:hint="default" w:ascii="Times New Roman" w:hAnsi="Times New Roman" w:eastAsia="黑体" w:cs="Times New Roman"/>
          <w:sz w:val="24"/>
          <w:szCs w:val="28"/>
          <w:lang w:val="en-US" w:eastAsia="zh-CN"/>
        </w:rPr>
        <w:t>及其允许</w:t>
      </w:r>
      <w:r>
        <w:rPr>
          <w:rFonts w:hint="default" w:ascii="Times New Roman" w:hAnsi="Times New Roman" w:eastAsia="黑体" w:cs="Times New Roman"/>
          <w:sz w:val="24"/>
          <w:szCs w:val="28"/>
        </w:rPr>
        <w:t>偏差</w:t>
      </w:r>
    </w:p>
    <w:tbl>
      <w:tblPr>
        <w:tblStyle w:val="22"/>
        <w:tblW w:w="25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82"/>
        <w:gridCol w:w="2084"/>
      </w:tblGrid>
      <w:tr w14:paraId="0550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3BDFA211">
            <w:pPr>
              <w:keepNext w:val="0"/>
              <w:keepLines w:val="0"/>
              <w:pageBreakBefore w:val="0"/>
              <w:widowControl/>
              <w:kinsoku/>
              <w:wordWrap/>
              <w:overflowPunct/>
              <w:topLinePunct w:val="0"/>
              <w:bidi w:val="0"/>
              <w:spacing w:before="83" w:line="220" w:lineRule="auto"/>
              <w:ind w:left="0" w:leftChars="0" w:firstLine="0" w:firstLineChars="0"/>
              <w:jc w:val="center"/>
              <w:textAlignment w:val="auto"/>
              <w:rPr>
                <w:rFonts w:hint="default" w:ascii="Times New Roman" w:hAnsi="Times New Roman" w:cs="Times New Roman"/>
                <w:spacing w:val="-1"/>
                <w:sz w:val="19"/>
                <w:szCs w:val="19"/>
              </w:rPr>
            </w:pPr>
            <w:r>
              <w:rPr>
                <w:rFonts w:hint="default" w:ascii="Times New Roman" w:hAnsi="Times New Roman" w:cs="Times New Roman"/>
                <w:spacing w:val="-1"/>
                <w:sz w:val="19"/>
                <w:szCs w:val="19"/>
                <w:highlight w:val="none"/>
                <w:lang w:val="en-US" w:eastAsia="zh-CN"/>
              </w:rPr>
              <w:t>直径/</w:t>
            </w:r>
            <w:r>
              <w:rPr>
                <w:rFonts w:hint="default" w:ascii="Times New Roman" w:hAnsi="Times New Roman" w:cs="Times New Roman"/>
                <w:spacing w:val="-1"/>
                <w:sz w:val="19"/>
                <w:szCs w:val="19"/>
                <w:highlight w:val="none"/>
              </w:rPr>
              <w:t>底面边长</w:t>
            </w:r>
          </w:p>
        </w:tc>
        <w:tc>
          <w:tcPr>
            <w:tcW w:w="2500" w:type="pct"/>
          </w:tcPr>
          <w:p w14:paraId="3EF74357">
            <w:pPr>
              <w:keepNext w:val="0"/>
              <w:keepLines w:val="0"/>
              <w:pageBreakBefore w:val="0"/>
              <w:widowControl/>
              <w:tabs>
                <w:tab w:val="right" w:pos="2734"/>
              </w:tabs>
              <w:kinsoku/>
              <w:wordWrap/>
              <w:overflowPunct/>
              <w:topLinePunct w:val="0"/>
              <w:bidi w:val="0"/>
              <w:spacing w:before="82" w:line="219" w:lineRule="auto"/>
              <w:ind w:left="0" w:leftChars="0" w:firstLine="0" w:firstLineChars="0"/>
              <w:jc w:val="center"/>
              <w:textAlignment w:val="auto"/>
              <w:rPr>
                <w:rFonts w:hint="default" w:ascii="Times New Roman" w:hAnsi="Times New Roman" w:eastAsia="宋体" w:cs="Times New Roman"/>
                <w:spacing w:val="-2"/>
                <w:sz w:val="19"/>
                <w:szCs w:val="19"/>
                <w:lang w:val="en-US" w:eastAsia="zh-CN"/>
              </w:rPr>
            </w:pPr>
            <w:r>
              <w:rPr>
                <w:rFonts w:hint="default" w:ascii="Times New Roman" w:hAnsi="Times New Roman" w:cs="Times New Roman"/>
                <w:spacing w:val="-2"/>
                <w:sz w:val="19"/>
                <w:szCs w:val="19"/>
                <w:lang w:val="en-US" w:eastAsia="zh-CN"/>
              </w:rPr>
              <w:t>允许偏差</w:t>
            </w:r>
          </w:p>
        </w:tc>
      </w:tr>
      <w:tr w14:paraId="6423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444AC984">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cs="Times New Roman"/>
                <w:spacing w:val="-3"/>
                <w:sz w:val="20"/>
                <w:szCs w:val="20"/>
              </w:rPr>
              <w:t>＜10.00</w:t>
            </w:r>
          </w:p>
        </w:tc>
        <w:tc>
          <w:tcPr>
            <w:tcW w:w="2500" w:type="pct"/>
          </w:tcPr>
          <w:p w14:paraId="59E5227A">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8</w:t>
            </w:r>
          </w:p>
        </w:tc>
      </w:tr>
      <w:tr w14:paraId="53E8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40BAB756">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cs="Times New Roman"/>
                <w:spacing w:val="-3"/>
                <w:sz w:val="20"/>
                <w:szCs w:val="20"/>
              </w:rPr>
              <w:t>10.00</w:t>
            </w:r>
            <w:r>
              <w:rPr>
                <w:rFonts w:hint="eastAsia" w:cs="Times New Roman"/>
                <w:spacing w:val="-3"/>
                <w:sz w:val="20"/>
                <w:szCs w:val="20"/>
                <w:lang w:val="en-US" w:eastAsia="zh-CN"/>
              </w:rPr>
              <w:t xml:space="preserve"> ~ </w:t>
            </w:r>
            <w:r>
              <w:rPr>
                <w:rFonts w:hint="default" w:ascii="Times New Roman" w:hAnsi="Times New Roman" w:cs="Times New Roman"/>
                <w:spacing w:val="-3"/>
                <w:sz w:val="20"/>
                <w:szCs w:val="20"/>
              </w:rPr>
              <w:t>40.00</w:t>
            </w:r>
          </w:p>
        </w:tc>
        <w:tc>
          <w:tcPr>
            <w:tcW w:w="2500" w:type="pct"/>
          </w:tcPr>
          <w:p w14:paraId="4D59EB65">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10</w:t>
            </w:r>
          </w:p>
        </w:tc>
      </w:tr>
      <w:tr w14:paraId="1D5A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27563790">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eastAsia="宋体" w:cs="Times New Roman"/>
                <w:spacing w:val="-3"/>
                <w:sz w:val="20"/>
                <w:szCs w:val="20"/>
                <w:lang w:val="en-US" w:eastAsia="zh-CN"/>
              </w:rPr>
            </w:pPr>
            <w:r>
              <w:rPr>
                <w:rFonts w:hint="default" w:ascii="Times New Roman" w:hAnsi="Times New Roman" w:cs="Times New Roman"/>
                <w:spacing w:val="-3"/>
                <w:sz w:val="20"/>
                <w:szCs w:val="20"/>
                <w:lang w:val="en-US" w:eastAsia="zh-CN"/>
              </w:rPr>
              <w:t>≥40</w:t>
            </w:r>
          </w:p>
        </w:tc>
        <w:tc>
          <w:tcPr>
            <w:tcW w:w="2500" w:type="pct"/>
          </w:tcPr>
          <w:p w14:paraId="38CB9F26">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15</w:t>
            </w:r>
          </w:p>
        </w:tc>
      </w:tr>
    </w:tbl>
    <w:p w14:paraId="0173115F">
      <w:pPr>
        <w:adjustRightInd w:val="0"/>
        <w:snapToGrid w:val="0"/>
        <w:spacing w:line="520" w:lineRule="exact"/>
        <w:ind w:firstLine="477" w:firstLineChars="199"/>
        <w:rPr>
          <w:rFonts w:eastAsia="黑体"/>
          <w:sz w:val="24"/>
          <w:szCs w:val="24"/>
        </w:rPr>
      </w:pPr>
      <w:r>
        <w:rPr>
          <w:rFonts w:eastAsia="黑体"/>
          <w:sz w:val="24"/>
          <w:szCs w:val="24"/>
        </w:rPr>
        <w:t>四、标准水平分析</w:t>
      </w:r>
    </w:p>
    <w:p w14:paraId="509C9C59">
      <w:pPr>
        <w:adjustRightInd w:val="0"/>
        <w:snapToGrid w:val="0"/>
        <w:spacing w:line="520" w:lineRule="exact"/>
        <w:ind w:firstLine="600" w:firstLineChars="250"/>
        <w:rPr>
          <w:sz w:val="24"/>
          <w:szCs w:val="24"/>
        </w:rPr>
      </w:pPr>
      <w:r>
        <w:rPr>
          <w:rFonts w:hint="eastAsia"/>
          <w:sz w:val="24"/>
          <w:szCs w:val="24"/>
        </w:rPr>
        <w:t>本标准</w:t>
      </w:r>
      <w:r>
        <w:rPr>
          <w:sz w:val="24"/>
          <w:szCs w:val="24"/>
        </w:rPr>
        <w:t>在牌号</w:t>
      </w:r>
      <w:r>
        <w:rPr>
          <w:rFonts w:hint="eastAsia"/>
          <w:sz w:val="24"/>
          <w:szCs w:val="24"/>
          <w:lang w:eastAsia="zh-CN"/>
        </w:rPr>
        <w:t>、</w:t>
      </w:r>
      <w:r>
        <w:rPr>
          <w:rFonts w:hint="eastAsia"/>
          <w:sz w:val="24"/>
          <w:szCs w:val="24"/>
          <w:lang w:val="en-US" w:eastAsia="zh-CN"/>
        </w:rPr>
        <w:t>技术要求</w:t>
      </w:r>
      <w:r>
        <w:rPr>
          <w:sz w:val="24"/>
          <w:szCs w:val="24"/>
        </w:rPr>
        <w:t>确定过程中都广泛收集数据，征求意见。</w:t>
      </w:r>
      <w:r>
        <w:rPr>
          <w:rFonts w:hint="eastAsia"/>
          <w:sz w:val="24"/>
          <w:szCs w:val="24"/>
          <w:lang w:val="en-US" w:eastAsia="zh-CN"/>
        </w:rPr>
        <w:t>修订</w:t>
      </w:r>
      <w:r>
        <w:rPr>
          <w:rFonts w:hint="eastAsia"/>
          <w:sz w:val="24"/>
          <w:szCs w:val="24"/>
        </w:rPr>
        <w:t>后的标准不但为</w:t>
      </w:r>
      <w:r>
        <w:rPr>
          <w:rFonts w:hint="eastAsia" w:ascii="宋体" w:hAnsi="宋体"/>
          <w:sz w:val="24"/>
          <w:szCs w:val="24"/>
          <w:lang w:val="en-US" w:eastAsia="zh-CN"/>
        </w:rPr>
        <w:t>铽镝铁磁致伸缩材料</w:t>
      </w:r>
      <w:r>
        <w:rPr>
          <w:rFonts w:hint="eastAsia"/>
          <w:sz w:val="24"/>
          <w:szCs w:val="24"/>
        </w:rPr>
        <w:t>产品的指标控制提供指导意义，而且还将为生产、使用、贸易三方提供最基本的技术依据；在本标准的基础之上促使生产方合理调整生产工艺，完善检测手段，为用户生产出更满意的产品。本标准的制定能够促进</w:t>
      </w:r>
      <w:r>
        <w:rPr>
          <w:rFonts w:hint="eastAsia" w:ascii="宋体" w:hAnsi="宋体"/>
          <w:sz w:val="24"/>
          <w:szCs w:val="24"/>
          <w:lang w:val="en-US" w:eastAsia="zh-CN"/>
        </w:rPr>
        <w:t>铽镝铁磁致伸缩材料</w:t>
      </w:r>
      <w:r>
        <w:rPr>
          <w:rFonts w:hint="eastAsia"/>
          <w:sz w:val="24"/>
          <w:szCs w:val="24"/>
        </w:rPr>
        <w:t>制备技术的进步，提高产品使用量；助力国内生产企业及相关行业的技术进步；为</w:t>
      </w:r>
      <w:r>
        <w:rPr>
          <w:rFonts w:hint="eastAsia" w:ascii="宋体" w:hAnsi="宋体"/>
          <w:sz w:val="24"/>
          <w:szCs w:val="24"/>
          <w:lang w:val="en-US" w:eastAsia="zh-CN"/>
        </w:rPr>
        <w:t>铽镝铁磁致伸缩材料</w:t>
      </w:r>
      <w:r>
        <w:rPr>
          <w:rFonts w:hint="eastAsia"/>
          <w:sz w:val="24"/>
          <w:szCs w:val="24"/>
        </w:rPr>
        <w:t>产品贸易提供仲裁的依据；为</w:t>
      </w:r>
      <w:r>
        <w:rPr>
          <w:rFonts w:hint="eastAsia" w:ascii="宋体" w:hAnsi="宋体"/>
          <w:sz w:val="24"/>
          <w:szCs w:val="24"/>
          <w:lang w:val="en-US" w:eastAsia="zh-CN"/>
        </w:rPr>
        <w:t>铽镝铁磁致伸缩材料</w:t>
      </w:r>
      <w:r>
        <w:rPr>
          <w:rFonts w:hint="eastAsia"/>
          <w:sz w:val="24"/>
          <w:szCs w:val="24"/>
        </w:rPr>
        <w:t>产品的指标控制提供指导意义</w:t>
      </w:r>
      <w:r>
        <w:rPr>
          <w:sz w:val="24"/>
          <w:szCs w:val="24"/>
        </w:rPr>
        <w:t>，整体技术达到</w:t>
      </w:r>
      <w:r>
        <w:rPr>
          <w:rFonts w:hint="eastAsia"/>
          <w:sz w:val="24"/>
          <w:szCs w:val="24"/>
        </w:rPr>
        <w:t>国际先进水平</w:t>
      </w:r>
      <w:r>
        <w:rPr>
          <w:sz w:val="24"/>
          <w:szCs w:val="24"/>
        </w:rPr>
        <w:t>。</w:t>
      </w:r>
    </w:p>
    <w:p w14:paraId="160E200B">
      <w:pPr>
        <w:tabs>
          <w:tab w:val="left" w:pos="522"/>
        </w:tabs>
        <w:adjustRightInd w:val="0"/>
        <w:snapToGrid w:val="0"/>
        <w:spacing w:line="520" w:lineRule="exact"/>
        <w:jc w:val="left"/>
        <w:rPr>
          <w:rFonts w:eastAsia="黑体"/>
          <w:sz w:val="24"/>
          <w:szCs w:val="24"/>
        </w:rPr>
      </w:pPr>
      <w:r>
        <w:rPr>
          <w:rFonts w:eastAsia="黑体"/>
          <w:sz w:val="24"/>
          <w:szCs w:val="24"/>
        </w:rPr>
        <w:t>五、与现行相关法律、法规、规章及相关标准的协调性</w:t>
      </w:r>
    </w:p>
    <w:p w14:paraId="4F23B801">
      <w:pPr>
        <w:adjustRightInd w:val="0"/>
        <w:snapToGrid w:val="0"/>
        <w:spacing w:line="520" w:lineRule="exact"/>
        <w:ind w:firstLine="600" w:firstLineChars="250"/>
        <w:rPr>
          <w:rFonts w:hint="eastAsia"/>
          <w:sz w:val="24"/>
          <w:szCs w:val="24"/>
        </w:rPr>
      </w:pPr>
      <w:r>
        <w:rPr>
          <w:rFonts w:hint="eastAsia"/>
          <w:sz w:val="24"/>
          <w:szCs w:val="24"/>
        </w:rPr>
        <w:t>随着</w:t>
      </w:r>
      <w:r>
        <w:rPr>
          <w:rFonts w:hint="eastAsia"/>
          <w:sz w:val="24"/>
          <w:szCs w:val="24"/>
          <w:lang w:val="en-US" w:eastAsia="zh-CN"/>
        </w:rPr>
        <w:t>精密加工、高端智能制造、海洋探测</w:t>
      </w:r>
      <w:r>
        <w:rPr>
          <w:rFonts w:hint="eastAsia"/>
          <w:sz w:val="24"/>
          <w:szCs w:val="24"/>
        </w:rPr>
        <w:t>等行业高质量发展，</w:t>
      </w:r>
      <w:r>
        <w:rPr>
          <w:rFonts w:hint="eastAsia" w:ascii="宋体" w:hAnsi="宋体"/>
          <w:sz w:val="24"/>
          <w:szCs w:val="24"/>
          <w:lang w:val="en-US" w:eastAsia="zh-CN"/>
        </w:rPr>
        <w:t>铽镝铁磁致伸缩材料</w:t>
      </w:r>
      <w:r>
        <w:rPr>
          <w:rFonts w:hint="eastAsia"/>
          <w:sz w:val="24"/>
          <w:szCs w:val="24"/>
        </w:rPr>
        <w:t>的应用前景将越来越广泛。制定后的</w:t>
      </w:r>
      <w:r>
        <w:rPr>
          <w:rFonts w:hint="eastAsia" w:ascii="宋体" w:hAnsi="宋体"/>
          <w:sz w:val="24"/>
          <w:szCs w:val="24"/>
          <w:lang w:val="en-US" w:eastAsia="zh-CN"/>
        </w:rPr>
        <w:t>铽镝铁磁致伸缩材料</w:t>
      </w:r>
      <w:r>
        <w:rPr>
          <w:rFonts w:hint="eastAsia"/>
          <w:sz w:val="24"/>
          <w:szCs w:val="24"/>
        </w:rPr>
        <w:t>标准</w:t>
      </w:r>
      <w:r>
        <w:rPr>
          <w:rFonts w:hint="eastAsia"/>
          <w:sz w:val="24"/>
          <w:szCs w:val="24"/>
          <w:lang w:val="en-US" w:eastAsia="zh-CN"/>
        </w:rPr>
        <w:t>将</w:t>
      </w:r>
      <w:r>
        <w:rPr>
          <w:rFonts w:hint="eastAsia"/>
          <w:sz w:val="24"/>
          <w:szCs w:val="24"/>
        </w:rPr>
        <w:t>充分反映了当前国内生产企业的技术水平，便于生产，宜于应用。制定后的标准可为</w:t>
      </w:r>
      <w:r>
        <w:rPr>
          <w:rFonts w:hint="eastAsia" w:ascii="宋体" w:hAnsi="宋体"/>
          <w:sz w:val="24"/>
          <w:szCs w:val="24"/>
          <w:lang w:val="en-US" w:eastAsia="zh-CN"/>
        </w:rPr>
        <w:t>铽镝铁磁致伸缩材料</w:t>
      </w:r>
      <w:r>
        <w:rPr>
          <w:rFonts w:hint="eastAsia"/>
          <w:sz w:val="24"/>
          <w:szCs w:val="24"/>
        </w:rPr>
        <w:t>产品贸易提供仲裁的依据；为</w:t>
      </w:r>
      <w:r>
        <w:rPr>
          <w:rFonts w:hint="eastAsia" w:ascii="宋体" w:hAnsi="宋体"/>
          <w:sz w:val="24"/>
          <w:szCs w:val="24"/>
          <w:lang w:val="en-US" w:eastAsia="zh-CN"/>
        </w:rPr>
        <w:t>铽镝铁磁致伸缩材料</w:t>
      </w:r>
      <w:r>
        <w:rPr>
          <w:rFonts w:hint="eastAsia"/>
          <w:sz w:val="24"/>
          <w:szCs w:val="24"/>
        </w:rPr>
        <w:t>产品的指标控制提供指导意义。制定的</w:t>
      </w:r>
      <w:r>
        <w:rPr>
          <w:rFonts w:hint="eastAsia" w:ascii="宋体" w:hAnsi="宋体"/>
          <w:sz w:val="24"/>
          <w:szCs w:val="24"/>
          <w:lang w:val="en-US" w:eastAsia="zh-CN"/>
        </w:rPr>
        <w:t>铽镝铁磁致伸缩材料</w:t>
      </w:r>
      <w:r>
        <w:rPr>
          <w:rFonts w:hint="eastAsia"/>
          <w:sz w:val="24"/>
          <w:szCs w:val="24"/>
        </w:rPr>
        <w:t>标准符合</w:t>
      </w:r>
      <w:r>
        <w:rPr>
          <w:sz w:val="24"/>
          <w:szCs w:val="24"/>
        </w:rPr>
        <w:t>《新材料产业十</w:t>
      </w:r>
      <w:r>
        <w:rPr>
          <w:rFonts w:hint="eastAsia"/>
          <w:sz w:val="24"/>
          <w:szCs w:val="24"/>
          <w:lang w:val="en-US" w:eastAsia="zh-CN"/>
        </w:rPr>
        <w:t>四</w:t>
      </w:r>
      <w:r>
        <w:rPr>
          <w:sz w:val="24"/>
          <w:szCs w:val="24"/>
        </w:rPr>
        <w:t>五发展规划》、《中国制造2025》</w:t>
      </w:r>
      <w:r>
        <w:rPr>
          <w:rFonts w:hint="eastAsia"/>
          <w:sz w:val="24"/>
          <w:szCs w:val="24"/>
        </w:rPr>
        <w:t>等相关国家产业政策，对于解决稀土产品贸易纠纷发挥一定的依据作用。</w:t>
      </w:r>
    </w:p>
    <w:p w14:paraId="0A795728">
      <w:pPr>
        <w:spacing w:line="520" w:lineRule="exact"/>
        <w:rPr>
          <w:rFonts w:eastAsia="仿宋_GB2312"/>
          <w:sz w:val="24"/>
          <w:szCs w:val="24"/>
        </w:rPr>
      </w:pPr>
      <w:r>
        <w:rPr>
          <w:rFonts w:eastAsia="黑体"/>
          <w:sz w:val="24"/>
          <w:szCs w:val="24"/>
        </w:rPr>
        <w:t>六、标准中如涉及专利，应有明确的知识</w:t>
      </w:r>
      <w:r>
        <w:rPr>
          <w:rFonts w:ascii="Times New Roman" w:hAnsi="Times New Roman" w:eastAsia="黑体" w:cs="Times New Roman"/>
          <w:sz w:val="24"/>
          <w:szCs w:val="24"/>
        </w:rPr>
        <w:t>产权说明</w:t>
      </w:r>
    </w:p>
    <w:p w14:paraId="0E6C1854">
      <w:pPr>
        <w:spacing w:line="520" w:lineRule="exact"/>
        <w:ind w:firstLine="420"/>
        <w:rPr>
          <w:sz w:val="24"/>
          <w:szCs w:val="24"/>
        </w:rPr>
      </w:pPr>
      <w:r>
        <w:rPr>
          <w:sz w:val="24"/>
          <w:szCs w:val="24"/>
        </w:rPr>
        <w:t xml:space="preserve">截至目前，尚未发现与本标准内容相关的知识产权的问题。 </w:t>
      </w:r>
    </w:p>
    <w:p w14:paraId="192701C5">
      <w:pPr>
        <w:spacing w:line="520" w:lineRule="exact"/>
        <w:rPr>
          <w:rFonts w:eastAsia="黑体"/>
          <w:sz w:val="24"/>
          <w:szCs w:val="24"/>
        </w:rPr>
      </w:pPr>
      <w:r>
        <w:rPr>
          <w:rFonts w:eastAsia="黑体"/>
          <w:sz w:val="24"/>
          <w:szCs w:val="24"/>
        </w:rPr>
        <w:t>七、重大分歧意见的处理经过和依据</w:t>
      </w:r>
    </w:p>
    <w:p w14:paraId="3687F80B">
      <w:pPr>
        <w:spacing w:line="520" w:lineRule="exact"/>
        <w:ind w:firstLine="420"/>
        <w:rPr>
          <w:rFonts w:hint="eastAsia" w:eastAsia="宋体"/>
          <w:sz w:val="24"/>
          <w:szCs w:val="24"/>
          <w:lang w:val="en-US" w:eastAsia="zh-CN"/>
        </w:rPr>
      </w:pPr>
      <w:r>
        <w:rPr>
          <w:sz w:val="24"/>
          <w:szCs w:val="24"/>
        </w:rPr>
        <w:t xml:space="preserve">本标准制定过程无重大分歧意见。 </w:t>
      </w:r>
    </w:p>
    <w:p w14:paraId="21B000E5">
      <w:pPr>
        <w:spacing w:line="520" w:lineRule="exact"/>
        <w:rPr>
          <w:rFonts w:eastAsia="黑体"/>
          <w:sz w:val="24"/>
          <w:szCs w:val="24"/>
        </w:rPr>
      </w:pPr>
      <w:r>
        <w:rPr>
          <w:rFonts w:eastAsia="黑体"/>
          <w:sz w:val="24"/>
          <w:szCs w:val="24"/>
        </w:rPr>
        <w:t>八、标准作为强制性或推荐性国家（或行业）标准的建议</w:t>
      </w:r>
    </w:p>
    <w:p w14:paraId="23127C40">
      <w:pPr>
        <w:spacing w:line="520" w:lineRule="exact"/>
        <w:ind w:firstLine="480" w:firstLineChars="200"/>
        <w:rPr>
          <w:rFonts w:eastAsia="黑体"/>
          <w:sz w:val="24"/>
          <w:szCs w:val="24"/>
        </w:rPr>
      </w:pPr>
      <w:r>
        <w:rPr>
          <w:sz w:val="24"/>
          <w:szCs w:val="24"/>
        </w:rPr>
        <w:t>本标准是根据我国实际生产使用情况制定的，其整体内容达到国际先进水平，建议</w:t>
      </w:r>
      <w:r>
        <w:rPr>
          <w:rFonts w:hint="eastAsia"/>
          <w:sz w:val="24"/>
          <w:szCs w:val="24"/>
          <w:lang w:val="en-US" w:eastAsia="zh-CN"/>
        </w:rPr>
        <w:t>保持原</w:t>
      </w:r>
      <w:r>
        <w:rPr>
          <w:sz w:val="24"/>
          <w:szCs w:val="24"/>
        </w:rPr>
        <w:t>推荐性</w:t>
      </w:r>
      <w:r>
        <w:rPr>
          <w:rFonts w:hint="eastAsia"/>
          <w:sz w:val="24"/>
          <w:szCs w:val="24"/>
          <w:lang w:val="en-US" w:eastAsia="zh-CN"/>
        </w:rPr>
        <w:t>国家</w:t>
      </w:r>
      <w:r>
        <w:rPr>
          <w:sz w:val="24"/>
          <w:szCs w:val="24"/>
        </w:rPr>
        <w:t>标准</w:t>
      </w:r>
      <w:r>
        <w:rPr>
          <w:kern w:val="0"/>
          <w:szCs w:val="21"/>
        </w:rPr>
        <w:t>来制定</w:t>
      </w:r>
      <w:r>
        <w:rPr>
          <w:sz w:val="24"/>
          <w:szCs w:val="24"/>
        </w:rPr>
        <w:t>。</w:t>
      </w:r>
    </w:p>
    <w:p w14:paraId="4C1EB573">
      <w:pPr>
        <w:widowControl/>
        <w:spacing w:before="156" w:beforeLines="50" w:after="156" w:afterLines="50" w:line="360" w:lineRule="auto"/>
        <w:outlineLvl w:val="0"/>
        <w:rPr>
          <w:rFonts w:eastAsia="黑体"/>
          <w:kern w:val="0"/>
          <w:sz w:val="24"/>
          <w:szCs w:val="24"/>
        </w:rPr>
      </w:pPr>
      <w:r>
        <w:rPr>
          <w:rFonts w:eastAsia="黑体"/>
          <w:kern w:val="0"/>
          <w:sz w:val="24"/>
          <w:szCs w:val="24"/>
        </w:rPr>
        <w:t>九、贯彻标准的要求和措施建议，包括：</w:t>
      </w:r>
    </w:p>
    <w:p w14:paraId="0027EC7B">
      <w:pPr>
        <w:widowControl/>
        <w:spacing w:line="360" w:lineRule="auto"/>
        <w:ind w:firstLine="480" w:firstLineChars="200"/>
        <w:rPr>
          <w:kern w:val="0"/>
          <w:sz w:val="24"/>
          <w:szCs w:val="24"/>
        </w:rPr>
      </w:pPr>
      <w:r>
        <w:rPr>
          <w:kern w:val="0"/>
          <w:sz w:val="24"/>
          <w:szCs w:val="24"/>
        </w:rPr>
        <w:t>——组织措施</w:t>
      </w:r>
    </w:p>
    <w:p w14:paraId="249AE167">
      <w:pPr>
        <w:widowControl/>
        <w:spacing w:line="360" w:lineRule="auto"/>
        <w:ind w:firstLine="480" w:firstLineChars="200"/>
        <w:rPr>
          <w:kern w:val="0"/>
          <w:sz w:val="24"/>
          <w:szCs w:val="24"/>
        </w:rPr>
      </w:pPr>
      <w:r>
        <w:rPr>
          <w:kern w:val="0"/>
          <w:sz w:val="24"/>
          <w:szCs w:val="24"/>
        </w:rPr>
        <w:t>标准颁布实施后，需要国家有关部门组织大力宣传和贯彻，使相关企业及相关贸易单位能够主动地解读标准内容，充分认识和理解制订的标准条款，进而加以应用。</w:t>
      </w:r>
    </w:p>
    <w:p w14:paraId="58BFACDB">
      <w:pPr>
        <w:widowControl/>
        <w:spacing w:line="360" w:lineRule="auto"/>
        <w:ind w:firstLine="480" w:firstLineChars="200"/>
        <w:rPr>
          <w:kern w:val="0"/>
          <w:sz w:val="24"/>
          <w:szCs w:val="24"/>
        </w:rPr>
      </w:pPr>
      <w:r>
        <w:rPr>
          <w:kern w:val="0"/>
          <w:sz w:val="24"/>
          <w:szCs w:val="24"/>
        </w:rPr>
        <w:t>——技术措施</w:t>
      </w:r>
    </w:p>
    <w:p w14:paraId="23C31EAB">
      <w:pPr>
        <w:pStyle w:val="20"/>
        <w:adjustRightInd w:val="0"/>
        <w:snapToGrid w:val="0"/>
        <w:spacing w:line="360" w:lineRule="auto"/>
        <w:ind w:firstLine="480" w:firstLineChars="200"/>
        <w:jc w:val="left"/>
        <w:rPr>
          <w:rFonts w:ascii="Times New Roman" w:hAnsi="Times New Roman" w:eastAsia="黑体" w:cs="Times New Roman"/>
          <w:bCs/>
          <w:sz w:val="24"/>
          <w:szCs w:val="24"/>
        </w:rPr>
      </w:pPr>
      <w:r>
        <w:rPr>
          <w:rFonts w:ascii="Times New Roman" w:hAnsi="Times New Roman" w:cs="Times New Roman"/>
          <w:sz w:val="24"/>
          <w:szCs w:val="24"/>
        </w:rPr>
        <w:t>该标准综合产品用途及工艺方式，确定了各技术指标。相关企业参照使用本标准时，应对</w:t>
      </w:r>
      <w:r>
        <w:rPr>
          <w:rFonts w:hint="eastAsia"/>
          <w:sz w:val="24"/>
          <w:szCs w:val="24"/>
          <w:lang w:eastAsia="zh-CN"/>
        </w:rPr>
        <w:t>铽镝铁磁致伸缩材料</w:t>
      </w:r>
      <w:r>
        <w:rPr>
          <w:rFonts w:ascii="Times New Roman" w:hAnsi="Times New Roman" w:cs="Times New Roman"/>
          <w:sz w:val="24"/>
          <w:szCs w:val="24"/>
        </w:rPr>
        <w:t>的特性有充分的了解，应认真解读该产品标准。</w:t>
      </w:r>
    </w:p>
    <w:p w14:paraId="5ABD9C70">
      <w:pPr>
        <w:widowControl/>
        <w:spacing w:before="156" w:beforeLines="50" w:after="156" w:afterLines="50" w:line="360" w:lineRule="auto"/>
        <w:outlineLvl w:val="0"/>
        <w:rPr>
          <w:rFonts w:eastAsia="黑体"/>
          <w:kern w:val="0"/>
          <w:sz w:val="24"/>
          <w:szCs w:val="24"/>
        </w:rPr>
      </w:pPr>
      <w:r>
        <w:rPr>
          <w:rFonts w:eastAsia="黑体"/>
          <w:kern w:val="0"/>
          <w:sz w:val="24"/>
          <w:szCs w:val="24"/>
        </w:rPr>
        <w:t>十、废止现行有关标准的建议</w:t>
      </w:r>
    </w:p>
    <w:p w14:paraId="12EC7271">
      <w:pPr>
        <w:widowControl/>
        <w:spacing w:before="156" w:beforeLines="50" w:after="156" w:afterLines="50" w:line="360" w:lineRule="auto"/>
        <w:ind w:firstLine="480" w:firstLineChars="200"/>
        <w:rPr>
          <w:rFonts w:eastAsia="黑体"/>
          <w:kern w:val="0"/>
          <w:sz w:val="24"/>
          <w:szCs w:val="24"/>
        </w:rPr>
      </w:pPr>
      <w:r>
        <w:rPr>
          <w:sz w:val="24"/>
          <w:szCs w:val="24"/>
        </w:rPr>
        <w:t>本标准</w:t>
      </w:r>
      <w:r>
        <w:rPr>
          <w:rFonts w:hint="eastAsia"/>
          <w:sz w:val="24"/>
          <w:szCs w:val="24"/>
          <w:lang w:val="en-US" w:eastAsia="zh-CN"/>
        </w:rPr>
        <w:t>发布同时废止</w:t>
      </w:r>
      <w:r>
        <w:rPr>
          <w:rFonts w:hint="default" w:ascii="Times New Roman" w:hAnsi="Times New Roman" w:eastAsia="宋体" w:cs="Times New Roman"/>
          <w:sz w:val="24"/>
          <w:szCs w:val="24"/>
          <w:lang w:val="en-US" w:eastAsia="zh-CN"/>
        </w:rPr>
        <w:t>GB/T 19396—2012</w:t>
      </w:r>
      <w:r>
        <w:rPr>
          <w:rFonts w:hint="eastAsia" w:ascii="Times New Roman" w:hAnsi="Times New Roman" w:eastAsia="宋体" w:cs="Times New Roman"/>
          <w:sz w:val="24"/>
          <w:szCs w:val="24"/>
          <w:lang w:val="en-US" w:eastAsia="zh-CN"/>
        </w:rPr>
        <w:t>。</w:t>
      </w:r>
    </w:p>
    <w:p w14:paraId="3EA8FF43">
      <w:pPr>
        <w:widowControl/>
        <w:spacing w:before="156" w:beforeLines="50" w:after="156" w:afterLines="50" w:line="360" w:lineRule="auto"/>
        <w:outlineLvl w:val="0"/>
        <w:rPr>
          <w:rFonts w:eastAsia="黑体"/>
          <w:kern w:val="0"/>
          <w:sz w:val="24"/>
          <w:szCs w:val="24"/>
        </w:rPr>
      </w:pPr>
      <w:r>
        <w:rPr>
          <w:rFonts w:eastAsia="黑体"/>
          <w:kern w:val="0"/>
          <w:sz w:val="24"/>
          <w:szCs w:val="24"/>
        </w:rPr>
        <w:t>十一、其他应予说明的事项</w:t>
      </w:r>
    </w:p>
    <w:p w14:paraId="1566DAB6">
      <w:pPr>
        <w:widowControl/>
        <w:spacing w:before="156" w:beforeLines="50" w:after="156" w:afterLines="50" w:line="360" w:lineRule="auto"/>
        <w:rPr>
          <w:rFonts w:eastAsia="黑体"/>
          <w:kern w:val="0"/>
          <w:sz w:val="24"/>
          <w:szCs w:val="24"/>
        </w:rPr>
      </w:pPr>
      <w:r>
        <w:rPr>
          <w:rFonts w:eastAsia="黑体"/>
          <w:kern w:val="0"/>
          <w:sz w:val="24"/>
          <w:szCs w:val="24"/>
        </w:rPr>
        <w:t xml:space="preserve">    无。</w:t>
      </w:r>
    </w:p>
    <w:p w14:paraId="24B55A33">
      <w:pPr>
        <w:widowControl/>
        <w:tabs>
          <w:tab w:val="left" w:pos="1260"/>
        </w:tabs>
        <w:spacing w:before="156" w:beforeLines="50" w:after="156" w:afterLines="50" w:line="360" w:lineRule="auto"/>
        <w:outlineLvl w:val="0"/>
        <w:rPr>
          <w:rFonts w:eastAsia="黑体"/>
          <w:kern w:val="0"/>
          <w:sz w:val="24"/>
          <w:szCs w:val="24"/>
        </w:rPr>
      </w:pPr>
      <w:r>
        <w:rPr>
          <w:rFonts w:eastAsia="黑体"/>
          <w:kern w:val="0"/>
          <w:sz w:val="24"/>
          <w:szCs w:val="24"/>
        </w:rPr>
        <w:t xml:space="preserve">十二、产业化情况、推广应用论证和预期达到的经济效果 </w:t>
      </w:r>
    </w:p>
    <w:p w14:paraId="50E75CDF">
      <w:pPr>
        <w:spacing w:line="520" w:lineRule="exact"/>
        <w:ind w:firstLine="480" w:firstLineChars="200"/>
        <w:rPr>
          <w:rFonts w:hint="eastAsia" w:ascii="宋体" w:hAnsi="宋体" w:cs="宋体"/>
          <w:sz w:val="24"/>
          <w:szCs w:val="24"/>
        </w:rPr>
      </w:pPr>
      <w:r>
        <w:rPr>
          <w:sz w:val="24"/>
          <w:szCs w:val="24"/>
        </w:rPr>
        <w:t>目前</w:t>
      </w:r>
      <w:r>
        <w:rPr>
          <w:rFonts w:hint="eastAsia"/>
          <w:sz w:val="24"/>
          <w:szCs w:val="24"/>
          <w:lang w:eastAsia="zh-CN"/>
        </w:rPr>
        <w:t>铽镝铁磁致伸缩材料</w:t>
      </w:r>
      <w:r>
        <w:rPr>
          <w:sz w:val="24"/>
          <w:szCs w:val="24"/>
        </w:rPr>
        <w:t>产品已经形成</w:t>
      </w:r>
      <w:r>
        <w:rPr>
          <w:rFonts w:hint="eastAsia"/>
          <w:sz w:val="24"/>
          <w:szCs w:val="24"/>
          <w:lang w:val="en-US" w:eastAsia="zh-CN"/>
        </w:rPr>
        <w:t>小</w:t>
      </w:r>
      <w:r>
        <w:rPr>
          <w:sz w:val="24"/>
          <w:szCs w:val="24"/>
        </w:rPr>
        <w:t>批量生产</w:t>
      </w:r>
      <w:r>
        <w:rPr>
          <w:rFonts w:hint="eastAsia"/>
          <w:sz w:val="24"/>
          <w:szCs w:val="24"/>
          <w:lang w:val="en-US" w:eastAsia="zh-CN"/>
        </w:rPr>
        <w:t>规模</w:t>
      </w:r>
      <w:r>
        <w:rPr>
          <w:sz w:val="24"/>
          <w:szCs w:val="24"/>
        </w:rPr>
        <w:t>，</w:t>
      </w:r>
      <w:r>
        <w:rPr>
          <w:rFonts w:hint="eastAsia" w:ascii="宋体" w:hAnsi="宋体" w:cs="宋体"/>
          <w:sz w:val="24"/>
          <w:szCs w:val="24"/>
        </w:rPr>
        <w:t>随着</w:t>
      </w:r>
      <w:r>
        <w:rPr>
          <w:rFonts w:hint="eastAsia" w:ascii="宋体" w:hAnsi="宋体" w:cs="宋体"/>
          <w:sz w:val="24"/>
          <w:szCs w:val="24"/>
          <w:lang w:val="en-US" w:eastAsia="zh-CN"/>
        </w:rPr>
        <w:t>磁致伸缩器件</w:t>
      </w:r>
      <w:r>
        <w:rPr>
          <w:rFonts w:hint="eastAsia" w:ascii="宋体" w:hAnsi="宋体" w:cs="宋体"/>
          <w:sz w:val="24"/>
          <w:szCs w:val="24"/>
        </w:rPr>
        <w:t>的快速发展，</w:t>
      </w:r>
      <w:r>
        <w:rPr>
          <w:rFonts w:hint="eastAsia" w:ascii="宋体" w:hAnsi="宋体" w:cs="宋体"/>
          <w:sz w:val="24"/>
          <w:szCs w:val="24"/>
          <w:lang w:val="en-US" w:eastAsia="zh-CN"/>
        </w:rPr>
        <w:t>对其</w:t>
      </w:r>
      <w:r>
        <w:rPr>
          <w:rFonts w:hint="eastAsia"/>
          <w:sz w:val="24"/>
          <w:szCs w:val="24"/>
          <w:lang w:val="en-US" w:eastAsia="zh-CN"/>
        </w:rPr>
        <w:t>品质要求及</w:t>
      </w:r>
      <w:r>
        <w:rPr>
          <w:rFonts w:hint="eastAsia" w:ascii="宋体" w:hAnsi="宋体" w:cs="宋体"/>
          <w:sz w:val="24"/>
          <w:szCs w:val="24"/>
        </w:rPr>
        <w:t>市场需求也与日俱增。</w:t>
      </w:r>
      <w:r>
        <w:rPr>
          <w:sz w:val="24"/>
          <w:szCs w:val="24"/>
        </w:rPr>
        <w:t>本标准可以</w:t>
      </w:r>
      <w:r>
        <w:rPr>
          <w:rFonts w:hint="eastAsia"/>
          <w:sz w:val="24"/>
          <w:szCs w:val="24"/>
        </w:rPr>
        <w:t>使</w:t>
      </w:r>
      <w:r>
        <w:rPr>
          <w:sz w:val="24"/>
          <w:szCs w:val="24"/>
        </w:rPr>
        <w:t>现有产品的</w:t>
      </w:r>
      <w:r>
        <w:rPr>
          <w:rFonts w:hint="eastAsia"/>
          <w:sz w:val="24"/>
          <w:szCs w:val="24"/>
        </w:rPr>
        <w:t>生产</w:t>
      </w:r>
      <w:r>
        <w:rPr>
          <w:sz w:val="24"/>
          <w:szCs w:val="24"/>
        </w:rPr>
        <w:t>进一步规范，能够提升</w:t>
      </w:r>
      <w:r>
        <w:rPr>
          <w:rFonts w:hint="eastAsia"/>
          <w:sz w:val="24"/>
          <w:szCs w:val="24"/>
          <w:lang w:eastAsia="zh-CN"/>
        </w:rPr>
        <w:t>铽镝铁磁致伸缩材料</w:t>
      </w:r>
      <w:r>
        <w:rPr>
          <w:sz w:val="24"/>
          <w:szCs w:val="24"/>
        </w:rPr>
        <w:t>产品质量的均一性和稳定性</w:t>
      </w:r>
      <w:r>
        <w:rPr>
          <w:rFonts w:hint="eastAsia"/>
          <w:sz w:val="24"/>
          <w:szCs w:val="24"/>
          <w:lang w:eastAsia="zh-CN"/>
        </w:rPr>
        <w:t>，</w:t>
      </w:r>
      <w:r>
        <w:rPr>
          <w:rFonts w:hint="eastAsia"/>
          <w:sz w:val="24"/>
          <w:szCs w:val="24"/>
          <w:lang w:val="en-US" w:eastAsia="zh-CN"/>
        </w:rPr>
        <w:t>使生产方更加关注应用端对材料端的指标要求</w:t>
      </w:r>
      <w:r>
        <w:rPr>
          <w:sz w:val="24"/>
          <w:szCs w:val="24"/>
        </w:rPr>
        <w:t>，能够为下游用户提供质量可靠的</w:t>
      </w:r>
      <w:r>
        <w:rPr>
          <w:rFonts w:hint="eastAsia"/>
          <w:sz w:val="24"/>
          <w:szCs w:val="24"/>
          <w:lang w:eastAsia="zh-CN"/>
        </w:rPr>
        <w:t>铽镝铁磁致伸缩材料</w:t>
      </w:r>
      <w:r>
        <w:rPr>
          <w:sz w:val="24"/>
          <w:szCs w:val="24"/>
        </w:rPr>
        <w:t>。本标准的经济效益主要还是体现在产品的销售</w:t>
      </w:r>
      <w:r>
        <w:rPr>
          <w:rFonts w:hint="eastAsia"/>
          <w:sz w:val="24"/>
          <w:szCs w:val="24"/>
          <w:lang w:val="en-US" w:eastAsia="zh-CN"/>
        </w:rPr>
        <w:t>及应用</w:t>
      </w:r>
      <w:r>
        <w:rPr>
          <w:sz w:val="24"/>
          <w:szCs w:val="24"/>
        </w:rPr>
        <w:t>过程中。</w:t>
      </w:r>
      <w:r>
        <w:rPr>
          <w:rFonts w:hint="eastAsia"/>
          <w:sz w:val="24"/>
          <w:szCs w:val="24"/>
        </w:rPr>
        <w:t>除此之外，本标准有助于</w:t>
      </w:r>
      <w:r>
        <w:rPr>
          <w:rFonts w:hint="eastAsia" w:ascii="宋体" w:hAnsi="宋体" w:cs="宋体"/>
          <w:sz w:val="24"/>
          <w:szCs w:val="24"/>
        </w:rPr>
        <w:t>规范</w:t>
      </w:r>
      <w:r>
        <w:rPr>
          <w:rFonts w:hint="eastAsia"/>
          <w:sz w:val="24"/>
          <w:szCs w:val="24"/>
          <w:lang w:eastAsia="zh-CN"/>
        </w:rPr>
        <w:t>铽镝铁磁致伸缩材料</w:t>
      </w:r>
      <w:r>
        <w:rPr>
          <w:rFonts w:hint="eastAsia" w:ascii="宋体" w:hAnsi="宋体" w:cs="宋体"/>
          <w:sz w:val="24"/>
          <w:szCs w:val="24"/>
        </w:rPr>
        <w:t>产品市场，为生产方、用户、贸易方提供有效指导。</w:t>
      </w:r>
    </w:p>
    <w:p w14:paraId="371670D9">
      <w:pPr>
        <w:spacing w:line="520" w:lineRule="exact"/>
        <w:ind w:firstLine="480" w:firstLineChars="200"/>
        <w:rPr>
          <w:rFonts w:hint="eastAsia" w:ascii="宋体" w:hAnsi="宋体" w:cs="宋体"/>
          <w:sz w:val="24"/>
          <w:szCs w:val="24"/>
        </w:rPr>
      </w:pPr>
    </w:p>
    <w:p w14:paraId="18813D1D">
      <w:pPr>
        <w:tabs>
          <w:tab w:val="left" w:pos="522"/>
        </w:tabs>
        <w:adjustRightInd w:val="0"/>
        <w:snapToGrid w:val="0"/>
        <w:spacing w:line="520" w:lineRule="exact"/>
        <w:ind w:firstLine="6000" w:firstLineChars="2500"/>
        <w:rPr>
          <w:sz w:val="24"/>
          <w:szCs w:val="24"/>
        </w:rPr>
      </w:pPr>
      <w:r>
        <w:rPr>
          <w:sz w:val="24"/>
          <w:szCs w:val="24"/>
        </w:rPr>
        <w:t>包头稀土研究院</w:t>
      </w:r>
    </w:p>
    <w:p w14:paraId="259CD521">
      <w:pPr>
        <w:tabs>
          <w:tab w:val="left" w:pos="522"/>
        </w:tabs>
        <w:adjustRightInd w:val="0"/>
        <w:snapToGrid w:val="0"/>
        <w:spacing w:line="520" w:lineRule="exact"/>
        <w:ind w:firstLine="482"/>
      </w:pPr>
      <w:r>
        <w:rPr>
          <w:sz w:val="24"/>
          <w:szCs w:val="24"/>
        </w:rPr>
        <w:t xml:space="preserve">                                           二〇二</w:t>
      </w:r>
      <w:r>
        <w:rPr>
          <w:rFonts w:hint="eastAsia"/>
          <w:sz w:val="24"/>
          <w:szCs w:val="24"/>
          <w:lang w:val="en-US" w:eastAsia="zh-CN"/>
        </w:rPr>
        <w:t>四</w:t>
      </w:r>
      <w:r>
        <w:rPr>
          <w:sz w:val="24"/>
          <w:szCs w:val="24"/>
        </w:rPr>
        <w:t>年</w:t>
      </w:r>
      <w:r>
        <w:rPr>
          <w:rFonts w:hint="eastAsia"/>
          <w:sz w:val="24"/>
          <w:szCs w:val="24"/>
          <w:lang w:val="en-US" w:eastAsia="zh-CN"/>
        </w:rPr>
        <w:t>九</w:t>
      </w:r>
      <w:r>
        <w:rPr>
          <w:sz w:val="24"/>
          <w:szCs w:val="24"/>
        </w:rPr>
        <w:t>月</w:t>
      </w:r>
      <w:r>
        <w:rPr>
          <w:rFonts w:hint="eastAsia"/>
          <w:sz w:val="24"/>
          <w:szCs w:val="24"/>
          <w:lang w:val="en-US" w:eastAsia="zh-CN"/>
        </w:rPr>
        <w:t>十八</w:t>
      </w:r>
      <w:r>
        <w:rPr>
          <w:sz w:val="24"/>
          <w:szCs w:val="24"/>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EBAA">
    <w:pPr>
      <w:pStyle w:val="4"/>
      <w:jc w:val="center"/>
    </w:pPr>
    <w:r>
      <w:fldChar w:fldCharType="begin"/>
    </w:r>
    <w:r>
      <w:instrText xml:space="preserve"> PAGE   \* MERGEFORMAT </w:instrText>
    </w:r>
    <w:r>
      <w:fldChar w:fldCharType="separate"/>
    </w:r>
    <w:r>
      <w:rPr>
        <w:lang w:val="zh-CN"/>
      </w:rPr>
      <w:t>9</w:t>
    </w:r>
    <w:r>
      <w:fldChar w:fldCharType="end"/>
    </w:r>
  </w:p>
  <w:p w14:paraId="44D0692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TJhNTJhYTRmODUzMzRlODg3OTYyZGJiY2YyODgifQ=="/>
  </w:docVars>
  <w:rsids>
    <w:rsidRoot w:val="00645E57"/>
    <w:rsid w:val="00002CAC"/>
    <w:rsid w:val="0001599A"/>
    <w:rsid w:val="00030CA4"/>
    <w:rsid w:val="00057B36"/>
    <w:rsid w:val="00061907"/>
    <w:rsid w:val="00067400"/>
    <w:rsid w:val="00090760"/>
    <w:rsid w:val="000A5BAF"/>
    <w:rsid w:val="000B2B36"/>
    <w:rsid w:val="000B4C34"/>
    <w:rsid w:val="000C49A6"/>
    <w:rsid w:val="000D46D0"/>
    <w:rsid w:val="000E14B5"/>
    <w:rsid w:val="000E1572"/>
    <w:rsid w:val="00101327"/>
    <w:rsid w:val="00105451"/>
    <w:rsid w:val="00107172"/>
    <w:rsid w:val="001229A4"/>
    <w:rsid w:val="00154768"/>
    <w:rsid w:val="001548AD"/>
    <w:rsid w:val="00163F4F"/>
    <w:rsid w:val="00176972"/>
    <w:rsid w:val="00193C9C"/>
    <w:rsid w:val="00196A6E"/>
    <w:rsid w:val="001A23AF"/>
    <w:rsid w:val="001A77AB"/>
    <w:rsid w:val="001B65B4"/>
    <w:rsid w:val="001C382E"/>
    <w:rsid w:val="001D60EA"/>
    <w:rsid w:val="001F69A8"/>
    <w:rsid w:val="00203CD4"/>
    <w:rsid w:val="0020498C"/>
    <w:rsid w:val="002218D8"/>
    <w:rsid w:val="00231B35"/>
    <w:rsid w:val="00251EDA"/>
    <w:rsid w:val="002616BB"/>
    <w:rsid w:val="00267114"/>
    <w:rsid w:val="00271AF9"/>
    <w:rsid w:val="00273C4B"/>
    <w:rsid w:val="00296014"/>
    <w:rsid w:val="002A4664"/>
    <w:rsid w:val="002C14AE"/>
    <w:rsid w:val="002D2489"/>
    <w:rsid w:val="002E1287"/>
    <w:rsid w:val="002F0996"/>
    <w:rsid w:val="003032F6"/>
    <w:rsid w:val="00307D22"/>
    <w:rsid w:val="0033035C"/>
    <w:rsid w:val="00354184"/>
    <w:rsid w:val="00364118"/>
    <w:rsid w:val="00364200"/>
    <w:rsid w:val="003770BC"/>
    <w:rsid w:val="0038322D"/>
    <w:rsid w:val="00386FE5"/>
    <w:rsid w:val="00395594"/>
    <w:rsid w:val="003A30EF"/>
    <w:rsid w:val="003B0F32"/>
    <w:rsid w:val="003B1291"/>
    <w:rsid w:val="003B15AB"/>
    <w:rsid w:val="003D5CFF"/>
    <w:rsid w:val="003E1B16"/>
    <w:rsid w:val="003F5FAA"/>
    <w:rsid w:val="0040585D"/>
    <w:rsid w:val="00427287"/>
    <w:rsid w:val="0044109A"/>
    <w:rsid w:val="0044498F"/>
    <w:rsid w:val="0044543D"/>
    <w:rsid w:val="00453875"/>
    <w:rsid w:val="0045513F"/>
    <w:rsid w:val="004679B8"/>
    <w:rsid w:val="00473095"/>
    <w:rsid w:val="00476DAE"/>
    <w:rsid w:val="00491FE3"/>
    <w:rsid w:val="0049538E"/>
    <w:rsid w:val="004A3073"/>
    <w:rsid w:val="004A5897"/>
    <w:rsid w:val="004B0272"/>
    <w:rsid w:val="004E7C0B"/>
    <w:rsid w:val="004F30E5"/>
    <w:rsid w:val="004F4469"/>
    <w:rsid w:val="004F5A7C"/>
    <w:rsid w:val="00532D00"/>
    <w:rsid w:val="00564DEA"/>
    <w:rsid w:val="00567BD2"/>
    <w:rsid w:val="00571D88"/>
    <w:rsid w:val="00581ADE"/>
    <w:rsid w:val="005B678C"/>
    <w:rsid w:val="005C15D2"/>
    <w:rsid w:val="005C66F1"/>
    <w:rsid w:val="005D0ABF"/>
    <w:rsid w:val="005E3DE9"/>
    <w:rsid w:val="005F0DF1"/>
    <w:rsid w:val="006055A0"/>
    <w:rsid w:val="00630E55"/>
    <w:rsid w:val="00645E57"/>
    <w:rsid w:val="006503F8"/>
    <w:rsid w:val="0066435F"/>
    <w:rsid w:val="00664B05"/>
    <w:rsid w:val="006A301C"/>
    <w:rsid w:val="006A3D7D"/>
    <w:rsid w:val="006B1B85"/>
    <w:rsid w:val="006B2A2C"/>
    <w:rsid w:val="006C281B"/>
    <w:rsid w:val="006E7347"/>
    <w:rsid w:val="006F0F0E"/>
    <w:rsid w:val="007045A2"/>
    <w:rsid w:val="00745C18"/>
    <w:rsid w:val="0077146A"/>
    <w:rsid w:val="00772D09"/>
    <w:rsid w:val="00792C4A"/>
    <w:rsid w:val="00794789"/>
    <w:rsid w:val="007B0BD6"/>
    <w:rsid w:val="007B0E14"/>
    <w:rsid w:val="007B3620"/>
    <w:rsid w:val="007B4D42"/>
    <w:rsid w:val="007C2735"/>
    <w:rsid w:val="007C6076"/>
    <w:rsid w:val="007C6BFB"/>
    <w:rsid w:val="007F6813"/>
    <w:rsid w:val="00801895"/>
    <w:rsid w:val="008063E0"/>
    <w:rsid w:val="008120F8"/>
    <w:rsid w:val="00816CCD"/>
    <w:rsid w:val="00827476"/>
    <w:rsid w:val="00841114"/>
    <w:rsid w:val="008468B4"/>
    <w:rsid w:val="00853CBB"/>
    <w:rsid w:val="00874188"/>
    <w:rsid w:val="00881F7F"/>
    <w:rsid w:val="00882015"/>
    <w:rsid w:val="008A1298"/>
    <w:rsid w:val="008C3C73"/>
    <w:rsid w:val="009171D2"/>
    <w:rsid w:val="0092499B"/>
    <w:rsid w:val="009376B0"/>
    <w:rsid w:val="00942EBB"/>
    <w:rsid w:val="00945668"/>
    <w:rsid w:val="0095060F"/>
    <w:rsid w:val="00951CE8"/>
    <w:rsid w:val="00952263"/>
    <w:rsid w:val="00955693"/>
    <w:rsid w:val="00955B3E"/>
    <w:rsid w:val="00956EE1"/>
    <w:rsid w:val="00964A10"/>
    <w:rsid w:val="00977653"/>
    <w:rsid w:val="00992B27"/>
    <w:rsid w:val="009A01A6"/>
    <w:rsid w:val="009A1DB2"/>
    <w:rsid w:val="009B529D"/>
    <w:rsid w:val="009C7219"/>
    <w:rsid w:val="009D0A57"/>
    <w:rsid w:val="009E04CC"/>
    <w:rsid w:val="009E6799"/>
    <w:rsid w:val="00A03522"/>
    <w:rsid w:val="00A10E1B"/>
    <w:rsid w:val="00A23FF0"/>
    <w:rsid w:val="00A34F9F"/>
    <w:rsid w:val="00A36690"/>
    <w:rsid w:val="00A40E09"/>
    <w:rsid w:val="00A57A04"/>
    <w:rsid w:val="00A6011D"/>
    <w:rsid w:val="00A64EFF"/>
    <w:rsid w:val="00A67063"/>
    <w:rsid w:val="00A71A06"/>
    <w:rsid w:val="00AA07E7"/>
    <w:rsid w:val="00AA39F8"/>
    <w:rsid w:val="00AA7C86"/>
    <w:rsid w:val="00AB6892"/>
    <w:rsid w:val="00AC4595"/>
    <w:rsid w:val="00AD187C"/>
    <w:rsid w:val="00AE2537"/>
    <w:rsid w:val="00AF20DD"/>
    <w:rsid w:val="00AF532D"/>
    <w:rsid w:val="00B1534A"/>
    <w:rsid w:val="00B20216"/>
    <w:rsid w:val="00B269BA"/>
    <w:rsid w:val="00B373EB"/>
    <w:rsid w:val="00B45095"/>
    <w:rsid w:val="00B46B9F"/>
    <w:rsid w:val="00B476B9"/>
    <w:rsid w:val="00B52122"/>
    <w:rsid w:val="00B60F58"/>
    <w:rsid w:val="00B731A7"/>
    <w:rsid w:val="00B80E13"/>
    <w:rsid w:val="00B81A3F"/>
    <w:rsid w:val="00B81E16"/>
    <w:rsid w:val="00B84CC8"/>
    <w:rsid w:val="00BA797B"/>
    <w:rsid w:val="00BB0977"/>
    <w:rsid w:val="00BB253A"/>
    <w:rsid w:val="00BC6D96"/>
    <w:rsid w:val="00BD1689"/>
    <w:rsid w:val="00BE33FE"/>
    <w:rsid w:val="00C11226"/>
    <w:rsid w:val="00C1294B"/>
    <w:rsid w:val="00C14DE8"/>
    <w:rsid w:val="00C16052"/>
    <w:rsid w:val="00C161EA"/>
    <w:rsid w:val="00C21D78"/>
    <w:rsid w:val="00C330CF"/>
    <w:rsid w:val="00C361EE"/>
    <w:rsid w:val="00C54507"/>
    <w:rsid w:val="00C71638"/>
    <w:rsid w:val="00C83E94"/>
    <w:rsid w:val="00C870FD"/>
    <w:rsid w:val="00C97159"/>
    <w:rsid w:val="00CB0F42"/>
    <w:rsid w:val="00CB1F47"/>
    <w:rsid w:val="00CB5875"/>
    <w:rsid w:val="00CC2E24"/>
    <w:rsid w:val="00CD2914"/>
    <w:rsid w:val="00CD7727"/>
    <w:rsid w:val="00CD7B57"/>
    <w:rsid w:val="00D058D2"/>
    <w:rsid w:val="00D36ADC"/>
    <w:rsid w:val="00D73DE0"/>
    <w:rsid w:val="00D83EC7"/>
    <w:rsid w:val="00D87506"/>
    <w:rsid w:val="00D92434"/>
    <w:rsid w:val="00DA4DCC"/>
    <w:rsid w:val="00DA6C4E"/>
    <w:rsid w:val="00DD4800"/>
    <w:rsid w:val="00E0236D"/>
    <w:rsid w:val="00E03DD9"/>
    <w:rsid w:val="00E042B5"/>
    <w:rsid w:val="00E06347"/>
    <w:rsid w:val="00E07A13"/>
    <w:rsid w:val="00E475DC"/>
    <w:rsid w:val="00E5030A"/>
    <w:rsid w:val="00E6500E"/>
    <w:rsid w:val="00E701E4"/>
    <w:rsid w:val="00E731D4"/>
    <w:rsid w:val="00E80E1C"/>
    <w:rsid w:val="00E86DF4"/>
    <w:rsid w:val="00EC3029"/>
    <w:rsid w:val="00ED5A9B"/>
    <w:rsid w:val="00EE57CE"/>
    <w:rsid w:val="00EF0520"/>
    <w:rsid w:val="00EF4D1D"/>
    <w:rsid w:val="00F11935"/>
    <w:rsid w:val="00F2272B"/>
    <w:rsid w:val="00F24E6D"/>
    <w:rsid w:val="00F27288"/>
    <w:rsid w:val="00F34ECF"/>
    <w:rsid w:val="00F53ABD"/>
    <w:rsid w:val="00F71BB9"/>
    <w:rsid w:val="00F7445C"/>
    <w:rsid w:val="00F777FD"/>
    <w:rsid w:val="00F91BFB"/>
    <w:rsid w:val="00F93CAF"/>
    <w:rsid w:val="00FA50EA"/>
    <w:rsid w:val="00FC23F0"/>
    <w:rsid w:val="00FE064D"/>
    <w:rsid w:val="0C4175CE"/>
    <w:rsid w:val="136451BB"/>
    <w:rsid w:val="1459655C"/>
    <w:rsid w:val="1AC1730E"/>
    <w:rsid w:val="1C3F545A"/>
    <w:rsid w:val="233F0B78"/>
    <w:rsid w:val="25084843"/>
    <w:rsid w:val="31486DFA"/>
    <w:rsid w:val="328742E7"/>
    <w:rsid w:val="43DC2322"/>
    <w:rsid w:val="4FB7735A"/>
    <w:rsid w:val="549F141C"/>
    <w:rsid w:val="6FDE4039"/>
    <w:rsid w:val="74562CA0"/>
    <w:rsid w:val="751E47C1"/>
    <w:rsid w:val="78700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0"/>
    <w:autoRedefine/>
    <w:qFormat/>
    <w:uiPriority w:val="9"/>
    <w:pPr>
      <w:keepNext/>
      <w:keepLines/>
      <w:spacing w:line="360" w:lineRule="auto"/>
      <w:jc w:val="left"/>
      <w:outlineLvl w:val="1"/>
    </w:pPr>
    <w:rPr>
      <w:rFonts w:ascii="Cambria" w:hAnsi="Cambria" w:eastAsia="黑体"/>
      <w:bCs/>
      <w:szCs w:val="32"/>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kern w:val="0"/>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autoRedefine/>
    <w:qFormat/>
    <w:uiPriority w:val="0"/>
    <w:rPr>
      <w:color w:val="0000FF"/>
      <w:u w:val="single"/>
    </w:rPr>
  </w:style>
  <w:style w:type="character" w:customStyle="1" w:styleId="10">
    <w:name w:val="标题 2 Char"/>
    <w:link w:val="2"/>
    <w:autoRedefine/>
    <w:qFormat/>
    <w:uiPriority w:val="9"/>
    <w:rPr>
      <w:rFonts w:ascii="Cambria" w:hAnsi="Cambria" w:eastAsia="黑体" w:cs="Times New Roman"/>
      <w:bCs/>
      <w:kern w:val="2"/>
      <w:sz w:val="21"/>
      <w:szCs w:val="32"/>
    </w:rPr>
  </w:style>
  <w:style w:type="character" w:customStyle="1" w:styleId="11">
    <w:name w:val="批注框文本 Char"/>
    <w:link w:val="3"/>
    <w:autoRedefine/>
    <w:semiHidden/>
    <w:qFormat/>
    <w:uiPriority w:val="99"/>
    <w:rPr>
      <w:rFonts w:ascii="Times New Roman" w:hAnsi="Times New Roman" w:eastAsia="宋体" w:cs="Times New Roman"/>
      <w:sz w:val="18"/>
      <w:szCs w:val="18"/>
    </w:rPr>
  </w:style>
  <w:style w:type="character" w:customStyle="1" w:styleId="12">
    <w:name w:val="页脚 Char"/>
    <w:link w:val="4"/>
    <w:autoRedefine/>
    <w:qFormat/>
    <w:uiPriority w:val="99"/>
    <w:rPr>
      <w:rFonts w:ascii="Times New Roman" w:hAnsi="Times New Roman"/>
      <w:kern w:val="2"/>
      <w:sz w:val="18"/>
      <w:szCs w:val="18"/>
    </w:rPr>
  </w:style>
  <w:style w:type="character" w:customStyle="1" w:styleId="13">
    <w:name w:val="页眉 Char"/>
    <w:link w:val="5"/>
    <w:autoRedefine/>
    <w:qFormat/>
    <w:uiPriority w:val="0"/>
    <w:rPr>
      <w:rFonts w:ascii="Times New Roman" w:hAnsi="Times New Roman"/>
      <w:kern w:val="2"/>
      <w:sz w:val="18"/>
      <w:szCs w:val="18"/>
    </w:rPr>
  </w:style>
  <w:style w:type="character" w:customStyle="1" w:styleId="14">
    <w:name w:val="段 Char"/>
    <w:link w:val="15"/>
    <w:qFormat/>
    <w:locked/>
    <w:uiPriority w:val="0"/>
    <w:rPr>
      <w:rFonts w:ascii="宋体" w:hAnsi="宋体"/>
      <w:kern w:val="2"/>
      <w:sz w:val="21"/>
      <w:szCs w:val="22"/>
      <w:lang w:val="en-US" w:eastAsia="zh-CN" w:bidi="ar-SA"/>
    </w:rPr>
  </w:style>
  <w:style w:type="paragraph" w:customStyle="1" w:styleId="15">
    <w:name w:val="段"/>
    <w:link w:val="14"/>
    <w:autoRedefine/>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paragraph" w:customStyle="1" w:styleId="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
    <w:name w:val="List Paragraph1"/>
    <w:basedOn w:val="1"/>
    <w:autoRedefine/>
    <w:qFormat/>
    <w:uiPriority w:val="0"/>
    <w:pPr>
      <w:ind w:firstLine="420" w:firstLineChars="200"/>
    </w:pPr>
    <w:rPr>
      <w:szCs w:val="24"/>
    </w:rPr>
  </w:style>
  <w:style w:type="character" w:customStyle="1" w:styleId="19">
    <w:name w:val="font61"/>
    <w:autoRedefine/>
    <w:qFormat/>
    <w:uiPriority w:val="0"/>
    <w:rPr>
      <w:rFonts w:hint="eastAsia" w:ascii="宋体" w:hAnsi="宋体" w:eastAsia="宋体" w:cs="宋体"/>
      <w:color w:val="FF0000"/>
      <w:sz w:val="21"/>
      <w:szCs w:val="21"/>
      <w:u w:val="none"/>
    </w:rPr>
  </w:style>
  <w:style w:type="paragraph" w:customStyle="1" w:styleId="20">
    <w:name w:val="p15"/>
    <w:basedOn w:val="1"/>
    <w:autoRedefine/>
    <w:qFormat/>
    <w:uiPriority w:val="99"/>
    <w:pPr>
      <w:widowControl/>
      <w:ind w:firstLine="420"/>
    </w:pPr>
    <w:rPr>
      <w:rFonts w:ascii="Calibri" w:hAnsi="Calibri" w:cs="宋体"/>
      <w:kern w:val="0"/>
      <w:szCs w:val="21"/>
    </w:rPr>
  </w:style>
  <w:style w:type="paragraph" w:customStyle="1" w:styleId="21">
    <w:name w:val="p0"/>
    <w:basedOn w:val="1"/>
    <w:autoRedefine/>
    <w:qFormat/>
    <w:uiPriority w:val="0"/>
    <w:pPr>
      <w:widowControl/>
    </w:pPr>
    <w:rPr>
      <w:kern w:val="0"/>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6868</Words>
  <Characters>7498</Characters>
  <Lines>71</Lines>
  <Paragraphs>20</Paragraphs>
  <TotalTime>4</TotalTime>
  <ScaleCrop>false</ScaleCrop>
  <LinksUpToDate>false</LinksUpToDate>
  <CharactersWithSpaces>7613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2020-10-14T00:41:00Z</dcterms:created>
  <dc:creator>lenovo</dc:creator>
  <cp:lastModifiedBy>河马</cp:lastModifiedBy>
  <cp:lastPrinted>2023-02-24T03:25:00Z</cp:lastPrinted>
  <dcterms:modified xsi:type="dcterms:W3CDTF">2024-09-19T03:38:49Z</dcterms:modified>
  <dc:title>稀土行业标准《钪铝合金靶材》 编制说明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D6E618ABB80B476F97FEB8CFF6D4D14D_13</vt:lpwstr>
  </property>
</Properties>
</file>