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jc w:val="center"/>
        <w:rPr>
          <w:rFonts w:ascii="黑体" w:hAnsi="黑体" w:eastAsia="黑体"/>
          <w:sz w:val="24"/>
          <w:szCs w:val="24"/>
        </w:rPr>
      </w:pPr>
      <w:bookmarkStart w:id="0" w:name="_Toc464728891"/>
      <w:bookmarkStart w:id="1" w:name="SectionMark4"/>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59264" behindDoc="0" locked="1" layoutInCell="1" allowOverlap="1">
                <wp:simplePos x="0" y="0"/>
                <wp:positionH relativeFrom="margin">
                  <wp:posOffset>66675</wp:posOffset>
                </wp:positionH>
                <wp:positionV relativeFrom="margin">
                  <wp:posOffset>1544955</wp:posOffset>
                </wp:positionV>
                <wp:extent cx="6120130" cy="2383790"/>
                <wp:effectExtent l="0" t="0" r="0" b="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5"/>
                              <w:rPr>
                                <w:rFonts w:hAnsi="黑体" w:cs="黑体"/>
                                <w:sz w:val="44"/>
                                <w:szCs w:val="44"/>
                              </w:rPr>
                            </w:pPr>
                            <w:bookmarkStart w:id="80"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Ansi="黑体" w:cs="黑体"/>
                                <w:szCs w:val="52"/>
                              </w:rPr>
                              <w:t>摆锤动态撕裂冲击试验机</w:t>
                            </w:r>
                            <w:r>
                              <w:rPr>
                                <w:rFonts w:hint="eastAsia" w:hAnsi="黑体" w:cs="黑体"/>
                                <w:szCs w:val="52"/>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5.25pt;margin-top:121.65pt;height:187.7pt;width:481.9pt;mso-position-horizontal-relative:margin;mso-position-vertical-relative:margin;z-index:251659264;mso-width-relative:page;mso-height-relative:page;" fillcolor="#FFFFFF" filled="t" stroked="f" coordsize="21600,21600" o:gfxdata="UEsDBAoAAAAAAIdO4kAAAAAAAAAAAAAAAAAEAAAAZHJzL1BLAwQUAAAACACHTuJANr7f3dcAAAAK&#10;AQAADwAAAGRycy9kb3ducmV2LnhtbE2Py07DMBBF90j8gzVI7KidtvQR4nTBQ10TQGzdZBoH7HEU&#10;O23g6xlWsJurObpzpthN3okTDrELpCGbKRBIdWg6ajW8vjzdbEDEZKgxLhBq+MIIu/LyojB5E870&#10;jKcqtYJLKOZGg02pz6WMtUVv4iz0SLw7hsGbxHFoZTOYM5d7J+dKraQ3HfEFa3q8t1h/VqPXsM8e&#10;HvsP+V2ZvUs4vtmpdu+T1tdXmboDkXBKfzD86rM6lOx0CCM1UTjO6pZJDfPlYgGCge16ycNBwyrb&#10;rEGWhfz/QvkD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vt/d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pPr>
                        <w:pStyle w:val="75"/>
                        <w:rPr>
                          <w:rFonts w:hAnsi="黑体" w:cs="黑体"/>
                          <w:sz w:val="44"/>
                          <w:szCs w:val="44"/>
                        </w:rPr>
                      </w:pPr>
                      <w:bookmarkStart w:id="80" w:name="_Hlk23687263"/>
                      <w:r>
                        <w:rPr>
                          <w:rFonts w:hint="eastAsia" w:hAnsi="黑体" w:cs="黑体"/>
                          <w:sz w:val="44"/>
                          <w:szCs w:val="44"/>
                        </w:rPr>
                        <w:t>JJF（有色金属）</w:t>
                      </w:r>
                      <w:r>
                        <w:rPr>
                          <w:rFonts w:hAnsi="黑体" w:cs="黑体"/>
                          <w:sz w:val="44"/>
                          <w:szCs w:val="44"/>
                        </w:rPr>
                        <w:t>XXXX</w:t>
                      </w:r>
                      <w:r>
                        <w:rPr>
                          <w:rFonts w:hint="eastAsia" w:hAnsi="黑体" w:cs="黑体"/>
                          <w:sz w:val="44"/>
                          <w:szCs w:val="44"/>
                        </w:rPr>
                        <w:t>—</w:t>
                      </w:r>
                      <w:r>
                        <w:rPr>
                          <w:rFonts w:hAnsi="黑体" w:cs="黑体"/>
                          <w:sz w:val="44"/>
                          <w:szCs w:val="44"/>
                        </w:rPr>
                        <w:t>XXXX</w:t>
                      </w:r>
                    </w:p>
                    <w:bookmarkEnd w:id="80"/>
                    <w:p>
                      <w:pPr>
                        <w:pStyle w:val="75"/>
                        <w:rPr>
                          <w:rFonts w:hAnsi="黑体" w:cs="黑体"/>
                          <w:szCs w:val="52"/>
                        </w:rPr>
                      </w:pPr>
                      <w:r>
                        <w:rPr>
                          <w:rFonts w:hAnsi="黑体" w:cs="黑体"/>
                          <w:szCs w:val="52"/>
                        </w:rPr>
                        <w:t>摆锤动态撕裂冲击试验机</w:t>
                      </w:r>
                      <w:r>
                        <w:rPr>
                          <w:rFonts w:hint="eastAsia" w:hAnsi="黑体" w:cs="黑体"/>
                          <w:szCs w:val="52"/>
                        </w:rPr>
                        <w:t>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0288" behindDoc="0" locked="1" layoutInCell="1" allowOverlap="1">
                <wp:simplePos x="0" y="0"/>
                <wp:positionH relativeFrom="margin">
                  <wp:posOffset>153670</wp:posOffset>
                </wp:positionH>
                <wp:positionV relativeFrom="margin">
                  <wp:posOffset>4848860</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w:t>
                            </w:r>
                            <w:r>
                              <w:rPr>
                                <w:rFonts w:hint="eastAsia" w:ascii="黑体" w:hAnsi="黑体" w:eastAsia="黑体"/>
                                <w:sz w:val="36"/>
                                <w:szCs w:val="36"/>
                                <w:lang w:val="en-US" w:eastAsia="zh-CN"/>
                              </w:rPr>
                              <w:t>9</w:t>
                            </w:r>
                            <w:r>
                              <w:rPr>
                                <w:rFonts w:hint="eastAsia" w:ascii="黑体" w:hAnsi="黑体" w:eastAsia="黑体"/>
                                <w:sz w:val="36"/>
                                <w:szCs w:val="36"/>
                              </w:rPr>
                              <w:t>-</w:t>
                            </w:r>
                            <w:r>
                              <w:rPr>
                                <w:rFonts w:hint="eastAsia" w:ascii="黑体" w:hAnsi="黑体" w:eastAsia="黑体"/>
                                <w:sz w:val="36"/>
                                <w:szCs w:val="36"/>
                                <w:lang w:val="en-US" w:eastAsia="zh-CN"/>
                              </w:rPr>
                              <w:t>19</w:t>
                            </w:r>
                          </w:p>
                        </w:txbxContent>
                      </wps:txbx>
                      <wps:bodyPr lIns="0" tIns="0" rIns="0" bIns="0" upright="1"/>
                    </wps:wsp>
                  </a:graphicData>
                </a:graphic>
              </wp:anchor>
            </w:drawing>
          </mc:Choice>
          <mc:Fallback>
            <w:pict>
              <v:rect id="文本框 5" o:spid="_x0000_s1026" o:spt="1" style="position:absolute;left:0pt;margin-left:12.1pt;margin-top:381.8pt;height:140.1pt;width:470pt;mso-position-horizontal-relative:margin;mso-position-vertical-relative:margin;z-index:251660288;mso-width-relative:page;mso-height-relative:page;" fillcolor="#FFFFFF" filled="t" stroked="f" coordsize="21600,21600" o:gfxdata="UEsDBAoAAAAAAIdO4kAAAAAAAAAAAAAAAAAEAAAAZHJzL1BLAwQUAAAACACHTuJAkIAlf9cAAAAL&#10;AQAADwAAAGRycy9kb3ducmV2LnhtbE2Py07DMBBF90j8gzVI7KidtAptiNMFD3VNCmLrxtM44EcU&#10;O23g65muYDkzR3fOrbazs+yEY+yDl5AtBDD0bdC97yS87V/u1sBiUl4rGzxK+MYI2/r6qlKlDmf/&#10;iqcmdYxCfCyVBJPSUHIeW4NOxUUY0NPtGEanEo1jx/WozhTuLM+FKLhTvacPRg34aLD9aiYnYZc9&#10;PQ+f/KdRO5twejdzaz9mKW9vMvEALOGc/mC46JM61OR0CJPXkVkJ+SonUsJ9sSyAEbApLpsDkWK1&#10;XAOvK/6/Q/0LUEsDBBQAAAAIAIdO4kAxO8wgywEAAJIDAAAOAAAAZHJzL2Uyb0RvYy54bWytU0tu&#10;2zAQ3RfIHQjua8kGEteC5SxqOChQtAHSHICiKIkAfxjSlnyB9gZdddN9z+VzdEjJzqebLKoFNcMZ&#10;vpn3hlzfDlqRgwAvrSnpfJZTIgy3tTRtSR+/7d5/oMQHZmqmrBElPQpPbzdX79a9K8TCdlbVAgiC&#10;GF/0rqRdCK7IMs87oZmfWScMBhsLmgV0oc1qYD2ia5Ut8vwm6y3UDiwX3uPudgzSCRHeAmibRnKx&#10;tXyvhQkjKgjFAlLynXSeblK3TSN4+No0XgSiSopMQ1qxCNpVXLPNmhUtMNdJPrXA3tLCK06aSYNF&#10;L1BbFhjZg/wHSksO1tsmzLjV2UgkKYIs5vkrbR465kTiglJ7dxHd/z9Y/uVwD0TWJV1QYpjGgZ9+&#10;/jj9+nP6/Z1cR3l65wvMenD3MHkezch1aEDHP7IgQ5L0eJFUDIFw3Lxe3azyHNXmGJsvl6vFMome&#10;PR134MOdsJpEo6SAM0tSssNnH7Akpp5TYjVvlax3UqnkQFt9VEAODOe7S1/sGY+8SFMmJhsbj43h&#10;uJNFaiOZaIWhGiaGla2PKIv6ZFDqeG3OBpyN6mzsHci2w77nqXAEwlGlFqZrFe/Ccz8VfnpK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CV/1wAAAAsBAAAPAAAAAAAAAAEAIAAAACIAAABkcnMv&#10;ZG93bnJldi54bWxQSwECFAAUAAAACACHTuJAMTvMIMsBAACSAwAADgAAAAAAAAABACAAAAAmAQAA&#10;ZHJzL2Uyb0RvYy54bWxQSwUGAAAAAAYABgBZAQAAYwUAAAAA&#10;">
                <v:fill on="t" focussize="0,0"/>
                <v:stroke on="f"/>
                <v:imagedata o:title=""/>
                <o:lock v:ext="edit" aspectratio="f"/>
                <v:textbox inset="0mm,0mm,0mm,0mm">
                  <w:txbxContent>
                    <w:p>
                      <w:pPr>
                        <w:pStyle w:val="67"/>
                        <w:spacing w:before="600"/>
                        <w:rPr>
                          <w:rFonts w:ascii="黑体" w:hAnsi="黑体" w:eastAsia="黑体"/>
                          <w:sz w:val="36"/>
                          <w:szCs w:val="36"/>
                        </w:rPr>
                      </w:pPr>
                      <w:r>
                        <w:rPr>
                          <w:rFonts w:hint="eastAsia" w:ascii="黑体" w:hAnsi="黑体" w:eastAsia="黑体"/>
                          <w:sz w:val="36"/>
                          <w:szCs w:val="36"/>
                          <w:lang w:val="en-US" w:eastAsia="zh-CN"/>
                        </w:rPr>
                        <w:t>预审</w:t>
                      </w:r>
                      <w:r>
                        <w:rPr>
                          <w:rFonts w:hint="eastAsia" w:ascii="黑体" w:hAnsi="黑体" w:eastAsia="黑体"/>
                          <w:sz w:val="36"/>
                          <w:szCs w:val="36"/>
                        </w:rPr>
                        <w:t>稿</w:t>
                      </w:r>
                    </w:p>
                    <w:p>
                      <w:pPr>
                        <w:pStyle w:val="67"/>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ascii="黑体" w:hAnsi="黑体" w:eastAsia="黑体"/>
                          <w:sz w:val="36"/>
                          <w:szCs w:val="36"/>
                        </w:rPr>
                        <w:t>2</w:t>
                      </w:r>
                      <w:r>
                        <w:rPr>
                          <w:rFonts w:hint="eastAsia" w:ascii="黑体" w:hAnsi="黑体" w:eastAsia="黑体"/>
                          <w:sz w:val="36"/>
                          <w:szCs w:val="36"/>
                        </w:rPr>
                        <w:t>4-0</w:t>
                      </w:r>
                      <w:r>
                        <w:rPr>
                          <w:rFonts w:hint="eastAsia" w:ascii="黑体" w:hAnsi="黑体" w:eastAsia="黑体"/>
                          <w:sz w:val="36"/>
                          <w:szCs w:val="36"/>
                          <w:lang w:val="en-US" w:eastAsia="zh-CN"/>
                        </w:rPr>
                        <w:t>9</w:t>
                      </w:r>
                      <w:r>
                        <w:rPr>
                          <w:rFonts w:hint="eastAsia" w:ascii="黑体" w:hAnsi="黑体" w:eastAsia="黑体"/>
                          <w:sz w:val="36"/>
                          <w:szCs w:val="36"/>
                        </w:rPr>
                        <w:t>-</w:t>
                      </w:r>
                      <w:r>
                        <w:rPr>
                          <w:rFonts w:hint="eastAsia" w:ascii="黑体" w:hAnsi="黑体" w:eastAsia="黑体"/>
                          <w:sz w:val="36"/>
                          <w:szCs w:val="36"/>
                          <w:lang w:val="en-US" w:eastAsia="zh-CN"/>
                        </w:rPr>
                        <w:t>19</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r>
        <mc:AlternateContent>
          <mc:Choice Requires="wps">
            <w:drawing>
              <wp:anchor distT="0" distB="0" distL="114300" distR="114300" simplePos="0" relativeHeight="251661312" behindDoc="0" locked="1" layoutInCell="1" allowOverlap="1">
                <wp:simplePos x="0" y="0"/>
                <wp:positionH relativeFrom="margin">
                  <wp:posOffset>144145</wp:posOffset>
                </wp:positionH>
                <wp:positionV relativeFrom="margin">
                  <wp:posOffset>7559040</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摆锤动态撕裂冲击试验机校准规范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wps:txbx>
                      <wps:bodyPr lIns="0" tIns="0" rIns="0" bIns="0" upright="1"/>
                    </wps:wsp>
                  </a:graphicData>
                </a:graphic>
              </wp:anchor>
            </w:drawing>
          </mc:Choice>
          <mc:Fallback>
            <w:pict>
              <v:rect id="fmFrame7" o:spid="_x0000_s1026" o:spt="1" style="position:absolute;left:0pt;margin-left:11.35pt;margin-top:595.2pt;height:121.6pt;width:481.9pt;mso-position-horizontal-relative:margin;mso-position-vertical-relative:margin;z-index:251661312;mso-width-relative:page;mso-height-relative:page;" fillcolor="#FFFFFF" filled="t" stroked="f" coordsize="21600,21600" o:gfxdata="UEsDBAoAAAAAAIdO4kAAAAAAAAAAAAAAAAAEAAAAZHJzL1BLAwQUAAAACACHTuJAgf5NJdgAAAAM&#10;AQAADwAAAGRycy9kb3ducmV2LnhtbE2Py07DMBBF90j8gzVI7KidtIQ2xOmCh7omgLp142kc8COK&#10;nTbw9QwrWM6doztnqu3sLDvhGPvgJWQLAQx9G3TvOwlvr883a2AxKa+VDR4lfGGEbX15UalSh7N/&#10;wVOTOkYlPpZKgklpKDmPrUGn4iIM6Gl3DKNTicax43pUZyp3ludCFNyp3tMFowZ8MNh+NpOTsMse&#10;n4YP/t2onU04vZu5tftZyuurTNwDSzinPxh+9UkdanI6hMnryKyEPL8jkvJsI1bAiNisi1tgB4pW&#10;y2UBvK74/yfqH1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H+TSX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pPr>
                        <w:pStyle w:val="75"/>
                        <w:rPr>
                          <w:rFonts w:ascii="宋体" w:hAnsi="宋体" w:eastAsia="宋体" w:cs="宋体"/>
                          <w:spacing w:val="58"/>
                          <w:w w:val="120"/>
                          <w:kern w:val="2"/>
                          <w:sz w:val="28"/>
                          <w:szCs w:val="28"/>
                        </w:rPr>
                      </w:pPr>
                    </w:p>
                    <w:p>
                      <w:pPr>
                        <w:jc w:val="center"/>
                        <w:rPr>
                          <w:rFonts w:ascii="宋体" w:hAnsi="宋体" w:cs="宋体"/>
                          <w:spacing w:val="58"/>
                          <w:w w:val="120"/>
                          <w:sz w:val="28"/>
                          <w:szCs w:val="28"/>
                        </w:rPr>
                      </w:pPr>
                      <w:r>
                        <w:rPr>
                          <w:rFonts w:hint="eastAsia" w:ascii="宋体" w:hAnsi="宋体" w:cs="宋体"/>
                          <w:spacing w:val="58"/>
                          <w:w w:val="120"/>
                          <w:sz w:val="28"/>
                          <w:szCs w:val="28"/>
                        </w:rPr>
                        <w:t>摆锤动态撕裂冲击试验机校准规范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4"/>
                        <w:rPr>
                          <w:rFonts w:ascii="宋体" w:hAnsi="宋体" w:eastAsia="宋体" w:cs="宋体"/>
                          <w:sz w:val="28"/>
                          <w:szCs w:val="28"/>
                        </w:rPr>
                      </w:pPr>
                      <w:r>
                        <w:rPr>
                          <w:rFonts w:hint="eastAsia" w:ascii="宋体" w:hAnsi="宋体" w:eastAsia="宋体" w:cs="宋体"/>
                          <w:sz w:val="28"/>
                          <w:szCs w:val="28"/>
                        </w:rPr>
                        <w:t>主编单位：西安汉唐分析检测有限公司</w:t>
                      </w:r>
                    </w:p>
                  </w:txbxContent>
                </v:textbox>
                <w10:anchorlock/>
              </v:rect>
            </w:pict>
          </mc:Fallback>
        </mc:AlternateContent>
      </w: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98"/>
        <w:jc w:val="center"/>
        <w:rPr>
          <w:rFonts w:ascii="黑体" w:hAnsi="黑体" w:eastAsia="黑体"/>
          <w:sz w:val="24"/>
          <w:szCs w:val="24"/>
        </w:rPr>
      </w:pPr>
    </w:p>
    <w:p>
      <w:pPr>
        <w:pStyle w:val="2"/>
        <w:spacing w:before="156" w:after="156"/>
        <w:rPr>
          <w:b w:val="0"/>
          <w:bCs w:val="0"/>
        </w:rPr>
      </w:pPr>
      <w:r>
        <w:rPr>
          <w:rFonts w:hint="eastAsia"/>
          <w:b w:val="0"/>
          <w:bCs w:val="0"/>
        </w:rPr>
        <w:t>一、工作简况</w:t>
      </w:r>
      <w:bookmarkEnd w:id="0"/>
      <w:bookmarkStart w:id="2" w:name="_Toc464728896"/>
    </w:p>
    <w:p>
      <w:pPr>
        <w:pStyle w:val="3"/>
        <w:spacing w:before="156" w:after="156"/>
        <w:rPr>
          <w:b w:val="0"/>
          <w:bCs w:val="0"/>
        </w:rPr>
      </w:pPr>
      <w:r>
        <w:rPr>
          <w:rFonts w:hint="eastAsia"/>
          <w:b w:val="0"/>
          <w:bCs w:val="0"/>
        </w:rPr>
        <w:t>1.立项目的</w:t>
      </w:r>
    </w:p>
    <w:p>
      <w:pPr>
        <w:spacing w:line="400" w:lineRule="exact"/>
        <w:ind w:firstLine="555"/>
        <w:rPr>
          <w:rFonts w:hAnsi="宋体"/>
          <w:szCs w:val="21"/>
        </w:rPr>
      </w:pPr>
      <w:r>
        <w:rPr>
          <w:rFonts w:hint="eastAsia" w:hAnsi="宋体"/>
          <w:szCs w:val="21"/>
        </w:rPr>
        <w:t>摆锤动态撕裂冲击试验机是金属材料动态撕裂性能测试的常用设备，一般由基座、支座、摆锤、显示装置等部分组成。摆锤动态撕裂冲击试验机</w:t>
      </w:r>
      <w:r>
        <w:rPr>
          <w:rFonts w:hAnsi="宋体"/>
          <w:szCs w:val="21"/>
        </w:rPr>
        <w:t>的</w:t>
      </w:r>
      <w:r>
        <w:rPr>
          <w:rFonts w:hint="eastAsia" w:hAnsi="宋体"/>
          <w:szCs w:val="21"/>
        </w:rPr>
        <w:t>性能</w:t>
      </w:r>
      <w:r>
        <w:rPr>
          <w:rFonts w:hAnsi="宋体"/>
          <w:szCs w:val="21"/>
        </w:rPr>
        <w:t>直接影响测量结果的准确性，为</w:t>
      </w:r>
      <w:r>
        <w:rPr>
          <w:rFonts w:hint="eastAsia" w:hAnsi="宋体"/>
          <w:szCs w:val="21"/>
        </w:rPr>
        <w:t>保证摆锤动态撕裂冲击试验机测试结果的</w:t>
      </w:r>
      <w:r>
        <w:rPr>
          <w:rFonts w:hAnsi="宋体"/>
          <w:szCs w:val="21"/>
        </w:rPr>
        <w:t>准确可靠，需要对其进行</w:t>
      </w:r>
      <w:r>
        <w:rPr>
          <w:rFonts w:hint="eastAsia" w:hAnsi="宋体"/>
          <w:szCs w:val="21"/>
        </w:rPr>
        <w:t>校准</w:t>
      </w:r>
      <w:r>
        <w:rPr>
          <w:rFonts w:hAnsi="宋体"/>
          <w:szCs w:val="21"/>
        </w:rPr>
        <w:t>，保证其量值准确、可靠、有源可溯。</w:t>
      </w:r>
    </w:p>
    <w:p>
      <w:pPr>
        <w:pStyle w:val="21"/>
      </w:pPr>
      <w:r>
        <w:t>本规范重点解决了</w:t>
      </w:r>
      <w:r>
        <w:rPr>
          <w:rFonts w:hint="eastAsia"/>
        </w:rPr>
        <w:t>摆锤动态撕裂冲击试验机</w:t>
      </w:r>
      <w:r>
        <w:t>校准方法不统一、校准方法差异化、计量标准技术指标不明确、</w:t>
      </w:r>
      <w:r>
        <w:rPr>
          <w:rFonts w:hint="eastAsia"/>
        </w:rPr>
        <w:t>摆锤动态撕裂冲击试验机</w:t>
      </w:r>
      <w:r>
        <w:t>的校准方法未规定等问题，弥补</w:t>
      </w:r>
      <w:r>
        <w:rPr>
          <w:rFonts w:hint="eastAsia"/>
        </w:rPr>
        <w:t>摆锤动态撕裂冲击试验机</w:t>
      </w:r>
      <w:r>
        <w:t>校准的空白，为</w:t>
      </w:r>
      <w:r>
        <w:rPr>
          <w:rFonts w:hint="eastAsia"/>
        </w:rPr>
        <w:t>摆锤动态撕裂冲击试验机进行</w:t>
      </w:r>
      <w:r>
        <w:t>量值传递提供</w:t>
      </w:r>
      <w:r>
        <w:rPr>
          <w:rFonts w:hint="eastAsia"/>
        </w:rPr>
        <w:t>了有效</w:t>
      </w:r>
      <w:r>
        <w:t>保证，</w:t>
      </w:r>
      <w:r>
        <w:rPr>
          <w:rFonts w:hint="eastAsia"/>
        </w:rPr>
        <w:t>进一步</w:t>
      </w:r>
      <w:r>
        <w:t>提高</w:t>
      </w:r>
      <w:r>
        <w:rPr>
          <w:rFonts w:hint="eastAsia"/>
        </w:rPr>
        <w:t>了平面双轴试验系统</w:t>
      </w:r>
      <w:r>
        <w:t>的准确性，从而保证材料及制品测试结果的准确性，保障产品质量的稳定性。</w:t>
      </w:r>
    </w:p>
    <w:p>
      <w:pPr>
        <w:pStyle w:val="3"/>
        <w:spacing w:before="156" w:after="156"/>
        <w:rPr>
          <w:b w:val="0"/>
          <w:bCs w:val="0"/>
        </w:rPr>
      </w:pPr>
      <w:r>
        <w:rPr>
          <w:rFonts w:hint="eastAsia"/>
          <w:b w:val="0"/>
          <w:bCs w:val="0"/>
        </w:rPr>
        <w:t>2.任务来源</w:t>
      </w:r>
      <w:bookmarkEnd w:id="2"/>
    </w:p>
    <w:p>
      <w:pPr>
        <w:pStyle w:val="35"/>
        <w:spacing w:after="0" w:line="400" w:lineRule="exact"/>
        <w:ind w:firstLine="420" w:firstLineChars="200"/>
        <w:rPr>
          <w:szCs w:val="21"/>
        </w:rPr>
      </w:pPr>
      <w:r>
        <w:rPr>
          <w:rFonts w:hint="eastAsia" w:hAnsi="宋体"/>
          <w:szCs w:val="21"/>
        </w:rPr>
        <w:t>根据工业和信息化部《关于印发2023年行业计量技术规范制修订计划的通知》</w:t>
      </w:r>
      <w:r>
        <w:rPr>
          <w:bCs/>
        </w:rPr>
        <w:t>（工信厅科函［2023］476号）</w:t>
      </w:r>
      <w:r>
        <w:rPr>
          <w:rFonts w:hint="eastAsia" w:hAnsi="宋体"/>
          <w:szCs w:val="21"/>
        </w:rPr>
        <w:t>文的要求，行业计量技术规范《</w:t>
      </w:r>
      <w:r>
        <w:rPr>
          <w:rFonts w:hint="eastAsia"/>
        </w:rPr>
        <w:t>平面双轴试验系统</w:t>
      </w:r>
      <w:r>
        <w:rPr>
          <w:rFonts w:hint="eastAsia" w:hAnsi="宋体"/>
          <w:szCs w:val="21"/>
        </w:rPr>
        <w:t>校准规范》由</w:t>
      </w:r>
      <w:r>
        <w:t>西安汉唐分析检测有限公司</w:t>
      </w:r>
      <w:r>
        <w:rPr>
          <w:rFonts w:hint="eastAsia" w:hAnsi="宋体"/>
          <w:szCs w:val="21"/>
        </w:rPr>
        <w:t>负责起草。该项目计划编号为</w:t>
      </w:r>
      <w:r>
        <w:rPr>
          <w:rFonts w:hAnsi="宋体"/>
          <w:szCs w:val="21"/>
        </w:rPr>
        <w:t>JJF</w:t>
      </w:r>
      <w:r>
        <w:rPr>
          <w:rFonts w:hint="eastAsia" w:hAnsi="宋体"/>
          <w:szCs w:val="21"/>
        </w:rPr>
        <w:t>Z（有色金属）012-2</w:t>
      </w:r>
      <w:r>
        <w:rPr>
          <w:rFonts w:hAnsi="宋体"/>
          <w:szCs w:val="21"/>
        </w:rPr>
        <w:t>02</w:t>
      </w:r>
      <w:r>
        <w:rPr>
          <w:rFonts w:hint="eastAsia" w:hAnsi="宋体"/>
          <w:szCs w:val="21"/>
        </w:rPr>
        <w:t>3，</w:t>
      </w:r>
      <w:r>
        <w:rPr>
          <w:rFonts w:hint="eastAsia"/>
          <w:szCs w:val="21"/>
        </w:rPr>
        <w:t>按计划要求，本</w:t>
      </w:r>
      <w:r>
        <w:rPr>
          <w:rFonts w:hint="eastAsia"/>
        </w:rPr>
        <w:t>计量</w:t>
      </w:r>
      <w:r>
        <w:t>规范</w:t>
      </w:r>
      <w:r>
        <w:rPr>
          <w:rFonts w:hint="eastAsia"/>
          <w:szCs w:val="21"/>
        </w:rPr>
        <w:t>应于</w:t>
      </w:r>
      <w:r>
        <w:rPr>
          <w:szCs w:val="21"/>
        </w:rPr>
        <w:t>202</w:t>
      </w:r>
      <w:r>
        <w:rPr>
          <w:rFonts w:hint="eastAsia"/>
          <w:szCs w:val="21"/>
        </w:rPr>
        <w:t>5年完成制定</w:t>
      </w:r>
      <w:r>
        <w:rPr>
          <w:szCs w:val="21"/>
        </w:rPr>
        <w:t>。</w:t>
      </w:r>
    </w:p>
    <w:p>
      <w:pPr>
        <w:pStyle w:val="3"/>
        <w:spacing w:before="156" w:after="156"/>
        <w:rPr>
          <w:b w:val="0"/>
          <w:bCs w:val="0"/>
        </w:rPr>
      </w:pPr>
      <w:r>
        <w:rPr>
          <w:rFonts w:hint="eastAsia"/>
          <w:b w:val="0"/>
          <w:bCs w:val="0"/>
        </w:rPr>
        <w:t>3.项目编制组单位简况</w:t>
      </w:r>
    </w:p>
    <w:p>
      <w:pPr>
        <w:pStyle w:val="4"/>
        <w:spacing w:before="156" w:after="156"/>
        <w:rPr>
          <w:b w:val="0"/>
          <w:bCs w:val="0"/>
        </w:rPr>
      </w:pPr>
      <w:r>
        <w:rPr>
          <w:rFonts w:hint="eastAsia"/>
          <w:b w:val="0"/>
          <w:bCs w:val="0"/>
        </w:rPr>
        <w:t>3.1编制组成员单位</w:t>
      </w:r>
    </w:p>
    <w:p>
      <w:pPr>
        <w:widowControl/>
        <w:autoSpaceDE w:val="0"/>
        <w:autoSpaceDN w:val="0"/>
        <w:spacing w:line="400" w:lineRule="exact"/>
        <w:ind w:firstLine="420" w:firstLineChars="200"/>
        <w:rPr>
          <w:szCs w:val="21"/>
        </w:rPr>
      </w:pPr>
      <w:bookmarkStart w:id="3" w:name="_Toc462884344"/>
      <w:bookmarkStart w:id="4" w:name="_Toc464728900"/>
      <w:r>
        <w:rPr>
          <w:rFonts w:hint="eastAsia"/>
          <w:szCs w:val="21"/>
        </w:rPr>
        <w:t>本规范的编制组单位为：</w:t>
      </w:r>
      <w:r>
        <w:rPr>
          <w:color w:val="333333"/>
          <w:szCs w:val="21"/>
          <w:shd w:val="clear" w:color="auto" w:fill="FFFFFF"/>
        </w:rPr>
        <w:t>中国石油集团工程材料研究院有限公司</w:t>
      </w:r>
      <w:r>
        <w:rPr>
          <w:rFonts w:hint="eastAsia"/>
          <w:szCs w:val="21"/>
        </w:rPr>
        <w:t>、</w:t>
      </w:r>
      <w:r>
        <w:rPr>
          <w:color w:val="333333"/>
          <w:szCs w:val="21"/>
          <w:shd w:val="clear" w:color="auto" w:fill="FFFFFF"/>
        </w:rPr>
        <w:t>西安建筑科技大学</w:t>
      </w:r>
      <w:r>
        <w:rPr>
          <w:rFonts w:hint="eastAsia"/>
          <w:color w:val="333333"/>
          <w:szCs w:val="21"/>
          <w:shd w:val="clear" w:color="auto" w:fill="FFFFFF"/>
          <w:lang w:eastAsia="zh-CN"/>
        </w:rPr>
        <w:t>、湖南湘投金天钛业科技股份有限公司、</w:t>
      </w:r>
      <w:r>
        <w:rPr>
          <w:rFonts w:hint="eastAsia"/>
          <w:szCs w:val="21"/>
        </w:rPr>
        <w:t>。</w:t>
      </w:r>
    </w:p>
    <w:p>
      <w:pPr>
        <w:pStyle w:val="4"/>
        <w:spacing w:before="156" w:after="156"/>
        <w:rPr>
          <w:b w:val="0"/>
          <w:bCs w:val="0"/>
        </w:rPr>
      </w:pPr>
      <w:r>
        <w:rPr>
          <w:rFonts w:hint="eastAsia"/>
          <w:b w:val="0"/>
          <w:bCs w:val="0"/>
        </w:rPr>
        <w:t>3.2 主编单位简介</w:t>
      </w:r>
    </w:p>
    <w:bookmarkEnd w:id="3"/>
    <w:bookmarkEnd w:id="4"/>
    <w:p>
      <w:pPr>
        <w:spacing w:line="400" w:lineRule="exact"/>
        <w:ind w:firstLine="420" w:firstLineChars="200"/>
        <w:contextualSpacing/>
        <w:jc w:val="left"/>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pPr>
        <w:spacing w:line="400" w:lineRule="exact"/>
        <w:ind w:firstLine="420" w:firstLineChars="200"/>
        <w:contextualSpacing/>
        <w:jc w:val="left"/>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400" w:lineRule="exact"/>
        <w:ind w:firstLine="420" w:firstLineChars="200"/>
        <w:contextualSpacing/>
        <w:jc w:val="left"/>
        <w:rPr>
          <w:szCs w:val="21"/>
        </w:rPr>
      </w:pPr>
      <w:r>
        <w:rPr>
          <w:rFonts w:hint="eastAsia"/>
          <w:szCs w:val="21"/>
        </w:rPr>
        <w:t>该单位主要负责本规范的起草工作，成立编制组并根据委员会的工作安排组织编制组成员单位开展相关校准工作，组织各单位对规范的《征求意见稿》进行认真的讨论，并就提出的意见和建议进行反馈和修改，在编制组中发挥了主要带头作用。</w:t>
      </w:r>
    </w:p>
    <w:p>
      <w:pPr>
        <w:pStyle w:val="60"/>
        <w:numPr>
          <w:ilvl w:val="0"/>
          <w:numId w:val="0"/>
        </w:numPr>
        <w:spacing w:before="156" w:beforeLines="50" w:after="156" w:afterLines="50"/>
        <w:rPr>
          <w:color w:val="auto"/>
        </w:rPr>
      </w:pPr>
      <w:bookmarkStart w:id="5" w:name="_Toc464728901"/>
      <w:bookmarkStart w:id="6" w:name="_Toc462884345"/>
      <w:r>
        <w:rPr>
          <w:rFonts w:hint="eastAsia"/>
          <w:color w:val="auto"/>
        </w:rPr>
        <w:t>3.3成员单位简介</w:t>
      </w:r>
      <w:bookmarkEnd w:id="5"/>
      <w:bookmarkEnd w:id="6"/>
    </w:p>
    <w:p>
      <w:pPr>
        <w:pStyle w:val="59"/>
        <w:numPr>
          <w:ilvl w:val="0"/>
          <w:numId w:val="0"/>
        </w:numPr>
        <w:spacing w:before="156" w:beforeLines="50" w:after="156" w:afterLines="50"/>
        <w:contextualSpacing/>
      </w:pPr>
      <w:r>
        <w:rPr>
          <w:rFonts w:hint="eastAsia"/>
        </w:rPr>
        <w:t>3.3.1</w:t>
      </w:r>
      <w:r>
        <w:rPr>
          <w:rFonts w:hint="eastAsia" w:ascii="Times New Roman"/>
        </w:rPr>
        <w:t xml:space="preserve">  </w:t>
      </w:r>
      <w:r>
        <w:t>中国石油集团工程材料研究院有限公司</w:t>
      </w:r>
    </w:p>
    <w:p>
      <w:pPr>
        <w:pStyle w:val="37"/>
        <w:shd w:val="clear" w:color="auto" w:fill="FFFFFF"/>
        <w:spacing w:beforeAutospacing="0" w:afterAutospacing="0" w:line="300" w:lineRule="auto"/>
        <w:ind w:firstLine="420" w:firstLineChars="200"/>
        <w:jc w:val="both"/>
        <w:rPr>
          <w:rFonts w:ascii="Times New Roman" w:hAnsi="Times New Roman"/>
          <w:color w:val="333333"/>
          <w:sz w:val="21"/>
          <w:szCs w:val="21"/>
        </w:rPr>
      </w:pPr>
      <w:r>
        <w:rPr>
          <w:rFonts w:ascii="Times New Roman" w:hAnsi="Times New Roman"/>
          <w:color w:val="333333"/>
          <w:sz w:val="21"/>
          <w:szCs w:val="21"/>
          <w:shd w:val="clear" w:color="auto" w:fill="FFFFFF"/>
        </w:rPr>
        <w:t>中国石油集团工程材料研究院有限公司是中国石油天然气集团有限公司的直属研究院，院本部坐落于古城西安高新技术产业开发区，是我国在石油管及装备材料领域唯一从事科学研究、质量标准、成果转化“三位一体”的权威科研机构，也是石油石化行业（涵盖油气开发、管道储运、炼油化工、工程技术、装备制造、工程建设、新能源等领域）唯一从事工程材料的科技创新中心。工程材料研究院以建设世界一流研究院为目标，致力于打造科技创新、质量标准、成果转化“三个平台”，构建成果、技术、创效、人才“四大高地”，努力建设精干高效、独具特色的高质量科技创新体系，矢志成为国际石油管及装备材料技术引领者和先进工程材料原创技术策源地。</w:t>
      </w:r>
    </w:p>
    <w:p>
      <w:pPr>
        <w:pStyle w:val="37"/>
        <w:shd w:val="clear" w:color="auto" w:fill="FFFFFF"/>
        <w:spacing w:beforeAutospacing="0" w:afterAutospacing="0" w:line="300" w:lineRule="auto"/>
        <w:ind w:firstLine="420" w:firstLineChars="200"/>
        <w:jc w:val="both"/>
        <w:rPr>
          <w:rFonts w:hint="eastAsia"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在为国家和石油行业做出重要成绩的同时，工程材料研究院也得到了长足发展，在资质、装备、人才、技术等方面具有独特优势，成为国内一流、国际知名的研究院。获得全国重点实验室和国家市场监管重点实验室、国家质检中心、国际标准化机构SC2副主席单位和国行标秘书处等43项重要机构、资质和授权；建立了金属和非金属、微观分析和全尺寸模拟的国际先进水平的试验研究装备体系。同时，构建和完善石油管材标准体系，包括国家、行业、企业和团体标准，成为ISO/TC67/SC2副主席单位和SC5中方技术归口单位，制修订一批国际标准，增强了在ISO等国际标准组织的话语权。</w:t>
      </w:r>
    </w:p>
    <w:p>
      <w:pPr>
        <w:spacing w:line="400" w:lineRule="exact"/>
        <w:ind w:firstLine="420" w:firstLineChars="200"/>
        <w:contextualSpacing/>
        <w:jc w:val="left"/>
        <w:rPr>
          <w:szCs w:val="21"/>
        </w:rPr>
      </w:pPr>
      <w:r>
        <w:rPr>
          <w:rFonts w:hint="eastAsia"/>
          <w:szCs w:val="21"/>
        </w:rPr>
        <w:t>该单位积极参与编制组的各项工作会议，开展相关的资料收集工作，在编制组中发挥了主要作用。</w:t>
      </w:r>
    </w:p>
    <w:p>
      <w:pPr>
        <w:pStyle w:val="59"/>
        <w:numPr>
          <w:ilvl w:val="0"/>
          <w:numId w:val="0"/>
        </w:numPr>
        <w:spacing w:before="156" w:beforeLines="50" w:after="156" w:afterLines="50"/>
        <w:contextualSpacing/>
      </w:pPr>
      <w:r>
        <w:rPr>
          <w:rFonts w:hint="eastAsia"/>
        </w:rPr>
        <w:t>3.3.2</w:t>
      </w:r>
      <w:r>
        <w:rPr>
          <w:rFonts w:hint="eastAsia" w:ascii="Times New Roman"/>
        </w:rPr>
        <w:t xml:space="preserve">  </w:t>
      </w:r>
      <w:r>
        <w:rPr>
          <w:rFonts w:ascii="Times New Roman" w:hAnsi="Times New Roman"/>
          <w:color w:val="333333"/>
          <w:szCs w:val="21"/>
          <w:shd w:val="clear" w:color="auto" w:fill="FFFFFF"/>
        </w:rPr>
        <w:t>西安建筑科技大学</w:t>
      </w:r>
    </w:p>
    <w:p>
      <w:pPr>
        <w:pStyle w:val="37"/>
        <w:shd w:val="clear" w:color="auto" w:fill="FFFFFF"/>
        <w:spacing w:beforeAutospacing="0" w:afterAutospacing="0" w:line="300" w:lineRule="auto"/>
        <w:ind w:firstLine="420" w:firstLineChars="200"/>
        <w:jc w:val="both"/>
        <w:rPr>
          <w:rFonts w:ascii="Times New Roman" w:hAnsi="Times New Roman"/>
          <w:color w:val="333333"/>
          <w:sz w:val="21"/>
          <w:szCs w:val="21"/>
          <w:shd w:val="clear" w:color="auto" w:fill="FFFFFF"/>
        </w:rPr>
      </w:pPr>
      <w:bookmarkStart w:id="7" w:name="_Toc464728903"/>
      <w:bookmarkStart w:id="8" w:name="_Toc462884347"/>
      <w:r>
        <w:rPr>
          <w:rFonts w:ascii="Times New Roman" w:hAnsi="Times New Roman"/>
          <w:color w:val="333333"/>
          <w:sz w:val="21"/>
          <w:szCs w:val="21"/>
          <w:shd w:val="clear" w:color="auto" w:fill="FFFFFF"/>
        </w:rPr>
        <w:t>西安建筑科技大学坐落于历史文化名城西安，现有雁塔、草堂两个校区和一个大学科技园区。学校办学历史悠久、底蕴深厚，最早可追溯到始建于1895年的天津北洋西学学堂，1956年全国高等院校院系调整时，由原东北工学院、西北工学院、青岛工学院和苏南工业专科学校的土木、建筑、市政系（科）整建制合并而成，积淀了我国近代高等教育史上最早的一批土木、建筑、环境类系（科），时名“西安建筑工程学院”，是新中国西北地区第一所本科学制的建筑类高等学府，我国著名的土木、建筑“老八校”之一，原冶金工业部直属重点大学。1959年和1963年，学校先后易名为“西安冶金学院”“西安冶金建筑学院”；1994年3月8日，经原国家教委批准，更名为“西安建筑科技大学”。1998年，学校划转陕西省人民政府管理。现为“国家建设高水平大学项目”和“中西部高校基础能力建设工程”实施院校、陕西省、教育部与住房和城乡建设部共建高校。</w:t>
      </w:r>
    </w:p>
    <w:p>
      <w:pPr>
        <w:pStyle w:val="37"/>
        <w:shd w:val="clear" w:color="auto" w:fill="FFFFFF"/>
        <w:spacing w:beforeAutospacing="0" w:afterAutospacing="0" w:line="300" w:lineRule="auto"/>
        <w:ind w:firstLine="420" w:firstLineChars="200"/>
        <w:jc w:val="both"/>
        <w:rPr>
          <w:rFonts w:ascii="Times New Roman" w:hAnsi="Times New Roman"/>
          <w:color w:val="auto"/>
          <w:sz w:val="21"/>
          <w:szCs w:val="21"/>
          <w:shd w:val="clear" w:color="auto" w:fill="FFFFFF"/>
        </w:rPr>
      </w:pPr>
      <w:r>
        <w:rPr>
          <w:rFonts w:ascii="Times New Roman" w:hAnsi="Times New Roman"/>
          <w:color w:val="333333"/>
          <w:sz w:val="21"/>
          <w:szCs w:val="21"/>
          <w:shd w:val="clear" w:color="auto" w:fill="FFFFFF"/>
        </w:rPr>
        <w:t>2010年以来，学校先后荣获国家技术发明二等奖2项，国家科技进步二等奖9项。累计获国家教学成果奖10项，国家优秀教材奖3项，“何梁何利基金科学与技术进步奖”1项，入选“中国高等学校十大科技进展”1项，科学探索奖1项，获首届全国创新争先奖状。在国家重大教育教学改革中，学校先后入选国家“卓越工程师教育培养计划”实施学校、“研究生专业学位教育综合改革试点单位”和“国家高水平大学公派研究生项目平台和优秀本科生国际交流项目实施院校”；入选“全国深化创新创业教育改革示范高校”、“工程硕士教育创新院校”和首批“国家级创新创业学院建设单位”；入选教育部首届“全国毕业生就业典型经验高校”，入选教育部“全国国防教育特色学校”。学校学生在竞赛活动中屡创佳绩，在第八届中国国际“互联网+”大学生创新创业大赛中获金奖1项；在第十七届“挑战杯”全国大学生课外学术科技作品竞赛中获特等奖1项，摘得全国“优胜杯”；在第十二届“挑战杯”中国大学生创业计划竞赛中获金奖3项，摘得全国“优胜杯”；在第六届全国大学生艺术展演中获一等奖3项；在第27届国际建协UIA大学生建筑设计竞赛中获全球最高奖；此外在全国大学生数学建模竞赛、大学生英语竞赛、大学生结构设计竞赛、大学生先进成图、电子商务“创新、创意及创业”挑战赛、高校BIM毕业设计创新大赛、</w:t>
      </w:r>
      <w:r>
        <w:rPr>
          <w:rFonts w:ascii="Times New Roman" w:hAnsi="Times New Roman"/>
          <w:color w:val="auto"/>
          <w:sz w:val="21"/>
          <w:szCs w:val="21"/>
          <w:shd w:val="clear" w:color="auto" w:fill="FFFFFF"/>
        </w:rPr>
        <w:t>高校数字艺术设计大赛、金相技能大赛、三维数字化大赛等多项竞赛中屡获最高奖项。</w:t>
      </w:r>
    </w:p>
    <w:p>
      <w:pPr>
        <w:spacing w:line="400" w:lineRule="exact"/>
        <w:ind w:firstLine="420" w:firstLineChars="200"/>
        <w:contextualSpacing/>
        <w:jc w:val="left"/>
        <w:rPr>
          <w:rFonts w:hint="eastAsia"/>
          <w:color w:val="auto"/>
          <w:szCs w:val="21"/>
        </w:rPr>
      </w:pPr>
      <w:r>
        <w:rPr>
          <w:rFonts w:hint="eastAsia"/>
          <w:color w:val="auto"/>
          <w:szCs w:val="21"/>
        </w:rPr>
        <w:t>该单位积极参与编制组的各项工作会议，开展相关的资料收集工作，在编制组中发挥了主要作用。</w:t>
      </w:r>
    </w:p>
    <w:p>
      <w:pPr>
        <w:pStyle w:val="59"/>
        <w:numPr>
          <w:ilvl w:val="0"/>
          <w:numId w:val="0"/>
        </w:numPr>
        <w:spacing w:before="156" w:beforeLines="50" w:after="156" w:afterLines="50"/>
        <w:contextualSpacing/>
        <w:rPr>
          <w:rFonts w:hint="eastAsia"/>
          <w:color w:val="auto"/>
          <w:szCs w:val="21"/>
        </w:rPr>
      </w:pPr>
      <w:r>
        <w:rPr>
          <w:rFonts w:hint="eastAsia"/>
          <w:color w:val="auto"/>
        </w:rPr>
        <w:t>3.3.</w:t>
      </w:r>
      <w:r>
        <w:rPr>
          <w:rFonts w:hint="eastAsia"/>
          <w:color w:val="auto"/>
          <w:lang w:val="en-US" w:eastAsia="zh-CN"/>
        </w:rPr>
        <w:t>3</w:t>
      </w:r>
      <w:r>
        <w:rPr>
          <w:rFonts w:hint="eastAsia" w:ascii="Times New Roman"/>
          <w:color w:val="auto"/>
        </w:rPr>
        <w:t xml:space="preserve">  </w:t>
      </w:r>
      <w:r>
        <w:rPr>
          <w:rFonts w:hint="eastAsia"/>
          <w:color w:val="auto"/>
          <w:szCs w:val="21"/>
        </w:rPr>
        <w:t>湖南湘投金天钛业科技股份有限公司</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color w:val="auto"/>
          <w:szCs w:val="21"/>
        </w:rPr>
      </w:pPr>
      <w:r>
        <w:rPr>
          <w:rFonts w:hint="eastAsia"/>
          <w:color w:val="auto"/>
          <w:szCs w:val="21"/>
        </w:rPr>
        <w:t> </w:t>
      </w:r>
      <w:r>
        <w:rPr>
          <w:rFonts w:hint="default"/>
          <w:color w:val="auto"/>
          <w:szCs w:val="21"/>
        </w:rPr>
        <w:t>湖南湘投金天钛业科技股份有限公司（以下简称“公司”）控股股东为湖南省能源投资集团全资子公司湖南湘投金天科技集团有限责任公司，是一家从事高端钛及钛合金材料的研发、生产、销售为一体的高新技术企业，公司注册资本3.7亿元人民币，位于常德经济技术开发区，占地450亩。拥有国家级专精特新小巨人企业、湖南省高端装备特种钛合金工程技术研究中心、湖南省企业技术中心、湖南省工业品牌培育示范企业、博士后科研工作站等授牌。公司始终以“瞄准国家战略目标，打造高端装备钛合金材料先进制造平台与人才集聚创新高地”为发展方向，按照“高起点、专业化、高端化”的发展思路，本着“以人才为根本、客户需求为导向、创新驱动为动能、产品质量为生命”经营理念，拥有国际先进的钛合金材料生产线与检测实验室，以及国内两用市场准入资质、AS9100D认证、Nadcap认证、CNAS认证等资格认证。通过开展产学研用合作与积极培育自主创新体系建设，研制生产的钛及钛合金棒材、锻坯、零部件广泛应用于航空航天、海洋舰船、兵器等领域，是中国高端装备钛合金材料与零部件重要供应商。</w:t>
      </w:r>
    </w:p>
    <w:p>
      <w:pPr>
        <w:spacing w:line="400" w:lineRule="exact"/>
        <w:ind w:firstLine="420" w:firstLineChars="200"/>
        <w:contextualSpacing/>
        <w:jc w:val="left"/>
        <w:rPr>
          <w:rFonts w:hint="eastAsia"/>
          <w:color w:val="auto"/>
          <w:szCs w:val="21"/>
        </w:rPr>
      </w:pPr>
      <w:r>
        <w:rPr>
          <w:rFonts w:hint="eastAsia"/>
          <w:color w:val="auto"/>
          <w:szCs w:val="21"/>
        </w:rPr>
        <w:t>该单位积极参与编制组的各项工作会议，开展相关的资料收集工作，在编制组中发挥了主要作用。</w:t>
      </w:r>
    </w:p>
    <w:p>
      <w:pPr>
        <w:pStyle w:val="59"/>
        <w:numPr>
          <w:ilvl w:val="0"/>
          <w:numId w:val="0"/>
        </w:numPr>
        <w:spacing w:before="156" w:beforeLines="50" w:after="156" w:afterLines="50"/>
        <w:contextualSpacing/>
        <w:rPr>
          <w:rFonts w:hint="eastAsia"/>
          <w:color w:val="auto"/>
          <w:szCs w:val="21"/>
        </w:rPr>
      </w:pPr>
      <w:r>
        <w:rPr>
          <w:rFonts w:hint="eastAsia"/>
          <w:color w:val="auto"/>
        </w:rPr>
        <w:t>3.3.</w:t>
      </w:r>
      <w:r>
        <w:rPr>
          <w:rFonts w:hint="eastAsia"/>
          <w:color w:val="auto"/>
          <w:lang w:val="en-US" w:eastAsia="zh-CN"/>
        </w:rPr>
        <w:t>4</w:t>
      </w:r>
      <w:r>
        <w:rPr>
          <w:rFonts w:hint="eastAsia" w:ascii="Times New Roman"/>
          <w:color w:val="auto"/>
        </w:rPr>
        <w:t xml:space="preserve">  </w:t>
      </w:r>
      <w:r>
        <w:rPr>
          <w:rFonts w:hint="eastAsia"/>
          <w:color w:val="auto"/>
          <w:szCs w:val="21"/>
        </w:rPr>
        <w:t>国标（北京）检验认证有限公司</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eastAsia"/>
          <w:color w:val="auto"/>
          <w:szCs w:val="21"/>
        </w:rPr>
      </w:pPr>
      <w:r>
        <w:rPr>
          <w:rFonts w:hint="eastAsia"/>
          <w:color w:val="auto"/>
          <w:szCs w:val="21"/>
        </w:rPr>
        <w:t>标准（北京）检验认证有限公司（简称标准公司，英文简称GTC），是中国的第三方检验认证服务机构，致力于为客户提供一站式质量保障服务。公司前身为北京有色金属研究总院分析测试技术研究所，同时运行管理着“地区有色金属质量监督检验中心”和“地区有色金属及电子材料分析测试中心”，分别由原地区质量技术监督局于1985年批准建立和原地区科委于1983年批准建立。 标准公司通过ISO 17025实验室地区认可(CNAS)、中国计量认证(CMA)、实验室审查认可（CAL）、培训机构资质认证（NTC）等，是地区工业与信息化部挂牌“有色金属标准样品研制单位（YSRK 07-2014）”、 “多晶硅行业准入检测测评实验室”、“工业(有色金属及半导体材料)产品质量控制及评价实验室”；中国有色金属工业协会认定的“有色金属失效分析行业实验室”；中关村高新技术企业园区挂牌的开放实验室；“航天器材料质量机构”；中国船级社检测和试验机构；同时是中国有色金属学会理化检验学术、中国稀土学会理化检验的主任委员单位。 标准公司主营业务涉及第三方检测服务，分析测试仪器装备及配件的研制和销售、标准物质/样品、无损检测设备检定、分析检测人员培训、实验室规划设计、特种功能材料研发与生产等领域。公司是中国第三方金属检测的成员之一者，主要从事有色金属、黑色金属、矿物材料、建筑材料、环境样品等的分析检测服务；服务项目包括化学成分成分、组织结构分析、物理性能测试、力学性能测试、无损探伤检测等。</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color w:val="auto"/>
          <w:kern w:val="0"/>
          <w:sz w:val="21"/>
          <w:szCs w:val="21"/>
          <w:shd w:val="clear" w:color="auto" w:fill="FFFFFF"/>
          <w:lang w:val="en-US" w:eastAsia="zh-CN" w:bidi="ar-SA"/>
        </w:rPr>
      </w:pPr>
      <w:r>
        <w:rPr>
          <w:rFonts w:hint="default" w:ascii="Times New Roman" w:hAnsi="Times New Roman" w:eastAsia="宋体" w:cs="宋体"/>
          <w:color w:val="auto"/>
          <w:kern w:val="0"/>
          <w:sz w:val="21"/>
          <w:szCs w:val="21"/>
          <w:shd w:val="clear" w:color="auto" w:fill="FFFFFF"/>
          <w:lang w:val="en-US" w:eastAsia="zh-CN" w:bidi="ar-SA"/>
        </w:rPr>
        <w:t>该单位积极参与编制组的各项工作会议，对规范计量特性提出了有效建议，在编制组中发挥了主要作用，作为</w:t>
      </w:r>
      <w:r>
        <w:rPr>
          <w:rFonts w:hint="eastAsia" w:ascii="Times New Roman" w:hAnsi="Times New Roman" w:cs="宋体"/>
          <w:color w:val="auto"/>
          <w:kern w:val="0"/>
          <w:sz w:val="21"/>
          <w:szCs w:val="21"/>
          <w:shd w:val="clear" w:color="auto" w:fill="FFFFFF"/>
          <w:lang w:val="en-US" w:eastAsia="zh-CN" w:bidi="ar-SA"/>
        </w:rPr>
        <w:t>一</w:t>
      </w:r>
      <w:r>
        <w:rPr>
          <w:rFonts w:hint="default" w:ascii="Times New Roman" w:hAnsi="Times New Roman" w:eastAsia="宋体" w:cs="宋体"/>
          <w:color w:val="auto"/>
          <w:kern w:val="0"/>
          <w:sz w:val="21"/>
          <w:szCs w:val="21"/>
          <w:shd w:val="clear" w:color="auto" w:fill="FFFFFF"/>
          <w:lang w:val="en-US" w:eastAsia="zh-CN" w:bidi="ar-SA"/>
        </w:rPr>
        <w:t>验单位开展了相关的验证试验。</w:t>
      </w:r>
    </w:p>
    <w:p>
      <w:pPr>
        <w:pStyle w:val="59"/>
        <w:numPr>
          <w:ilvl w:val="0"/>
          <w:numId w:val="0"/>
        </w:numPr>
        <w:spacing w:before="156" w:beforeLines="50" w:after="156" w:afterLines="50"/>
        <w:contextualSpacing/>
        <w:rPr>
          <w:rFonts w:hint="eastAsia"/>
          <w:color w:val="auto"/>
          <w:szCs w:val="21"/>
        </w:rPr>
      </w:pPr>
      <w:r>
        <w:rPr>
          <w:rFonts w:hint="eastAsia"/>
          <w:color w:val="auto"/>
        </w:rPr>
        <w:t>3.3.</w:t>
      </w:r>
      <w:r>
        <w:rPr>
          <w:rFonts w:hint="eastAsia"/>
          <w:color w:val="auto"/>
          <w:lang w:val="en-US" w:eastAsia="zh-CN"/>
        </w:rPr>
        <w:t>5</w:t>
      </w:r>
      <w:r>
        <w:rPr>
          <w:rFonts w:hint="eastAsia" w:ascii="Times New Roman"/>
          <w:color w:val="auto"/>
        </w:rPr>
        <w:t xml:space="preserve">  </w:t>
      </w:r>
      <w:r>
        <w:rPr>
          <w:rFonts w:hint="eastAsia"/>
          <w:color w:val="auto"/>
          <w:szCs w:val="21"/>
        </w:rPr>
        <w:t>西南铝业（集团）有限责任公司</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color w:val="333333"/>
          <w:kern w:val="0"/>
          <w:sz w:val="21"/>
          <w:szCs w:val="21"/>
          <w:shd w:val="clear" w:color="auto" w:fill="FFFFFF"/>
          <w:lang w:val="en-US" w:eastAsia="zh-CN" w:bidi="ar-SA"/>
        </w:rPr>
      </w:pPr>
      <w:r>
        <w:rPr>
          <w:rFonts w:hint="default" w:ascii="Times New Roman" w:hAnsi="Times New Roman" w:eastAsia="宋体" w:cs="宋体"/>
          <w:color w:val="auto"/>
          <w:kern w:val="0"/>
          <w:sz w:val="21"/>
          <w:szCs w:val="21"/>
          <w:shd w:val="clear" w:color="auto" w:fill="FFFFFF"/>
          <w:lang w:val="en-US" w:eastAsia="zh-CN" w:bidi="ar-SA"/>
        </w:rPr>
        <w:t>西南铝业（集团）有限责任公司（简称西南铝）是中铝集团、中铝高端核心铝加工企业，其前身是西南铝加工厂。经过近60年的发展，已成为我国</w:t>
      </w:r>
      <w:r>
        <w:rPr>
          <w:rFonts w:hint="default" w:ascii="Times New Roman" w:hAnsi="Times New Roman" w:eastAsia="宋体" w:cs="宋体"/>
          <w:color w:val="333333"/>
          <w:kern w:val="0"/>
          <w:sz w:val="21"/>
          <w:szCs w:val="21"/>
          <w:shd w:val="clear" w:color="auto" w:fill="FFFFFF"/>
          <w:lang w:val="en-US" w:eastAsia="zh-CN" w:bidi="ar-SA"/>
        </w:rPr>
        <w:t>综合实力最强的特大型铝加工企业之一，是我国航空航天和重点工程材料研发保障、高精尖铝材研发生产和出口的核心基地，正朝着制造业高端化、智能化、绿色化方向高质量发展！西南铝荟萃了中国现代铝加工技术装备的精华，装备有以 3 万吨模锻压机为代表的“四大国宝”，以及高精铝及铝合金板带材热连轧生产线、冷连轧生产线、铝合金厚板生产线，形成了航空航天、重点工程、交通运输、金属包装、电子信息、通用工程用铝材等 6 大系列支柱产品。</w:t>
      </w:r>
    </w:p>
    <w:p>
      <w:pPr>
        <w:pStyle w:val="58"/>
        <w:keepNext w:val="0"/>
        <w:keepLines w:val="0"/>
        <w:pageBreakBefore w:val="0"/>
        <w:widowControl/>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宋体"/>
          <w:color w:val="333333"/>
          <w:kern w:val="0"/>
          <w:sz w:val="21"/>
          <w:szCs w:val="21"/>
          <w:shd w:val="clear" w:color="auto" w:fill="FFFFFF"/>
          <w:lang w:val="en-US" w:eastAsia="zh-CN" w:bidi="ar-SA"/>
        </w:rPr>
      </w:pPr>
      <w:r>
        <w:rPr>
          <w:rFonts w:hint="default" w:ascii="Times New Roman" w:hAnsi="Times New Roman" w:eastAsia="宋体" w:cs="宋体"/>
          <w:color w:val="333333"/>
          <w:kern w:val="0"/>
          <w:sz w:val="21"/>
          <w:szCs w:val="21"/>
          <w:shd w:val="clear" w:color="auto" w:fill="FFFFFF"/>
          <w:lang w:val="en-US" w:eastAsia="zh-CN" w:bidi="ar-SA"/>
        </w:rPr>
        <w:t>该单位积极参与编制组的各项工作会议，对规范计量特性提出了有效建议，在编制组中发挥了主要作用，作为</w:t>
      </w:r>
      <w:r>
        <w:rPr>
          <w:rFonts w:hint="eastAsia" w:ascii="Times New Roman" w:hAnsi="Times New Roman" w:cs="宋体"/>
          <w:color w:val="333333"/>
          <w:kern w:val="0"/>
          <w:sz w:val="21"/>
          <w:szCs w:val="21"/>
          <w:shd w:val="clear" w:color="auto" w:fill="FFFFFF"/>
          <w:lang w:val="en-US" w:eastAsia="zh-CN" w:bidi="ar-SA"/>
        </w:rPr>
        <w:t>二</w:t>
      </w:r>
      <w:r>
        <w:rPr>
          <w:rFonts w:hint="default" w:ascii="Times New Roman" w:hAnsi="Times New Roman" w:eastAsia="宋体" w:cs="宋体"/>
          <w:color w:val="333333"/>
          <w:kern w:val="0"/>
          <w:sz w:val="21"/>
          <w:szCs w:val="21"/>
          <w:shd w:val="clear" w:color="auto" w:fill="FFFFFF"/>
          <w:lang w:val="en-US" w:eastAsia="zh-CN" w:bidi="ar-SA"/>
        </w:rPr>
        <w:t>验单位开展了相关的验证试验。</w:t>
      </w:r>
    </w:p>
    <w:p>
      <w:pPr>
        <w:pStyle w:val="60"/>
        <w:numPr>
          <w:ilvl w:val="0"/>
          <w:numId w:val="0"/>
        </w:numPr>
        <w:spacing w:before="156" w:beforeLines="50" w:after="156" w:afterLines="50"/>
        <w:rPr>
          <w:color w:val="auto"/>
        </w:rPr>
      </w:pPr>
      <w:r>
        <w:rPr>
          <w:rFonts w:hint="eastAsia"/>
          <w:color w:val="auto"/>
        </w:rPr>
        <w:t>3.4各单位分工情况</w:t>
      </w:r>
    </w:p>
    <w:p>
      <w:pPr>
        <w:pStyle w:val="59"/>
        <w:numPr>
          <w:ilvl w:val="3"/>
          <w:numId w:val="0"/>
        </w:numPr>
        <w:spacing w:before="156" w:beforeLines="50" w:after="156" w:afterLines="50"/>
        <w:ind w:left="2"/>
        <w:contextualSpacing/>
        <w:rPr>
          <w:rFonts w:ascii="宋体" w:hAnsi="宋体" w:eastAsia="宋体" w:cs="宋体"/>
          <w:color w:val="auto"/>
          <w:kern w:val="2"/>
          <w:szCs w:val="21"/>
        </w:rPr>
      </w:pPr>
      <w:r>
        <w:rPr>
          <w:rFonts w:hint="eastAsia" w:hAnsi="Times New Roman" w:cs="宋体"/>
          <w:color w:val="auto"/>
          <w:kern w:val="2"/>
          <w:szCs w:val="21"/>
        </w:rPr>
        <w:t>3.4.1　</w:t>
      </w:r>
      <w:r>
        <w:rPr>
          <w:rFonts w:hint="eastAsia" w:ascii="Times New Roman" w:hAnsi="Times New Roman" w:eastAsia="宋体"/>
          <w:color w:val="auto"/>
          <w:spacing w:val="0"/>
          <w:kern w:val="2"/>
          <w:szCs w:val="21"/>
        </w:rPr>
        <w:t>编制组依据各单位情况，对整个规范的起草进行了分工。西安汉唐分析检测有限公司</w:t>
      </w:r>
      <w:r>
        <w:rPr>
          <w:rFonts w:ascii="Times New Roman" w:hAnsi="Times New Roman" w:eastAsia="宋体"/>
          <w:color w:val="auto"/>
          <w:spacing w:val="0"/>
          <w:kern w:val="2"/>
          <w:szCs w:val="21"/>
        </w:rPr>
        <w:t>负责</w:t>
      </w:r>
      <w:r>
        <w:rPr>
          <w:rFonts w:hint="eastAsia" w:ascii="Times New Roman" w:hAnsi="Times New Roman" w:eastAsia="宋体"/>
          <w:color w:val="auto"/>
          <w:spacing w:val="0"/>
          <w:kern w:val="2"/>
          <w:szCs w:val="21"/>
        </w:rPr>
        <w:t>资料的调研、</w:t>
      </w:r>
      <w:r>
        <w:rPr>
          <w:rFonts w:ascii="Times New Roman" w:hAnsi="Times New Roman" w:eastAsia="宋体"/>
          <w:color w:val="auto"/>
          <w:spacing w:val="0"/>
          <w:kern w:val="2"/>
          <w:szCs w:val="21"/>
        </w:rPr>
        <w:t>收集，完成分析方法研究工作，撰写标准文稿、编制说明和研究报告</w:t>
      </w:r>
      <w:r>
        <w:rPr>
          <w:rFonts w:hint="eastAsia" w:ascii="Times New Roman" w:hAnsi="Times New Roman" w:eastAsia="宋体"/>
          <w:color w:val="auto"/>
          <w:spacing w:val="0"/>
          <w:kern w:val="2"/>
          <w:szCs w:val="21"/>
        </w:rPr>
        <w:t>。</w:t>
      </w:r>
      <w:r>
        <w:rPr>
          <w:rFonts w:ascii="Times New Roman" w:hAnsi="Times New Roman" w:eastAsia="宋体"/>
          <w:color w:val="auto"/>
          <w:spacing w:val="0"/>
          <w:kern w:val="2"/>
          <w:szCs w:val="21"/>
        </w:rPr>
        <w:t>中国石油集团工程材料研究院有限公司</w:t>
      </w:r>
      <w:r>
        <w:rPr>
          <w:rFonts w:hint="eastAsia" w:ascii="Times New Roman" w:hAnsi="Times New Roman" w:eastAsia="宋体"/>
          <w:color w:val="auto"/>
          <w:spacing w:val="0"/>
          <w:kern w:val="2"/>
          <w:szCs w:val="21"/>
        </w:rPr>
        <w:t>、</w:t>
      </w:r>
      <w:r>
        <w:rPr>
          <w:rFonts w:ascii="Times New Roman" w:hAnsi="Times New Roman" w:eastAsia="宋体"/>
          <w:color w:val="auto"/>
          <w:spacing w:val="0"/>
          <w:kern w:val="2"/>
          <w:szCs w:val="21"/>
        </w:rPr>
        <w:t>西安建筑科技大学</w:t>
      </w:r>
      <w:r>
        <w:rPr>
          <w:rFonts w:hint="eastAsia" w:ascii="Times New Roman" w:hAnsi="Times New Roman" w:eastAsia="宋体"/>
          <w:color w:val="auto"/>
          <w:spacing w:val="0"/>
          <w:kern w:val="2"/>
          <w:szCs w:val="21"/>
        </w:rPr>
        <w:t>对规范内容提出具体修改意见，</w:t>
      </w:r>
      <w:r>
        <w:rPr>
          <w:rFonts w:ascii="Times New Roman" w:hAnsi="Times New Roman" w:eastAsia="宋体"/>
          <w:color w:val="auto"/>
          <w:spacing w:val="0"/>
          <w:kern w:val="2"/>
          <w:szCs w:val="21"/>
        </w:rPr>
        <w:t>并对标准文稿等提出相应修改意见</w:t>
      </w:r>
      <w:r>
        <w:rPr>
          <w:rFonts w:hint="eastAsia" w:ascii="Times New Roman" w:hAnsi="Times New Roman" w:eastAsia="宋体"/>
          <w:color w:val="auto"/>
          <w:spacing w:val="0"/>
          <w:kern w:val="2"/>
          <w:szCs w:val="21"/>
        </w:rPr>
        <w:t>，分工见表1。</w:t>
      </w:r>
    </w:p>
    <w:p>
      <w:pPr>
        <w:pStyle w:val="58"/>
        <w:ind w:firstLine="0" w:firstLineChars="0"/>
        <w:jc w:val="center"/>
      </w:pPr>
      <w:r>
        <w:rPr>
          <w:rFonts w:hint="eastAsia"/>
        </w:rPr>
        <w:t>表1 各单位分工表</w:t>
      </w:r>
    </w:p>
    <w:tbl>
      <w:tblPr>
        <w:tblStyle w:val="42"/>
        <w:tblpPr w:leftFromText="180" w:rightFromText="180" w:vertAnchor="text" w:horzAnchor="page" w:tblpXSpec="center" w:tblpY="245"/>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800"/>
        <w:gridCol w:w="741"/>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rPr>
            </w:pPr>
            <w:r>
              <w:rPr>
                <w:rFonts w:hint="eastAsia"/>
                <w:szCs w:val="21"/>
              </w:rPr>
              <w:t>单位</w:t>
            </w:r>
          </w:p>
        </w:tc>
        <w:tc>
          <w:tcPr>
            <w:tcW w:w="418" w:type="pct"/>
            <w:vAlign w:val="center"/>
          </w:tcPr>
          <w:p>
            <w:pPr>
              <w:spacing w:line="360" w:lineRule="auto"/>
              <w:jc w:val="center"/>
              <w:rPr>
                <w:szCs w:val="21"/>
              </w:rPr>
            </w:pPr>
            <w:r>
              <w:rPr>
                <w:rFonts w:hint="eastAsia"/>
                <w:szCs w:val="21"/>
              </w:rPr>
              <w:t>人员</w:t>
            </w:r>
          </w:p>
        </w:tc>
        <w:tc>
          <w:tcPr>
            <w:tcW w:w="387" w:type="pct"/>
            <w:vAlign w:val="center"/>
          </w:tcPr>
          <w:p>
            <w:pPr>
              <w:spacing w:line="360" w:lineRule="auto"/>
              <w:jc w:val="center"/>
              <w:rPr>
                <w:szCs w:val="21"/>
              </w:rPr>
            </w:pPr>
            <w:r>
              <w:rPr>
                <w:rFonts w:hint="eastAsia"/>
                <w:szCs w:val="21"/>
              </w:rPr>
              <w:t>职称</w:t>
            </w:r>
          </w:p>
        </w:tc>
        <w:tc>
          <w:tcPr>
            <w:tcW w:w="3060" w:type="pct"/>
            <w:vAlign w:val="center"/>
          </w:tcPr>
          <w:p>
            <w:pPr>
              <w:spacing w:line="360" w:lineRule="auto"/>
              <w:jc w:val="center"/>
              <w:rPr>
                <w:szCs w:val="21"/>
              </w:rPr>
            </w:pPr>
            <w:r>
              <w:rPr>
                <w:rFonts w:hint="eastAsia"/>
                <w:szCs w:val="21"/>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rPr>
            </w:pPr>
            <w:r>
              <w:rPr>
                <w:rFonts w:hint="eastAsia"/>
                <w:szCs w:val="21"/>
              </w:rPr>
              <w:t>西安汉唐分析检测有限公司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rPr>
            </w:pPr>
            <w:r>
              <w:rPr>
                <w:rFonts w:hint="eastAsia"/>
                <w:szCs w:val="21"/>
              </w:rPr>
              <w:t>规范起草编制，试验方案编订，实验数据分析，编制说明的撰写工作，会议纪要整理及规范的完善。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highlight w:val="yellow"/>
              </w:rPr>
            </w:pPr>
            <w:r>
              <w:rPr>
                <w:szCs w:val="21"/>
              </w:rPr>
              <w:t>中国石油集团工程材料研究院有限公司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highlight w:val="yellow"/>
              </w:rPr>
            </w:pPr>
            <w:r>
              <w:rPr>
                <w:rFonts w:hint="eastAsia"/>
                <w:szCs w:val="21"/>
              </w:rPr>
              <w:t>规范实验数据分析及讨论，内容审阅并提出修改意见，会议纪要整理。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rFonts w:ascii="宋体" w:hAnsi="宋体" w:cs="宋体"/>
                <w:szCs w:val="21"/>
              </w:rPr>
            </w:pPr>
            <w:r>
              <w:rPr>
                <w:szCs w:val="21"/>
              </w:rPr>
              <w:t>西安建筑科技大学</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szCs w:val="21"/>
              </w:rPr>
            </w:pPr>
            <w:r>
              <w:rPr>
                <w:rFonts w:hint="eastAsia"/>
                <w:szCs w:val="21"/>
              </w:rPr>
              <w:t>实验方案讨论，内容审阅并提出修改意见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szCs w:val="21"/>
              </w:rPr>
            </w:pPr>
            <w:r>
              <w:rPr>
                <w:rFonts w:hint="eastAsia"/>
                <w:szCs w:val="21"/>
              </w:rPr>
              <w:t>国标（北京）检验认证有限公司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rFonts w:hint="eastAsia"/>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rFonts w:hint="eastAsia"/>
                <w:szCs w:val="21"/>
              </w:rPr>
            </w:pPr>
            <w:r>
              <w:rPr>
                <w:rFonts w:hint="eastAsia"/>
                <w:szCs w:val="21"/>
              </w:rPr>
              <w:t>湖南湘投金天钛业科技股份有限公司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rFonts w:hint="eastAsia"/>
                <w:szCs w:val="21"/>
              </w:rPr>
            </w:pPr>
            <w:r>
              <w:rPr>
                <w:rFonts w:hint="eastAsia"/>
                <w:szCs w:val="21"/>
              </w:rPr>
              <w:t>内容审阅并提出修改意见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pct"/>
            <w:vAlign w:val="center"/>
          </w:tcPr>
          <w:p>
            <w:pPr>
              <w:spacing w:line="360" w:lineRule="auto"/>
              <w:jc w:val="center"/>
              <w:rPr>
                <w:rFonts w:hint="eastAsia"/>
                <w:szCs w:val="21"/>
              </w:rPr>
            </w:pPr>
            <w:r>
              <w:rPr>
                <w:rFonts w:hint="eastAsia"/>
                <w:szCs w:val="21"/>
              </w:rPr>
              <w:t>西南铝业（集团）有限责任公司</w:t>
            </w:r>
          </w:p>
        </w:tc>
        <w:tc>
          <w:tcPr>
            <w:tcW w:w="418" w:type="pct"/>
            <w:vAlign w:val="center"/>
          </w:tcPr>
          <w:p>
            <w:pPr>
              <w:spacing w:line="360" w:lineRule="auto"/>
              <w:jc w:val="center"/>
              <w:rPr>
                <w:szCs w:val="21"/>
              </w:rPr>
            </w:pPr>
          </w:p>
        </w:tc>
        <w:tc>
          <w:tcPr>
            <w:tcW w:w="387" w:type="pct"/>
            <w:vAlign w:val="center"/>
          </w:tcPr>
          <w:p>
            <w:pPr>
              <w:spacing w:line="360" w:lineRule="auto"/>
              <w:jc w:val="center"/>
              <w:rPr>
                <w:szCs w:val="21"/>
              </w:rPr>
            </w:pPr>
          </w:p>
        </w:tc>
        <w:tc>
          <w:tcPr>
            <w:tcW w:w="3060" w:type="pct"/>
            <w:vAlign w:val="center"/>
          </w:tcPr>
          <w:p>
            <w:pPr>
              <w:spacing w:line="360" w:lineRule="auto"/>
              <w:jc w:val="center"/>
              <w:rPr>
                <w:rFonts w:hint="eastAsia"/>
                <w:szCs w:val="21"/>
              </w:rPr>
            </w:pPr>
            <w:r>
              <w:rPr>
                <w:rFonts w:hint="eastAsia"/>
                <w:szCs w:val="21"/>
              </w:rPr>
              <w:t>内容审阅并提出修改意见</w:t>
            </w:r>
          </w:p>
        </w:tc>
      </w:tr>
    </w:tbl>
    <w:p>
      <w:pPr>
        <w:pStyle w:val="58"/>
        <w:ind w:firstLine="420"/>
      </w:pPr>
    </w:p>
    <w:bookmarkEnd w:id="7"/>
    <w:bookmarkEnd w:id="8"/>
    <w:p>
      <w:pPr>
        <w:pStyle w:val="4"/>
        <w:spacing w:before="156" w:after="156"/>
        <w:rPr>
          <w:b w:val="0"/>
          <w:bCs w:val="0"/>
        </w:rPr>
      </w:pPr>
      <w:bookmarkStart w:id="9" w:name="_Toc464728913"/>
      <w:bookmarkStart w:id="10" w:name="_Toc462884357"/>
      <w:r>
        <w:rPr>
          <w:rFonts w:hint="eastAsia"/>
          <w:b w:val="0"/>
          <w:bCs w:val="0"/>
        </w:rPr>
        <w:t>4.主要工作过程</w:t>
      </w:r>
      <w:bookmarkEnd w:id="9"/>
      <w:bookmarkEnd w:id="10"/>
    </w:p>
    <w:p>
      <w:pPr>
        <w:spacing w:line="400" w:lineRule="exact"/>
        <w:ind w:firstLine="420" w:firstLineChars="200"/>
      </w:pPr>
      <w:bookmarkStart w:id="11" w:name="_Hlk134448643"/>
      <w:r>
        <w:rPr>
          <w:rFonts w:hint="eastAsia"/>
        </w:rPr>
        <w:t>西安汉唐分析检测有限公司于2023年12月接到有色金属行业计量技术委员会转发的下达的制定任务后，成立了计量规范编制组，对计量技术规范编写工作进行了部署和分工，制定了本规范的制定原则及工作计划。本项目主要工作过程经过了以下几个阶段：</w:t>
      </w:r>
    </w:p>
    <w:p>
      <w:pPr>
        <w:spacing w:line="400" w:lineRule="exact"/>
        <w:ind w:firstLine="420" w:firstLineChars="200"/>
      </w:pPr>
      <w:r>
        <w:t>1</w:t>
      </w:r>
      <w:r>
        <w:rPr>
          <w:rFonts w:hint="eastAsia"/>
        </w:rPr>
        <w:t>）</w:t>
      </w:r>
      <w:r>
        <w:t>20</w:t>
      </w:r>
      <w:r>
        <w:rPr>
          <w:rFonts w:hint="eastAsia"/>
        </w:rPr>
        <w:t>23年12月成立了计量规范编制组，明确了编制组成员各自的工作内容和任务。</w:t>
      </w:r>
    </w:p>
    <w:p>
      <w:pPr>
        <w:spacing w:line="400" w:lineRule="exact"/>
        <w:ind w:firstLine="420" w:firstLineChars="200"/>
      </w:pPr>
      <w:r>
        <w:t>2</w:t>
      </w:r>
      <w:r>
        <w:rPr>
          <w:rFonts w:hint="eastAsia"/>
        </w:rPr>
        <w:t>）</w:t>
      </w:r>
      <w:r>
        <w:t>20</w:t>
      </w:r>
      <w:r>
        <w:rPr>
          <w:rFonts w:hint="eastAsia"/>
        </w:rPr>
        <w:t>24年1月～2024年6月，编制组成员对《</w:t>
      </w:r>
      <w:r>
        <w:rPr>
          <w:rFonts w:hint="eastAsia" w:hAnsi="宋体"/>
          <w:szCs w:val="21"/>
        </w:rPr>
        <w:t>摆锤动态撕裂冲击试验机</w:t>
      </w:r>
      <w:r>
        <w:rPr>
          <w:rFonts w:hint="eastAsia"/>
        </w:rPr>
        <w:t>校准规范》中的计量特性及校准方法进行了讨论，确定了校准项目和方法，在</w:t>
      </w:r>
      <w:r>
        <w:t>202</w:t>
      </w:r>
      <w:r>
        <w:rPr>
          <w:rFonts w:hint="eastAsia"/>
        </w:rPr>
        <w:t>4年6月形成了计量规范讨论稿。</w:t>
      </w:r>
    </w:p>
    <w:p>
      <w:pPr>
        <w:spacing w:line="400" w:lineRule="exact"/>
        <w:ind w:firstLine="420" w:firstLineChars="200"/>
      </w:pPr>
      <w:r>
        <w:rPr>
          <w:rFonts w:hint="eastAsia"/>
        </w:rPr>
        <w:t>3）2024年6月12日~14日，在嘉峪关市召开有色金属计量技术规范研讨会，会上对《</w:t>
      </w:r>
      <w:r>
        <w:rPr>
          <w:rFonts w:hint="eastAsia" w:hAnsi="宋体"/>
          <w:szCs w:val="21"/>
        </w:rPr>
        <w:t>摆锤动态撕裂冲击试验机</w:t>
      </w:r>
      <w:r>
        <w:rPr>
          <w:rFonts w:hint="eastAsia"/>
        </w:rPr>
        <w:t>校准规范-讨论稿》进行了讨论，会上有来自不同单位的计量委员会委员、专家、代表就《</w:t>
      </w:r>
      <w:r>
        <w:rPr>
          <w:rFonts w:hint="eastAsia" w:hAnsi="宋体"/>
          <w:szCs w:val="21"/>
        </w:rPr>
        <w:t>摆锤动态撕裂冲击试验机</w:t>
      </w:r>
      <w:r>
        <w:rPr>
          <w:rFonts w:hint="eastAsia"/>
        </w:rPr>
        <w:t>校准规范-讨论稿》提出了修改建议和意见，同时，会上确定了项目的参编单位及一验、二验单位，明确了各项工作时间进度要求，具体内容见表1。修改后形成了《</w:t>
      </w:r>
      <w:r>
        <w:rPr>
          <w:rFonts w:hint="eastAsia" w:hAnsi="宋体"/>
          <w:szCs w:val="21"/>
        </w:rPr>
        <w:t>摆锤动态撕裂冲击试验机</w:t>
      </w:r>
      <w:r>
        <w:rPr>
          <w:rFonts w:hint="eastAsia"/>
        </w:rPr>
        <w:t>校准规范-征求意见稿》。</w:t>
      </w:r>
    </w:p>
    <w:p>
      <w:pPr>
        <w:spacing w:line="360" w:lineRule="auto"/>
        <w:ind w:firstLine="210" w:firstLineChars="100"/>
        <w:jc w:val="center"/>
      </w:pPr>
      <w:r>
        <w:rPr>
          <w:rFonts w:hint="eastAsia"/>
        </w:rPr>
        <w:t>表2 《</w:t>
      </w:r>
      <w:r>
        <w:rPr>
          <w:rFonts w:hint="eastAsia" w:hAnsi="宋体"/>
          <w:szCs w:val="21"/>
        </w:rPr>
        <w:t>摆锤动态撕裂冲击试验机</w:t>
      </w:r>
      <w:r>
        <w:rPr>
          <w:rFonts w:hint="eastAsia"/>
        </w:rPr>
        <w:t>-征求意见稿》工作安排</w:t>
      </w:r>
    </w:p>
    <w:tbl>
      <w:tblPr>
        <w:tblStyle w:val="41"/>
        <w:tblW w:w="4764" w:type="pct"/>
        <w:jc w:val="center"/>
        <w:tblLayout w:type="fixed"/>
        <w:tblCellMar>
          <w:top w:w="0" w:type="dxa"/>
          <w:left w:w="108" w:type="dxa"/>
          <w:bottom w:w="0" w:type="dxa"/>
          <w:right w:w="108" w:type="dxa"/>
        </w:tblCellMar>
      </w:tblPr>
      <w:tblGrid>
        <w:gridCol w:w="1864"/>
        <w:gridCol w:w="7257"/>
      </w:tblGrid>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拟参与编制单位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widowControl/>
              <w:ind w:firstLine="420" w:firstLineChars="200"/>
              <w:jc w:val="center"/>
            </w:pPr>
            <w:r>
              <w:rPr>
                <w:color w:val="333333"/>
                <w:szCs w:val="21"/>
                <w:shd w:val="clear" w:color="auto" w:fill="FFFFFF"/>
              </w:rPr>
              <w:t>中国石油集团工程材料研究院有限公司</w:t>
            </w:r>
            <w:r>
              <w:rPr>
                <w:rFonts w:hint="eastAsia"/>
                <w:szCs w:val="21"/>
              </w:rPr>
              <w:t>、</w:t>
            </w:r>
            <w:r>
              <w:rPr>
                <w:color w:val="333333"/>
                <w:szCs w:val="21"/>
                <w:shd w:val="clear" w:color="auto" w:fill="FFFFFF"/>
              </w:rPr>
              <w:t>西安建筑科技大学</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一验单位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szCs w:val="21"/>
              </w:rPr>
              <w:t>国标（北京）检验认证有限公司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二验单位</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szCs w:val="21"/>
              </w:rPr>
              <w:t>西南铝业（集团）有限责任公司</w:t>
            </w:r>
          </w:p>
        </w:tc>
      </w:tr>
      <w:tr>
        <w:tblPrEx>
          <w:tblCellMar>
            <w:top w:w="0" w:type="dxa"/>
            <w:left w:w="108" w:type="dxa"/>
            <w:bottom w:w="0" w:type="dxa"/>
            <w:right w:w="108" w:type="dxa"/>
          </w:tblCellMar>
        </w:tblPrEx>
        <w:trPr>
          <w:trHeight w:val="567" w:hRule="atLeast"/>
          <w:jc w:val="center"/>
        </w:trPr>
        <w:tc>
          <w:tcPr>
            <w:tcW w:w="18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pPr>
            <w:r>
              <w:rPr>
                <w:rFonts w:hint="eastAsia"/>
              </w:rPr>
              <w:t>时间节点安排</w:t>
            </w:r>
          </w:p>
        </w:tc>
        <w:tc>
          <w:tcPr>
            <w:tcW w:w="725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jc w:val="center"/>
            </w:pPr>
            <w:r>
              <w:rPr>
                <w:rFonts w:hint="eastAsia"/>
              </w:rPr>
              <w:t>2024年10月完成意见征集，2025年6月完成规范报批</w:t>
            </w:r>
          </w:p>
        </w:tc>
      </w:tr>
      <w:bookmarkEnd w:id="11"/>
    </w:tbl>
    <w:p>
      <w:pPr>
        <w:spacing w:line="400" w:lineRule="exact"/>
        <w:ind w:firstLine="420" w:firstLineChars="200"/>
        <w:rPr>
          <w:rFonts w:hint="eastAsia"/>
        </w:rPr>
      </w:pPr>
      <w:r>
        <w:rPr>
          <w:rFonts w:hint="eastAsia"/>
          <w:lang w:val="en-US" w:eastAsia="zh-CN"/>
        </w:rPr>
        <w:t>4</w:t>
      </w:r>
      <w:r>
        <w:rPr>
          <w:rFonts w:hint="eastAsia"/>
        </w:rPr>
        <w:t>）2024年</w:t>
      </w:r>
      <w:r>
        <w:rPr>
          <w:rFonts w:hint="eastAsia"/>
          <w:lang w:val="en-US" w:eastAsia="zh-CN"/>
        </w:rPr>
        <w:t>9</w:t>
      </w:r>
      <w:r>
        <w:rPr>
          <w:rFonts w:hint="eastAsia"/>
        </w:rPr>
        <w:t>月，</w:t>
      </w:r>
      <w:bookmarkStart w:id="81" w:name="_GoBack"/>
      <w:bookmarkEnd w:id="81"/>
      <w:r>
        <w:rPr>
          <w:rFonts w:hint="eastAsia"/>
          <w:b w:val="0"/>
          <w:bCs w:val="0"/>
          <w:highlight w:val="none"/>
          <w:lang w:val="en-US" w:eastAsia="zh-CN"/>
        </w:rPr>
        <w:t>有色金属行业计量技术委员会发文《关于对&lt;电极式盐水比重计校准规范&gt;等14项行业计量技术规范征求意见的函》</w:t>
      </w:r>
      <w:r>
        <w:rPr>
          <w:rFonts w:hint="eastAsia" w:ascii="宋体" w:hAnsi="宋体" w:cs="宋体"/>
          <w:b w:val="0"/>
          <w:bCs w:val="0"/>
          <w:highlight w:val="none"/>
          <w:lang w:val="en-US" w:eastAsia="zh-CN"/>
        </w:rPr>
        <w:t>（有色计量委字〔</w:t>
      </w:r>
      <w:r>
        <w:rPr>
          <w:rFonts w:hint="eastAsia" w:ascii="宋体" w:hAnsi="宋体" w:eastAsia="宋体" w:cs="宋体"/>
          <w:b w:val="0"/>
          <w:bCs w:val="0"/>
          <w:highlight w:val="none"/>
          <w:lang w:val="en-US" w:eastAsia="zh-CN"/>
        </w:rPr>
        <w:t>2024</w:t>
      </w:r>
      <w:r>
        <w:rPr>
          <w:rFonts w:hint="eastAsia" w:ascii="宋体" w:hAnsi="宋体" w:cs="宋体"/>
          <w:b w:val="0"/>
          <w:bCs w:val="0"/>
          <w:highlight w:val="none"/>
          <w:lang w:val="en-US" w:eastAsia="zh-CN"/>
        </w:rPr>
        <w:t>〕</w:t>
      </w:r>
      <w:r>
        <w:rPr>
          <w:rFonts w:hint="eastAsia" w:ascii="宋体" w:hAnsi="宋体" w:eastAsia="宋体" w:cs="宋体"/>
          <w:b w:val="0"/>
          <w:bCs w:val="0"/>
          <w:highlight w:val="none"/>
          <w:lang w:val="en-US" w:eastAsia="zh-CN"/>
        </w:rPr>
        <w:t>12号</w:t>
      </w:r>
      <w:r>
        <w:rPr>
          <w:rFonts w:hint="eastAsia" w:ascii="宋体" w:hAnsi="宋体" w:cs="宋体"/>
          <w:b w:val="0"/>
          <w:bCs w:val="0"/>
          <w:highlight w:val="none"/>
          <w:lang w:val="en-US" w:eastAsia="zh-CN"/>
        </w:rPr>
        <w:t>），向</w:t>
      </w:r>
      <w:r>
        <w:rPr>
          <w:rFonts w:hint="eastAsia"/>
          <w:b w:val="0"/>
          <w:bCs w:val="0"/>
          <w:highlight w:val="none"/>
          <w:lang w:val="en-US" w:eastAsia="zh-CN"/>
        </w:rPr>
        <w:t>社会广泛征求意见</w:t>
      </w:r>
      <w:r>
        <w:rPr>
          <w:rFonts w:hint="eastAsia"/>
          <w:b w:val="0"/>
          <w:bCs w:val="0"/>
          <w:highlight w:val="none"/>
        </w:rPr>
        <w:t>。</w:t>
      </w:r>
      <w:r>
        <w:rPr>
          <w:rFonts w:hint="eastAsia"/>
          <w:lang w:val="en-US" w:eastAsia="zh-CN"/>
        </w:rPr>
        <w:t>编制组根据收到的意见对</w:t>
      </w:r>
      <w:r>
        <w:rPr>
          <w:rFonts w:hint="eastAsia"/>
        </w:rPr>
        <w:t>《</w:t>
      </w:r>
      <w:r>
        <w:rPr>
          <w:rFonts w:hint="eastAsia" w:hAnsi="宋体"/>
          <w:szCs w:val="21"/>
        </w:rPr>
        <w:t>摆锤动态撕裂冲击试验机</w:t>
      </w:r>
      <w:r>
        <w:rPr>
          <w:rFonts w:hint="eastAsia"/>
        </w:rPr>
        <w:t>校准规范-征求意见稿》</w:t>
      </w:r>
      <w:r>
        <w:rPr>
          <w:rFonts w:hint="eastAsia"/>
          <w:lang w:val="en-US" w:eastAsia="zh-CN"/>
        </w:rPr>
        <w:t>进行修改，</w:t>
      </w:r>
      <w:r>
        <w:rPr>
          <w:rFonts w:hint="eastAsia"/>
        </w:rPr>
        <w:t>具体内容见表</w:t>
      </w:r>
      <w:r>
        <w:rPr>
          <w:rFonts w:hint="eastAsia"/>
          <w:lang w:val="en-US" w:eastAsia="zh-CN"/>
        </w:rPr>
        <w:t>3</w:t>
      </w:r>
      <w:r>
        <w:rPr>
          <w:rFonts w:hint="eastAsia"/>
        </w:rPr>
        <w:t>。修改后形成了《</w:t>
      </w:r>
      <w:r>
        <w:rPr>
          <w:rFonts w:hint="eastAsia" w:hAnsi="宋体"/>
          <w:szCs w:val="21"/>
        </w:rPr>
        <w:t>摆锤动态撕裂冲击试验机</w:t>
      </w:r>
      <w:r>
        <w:rPr>
          <w:rFonts w:hint="eastAsia"/>
        </w:rPr>
        <w:t>校准规范-</w:t>
      </w:r>
      <w:r>
        <w:rPr>
          <w:rFonts w:hint="eastAsia"/>
          <w:lang w:val="en-US" w:eastAsia="zh-CN"/>
        </w:rPr>
        <w:t>预审</w:t>
      </w:r>
      <w:r>
        <w:rPr>
          <w:rFonts w:hint="eastAsia"/>
        </w:rPr>
        <w:t>稿》。</w:t>
      </w:r>
    </w:p>
    <w:p>
      <w:pPr>
        <w:spacing w:line="400" w:lineRule="exact"/>
        <w:jc w:val="center"/>
        <w:rPr>
          <w:rFonts w:hint="default" w:eastAsia="宋体"/>
          <w:lang w:val="en-US" w:eastAsia="zh-CN"/>
        </w:rPr>
      </w:pPr>
      <w:r>
        <w:rPr>
          <w:rFonts w:hint="eastAsia"/>
        </w:rPr>
        <w:t>表</w:t>
      </w:r>
      <w:r>
        <w:rPr>
          <w:rFonts w:hint="eastAsia"/>
          <w:lang w:val="en-US" w:eastAsia="zh-CN"/>
        </w:rPr>
        <w:t>3</w:t>
      </w:r>
      <w:r>
        <w:rPr>
          <w:rFonts w:hint="eastAsia"/>
        </w:rPr>
        <w:t xml:space="preserve"> </w:t>
      </w:r>
      <w:r>
        <w:rPr>
          <w:rFonts w:hint="eastAsia"/>
          <w:lang w:val="en-US" w:eastAsia="zh-CN"/>
        </w:rPr>
        <w:t>行业计量技术规范征求意见汇总处理表</w:t>
      </w:r>
    </w:p>
    <w:tbl>
      <w:tblPr>
        <w:tblStyle w:val="4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909"/>
        <w:gridCol w:w="3938"/>
        <w:gridCol w:w="137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93" w:type="pct"/>
            <w:noWrap w:val="0"/>
            <w:vAlign w:val="center"/>
          </w:tcPr>
          <w:p>
            <w:pPr>
              <w:adjustRightInd w:val="0"/>
              <w:snapToGrid w:val="0"/>
              <w:spacing w:line="360" w:lineRule="auto"/>
              <w:jc w:val="center"/>
              <w:rPr>
                <w:sz w:val="21"/>
                <w:szCs w:val="21"/>
              </w:rPr>
            </w:pPr>
            <w:r>
              <w:rPr>
                <w:rFonts w:hint="eastAsia"/>
                <w:sz w:val="21"/>
                <w:szCs w:val="21"/>
              </w:rPr>
              <w:t>序号</w:t>
            </w:r>
          </w:p>
        </w:tc>
        <w:tc>
          <w:tcPr>
            <w:tcW w:w="998" w:type="pct"/>
            <w:noWrap w:val="0"/>
            <w:vAlign w:val="center"/>
          </w:tcPr>
          <w:p>
            <w:pPr>
              <w:adjustRightInd w:val="0"/>
              <w:snapToGrid w:val="0"/>
              <w:spacing w:line="360" w:lineRule="auto"/>
              <w:jc w:val="center"/>
              <w:rPr>
                <w:sz w:val="21"/>
                <w:szCs w:val="21"/>
              </w:rPr>
            </w:pPr>
            <w:r>
              <w:rPr>
                <w:rFonts w:hint="eastAsia"/>
                <w:sz w:val="21"/>
                <w:szCs w:val="21"/>
              </w:rPr>
              <w:t>技术规范</w:t>
            </w:r>
          </w:p>
          <w:p>
            <w:pPr>
              <w:adjustRightInd w:val="0"/>
              <w:snapToGrid w:val="0"/>
              <w:spacing w:line="360" w:lineRule="auto"/>
              <w:jc w:val="center"/>
              <w:rPr>
                <w:sz w:val="21"/>
                <w:szCs w:val="21"/>
              </w:rPr>
            </w:pPr>
            <w:r>
              <w:rPr>
                <w:rFonts w:hint="eastAsia"/>
                <w:sz w:val="21"/>
                <w:szCs w:val="21"/>
              </w:rPr>
              <w:t>章条编号</w:t>
            </w:r>
          </w:p>
        </w:tc>
        <w:tc>
          <w:tcPr>
            <w:tcW w:w="2059" w:type="pct"/>
            <w:noWrap w:val="0"/>
            <w:vAlign w:val="center"/>
          </w:tcPr>
          <w:p>
            <w:pPr>
              <w:adjustRightInd w:val="0"/>
              <w:snapToGrid w:val="0"/>
              <w:spacing w:line="360" w:lineRule="auto"/>
              <w:jc w:val="center"/>
              <w:rPr>
                <w:sz w:val="21"/>
                <w:szCs w:val="21"/>
              </w:rPr>
            </w:pPr>
            <w:r>
              <w:rPr>
                <w:rFonts w:hint="eastAsia"/>
                <w:sz w:val="21"/>
                <w:szCs w:val="21"/>
              </w:rPr>
              <w:t>意见内容</w:t>
            </w:r>
          </w:p>
        </w:tc>
        <w:tc>
          <w:tcPr>
            <w:tcW w:w="718" w:type="pct"/>
            <w:noWrap w:val="0"/>
            <w:vAlign w:val="center"/>
          </w:tcPr>
          <w:p>
            <w:pPr>
              <w:adjustRightInd w:val="0"/>
              <w:snapToGrid w:val="0"/>
              <w:spacing w:line="360" w:lineRule="auto"/>
              <w:jc w:val="center"/>
              <w:rPr>
                <w:sz w:val="21"/>
                <w:szCs w:val="21"/>
              </w:rPr>
            </w:pPr>
            <w:r>
              <w:rPr>
                <w:rFonts w:hint="eastAsia"/>
                <w:sz w:val="21"/>
                <w:szCs w:val="21"/>
              </w:rPr>
              <w:t>提出单位</w:t>
            </w:r>
          </w:p>
        </w:tc>
        <w:tc>
          <w:tcPr>
            <w:tcW w:w="830" w:type="pct"/>
            <w:noWrap w:val="0"/>
            <w:vAlign w:val="center"/>
          </w:tcPr>
          <w:p>
            <w:pPr>
              <w:adjustRightInd w:val="0"/>
              <w:snapToGrid w:val="0"/>
              <w:spacing w:line="360" w:lineRule="auto"/>
              <w:jc w:val="center"/>
              <w:rPr>
                <w:sz w:val="21"/>
                <w:szCs w:val="21"/>
              </w:rPr>
            </w:pPr>
            <w:r>
              <w:rPr>
                <w:rFonts w:hint="eastAsia"/>
                <w:sz w:val="21"/>
                <w:szCs w:val="21"/>
              </w:rPr>
              <w:t>处理意见及理由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1</w:t>
            </w:r>
          </w:p>
        </w:tc>
        <w:tc>
          <w:tcPr>
            <w:tcW w:w="998"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3.1术语</w:t>
            </w:r>
          </w:p>
        </w:tc>
        <w:tc>
          <w:tcPr>
            <w:tcW w:w="2059"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ascii="Times New Roman" w:hAnsi="Times New Roman" w:eastAsia="宋体" w:cs="Times New Roman"/>
                <w:sz w:val="21"/>
                <w:szCs w:val="21"/>
                <w:lang w:val="en-US" w:eastAsia="zh-CN"/>
              </w:rPr>
              <w:t>将各术语加上英文</w:t>
            </w:r>
            <w:r>
              <w:rPr>
                <w:rFonts w:hint="eastAsia" w:cs="Times New Roman"/>
                <w:sz w:val="21"/>
                <w:szCs w:val="21"/>
                <w:lang w:val="en-US" w:eastAsia="zh-CN"/>
              </w:rPr>
              <w:t>。</w:t>
            </w:r>
          </w:p>
        </w:tc>
        <w:tc>
          <w:tcPr>
            <w:tcW w:w="71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pPr>
              <w:adjustRightInd w:val="0"/>
              <w:snapToGrid w:val="0"/>
              <w:spacing w:line="360" w:lineRule="auto"/>
              <w:jc w:val="center"/>
              <w:rPr>
                <w:rFonts w:hint="default"/>
                <w:sz w:val="21"/>
                <w:szCs w:val="21"/>
                <w:lang w:val="en-US" w:eastAsia="zh-CN"/>
              </w:rPr>
            </w:pPr>
            <w:r>
              <w:rPr>
                <w:rFonts w:hint="eastAsia"/>
                <w:sz w:val="21"/>
                <w:szCs w:val="21"/>
                <w:lang w:val="en-US" w:eastAsia="zh-CN"/>
              </w:rPr>
              <w:t>采纳，加上英文更符合校准规范中对术语描述的要求。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2</w:t>
            </w:r>
          </w:p>
        </w:tc>
        <w:tc>
          <w:tcPr>
            <w:tcW w:w="99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5</w:t>
            </w:r>
            <w:r>
              <w:rPr>
                <w:rFonts w:hint="default" w:eastAsia="宋体"/>
                <w:sz w:val="21"/>
                <w:szCs w:val="21"/>
                <w:lang w:val="en-US" w:eastAsia="zh-CN"/>
              </w:rPr>
              <w:t xml:space="preserve"> </w:t>
            </w:r>
            <w:r>
              <w:rPr>
                <w:rFonts w:hint="eastAsia"/>
                <w:sz w:val="21"/>
                <w:szCs w:val="21"/>
                <w:lang w:val="en-US" w:eastAsia="zh-CN"/>
              </w:rPr>
              <w:t>计量特性</w:t>
            </w:r>
          </w:p>
        </w:tc>
        <w:tc>
          <w:tcPr>
            <w:tcW w:w="2059" w:type="pct"/>
            <w:noWrap w:val="0"/>
            <w:vAlign w:val="center"/>
          </w:tcPr>
          <w:p>
            <w:pPr>
              <w:adjustRightInd w:val="0"/>
              <w:snapToGrid w:val="0"/>
              <w:spacing w:line="360" w:lineRule="auto"/>
              <w:jc w:val="center"/>
              <w:rPr>
                <w:rFonts w:hint="default"/>
                <w:sz w:val="21"/>
                <w:szCs w:val="21"/>
                <w:lang w:val="en-US" w:eastAsia="zh-CN"/>
              </w:rPr>
            </w:pPr>
            <w:r>
              <w:rPr>
                <w:rFonts w:hint="eastAsia"/>
                <w:lang w:val="en-US" w:eastAsia="zh-CN"/>
              </w:rPr>
              <w:t>建议对rad进行解释。</w:t>
            </w:r>
          </w:p>
        </w:tc>
        <w:tc>
          <w:tcPr>
            <w:tcW w:w="71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西南铝业</w:t>
            </w:r>
          </w:p>
        </w:tc>
        <w:tc>
          <w:tcPr>
            <w:tcW w:w="830" w:type="pct"/>
            <w:noWrap w:val="0"/>
            <w:vAlign w:val="center"/>
          </w:tcPr>
          <w:p>
            <w:pPr>
              <w:adjustRightInd w:val="0"/>
              <w:snapToGrid w:val="0"/>
              <w:spacing w:line="360" w:lineRule="auto"/>
              <w:jc w:val="center"/>
              <w:rPr>
                <w:rFonts w:hint="default"/>
                <w:sz w:val="21"/>
                <w:szCs w:val="21"/>
                <w:lang w:val="en-US" w:eastAsia="zh-CN"/>
              </w:rPr>
            </w:pPr>
            <w:r>
              <w:rPr>
                <w:rFonts w:hint="eastAsia"/>
                <w:sz w:val="21"/>
                <w:szCs w:val="21"/>
                <w:lang w:val="en-US" w:eastAsia="zh-CN"/>
              </w:rPr>
              <w:t>不采纳，重新确认后，删除带</w:t>
            </w:r>
            <w:r>
              <w:rPr>
                <w:rFonts w:hint="default"/>
                <w:sz w:val="21"/>
                <w:szCs w:val="21"/>
                <w:lang w:val="en-US" w:eastAsia="zh-CN"/>
              </w:rPr>
              <w:t>”</w:t>
            </w:r>
            <w:r>
              <w:rPr>
                <w:rFonts w:hint="eastAsia"/>
                <w:sz w:val="21"/>
                <w:szCs w:val="21"/>
                <w:lang w:val="en-US" w:eastAsia="zh-CN"/>
              </w:rPr>
              <w:t>rad</w:t>
            </w:r>
            <w:r>
              <w:rPr>
                <w:rFonts w:hint="default"/>
                <w:sz w:val="21"/>
                <w:szCs w:val="21"/>
                <w:lang w:val="en-US" w:eastAsia="zh-CN"/>
              </w:rPr>
              <w:t>”</w:t>
            </w:r>
            <w:r>
              <w:rPr>
                <w:rFonts w:hint="eastAsia"/>
                <w:sz w:val="21"/>
                <w:szCs w:val="21"/>
                <w:lang w:val="en-US" w:eastAsia="zh-CN"/>
              </w:rPr>
              <w:t>的计量特性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3</w:t>
            </w:r>
          </w:p>
        </w:tc>
        <w:tc>
          <w:tcPr>
            <w:tcW w:w="998" w:type="pct"/>
            <w:noWrap w:val="0"/>
            <w:vAlign w:val="center"/>
          </w:tcPr>
          <w:p>
            <w:pPr>
              <w:adjustRightInd w:val="0"/>
              <w:snapToGrid w:val="0"/>
              <w:spacing w:line="360" w:lineRule="auto"/>
              <w:jc w:val="center"/>
              <w:rPr>
                <w:rFonts w:hint="default" w:eastAsia="宋体"/>
                <w:sz w:val="21"/>
                <w:szCs w:val="21"/>
                <w:lang w:val="en-US" w:eastAsia="zh-CN"/>
              </w:rPr>
            </w:pPr>
            <w:r>
              <w:rPr>
                <w:rFonts w:hint="default" w:eastAsia="宋体"/>
                <w:lang w:val="en-US" w:eastAsia="zh-CN"/>
              </w:rPr>
              <w:t>6.2 测量标准及其他设备技术要求</w:t>
            </w:r>
          </w:p>
        </w:tc>
        <w:tc>
          <w:tcPr>
            <w:tcW w:w="2059" w:type="pct"/>
            <w:noWrap w:val="0"/>
            <w:vAlign w:val="center"/>
          </w:tcPr>
          <w:p>
            <w:pPr>
              <w:adjustRightInd w:val="0"/>
              <w:snapToGrid w:val="0"/>
              <w:spacing w:line="360" w:lineRule="auto"/>
              <w:rPr>
                <w:rFonts w:hint="default" w:eastAsia="宋体"/>
                <w:kern w:val="2"/>
                <w:sz w:val="21"/>
                <w:szCs w:val="21"/>
                <w:lang w:val="en-US" w:eastAsia="zh-CN" w:bidi="ar-SA"/>
              </w:rPr>
            </w:pPr>
            <w:r>
              <w:rPr>
                <w:rFonts w:hint="eastAsia"/>
                <w:lang w:val="en-US" w:eastAsia="zh-CN"/>
              </w:rPr>
              <w:t>建议对表3中的计量特性改为技术要求，对表中每项的技术要求要表述准确：比如“通用量具”不是技术要求，影像仪的</w:t>
            </w:r>
            <w:r>
              <w:rPr>
                <w:rFonts w:eastAsia="宋体"/>
                <w:bCs/>
                <w:szCs w:val="21"/>
              </w:rPr>
              <w:t>±（5+1L/100）μm</w:t>
            </w:r>
            <w:r>
              <w:rPr>
                <w:rFonts w:hint="eastAsia" w:eastAsia="宋体"/>
                <w:bCs/>
                <w:szCs w:val="21"/>
                <w:lang w:eastAsia="zh-CN"/>
              </w:rPr>
              <w:t>，</w:t>
            </w:r>
            <w:r>
              <w:rPr>
                <w:rFonts w:hint="eastAsia" w:eastAsia="宋体"/>
                <w:bCs/>
                <w:szCs w:val="21"/>
                <w:lang w:val="en-US" w:eastAsia="zh-CN"/>
              </w:rPr>
              <w:t>L代表什么，“</w:t>
            </w:r>
            <w:r>
              <w:rPr>
                <w:rFonts w:eastAsia="宋体"/>
                <w:bCs/>
                <w:szCs w:val="21"/>
              </w:rPr>
              <w:t>材质：钢块</w:t>
            </w:r>
            <w:r>
              <w:rPr>
                <w:rFonts w:hint="eastAsia" w:eastAsia="宋体"/>
                <w:bCs/>
                <w:szCs w:val="21"/>
                <w:lang w:eastAsia="zh-CN"/>
              </w:rPr>
              <w:t>”，</w:t>
            </w:r>
            <w:r>
              <w:rPr>
                <w:rFonts w:hint="eastAsia" w:eastAsia="宋体"/>
                <w:bCs/>
                <w:szCs w:val="21"/>
                <w:lang w:val="en-US" w:eastAsia="zh-CN"/>
              </w:rPr>
              <w:t>钢块不是材质等</w:t>
            </w:r>
          </w:p>
        </w:tc>
        <w:tc>
          <w:tcPr>
            <w:tcW w:w="718" w:type="pct"/>
            <w:noWrap w:val="0"/>
            <w:vAlign w:val="center"/>
          </w:tcPr>
          <w:p>
            <w:pPr>
              <w:adjustRightInd w:val="0"/>
              <w:snapToGrid w:val="0"/>
              <w:spacing w:line="360" w:lineRule="auto"/>
              <w:jc w:val="center"/>
              <w:rPr>
                <w:rFonts w:hint="default" w:eastAsia="宋体"/>
                <w:kern w:val="2"/>
                <w:sz w:val="21"/>
                <w:szCs w:val="21"/>
                <w:lang w:val="en-US" w:eastAsia="zh-CN" w:bidi="ar-SA"/>
              </w:rPr>
            </w:pPr>
            <w:r>
              <w:rPr>
                <w:rFonts w:hint="eastAsia"/>
                <w:sz w:val="21"/>
                <w:szCs w:val="21"/>
                <w:lang w:val="en-US" w:eastAsia="zh-CN"/>
              </w:rPr>
              <w:t>西南铝业</w:t>
            </w:r>
          </w:p>
        </w:tc>
        <w:tc>
          <w:tcPr>
            <w:tcW w:w="830" w:type="pct"/>
            <w:noWrap w:val="0"/>
            <w:vAlign w:val="center"/>
          </w:tcPr>
          <w:p>
            <w:pPr>
              <w:adjustRightInd w:val="0"/>
              <w:snapToGrid w:val="0"/>
              <w:spacing w:line="360" w:lineRule="auto"/>
              <w:jc w:val="center"/>
              <w:rPr>
                <w:rFonts w:hint="default"/>
                <w:sz w:val="21"/>
                <w:szCs w:val="21"/>
                <w:lang w:val="en-US" w:eastAsia="zh-CN"/>
              </w:rPr>
            </w:pPr>
            <w:r>
              <w:rPr>
                <w:rFonts w:hint="eastAsia"/>
                <w:sz w:val="21"/>
                <w:szCs w:val="21"/>
                <w:lang w:val="en-US" w:eastAsia="zh-CN"/>
              </w:rPr>
              <w:t>采纳，对测量标准重新进行描述。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752" w:type="dxa"/>
            <w:noWrap w:val="0"/>
            <w:vAlign w:val="center"/>
          </w:tcPr>
          <w:p>
            <w:pPr>
              <w:adjustRightInd w:val="0"/>
              <w:snapToGrid w:val="0"/>
              <w:spacing w:line="360" w:lineRule="auto"/>
              <w:jc w:val="center"/>
              <w:rPr>
                <w:rFonts w:hint="eastAsia"/>
                <w:sz w:val="21"/>
                <w:szCs w:val="21"/>
                <w:lang w:val="en-US" w:eastAsia="zh-CN"/>
              </w:rPr>
            </w:pPr>
            <w:r>
              <w:rPr>
                <w:rFonts w:hint="eastAsia"/>
                <w:sz w:val="21"/>
                <w:szCs w:val="21"/>
                <w:lang w:val="en-US" w:eastAsia="zh-CN"/>
              </w:rPr>
              <w:t>4</w:t>
            </w:r>
          </w:p>
        </w:tc>
        <w:tc>
          <w:tcPr>
            <w:tcW w:w="1909" w:type="dxa"/>
            <w:noWrap w:val="0"/>
            <w:vAlign w:val="center"/>
          </w:tcPr>
          <w:p>
            <w:pPr>
              <w:adjustRightInd w:val="0"/>
              <w:snapToGrid w:val="0"/>
              <w:spacing w:line="360" w:lineRule="auto"/>
              <w:jc w:val="center"/>
              <w:rPr>
                <w:rFonts w:hint="default" w:eastAsia="宋体"/>
                <w:lang w:val="en-US" w:eastAsia="zh-CN"/>
              </w:rPr>
            </w:pPr>
            <w:r>
              <w:rPr>
                <w:rFonts w:hint="eastAsia"/>
                <w:lang w:val="en-US" w:eastAsia="zh-CN"/>
              </w:rPr>
              <w:t>7.1校准项目</w:t>
            </w:r>
          </w:p>
        </w:tc>
        <w:tc>
          <w:tcPr>
            <w:tcW w:w="3938" w:type="dxa"/>
            <w:noWrap w:val="0"/>
            <w:vAlign w:val="center"/>
          </w:tcPr>
          <w:p>
            <w:pPr>
              <w:adjustRightInd w:val="0"/>
              <w:snapToGrid w:val="0"/>
              <w:spacing w:line="360" w:lineRule="auto"/>
              <w:rPr>
                <w:rFonts w:hint="eastAsia"/>
                <w:lang w:val="en-US" w:eastAsia="zh-CN"/>
              </w:rPr>
            </w:pPr>
            <w:r>
              <w:rPr>
                <w:rFonts w:hint="eastAsia"/>
                <w:lang w:val="en-US" w:eastAsia="zh-CN"/>
              </w:rPr>
              <w:t>文中“校准项目见表3。”表3是测量标准及其他设备技术要求，建议将校准项目列出。</w:t>
            </w:r>
          </w:p>
        </w:tc>
        <w:tc>
          <w:tcPr>
            <w:tcW w:w="1373" w:type="dxa"/>
            <w:noWrap w:val="0"/>
            <w:vAlign w:val="center"/>
          </w:tcPr>
          <w:p>
            <w:pPr>
              <w:adjustRightInd w:val="0"/>
              <w:snapToGrid w:val="0"/>
              <w:spacing w:line="360" w:lineRule="auto"/>
              <w:jc w:val="center"/>
              <w:rPr>
                <w:rFonts w:hint="eastAsia"/>
                <w:sz w:val="21"/>
                <w:szCs w:val="21"/>
                <w:lang w:val="en-US" w:eastAsia="zh-CN"/>
              </w:rPr>
            </w:pPr>
            <w:r>
              <w:rPr>
                <w:rFonts w:hint="eastAsia"/>
                <w:sz w:val="21"/>
                <w:szCs w:val="21"/>
                <w:lang w:val="en-US" w:eastAsia="zh-CN"/>
              </w:rPr>
              <w:t>西南铝业</w:t>
            </w:r>
          </w:p>
        </w:tc>
        <w:tc>
          <w:tcPr>
            <w:tcW w:w="1588" w:type="dxa"/>
            <w:noWrap w:val="0"/>
            <w:vAlign w:val="center"/>
          </w:tcPr>
          <w:p>
            <w:pPr>
              <w:adjustRightInd w:val="0"/>
              <w:snapToGrid w:val="0"/>
              <w:spacing w:line="360" w:lineRule="auto"/>
              <w:jc w:val="center"/>
              <w:rPr>
                <w:rFonts w:hint="default"/>
                <w:sz w:val="21"/>
                <w:szCs w:val="21"/>
                <w:lang w:val="en-US" w:eastAsia="zh-CN"/>
              </w:rPr>
            </w:pPr>
            <w:r>
              <w:rPr>
                <w:rFonts w:hint="eastAsia"/>
                <w:sz w:val="21"/>
                <w:szCs w:val="21"/>
                <w:lang w:val="en-US" w:eastAsia="zh-CN"/>
              </w:rPr>
              <w:t>采纳，重新列出校准项目。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noWrap w:val="0"/>
            <w:vAlign w:val="center"/>
          </w:tcPr>
          <w:p>
            <w:pPr>
              <w:adjustRightInd w:val="0"/>
              <w:snapToGrid w:val="0"/>
              <w:spacing w:line="360" w:lineRule="auto"/>
              <w:jc w:val="center"/>
              <w:rPr>
                <w:rFonts w:hint="eastAsia" w:eastAsia="宋体"/>
                <w:sz w:val="21"/>
                <w:szCs w:val="21"/>
                <w:lang w:val="en-US" w:eastAsia="zh-CN"/>
              </w:rPr>
            </w:pPr>
            <w:r>
              <w:rPr>
                <w:rFonts w:hint="eastAsia"/>
                <w:sz w:val="21"/>
                <w:szCs w:val="21"/>
                <w:lang w:val="en-US" w:eastAsia="zh-CN"/>
              </w:rPr>
              <w:t>5</w:t>
            </w:r>
          </w:p>
        </w:tc>
        <w:tc>
          <w:tcPr>
            <w:tcW w:w="99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5.1计量特性</w:t>
            </w:r>
          </w:p>
        </w:tc>
        <w:tc>
          <w:tcPr>
            <w:tcW w:w="2059" w:type="pct"/>
            <w:noWrap w:val="0"/>
            <w:vAlign w:val="center"/>
          </w:tcPr>
          <w:p>
            <w:pPr>
              <w:adjustRightInd w:val="0"/>
              <w:snapToGrid w:val="0"/>
              <w:spacing w:line="360" w:lineRule="auto"/>
              <w:rPr>
                <w:rFonts w:hint="default" w:eastAsia="宋体"/>
                <w:sz w:val="21"/>
                <w:szCs w:val="21"/>
                <w:lang w:val="en-US" w:eastAsia="zh-CN"/>
              </w:rPr>
            </w:pPr>
            <w:r>
              <w:rPr>
                <w:rFonts w:hint="eastAsia"/>
                <w:sz w:val="21"/>
                <w:szCs w:val="21"/>
                <w:lang w:val="en-US" w:eastAsia="zh-CN"/>
              </w:rPr>
              <w:t>重新考虑试验机机架计量特性，非关键计量特性可考虑删除。</w:t>
            </w:r>
          </w:p>
        </w:tc>
        <w:tc>
          <w:tcPr>
            <w:tcW w:w="718" w:type="pct"/>
            <w:noWrap w:val="0"/>
            <w:vAlign w:val="center"/>
          </w:tcPr>
          <w:p>
            <w:pPr>
              <w:adjustRightInd w:val="0"/>
              <w:snapToGrid w:val="0"/>
              <w:spacing w:line="360" w:lineRule="auto"/>
              <w:jc w:val="center"/>
              <w:rPr>
                <w:rFonts w:hint="default" w:eastAsia="宋体"/>
                <w:sz w:val="21"/>
                <w:szCs w:val="21"/>
                <w:lang w:val="en-US" w:eastAsia="zh-CN"/>
              </w:rPr>
            </w:pPr>
            <w:r>
              <w:rPr>
                <w:rFonts w:hint="eastAsia"/>
                <w:sz w:val="21"/>
                <w:szCs w:val="21"/>
                <w:lang w:val="en-US" w:eastAsia="zh-CN"/>
              </w:rPr>
              <w:t>国标检验</w:t>
            </w:r>
          </w:p>
        </w:tc>
        <w:tc>
          <w:tcPr>
            <w:tcW w:w="830" w:type="pct"/>
            <w:noWrap w:val="0"/>
            <w:vAlign w:val="center"/>
          </w:tcPr>
          <w:p>
            <w:pPr>
              <w:adjustRightInd w:val="0"/>
              <w:snapToGrid w:val="0"/>
              <w:spacing w:line="360" w:lineRule="auto"/>
              <w:jc w:val="center"/>
              <w:rPr>
                <w:rFonts w:hint="default"/>
                <w:sz w:val="21"/>
                <w:szCs w:val="21"/>
                <w:lang w:val="en-US" w:eastAsia="zh-CN"/>
              </w:rPr>
            </w:pPr>
            <w:r>
              <w:rPr>
                <w:rFonts w:hint="eastAsia"/>
                <w:sz w:val="21"/>
                <w:szCs w:val="21"/>
                <w:lang w:val="en-US" w:eastAsia="zh-CN"/>
              </w:rPr>
              <w:t>采纳，删除5.1.4和5.1.5的计量特性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93" w:type="pct"/>
            <w:shd w:val="clear" w:color="auto" w:fill="auto"/>
            <w:noWrap w:val="0"/>
            <w:vAlign w:val="center"/>
          </w:tcPr>
          <w:p>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6</w:t>
            </w:r>
          </w:p>
        </w:tc>
        <w:tc>
          <w:tcPr>
            <w:tcW w:w="998"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5.3支座</w:t>
            </w:r>
          </w:p>
        </w:tc>
        <w:tc>
          <w:tcPr>
            <w:tcW w:w="2059" w:type="pct"/>
            <w:shd w:val="clear" w:color="auto" w:fill="auto"/>
            <w:noWrap w:val="0"/>
            <w:vAlign w:val="center"/>
          </w:tcPr>
          <w:p>
            <w:pPr>
              <w:adjustRightInd w:val="0"/>
              <w:snapToGrid w:val="0"/>
              <w:spacing w:line="360" w:lineRule="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重新考虑支座垂直度计量特性。</w:t>
            </w:r>
          </w:p>
        </w:tc>
        <w:tc>
          <w:tcPr>
            <w:tcW w:w="718"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西安建筑科技大学</w:t>
            </w:r>
          </w:p>
        </w:tc>
        <w:tc>
          <w:tcPr>
            <w:tcW w:w="830" w:type="pct"/>
            <w:shd w:val="clear" w:color="auto" w:fill="auto"/>
            <w:noWrap w:val="0"/>
            <w:vAlign w:val="center"/>
          </w:tcPr>
          <w:p>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采纳，重新确认后，删除5.3.1计量特性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93" w:type="pct"/>
            <w:shd w:val="clear" w:color="auto" w:fill="auto"/>
            <w:noWrap w:val="0"/>
            <w:vAlign w:val="center"/>
          </w:tcPr>
          <w:p>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w:t>
            </w:r>
          </w:p>
        </w:tc>
        <w:tc>
          <w:tcPr>
            <w:tcW w:w="998"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lang w:val="en-US" w:eastAsia="zh-CN"/>
              </w:rPr>
              <w:t>5.4</w:t>
            </w:r>
          </w:p>
        </w:tc>
        <w:tc>
          <w:tcPr>
            <w:tcW w:w="2059" w:type="pct"/>
            <w:shd w:val="clear" w:color="auto" w:fill="auto"/>
            <w:noWrap w:val="0"/>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eastAsia"/>
                <w:lang w:val="en-US" w:eastAsia="zh-CN"/>
              </w:rPr>
              <w:t>双摆试验机的描述可删除。</w:t>
            </w:r>
          </w:p>
        </w:tc>
        <w:tc>
          <w:tcPr>
            <w:tcW w:w="718"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中国石油集团工程材料研究院</w:t>
            </w:r>
          </w:p>
        </w:tc>
        <w:tc>
          <w:tcPr>
            <w:tcW w:w="830"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采纳，重新确认后，删除对双摆试验机的描述。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93" w:type="pct"/>
            <w:shd w:val="clear" w:color="auto" w:fill="auto"/>
            <w:noWrap w:val="0"/>
            <w:vAlign w:val="center"/>
          </w:tcPr>
          <w:p>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8</w:t>
            </w:r>
          </w:p>
        </w:tc>
        <w:tc>
          <w:tcPr>
            <w:tcW w:w="998"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lang w:val="en-US" w:eastAsia="zh-CN"/>
              </w:rPr>
              <w:t>7</w:t>
            </w:r>
            <w:r>
              <w:rPr>
                <w:rFonts w:hint="default" w:eastAsia="宋体"/>
                <w:lang w:val="en-US" w:eastAsia="zh-CN"/>
              </w:rPr>
              <w:t xml:space="preserve">.2 </w:t>
            </w:r>
            <w:r>
              <w:rPr>
                <w:rFonts w:hint="eastAsia"/>
                <w:lang w:val="en-US" w:eastAsia="zh-CN"/>
              </w:rPr>
              <w:t>校准方法</w:t>
            </w:r>
          </w:p>
        </w:tc>
        <w:tc>
          <w:tcPr>
            <w:tcW w:w="2059" w:type="pct"/>
            <w:shd w:val="clear" w:color="auto" w:fill="auto"/>
            <w:noWrap w:val="0"/>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eastAsia"/>
                <w:lang w:val="en-US" w:eastAsia="zh-CN"/>
              </w:rPr>
              <w:t>对部分项目校准方法进行优化。</w:t>
            </w:r>
          </w:p>
        </w:tc>
        <w:tc>
          <w:tcPr>
            <w:tcW w:w="718" w:type="pct"/>
            <w:shd w:val="clear" w:color="auto" w:fill="auto"/>
            <w:noWrap w:val="0"/>
            <w:vAlign w:val="center"/>
          </w:tcPr>
          <w:p>
            <w:pPr>
              <w:adjustRightInd w:val="0"/>
              <w:snapToGrid w:val="0"/>
              <w:spacing w:line="360" w:lineRule="auto"/>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湖南湘投金天钛业</w:t>
            </w:r>
          </w:p>
        </w:tc>
        <w:tc>
          <w:tcPr>
            <w:tcW w:w="830" w:type="pct"/>
            <w:shd w:val="clear" w:color="auto" w:fill="auto"/>
            <w:noWrap w:val="0"/>
            <w:vAlign w:val="center"/>
          </w:tcPr>
          <w:p>
            <w:pPr>
              <w:adjustRightInd w:val="0"/>
              <w:snapToGrid w:val="0"/>
              <w:spacing w:line="360" w:lineRule="auto"/>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采纳，对校准方法重新进行描述。</w:t>
            </w:r>
          </w:p>
        </w:tc>
      </w:tr>
    </w:tbl>
    <w:p>
      <w:pPr>
        <w:pStyle w:val="2"/>
        <w:spacing w:before="156" w:after="156"/>
        <w:rPr>
          <w:b w:val="0"/>
          <w:bCs w:val="0"/>
        </w:rPr>
      </w:pPr>
      <w:r>
        <w:rPr>
          <w:rFonts w:hint="eastAsia"/>
          <w:b w:val="0"/>
          <w:bCs w:val="0"/>
        </w:rPr>
        <w:t>二、编制原则和依据</w:t>
      </w:r>
    </w:p>
    <w:p>
      <w:pPr>
        <w:pStyle w:val="3"/>
        <w:spacing w:before="156" w:after="156"/>
        <w:rPr>
          <w:b w:val="0"/>
          <w:bCs w:val="0"/>
        </w:rPr>
      </w:pPr>
      <w:bookmarkStart w:id="12" w:name="_Toc464728925"/>
      <w:r>
        <w:rPr>
          <w:rFonts w:hint="eastAsia"/>
          <w:b w:val="0"/>
          <w:bCs w:val="0"/>
        </w:rPr>
        <w:t>（一）编制原则</w:t>
      </w:r>
      <w:bookmarkEnd w:id="12"/>
    </w:p>
    <w:p>
      <w:pPr>
        <w:spacing w:line="400" w:lineRule="exact"/>
        <w:ind w:firstLine="420" w:firstLineChars="200"/>
        <w:rPr>
          <w:szCs w:val="21"/>
        </w:rPr>
      </w:pPr>
      <w:bookmarkStart w:id="13" w:name="_Toc464728926"/>
      <w:r>
        <w:rPr>
          <w:rFonts w:hint="eastAsia"/>
          <w:szCs w:val="21"/>
        </w:rPr>
        <w:t>本规范是以JJF 1071-2010《国家计量校准规范编写规则》、JJF 1001-2011《通用计量术语及定义》和JJF 1059.1-2012《测量不确定度评定与表示》为基础性系列规范进行编写。</w:t>
      </w:r>
    </w:p>
    <w:p>
      <w:pPr>
        <w:spacing w:line="400" w:lineRule="exact"/>
        <w:ind w:firstLine="420" w:firstLineChars="200"/>
        <w:rPr>
          <w:szCs w:val="21"/>
        </w:rPr>
      </w:pPr>
      <w:r>
        <w:rPr>
          <w:rFonts w:hint="eastAsia"/>
          <w:szCs w:val="21"/>
        </w:rPr>
        <w:t>本规范对摆锤动态撕裂冲击试验机的结构进行分析研究，提出了摆锤动态撕裂冲击试验机的关键计量特性，同时，规范基于GB/T 5482金属材料动态撕裂试验方法和TB/T 2985金属材料的动态撕裂试验方法等相关内容，对相应计量标准做出要求，增加了摆锤动态撕裂冲击试验机的摆锤两个侧面与支座之间的间隙、动态撕裂功值的误差、支座圆弧半径进行了明确的要求，提高了摆锤动态撕裂冲击试验机的计量准确性，解决了目前摆锤动态撕裂冲击试验机无校准规范的问题。</w:t>
      </w:r>
    </w:p>
    <w:p>
      <w:pPr>
        <w:pStyle w:val="3"/>
        <w:spacing w:before="156" w:after="156"/>
        <w:rPr>
          <w:rFonts w:ascii="宋体" w:hAnsi="宋体"/>
          <w:b w:val="0"/>
          <w:bCs w:val="0"/>
        </w:rPr>
      </w:pPr>
      <w:r>
        <w:rPr>
          <w:rFonts w:hint="eastAsia"/>
          <w:b w:val="0"/>
          <w:bCs w:val="0"/>
        </w:rPr>
        <w:t>（二）确定主要内</w:t>
      </w:r>
      <w:bookmarkEnd w:id="13"/>
      <w:r>
        <w:rPr>
          <w:rFonts w:hint="eastAsia"/>
          <w:b w:val="0"/>
          <w:bCs w:val="0"/>
        </w:rPr>
        <w:t>容</w:t>
      </w:r>
    </w:p>
    <w:p>
      <w:pPr>
        <w:pStyle w:val="4"/>
        <w:spacing w:before="156" w:after="156"/>
        <w:rPr>
          <w:b w:val="0"/>
          <w:bCs w:val="0"/>
        </w:rPr>
      </w:pPr>
      <w:bookmarkStart w:id="14" w:name="_Toc23837_WPSOffice_Level1"/>
      <w:bookmarkStart w:id="15" w:name="_Toc193860208"/>
      <w:bookmarkStart w:id="16" w:name="_Toc193860027"/>
      <w:bookmarkStart w:id="17" w:name="_Toc193860177"/>
      <w:bookmarkStart w:id="18" w:name="_Toc500258929"/>
      <w:bookmarkStart w:id="19" w:name="_Toc464728964"/>
      <w:r>
        <w:rPr>
          <w:rFonts w:hint="eastAsia"/>
          <w:b w:val="0"/>
          <w:bCs w:val="0"/>
        </w:rPr>
        <w:t>1范围</w:t>
      </w:r>
      <w:bookmarkEnd w:id="14"/>
      <w:bookmarkEnd w:id="15"/>
      <w:bookmarkEnd w:id="16"/>
      <w:bookmarkEnd w:id="17"/>
      <w:bookmarkEnd w:id="18"/>
    </w:p>
    <w:p>
      <w:pPr>
        <w:spacing w:line="400" w:lineRule="exact"/>
        <w:ind w:firstLine="420" w:firstLineChars="200"/>
      </w:pPr>
      <w:r>
        <w:rPr>
          <w:rFonts w:hint="eastAsia"/>
        </w:rPr>
        <w:t>本规范适用于摆锤动态撕裂冲击试验机（以下简称冲击试验机）的校准。</w:t>
      </w:r>
    </w:p>
    <w:p>
      <w:pPr>
        <w:pStyle w:val="4"/>
        <w:spacing w:before="156" w:after="156"/>
        <w:rPr>
          <w:b w:val="0"/>
          <w:bCs w:val="0"/>
        </w:rPr>
      </w:pPr>
      <w:bookmarkStart w:id="20" w:name="_Toc193860178"/>
      <w:bookmarkStart w:id="21" w:name="_Toc193860209"/>
      <w:bookmarkStart w:id="22" w:name="_Toc193860028"/>
      <w:bookmarkStart w:id="23" w:name="_Toc500258930"/>
      <w:bookmarkStart w:id="24" w:name="_Toc7848_WPSOffice_Level1"/>
      <w:r>
        <w:rPr>
          <w:rFonts w:hint="eastAsia"/>
          <w:b w:val="0"/>
          <w:bCs w:val="0"/>
        </w:rPr>
        <w:t>2 引用文</w:t>
      </w:r>
      <w:bookmarkEnd w:id="20"/>
      <w:bookmarkEnd w:id="21"/>
      <w:bookmarkEnd w:id="22"/>
      <w:r>
        <w:rPr>
          <w:rFonts w:hint="eastAsia"/>
          <w:b w:val="0"/>
          <w:bCs w:val="0"/>
        </w:rPr>
        <w:t>件</w:t>
      </w:r>
      <w:bookmarkEnd w:id="23"/>
      <w:bookmarkEnd w:id="24"/>
    </w:p>
    <w:p>
      <w:pPr>
        <w:spacing w:line="400" w:lineRule="exact"/>
        <w:ind w:firstLine="420" w:firstLineChars="200"/>
      </w:pPr>
      <w:r>
        <w:rPr>
          <w:rFonts w:hint="eastAsia"/>
        </w:rPr>
        <w:t>本规范主要计量特性参数引自GB/T 5482-2007金属材料动态撕裂试验方法、TB/T 2985-2000金属材料的动态撕裂试验方法、</w:t>
      </w:r>
      <w:r>
        <w:t>ASTM E604-18</w:t>
      </w:r>
      <w:r>
        <w:rPr>
          <w:rFonts w:hint="eastAsia"/>
        </w:rPr>
        <w:t xml:space="preserve"> 金属材料动态撕裂试验的标准试验方法(</w:t>
      </w:r>
      <w:r>
        <w:t>Standard Test Method for Dynamic Tear Testing of Metallic Materials</w:t>
      </w:r>
      <w:r>
        <w:rPr>
          <w:rFonts w:hint="eastAsia"/>
        </w:rPr>
        <w:t>)。</w:t>
      </w:r>
    </w:p>
    <w:p>
      <w:pPr>
        <w:pStyle w:val="4"/>
        <w:spacing w:before="156" w:after="156"/>
        <w:rPr>
          <w:rFonts w:hint="eastAsia"/>
          <w:b w:val="0"/>
          <w:bCs w:val="0"/>
        </w:rPr>
      </w:pPr>
      <w:bookmarkStart w:id="25" w:name="_Toc193860180"/>
      <w:bookmarkStart w:id="26" w:name="_Toc193618952"/>
      <w:bookmarkStart w:id="27" w:name="_Toc13054_WPSOffice_Level1"/>
      <w:bookmarkStart w:id="28" w:name="_Toc500258937"/>
      <w:bookmarkStart w:id="29" w:name="_Toc193860030"/>
      <w:bookmarkStart w:id="30" w:name="_Toc193860211"/>
      <w:bookmarkStart w:id="31" w:name="_Toc193619055"/>
      <w:bookmarkStart w:id="32" w:name="_Toc193619097"/>
      <w:r>
        <w:rPr>
          <w:rFonts w:hint="eastAsia"/>
          <w:b w:val="0"/>
          <w:bCs w:val="0"/>
        </w:rPr>
        <w:t>3 概述</w:t>
      </w:r>
      <w:bookmarkEnd w:id="25"/>
      <w:bookmarkEnd w:id="26"/>
      <w:bookmarkEnd w:id="27"/>
      <w:bookmarkEnd w:id="28"/>
      <w:bookmarkEnd w:id="29"/>
      <w:bookmarkEnd w:id="30"/>
      <w:bookmarkEnd w:id="31"/>
      <w:bookmarkEnd w:id="32"/>
    </w:p>
    <w:p>
      <w:pPr>
        <w:autoSpaceDE w:val="0"/>
        <w:autoSpaceDN w:val="0"/>
        <w:adjustRightInd w:val="0"/>
        <w:spacing w:line="400" w:lineRule="exact"/>
        <w:ind w:firstLine="420" w:firstLineChars="200"/>
      </w:pPr>
      <w:r>
        <w:rPr>
          <w:rFonts w:hint="eastAsia"/>
        </w:rPr>
        <w:t>摆锤动态撕裂冲击试验机是金属材料动态撕裂性能测试的常用设备，一般由基座、支座、摆锤、显示装置等部分组成。</w:t>
      </w:r>
    </w:p>
    <w:p>
      <w:pPr>
        <w:pStyle w:val="4"/>
        <w:spacing w:before="156" w:after="156"/>
        <w:rPr>
          <w:b w:val="0"/>
          <w:bCs w:val="0"/>
        </w:rPr>
      </w:pPr>
      <w:bookmarkStart w:id="33" w:name="_Toc19851_WPSOffice_Level1"/>
      <w:bookmarkStart w:id="34" w:name="_Toc193618953"/>
      <w:bookmarkStart w:id="35" w:name="_Toc193619098"/>
      <w:bookmarkStart w:id="36" w:name="_Toc193860181"/>
      <w:bookmarkStart w:id="37" w:name="_Toc193619056"/>
      <w:bookmarkStart w:id="38" w:name="_Toc193860212"/>
      <w:bookmarkStart w:id="39" w:name="_Toc193860031"/>
      <w:bookmarkStart w:id="40" w:name="_Toc500258938"/>
      <w:r>
        <w:rPr>
          <w:rFonts w:hint="eastAsia"/>
          <w:b w:val="0"/>
          <w:bCs w:val="0"/>
        </w:rPr>
        <w:t>4计量特性</w:t>
      </w:r>
      <w:bookmarkEnd w:id="33"/>
      <w:bookmarkEnd w:id="34"/>
      <w:bookmarkEnd w:id="35"/>
      <w:bookmarkEnd w:id="36"/>
      <w:bookmarkEnd w:id="37"/>
      <w:bookmarkEnd w:id="38"/>
      <w:bookmarkEnd w:id="39"/>
      <w:bookmarkEnd w:id="40"/>
      <w:bookmarkStart w:id="41" w:name="_Toc25829_WPSOffice_Level1"/>
    </w:p>
    <w:p>
      <w:pPr>
        <w:spacing w:line="324" w:lineRule="auto"/>
        <w:ind w:firstLine="420" w:firstLineChars="200"/>
        <w:outlineLvl w:val="1"/>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根据实际使用情况，并与</w:t>
      </w:r>
      <w:r>
        <w:rPr>
          <w:color w:val="333333"/>
          <w:szCs w:val="21"/>
          <w:shd w:val="clear" w:color="auto" w:fill="FFFFFF"/>
        </w:rPr>
        <w:t>中国石油集团工程材料研究院有限公司</w:t>
      </w:r>
      <w:r>
        <w:rPr>
          <w:rFonts w:hint="eastAsia"/>
          <w:bCs/>
          <w:color w:val="000000" w:themeColor="text1"/>
          <w14:textFill>
            <w14:solidFill>
              <w14:schemeClr w14:val="tx1"/>
            </w14:solidFill>
          </w14:textFill>
        </w:rPr>
        <w:t>、</w:t>
      </w:r>
      <w:r>
        <w:rPr>
          <w:color w:val="333333"/>
          <w:szCs w:val="21"/>
          <w:shd w:val="clear" w:color="auto" w:fill="FFFFFF"/>
        </w:rPr>
        <w:t>西安建筑科技大学</w:t>
      </w:r>
      <w:r>
        <w:rPr>
          <w:rFonts w:hint="eastAsia"/>
          <w:bCs/>
          <w:color w:val="000000" w:themeColor="text1"/>
          <w14:textFill>
            <w14:solidFill>
              <w14:schemeClr w14:val="tx1"/>
            </w14:solidFill>
          </w14:textFill>
        </w:rPr>
        <w:t>等单位沟通，确定了</w:t>
      </w:r>
      <w:r>
        <w:rPr>
          <w:rFonts w:hint="eastAsia"/>
        </w:rPr>
        <w:t>摆锤动态撕裂冲击试验机</w:t>
      </w:r>
      <w:r>
        <w:rPr>
          <w:rFonts w:hint="eastAsia"/>
          <w:bCs/>
          <w:color w:val="000000" w:themeColor="text1"/>
          <w14:textFill>
            <w14:solidFill>
              <w14:schemeClr w14:val="tx1"/>
            </w14:solidFill>
          </w14:textFill>
        </w:rPr>
        <w:t>的计量特性如下：</w:t>
      </w:r>
    </w:p>
    <w:p>
      <w:pPr>
        <w:spacing w:line="324" w:lineRule="auto"/>
        <w:ind w:firstLine="420" w:firstLineChars="200"/>
        <w:outlineLvl w:val="1"/>
        <w:rPr>
          <w:bCs/>
          <w:color w:val="000000" w:themeColor="text1"/>
          <w14:textFill>
            <w14:solidFill>
              <w14:schemeClr w14:val="tx1"/>
            </w14:solidFill>
          </w14:textFill>
        </w:rPr>
      </w:pPr>
      <w:r>
        <w:rPr>
          <w:bCs/>
          <w:color w:val="000000" w:themeColor="text1"/>
          <w14:textFill>
            <w14:solidFill>
              <w14:schemeClr w14:val="tx1"/>
            </w14:solidFill>
          </w14:textFill>
        </w:rPr>
        <w:t>计量特性主要包试验机机架：摆锤自由悬挂时，冲击刀刃与试样侧面的距离应小于5mm；摆锤两个侧面与支座之间的间隙应不小于51mm；冲击刀中心线的运动平面，应通过支座跨距的中点，偏差不应超过0.8mm；冲击刀刃应垂直于试样的纵轴，其偏差不大于0.01rad；冲击刀刃与试样侧面的平行度不得大于0.005rad；摆轴轴向间隙应不超过0.75mm；摆轴轴承处的径向间隙应不超过0.075mm。摆锤：试验机势能因摩擦和空气阻力造成的损失不应超过原势能的2.0%；试验机摆轴中心至打击中心的距离应与摆轴中心至试样中心的距离一致，允许偏差为1%；摆锤的重量误差或由下落高度的误差造成的动态撕裂功值的误差应不超过1%；打击瞬间摆锤的冲击速度应为4.0m/s～8.5m/s；冲击刀圆弧半径12.7mm±0.8mm或38mm±0.5mm，冲击刀夹角30°±1°。</w:t>
      </w:r>
      <w:r>
        <w:rPr>
          <w:rFonts w:hint="eastAsia"/>
          <w:bCs/>
          <w:color w:val="000000" w:themeColor="text1"/>
          <w14:textFill>
            <w14:solidFill>
              <w14:schemeClr w14:val="tx1"/>
            </w14:solidFill>
          </w14:textFill>
        </w:rPr>
        <w:t>支座：支座的垂直支撑面应垂直于水平支撑面，偏差不大于0.025rad；支座的垂直支撑面、水平支撑面的左右面应在同一平面上，偏差不大于0.13mm。</w:t>
      </w:r>
    </w:p>
    <w:p>
      <w:pPr>
        <w:pStyle w:val="4"/>
        <w:spacing w:before="156" w:after="156"/>
        <w:rPr>
          <w:b w:val="0"/>
          <w:bCs w:val="0"/>
        </w:rPr>
      </w:pPr>
      <w:r>
        <w:rPr>
          <w:rFonts w:hint="eastAsia"/>
          <w:b w:val="0"/>
          <w:bCs w:val="0"/>
        </w:rPr>
        <w:t>5 校准条件</w:t>
      </w:r>
      <w:bookmarkEnd w:id="41"/>
      <w:bookmarkStart w:id="42" w:name="_Toc193860033"/>
      <w:bookmarkStart w:id="43" w:name="_Toc193860214"/>
      <w:bookmarkStart w:id="44" w:name="_Toc500258942"/>
      <w:bookmarkStart w:id="45" w:name="_Toc193860183"/>
    </w:p>
    <w:p>
      <w:pPr>
        <w:spacing w:line="400" w:lineRule="exact"/>
        <w:rPr>
          <w:rFonts w:hint="eastAsia" w:cstheme="majorBidi"/>
          <w:kern w:val="44"/>
        </w:rPr>
      </w:pPr>
      <w:bookmarkStart w:id="46" w:name="_Toc161838411"/>
      <w:bookmarkStart w:id="47" w:name="_Toc533963948"/>
      <w:r>
        <w:rPr>
          <w:rFonts w:cstheme="majorBidi"/>
          <w:kern w:val="44"/>
        </w:rPr>
        <w:t>5.1 环境条件</w:t>
      </w:r>
      <w:bookmarkEnd w:id="46"/>
      <w:bookmarkEnd w:id="47"/>
    </w:p>
    <w:p>
      <w:pPr>
        <w:spacing w:line="360" w:lineRule="auto"/>
        <w:ind w:firstLine="420" w:firstLineChars="200"/>
        <w:rPr>
          <w:rFonts w:eastAsiaTheme="minorEastAsia"/>
          <w:szCs w:val="21"/>
        </w:rPr>
      </w:pPr>
      <w:r>
        <w:rPr>
          <w:rFonts w:eastAsiaTheme="minorEastAsia"/>
          <w:szCs w:val="21"/>
        </w:rPr>
        <w:t>校准前，实验室环境条件环境温度：（10~35）℃，相对湿度：不大于80%，试验周围无腐蚀性介质，并且附近无影响试验结果的振源。</w:t>
      </w:r>
    </w:p>
    <w:p>
      <w:pPr>
        <w:spacing w:line="400" w:lineRule="exact"/>
        <w:rPr>
          <w:rFonts w:cstheme="majorBidi"/>
          <w:kern w:val="44"/>
        </w:rPr>
      </w:pPr>
      <w:bookmarkStart w:id="48" w:name="_Toc533963949"/>
      <w:bookmarkStart w:id="49" w:name="_Toc161838412"/>
      <w:r>
        <w:rPr>
          <w:rFonts w:cstheme="majorBidi"/>
          <w:kern w:val="44"/>
        </w:rPr>
        <w:t>5.2</w:t>
      </w:r>
      <w:bookmarkEnd w:id="48"/>
      <w:r>
        <w:rPr>
          <w:rFonts w:cstheme="majorBidi"/>
          <w:kern w:val="44"/>
        </w:rPr>
        <w:t xml:space="preserve"> 测量标准</w:t>
      </w:r>
      <w:bookmarkEnd w:id="49"/>
    </w:p>
    <w:p>
      <w:pPr>
        <w:spacing w:line="324" w:lineRule="auto"/>
        <w:ind w:firstLine="420" w:firstLineChars="200"/>
        <w:outlineLvl w:val="1"/>
        <w:rPr>
          <w:kern w:val="0"/>
        </w:rPr>
      </w:pPr>
      <w:r>
        <w:rPr>
          <w:bCs/>
          <w:color w:val="000000" w:themeColor="text1"/>
          <w14:textFill>
            <w14:solidFill>
              <w14:schemeClr w14:val="tx1"/>
            </w14:solidFill>
          </w14:textFill>
        </w:rPr>
        <w:t>测量标准的技术要求应符合正文中表3的规定</w:t>
      </w:r>
      <w:r>
        <w:rPr>
          <w:kern w:val="0"/>
        </w:rPr>
        <w:t>。</w:t>
      </w:r>
    </w:p>
    <w:bookmarkEnd w:id="42"/>
    <w:bookmarkEnd w:id="43"/>
    <w:bookmarkEnd w:id="44"/>
    <w:bookmarkEnd w:id="45"/>
    <w:p>
      <w:pPr>
        <w:pStyle w:val="4"/>
        <w:spacing w:before="156" w:after="156"/>
        <w:rPr>
          <w:b w:val="0"/>
          <w:bCs w:val="0"/>
        </w:rPr>
      </w:pPr>
      <w:bookmarkStart w:id="50" w:name="_Toc193619058"/>
      <w:bookmarkStart w:id="51" w:name="_Toc193860185"/>
      <w:bookmarkStart w:id="52" w:name="_Toc2741_WPSOffice_Level1"/>
      <w:bookmarkStart w:id="53" w:name="_Toc500258944"/>
      <w:bookmarkStart w:id="54" w:name="_Toc193618955"/>
      <w:bookmarkStart w:id="55" w:name="_Toc193860035"/>
      <w:bookmarkStart w:id="56" w:name="_Toc193860216"/>
      <w:bookmarkStart w:id="57" w:name="_Toc193619100"/>
      <w:r>
        <w:rPr>
          <w:rFonts w:hint="eastAsia"/>
          <w:b w:val="0"/>
          <w:bCs w:val="0"/>
        </w:rPr>
        <w:t>6 校准项目和校准方法</w:t>
      </w:r>
      <w:bookmarkEnd w:id="50"/>
      <w:bookmarkEnd w:id="51"/>
      <w:bookmarkEnd w:id="52"/>
      <w:bookmarkEnd w:id="53"/>
      <w:bookmarkEnd w:id="54"/>
      <w:bookmarkEnd w:id="55"/>
      <w:bookmarkEnd w:id="56"/>
      <w:bookmarkEnd w:id="57"/>
    </w:p>
    <w:p>
      <w:pPr>
        <w:spacing w:line="360" w:lineRule="auto"/>
        <w:rPr>
          <w:kern w:val="0"/>
          <w:szCs w:val="21"/>
        </w:rPr>
      </w:pPr>
      <w:bookmarkStart w:id="58" w:name="_Toc22718_WPSOffice_Level2"/>
      <w:bookmarkStart w:id="59" w:name="_Toc500258945"/>
      <w:r>
        <w:rPr>
          <w:rFonts w:hint="eastAsia"/>
          <w:kern w:val="0"/>
          <w:szCs w:val="21"/>
        </w:rPr>
        <w:t>6.1校准项目：</w:t>
      </w:r>
      <w:r>
        <w:rPr>
          <w:kern w:val="0"/>
          <w:szCs w:val="21"/>
        </w:rPr>
        <w:t>试验机机架</w:t>
      </w:r>
      <w:r>
        <w:rPr>
          <w:rFonts w:hint="eastAsia"/>
          <w:kern w:val="0"/>
          <w:szCs w:val="21"/>
        </w:rPr>
        <w:t>、</w:t>
      </w:r>
      <w:r>
        <w:rPr>
          <w:kern w:val="0"/>
          <w:szCs w:val="21"/>
        </w:rPr>
        <w:t>摆锤</w:t>
      </w:r>
      <w:r>
        <w:rPr>
          <w:rFonts w:hint="eastAsia"/>
          <w:kern w:val="0"/>
          <w:szCs w:val="21"/>
        </w:rPr>
        <w:t>、支座相关尺寸</w:t>
      </w:r>
    </w:p>
    <w:p>
      <w:pPr>
        <w:spacing w:line="360" w:lineRule="auto"/>
        <w:rPr>
          <w:kern w:val="0"/>
          <w:szCs w:val="21"/>
        </w:rPr>
      </w:pPr>
      <w:bookmarkStart w:id="60" w:name="_Hlk37534244"/>
      <w:r>
        <w:rPr>
          <w:rFonts w:hint="eastAsia"/>
          <w:kern w:val="0"/>
          <w:szCs w:val="21"/>
        </w:rPr>
        <w:t>6.2通用技术要求检查：采用目测和手动方式进行检查。</w:t>
      </w:r>
    </w:p>
    <w:p>
      <w:pPr>
        <w:spacing w:line="360" w:lineRule="auto"/>
        <w:rPr>
          <w:kern w:val="0"/>
          <w:szCs w:val="21"/>
        </w:rPr>
      </w:pPr>
      <w:r>
        <w:rPr>
          <w:rFonts w:hint="eastAsia"/>
          <w:kern w:val="0"/>
          <w:szCs w:val="21"/>
        </w:rPr>
        <w:t>6.3冲击刀与试样间隙：在摆锤自由悬挂时，将40mm×45mm（或120mm×125mm或160mm×165mm或200mm×205mm）的矩形试样，分别以40mm（或120mm、160mm、200mm）和45mm（或125mm、165mm、205mm）截面尺寸方向放在支座上，检查冲击刀刃与试样间隙。</w:t>
      </w:r>
    </w:p>
    <w:p>
      <w:pPr>
        <w:spacing w:line="360" w:lineRule="auto"/>
        <w:rPr>
          <w:kern w:val="0"/>
          <w:szCs w:val="21"/>
        </w:rPr>
      </w:pPr>
      <w:r>
        <w:rPr>
          <w:rFonts w:hint="eastAsia"/>
          <w:kern w:val="0"/>
          <w:szCs w:val="21"/>
        </w:rPr>
        <w:t>6.4摆锤两个侧面与支座之间的间隙：采用深度卡尺进行直接测量。</w:t>
      </w:r>
    </w:p>
    <w:p>
      <w:pPr>
        <w:spacing w:line="360" w:lineRule="auto"/>
        <w:rPr>
          <w:kern w:val="0"/>
          <w:szCs w:val="21"/>
        </w:rPr>
      </w:pPr>
      <w:r>
        <w:rPr>
          <w:rFonts w:hint="eastAsia"/>
          <w:kern w:val="0"/>
          <w:szCs w:val="21"/>
        </w:rPr>
        <w:t>6.5冲击刀的中心与支座跨距的中心差：将标准试样缺口背面粘贴复写纸，将试样在支座之间对正后，由摆锤冲击刀刃轻击标准试样，用游标卡尺测量试样上冲击刀痕迹中心线与缺口顶端之间的距离。</w:t>
      </w:r>
    </w:p>
    <w:p>
      <w:pPr>
        <w:spacing w:line="360" w:lineRule="auto"/>
        <w:rPr>
          <w:kern w:val="0"/>
          <w:szCs w:val="21"/>
        </w:rPr>
      </w:pPr>
      <w:r>
        <w:rPr>
          <w:rFonts w:hint="eastAsia"/>
          <w:kern w:val="0"/>
          <w:szCs w:val="21"/>
        </w:rPr>
        <w:t>6.6冲击刀刃与试样纵轴的垂直度：将标准试样缺口背面粘贴复写纸，将试样在支座之间对正后，由摆锤冲击刀刃轻击标准试样，用影像仪测量标准试样上冲击刀痕迹中心线与试样纵轴的夹角。</w:t>
      </w:r>
    </w:p>
    <w:p>
      <w:pPr>
        <w:spacing w:line="360" w:lineRule="auto"/>
        <w:rPr>
          <w:kern w:val="0"/>
          <w:szCs w:val="21"/>
        </w:rPr>
      </w:pPr>
      <w:r>
        <w:rPr>
          <w:rFonts w:hint="eastAsia"/>
          <w:kern w:val="0"/>
          <w:szCs w:val="21"/>
        </w:rPr>
        <w:t>6.7冲击刀刃与试样侧面的平行度：采用标准试样与冲击刀刃接触，通过直角尺、塞尺、象限测量仪等校准。</w:t>
      </w:r>
    </w:p>
    <w:p>
      <w:pPr>
        <w:spacing w:line="360" w:lineRule="auto"/>
        <w:rPr>
          <w:kern w:val="0"/>
          <w:szCs w:val="21"/>
        </w:rPr>
      </w:pPr>
      <w:r>
        <w:rPr>
          <w:rFonts w:hint="eastAsia"/>
          <w:kern w:val="0"/>
          <w:szCs w:val="21"/>
        </w:rPr>
        <w:t>6.8支座的垂直支撑面与水平支撑面的垂直度：采用直角尺、塞尺、象限测量仪等校准。</w:t>
      </w:r>
    </w:p>
    <w:p>
      <w:pPr>
        <w:spacing w:line="360" w:lineRule="auto"/>
        <w:rPr>
          <w:kern w:val="0"/>
          <w:szCs w:val="21"/>
        </w:rPr>
      </w:pPr>
      <w:r>
        <w:rPr>
          <w:rFonts w:hint="eastAsia"/>
          <w:kern w:val="0"/>
          <w:szCs w:val="21"/>
        </w:rPr>
        <w:t>6.9支座的垂直支撑面、水平支撑面的的左右面的平行度：采用水平仪、塞尺、象限测量仪等进行校准。</w:t>
      </w:r>
    </w:p>
    <w:p>
      <w:pPr>
        <w:spacing w:line="360" w:lineRule="auto"/>
        <w:rPr>
          <w:kern w:val="0"/>
          <w:szCs w:val="21"/>
        </w:rPr>
      </w:pPr>
      <w:r>
        <w:rPr>
          <w:rFonts w:hint="eastAsia"/>
          <w:kern w:val="0"/>
          <w:szCs w:val="21"/>
        </w:rPr>
        <w:t>6.10摆轴轴向、径向间隙的校准：将打击点推力块置于试样支座中间，使冲击刀紧卧其Ｖ型槽口内，将装好百分表的磁性表架置于主机架上适当位置，当百分表垂直对准冲击刀刃时，用于测量摆轴的轴向间隙；当百分表垂直对准摆轴上方中心处时，测量摆轴的径向间隙；将测力传感器对准打击点推力块中心，施加相当于摆锤有效重量4%的横向力，记录百分表最大示值，作为测量结果。</w:t>
      </w:r>
    </w:p>
    <w:p>
      <w:pPr>
        <w:spacing w:line="360" w:lineRule="auto"/>
        <w:rPr>
          <w:kern w:val="0"/>
          <w:szCs w:val="21"/>
        </w:rPr>
      </w:pPr>
      <w:r>
        <w:rPr>
          <w:rFonts w:hint="eastAsia"/>
          <w:kern w:val="0"/>
          <w:szCs w:val="21"/>
        </w:rPr>
        <w:t>6.11摩擦和空气阻力损失：摩擦和空气阻力损失为摆锤开始位置时的势能与摆锤完成一次无试样时的摆动后的势能之差。测量完成后，补偿摩擦和空气阻力损失，使摆锤无试样释放时指示出零势能。</w:t>
      </w:r>
    </w:p>
    <w:p>
      <w:pPr>
        <w:spacing w:line="360" w:lineRule="auto"/>
        <w:rPr>
          <w:kern w:val="0"/>
          <w:szCs w:val="21"/>
        </w:rPr>
      </w:pPr>
      <w:r>
        <w:rPr>
          <w:rFonts w:hint="eastAsia"/>
          <w:kern w:val="0"/>
          <w:szCs w:val="21"/>
        </w:rPr>
        <w:t>6.12摆轴到打击中心的距离：使用分度值不大于0.2s的电子秒表或其他计时器，将摆锤提起，提起至总角度不大于15°位置释放，记录摆锤往返摆动100次的时间t，重复测量3次计算摆动时间平均值</w:t>
      </w:r>
      <m:oMath>
        <m:bar>
          <m:barPr>
            <m:pos m:val="top"/>
            <m:ctrlPr>
              <w:rPr>
                <w:rFonts w:hint="eastAsia" w:ascii="Cambria Math" w:hAnsi="Cambria Math"/>
                <w:kern w:val="0"/>
                <w:szCs w:val="21"/>
              </w:rPr>
            </m:ctrlPr>
          </m:barPr>
          <m:e>
            <m:r>
              <m:rPr>
                <m:sty m:val="p"/>
              </m:rPr>
              <w:rPr>
                <w:rFonts w:hint="eastAsia" w:ascii="Cambria Math" w:hAnsi="Cambria Math"/>
                <w:kern w:val="0"/>
                <w:szCs w:val="21"/>
              </w:rPr>
              <m:t>t</m:t>
            </m:r>
            <m:ctrlPr>
              <w:rPr>
                <w:rFonts w:hint="eastAsia" w:ascii="Cambria Math" w:hAnsi="Cambria Math"/>
                <w:kern w:val="0"/>
                <w:szCs w:val="21"/>
              </w:rPr>
            </m:ctrlPr>
          </m:e>
        </m:bar>
      </m:oMath>
      <w:r>
        <w:rPr>
          <w:rFonts w:hint="eastAsia"/>
          <w:kern w:val="0"/>
          <w:szCs w:val="21"/>
        </w:rPr>
        <w:t>，按计算公式计算摆轴到打击中心的距离。</w:t>
      </w:r>
    </w:p>
    <w:p>
      <w:pPr>
        <w:spacing w:line="360" w:lineRule="auto"/>
        <w:rPr>
          <w:kern w:val="0"/>
          <w:szCs w:val="21"/>
        </w:rPr>
      </w:pPr>
      <w:r>
        <w:rPr>
          <w:rFonts w:hint="eastAsia"/>
          <w:kern w:val="0"/>
          <w:szCs w:val="21"/>
        </w:rPr>
        <w:t>6.13势能：在某一个最能与测力传感器起作用的一点上将摆锤支在水平位置（离静止位置90°±1°），测出摆锤质量，操作时务必使承载支撑和称重支撑处的摩擦力减至最小，测定力臂长度（即摆轴中心与通过支撑点的垂直线之间的水平距离），按照计算公式进行势能计算。</w:t>
      </w:r>
    </w:p>
    <w:p>
      <w:pPr>
        <w:spacing w:line="360" w:lineRule="auto"/>
        <w:rPr>
          <w:kern w:val="0"/>
          <w:szCs w:val="21"/>
        </w:rPr>
      </w:pPr>
      <w:r>
        <w:rPr>
          <w:rFonts w:hint="eastAsia"/>
          <w:kern w:val="0"/>
          <w:szCs w:val="21"/>
        </w:rPr>
        <w:t>6.14动态撕裂能示值误差的校准：同样用倾角仪或冲击试验机检定仪（具有角度测量功能）测量摆锤不同位置的仰角，进行指示能量与动态撕裂能示值误差的校准。校准范围选择试验机度盘标称能量的10%~80%，不少于5点，抬起摆锤使指针分别指示要求校准的各分度标记，然后测量升角α，按计算公式计算动态撕裂能。</w:t>
      </w:r>
    </w:p>
    <w:p>
      <w:pPr>
        <w:spacing w:line="360" w:lineRule="auto"/>
        <w:rPr>
          <w:kern w:val="0"/>
          <w:szCs w:val="21"/>
        </w:rPr>
      </w:pPr>
      <w:r>
        <w:rPr>
          <w:rFonts w:hint="eastAsia"/>
          <w:kern w:val="0"/>
          <w:szCs w:val="21"/>
        </w:rPr>
        <w:t>6.15摆锤的冲击速度</w:t>
      </w:r>
    </w:p>
    <w:p>
      <w:pPr>
        <w:spacing w:line="360" w:lineRule="auto"/>
        <w:rPr>
          <w:kern w:val="0"/>
          <w:szCs w:val="21"/>
        </w:rPr>
      </w:pPr>
      <w:r>
        <w:rPr>
          <w:rFonts w:hint="eastAsia"/>
          <w:kern w:val="0"/>
          <w:szCs w:val="21"/>
        </w:rPr>
        <w:t>①考虑摩擦和空气阻力损失时，采用瞬时速度测量仪测量打击瞬间摆锤的冲击速度。</w:t>
      </w:r>
    </w:p>
    <w:p>
      <w:pPr>
        <w:spacing w:line="360" w:lineRule="auto"/>
        <w:rPr>
          <w:kern w:val="0"/>
          <w:szCs w:val="21"/>
        </w:rPr>
      </w:pPr>
      <w:r>
        <w:rPr>
          <w:rFonts w:hint="eastAsia"/>
          <w:kern w:val="0"/>
          <w:szCs w:val="21"/>
        </w:rPr>
        <w:t>②不考虑摩擦时，打击瞬间摆锤的冲击速度</w:t>
      </w:r>
      <m:oMath>
        <m:r>
          <m:rPr>
            <m:sty m:val="p"/>
          </m:rPr>
          <w:rPr>
            <w:rFonts w:hint="eastAsia" w:ascii="Cambria Math" w:hAnsi="Cambria Math"/>
            <w:kern w:val="0"/>
            <w:szCs w:val="21"/>
          </w:rPr>
          <m:t>θ</m:t>
        </m:r>
      </m:oMath>
      <w:r>
        <w:rPr>
          <w:rFonts w:hint="eastAsia"/>
          <w:kern w:val="0"/>
          <w:szCs w:val="21"/>
        </w:rPr>
        <w:t>按下式计算：</w:t>
      </w:r>
    </w:p>
    <w:p>
      <w:pPr>
        <w:spacing w:line="360" w:lineRule="auto"/>
        <w:rPr>
          <w:kern w:val="0"/>
          <w:szCs w:val="21"/>
        </w:rPr>
      </w:pPr>
      <w:r>
        <w:rPr>
          <w:rFonts w:hint="eastAsia"/>
          <w:kern w:val="0"/>
          <w:szCs w:val="21"/>
        </w:rPr>
        <w:t>6.16冲击刀刃、支座尺寸：采用游标卡尺、万能角度尺、半径样板或数显半径测量仪等校准。</w:t>
      </w:r>
    </w:p>
    <w:p>
      <w:pPr>
        <w:spacing w:line="360" w:lineRule="auto"/>
        <w:rPr>
          <w:kern w:val="0"/>
          <w:szCs w:val="21"/>
        </w:rPr>
      </w:pPr>
      <w:r>
        <w:rPr>
          <w:rFonts w:hint="eastAsia"/>
          <w:kern w:val="0"/>
          <w:szCs w:val="21"/>
        </w:rPr>
        <w:t>6.17双摆锤试验机校准方法与单摆锤试验机相同。</w:t>
      </w:r>
      <w:bookmarkEnd w:id="60"/>
    </w:p>
    <w:bookmarkEnd w:id="58"/>
    <w:bookmarkEnd w:id="59"/>
    <w:p>
      <w:pPr>
        <w:pStyle w:val="4"/>
        <w:spacing w:before="156" w:after="156"/>
        <w:rPr>
          <w:b w:val="0"/>
          <w:bCs w:val="0"/>
        </w:rPr>
      </w:pPr>
      <w:bookmarkStart w:id="61" w:name="_Toc193619101"/>
      <w:bookmarkStart w:id="62" w:name="_Toc193619059"/>
      <w:bookmarkStart w:id="63" w:name="_Toc193618956"/>
      <w:bookmarkStart w:id="64" w:name="_Toc193860219"/>
      <w:bookmarkStart w:id="65" w:name="_Toc193860188"/>
      <w:bookmarkStart w:id="66" w:name="_Toc193860038"/>
      <w:bookmarkStart w:id="67" w:name="_Toc25466_WPSOffice_Level1"/>
      <w:bookmarkStart w:id="68" w:name="_Toc500258947"/>
      <w:r>
        <w:rPr>
          <w:rFonts w:hint="eastAsia"/>
          <w:b w:val="0"/>
          <w:bCs w:val="0"/>
        </w:rPr>
        <w:t>7 校准结果</w:t>
      </w:r>
      <w:bookmarkEnd w:id="61"/>
      <w:bookmarkEnd w:id="62"/>
      <w:bookmarkEnd w:id="63"/>
      <w:bookmarkEnd w:id="64"/>
      <w:bookmarkEnd w:id="65"/>
      <w:bookmarkEnd w:id="66"/>
      <w:r>
        <w:rPr>
          <w:rFonts w:hint="eastAsia"/>
          <w:b w:val="0"/>
          <w:bCs w:val="0"/>
        </w:rPr>
        <w:t>表达</w:t>
      </w:r>
      <w:bookmarkEnd w:id="67"/>
      <w:bookmarkEnd w:id="68"/>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根据实验室环境要求、校准项目校准结果、测量不确定度评定结果等，按照JJF 1071-2010推荐的校准报告格式，出具校准证书。</w:t>
      </w:r>
    </w:p>
    <w:p>
      <w:pPr>
        <w:pStyle w:val="4"/>
        <w:spacing w:before="156" w:after="156"/>
        <w:rPr>
          <w:b w:val="0"/>
          <w:bCs w:val="0"/>
        </w:rPr>
      </w:pPr>
      <w:bookmarkStart w:id="69" w:name="_Toc5529"/>
      <w:bookmarkStart w:id="70" w:name="_Toc193860189"/>
      <w:bookmarkStart w:id="71" w:name="_Toc14803_WPSOffice_Level1"/>
      <w:bookmarkStart w:id="72" w:name="_Toc193860040"/>
      <w:bookmarkStart w:id="73" w:name="_Toc193860220"/>
      <w:bookmarkStart w:id="74" w:name="_Toc193860041"/>
      <w:r>
        <w:rPr>
          <w:rFonts w:hint="eastAsia"/>
          <w:b w:val="0"/>
          <w:bCs w:val="0"/>
        </w:rPr>
        <w:t>8 复校</w:t>
      </w:r>
      <w:bookmarkEnd w:id="69"/>
      <w:bookmarkEnd w:id="70"/>
      <w:bookmarkEnd w:id="71"/>
      <w:bookmarkEnd w:id="72"/>
      <w:bookmarkEnd w:id="73"/>
      <w:r>
        <w:rPr>
          <w:rFonts w:hint="eastAsia"/>
          <w:b w:val="0"/>
          <w:bCs w:val="0"/>
        </w:rPr>
        <w:t>时间间隔</w:t>
      </w:r>
    </w:p>
    <w:bookmarkEnd w:id="74"/>
    <w:p>
      <w:pPr>
        <w:pStyle w:val="58"/>
        <w:spacing w:line="360" w:lineRule="auto"/>
        <w:ind w:firstLine="420"/>
        <w:rPr>
          <w:rFonts w:ascii="Times New Roman" w:hAnsi="Times New Roman" w:eastAsiaTheme="minorEastAsia"/>
          <w:color w:val="0000FF"/>
          <w:kern w:val="2"/>
          <w:szCs w:val="21"/>
        </w:rPr>
      </w:pPr>
      <w:r>
        <w:rPr>
          <w:rFonts w:hint="eastAsia" w:ascii="Times New Roman" w:hAnsi="Times New Roman" w:eastAsiaTheme="minorEastAsia"/>
          <w:kern w:val="2"/>
          <w:szCs w:val="21"/>
        </w:rPr>
        <w:t>建议复校时间间隔为1年。冲击试验机使用频繁时应适当缩短周期，在使用过程中试验系统经过修理、更换重要部件的应重新校准。</w:t>
      </w:r>
    </w:p>
    <w:p>
      <w:pPr>
        <w:pStyle w:val="4"/>
        <w:spacing w:before="156" w:after="156"/>
        <w:rPr>
          <w:b w:val="0"/>
          <w:bCs w:val="0"/>
        </w:rPr>
      </w:pPr>
      <w:r>
        <w:rPr>
          <w:rFonts w:hint="eastAsia"/>
          <w:b w:val="0"/>
          <w:bCs w:val="0"/>
        </w:rPr>
        <w:t>9附录</w:t>
      </w:r>
    </w:p>
    <w:p>
      <w:pPr>
        <w:pStyle w:val="58"/>
        <w:spacing w:line="360" w:lineRule="auto"/>
        <w:ind w:firstLine="420"/>
        <w:rPr>
          <w:rFonts w:ascii="Times New Roman" w:hAnsi="Times New Roman" w:eastAsiaTheme="minorEastAsia"/>
          <w:kern w:val="2"/>
          <w:szCs w:val="21"/>
        </w:rPr>
      </w:pPr>
      <w:r>
        <w:rPr>
          <w:rFonts w:hint="eastAsia" w:ascii="Times New Roman" w:hAnsi="Times New Roman" w:eastAsiaTheme="minorEastAsia"/>
          <w:kern w:val="2"/>
          <w:szCs w:val="21"/>
        </w:rPr>
        <w:t>附录主要包含校准原始记录参考格式、校准证书内页参考格式、</w:t>
      </w:r>
      <w:r>
        <w:rPr>
          <w:rFonts w:hint="eastAsia"/>
        </w:rPr>
        <w:t>摆锤动态撕裂冲击试验机</w:t>
      </w:r>
      <w:r>
        <w:rPr>
          <w:rFonts w:hint="eastAsia" w:ascii="Times New Roman" w:hAnsi="Times New Roman" w:eastAsiaTheme="minorEastAsia"/>
          <w:kern w:val="2"/>
          <w:szCs w:val="21"/>
        </w:rPr>
        <w:t>示值误差测量不确定度评定示例。</w:t>
      </w:r>
    </w:p>
    <w:p>
      <w:pPr>
        <w:adjustRightInd w:val="0"/>
        <w:snapToGrid w:val="0"/>
        <w:spacing w:line="360" w:lineRule="auto"/>
        <w:ind w:firstLine="420" w:firstLineChars="200"/>
      </w:pPr>
      <w:r>
        <w:rPr>
          <w:rFonts w:hint="eastAsia"/>
        </w:rPr>
        <w:t>本规范设置了</w:t>
      </w:r>
      <w:r>
        <w:t>3</w:t>
      </w:r>
      <w:r>
        <w:rPr>
          <w:rFonts w:hint="eastAsia"/>
        </w:rPr>
        <w:t>个附录，便于校准时参考和规范化。</w:t>
      </w:r>
    </w:p>
    <w:p>
      <w:pPr>
        <w:adjustRightInd w:val="0"/>
        <w:snapToGrid w:val="0"/>
        <w:spacing w:line="360" w:lineRule="auto"/>
        <w:ind w:firstLine="420" w:firstLineChars="200"/>
      </w:pPr>
      <w:r>
        <w:rPr>
          <w:rFonts w:hint="eastAsia"/>
        </w:rPr>
        <w:t>附录A 摆锤动态撕裂冲击试验机校准记录参考格式</w:t>
      </w:r>
    </w:p>
    <w:p>
      <w:pPr>
        <w:adjustRightInd w:val="0"/>
        <w:snapToGrid w:val="0"/>
        <w:spacing w:line="360" w:lineRule="auto"/>
        <w:ind w:firstLine="420" w:firstLineChars="200"/>
      </w:pPr>
      <w:r>
        <w:rPr>
          <w:rFonts w:hint="eastAsia"/>
        </w:rPr>
        <w:t>附录B 摆锤动态撕裂冲击试验机校准证书内页参考格式</w:t>
      </w:r>
    </w:p>
    <w:p>
      <w:pPr>
        <w:adjustRightInd w:val="0"/>
        <w:snapToGrid w:val="0"/>
        <w:spacing w:line="360" w:lineRule="auto"/>
        <w:ind w:firstLine="420" w:firstLineChars="200"/>
      </w:pPr>
      <w:r>
        <w:rPr>
          <w:rFonts w:hint="eastAsia"/>
        </w:rPr>
        <w:t>附录C 摆锤动态撕裂冲击试验机示值误差测量不确定度评定示例</w:t>
      </w:r>
    </w:p>
    <w:bookmarkEnd w:id="1"/>
    <w:bookmarkEnd w:id="19"/>
    <w:p>
      <w:pPr>
        <w:pStyle w:val="2"/>
        <w:spacing w:before="156" w:after="156"/>
        <w:rPr>
          <w:b w:val="0"/>
          <w:bCs w:val="0"/>
        </w:rPr>
      </w:pPr>
      <w:bookmarkStart w:id="75" w:name="_Toc464728965"/>
      <w:r>
        <w:rPr>
          <w:rFonts w:hint="eastAsia"/>
          <w:b w:val="0"/>
          <w:bCs w:val="0"/>
        </w:rPr>
        <w:t>三、实践检测情况</w:t>
      </w:r>
    </w:p>
    <w:p>
      <w:pPr>
        <w:adjustRightInd w:val="0"/>
        <w:spacing w:line="360" w:lineRule="auto"/>
        <w:ind w:firstLine="420" w:firstLineChars="200"/>
      </w:pPr>
      <w:r>
        <w:t>国标（北京）检验认证有限公司</w:t>
      </w:r>
      <w:r>
        <w:rPr>
          <w:rFonts w:hint="eastAsia"/>
        </w:rPr>
        <w:t>、</w:t>
      </w:r>
      <w:r>
        <w:rPr>
          <w:rFonts w:hint="eastAsia"/>
          <w:szCs w:val="21"/>
        </w:rPr>
        <w:t>西南铝业（集团）有限责任公司</w:t>
      </w:r>
      <w:r>
        <w:t>根据本规范</w:t>
      </w:r>
      <w:r>
        <w:rPr>
          <w:rFonts w:hint="eastAsia"/>
        </w:rPr>
        <w:t>的校准项目</w:t>
      </w:r>
      <w:r>
        <w:t>对</w:t>
      </w:r>
      <w:r>
        <w:rPr>
          <w:rFonts w:hint="eastAsia"/>
        </w:rPr>
        <w:t>摆锤动态撕裂冲击试验机</w:t>
      </w:r>
      <w:r>
        <w:t>进行了全计量特性的校准，内容详见校准报告。</w:t>
      </w:r>
    </w:p>
    <w:p>
      <w:pPr>
        <w:pStyle w:val="2"/>
        <w:spacing w:before="156" w:after="156"/>
        <w:rPr>
          <w:b w:val="0"/>
          <w:bCs w:val="0"/>
        </w:rPr>
      </w:pPr>
      <w:r>
        <w:rPr>
          <w:rFonts w:hint="eastAsia"/>
          <w:b w:val="0"/>
          <w:bCs w:val="0"/>
        </w:rPr>
        <w:t>四、规范水平分析</w:t>
      </w:r>
      <w:bookmarkEnd w:id="75"/>
    </w:p>
    <w:p>
      <w:pPr>
        <w:adjustRightInd w:val="0"/>
        <w:spacing w:line="360" w:lineRule="auto"/>
        <w:ind w:firstLine="420" w:firstLineChars="200"/>
        <w:rPr>
          <w:rFonts w:ascii="宋体" w:hAnsi="宋体"/>
          <w:szCs w:val="21"/>
        </w:rPr>
      </w:pPr>
      <w:r>
        <w:t>目前，国家和各省检定规程和校准规范中，</w:t>
      </w:r>
      <w:r>
        <w:rPr>
          <w:rFonts w:hint="eastAsia"/>
        </w:rPr>
        <w:t>无针对摆锤动态撕裂冲击试验机</w:t>
      </w:r>
      <w:r>
        <w:rPr>
          <w:rFonts w:hint="eastAsia" w:eastAsiaTheme="minorEastAsia"/>
          <w:szCs w:val="21"/>
        </w:rPr>
        <w:t>的</w:t>
      </w:r>
      <w:r>
        <w:t>校准规范</w:t>
      </w:r>
      <w:r>
        <w:rPr>
          <w:rFonts w:hint="eastAsia"/>
        </w:rPr>
        <w:t>。</w:t>
      </w:r>
    </w:p>
    <w:p>
      <w:pPr>
        <w:adjustRightInd w:val="0"/>
        <w:spacing w:line="360" w:lineRule="auto"/>
        <w:ind w:firstLine="420" w:firstLineChars="200"/>
        <w:rPr>
          <w:rFonts w:ascii="宋体" w:hAnsi="宋体"/>
          <w:szCs w:val="21"/>
        </w:rPr>
      </w:pPr>
      <w:r>
        <w:rPr>
          <w:rFonts w:hint="eastAsia" w:ascii="宋体" w:hAnsi="宋体"/>
          <w:szCs w:val="21"/>
        </w:rPr>
        <w:t>目前国外没有相关技术规范，本规范水平达到国内先进水平。</w:t>
      </w:r>
      <w:r>
        <w:rPr>
          <w:rFonts w:hint="eastAsia"/>
          <w:szCs w:val="21"/>
        </w:rPr>
        <w:t>本规范的制定填补了有色金属行业</w:t>
      </w:r>
      <w:r>
        <w:rPr>
          <w:rFonts w:hint="eastAsia"/>
        </w:rPr>
        <w:t>摆锤动态撕裂冲击试验机</w:t>
      </w:r>
      <w:r>
        <w:rPr>
          <w:rFonts w:hint="eastAsia"/>
          <w:szCs w:val="21"/>
        </w:rPr>
        <w:t>的校准空白，属于国内首创，水平达到国内领先。</w:t>
      </w:r>
    </w:p>
    <w:p>
      <w:pPr>
        <w:pStyle w:val="2"/>
        <w:spacing w:before="156" w:after="156"/>
        <w:rPr>
          <w:b w:val="0"/>
          <w:bCs w:val="0"/>
        </w:rPr>
      </w:pPr>
      <w:r>
        <w:rPr>
          <w:rFonts w:hint="eastAsia"/>
          <w:b w:val="0"/>
          <w:bCs w:val="0"/>
        </w:rPr>
        <w:t>五、与有关的现行法律、法规和强制性国家标准的关系</w:t>
      </w:r>
    </w:p>
    <w:p>
      <w:pPr>
        <w:adjustRightInd w:val="0"/>
        <w:spacing w:line="360" w:lineRule="auto"/>
        <w:ind w:firstLine="420" w:firstLineChars="200"/>
        <w:rPr>
          <w:rFonts w:hAnsi="宋体"/>
          <w:szCs w:val="21"/>
        </w:rPr>
      </w:pPr>
      <w:r>
        <w:rPr>
          <w:rFonts w:hint="eastAsia" w:hAnsi="宋体"/>
          <w:szCs w:val="21"/>
        </w:rPr>
        <w:t>本规范所引用的规程、规范及标准均为我国现行有效的计量规程及规范，是本规范的一部分，引用这些文件后，使本规范的要求与现行的相关法律、法规、规章及相关规程规范的关系不矛盾、不冲突，相互关系协调。</w:t>
      </w:r>
    </w:p>
    <w:p>
      <w:pPr>
        <w:pStyle w:val="2"/>
        <w:spacing w:before="156" w:after="156"/>
        <w:rPr>
          <w:b w:val="0"/>
          <w:bCs w:val="0"/>
        </w:rPr>
      </w:pPr>
      <w:bookmarkStart w:id="76" w:name="_Toc464728973"/>
      <w:r>
        <w:rPr>
          <w:rFonts w:hint="eastAsia"/>
          <w:b w:val="0"/>
          <w:bCs w:val="0"/>
        </w:rPr>
        <w:t>六、规范中涉及的专利或知识产权说明</w:t>
      </w:r>
      <w:bookmarkEnd w:id="76"/>
    </w:p>
    <w:p>
      <w:pPr>
        <w:pStyle w:val="58"/>
        <w:spacing w:line="300" w:lineRule="auto"/>
        <w:ind w:firstLineChars="0"/>
        <w:contextualSpacing/>
        <w:rPr>
          <w:szCs w:val="21"/>
        </w:rPr>
      </w:pPr>
      <w:bookmarkStart w:id="77" w:name="_Toc464728974"/>
      <w:r>
        <w:rPr>
          <w:rFonts w:hint="eastAsia"/>
          <w:szCs w:val="21"/>
        </w:rPr>
        <w:t>无。</w:t>
      </w:r>
    </w:p>
    <w:p>
      <w:pPr>
        <w:pStyle w:val="2"/>
        <w:spacing w:before="156" w:after="156"/>
        <w:rPr>
          <w:b w:val="0"/>
          <w:bCs w:val="0"/>
        </w:rPr>
      </w:pPr>
      <w:r>
        <w:rPr>
          <w:rFonts w:hint="eastAsia"/>
          <w:b w:val="0"/>
          <w:bCs w:val="0"/>
        </w:rPr>
        <w:t>七、重大分歧意见的处理经过和依据</w:t>
      </w:r>
      <w:bookmarkEnd w:id="77"/>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八、规范作为国家（或行业）计量技术规范的建议</w:t>
      </w:r>
    </w:p>
    <w:p>
      <w:pPr>
        <w:adjustRightInd w:val="0"/>
        <w:spacing w:line="360" w:lineRule="auto"/>
        <w:ind w:firstLine="420" w:firstLineChars="200"/>
        <w:rPr>
          <w:rFonts w:hAnsi="宋体"/>
          <w:szCs w:val="21"/>
        </w:rPr>
      </w:pPr>
      <w:r>
        <w:rPr>
          <w:rFonts w:hint="eastAsia" w:hAnsi="宋体"/>
          <w:szCs w:val="21"/>
        </w:rPr>
        <w:t>建议本规范作为行业计量技术规范，供行业企业参考使用。必要时可根据实际需要，结合其他行业使用要求，申报国家计量技术规范，以满足校准需要。</w:t>
      </w:r>
    </w:p>
    <w:p>
      <w:pPr>
        <w:pStyle w:val="2"/>
        <w:spacing w:before="156" w:after="156"/>
        <w:rPr>
          <w:b w:val="0"/>
          <w:bCs w:val="0"/>
        </w:rPr>
      </w:pPr>
      <w:bookmarkStart w:id="78" w:name="_Toc464728976"/>
      <w:r>
        <w:rPr>
          <w:rFonts w:hint="eastAsia"/>
          <w:b w:val="0"/>
          <w:bCs w:val="0"/>
        </w:rPr>
        <w:t>九、贯彻规范的要求和措施建议</w:t>
      </w:r>
      <w:bookmarkEnd w:id="78"/>
    </w:p>
    <w:p>
      <w:pPr>
        <w:adjustRightInd w:val="0"/>
        <w:spacing w:line="360" w:lineRule="auto"/>
        <w:ind w:firstLine="420" w:firstLineChars="200"/>
        <w:rPr>
          <w:rFonts w:hAnsi="宋体"/>
          <w:szCs w:val="21"/>
        </w:rPr>
      </w:pPr>
      <w:r>
        <w:rPr>
          <w:rFonts w:hint="eastAsia" w:hAnsi="宋体"/>
          <w:szCs w:val="21"/>
        </w:rPr>
        <w:t>本规范发布后，中国有色金属行业协会和有色金属行业计量技术委员会应加强本规范的宣传力度，以促进我国企业的技术进步和产品质量上档次，提高我国产品在国际国内市场的竞争能力。</w:t>
      </w:r>
    </w:p>
    <w:p>
      <w:pPr>
        <w:pStyle w:val="2"/>
        <w:spacing w:before="156" w:after="156"/>
        <w:rPr>
          <w:b w:val="0"/>
          <w:bCs w:val="0"/>
        </w:rPr>
      </w:pPr>
      <w:bookmarkStart w:id="79" w:name="_Toc464728977"/>
      <w:r>
        <w:rPr>
          <w:rFonts w:hint="eastAsia"/>
          <w:b w:val="0"/>
          <w:bCs w:val="0"/>
        </w:rPr>
        <w:t>十、废止现行有关规范的建议</w:t>
      </w:r>
      <w:bookmarkEnd w:id="79"/>
    </w:p>
    <w:p>
      <w:pPr>
        <w:pStyle w:val="58"/>
        <w:spacing w:line="300" w:lineRule="auto"/>
        <w:ind w:firstLine="420"/>
        <w:contextualSpacing/>
        <w:rPr>
          <w:szCs w:val="21"/>
        </w:rPr>
      </w:pPr>
      <w:r>
        <w:rPr>
          <w:rFonts w:hint="eastAsia"/>
          <w:szCs w:val="21"/>
        </w:rPr>
        <w:t>无。</w:t>
      </w:r>
    </w:p>
    <w:p>
      <w:pPr>
        <w:pStyle w:val="2"/>
        <w:spacing w:before="156" w:after="156"/>
        <w:rPr>
          <w:b w:val="0"/>
          <w:bCs w:val="0"/>
        </w:rPr>
      </w:pPr>
      <w:r>
        <w:rPr>
          <w:rFonts w:hint="eastAsia"/>
          <w:b w:val="0"/>
          <w:bCs w:val="0"/>
        </w:rPr>
        <w:t>十一、预期效果</w:t>
      </w:r>
    </w:p>
    <w:p>
      <w:pPr>
        <w:adjustRightInd w:val="0"/>
        <w:spacing w:line="360" w:lineRule="auto"/>
        <w:ind w:firstLine="420" w:firstLineChars="200"/>
        <w:rPr>
          <w:rFonts w:hAnsi="宋体"/>
          <w:szCs w:val="21"/>
        </w:rPr>
      </w:pPr>
      <w:r>
        <w:rPr>
          <w:rFonts w:hint="eastAsia" w:hAnsi="宋体"/>
          <w:szCs w:val="21"/>
        </w:rPr>
        <w:t>本规范发布后，能解决</w:t>
      </w:r>
      <w:r>
        <w:rPr>
          <w:rFonts w:hint="eastAsia"/>
        </w:rPr>
        <w:t>摆锤动态撕裂冲击试验机</w:t>
      </w:r>
      <w:r>
        <w:rPr>
          <w:rFonts w:hint="eastAsia" w:hAnsi="宋体"/>
          <w:szCs w:val="21"/>
        </w:rPr>
        <w:t>校准方法不统一、校准方法差异化、计量标准技术指标不明确、校准点的选择不统一、</w:t>
      </w:r>
      <w:r>
        <w:rPr>
          <w:rFonts w:hint="eastAsia"/>
        </w:rPr>
        <w:t>摆锤动态撕裂冲击试验机</w:t>
      </w:r>
      <w:r>
        <w:rPr>
          <w:rFonts w:hint="eastAsia" w:hAnsi="宋体"/>
          <w:szCs w:val="21"/>
        </w:rPr>
        <w:t>的校准方法未规定等问题，弥补</w:t>
      </w:r>
      <w:r>
        <w:rPr>
          <w:rFonts w:hint="eastAsia"/>
        </w:rPr>
        <w:t>摆锤动态撕裂冲击试验机</w:t>
      </w:r>
      <w:r>
        <w:rPr>
          <w:rFonts w:hint="eastAsia" w:hAnsi="宋体"/>
          <w:szCs w:val="21"/>
        </w:rPr>
        <w:t>校准的空白，为保证</w:t>
      </w:r>
      <w:r>
        <w:rPr>
          <w:rFonts w:hint="eastAsia"/>
        </w:rPr>
        <w:t>摆锤动态撕裂冲击试验机</w:t>
      </w:r>
      <w:r>
        <w:rPr>
          <w:rFonts w:hint="eastAsia" w:hAnsi="宋体"/>
          <w:szCs w:val="21"/>
        </w:rPr>
        <w:t>测试结果的准确可靠提供保证。</w:t>
      </w:r>
    </w:p>
    <w:p>
      <w:pPr>
        <w:pStyle w:val="2"/>
        <w:spacing w:before="156" w:after="156"/>
        <w:rPr>
          <w:b w:val="0"/>
          <w:bCs w:val="0"/>
        </w:rPr>
      </w:pPr>
      <w:r>
        <w:rPr>
          <w:rFonts w:hint="eastAsia"/>
          <w:b w:val="0"/>
          <w:bCs w:val="0"/>
        </w:rPr>
        <w:t>十二、其他应予说明的事项</w:t>
      </w:r>
    </w:p>
    <w:p>
      <w:pPr>
        <w:pStyle w:val="58"/>
        <w:spacing w:line="300" w:lineRule="auto"/>
        <w:ind w:firstLineChars="0"/>
        <w:contextualSpacing/>
        <w:rPr>
          <w:szCs w:val="21"/>
        </w:rPr>
      </w:pPr>
      <w:r>
        <w:rPr>
          <w:rFonts w:hint="eastAsia"/>
          <w:szCs w:val="21"/>
        </w:rPr>
        <w:t>无。</w:t>
      </w:r>
    </w:p>
    <w:p>
      <w:pPr>
        <w:pStyle w:val="58"/>
        <w:spacing w:line="300" w:lineRule="auto"/>
        <w:ind w:firstLineChars="0"/>
        <w:contextualSpacing/>
        <w:rPr>
          <w:szCs w:val="21"/>
        </w:rPr>
      </w:pPr>
    </w:p>
    <w:p>
      <w:pPr>
        <w:pStyle w:val="58"/>
        <w:spacing w:line="300" w:lineRule="auto"/>
        <w:ind w:firstLineChars="0"/>
        <w:contextualSpacing/>
        <w:jc w:val="right"/>
        <w:rPr>
          <w:rFonts w:ascii="Times New Roman" w:hAnsi="Times New Roman" w:eastAsia="黑体"/>
        </w:rPr>
      </w:pPr>
      <w:r>
        <w:rPr>
          <w:rFonts w:ascii="Times New Roman" w:hAnsi="Times New Roman" w:eastAsia="黑体"/>
        </w:rPr>
        <w:t xml:space="preserve"> </w:t>
      </w:r>
    </w:p>
    <w:p>
      <w:pPr>
        <w:pStyle w:val="58"/>
        <w:spacing w:line="300" w:lineRule="auto"/>
        <w:ind w:firstLineChars="0"/>
        <w:contextualSpacing/>
        <w:jc w:val="right"/>
        <w:rPr>
          <w:rFonts w:ascii="Times New Roman" w:hAnsi="Times New Roman" w:eastAsia="黑体"/>
        </w:rPr>
      </w:pPr>
    </w:p>
    <w:p>
      <w:pPr>
        <w:pStyle w:val="58"/>
        <w:spacing w:line="300" w:lineRule="auto"/>
        <w:ind w:firstLineChars="0"/>
        <w:contextualSpacing/>
        <w:jc w:val="right"/>
        <w:rPr>
          <w:rFonts w:ascii="Times New Roman" w:hAnsi="Times New Roman" w:eastAsia="方正行楷简体"/>
          <w:szCs w:val="21"/>
        </w:rPr>
      </w:pPr>
      <w:r>
        <w:rPr>
          <w:rFonts w:ascii="Times New Roman" w:hAnsi="Times New Roman" w:eastAsia="方正行楷简体"/>
          <w:szCs w:val="21"/>
        </w:rPr>
        <w:t>《</w:t>
      </w:r>
      <w:r>
        <w:rPr>
          <w:rFonts w:hint="eastAsia"/>
        </w:rPr>
        <w:t>摆锤动态撕裂冲击试验机校准规范</w:t>
      </w:r>
      <w:r>
        <w:rPr>
          <w:rFonts w:ascii="Times New Roman" w:hAnsi="Times New Roman" w:eastAsia="方正行楷简体"/>
          <w:szCs w:val="21"/>
        </w:rPr>
        <w:t xml:space="preserve">》编制组  </w:t>
      </w:r>
    </w:p>
    <w:p>
      <w:pPr>
        <w:pStyle w:val="58"/>
        <w:spacing w:line="300" w:lineRule="auto"/>
        <w:ind w:firstLineChars="0"/>
        <w:contextualSpacing/>
        <w:jc w:val="right"/>
        <w:rPr>
          <w:szCs w:val="21"/>
        </w:rPr>
      </w:pPr>
      <w:r>
        <w:rPr>
          <w:rFonts w:ascii="Times New Roman" w:hAnsi="Times New Roman" w:eastAsia="方正行楷简体"/>
          <w:szCs w:val="21"/>
        </w:rPr>
        <w:t>202</w:t>
      </w:r>
      <w:r>
        <w:rPr>
          <w:rFonts w:hint="eastAsia" w:ascii="Times New Roman" w:hAnsi="Times New Roman" w:eastAsia="方正行楷简体"/>
          <w:szCs w:val="21"/>
        </w:rPr>
        <w:t>4</w:t>
      </w:r>
      <w:r>
        <w:rPr>
          <w:rFonts w:ascii="Times New Roman" w:hAnsi="Times New Roman" w:eastAsia="方正行楷简体"/>
          <w:szCs w:val="21"/>
        </w:rPr>
        <w:t>年</w:t>
      </w:r>
      <w:r>
        <w:rPr>
          <w:rFonts w:hint="eastAsia" w:ascii="Times New Roman" w:hAnsi="Times New Roman" w:eastAsia="方正行楷简体"/>
          <w:szCs w:val="21"/>
          <w:lang w:val="en-US" w:eastAsia="zh-CN"/>
        </w:rPr>
        <w:t>9</w:t>
      </w:r>
      <w:r>
        <w:rPr>
          <w:rFonts w:ascii="Times New Roman" w:hAnsi="Times New Roman" w:eastAsia="方正行楷简体"/>
          <w:szCs w:val="21"/>
        </w:rPr>
        <w:t>月</w:t>
      </w:r>
      <w:r>
        <w:rPr>
          <w:rFonts w:hint="eastAsia" w:ascii="Times New Roman" w:hAnsi="Times New Roman" w:eastAsia="方正行楷简体"/>
          <w:szCs w:val="21"/>
          <w:lang w:val="en-US" w:eastAsia="zh-CN"/>
        </w:rPr>
        <w:t>19</w:t>
      </w:r>
      <w:r>
        <w:rPr>
          <w:rFonts w:ascii="Times New Roman" w:hAnsi="Times New Roman" w:eastAsia="方正行楷简体"/>
          <w:szCs w:val="21"/>
        </w:rPr>
        <w:t>日</w:t>
      </w:r>
    </w:p>
    <w:sectPr>
      <w:footerReference r:id="rId5" w:type="first"/>
      <w:headerReference r:id="rId3" w:type="default"/>
      <w:footerReference r:id="rId4"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jc w:val="center"/>
      <w:rPr>
        <w:rStyle w:val="45"/>
      </w:rPr>
    </w:pPr>
    <w:r>
      <w:fldChar w:fldCharType="begin"/>
    </w:r>
    <w:r>
      <w:rPr>
        <w:rStyle w:val="45"/>
      </w:rPr>
      <w:instrText xml:space="preserve">PAGE  </w:instrText>
    </w:r>
    <w:r>
      <w:fldChar w:fldCharType="separate"/>
    </w:r>
    <w:r>
      <w:rPr>
        <w:rStyle w:val="45"/>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8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8"/>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8"/>
      <w:suff w:val="nothing"/>
      <w:lvlText w:val="%1%2.%3　"/>
      <w:lvlJc w:val="left"/>
      <w:pPr>
        <w:ind w:left="0" w:firstLine="0"/>
      </w:pPr>
      <w:rPr>
        <w:rFonts w:hint="eastAsia" w:ascii="黑体" w:hAnsi="Times New Roman" w:eastAsia="黑体"/>
        <w:b w:val="0"/>
        <w:i w:val="0"/>
        <w:sz w:val="21"/>
      </w:rPr>
    </w:lvl>
    <w:lvl w:ilvl="3" w:tentative="0">
      <w:start w:val="1"/>
      <w:numFmt w:val="decimal"/>
      <w:pStyle w:val="94"/>
      <w:suff w:val="nothing"/>
      <w:lvlText w:val="%1%2.%3.%4　"/>
      <w:lvlJc w:val="left"/>
      <w:pPr>
        <w:ind w:left="0" w:firstLine="0"/>
      </w:pPr>
      <w:rPr>
        <w:rFonts w:hint="eastAsia" w:ascii="黑体" w:hAnsi="Times New Roman" w:eastAsia="黑体"/>
        <w:b w:val="0"/>
        <w:i w:val="0"/>
        <w:sz w:val="21"/>
      </w:rPr>
    </w:lvl>
    <w:lvl w:ilvl="4" w:tentative="0">
      <w:start w:val="1"/>
      <w:numFmt w:val="decimal"/>
      <w:pStyle w:val="116"/>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5"/>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9"/>
      <w:lvlText w:val="（%2）"/>
      <w:lvlJc w:val="left"/>
      <w:pPr>
        <w:ind w:left="0" w:firstLine="0"/>
      </w:pPr>
      <w:rPr>
        <w:rFonts w:hint="default"/>
        <w:b w:val="0"/>
        <w:i w:val="0"/>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102"/>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7"/>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90"/>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6"/>
      <w:suff w:val="nothing"/>
      <w:lvlText w:val="%1"/>
      <w:lvlJc w:val="left"/>
      <w:pPr>
        <w:ind w:left="0" w:firstLine="0"/>
      </w:pPr>
      <w:rPr>
        <w:rFonts w:hint="default" w:ascii="Times New Roman" w:hAnsi="Times New Roman"/>
        <w:b/>
        <w:i w:val="0"/>
        <w:sz w:val="21"/>
      </w:rPr>
    </w:lvl>
    <w:lvl w:ilvl="1" w:tentative="0">
      <w:start w:val="1"/>
      <w:numFmt w:val="decimal"/>
      <w:pStyle w:val="61"/>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59"/>
      <w:suff w:val="nothing"/>
      <w:lvlText w:val="%1%2.%3.%4　"/>
      <w:lvlJc w:val="left"/>
      <w:pPr>
        <w:ind w:left="284"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70"/>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2"/>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2IyNzk4M2Q5MzBiN2E3MzA0OGE1YzlkODY0MjQifQ=="/>
  </w:docVars>
  <w:rsids>
    <w:rsidRoot w:val="00693668"/>
    <w:rsid w:val="000038F0"/>
    <w:rsid w:val="00004648"/>
    <w:rsid w:val="0001412B"/>
    <w:rsid w:val="00014C66"/>
    <w:rsid w:val="000211BF"/>
    <w:rsid w:val="000237D4"/>
    <w:rsid w:val="000309D7"/>
    <w:rsid w:val="00032F98"/>
    <w:rsid w:val="00034584"/>
    <w:rsid w:val="00036A21"/>
    <w:rsid w:val="00036F02"/>
    <w:rsid w:val="00040F30"/>
    <w:rsid w:val="0004299E"/>
    <w:rsid w:val="00043D6D"/>
    <w:rsid w:val="0005764E"/>
    <w:rsid w:val="000657B2"/>
    <w:rsid w:val="0006679C"/>
    <w:rsid w:val="0007070D"/>
    <w:rsid w:val="00073A74"/>
    <w:rsid w:val="000749E3"/>
    <w:rsid w:val="00084426"/>
    <w:rsid w:val="00084878"/>
    <w:rsid w:val="000969AD"/>
    <w:rsid w:val="000971D5"/>
    <w:rsid w:val="000A7110"/>
    <w:rsid w:val="000C1F88"/>
    <w:rsid w:val="000C772A"/>
    <w:rsid w:val="000F15FB"/>
    <w:rsid w:val="000F714B"/>
    <w:rsid w:val="00100912"/>
    <w:rsid w:val="00103D45"/>
    <w:rsid w:val="00104CBC"/>
    <w:rsid w:val="001126D1"/>
    <w:rsid w:val="001164A0"/>
    <w:rsid w:val="0012155C"/>
    <w:rsid w:val="00122AD8"/>
    <w:rsid w:val="00136813"/>
    <w:rsid w:val="0014120B"/>
    <w:rsid w:val="001446E3"/>
    <w:rsid w:val="00150062"/>
    <w:rsid w:val="00151323"/>
    <w:rsid w:val="001527ED"/>
    <w:rsid w:val="00173953"/>
    <w:rsid w:val="001859F4"/>
    <w:rsid w:val="00186BD0"/>
    <w:rsid w:val="0019431C"/>
    <w:rsid w:val="001A4F75"/>
    <w:rsid w:val="001B115F"/>
    <w:rsid w:val="001C13CE"/>
    <w:rsid w:val="001C7BB8"/>
    <w:rsid w:val="001D0501"/>
    <w:rsid w:val="001E0288"/>
    <w:rsid w:val="001E09C6"/>
    <w:rsid w:val="00212D09"/>
    <w:rsid w:val="00235374"/>
    <w:rsid w:val="00244291"/>
    <w:rsid w:val="00247A7D"/>
    <w:rsid w:val="00254878"/>
    <w:rsid w:val="00255EB1"/>
    <w:rsid w:val="002732FF"/>
    <w:rsid w:val="00275F7A"/>
    <w:rsid w:val="00280BE9"/>
    <w:rsid w:val="002849BB"/>
    <w:rsid w:val="00291548"/>
    <w:rsid w:val="00293085"/>
    <w:rsid w:val="002977EC"/>
    <w:rsid w:val="002A1305"/>
    <w:rsid w:val="002A7CD2"/>
    <w:rsid w:val="002D0634"/>
    <w:rsid w:val="002D0A07"/>
    <w:rsid w:val="002D2103"/>
    <w:rsid w:val="002E6C19"/>
    <w:rsid w:val="002F4E61"/>
    <w:rsid w:val="003012C4"/>
    <w:rsid w:val="00305CB9"/>
    <w:rsid w:val="00307A90"/>
    <w:rsid w:val="00311490"/>
    <w:rsid w:val="00314BA2"/>
    <w:rsid w:val="00322078"/>
    <w:rsid w:val="0032338B"/>
    <w:rsid w:val="0033057E"/>
    <w:rsid w:val="003318C1"/>
    <w:rsid w:val="00333C30"/>
    <w:rsid w:val="00335FEC"/>
    <w:rsid w:val="0034125E"/>
    <w:rsid w:val="00352269"/>
    <w:rsid w:val="00366AF1"/>
    <w:rsid w:val="00373555"/>
    <w:rsid w:val="00397407"/>
    <w:rsid w:val="003A5C6F"/>
    <w:rsid w:val="003B0148"/>
    <w:rsid w:val="003C2376"/>
    <w:rsid w:val="003C62AD"/>
    <w:rsid w:val="003C685D"/>
    <w:rsid w:val="003E10E7"/>
    <w:rsid w:val="003E237F"/>
    <w:rsid w:val="003E6A8B"/>
    <w:rsid w:val="003F2C11"/>
    <w:rsid w:val="00400BF2"/>
    <w:rsid w:val="0040777C"/>
    <w:rsid w:val="00411DC2"/>
    <w:rsid w:val="00415481"/>
    <w:rsid w:val="004202F4"/>
    <w:rsid w:val="004257BB"/>
    <w:rsid w:val="00425D1F"/>
    <w:rsid w:val="00425F06"/>
    <w:rsid w:val="004265F2"/>
    <w:rsid w:val="004508BB"/>
    <w:rsid w:val="00455FE9"/>
    <w:rsid w:val="0046211B"/>
    <w:rsid w:val="00464019"/>
    <w:rsid w:val="00466D04"/>
    <w:rsid w:val="00472194"/>
    <w:rsid w:val="00482AD2"/>
    <w:rsid w:val="0048362B"/>
    <w:rsid w:val="00490E46"/>
    <w:rsid w:val="00497039"/>
    <w:rsid w:val="004A27E5"/>
    <w:rsid w:val="004A6A3A"/>
    <w:rsid w:val="004B1DE2"/>
    <w:rsid w:val="004B3BD5"/>
    <w:rsid w:val="004C6FDF"/>
    <w:rsid w:val="004E1361"/>
    <w:rsid w:val="004E2611"/>
    <w:rsid w:val="004E4C45"/>
    <w:rsid w:val="004E5080"/>
    <w:rsid w:val="00500E4F"/>
    <w:rsid w:val="0051093E"/>
    <w:rsid w:val="00521FA9"/>
    <w:rsid w:val="0052761B"/>
    <w:rsid w:val="005305AE"/>
    <w:rsid w:val="00531FA0"/>
    <w:rsid w:val="00536268"/>
    <w:rsid w:val="00536BFA"/>
    <w:rsid w:val="005535AA"/>
    <w:rsid w:val="0055489A"/>
    <w:rsid w:val="00556AC4"/>
    <w:rsid w:val="005608DA"/>
    <w:rsid w:val="00567271"/>
    <w:rsid w:val="005709C3"/>
    <w:rsid w:val="00581264"/>
    <w:rsid w:val="0059121E"/>
    <w:rsid w:val="005B3A80"/>
    <w:rsid w:val="005B5BAB"/>
    <w:rsid w:val="005C0BE7"/>
    <w:rsid w:val="005C2448"/>
    <w:rsid w:val="005C769A"/>
    <w:rsid w:val="005E11EA"/>
    <w:rsid w:val="005E67C7"/>
    <w:rsid w:val="005F42DD"/>
    <w:rsid w:val="00601ADF"/>
    <w:rsid w:val="00606487"/>
    <w:rsid w:val="00623451"/>
    <w:rsid w:val="00624A40"/>
    <w:rsid w:val="00625140"/>
    <w:rsid w:val="00627726"/>
    <w:rsid w:val="00633572"/>
    <w:rsid w:val="00636E32"/>
    <w:rsid w:val="00637AB5"/>
    <w:rsid w:val="00642FB1"/>
    <w:rsid w:val="00644C6D"/>
    <w:rsid w:val="006510D6"/>
    <w:rsid w:val="00660A77"/>
    <w:rsid w:val="00667FDB"/>
    <w:rsid w:val="00670276"/>
    <w:rsid w:val="00672533"/>
    <w:rsid w:val="006738AA"/>
    <w:rsid w:val="006820CD"/>
    <w:rsid w:val="00683E68"/>
    <w:rsid w:val="00686643"/>
    <w:rsid w:val="0069243E"/>
    <w:rsid w:val="00693668"/>
    <w:rsid w:val="006B3185"/>
    <w:rsid w:val="006B43C4"/>
    <w:rsid w:val="006C188A"/>
    <w:rsid w:val="006C2258"/>
    <w:rsid w:val="006C2AF8"/>
    <w:rsid w:val="006C41AC"/>
    <w:rsid w:val="006D1B98"/>
    <w:rsid w:val="006D4169"/>
    <w:rsid w:val="006D7E99"/>
    <w:rsid w:val="006E11F0"/>
    <w:rsid w:val="006F6DBF"/>
    <w:rsid w:val="00707309"/>
    <w:rsid w:val="00724E03"/>
    <w:rsid w:val="00730667"/>
    <w:rsid w:val="00733C71"/>
    <w:rsid w:val="00735A75"/>
    <w:rsid w:val="007373AB"/>
    <w:rsid w:val="00740702"/>
    <w:rsid w:val="00743BA2"/>
    <w:rsid w:val="00743BAC"/>
    <w:rsid w:val="00745A68"/>
    <w:rsid w:val="00746BAC"/>
    <w:rsid w:val="00750ED3"/>
    <w:rsid w:val="00764D0A"/>
    <w:rsid w:val="00765621"/>
    <w:rsid w:val="00784F77"/>
    <w:rsid w:val="007901C0"/>
    <w:rsid w:val="007902D1"/>
    <w:rsid w:val="00796CF0"/>
    <w:rsid w:val="007A3BEE"/>
    <w:rsid w:val="007C15E3"/>
    <w:rsid w:val="007D5B84"/>
    <w:rsid w:val="007E56C9"/>
    <w:rsid w:val="00804BC8"/>
    <w:rsid w:val="00820F69"/>
    <w:rsid w:val="00824B04"/>
    <w:rsid w:val="00826DAA"/>
    <w:rsid w:val="008461B6"/>
    <w:rsid w:val="00846DC6"/>
    <w:rsid w:val="0085122B"/>
    <w:rsid w:val="00854EC4"/>
    <w:rsid w:val="0086056F"/>
    <w:rsid w:val="00863772"/>
    <w:rsid w:val="0086378F"/>
    <w:rsid w:val="008754EE"/>
    <w:rsid w:val="00876D87"/>
    <w:rsid w:val="00880F41"/>
    <w:rsid w:val="00890E99"/>
    <w:rsid w:val="008B22FC"/>
    <w:rsid w:val="008C672E"/>
    <w:rsid w:val="008E270F"/>
    <w:rsid w:val="008E415E"/>
    <w:rsid w:val="008E6FAF"/>
    <w:rsid w:val="008F5DCA"/>
    <w:rsid w:val="009052E4"/>
    <w:rsid w:val="009111C1"/>
    <w:rsid w:val="00913ED1"/>
    <w:rsid w:val="00930DB4"/>
    <w:rsid w:val="00933D2C"/>
    <w:rsid w:val="00946B7D"/>
    <w:rsid w:val="009513C5"/>
    <w:rsid w:val="009542EF"/>
    <w:rsid w:val="00954DA4"/>
    <w:rsid w:val="00967A11"/>
    <w:rsid w:val="00971240"/>
    <w:rsid w:val="00977A4A"/>
    <w:rsid w:val="00997351"/>
    <w:rsid w:val="009A12AB"/>
    <w:rsid w:val="009A37DC"/>
    <w:rsid w:val="009B4929"/>
    <w:rsid w:val="009C0597"/>
    <w:rsid w:val="009C2D10"/>
    <w:rsid w:val="009D79FA"/>
    <w:rsid w:val="009E3D09"/>
    <w:rsid w:val="009F420F"/>
    <w:rsid w:val="00A06113"/>
    <w:rsid w:val="00A11A21"/>
    <w:rsid w:val="00A12727"/>
    <w:rsid w:val="00A1378A"/>
    <w:rsid w:val="00A1497C"/>
    <w:rsid w:val="00A15577"/>
    <w:rsid w:val="00A21217"/>
    <w:rsid w:val="00A271F4"/>
    <w:rsid w:val="00A3211C"/>
    <w:rsid w:val="00A363F7"/>
    <w:rsid w:val="00A40E4F"/>
    <w:rsid w:val="00A44A92"/>
    <w:rsid w:val="00A47FE2"/>
    <w:rsid w:val="00A56163"/>
    <w:rsid w:val="00A662E8"/>
    <w:rsid w:val="00A77511"/>
    <w:rsid w:val="00A7790F"/>
    <w:rsid w:val="00A8043A"/>
    <w:rsid w:val="00A8426B"/>
    <w:rsid w:val="00A86AF0"/>
    <w:rsid w:val="00A87866"/>
    <w:rsid w:val="00AA0B2F"/>
    <w:rsid w:val="00AC0924"/>
    <w:rsid w:val="00AD093B"/>
    <w:rsid w:val="00AE0B35"/>
    <w:rsid w:val="00AE47AC"/>
    <w:rsid w:val="00AF7111"/>
    <w:rsid w:val="00B056DA"/>
    <w:rsid w:val="00B05E25"/>
    <w:rsid w:val="00B07D3B"/>
    <w:rsid w:val="00B27476"/>
    <w:rsid w:val="00B33C68"/>
    <w:rsid w:val="00B369B6"/>
    <w:rsid w:val="00B43636"/>
    <w:rsid w:val="00B45E9C"/>
    <w:rsid w:val="00B52BB1"/>
    <w:rsid w:val="00B53389"/>
    <w:rsid w:val="00B60FA7"/>
    <w:rsid w:val="00B614F2"/>
    <w:rsid w:val="00B706F7"/>
    <w:rsid w:val="00B7116A"/>
    <w:rsid w:val="00B75677"/>
    <w:rsid w:val="00B817F8"/>
    <w:rsid w:val="00B911AF"/>
    <w:rsid w:val="00BB316D"/>
    <w:rsid w:val="00BB4554"/>
    <w:rsid w:val="00BB7985"/>
    <w:rsid w:val="00BC66A0"/>
    <w:rsid w:val="00BC6B82"/>
    <w:rsid w:val="00BF1D43"/>
    <w:rsid w:val="00BF4703"/>
    <w:rsid w:val="00BF4E8B"/>
    <w:rsid w:val="00C03A4F"/>
    <w:rsid w:val="00C058B2"/>
    <w:rsid w:val="00C10883"/>
    <w:rsid w:val="00C11035"/>
    <w:rsid w:val="00C113A5"/>
    <w:rsid w:val="00C2681C"/>
    <w:rsid w:val="00C27739"/>
    <w:rsid w:val="00C40CAE"/>
    <w:rsid w:val="00C5059F"/>
    <w:rsid w:val="00C53BDD"/>
    <w:rsid w:val="00C5550F"/>
    <w:rsid w:val="00C57BAB"/>
    <w:rsid w:val="00C66C85"/>
    <w:rsid w:val="00C70EA3"/>
    <w:rsid w:val="00C7537E"/>
    <w:rsid w:val="00C8056F"/>
    <w:rsid w:val="00C81A49"/>
    <w:rsid w:val="00C86EE5"/>
    <w:rsid w:val="00C9548E"/>
    <w:rsid w:val="00CB3949"/>
    <w:rsid w:val="00CB750D"/>
    <w:rsid w:val="00CB7CDF"/>
    <w:rsid w:val="00CC3C55"/>
    <w:rsid w:val="00CC3DDD"/>
    <w:rsid w:val="00CC491D"/>
    <w:rsid w:val="00CC52E3"/>
    <w:rsid w:val="00CD21C9"/>
    <w:rsid w:val="00CD2D13"/>
    <w:rsid w:val="00CD759E"/>
    <w:rsid w:val="00CF3CAA"/>
    <w:rsid w:val="00D01726"/>
    <w:rsid w:val="00D1089C"/>
    <w:rsid w:val="00D16568"/>
    <w:rsid w:val="00D17115"/>
    <w:rsid w:val="00D23221"/>
    <w:rsid w:val="00D365E1"/>
    <w:rsid w:val="00D436F5"/>
    <w:rsid w:val="00D6043C"/>
    <w:rsid w:val="00D6471A"/>
    <w:rsid w:val="00D81C1D"/>
    <w:rsid w:val="00D85454"/>
    <w:rsid w:val="00D86648"/>
    <w:rsid w:val="00D903E4"/>
    <w:rsid w:val="00D96A53"/>
    <w:rsid w:val="00DA22D1"/>
    <w:rsid w:val="00DA5CBD"/>
    <w:rsid w:val="00DB05B6"/>
    <w:rsid w:val="00DB0E0A"/>
    <w:rsid w:val="00DB4F65"/>
    <w:rsid w:val="00DD6769"/>
    <w:rsid w:val="00DD7D39"/>
    <w:rsid w:val="00DE144C"/>
    <w:rsid w:val="00DF025F"/>
    <w:rsid w:val="00E002FF"/>
    <w:rsid w:val="00E019C6"/>
    <w:rsid w:val="00E15312"/>
    <w:rsid w:val="00E179CE"/>
    <w:rsid w:val="00E22714"/>
    <w:rsid w:val="00E23465"/>
    <w:rsid w:val="00E31A7B"/>
    <w:rsid w:val="00E32480"/>
    <w:rsid w:val="00E51A0A"/>
    <w:rsid w:val="00E52FFA"/>
    <w:rsid w:val="00E54F6A"/>
    <w:rsid w:val="00E62E2B"/>
    <w:rsid w:val="00E707D8"/>
    <w:rsid w:val="00E71DCC"/>
    <w:rsid w:val="00E82471"/>
    <w:rsid w:val="00E82F28"/>
    <w:rsid w:val="00E911BC"/>
    <w:rsid w:val="00EB2994"/>
    <w:rsid w:val="00EC149D"/>
    <w:rsid w:val="00ED5F91"/>
    <w:rsid w:val="00EE5988"/>
    <w:rsid w:val="00F10C9E"/>
    <w:rsid w:val="00F219FB"/>
    <w:rsid w:val="00F32186"/>
    <w:rsid w:val="00F3447A"/>
    <w:rsid w:val="00F379EC"/>
    <w:rsid w:val="00F45BA8"/>
    <w:rsid w:val="00F507FB"/>
    <w:rsid w:val="00F50C24"/>
    <w:rsid w:val="00F5644A"/>
    <w:rsid w:val="00F7167F"/>
    <w:rsid w:val="00F71F31"/>
    <w:rsid w:val="00F80059"/>
    <w:rsid w:val="00F812C6"/>
    <w:rsid w:val="00F91E84"/>
    <w:rsid w:val="00F95295"/>
    <w:rsid w:val="00F97652"/>
    <w:rsid w:val="00FA4CA4"/>
    <w:rsid w:val="00FA6198"/>
    <w:rsid w:val="00FC7BF3"/>
    <w:rsid w:val="00FD235D"/>
    <w:rsid w:val="00FD46F0"/>
    <w:rsid w:val="00FD7FCA"/>
    <w:rsid w:val="00FE0C1C"/>
    <w:rsid w:val="00FE17CA"/>
    <w:rsid w:val="00FE1932"/>
    <w:rsid w:val="00FE1A74"/>
    <w:rsid w:val="00FF5630"/>
    <w:rsid w:val="01325A8F"/>
    <w:rsid w:val="01453A14"/>
    <w:rsid w:val="014A4B87"/>
    <w:rsid w:val="016A6FD7"/>
    <w:rsid w:val="01F01BD2"/>
    <w:rsid w:val="029F7154"/>
    <w:rsid w:val="02D212D8"/>
    <w:rsid w:val="02F703B0"/>
    <w:rsid w:val="03455F4E"/>
    <w:rsid w:val="03BD5AE4"/>
    <w:rsid w:val="03C926DB"/>
    <w:rsid w:val="043A7135"/>
    <w:rsid w:val="04731467"/>
    <w:rsid w:val="05F125DB"/>
    <w:rsid w:val="064E5119"/>
    <w:rsid w:val="06587D46"/>
    <w:rsid w:val="06716757"/>
    <w:rsid w:val="06BA27AF"/>
    <w:rsid w:val="074F7E72"/>
    <w:rsid w:val="076A5F83"/>
    <w:rsid w:val="07BB67DE"/>
    <w:rsid w:val="07DC0ED5"/>
    <w:rsid w:val="084E1401"/>
    <w:rsid w:val="08A41020"/>
    <w:rsid w:val="08DD4532"/>
    <w:rsid w:val="08E77ADA"/>
    <w:rsid w:val="08FC70AE"/>
    <w:rsid w:val="0904785D"/>
    <w:rsid w:val="09573966"/>
    <w:rsid w:val="098B21E0"/>
    <w:rsid w:val="09FB7366"/>
    <w:rsid w:val="0A2E2D1E"/>
    <w:rsid w:val="0A7113D6"/>
    <w:rsid w:val="0A781AE7"/>
    <w:rsid w:val="0AAC68B2"/>
    <w:rsid w:val="0AF02C43"/>
    <w:rsid w:val="0B0765FD"/>
    <w:rsid w:val="0B224DC6"/>
    <w:rsid w:val="0B472137"/>
    <w:rsid w:val="0C7F2609"/>
    <w:rsid w:val="0C9D2956"/>
    <w:rsid w:val="0CB9457A"/>
    <w:rsid w:val="0CCA0314"/>
    <w:rsid w:val="0CD345CA"/>
    <w:rsid w:val="0D197B03"/>
    <w:rsid w:val="0D766D04"/>
    <w:rsid w:val="0D8022CA"/>
    <w:rsid w:val="0DAE46EF"/>
    <w:rsid w:val="0E06452B"/>
    <w:rsid w:val="0E214EC1"/>
    <w:rsid w:val="0E6513CA"/>
    <w:rsid w:val="0E854A69"/>
    <w:rsid w:val="0EDB7766"/>
    <w:rsid w:val="0EE41D10"/>
    <w:rsid w:val="0F2A5FF8"/>
    <w:rsid w:val="0F340C24"/>
    <w:rsid w:val="0FA1275E"/>
    <w:rsid w:val="10156CA8"/>
    <w:rsid w:val="106D0892"/>
    <w:rsid w:val="10DE353E"/>
    <w:rsid w:val="10E36DA6"/>
    <w:rsid w:val="10EF74F9"/>
    <w:rsid w:val="11032FA4"/>
    <w:rsid w:val="110965B0"/>
    <w:rsid w:val="11471F43"/>
    <w:rsid w:val="125F245C"/>
    <w:rsid w:val="12655CC4"/>
    <w:rsid w:val="126B4918"/>
    <w:rsid w:val="134A0A16"/>
    <w:rsid w:val="13710699"/>
    <w:rsid w:val="1380268A"/>
    <w:rsid w:val="13877F6B"/>
    <w:rsid w:val="13A445CA"/>
    <w:rsid w:val="13B1031D"/>
    <w:rsid w:val="13B660AC"/>
    <w:rsid w:val="13FF7A53"/>
    <w:rsid w:val="14317D7D"/>
    <w:rsid w:val="149E726C"/>
    <w:rsid w:val="14DF1632"/>
    <w:rsid w:val="14F25809"/>
    <w:rsid w:val="14FE0CE9"/>
    <w:rsid w:val="15001CD4"/>
    <w:rsid w:val="150F0169"/>
    <w:rsid w:val="15695ACC"/>
    <w:rsid w:val="1573694A"/>
    <w:rsid w:val="158E7867"/>
    <w:rsid w:val="15966195"/>
    <w:rsid w:val="15C306BD"/>
    <w:rsid w:val="15FD7FC2"/>
    <w:rsid w:val="164125A5"/>
    <w:rsid w:val="16493207"/>
    <w:rsid w:val="16A67923"/>
    <w:rsid w:val="16B965DF"/>
    <w:rsid w:val="16D927DD"/>
    <w:rsid w:val="16DE1BA1"/>
    <w:rsid w:val="16ED44DA"/>
    <w:rsid w:val="16F03B2D"/>
    <w:rsid w:val="16FA2753"/>
    <w:rsid w:val="17397720"/>
    <w:rsid w:val="174165D4"/>
    <w:rsid w:val="174C2AB4"/>
    <w:rsid w:val="1789062F"/>
    <w:rsid w:val="1796247C"/>
    <w:rsid w:val="17BB200F"/>
    <w:rsid w:val="17D66D1D"/>
    <w:rsid w:val="17E64F25"/>
    <w:rsid w:val="18117D55"/>
    <w:rsid w:val="183D6D9C"/>
    <w:rsid w:val="18A537CA"/>
    <w:rsid w:val="193208CA"/>
    <w:rsid w:val="197467ED"/>
    <w:rsid w:val="19880BE4"/>
    <w:rsid w:val="1998130A"/>
    <w:rsid w:val="19E41BC5"/>
    <w:rsid w:val="1A11228E"/>
    <w:rsid w:val="1A644AB4"/>
    <w:rsid w:val="1AB62E35"/>
    <w:rsid w:val="1AE6196C"/>
    <w:rsid w:val="1B216501"/>
    <w:rsid w:val="1B8454BF"/>
    <w:rsid w:val="1BB90E2F"/>
    <w:rsid w:val="1C803B53"/>
    <w:rsid w:val="1C850D11"/>
    <w:rsid w:val="1C8E6A08"/>
    <w:rsid w:val="1CC17F9B"/>
    <w:rsid w:val="1CC655B2"/>
    <w:rsid w:val="1CE974F2"/>
    <w:rsid w:val="1CEA0D20"/>
    <w:rsid w:val="1CEB326A"/>
    <w:rsid w:val="1CF2284B"/>
    <w:rsid w:val="1DF443A0"/>
    <w:rsid w:val="1E713A82"/>
    <w:rsid w:val="1EC57AEB"/>
    <w:rsid w:val="1EE2069D"/>
    <w:rsid w:val="1F3709E9"/>
    <w:rsid w:val="1F3F5AEF"/>
    <w:rsid w:val="1F4924CA"/>
    <w:rsid w:val="1F5A1A25"/>
    <w:rsid w:val="1F6D440A"/>
    <w:rsid w:val="1F714057"/>
    <w:rsid w:val="1FAB00D4"/>
    <w:rsid w:val="1FAB4F33"/>
    <w:rsid w:val="20256A93"/>
    <w:rsid w:val="208E75B3"/>
    <w:rsid w:val="20972311"/>
    <w:rsid w:val="20A659A2"/>
    <w:rsid w:val="20D109C9"/>
    <w:rsid w:val="210963B5"/>
    <w:rsid w:val="218A16C9"/>
    <w:rsid w:val="21BE3478"/>
    <w:rsid w:val="21D04080"/>
    <w:rsid w:val="21E309B4"/>
    <w:rsid w:val="22423DCF"/>
    <w:rsid w:val="225C10E7"/>
    <w:rsid w:val="22682C67"/>
    <w:rsid w:val="2277157C"/>
    <w:rsid w:val="22A53EBB"/>
    <w:rsid w:val="22F866E1"/>
    <w:rsid w:val="23A74BBD"/>
    <w:rsid w:val="23B73EA6"/>
    <w:rsid w:val="23D43A72"/>
    <w:rsid w:val="24494A20"/>
    <w:rsid w:val="24853FA4"/>
    <w:rsid w:val="249D12EE"/>
    <w:rsid w:val="24F86524"/>
    <w:rsid w:val="24FC0724"/>
    <w:rsid w:val="25070E5D"/>
    <w:rsid w:val="253357AE"/>
    <w:rsid w:val="257638ED"/>
    <w:rsid w:val="25C97EC1"/>
    <w:rsid w:val="265754CC"/>
    <w:rsid w:val="26BB3CAD"/>
    <w:rsid w:val="26C24328"/>
    <w:rsid w:val="27321A96"/>
    <w:rsid w:val="277A3B68"/>
    <w:rsid w:val="277C51D7"/>
    <w:rsid w:val="27AE07BB"/>
    <w:rsid w:val="27AF5335"/>
    <w:rsid w:val="27BD3A55"/>
    <w:rsid w:val="27DB3EDB"/>
    <w:rsid w:val="280E684C"/>
    <w:rsid w:val="286345FC"/>
    <w:rsid w:val="28706435"/>
    <w:rsid w:val="28A00A66"/>
    <w:rsid w:val="29477A7A"/>
    <w:rsid w:val="294842B1"/>
    <w:rsid w:val="297D16EE"/>
    <w:rsid w:val="29846CB3"/>
    <w:rsid w:val="298F1421"/>
    <w:rsid w:val="29934A6D"/>
    <w:rsid w:val="29967790"/>
    <w:rsid w:val="29B57ACD"/>
    <w:rsid w:val="29C56BF1"/>
    <w:rsid w:val="29CE019B"/>
    <w:rsid w:val="29E46257"/>
    <w:rsid w:val="2A16744D"/>
    <w:rsid w:val="2A2B2EF8"/>
    <w:rsid w:val="2A4110A1"/>
    <w:rsid w:val="2A636980"/>
    <w:rsid w:val="2A7A5C2D"/>
    <w:rsid w:val="2A9036A3"/>
    <w:rsid w:val="2AB85E2C"/>
    <w:rsid w:val="2B012104"/>
    <w:rsid w:val="2B7F799F"/>
    <w:rsid w:val="2B9310A1"/>
    <w:rsid w:val="2B942D1F"/>
    <w:rsid w:val="2C147130"/>
    <w:rsid w:val="2C22032B"/>
    <w:rsid w:val="2C281A12"/>
    <w:rsid w:val="2C5A5D16"/>
    <w:rsid w:val="2C8B5155"/>
    <w:rsid w:val="2D0F08AF"/>
    <w:rsid w:val="2D2D342B"/>
    <w:rsid w:val="2D945258"/>
    <w:rsid w:val="2E2F23F5"/>
    <w:rsid w:val="2E772BB0"/>
    <w:rsid w:val="2E786928"/>
    <w:rsid w:val="2EF02962"/>
    <w:rsid w:val="2F656952"/>
    <w:rsid w:val="2F6B3D97"/>
    <w:rsid w:val="2F771BC5"/>
    <w:rsid w:val="2FBE527A"/>
    <w:rsid w:val="2FD8767E"/>
    <w:rsid w:val="302D0595"/>
    <w:rsid w:val="30BD4AC6"/>
    <w:rsid w:val="30FC55EE"/>
    <w:rsid w:val="310B5831"/>
    <w:rsid w:val="315471D8"/>
    <w:rsid w:val="3198655C"/>
    <w:rsid w:val="31B57A58"/>
    <w:rsid w:val="325B185C"/>
    <w:rsid w:val="325F3B1A"/>
    <w:rsid w:val="32AC3044"/>
    <w:rsid w:val="333A0650"/>
    <w:rsid w:val="335B6E0A"/>
    <w:rsid w:val="33AF4B9A"/>
    <w:rsid w:val="33BE302F"/>
    <w:rsid w:val="33D95773"/>
    <w:rsid w:val="340053F5"/>
    <w:rsid w:val="34050C5E"/>
    <w:rsid w:val="341B222F"/>
    <w:rsid w:val="34313801"/>
    <w:rsid w:val="345D2848"/>
    <w:rsid w:val="34745E77"/>
    <w:rsid w:val="34C71A6F"/>
    <w:rsid w:val="34CD5E22"/>
    <w:rsid w:val="35792BE3"/>
    <w:rsid w:val="35CE0152"/>
    <w:rsid w:val="35D02BA5"/>
    <w:rsid w:val="35E328D9"/>
    <w:rsid w:val="36370E76"/>
    <w:rsid w:val="364A2958"/>
    <w:rsid w:val="36AE69D8"/>
    <w:rsid w:val="36BB1AA7"/>
    <w:rsid w:val="373553B6"/>
    <w:rsid w:val="3744384B"/>
    <w:rsid w:val="3747333B"/>
    <w:rsid w:val="377E41D1"/>
    <w:rsid w:val="37C64260"/>
    <w:rsid w:val="38B6063A"/>
    <w:rsid w:val="393503DA"/>
    <w:rsid w:val="39DA0497"/>
    <w:rsid w:val="39E63C45"/>
    <w:rsid w:val="3A045513"/>
    <w:rsid w:val="3A910669"/>
    <w:rsid w:val="3AF14626"/>
    <w:rsid w:val="3B055B5B"/>
    <w:rsid w:val="3B2A2D58"/>
    <w:rsid w:val="3B5A363D"/>
    <w:rsid w:val="3BFA1058"/>
    <w:rsid w:val="3BFC2946"/>
    <w:rsid w:val="3C1F6635"/>
    <w:rsid w:val="3C3420E0"/>
    <w:rsid w:val="3C4542ED"/>
    <w:rsid w:val="3C6E10F3"/>
    <w:rsid w:val="3C7921E9"/>
    <w:rsid w:val="3C7C75E3"/>
    <w:rsid w:val="3C8B7826"/>
    <w:rsid w:val="3D115F7D"/>
    <w:rsid w:val="3D42082D"/>
    <w:rsid w:val="3D4C5207"/>
    <w:rsid w:val="3D8A3F82"/>
    <w:rsid w:val="3DE4576B"/>
    <w:rsid w:val="3E0B6E71"/>
    <w:rsid w:val="3E171CB9"/>
    <w:rsid w:val="3E3839DE"/>
    <w:rsid w:val="3E4405D4"/>
    <w:rsid w:val="3E542340"/>
    <w:rsid w:val="3EBA5BC3"/>
    <w:rsid w:val="3ED03144"/>
    <w:rsid w:val="3FE25D82"/>
    <w:rsid w:val="40521AD4"/>
    <w:rsid w:val="40672358"/>
    <w:rsid w:val="4081166C"/>
    <w:rsid w:val="40A37834"/>
    <w:rsid w:val="41E00614"/>
    <w:rsid w:val="42022339"/>
    <w:rsid w:val="420E5348"/>
    <w:rsid w:val="42295B17"/>
    <w:rsid w:val="425F603B"/>
    <w:rsid w:val="4286740D"/>
    <w:rsid w:val="42A6360C"/>
    <w:rsid w:val="42D53EF1"/>
    <w:rsid w:val="42D812EB"/>
    <w:rsid w:val="43200C96"/>
    <w:rsid w:val="438F5E4E"/>
    <w:rsid w:val="43A67182"/>
    <w:rsid w:val="43F403A7"/>
    <w:rsid w:val="44100726"/>
    <w:rsid w:val="44347A9B"/>
    <w:rsid w:val="444612E4"/>
    <w:rsid w:val="444A6219"/>
    <w:rsid w:val="44CE02A0"/>
    <w:rsid w:val="450D34CE"/>
    <w:rsid w:val="45140D01"/>
    <w:rsid w:val="454669E0"/>
    <w:rsid w:val="454B2ADA"/>
    <w:rsid w:val="456D3D97"/>
    <w:rsid w:val="45E87405"/>
    <w:rsid w:val="463D4287"/>
    <w:rsid w:val="46474D73"/>
    <w:rsid w:val="465C4787"/>
    <w:rsid w:val="467D0B27"/>
    <w:rsid w:val="468E063F"/>
    <w:rsid w:val="469D0882"/>
    <w:rsid w:val="473A498E"/>
    <w:rsid w:val="47552183"/>
    <w:rsid w:val="475F022D"/>
    <w:rsid w:val="476A2E5A"/>
    <w:rsid w:val="48211129"/>
    <w:rsid w:val="48BE5C4B"/>
    <w:rsid w:val="48DD58AD"/>
    <w:rsid w:val="49214E6F"/>
    <w:rsid w:val="49973CAE"/>
    <w:rsid w:val="49A26661"/>
    <w:rsid w:val="49AB775A"/>
    <w:rsid w:val="49C12AD9"/>
    <w:rsid w:val="4A5D4EF8"/>
    <w:rsid w:val="4AE6291D"/>
    <w:rsid w:val="4AEA403C"/>
    <w:rsid w:val="4B7342A7"/>
    <w:rsid w:val="4B8C5809"/>
    <w:rsid w:val="4B933E1A"/>
    <w:rsid w:val="4B9D30D2"/>
    <w:rsid w:val="4BC6087B"/>
    <w:rsid w:val="4BD27220"/>
    <w:rsid w:val="4BD765E4"/>
    <w:rsid w:val="4BD9235C"/>
    <w:rsid w:val="4C5C2F8D"/>
    <w:rsid w:val="4C65489B"/>
    <w:rsid w:val="4D2F41FE"/>
    <w:rsid w:val="4D432356"/>
    <w:rsid w:val="4D552A24"/>
    <w:rsid w:val="4D782049"/>
    <w:rsid w:val="4D7F33D7"/>
    <w:rsid w:val="4DB7491F"/>
    <w:rsid w:val="4E0D2791"/>
    <w:rsid w:val="4E1F1C89"/>
    <w:rsid w:val="4E261AA5"/>
    <w:rsid w:val="4E3430C7"/>
    <w:rsid w:val="4E465CA3"/>
    <w:rsid w:val="4E683E6B"/>
    <w:rsid w:val="4EF63225"/>
    <w:rsid w:val="4F4E3061"/>
    <w:rsid w:val="4F60147E"/>
    <w:rsid w:val="4FA7278A"/>
    <w:rsid w:val="4FDA66A3"/>
    <w:rsid w:val="50011CA3"/>
    <w:rsid w:val="500B71A4"/>
    <w:rsid w:val="50267B3A"/>
    <w:rsid w:val="502D711A"/>
    <w:rsid w:val="50DE044D"/>
    <w:rsid w:val="51051BD9"/>
    <w:rsid w:val="51442F7B"/>
    <w:rsid w:val="51586419"/>
    <w:rsid w:val="51D24792"/>
    <w:rsid w:val="51E069A5"/>
    <w:rsid w:val="521C7446"/>
    <w:rsid w:val="52A97DDB"/>
    <w:rsid w:val="531D34A0"/>
    <w:rsid w:val="531E0F9C"/>
    <w:rsid w:val="53603363"/>
    <w:rsid w:val="536D1234"/>
    <w:rsid w:val="53B042EA"/>
    <w:rsid w:val="545C7FCE"/>
    <w:rsid w:val="54751090"/>
    <w:rsid w:val="54BC0A6D"/>
    <w:rsid w:val="54D6553E"/>
    <w:rsid w:val="55152B55"/>
    <w:rsid w:val="55A27C63"/>
    <w:rsid w:val="55D32512"/>
    <w:rsid w:val="56091A90"/>
    <w:rsid w:val="560C1580"/>
    <w:rsid w:val="56154CA2"/>
    <w:rsid w:val="569752EE"/>
    <w:rsid w:val="56A00E5A"/>
    <w:rsid w:val="573A3ECB"/>
    <w:rsid w:val="57676F98"/>
    <w:rsid w:val="579905E2"/>
    <w:rsid w:val="57A557E8"/>
    <w:rsid w:val="57D04F5B"/>
    <w:rsid w:val="580E5A83"/>
    <w:rsid w:val="58613E05"/>
    <w:rsid w:val="58670CF0"/>
    <w:rsid w:val="588539BA"/>
    <w:rsid w:val="58C6010C"/>
    <w:rsid w:val="58F05BBA"/>
    <w:rsid w:val="590A235B"/>
    <w:rsid w:val="595E6596"/>
    <w:rsid w:val="597933D0"/>
    <w:rsid w:val="59AA17DC"/>
    <w:rsid w:val="5A56101C"/>
    <w:rsid w:val="5A7B7F0D"/>
    <w:rsid w:val="5A871B1D"/>
    <w:rsid w:val="5A931503"/>
    <w:rsid w:val="5A971C98"/>
    <w:rsid w:val="5AC42DA1"/>
    <w:rsid w:val="5AD92379"/>
    <w:rsid w:val="5AE14D89"/>
    <w:rsid w:val="5AFA5C95"/>
    <w:rsid w:val="5B060C94"/>
    <w:rsid w:val="5B4D241F"/>
    <w:rsid w:val="5B8A71CF"/>
    <w:rsid w:val="5C3B496D"/>
    <w:rsid w:val="5C637526"/>
    <w:rsid w:val="5C6A0DAE"/>
    <w:rsid w:val="5C855BE8"/>
    <w:rsid w:val="5C8F363D"/>
    <w:rsid w:val="5CD050B5"/>
    <w:rsid w:val="5CDE078E"/>
    <w:rsid w:val="5DC655CC"/>
    <w:rsid w:val="5DEC7E99"/>
    <w:rsid w:val="5E3B2C2A"/>
    <w:rsid w:val="5E510478"/>
    <w:rsid w:val="5E800D5D"/>
    <w:rsid w:val="5EC7073A"/>
    <w:rsid w:val="5F776EED"/>
    <w:rsid w:val="5F922712"/>
    <w:rsid w:val="5FD21144"/>
    <w:rsid w:val="600C0AFA"/>
    <w:rsid w:val="604A1623"/>
    <w:rsid w:val="605176D9"/>
    <w:rsid w:val="606A75CF"/>
    <w:rsid w:val="60793CB6"/>
    <w:rsid w:val="60854409"/>
    <w:rsid w:val="60A56859"/>
    <w:rsid w:val="60AE1BB1"/>
    <w:rsid w:val="60C05441"/>
    <w:rsid w:val="60E455D3"/>
    <w:rsid w:val="611B4D6D"/>
    <w:rsid w:val="612754C0"/>
    <w:rsid w:val="61665FE8"/>
    <w:rsid w:val="61690122"/>
    <w:rsid w:val="618A2E94"/>
    <w:rsid w:val="618B5A4F"/>
    <w:rsid w:val="61C55405"/>
    <w:rsid w:val="6223212B"/>
    <w:rsid w:val="628A03FC"/>
    <w:rsid w:val="62AD7C47"/>
    <w:rsid w:val="630E4B89"/>
    <w:rsid w:val="632048BD"/>
    <w:rsid w:val="63730E90"/>
    <w:rsid w:val="63B55005"/>
    <w:rsid w:val="63CE4319"/>
    <w:rsid w:val="63F828E6"/>
    <w:rsid w:val="64265F03"/>
    <w:rsid w:val="643D7F2D"/>
    <w:rsid w:val="6530528B"/>
    <w:rsid w:val="65402FF4"/>
    <w:rsid w:val="654D6460"/>
    <w:rsid w:val="657A6506"/>
    <w:rsid w:val="658D310C"/>
    <w:rsid w:val="65B17A4E"/>
    <w:rsid w:val="65B31A18"/>
    <w:rsid w:val="65D33E68"/>
    <w:rsid w:val="65F938CF"/>
    <w:rsid w:val="6605504F"/>
    <w:rsid w:val="662524E7"/>
    <w:rsid w:val="66383CCB"/>
    <w:rsid w:val="66482160"/>
    <w:rsid w:val="67423054"/>
    <w:rsid w:val="6760797E"/>
    <w:rsid w:val="676D3762"/>
    <w:rsid w:val="6793565D"/>
    <w:rsid w:val="67C32D83"/>
    <w:rsid w:val="67CC0B6F"/>
    <w:rsid w:val="67D873A8"/>
    <w:rsid w:val="67E265E5"/>
    <w:rsid w:val="6817628E"/>
    <w:rsid w:val="68752FB5"/>
    <w:rsid w:val="68DE0B5A"/>
    <w:rsid w:val="69064E4F"/>
    <w:rsid w:val="69482477"/>
    <w:rsid w:val="694F496D"/>
    <w:rsid w:val="698060B5"/>
    <w:rsid w:val="69AE49D0"/>
    <w:rsid w:val="69BC4907"/>
    <w:rsid w:val="6A4A3DA2"/>
    <w:rsid w:val="6AB57C02"/>
    <w:rsid w:val="6AC975E8"/>
    <w:rsid w:val="6ACA3A8C"/>
    <w:rsid w:val="6AD42215"/>
    <w:rsid w:val="6AD541DF"/>
    <w:rsid w:val="6ADC690C"/>
    <w:rsid w:val="6AE574EF"/>
    <w:rsid w:val="6AE67A28"/>
    <w:rsid w:val="6AF7022D"/>
    <w:rsid w:val="6B27051F"/>
    <w:rsid w:val="6B3E3B32"/>
    <w:rsid w:val="6B6E08BB"/>
    <w:rsid w:val="6B753BDA"/>
    <w:rsid w:val="6B770841"/>
    <w:rsid w:val="6B851761"/>
    <w:rsid w:val="6C327B3B"/>
    <w:rsid w:val="6C450EF0"/>
    <w:rsid w:val="6C5D26DE"/>
    <w:rsid w:val="6C944351"/>
    <w:rsid w:val="6CAE6A95"/>
    <w:rsid w:val="6CD76570"/>
    <w:rsid w:val="6CDE737B"/>
    <w:rsid w:val="6CE1330F"/>
    <w:rsid w:val="6D281A14"/>
    <w:rsid w:val="6D57537F"/>
    <w:rsid w:val="6D5E670D"/>
    <w:rsid w:val="6D6374D6"/>
    <w:rsid w:val="6DE035C6"/>
    <w:rsid w:val="6E0472B5"/>
    <w:rsid w:val="6E4368D6"/>
    <w:rsid w:val="6E5F098F"/>
    <w:rsid w:val="6E8A0C2B"/>
    <w:rsid w:val="6E9A1846"/>
    <w:rsid w:val="6EF60757"/>
    <w:rsid w:val="6F4A1255"/>
    <w:rsid w:val="6F991C7F"/>
    <w:rsid w:val="6F9E1043"/>
    <w:rsid w:val="70115CB9"/>
    <w:rsid w:val="705160B5"/>
    <w:rsid w:val="70757340"/>
    <w:rsid w:val="70A1528F"/>
    <w:rsid w:val="70A61265"/>
    <w:rsid w:val="70B56644"/>
    <w:rsid w:val="70FA146A"/>
    <w:rsid w:val="710228B1"/>
    <w:rsid w:val="7104581E"/>
    <w:rsid w:val="710B44B6"/>
    <w:rsid w:val="71526589"/>
    <w:rsid w:val="71DB657E"/>
    <w:rsid w:val="72161365"/>
    <w:rsid w:val="724834E8"/>
    <w:rsid w:val="729B5D0E"/>
    <w:rsid w:val="731068F9"/>
    <w:rsid w:val="735355F9"/>
    <w:rsid w:val="739A5FC5"/>
    <w:rsid w:val="73A7009A"/>
    <w:rsid w:val="73B95B2E"/>
    <w:rsid w:val="73C3551C"/>
    <w:rsid w:val="73F2195D"/>
    <w:rsid w:val="74130018"/>
    <w:rsid w:val="742F2BB2"/>
    <w:rsid w:val="743E1047"/>
    <w:rsid w:val="74546174"/>
    <w:rsid w:val="74A0585D"/>
    <w:rsid w:val="74B35591"/>
    <w:rsid w:val="74D35BFF"/>
    <w:rsid w:val="74F00593"/>
    <w:rsid w:val="752244C4"/>
    <w:rsid w:val="754555EF"/>
    <w:rsid w:val="75461F61"/>
    <w:rsid w:val="759F19B9"/>
    <w:rsid w:val="763C5112"/>
    <w:rsid w:val="767B0330"/>
    <w:rsid w:val="76A827A7"/>
    <w:rsid w:val="76AA4771"/>
    <w:rsid w:val="76C03F95"/>
    <w:rsid w:val="76E92DCE"/>
    <w:rsid w:val="77091498"/>
    <w:rsid w:val="772A140E"/>
    <w:rsid w:val="77446974"/>
    <w:rsid w:val="77CE2BEC"/>
    <w:rsid w:val="77F51A1C"/>
    <w:rsid w:val="78202F3D"/>
    <w:rsid w:val="78465F4C"/>
    <w:rsid w:val="78931FA4"/>
    <w:rsid w:val="78A43B6E"/>
    <w:rsid w:val="78C733B9"/>
    <w:rsid w:val="78CE2872"/>
    <w:rsid w:val="78DB44BD"/>
    <w:rsid w:val="78F87A16"/>
    <w:rsid w:val="79226841"/>
    <w:rsid w:val="795C2ECE"/>
    <w:rsid w:val="79927E6B"/>
    <w:rsid w:val="79A454A8"/>
    <w:rsid w:val="79BD2A0E"/>
    <w:rsid w:val="79C8388C"/>
    <w:rsid w:val="79D33FDF"/>
    <w:rsid w:val="79D73ACF"/>
    <w:rsid w:val="79E92858"/>
    <w:rsid w:val="7A0F14BB"/>
    <w:rsid w:val="7A37456E"/>
    <w:rsid w:val="7A556639"/>
    <w:rsid w:val="7A7E219D"/>
    <w:rsid w:val="7A831561"/>
    <w:rsid w:val="7AC757F1"/>
    <w:rsid w:val="7B0A1C83"/>
    <w:rsid w:val="7B207CB9"/>
    <w:rsid w:val="7B42141C"/>
    <w:rsid w:val="7B4239C2"/>
    <w:rsid w:val="7B503B39"/>
    <w:rsid w:val="7B6475E5"/>
    <w:rsid w:val="7B810197"/>
    <w:rsid w:val="7BC57958"/>
    <w:rsid w:val="7BCC0CE6"/>
    <w:rsid w:val="7C15268D"/>
    <w:rsid w:val="7C324FED"/>
    <w:rsid w:val="7C7C095E"/>
    <w:rsid w:val="7CB77BE8"/>
    <w:rsid w:val="7CD90518"/>
    <w:rsid w:val="7D39684F"/>
    <w:rsid w:val="7D700DB4"/>
    <w:rsid w:val="7D902913"/>
    <w:rsid w:val="7E5C0A47"/>
    <w:rsid w:val="7E7A0ECD"/>
    <w:rsid w:val="7EA4755C"/>
    <w:rsid w:val="7EB51F05"/>
    <w:rsid w:val="7F1E7AAB"/>
    <w:rsid w:val="7F5C05D3"/>
    <w:rsid w:val="7F72061C"/>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5"/>
    <w:qFormat/>
    <w:uiPriority w:val="0"/>
    <w:pPr>
      <w:keepNext/>
      <w:keepLines/>
      <w:spacing w:before="50" w:beforeLines="50" w:after="50" w:afterLines="50"/>
      <w:outlineLvl w:val="0"/>
    </w:pPr>
    <w:rPr>
      <w:rFonts w:eastAsia="黑体"/>
      <w:b/>
      <w:bCs/>
      <w:kern w:val="44"/>
      <w:sz w:val="28"/>
      <w:szCs w:val="44"/>
    </w:rPr>
  </w:style>
  <w:style w:type="paragraph" w:styleId="3">
    <w:name w:val="heading 2"/>
    <w:basedOn w:val="1"/>
    <w:next w:val="1"/>
    <w:link w:val="306"/>
    <w:qFormat/>
    <w:uiPriority w:val="0"/>
    <w:pPr>
      <w:keepNext/>
      <w:keepLines/>
      <w:spacing w:before="50" w:beforeLines="50" w:after="50" w:afterLines="50" w:line="360" w:lineRule="auto"/>
      <w:outlineLvl w:val="1"/>
    </w:pPr>
    <w:rPr>
      <w:rFonts w:ascii="Arial" w:hAnsi="Arial" w:eastAsia="黑体"/>
      <w:b/>
      <w:bCs/>
      <w:sz w:val="24"/>
      <w:szCs w:val="32"/>
    </w:rPr>
  </w:style>
  <w:style w:type="paragraph" w:styleId="4">
    <w:name w:val="heading 3"/>
    <w:basedOn w:val="1"/>
    <w:next w:val="1"/>
    <w:link w:val="307"/>
    <w:qFormat/>
    <w:uiPriority w:val="0"/>
    <w:pPr>
      <w:keepNext/>
      <w:keepLines/>
      <w:spacing w:before="50" w:beforeLines="50" w:after="50" w:afterLines="50"/>
      <w:outlineLvl w:val="2"/>
    </w:pPr>
    <w:rPr>
      <w:rFonts w:eastAsia="黑体"/>
      <w:b/>
      <w:bCs/>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6"/>
    <w:next w:val="1"/>
    <w:autoRedefine/>
    <w:qFormat/>
    <w:uiPriority w:val="39"/>
  </w:style>
  <w:style w:type="paragraph" w:styleId="16">
    <w:name w:val="toc 2"/>
    <w:basedOn w:val="17"/>
    <w:next w:val="1"/>
    <w:qFormat/>
    <w:uiPriority w:val="39"/>
  </w:style>
  <w:style w:type="paragraph" w:styleId="17">
    <w:name w:val="toc 1"/>
    <w:next w:val="1"/>
    <w:autoRedefine/>
    <w:qFormat/>
    <w:uiPriority w:val="39"/>
    <w:pPr>
      <w:jc w:val="both"/>
    </w:pPr>
    <w:rPr>
      <w:rFonts w:ascii="宋体" w:hAnsi="Times New Roman" w:eastAsia="宋体" w:cs="Times New Roman"/>
      <w:sz w:val="21"/>
      <w:lang w:val="en-US" w:eastAsia="zh-CN" w:bidi="ar-SA"/>
    </w:rPr>
  </w:style>
  <w:style w:type="paragraph" w:styleId="18">
    <w:name w:val="Normal Indent"/>
    <w:basedOn w:val="1"/>
    <w:autoRedefine/>
    <w:qFormat/>
    <w:uiPriority w:val="0"/>
    <w:pPr>
      <w:ind w:firstLine="420"/>
    </w:pPr>
    <w:rPr>
      <w:szCs w:val="20"/>
    </w:rPr>
  </w:style>
  <w:style w:type="paragraph" w:styleId="19">
    <w:name w:val="caption"/>
    <w:basedOn w:val="1"/>
    <w:next w:val="1"/>
    <w:autoRedefine/>
    <w:qFormat/>
    <w:uiPriority w:val="0"/>
    <w:pPr>
      <w:spacing w:before="152" w:after="160"/>
    </w:pPr>
    <w:rPr>
      <w:rFonts w:ascii="Arial" w:hAnsi="Arial" w:eastAsia="黑体"/>
      <w:szCs w:val="20"/>
    </w:rPr>
  </w:style>
  <w:style w:type="paragraph" w:styleId="20">
    <w:name w:val="annotation text"/>
    <w:basedOn w:val="1"/>
    <w:link w:val="288"/>
    <w:autoRedefine/>
    <w:qFormat/>
    <w:uiPriority w:val="0"/>
    <w:pPr>
      <w:jc w:val="left"/>
    </w:pPr>
  </w:style>
  <w:style w:type="paragraph" w:styleId="21">
    <w:name w:val="Body Text"/>
    <w:basedOn w:val="1"/>
    <w:link w:val="283"/>
    <w:qFormat/>
    <w:uiPriority w:val="0"/>
    <w:pPr>
      <w:spacing w:after="120" w:line="400" w:lineRule="exact"/>
      <w:ind w:firstLine="420" w:firstLineChars="200"/>
    </w:pPr>
    <w:rPr>
      <w:rFonts w:hAnsi="宋体"/>
      <w:szCs w:val="21"/>
    </w:rPr>
  </w:style>
  <w:style w:type="paragraph" w:styleId="22">
    <w:name w:val="Body Text Indent"/>
    <w:basedOn w:val="1"/>
    <w:link w:val="286"/>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80"/>
    <w:qFormat/>
    <w:uiPriority w:val="99"/>
    <w:rPr>
      <w:rFonts w:ascii="宋体" w:hAnsi="Courier New"/>
      <w:szCs w:val="21"/>
    </w:rPr>
  </w:style>
  <w:style w:type="paragraph" w:styleId="25">
    <w:name w:val="toc 8"/>
    <w:basedOn w:val="11"/>
    <w:next w:val="1"/>
    <w:autoRedefine/>
    <w:qFormat/>
    <w:uiPriority w:val="0"/>
  </w:style>
  <w:style w:type="paragraph" w:styleId="26">
    <w:name w:val="Date"/>
    <w:basedOn w:val="1"/>
    <w:next w:val="1"/>
    <w:link w:val="292"/>
    <w:qFormat/>
    <w:uiPriority w:val="99"/>
    <w:pPr>
      <w:ind w:left="100" w:leftChars="2500"/>
    </w:pPr>
    <w:rPr>
      <w:sz w:val="24"/>
      <w:szCs w:val="20"/>
    </w:rPr>
  </w:style>
  <w:style w:type="paragraph" w:styleId="27">
    <w:name w:val="Body Text Indent 2"/>
    <w:basedOn w:val="1"/>
    <w:link w:val="291"/>
    <w:autoRedefine/>
    <w:qFormat/>
    <w:uiPriority w:val="0"/>
    <w:pPr>
      <w:spacing w:after="120" w:line="480" w:lineRule="auto"/>
      <w:ind w:left="420" w:leftChars="200"/>
    </w:pPr>
  </w:style>
  <w:style w:type="paragraph" w:styleId="28">
    <w:name w:val="endnote text"/>
    <w:basedOn w:val="1"/>
    <w:autoRedefine/>
    <w:qFormat/>
    <w:uiPriority w:val="0"/>
    <w:pPr>
      <w:snapToGrid w:val="0"/>
    </w:pPr>
  </w:style>
  <w:style w:type="paragraph" w:styleId="29">
    <w:name w:val="Balloon Text"/>
    <w:basedOn w:val="1"/>
    <w:link w:val="282"/>
    <w:autoRedefine/>
    <w:qFormat/>
    <w:uiPriority w:val="0"/>
    <w:rPr>
      <w:sz w:val="18"/>
      <w:szCs w:val="18"/>
    </w:rPr>
  </w:style>
  <w:style w:type="paragraph" w:styleId="30">
    <w:name w:val="footer"/>
    <w:basedOn w:val="1"/>
    <w:link w:val="285"/>
    <w:autoRedefine/>
    <w:qFormat/>
    <w:uiPriority w:val="0"/>
    <w:pPr>
      <w:tabs>
        <w:tab w:val="center" w:pos="4153"/>
        <w:tab w:val="right" w:pos="8306"/>
      </w:tabs>
      <w:snapToGrid w:val="0"/>
      <w:ind w:right="210" w:rightChars="100"/>
      <w:jc w:val="right"/>
    </w:pPr>
    <w:rPr>
      <w:sz w:val="18"/>
      <w:szCs w:val="18"/>
    </w:rPr>
  </w:style>
  <w:style w:type="paragraph" w:styleId="31">
    <w:name w:val="header"/>
    <w:basedOn w:val="1"/>
    <w:link w:val="290"/>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footnote text"/>
    <w:basedOn w:val="1"/>
    <w:link w:val="309"/>
    <w:autoRedefine/>
    <w:qFormat/>
    <w:uiPriority w:val="0"/>
    <w:pPr>
      <w:snapToGrid w:val="0"/>
      <w:jc w:val="left"/>
    </w:pPr>
    <w:rPr>
      <w:sz w:val="18"/>
      <w:szCs w:val="18"/>
    </w:rPr>
  </w:style>
  <w:style w:type="paragraph" w:styleId="33">
    <w:name w:val="Body Text Indent 3"/>
    <w:basedOn w:val="1"/>
    <w:autoRedefine/>
    <w:qFormat/>
    <w:uiPriority w:val="0"/>
    <w:pPr>
      <w:widowControl/>
      <w:spacing w:line="360" w:lineRule="auto"/>
      <w:ind w:firstLine="420"/>
    </w:pPr>
    <w:rPr>
      <w:rFonts w:hAnsi="宋体"/>
      <w:sz w:val="18"/>
    </w:rPr>
  </w:style>
  <w:style w:type="paragraph" w:styleId="34">
    <w:name w:val="toc 9"/>
    <w:basedOn w:val="25"/>
    <w:next w:val="1"/>
    <w:autoRedefine/>
    <w:qFormat/>
    <w:uiPriority w:val="0"/>
  </w:style>
  <w:style w:type="paragraph" w:styleId="35">
    <w:name w:val="Body Text 2"/>
    <w:basedOn w:val="1"/>
    <w:link w:val="323"/>
    <w:autoRedefine/>
    <w:qFormat/>
    <w:uiPriority w:val="99"/>
    <w:pPr>
      <w:spacing w:after="120" w:line="480" w:lineRule="auto"/>
    </w:pPr>
  </w:style>
  <w:style w:type="paragraph" w:styleId="36">
    <w:name w:val="HTML Preformatted"/>
    <w:basedOn w:val="1"/>
    <w:qFormat/>
    <w:uiPriority w:val="0"/>
    <w:rPr>
      <w:rFonts w:ascii="Courier New" w:hAnsi="Courier New" w:cs="Courier New"/>
      <w:sz w:val="20"/>
      <w:szCs w:val="20"/>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link w:val="308"/>
    <w:autoRedefine/>
    <w:qFormat/>
    <w:uiPriority w:val="0"/>
    <w:pPr>
      <w:spacing w:before="240" w:after="60"/>
      <w:jc w:val="center"/>
      <w:outlineLvl w:val="0"/>
    </w:pPr>
    <w:rPr>
      <w:rFonts w:ascii="Arial" w:hAnsi="Arial" w:cs="Arial"/>
      <w:b/>
      <w:bCs/>
      <w:sz w:val="32"/>
      <w:szCs w:val="32"/>
    </w:rPr>
  </w:style>
  <w:style w:type="paragraph" w:styleId="39">
    <w:name w:val="annotation subject"/>
    <w:basedOn w:val="20"/>
    <w:next w:val="20"/>
    <w:link w:val="289"/>
    <w:autoRedefine/>
    <w:qFormat/>
    <w:uiPriority w:val="0"/>
    <w:rPr>
      <w:b/>
      <w:bCs/>
    </w:rPr>
  </w:style>
  <w:style w:type="paragraph" w:styleId="40">
    <w:name w:val="Body Text First Indent"/>
    <w:basedOn w:val="21"/>
    <w:autoRedefine/>
    <w:qFormat/>
    <w:uiPriority w:val="0"/>
    <w:rPr>
      <w:szCs w:val="20"/>
    </w:rPr>
  </w:style>
  <w:style w:type="table" w:styleId="42">
    <w:name w:val="Table Grid"/>
    <w:basedOn w:val="4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4">
    <w:name w:val="Strong"/>
    <w:autoRedefine/>
    <w:qFormat/>
    <w:uiPriority w:val="22"/>
    <w:rPr>
      <w:b/>
      <w:bCs/>
    </w:rPr>
  </w:style>
  <w:style w:type="character" w:styleId="45">
    <w:name w:val="page number"/>
    <w:qFormat/>
    <w:uiPriority w:val="0"/>
    <w:rPr>
      <w:rFonts w:ascii="Times New Roman" w:hAnsi="Times New Roman" w:eastAsia="宋体"/>
      <w:sz w:val="18"/>
    </w:rPr>
  </w:style>
  <w:style w:type="character" w:styleId="46">
    <w:name w:val="FollowedHyperlink"/>
    <w:autoRedefine/>
    <w:unhideWhenUsed/>
    <w:qFormat/>
    <w:uiPriority w:val="0"/>
    <w:rPr>
      <w:color w:val="800080"/>
      <w:u w:val="single"/>
    </w:rPr>
  </w:style>
  <w:style w:type="character" w:styleId="47">
    <w:name w:val="HTML Definition"/>
    <w:autoRedefine/>
    <w:qFormat/>
    <w:uiPriority w:val="0"/>
    <w:rPr>
      <w:i/>
      <w:iCs/>
    </w:rPr>
  </w:style>
  <w:style w:type="character" w:styleId="48">
    <w:name w:val="HTML Typewriter"/>
    <w:qFormat/>
    <w:uiPriority w:val="0"/>
    <w:rPr>
      <w:rFonts w:ascii="Courier New" w:hAnsi="Courier New"/>
      <w:sz w:val="20"/>
      <w:szCs w:val="20"/>
    </w:rPr>
  </w:style>
  <w:style w:type="character" w:styleId="49">
    <w:name w:val="HTML Acronym"/>
    <w:basedOn w:val="43"/>
    <w:autoRedefine/>
    <w:qFormat/>
    <w:uiPriority w:val="0"/>
  </w:style>
  <w:style w:type="character" w:styleId="50">
    <w:name w:val="HTML Variable"/>
    <w:autoRedefine/>
    <w:qFormat/>
    <w:uiPriority w:val="0"/>
    <w:rPr>
      <w:i/>
      <w:iCs/>
    </w:rPr>
  </w:style>
  <w:style w:type="character" w:styleId="51">
    <w:name w:val="Hyperlink"/>
    <w:basedOn w:val="43"/>
    <w:autoRedefine/>
    <w:qFormat/>
    <w:uiPriority w:val="99"/>
    <w:rPr>
      <w:rFonts w:ascii="Times New Roman" w:hAnsi="Times New Roman" w:eastAsia="宋体"/>
      <w:color w:val="auto"/>
      <w:spacing w:val="0"/>
      <w:w w:val="100"/>
      <w:position w:val="0"/>
      <w:sz w:val="21"/>
      <w:u w:val="none"/>
    </w:rPr>
  </w:style>
  <w:style w:type="character" w:styleId="52">
    <w:name w:val="HTML Code"/>
    <w:autoRedefine/>
    <w:qFormat/>
    <w:uiPriority w:val="0"/>
    <w:rPr>
      <w:rFonts w:ascii="Courier New" w:hAnsi="Courier New"/>
      <w:sz w:val="20"/>
      <w:szCs w:val="20"/>
    </w:rPr>
  </w:style>
  <w:style w:type="character" w:styleId="53">
    <w:name w:val="annotation reference"/>
    <w:qFormat/>
    <w:uiPriority w:val="0"/>
    <w:rPr>
      <w:sz w:val="21"/>
      <w:szCs w:val="21"/>
    </w:rPr>
  </w:style>
  <w:style w:type="character" w:styleId="54">
    <w:name w:val="HTML Cite"/>
    <w:autoRedefine/>
    <w:qFormat/>
    <w:uiPriority w:val="0"/>
    <w:rPr>
      <w:i/>
      <w:iCs/>
    </w:rPr>
  </w:style>
  <w:style w:type="character" w:styleId="55">
    <w:name w:val="footnote reference"/>
    <w:qFormat/>
    <w:uiPriority w:val="0"/>
    <w:rPr>
      <w:vertAlign w:val="superscript"/>
    </w:rPr>
  </w:style>
  <w:style w:type="character" w:styleId="56">
    <w:name w:val="HTML Keyboard"/>
    <w:autoRedefine/>
    <w:qFormat/>
    <w:uiPriority w:val="0"/>
    <w:rPr>
      <w:rFonts w:ascii="Courier New" w:hAnsi="Courier New"/>
      <w:sz w:val="20"/>
      <w:szCs w:val="20"/>
    </w:rPr>
  </w:style>
  <w:style w:type="character" w:styleId="57">
    <w:name w:val="HTML Sample"/>
    <w:autoRedefine/>
    <w:qFormat/>
    <w:uiPriority w:val="0"/>
    <w:rPr>
      <w:rFonts w:ascii="Courier New" w:hAnsi="Courier New"/>
    </w:rPr>
  </w:style>
  <w:style w:type="paragraph" w:customStyle="1" w:styleId="58">
    <w:name w:val="段"/>
    <w:link w:val="275"/>
    <w:autoRedefine/>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9">
    <w:name w:val="二级条标题"/>
    <w:basedOn w:val="60"/>
    <w:next w:val="58"/>
    <w:link w:val="277"/>
    <w:autoRedefine/>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60">
    <w:name w:val="一级条标题"/>
    <w:basedOn w:val="61"/>
    <w:next w:val="58"/>
    <w:link w:val="279"/>
    <w:autoRedefine/>
    <w:qFormat/>
    <w:uiPriority w:val="0"/>
    <w:pPr>
      <w:numPr>
        <w:ilvl w:val="2"/>
      </w:numPr>
      <w:spacing w:beforeLines="0" w:afterLines="0" w:line="300" w:lineRule="auto"/>
      <w:outlineLvl w:val="2"/>
    </w:pPr>
    <w:rPr>
      <w:color w:val="FF0000"/>
      <w:spacing w:val="-4"/>
      <w:szCs w:val="24"/>
    </w:rPr>
  </w:style>
  <w:style w:type="paragraph" w:customStyle="1" w:styleId="61">
    <w:name w:val="章标题"/>
    <w:next w:val="58"/>
    <w:link w:val="278"/>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3">
    <w:name w:val="封面标准号2"/>
    <w:basedOn w:val="64"/>
    <w:autoRedefine/>
    <w:qFormat/>
    <w:uiPriority w:val="0"/>
    <w:pPr>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附录标识"/>
    <w:basedOn w:val="66"/>
    <w:link w:val="300"/>
    <w:autoRedefine/>
    <w:qFormat/>
    <w:uiPriority w:val="0"/>
    <w:pPr>
      <w:numPr>
        <w:ilvl w:val="0"/>
        <w:numId w:val="2"/>
      </w:numPr>
      <w:tabs>
        <w:tab w:val="left" w:pos="6405"/>
      </w:tabs>
      <w:spacing w:after="200"/>
    </w:pPr>
    <w:rPr>
      <w:sz w:val="21"/>
    </w:rPr>
  </w:style>
  <w:style w:type="paragraph" w:customStyle="1" w:styleId="66">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8">
    <w:name w:val="发布部门"/>
    <w:next w:val="58"/>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70">
    <w:name w:val="四级条标题"/>
    <w:basedOn w:val="71"/>
    <w:next w:val="58"/>
    <w:autoRedefine/>
    <w:qFormat/>
    <w:uiPriority w:val="0"/>
    <w:pPr>
      <w:numPr>
        <w:ilvl w:val="5"/>
      </w:numPr>
      <w:outlineLvl w:val="5"/>
    </w:pPr>
  </w:style>
  <w:style w:type="paragraph" w:customStyle="1" w:styleId="71">
    <w:name w:val="三级条标题"/>
    <w:basedOn w:val="59"/>
    <w:next w:val="58"/>
    <w:link w:val="281"/>
    <w:autoRedefine/>
    <w:qFormat/>
    <w:uiPriority w:val="0"/>
    <w:pPr>
      <w:numPr>
        <w:ilvl w:val="4"/>
      </w:numPr>
      <w:outlineLvl w:val="4"/>
    </w:pPr>
  </w:style>
  <w:style w:type="paragraph" w:customStyle="1" w:styleId="72">
    <w:name w:val="列项——"/>
    <w:autoRedefine/>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4">
    <w:name w:val="参考文献、索引标题"/>
    <w:basedOn w:val="66"/>
    <w:next w:val="1"/>
    <w:autoRedefine/>
    <w:qFormat/>
    <w:uiPriority w:val="0"/>
    <w:pPr>
      <w:numPr>
        <w:numId w:val="0"/>
      </w:numPr>
      <w:spacing w:after="200"/>
    </w:pPr>
    <w:rPr>
      <w:sz w:val="21"/>
    </w:rPr>
  </w:style>
  <w:style w:type="paragraph" w:customStyle="1" w:styleId="75">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实施日期"/>
    <w:basedOn w:val="77"/>
    <w:autoRedefine/>
    <w:qFormat/>
    <w:uiPriority w:val="0"/>
    <w:pPr>
      <w:jc w:val="right"/>
    </w:pPr>
  </w:style>
  <w:style w:type="paragraph" w:customStyle="1" w:styleId="77">
    <w:name w:val="发布日期"/>
    <w:autoRedefine/>
    <w:qFormat/>
    <w:uiPriority w:val="0"/>
    <w:rPr>
      <w:rFonts w:ascii="Times New Roman" w:hAnsi="Times New Roman" w:eastAsia="黑体" w:cs="Times New Roman"/>
      <w:sz w:val="28"/>
      <w:lang w:val="en-US" w:eastAsia="zh-CN" w:bidi="ar-SA"/>
    </w:rPr>
  </w:style>
  <w:style w:type="paragraph" w:customStyle="1" w:styleId="78">
    <w:name w:val="条文脚注"/>
    <w:basedOn w:val="32"/>
    <w:autoRedefine/>
    <w:qFormat/>
    <w:uiPriority w:val="0"/>
    <w:pPr>
      <w:ind w:left="780" w:leftChars="200" w:hanging="360" w:hangingChars="200"/>
      <w:jc w:val="both"/>
    </w:pPr>
    <w:rPr>
      <w:rFonts w:ascii="宋体"/>
    </w:rPr>
  </w:style>
  <w:style w:type="paragraph" w:customStyle="1" w:styleId="79">
    <w:name w:val="附录章标题"/>
    <w:next w:val="58"/>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2">
    <w:name w:val="图表脚注"/>
    <w:next w:val="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3">
    <w:name w:val="五级无标题条"/>
    <w:basedOn w:val="1"/>
    <w:autoRedefine/>
    <w:qFormat/>
    <w:uiPriority w:val="0"/>
    <w:pPr>
      <w:numPr>
        <w:ilvl w:val="6"/>
        <w:numId w:val="5"/>
      </w:numPr>
    </w:pPr>
  </w:style>
  <w:style w:type="paragraph" w:customStyle="1" w:styleId="84">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Char"/>
    <w:basedOn w:val="1"/>
    <w:autoRedefine/>
    <w:qFormat/>
    <w:uiPriority w:val="0"/>
    <w:pPr>
      <w:widowControl/>
      <w:spacing w:after="160" w:line="240" w:lineRule="exact"/>
      <w:jc w:val="left"/>
    </w:pPr>
  </w:style>
  <w:style w:type="paragraph" w:customStyle="1" w:styleId="86">
    <w:name w:val="无标题条"/>
    <w:next w:val="58"/>
    <w:qFormat/>
    <w:uiPriority w:val="0"/>
    <w:pPr>
      <w:jc w:val="both"/>
    </w:pPr>
    <w:rPr>
      <w:rFonts w:ascii="Times New Roman" w:hAnsi="Times New Roman" w:eastAsia="宋体" w:cs="Times New Roman"/>
      <w:sz w:val="21"/>
      <w:lang w:val="en-US" w:eastAsia="zh-CN" w:bidi="ar-SA"/>
    </w:rPr>
  </w:style>
  <w:style w:type="paragraph" w:customStyle="1" w:styleId="87">
    <w:name w:val="五级条标题"/>
    <w:basedOn w:val="70"/>
    <w:next w:val="58"/>
    <w:qFormat/>
    <w:uiPriority w:val="0"/>
    <w:pPr>
      <w:numPr>
        <w:ilvl w:val="6"/>
      </w:numPr>
      <w:outlineLvl w:val="6"/>
    </w:pPr>
  </w:style>
  <w:style w:type="paragraph" w:customStyle="1" w:styleId="88">
    <w:name w:val="Default"/>
    <w:autoRedefine/>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0">
    <w:name w:val="正文图标题"/>
    <w:next w:val="58"/>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1">
    <w:name w:val="注："/>
    <w:next w:val="58"/>
    <w:link w:val="284"/>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2">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3">
    <w:name w:val="标准书眉_偶数页"/>
    <w:basedOn w:val="89"/>
    <w:next w:val="1"/>
    <w:qFormat/>
    <w:uiPriority w:val="0"/>
    <w:pPr>
      <w:jc w:val="left"/>
    </w:pPr>
  </w:style>
  <w:style w:type="paragraph" w:customStyle="1" w:styleId="94">
    <w:name w:val="二级无标题条"/>
    <w:basedOn w:val="1"/>
    <w:autoRedefine/>
    <w:qFormat/>
    <w:uiPriority w:val="0"/>
    <w:pPr>
      <w:numPr>
        <w:ilvl w:val="3"/>
        <w:numId w:val="5"/>
      </w:numPr>
    </w:pPr>
  </w:style>
  <w:style w:type="paragraph" w:customStyle="1" w:styleId="95">
    <w:name w:val="附录表标题"/>
    <w:next w:val="58"/>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6">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8">
    <w:name w:val="封面正文"/>
    <w:qFormat/>
    <w:uiPriority w:val="0"/>
    <w:pPr>
      <w:jc w:val="both"/>
    </w:pPr>
    <w:rPr>
      <w:rFonts w:ascii="Times New Roman" w:hAnsi="Times New Roman" w:eastAsia="宋体" w:cs="Times New Roman"/>
      <w:lang w:val="en-US" w:eastAsia="zh-CN" w:bidi="ar-SA"/>
    </w:rPr>
  </w:style>
  <w:style w:type="paragraph" w:customStyle="1" w:styleId="99">
    <w:name w:val="附录五级条标题"/>
    <w:basedOn w:val="100"/>
    <w:next w:val="58"/>
    <w:autoRedefine/>
    <w:qFormat/>
    <w:uiPriority w:val="0"/>
    <w:pPr>
      <w:numPr>
        <w:ilvl w:val="6"/>
      </w:numPr>
      <w:outlineLvl w:val="6"/>
    </w:pPr>
  </w:style>
  <w:style w:type="paragraph" w:customStyle="1" w:styleId="100">
    <w:name w:val="附录四级条标题"/>
    <w:basedOn w:val="101"/>
    <w:next w:val="58"/>
    <w:autoRedefine/>
    <w:qFormat/>
    <w:uiPriority w:val="0"/>
    <w:pPr>
      <w:numPr>
        <w:ilvl w:val="5"/>
      </w:numPr>
      <w:outlineLvl w:val="5"/>
    </w:pPr>
  </w:style>
  <w:style w:type="paragraph" w:customStyle="1" w:styleId="101">
    <w:name w:val="附录三级条标题"/>
    <w:basedOn w:val="102"/>
    <w:next w:val="58"/>
    <w:autoRedefine/>
    <w:qFormat/>
    <w:uiPriority w:val="0"/>
    <w:pPr>
      <w:numPr>
        <w:ilvl w:val="4"/>
      </w:numPr>
      <w:outlineLvl w:val="4"/>
    </w:pPr>
  </w:style>
  <w:style w:type="paragraph" w:customStyle="1" w:styleId="102">
    <w:name w:val="附录二级条标题"/>
    <w:basedOn w:val="103"/>
    <w:next w:val="58"/>
    <w:qFormat/>
    <w:uiPriority w:val="0"/>
    <w:pPr>
      <w:numPr>
        <w:ilvl w:val="3"/>
      </w:numPr>
      <w:outlineLvl w:val="3"/>
    </w:pPr>
  </w:style>
  <w:style w:type="paragraph" w:customStyle="1" w:styleId="103">
    <w:name w:val="附录一级条标题"/>
    <w:basedOn w:val="79"/>
    <w:next w:val="58"/>
    <w:autoRedefine/>
    <w:qFormat/>
    <w:uiPriority w:val="0"/>
    <w:pPr>
      <w:numPr>
        <w:ilvl w:val="2"/>
      </w:numPr>
      <w:autoSpaceDN w:val="0"/>
      <w:spacing w:beforeLines="0" w:afterLines="0"/>
      <w:outlineLvl w:val="2"/>
    </w:pPr>
  </w:style>
  <w:style w:type="paragraph" w:customStyle="1" w:styleId="10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附录图标题"/>
    <w:next w:val="58"/>
    <w:qFormat/>
    <w:uiPriority w:val="0"/>
    <w:pPr>
      <w:jc w:val="center"/>
    </w:pPr>
    <w:rPr>
      <w:rFonts w:ascii="黑体" w:hAnsi="Times New Roman" w:eastAsia="黑体" w:cs="Times New Roman"/>
      <w:sz w:val="21"/>
      <w:lang w:val="en-US" w:eastAsia="zh-CN" w:bidi="ar-SA"/>
    </w:rPr>
  </w:style>
  <w:style w:type="paragraph" w:customStyle="1" w:styleId="106">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7">
    <w:name w:val="正文表标题"/>
    <w:next w:val="58"/>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8">
    <w:name w:val="示例"/>
    <w:next w:val="58"/>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9">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10">
    <w:name w:val="四级无标题条"/>
    <w:basedOn w:val="1"/>
    <w:autoRedefine/>
    <w:qFormat/>
    <w:uiPriority w:val="0"/>
    <w:pPr>
      <w:numPr>
        <w:ilvl w:val="5"/>
        <w:numId w:val="5"/>
      </w:numPr>
    </w:pPr>
  </w:style>
  <w:style w:type="paragraph" w:customStyle="1" w:styleId="111">
    <w:name w:val="目次、标准名称标题"/>
    <w:basedOn w:val="66"/>
    <w:next w:val="58"/>
    <w:autoRedefine/>
    <w:qFormat/>
    <w:uiPriority w:val="0"/>
    <w:pPr>
      <w:numPr>
        <w:numId w:val="0"/>
      </w:numPr>
      <w:spacing w:line="460" w:lineRule="exact"/>
    </w:pPr>
  </w:style>
  <w:style w:type="paragraph" w:customStyle="1" w:styleId="11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3">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4">
    <w:name w:val="其他发布部门"/>
    <w:basedOn w:val="68"/>
    <w:autoRedefine/>
    <w:qFormat/>
    <w:uiPriority w:val="0"/>
    <w:pPr>
      <w:spacing w:line="0" w:lineRule="atLeast"/>
    </w:pPr>
    <w:rPr>
      <w:rFonts w:ascii="黑体" w:eastAsia="黑体"/>
      <w:b w:val="0"/>
    </w:rPr>
  </w:style>
  <w:style w:type="paragraph" w:customStyle="1" w:styleId="115">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6">
    <w:name w:val="三级无标题条"/>
    <w:basedOn w:val="1"/>
    <w:autoRedefine/>
    <w:qFormat/>
    <w:uiPriority w:val="0"/>
    <w:pPr>
      <w:numPr>
        <w:ilvl w:val="4"/>
        <w:numId w:val="5"/>
      </w:numPr>
    </w:pPr>
  </w:style>
  <w:style w:type="paragraph" w:customStyle="1" w:styleId="11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一级无标题条"/>
    <w:basedOn w:val="1"/>
    <w:autoRedefine/>
    <w:qFormat/>
    <w:uiPriority w:val="0"/>
    <w:pPr>
      <w:numPr>
        <w:ilvl w:val="2"/>
        <w:numId w:val="5"/>
      </w:numPr>
    </w:pPr>
  </w:style>
  <w:style w:type="paragraph" w:customStyle="1" w:styleId="119">
    <w:name w:val="封面标准代替信息"/>
    <w:basedOn w:val="63"/>
    <w:autoRedefine/>
    <w:qFormat/>
    <w:uiPriority w:val="0"/>
    <w:pPr>
      <w:spacing w:before="57"/>
    </w:pPr>
    <w:rPr>
      <w:rFonts w:ascii="宋体"/>
      <w:sz w:val="21"/>
    </w:rPr>
  </w:style>
  <w:style w:type="paragraph" w:customStyle="1" w:styleId="120">
    <w:name w:val="标准正文"/>
    <w:basedOn w:val="1"/>
    <w:autoRedefine/>
    <w:qFormat/>
    <w:uiPriority w:val="0"/>
    <w:pPr>
      <w:adjustRightInd w:val="0"/>
      <w:spacing w:line="360" w:lineRule="atLeast"/>
      <w:ind w:firstLine="425"/>
      <w:jc w:val="left"/>
      <w:textAlignment w:val="baseline"/>
    </w:pPr>
    <w:rPr>
      <w:spacing w:val="-4"/>
      <w:kern w:val="21"/>
      <w:szCs w:val="20"/>
    </w:rPr>
  </w:style>
  <w:style w:type="paragraph" w:customStyle="1" w:styleId="121">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23">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4">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8"/>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9">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1">
    <w:name w:val="xl80"/>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4">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4">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6">
    <w:name w:val="c封面标准名称"/>
    <w:basedOn w:val="1"/>
    <w:autoRedefine/>
    <w:qFormat/>
    <w:uiPriority w:val="0"/>
    <w:pPr>
      <w:adjustRightInd w:val="0"/>
      <w:jc w:val="center"/>
    </w:pPr>
    <w:rPr>
      <w:rFonts w:eastAsia="黑体"/>
      <w:kern w:val="0"/>
      <w:sz w:val="52"/>
      <w:szCs w:val="20"/>
    </w:rPr>
  </w:style>
  <w:style w:type="paragraph" w:customStyle="1" w:styleId="147">
    <w:name w:val="样式2"/>
    <w:basedOn w:val="71"/>
    <w:autoRedefine/>
    <w:qFormat/>
    <w:uiPriority w:val="0"/>
    <w:pPr>
      <w:numPr>
        <w:numId w:val="0"/>
      </w:numPr>
      <w:spacing w:line="240" w:lineRule="auto"/>
      <w:ind w:left="454"/>
    </w:pPr>
    <w:rPr>
      <w:color w:val="auto"/>
      <w:spacing w:val="0"/>
      <w:szCs w:val="20"/>
    </w:rPr>
  </w:style>
  <w:style w:type="paragraph" w:customStyle="1" w:styleId="148">
    <w:name w:val="列出段落1"/>
    <w:basedOn w:val="1"/>
    <w:autoRedefine/>
    <w:qFormat/>
    <w:uiPriority w:val="34"/>
    <w:pPr>
      <w:ind w:firstLine="420" w:firstLineChars="200"/>
    </w:pPr>
    <w:rPr>
      <w:rFonts w:ascii="Calibri" w:hAnsi="Calibri"/>
      <w:szCs w:val="22"/>
    </w:rPr>
  </w:style>
  <w:style w:type="paragraph" w:customStyle="1" w:styleId="149">
    <w:name w:val="图表脚注说明"/>
    <w:basedOn w:val="1"/>
    <w:autoRedefine/>
    <w:qFormat/>
    <w:uiPriority w:val="0"/>
    <w:rPr>
      <w:rFonts w:ascii="宋体"/>
      <w:sz w:val="18"/>
      <w:szCs w:val="18"/>
    </w:rPr>
  </w:style>
  <w:style w:type="paragraph" w:customStyle="1" w:styleId="150">
    <w:name w:val="Char11"/>
    <w:basedOn w:val="1"/>
    <w:autoRedefine/>
    <w:qFormat/>
    <w:uiPriority w:val="0"/>
    <w:pPr>
      <w:widowControl/>
      <w:spacing w:after="160" w:line="240" w:lineRule="exact"/>
      <w:jc w:val="left"/>
    </w:pPr>
  </w:style>
  <w:style w:type="paragraph" w:customStyle="1" w:styleId="151">
    <w:name w:val="ordinary-output"/>
    <w:basedOn w:val="1"/>
    <w:autoRedefine/>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2">
    <w:name w:val="列出段落11"/>
    <w:basedOn w:val="1"/>
    <w:autoRedefine/>
    <w:qFormat/>
    <w:uiPriority w:val="34"/>
    <w:pPr>
      <w:ind w:firstLine="420" w:firstLineChars="200"/>
    </w:pPr>
    <w:rPr>
      <w:sz w:val="24"/>
    </w:rPr>
  </w:style>
  <w:style w:type="paragraph" w:customStyle="1" w:styleId="153">
    <w:name w:val="Char1 Char Char Char"/>
    <w:basedOn w:val="1"/>
    <w:autoRedefine/>
    <w:qFormat/>
    <w:uiPriority w:val="0"/>
    <w:rPr>
      <w:szCs w:val="20"/>
    </w:rPr>
  </w:style>
  <w:style w:type="paragraph" w:customStyle="1" w:styleId="154">
    <w:name w:val="Char1"/>
    <w:basedOn w:val="1"/>
    <w:autoRedefine/>
    <w:qFormat/>
    <w:uiPriority w:val="0"/>
    <w:pPr>
      <w:widowControl/>
      <w:spacing w:after="160" w:line="240" w:lineRule="exact"/>
      <w:jc w:val="left"/>
    </w:pPr>
  </w:style>
  <w:style w:type="paragraph" w:customStyle="1" w:styleId="155">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6">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8">
    <w:name w:val="xl121"/>
    <w:basedOn w:val="1"/>
    <w:autoRedefine/>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9">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0">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1">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2">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6">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7">
    <w:name w:val="xl7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8">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9">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0">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1">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2">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3">
    <w:name w:val="xl182"/>
    <w:basedOn w:val="1"/>
    <w:autoRedefine/>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4">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5">
    <w:name w:val="xl71"/>
    <w:basedOn w:val="1"/>
    <w:autoRedefine/>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6">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7">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9">
    <w:name w:val="xl63"/>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2">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3">
    <w:name w:val="xl178"/>
    <w:basedOn w:val="1"/>
    <w:autoRedefine/>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4">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6">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7">
    <w:name w:val="xl176"/>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8">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9">
    <w:name w:val="xl152"/>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90">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1">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2">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3">
    <w:name w:val="xl129"/>
    <w:basedOn w:val="1"/>
    <w:autoRedefine/>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4">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5">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7">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8">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00">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1">
    <w:name w:val="xl11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2">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3">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4">
    <w:name w:val="xl162"/>
    <w:basedOn w:val="1"/>
    <w:autoRedefine/>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5">
    <w:name w:val="xl1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6">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7">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8">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9">
    <w:name w:val="xl160"/>
    <w:basedOn w:val="1"/>
    <w:autoRedefine/>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0">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1">
    <w:name w:val="xl10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2">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3">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4">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5">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6">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7">
    <w:name w:val="xl99"/>
    <w:basedOn w:val="1"/>
    <w:autoRedefine/>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8">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20">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1">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2">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4">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5">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6">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7">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8">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9">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30">
    <w:name w:val="xl96"/>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1">
    <w:name w:val="xl171"/>
    <w:basedOn w:val="1"/>
    <w:autoRedefine/>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2">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3">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4">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6">
    <w:name w:val="xl126"/>
    <w:basedOn w:val="1"/>
    <w:autoRedefine/>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7">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8">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9">
    <w:name w:val="xl131"/>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0">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1">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2">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3">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4">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5">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6">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xl137"/>
    <w:basedOn w:val="1"/>
    <w:autoRedefine/>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8">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9">
    <w:name w:val="xl139"/>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50">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1">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2">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4">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5">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8">
    <w:name w:val="xl156"/>
    <w:basedOn w:val="1"/>
    <w:autoRedefine/>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9">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60">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2">
    <w:name w:val="xl188"/>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3">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5">
    <w:name w:val="Char2"/>
    <w:basedOn w:val="1"/>
    <w:autoRedefine/>
    <w:qFormat/>
    <w:uiPriority w:val="0"/>
    <w:pPr>
      <w:widowControl/>
      <w:spacing w:after="160" w:line="240" w:lineRule="exact"/>
      <w:jc w:val="left"/>
    </w:pPr>
  </w:style>
  <w:style w:type="paragraph" w:customStyle="1" w:styleId="266">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7">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8">
    <w:name w:val="p0"/>
    <w:basedOn w:val="1"/>
    <w:autoRedefine/>
    <w:qFormat/>
    <w:uiPriority w:val="0"/>
    <w:pPr>
      <w:widowControl/>
      <w:jc w:val="left"/>
    </w:pPr>
    <w:rPr>
      <w:kern w:val="0"/>
      <w:szCs w:val="21"/>
    </w:rPr>
  </w:style>
  <w:style w:type="paragraph" w:customStyle="1" w:styleId="269">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270">
    <w:name w:val="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2">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3">
    <w:name w:val="发布"/>
    <w:autoRedefine/>
    <w:qFormat/>
    <w:uiPriority w:val="0"/>
    <w:rPr>
      <w:rFonts w:ascii="黑体" w:eastAsia="黑体"/>
      <w:spacing w:val="22"/>
      <w:w w:val="100"/>
      <w:position w:val="3"/>
      <w:sz w:val="28"/>
    </w:rPr>
  </w:style>
  <w:style w:type="character" w:customStyle="1" w:styleId="274">
    <w:name w:val="个人答复风格"/>
    <w:autoRedefine/>
    <w:qFormat/>
    <w:uiPriority w:val="0"/>
    <w:rPr>
      <w:rFonts w:ascii="Arial" w:hAnsi="Arial" w:eastAsia="宋体" w:cs="Arial"/>
      <w:color w:val="auto"/>
      <w:sz w:val="20"/>
    </w:rPr>
  </w:style>
  <w:style w:type="character" w:customStyle="1" w:styleId="275">
    <w:name w:val="段 Char"/>
    <w:link w:val="58"/>
    <w:autoRedefine/>
    <w:qFormat/>
    <w:uiPriority w:val="0"/>
    <w:rPr>
      <w:rFonts w:ascii="宋体" w:hAnsi="宋体" w:eastAsia="宋体"/>
      <w:sz w:val="21"/>
      <w:lang w:val="en-US" w:eastAsia="zh-CN" w:bidi="ar-SA"/>
    </w:rPr>
  </w:style>
  <w:style w:type="character" w:customStyle="1" w:styleId="276">
    <w:name w:val="个人撰写风格"/>
    <w:autoRedefine/>
    <w:qFormat/>
    <w:uiPriority w:val="0"/>
    <w:rPr>
      <w:rFonts w:ascii="Arial" w:hAnsi="Arial" w:eastAsia="宋体" w:cs="Arial"/>
      <w:color w:val="auto"/>
      <w:sz w:val="20"/>
    </w:rPr>
  </w:style>
  <w:style w:type="character" w:customStyle="1" w:styleId="277">
    <w:name w:val="二级条标题 Char"/>
    <w:link w:val="59"/>
    <w:autoRedefine/>
    <w:qFormat/>
    <w:uiPriority w:val="0"/>
    <w:rPr>
      <w:rFonts w:ascii="黑体" w:hAnsi="黑体" w:eastAsia="黑体" w:cs="Times New Roman"/>
      <w:color w:val="000000" w:themeColor="text1"/>
      <w:spacing w:val="-6"/>
      <w:sz w:val="21"/>
      <w:szCs w:val="24"/>
      <w14:textFill>
        <w14:solidFill>
          <w14:schemeClr w14:val="tx1"/>
        </w14:solidFill>
      </w14:textFill>
    </w:rPr>
  </w:style>
  <w:style w:type="character" w:customStyle="1" w:styleId="278">
    <w:name w:val="章标题 Char"/>
    <w:link w:val="61"/>
    <w:autoRedefine/>
    <w:qFormat/>
    <w:uiPriority w:val="0"/>
    <w:rPr>
      <w:rFonts w:ascii="黑体" w:hAnsi="Times New Roman" w:eastAsia="黑体" w:cs="Times New Roman"/>
      <w:sz w:val="21"/>
    </w:rPr>
  </w:style>
  <w:style w:type="character" w:customStyle="1" w:styleId="279">
    <w:name w:val="一级条标题 Char"/>
    <w:link w:val="60"/>
    <w:autoRedefine/>
    <w:qFormat/>
    <w:uiPriority w:val="0"/>
    <w:rPr>
      <w:rFonts w:ascii="黑体" w:hAnsi="Times New Roman" w:eastAsia="黑体" w:cs="Times New Roman"/>
      <w:color w:val="FF0000"/>
      <w:spacing w:val="-4"/>
      <w:sz w:val="21"/>
      <w:szCs w:val="24"/>
    </w:rPr>
  </w:style>
  <w:style w:type="character" w:customStyle="1" w:styleId="280">
    <w:name w:val="纯文本 Char"/>
    <w:link w:val="24"/>
    <w:autoRedefine/>
    <w:qFormat/>
    <w:uiPriority w:val="99"/>
    <w:rPr>
      <w:rFonts w:ascii="宋体" w:hAnsi="Courier New" w:cs="Courier New"/>
      <w:kern w:val="2"/>
      <w:sz w:val="21"/>
      <w:szCs w:val="21"/>
    </w:rPr>
  </w:style>
  <w:style w:type="character" w:customStyle="1" w:styleId="281">
    <w:name w:val="三级条标题 Char"/>
    <w:link w:val="71"/>
    <w:autoRedefine/>
    <w:qFormat/>
    <w:uiPriority w:val="0"/>
    <w:rPr>
      <w:rFonts w:ascii="黑体" w:eastAsia="黑体"/>
      <w:color w:val="FF0000"/>
      <w:spacing w:val="-4"/>
      <w:sz w:val="21"/>
      <w:szCs w:val="24"/>
    </w:rPr>
  </w:style>
  <w:style w:type="character" w:customStyle="1" w:styleId="282">
    <w:name w:val="批注框文本 Char"/>
    <w:link w:val="29"/>
    <w:autoRedefine/>
    <w:qFormat/>
    <w:uiPriority w:val="0"/>
    <w:rPr>
      <w:kern w:val="2"/>
      <w:sz w:val="18"/>
      <w:szCs w:val="18"/>
    </w:rPr>
  </w:style>
  <w:style w:type="character" w:customStyle="1" w:styleId="283">
    <w:name w:val="正文文本 Char"/>
    <w:link w:val="21"/>
    <w:autoRedefine/>
    <w:qFormat/>
    <w:uiPriority w:val="0"/>
    <w:rPr>
      <w:rFonts w:ascii="Times New Roman" w:hAnsi="宋体" w:eastAsia="宋体" w:cs="Times New Roman"/>
      <w:kern w:val="2"/>
      <w:sz w:val="21"/>
      <w:szCs w:val="21"/>
    </w:rPr>
  </w:style>
  <w:style w:type="character" w:customStyle="1" w:styleId="284">
    <w:name w:val="注： Char"/>
    <w:link w:val="91"/>
    <w:autoRedefine/>
    <w:qFormat/>
    <w:uiPriority w:val="0"/>
    <w:rPr>
      <w:rFonts w:ascii="宋体"/>
      <w:sz w:val="18"/>
    </w:rPr>
  </w:style>
  <w:style w:type="character" w:customStyle="1" w:styleId="285">
    <w:name w:val="页脚 Char"/>
    <w:link w:val="30"/>
    <w:autoRedefine/>
    <w:qFormat/>
    <w:uiPriority w:val="99"/>
    <w:rPr>
      <w:kern w:val="2"/>
      <w:sz w:val="18"/>
      <w:szCs w:val="18"/>
    </w:rPr>
  </w:style>
  <w:style w:type="character" w:customStyle="1" w:styleId="286">
    <w:name w:val="正文文本缩进 Char"/>
    <w:link w:val="22"/>
    <w:autoRedefine/>
    <w:qFormat/>
    <w:uiPriority w:val="0"/>
    <w:rPr>
      <w:kern w:val="2"/>
      <w:sz w:val="24"/>
    </w:rPr>
  </w:style>
  <w:style w:type="character" w:customStyle="1" w:styleId="287">
    <w:name w:val="表中文字"/>
    <w:autoRedefine/>
    <w:qFormat/>
    <w:uiPriority w:val="0"/>
    <w:rPr>
      <w:rFonts w:ascii="宋体" w:eastAsia="宋体"/>
      <w:sz w:val="18"/>
    </w:rPr>
  </w:style>
  <w:style w:type="character" w:customStyle="1" w:styleId="288">
    <w:name w:val="批注文字 Char"/>
    <w:link w:val="20"/>
    <w:autoRedefine/>
    <w:qFormat/>
    <w:uiPriority w:val="0"/>
    <w:rPr>
      <w:kern w:val="2"/>
      <w:sz w:val="21"/>
      <w:szCs w:val="24"/>
    </w:rPr>
  </w:style>
  <w:style w:type="character" w:customStyle="1" w:styleId="289">
    <w:name w:val="批注主题 Char"/>
    <w:link w:val="39"/>
    <w:autoRedefine/>
    <w:qFormat/>
    <w:uiPriority w:val="0"/>
    <w:rPr>
      <w:b/>
      <w:bCs/>
      <w:kern w:val="2"/>
      <w:sz w:val="21"/>
      <w:szCs w:val="24"/>
    </w:rPr>
  </w:style>
  <w:style w:type="character" w:customStyle="1" w:styleId="290">
    <w:name w:val="页眉 Char"/>
    <w:link w:val="31"/>
    <w:autoRedefine/>
    <w:qFormat/>
    <w:uiPriority w:val="99"/>
    <w:rPr>
      <w:kern w:val="2"/>
      <w:sz w:val="18"/>
      <w:szCs w:val="18"/>
    </w:rPr>
  </w:style>
  <w:style w:type="character" w:customStyle="1" w:styleId="291">
    <w:name w:val="正文文本缩进 2 Char"/>
    <w:link w:val="27"/>
    <w:autoRedefine/>
    <w:qFormat/>
    <w:uiPriority w:val="0"/>
    <w:rPr>
      <w:kern w:val="2"/>
      <w:sz w:val="21"/>
      <w:szCs w:val="24"/>
    </w:rPr>
  </w:style>
  <w:style w:type="character" w:customStyle="1" w:styleId="292">
    <w:name w:val="日期 Char"/>
    <w:link w:val="26"/>
    <w:autoRedefine/>
    <w:qFormat/>
    <w:uiPriority w:val="99"/>
    <w:rPr>
      <w:kern w:val="2"/>
      <w:sz w:val="24"/>
    </w:rPr>
  </w:style>
  <w:style w:type="character" w:customStyle="1" w:styleId="293">
    <w:name w:val="访问过的超链接1"/>
    <w:autoRedefine/>
    <w:qFormat/>
    <w:uiPriority w:val="99"/>
    <w:rPr>
      <w:color w:val="800080"/>
      <w:u w:val="single"/>
    </w:rPr>
  </w:style>
  <w:style w:type="character" w:customStyle="1" w:styleId="294">
    <w:name w:val="段 Char Char Char Char"/>
    <w:autoRedefine/>
    <w:qFormat/>
    <w:uiPriority w:val="0"/>
    <w:rPr>
      <w:rFonts w:ascii="宋体"/>
      <w:sz w:val="21"/>
      <w:lang w:val="en-US" w:eastAsia="zh-CN" w:bidi="ar-SA"/>
    </w:rPr>
  </w:style>
  <w:style w:type="character" w:customStyle="1" w:styleId="295">
    <w:name w:val="章标题 Char Char"/>
    <w:autoRedefine/>
    <w:qFormat/>
    <w:uiPriority w:val="0"/>
    <w:rPr>
      <w:rFonts w:ascii="黑体" w:eastAsia="黑体"/>
      <w:sz w:val="21"/>
      <w:lang w:val="en-US" w:eastAsia="zh-CN" w:bidi="ar-SA"/>
    </w:rPr>
  </w:style>
  <w:style w:type="character" w:customStyle="1" w:styleId="296">
    <w:name w:val="正文文本缩进 Char1"/>
    <w:autoRedefine/>
    <w:qFormat/>
    <w:uiPriority w:val="0"/>
    <w:rPr>
      <w:kern w:val="2"/>
      <w:sz w:val="21"/>
      <w:szCs w:val="24"/>
    </w:rPr>
  </w:style>
  <w:style w:type="character" w:customStyle="1" w:styleId="297">
    <w:name w:val="font21"/>
    <w:autoRedefine/>
    <w:qFormat/>
    <w:uiPriority w:val="0"/>
    <w:rPr>
      <w:rFonts w:hint="eastAsia" w:ascii="宋体" w:hAnsi="宋体" w:eastAsia="宋体" w:cs="宋体"/>
      <w:b/>
      <w:color w:val="FF0000"/>
      <w:sz w:val="21"/>
      <w:szCs w:val="21"/>
      <w:u w:val="none"/>
    </w:rPr>
  </w:style>
  <w:style w:type="character" w:customStyle="1" w:styleId="298">
    <w:name w:val="font41"/>
    <w:autoRedefine/>
    <w:qFormat/>
    <w:uiPriority w:val="0"/>
    <w:rPr>
      <w:rFonts w:hint="eastAsia" w:ascii="宋体" w:hAnsi="宋体" w:eastAsia="宋体" w:cs="宋体"/>
      <w:b/>
      <w:color w:val="FF0000"/>
      <w:sz w:val="21"/>
      <w:szCs w:val="21"/>
      <w:u w:val="none"/>
    </w:rPr>
  </w:style>
  <w:style w:type="character" w:customStyle="1" w:styleId="299">
    <w:name w:val="font01"/>
    <w:autoRedefine/>
    <w:qFormat/>
    <w:uiPriority w:val="0"/>
    <w:rPr>
      <w:rFonts w:hint="eastAsia" w:ascii="宋体" w:hAnsi="宋体" w:eastAsia="宋体"/>
      <w:color w:val="000000"/>
      <w:sz w:val="24"/>
      <w:szCs w:val="24"/>
      <w:u w:val="none"/>
    </w:rPr>
  </w:style>
  <w:style w:type="character" w:customStyle="1" w:styleId="300">
    <w:name w:val="附录标识 Char"/>
    <w:link w:val="65"/>
    <w:autoRedefine/>
    <w:qFormat/>
    <w:uiPriority w:val="0"/>
    <w:rPr>
      <w:sz w:val="21"/>
    </w:rPr>
  </w:style>
  <w:style w:type="character" w:customStyle="1" w:styleId="301">
    <w:name w:val="font31"/>
    <w:autoRedefine/>
    <w:qFormat/>
    <w:uiPriority w:val="0"/>
    <w:rPr>
      <w:rFonts w:hint="eastAsia" w:ascii="宋体" w:hAnsi="宋体" w:eastAsia="宋体" w:cs="宋体"/>
      <w:color w:val="000000"/>
      <w:sz w:val="22"/>
      <w:szCs w:val="22"/>
      <w:u w:val="none"/>
    </w:rPr>
  </w:style>
  <w:style w:type="paragraph" w:styleId="302">
    <w:name w:val="List Paragraph"/>
    <w:basedOn w:val="1"/>
    <w:autoRedefine/>
    <w:qFormat/>
    <w:uiPriority w:val="34"/>
    <w:pPr>
      <w:ind w:firstLine="420" w:firstLineChars="200"/>
    </w:pPr>
  </w:style>
  <w:style w:type="paragraph" w:customStyle="1" w:styleId="303">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character" w:customStyle="1" w:styleId="304">
    <w:name w:val="fontstyle01"/>
    <w:basedOn w:val="43"/>
    <w:autoRedefine/>
    <w:qFormat/>
    <w:uiPriority w:val="0"/>
    <w:rPr>
      <w:rFonts w:hint="eastAsia" w:ascii="宋体" w:hAnsi="宋体" w:eastAsia="宋体"/>
      <w:color w:val="000000"/>
      <w:sz w:val="24"/>
      <w:szCs w:val="24"/>
    </w:rPr>
  </w:style>
  <w:style w:type="character" w:customStyle="1" w:styleId="305">
    <w:name w:val="标题 1 Char"/>
    <w:basedOn w:val="43"/>
    <w:link w:val="2"/>
    <w:autoRedefine/>
    <w:qFormat/>
    <w:uiPriority w:val="0"/>
    <w:rPr>
      <w:rFonts w:ascii="Times New Roman" w:hAnsi="Times New Roman" w:eastAsia="黑体" w:cs="Times New Roman"/>
      <w:b/>
      <w:bCs/>
      <w:kern w:val="44"/>
      <w:sz w:val="28"/>
      <w:szCs w:val="44"/>
    </w:rPr>
  </w:style>
  <w:style w:type="character" w:customStyle="1" w:styleId="306">
    <w:name w:val="标题 2 Char"/>
    <w:basedOn w:val="43"/>
    <w:link w:val="3"/>
    <w:autoRedefine/>
    <w:qFormat/>
    <w:uiPriority w:val="0"/>
    <w:rPr>
      <w:rFonts w:ascii="Arial" w:hAnsi="Arial" w:eastAsia="黑体" w:cs="Times New Roman"/>
      <w:b/>
      <w:bCs/>
      <w:kern w:val="2"/>
      <w:sz w:val="24"/>
      <w:szCs w:val="32"/>
    </w:rPr>
  </w:style>
  <w:style w:type="character" w:customStyle="1" w:styleId="307">
    <w:name w:val="标题 3 Char"/>
    <w:basedOn w:val="43"/>
    <w:link w:val="4"/>
    <w:autoRedefine/>
    <w:qFormat/>
    <w:uiPriority w:val="0"/>
    <w:rPr>
      <w:rFonts w:ascii="Times New Roman" w:hAnsi="Times New Roman" w:eastAsia="黑体" w:cs="Times New Roman"/>
      <w:b/>
      <w:bCs/>
      <w:kern w:val="2"/>
      <w:sz w:val="21"/>
      <w:szCs w:val="32"/>
    </w:rPr>
  </w:style>
  <w:style w:type="character" w:customStyle="1" w:styleId="308">
    <w:name w:val="标题 Char"/>
    <w:link w:val="38"/>
    <w:autoRedefine/>
    <w:qFormat/>
    <w:uiPriority w:val="0"/>
    <w:rPr>
      <w:rFonts w:ascii="Arial" w:hAnsi="Arial" w:eastAsia="宋体" w:cs="Arial"/>
      <w:b/>
      <w:bCs/>
      <w:kern w:val="2"/>
      <w:sz w:val="32"/>
      <w:szCs w:val="32"/>
    </w:rPr>
  </w:style>
  <w:style w:type="character" w:customStyle="1" w:styleId="309">
    <w:name w:val="脚注文本 Char"/>
    <w:link w:val="32"/>
    <w:autoRedefine/>
    <w:qFormat/>
    <w:uiPriority w:val="0"/>
    <w:rPr>
      <w:rFonts w:ascii="Times New Roman" w:hAnsi="Times New Roman" w:eastAsia="宋体" w:cs="Times New Roman"/>
      <w:kern w:val="2"/>
      <w:sz w:val="18"/>
      <w:szCs w:val="18"/>
    </w:rPr>
  </w:style>
  <w:style w:type="character" w:customStyle="1" w:styleId="310">
    <w:name w:val="未处理的提及1"/>
    <w:autoRedefine/>
    <w:unhideWhenUsed/>
    <w:qFormat/>
    <w:uiPriority w:val="99"/>
    <w:rPr>
      <w:color w:val="605E5C"/>
      <w:shd w:val="clear" w:color="auto" w:fill="E1DFDD"/>
    </w:rPr>
  </w:style>
  <w:style w:type="character" w:customStyle="1" w:styleId="311">
    <w:name w:val="批注框文本 Char1"/>
    <w:basedOn w:val="43"/>
    <w:autoRedefine/>
    <w:semiHidden/>
    <w:qFormat/>
    <w:uiPriority w:val="99"/>
    <w:rPr>
      <w:rFonts w:ascii="Calibri" w:hAnsi="Calibri" w:eastAsia="宋体" w:cs="Times New Roman"/>
      <w:sz w:val="18"/>
      <w:szCs w:val="18"/>
    </w:rPr>
  </w:style>
  <w:style w:type="character" w:customStyle="1" w:styleId="312">
    <w:name w:val="脚注文本 Char1"/>
    <w:basedOn w:val="43"/>
    <w:autoRedefine/>
    <w:semiHidden/>
    <w:qFormat/>
    <w:uiPriority w:val="99"/>
    <w:rPr>
      <w:rFonts w:ascii="Calibri" w:hAnsi="Calibri" w:eastAsia="宋体" w:cs="Times New Roman"/>
      <w:sz w:val="18"/>
      <w:szCs w:val="18"/>
    </w:rPr>
  </w:style>
  <w:style w:type="character" w:customStyle="1" w:styleId="313">
    <w:name w:val="标题 Char1"/>
    <w:basedOn w:val="43"/>
    <w:autoRedefine/>
    <w:qFormat/>
    <w:uiPriority w:val="10"/>
    <w:rPr>
      <w:rFonts w:eastAsia="宋体" w:asciiTheme="majorHAnsi" w:hAnsiTheme="majorHAnsi" w:cstheme="majorBidi"/>
      <w:b/>
      <w:bCs/>
      <w:sz w:val="32"/>
      <w:szCs w:val="32"/>
    </w:rPr>
  </w:style>
  <w:style w:type="paragraph" w:customStyle="1" w:styleId="314">
    <w:name w:val="默认段落字体 Para Char Char Char Char Char Char Char Char Char Char"/>
    <w:basedOn w:val="1"/>
    <w:autoRedefine/>
    <w:qFormat/>
    <w:uiPriority w:val="0"/>
  </w:style>
  <w:style w:type="paragraph" w:customStyle="1" w:styleId="315">
    <w:name w:val="WPSOffice手动目录 1"/>
    <w:autoRedefine/>
    <w:qFormat/>
    <w:uiPriority w:val="0"/>
    <w:rPr>
      <w:rFonts w:ascii="Calibri" w:hAnsi="Calibri" w:eastAsia="宋体" w:cs="Times New Roman"/>
      <w:lang w:val="en-US" w:eastAsia="zh-CN" w:bidi="ar-SA"/>
    </w:rPr>
  </w:style>
  <w:style w:type="paragraph" w:customStyle="1" w:styleId="316">
    <w:name w:val="1"/>
    <w:basedOn w:val="1"/>
    <w:next w:val="22"/>
    <w:autoRedefine/>
    <w:qFormat/>
    <w:uiPriority w:val="0"/>
    <w:pPr>
      <w:adjustRightInd w:val="0"/>
      <w:spacing w:line="360" w:lineRule="auto"/>
      <w:ind w:firstLine="480" w:firstLineChars="200"/>
      <w:textAlignment w:val="baseline"/>
      <w:outlineLvl w:val="0"/>
    </w:pPr>
    <w:rPr>
      <w:kern w:val="0"/>
      <w:sz w:val="24"/>
      <w:szCs w:val="20"/>
    </w:rPr>
  </w:style>
  <w:style w:type="paragraph" w:customStyle="1" w:styleId="317">
    <w:name w:val="Char Char"/>
    <w:basedOn w:val="1"/>
    <w:autoRedefine/>
    <w:qFormat/>
    <w:uiPriority w:val="0"/>
  </w:style>
  <w:style w:type="paragraph" w:customStyle="1" w:styleId="318">
    <w:name w:val="WPSOffice手动目录 2"/>
    <w:autoRedefine/>
    <w:qFormat/>
    <w:uiPriority w:val="0"/>
    <w:pPr>
      <w:ind w:left="200" w:leftChars="200"/>
    </w:pPr>
    <w:rPr>
      <w:rFonts w:ascii="Calibri" w:hAnsi="Calibri" w:eastAsia="宋体" w:cs="Times New Roman"/>
      <w:lang w:val="en-US" w:eastAsia="zh-CN" w:bidi="ar-SA"/>
    </w:rPr>
  </w:style>
  <w:style w:type="table" w:customStyle="1" w:styleId="319">
    <w:name w:val="网格型1"/>
    <w:basedOn w:val="41"/>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0">
    <w:name w:val="Placeholder Text"/>
    <w:basedOn w:val="43"/>
    <w:autoRedefine/>
    <w:semiHidden/>
    <w:qFormat/>
    <w:uiPriority w:val="99"/>
    <w:rPr>
      <w:color w:val="808080"/>
    </w:rPr>
  </w:style>
  <w:style w:type="table" w:customStyle="1" w:styleId="321">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2">
    <w:name w:val="标题 21"/>
    <w:basedOn w:val="1"/>
    <w:autoRedefine/>
    <w:qFormat/>
    <w:uiPriority w:val="1"/>
    <w:pPr>
      <w:autoSpaceDE w:val="0"/>
      <w:autoSpaceDN w:val="0"/>
      <w:ind w:left="216"/>
      <w:jc w:val="left"/>
      <w:outlineLvl w:val="2"/>
    </w:pPr>
    <w:rPr>
      <w:rFonts w:eastAsia="Times New Roman"/>
      <w:kern w:val="0"/>
      <w:sz w:val="28"/>
      <w:szCs w:val="28"/>
      <w:lang w:eastAsia="en-US" w:bidi="en-US"/>
    </w:rPr>
  </w:style>
  <w:style w:type="character" w:customStyle="1" w:styleId="323">
    <w:name w:val="正文文本 2 Char"/>
    <w:basedOn w:val="43"/>
    <w:link w:val="35"/>
    <w:autoRedefine/>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EBE98-7628-4D87-B2CB-7F1AC5BD3960}">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12</Pages>
  <Words>7884</Words>
  <Characters>8438</Characters>
  <Lines>53</Lines>
  <Paragraphs>15</Paragraphs>
  <TotalTime>2</TotalTime>
  <ScaleCrop>false</ScaleCrop>
  <LinksUpToDate>false</LinksUpToDate>
  <CharactersWithSpaces>8493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Administrator</cp:lastModifiedBy>
  <cp:lastPrinted>2016-10-20T04:13:00Z</cp:lastPrinted>
  <dcterms:modified xsi:type="dcterms:W3CDTF">2024-09-20T07:21:04Z</dcterms:modified>
  <dc:title>标准名称</dc:title>
  <cp:revision>588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1AF6B1942E934CBA9084FA9CF9CCD4B5</vt:lpwstr>
  </property>
</Properties>
</file>