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冲击低温槽校准规范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冲击低温槽校准规范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预审稿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4-08</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预审稿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4-08</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79"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9"/>
                          <w:p>
                            <w:pPr>
                              <w:pStyle w:val="75"/>
                              <w:rPr>
                                <w:rFonts w:hAnsi="黑体" w:cs="黑体"/>
                                <w:szCs w:val="52"/>
                              </w:rPr>
                            </w:pPr>
                            <w:r>
                              <w:rPr>
                                <w:rFonts w:hint="eastAsia" w:hAnsi="黑体" w:cs="黑体"/>
                                <w:szCs w:val="52"/>
                              </w:rPr>
                              <w:t>冲击低温槽校准规范</w:t>
                            </w:r>
                          </w:p>
                          <w:p>
                            <w:pPr>
                              <w:jc w:val="center"/>
                              <w:rPr>
                                <w:rFonts w:ascii="黑体" w:hAnsi="黑体" w:eastAsia="黑体" w:cs="黑体"/>
                                <w:sz w:val="44"/>
                                <w:szCs w:val="44"/>
                              </w:rPr>
                            </w:pPr>
                            <w:r>
                              <w:rPr>
                                <w:rFonts w:hint="eastAsia" w:ascii="黑体" w:hAnsi="黑体" w:eastAsia="黑体" w:cs="黑体"/>
                                <w:sz w:val="44"/>
                                <w:szCs w:val="44"/>
                              </w:rPr>
                              <w:t xml:space="preserve"> (编制说明)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79"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9"/>
                    <w:p>
                      <w:pPr>
                        <w:pStyle w:val="75"/>
                        <w:rPr>
                          <w:rFonts w:hAnsi="黑体" w:cs="黑体"/>
                          <w:szCs w:val="52"/>
                        </w:rPr>
                      </w:pPr>
                      <w:r>
                        <w:rPr>
                          <w:rFonts w:hint="eastAsia" w:hAnsi="黑体" w:cs="黑体"/>
                          <w:szCs w:val="52"/>
                        </w:rPr>
                        <w:t>冲击低温槽校准规范</w:t>
                      </w:r>
                    </w:p>
                    <w:p>
                      <w:pPr>
                        <w:jc w:val="center"/>
                        <w:rPr>
                          <w:rFonts w:ascii="黑体" w:hAnsi="黑体" w:eastAsia="黑体" w:cs="黑体"/>
                          <w:sz w:val="44"/>
                          <w:szCs w:val="44"/>
                        </w:rPr>
                      </w:pPr>
                      <w:r>
                        <w:rPr>
                          <w:rFonts w:hint="eastAsia" w:ascii="黑体" w:hAnsi="黑体" w:eastAsia="黑体" w:cs="黑体"/>
                          <w:sz w:val="44"/>
                          <w:szCs w:val="44"/>
                        </w:rPr>
                        <w:t xml:space="preserve"> (编制说明)</w:t>
                      </w:r>
                    </w:p>
                  </w:txbxContent>
                </v:textbox>
                <w10:anchorlock/>
              </v:rect>
            </w:pict>
          </mc:Fallback>
        </mc:AlternateContent>
      </w:r>
      <w:bookmarkEnd w:id="0"/>
    </w:p>
    <w:p>
      <w:pPr>
        <w:pStyle w:val="72"/>
        <w:numPr>
          <w:ilvl w:val="0"/>
          <w:numId w:val="0"/>
        </w:numPr>
        <w:ind w:left="840" w:hanging="420"/>
        <w:jc w:val="center"/>
        <w:rPr>
          <w:b/>
        </w:rPr>
      </w:pPr>
    </w:p>
    <w:p>
      <w:pPr>
        <w:pStyle w:val="58"/>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ind w:firstLine="536"/>
      </w:pPr>
      <w:bookmarkStart w:id="2" w:name="_Toc464728891"/>
      <w:r>
        <w:rPr>
          <w:rFonts w:hint="eastAsia"/>
        </w:rPr>
        <w:t>工作简况</w:t>
      </w:r>
      <w:bookmarkEnd w:id="2"/>
    </w:p>
    <w:p>
      <w:pPr>
        <w:pStyle w:val="61"/>
        <w:ind w:firstLine="0" w:firstLineChars="0"/>
      </w:pPr>
      <w:bookmarkStart w:id="3" w:name="_Toc464728892"/>
      <w:bookmarkStart w:id="4" w:name="_Toc456592524"/>
      <w:r>
        <w:rPr>
          <w:rFonts w:hint="eastAsia"/>
        </w:rPr>
        <w:t>1.立项目的</w:t>
      </w:r>
      <w:bookmarkEnd w:id="3"/>
      <w:bookmarkEnd w:id="4"/>
    </w:p>
    <w:p>
      <w:pPr>
        <w:spacing w:line="300" w:lineRule="auto"/>
        <w:ind w:firstLine="420" w:firstLineChars="200"/>
      </w:pPr>
      <w:bookmarkStart w:id="5" w:name="_Toc464728896"/>
      <w:r>
        <w:t>冲击试验低温槽，是一种与</w:t>
      </w:r>
      <w:r>
        <w:fldChar w:fldCharType="begin"/>
      </w:r>
      <w:r>
        <w:instrText xml:space="preserve"> HYPERLINK "https://baike.baidu.com/item/%E5%86%B2%E5%87%BB%E8%AF%95%E9%AA%8C%E6%9C%BA/3468557?fromModule=lemma_inlink" \t "_blank" </w:instrText>
      </w:r>
      <w:r>
        <w:fldChar w:fldCharType="separate"/>
      </w:r>
      <w:r>
        <w:rPr>
          <w:rStyle w:val="51"/>
        </w:rPr>
        <w:t>冲击试验机</w:t>
      </w:r>
      <w:r>
        <w:rPr>
          <w:rStyle w:val="51"/>
        </w:rPr>
        <w:fldChar w:fldCharType="end"/>
      </w:r>
      <w:r>
        <w:t>配套为其试样提供低温环境的一种专用试验设备，广泛应用于石油化工、冶金、</w:t>
      </w:r>
      <w:r>
        <w:fldChar w:fldCharType="begin"/>
      </w:r>
      <w:r>
        <w:instrText xml:space="preserve"> HYPERLINK "https://baike.baidu.com/item/%E9%94%85%E7%82%89%E5%8E%8B%E5%8A%9B%E5%AE%B9%E5%99%A8/9347287?fromModule=lemma_inlink" \t "_blank" </w:instrText>
      </w:r>
      <w:r>
        <w:fldChar w:fldCharType="separate"/>
      </w:r>
      <w:r>
        <w:rPr>
          <w:rStyle w:val="51"/>
        </w:rPr>
        <w:t>锅炉压力容器</w:t>
      </w:r>
      <w:r>
        <w:rPr>
          <w:rStyle w:val="51"/>
        </w:rPr>
        <w:fldChar w:fldCharType="end"/>
      </w:r>
      <w:r>
        <w:t>、钢铁、钢管、五金、铸造、泵、阀门、紧固件、车船、机械制造、航空航天及科研等行业部门的低温理化试验。</w:t>
      </w:r>
      <w:r>
        <w:rPr>
          <w:szCs w:val="21"/>
        </w:rPr>
        <w:t>为了使</w:t>
      </w:r>
      <w:r>
        <w:t>冲击试验低温槽</w:t>
      </w:r>
      <w:r>
        <w:rPr>
          <w:szCs w:val="21"/>
        </w:rPr>
        <w:t>在测量过程中得到准确一致的测量结果，保证生产和科研工作的正常运行，建立一个能统一量值的</w:t>
      </w:r>
      <w:r>
        <w:t>冲击试验低温槽</w:t>
      </w:r>
      <w:r>
        <w:rPr>
          <w:szCs w:val="21"/>
        </w:rPr>
        <w:t>校准规范。目前，</w:t>
      </w:r>
      <w:r>
        <w:rPr>
          <w:rFonts w:hint="eastAsia"/>
          <w:szCs w:val="21"/>
        </w:rPr>
        <w:t>国内</w:t>
      </w:r>
      <w:r>
        <w:rPr>
          <w:szCs w:val="21"/>
        </w:rPr>
        <w:t>对</w:t>
      </w:r>
      <w:r>
        <w:t>冲击试验低温槽</w:t>
      </w:r>
      <w:r>
        <w:rPr>
          <w:szCs w:val="21"/>
        </w:rPr>
        <w:t>的校准工作尚未开展，所提出的校准规范未能开展对</w:t>
      </w:r>
      <w:r>
        <w:t>冲击试验低温槽</w:t>
      </w:r>
      <w:r>
        <w:rPr>
          <w:szCs w:val="21"/>
        </w:rPr>
        <w:t>温度参数校准等工作，促进</w:t>
      </w:r>
      <w:r>
        <w:t>冲击试验低温槽</w:t>
      </w:r>
      <w:r>
        <w:rPr>
          <w:szCs w:val="21"/>
        </w:rPr>
        <w:t>在科研院所及工业产品中更合理更准确的应用。确保量值传递的准确可靠。因此，制定《</w:t>
      </w:r>
      <w:r>
        <w:t>冲击试验低温槽</w:t>
      </w:r>
      <w:r>
        <w:rPr>
          <w:szCs w:val="21"/>
        </w:rPr>
        <w:t>试验箱校准规范》</w:t>
      </w:r>
      <w:r>
        <w:rPr>
          <w:rFonts w:hint="eastAsia"/>
          <w:szCs w:val="21"/>
        </w:rPr>
        <w:t>行业</w:t>
      </w:r>
      <w:r>
        <w:rPr>
          <w:szCs w:val="21"/>
        </w:rPr>
        <w:t>计量校准规范非常必要。</w:t>
      </w:r>
    </w:p>
    <w:p>
      <w:pPr>
        <w:pStyle w:val="61"/>
        <w:ind w:firstLine="0" w:firstLineChars="0"/>
      </w:pPr>
      <w:r>
        <w:rPr>
          <w:rFonts w:hint="eastAsia"/>
        </w:rPr>
        <w:t>2.任务来源</w:t>
      </w:r>
      <w:bookmarkEnd w:id="5"/>
    </w:p>
    <w:p>
      <w:pPr>
        <w:spacing w:line="300" w:lineRule="auto"/>
        <w:ind w:firstLine="420" w:firstLineChars="200"/>
        <w:contextualSpacing/>
        <w:jc w:val="left"/>
        <w:rPr>
          <w:color w:val="FF0000"/>
          <w:szCs w:val="21"/>
        </w:rPr>
      </w:pPr>
      <w:r>
        <w:rPr>
          <w:rFonts w:hint="eastAsia"/>
          <w:szCs w:val="21"/>
        </w:rPr>
        <w:t>为保证用于校准冲击试验低温槽的量值准确、可靠，适应我国有色金属行业的快速发展和满足国内外市场的需要，工业和信息化部以工信厅下达了《工业和信息化部办公厅关于印发2023年行业计量技术规范制修订计划的通知》</w:t>
      </w:r>
      <w:r>
        <w:rPr>
          <w:rFonts w:hint="eastAsia" w:hAnsi="宋体"/>
          <w:bCs/>
          <w:szCs w:val="21"/>
        </w:rPr>
        <w:t>（工信厅科函［</w:t>
      </w:r>
      <w:r>
        <w:rPr>
          <w:rFonts w:hAnsi="宋体"/>
          <w:bCs/>
          <w:szCs w:val="21"/>
        </w:rPr>
        <w:t>20</w:t>
      </w:r>
      <w:r>
        <w:rPr>
          <w:rFonts w:hint="eastAsia" w:hAnsi="宋体"/>
          <w:bCs/>
          <w:szCs w:val="21"/>
        </w:rPr>
        <w:t>23］476号）</w:t>
      </w:r>
      <w:r>
        <w:rPr>
          <w:rFonts w:hint="eastAsia"/>
          <w:szCs w:val="21"/>
        </w:rPr>
        <w:t>，其计划项目代号为：JJFZ(有色金属)016-2023，计划完成年限为2025年。</w:t>
      </w:r>
    </w:p>
    <w:p>
      <w:pPr>
        <w:pStyle w:val="61"/>
        <w:ind w:firstLine="0" w:firstLineChars="0"/>
      </w:pPr>
      <w:bookmarkStart w:id="6" w:name="_Toc462884342"/>
      <w:bookmarkStart w:id="7" w:name="_Toc464728898"/>
      <w:r>
        <w:rPr>
          <w:rFonts w:hint="eastAsia"/>
        </w:rPr>
        <w:t>3.项目编制组单位简况</w:t>
      </w:r>
      <w:bookmarkEnd w:id="6"/>
      <w:bookmarkEnd w:id="7"/>
      <w:r>
        <w:rPr>
          <w:rFonts w:hint="eastAsia"/>
        </w:rPr>
        <w:t xml:space="preserve">      </w:t>
      </w:r>
    </w:p>
    <w:p>
      <w:pPr>
        <w:pStyle w:val="60"/>
        <w:ind w:firstLine="0" w:firstLineChars="0"/>
      </w:pPr>
      <w:bookmarkStart w:id="8" w:name="_Toc464728899"/>
      <w:bookmarkStart w:id="9" w:name="_Toc462884343"/>
      <w:r>
        <w:rPr>
          <w:rFonts w:hint="eastAsia"/>
        </w:rPr>
        <w:t>3.1编制组成员单位</w:t>
      </w:r>
    </w:p>
    <w:p>
      <w:pPr>
        <w:widowControl/>
        <w:autoSpaceDE w:val="0"/>
        <w:autoSpaceDN w:val="0"/>
        <w:spacing w:line="360" w:lineRule="auto"/>
        <w:ind w:firstLine="420" w:firstLineChars="200"/>
        <w:rPr>
          <w:szCs w:val="21"/>
        </w:rPr>
      </w:pPr>
      <w:r>
        <w:rPr>
          <w:rFonts w:hint="eastAsia"/>
          <w:szCs w:val="21"/>
        </w:rPr>
        <w:t>本规范的编制组单位为：西安汉唐分析检测有限公司、中国石油集团工程材料研究院有限公司、中国船舶集团有限公司第七二五研究所、西安摩尔石油工程实验室股份有限公司、广东省阳江市质量计量监督检测所</w:t>
      </w:r>
      <w:r>
        <w:rPr>
          <w:rFonts w:hint="eastAsia"/>
          <w:bCs/>
          <w:szCs w:val="21"/>
        </w:rPr>
        <w:t>。</w:t>
      </w:r>
    </w:p>
    <w:p>
      <w:pPr>
        <w:pStyle w:val="58"/>
        <w:ind w:firstLine="0" w:firstLineChars="0"/>
      </w:pPr>
      <w:r>
        <w:rPr>
          <w:rFonts w:hint="eastAsia"/>
        </w:rPr>
        <w:t>3.2主编单位简介</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本单位积极组织编制组各次工作会议，开展相关的校准，有效组织参编单位多次对规范进行认真的讨论和审议，提出大量有益的意见和建议，在编制组中发挥了牵头作用。</w:t>
      </w:r>
    </w:p>
    <w:p>
      <w:pPr>
        <w:pStyle w:val="60"/>
        <w:ind w:firstLine="0" w:firstLineChars="0"/>
      </w:pPr>
      <w:r>
        <w:rPr>
          <w:rFonts w:hint="eastAsia"/>
        </w:rPr>
        <w:t>3.3成员单位</w:t>
      </w:r>
      <w:bookmarkEnd w:id="8"/>
      <w:bookmarkEnd w:id="9"/>
      <w:r>
        <w:rPr>
          <w:rFonts w:hint="eastAsia"/>
        </w:rPr>
        <w:t>简介</w:t>
      </w:r>
    </w:p>
    <w:p>
      <w:pPr>
        <w:pStyle w:val="59"/>
        <w:ind w:firstLine="0" w:firstLineChars="0"/>
      </w:pPr>
      <w:bookmarkStart w:id="10" w:name="_Toc462884344"/>
      <w:bookmarkStart w:id="11" w:name="_Toc464728900"/>
      <w:r>
        <w:rPr>
          <w:rFonts w:hint="eastAsia"/>
        </w:rPr>
        <w:t xml:space="preserve">3.3.1 </w:t>
      </w:r>
      <w:r>
        <w:t>中国</w:t>
      </w:r>
      <w:r>
        <w:rPr>
          <w:rFonts w:hint="eastAsia"/>
        </w:rPr>
        <w:t>石油集团工程材料研究院有限公司</w:t>
      </w:r>
    </w:p>
    <w:p>
      <w:pPr>
        <w:spacing w:line="360" w:lineRule="auto"/>
        <w:ind w:firstLine="420" w:firstLineChars="200"/>
        <w:contextualSpacing/>
        <w:jc w:val="left"/>
        <w:rPr>
          <w:szCs w:val="21"/>
        </w:rPr>
      </w:pPr>
      <w:r>
        <w:rPr>
          <w:szCs w:val="21"/>
        </w:rPr>
        <w:t>中国石油集团工程材料研究院有限公司组建于1981年，坐落于古城西安高新技术开发区，是中国石油集团（CNPC）直属科研机构，也是国内石油行业在石油管工程技术领域唯一集“科学研究、质量监督、工程技术服务”为一体的综合性技术中心与核心科研机构，是为中国石油集团石油管工程技术提供决策支持的“参谋部”，开展石油管工程技术创新的“研发中心”，保障石油管质量安全的“检测评价中心”，为重大管道工程和油气田勘探开发项目提供石油管技术支持与服务的“技术中心”。</w:t>
      </w:r>
    </w:p>
    <w:p>
      <w:pPr>
        <w:spacing w:line="360" w:lineRule="auto"/>
        <w:ind w:firstLine="420" w:firstLineChars="200"/>
        <w:contextualSpacing/>
        <w:jc w:val="left"/>
        <w:rPr>
          <w:rFonts w:hint="eastAsia"/>
          <w:szCs w:val="21"/>
        </w:rPr>
      </w:pPr>
      <w:r>
        <w:rPr>
          <w:szCs w:val="21"/>
        </w:rPr>
        <w:t>工程材料研究院有限公司秉承着“创新、致远、严谨、公正”的理念，致力于科技创新。建院四十年来完成国家和省部级科研项目400余项，其中获国家级科技奖励16项，省部级科技奖励150余项（次），专利授权656项（其中发明专利333项），发表论文2900余篇，注册软件95套，制修订国际、国家、行业、企业标准400余项（其中国际标准6项，国家标准40项），参与制修订ISO、API等标准多项。完成质量监督项目近10000余项，失效分析项目1500余项，为西气东输管线、陕京管线、中亚管线等国家重大管道项目建设及塔里木、长庆、新疆、西南等重点油气田勘探开发提供了重要的技术保障。、</w:t>
      </w:r>
    </w:p>
    <w:p>
      <w:pPr>
        <w:pStyle w:val="66"/>
      </w:pPr>
      <w:r>
        <w:rPr>
          <w:rFonts w:hint="eastAsia"/>
          <w:color w:val="000000" w:themeColor="text1"/>
          <w14:textFill>
            <w14:solidFill>
              <w14:schemeClr w14:val="tx1"/>
            </w14:solidFill>
          </w14:textFill>
        </w:rPr>
        <w:t>该单位积极参与编制组的各项工作会议，对规范引用文件提出了有效</w:t>
      </w:r>
      <w:r>
        <w:rPr>
          <w:rFonts w:hint="eastAsia"/>
        </w:rPr>
        <w:t>建议，建议将引用文件中内容“JJF1030-2010”删除，在编制组中发挥了主要作用。</w:t>
      </w:r>
    </w:p>
    <w:p>
      <w:pPr>
        <w:pStyle w:val="59"/>
        <w:ind w:firstLine="0" w:firstLineChars="0"/>
      </w:pPr>
      <w:r>
        <w:rPr>
          <w:rFonts w:hint="eastAsia"/>
        </w:rPr>
        <w:t>3.2.2中国船舶集团有限公司第七二五研究院</w:t>
      </w:r>
    </w:p>
    <w:p>
      <w:pPr>
        <w:pStyle w:val="66"/>
        <w:rPr>
          <w:rFonts w:hint="eastAsia"/>
        </w:rPr>
      </w:pPr>
      <w:r>
        <w:rPr>
          <w:rFonts w:hint="eastAsia"/>
        </w:rPr>
        <w:t>中国船舶集团有限公司第七二五研究所(以下简称“七二五所”)成立于1961年，隶属中国船舶集团有限公司，专业从事舰船材料与工艺及应用性研究。七二五所(事业单位)开办资金5307万元，(企业营业执照)注册资金81599万元。科研方面：涉及船体结构材料、有色金属材料、非金属材料、腐蚀与防护技术、特种材料、焊接工艺、自然环境试验等多个重点领域。目前,七二五所拥有海洋腐蚀与防护国防科技重点实验室等8个国家级创新平台、4个海洋环境试验站、4个国家级检测认证中心、25个省部级及6个市级创新平台;并拥有材料学和材料加工工程硕士学位授权点、材料学博士学位授权点和博士后工作站。</w:t>
      </w:r>
    </w:p>
    <w:p>
      <w:pPr>
        <w:pStyle w:val="66"/>
      </w:pPr>
      <w:r>
        <w:rPr>
          <w:rFonts w:hint="eastAsia"/>
        </w:rPr>
        <w:t>该单位积极参加编制工作，开展相关的验证试验，提供修改意见。</w:t>
      </w:r>
    </w:p>
    <w:p>
      <w:pPr>
        <w:pStyle w:val="59"/>
        <w:ind w:firstLine="0" w:firstLineChars="0"/>
      </w:pPr>
      <w:r>
        <w:rPr>
          <w:rFonts w:hint="eastAsia"/>
        </w:rPr>
        <w:t>3.2.3西安摩尔石油工程实验室股份有限公司</w:t>
      </w:r>
    </w:p>
    <w:p>
      <w:pPr>
        <w:spacing w:line="360" w:lineRule="auto"/>
        <w:ind w:firstLine="420" w:firstLineChars="200"/>
        <w:contextualSpacing/>
        <w:jc w:val="left"/>
        <w:rPr>
          <w:szCs w:val="21"/>
        </w:rPr>
      </w:pPr>
      <w:r>
        <w:rPr>
          <w:rFonts w:hint="eastAsia"/>
          <w:szCs w:val="21"/>
        </w:rPr>
        <w:t>西安摩尔石油工程实验室股份有限公司成立于2005年，地处西安市高新技术开发区，是提供材料与产品应用研究、试验分析、检验检测及技术服务的专业机构。</w:t>
      </w:r>
    </w:p>
    <w:p>
      <w:pPr>
        <w:spacing w:line="360" w:lineRule="auto"/>
        <w:ind w:firstLine="420" w:firstLineChars="200"/>
        <w:contextualSpacing/>
        <w:jc w:val="left"/>
        <w:rPr>
          <w:rFonts w:hint="eastAsia"/>
          <w:szCs w:val="21"/>
        </w:rPr>
      </w:pPr>
      <w:r>
        <w:rPr>
          <w:rFonts w:hint="eastAsia"/>
          <w:szCs w:val="21"/>
        </w:rPr>
        <w:t>主要业务包括工程材料腐蚀与防护研究、力学分析与管柱设计、失效分析与预防、材料理化性能检验试验、腐蚀试验、磨损试验、冲蚀试验、防腐层评价、石油天然气行业设备监理、无损检测、阴极保护、腐蚀监测等。</w:t>
      </w:r>
    </w:p>
    <w:p>
      <w:pPr>
        <w:pStyle w:val="66"/>
      </w:pPr>
      <w:r>
        <w:rPr>
          <w:rFonts w:hint="eastAsia"/>
          <w:color w:val="000000" w:themeColor="text1"/>
          <w14:textFill>
            <w14:solidFill>
              <w14:schemeClr w14:val="tx1"/>
            </w14:solidFill>
          </w14:textFill>
        </w:rPr>
        <w:t>该单位积极参与编制组的各项工作会议，对规范表3中校准项目提出了有效</w:t>
      </w:r>
      <w:r>
        <w:rPr>
          <w:rFonts w:hint="eastAsia"/>
        </w:rPr>
        <w:t>建议，建议将文中表3内容中“外观及通用要求”取掉，在编制组中发挥了主要作用。</w:t>
      </w:r>
    </w:p>
    <w:p>
      <w:pPr>
        <w:pStyle w:val="59"/>
        <w:ind w:firstLine="0" w:firstLineChars="0"/>
      </w:pPr>
      <w:r>
        <w:rPr>
          <w:rFonts w:hint="eastAsia"/>
        </w:rPr>
        <w:t>3.2.4广东省阳江市质量计量监督检测所</w:t>
      </w:r>
    </w:p>
    <w:p>
      <w:pPr>
        <w:spacing w:line="360" w:lineRule="auto"/>
        <w:ind w:firstLine="420" w:firstLineChars="200"/>
        <w:contextualSpacing/>
        <w:jc w:val="left"/>
        <w:rPr>
          <w:szCs w:val="21"/>
        </w:rPr>
      </w:pPr>
      <w:r>
        <w:rPr>
          <w:rFonts w:hint="eastAsia"/>
          <w:szCs w:val="21"/>
        </w:rPr>
        <w:t>广东省阳江市质量计量监督检测所于2003年8月以粤机编办[2003]191号文件为依据在原广东省阳江市产品质量监督检验所和广东省阳江市计量测试所的基础上合并成立，2015年后属原省质监局直属地市级质检及计量技术机构。</w:t>
      </w:r>
    </w:p>
    <w:p>
      <w:pPr>
        <w:spacing w:line="360" w:lineRule="auto"/>
        <w:ind w:firstLine="420" w:firstLineChars="200"/>
        <w:contextualSpacing/>
        <w:jc w:val="left"/>
        <w:rPr>
          <w:rFonts w:hint="eastAsia"/>
          <w:szCs w:val="21"/>
        </w:rPr>
      </w:pPr>
      <w:r>
        <w:rPr>
          <w:rFonts w:hint="eastAsia"/>
          <w:szCs w:val="21"/>
        </w:rPr>
        <w:t>广东省阳江市质量计量监督检测所的主要任务是受上级主管部门委托，对本行政区域的产品（含食品相关产品）质量进行监督抽查检验、合格率调查、风险监测等；承担产品质量仲裁检验和委托检验，指导企业建立健全检验制度，统一检验方法，完善检测手段；受有关部门委托承担新产品投产鉴定检验和优质产品评选检验、采标验收检验以及质量认证检验等；承担其他检验工作；主导或参与产品标准的制订、修订和宣传贯彻工作；承担本行政区域内最高计量标准和社会公用计量标准研究、建立、保存工作；开展量值传递；执行计量检定规程，依法执行强制检定；提供计量检定、校准、测试服务；受上级主管部门委托，承担计量检定人员培训工作。</w:t>
      </w:r>
    </w:p>
    <w:p>
      <w:pPr>
        <w:pStyle w:val="66"/>
        <w:rPr>
          <w:rFonts w:hint="eastAsia"/>
        </w:rPr>
      </w:pPr>
      <w:r>
        <w:rPr>
          <w:rFonts w:hint="eastAsia"/>
          <w:color w:val="000000" w:themeColor="text1"/>
          <w14:textFill>
            <w14:solidFill>
              <w14:schemeClr w14:val="tx1"/>
            </w14:solidFill>
          </w14:textFill>
        </w:rPr>
        <w:t>该单位积极参与编制组的各项工作会议，对规范表2中温度传感器技术要求提出了有效</w:t>
      </w:r>
      <w:r>
        <w:rPr>
          <w:rFonts w:hint="eastAsia"/>
        </w:rPr>
        <w:t>建议，建议将文中表2内容中“</w:t>
      </w:r>
      <w:r>
        <w:rPr>
          <w:rFonts w:hint="eastAsia"/>
          <w:color w:val="000000" w:themeColor="text1"/>
          <w14:textFill>
            <w14:solidFill>
              <w14:schemeClr w14:val="tx1"/>
            </w14:solidFill>
          </w14:textFill>
        </w:rPr>
        <w:t>温度传感器技术要求A级</w:t>
      </w:r>
      <w:r>
        <w:rPr>
          <w:rFonts w:hint="eastAsia"/>
        </w:rPr>
        <w:t xml:space="preserve">”改为“MPE：±（0.15℃ +0.002 </w:t>
      </w:r>
      <w:r>
        <w:rPr>
          <w:rFonts w:hint="eastAsia" w:eastAsiaTheme="minorEastAsia"/>
          <w:sz w:val="24"/>
        </w:rPr>
        <w:t>|</w:t>
      </w:r>
      <w:r>
        <w:rPr>
          <w:rFonts w:eastAsiaTheme="minorEastAsia"/>
          <w:i/>
          <w:sz w:val="24"/>
        </w:rPr>
        <w:t>t</w:t>
      </w:r>
      <w:r>
        <w:rPr>
          <w:rFonts w:hint="eastAsia" w:eastAsiaTheme="minorEastAsia"/>
          <w:sz w:val="24"/>
        </w:rPr>
        <w:t>|</w:t>
      </w:r>
      <w:r>
        <w:rPr>
          <w:rFonts w:hint="eastAsia"/>
        </w:rPr>
        <w:t>）”，在编制组中发挥了主要作用。</w:t>
      </w:r>
    </w:p>
    <w:p>
      <w:pPr>
        <w:pStyle w:val="59"/>
        <w:ind w:firstLine="0" w:firstLineChars="0"/>
      </w:pPr>
      <w:r>
        <w:rPr>
          <w:rFonts w:hint="eastAsia"/>
        </w:rPr>
        <w:t>3.2.5</w:t>
      </w:r>
      <w:r>
        <w:rPr>
          <w:rFonts w:hint="eastAsia" w:ascii="Times New Roman" w:hAnsi="Times New Roman"/>
          <w:kern w:val="2"/>
        </w:rPr>
        <w:t>西南铝业（集团）有限责任公司</w:t>
      </w:r>
    </w:p>
    <w:p>
      <w:pPr>
        <w:pStyle w:val="37"/>
        <w:spacing w:before="0" w:beforeAutospacing="0" w:after="0" w:afterAutospacing="0" w:line="360" w:lineRule="auto"/>
        <w:ind w:firstLine="482"/>
        <w:jc w:val="both"/>
        <w:rPr>
          <w:rFonts w:hint="eastAsia" w:ascii="Times New Roman" w:hAnsi="Times New Roman" w:cs="Times New Roman"/>
          <w:kern w:val="2"/>
          <w:sz w:val="21"/>
          <w:szCs w:val="21"/>
        </w:rPr>
      </w:pPr>
      <w:r>
        <w:rPr>
          <w:rFonts w:hint="eastAsia" w:ascii="Times New Roman" w:hAnsi="Times New Roman" w:cs="Times New Roman"/>
          <w:kern w:val="2"/>
          <w:sz w:val="21"/>
          <w:szCs w:val="21"/>
        </w:rPr>
        <w:t>西南铝业（集团）有限责任公司（简称西南铝）是中铝集团、中铝高端核心铝加工企业，其前身是西南铝加工厂。经过近60年的发展，已成为我国综合实力最强的特大型铝加工企业之一，是我国航空航天和重点工程材料研发保障、高精尖铝材研发生产和出口的核心基地，正朝着制造业高端化、智能化、绿色化方向高质量发展！西南铝荟萃了中国现代铝加工技术装备的精华，装备有以 3 万吨模锻压机为代表的“四大国宝”，以及高精铝及铝合金板带材热连轧生产线、冷连轧生产线、铝合金厚板生产线，形成了航空航天、重点工程、交通运输、金属包装、电子信息、通用工程用铝材等 6 大系列支柱产品。</w:t>
      </w:r>
    </w:p>
    <w:p>
      <w:pPr>
        <w:pStyle w:val="66"/>
        <w:rPr>
          <w:rFonts w:hint="eastAsia"/>
        </w:rPr>
      </w:pPr>
      <w:r>
        <w:rPr>
          <w:rFonts w:hint="eastAsia"/>
        </w:rPr>
        <w:t>该单位积极参与编制组的各项工作会议，对规范中温度波动度、温度均匀性计量特性提出了有效建议，建议将表1中“均匀度</w:t>
      </w:r>
      <w:r>
        <w:rPr>
          <w:rFonts w:hint="eastAsia" w:ascii="宋体" w:hAnsi="宋体" w:cs="宋体"/>
        </w:rPr>
        <w:t>±</w:t>
      </w:r>
      <w:r>
        <w:rPr>
          <w:rFonts w:hint="eastAsia"/>
        </w:rPr>
        <w:t>1</w:t>
      </w:r>
      <w:r>
        <w:rPr>
          <w:rFonts w:hint="eastAsia" w:ascii="宋体" w:hAnsi="宋体" w:cs="宋体"/>
        </w:rPr>
        <w:t>℃</w:t>
      </w:r>
      <w:r>
        <w:rPr>
          <w:rFonts w:hint="eastAsia"/>
        </w:rPr>
        <w:t>”改为“1</w:t>
      </w:r>
      <w:r>
        <w:rPr>
          <w:rFonts w:hint="eastAsia" w:ascii="宋体" w:hAnsi="宋体" w:cs="宋体"/>
        </w:rPr>
        <w:t>℃</w:t>
      </w:r>
      <w:r>
        <w:rPr>
          <w:rFonts w:hint="eastAsia"/>
        </w:rPr>
        <w:t>”,将“温度波动度</w:t>
      </w:r>
      <w:r>
        <w:t>±</w:t>
      </w:r>
      <w:r>
        <w:rPr>
          <w:rFonts w:hint="eastAsia"/>
        </w:rPr>
        <w:t>0.5℃”改为“0.5℃”在编制组中发挥了主要作用。该单位开展相关的验证试验。</w:t>
      </w:r>
    </w:p>
    <w:p>
      <w:pPr>
        <w:pStyle w:val="60"/>
        <w:ind w:firstLine="0" w:firstLineChars="0"/>
      </w:pPr>
      <w:r>
        <w:rPr>
          <w:rFonts w:hint="eastAsia"/>
        </w:rPr>
        <w:t>3.4各单位分工情况</w:t>
      </w:r>
    </w:p>
    <w:p>
      <w:pPr>
        <w:widowControl/>
        <w:autoSpaceDE w:val="0"/>
        <w:autoSpaceDN w:val="0"/>
        <w:spacing w:line="360" w:lineRule="auto"/>
        <w:rPr>
          <w:szCs w:val="21"/>
        </w:rPr>
      </w:pPr>
      <w:r>
        <w:rPr>
          <w:rFonts w:hint="eastAsia" w:cs="宋体"/>
        </w:rPr>
        <w:t>3</w:t>
      </w:r>
      <w:r>
        <w:rPr>
          <w:rFonts w:hint="eastAsia"/>
          <w:bCs/>
        </w:rPr>
        <w:t>.4.1 编制组依据各单位情况，对整个规范的起草进行了分工。西安汉唐分析检测有限公司</w:t>
      </w:r>
      <w:r>
        <w:rPr>
          <w:bCs/>
        </w:rPr>
        <w:t>负责</w:t>
      </w:r>
      <w:r>
        <w:rPr>
          <w:rFonts w:hint="eastAsia"/>
          <w:bCs/>
        </w:rPr>
        <w:t>资料的调研、</w:t>
      </w:r>
      <w:r>
        <w:rPr>
          <w:bCs/>
        </w:rPr>
        <w:t>收集，完成分析方法研究工作，撰写标准文稿、编制说明和研究报告</w:t>
      </w:r>
      <w:r>
        <w:rPr>
          <w:rFonts w:hint="eastAsia"/>
          <w:bCs/>
        </w:rPr>
        <w:t>。有色金属技术经济研究院有限责任公司、西安汉唐分析检测有限公司、</w:t>
      </w:r>
      <w:r>
        <w:rPr>
          <w:rFonts w:hint="eastAsia"/>
          <w:szCs w:val="21"/>
        </w:rPr>
        <w:t>中国石油集团工程材料研究院有限公司、中国船舶集团有限公司第七二五研究所、西安摩尔石油工程实验室股份有限公司、广东省阳江市质量计量监督检测所，西南铝业(集团)有限责任公司</w:t>
      </w:r>
      <w:r>
        <w:rPr>
          <w:rFonts w:hint="eastAsia"/>
          <w:bCs/>
          <w:szCs w:val="21"/>
        </w:rPr>
        <w:t>。</w:t>
      </w:r>
      <w:r>
        <w:rPr>
          <w:rFonts w:hint="eastAsia"/>
          <w:bCs/>
        </w:rPr>
        <w:t>对规范内容提出具体修改意见，</w:t>
      </w:r>
      <w:r>
        <w:rPr>
          <w:bCs/>
        </w:rPr>
        <w:t>提供</w:t>
      </w:r>
      <w:r>
        <w:rPr>
          <w:rFonts w:hint="eastAsia"/>
          <w:bCs/>
        </w:rPr>
        <w:t>对规范方法的验证工作及完成相应验证报告</w:t>
      </w:r>
      <w:r>
        <w:rPr>
          <w:bCs/>
        </w:rPr>
        <w:t>，并对标准文稿等提出相应修改意见</w:t>
      </w:r>
      <w:r>
        <w:rPr>
          <w:rFonts w:hint="eastAsia"/>
          <w:bCs/>
        </w:rPr>
        <w:t>，分工见表1。</w:t>
      </w:r>
    </w:p>
    <w:p>
      <w:pPr>
        <w:pStyle w:val="66"/>
      </w:pPr>
      <w:r>
        <w:rPr>
          <w:rFonts w:hint="eastAsia"/>
        </w:rPr>
        <w:t xml:space="preserve">表1 </w:t>
      </w:r>
      <w:r>
        <w:t>各单位分工表</w:t>
      </w:r>
    </w:p>
    <w:tbl>
      <w:tblPr>
        <w:tblStyle w:val="42"/>
        <w:tblpPr w:leftFromText="180" w:rightFromText="180" w:vertAnchor="text" w:horzAnchor="page" w:tblpXSpec="center" w:tblpY="245"/>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947"/>
        <w:gridCol w:w="1037"/>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jc w:val="center"/>
              <w:rPr>
                <w:szCs w:val="21"/>
              </w:rPr>
            </w:pPr>
            <w:r>
              <w:rPr>
                <w:rFonts w:hint="eastAsia"/>
                <w:szCs w:val="21"/>
              </w:rPr>
              <w:t>单位</w:t>
            </w:r>
          </w:p>
        </w:tc>
        <w:tc>
          <w:tcPr>
            <w:tcW w:w="514" w:type="pct"/>
          </w:tcPr>
          <w:p>
            <w:pPr>
              <w:jc w:val="center"/>
              <w:rPr>
                <w:szCs w:val="21"/>
              </w:rPr>
            </w:pPr>
            <w:r>
              <w:rPr>
                <w:rFonts w:hint="eastAsia"/>
                <w:szCs w:val="21"/>
              </w:rPr>
              <w:t>人员</w:t>
            </w:r>
          </w:p>
        </w:tc>
        <w:tc>
          <w:tcPr>
            <w:tcW w:w="563" w:type="pct"/>
          </w:tcPr>
          <w:p>
            <w:pPr>
              <w:jc w:val="center"/>
              <w:rPr>
                <w:szCs w:val="21"/>
              </w:rPr>
            </w:pPr>
            <w:r>
              <w:rPr>
                <w:rFonts w:hint="eastAsia"/>
                <w:szCs w:val="21"/>
              </w:rPr>
              <w:t>职称</w:t>
            </w:r>
          </w:p>
        </w:tc>
        <w:tc>
          <w:tcPr>
            <w:tcW w:w="3018" w:type="pct"/>
          </w:tcPr>
          <w:p>
            <w:pPr>
              <w:jc w:val="center"/>
              <w:rPr>
                <w:szCs w:val="21"/>
              </w:rPr>
            </w:pPr>
            <w:r>
              <w:rPr>
                <w:rFonts w:hint="eastAsia"/>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jc w:val="center"/>
              <w:rPr>
                <w:szCs w:val="21"/>
              </w:rPr>
            </w:pPr>
            <w:r>
              <w:rPr>
                <w:rFonts w:hint="eastAsia"/>
                <w:szCs w:val="21"/>
              </w:rPr>
              <w:t>西安汉唐分析检测有限公司</w:t>
            </w:r>
          </w:p>
        </w:tc>
        <w:tc>
          <w:tcPr>
            <w:tcW w:w="514" w:type="pct"/>
          </w:tcPr>
          <w:p>
            <w:pPr>
              <w:jc w:val="center"/>
              <w:rPr>
                <w:szCs w:val="21"/>
              </w:rPr>
            </w:pPr>
            <w:r>
              <w:rPr>
                <w:rFonts w:hint="eastAsia"/>
                <w:szCs w:val="21"/>
              </w:rPr>
              <w:t>张曙香</w:t>
            </w:r>
          </w:p>
        </w:tc>
        <w:tc>
          <w:tcPr>
            <w:tcW w:w="563" w:type="pct"/>
          </w:tcPr>
          <w:p>
            <w:pPr>
              <w:jc w:val="center"/>
              <w:rPr>
                <w:szCs w:val="21"/>
              </w:rPr>
            </w:pPr>
            <w:r>
              <w:rPr>
                <w:rFonts w:hint="eastAsia" w:ascii="宋体" w:hAnsi="宋体" w:cs="宋体"/>
                <w:szCs w:val="21"/>
              </w:rPr>
              <w:t>副主任</w:t>
            </w:r>
          </w:p>
        </w:tc>
        <w:tc>
          <w:tcPr>
            <w:tcW w:w="3018" w:type="pct"/>
          </w:tcPr>
          <w:p>
            <w:pPr>
              <w:jc w:val="center"/>
              <w:rPr>
                <w:szCs w:val="21"/>
              </w:rPr>
            </w:pPr>
            <w:r>
              <w:rPr>
                <w:rFonts w:hint="eastAsia"/>
                <w:szCs w:val="21"/>
              </w:rPr>
              <w:t>规范起草编制，试验方案编订，实验数据分析，编制说明的撰写工作，会议纪要整理及规范的完善。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jc w:val="center"/>
              <w:rPr>
                <w:szCs w:val="21"/>
                <w:highlight w:val="yellow"/>
              </w:rPr>
            </w:pPr>
            <w:r>
              <w:rPr>
                <w:rFonts w:hint="eastAsia"/>
                <w:bCs/>
              </w:rPr>
              <w:t>中国石油集团工程材料研究院有限公司</w:t>
            </w:r>
          </w:p>
        </w:tc>
        <w:tc>
          <w:tcPr>
            <w:tcW w:w="514" w:type="pct"/>
          </w:tcPr>
          <w:p>
            <w:pPr>
              <w:jc w:val="center"/>
              <w:rPr>
                <w:szCs w:val="21"/>
              </w:rPr>
            </w:pPr>
            <w:r>
              <w:rPr>
                <w:rFonts w:hint="eastAsia"/>
                <w:szCs w:val="21"/>
              </w:rPr>
              <w:t>/</w:t>
            </w:r>
          </w:p>
          <w:p>
            <w:pPr>
              <w:jc w:val="center"/>
              <w:rPr>
                <w:szCs w:val="21"/>
              </w:rPr>
            </w:pPr>
            <w:r>
              <w:rPr>
                <w:rFonts w:hint="eastAsia"/>
                <w:szCs w:val="21"/>
              </w:rPr>
              <w:t>/</w:t>
            </w:r>
          </w:p>
        </w:tc>
        <w:tc>
          <w:tcPr>
            <w:tcW w:w="563" w:type="pct"/>
          </w:tcPr>
          <w:p>
            <w:pPr>
              <w:rPr>
                <w:szCs w:val="21"/>
              </w:rPr>
            </w:pPr>
            <w:r>
              <w:rPr>
                <w:rFonts w:hint="eastAsia"/>
                <w:szCs w:val="21"/>
              </w:rPr>
              <w:t>/</w:t>
            </w:r>
          </w:p>
        </w:tc>
        <w:tc>
          <w:tcPr>
            <w:tcW w:w="3018" w:type="pct"/>
          </w:tcPr>
          <w:p>
            <w:pPr>
              <w:jc w:val="center"/>
              <w:rPr>
                <w:szCs w:val="21"/>
                <w:highlight w:val="yellow"/>
              </w:rPr>
            </w:pPr>
            <w:r>
              <w:rPr>
                <w:rFonts w:hint="eastAsia"/>
                <w:szCs w:val="21"/>
              </w:rPr>
              <w:t>规范实验数据分析及讨论，内容审阅并提出修改意见，会议纪要整理。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jc w:val="center"/>
              <w:rPr>
                <w:rFonts w:ascii="宋体" w:hAnsi="宋体" w:cs="宋体"/>
                <w:szCs w:val="21"/>
              </w:rPr>
            </w:pPr>
            <w:r>
              <w:rPr>
                <w:rFonts w:hint="eastAsia"/>
                <w:szCs w:val="21"/>
              </w:rPr>
              <w:t>中国船舶集团有限公司第七二五研究所</w:t>
            </w:r>
          </w:p>
        </w:tc>
        <w:tc>
          <w:tcPr>
            <w:tcW w:w="514" w:type="pct"/>
          </w:tcPr>
          <w:p>
            <w:pPr>
              <w:jc w:val="center"/>
              <w:rPr>
                <w:szCs w:val="21"/>
              </w:rPr>
            </w:pPr>
            <w:r>
              <w:rPr>
                <w:rFonts w:hint="eastAsia"/>
                <w:szCs w:val="21"/>
              </w:rPr>
              <w:t>/</w:t>
            </w:r>
          </w:p>
        </w:tc>
        <w:tc>
          <w:tcPr>
            <w:tcW w:w="563" w:type="pct"/>
          </w:tcPr>
          <w:p>
            <w:pPr>
              <w:jc w:val="center"/>
              <w:rPr>
                <w:szCs w:val="21"/>
              </w:rPr>
            </w:pPr>
            <w:r>
              <w:rPr>
                <w:rFonts w:hint="eastAsia"/>
                <w:szCs w:val="21"/>
              </w:rPr>
              <w:t>/</w:t>
            </w:r>
          </w:p>
        </w:tc>
        <w:tc>
          <w:tcPr>
            <w:tcW w:w="3018" w:type="pct"/>
          </w:tcPr>
          <w:p>
            <w:pPr>
              <w:jc w:val="center"/>
              <w:rPr>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05" w:type="pct"/>
          </w:tcPr>
          <w:p>
            <w:pPr>
              <w:jc w:val="center"/>
              <w:rPr>
                <w:szCs w:val="21"/>
              </w:rPr>
            </w:pPr>
            <w:r>
              <w:rPr>
                <w:rFonts w:hint="eastAsia"/>
                <w:szCs w:val="21"/>
              </w:rPr>
              <w:t>西安摩尔石油工程实验室股份有限公司</w:t>
            </w:r>
          </w:p>
        </w:tc>
        <w:tc>
          <w:tcPr>
            <w:tcW w:w="514" w:type="pct"/>
          </w:tcPr>
          <w:p>
            <w:pPr>
              <w:jc w:val="center"/>
              <w:rPr>
                <w:szCs w:val="21"/>
              </w:rPr>
            </w:pPr>
            <w:r>
              <w:rPr>
                <w:rFonts w:hint="eastAsia"/>
                <w:szCs w:val="21"/>
              </w:rPr>
              <w:t>/</w:t>
            </w:r>
          </w:p>
        </w:tc>
        <w:tc>
          <w:tcPr>
            <w:tcW w:w="563" w:type="pct"/>
          </w:tcPr>
          <w:p>
            <w:pPr>
              <w:jc w:val="center"/>
              <w:rPr>
                <w:szCs w:val="21"/>
              </w:rPr>
            </w:pPr>
            <w:r>
              <w:rPr>
                <w:rFonts w:hint="eastAsia"/>
                <w:szCs w:val="21"/>
              </w:rPr>
              <w:t>/</w:t>
            </w:r>
          </w:p>
        </w:tc>
        <w:tc>
          <w:tcPr>
            <w:tcW w:w="3018" w:type="pct"/>
          </w:tcPr>
          <w:p>
            <w:pPr>
              <w:jc w:val="center"/>
              <w:rPr>
                <w:szCs w:val="21"/>
              </w:rPr>
            </w:pPr>
            <w:r>
              <w:rPr>
                <w:rFonts w:hint="eastAsia"/>
                <w:szCs w:val="21"/>
              </w:rPr>
              <w:t>内容审阅并提出修改意见</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jc w:val="center"/>
              <w:rPr>
                <w:szCs w:val="21"/>
              </w:rPr>
            </w:pPr>
            <w:r>
              <w:rPr>
                <w:rFonts w:hint="eastAsia"/>
                <w:szCs w:val="21"/>
              </w:rPr>
              <w:t>广东省阳江市质量计量监督检测所</w:t>
            </w:r>
          </w:p>
        </w:tc>
        <w:tc>
          <w:tcPr>
            <w:tcW w:w="514" w:type="pct"/>
          </w:tcPr>
          <w:p>
            <w:pPr>
              <w:jc w:val="center"/>
              <w:rPr>
                <w:szCs w:val="21"/>
              </w:rPr>
            </w:pPr>
            <w:r>
              <w:rPr>
                <w:rFonts w:hint="eastAsia"/>
                <w:szCs w:val="21"/>
              </w:rPr>
              <w:t>/</w:t>
            </w:r>
          </w:p>
        </w:tc>
        <w:tc>
          <w:tcPr>
            <w:tcW w:w="563" w:type="pct"/>
          </w:tcPr>
          <w:p>
            <w:pPr>
              <w:jc w:val="center"/>
              <w:rPr>
                <w:szCs w:val="21"/>
              </w:rPr>
            </w:pPr>
            <w:r>
              <w:rPr>
                <w:rFonts w:hint="eastAsia"/>
                <w:szCs w:val="21"/>
              </w:rPr>
              <w:t>/</w:t>
            </w:r>
          </w:p>
        </w:tc>
        <w:tc>
          <w:tcPr>
            <w:tcW w:w="3018" w:type="pct"/>
          </w:tcPr>
          <w:p>
            <w:pPr>
              <w:jc w:val="center"/>
              <w:rPr>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jc w:val="center"/>
              <w:rPr>
                <w:szCs w:val="21"/>
              </w:rPr>
            </w:pPr>
            <w:r>
              <w:rPr>
                <w:rFonts w:hint="eastAsia"/>
                <w:bCs/>
              </w:rPr>
              <w:t>西南铝业(集团)有限责任公司</w:t>
            </w:r>
          </w:p>
        </w:tc>
        <w:tc>
          <w:tcPr>
            <w:tcW w:w="514" w:type="pct"/>
          </w:tcPr>
          <w:p>
            <w:pPr>
              <w:jc w:val="center"/>
              <w:rPr>
                <w:szCs w:val="21"/>
              </w:rPr>
            </w:pPr>
            <w:r>
              <w:rPr>
                <w:rFonts w:hint="eastAsia"/>
                <w:szCs w:val="21"/>
              </w:rPr>
              <w:t>/</w:t>
            </w:r>
          </w:p>
        </w:tc>
        <w:tc>
          <w:tcPr>
            <w:tcW w:w="563" w:type="pct"/>
          </w:tcPr>
          <w:p>
            <w:pPr>
              <w:jc w:val="center"/>
              <w:rPr>
                <w:szCs w:val="21"/>
              </w:rPr>
            </w:pPr>
            <w:r>
              <w:rPr>
                <w:rFonts w:hint="eastAsia"/>
                <w:szCs w:val="21"/>
              </w:rPr>
              <w:t>/</w:t>
            </w:r>
          </w:p>
        </w:tc>
        <w:tc>
          <w:tcPr>
            <w:tcW w:w="3018" w:type="pct"/>
          </w:tcPr>
          <w:p>
            <w:pPr>
              <w:jc w:val="center"/>
              <w:rPr>
                <w:szCs w:val="21"/>
              </w:rPr>
            </w:pPr>
            <w:r>
              <w:rPr>
                <w:rFonts w:hint="eastAsia"/>
                <w:szCs w:val="21"/>
              </w:rPr>
              <w:t>内容审阅并提出修改意见，规范一验工作</w:t>
            </w:r>
          </w:p>
        </w:tc>
      </w:tr>
      <w:bookmarkEnd w:id="10"/>
      <w:bookmarkEnd w:id="11"/>
    </w:tbl>
    <w:p>
      <w:pPr>
        <w:pStyle w:val="61"/>
        <w:ind w:firstLine="0" w:firstLineChars="0"/>
      </w:pPr>
      <w:bookmarkStart w:id="12" w:name="_Toc464728913"/>
      <w:bookmarkStart w:id="13" w:name="_Toc462884357"/>
      <w:r>
        <w:rPr>
          <w:rFonts w:hint="eastAsia"/>
        </w:rPr>
        <w:t>4.主要工作过程</w:t>
      </w:r>
      <w:bookmarkEnd w:id="12"/>
      <w:bookmarkEnd w:id="13"/>
    </w:p>
    <w:p>
      <w:pPr>
        <w:spacing w:line="400" w:lineRule="exact"/>
        <w:ind w:firstLine="420" w:firstLineChars="200"/>
      </w:pPr>
      <w:bookmarkStart w:id="14" w:name="_Toc464728924"/>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r>
        <w:rPr>
          <w:rFonts w:hint="eastAsia"/>
        </w:rPr>
        <w:t>本项目主要工作过程经过了以下几个阶段：</w:t>
      </w:r>
    </w:p>
    <w:p>
      <w:pPr>
        <w:spacing w:line="360" w:lineRule="auto"/>
        <w:ind w:firstLine="420" w:firstLineChars="200"/>
        <w:rPr>
          <w:bCs/>
        </w:rPr>
      </w:pPr>
      <w:r>
        <w:rPr>
          <w:rFonts w:hint="eastAsia"/>
          <w:bCs/>
        </w:rPr>
        <w:t>2023年7月成立了计量规范编制组，明确编制组成员各自的工作内容及任务，对被校对象的使用单位进行了校准需求调研，收集相关资料。</w:t>
      </w:r>
    </w:p>
    <w:p>
      <w:pPr>
        <w:spacing w:line="360" w:lineRule="auto"/>
        <w:ind w:firstLine="420" w:firstLineChars="200"/>
        <w:rPr>
          <w:bCs/>
        </w:rPr>
      </w:pPr>
      <w:r>
        <w:rPr>
          <w:rFonts w:hint="eastAsia"/>
          <w:bCs/>
        </w:rPr>
        <w:t>2023年8月~2024年4月编制组成员对校准规范中的计量特性及校准方法进行了讨论，确定了校准项目及方法，对关键技术指标提出了修改意见最终形成讨论稿。</w:t>
      </w:r>
    </w:p>
    <w:p>
      <w:pPr>
        <w:spacing w:line="360" w:lineRule="auto"/>
        <w:ind w:firstLine="420" w:firstLineChars="200"/>
        <w:rPr>
          <w:bCs/>
          <w:szCs w:val="21"/>
        </w:rPr>
      </w:pPr>
      <w:r>
        <w:rPr>
          <w:rFonts w:hint="eastAsia"/>
          <w:bCs/>
        </w:rPr>
        <w:t>2024年6月20日~21日，在甘肃省嘉峪关召开有色金属计量技术规范研讨会，</w:t>
      </w:r>
      <w:r>
        <w:rPr>
          <w:rFonts w:hint="eastAsia"/>
          <w:bCs/>
          <w:szCs w:val="21"/>
        </w:rPr>
        <w:t>会上对《</w:t>
      </w:r>
      <w:r>
        <w:rPr>
          <w:rFonts w:hint="eastAsia" w:hAnsi="宋体"/>
          <w:bCs/>
          <w:szCs w:val="21"/>
        </w:rPr>
        <w:t>显微镜畸变校准用米字线纹尺校准规范</w:t>
      </w:r>
      <w:r>
        <w:rPr>
          <w:rFonts w:hint="eastAsia"/>
          <w:bCs/>
          <w:szCs w:val="21"/>
        </w:rPr>
        <w:t>》等2项有色金属行业计量技术规范进行预审，对《电极式盐水比重计校准规范》等9项有色金属行业计量技术规范进行讨论，会上有来自不同单位的计量委员会委员、专家、代表就《</w:t>
      </w:r>
      <w:r>
        <w:rPr>
          <w:rFonts w:hint="eastAsia"/>
          <w:szCs w:val="21"/>
        </w:rPr>
        <w:t>冲击低温槽</w:t>
      </w:r>
      <w:r>
        <w:rPr>
          <w:rFonts w:hint="eastAsia" w:hAnsi="宋体"/>
          <w:bCs/>
          <w:szCs w:val="21"/>
        </w:rPr>
        <w:t>校准规范</w:t>
      </w:r>
      <w:r>
        <w:rPr>
          <w:rFonts w:hint="eastAsia"/>
          <w:bCs/>
          <w:szCs w:val="21"/>
        </w:rPr>
        <w:t>-讨论稿》中的校准项目、技术指标和校准方法等提出了修改建议和意见，同时，</w:t>
      </w:r>
      <w:r>
        <w:rPr>
          <w:rFonts w:hint="eastAsia"/>
          <w:bCs/>
        </w:rPr>
        <w:t>会上确定了项目的参编单位及一验、二验单位，明确了各项工作时间进度要求，具体内容见表2。修改后形成了</w:t>
      </w:r>
      <w:r>
        <w:rPr>
          <w:rFonts w:hint="eastAsia"/>
          <w:bCs/>
          <w:szCs w:val="21"/>
        </w:rPr>
        <w:t>《</w:t>
      </w:r>
      <w:r>
        <w:rPr>
          <w:rFonts w:hint="eastAsia"/>
          <w:szCs w:val="21"/>
        </w:rPr>
        <w:t>冲击低温槽</w:t>
      </w:r>
      <w:r>
        <w:rPr>
          <w:rFonts w:hint="eastAsia" w:hAnsi="宋体"/>
          <w:bCs/>
          <w:szCs w:val="21"/>
        </w:rPr>
        <w:t>校准规范</w:t>
      </w:r>
      <w:r>
        <w:rPr>
          <w:bCs/>
          <w:szCs w:val="21"/>
        </w:rPr>
        <w:t>-</w:t>
      </w:r>
      <w:r>
        <w:rPr>
          <w:rFonts w:hint="eastAsia"/>
          <w:bCs/>
        </w:rPr>
        <w:t>征求意见稿</w:t>
      </w:r>
      <w:r>
        <w:rPr>
          <w:rFonts w:hint="eastAsia"/>
          <w:bCs/>
          <w:szCs w:val="21"/>
        </w:rPr>
        <w:t>》。</w:t>
      </w:r>
    </w:p>
    <w:p>
      <w:pPr>
        <w:pStyle w:val="35"/>
      </w:pPr>
      <w:r>
        <w:rPr>
          <w:rFonts w:hint="eastAsia"/>
        </w:rPr>
        <w:t>表2</w:t>
      </w:r>
      <w:r>
        <w:t xml:space="preserve"> </w:t>
      </w:r>
      <w:r>
        <w:rPr>
          <w:rFonts w:hint="eastAsia"/>
        </w:rPr>
        <w:t>《冲击试验低温槽校准规范-讨论稿》工作安排</w:t>
      </w:r>
    </w:p>
    <w:tbl>
      <w:tblPr>
        <w:tblStyle w:val="41"/>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34"/>
        <w:gridCol w:w="3933"/>
        <w:gridCol w:w="174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gridSpan w:val="2"/>
            <w:shd w:val="clear" w:color="auto" w:fill="auto"/>
            <w:noWrap/>
            <w:vAlign w:val="center"/>
          </w:tcPr>
          <w:p>
            <w:pPr>
              <w:spacing w:line="360" w:lineRule="auto"/>
              <w:rPr>
                <w:bCs/>
              </w:rPr>
            </w:pPr>
            <w:r>
              <w:rPr>
                <w:rFonts w:hint="eastAsia"/>
                <w:bCs/>
              </w:rPr>
              <w:t>拟参与编制单位</w:t>
            </w:r>
          </w:p>
        </w:tc>
        <w:tc>
          <w:tcPr>
            <w:tcW w:w="7252" w:type="dxa"/>
            <w:gridSpan w:val="3"/>
            <w:shd w:val="clear" w:color="auto" w:fill="auto"/>
            <w:noWrap/>
            <w:vAlign w:val="center"/>
          </w:tcPr>
          <w:p>
            <w:pPr>
              <w:spacing w:line="360" w:lineRule="auto"/>
              <w:ind w:firstLine="420" w:firstLineChars="200"/>
              <w:rPr>
                <w:bCs/>
              </w:rPr>
            </w:pPr>
            <w:r>
              <w:rPr>
                <w:rFonts w:hint="eastAsia"/>
                <w:szCs w:val="21"/>
              </w:rPr>
              <w:t>中国石油集团工程材料研究院有限公司、中国船舶集团有限公司第七二五研究所、西安摩尔石油工程实验室股份有限公司、广东省阳江市质量计量监督检测所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gridSpan w:val="2"/>
            <w:shd w:val="clear" w:color="auto" w:fill="auto"/>
            <w:noWrap/>
            <w:vAlign w:val="center"/>
          </w:tcPr>
          <w:p>
            <w:pPr>
              <w:spacing w:line="360" w:lineRule="auto"/>
              <w:rPr>
                <w:bCs/>
              </w:rPr>
            </w:pPr>
            <w:r>
              <w:rPr>
                <w:rFonts w:hint="eastAsia"/>
                <w:bCs/>
              </w:rPr>
              <w:t>一验单位</w:t>
            </w:r>
          </w:p>
        </w:tc>
        <w:tc>
          <w:tcPr>
            <w:tcW w:w="7252" w:type="dxa"/>
            <w:gridSpan w:val="3"/>
            <w:shd w:val="clear" w:color="auto" w:fill="auto"/>
            <w:noWrap/>
            <w:vAlign w:val="center"/>
          </w:tcPr>
          <w:p>
            <w:pPr>
              <w:spacing w:line="360" w:lineRule="auto"/>
              <w:ind w:firstLine="420" w:firstLineChars="200"/>
              <w:rPr>
                <w:bCs/>
              </w:rPr>
            </w:pPr>
            <w:r>
              <w:rPr>
                <w:rFonts w:hint="eastAsia"/>
                <w:bCs/>
              </w:rPr>
              <w:t>西南铝业(集团)有限责任公司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gridSpan w:val="2"/>
            <w:shd w:val="clear" w:color="auto" w:fill="auto"/>
            <w:noWrap/>
            <w:vAlign w:val="center"/>
          </w:tcPr>
          <w:p>
            <w:pPr>
              <w:spacing w:line="360" w:lineRule="auto"/>
              <w:rPr>
                <w:bCs/>
              </w:rPr>
            </w:pPr>
            <w:r>
              <w:rPr>
                <w:rFonts w:hint="eastAsia"/>
                <w:bCs/>
              </w:rPr>
              <w:t>二验单位</w:t>
            </w:r>
          </w:p>
        </w:tc>
        <w:tc>
          <w:tcPr>
            <w:tcW w:w="7252" w:type="dxa"/>
            <w:gridSpan w:val="3"/>
            <w:shd w:val="clear" w:color="auto" w:fill="auto"/>
            <w:noWrap/>
            <w:vAlign w:val="center"/>
          </w:tcPr>
          <w:p>
            <w:pPr>
              <w:spacing w:line="360" w:lineRule="auto"/>
              <w:ind w:firstLine="420" w:firstLineChars="200"/>
              <w:rPr>
                <w:bCs/>
              </w:rPr>
            </w:pPr>
            <w:r>
              <w:rPr>
                <w:rFonts w:hint="eastAsia"/>
                <w:bCs/>
              </w:rPr>
              <w:t>中国船舶集团有限公司第七二五研究所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gridSpan w:val="2"/>
            <w:shd w:val="clear" w:color="auto" w:fill="auto"/>
            <w:noWrap/>
            <w:vAlign w:val="center"/>
          </w:tcPr>
          <w:p>
            <w:pPr>
              <w:spacing w:line="360" w:lineRule="auto"/>
              <w:rPr>
                <w:bCs/>
              </w:rPr>
            </w:pPr>
            <w:r>
              <w:rPr>
                <w:rFonts w:hint="eastAsia"/>
                <w:bCs/>
              </w:rPr>
              <w:t>时间节点安排</w:t>
            </w:r>
          </w:p>
        </w:tc>
        <w:tc>
          <w:tcPr>
            <w:tcW w:w="7252" w:type="dxa"/>
            <w:gridSpan w:val="3"/>
            <w:shd w:val="clear" w:color="auto" w:fill="auto"/>
            <w:noWrap/>
            <w:vAlign w:val="center"/>
          </w:tcPr>
          <w:p>
            <w:pPr>
              <w:spacing w:line="360" w:lineRule="auto"/>
              <w:ind w:firstLine="420" w:firstLineChars="200"/>
              <w:rPr>
                <w:bCs/>
              </w:rPr>
            </w:pPr>
            <w:r>
              <w:rPr>
                <w:rFonts w:hint="eastAsia"/>
                <w:bCs/>
              </w:rPr>
              <w:t>2025年完成规范报批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spacing w:line="360" w:lineRule="auto"/>
              <w:rPr>
                <w:bCs/>
              </w:rPr>
            </w:pPr>
            <w:r>
              <w:rPr>
                <w:rFonts w:hint="eastAsia"/>
                <w:bCs/>
              </w:rPr>
              <w:t>序号</w:t>
            </w:r>
          </w:p>
        </w:tc>
        <w:tc>
          <w:tcPr>
            <w:tcW w:w="1134" w:type="dxa"/>
            <w:shd w:val="clear" w:color="auto" w:fill="auto"/>
            <w:vAlign w:val="center"/>
          </w:tcPr>
          <w:p>
            <w:pPr>
              <w:snapToGrid w:val="0"/>
              <w:rPr>
                <w:bCs/>
              </w:rPr>
            </w:pPr>
            <w:r>
              <w:rPr>
                <w:rFonts w:hint="eastAsia"/>
                <w:bCs/>
              </w:rPr>
              <w:t>规范章条号</w:t>
            </w:r>
          </w:p>
        </w:tc>
        <w:tc>
          <w:tcPr>
            <w:tcW w:w="3933" w:type="dxa"/>
            <w:shd w:val="clear" w:color="auto" w:fill="auto"/>
            <w:noWrap/>
            <w:vAlign w:val="center"/>
          </w:tcPr>
          <w:p>
            <w:pPr>
              <w:spacing w:line="360" w:lineRule="auto"/>
              <w:ind w:firstLine="420" w:firstLineChars="200"/>
              <w:jc w:val="center"/>
              <w:rPr>
                <w:bCs/>
              </w:rPr>
            </w:pPr>
            <w:r>
              <w:rPr>
                <w:rFonts w:hint="eastAsia"/>
                <w:bCs/>
              </w:rPr>
              <w:t>意见内容</w:t>
            </w:r>
          </w:p>
        </w:tc>
        <w:tc>
          <w:tcPr>
            <w:tcW w:w="1745" w:type="dxa"/>
            <w:shd w:val="clear" w:color="auto" w:fill="auto"/>
            <w:noWrap/>
            <w:vAlign w:val="center"/>
          </w:tcPr>
          <w:p>
            <w:pPr>
              <w:spacing w:line="360" w:lineRule="auto"/>
              <w:jc w:val="center"/>
              <w:rPr>
                <w:bCs/>
              </w:rPr>
            </w:pPr>
            <w:r>
              <w:rPr>
                <w:rFonts w:hint="eastAsia"/>
                <w:bCs/>
              </w:rPr>
              <w:t>提出单位</w:t>
            </w:r>
          </w:p>
        </w:tc>
        <w:tc>
          <w:tcPr>
            <w:tcW w:w="1574" w:type="dxa"/>
            <w:shd w:val="clear" w:color="auto" w:fill="auto"/>
            <w:noWrap/>
            <w:vAlign w:val="center"/>
          </w:tcPr>
          <w:p>
            <w:pPr>
              <w:spacing w:line="360" w:lineRule="auto"/>
              <w:rPr>
                <w:bCs/>
              </w:rPr>
            </w:pPr>
            <w:r>
              <w:rPr>
                <w:rFonts w:hint="eastAsia"/>
                <w:bCs/>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vAlign w:val="center"/>
          </w:tcPr>
          <w:p>
            <w:pPr>
              <w:widowControl/>
              <w:jc w:val="center"/>
              <w:rPr>
                <w:bCs/>
                <w:color w:val="000000"/>
                <w:kern w:val="0"/>
                <w:szCs w:val="21"/>
              </w:rPr>
            </w:pPr>
            <w:r>
              <w:rPr>
                <w:rFonts w:hint="eastAsia"/>
                <w:bCs/>
                <w:color w:val="000000"/>
                <w:kern w:val="0"/>
                <w:szCs w:val="21"/>
              </w:rPr>
              <w:t>1</w:t>
            </w:r>
          </w:p>
        </w:tc>
        <w:tc>
          <w:tcPr>
            <w:tcW w:w="3933" w:type="dxa"/>
            <w:shd w:val="clear" w:color="auto" w:fill="auto"/>
            <w:noWrap/>
            <w:vAlign w:val="center"/>
          </w:tcPr>
          <w:p>
            <w:pPr>
              <w:widowControl/>
              <w:spacing w:line="360" w:lineRule="auto"/>
              <w:jc w:val="center"/>
              <w:rPr>
                <w:bCs/>
                <w:color w:val="000000"/>
                <w:kern w:val="0"/>
                <w:szCs w:val="21"/>
              </w:rPr>
            </w:pPr>
            <w:r>
              <w:rPr>
                <w:rFonts w:hint="eastAsia" w:cs="宋体"/>
                <w:bCs/>
                <w:color w:val="000000"/>
                <w:kern w:val="0"/>
                <w:szCs w:val="21"/>
              </w:rPr>
              <w:t>将“</w:t>
            </w:r>
            <w:r>
              <w:rPr>
                <w:kern w:val="0"/>
                <w:szCs w:val="21"/>
              </w:rPr>
              <w:t>（</w:t>
            </w:r>
            <w:r>
              <w:rPr>
                <w:rFonts w:hint="eastAsia"/>
                <w:kern w:val="0"/>
                <w:szCs w:val="21"/>
              </w:rPr>
              <w:t>-100℃~+30℃）</w:t>
            </w:r>
            <w:r>
              <w:rPr>
                <w:rFonts w:hint="eastAsia" w:cs="宋体"/>
                <w:bCs/>
                <w:color w:val="000000"/>
                <w:kern w:val="0"/>
                <w:szCs w:val="21"/>
              </w:rPr>
              <w:t>”改为“</w:t>
            </w:r>
            <w:r>
              <w:rPr>
                <w:kern w:val="0"/>
                <w:szCs w:val="21"/>
              </w:rPr>
              <w:t>（</w:t>
            </w:r>
            <w:r>
              <w:rPr>
                <w:rFonts w:hint="eastAsia"/>
                <w:kern w:val="0"/>
                <w:szCs w:val="21"/>
              </w:rPr>
              <w:t>-80℃~+30℃）</w:t>
            </w:r>
            <w:r>
              <w:rPr>
                <w:rFonts w:hint="eastAsia" w:cs="宋体"/>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国标（北京）检验认证有限公司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vAlign w:val="center"/>
          </w:tcPr>
          <w:p>
            <w:pPr>
              <w:widowControl/>
              <w:jc w:val="center"/>
              <w:rPr>
                <w:bCs/>
                <w:color w:val="000000"/>
                <w:kern w:val="0"/>
                <w:szCs w:val="21"/>
              </w:rPr>
            </w:pPr>
            <w:r>
              <w:rPr>
                <w:rFonts w:hint="eastAsia"/>
                <w:bCs/>
                <w:color w:val="000000"/>
                <w:kern w:val="0"/>
                <w:szCs w:val="21"/>
              </w:rPr>
              <w:t>3</w:t>
            </w:r>
          </w:p>
        </w:tc>
        <w:tc>
          <w:tcPr>
            <w:tcW w:w="3933" w:type="dxa"/>
            <w:shd w:val="clear" w:color="auto" w:fill="auto"/>
            <w:noWrap/>
            <w:vAlign w:val="center"/>
          </w:tcPr>
          <w:p>
            <w:pPr>
              <w:widowControl/>
              <w:spacing w:line="360" w:lineRule="auto"/>
              <w:rPr>
                <w:bCs/>
                <w:color w:val="000000"/>
                <w:kern w:val="0"/>
                <w:szCs w:val="21"/>
              </w:rPr>
            </w:pPr>
            <w:r>
              <w:rPr>
                <w:rFonts w:hint="eastAsia" w:cs="宋体"/>
                <w:bCs/>
                <w:color w:val="000000"/>
                <w:kern w:val="0"/>
                <w:szCs w:val="21"/>
              </w:rPr>
              <w:t>概述内容里增加低温槽介质描述。</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东北轻合金有限责任公司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vAlign w:val="center"/>
          </w:tcPr>
          <w:p>
            <w:pPr>
              <w:widowControl/>
              <w:jc w:val="center"/>
              <w:rPr>
                <w:bCs/>
                <w:color w:val="000000"/>
                <w:kern w:val="0"/>
                <w:szCs w:val="21"/>
              </w:rPr>
            </w:pPr>
            <w:r>
              <w:rPr>
                <w:rFonts w:hint="eastAsia"/>
                <w:bCs/>
                <w:color w:val="000000"/>
                <w:kern w:val="0"/>
                <w:szCs w:val="21"/>
              </w:rPr>
              <w:t>图1</w:t>
            </w:r>
          </w:p>
        </w:tc>
        <w:tc>
          <w:tcPr>
            <w:tcW w:w="3933" w:type="dxa"/>
            <w:shd w:val="clear" w:color="auto" w:fill="auto"/>
            <w:noWrap/>
            <w:vAlign w:val="center"/>
          </w:tcPr>
          <w:p>
            <w:pPr>
              <w:widowControl/>
              <w:spacing w:line="360" w:lineRule="auto"/>
              <w:rPr>
                <w:bCs/>
                <w:color w:val="000000"/>
                <w:kern w:val="0"/>
                <w:szCs w:val="21"/>
              </w:rPr>
            </w:pPr>
            <w:r>
              <w:rPr>
                <w:rFonts w:hint="eastAsia"/>
                <w:szCs w:val="21"/>
              </w:rPr>
              <w:t>图1加图注。</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东北轻合金有限责任公司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vAlign w:val="center"/>
          </w:tcPr>
          <w:p>
            <w:pPr>
              <w:widowControl/>
              <w:jc w:val="center"/>
              <w:rPr>
                <w:bCs/>
                <w:color w:val="000000"/>
                <w:kern w:val="0"/>
                <w:szCs w:val="21"/>
              </w:rPr>
            </w:pPr>
            <w:r>
              <w:rPr>
                <w:rFonts w:hint="eastAsia"/>
                <w:bCs/>
                <w:color w:val="000000"/>
                <w:kern w:val="0"/>
                <w:szCs w:val="21"/>
              </w:rPr>
              <w:t>4</w:t>
            </w:r>
          </w:p>
        </w:tc>
        <w:tc>
          <w:tcPr>
            <w:tcW w:w="3933" w:type="dxa"/>
            <w:shd w:val="clear" w:color="auto" w:fill="auto"/>
            <w:noWrap/>
            <w:vAlign w:val="center"/>
          </w:tcPr>
          <w:p>
            <w:pPr>
              <w:spacing w:line="360" w:lineRule="auto"/>
              <w:rPr>
                <w:rFonts w:cs="宋体"/>
                <w:bCs/>
                <w:color w:val="000000"/>
                <w:kern w:val="0"/>
                <w:szCs w:val="21"/>
              </w:rPr>
            </w:pPr>
            <w:r>
              <w:rPr>
                <w:rFonts w:hint="eastAsia" w:cs="宋体"/>
                <w:bCs/>
                <w:color w:val="000000"/>
                <w:kern w:val="0"/>
                <w:szCs w:val="21"/>
              </w:rPr>
              <w:t>将“</w:t>
            </w:r>
            <w:r>
              <w:rPr>
                <w:kern w:val="0"/>
                <w:szCs w:val="21"/>
              </w:rPr>
              <w:t>（</w:t>
            </w:r>
            <w:r>
              <w:rPr>
                <w:rFonts w:hint="eastAsia"/>
                <w:kern w:val="0"/>
                <w:szCs w:val="21"/>
              </w:rPr>
              <w:t>-100℃~+30℃）</w:t>
            </w:r>
            <w:r>
              <w:rPr>
                <w:rFonts w:hint="eastAsia" w:cs="宋体"/>
                <w:bCs/>
                <w:color w:val="000000"/>
                <w:kern w:val="0"/>
                <w:szCs w:val="21"/>
              </w:rPr>
              <w:t>”改为“</w:t>
            </w:r>
            <w:r>
              <w:rPr>
                <w:kern w:val="0"/>
                <w:szCs w:val="21"/>
              </w:rPr>
              <w:t>（</w:t>
            </w:r>
            <w:r>
              <w:rPr>
                <w:rFonts w:hint="eastAsia"/>
                <w:kern w:val="0"/>
                <w:szCs w:val="21"/>
              </w:rPr>
              <w:t>-80℃~+30℃）</w:t>
            </w:r>
            <w:r>
              <w:rPr>
                <w:rFonts w:hint="eastAsia" w:cs="宋体"/>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国标（北京检验认证有限公司）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vAlign w:val="center"/>
          </w:tcPr>
          <w:p>
            <w:pPr>
              <w:widowControl/>
              <w:jc w:val="center"/>
              <w:rPr>
                <w:bCs/>
                <w:color w:val="000000"/>
                <w:kern w:val="0"/>
                <w:szCs w:val="21"/>
              </w:rPr>
            </w:pPr>
            <w:r>
              <w:rPr>
                <w:rFonts w:hint="eastAsia"/>
                <w:bCs/>
                <w:color w:val="000000"/>
                <w:kern w:val="0"/>
                <w:szCs w:val="21"/>
              </w:rPr>
              <w:t>附录C</w:t>
            </w:r>
          </w:p>
        </w:tc>
        <w:tc>
          <w:tcPr>
            <w:tcW w:w="3933" w:type="dxa"/>
            <w:shd w:val="clear" w:color="auto" w:fill="auto"/>
            <w:noWrap/>
            <w:vAlign w:val="center"/>
          </w:tcPr>
          <w:p>
            <w:pPr>
              <w:spacing w:line="360" w:lineRule="auto"/>
              <w:rPr>
                <w:bCs/>
                <w:color w:val="000000"/>
                <w:kern w:val="0"/>
                <w:szCs w:val="21"/>
              </w:rPr>
            </w:pPr>
            <w:r>
              <w:rPr>
                <w:rFonts w:hint="eastAsia"/>
                <w:bCs/>
                <w:color w:val="000000"/>
                <w:kern w:val="0"/>
                <w:szCs w:val="21"/>
              </w:rPr>
              <w:t>C</w:t>
            </w:r>
            <w:r>
              <w:rPr>
                <w:rFonts w:hint="eastAsia" w:cs="宋体"/>
                <w:bCs/>
                <w:color w:val="000000"/>
                <w:kern w:val="0"/>
                <w:szCs w:val="21"/>
              </w:rPr>
              <w:t>.3.1中</w:t>
            </w:r>
            <w:r>
              <w:rPr>
                <w:rFonts w:cs="宋体"/>
                <w:bCs/>
                <w:color w:val="000000"/>
                <w:kern w:val="0"/>
                <w:szCs w:val="21"/>
              </w:rPr>
              <w:t>重复测量引入的标准不确定度</w:t>
            </w:r>
            <w:r>
              <w:rPr>
                <w:rFonts w:hint="eastAsia" w:cs="宋体"/>
                <w:bCs/>
                <w:color w:val="000000"/>
                <w:kern w:val="0"/>
                <w:szCs w:val="21"/>
              </w:rPr>
              <w:t>应为</w:t>
            </w:r>
            <w:r>
              <w:rPr>
                <w:rFonts w:hint="eastAsia"/>
                <w:szCs w:val="21"/>
              </w:rPr>
              <w:t>单次测量标准偏差</w:t>
            </w:r>
            <w:r>
              <w:rPr>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国标（北京检验认证有限公司）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vAlign w:val="center"/>
          </w:tcPr>
          <w:p>
            <w:pPr>
              <w:widowControl/>
              <w:jc w:val="center"/>
              <w:rPr>
                <w:bCs/>
                <w:color w:val="000000"/>
                <w:kern w:val="0"/>
                <w:szCs w:val="21"/>
              </w:rPr>
            </w:pPr>
            <w:r>
              <w:rPr>
                <w:rFonts w:hint="eastAsia"/>
                <w:bCs/>
                <w:color w:val="000000"/>
                <w:kern w:val="0"/>
                <w:szCs w:val="21"/>
              </w:rPr>
              <w:t>附录C</w:t>
            </w:r>
          </w:p>
        </w:tc>
        <w:tc>
          <w:tcPr>
            <w:tcW w:w="3933" w:type="dxa"/>
            <w:shd w:val="clear" w:color="auto" w:fill="auto"/>
            <w:noWrap/>
            <w:vAlign w:val="center"/>
          </w:tcPr>
          <w:p>
            <w:pPr>
              <w:spacing w:line="360" w:lineRule="auto"/>
              <w:rPr>
                <w:bCs/>
                <w:color w:val="000000"/>
                <w:kern w:val="0"/>
                <w:szCs w:val="21"/>
              </w:rPr>
            </w:pPr>
            <w:r>
              <w:rPr>
                <w:rFonts w:hint="eastAsia"/>
                <w:bCs/>
                <w:color w:val="000000"/>
                <w:kern w:val="0"/>
                <w:szCs w:val="21"/>
              </w:rPr>
              <w:t>C.3.2</w:t>
            </w:r>
            <w:r>
              <w:rPr>
                <w:rFonts w:hint="eastAsia"/>
                <w:color w:val="000000"/>
                <w:szCs w:val="21"/>
              </w:rPr>
              <w:t>标准器稳定性引入的标准不确定度应按均匀分布计算。</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东北轻合金有限责任公司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vAlign w:val="center"/>
          </w:tcPr>
          <w:p>
            <w:pPr>
              <w:adjustRightInd w:val="0"/>
              <w:snapToGrid w:val="0"/>
              <w:spacing w:line="360" w:lineRule="auto"/>
              <w:jc w:val="center"/>
              <w:rPr>
                <w:rFonts w:hint="eastAsia"/>
                <w:sz w:val="24"/>
              </w:rPr>
            </w:pPr>
            <w:r>
              <w:rPr>
                <w:rFonts w:hint="eastAsia"/>
                <w:sz w:val="24"/>
              </w:rPr>
              <w:t>2引用文件</w:t>
            </w:r>
          </w:p>
        </w:tc>
        <w:tc>
          <w:tcPr>
            <w:tcW w:w="3933" w:type="dxa"/>
            <w:shd w:val="clear" w:color="auto" w:fill="auto"/>
            <w:noWrap/>
            <w:vAlign w:val="center"/>
          </w:tcPr>
          <w:p>
            <w:pPr>
              <w:adjustRightInd w:val="0"/>
              <w:snapToGrid w:val="0"/>
              <w:spacing w:line="360" w:lineRule="auto"/>
              <w:jc w:val="center"/>
              <w:rPr>
                <w:szCs w:val="21"/>
              </w:rPr>
            </w:pPr>
            <w:r>
              <w:rPr>
                <w:rFonts w:hint="eastAsia"/>
                <w:szCs w:val="21"/>
              </w:rPr>
              <w:t>建议删除JJF1030-2010，文中主要参照JJF2019-2022，另外JJF1030最新版本为2023</w:t>
            </w:r>
          </w:p>
        </w:tc>
        <w:tc>
          <w:tcPr>
            <w:tcW w:w="1745" w:type="dxa"/>
            <w:shd w:val="clear" w:color="auto" w:fill="auto"/>
            <w:noWrap/>
            <w:vAlign w:val="center"/>
          </w:tcPr>
          <w:p>
            <w:pPr>
              <w:adjustRightInd w:val="0"/>
              <w:snapToGrid w:val="0"/>
              <w:spacing w:line="360" w:lineRule="auto"/>
              <w:jc w:val="center"/>
              <w:rPr>
                <w:szCs w:val="21"/>
              </w:rPr>
            </w:pPr>
            <w:r>
              <w:rPr>
                <w:rFonts w:hint="eastAsia"/>
                <w:szCs w:val="21"/>
              </w:rPr>
              <w:t>西南铝业</w:t>
            </w:r>
          </w:p>
        </w:tc>
        <w:tc>
          <w:tcPr>
            <w:tcW w:w="1574" w:type="dxa"/>
            <w:shd w:val="clear" w:color="auto" w:fill="auto"/>
            <w:noWrap/>
            <w:vAlign w:val="center"/>
          </w:tcPr>
          <w:p>
            <w:pPr>
              <w:widowControl/>
              <w:jc w:val="center"/>
              <w:rPr>
                <w:rFonts w:hint="eastAsia"/>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tcPr>
          <w:p>
            <w:pPr>
              <w:adjustRightInd w:val="0"/>
              <w:snapToGrid w:val="0"/>
              <w:spacing w:line="360" w:lineRule="auto"/>
            </w:pPr>
            <w:r>
              <w:rPr>
                <w:rFonts w:hint="eastAsia"/>
              </w:rPr>
              <w:t>3概述</w:t>
            </w:r>
          </w:p>
        </w:tc>
        <w:tc>
          <w:tcPr>
            <w:tcW w:w="3933" w:type="dxa"/>
            <w:shd w:val="clear" w:color="auto" w:fill="auto"/>
            <w:noWrap/>
          </w:tcPr>
          <w:p>
            <w:pPr>
              <w:numPr>
                <w:ilvl w:val="0"/>
                <w:numId w:val="13"/>
              </w:numPr>
              <w:adjustRightInd w:val="0"/>
              <w:snapToGrid w:val="0"/>
              <w:spacing w:line="360" w:lineRule="auto"/>
              <w:rPr>
                <w:rFonts w:hint="eastAsia"/>
              </w:rPr>
            </w:pPr>
            <w:r>
              <w:rPr>
                <w:rFonts w:hint="eastAsia"/>
              </w:rPr>
              <w:t>建议对图1重新绘制，多余的字不要出现，比如图中有一个“器”未删除.</w:t>
            </w:r>
          </w:p>
          <w:p>
            <w:pPr>
              <w:numPr>
                <w:ilvl w:val="0"/>
                <w:numId w:val="13"/>
              </w:numPr>
              <w:adjustRightInd w:val="0"/>
              <w:snapToGrid w:val="0"/>
              <w:spacing w:line="360" w:lineRule="auto"/>
            </w:pPr>
            <w:r>
              <w:rPr>
                <w:rFonts w:hint="eastAsia"/>
              </w:rPr>
              <w:t>图1标注6为制冷管保护套是否合适，从图中看不出对制冷铜管的保护</w:t>
            </w:r>
          </w:p>
        </w:tc>
        <w:tc>
          <w:tcPr>
            <w:tcW w:w="1745" w:type="dxa"/>
            <w:shd w:val="clear" w:color="auto" w:fill="auto"/>
            <w:noWrap/>
          </w:tcPr>
          <w:p>
            <w:pPr>
              <w:adjustRightInd w:val="0"/>
              <w:snapToGrid w:val="0"/>
              <w:spacing w:line="360" w:lineRule="auto"/>
              <w:jc w:val="center"/>
            </w:pPr>
            <w:r>
              <w:rPr>
                <w:rFonts w:hint="eastAsia"/>
              </w:rPr>
              <w:t>西南铝业</w:t>
            </w:r>
          </w:p>
        </w:tc>
        <w:tc>
          <w:tcPr>
            <w:tcW w:w="1574" w:type="dxa"/>
            <w:shd w:val="clear" w:color="auto" w:fill="auto"/>
            <w:noWrap/>
            <w:vAlign w:val="center"/>
          </w:tcPr>
          <w:p>
            <w:pPr>
              <w:widowControl/>
              <w:jc w:val="center"/>
              <w:rPr>
                <w:rFonts w:hint="eastAsia"/>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tcPr>
          <w:p>
            <w:pPr>
              <w:adjustRightInd w:val="0"/>
              <w:snapToGrid w:val="0"/>
              <w:spacing w:line="360" w:lineRule="auto"/>
            </w:pPr>
            <w:r>
              <w:rPr>
                <w:rFonts w:hint="eastAsia"/>
              </w:rPr>
              <w:t>4计量特性</w:t>
            </w:r>
          </w:p>
        </w:tc>
        <w:tc>
          <w:tcPr>
            <w:tcW w:w="3933" w:type="dxa"/>
            <w:shd w:val="clear" w:color="auto" w:fill="auto"/>
            <w:noWrap/>
          </w:tcPr>
          <w:p>
            <w:pPr>
              <w:adjustRightInd w:val="0"/>
              <w:snapToGrid w:val="0"/>
              <w:spacing w:line="360" w:lineRule="auto"/>
            </w:pPr>
            <w:r>
              <w:rPr>
                <w:rFonts w:hint="eastAsia"/>
              </w:rPr>
              <w:t>表1中均匀度要求为：</w:t>
            </w:r>
            <w:r>
              <w:rPr>
                <w:rFonts w:hint="eastAsia" w:ascii="宋体" w:hAnsi="宋体" w:cs="宋体"/>
              </w:rPr>
              <w:t>±</w:t>
            </w:r>
            <w:r>
              <w:rPr>
                <w:rFonts w:hint="eastAsia"/>
              </w:rPr>
              <w:t>1</w:t>
            </w:r>
            <w:r>
              <w:rPr>
                <w:rFonts w:hint="eastAsia" w:ascii="宋体" w:hAnsi="宋体" w:cs="宋体"/>
              </w:rPr>
              <w:t>℃</w:t>
            </w:r>
            <w:r>
              <w:rPr>
                <w:rFonts w:hint="eastAsia"/>
              </w:rPr>
              <w:t>，建议改为：1</w:t>
            </w:r>
            <w:r>
              <w:rPr>
                <w:rFonts w:hint="eastAsia" w:ascii="宋体" w:hAnsi="宋体" w:cs="宋体"/>
              </w:rPr>
              <w:t>℃</w:t>
            </w:r>
          </w:p>
        </w:tc>
        <w:tc>
          <w:tcPr>
            <w:tcW w:w="1745" w:type="dxa"/>
            <w:shd w:val="clear" w:color="auto" w:fill="auto"/>
            <w:noWrap/>
          </w:tcPr>
          <w:p>
            <w:pPr>
              <w:adjustRightInd w:val="0"/>
              <w:snapToGrid w:val="0"/>
              <w:spacing w:line="360" w:lineRule="auto"/>
              <w:jc w:val="center"/>
            </w:pPr>
            <w:r>
              <w:rPr>
                <w:rFonts w:hint="eastAsia"/>
              </w:rPr>
              <w:t>西南铝业</w:t>
            </w:r>
          </w:p>
        </w:tc>
        <w:tc>
          <w:tcPr>
            <w:tcW w:w="1574" w:type="dxa"/>
            <w:shd w:val="clear" w:color="auto" w:fill="auto"/>
            <w:noWrap/>
            <w:vAlign w:val="center"/>
          </w:tcPr>
          <w:p>
            <w:pPr>
              <w:widowControl/>
              <w:jc w:val="center"/>
              <w:rPr>
                <w:rFonts w:hint="eastAsia"/>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tcPr>
          <w:p>
            <w:pPr>
              <w:adjustRightInd w:val="0"/>
              <w:snapToGrid w:val="0"/>
              <w:spacing w:line="360" w:lineRule="auto"/>
            </w:pPr>
            <w:r>
              <w:rPr>
                <w:rFonts w:hint="eastAsia"/>
              </w:rPr>
              <w:t>6.1校准项目</w:t>
            </w:r>
          </w:p>
        </w:tc>
        <w:tc>
          <w:tcPr>
            <w:tcW w:w="3933" w:type="dxa"/>
            <w:shd w:val="clear" w:color="auto" w:fill="auto"/>
            <w:noWrap/>
          </w:tcPr>
          <w:p>
            <w:pPr>
              <w:adjustRightInd w:val="0"/>
              <w:snapToGrid w:val="0"/>
              <w:spacing w:line="360" w:lineRule="auto"/>
            </w:pPr>
            <w:r>
              <w:rPr>
                <w:rFonts w:hint="eastAsia"/>
              </w:rPr>
              <w:t>建议不将外观及通用要求作为校准项目</w:t>
            </w:r>
          </w:p>
        </w:tc>
        <w:tc>
          <w:tcPr>
            <w:tcW w:w="1745" w:type="dxa"/>
            <w:shd w:val="clear" w:color="auto" w:fill="auto"/>
            <w:noWrap/>
          </w:tcPr>
          <w:p>
            <w:pPr>
              <w:adjustRightInd w:val="0"/>
              <w:snapToGrid w:val="0"/>
              <w:spacing w:line="360" w:lineRule="auto"/>
              <w:jc w:val="center"/>
            </w:pPr>
            <w:r>
              <w:rPr>
                <w:rFonts w:hint="eastAsia"/>
              </w:rPr>
              <w:t>西南铝业</w:t>
            </w:r>
          </w:p>
        </w:tc>
        <w:tc>
          <w:tcPr>
            <w:tcW w:w="1574" w:type="dxa"/>
            <w:shd w:val="clear" w:color="auto" w:fill="auto"/>
            <w:noWrap/>
            <w:vAlign w:val="center"/>
          </w:tcPr>
          <w:p>
            <w:pPr>
              <w:widowControl/>
              <w:jc w:val="center"/>
              <w:rPr>
                <w:rFonts w:hint="eastAsia"/>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tcPr>
          <w:p>
            <w:pPr>
              <w:adjustRightInd w:val="0"/>
              <w:snapToGrid w:val="0"/>
              <w:spacing w:line="360" w:lineRule="auto"/>
            </w:pPr>
            <w:r>
              <w:rPr>
                <w:rFonts w:hint="eastAsia"/>
              </w:rPr>
              <w:t>6.2.1</w:t>
            </w:r>
            <w:r>
              <w:rPr>
                <w:rFonts w:ascii="宋体" w:hAnsi="宋体"/>
                <w:szCs w:val="21"/>
              </w:rPr>
              <w:t>外观及通用要求的检查</w:t>
            </w:r>
          </w:p>
        </w:tc>
        <w:tc>
          <w:tcPr>
            <w:tcW w:w="3933" w:type="dxa"/>
            <w:shd w:val="clear" w:color="auto" w:fill="auto"/>
            <w:noWrap/>
          </w:tcPr>
          <w:p>
            <w:pPr>
              <w:adjustRightInd w:val="0"/>
              <w:snapToGrid w:val="0"/>
              <w:spacing w:line="360" w:lineRule="auto"/>
              <w:rPr>
                <w:rFonts w:hint="eastAsia"/>
              </w:rPr>
            </w:pPr>
            <w:r>
              <w:rPr>
                <w:rFonts w:hint="eastAsia"/>
              </w:rPr>
              <w:t>建议改为：校准前的检查。</w:t>
            </w:r>
          </w:p>
          <w:p>
            <w:pPr>
              <w:adjustRightInd w:val="0"/>
              <w:snapToGrid w:val="0"/>
              <w:spacing w:line="360" w:lineRule="auto"/>
            </w:pPr>
            <w:r>
              <w:rPr>
                <w:rFonts w:hint="eastAsia"/>
              </w:rPr>
              <w:t>或者将该条放到校准条件中，取名为：其它条件，且将铭牌内容删除，只写影响校准的内容。</w:t>
            </w:r>
          </w:p>
        </w:tc>
        <w:tc>
          <w:tcPr>
            <w:tcW w:w="1745" w:type="dxa"/>
            <w:shd w:val="clear" w:color="auto" w:fill="auto"/>
            <w:noWrap/>
          </w:tcPr>
          <w:p>
            <w:pPr>
              <w:adjustRightInd w:val="0"/>
              <w:snapToGrid w:val="0"/>
              <w:spacing w:line="360" w:lineRule="auto"/>
              <w:jc w:val="center"/>
            </w:pPr>
            <w:r>
              <w:rPr>
                <w:rFonts w:hint="eastAsia"/>
              </w:rPr>
              <w:t>西南铝业</w:t>
            </w:r>
          </w:p>
        </w:tc>
        <w:tc>
          <w:tcPr>
            <w:tcW w:w="1574" w:type="dxa"/>
            <w:shd w:val="clear" w:color="auto" w:fill="auto"/>
            <w:noWrap/>
            <w:vAlign w:val="center"/>
          </w:tcPr>
          <w:p>
            <w:pPr>
              <w:widowControl/>
              <w:jc w:val="center"/>
              <w:rPr>
                <w:rFonts w:hint="eastAsia"/>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tcPr>
          <w:p>
            <w:pPr>
              <w:adjustRightInd w:val="0"/>
              <w:snapToGrid w:val="0"/>
              <w:spacing w:line="360" w:lineRule="auto"/>
            </w:pPr>
            <w:r>
              <w:rPr>
                <w:rFonts w:hint="eastAsia"/>
              </w:rPr>
              <w:t>7.4.3温度波动度</w:t>
            </w:r>
          </w:p>
        </w:tc>
        <w:tc>
          <w:tcPr>
            <w:tcW w:w="3933" w:type="dxa"/>
            <w:shd w:val="clear" w:color="auto" w:fill="auto"/>
            <w:noWrap/>
          </w:tcPr>
          <w:p>
            <w:pPr>
              <w:adjustRightInd w:val="0"/>
              <w:snapToGrid w:val="0"/>
              <w:spacing w:line="360" w:lineRule="auto"/>
              <w:jc w:val="left"/>
              <w:rPr>
                <w:rFonts w:hint="eastAsia"/>
              </w:rPr>
            </w:pPr>
            <w:r>
              <w:pict>
                <v:shape id="_x0000_i1025" o:spt="75" type="#_x0000_t75" style="height:16.8pt;width:131.4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0&quot;/&gt;&lt;w:characterSpacingControl w:val=&quot;CompressPunctuation&quot;/&gt;&lt;w:documentProtection w:enforcement=&quot;off&quot;/&gt;&lt;w:punctuationKerning/&gt;&lt;w:doNotEmbedSystemFonts/&gt;&lt;w:bordersDontSurroundHeader/&gt;&lt;w:bordersDontSurroundFooter/&gt;&lt;w:defaultTabStop w:val=&quot;420&quot;/&gt;&lt;w:drawingGridHorizontalSpacing w:val=&quot;0&quot;/&gt;&lt;w:drawingGridVerticalSpacing w:val=&quot;156&quot;/&gt;&lt;w:displayHorizontalDrawingGridEvery w:val=&quot;0&quot;/&gt;&lt;w:displayVerticalDrawingGridEvery w:val=&quot;2&quot;/&gt;&lt;w:compat&gt;&lt;w:adjustLineHeightInTable/&gt;&lt;w:balanceSingleByteDoubleByteWidth/&gt;&lt;w:spaceForUL/&gt;&lt;w:wrapTextWithPunct/&gt;&lt;w:breakWrappedTables/&gt;&lt;w:useAsianBreakRules/&gt;&lt;w:dontGrowAutofit/&gt;&lt;w:useFELayout/&gt;&lt;/w:compat&gt;&lt;/w:docPr&gt;&lt;w:body&gt;&lt;wx:sect&gt;&lt;w:p&gt;&lt;m:oMathPara&gt;&lt;m:oMath&gt;&lt;m:sSub&gt;&lt;m:sSubPr&gt;&lt;m:ctrlPr&gt;&lt;w:rPr&gt;&lt;w:rFonts w:ascii=&quot;Cambria Math&quot; w:h-ansi=&quot;Cambria Math&quot; w:hint=&quot;default&quot;/&gt;&lt;w:sz w:val=&quot;24&quot;/&gt;&lt;/w:rPr&gt;&lt;/m:ctrlPr&gt;&lt;/m:sSubPr&gt;&lt;m:e&gt;&lt;m:r&gt;&lt;m:rPr&gt;&lt;m:sty m:val=&quot;p&quot;/&gt;&lt;m:scr m:val=&quot;roman&quot;/&gt;&lt;/m:rPr&gt;&lt;w:rPr&gt;&lt;w:rFonts w:ascii=&quot;Cambria Math&quot; w:h-ansi=&quot;Cambria Math&quot; w:hint=&quot;default&quot;/&gt;&lt;w:sz w:val=&quot;24&quot;/&gt;&lt;/w:rPr&gt;&lt;m:t&gt;鈭?/m:t&gt;&lt;/m:r&gt;&lt;m:r&gt;&lt;m:rPr&gt;&lt;m:scr m:val=&quot;roman&quot;/&gt;&lt;/m:rPr&gt;&lt;w:rPr&gt;&lt;w:rFonts w:ascii=&quot;Cambria Math&quot; w:h-ansi=&quot;Cambria M:sath&quot; w:hint=&quot;fareast&quot;/&gt;&lt;w:sz w:val=&quot;24&quot;/&gt;&lt;/w:rPr&gt;&lt;m:t&gt;t&lt;/m:t&gt;&lt;/m:r&gt;&lt;m:ctrlPr&gt;&lt;w:rPr&gt;&lt;w:rFonts w:ascii=&quot;Cambria Math&quot; w:h-ansi=&quot;Cambria Math&quot; w:hint=&quot;default&quot;/&gt;&lt;w:sz w:val=&quot;24&quot;/&gt;&lt;/w:rPr&gt;&lt;/m:ctrlPr&gt;&lt;/m:e&gt;&lt;m:sub&gt;&lt;m:r&gt;&lt;m:rPr&gt;&lt;m:sty m:val=&quot;p&quot;/&gt;&lt;m:scr m:val=&quot;roman&quot;/&gt;&lt;/m:rPr&gt;&lt;w:rPr&gt;&lt;w:rFonts w:ascii=&quot;Cambria Math&quot; w:h-ansi=&quot;Cambria Math&quot; w:hint=&quot;fareast&quot;/&gt;&lt;w:sz w:val=&quot;24&quot;/&gt;&lt;/w:rPr&gt;&lt;m:t&gt;f&lt;/m:t&gt;&lt;/m:r&gt;&lt;m:ctrlPr&gt;&lt;w:rPr&gt;&lt;w:rFonts w:ascii=&quot;Cambria Math&quot; w:h-ansi=&quot;Cambria Math&quot; w:hint=&quot;default&quot;/&gt;&lt;w:sz w:val=&quot;24&quot;/&gt;&lt;/w:rPr&gt;&lt;/m:ctrlPr&gt;&lt;/m:sub&gt;&lt;/m:sSub&gt;&lt;m:r&gt;&lt;m:rPr&gt;&lt;m:sty m:val=&quot;p&quot;/&gt;&lt;m:scr m:val=&quot;roman&quot;/&gt;&lt;/m:rPr&gt;&lt;w:rPr&gt;&lt;w:rFonts w:ascii=&quot;Cambria Math&quot; w:h-ansi=&quot;Cambria Math&quot; w:hint=&quot;fareast&quot;/&gt;&lt;w:sz w:val=&quot;24&quot;/&gt;&lt;/w:rPr&gt;&lt;m:t&gt;=&lt;/m:t&gt;&lt;/m:r&gt;&lt;m:func&gt;&lt;m:funcPr&gt;&lt;m:ctrlPr&gt;&lt;w:rPr&gt;&lt;w:rFonts w:ascii=&quot;Cambria Math&quot; w:h-ansi=&quot;Cambria Math&quot; w:hint=&quot;default&quot;/&gt;&lt;w:sz w:val=&quot;24&quot;/&gt;&lt;/w:rPr&gt;&lt;/m:ctrlPr&gt;&lt;/m:funcPr&gt;&lt;m:fName&gt;&lt;m:r&gt;&lt;m:rPr&gt;&lt;m:sty m:val=&quot;p&quot;/&gt;&lt;m:scr m:val=&quot;roman&quot;/&gt;&lt;/m:rPr&gt;&lt;w:rPr&gt;&lt;w:rFonts w:ascii=&quot;Cambria Math&quot; w:h-ansi=&quot;Cambria Math&quot; w:hint=&quot;default&quot;/&gt;&lt;w:sz w:val=&quot;24&quot;/&gt;&lt;/w:rPr&gt;&lt;m:t&gt;max&lt;/m:t&gt;&lt;/m:r&gt;&lt;m:ctrlPr&gt;&lt;w:rPr&gt;&lt;w:rFonts w:ascii=&quot;Cambria Math&quot; w:h-ansi=&quot;Cambria Math&quot; w:hint=&quot;default&quot;/&gt;&lt;w:sz w:val=&quot;24&quot;/&gt;&lt;/w:rPr&gt;&lt;/m:ctrlPr&gt;&lt;/m:fName&gt;&lt;m:e&gt;&lt;m:d&gt;&lt;m:dPr&gt;&lt;m:begChr m:val=&quot;锛?/&gt;&lt;m:endChr m:vaw:l=&quot;锛?/&gt;&lt;m:ctrlPr&gt;&lt;w:rPr&gt;&lt;w:rFonts w:ascii=&quot;Cambria Math&quot; w:h-ansi=&quot;Cambria Math&quot; w:hint=&quot;default&quot;/&gt;&lt;w:sz w:val=&quot;24&quot;/&gt;&lt;/w:rPr&gt;&lt;/m:ctrlPr&gt;&lt;/m:dPr&gt;&lt;m:e&gt;&lt;m:sSub&gt;&lt;m:sSubPr&gt;&lt;m:ctrlPr&gt;&lt;w:rPr&gt;&lt;w:rFonts w:ascii=&quot;Cambria Math&quot; w:h-ansi=&quot;Cambria Math&quot; w:hint=&quot;defaw:ult&quot;/&gt;&lt;w:sz w:val=&quot;24&quot;/&gt;&lt;/w:rPr&gt;&lt;/m:ctrlPr&gt;&lt;/m:sSubPr&gt;&lt;m:e&gt;&lt;m:r&gt;&lt;m:rPr&gt;&lt;m:scr m:val=&quot;roman&quot;/&gt;&lt;/m:rPr&gt;&lt;w:rPr&gt;&lt;w:rFonts w:ascii=&quot;Cambria Math&quot; w:h-ansi=&quot;Cambria Math&quot; w:hint=&quot;fareast&quot;/&gt;&lt;w:sz w:val=&quot;24&quot;/&gt;&lt;/w:rPr&gt;&lt;m:t&gt;t&lt;/m:t&gt;&lt;/m:r&gt;&lt;m:ctrlPr&gt;&lt;w:rPr&gt;&lt;w:rFonts w:ascii=&quot;Cambria Math&quot; w:h-ansi=&quot;Cambria Math&quot; w:hint=&quot;default&quot;/&gt;&lt;w:sz w:val=&quot;24&quot;/&gt;&lt;/w:rPr&gt;&lt;/m:ctrlPr&gt;&lt;/m:e&gt;&lt;m:sub&gt;&lt;m:r&gt;&lt;m:rPr&gt;&lt;m:scr m:val=&quot;roman&quot;/&gt;&lt;/m:rPr&gt;&lt;w:rPr&gt;&lt;w:rFonts w:ascii=&quot;Cambria Math&quot; w:h-ansi=&quot;Cambria Math&quot; w:hint=&quot;fareast&quot;/&gt;&lt;w:sz w:val=&quot;24&quot;/&gt;&lt;/w:rPr&gt;&lt;m:t&gt;j&lt;/m:t&gt;&lt;/m:r&gt;&lt;m:r&gt;&lt;m:rPr&gt;&lt;m:sty m:val=&quot;p&quot;/&gt;&lt;m:scr m:val=&quot;roman&quot;/&gt;&lt;/m:rPr&gt;&lt;w:rPr&gt;&lt;w:rFonts w:ascii=&quot;Cambria Math&quot; w:h-ansi=&quot;Cambria Math&quot; w:hint=&quot;default&quot;/&gt;&lt;w:sz w:val=&quot;24&quot;/&gt;&lt;/w:rPr&gt;&lt;m:t&gt; &lt;/m:t&gt;&lt;/m:r&gt;&lt;m:r&gt;&lt;m:rPr&gt;&lt;m:sty m:val=&quot;p&quot;/&gt;&lt;m:scr m:val=&quot;roman&quot;/&gt;&lt;/m:rPr&gt;&lt;w:rPr&gt;&lt;w:rFonts w:ascii=&quot;Cambria Math&quot; w:h-ansi=&quot;Cambria Math&quot; w:hint=&quot;fareast&quot;/&gt;&lt;w:sz w:val=&quot;24&quot;/&gt;&lt;/w:rPr&gt;&lt;m:t&gt;max&lt;/m:t&gt;&lt;/m:r&gt;&lt;m:ctrlPr&gt;&lt;w:rPr&gt;&lt;w:rFonts w:ascii=&quot;Cambria Math&quot; w:h-ansi=&quot;Cambria Math&quot; w:hint=&quot;default&quot;/&gt;&lt;w:sz w:val=&quot;24&quot;/&gt;&lt;/w:rPr&gt;&lt;/m:ctrlPr&gt;&lt;/m:sub&gt;&lt;/m:sSub&gt;&lt;m:r&gt;&lt;m:rPr&gt;&lt;m:sty m:val=&quot;p&quot;/&gt;&lt;m:scr m:val=&quot;roman&quot;/&gt;&lt;/m:rPr&gt;&lt;w:rPr&gt;&lt;w:rFonts w:ascii=&quot;Cambria Math&quot; w:h-ansi=&quot;Cambria Math&quot; w:fareast=&quot;MS Gothic&quot; w:cs=&quot;MS Gothic&quot; w:hint=&quot;fareast&quot;/&gt;&lt;w:sz w:val=&quot;24&quot;/&gt;&lt;/w:rPr&gt;&lt;m:t&gt;鈭?/m&quot;/:t&gt;&lt;/m:r&gt;&lt;m:sSub&gt;&lt;m:sSubPr&gt;&lt;m:ctrlPr&gt;&lt;w:rPr&gt;&lt;w:rFonts w:ascii=&quot;Cambria Math&quot; w:h-ansi=&quot;Cambria Math&quot; w:hint=&quot;default&quot;/&gt;&lt;w:sz w:val=&quot;24&quot;/&gt;&lt;/w:rPr&gt;&lt;/m:ctrlPr&gt;&lt;/m:sSubPr&gt;&lt;m:e&gt;&lt;m:r&gt;&lt;m:rPr&gt;&lt;m:scr m:val=&quot;roman&quot;/&gt;&lt;/m:rPr&gt;&lt;w:rPr&gt;&lt;w:rFonts w:ascii=&quot;Cambria Math&quot; w:h-ansi=&quot;Cambria Math&quot; w:hint=&quot;fareast&quot;/&gt;&lt;w:sz w:val=&quot;24&quot;/&gt;&lt;/w:rPr&gt;&lt;m:t&gt;t&lt;/m:t&gt;&lt;/m:r&gt;&lt;m:ctrlPr&gt;&lt;w:rPr&gt;&lt;w:rFonts w:ascii=&quot;Cambria Math&quot; w:h-ansi=&quot;Cambria Math&quot; w:hint=&quot;default&quot;/&gt;&lt;w:sz w:val=&quot;24&quot;/&gt;&lt;/w:rPr&gt;&lt;/m:ctrlPr&gt;&lt;/m:e&gt;&lt;m:sub&gt;&lt;m:r&gt;&lt;m:rPr&gt;&lt;m:scr m:val=&quot;roman&quot;/&gt;&lt;/m:rPr&gt;&lt;w:rPr&gt;&lt;w:rFonts w:ascii=&quot;Cambria Math&quot; w:h-ansi=&quot;Cambria Math&quot; w:hint=&quot;fareast&quot;/&gt;&lt;w:sz w:val=&quot;24&quot;/&gt;&lt;/w:rPr&gt;&lt;m:t&gt;j&lt;/m:t&gt;&lt;/m:r&gt;&lt;m:r&gt;&lt;m:rPr&gt;&lt;m:sty m:val=&quot;p&quot;/&gt;&lt;m:scr m:val=&quot;roman&quot;/&gt;&lt;/m:rPr&gt;&lt;w:rPr&gt;&lt;w:rFonts w:ascii=&quot;Cambria Math&quot; w:h-ansi=&quot;Cambria Math&quot; w:hint=&quot;default&quot;/&gt;&lt;w:sz w:val=&quot;24&quot;/&gt;&lt;/w:rPr&gt;&lt;m:t&gt; &lt;/m:t&gt;&lt;/m:r&gt;&lt;m:r&gt;&lt;m:rPr&gt;&lt;m:sty m:val=&quot;p&quot;/&gt;&lt;m:scr m:val=&quot;roman&quot;/&gt;&lt;/m:rPr&gt;&lt;w:rPr&gt;&lt;w:rFonts w:ascii=&quot;Cambria Math&quot; w:h-ansi=&quot;Cambria Math&quot; w:hint=&quot;fareast&quot;/&gt;&lt;w:sz w:val=&quot;24&quot;/&gt;&lt;/w:rPr&gt;&lt;m:t&gt;min&lt;/m:t&gt;&lt;/m:r&gt;&lt;m:ctrlPr&gt;&lt;w:rPr&gt;&lt;w:rFonts w:ascii=&quot;Cambria Math&quot; w:h-ansi=&quot;Cambria Math&quot; w:hint=&quot;default&quot;/&gt;&lt;w:sz w:val=&quot;24&quot;/&gt;&lt;/w:rPr&gt;&lt;/m:ctrlPr&gt;&lt;/m:sub&gt;&lt;/m:sSub&gt;&lt;m:r&gt;&lt;m:rPr&gt;&lt;m:sty m:val=&quot;p&quot;/&gt;&lt;m:scr m:val=&quot;roman&quot;/&gt;&lt;/m:rPr&gt;&lt;w:rPr&gt;&lt;w:rFonts w:ascii=&quot;Cambria Math&quot; w:h-ansi=&quot;Cambria Math&quot; w:hint=&quot;fareast&quot;/&gt;&lt;w:sz w:val=&quot;24&quot;/&gt;&lt;/w:rPr&gt;&lt;m:t&gt; &lt;/m:t&gt;&lt;/m:r&gt;&lt;m:ctrlPr&gt;&lt;w:rPr&gt;&lt;w:rFonts w:ascii=&quot;Cambria Math&quot; w:h-ansi=&quot;Cambria Math&quot; w:hint=&quot;default&quot;/&gt;&lt;w:sz w:val=&quot;24&quot;/&gt;&lt;/w:rPr&gt;&lt;/m:ctrlPr&gt;&lt;/m:e&gt;&lt;/m:d&gt;&lt;m:ctrlPr&gt;&lt;w:rPr&gt;&lt;w:rFonts w:ascii=&quot;Cambria Math&quot; w:h-ansi=&quot;Cambria Math&quot; w:hint=&quot;default&quot;/&gt;&lt;w:sz w:val=&quot;24&quot;/&gt;&lt;/w:rPr&gt;&lt;/m:ctrlPr&gt;&lt;/m:e&gt;&lt;/m:func&gt;&lt;/m:oMath&gt;&lt;/m:oMathPara&gt;&lt;/w:p&gt;&lt;/wx:sect&gt;&lt;/w:body&gt;&lt;/w:wordDocument">
                  <v:path/>
                  <v:fill on="f" focussize="0,0"/>
                  <v:stroke on="f" joinstyle="miter"/>
                  <v:imagedata r:id="rId11" o:title=""/>
                  <o:lock v:ext="edit" aspectratio="f"/>
                  <w10:wrap type="none"/>
                  <w10:anchorlock/>
                </v:shape>
              </w:pict>
            </w:r>
          </w:p>
          <w:p>
            <w:pPr>
              <w:adjustRightInd w:val="0"/>
              <w:snapToGrid w:val="0"/>
              <w:spacing w:line="360" w:lineRule="auto"/>
              <w:jc w:val="left"/>
              <w:rPr>
                <w:rFonts w:hint="eastAsia"/>
                <w:szCs w:val="21"/>
              </w:rPr>
            </w:pPr>
            <w:r>
              <w:rPr>
                <w:rFonts w:hint="eastAsia"/>
              </w:rPr>
              <w:t>公式（4）错误了，因为在前面计量特性要求温度波动度为</w:t>
            </w:r>
            <w:r>
              <w:rPr>
                <w:szCs w:val="21"/>
              </w:rPr>
              <w:t>±</w:t>
            </w:r>
            <w:r>
              <w:rPr>
                <w:rFonts w:hint="eastAsia"/>
                <w:szCs w:val="21"/>
              </w:rPr>
              <w:t>0.5℃，但从现公式是得不到</w:t>
            </w:r>
            <w:r>
              <w:rPr>
                <w:rFonts w:hint="eastAsia" w:ascii="宋体" w:hAnsi="宋体" w:cs="宋体"/>
                <w:szCs w:val="21"/>
              </w:rPr>
              <w:t>±</w:t>
            </w:r>
            <w:r>
              <w:rPr>
                <w:rFonts w:hint="eastAsia"/>
                <w:szCs w:val="21"/>
              </w:rPr>
              <w:t>号。</w:t>
            </w:r>
          </w:p>
          <w:p>
            <w:pPr>
              <w:adjustRightInd w:val="0"/>
              <w:snapToGrid w:val="0"/>
              <w:spacing w:line="360" w:lineRule="auto"/>
              <w:jc w:val="left"/>
              <w:rPr>
                <w:rFonts w:hint="eastAsia"/>
                <w:szCs w:val="21"/>
              </w:rPr>
            </w:pPr>
            <w:r>
              <w:rPr>
                <w:rFonts w:hint="eastAsia"/>
                <w:szCs w:val="21"/>
              </w:rPr>
              <w:t>建议改为：</w:t>
            </w:r>
          </w:p>
          <w:p>
            <w:pPr>
              <w:adjustRightInd w:val="0"/>
              <w:snapToGrid w:val="0"/>
              <w:spacing w:line="360" w:lineRule="auto"/>
              <w:jc w:val="left"/>
            </w:pPr>
            <w:r>
              <w:pict>
                <v:shape id="_x0000_i1026" o:spt="75" type="#_x0000_t75" style="height:19.8pt;width:164.4pt;" filled="f" o:preferrelative="t" stroked="f" coordsize="21600,21600">
                  <v:path/>
                  <v:fill on="f" focussize="0,0"/>
                  <v:stroke on="f" joinstyle="miter"/>
                  <v:imagedata r:id="rId12" o:title=""/>
                  <o:lock v:ext="edit" aspectratio="t"/>
                  <w10:wrap type="none"/>
                  <w10:anchorlock/>
                </v:shape>
              </w:pict>
            </w:r>
          </w:p>
          <w:p>
            <w:pPr>
              <w:adjustRightInd w:val="0"/>
              <w:snapToGrid w:val="0"/>
              <w:spacing w:line="360" w:lineRule="auto"/>
              <w:jc w:val="left"/>
            </w:pPr>
            <w:r>
              <w:rPr>
                <w:rFonts w:hint="eastAsia"/>
              </w:rPr>
              <w:t>或者保留原公式，但将计量特性</w:t>
            </w:r>
            <w:r>
              <w:rPr>
                <w:szCs w:val="21"/>
              </w:rPr>
              <w:t>±</w:t>
            </w:r>
            <w:r>
              <w:rPr>
                <w:rFonts w:hint="eastAsia"/>
                <w:szCs w:val="21"/>
              </w:rPr>
              <w:t>0.5℃改为0.5℃</w:t>
            </w:r>
          </w:p>
        </w:tc>
        <w:tc>
          <w:tcPr>
            <w:tcW w:w="1745" w:type="dxa"/>
            <w:shd w:val="clear" w:color="auto" w:fill="auto"/>
            <w:noWrap/>
          </w:tcPr>
          <w:p>
            <w:pPr>
              <w:adjustRightInd w:val="0"/>
              <w:snapToGrid w:val="0"/>
              <w:spacing w:line="360" w:lineRule="auto"/>
              <w:jc w:val="center"/>
            </w:pPr>
            <w:r>
              <w:rPr>
                <w:rFonts w:hint="eastAsia"/>
              </w:rPr>
              <w:t>西南铝业</w:t>
            </w:r>
          </w:p>
        </w:tc>
        <w:tc>
          <w:tcPr>
            <w:tcW w:w="1574" w:type="dxa"/>
            <w:shd w:val="clear" w:color="auto" w:fill="auto"/>
            <w:noWrap/>
            <w:vAlign w:val="center"/>
          </w:tcPr>
          <w:p>
            <w:pPr>
              <w:widowControl/>
              <w:jc w:val="center"/>
              <w:rPr>
                <w:rFonts w:hint="eastAsia"/>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tcPr>
          <w:p>
            <w:pPr>
              <w:adjustRightInd w:val="0"/>
              <w:snapToGrid w:val="0"/>
              <w:spacing w:line="360" w:lineRule="auto"/>
            </w:pPr>
            <w:r>
              <w:rPr>
                <w:rFonts w:hint="eastAsia"/>
              </w:rPr>
              <w:t>C.3.6扩展不确定度</w:t>
            </w:r>
          </w:p>
        </w:tc>
        <w:tc>
          <w:tcPr>
            <w:tcW w:w="3933" w:type="dxa"/>
            <w:shd w:val="clear" w:color="auto" w:fill="auto"/>
            <w:noWrap/>
          </w:tcPr>
          <w:p>
            <w:pPr>
              <w:adjustRightInd w:val="0"/>
              <w:snapToGrid w:val="0"/>
              <w:spacing w:line="360" w:lineRule="auto"/>
            </w:pPr>
            <w:r>
              <w:rPr>
                <w:rFonts w:hint="eastAsia"/>
              </w:rPr>
              <w:t>计算时采用了对数据舍去，不符合不确定度的评定要求，计算结果为0.4</w:t>
            </w:r>
            <w:r>
              <w:rPr>
                <w:rFonts w:hint="eastAsia" w:ascii="宋体" w:hAnsi="宋体" w:cs="宋体"/>
              </w:rPr>
              <w:t>℃。</w:t>
            </w:r>
          </w:p>
        </w:tc>
        <w:tc>
          <w:tcPr>
            <w:tcW w:w="1745" w:type="dxa"/>
            <w:shd w:val="clear" w:color="auto" w:fill="auto"/>
            <w:noWrap/>
          </w:tcPr>
          <w:p>
            <w:pPr>
              <w:adjustRightInd w:val="0"/>
              <w:snapToGrid w:val="0"/>
              <w:spacing w:line="360" w:lineRule="auto"/>
            </w:pPr>
            <w:r>
              <w:rPr>
                <w:rFonts w:hint="eastAsia"/>
              </w:rPr>
              <w:t>西南铝业</w:t>
            </w:r>
          </w:p>
        </w:tc>
        <w:tc>
          <w:tcPr>
            <w:tcW w:w="1574" w:type="dxa"/>
            <w:shd w:val="clear" w:color="auto" w:fill="auto"/>
            <w:noWrap/>
            <w:vAlign w:val="center"/>
          </w:tcPr>
          <w:p>
            <w:pPr>
              <w:widowControl/>
              <w:jc w:val="center"/>
              <w:rPr>
                <w:rFonts w:hint="eastAsia"/>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shd w:val="clear" w:color="auto" w:fill="auto"/>
            <w:noWrap/>
            <w:vAlign w:val="center"/>
          </w:tcPr>
          <w:p>
            <w:pPr>
              <w:pStyle w:val="302"/>
              <w:numPr>
                <w:ilvl w:val="0"/>
                <w:numId w:val="12"/>
              </w:numPr>
            </w:pPr>
          </w:p>
        </w:tc>
        <w:tc>
          <w:tcPr>
            <w:tcW w:w="1134" w:type="dxa"/>
            <w:shd w:val="clear" w:color="auto" w:fill="auto"/>
            <w:noWrap/>
          </w:tcPr>
          <w:p>
            <w:pPr>
              <w:adjustRightInd w:val="0"/>
              <w:snapToGrid w:val="0"/>
              <w:spacing w:line="360" w:lineRule="auto"/>
            </w:pPr>
            <w:r>
              <w:rPr>
                <w:rFonts w:hint="eastAsia"/>
              </w:rPr>
              <w:t>C.3测量结果不确定度的主要来源分析</w:t>
            </w:r>
          </w:p>
        </w:tc>
        <w:tc>
          <w:tcPr>
            <w:tcW w:w="3933" w:type="dxa"/>
            <w:shd w:val="clear" w:color="auto" w:fill="auto"/>
            <w:noWrap/>
          </w:tcPr>
          <w:p>
            <w:pPr>
              <w:adjustRightInd w:val="0"/>
              <w:snapToGrid w:val="0"/>
              <w:spacing w:line="360" w:lineRule="auto"/>
            </w:pPr>
            <w:r>
              <w:rPr>
                <w:rFonts w:hint="eastAsia"/>
              </w:rPr>
              <w:t>建议将标准器的稳定性加入标准不确定度分量</w:t>
            </w:r>
          </w:p>
        </w:tc>
        <w:tc>
          <w:tcPr>
            <w:tcW w:w="1745" w:type="dxa"/>
            <w:shd w:val="clear" w:color="auto" w:fill="auto"/>
            <w:noWrap/>
          </w:tcPr>
          <w:p>
            <w:pPr>
              <w:adjustRightInd w:val="0"/>
              <w:snapToGrid w:val="0"/>
              <w:spacing w:line="360" w:lineRule="auto"/>
            </w:pPr>
            <w:r>
              <w:rPr>
                <w:rFonts w:hint="eastAsia"/>
              </w:rPr>
              <w:t>西南铝业</w:t>
            </w:r>
          </w:p>
        </w:tc>
        <w:tc>
          <w:tcPr>
            <w:tcW w:w="1574" w:type="dxa"/>
            <w:shd w:val="clear" w:color="auto" w:fill="auto"/>
            <w:noWrap/>
            <w:vAlign w:val="center"/>
          </w:tcPr>
          <w:p>
            <w:pPr>
              <w:widowControl/>
              <w:jc w:val="center"/>
              <w:rPr>
                <w:rFonts w:hint="eastAsia"/>
                <w:bCs/>
                <w:color w:val="000000"/>
                <w:kern w:val="0"/>
                <w:szCs w:val="21"/>
              </w:rPr>
            </w:pPr>
            <w:r>
              <w:rPr>
                <w:rFonts w:hint="eastAsia"/>
                <w:bCs/>
                <w:color w:val="000000"/>
                <w:kern w:val="0"/>
                <w:szCs w:val="21"/>
              </w:rPr>
              <w:t>采纳</w:t>
            </w:r>
          </w:p>
        </w:tc>
      </w:tr>
    </w:tbl>
    <w:p>
      <w:pPr>
        <w:spacing w:line="400" w:lineRule="exact"/>
        <w:ind w:firstLine="420" w:firstLineChars="200"/>
      </w:pPr>
      <w:r>
        <w:rPr>
          <w:rFonts w:hint="eastAsia"/>
          <w:lang w:val="en-US" w:eastAsia="zh-CN"/>
        </w:rPr>
        <w:t>4</w:t>
      </w:r>
      <w:r>
        <w:rPr>
          <w:rFonts w:hint="eastAsia"/>
        </w:rPr>
        <w:t>）2024年</w:t>
      </w:r>
      <w:r>
        <w:rPr>
          <w:rFonts w:hint="eastAsia"/>
          <w:lang w:val="en-US" w:eastAsia="zh-CN"/>
        </w:rPr>
        <w:t>9</w:t>
      </w:r>
      <w:r>
        <w:rPr>
          <w:rFonts w:hint="eastAsia"/>
        </w:rPr>
        <w:t>月，</w:t>
      </w:r>
      <w:r>
        <w:rPr>
          <w:rFonts w:hint="eastAsia"/>
          <w:b w:val="0"/>
          <w:bCs w:val="0"/>
          <w:highlight w:val="none"/>
          <w:lang w:val="en-US" w:eastAsia="zh-CN"/>
        </w:rPr>
        <w:t>有色金属行业计量技术委员会发文《关于对&lt;电极式盐水比重计校准规范&gt;等14项行业计量技术规范征求意见的函》</w:t>
      </w:r>
      <w:r>
        <w:rPr>
          <w:rFonts w:hint="eastAsia" w:ascii="宋体" w:hAnsi="宋体" w:cs="宋体"/>
          <w:b w:val="0"/>
          <w:bCs w:val="0"/>
          <w:highlight w:val="none"/>
          <w:lang w:val="en-US" w:eastAsia="zh-CN"/>
        </w:rPr>
        <w:t>（有色计量委字〔</w:t>
      </w:r>
      <w:r>
        <w:rPr>
          <w:rFonts w:hint="eastAsia" w:ascii="宋体" w:hAnsi="宋体" w:eastAsia="宋体" w:cs="宋体"/>
          <w:b w:val="0"/>
          <w:bCs w:val="0"/>
          <w:highlight w:val="none"/>
          <w:lang w:val="en-US" w:eastAsia="zh-CN"/>
        </w:rPr>
        <w:t>2024</w:t>
      </w:r>
      <w:r>
        <w:rPr>
          <w:rFonts w:hint="eastAsia" w:ascii="宋体" w:hAnsi="宋体" w:cs="宋体"/>
          <w:b w:val="0"/>
          <w:bCs w:val="0"/>
          <w:highlight w:val="none"/>
          <w:lang w:val="en-US" w:eastAsia="zh-CN"/>
        </w:rPr>
        <w:t>〕</w:t>
      </w:r>
      <w:r>
        <w:rPr>
          <w:rFonts w:hint="eastAsia" w:ascii="宋体" w:hAnsi="宋体" w:eastAsia="宋体" w:cs="宋体"/>
          <w:b w:val="0"/>
          <w:bCs w:val="0"/>
          <w:highlight w:val="none"/>
          <w:lang w:val="en-US" w:eastAsia="zh-CN"/>
        </w:rPr>
        <w:t>12号</w:t>
      </w:r>
      <w:r>
        <w:rPr>
          <w:rFonts w:hint="eastAsia" w:ascii="宋体" w:hAnsi="宋体" w:cs="宋体"/>
          <w:b w:val="0"/>
          <w:bCs w:val="0"/>
          <w:highlight w:val="none"/>
          <w:lang w:val="en-US" w:eastAsia="zh-CN"/>
        </w:rPr>
        <w:t>），向</w:t>
      </w:r>
      <w:r>
        <w:rPr>
          <w:rFonts w:hint="eastAsia"/>
          <w:b w:val="0"/>
          <w:bCs w:val="0"/>
          <w:highlight w:val="none"/>
          <w:lang w:val="en-US" w:eastAsia="zh-CN"/>
        </w:rPr>
        <w:t>社会广泛征求意见</w:t>
      </w:r>
      <w:r>
        <w:rPr>
          <w:rFonts w:hint="eastAsia"/>
          <w:b w:val="0"/>
          <w:bCs w:val="0"/>
          <w:highlight w:val="none"/>
        </w:rPr>
        <w:t>。</w:t>
      </w:r>
      <w:r>
        <w:rPr>
          <w:rFonts w:hint="eastAsia"/>
          <w:lang w:val="en-US" w:eastAsia="zh-CN"/>
        </w:rPr>
        <w:t>编制组根据收到的意见进行修改，</w:t>
      </w:r>
      <w:r>
        <w:rPr>
          <w:rFonts w:hint="eastAsia"/>
        </w:rPr>
        <w:t>形成了《</w:t>
      </w:r>
      <w:r>
        <w:rPr>
          <w:rFonts w:hint="eastAsia"/>
          <w:szCs w:val="21"/>
          <w:lang w:eastAsia="zh-CN"/>
        </w:rPr>
        <w:t>冲击低温槽</w:t>
      </w:r>
      <w:r>
        <w:rPr>
          <w:rFonts w:hint="eastAsia" w:hAnsi="宋体"/>
          <w:bCs/>
          <w:szCs w:val="21"/>
        </w:rPr>
        <w:t>校准规范</w:t>
      </w:r>
      <w:r>
        <w:rPr>
          <w:rFonts w:hint="eastAsia"/>
        </w:rPr>
        <w:t>-</w:t>
      </w:r>
      <w:r>
        <w:rPr>
          <w:rFonts w:hint="eastAsia"/>
          <w:lang w:val="en-US" w:eastAsia="zh-CN"/>
        </w:rPr>
        <w:t>预审</w:t>
      </w:r>
      <w:r>
        <w:rPr>
          <w:rFonts w:hint="eastAsia"/>
        </w:rPr>
        <w:t>稿》。</w:t>
      </w:r>
      <w:bookmarkStart w:id="80" w:name="_GoBack"/>
      <w:bookmarkEnd w:id="80"/>
    </w:p>
    <w:p>
      <w:pPr>
        <w:pStyle w:val="74"/>
        <w:ind w:firstLine="536"/>
      </w:pPr>
      <w:r>
        <w:rPr>
          <w:rFonts w:hint="eastAsia"/>
        </w:rPr>
        <w:t>编制原则和</w:t>
      </w:r>
      <w:bookmarkEnd w:id="14"/>
      <w:r>
        <w:rPr>
          <w:rFonts w:hint="eastAsia"/>
        </w:rPr>
        <w:t>依据</w:t>
      </w:r>
    </w:p>
    <w:p>
      <w:pPr>
        <w:pStyle w:val="79"/>
      </w:pPr>
      <w:bookmarkStart w:id="15" w:name="_Toc464728925"/>
      <w:r>
        <w:rPr>
          <w:rFonts w:hint="eastAsia"/>
        </w:rPr>
        <w:t>编制原则</w:t>
      </w:r>
      <w:bookmarkEnd w:id="15"/>
    </w:p>
    <w:p>
      <w:pPr>
        <w:pStyle w:val="58"/>
        <w:rPr>
          <w:rFonts w:eastAsia="宋体"/>
          <w:color w:val="auto"/>
          <w:szCs w:val="20"/>
        </w:rPr>
      </w:pPr>
      <w:bookmarkStart w:id="16" w:name="_Toc464728926"/>
      <w:r>
        <w:rPr>
          <w:rFonts w:eastAsia="宋体"/>
          <w:color w:val="auto"/>
          <w:szCs w:val="20"/>
        </w:rPr>
        <w:t>本规范是以JJF 1071-2010《国家计量校准规范编写规则》、JJF 1001-2011《通用计量术语及定义》和JJF 1059.1-2012《测量不确定度评定与表示》为基础性系列规范进行编写。</w:t>
      </w:r>
    </w:p>
    <w:p>
      <w:pPr>
        <w:spacing w:line="360" w:lineRule="auto"/>
        <w:ind w:firstLine="420" w:firstLineChars="200"/>
        <w:rPr>
          <w:kern w:val="0"/>
          <w:sz w:val="24"/>
          <w:szCs w:val="20"/>
        </w:rPr>
      </w:pPr>
      <w:r>
        <w:rPr>
          <w:rFonts w:hint="eastAsia"/>
          <w:szCs w:val="21"/>
        </w:rPr>
        <w:t>本</w:t>
      </w:r>
      <w:r>
        <w:rPr>
          <w:rFonts w:hint="eastAsia"/>
          <w:kern w:val="0"/>
          <w:szCs w:val="20"/>
        </w:rPr>
        <w:t>规范引用了JJF 2019-2022液体恒温试验设备温度性能测试规范，主要参考了</w:t>
      </w:r>
      <w:r>
        <w:rPr>
          <w:kern w:val="0"/>
          <w:sz w:val="24"/>
          <w:szCs w:val="20"/>
        </w:rPr>
        <w:t>GB/T 2</w:t>
      </w:r>
      <w:r>
        <w:rPr>
          <w:color w:val="000000" w:themeColor="text1"/>
          <w:kern w:val="0"/>
          <w:sz w:val="24"/>
          <w:szCs w:val="20"/>
          <w14:textFill>
            <w14:solidFill>
              <w14:schemeClr w14:val="tx1"/>
            </w14:solidFill>
          </w14:textFill>
        </w:rPr>
        <w:t>29</w:t>
      </w:r>
      <w:r>
        <w:rPr>
          <w:rFonts w:hint="eastAsia"/>
          <w:color w:val="000000" w:themeColor="text1"/>
          <w:kern w:val="0"/>
          <w:sz w:val="24"/>
          <w:szCs w:val="20"/>
          <w14:textFill>
            <w14:solidFill>
              <w14:schemeClr w14:val="tx1"/>
            </w14:solidFill>
          </w14:textFill>
        </w:rPr>
        <w:t>-2020</w:t>
      </w:r>
      <w:r>
        <w:rPr>
          <w:kern w:val="0"/>
          <w:szCs w:val="20"/>
        </w:rPr>
        <w:t>金属材料</w:t>
      </w:r>
      <w:r>
        <w:rPr>
          <w:rFonts w:hint="eastAsia"/>
          <w:kern w:val="0"/>
          <w:szCs w:val="20"/>
        </w:rPr>
        <w:t>夏比摆锤冲击试验方法、</w:t>
      </w:r>
      <w:r>
        <w:rPr>
          <w:kern w:val="0"/>
          <w:sz w:val="24"/>
          <w:szCs w:val="20"/>
        </w:rPr>
        <w:t>JJ</w:t>
      </w:r>
      <w:r>
        <w:rPr>
          <w:rFonts w:hint="eastAsia"/>
          <w:kern w:val="0"/>
          <w:sz w:val="24"/>
          <w:szCs w:val="20"/>
        </w:rPr>
        <w:t>F</w:t>
      </w:r>
      <w:r>
        <w:rPr>
          <w:kern w:val="0"/>
          <w:sz w:val="24"/>
          <w:szCs w:val="20"/>
        </w:rPr>
        <w:t>1</w:t>
      </w:r>
      <w:r>
        <w:rPr>
          <w:rFonts w:hint="eastAsia"/>
          <w:kern w:val="0"/>
          <w:sz w:val="24"/>
          <w:szCs w:val="20"/>
        </w:rPr>
        <w:t>030</w:t>
      </w:r>
      <w:r>
        <w:rPr>
          <w:kern w:val="0"/>
          <w:sz w:val="24"/>
          <w:szCs w:val="20"/>
        </w:rPr>
        <w:t>-201</w:t>
      </w:r>
      <w:r>
        <w:rPr>
          <w:rFonts w:hint="eastAsia"/>
          <w:kern w:val="0"/>
          <w:sz w:val="24"/>
          <w:szCs w:val="20"/>
        </w:rPr>
        <w:t>0恒温槽技术性能测试规范</w:t>
      </w:r>
      <w:r>
        <w:rPr>
          <w:kern w:val="0"/>
          <w:szCs w:val="20"/>
        </w:rPr>
        <w:t>等相关内容。</w:t>
      </w:r>
      <w:r>
        <w:rPr>
          <w:rFonts w:hint="eastAsia"/>
          <w:kern w:val="0"/>
          <w:szCs w:val="20"/>
        </w:rPr>
        <w:t>提出了冲击试验低温槽计量特性的要求，制定了基本原则和编制依据，可对冲击试验低温槽进行校准，解决了目前没有冲击试验低温槽校准方</w:t>
      </w:r>
      <w:r>
        <w:rPr>
          <w:rFonts w:hint="eastAsia"/>
          <w:szCs w:val="21"/>
        </w:rPr>
        <w:t>法的难题。</w:t>
      </w:r>
    </w:p>
    <w:p>
      <w:pPr>
        <w:pStyle w:val="79"/>
        <w:rPr>
          <w:rFonts w:ascii="宋体" w:hAnsi="宋体"/>
        </w:rPr>
      </w:pPr>
      <w:r>
        <w:rPr>
          <w:rFonts w:hint="eastAsia"/>
        </w:rPr>
        <w:t>确定主要内</w:t>
      </w:r>
      <w:bookmarkEnd w:id="16"/>
      <w:r>
        <w:rPr>
          <w:rFonts w:hint="eastAsia"/>
        </w:rPr>
        <w:t>容</w:t>
      </w:r>
    </w:p>
    <w:p>
      <w:pPr>
        <w:pStyle w:val="61"/>
        <w:ind w:firstLine="0" w:firstLineChars="0"/>
      </w:pPr>
      <w:bookmarkStart w:id="17" w:name="_Toc500258929"/>
      <w:bookmarkStart w:id="18" w:name="_Toc193860027"/>
      <w:bookmarkStart w:id="19" w:name="_Toc193860177"/>
      <w:bookmarkStart w:id="20" w:name="_Toc193860208"/>
      <w:bookmarkStart w:id="21" w:name="_Toc23837_WPSOffice_Level1"/>
      <w:bookmarkStart w:id="22" w:name="_Toc464728964"/>
      <w:r>
        <w:t>1</w:t>
      </w:r>
      <w:r>
        <w:rPr>
          <w:rFonts w:hint="eastAsia"/>
        </w:rPr>
        <w:t xml:space="preserve"> 范围</w:t>
      </w:r>
      <w:bookmarkEnd w:id="17"/>
      <w:bookmarkEnd w:id="18"/>
      <w:bookmarkEnd w:id="19"/>
      <w:bookmarkEnd w:id="20"/>
      <w:bookmarkEnd w:id="21"/>
    </w:p>
    <w:p>
      <w:pPr>
        <w:widowControl/>
        <w:spacing w:line="360" w:lineRule="auto"/>
        <w:ind w:firstLine="420" w:firstLineChars="200"/>
        <w:rPr>
          <w:szCs w:val="21"/>
        </w:rPr>
      </w:pPr>
      <w:bookmarkStart w:id="23" w:name="_Toc193860178"/>
      <w:bookmarkStart w:id="24" w:name="_Toc193860028"/>
      <w:bookmarkStart w:id="25" w:name="_Toc193860209"/>
      <w:bookmarkStart w:id="26" w:name="_Toc7848_WPSOffice_Level1"/>
      <w:bookmarkStart w:id="27" w:name="_Toc500258930"/>
      <w:r>
        <w:rPr>
          <w:bCs/>
          <w:szCs w:val="21"/>
        </w:rPr>
        <w:t>本规范适用于温度（</w:t>
      </w:r>
      <w:r>
        <w:rPr>
          <w:rFonts w:hint="eastAsia"/>
          <w:bCs/>
          <w:szCs w:val="21"/>
        </w:rPr>
        <w:t>-80℃~+30℃）冲击试验低温槽</w:t>
      </w:r>
      <w:r>
        <w:rPr>
          <w:bCs/>
          <w:szCs w:val="21"/>
        </w:rPr>
        <w:t>的校准。</w:t>
      </w:r>
    </w:p>
    <w:p>
      <w:pPr>
        <w:pStyle w:val="61"/>
        <w:ind w:firstLine="0" w:firstLineChars="0"/>
      </w:pPr>
      <w:r>
        <w:t>2</w:t>
      </w:r>
      <w:r>
        <w:rPr>
          <w:rFonts w:hint="eastAsia"/>
        </w:rPr>
        <w:t xml:space="preserve"> 引用文</w:t>
      </w:r>
      <w:bookmarkEnd w:id="23"/>
      <w:bookmarkEnd w:id="24"/>
      <w:bookmarkEnd w:id="25"/>
      <w:r>
        <w:rPr>
          <w:rFonts w:hint="eastAsia"/>
        </w:rPr>
        <w:t>件</w:t>
      </w:r>
      <w:bookmarkEnd w:id="26"/>
      <w:bookmarkEnd w:id="27"/>
    </w:p>
    <w:p>
      <w:pPr>
        <w:spacing w:line="360" w:lineRule="auto"/>
        <w:ind w:firstLine="420" w:firstLineChars="200"/>
        <w:rPr>
          <w:color w:val="000000" w:themeColor="text1"/>
          <w:kern w:val="0"/>
          <w:szCs w:val="21"/>
          <w14:textFill>
            <w14:solidFill>
              <w14:schemeClr w14:val="tx1"/>
            </w14:solidFill>
          </w14:textFill>
        </w:rPr>
      </w:pPr>
      <w:bookmarkStart w:id="28" w:name="_Toc193619097"/>
      <w:bookmarkStart w:id="29" w:name="_Toc500258937"/>
      <w:bookmarkStart w:id="30" w:name="_Toc193619055"/>
      <w:bookmarkStart w:id="31" w:name="_Toc193860211"/>
      <w:bookmarkStart w:id="32" w:name="_Toc193860030"/>
      <w:bookmarkStart w:id="33" w:name="_Toc193860180"/>
      <w:bookmarkStart w:id="34" w:name="_Toc13054_WPSOffice_Level1"/>
      <w:bookmarkStart w:id="35" w:name="_Toc193618952"/>
      <w:r>
        <w:rPr>
          <w:rFonts w:hint="eastAsia"/>
          <w:bCs/>
          <w:szCs w:val="21"/>
        </w:rPr>
        <w:t>本规范主要计量特征性参数引</w:t>
      </w:r>
      <w:r>
        <w:rPr>
          <w:rFonts w:hint="eastAsia"/>
          <w:color w:val="000000" w:themeColor="text1"/>
          <w:kern w:val="0"/>
          <w:szCs w:val="21"/>
          <w14:textFill>
            <w14:solidFill>
              <w14:schemeClr w14:val="tx1"/>
            </w14:solidFill>
          </w14:textFill>
        </w:rPr>
        <w:t>自JJF 2019-2022液体恒温试验设备温度性</w:t>
      </w:r>
      <w:r>
        <w:rPr>
          <w:rFonts w:hint="eastAsia"/>
          <w:bCs/>
          <w:szCs w:val="21"/>
        </w:rPr>
        <w:t>能测试规范相关内容。校准方法引自</w:t>
      </w:r>
      <w:r>
        <w:rPr>
          <w:rFonts w:hint="eastAsia"/>
          <w:color w:val="000000" w:themeColor="text1"/>
          <w:kern w:val="0"/>
          <w:szCs w:val="21"/>
          <w14:textFill>
            <w14:solidFill>
              <w14:schemeClr w14:val="tx1"/>
            </w14:solidFill>
          </w14:textFill>
        </w:rPr>
        <w:t>JJF 2019-2022 液体恒温试验设备温度性能测试规范。</w:t>
      </w:r>
    </w:p>
    <w:p>
      <w:pPr>
        <w:pStyle w:val="61"/>
        <w:ind w:firstLine="0" w:firstLineChars="0"/>
      </w:pPr>
      <w:r>
        <w:rPr>
          <w:rFonts w:hint="eastAsia"/>
        </w:rPr>
        <w:t>3 概述</w:t>
      </w:r>
      <w:bookmarkEnd w:id="28"/>
      <w:bookmarkEnd w:id="29"/>
      <w:bookmarkEnd w:id="30"/>
      <w:bookmarkEnd w:id="31"/>
      <w:bookmarkEnd w:id="32"/>
      <w:bookmarkEnd w:id="33"/>
      <w:bookmarkEnd w:id="34"/>
      <w:bookmarkEnd w:id="35"/>
    </w:p>
    <w:p>
      <w:pPr>
        <w:pStyle w:val="61"/>
        <w:rPr>
          <w:rFonts w:ascii="Times New Roman" w:hAnsi="Times New Roman" w:eastAsia="宋体"/>
          <w:bCs/>
          <w:kern w:val="2"/>
        </w:rPr>
      </w:pPr>
      <w:bookmarkStart w:id="36" w:name="_Toc193860031"/>
      <w:bookmarkStart w:id="37" w:name="_Toc193619056"/>
      <w:bookmarkStart w:id="38" w:name="_Toc19851_WPSOffice_Level1"/>
      <w:bookmarkStart w:id="39" w:name="_Toc193619098"/>
      <w:bookmarkStart w:id="40" w:name="_Toc193860181"/>
      <w:bookmarkStart w:id="41" w:name="_Toc193860212"/>
      <w:bookmarkStart w:id="42" w:name="_Toc193618953"/>
      <w:bookmarkStart w:id="43" w:name="_Toc500258938"/>
      <w:r>
        <w:rPr>
          <w:rFonts w:hint="eastAsia" w:ascii="Times New Roman" w:hAnsi="Times New Roman" w:eastAsia="宋体"/>
          <w:bCs/>
          <w:kern w:val="2"/>
        </w:rPr>
        <w:t>冲击试验低温槽（以下简称低温槽）是以电为能源，以乙醇和防冻液为制冷介质，在某一规定的时间内，通过压缩机制冷。低温槽主要由槽体、制冷装置和温度控制系统组成。</w:t>
      </w:r>
    </w:p>
    <w:p>
      <w:pPr>
        <w:pStyle w:val="61"/>
        <w:ind w:firstLine="0" w:firstLineChars="0"/>
      </w:pPr>
      <w:r>
        <w:rPr>
          <w:rFonts w:hint="eastAsia"/>
        </w:rPr>
        <w:t>4 计量特性</w:t>
      </w:r>
      <w:bookmarkEnd w:id="36"/>
      <w:bookmarkEnd w:id="37"/>
      <w:bookmarkEnd w:id="38"/>
      <w:bookmarkEnd w:id="39"/>
      <w:bookmarkEnd w:id="40"/>
      <w:bookmarkEnd w:id="41"/>
      <w:bookmarkEnd w:id="42"/>
      <w:bookmarkEnd w:id="43"/>
    </w:p>
    <w:p>
      <w:pPr>
        <w:spacing w:line="360" w:lineRule="auto"/>
        <w:ind w:firstLine="420" w:firstLineChars="200"/>
        <w:rPr>
          <w:bCs/>
        </w:rPr>
      </w:pPr>
      <w:r>
        <w:rPr>
          <w:rFonts w:hint="eastAsia" w:cstheme="majorBidi"/>
          <w:bCs/>
          <w:kern w:val="44"/>
        </w:rPr>
        <w:t>根据实际使用情况，并于</w:t>
      </w:r>
      <w:r>
        <w:rPr>
          <w:rFonts w:hint="eastAsia"/>
          <w:szCs w:val="21"/>
        </w:rPr>
        <w:t>中国石油集团工程材料研究院有限公司、中国船舶集团有限公司第七二五研究所、西安摩尔石油工程实验室股份有限公司、广东省阳江市质量计量监督检测所，西南铝业（集团）有限责任公司，</w:t>
      </w:r>
      <w:r>
        <w:rPr>
          <w:rFonts w:hint="eastAsia" w:cstheme="majorBidi"/>
          <w:bCs/>
          <w:kern w:val="44"/>
        </w:rPr>
        <w:t>结合</w:t>
      </w:r>
      <w:r>
        <w:rPr>
          <w:rFonts w:hint="eastAsia"/>
          <w:color w:val="000000" w:themeColor="text1"/>
          <w:kern w:val="0"/>
          <w:sz w:val="24"/>
          <w:szCs w:val="20"/>
          <w14:textFill>
            <w14:solidFill>
              <w14:schemeClr w14:val="tx1"/>
            </w14:solidFill>
          </w14:textFill>
        </w:rPr>
        <w:t>JJF 2019-2022</w:t>
      </w:r>
      <w:r>
        <w:rPr>
          <w:rFonts w:hint="eastAsia" w:cstheme="majorBidi"/>
          <w:bCs/>
          <w:kern w:val="44"/>
        </w:rPr>
        <w:t>的内容，确定了冲击试验低温槽</w:t>
      </w:r>
      <w:r>
        <w:rPr>
          <w:rFonts w:hint="eastAsia"/>
          <w:bCs/>
        </w:rPr>
        <w:t>的计量特性有：</w:t>
      </w:r>
    </w:p>
    <w:p>
      <w:pPr>
        <w:ind w:firstLine="420" w:firstLineChars="200"/>
        <w:rPr>
          <w:szCs w:val="21"/>
        </w:rPr>
      </w:pPr>
      <w:bookmarkStart w:id="44" w:name="_Toc25829_WPSOffice_Level1"/>
      <w:r>
        <w:rPr>
          <w:szCs w:val="21"/>
        </w:rPr>
        <w:t>计量特性包括温</w:t>
      </w:r>
      <w:r>
        <w:rPr>
          <w:rFonts w:hint="eastAsia"/>
          <w:szCs w:val="21"/>
        </w:rPr>
        <w:t>度</w:t>
      </w:r>
      <w:r>
        <w:rPr>
          <w:szCs w:val="21"/>
        </w:rPr>
        <w:t>偏差、</w:t>
      </w:r>
      <w:r>
        <w:rPr>
          <w:rFonts w:hint="eastAsia"/>
          <w:szCs w:val="21"/>
        </w:rPr>
        <w:t>温度均匀度</w:t>
      </w:r>
      <w:r>
        <w:rPr>
          <w:szCs w:val="21"/>
        </w:rPr>
        <w:t>和</w:t>
      </w:r>
      <w:r>
        <w:rPr>
          <w:rFonts w:hint="eastAsia"/>
          <w:szCs w:val="21"/>
        </w:rPr>
        <w:t>温度波动度</w:t>
      </w:r>
      <w:r>
        <w:rPr>
          <w:szCs w:val="21"/>
        </w:rPr>
        <w:t>，见表1。</w:t>
      </w:r>
    </w:p>
    <w:p>
      <w:pPr>
        <w:pStyle w:val="58"/>
        <w:tabs>
          <w:tab w:val="center" w:pos="4887"/>
          <w:tab w:val="left" w:pos="6036"/>
        </w:tabs>
        <w:rPr>
          <w:rFonts w:eastAsia="宋体"/>
          <w:color w:val="auto"/>
          <w:kern w:val="2"/>
        </w:rPr>
      </w:pPr>
      <w:bookmarkStart w:id="45" w:name="_Toc3844_WPSOffice_Level1"/>
      <w:r>
        <w:rPr>
          <w:rFonts w:eastAsia="宋体"/>
          <w:color w:val="auto"/>
          <w:kern w:val="2"/>
        </w:rPr>
        <w:tab/>
      </w:r>
      <w:r>
        <w:rPr>
          <w:rFonts w:eastAsia="宋体"/>
          <w:color w:val="auto"/>
          <w:kern w:val="2"/>
        </w:rPr>
        <w:t>表1</w:t>
      </w:r>
      <w:r>
        <w:rPr>
          <w:rFonts w:hint="eastAsia" w:eastAsia="宋体"/>
          <w:color w:val="auto"/>
          <w:kern w:val="2"/>
        </w:rPr>
        <w:t xml:space="preserve">  </w:t>
      </w:r>
      <w:r>
        <w:rPr>
          <w:rFonts w:eastAsia="宋体"/>
          <w:color w:val="auto"/>
          <w:kern w:val="2"/>
        </w:rPr>
        <w:t>计量特性</w:t>
      </w:r>
      <w:r>
        <w:rPr>
          <w:rFonts w:eastAsia="宋体"/>
          <w:color w:val="auto"/>
          <w:kern w:val="2"/>
        </w:rPr>
        <w:tab/>
      </w:r>
    </w:p>
    <w:tbl>
      <w:tblPr>
        <w:tblStyle w:val="4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2380"/>
        <w:gridCol w:w="2380"/>
        <w:gridCol w:w="2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66" w:type="pct"/>
            <w:tcBorders>
              <w:tl2br w:val="nil"/>
              <w:tr2bl w:val="nil"/>
            </w:tcBorders>
            <w:vAlign w:val="center"/>
          </w:tcPr>
          <w:p>
            <w:pPr>
              <w:spacing w:line="360" w:lineRule="auto"/>
              <w:jc w:val="center"/>
              <w:rPr>
                <w:szCs w:val="21"/>
              </w:rPr>
            </w:pPr>
            <w:r>
              <w:rPr>
                <w:szCs w:val="21"/>
              </w:rPr>
              <w:t>试验温度</w:t>
            </w:r>
            <w:r>
              <w:rPr>
                <w:i/>
                <w:szCs w:val="21"/>
              </w:rPr>
              <w:t>T</w:t>
            </w:r>
          </w:p>
        </w:tc>
        <w:tc>
          <w:tcPr>
            <w:tcW w:w="1244" w:type="pct"/>
            <w:tcBorders>
              <w:tl2br w:val="nil"/>
              <w:tr2bl w:val="nil"/>
            </w:tcBorders>
            <w:vAlign w:val="center"/>
          </w:tcPr>
          <w:p>
            <w:pPr>
              <w:spacing w:line="360" w:lineRule="auto"/>
              <w:jc w:val="center"/>
              <w:rPr>
                <w:szCs w:val="21"/>
              </w:rPr>
            </w:pPr>
            <w:r>
              <w:rPr>
                <w:rFonts w:hint="eastAsia"/>
                <w:szCs w:val="21"/>
              </w:rPr>
              <w:t>温度</w:t>
            </w:r>
            <w:r>
              <w:rPr>
                <w:szCs w:val="21"/>
              </w:rPr>
              <w:t>偏差</w:t>
            </w:r>
          </w:p>
        </w:tc>
        <w:tc>
          <w:tcPr>
            <w:tcW w:w="1244" w:type="pct"/>
            <w:tcBorders>
              <w:tl2br w:val="nil"/>
              <w:tr2bl w:val="nil"/>
            </w:tcBorders>
            <w:vAlign w:val="center"/>
          </w:tcPr>
          <w:p>
            <w:pPr>
              <w:spacing w:line="360" w:lineRule="auto"/>
              <w:jc w:val="center"/>
              <w:rPr>
                <w:szCs w:val="21"/>
              </w:rPr>
            </w:pPr>
            <w:r>
              <w:rPr>
                <w:rFonts w:hint="eastAsia"/>
                <w:szCs w:val="21"/>
              </w:rPr>
              <w:t>温度均匀度</w:t>
            </w:r>
          </w:p>
        </w:tc>
        <w:tc>
          <w:tcPr>
            <w:tcW w:w="1246" w:type="pct"/>
            <w:tcBorders>
              <w:tl2br w:val="nil"/>
              <w:tr2bl w:val="nil"/>
            </w:tcBorders>
          </w:tcPr>
          <w:p>
            <w:pPr>
              <w:spacing w:line="360" w:lineRule="auto"/>
              <w:jc w:val="center"/>
              <w:rPr>
                <w:szCs w:val="21"/>
              </w:rPr>
            </w:pPr>
            <w:r>
              <w:rPr>
                <w:rFonts w:hint="eastAsia"/>
                <w:szCs w:val="21"/>
              </w:rPr>
              <w:t>温度波动度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6" w:type="pct"/>
            <w:tcBorders>
              <w:tl2br w:val="nil"/>
              <w:tr2bl w:val="nil"/>
            </w:tcBorders>
            <w:vAlign w:val="center"/>
          </w:tcPr>
          <w:p>
            <w:pPr>
              <w:widowControl/>
              <w:spacing w:line="360" w:lineRule="auto"/>
              <w:jc w:val="center"/>
              <w:rPr>
                <w:szCs w:val="21"/>
              </w:rPr>
            </w:pPr>
            <w:r>
              <w:rPr>
                <w:rFonts w:hint="eastAsia"/>
                <w:szCs w:val="21"/>
              </w:rPr>
              <w:t>-80</w:t>
            </w:r>
            <w:r>
              <w:rPr>
                <w:szCs w:val="21"/>
              </w:rPr>
              <w:t>℃~30℃</w:t>
            </w:r>
          </w:p>
        </w:tc>
        <w:tc>
          <w:tcPr>
            <w:tcW w:w="1244" w:type="pct"/>
            <w:tcBorders>
              <w:tl2br w:val="nil"/>
              <w:tr2bl w:val="nil"/>
            </w:tcBorders>
            <w:vAlign w:val="center"/>
          </w:tcPr>
          <w:p>
            <w:pPr>
              <w:widowControl/>
              <w:spacing w:line="360" w:lineRule="auto"/>
              <w:jc w:val="center"/>
              <w:rPr>
                <w:szCs w:val="21"/>
              </w:rPr>
            </w:pPr>
            <w:r>
              <w:rPr>
                <w:szCs w:val="21"/>
              </w:rPr>
              <w:t>±1.0℃</w:t>
            </w:r>
          </w:p>
        </w:tc>
        <w:tc>
          <w:tcPr>
            <w:tcW w:w="1244" w:type="pct"/>
            <w:tcBorders>
              <w:tl2br w:val="nil"/>
              <w:tr2bl w:val="nil"/>
            </w:tcBorders>
            <w:vAlign w:val="center"/>
          </w:tcPr>
          <w:p>
            <w:pPr>
              <w:widowControl/>
              <w:spacing w:line="360" w:lineRule="auto"/>
              <w:jc w:val="center"/>
              <w:rPr>
                <w:szCs w:val="21"/>
              </w:rPr>
            </w:pPr>
            <w:r>
              <w:rPr>
                <w:rFonts w:hint="eastAsia"/>
                <w:szCs w:val="21"/>
              </w:rPr>
              <w:t>1.0</w:t>
            </w:r>
            <w:r>
              <w:rPr>
                <w:szCs w:val="21"/>
              </w:rPr>
              <w:t>℃</w:t>
            </w:r>
          </w:p>
        </w:tc>
        <w:tc>
          <w:tcPr>
            <w:tcW w:w="1246" w:type="pct"/>
            <w:tcBorders>
              <w:tl2br w:val="nil"/>
              <w:tr2bl w:val="nil"/>
            </w:tcBorders>
            <w:vAlign w:val="center"/>
          </w:tcPr>
          <w:p>
            <w:pPr>
              <w:widowControl/>
              <w:spacing w:line="360" w:lineRule="auto"/>
              <w:jc w:val="center"/>
              <w:rPr>
                <w:szCs w:val="21"/>
              </w:rPr>
            </w:pPr>
            <w:r>
              <w:rPr>
                <w:rFonts w:hint="eastAsia"/>
                <w:szCs w:val="21"/>
              </w:rPr>
              <w:t>0.5℃</w:t>
            </w:r>
          </w:p>
        </w:tc>
      </w:tr>
      <w:bookmarkEnd w:id="45"/>
    </w:tbl>
    <w:p>
      <w:pPr>
        <w:spacing w:line="360" w:lineRule="auto"/>
        <w:ind w:firstLine="420" w:firstLineChars="200"/>
        <w:rPr>
          <w:rFonts w:hint="eastAsia"/>
        </w:rPr>
      </w:pPr>
      <w:r>
        <w:rPr>
          <w:rFonts w:hint="eastAsia"/>
        </w:rPr>
        <w:t>在征求意见过程中，西南铝业建议重新描述计量特性，结合本文内容，</w:t>
      </w:r>
      <w:r>
        <w:rPr>
          <w:rFonts w:hint="eastAsia"/>
          <w:bCs/>
        </w:rPr>
        <w:t>对规范中温度波动度</w:t>
      </w:r>
      <w:r>
        <w:rPr>
          <w:rFonts w:hint="eastAsia"/>
        </w:rPr>
        <w:t>、温度均匀性</w:t>
      </w:r>
      <w:r>
        <w:rPr>
          <w:rFonts w:hint="eastAsia"/>
          <w:bCs/>
        </w:rPr>
        <w:t>计量特性进行了修改，将表1中“</w:t>
      </w:r>
      <w:r>
        <w:rPr>
          <w:rFonts w:hint="eastAsia"/>
        </w:rPr>
        <w:t>均匀度</w:t>
      </w:r>
      <w:r>
        <w:rPr>
          <w:rFonts w:hint="eastAsia" w:ascii="宋体" w:hAnsi="宋体" w:cs="宋体"/>
        </w:rPr>
        <w:t>±</w:t>
      </w:r>
      <w:r>
        <w:rPr>
          <w:rFonts w:hint="eastAsia"/>
        </w:rPr>
        <w:t>1</w:t>
      </w:r>
      <w:r>
        <w:rPr>
          <w:rFonts w:hint="eastAsia" w:ascii="宋体" w:hAnsi="宋体" w:cs="宋体"/>
        </w:rPr>
        <w:t>℃</w:t>
      </w:r>
      <w:r>
        <w:rPr>
          <w:rFonts w:hint="eastAsia"/>
          <w:bCs/>
        </w:rPr>
        <w:t>”改为“</w:t>
      </w:r>
      <w:r>
        <w:rPr>
          <w:rFonts w:hint="eastAsia"/>
        </w:rPr>
        <w:t>1</w:t>
      </w:r>
      <w:r>
        <w:rPr>
          <w:rFonts w:hint="eastAsia" w:ascii="宋体" w:hAnsi="宋体" w:cs="宋体"/>
        </w:rPr>
        <w:t>℃</w:t>
      </w:r>
      <w:r>
        <w:rPr>
          <w:rFonts w:hint="eastAsia"/>
          <w:bCs/>
        </w:rPr>
        <w:t>”,</w:t>
      </w:r>
      <w:r>
        <w:rPr>
          <w:rFonts w:hint="eastAsia"/>
        </w:rPr>
        <w:t>将“温度波动度</w:t>
      </w:r>
      <w:r>
        <w:t>±</w:t>
      </w:r>
      <w:r>
        <w:rPr>
          <w:rFonts w:hint="eastAsia"/>
        </w:rPr>
        <w:t>0.5℃”改为“0.5℃”。</w:t>
      </w:r>
    </w:p>
    <w:p>
      <w:pPr>
        <w:pStyle w:val="61"/>
        <w:ind w:firstLine="0" w:firstLineChars="0"/>
        <w:rPr>
          <w:rFonts w:ascii="Times New Roman" w:hAnsi="Times New Roman" w:eastAsia="宋体"/>
          <w:kern w:val="2"/>
          <w:szCs w:val="24"/>
        </w:rPr>
      </w:pPr>
      <w:r>
        <w:t>5</w:t>
      </w:r>
      <w:r>
        <w:rPr>
          <w:rFonts w:hint="eastAsia"/>
        </w:rPr>
        <w:t xml:space="preserve"> 校准条件</w:t>
      </w:r>
      <w:bookmarkEnd w:id="44"/>
      <w:bookmarkStart w:id="46" w:name="_Toc193860033"/>
      <w:bookmarkStart w:id="47" w:name="_Toc500258942"/>
      <w:bookmarkStart w:id="48" w:name="_Toc193860214"/>
      <w:bookmarkStart w:id="49" w:name="_Toc193860183"/>
    </w:p>
    <w:bookmarkEnd w:id="46"/>
    <w:bookmarkEnd w:id="47"/>
    <w:bookmarkEnd w:id="48"/>
    <w:bookmarkEnd w:id="49"/>
    <w:p>
      <w:pPr>
        <w:spacing w:line="360" w:lineRule="auto"/>
      </w:pPr>
      <w:bookmarkStart w:id="50" w:name="_Toc193860035"/>
      <w:bookmarkStart w:id="51" w:name="_Toc193860185"/>
      <w:bookmarkStart w:id="52" w:name="_Toc193619100"/>
      <w:bookmarkStart w:id="53" w:name="_Toc193860216"/>
      <w:bookmarkStart w:id="54" w:name="_Toc193619058"/>
      <w:bookmarkStart w:id="55" w:name="_Toc193618955"/>
      <w:bookmarkStart w:id="56" w:name="_Toc500258944"/>
      <w:bookmarkStart w:id="57" w:name="_Toc2741_WPSOffice_Level1"/>
      <w:r>
        <w:rPr>
          <w:rFonts w:hint="eastAsia"/>
        </w:rPr>
        <w:t>5.2</w:t>
      </w:r>
      <w:r>
        <w:t>环境条件</w:t>
      </w:r>
    </w:p>
    <w:p>
      <w:pPr>
        <w:spacing w:line="360" w:lineRule="auto"/>
        <w:ind w:firstLine="420" w:firstLineChars="200"/>
        <w:rPr>
          <w:bCs/>
        </w:rPr>
      </w:pPr>
      <w:r>
        <w:rPr>
          <w:rFonts w:hint="eastAsia" w:eastAsiaTheme="minorEastAsia"/>
          <w:bCs/>
          <w:szCs w:val="21"/>
        </w:rPr>
        <w:t>校准前，实验室环境条件根据测量标准的说明书，可确定其温度、湿度、气压应满足要求，测量标准和被校仪器同时置于环境条件，温度根据要求确定为</w:t>
      </w:r>
      <w:r>
        <w:rPr>
          <w:rFonts w:hint="eastAsia"/>
          <w:bCs/>
          <w:szCs w:val="21"/>
        </w:rPr>
        <w:t>10</w:t>
      </w:r>
      <w:r>
        <w:rPr>
          <w:rFonts w:hint="eastAsia" w:hAnsi="宋体" w:cs="宋体"/>
          <w:bCs/>
          <w:szCs w:val="21"/>
        </w:rPr>
        <w:t>℃</w:t>
      </w:r>
      <w:r>
        <w:rPr>
          <w:rFonts w:hint="eastAsia" w:hAnsi="宋体"/>
          <w:bCs/>
          <w:szCs w:val="21"/>
        </w:rPr>
        <w:t>～</w:t>
      </w:r>
      <w:r>
        <w:rPr>
          <w:rFonts w:hint="eastAsia"/>
          <w:bCs/>
          <w:szCs w:val="21"/>
        </w:rPr>
        <w:t>35</w:t>
      </w:r>
      <w:r>
        <w:rPr>
          <w:rFonts w:hint="eastAsia" w:hAnsi="宋体" w:cs="宋体"/>
          <w:bCs/>
          <w:szCs w:val="21"/>
        </w:rPr>
        <w:t>℃，</w:t>
      </w:r>
      <w:r>
        <w:rPr>
          <w:rFonts w:eastAsiaTheme="minorEastAsia"/>
          <w:bCs/>
          <w:szCs w:val="21"/>
        </w:rPr>
        <w:t>湿度：</w:t>
      </w:r>
      <w:r>
        <w:rPr>
          <w:rFonts w:hint="eastAsia" w:eastAsiaTheme="minorEastAsia"/>
          <w:bCs/>
          <w:szCs w:val="21"/>
        </w:rPr>
        <w:t>≤</w:t>
      </w:r>
      <w:r>
        <w:rPr>
          <w:rFonts w:eastAsiaTheme="minorEastAsia"/>
          <w:bCs/>
          <w:szCs w:val="21"/>
        </w:rPr>
        <w:t>8</w:t>
      </w:r>
      <w:r>
        <w:rPr>
          <w:rFonts w:hint="eastAsia" w:eastAsiaTheme="minorEastAsia"/>
          <w:bCs/>
          <w:szCs w:val="21"/>
        </w:rPr>
        <w:t>0</w:t>
      </w:r>
      <w:r>
        <w:rPr>
          <w:rFonts w:eastAsiaTheme="minorEastAsia"/>
          <w:bCs/>
          <w:szCs w:val="21"/>
        </w:rPr>
        <w:t>%</w:t>
      </w:r>
      <w:r>
        <w:rPr>
          <w:rFonts w:hint="eastAsia" w:eastAsiaTheme="minorEastAsia"/>
          <w:bCs/>
          <w:szCs w:val="21"/>
        </w:rPr>
        <w:t>RH。</w:t>
      </w:r>
    </w:p>
    <w:p>
      <w:pPr>
        <w:spacing w:line="360" w:lineRule="auto"/>
      </w:pPr>
      <w:r>
        <w:rPr>
          <w:rFonts w:hint="eastAsia"/>
        </w:rPr>
        <w:t>5.2</w:t>
      </w:r>
      <w:r>
        <w:t>测量标准及其他测量设备</w:t>
      </w:r>
      <w:bookmarkStart w:id="58" w:name="_Hlk508488538"/>
    </w:p>
    <w:p>
      <w:pPr>
        <w:spacing w:line="360" w:lineRule="auto"/>
        <w:ind w:firstLine="420" w:firstLineChars="200"/>
        <w:outlineLvl w:val="1"/>
        <w:rPr>
          <w:kern w:val="0"/>
        </w:rPr>
      </w:pPr>
      <w:r>
        <w:rPr>
          <w:bCs/>
          <w:color w:val="000000" w:themeColor="text1"/>
          <w14:textFill>
            <w14:solidFill>
              <w14:schemeClr w14:val="tx1"/>
            </w14:solidFill>
          </w14:textFill>
        </w:rPr>
        <w:t>测量标准的技术要求应符合正文中表</w:t>
      </w:r>
      <w:r>
        <w:rPr>
          <w:rFonts w:hint="eastAsia"/>
          <w:bCs/>
          <w:color w:val="000000" w:themeColor="text1"/>
          <w14:textFill>
            <w14:solidFill>
              <w14:schemeClr w14:val="tx1"/>
            </w14:solidFill>
          </w14:textFill>
        </w:rPr>
        <w:t>2</w:t>
      </w:r>
      <w:r>
        <w:rPr>
          <w:bCs/>
          <w:color w:val="000000" w:themeColor="text1"/>
          <w14:textFill>
            <w14:solidFill>
              <w14:schemeClr w14:val="tx1"/>
            </w14:solidFill>
          </w14:textFill>
        </w:rPr>
        <w:t>的规定</w:t>
      </w:r>
      <w:r>
        <w:rPr>
          <w:kern w:val="0"/>
        </w:rPr>
        <w:t>。</w:t>
      </w:r>
    </w:p>
    <w:p>
      <w:pPr>
        <w:spacing w:line="360" w:lineRule="auto"/>
        <w:ind w:firstLine="420" w:firstLineChars="200"/>
        <w:rPr>
          <w:rFonts w:hint="eastAsia"/>
          <w:szCs w:val="21"/>
        </w:rPr>
      </w:pPr>
      <w:r>
        <w:rPr>
          <w:szCs w:val="21"/>
        </w:rPr>
        <w:t>测量标准及其他设备包括</w:t>
      </w:r>
      <w:r>
        <w:rPr>
          <w:color w:val="000000" w:themeColor="text1"/>
          <w:szCs w:val="21"/>
          <w14:textFill>
            <w14:solidFill>
              <w14:schemeClr w14:val="tx1"/>
            </w14:solidFill>
          </w14:textFill>
        </w:rPr>
        <w:t>温度</w:t>
      </w:r>
      <w:r>
        <w:rPr>
          <w:szCs w:val="21"/>
        </w:rPr>
        <w:t>传感器</w:t>
      </w:r>
      <w:r>
        <w:rPr>
          <w:rFonts w:hint="eastAsia"/>
          <w:bCs/>
          <w:color w:val="000000" w:themeColor="text1"/>
          <w14:textFill>
            <w14:solidFill>
              <w14:schemeClr w14:val="tx1"/>
            </w14:solidFill>
          </w14:textFill>
        </w:rPr>
        <w:t>和</w:t>
      </w:r>
      <w:r>
        <w:rPr>
          <w:szCs w:val="21"/>
        </w:rPr>
        <w:t>测温</w:t>
      </w:r>
      <w:r>
        <w:rPr>
          <w:rFonts w:hint="eastAsia"/>
          <w:szCs w:val="21"/>
        </w:rPr>
        <w:t>仪器</w:t>
      </w:r>
      <w:r>
        <w:rPr>
          <w:bCs/>
          <w:color w:val="000000" w:themeColor="text1"/>
          <w14:textFill>
            <w14:solidFill>
              <w14:schemeClr w14:val="tx1"/>
            </w14:solidFill>
          </w14:textFill>
        </w:rPr>
        <w:t>，并给出相应的技术指标。</w:t>
      </w:r>
      <w:r>
        <w:rPr>
          <w:color w:val="000000" w:themeColor="text1"/>
          <w:szCs w:val="21"/>
          <w14:textFill>
            <w14:solidFill>
              <w14:schemeClr w14:val="tx1"/>
            </w14:solidFill>
          </w14:textFill>
        </w:rPr>
        <w:t>温度</w:t>
      </w:r>
      <w:r>
        <w:rPr>
          <w:szCs w:val="21"/>
        </w:rPr>
        <w:t>传感器</w:t>
      </w:r>
      <w:r>
        <w:rPr>
          <w:bCs/>
          <w:color w:val="000000" w:themeColor="text1"/>
          <w14:textFill>
            <w14:solidFill>
              <w14:schemeClr w14:val="tx1"/>
            </w14:solidFill>
          </w14:textFill>
        </w:rPr>
        <w:t>技术指标参</w:t>
      </w:r>
      <w:r>
        <w:rPr>
          <w:szCs w:val="21"/>
        </w:rPr>
        <w:t>考了</w:t>
      </w:r>
      <w:r>
        <w:rPr>
          <w:rFonts w:hint="eastAsia"/>
          <w:szCs w:val="21"/>
        </w:rPr>
        <w:t>JJF 2019-2022《液体恒温试验设备温度性能测试规范》中</w:t>
      </w:r>
      <w:r>
        <w:rPr>
          <w:szCs w:val="21"/>
        </w:rPr>
        <w:t>6.</w:t>
      </w:r>
      <w:r>
        <w:rPr>
          <w:rFonts w:hint="eastAsia"/>
          <w:szCs w:val="21"/>
        </w:rPr>
        <w:t>2</w:t>
      </w:r>
      <w:r>
        <w:rPr>
          <w:szCs w:val="21"/>
        </w:rPr>
        <w:t>的要求；测温</w:t>
      </w:r>
      <w:r>
        <w:rPr>
          <w:rFonts w:hint="eastAsia"/>
          <w:szCs w:val="21"/>
        </w:rPr>
        <w:t>仪器</w:t>
      </w:r>
      <w:r>
        <w:rPr>
          <w:szCs w:val="21"/>
        </w:rPr>
        <w:t>技术指标参考了JJ</w:t>
      </w:r>
      <w:r>
        <w:rPr>
          <w:rFonts w:hint="eastAsia"/>
          <w:szCs w:val="21"/>
        </w:rPr>
        <w:t>F</w:t>
      </w:r>
      <w:r>
        <w:rPr>
          <w:szCs w:val="21"/>
        </w:rPr>
        <w:t>1</w:t>
      </w:r>
      <w:r>
        <w:rPr>
          <w:rFonts w:hint="eastAsia"/>
          <w:szCs w:val="21"/>
        </w:rPr>
        <w:t>030</w:t>
      </w:r>
      <w:r>
        <w:rPr>
          <w:szCs w:val="21"/>
        </w:rPr>
        <w:t>-201</w:t>
      </w:r>
      <w:r>
        <w:rPr>
          <w:rFonts w:hint="eastAsia"/>
          <w:szCs w:val="21"/>
        </w:rPr>
        <w:t>0《恒温槽技术性能测试规范》</w:t>
      </w:r>
      <w:r>
        <w:rPr>
          <w:szCs w:val="21"/>
        </w:rPr>
        <w:t>中</w:t>
      </w:r>
      <w:r>
        <w:rPr>
          <w:rFonts w:hint="eastAsia"/>
          <w:szCs w:val="21"/>
        </w:rPr>
        <w:t>4.</w:t>
      </w:r>
      <w:r>
        <w:rPr>
          <w:szCs w:val="21"/>
        </w:rPr>
        <w:t>2的相应要求。</w:t>
      </w:r>
    </w:p>
    <w:p>
      <w:pPr>
        <w:pStyle w:val="66"/>
        <w:ind w:firstLine="420"/>
      </w:pPr>
      <w:r>
        <w:rPr>
          <w:rFonts w:hint="eastAsia"/>
          <w:spacing w:val="0"/>
        </w:rPr>
        <w:t>在征求意见过程中，广东省阳江市质量计量监督检测所</w:t>
      </w:r>
      <w:r>
        <w:rPr>
          <w:rFonts w:hint="eastAsia"/>
          <w:color w:val="000000" w:themeColor="text1"/>
          <w14:textFill>
            <w14:solidFill>
              <w14:schemeClr w14:val="tx1"/>
            </w14:solidFill>
          </w14:textFill>
        </w:rPr>
        <w:t>对规范表2中温度传感器技术要求提出了有效</w:t>
      </w:r>
      <w:r>
        <w:rPr>
          <w:rFonts w:hint="eastAsia"/>
        </w:rPr>
        <w:t>建议，将文中表2内容“</w:t>
      </w:r>
      <w:r>
        <w:rPr>
          <w:rFonts w:hint="eastAsia"/>
          <w:color w:val="000000" w:themeColor="text1"/>
          <w14:textFill>
            <w14:solidFill>
              <w14:schemeClr w14:val="tx1"/>
            </w14:solidFill>
          </w14:textFill>
        </w:rPr>
        <w:t>温度传感器技术要求A级</w:t>
      </w:r>
      <w:r>
        <w:rPr>
          <w:rFonts w:hint="eastAsia"/>
        </w:rPr>
        <w:t xml:space="preserve">”修改为“MPE：±（0.15℃ +0.002 </w:t>
      </w:r>
      <w:r>
        <w:rPr>
          <w:rFonts w:hint="eastAsia" w:eastAsiaTheme="minorEastAsia"/>
          <w:sz w:val="24"/>
        </w:rPr>
        <w:t>|</w:t>
      </w:r>
      <w:r>
        <w:rPr>
          <w:rFonts w:eastAsiaTheme="minorEastAsia"/>
          <w:i/>
          <w:sz w:val="24"/>
        </w:rPr>
        <w:t>t</w:t>
      </w:r>
      <w:r>
        <w:rPr>
          <w:rFonts w:hint="eastAsia" w:eastAsiaTheme="minorEastAsia"/>
          <w:sz w:val="24"/>
        </w:rPr>
        <w:t>|</w:t>
      </w:r>
      <w:r>
        <w:rPr>
          <w:rFonts w:hint="eastAsia"/>
        </w:rPr>
        <w:t>）”。</w:t>
      </w:r>
      <w:r>
        <w:t xml:space="preserve"> </w:t>
      </w:r>
    </w:p>
    <w:bookmarkEnd w:id="58"/>
    <w:p>
      <w:pPr>
        <w:pStyle w:val="61"/>
        <w:ind w:firstLine="0" w:firstLineChars="0"/>
        <w:rPr>
          <w:rFonts w:ascii="Times New Roman" w:hAnsi="Times New Roman" w:eastAsia="宋体"/>
          <w:kern w:val="2"/>
        </w:rPr>
      </w:pPr>
      <w:r>
        <w:t>6</w:t>
      </w:r>
      <w:r>
        <w:rPr>
          <w:rFonts w:hint="eastAsia"/>
        </w:rPr>
        <w:t xml:space="preserve"> 校准项目和校准方法</w:t>
      </w:r>
      <w:bookmarkEnd w:id="50"/>
      <w:bookmarkEnd w:id="51"/>
      <w:bookmarkEnd w:id="52"/>
      <w:bookmarkEnd w:id="53"/>
      <w:bookmarkEnd w:id="54"/>
      <w:bookmarkEnd w:id="55"/>
      <w:bookmarkEnd w:id="56"/>
      <w:bookmarkEnd w:id="57"/>
      <w:bookmarkStart w:id="59" w:name="_Toc500258945"/>
      <w:bookmarkStart w:id="60" w:name="_Toc22718_WPSOffice_Level2"/>
      <w:bookmarkStart w:id="61" w:name="_Toc193619059"/>
      <w:bookmarkStart w:id="62" w:name="_Toc193619101"/>
      <w:bookmarkStart w:id="63" w:name="_Toc193860219"/>
      <w:bookmarkStart w:id="64" w:name="_Toc193618956"/>
      <w:bookmarkStart w:id="65" w:name="_Toc193860188"/>
      <w:bookmarkStart w:id="66" w:name="_Toc193860038"/>
      <w:bookmarkStart w:id="67" w:name="_Toc500258947"/>
      <w:bookmarkStart w:id="68" w:name="_Toc25466_WPSOffice_Level1"/>
    </w:p>
    <w:p>
      <w:pPr>
        <w:pStyle w:val="61"/>
        <w:rPr>
          <w:rFonts w:ascii="Times New Roman" w:hAnsi="Times New Roman" w:eastAsia="宋体"/>
          <w:color w:val="000000" w:themeColor="text1"/>
          <w:kern w:val="2"/>
          <w14:textFill>
            <w14:solidFill>
              <w14:schemeClr w14:val="tx1"/>
            </w14:solidFill>
          </w14:textFill>
        </w:rPr>
      </w:pPr>
      <w:r>
        <w:rPr>
          <w:rFonts w:ascii="Times New Roman" w:hAnsi="Times New Roman" w:eastAsia="宋体"/>
          <w:color w:val="000000" w:themeColor="text1"/>
          <w:kern w:val="2"/>
          <w14:textFill>
            <w14:solidFill>
              <w14:schemeClr w14:val="tx1"/>
            </w14:solidFill>
          </w14:textFill>
        </w:rPr>
        <w:t>校准项目</w:t>
      </w:r>
      <w:bookmarkEnd w:id="59"/>
      <w:bookmarkEnd w:id="60"/>
      <w:r>
        <w:rPr>
          <w:rFonts w:hint="eastAsia" w:ascii="Times New Roman" w:hAnsi="Times New Roman" w:eastAsia="宋体"/>
          <w:color w:val="000000" w:themeColor="text1"/>
          <w:kern w:val="2"/>
          <w14:textFill>
            <w14:solidFill>
              <w14:schemeClr w14:val="tx1"/>
            </w14:solidFill>
          </w14:textFill>
        </w:rPr>
        <w:t>包含温度</w:t>
      </w:r>
      <w:r>
        <w:rPr>
          <w:rFonts w:ascii="Times New Roman" w:hAnsi="Times New Roman" w:eastAsia="宋体"/>
          <w:color w:val="000000" w:themeColor="text1"/>
          <w:kern w:val="2"/>
          <w14:textFill>
            <w14:solidFill>
              <w14:schemeClr w14:val="tx1"/>
            </w14:solidFill>
          </w14:textFill>
        </w:rPr>
        <w:t>偏</w:t>
      </w:r>
      <w:r>
        <w:rPr>
          <w:rFonts w:ascii="Times New Roman" w:hAnsi="Times New Roman" w:eastAsia="宋体"/>
          <w:color w:val="000000" w:themeColor="text1"/>
          <w:sz w:val="24"/>
          <w:szCs w:val="20"/>
          <w14:textFill>
            <w14:solidFill>
              <w14:schemeClr w14:val="tx1"/>
            </w14:solidFill>
          </w14:textFill>
        </w:rPr>
        <w:t>差</w:t>
      </w:r>
      <w:r>
        <w:rPr>
          <w:rFonts w:hint="eastAsia" w:ascii="Times New Roman" w:hAnsi="Times New Roman" w:eastAsia="宋体"/>
          <w:color w:val="000000" w:themeColor="text1"/>
          <w:sz w:val="24"/>
          <w:szCs w:val="20"/>
          <w14:textFill>
            <w14:solidFill>
              <w14:schemeClr w14:val="tx1"/>
            </w14:solidFill>
          </w14:textFill>
        </w:rPr>
        <w:t>、</w:t>
      </w:r>
      <w:r>
        <w:rPr>
          <w:rFonts w:hint="eastAsia" w:ascii="Times New Roman" w:hAnsi="Times New Roman" w:eastAsia="宋体"/>
          <w:color w:val="000000" w:themeColor="text1"/>
          <w:kern w:val="2"/>
          <w14:textFill>
            <w14:solidFill>
              <w14:schemeClr w14:val="tx1"/>
            </w14:solidFill>
          </w14:textFill>
        </w:rPr>
        <w:t>温度均匀性和温度波动度的校准方法。</w:t>
      </w:r>
    </w:p>
    <w:p>
      <w:pPr>
        <w:spacing w:line="360" w:lineRule="auto"/>
        <w:ind w:firstLine="420" w:firstLineChars="200"/>
        <w:rPr>
          <w:szCs w:val="21"/>
        </w:rPr>
      </w:pPr>
      <w:r>
        <w:rPr>
          <w:rFonts w:hint="eastAsia"/>
          <w:szCs w:val="21"/>
        </w:rPr>
        <w:t>温度</w:t>
      </w:r>
      <w:r>
        <w:rPr>
          <w:color w:val="000000" w:themeColor="text1"/>
          <w:szCs w:val="21"/>
          <w14:textFill>
            <w14:solidFill>
              <w14:schemeClr w14:val="tx1"/>
            </w14:solidFill>
          </w14:textFill>
        </w:rPr>
        <w:t>偏差、</w:t>
      </w:r>
      <w:r>
        <w:rPr>
          <w:rFonts w:hint="eastAsia"/>
          <w:szCs w:val="21"/>
        </w:rPr>
        <w:t>温度</w:t>
      </w:r>
      <w:r>
        <w:rPr>
          <w:rFonts w:hint="eastAsia"/>
          <w:color w:val="000000" w:themeColor="text1"/>
          <w:szCs w:val="21"/>
          <w14:textFill>
            <w14:solidFill>
              <w14:schemeClr w14:val="tx1"/>
            </w14:solidFill>
          </w14:textFill>
        </w:rPr>
        <w:t>均匀性</w:t>
      </w:r>
      <w:r>
        <w:rPr>
          <w:rFonts w:hint="eastAsia"/>
          <w:szCs w:val="21"/>
        </w:rPr>
        <w:t>和温度波</w:t>
      </w:r>
      <w:r>
        <w:rPr>
          <w:rFonts w:hint="eastAsia"/>
          <w:color w:val="000000" w:themeColor="text1"/>
          <w:szCs w:val="21"/>
          <w14:textFill>
            <w14:solidFill>
              <w14:schemeClr w14:val="tx1"/>
            </w14:solidFill>
          </w14:textFill>
        </w:rPr>
        <w:t>动</w:t>
      </w:r>
      <w:r>
        <w:rPr>
          <w:rFonts w:hint="eastAsia"/>
          <w:szCs w:val="21"/>
        </w:rPr>
        <w:t>度的校准方法是参考了JJF 2019-2022《液体恒温试验设备温度性能测试规范》</w:t>
      </w:r>
      <w:r>
        <w:rPr>
          <w:szCs w:val="21"/>
        </w:rPr>
        <w:t>中</w:t>
      </w:r>
      <w:r>
        <w:rPr>
          <w:rFonts w:hint="eastAsia"/>
          <w:szCs w:val="21"/>
        </w:rPr>
        <w:t>7.3对温度</w:t>
      </w:r>
      <w:r>
        <w:rPr>
          <w:szCs w:val="21"/>
        </w:rPr>
        <w:t>偏差、</w:t>
      </w:r>
      <w:r>
        <w:rPr>
          <w:rFonts w:hint="eastAsia"/>
          <w:szCs w:val="21"/>
        </w:rPr>
        <w:t>温度均匀性和温度波动度校准方法的要求。</w:t>
      </w:r>
      <w:r>
        <w:rPr>
          <w:rFonts w:hint="eastAsia"/>
        </w:rPr>
        <w:t>在征求意见过程中，经西南铝业建议，修改了校准项目，删除外观及通用要求作为校准项目，将“</w:t>
      </w:r>
      <w:r>
        <w:rPr>
          <w:rFonts w:ascii="宋体" w:hAnsi="宋体"/>
          <w:szCs w:val="21"/>
        </w:rPr>
        <w:t>外观及通用要求的检查”改为“</w:t>
      </w:r>
      <w:r>
        <w:rPr>
          <w:rFonts w:hint="eastAsia"/>
        </w:rPr>
        <w:t>校准前的检查”且删除铭牌内容。</w:t>
      </w:r>
    </w:p>
    <w:p>
      <w:pPr>
        <w:pStyle w:val="61"/>
        <w:ind w:firstLine="0" w:firstLineChars="0"/>
      </w:pPr>
      <w:r>
        <w:t>7</w:t>
      </w:r>
      <w:r>
        <w:rPr>
          <w:rFonts w:hint="eastAsia"/>
        </w:rPr>
        <w:t xml:space="preserve"> 校准结果</w:t>
      </w:r>
      <w:bookmarkEnd w:id="61"/>
      <w:bookmarkEnd w:id="62"/>
      <w:bookmarkEnd w:id="63"/>
      <w:bookmarkEnd w:id="64"/>
      <w:bookmarkEnd w:id="65"/>
      <w:bookmarkEnd w:id="66"/>
      <w:r>
        <w:rPr>
          <w:rFonts w:hint="eastAsia"/>
        </w:rPr>
        <w:t>表达</w:t>
      </w:r>
      <w:bookmarkEnd w:id="67"/>
      <w:bookmarkEnd w:id="68"/>
    </w:p>
    <w:p>
      <w:pPr>
        <w:pStyle w:val="58"/>
        <w:rPr>
          <w:rFonts w:eastAsia="宋体"/>
          <w:color w:val="auto"/>
          <w:kern w:val="2"/>
          <w:szCs w:val="24"/>
        </w:rPr>
      </w:pPr>
      <w:bookmarkStart w:id="69" w:name="_Toc193860189"/>
      <w:bookmarkStart w:id="70" w:name="_Toc193860040"/>
      <w:bookmarkStart w:id="71" w:name="_Toc14803_WPSOffice_Level1"/>
      <w:bookmarkStart w:id="72" w:name="_Toc5529"/>
      <w:bookmarkStart w:id="73" w:name="_Toc193860220"/>
      <w:bookmarkStart w:id="74" w:name="_Toc193860041"/>
      <w:r>
        <w:rPr>
          <w:rFonts w:hint="eastAsia" w:eastAsia="宋体"/>
          <w:color w:val="auto"/>
          <w:kern w:val="2"/>
          <w:szCs w:val="24"/>
        </w:rPr>
        <w:t>根据实验室环境要求、校准项目校准结果、测量不确定度评定结果等，按照J</w:t>
      </w:r>
      <w:r>
        <w:rPr>
          <w:rFonts w:hint="eastAsia"/>
          <w:bCs/>
        </w:rPr>
        <w:t>JF 2019-2022</w:t>
      </w:r>
      <w:r>
        <w:rPr>
          <w:rFonts w:hint="eastAsia" w:eastAsia="宋体"/>
          <w:color w:val="auto"/>
          <w:kern w:val="2"/>
          <w:szCs w:val="24"/>
        </w:rPr>
        <w:t>推荐的校准报告格式，出具校准证书。</w:t>
      </w:r>
    </w:p>
    <w:p>
      <w:pPr>
        <w:pStyle w:val="61"/>
        <w:ind w:firstLine="0" w:firstLineChars="0"/>
        <w:rPr>
          <w:rFonts w:ascii="Times New Roman" w:hAnsi="Times New Roman" w:eastAsia="宋体"/>
          <w:kern w:val="2"/>
        </w:rPr>
      </w:pPr>
      <w:r>
        <w:t>8</w:t>
      </w:r>
      <w:r>
        <w:rPr>
          <w:rFonts w:hint="eastAsia"/>
        </w:rPr>
        <w:t xml:space="preserve"> 复校</w:t>
      </w:r>
      <w:bookmarkEnd w:id="69"/>
      <w:bookmarkEnd w:id="70"/>
      <w:bookmarkEnd w:id="71"/>
      <w:bookmarkEnd w:id="72"/>
      <w:bookmarkEnd w:id="73"/>
      <w:r>
        <w:rPr>
          <w:rFonts w:hint="eastAsia"/>
        </w:rPr>
        <w:t>时间间隔</w:t>
      </w:r>
    </w:p>
    <w:bookmarkEnd w:id="74"/>
    <w:p>
      <w:pPr>
        <w:pStyle w:val="58"/>
        <w:rPr>
          <w:rFonts w:eastAsia="宋体"/>
          <w:color w:val="auto"/>
          <w:kern w:val="2"/>
          <w:szCs w:val="24"/>
        </w:rPr>
      </w:pPr>
      <w:r>
        <w:rPr>
          <w:rFonts w:eastAsia="宋体"/>
          <w:color w:val="auto"/>
          <w:kern w:val="2"/>
          <w:szCs w:val="24"/>
        </w:rPr>
        <w:t>建议复校时间间隔为1年。</w:t>
      </w:r>
      <w:r>
        <w:rPr>
          <w:rFonts w:hint="eastAsia" w:eastAsia="宋体"/>
          <w:color w:val="auto"/>
          <w:kern w:val="2"/>
          <w:szCs w:val="24"/>
        </w:rPr>
        <w:t>低温槽</w:t>
      </w:r>
      <w:r>
        <w:rPr>
          <w:rFonts w:eastAsia="宋体"/>
          <w:color w:val="auto"/>
          <w:kern w:val="2"/>
          <w:szCs w:val="24"/>
        </w:rPr>
        <w:t>使用频繁时应适当缩短周期，在使用过程中</w:t>
      </w:r>
      <w:r>
        <w:rPr>
          <w:rFonts w:hint="eastAsia" w:eastAsia="宋体"/>
          <w:color w:val="auto"/>
          <w:kern w:val="2"/>
          <w:szCs w:val="24"/>
        </w:rPr>
        <w:t>低温槽</w:t>
      </w:r>
      <w:r>
        <w:rPr>
          <w:rFonts w:eastAsia="宋体"/>
          <w:color w:val="auto"/>
          <w:kern w:val="2"/>
          <w:szCs w:val="24"/>
        </w:rPr>
        <w:t>经过修理、更换重要部件</w:t>
      </w:r>
      <w:r>
        <w:rPr>
          <w:rFonts w:hint="eastAsia" w:eastAsia="宋体"/>
          <w:color w:val="auto"/>
          <w:kern w:val="2"/>
          <w:szCs w:val="24"/>
        </w:rPr>
        <w:t>时</w:t>
      </w:r>
      <w:r>
        <w:rPr>
          <w:rFonts w:eastAsia="宋体"/>
          <w:color w:val="auto"/>
          <w:kern w:val="2"/>
          <w:szCs w:val="24"/>
        </w:rPr>
        <w:t>应重新校准。</w:t>
      </w:r>
    </w:p>
    <w:p>
      <w:pPr>
        <w:pStyle w:val="61"/>
        <w:ind w:firstLine="0" w:firstLineChars="0"/>
      </w:pPr>
      <w:r>
        <w:rPr>
          <w:rFonts w:hint="eastAsia"/>
        </w:rPr>
        <w:t>9.附录</w:t>
      </w:r>
    </w:p>
    <w:p>
      <w:pPr>
        <w:pStyle w:val="58"/>
      </w:pPr>
      <w:r>
        <w:rPr>
          <w:rFonts w:hint="eastAsia" w:eastAsia="宋体"/>
          <w:color w:val="auto"/>
          <w:kern w:val="2"/>
          <w:szCs w:val="24"/>
        </w:rPr>
        <w:t>设置了3个附录，便于校准时参考和规范化，主要包含校准原始记录参考格式、校准证书内页参考格式、冲击试验低温槽温度偏差测量结果不确定度评定示例三个部分</w:t>
      </w:r>
      <w:r>
        <w:rPr>
          <w:rFonts w:hint="eastAsia"/>
        </w:rPr>
        <w:t>。</w:t>
      </w:r>
    </w:p>
    <w:p>
      <w:pPr>
        <w:adjustRightInd w:val="0"/>
        <w:snapToGrid w:val="0"/>
        <w:spacing w:line="360" w:lineRule="auto"/>
        <w:ind w:firstLine="420" w:firstLineChars="200"/>
        <w:rPr>
          <w:bCs/>
          <w:szCs w:val="21"/>
        </w:rPr>
      </w:pPr>
      <w:r>
        <w:rPr>
          <w:rFonts w:hint="eastAsia"/>
          <w:bCs/>
          <w:szCs w:val="21"/>
        </w:rPr>
        <w:t>附录A校准原始记录参考格式</w:t>
      </w:r>
    </w:p>
    <w:p>
      <w:pPr>
        <w:adjustRightInd w:val="0"/>
        <w:snapToGrid w:val="0"/>
        <w:spacing w:line="360" w:lineRule="auto"/>
        <w:ind w:firstLine="420" w:firstLineChars="200"/>
        <w:rPr>
          <w:bCs/>
          <w:szCs w:val="21"/>
        </w:rPr>
      </w:pPr>
      <w:r>
        <w:rPr>
          <w:rFonts w:hint="eastAsia"/>
          <w:bCs/>
          <w:szCs w:val="21"/>
        </w:rPr>
        <w:t>附录B</w:t>
      </w:r>
      <w:r>
        <w:rPr>
          <w:bCs/>
          <w:szCs w:val="21"/>
        </w:rPr>
        <w:t xml:space="preserve"> </w:t>
      </w:r>
      <w:r>
        <w:rPr>
          <w:rFonts w:hint="eastAsia"/>
          <w:bCs/>
          <w:szCs w:val="21"/>
        </w:rPr>
        <w:t>校准证书内页参考格式</w:t>
      </w:r>
    </w:p>
    <w:p>
      <w:pPr>
        <w:adjustRightInd w:val="0"/>
        <w:snapToGrid w:val="0"/>
        <w:spacing w:line="360" w:lineRule="auto"/>
        <w:ind w:firstLine="420" w:firstLineChars="200"/>
        <w:rPr>
          <w:bCs/>
          <w:szCs w:val="21"/>
        </w:rPr>
      </w:pPr>
      <w:r>
        <w:rPr>
          <w:rFonts w:hint="eastAsia"/>
          <w:bCs/>
          <w:szCs w:val="21"/>
        </w:rPr>
        <w:t>附录C</w:t>
      </w:r>
      <w:r>
        <w:rPr>
          <w:rFonts w:hint="eastAsia"/>
        </w:rPr>
        <w:t>冲击试验低温槽温度偏差</w:t>
      </w:r>
      <w:r>
        <w:rPr>
          <w:rFonts w:hint="eastAsia"/>
          <w:bCs/>
          <w:szCs w:val="21"/>
        </w:rPr>
        <w:t>测量结果不确定度评定示例</w:t>
      </w:r>
    </w:p>
    <w:bookmarkEnd w:id="1"/>
    <w:bookmarkEnd w:id="22"/>
    <w:p>
      <w:pPr>
        <w:pStyle w:val="74"/>
        <w:numPr>
          <w:ilvl w:val="0"/>
          <w:numId w:val="0"/>
        </w:numPr>
      </w:pPr>
      <w:r>
        <w:rPr>
          <w:rFonts w:hint="eastAsia"/>
        </w:rPr>
        <w:t>三、实践检测情况</w:t>
      </w:r>
    </w:p>
    <w:p>
      <w:pPr>
        <w:adjustRightInd w:val="0"/>
        <w:spacing w:line="360" w:lineRule="auto"/>
        <w:ind w:firstLine="420" w:firstLineChars="200"/>
      </w:pPr>
      <w:r>
        <w:rPr>
          <w:rFonts w:hint="eastAsia"/>
        </w:rPr>
        <w:t>西南铝业(集团)有限责任公司、中国船舶集团有限公司第七二五研究所</w:t>
      </w:r>
      <w:r>
        <w:t>根据本规范</w:t>
      </w:r>
      <w:r>
        <w:rPr>
          <w:rFonts w:hint="eastAsia"/>
        </w:rPr>
        <w:t>的校准项目</w:t>
      </w:r>
      <w:r>
        <w:t>对</w:t>
      </w:r>
      <w:r>
        <w:rPr>
          <w:rFonts w:hint="eastAsia"/>
        </w:rPr>
        <w:t>冲击试验低温槽</w:t>
      </w:r>
      <w:r>
        <w:t>进行了全计量特性的校准，内容详见校准报告。</w:t>
      </w:r>
    </w:p>
    <w:p>
      <w:pPr>
        <w:pStyle w:val="74"/>
        <w:numPr>
          <w:ilvl w:val="0"/>
          <w:numId w:val="0"/>
        </w:numPr>
      </w:pPr>
      <w:r>
        <w:rPr>
          <w:rFonts w:hint="eastAsia"/>
        </w:rPr>
        <w:t>四、规范水平分析</w:t>
      </w:r>
    </w:p>
    <w:p>
      <w:pPr>
        <w:adjustRightInd w:val="0"/>
        <w:spacing w:line="360" w:lineRule="auto"/>
        <w:ind w:firstLine="420" w:firstLineChars="200"/>
      </w:pPr>
      <w:r>
        <w:t>目前，国家和各省检定规程和校准规范中，类似的校准规范如</w:t>
      </w:r>
      <w:r>
        <w:rPr>
          <w:szCs w:val="21"/>
        </w:rPr>
        <w:t>JJ</w:t>
      </w:r>
      <w:r>
        <w:rPr>
          <w:rFonts w:hint="eastAsia"/>
          <w:szCs w:val="21"/>
        </w:rPr>
        <w:t>F</w:t>
      </w:r>
      <w:r>
        <w:rPr>
          <w:szCs w:val="21"/>
        </w:rPr>
        <w:t>1</w:t>
      </w:r>
      <w:r>
        <w:rPr>
          <w:rFonts w:hint="eastAsia"/>
          <w:szCs w:val="21"/>
        </w:rPr>
        <w:t>030</w:t>
      </w:r>
      <w:r>
        <w:rPr>
          <w:szCs w:val="21"/>
        </w:rPr>
        <w:t>-201</w:t>
      </w:r>
      <w:r>
        <w:rPr>
          <w:rFonts w:hint="eastAsia"/>
          <w:szCs w:val="21"/>
        </w:rPr>
        <w:t>0</w:t>
      </w:r>
      <w:r>
        <w:rPr>
          <w:szCs w:val="21"/>
        </w:rPr>
        <w:t>《</w:t>
      </w:r>
      <w:r>
        <w:rPr>
          <w:rFonts w:hint="eastAsia"/>
          <w:szCs w:val="21"/>
        </w:rPr>
        <w:t>恒温槽技术性能测试规范</w:t>
      </w:r>
      <w:r>
        <w:rPr>
          <w:szCs w:val="21"/>
        </w:rPr>
        <w:t>》</w:t>
      </w:r>
      <w:r>
        <w:t>适用于</w:t>
      </w:r>
      <w:r>
        <w:rPr>
          <w:rFonts w:hint="eastAsia"/>
        </w:rPr>
        <w:t>检定或校准用液体恒温槽温度稳定性和均匀性的测试，</w:t>
      </w:r>
      <w:r>
        <w:rPr>
          <w:rFonts w:hint="eastAsia"/>
          <w:kern w:val="0"/>
          <w:szCs w:val="20"/>
        </w:rPr>
        <w:t>JJF 2019-2022《液体恒温试验设备温度性能测试规范》</w:t>
      </w:r>
      <w:r>
        <w:t>与冲击试验低温槽的技术要求有所不同，因此，</w:t>
      </w:r>
      <w:r>
        <w:rPr>
          <w:rFonts w:hint="eastAsia"/>
        </w:rPr>
        <w:t>对于</w:t>
      </w:r>
      <w:r>
        <w:rPr>
          <w:rFonts w:hint="eastAsia"/>
          <w:szCs w:val="21"/>
        </w:rPr>
        <w:t>冲击试验低温槽的</w:t>
      </w:r>
      <w:r>
        <w:rPr>
          <w:szCs w:val="21"/>
        </w:rPr>
        <w:t>校准</w:t>
      </w:r>
      <w:r>
        <w:t>无统一的</w:t>
      </w:r>
      <w:r>
        <w:rPr>
          <w:rFonts w:hint="eastAsia"/>
        </w:rPr>
        <w:t>技术</w:t>
      </w:r>
      <w:r>
        <w:t>依据</w:t>
      </w:r>
      <w:r>
        <w:rPr>
          <w:rFonts w:hint="eastAsia" w:ascii="宋体" w:hAnsi="宋体"/>
          <w:szCs w:val="21"/>
        </w:rPr>
        <w:t>。</w:t>
      </w:r>
    </w:p>
    <w:p>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目前国外没有相关技术规范，本规范水平达到国内先进水平。本规范的制定填补了有色金属行业冲击试验低温槽的校准空白，属于国内首创，水平达到国内领先</w:t>
      </w:r>
      <w:r>
        <w:rPr>
          <w:rFonts w:hint="eastAsia"/>
          <w:szCs w:val="21"/>
        </w:rPr>
        <w:t>。</w:t>
      </w:r>
    </w:p>
    <w:p>
      <w:pPr>
        <w:pStyle w:val="74"/>
        <w:numPr>
          <w:ilvl w:val="0"/>
          <w:numId w:val="0"/>
        </w:numPr>
      </w:pPr>
      <w:r>
        <w:rPr>
          <w:rFonts w:hint="eastAsia"/>
        </w:rPr>
        <w:t>五、与有关的现行法律、法规和强制性国家标准的关系</w:t>
      </w:r>
    </w:p>
    <w:p>
      <w:pPr>
        <w:pStyle w:val="58"/>
        <w:rPr>
          <w:rFonts w:ascii="宋体" w:hAnsi="宋体" w:eastAsia="宋体"/>
          <w:color w:val="auto"/>
          <w:kern w:val="2"/>
        </w:rPr>
      </w:pPr>
      <w:r>
        <w:rPr>
          <w:rFonts w:hint="eastAsia" w:ascii="宋体" w:hAnsi="宋体" w:eastAsia="宋体"/>
          <w:color w:val="auto"/>
          <w:kern w:val="2"/>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0"/>
        </w:numPr>
      </w:pPr>
      <w:bookmarkStart w:id="75" w:name="_Toc464728973"/>
      <w:r>
        <w:rPr>
          <w:rFonts w:hint="eastAsia"/>
        </w:rPr>
        <w:t>六、规范中涉及的专利或知识产权说明</w:t>
      </w:r>
      <w:bookmarkEnd w:id="75"/>
    </w:p>
    <w:p>
      <w:pPr>
        <w:pStyle w:val="58"/>
        <w:rPr>
          <w:rFonts w:ascii="宋体" w:hAnsi="宋体" w:eastAsia="宋体"/>
          <w:color w:val="auto"/>
          <w:kern w:val="2"/>
        </w:rPr>
      </w:pPr>
      <w:bookmarkStart w:id="76" w:name="_Toc464728974"/>
      <w:r>
        <w:rPr>
          <w:rFonts w:hint="eastAsia" w:ascii="宋体" w:hAnsi="宋体" w:eastAsia="宋体"/>
          <w:color w:val="auto"/>
          <w:kern w:val="2"/>
        </w:rPr>
        <w:t>（无）</w:t>
      </w:r>
    </w:p>
    <w:p>
      <w:pPr>
        <w:pStyle w:val="74"/>
        <w:numPr>
          <w:ilvl w:val="0"/>
          <w:numId w:val="0"/>
        </w:numPr>
      </w:pPr>
      <w:r>
        <w:rPr>
          <w:rFonts w:hint="eastAsia"/>
        </w:rPr>
        <w:t>七、重大分歧意见的处理经过和依据</w:t>
      </w:r>
      <w:bookmarkEnd w:id="76"/>
    </w:p>
    <w:p>
      <w:pPr>
        <w:pStyle w:val="58"/>
        <w:rPr>
          <w:rFonts w:ascii="宋体" w:hAnsi="宋体" w:eastAsia="宋体"/>
          <w:color w:val="auto"/>
          <w:kern w:val="2"/>
        </w:rPr>
      </w:pPr>
      <w:r>
        <w:rPr>
          <w:rFonts w:hint="eastAsia" w:ascii="宋体" w:hAnsi="宋体" w:eastAsia="宋体"/>
          <w:color w:val="auto"/>
          <w:kern w:val="2"/>
        </w:rPr>
        <w:t>（无）</w:t>
      </w:r>
    </w:p>
    <w:p>
      <w:pPr>
        <w:pStyle w:val="74"/>
        <w:numPr>
          <w:ilvl w:val="0"/>
          <w:numId w:val="0"/>
        </w:numPr>
      </w:pPr>
      <w:r>
        <w:rPr>
          <w:rFonts w:hint="eastAsia"/>
        </w:rPr>
        <w:t>八、规范作为强制性或推荐性国家（或行业）标准的建议</w:t>
      </w:r>
    </w:p>
    <w:p>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pPr>
        <w:pStyle w:val="74"/>
        <w:numPr>
          <w:ilvl w:val="0"/>
          <w:numId w:val="0"/>
        </w:numPr>
      </w:pPr>
      <w:bookmarkStart w:id="77" w:name="_Toc464728976"/>
      <w:r>
        <w:rPr>
          <w:rFonts w:hint="eastAsia"/>
        </w:rPr>
        <w:t>九、贯彻规范的要求和措施建议</w:t>
      </w:r>
      <w:bookmarkEnd w:id="77"/>
    </w:p>
    <w:p>
      <w:pPr>
        <w:pStyle w:val="58"/>
        <w:rPr>
          <w:rFonts w:hAnsi="宋体" w:eastAsia="宋体"/>
          <w:color w:val="auto"/>
          <w:kern w:val="2"/>
        </w:rPr>
      </w:pPr>
      <w:r>
        <w:rPr>
          <w:rFonts w:hint="eastAsia" w:hAnsi="宋体" w:eastAsia="宋体"/>
          <w:color w:val="auto"/>
          <w:kern w:val="2"/>
        </w:rPr>
        <w:t>本规范发布后，中国有色金属行业协会和有色金属行业计量技术委员会应加强本规范的宣传力度，促进冲击试验低温槽生产厂家按照实际情况合理选用校准规程，以促进我国企业的技术进步和产品质量上档次，提高我国产品在国际国内市场的竞争能力。</w:t>
      </w:r>
    </w:p>
    <w:p>
      <w:pPr>
        <w:pStyle w:val="74"/>
        <w:numPr>
          <w:ilvl w:val="0"/>
          <w:numId w:val="0"/>
        </w:numPr>
      </w:pPr>
      <w:bookmarkStart w:id="78" w:name="_Toc464728977"/>
      <w:r>
        <w:rPr>
          <w:rFonts w:hint="eastAsia"/>
        </w:rPr>
        <w:t>十、废止现行有关规范的建议</w:t>
      </w:r>
      <w:bookmarkEnd w:id="78"/>
    </w:p>
    <w:p>
      <w:pPr>
        <w:pStyle w:val="58"/>
        <w:rPr>
          <w:rFonts w:hAnsi="宋体" w:eastAsia="宋体"/>
          <w:color w:val="auto"/>
          <w:kern w:val="2"/>
        </w:rPr>
      </w:pPr>
      <w:r>
        <w:rPr>
          <w:rFonts w:hint="eastAsia" w:hAnsi="宋体" w:eastAsia="宋体"/>
          <w:color w:val="auto"/>
          <w:kern w:val="2"/>
        </w:rPr>
        <w:t>（无）。</w:t>
      </w:r>
    </w:p>
    <w:p>
      <w:pPr>
        <w:pStyle w:val="74"/>
        <w:numPr>
          <w:ilvl w:val="0"/>
          <w:numId w:val="0"/>
        </w:numPr>
      </w:pPr>
      <w:r>
        <w:rPr>
          <w:rFonts w:hint="eastAsia"/>
        </w:rPr>
        <w:t>十一、预期效果</w:t>
      </w:r>
    </w:p>
    <w:p>
      <w:pPr>
        <w:pStyle w:val="58"/>
        <w:rPr>
          <w:rFonts w:hAnsi="宋体" w:eastAsia="宋体"/>
          <w:color w:val="auto"/>
          <w:kern w:val="2"/>
        </w:rPr>
      </w:pPr>
      <w:r>
        <w:rPr>
          <w:rFonts w:hint="eastAsia" w:hAnsi="宋体" w:eastAsia="宋体"/>
          <w:color w:val="auto"/>
          <w:kern w:val="2"/>
        </w:rPr>
        <w:t>冲击试验低温槽校准规范的制定，具有极大的经济效益和社会效益，填补了有色金属行业领域校准空白，能够很好的满足有色金属领域分析检测实验室对于冲击试验低温槽的校准需求，进而保证试验结果的可信度，使得产品的安全性。</w:t>
      </w:r>
    </w:p>
    <w:p>
      <w:pPr>
        <w:pStyle w:val="74"/>
        <w:numPr>
          <w:ilvl w:val="0"/>
          <w:numId w:val="0"/>
        </w:numPr>
      </w:pPr>
      <w:r>
        <w:rPr>
          <w:rFonts w:hint="eastAsia"/>
        </w:rPr>
        <w:t>十二、其他应予说明的事项</w:t>
      </w:r>
    </w:p>
    <w:p>
      <w:pPr>
        <w:pStyle w:val="58"/>
      </w:pPr>
      <w:r>
        <w:rPr>
          <w:rFonts w:hint="eastAsia"/>
        </w:rPr>
        <w:t>（无）。</w:t>
      </w:r>
    </w:p>
    <w:p>
      <w:pPr>
        <w:pStyle w:val="58"/>
      </w:pPr>
      <w:r>
        <w:t xml:space="preserve">  </w:t>
      </w: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jc w:val="right"/>
      </w:pPr>
      <w:r>
        <w:t>《冲击试验低温槽校准规范》编制组  2024年0</w:t>
      </w:r>
      <w:r>
        <w:rPr>
          <w:rFonts w:hint="eastAsia"/>
        </w:rPr>
        <w:t>8</w:t>
      </w:r>
      <w:r>
        <w:t>月</w:t>
      </w:r>
    </w:p>
    <w:p>
      <w:pPr>
        <w:pStyle w:val="58"/>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pStyle w:val="74"/>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C26F0B"/>
    <w:multiLevelType w:val="singleLevel"/>
    <w:tmpl w:val="2CC26F0B"/>
    <w:lvl w:ilvl="0" w:tentative="0">
      <w:start w:val="1"/>
      <w:numFmt w:val="decimal"/>
      <w:suff w:val="nothing"/>
      <w:lvlText w:val="%1、"/>
      <w:lvlJc w:val="left"/>
    </w:lvl>
  </w:abstractNum>
  <w:abstractNum w:abstractNumId="12">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9"/>
  </w:num>
  <w:num w:numId="4">
    <w:abstractNumId w:val="10"/>
  </w:num>
  <w:num w:numId="5">
    <w:abstractNumId w:val="0"/>
  </w:num>
  <w:num w:numId="6">
    <w:abstractNumId w:val="3"/>
  </w:num>
  <w:num w:numId="7">
    <w:abstractNumId w:val="7"/>
  </w:num>
  <w:num w:numId="8">
    <w:abstractNumId w:val="2"/>
  </w:num>
  <w:num w:numId="9">
    <w:abstractNumId w:val="6"/>
  </w:num>
  <w:num w:numId="10">
    <w:abstractNumId w:val="1"/>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693668"/>
    <w:rsid w:val="00001F60"/>
    <w:rsid w:val="000038F0"/>
    <w:rsid w:val="00004648"/>
    <w:rsid w:val="00013992"/>
    <w:rsid w:val="00014C66"/>
    <w:rsid w:val="000211BF"/>
    <w:rsid w:val="000237D4"/>
    <w:rsid w:val="0002700F"/>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772A"/>
    <w:rsid w:val="000D1F80"/>
    <w:rsid w:val="000F15FB"/>
    <w:rsid w:val="000F53A6"/>
    <w:rsid w:val="000F714B"/>
    <w:rsid w:val="00100912"/>
    <w:rsid w:val="00104CBC"/>
    <w:rsid w:val="001164A0"/>
    <w:rsid w:val="0012155C"/>
    <w:rsid w:val="00122AD8"/>
    <w:rsid w:val="00122CAF"/>
    <w:rsid w:val="00123CAD"/>
    <w:rsid w:val="00136813"/>
    <w:rsid w:val="0014120B"/>
    <w:rsid w:val="00150062"/>
    <w:rsid w:val="001527ED"/>
    <w:rsid w:val="0016493A"/>
    <w:rsid w:val="001859F4"/>
    <w:rsid w:val="0019431C"/>
    <w:rsid w:val="001A08EB"/>
    <w:rsid w:val="001A4F75"/>
    <w:rsid w:val="001B76E1"/>
    <w:rsid w:val="001C0648"/>
    <w:rsid w:val="001C13CE"/>
    <w:rsid w:val="001C7BB8"/>
    <w:rsid w:val="001D0501"/>
    <w:rsid w:val="001D1317"/>
    <w:rsid w:val="001E0288"/>
    <w:rsid w:val="001E09C6"/>
    <w:rsid w:val="001E32C9"/>
    <w:rsid w:val="0020375B"/>
    <w:rsid w:val="00220437"/>
    <w:rsid w:val="00225EC9"/>
    <w:rsid w:val="00235374"/>
    <w:rsid w:val="00247A7D"/>
    <w:rsid w:val="00255EB1"/>
    <w:rsid w:val="002732FF"/>
    <w:rsid w:val="00275F7A"/>
    <w:rsid w:val="00280BE9"/>
    <w:rsid w:val="002849BB"/>
    <w:rsid w:val="00291548"/>
    <w:rsid w:val="002977EC"/>
    <w:rsid w:val="002A1305"/>
    <w:rsid w:val="002B225D"/>
    <w:rsid w:val="002D0634"/>
    <w:rsid w:val="002D16B1"/>
    <w:rsid w:val="002D2103"/>
    <w:rsid w:val="002E3050"/>
    <w:rsid w:val="002E6C19"/>
    <w:rsid w:val="002F2867"/>
    <w:rsid w:val="002F4E61"/>
    <w:rsid w:val="002F6135"/>
    <w:rsid w:val="003012C4"/>
    <w:rsid w:val="00305CB9"/>
    <w:rsid w:val="00307A90"/>
    <w:rsid w:val="00314BA2"/>
    <w:rsid w:val="0031735F"/>
    <w:rsid w:val="0032338B"/>
    <w:rsid w:val="0033057E"/>
    <w:rsid w:val="003318C1"/>
    <w:rsid w:val="00335FEC"/>
    <w:rsid w:val="0034125E"/>
    <w:rsid w:val="00343AD0"/>
    <w:rsid w:val="00352269"/>
    <w:rsid w:val="00366AF1"/>
    <w:rsid w:val="00373555"/>
    <w:rsid w:val="0037609A"/>
    <w:rsid w:val="00397407"/>
    <w:rsid w:val="003B0148"/>
    <w:rsid w:val="003B06FA"/>
    <w:rsid w:val="003B314C"/>
    <w:rsid w:val="003C2376"/>
    <w:rsid w:val="003C685D"/>
    <w:rsid w:val="003E10E7"/>
    <w:rsid w:val="003E237F"/>
    <w:rsid w:val="003F2C11"/>
    <w:rsid w:val="00400BF2"/>
    <w:rsid w:val="0040777C"/>
    <w:rsid w:val="00411DC2"/>
    <w:rsid w:val="00415481"/>
    <w:rsid w:val="00422FB7"/>
    <w:rsid w:val="0042558A"/>
    <w:rsid w:val="004257BB"/>
    <w:rsid w:val="00425D1F"/>
    <w:rsid w:val="004315D8"/>
    <w:rsid w:val="0043458C"/>
    <w:rsid w:val="004508BB"/>
    <w:rsid w:val="00455FE9"/>
    <w:rsid w:val="0046211B"/>
    <w:rsid w:val="00464019"/>
    <w:rsid w:val="0048362B"/>
    <w:rsid w:val="00484B2D"/>
    <w:rsid w:val="00497039"/>
    <w:rsid w:val="004A27E5"/>
    <w:rsid w:val="004A4DA4"/>
    <w:rsid w:val="004B1DE2"/>
    <w:rsid w:val="004B3BD5"/>
    <w:rsid w:val="004C6FDF"/>
    <w:rsid w:val="004E1361"/>
    <w:rsid w:val="004E4C45"/>
    <w:rsid w:val="004E5080"/>
    <w:rsid w:val="004E5EFD"/>
    <w:rsid w:val="00515999"/>
    <w:rsid w:val="00521FA9"/>
    <w:rsid w:val="00526AEB"/>
    <w:rsid w:val="0052761B"/>
    <w:rsid w:val="005305AE"/>
    <w:rsid w:val="00531FA0"/>
    <w:rsid w:val="00536268"/>
    <w:rsid w:val="00536BFA"/>
    <w:rsid w:val="00537943"/>
    <w:rsid w:val="00550C7E"/>
    <w:rsid w:val="00553062"/>
    <w:rsid w:val="005535AA"/>
    <w:rsid w:val="0055489A"/>
    <w:rsid w:val="00556AC4"/>
    <w:rsid w:val="00556E9C"/>
    <w:rsid w:val="005608DA"/>
    <w:rsid w:val="00567271"/>
    <w:rsid w:val="005709C3"/>
    <w:rsid w:val="0059121E"/>
    <w:rsid w:val="00593500"/>
    <w:rsid w:val="005944B9"/>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7726"/>
    <w:rsid w:val="00633572"/>
    <w:rsid w:val="00636E32"/>
    <w:rsid w:val="00637AB5"/>
    <w:rsid w:val="00640443"/>
    <w:rsid w:val="00644C6D"/>
    <w:rsid w:val="006510D6"/>
    <w:rsid w:val="00660A77"/>
    <w:rsid w:val="00667FDB"/>
    <w:rsid w:val="00672533"/>
    <w:rsid w:val="006738AA"/>
    <w:rsid w:val="00676748"/>
    <w:rsid w:val="006820CD"/>
    <w:rsid w:val="006837DC"/>
    <w:rsid w:val="00683E68"/>
    <w:rsid w:val="00686643"/>
    <w:rsid w:val="00693668"/>
    <w:rsid w:val="006B3185"/>
    <w:rsid w:val="006B43C4"/>
    <w:rsid w:val="006B56BB"/>
    <w:rsid w:val="006C188A"/>
    <w:rsid w:val="006C2258"/>
    <w:rsid w:val="006C2AF8"/>
    <w:rsid w:val="006D1B98"/>
    <w:rsid w:val="006D7E99"/>
    <w:rsid w:val="006E11F0"/>
    <w:rsid w:val="006F1EDB"/>
    <w:rsid w:val="00724E03"/>
    <w:rsid w:val="00733C71"/>
    <w:rsid w:val="00735A75"/>
    <w:rsid w:val="007373AB"/>
    <w:rsid w:val="00740702"/>
    <w:rsid w:val="00743A97"/>
    <w:rsid w:val="00743BA2"/>
    <w:rsid w:val="00743BAC"/>
    <w:rsid w:val="00746BAC"/>
    <w:rsid w:val="00750ED3"/>
    <w:rsid w:val="00764D0A"/>
    <w:rsid w:val="00765621"/>
    <w:rsid w:val="00770269"/>
    <w:rsid w:val="007901C0"/>
    <w:rsid w:val="007902D1"/>
    <w:rsid w:val="007A3BEE"/>
    <w:rsid w:val="007C15E3"/>
    <w:rsid w:val="007D0A16"/>
    <w:rsid w:val="007D0AA5"/>
    <w:rsid w:val="007E56C9"/>
    <w:rsid w:val="008032BC"/>
    <w:rsid w:val="00804BC8"/>
    <w:rsid w:val="00815B82"/>
    <w:rsid w:val="00817131"/>
    <w:rsid w:val="00820F69"/>
    <w:rsid w:val="00824B04"/>
    <w:rsid w:val="008353D7"/>
    <w:rsid w:val="008461B6"/>
    <w:rsid w:val="0085122B"/>
    <w:rsid w:val="0086056F"/>
    <w:rsid w:val="0086378F"/>
    <w:rsid w:val="00865F38"/>
    <w:rsid w:val="008754EE"/>
    <w:rsid w:val="00876D87"/>
    <w:rsid w:val="008840F2"/>
    <w:rsid w:val="00887573"/>
    <w:rsid w:val="008B22FC"/>
    <w:rsid w:val="008B38E0"/>
    <w:rsid w:val="008C672E"/>
    <w:rsid w:val="008C7D6D"/>
    <w:rsid w:val="008E415E"/>
    <w:rsid w:val="008E7BF6"/>
    <w:rsid w:val="008F1961"/>
    <w:rsid w:val="008F5DCA"/>
    <w:rsid w:val="009034C1"/>
    <w:rsid w:val="009044A5"/>
    <w:rsid w:val="009052E4"/>
    <w:rsid w:val="009111C1"/>
    <w:rsid w:val="00913ED1"/>
    <w:rsid w:val="00933D2C"/>
    <w:rsid w:val="009359EC"/>
    <w:rsid w:val="00944D55"/>
    <w:rsid w:val="00946B7D"/>
    <w:rsid w:val="009513C5"/>
    <w:rsid w:val="009549F4"/>
    <w:rsid w:val="00954DA4"/>
    <w:rsid w:val="00967A11"/>
    <w:rsid w:val="00967BBB"/>
    <w:rsid w:val="00971240"/>
    <w:rsid w:val="009737CF"/>
    <w:rsid w:val="00982373"/>
    <w:rsid w:val="00985F0B"/>
    <w:rsid w:val="009901B8"/>
    <w:rsid w:val="009919FE"/>
    <w:rsid w:val="009A12AB"/>
    <w:rsid w:val="009B4929"/>
    <w:rsid w:val="009C0597"/>
    <w:rsid w:val="009C2D10"/>
    <w:rsid w:val="009C3FBE"/>
    <w:rsid w:val="009D79FA"/>
    <w:rsid w:val="009D7A58"/>
    <w:rsid w:val="009E08CA"/>
    <w:rsid w:val="009E1F15"/>
    <w:rsid w:val="009E3D09"/>
    <w:rsid w:val="009F420F"/>
    <w:rsid w:val="00A06113"/>
    <w:rsid w:val="00A11A21"/>
    <w:rsid w:val="00A12727"/>
    <w:rsid w:val="00A1378A"/>
    <w:rsid w:val="00A1497C"/>
    <w:rsid w:val="00A15577"/>
    <w:rsid w:val="00A27A83"/>
    <w:rsid w:val="00A30766"/>
    <w:rsid w:val="00A3211C"/>
    <w:rsid w:val="00A325BC"/>
    <w:rsid w:val="00A363F7"/>
    <w:rsid w:val="00A40585"/>
    <w:rsid w:val="00A40E4F"/>
    <w:rsid w:val="00A47FE2"/>
    <w:rsid w:val="00A56163"/>
    <w:rsid w:val="00A57E1E"/>
    <w:rsid w:val="00A77511"/>
    <w:rsid w:val="00A7790F"/>
    <w:rsid w:val="00A8043A"/>
    <w:rsid w:val="00A8426B"/>
    <w:rsid w:val="00A86AF0"/>
    <w:rsid w:val="00A872B0"/>
    <w:rsid w:val="00A87866"/>
    <w:rsid w:val="00AA53FB"/>
    <w:rsid w:val="00AB1F90"/>
    <w:rsid w:val="00AB5C61"/>
    <w:rsid w:val="00AC0924"/>
    <w:rsid w:val="00AC180E"/>
    <w:rsid w:val="00AC1E7A"/>
    <w:rsid w:val="00AD093B"/>
    <w:rsid w:val="00AD36E8"/>
    <w:rsid w:val="00AE0B35"/>
    <w:rsid w:val="00AE47AC"/>
    <w:rsid w:val="00AF7111"/>
    <w:rsid w:val="00B056DA"/>
    <w:rsid w:val="00B05E25"/>
    <w:rsid w:val="00B07889"/>
    <w:rsid w:val="00B07D3B"/>
    <w:rsid w:val="00B369B6"/>
    <w:rsid w:val="00B43636"/>
    <w:rsid w:val="00B45E9C"/>
    <w:rsid w:val="00B53389"/>
    <w:rsid w:val="00B60FA7"/>
    <w:rsid w:val="00B614F2"/>
    <w:rsid w:val="00B706F7"/>
    <w:rsid w:val="00B7116A"/>
    <w:rsid w:val="00B75677"/>
    <w:rsid w:val="00B774E7"/>
    <w:rsid w:val="00B817F8"/>
    <w:rsid w:val="00BB1CBB"/>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377AC"/>
    <w:rsid w:val="00C40CAE"/>
    <w:rsid w:val="00C42447"/>
    <w:rsid w:val="00C5059F"/>
    <w:rsid w:val="00C53BDD"/>
    <w:rsid w:val="00C5550F"/>
    <w:rsid w:val="00C57BAB"/>
    <w:rsid w:val="00C665B9"/>
    <w:rsid w:val="00C66C85"/>
    <w:rsid w:val="00C70EA3"/>
    <w:rsid w:val="00C7537E"/>
    <w:rsid w:val="00C75FC3"/>
    <w:rsid w:val="00C8056F"/>
    <w:rsid w:val="00C81A49"/>
    <w:rsid w:val="00C86EE5"/>
    <w:rsid w:val="00CB750D"/>
    <w:rsid w:val="00CB7CDF"/>
    <w:rsid w:val="00CC3C55"/>
    <w:rsid w:val="00CC3CF9"/>
    <w:rsid w:val="00CC3DDD"/>
    <w:rsid w:val="00CC491D"/>
    <w:rsid w:val="00CC52E3"/>
    <w:rsid w:val="00CD2D13"/>
    <w:rsid w:val="00CD759E"/>
    <w:rsid w:val="00CF3CAA"/>
    <w:rsid w:val="00D01726"/>
    <w:rsid w:val="00D11636"/>
    <w:rsid w:val="00D16568"/>
    <w:rsid w:val="00D17115"/>
    <w:rsid w:val="00D25D69"/>
    <w:rsid w:val="00D436F5"/>
    <w:rsid w:val="00D6471A"/>
    <w:rsid w:val="00D71DEC"/>
    <w:rsid w:val="00D749DE"/>
    <w:rsid w:val="00D81C1D"/>
    <w:rsid w:val="00D84538"/>
    <w:rsid w:val="00D85454"/>
    <w:rsid w:val="00D86648"/>
    <w:rsid w:val="00D903E4"/>
    <w:rsid w:val="00DA22D1"/>
    <w:rsid w:val="00DA3611"/>
    <w:rsid w:val="00DB4F65"/>
    <w:rsid w:val="00DB66C3"/>
    <w:rsid w:val="00DD6769"/>
    <w:rsid w:val="00DD7D39"/>
    <w:rsid w:val="00DE144C"/>
    <w:rsid w:val="00DE7E15"/>
    <w:rsid w:val="00E019C6"/>
    <w:rsid w:val="00E0219F"/>
    <w:rsid w:val="00E22714"/>
    <w:rsid w:val="00E23465"/>
    <w:rsid w:val="00E31A7B"/>
    <w:rsid w:val="00E32480"/>
    <w:rsid w:val="00E544F0"/>
    <w:rsid w:val="00E71DCC"/>
    <w:rsid w:val="00E7212F"/>
    <w:rsid w:val="00E734F2"/>
    <w:rsid w:val="00E82471"/>
    <w:rsid w:val="00E911BC"/>
    <w:rsid w:val="00EA495E"/>
    <w:rsid w:val="00EB2994"/>
    <w:rsid w:val="00EB4CDB"/>
    <w:rsid w:val="00EC149D"/>
    <w:rsid w:val="00ED5F91"/>
    <w:rsid w:val="00ED67DD"/>
    <w:rsid w:val="00ED763D"/>
    <w:rsid w:val="00ED766A"/>
    <w:rsid w:val="00EE0476"/>
    <w:rsid w:val="00EE5988"/>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6198"/>
    <w:rsid w:val="00FA7260"/>
    <w:rsid w:val="00FB34E5"/>
    <w:rsid w:val="00FC7BF3"/>
    <w:rsid w:val="00FD235D"/>
    <w:rsid w:val="00FD40CE"/>
    <w:rsid w:val="00FD7FCA"/>
    <w:rsid w:val="00FE0C1C"/>
    <w:rsid w:val="00FE17CA"/>
    <w:rsid w:val="00FE1932"/>
    <w:rsid w:val="00FE1A74"/>
    <w:rsid w:val="00FE36D2"/>
    <w:rsid w:val="00FE4ACB"/>
    <w:rsid w:val="00FF289A"/>
    <w:rsid w:val="00FF5630"/>
    <w:rsid w:val="01391B68"/>
    <w:rsid w:val="02F703B0"/>
    <w:rsid w:val="07DC0ED5"/>
    <w:rsid w:val="0904785D"/>
    <w:rsid w:val="09573966"/>
    <w:rsid w:val="0A781AE7"/>
    <w:rsid w:val="0BB663E8"/>
    <w:rsid w:val="0CCA0314"/>
    <w:rsid w:val="0D975F7E"/>
    <w:rsid w:val="12995D7D"/>
    <w:rsid w:val="13AE36C8"/>
    <w:rsid w:val="14317D7D"/>
    <w:rsid w:val="14FE0CE9"/>
    <w:rsid w:val="158E7867"/>
    <w:rsid w:val="174C2AB4"/>
    <w:rsid w:val="1957264C"/>
    <w:rsid w:val="1F5A1A25"/>
    <w:rsid w:val="1F714057"/>
    <w:rsid w:val="208E75B3"/>
    <w:rsid w:val="218A16C9"/>
    <w:rsid w:val="21BE3478"/>
    <w:rsid w:val="21D04080"/>
    <w:rsid w:val="22423DCF"/>
    <w:rsid w:val="23A74BBD"/>
    <w:rsid w:val="23D43A72"/>
    <w:rsid w:val="29846CB3"/>
    <w:rsid w:val="29936EB5"/>
    <w:rsid w:val="29E46257"/>
    <w:rsid w:val="2A4110A1"/>
    <w:rsid w:val="2AB85E2C"/>
    <w:rsid w:val="2C281A12"/>
    <w:rsid w:val="2F4F68AC"/>
    <w:rsid w:val="2FBE527A"/>
    <w:rsid w:val="31B57A58"/>
    <w:rsid w:val="325F3B1A"/>
    <w:rsid w:val="33107F2E"/>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6A0413E"/>
    <w:rsid w:val="77CE2BEC"/>
    <w:rsid w:val="7AC757F1"/>
    <w:rsid w:val="7BA80065"/>
    <w:rsid w:val="7D6B27F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autoRedefine/>
    <w:qFormat/>
    <w:uiPriority w:val="0"/>
    <w:pPr>
      <w:keepNext/>
      <w:keepLines/>
      <w:spacing w:before="260" w:after="260" w:line="413"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unhideWhenUsed/>
    <w:qFormat/>
    <w:uiPriority w:val="99"/>
    <w:pPr>
      <w:spacing w:after="120" w:line="480" w:lineRule="auto"/>
      <w:jc w:val="center"/>
    </w:pPr>
    <w:rPr>
      <w:bCs/>
      <w:szCs w:val="21"/>
    </w:r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spacing w:line="360" w:lineRule="auto"/>
      <w:ind w:firstLine="420" w:firstLineChars="200"/>
    </w:pPr>
    <w:rPr>
      <w:rFonts w:ascii="Times New Roman" w:hAnsi="Times New Roman" w:eastAsia="黑体" w:cs="Times New Roman"/>
      <w:color w:val="000000" w:themeColor="text1"/>
      <w:sz w:val="21"/>
      <w:szCs w:val="21"/>
      <w:lang w:val="en-US" w:eastAsia="zh-CN" w:bidi="ar-SA"/>
      <w14:textFill>
        <w14:solidFill>
          <w14:schemeClr w14:val="tx1"/>
        </w14:solidFill>
      </w14:textFill>
    </w:rPr>
  </w:style>
  <w:style w:type="paragraph" w:customStyle="1" w:styleId="59">
    <w:name w:val="二级条标题"/>
    <w:basedOn w:val="60"/>
    <w:next w:val="58"/>
    <w:link w:val="277"/>
    <w:autoRedefine/>
    <w:qFormat/>
    <w:uiPriority w:val="0"/>
    <w:pPr>
      <w:outlineLvl w:val="3"/>
    </w:pPr>
    <w:rPr>
      <w:spacing w:val="-6"/>
    </w:rPr>
  </w:style>
  <w:style w:type="paragraph" w:customStyle="1" w:styleId="60">
    <w:name w:val="一级条标题"/>
    <w:basedOn w:val="61"/>
    <w:next w:val="58"/>
    <w:link w:val="279"/>
    <w:autoRedefine/>
    <w:qFormat/>
    <w:uiPriority w:val="0"/>
    <w:pPr>
      <w:spacing w:line="300" w:lineRule="auto"/>
      <w:outlineLvl w:val="2"/>
    </w:pPr>
    <w:rPr>
      <w:color w:val="000000" w:themeColor="text1"/>
      <w:spacing w:val="-4"/>
      <w14:textFill>
        <w14:solidFill>
          <w14:schemeClr w14:val="tx1"/>
        </w14:solidFill>
      </w14:textFill>
    </w:rPr>
  </w:style>
  <w:style w:type="paragraph" w:customStyle="1" w:styleId="61">
    <w:name w:val="章标题"/>
    <w:next w:val="58"/>
    <w:link w:val="278"/>
    <w:autoRedefine/>
    <w:qFormat/>
    <w:uiPriority w:val="0"/>
    <w:pPr>
      <w:spacing w:line="360" w:lineRule="auto"/>
      <w:ind w:firstLine="420" w:firstLineChars="200"/>
      <w:jc w:val="both"/>
      <w:outlineLvl w:val="1"/>
    </w:pPr>
    <w:rPr>
      <w:rFonts w:ascii="黑体" w:hAnsi="黑体" w:eastAsia="黑体" w:cs="Times New Roman"/>
      <w:sz w:val="21"/>
      <w:szCs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1"/>
      </w:numPr>
      <w:tabs>
        <w:tab w:val="left" w:pos="6405"/>
      </w:tabs>
      <w:spacing w:after="200"/>
    </w:pPr>
  </w:style>
  <w:style w:type="paragraph" w:customStyle="1" w:styleId="66">
    <w:name w:val="前言、引言标题"/>
    <w:next w:val="1"/>
    <w:autoRedefine/>
    <w:qFormat/>
    <w:uiPriority w:val="0"/>
    <w:pPr>
      <w:numPr>
        <w:ilvl w:val="0"/>
        <w:numId w:val="2"/>
      </w:numPr>
      <w:shd w:val="clear" w:color="FFFFFF" w:fill="FFFFFF"/>
      <w:spacing w:line="360" w:lineRule="auto"/>
      <w:ind w:firstLine="396" w:firstLineChars="200"/>
      <w:outlineLvl w:val="0"/>
    </w:pPr>
    <w:rPr>
      <w:rFonts w:ascii="Times New Roman" w:hAnsi="Times New Roman" w:eastAsia="宋体" w:cs="Times New Roman"/>
      <w:bCs/>
      <w:spacing w:val="-6"/>
      <w:kern w:val="2"/>
      <w:sz w:val="21"/>
      <w:szCs w:val="21"/>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outlineLvl w:val="5"/>
    </w:pPr>
  </w:style>
  <w:style w:type="paragraph" w:customStyle="1" w:styleId="71">
    <w:name w:val="三级条标题"/>
    <w:basedOn w:val="59"/>
    <w:next w:val="58"/>
    <w:link w:val="281"/>
    <w:autoRedefine/>
    <w:qFormat/>
    <w:uiPriority w:val="0"/>
    <w:p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4"/>
      </w:numPr>
      <w:tabs>
        <w:tab w:val="left" w:pos="426"/>
      </w:tabs>
      <w:ind w:left="0" w:firstLine="0"/>
    </w:pPr>
    <w:rPr>
      <w:rFonts w:ascii="黑体" w:hAnsi="黑体" w:eastAsia="黑体"/>
      <w:sz w:val="28"/>
      <w:szCs w:val="28"/>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1"/>
      </w:numPr>
      <w:overflowPunct w:val="0"/>
      <w:autoSpaceDE w:val="0"/>
      <w:spacing w:after="156" w:afterLines="50" w:line="360" w:lineRule="auto"/>
      <w:jc w:val="both"/>
      <w:textAlignment w:val="baseline"/>
      <w:outlineLvl w:val="1"/>
    </w:pPr>
    <w:rPr>
      <w:rFonts w:ascii="黑体" w:hAnsi="Times New Roman" w:eastAsia="黑体" w:cs="Times New Roman"/>
      <w:kern w:val="21"/>
      <w:sz w:val="24"/>
      <w:szCs w:val="24"/>
      <w:lang w:val="en-US" w:eastAsia="zh-CN" w:bidi="ar-SA"/>
    </w:rPr>
  </w:style>
  <w:style w:type="paragraph" w:customStyle="1" w:styleId="80">
    <w:name w:val="注×："/>
    <w:autoRedefine/>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6"/>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8"/>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6"/>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10"/>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6"/>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1"/>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6"/>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6"/>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Times New Roman" w:hAnsi="Times New Roman" w:eastAsia="黑体" w:cs="Times New Roman"/>
      <w:color w:val="000000" w:themeColor="text1"/>
      <w:sz w:val="21"/>
      <w:szCs w:val="21"/>
      <w14:textFill>
        <w14:solidFill>
          <w14:schemeClr w14:val="tx1"/>
        </w14:solidFill>
      </w14:textFill>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黑体" w:eastAsia="黑体" w:cs="Times New Roman"/>
      <w:sz w:val="21"/>
      <w:szCs w:val="21"/>
    </w:rPr>
  </w:style>
  <w:style w:type="character" w:customStyle="1" w:styleId="279">
    <w:name w:val="一级条标题 Char"/>
    <w:link w:val="60"/>
    <w:autoRedefine/>
    <w:qFormat/>
    <w:uiPriority w:val="0"/>
    <w:rPr>
      <w:rFonts w:ascii="黑体" w:hAnsi="黑体" w:eastAsia="黑体" w:cs="Times New Roman"/>
      <w:color w:val="000000" w:themeColor="text1"/>
      <w:spacing w:val="-4"/>
      <w:sz w:val="21"/>
      <w:szCs w:val="21"/>
      <w14:textFill>
        <w14:solidFill>
          <w14:schemeClr w14:val="tx1"/>
        </w14:solidFill>
      </w14:textFill>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adjustRightInd w:val="0"/>
      <w:snapToGrid w:val="0"/>
      <w:spacing w:line="360" w:lineRule="auto"/>
      <w:jc w:val="center"/>
    </w:pPr>
    <w:rPr>
      <w:bCs/>
      <w:color w:val="000000"/>
      <w:kern w:val="0"/>
      <w:szCs w:val="21"/>
    </w:r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locked/>
    <w:uiPriority w:val="99"/>
    <w:rPr>
      <w:rFonts w:ascii="Times New Roman" w:hAnsi="Times New Roman" w:cs="Times New Roman"/>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C1C7D-906B-4B6C-917F-97783D8F3240}">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11</Pages>
  <Words>1235</Words>
  <Characters>7045</Characters>
  <Lines>58</Lines>
  <Paragraphs>16</Paragraphs>
  <TotalTime>0</TotalTime>
  <ScaleCrop>false</ScaleCrop>
  <LinksUpToDate>false</LinksUpToDate>
  <CharactersWithSpaces>8264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2024-09-19T05:46:00Z</dcterms:created>
  <dc:creator>标准李瑞山9585</dc:creator>
  <cp:lastModifiedBy>Administrator</cp:lastModifiedBy>
  <cp:lastPrinted>2016-10-20T04:13:00Z</cp:lastPrinted>
  <dcterms:modified xsi:type="dcterms:W3CDTF">2024-09-20T07:25:31Z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7CC6B53A8B674E13988B212B17AB9464_13</vt:lpwstr>
  </property>
</Properties>
</file>