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ffff9"/>
      </w:pPr>
      <w:bookmarkStart w:id="0" w:name="SectionMark0"/>
      <w:bookmarkStart w:id="1" w:name="SectionMark4"/>
      <w:r>
        <w:rPr>
          <w:noProof/>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afffa"/>
                              <w:rPr>
                                <w:rFonts w:ascii="宋体" w:eastAsia="宋体" w:hAnsi="宋体" w:cs="宋体"/>
                                <w:spacing w:val="58"/>
                                <w:w w:val="120"/>
                                <w:kern w:val="2"/>
                                <w:sz w:val="28"/>
                                <w:szCs w:val="28"/>
                              </w:rPr>
                            </w:pPr>
                          </w:p>
                          <w:p>
                            <w:pPr>
                              <w:jc w:val="center"/>
                              <w:rPr>
                                <w:rFonts w:ascii="宋体" w:hAnsi="宋体" w:cs="宋体"/>
                                <w:spacing w:val="58"/>
                                <w:w w:val="120"/>
                                <w:sz w:val="28"/>
                                <w:szCs w:val="28"/>
                              </w:rPr>
                            </w:pPr>
                            <w:r>
                              <w:rPr>
                                <w:rFonts w:ascii="宋体" w:hAnsi="宋体" w:cs="宋体" w:hint="eastAsia"/>
                                <w:spacing w:val="58"/>
                                <w:w w:val="120"/>
                                <w:sz w:val="28"/>
                                <w:szCs w:val="28"/>
                              </w:rPr>
                              <w:t>光伏组件紫外预处理试验箱校准规范</w:t>
                            </w:r>
                          </w:p>
                          <w:p>
                            <w:pPr>
                              <w:jc w:val="center"/>
                              <w:rPr>
                                <w:rFonts w:ascii="宋体" w:hAnsi="宋体" w:cs="宋体"/>
                                <w:sz w:val="28"/>
                                <w:szCs w:val="28"/>
                              </w:rPr>
                            </w:pPr>
                            <w:r>
                              <w:rPr>
                                <w:rFonts w:ascii="宋体" w:hAnsi="宋体" w:cs="宋体" w:hint="eastAsia"/>
                                <w:spacing w:val="58"/>
                                <w:w w:val="120"/>
                                <w:sz w:val="28"/>
                                <w:szCs w:val="28"/>
                              </w:rPr>
                              <w:t>编制组</w:t>
                            </w:r>
                          </w:p>
                          <w:p>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pPr>
                        <w:pStyle w:val="afffa"/>
                        <w:rPr>
                          <w:rFonts w:ascii="宋体" w:eastAsia="宋体" w:hAnsi="宋体" w:cs="宋体"/>
                          <w:spacing w:val="58"/>
                          <w:w w:val="120"/>
                          <w:kern w:val="2"/>
                          <w:sz w:val="28"/>
                          <w:szCs w:val="28"/>
                        </w:rPr>
                      </w:pPr>
                    </w:p>
                    <w:p>
                      <w:pPr>
                        <w:jc w:val="center"/>
                        <w:rPr>
                          <w:rFonts w:ascii="宋体" w:hAnsi="宋体" w:cs="宋体"/>
                          <w:spacing w:val="58"/>
                          <w:w w:val="120"/>
                          <w:sz w:val="28"/>
                          <w:szCs w:val="28"/>
                        </w:rPr>
                      </w:pPr>
                      <w:r>
                        <w:rPr>
                          <w:rFonts w:ascii="宋体" w:hAnsi="宋体" w:cs="宋体" w:hint="eastAsia"/>
                          <w:spacing w:val="58"/>
                          <w:w w:val="120"/>
                          <w:sz w:val="28"/>
                          <w:szCs w:val="28"/>
                        </w:rPr>
                        <w:t>光伏组件紫外预处理试验箱校准规范</w:t>
                      </w:r>
                    </w:p>
                    <w:p>
                      <w:pPr>
                        <w:jc w:val="center"/>
                        <w:rPr>
                          <w:rFonts w:ascii="宋体" w:hAnsi="宋体" w:cs="宋体"/>
                          <w:sz w:val="28"/>
                          <w:szCs w:val="28"/>
                        </w:rPr>
                      </w:pPr>
                      <w:r>
                        <w:rPr>
                          <w:rFonts w:ascii="宋体" w:hAnsi="宋体" w:cs="宋体" w:hint="eastAsia"/>
                          <w:spacing w:val="58"/>
                          <w:w w:val="120"/>
                          <w:sz w:val="28"/>
                          <w:szCs w:val="28"/>
                        </w:rPr>
                        <w:t>编制组</w:t>
                      </w:r>
                    </w:p>
                    <w:p>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afff4"/>
                              <w:spacing w:before="600"/>
                              <w:rPr>
                                <w:rFonts w:ascii="黑体" w:eastAsia="黑体" w:hAnsi="黑体"/>
                                <w:sz w:val="36"/>
                                <w:szCs w:val="36"/>
                              </w:rPr>
                            </w:pPr>
                            <w:r>
                              <w:rPr>
                                <w:rFonts w:ascii="黑体" w:eastAsia="黑体" w:hAnsi="黑体" w:hint="eastAsia"/>
                                <w:sz w:val="36"/>
                                <w:szCs w:val="36"/>
                              </w:rPr>
                              <w:t xml:space="preserve"> </w:t>
                            </w:r>
                            <w:r>
                              <w:rPr>
                                <w:rFonts w:ascii="黑体" w:eastAsia="黑体" w:hAnsi="黑体" w:hint="eastAsia"/>
                                <w:sz w:val="36"/>
                                <w:szCs w:val="36"/>
                              </w:rPr>
                              <w:t>预审稿</w:t>
                            </w:r>
                          </w:p>
                          <w:p>
                            <w:pPr>
                              <w:pStyle w:val="afff4"/>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4-08</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pPr>
                        <w:pStyle w:val="afff4"/>
                        <w:spacing w:before="600"/>
                        <w:rPr>
                          <w:rFonts w:ascii="黑体" w:eastAsia="黑体" w:hAnsi="黑体"/>
                          <w:sz w:val="36"/>
                          <w:szCs w:val="36"/>
                        </w:rPr>
                      </w:pPr>
                      <w:r>
                        <w:rPr>
                          <w:rFonts w:ascii="黑体" w:eastAsia="黑体" w:hAnsi="黑体" w:hint="eastAsia"/>
                          <w:sz w:val="36"/>
                          <w:szCs w:val="36"/>
                        </w:rPr>
                        <w:t xml:space="preserve"> </w:t>
                      </w:r>
                      <w:r>
                        <w:rPr>
                          <w:rFonts w:ascii="黑体" w:eastAsia="黑体" w:hAnsi="黑体" w:hint="eastAsia"/>
                          <w:sz w:val="36"/>
                          <w:szCs w:val="36"/>
                        </w:rPr>
                        <w:t>预审稿</w:t>
                      </w:r>
                    </w:p>
                    <w:p>
                      <w:pPr>
                        <w:pStyle w:val="afff4"/>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4-08</w:t>
                      </w:r>
                    </w:p>
                  </w:txbxContent>
                </v:textbox>
                <w10:wrap anchorx="margin" anchory="margin"/>
                <w10:anchorlock/>
              </v:rec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afffa"/>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pPr>
                              <w:pStyle w:val="afffa"/>
                              <w:rPr>
                                <w:rFonts w:hAnsi="黑体" w:cs="黑体"/>
                                <w:sz w:val="44"/>
                                <w:szCs w:val="44"/>
                              </w:rPr>
                            </w:pPr>
                            <w:r>
                              <w:rPr>
                                <w:rFonts w:hAnsi="黑体" w:cs="黑体" w:hint="eastAsia"/>
                                <w:sz w:val="44"/>
                                <w:szCs w:val="44"/>
                              </w:rPr>
                              <w:t>光伏组件紫外预处理试验箱校准规范</w:t>
                            </w:r>
                          </w:p>
                          <w:p>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pPr>
                        <w:pStyle w:val="afffa"/>
                        <w:rPr>
                          <w:rFonts w:hAnsi="黑体" w:cs="黑体"/>
                          <w:sz w:val="44"/>
                          <w:szCs w:val="44"/>
                        </w:rPr>
                      </w:pPr>
                      <w:bookmarkStart w:id="3"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pPr>
                        <w:pStyle w:val="afffa"/>
                        <w:rPr>
                          <w:rFonts w:hAnsi="黑体" w:cs="黑体"/>
                          <w:sz w:val="44"/>
                          <w:szCs w:val="44"/>
                        </w:rPr>
                      </w:pPr>
                      <w:r>
                        <w:rPr>
                          <w:rFonts w:hAnsi="黑体" w:cs="黑体" w:hint="eastAsia"/>
                          <w:sz w:val="44"/>
                          <w:szCs w:val="44"/>
                        </w:rPr>
                        <w:t>光伏组件紫外预处理试验箱校准规范</w:t>
                      </w:r>
                    </w:p>
                    <w:p>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v:textbox>
                <w10:wrap anchorx="margin" anchory="margin"/>
                <w10:anchorlock/>
              </v:rect>
            </w:pict>
          </mc:Fallback>
        </mc:AlternateContent>
      </w:r>
      <w:bookmarkEnd w:id="0"/>
    </w:p>
    <w:p>
      <w:pPr>
        <w:pStyle w:val="af2"/>
        <w:numPr>
          <w:ilvl w:val="0"/>
          <w:numId w:val="0"/>
        </w:numPr>
        <w:ind w:left="840" w:hanging="420"/>
        <w:jc w:val="center"/>
        <w:rPr>
          <w:b/>
        </w:rPr>
      </w:pPr>
    </w:p>
    <w:p>
      <w:pPr>
        <w:pStyle w:val="afff"/>
        <w:sectPr>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pPr>
        <w:pStyle w:val="af3"/>
      </w:pPr>
      <w:bookmarkStart w:id="4" w:name="_Toc464728891"/>
      <w:r>
        <w:rPr>
          <w:rFonts w:hint="eastAsia"/>
        </w:rPr>
        <w:lastRenderedPageBreak/>
        <w:t>工作简况</w:t>
      </w:r>
      <w:bookmarkEnd w:id="4"/>
    </w:p>
    <w:p>
      <w:pPr>
        <w:pStyle w:val="afff2"/>
      </w:pPr>
      <w:bookmarkStart w:id="5" w:name="_Toc464728892"/>
      <w:bookmarkStart w:id="6" w:name="_Toc456592524"/>
      <w:r>
        <w:rPr>
          <w:rFonts w:hint="eastAsia"/>
        </w:rPr>
        <w:t>1.立项目的</w:t>
      </w:r>
      <w:bookmarkEnd w:id="5"/>
      <w:bookmarkEnd w:id="6"/>
    </w:p>
    <w:p>
      <w:pPr>
        <w:spacing w:line="360" w:lineRule="auto"/>
        <w:ind w:firstLineChars="200" w:firstLine="420"/>
        <w:rPr>
          <w:szCs w:val="21"/>
        </w:rPr>
      </w:pPr>
      <w:bookmarkStart w:id="7" w:name="_Toc464728896"/>
      <w:r>
        <w:rPr>
          <w:szCs w:val="21"/>
        </w:rPr>
        <w:t>光</w:t>
      </w:r>
      <w:r>
        <w:rPr>
          <w:rFonts w:hint="eastAsia"/>
          <w:szCs w:val="21"/>
        </w:rPr>
        <w:t>伏组件紫外预处理试验箱是专用于太阳能光伏组件的测试，用于评价诸如聚合物和保护层等材料抗紫外辐照能力，能够快速、真实地再现阳光、冷凝、淋雨等自然条件对材料的损害。广泛应用于汽车材料、塑料、包装、油漆与涂层、油墨、颜料、染料、稳定剂及添加剂、光化材料、工业及地表纺织品、科研等行业。</w:t>
      </w:r>
    </w:p>
    <w:p>
      <w:pPr>
        <w:spacing w:line="360" w:lineRule="auto"/>
        <w:ind w:firstLineChars="200" w:firstLine="420"/>
        <w:rPr>
          <w:szCs w:val="21"/>
        </w:rPr>
      </w:pPr>
      <w:r>
        <w:rPr>
          <w:szCs w:val="21"/>
        </w:rPr>
        <w:t>为了使光伏组件紫外预处理试验箱在测量过程中得到准确一致的测量结果，保证生产和科研工作的正常运行，建立一个能统一量值的光伏组件紫外预处理试验箱校准规范。目前，</w:t>
      </w:r>
      <w:r>
        <w:rPr>
          <w:rFonts w:hint="eastAsia"/>
          <w:szCs w:val="21"/>
        </w:rPr>
        <w:t>国内</w:t>
      </w:r>
      <w:r>
        <w:rPr>
          <w:szCs w:val="21"/>
        </w:rPr>
        <w:t>对光伏组件紫外预处理试验箱的校准工作尚未开展，或存在不合理不统一的操作。所提出的校准规范未能开展对光伏组件紫外预处理试验箱温度参数校准等工作，促进光伏组件紫外预处理试验箱在科研院所及工业产品中更合理更准确的应用。确保量值传递的准确可靠。因此，制定《光伏组件紫外预处理试验箱校准规范》</w:t>
      </w:r>
      <w:r>
        <w:rPr>
          <w:rFonts w:hint="eastAsia"/>
          <w:szCs w:val="21"/>
        </w:rPr>
        <w:t>行业</w:t>
      </w:r>
      <w:r>
        <w:rPr>
          <w:szCs w:val="21"/>
        </w:rPr>
        <w:t>计量校准规范非常必要。</w:t>
      </w:r>
    </w:p>
    <w:p>
      <w:pPr>
        <w:pStyle w:val="afff2"/>
      </w:pPr>
      <w:r>
        <w:rPr>
          <w:rFonts w:hint="eastAsia"/>
        </w:rPr>
        <w:t>2.任务来源</w:t>
      </w:r>
      <w:bookmarkEnd w:id="7"/>
    </w:p>
    <w:p>
      <w:pPr>
        <w:spacing w:line="300" w:lineRule="auto"/>
        <w:ind w:firstLineChars="200" w:firstLine="420"/>
        <w:contextualSpacing/>
        <w:jc w:val="left"/>
        <w:rPr>
          <w:color w:val="FF0000"/>
          <w:szCs w:val="21"/>
        </w:rPr>
      </w:pPr>
      <w:r>
        <w:rPr>
          <w:rFonts w:hint="eastAsia"/>
          <w:szCs w:val="21"/>
        </w:rPr>
        <w:t>为保证用于校准光伏组件紫外预处理试验箱的量值准确、可靠，适应我国有色金属行业的快速发展和满足国内外市场的需要，工业和信息化部以工信厅下达了《工业和信息化部办公厅关于印发</w:t>
      </w:r>
      <w:r>
        <w:rPr>
          <w:rFonts w:hint="eastAsia"/>
          <w:szCs w:val="21"/>
        </w:rPr>
        <w:t>2023</w:t>
      </w:r>
      <w:r>
        <w:rPr>
          <w:rFonts w:hint="eastAsia"/>
          <w:szCs w:val="21"/>
        </w:rPr>
        <w:t>年行业计量技术规范制修订计划的通知》</w:t>
      </w:r>
      <w:r>
        <w:rPr>
          <w:rFonts w:hAnsi="宋体" w:hint="eastAsia"/>
          <w:bCs/>
          <w:szCs w:val="21"/>
        </w:rPr>
        <w:t>（工信厅科函［</w:t>
      </w:r>
      <w:r>
        <w:rPr>
          <w:rFonts w:hAnsi="宋体"/>
          <w:bCs/>
          <w:szCs w:val="21"/>
        </w:rPr>
        <w:t>20</w:t>
      </w:r>
      <w:r>
        <w:rPr>
          <w:rFonts w:hAnsi="宋体" w:hint="eastAsia"/>
          <w:bCs/>
          <w:szCs w:val="21"/>
        </w:rPr>
        <w:t>23</w:t>
      </w:r>
      <w:r>
        <w:rPr>
          <w:rFonts w:hAnsi="宋体" w:hint="eastAsia"/>
          <w:bCs/>
          <w:szCs w:val="21"/>
        </w:rPr>
        <w:t>］</w:t>
      </w:r>
      <w:r>
        <w:rPr>
          <w:rFonts w:hAnsi="宋体" w:hint="eastAsia"/>
          <w:bCs/>
          <w:szCs w:val="21"/>
        </w:rPr>
        <w:t>476</w:t>
      </w:r>
      <w:r>
        <w:rPr>
          <w:rFonts w:hAnsi="宋体" w:hint="eastAsia"/>
          <w:bCs/>
          <w:szCs w:val="21"/>
        </w:rPr>
        <w:t>号）</w:t>
      </w:r>
      <w:r>
        <w:rPr>
          <w:rFonts w:hint="eastAsia"/>
          <w:szCs w:val="21"/>
        </w:rPr>
        <w:t>，其计划项目代号为：</w:t>
      </w:r>
      <w:r>
        <w:rPr>
          <w:rFonts w:hint="eastAsia"/>
          <w:szCs w:val="21"/>
        </w:rPr>
        <w:t>JJFZ(</w:t>
      </w:r>
      <w:r>
        <w:rPr>
          <w:rFonts w:hint="eastAsia"/>
          <w:szCs w:val="21"/>
        </w:rPr>
        <w:t>有色金属</w:t>
      </w:r>
      <w:r>
        <w:rPr>
          <w:rFonts w:hint="eastAsia"/>
          <w:szCs w:val="21"/>
        </w:rPr>
        <w:t>)020-2023</w:t>
      </w:r>
      <w:r>
        <w:rPr>
          <w:rFonts w:hint="eastAsia"/>
          <w:szCs w:val="21"/>
        </w:rPr>
        <w:t>，计划完成年限为</w:t>
      </w:r>
      <w:r>
        <w:rPr>
          <w:rFonts w:hint="eastAsia"/>
          <w:szCs w:val="21"/>
        </w:rPr>
        <w:t>2025</w:t>
      </w:r>
      <w:r>
        <w:rPr>
          <w:rFonts w:hint="eastAsia"/>
          <w:szCs w:val="21"/>
        </w:rPr>
        <w:t>年。</w:t>
      </w:r>
    </w:p>
    <w:p>
      <w:pPr>
        <w:pStyle w:val="afff2"/>
      </w:pPr>
      <w:bookmarkStart w:id="8" w:name="_Toc462884342"/>
      <w:bookmarkStart w:id="9" w:name="_Toc464728898"/>
      <w:r>
        <w:rPr>
          <w:rFonts w:hint="eastAsia"/>
        </w:rPr>
        <w:t>3.项目编制组单位简况</w:t>
      </w:r>
      <w:bookmarkEnd w:id="8"/>
      <w:bookmarkEnd w:id="9"/>
      <w:r>
        <w:rPr>
          <w:rFonts w:hint="eastAsia"/>
        </w:rPr>
        <w:t xml:space="preserve">      </w:t>
      </w:r>
    </w:p>
    <w:p>
      <w:pPr>
        <w:pStyle w:val="afff1"/>
      </w:pPr>
      <w:bookmarkStart w:id="10" w:name="_Toc464728899"/>
      <w:bookmarkStart w:id="11" w:name="_Toc462884343"/>
      <w:r>
        <w:rPr>
          <w:rFonts w:hint="eastAsia"/>
        </w:rPr>
        <w:t>3.1编制组成员单位</w:t>
      </w:r>
    </w:p>
    <w:p>
      <w:pPr>
        <w:widowControl/>
        <w:autoSpaceDE w:val="0"/>
        <w:autoSpaceDN w:val="0"/>
        <w:spacing w:line="360" w:lineRule="auto"/>
        <w:ind w:firstLineChars="200" w:firstLine="420"/>
        <w:rPr>
          <w:szCs w:val="21"/>
        </w:rPr>
      </w:pPr>
      <w:r>
        <w:rPr>
          <w:rFonts w:hint="eastAsia"/>
          <w:szCs w:val="21"/>
        </w:rPr>
        <w:t>本规范的编制组单位为：西安汉唐分析检测有限公司、中国石油集团工程材料研究院有限公司等</w:t>
      </w:r>
      <w:r>
        <w:rPr>
          <w:rFonts w:hint="eastAsia"/>
          <w:bCs/>
          <w:szCs w:val="21"/>
        </w:rPr>
        <w:t>。</w:t>
      </w:r>
    </w:p>
    <w:p>
      <w:pPr>
        <w:pStyle w:val="afff"/>
        <w:ind w:firstLineChars="0" w:firstLine="0"/>
      </w:pPr>
      <w:r>
        <w:rPr>
          <w:rFonts w:hint="eastAsia"/>
        </w:rPr>
        <w:t>3.2</w:t>
      </w:r>
      <w:r>
        <w:rPr>
          <w:rFonts w:hint="eastAsia"/>
        </w:rPr>
        <w:t>主编单位简介</w:t>
      </w:r>
    </w:p>
    <w:p>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w:t>
      </w:r>
      <w:r>
        <w:rPr>
          <w:rFonts w:hint="eastAsia"/>
          <w:szCs w:val="21"/>
        </w:rPr>
        <w:lastRenderedPageBreak/>
        <w:t>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本单位积极组织编制组各次工作会议，开展相关的校准，有效组织参编单位多次对规范进行认真的讨论和审议，提出大量有益的意见和建议，在编制组中发挥了牵头作用。</w:t>
      </w:r>
    </w:p>
    <w:p>
      <w:pPr>
        <w:pStyle w:val="afff1"/>
      </w:pPr>
      <w:r>
        <w:rPr>
          <w:rFonts w:hint="eastAsia"/>
        </w:rPr>
        <w:t>3.3成员单位</w:t>
      </w:r>
      <w:bookmarkEnd w:id="10"/>
      <w:bookmarkEnd w:id="11"/>
      <w:r>
        <w:rPr>
          <w:rFonts w:hint="eastAsia"/>
        </w:rPr>
        <w:t>简介</w:t>
      </w:r>
    </w:p>
    <w:p>
      <w:pPr>
        <w:pStyle w:val="afff0"/>
      </w:pPr>
      <w:bookmarkStart w:id="12" w:name="_Toc462884344"/>
      <w:bookmarkStart w:id="13" w:name="_Toc464728900"/>
      <w:r>
        <w:rPr>
          <w:rFonts w:hint="eastAsia"/>
        </w:rPr>
        <w:t xml:space="preserve">3.3.1 </w:t>
      </w:r>
      <w:r>
        <w:t>中国</w:t>
      </w:r>
      <w:r>
        <w:rPr>
          <w:rFonts w:hint="eastAsia"/>
        </w:rPr>
        <w:t>石油集团工程材料研究院有限公司</w:t>
      </w:r>
    </w:p>
    <w:p>
      <w:pPr>
        <w:spacing w:line="360" w:lineRule="auto"/>
        <w:ind w:firstLineChars="200" w:firstLine="420"/>
        <w:contextualSpacing/>
        <w:jc w:val="left"/>
        <w:rPr>
          <w:szCs w:val="21"/>
        </w:rPr>
      </w:pPr>
      <w:r>
        <w:rPr>
          <w:szCs w:val="21"/>
        </w:rPr>
        <w:t>中国石油集团工程材料研究院有限公司组建于</w:t>
      </w:r>
      <w:r>
        <w:rPr>
          <w:szCs w:val="21"/>
        </w:rPr>
        <w:t>1981</w:t>
      </w:r>
      <w:r>
        <w:rPr>
          <w:szCs w:val="21"/>
        </w:rPr>
        <w:t>年，坐落于古城西安高新技术开发区，是中国石油集团（</w:t>
      </w:r>
      <w:r>
        <w:rPr>
          <w:szCs w:val="21"/>
        </w:rPr>
        <w:t>CNPC</w:t>
      </w:r>
      <w:r>
        <w:rPr>
          <w:szCs w:val="21"/>
        </w:rPr>
        <w:t>）直属科研机构，也是国内石油行业在石油管工程技术领域唯一集</w:t>
      </w:r>
      <w:r>
        <w:rPr>
          <w:szCs w:val="21"/>
        </w:rPr>
        <w:t>“</w:t>
      </w:r>
      <w:r>
        <w:rPr>
          <w:szCs w:val="21"/>
        </w:rPr>
        <w:t>科学研究、质量监督、工程技术服务</w:t>
      </w:r>
      <w:r>
        <w:rPr>
          <w:szCs w:val="21"/>
        </w:rPr>
        <w:t>”</w:t>
      </w:r>
      <w:r>
        <w:rPr>
          <w:szCs w:val="21"/>
        </w:rPr>
        <w:t>为一体的综合性技术中心与核心科研机构，是为中国石油集团石油管工程技术提供决策支持的</w:t>
      </w:r>
      <w:r>
        <w:rPr>
          <w:szCs w:val="21"/>
        </w:rPr>
        <w:t>“</w:t>
      </w:r>
      <w:r>
        <w:rPr>
          <w:szCs w:val="21"/>
        </w:rPr>
        <w:t>参谋部</w:t>
      </w:r>
      <w:r>
        <w:rPr>
          <w:szCs w:val="21"/>
        </w:rPr>
        <w:t>”</w:t>
      </w:r>
      <w:r>
        <w:rPr>
          <w:szCs w:val="21"/>
        </w:rPr>
        <w:t>，开展石油管工程技术创新的</w:t>
      </w:r>
      <w:r>
        <w:rPr>
          <w:szCs w:val="21"/>
        </w:rPr>
        <w:t>“</w:t>
      </w:r>
      <w:r>
        <w:rPr>
          <w:szCs w:val="21"/>
        </w:rPr>
        <w:t>研发中心</w:t>
      </w:r>
      <w:r>
        <w:rPr>
          <w:szCs w:val="21"/>
        </w:rPr>
        <w:t>”</w:t>
      </w:r>
      <w:r>
        <w:rPr>
          <w:szCs w:val="21"/>
        </w:rPr>
        <w:t>，保障石油管质量安全的</w:t>
      </w:r>
      <w:r>
        <w:rPr>
          <w:szCs w:val="21"/>
        </w:rPr>
        <w:t>“</w:t>
      </w:r>
      <w:r>
        <w:rPr>
          <w:szCs w:val="21"/>
        </w:rPr>
        <w:t>检测评价中心</w:t>
      </w:r>
      <w:r>
        <w:rPr>
          <w:szCs w:val="21"/>
        </w:rPr>
        <w:t>”</w:t>
      </w:r>
      <w:r>
        <w:rPr>
          <w:szCs w:val="21"/>
        </w:rPr>
        <w:t>，为重大管道工程和油气田勘探开发项目提供石油管技术支持与服务的</w:t>
      </w:r>
      <w:r>
        <w:rPr>
          <w:szCs w:val="21"/>
        </w:rPr>
        <w:t>“</w:t>
      </w:r>
      <w:r>
        <w:rPr>
          <w:szCs w:val="21"/>
        </w:rPr>
        <w:t>技术中心</w:t>
      </w:r>
      <w:r>
        <w:rPr>
          <w:szCs w:val="21"/>
        </w:rPr>
        <w:t>”</w:t>
      </w:r>
      <w:r>
        <w:rPr>
          <w:szCs w:val="21"/>
        </w:rPr>
        <w:t>。</w:t>
      </w:r>
    </w:p>
    <w:p>
      <w:pPr>
        <w:spacing w:line="360" w:lineRule="auto"/>
        <w:ind w:firstLineChars="200" w:firstLine="420"/>
        <w:contextualSpacing/>
        <w:jc w:val="left"/>
        <w:rPr>
          <w:rFonts w:hint="eastAsia"/>
          <w:szCs w:val="21"/>
        </w:rPr>
      </w:pPr>
      <w:r>
        <w:rPr>
          <w:szCs w:val="21"/>
        </w:rPr>
        <w:t>工程材料研究院有限公司秉承着</w:t>
      </w:r>
      <w:r>
        <w:rPr>
          <w:szCs w:val="21"/>
        </w:rPr>
        <w:t>“</w:t>
      </w:r>
      <w:r>
        <w:rPr>
          <w:szCs w:val="21"/>
        </w:rPr>
        <w:t>创新、致远、严谨、公正</w:t>
      </w:r>
      <w:r>
        <w:rPr>
          <w:szCs w:val="21"/>
        </w:rPr>
        <w:t>”</w:t>
      </w:r>
      <w:r>
        <w:rPr>
          <w:szCs w:val="21"/>
        </w:rPr>
        <w:t>的理念，致力于科技创新。建院四十年来完成国家和省部级科研项目</w:t>
      </w:r>
      <w:r>
        <w:rPr>
          <w:szCs w:val="21"/>
        </w:rPr>
        <w:t>400</w:t>
      </w:r>
      <w:r>
        <w:rPr>
          <w:szCs w:val="21"/>
        </w:rPr>
        <w:t>余项，其中获国家级科技奖励</w:t>
      </w:r>
      <w:r>
        <w:rPr>
          <w:szCs w:val="21"/>
        </w:rPr>
        <w:t>16</w:t>
      </w:r>
      <w:r>
        <w:rPr>
          <w:szCs w:val="21"/>
        </w:rPr>
        <w:t>项，省部级科技奖励</w:t>
      </w:r>
      <w:r>
        <w:rPr>
          <w:szCs w:val="21"/>
        </w:rPr>
        <w:t>150</w:t>
      </w:r>
      <w:r>
        <w:rPr>
          <w:szCs w:val="21"/>
        </w:rPr>
        <w:t>余项（次），专利授权</w:t>
      </w:r>
      <w:r>
        <w:rPr>
          <w:szCs w:val="21"/>
        </w:rPr>
        <w:t>656</w:t>
      </w:r>
      <w:r>
        <w:rPr>
          <w:szCs w:val="21"/>
        </w:rPr>
        <w:t>项（其中发明专利</w:t>
      </w:r>
      <w:r>
        <w:rPr>
          <w:szCs w:val="21"/>
        </w:rPr>
        <w:t>333</w:t>
      </w:r>
      <w:r>
        <w:rPr>
          <w:szCs w:val="21"/>
        </w:rPr>
        <w:t>项），发表论文</w:t>
      </w:r>
      <w:r>
        <w:rPr>
          <w:szCs w:val="21"/>
        </w:rPr>
        <w:t>2900</w:t>
      </w:r>
      <w:r>
        <w:rPr>
          <w:szCs w:val="21"/>
        </w:rPr>
        <w:t>余篇，注册软件</w:t>
      </w:r>
      <w:r>
        <w:rPr>
          <w:szCs w:val="21"/>
        </w:rPr>
        <w:t>95</w:t>
      </w:r>
      <w:r>
        <w:rPr>
          <w:szCs w:val="21"/>
        </w:rPr>
        <w:t>套，制修订国际、国家、行业、企业标准</w:t>
      </w:r>
      <w:r>
        <w:rPr>
          <w:szCs w:val="21"/>
        </w:rPr>
        <w:t>400</w:t>
      </w:r>
      <w:r>
        <w:rPr>
          <w:szCs w:val="21"/>
        </w:rPr>
        <w:t>余项（其中国际标准</w:t>
      </w:r>
      <w:r>
        <w:rPr>
          <w:szCs w:val="21"/>
        </w:rPr>
        <w:t>6</w:t>
      </w:r>
      <w:r>
        <w:rPr>
          <w:szCs w:val="21"/>
        </w:rPr>
        <w:t>项，国家标准</w:t>
      </w:r>
      <w:r>
        <w:rPr>
          <w:szCs w:val="21"/>
        </w:rPr>
        <w:t>40</w:t>
      </w:r>
      <w:r>
        <w:rPr>
          <w:szCs w:val="21"/>
        </w:rPr>
        <w:t>项），参与制修订</w:t>
      </w:r>
      <w:r>
        <w:rPr>
          <w:szCs w:val="21"/>
        </w:rPr>
        <w:t>ISO</w:t>
      </w:r>
      <w:r>
        <w:rPr>
          <w:szCs w:val="21"/>
        </w:rPr>
        <w:t>、</w:t>
      </w:r>
      <w:r>
        <w:rPr>
          <w:szCs w:val="21"/>
        </w:rPr>
        <w:t>API</w:t>
      </w:r>
      <w:r>
        <w:rPr>
          <w:szCs w:val="21"/>
        </w:rPr>
        <w:t>等标准多项。完成质量监督项目近</w:t>
      </w:r>
      <w:r>
        <w:rPr>
          <w:szCs w:val="21"/>
        </w:rPr>
        <w:t>10000</w:t>
      </w:r>
      <w:r>
        <w:rPr>
          <w:szCs w:val="21"/>
        </w:rPr>
        <w:t>余项，失效分析项目</w:t>
      </w:r>
      <w:r>
        <w:rPr>
          <w:szCs w:val="21"/>
        </w:rPr>
        <w:t>1500</w:t>
      </w:r>
      <w:r>
        <w:rPr>
          <w:szCs w:val="21"/>
        </w:rPr>
        <w:t>余项，为西气东输管线、陕京管线、中亚管线等国家重大管道项目建设及塔里木、长庆、新疆、西南等重点油气田勘探开发提供了重要的技术保障。</w:t>
      </w:r>
    </w:p>
    <w:p>
      <w:pPr>
        <w:pStyle w:val="af1"/>
        <w:ind w:firstLineChars="200" w:firstLine="396"/>
        <w:jc w:val="left"/>
      </w:pPr>
      <w:r>
        <w:rPr>
          <w:rFonts w:hint="eastAsia"/>
          <w:color w:val="000000" w:themeColor="text1"/>
        </w:rPr>
        <w:t>该单位积极参与编制组的各项工作会议，对规范</w:t>
      </w:r>
      <w:r>
        <w:rPr>
          <w:rFonts w:hint="eastAsia"/>
          <w:color w:val="000000" w:themeColor="text1"/>
        </w:rPr>
        <w:t>计量特性</w:t>
      </w:r>
      <w:r>
        <w:rPr>
          <w:rFonts w:hint="eastAsia"/>
          <w:color w:val="000000" w:themeColor="text1"/>
        </w:rPr>
        <w:t>提出了有效</w:t>
      </w:r>
      <w:r>
        <w:rPr>
          <w:rFonts w:hint="eastAsia"/>
        </w:rPr>
        <w:t>建议，增加了温度波动度、温度均匀度参数，</w:t>
      </w:r>
      <w:r>
        <w:rPr>
          <w:rFonts w:hint="eastAsia"/>
        </w:rPr>
        <w:t>在编制组中发挥了主要作用。</w:t>
      </w:r>
    </w:p>
    <w:p>
      <w:pPr>
        <w:pStyle w:val="afff1"/>
      </w:pPr>
      <w:r>
        <w:rPr>
          <w:rFonts w:hint="eastAsia"/>
        </w:rPr>
        <w:t>3.4各单位分工情况</w:t>
      </w:r>
    </w:p>
    <w:p>
      <w:pPr>
        <w:widowControl/>
        <w:autoSpaceDE w:val="0"/>
        <w:autoSpaceDN w:val="0"/>
        <w:spacing w:line="360" w:lineRule="auto"/>
        <w:rPr>
          <w:szCs w:val="21"/>
        </w:rPr>
      </w:pPr>
      <w:r>
        <w:rPr>
          <w:rFonts w:cs="宋体" w:hint="eastAsia"/>
        </w:rPr>
        <w:t>3</w:t>
      </w:r>
      <w:r>
        <w:rPr>
          <w:rFonts w:hint="eastAsia"/>
          <w:bCs/>
        </w:rPr>
        <w:t xml:space="preserve">.4.1 </w:t>
      </w:r>
      <w:r>
        <w:rPr>
          <w:rFonts w:hint="eastAsia"/>
          <w:bCs/>
        </w:rPr>
        <w:t>编制组依据各单位情况，对整个规范的起草进行了分工。西安汉唐分析检测有限公司</w:t>
      </w:r>
      <w:r>
        <w:rPr>
          <w:bCs/>
        </w:rPr>
        <w:t>负责</w:t>
      </w:r>
      <w:r>
        <w:rPr>
          <w:rFonts w:hint="eastAsia"/>
          <w:bCs/>
        </w:rPr>
        <w:t>资料的调研、</w:t>
      </w:r>
      <w:r>
        <w:rPr>
          <w:bCs/>
        </w:rPr>
        <w:t>收集，完成分析方法研究工作，撰写标准文稿、编制说明和研究报告</w:t>
      </w:r>
      <w:r>
        <w:rPr>
          <w:rFonts w:hint="eastAsia"/>
          <w:bCs/>
        </w:rPr>
        <w:t>。有色金属技术经济研究院有限责任公司、西安汉唐分析检测有限公司、</w:t>
      </w:r>
      <w:r>
        <w:rPr>
          <w:rFonts w:hint="eastAsia"/>
          <w:szCs w:val="21"/>
        </w:rPr>
        <w:t>中国石油集团工程材料研究院有限公司等</w:t>
      </w:r>
      <w:r>
        <w:rPr>
          <w:rFonts w:hint="eastAsia"/>
          <w:bCs/>
          <w:szCs w:val="21"/>
        </w:rPr>
        <w:t>。</w:t>
      </w:r>
      <w:r>
        <w:rPr>
          <w:rFonts w:hint="eastAsia"/>
          <w:bCs/>
        </w:rPr>
        <w:t>对规范内容提出具体修改意见，</w:t>
      </w:r>
      <w:r>
        <w:rPr>
          <w:bCs/>
        </w:rPr>
        <w:t>提供</w:t>
      </w:r>
      <w:r>
        <w:rPr>
          <w:rFonts w:hint="eastAsia"/>
          <w:bCs/>
        </w:rPr>
        <w:t>对规范方法的验证工作及完成相应验证报告</w:t>
      </w:r>
      <w:r>
        <w:rPr>
          <w:bCs/>
        </w:rPr>
        <w:t>，并对标准文稿等提出相应修改意见</w:t>
      </w:r>
      <w:r>
        <w:rPr>
          <w:rFonts w:hint="eastAsia"/>
          <w:bCs/>
        </w:rPr>
        <w:t>，分工见表</w:t>
      </w:r>
      <w:r>
        <w:rPr>
          <w:rFonts w:hint="eastAsia"/>
          <w:bCs/>
        </w:rPr>
        <w:t>1</w:t>
      </w:r>
      <w:r>
        <w:rPr>
          <w:rFonts w:hint="eastAsia"/>
          <w:bCs/>
        </w:rPr>
        <w:t>。</w:t>
      </w:r>
    </w:p>
    <w:p>
      <w:pPr>
        <w:pStyle w:val="af1"/>
      </w:pPr>
      <w:r>
        <w:rPr>
          <w:rFonts w:hint="eastAsia"/>
        </w:rPr>
        <w:t>表</w:t>
      </w:r>
      <w:r>
        <w:rPr>
          <w:rFonts w:hint="eastAsia"/>
        </w:rPr>
        <w:t xml:space="preserve">1 </w:t>
      </w:r>
      <w:r>
        <w:t>各单位分工表</w:t>
      </w:r>
    </w:p>
    <w:tbl>
      <w:tblPr>
        <w:tblStyle w:val="aff8"/>
        <w:tblpPr w:leftFromText="180" w:rightFromText="180" w:vertAnchor="text" w:horzAnchor="page" w:tblpXSpec="center" w:tblpY="245"/>
        <w:tblOverlap w:val="neve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947"/>
        <w:gridCol w:w="1037"/>
        <w:gridCol w:w="5560"/>
      </w:tblGrid>
      <w:tr>
        <w:trPr>
          <w:jc w:val="center"/>
        </w:trPr>
        <w:tc>
          <w:tcPr>
            <w:tcW w:w="905" w:type="pct"/>
          </w:tcPr>
          <w:p>
            <w:pPr>
              <w:jc w:val="center"/>
              <w:rPr>
                <w:szCs w:val="21"/>
              </w:rPr>
            </w:pPr>
            <w:r>
              <w:rPr>
                <w:rFonts w:hint="eastAsia"/>
                <w:szCs w:val="21"/>
              </w:rPr>
              <w:t>单位</w:t>
            </w:r>
          </w:p>
        </w:tc>
        <w:tc>
          <w:tcPr>
            <w:tcW w:w="514" w:type="pct"/>
          </w:tcPr>
          <w:p>
            <w:pPr>
              <w:jc w:val="center"/>
              <w:rPr>
                <w:szCs w:val="21"/>
              </w:rPr>
            </w:pPr>
            <w:r>
              <w:rPr>
                <w:rFonts w:hint="eastAsia"/>
                <w:szCs w:val="21"/>
              </w:rPr>
              <w:t>人员</w:t>
            </w:r>
          </w:p>
        </w:tc>
        <w:tc>
          <w:tcPr>
            <w:tcW w:w="563" w:type="pct"/>
          </w:tcPr>
          <w:p>
            <w:pPr>
              <w:jc w:val="center"/>
              <w:rPr>
                <w:szCs w:val="21"/>
              </w:rPr>
            </w:pPr>
            <w:r>
              <w:rPr>
                <w:rFonts w:hint="eastAsia"/>
                <w:szCs w:val="21"/>
              </w:rPr>
              <w:t>职称</w:t>
            </w:r>
          </w:p>
        </w:tc>
        <w:tc>
          <w:tcPr>
            <w:tcW w:w="3018" w:type="pct"/>
          </w:tcPr>
          <w:p>
            <w:pPr>
              <w:jc w:val="center"/>
              <w:rPr>
                <w:szCs w:val="21"/>
              </w:rPr>
            </w:pPr>
            <w:r>
              <w:rPr>
                <w:rFonts w:hint="eastAsia"/>
                <w:szCs w:val="21"/>
              </w:rPr>
              <w:t>工作分工</w:t>
            </w:r>
          </w:p>
        </w:tc>
      </w:tr>
      <w:tr>
        <w:trPr>
          <w:jc w:val="center"/>
        </w:trPr>
        <w:tc>
          <w:tcPr>
            <w:tcW w:w="905" w:type="pct"/>
          </w:tcPr>
          <w:p>
            <w:pPr>
              <w:jc w:val="center"/>
              <w:rPr>
                <w:szCs w:val="21"/>
              </w:rPr>
            </w:pPr>
            <w:r>
              <w:rPr>
                <w:rFonts w:hint="eastAsia"/>
                <w:szCs w:val="21"/>
              </w:rPr>
              <w:lastRenderedPageBreak/>
              <w:t>西安汉唐分析检测有限公司</w:t>
            </w:r>
          </w:p>
        </w:tc>
        <w:tc>
          <w:tcPr>
            <w:tcW w:w="514" w:type="pct"/>
          </w:tcPr>
          <w:p>
            <w:pPr>
              <w:jc w:val="center"/>
              <w:rPr>
                <w:szCs w:val="21"/>
              </w:rPr>
            </w:pPr>
            <w:r>
              <w:rPr>
                <w:rFonts w:hint="eastAsia"/>
                <w:szCs w:val="21"/>
              </w:rPr>
              <w:t>张曙香</w:t>
            </w:r>
          </w:p>
        </w:tc>
        <w:tc>
          <w:tcPr>
            <w:tcW w:w="563" w:type="pct"/>
          </w:tcPr>
          <w:p>
            <w:pPr>
              <w:jc w:val="center"/>
              <w:rPr>
                <w:szCs w:val="21"/>
              </w:rPr>
            </w:pPr>
            <w:r>
              <w:rPr>
                <w:rFonts w:ascii="宋体" w:hAnsi="宋体" w:cs="宋体" w:hint="eastAsia"/>
                <w:szCs w:val="21"/>
              </w:rPr>
              <w:t>副主任</w:t>
            </w:r>
          </w:p>
        </w:tc>
        <w:tc>
          <w:tcPr>
            <w:tcW w:w="3018" w:type="pct"/>
          </w:tcPr>
          <w:p>
            <w:pPr>
              <w:jc w:val="center"/>
              <w:rPr>
                <w:szCs w:val="21"/>
              </w:rPr>
            </w:pPr>
            <w:r>
              <w:rPr>
                <w:rFonts w:hint="eastAsia"/>
                <w:szCs w:val="21"/>
              </w:rPr>
              <w:t>规范起草编制，试验方案编订，实验数据分析，编制说明的撰写工作，会议纪要整理及规范的完善。</w:t>
            </w:r>
          </w:p>
        </w:tc>
      </w:tr>
      <w:tr>
        <w:trPr>
          <w:jc w:val="center"/>
        </w:trPr>
        <w:tc>
          <w:tcPr>
            <w:tcW w:w="905" w:type="pct"/>
          </w:tcPr>
          <w:p>
            <w:pPr>
              <w:jc w:val="center"/>
              <w:rPr>
                <w:szCs w:val="21"/>
                <w:highlight w:val="yellow"/>
              </w:rPr>
            </w:pPr>
            <w:r>
              <w:rPr>
                <w:rFonts w:hint="eastAsia"/>
                <w:bCs/>
              </w:rPr>
              <w:t>中国石油集团工程材料研究院有限公司</w:t>
            </w:r>
          </w:p>
        </w:tc>
        <w:tc>
          <w:tcPr>
            <w:tcW w:w="514" w:type="pct"/>
          </w:tcPr>
          <w:p>
            <w:pPr>
              <w:jc w:val="center"/>
              <w:rPr>
                <w:szCs w:val="21"/>
              </w:rPr>
            </w:pPr>
            <w:r>
              <w:rPr>
                <w:rFonts w:hint="eastAsia"/>
                <w:szCs w:val="21"/>
              </w:rPr>
              <w:t>/</w:t>
            </w:r>
          </w:p>
          <w:p>
            <w:pPr>
              <w:jc w:val="center"/>
              <w:rPr>
                <w:szCs w:val="21"/>
              </w:rPr>
            </w:pPr>
            <w:r>
              <w:rPr>
                <w:rFonts w:hint="eastAsia"/>
                <w:szCs w:val="21"/>
              </w:rPr>
              <w:t>/</w:t>
            </w:r>
          </w:p>
        </w:tc>
        <w:tc>
          <w:tcPr>
            <w:tcW w:w="563" w:type="pct"/>
          </w:tcPr>
          <w:p>
            <w:pPr>
              <w:rPr>
                <w:szCs w:val="21"/>
              </w:rPr>
            </w:pPr>
            <w:r>
              <w:rPr>
                <w:rFonts w:hint="eastAsia"/>
                <w:szCs w:val="21"/>
              </w:rPr>
              <w:t>/</w:t>
            </w:r>
          </w:p>
        </w:tc>
        <w:tc>
          <w:tcPr>
            <w:tcW w:w="3018" w:type="pct"/>
          </w:tcPr>
          <w:p>
            <w:pPr>
              <w:jc w:val="center"/>
              <w:rPr>
                <w:szCs w:val="21"/>
                <w:highlight w:val="yellow"/>
              </w:rPr>
            </w:pPr>
            <w:r>
              <w:rPr>
                <w:rFonts w:hint="eastAsia"/>
                <w:szCs w:val="21"/>
              </w:rPr>
              <w:t>规范实验数据分析及讨论，内容审阅并提出修改意见，会议纪要整理。</w:t>
            </w:r>
          </w:p>
        </w:tc>
      </w:tr>
      <w:tr>
        <w:trPr>
          <w:jc w:val="center"/>
        </w:trPr>
        <w:tc>
          <w:tcPr>
            <w:tcW w:w="905" w:type="pct"/>
          </w:tcPr>
          <w:p>
            <w:pPr>
              <w:jc w:val="center"/>
              <w:rPr>
                <w:rFonts w:ascii="宋体" w:hAnsi="宋体" w:cs="宋体"/>
                <w:szCs w:val="21"/>
              </w:rPr>
            </w:pPr>
            <w:r>
              <w:rPr>
                <w:rFonts w:hint="eastAsia"/>
                <w:bCs/>
              </w:rPr>
              <w:t>/</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p>
        </w:tc>
      </w:tr>
      <w:tr>
        <w:trPr>
          <w:trHeight w:val="389"/>
          <w:jc w:val="center"/>
        </w:trPr>
        <w:tc>
          <w:tcPr>
            <w:tcW w:w="905" w:type="pct"/>
          </w:tcPr>
          <w:p>
            <w:pPr>
              <w:jc w:val="center"/>
              <w:rPr>
                <w:szCs w:val="21"/>
              </w:rPr>
            </w:pPr>
            <w:r>
              <w:rPr>
                <w:rFonts w:hint="eastAsia"/>
                <w:bCs/>
              </w:rPr>
              <w:t>/</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r>
              <w:rPr>
                <w:szCs w:val="21"/>
              </w:rPr>
              <w:t xml:space="preserve"> </w:t>
            </w:r>
          </w:p>
        </w:tc>
      </w:tr>
      <w:tr>
        <w:trPr>
          <w:jc w:val="center"/>
        </w:trPr>
        <w:tc>
          <w:tcPr>
            <w:tcW w:w="905" w:type="pct"/>
          </w:tcPr>
          <w:p>
            <w:pPr>
              <w:jc w:val="center"/>
              <w:rPr>
                <w:szCs w:val="21"/>
              </w:rPr>
            </w:pPr>
            <w:r>
              <w:rPr>
                <w:rFonts w:hint="eastAsia"/>
                <w:bCs/>
              </w:rPr>
              <w:t>/</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w:t>
            </w:r>
          </w:p>
        </w:tc>
      </w:tr>
      <w:tr>
        <w:trPr>
          <w:jc w:val="center"/>
        </w:trPr>
        <w:tc>
          <w:tcPr>
            <w:tcW w:w="905" w:type="pct"/>
          </w:tcPr>
          <w:p>
            <w:pPr>
              <w:jc w:val="center"/>
              <w:rPr>
                <w:szCs w:val="21"/>
              </w:rPr>
            </w:pPr>
            <w:r>
              <w:rPr>
                <w:rFonts w:hint="eastAsia"/>
                <w:bCs/>
              </w:rPr>
              <w:t>/</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内容审阅并提出修改意见，规范一验工作</w:t>
            </w:r>
          </w:p>
        </w:tc>
      </w:tr>
      <w:tr>
        <w:trPr>
          <w:jc w:val="center"/>
        </w:trPr>
        <w:tc>
          <w:tcPr>
            <w:tcW w:w="905" w:type="pct"/>
          </w:tcPr>
          <w:p>
            <w:pPr>
              <w:jc w:val="center"/>
              <w:rPr>
                <w:bCs/>
              </w:rPr>
            </w:pPr>
            <w:r>
              <w:rPr>
                <w:rFonts w:hint="eastAsia"/>
                <w:bCs/>
              </w:rPr>
              <w:t>/</w:t>
            </w:r>
          </w:p>
        </w:tc>
        <w:tc>
          <w:tcPr>
            <w:tcW w:w="514" w:type="pct"/>
          </w:tcPr>
          <w:p>
            <w:pPr>
              <w:jc w:val="center"/>
              <w:rPr>
                <w:szCs w:val="21"/>
              </w:rPr>
            </w:pPr>
            <w:r>
              <w:rPr>
                <w:rFonts w:hint="eastAsia"/>
                <w:szCs w:val="21"/>
              </w:rPr>
              <w:t>/</w:t>
            </w:r>
          </w:p>
        </w:tc>
        <w:tc>
          <w:tcPr>
            <w:tcW w:w="563" w:type="pct"/>
          </w:tcPr>
          <w:p>
            <w:pPr>
              <w:jc w:val="center"/>
              <w:rPr>
                <w:szCs w:val="21"/>
              </w:rPr>
            </w:pPr>
            <w:r>
              <w:rPr>
                <w:rFonts w:hint="eastAsia"/>
                <w:szCs w:val="21"/>
              </w:rPr>
              <w:t>/</w:t>
            </w:r>
          </w:p>
        </w:tc>
        <w:tc>
          <w:tcPr>
            <w:tcW w:w="3018" w:type="pct"/>
          </w:tcPr>
          <w:p>
            <w:pPr>
              <w:jc w:val="center"/>
              <w:rPr>
                <w:szCs w:val="21"/>
              </w:rPr>
            </w:pPr>
            <w:r>
              <w:rPr>
                <w:rFonts w:hint="eastAsia"/>
                <w:szCs w:val="21"/>
              </w:rPr>
              <w:t>内容审阅并提出修改意见，规范二验工作</w:t>
            </w:r>
          </w:p>
        </w:tc>
      </w:tr>
    </w:tbl>
    <w:p>
      <w:pPr>
        <w:pStyle w:val="afff2"/>
      </w:pPr>
      <w:bookmarkStart w:id="14" w:name="_Toc462884357"/>
      <w:bookmarkStart w:id="15" w:name="_Toc464728913"/>
      <w:bookmarkEnd w:id="12"/>
      <w:bookmarkEnd w:id="13"/>
      <w:r>
        <w:rPr>
          <w:rFonts w:hint="eastAsia"/>
        </w:rPr>
        <w:t>4.主要工作过程</w:t>
      </w:r>
      <w:bookmarkEnd w:id="14"/>
      <w:bookmarkEnd w:id="15"/>
    </w:p>
    <w:p>
      <w:pPr>
        <w:spacing w:line="400" w:lineRule="exact"/>
        <w:ind w:firstLineChars="200" w:firstLine="420"/>
      </w:pPr>
      <w:bookmarkStart w:id="16"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r>
        <w:rPr>
          <w:rFonts w:hint="eastAsia"/>
        </w:rPr>
        <w:t>本项目主要工作过程经过了以下几个阶段：</w:t>
      </w:r>
    </w:p>
    <w:p>
      <w:pPr>
        <w:spacing w:line="360" w:lineRule="auto"/>
        <w:ind w:firstLineChars="200" w:firstLine="420"/>
        <w:rPr>
          <w:bCs/>
        </w:rPr>
      </w:pPr>
      <w:r>
        <w:rPr>
          <w:rFonts w:hint="eastAsia"/>
          <w:bCs/>
        </w:rPr>
        <w:t>2023</w:t>
      </w:r>
      <w:r>
        <w:rPr>
          <w:rFonts w:hint="eastAsia"/>
          <w:bCs/>
        </w:rPr>
        <w:t>年</w:t>
      </w:r>
      <w:r>
        <w:rPr>
          <w:rFonts w:hint="eastAsia"/>
          <w:bCs/>
        </w:rPr>
        <w:t>7</w:t>
      </w:r>
      <w:r>
        <w:rPr>
          <w:rFonts w:hint="eastAsia"/>
          <w:bCs/>
        </w:rPr>
        <w:t>月成立了计量规范编制组，明确编制组成员各自的工作内容及任务，对被校对象的使用单位进行了校准需求调研，收集相关资料。</w:t>
      </w:r>
    </w:p>
    <w:p>
      <w:pPr>
        <w:spacing w:line="360" w:lineRule="auto"/>
        <w:ind w:firstLineChars="200" w:firstLine="420"/>
        <w:rPr>
          <w:bCs/>
        </w:rPr>
      </w:pPr>
      <w:r>
        <w:rPr>
          <w:rFonts w:hint="eastAsia"/>
          <w:bCs/>
        </w:rPr>
        <w:t>2023</w:t>
      </w:r>
      <w:r>
        <w:rPr>
          <w:rFonts w:hint="eastAsia"/>
          <w:bCs/>
        </w:rPr>
        <w:t>年</w:t>
      </w:r>
      <w:r>
        <w:rPr>
          <w:rFonts w:hint="eastAsia"/>
          <w:bCs/>
        </w:rPr>
        <w:t>8</w:t>
      </w:r>
      <w:r>
        <w:rPr>
          <w:rFonts w:hint="eastAsia"/>
          <w:bCs/>
        </w:rPr>
        <w:t>月</w:t>
      </w:r>
      <w:r>
        <w:rPr>
          <w:rFonts w:hint="eastAsia"/>
          <w:bCs/>
        </w:rPr>
        <w:t>~2024</w:t>
      </w:r>
      <w:r>
        <w:rPr>
          <w:rFonts w:hint="eastAsia"/>
          <w:bCs/>
        </w:rPr>
        <w:t>年</w:t>
      </w:r>
      <w:r>
        <w:rPr>
          <w:rFonts w:hint="eastAsia"/>
          <w:bCs/>
        </w:rPr>
        <w:t>4</w:t>
      </w:r>
      <w:r>
        <w:rPr>
          <w:rFonts w:hint="eastAsia"/>
          <w:bCs/>
        </w:rPr>
        <w:t>月编制组成员对校准规范中的计量特性及校准方法进行了讨论，确定了校准项目及方法，对关键技术指标提出了修改意见最终形成讨论稿。</w:t>
      </w:r>
    </w:p>
    <w:p>
      <w:pPr>
        <w:spacing w:line="360" w:lineRule="auto"/>
        <w:ind w:firstLineChars="200" w:firstLine="420"/>
        <w:rPr>
          <w:bCs/>
          <w:color w:val="000000" w:themeColor="text1"/>
          <w:szCs w:val="21"/>
        </w:rPr>
      </w:pPr>
      <w:r>
        <w:rPr>
          <w:rFonts w:hint="eastAsia"/>
          <w:bCs/>
          <w:color w:val="000000" w:themeColor="text1"/>
        </w:rPr>
        <w:t>2024</w:t>
      </w:r>
      <w:r>
        <w:rPr>
          <w:rFonts w:hint="eastAsia"/>
          <w:bCs/>
          <w:color w:val="000000" w:themeColor="text1"/>
        </w:rPr>
        <w:t>年</w:t>
      </w:r>
      <w:r>
        <w:rPr>
          <w:rFonts w:hint="eastAsia"/>
          <w:bCs/>
          <w:color w:val="000000" w:themeColor="text1"/>
        </w:rPr>
        <w:t>8</w:t>
      </w:r>
      <w:r>
        <w:rPr>
          <w:rFonts w:hint="eastAsia"/>
          <w:bCs/>
          <w:color w:val="000000" w:themeColor="text1"/>
        </w:rPr>
        <w:t>月</w:t>
      </w:r>
      <w:r>
        <w:rPr>
          <w:rFonts w:hint="eastAsia"/>
          <w:bCs/>
          <w:color w:val="000000" w:themeColor="text1"/>
        </w:rPr>
        <w:t>21</w:t>
      </w:r>
      <w:r>
        <w:rPr>
          <w:rFonts w:hint="eastAsia"/>
          <w:bCs/>
          <w:color w:val="000000" w:themeColor="text1"/>
        </w:rPr>
        <w:t>日</w:t>
      </w:r>
      <w:r>
        <w:rPr>
          <w:rFonts w:hint="eastAsia"/>
          <w:bCs/>
          <w:color w:val="000000" w:themeColor="text1"/>
        </w:rPr>
        <w:t>~22</w:t>
      </w:r>
      <w:r>
        <w:rPr>
          <w:rFonts w:hint="eastAsia"/>
          <w:bCs/>
          <w:color w:val="000000" w:themeColor="text1"/>
        </w:rPr>
        <w:t>日，在山东省青岛召开有色金属计量技术规范研讨会，</w:t>
      </w:r>
      <w:r>
        <w:rPr>
          <w:rFonts w:hint="eastAsia"/>
          <w:bCs/>
          <w:color w:val="000000" w:themeColor="text1"/>
          <w:szCs w:val="21"/>
        </w:rPr>
        <w:t>会上对《</w:t>
      </w:r>
      <w:r>
        <w:rPr>
          <w:rFonts w:hAnsi="宋体" w:hint="eastAsia"/>
          <w:bCs/>
          <w:color w:val="000000" w:themeColor="text1"/>
          <w:szCs w:val="21"/>
        </w:rPr>
        <w:t>超声标准试块校准规范</w:t>
      </w: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项计量技术规范进行审定，对《超声波探伤用液浸式换能器特征校准规范》等</w:t>
      </w:r>
      <w:r>
        <w:rPr>
          <w:rFonts w:hint="eastAsia"/>
          <w:bCs/>
          <w:color w:val="000000" w:themeColor="text1"/>
          <w:szCs w:val="21"/>
        </w:rPr>
        <w:t>6</w:t>
      </w:r>
      <w:r>
        <w:rPr>
          <w:rFonts w:hint="eastAsia"/>
          <w:bCs/>
          <w:color w:val="000000" w:themeColor="text1"/>
          <w:szCs w:val="21"/>
        </w:rPr>
        <w:t>项计量技术规范进行预审，对《扫描电化学显微镜校准规范》等</w:t>
      </w:r>
      <w:r>
        <w:rPr>
          <w:rFonts w:hint="eastAsia"/>
          <w:bCs/>
          <w:color w:val="000000" w:themeColor="text1"/>
          <w:szCs w:val="21"/>
        </w:rPr>
        <w:t>5</w:t>
      </w:r>
      <w:r>
        <w:rPr>
          <w:rFonts w:hint="eastAsia"/>
          <w:bCs/>
          <w:color w:val="000000" w:themeColor="text1"/>
          <w:szCs w:val="21"/>
        </w:rPr>
        <w:t>项计量技术规范进行讨论。会上有来自不同单位的计量委员会委员、专家、代表就《</w:t>
      </w:r>
      <w:r>
        <w:rPr>
          <w:color w:val="000000" w:themeColor="text1"/>
        </w:rPr>
        <w:t>光伏组件紫外预处理试验箱</w:t>
      </w:r>
      <w:r>
        <w:rPr>
          <w:rFonts w:hAnsi="宋体" w:hint="eastAsia"/>
          <w:bCs/>
          <w:color w:val="000000" w:themeColor="text1"/>
          <w:szCs w:val="21"/>
        </w:rPr>
        <w:t>校准规范</w:t>
      </w:r>
      <w:r>
        <w:rPr>
          <w:rFonts w:hint="eastAsia"/>
          <w:bCs/>
          <w:color w:val="000000" w:themeColor="text1"/>
          <w:szCs w:val="21"/>
        </w:rPr>
        <w:t>-</w:t>
      </w:r>
      <w:r>
        <w:rPr>
          <w:rFonts w:hint="eastAsia"/>
          <w:bCs/>
          <w:color w:val="000000" w:themeColor="text1"/>
          <w:szCs w:val="21"/>
        </w:rPr>
        <w:t>讨论稿》中的校准项目、技术指标和校准方法等提出了修改建议和意见，</w:t>
      </w:r>
      <w:r>
        <w:rPr>
          <w:rFonts w:hint="eastAsia"/>
          <w:bCs/>
          <w:color w:val="000000" w:themeColor="text1"/>
        </w:rPr>
        <w:t>具体内容见表</w:t>
      </w:r>
      <w:r>
        <w:rPr>
          <w:rFonts w:hint="eastAsia"/>
          <w:bCs/>
          <w:color w:val="000000" w:themeColor="text1"/>
        </w:rPr>
        <w:t>2</w:t>
      </w:r>
      <w:r>
        <w:rPr>
          <w:rFonts w:hint="eastAsia"/>
          <w:bCs/>
          <w:color w:val="000000" w:themeColor="text1"/>
        </w:rPr>
        <w:t>。修改后形成了</w:t>
      </w:r>
      <w:r>
        <w:rPr>
          <w:rFonts w:hint="eastAsia"/>
          <w:bCs/>
          <w:color w:val="000000" w:themeColor="text1"/>
          <w:szCs w:val="21"/>
        </w:rPr>
        <w:t>《</w:t>
      </w:r>
      <w:r>
        <w:rPr>
          <w:rFonts w:hint="eastAsia"/>
          <w:color w:val="000000" w:themeColor="text1"/>
          <w:szCs w:val="21"/>
        </w:rPr>
        <w:t>光伏组件紫外预处理试验箱</w:t>
      </w:r>
      <w:r>
        <w:rPr>
          <w:rFonts w:hAnsi="宋体" w:hint="eastAsia"/>
          <w:bCs/>
          <w:color w:val="000000" w:themeColor="text1"/>
          <w:szCs w:val="21"/>
        </w:rPr>
        <w:t>校准规范</w:t>
      </w:r>
      <w:r>
        <w:rPr>
          <w:bCs/>
          <w:color w:val="000000" w:themeColor="text1"/>
          <w:szCs w:val="21"/>
        </w:rPr>
        <w:t>-</w:t>
      </w:r>
      <w:r>
        <w:rPr>
          <w:rFonts w:hint="eastAsia"/>
          <w:bCs/>
          <w:color w:val="000000" w:themeColor="text1"/>
        </w:rPr>
        <w:t>征求意见稿</w:t>
      </w:r>
      <w:r>
        <w:rPr>
          <w:rFonts w:hint="eastAsia"/>
          <w:bCs/>
          <w:color w:val="000000" w:themeColor="text1"/>
          <w:szCs w:val="21"/>
        </w:rPr>
        <w:t>》。</w:t>
      </w:r>
    </w:p>
    <w:p>
      <w:pPr>
        <w:pStyle w:val="22"/>
      </w:pPr>
      <w:r>
        <w:rPr>
          <w:rFonts w:hint="eastAsia"/>
        </w:rPr>
        <w:t>表</w:t>
      </w:r>
      <w:r>
        <w:rPr>
          <w:rFonts w:hint="eastAsia"/>
        </w:rPr>
        <w:t>2</w:t>
      </w:r>
      <w:r>
        <w:t xml:space="preserve"> </w:t>
      </w:r>
      <w:r>
        <w:rPr>
          <w:rFonts w:hint="eastAsia"/>
        </w:rPr>
        <w:t>《光伏组件紫外预处理试验箱校准规范</w:t>
      </w:r>
      <w:r>
        <w:rPr>
          <w:rFonts w:hint="eastAsia"/>
        </w:rPr>
        <w:t>-</w:t>
      </w:r>
      <w:r>
        <w:rPr>
          <w:rFonts w:hint="eastAsia"/>
        </w:rPr>
        <w:t>讨论稿》工作安排</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0"/>
        <w:gridCol w:w="3904"/>
        <w:gridCol w:w="1745"/>
        <w:gridCol w:w="1574"/>
      </w:tblGrid>
      <w:tr>
        <w:trPr>
          <w:trHeight w:val="567"/>
          <w:jc w:val="center"/>
        </w:trPr>
        <w:tc>
          <w:tcPr>
            <w:tcW w:w="1896" w:type="dxa"/>
            <w:gridSpan w:val="2"/>
            <w:shd w:val="clear" w:color="auto" w:fill="auto"/>
            <w:noWrap/>
            <w:vAlign w:val="center"/>
          </w:tcPr>
          <w:p>
            <w:pPr>
              <w:spacing w:line="360" w:lineRule="auto"/>
              <w:rPr>
                <w:bCs/>
              </w:rPr>
            </w:pPr>
            <w:r>
              <w:rPr>
                <w:rFonts w:hint="eastAsia"/>
                <w:bCs/>
              </w:rPr>
              <w:t>拟参与编制单位</w:t>
            </w:r>
          </w:p>
        </w:tc>
        <w:tc>
          <w:tcPr>
            <w:tcW w:w="7223" w:type="dxa"/>
            <w:gridSpan w:val="3"/>
            <w:shd w:val="clear" w:color="auto" w:fill="auto"/>
            <w:noWrap/>
            <w:vAlign w:val="center"/>
          </w:tcPr>
          <w:p>
            <w:pPr>
              <w:spacing w:line="360" w:lineRule="auto"/>
              <w:ind w:firstLineChars="200" w:firstLine="420"/>
              <w:rPr>
                <w:bCs/>
              </w:rPr>
            </w:pPr>
            <w:r>
              <w:rPr>
                <w:rFonts w:hint="eastAsia"/>
                <w:bCs/>
              </w:rPr>
              <w:t>中国石油集团工程材料研究院有限公司等。</w:t>
            </w:r>
          </w:p>
        </w:tc>
      </w:tr>
      <w:tr>
        <w:trPr>
          <w:trHeight w:val="567"/>
          <w:jc w:val="center"/>
        </w:trPr>
        <w:tc>
          <w:tcPr>
            <w:tcW w:w="1896" w:type="dxa"/>
            <w:gridSpan w:val="2"/>
            <w:shd w:val="clear" w:color="auto" w:fill="auto"/>
            <w:noWrap/>
            <w:vAlign w:val="center"/>
          </w:tcPr>
          <w:p>
            <w:pPr>
              <w:spacing w:line="360" w:lineRule="auto"/>
              <w:rPr>
                <w:bCs/>
              </w:rPr>
            </w:pPr>
            <w:r>
              <w:rPr>
                <w:rFonts w:hint="eastAsia"/>
                <w:bCs/>
              </w:rPr>
              <w:t>一验单位</w:t>
            </w:r>
          </w:p>
        </w:tc>
        <w:tc>
          <w:tcPr>
            <w:tcW w:w="7223" w:type="dxa"/>
            <w:gridSpan w:val="3"/>
            <w:shd w:val="clear" w:color="auto" w:fill="auto"/>
            <w:noWrap/>
            <w:vAlign w:val="center"/>
          </w:tcPr>
          <w:p>
            <w:pPr>
              <w:spacing w:line="360" w:lineRule="auto"/>
              <w:ind w:firstLineChars="200" w:firstLine="420"/>
              <w:rPr>
                <w:bCs/>
              </w:rPr>
            </w:pPr>
            <w:r>
              <w:rPr>
                <w:rFonts w:hint="eastAsia"/>
                <w:bCs/>
              </w:rPr>
              <w:t>/</w:t>
            </w:r>
          </w:p>
        </w:tc>
      </w:tr>
      <w:tr>
        <w:trPr>
          <w:trHeight w:val="567"/>
          <w:jc w:val="center"/>
        </w:trPr>
        <w:tc>
          <w:tcPr>
            <w:tcW w:w="1896" w:type="dxa"/>
            <w:gridSpan w:val="2"/>
            <w:shd w:val="clear" w:color="auto" w:fill="auto"/>
            <w:noWrap/>
            <w:vAlign w:val="center"/>
          </w:tcPr>
          <w:p>
            <w:pPr>
              <w:spacing w:line="360" w:lineRule="auto"/>
              <w:rPr>
                <w:bCs/>
              </w:rPr>
            </w:pPr>
            <w:r>
              <w:rPr>
                <w:rFonts w:hint="eastAsia"/>
                <w:bCs/>
              </w:rPr>
              <w:t>二验单位</w:t>
            </w:r>
          </w:p>
        </w:tc>
        <w:tc>
          <w:tcPr>
            <w:tcW w:w="7223" w:type="dxa"/>
            <w:gridSpan w:val="3"/>
            <w:shd w:val="clear" w:color="auto" w:fill="auto"/>
            <w:noWrap/>
            <w:vAlign w:val="center"/>
          </w:tcPr>
          <w:p>
            <w:pPr>
              <w:spacing w:line="360" w:lineRule="auto"/>
              <w:ind w:firstLineChars="200" w:firstLine="420"/>
              <w:rPr>
                <w:bCs/>
              </w:rPr>
            </w:pPr>
            <w:r>
              <w:rPr>
                <w:rFonts w:hint="eastAsia"/>
                <w:bCs/>
              </w:rPr>
              <w:t>/</w:t>
            </w:r>
          </w:p>
        </w:tc>
      </w:tr>
      <w:tr>
        <w:trPr>
          <w:trHeight w:val="567"/>
          <w:jc w:val="center"/>
        </w:trPr>
        <w:tc>
          <w:tcPr>
            <w:tcW w:w="1896" w:type="dxa"/>
            <w:gridSpan w:val="2"/>
            <w:shd w:val="clear" w:color="auto" w:fill="auto"/>
            <w:noWrap/>
            <w:vAlign w:val="center"/>
          </w:tcPr>
          <w:p>
            <w:pPr>
              <w:spacing w:line="360" w:lineRule="auto"/>
              <w:rPr>
                <w:bCs/>
              </w:rPr>
            </w:pPr>
            <w:r>
              <w:rPr>
                <w:rFonts w:hint="eastAsia"/>
                <w:bCs/>
              </w:rPr>
              <w:t>时间节点安排</w:t>
            </w:r>
          </w:p>
        </w:tc>
        <w:tc>
          <w:tcPr>
            <w:tcW w:w="7223" w:type="dxa"/>
            <w:gridSpan w:val="3"/>
            <w:shd w:val="clear" w:color="auto" w:fill="auto"/>
            <w:noWrap/>
            <w:vAlign w:val="center"/>
          </w:tcPr>
          <w:p>
            <w:pPr>
              <w:spacing w:line="360" w:lineRule="auto"/>
              <w:ind w:firstLineChars="200" w:firstLine="420"/>
              <w:rPr>
                <w:bCs/>
              </w:rPr>
            </w:pPr>
            <w:r>
              <w:rPr>
                <w:rFonts w:hint="eastAsia"/>
                <w:bCs/>
              </w:rPr>
              <w:t>2025</w:t>
            </w:r>
            <w:r>
              <w:rPr>
                <w:rFonts w:hint="eastAsia"/>
                <w:bCs/>
              </w:rPr>
              <w:t>年完成规范报批</w:t>
            </w:r>
          </w:p>
        </w:tc>
      </w:tr>
      <w:tr>
        <w:trPr>
          <w:trHeight w:val="567"/>
          <w:jc w:val="center"/>
        </w:trPr>
        <w:tc>
          <w:tcPr>
            <w:tcW w:w="856" w:type="dxa"/>
            <w:shd w:val="clear" w:color="auto" w:fill="auto"/>
            <w:noWrap/>
            <w:vAlign w:val="center"/>
          </w:tcPr>
          <w:p>
            <w:pPr>
              <w:spacing w:line="360" w:lineRule="auto"/>
              <w:rPr>
                <w:bCs/>
              </w:rPr>
            </w:pPr>
            <w:r>
              <w:rPr>
                <w:rFonts w:hint="eastAsia"/>
                <w:bCs/>
              </w:rPr>
              <w:t>序号</w:t>
            </w:r>
          </w:p>
        </w:tc>
        <w:tc>
          <w:tcPr>
            <w:tcW w:w="1040" w:type="dxa"/>
            <w:shd w:val="clear" w:color="auto" w:fill="auto"/>
            <w:vAlign w:val="center"/>
          </w:tcPr>
          <w:p>
            <w:pPr>
              <w:snapToGrid w:val="0"/>
              <w:rPr>
                <w:bCs/>
              </w:rPr>
            </w:pPr>
            <w:r>
              <w:rPr>
                <w:rFonts w:hint="eastAsia"/>
                <w:bCs/>
              </w:rPr>
              <w:t>规范章条号</w:t>
            </w:r>
          </w:p>
        </w:tc>
        <w:tc>
          <w:tcPr>
            <w:tcW w:w="3904" w:type="dxa"/>
            <w:shd w:val="clear" w:color="auto" w:fill="auto"/>
            <w:noWrap/>
            <w:vAlign w:val="center"/>
          </w:tcPr>
          <w:p>
            <w:pPr>
              <w:spacing w:line="360" w:lineRule="auto"/>
              <w:ind w:firstLineChars="200" w:firstLine="420"/>
              <w:jc w:val="center"/>
              <w:rPr>
                <w:bCs/>
              </w:rPr>
            </w:pPr>
            <w:r>
              <w:rPr>
                <w:rFonts w:hint="eastAsia"/>
                <w:bCs/>
              </w:rPr>
              <w:t>意见内容</w:t>
            </w:r>
          </w:p>
        </w:tc>
        <w:tc>
          <w:tcPr>
            <w:tcW w:w="1745" w:type="dxa"/>
            <w:shd w:val="clear" w:color="auto" w:fill="auto"/>
            <w:noWrap/>
            <w:vAlign w:val="center"/>
          </w:tcPr>
          <w:p>
            <w:pPr>
              <w:spacing w:line="360" w:lineRule="auto"/>
              <w:jc w:val="center"/>
              <w:rPr>
                <w:bCs/>
              </w:rPr>
            </w:pPr>
            <w:r>
              <w:rPr>
                <w:rFonts w:hint="eastAsia"/>
                <w:bCs/>
              </w:rPr>
              <w:t>提出单位</w:t>
            </w:r>
          </w:p>
        </w:tc>
        <w:tc>
          <w:tcPr>
            <w:tcW w:w="1574" w:type="dxa"/>
            <w:shd w:val="clear" w:color="auto" w:fill="auto"/>
            <w:noWrap/>
            <w:vAlign w:val="center"/>
          </w:tcPr>
          <w:p>
            <w:pPr>
              <w:spacing w:line="360" w:lineRule="auto"/>
              <w:rPr>
                <w:bCs/>
              </w:rPr>
            </w:pPr>
            <w:r>
              <w:rPr>
                <w:rFonts w:hint="eastAsia"/>
                <w:bCs/>
              </w:rPr>
              <w:t>处理意见</w:t>
            </w:r>
          </w:p>
        </w:tc>
      </w:tr>
      <w:tr>
        <w:trPr>
          <w:trHeight w:val="567"/>
          <w:jc w:val="center"/>
        </w:trPr>
        <w:tc>
          <w:tcPr>
            <w:tcW w:w="856" w:type="dxa"/>
            <w:shd w:val="clear" w:color="auto" w:fill="auto"/>
            <w:noWrap/>
            <w:vAlign w:val="center"/>
          </w:tcPr>
          <w:p>
            <w:pPr>
              <w:pStyle w:val="afffffa"/>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4.1</w:t>
            </w:r>
          </w:p>
        </w:tc>
        <w:tc>
          <w:tcPr>
            <w:tcW w:w="3904" w:type="dxa"/>
            <w:shd w:val="clear" w:color="auto" w:fill="auto"/>
            <w:noWrap/>
            <w:vAlign w:val="center"/>
          </w:tcPr>
          <w:p>
            <w:pPr>
              <w:widowControl/>
              <w:spacing w:line="360" w:lineRule="auto"/>
              <w:jc w:val="center"/>
              <w:rPr>
                <w:bCs/>
                <w:color w:val="000000"/>
                <w:kern w:val="0"/>
                <w:szCs w:val="21"/>
              </w:rPr>
            </w:pPr>
            <w:r>
              <w:rPr>
                <w:rFonts w:cs="宋体" w:hint="eastAsia"/>
                <w:bCs/>
                <w:color w:val="000000"/>
                <w:kern w:val="0"/>
                <w:szCs w:val="21"/>
              </w:rPr>
              <w:t>将“</w:t>
            </w:r>
            <w:r>
              <w:rPr>
                <w:rFonts w:hint="eastAsia"/>
                <w:kern w:val="0"/>
                <w:sz w:val="24"/>
                <w:szCs w:val="20"/>
              </w:rPr>
              <w:t>紫外预处理试验箱温度偏差</w:t>
            </w:r>
            <w:r>
              <w:rPr>
                <w:rFonts w:cs="宋体" w:hint="eastAsia"/>
                <w:bCs/>
                <w:color w:val="000000"/>
                <w:kern w:val="0"/>
                <w:szCs w:val="21"/>
              </w:rPr>
              <w:t>”改为“</w:t>
            </w:r>
            <w:r>
              <w:rPr>
                <w:rFonts w:hint="eastAsia"/>
                <w:kern w:val="0"/>
                <w:sz w:val="24"/>
                <w:szCs w:val="20"/>
              </w:rPr>
              <w:t>温度偏差</w:t>
            </w:r>
            <w:r>
              <w:rPr>
                <w:rFonts w:cs="宋体" w:hint="eastAsia"/>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cs="宋体" w:hint="eastAsia"/>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rPr>
          <w:trHeight w:val="567"/>
          <w:jc w:val="center"/>
        </w:trPr>
        <w:tc>
          <w:tcPr>
            <w:tcW w:w="856" w:type="dxa"/>
            <w:shd w:val="clear" w:color="auto" w:fill="auto"/>
            <w:noWrap/>
            <w:vAlign w:val="center"/>
          </w:tcPr>
          <w:p>
            <w:pPr>
              <w:pStyle w:val="afffffa"/>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4.2</w:t>
            </w:r>
          </w:p>
        </w:tc>
        <w:tc>
          <w:tcPr>
            <w:tcW w:w="3904" w:type="dxa"/>
            <w:shd w:val="clear" w:color="auto" w:fill="auto"/>
            <w:noWrap/>
            <w:vAlign w:val="center"/>
          </w:tcPr>
          <w:p>
            <w:pPr>
              <w:widowControl/>
              <w:spacing w:line="360" w:lineRule="auto"/>
              <w:rPr>
                <w:bCs/>
                <w:color w:val="000000"/>
                <w:kern w:val="0"/>
                <w:szCs w:val="21"/>
              </w:rPr>
            </w:pPr>
            <w:r>
              <w:rPr>
                <w:rFonts w:cs="宋体" w:hint="eastAsia"/>
                <w:bCs/>
                <w:color w:val="000000"/>
                <w:kern w:val="0"/>
                <w:szCs w:val="21"/>
              </w:rPr>
              <w:t>将“</w:t>
            </w:r>
            <w:r>
              <w:rPr>
                <w:rFonts w:hint="eastAsia"/>
                <w:color w:val="000000" w:themeColor="text1"/>
                <w:sz w:val="24"/>
              </w:rPr>
              <w:t>紫外辐照度示值误差</w:t>
            </w:r>
            <w:r>
              <w:rPr>
                <w:rFonts w:cs="宋体" w:hint="eastAsia"/>
                <w:bCs/>
                <w:color w:val="000000"/>
                <w:kern w:val="0"/>
                <w:szCs w:val="21"/>
              </w:rPr>
              <w:t>”改为“</w:t>
            </w:r>
            <w:r>
              <w:rPr>
                <w:rFonts w:hint="eastAsia"/>
                <w:color w:val="000000" w:themeColor="text1"/>
                <w:sz w:val="24"/>
              </w:rPr>
              <w:t>紫外辐照度修正系数</w:t>
            </w:r>
            <w:r>
              <w:rPr>
                <w:rFonts w:cs="宋体" w:hint="eastAsia"/>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cs="宋体" w:hint="eastAsia"/>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rPr>
          <w:trHeight w:val="90"/>
          <w:jc w:val="center"/>
        </w:trPr>
        <w:tc>
          <w:tcPr>
            <w:tcW w:w="856" w:type="dxa"/>
            <w:shd w:val="clear" w:color="auto" w:fill="auto"/>
            <w:noWrap/>
            <w:vAlign w:val="center"/>
          </w:tcPr>
          <w:p>
            <w:pPr>
              <w:pStyle w:val="afffffa"/>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表</w:t>
            </w:r>
            <w:r>
              <w:rPr>
                <w:rFonts w:hint="eastAsia"/>
                <w:bCs/>
                <w:color w:val="000000"/>
                <w:kern w:val="0"/>
                <w:szCs w:val="21"/>
              </w:rPr>
              <w:t>1</w:t>
            </w:r>
          </w:p>
        </w:tc>
        <w:tc>
          <w:tcPr>
            <w:tcW w:w="3904" w:type="dxa"/>
            <w:shd w:val="clear" w:color="auto" w:fill="auto"/>
            <w:noWrap/>
            <w:vAlign w:val="center"/>
          </w:tcPr>
          <w:p>
            <w:pPr>
              <w:widowControl/>
              <w:spacing w:line="360" w:lineRule="auto"/>
              <w:rPr>
                <w:bCs/>
                <w:color w:val="000000"/>
                <w:kern w:val="0"/>
                <w:szCs w:val="21"/>
              </w:rPr>
            </w:pPr>
            <w:r>
              <w:rPr>
                <w:szCs w:val="21"/>
              </w:rPr>
              <w:t>将热电阻的技术要求改为具体的允许误差。</w:t>
            </w:r>
          </w:p>
        </w:tc>
        <w:tc>
          <w:tcPr>
            <w:tcW w:w="1745" w:type="dxa"/>
            <w:shd w:val="clear" w:color="auto" w:fill="auto"/>
            <w:noWrap/>
            <w:vAlign w:val="center"/>
          </w:tcPr>
          <w:p>
            <w:pPr>
              <w:widowControl/>
              <w:jc w:val="center"/>
              <w:rPr>
                <w:bCs/>
                <w:color w:val="000000"/>
                <w:kern w:val="0"/>
                <w:szCs w:val="21"/>
              </w:rPr>
            </w:pPr>
            <w:r>
              <w:rPr>
                <w:rFonts w:cs="宋体" w:hint="eastAsia"/>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rPr>
          <w:trHeight w:val="567"/>
          <w:jc w:val="center"/>
        </w:trPr>
        <w:tc>
          <w:tcPr>
            <w:tcW w:w="856" w:type="dxa"/>
            <w:shd w:val="clear" w:color="auto" w:fill="auto"/>
            <w:noWrap/>
            <w:vAlign w:val="center"/>
          </w:tcPr>
          <w:p>
            <w:pPr>
              <w:pStyle w:val="afffffa"/>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6.1</w:t>
            </w:r>
          </w:p>
        </w:tc>
        <w:tc>
          <w:tcPr>
            <w:tcW w:w="3904" w:type="dxa"/>
            <w:shd w:val="clear" w:color="auto" w:fill="auto"/>
            <w:noWrap/>
            <w:vAlign w:val="center"/>
          </w:tcPr>
          <w:p>
            <w:pPr>
              <w:spacing w:line="360" w:lineRule="auto"/>
              <w:rPr>
                <w:rFonts w:cs="宋体"/>
                <w:bCs/>
                <w:color w:val="000000"/>
                <w:kern w:val="0"/>
                <w:szCs w:val="21"/>
              </w:rPr>
            </w:pPr>
            <w:r>
              <w:rPr>
                <w:rFonts w:cs="宋体" w:hint="eastAsia"/>
                <w:bCs/>
                <w:color w:val="000000"/>
                <w:kern w:val="0"/>
                <w:szCs w:val="21"/>
              </w:rPr>
              <w:t>将“</w:t>
            </w:r>
            <w:r>
              <w:rPr>
                <w:rFonts w:hint="eastAsia"/>
                <w:kern w:val="0"/>
                <w:sz w:val="24"/>
                <w:szCs w:val="20"/>
              </w:rPr>
              <w:t>紫外预处理试验箱温度偏差</w:t>
            </w:r>
            <w:r>
              <w:rPr>
                <w:rFonts w:cs="宋体" w:hint="eastAsia"/>
                <w:bCs/>
                <w:color w:val="000000"/>
                <w:kern w:val="0"/>
                <w:szCs w:val="21"/>
              </w:rPr>
              <w:t>”改为“</w:t>
            </w:r>
            <w:r>
              <w:rPr>
                <w:rFonts w:hint="eastAsia"/>
                <w:kern w:val="0"/>
                <w:sz w:val="24"/>
                <w:szCs w:val="20"/>
              </w:rPr>
              <w:t>温度偏差</w:t>
            </w:r>
            <w:r>
              <w:rPr>
                <w:rFonts w:cs="宋体" w:hint="eastAsia"/>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cs="宋体" w:hint="eastAsia"/>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rPr>
          <w:trHeight w:val="567"/>
          <w:jc w:val="center"/>
        </w:trPr>
        <w:tc>
          <w:tcPr>
            <w:tcW w:w="856" w:type="dxa"/>
            <w:shd w:val="clear" w:color="auto" w:fill="auto"/>
            <w:noWrap/>
            <w:vAlign w:val="center"/>
          </w:tcPr>
          <w:p>
            <w:pPr>
              <w:pStyle w:val="afffffa"/>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6.2.2</w:t>
            </w:r>
          </w:p>
        </w:tc>
        <w:tc>
          <w:tcPr>
            <w:tcW w:w="3904" w:type="dxa"/>
            <w:shd w:val="clear" w:color="auto" w:fill="auto"/>
            <w:noWrap/>
            <w:vAlign w:val="center"/>
          </w:tcPr>
          <w:p>
            <w:pPr>
              <w:spacing w:line="360" w:lineRule="auto"/>
              <w:rPr>
                <w:bCs/>
                <w:color w:val="000000"/>
                <w:kern w:val="0"/>
                <w:szCs w:val="21"/>
              </w:rPr>
            </w:pPr>
            <w:r>
              <w:rPr>
                <w:rFonts w:hint="eastAsia"/>
                <w:bCs/>
                <w:color w:val="000000"/>
                <w:kern w:val="0"/>
                <w:szCs w:val="21"/>
              </w:rPr>
              <w:t>合并</w:t>
            </w:r>
            <w:r>
              <w:rPr>
                <w:rFonts w:hint="eastAsia"/>
                <w:bCs/>
                <w:color w:val="000000"/>
                <w:kern w:val="0"/>
                <w:szCs w:val="21"/>
              </w:rPr>
              <w:t>6.2.2.2</w:t>
            </w:r>
            <w:r>
              <w:rPr>
                <w:rFonts w:hint="eastAsia"/>
                <w:bCs/>
                <w:color w:val="000000"/>
                <w:kern w:val="0"/>
                <w:szCs w:val="21"/>
              </w:rPr>
              <w:t>，</w:t>
            </w:r>
            <w:r>
              <w:rPr>
                <w:rFonts w:hint="eastAsia"/>
                <w:bCs/>
                <w:color w:val="000000"/>
                <w:kern w:val="0"/>
                <w:szCs w:val="21"/>
              </w:rPr>
              <w:t>6.2.2.3</w:t>
            </w:r>
            <w:r>
              <w:rPr>
                <w:rFonts w:hint="eastAsia"/>
                <w:bCs/>
                <w:color w:val="000000"/>
                <w:kern w:val="0"/>
                <w:szCs w:val="21"/>
              </w:rPr>
              <w:t>，</w:t>
            </w:r>
            <w:r>
              <w:rPr>
                <w:rFonts w:hint="eastAsia"/>
                <w:bCs/>
                <w:color w:val="000000"/>
                <w:kern w:val="0"/>
                <w:szCs w:val="21"/>
              </w:rPr>
              <w:t>6.2.2.4</w:t>
            </w:r>
            <w:r>
              <w:rPr>
                <w:rFonts w:hint="eastAsia"/>
                <w:bCs/>
                <w:color w:val="000000"/>
                <w:kern w:val="0"/>
                <w:szCs w:val="21"/>
              </w:rPr>
              <w:t>内容</w:t>
            </w:r>
            <w:r>
              <w:rPr>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cs="宋体" w:hint="eastAsia"/>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bl>
    <w:p>
      <w:pPr>
        <w:pStyle w:val="af3"/>
      </w:pPr>
      <w:r>
        <w:rPr>
          <w:rFonts w:hint="eastAsia"/>
        </w:rPr>
        <w:t>编制原则和</w:t>
      </w:r>
      <w:bookmarkEnd w:id="16"/>
      <w:r>
        <w:rPr>
          <w:rFonts w:hint="eastAsia"/>
        </w:rPr>
        <w:t>依据</w:t>
      </w:r>
    </w:p>
    <w:p>
      <w:pPr>
        <w:pStyle w:val="a9"/>
      </w:pPr>
      <w:bookmarkStart w:id="17" w:name="_Toc464728925"/>
      <w:r>
        <w:rPr>
          <w:rFonts w:hint="eastAsia"/>
        </w:rPr>
        <w:t>编制原则</w:t>
      </w:r>
      <w:bookmarkEnd w:id="17"/>
    </w:p>
    <w:p>
      <w:pPr>
        <w:pStyle w:val="afff"/>
        <w:rPr>
          <w:rFonts w:eastAsia="宋体"/>
          <w:color w:val="auto"/>
          <w:szCs w:val="20"/>
        </w:rPr>
      </w:pPr>
      <w:bookmarkStart w:id="18" w:name="_Toc464728926"/>
      <w:r>
        <w:rPr>
          <w:rFonts w:eastAsia="宋体"/>
          <w:color w:val="auto"/>
          <w:szCs w:val="20"/>
        </w:rPr>
        <w:t>本规范是以</w:t>
      </w:r>
      <w:r>
        <w:rPr>
          <w:rFonts w:eastAsia="宋体"/>
          <w:color w:val="auto"/>
          <w:szCs w:val="20"/>
        </w:rPr>
        <w:t>JJF 1071-2010</w:t>
      </w:r>
      <w:r>
        <w:rPr>
          <w:rFonts w:eastAsia="宋体"/>
          <w:color w:val="auto"/>
          <w:szCs w:val="20"/>
        </w:rPr>
        <w:t>《国家计量校准规范编写规则》、</w:t>
      </w:r>
      <w:r>
        <w:rPr>
          <w:rFonts w:eastAsia="宋体"/>
          <w:color w:val="auto"/>
          <w:szCs w:val="20"/>
        </w:rPr>
        <w:t>JJF 1001-2011</w:t>
      </w:r>
      <w:r>
        <w:rPr>
          <w:rFonts w:eastAsia="宋体"/>
          <w:color w:val="auto"/>
          <w:szCs w:val="20"/>
        </w:rPr>
        <w:t>《通用计量术语及定义》和</w:t>
      </w:r>
      <w:r>
        <w:rPr>
          <w:rFonts w:eastAsia="宋体"/>
          <w:color w:val="auto"/>
          <w:szCs w:val="20"/>
        </w:rPr>
        <w:t>JJF 1059.1-2012</w:t>
      </w:r>
      <w:r>
        <w:rPr>
          <w:rFonts w:eastAsia="宋体"/>
          <w:color w:val="auto"/>
          <w:szCs w:val="20"/>
        </w:rPr>
        <w:t>《测量不确定度评定与表示》为基础性系列规范进行编写。</w:t>
      </w:r>
    </w:p>
    <w:p>
      <w:pPr>
        <w:adjustRightInd w:val="0"/>
        <w:snapToGrid w:val="0"/>
        <w:spacing w:line="360" w:lineRule="auto"/>
        <w:ind w:firstLineChars="200" w:firstLine="420"/>
        <w:rPr>
          <w:color w:val="000000" w:themeColor="text1"/>
          <w:kern w:val="0"/>
          <w:sz w:val="24"/>
          <w:szCs w:val="20"/>
        </w:rPr>
      </w:pPr>
      <w:r>
        <w:rPr>
          <w:rFonts w:hint="eastAsia"/>
          <w:szCs w:val="21"/>
        </w:rPr>
        <w:t>本</w:t>
      </w:r>
      <w:r>
        <w:rPr>
          <w:rFonts w:hint="eastAsia"/>
          <w:kern w:val="0"/>
          <w:szCs w:val="20"/>
        </w:rPr>
        <w:t>规范引用了</w:t>
      </w:r>
      <w:r>
        <w:rPr>
          <w:rFonts w:hint="eastAsia"/>
          <w:kern w:val="0"/>
          <w:szCs w:val="20"/>
        </w:rPr>
        <w:t>JJF 1101-2019</w:t>
      </w:r>
      <w:r>
        <w:rPr>
          <w:rFonts w:hint="eastAsia"/>
          <w:kern w:val="0"/>
          <w:szCs w:val="20"/>
        </w:rPr>
        <w:t>《环境试验设备温度、湿度参数校准规范》，</w:t>
      </w:r>
      <w:r>
        <w:rPr>
          <w:rFonts w:hint="eastAsia"/>
          <w:kern w:val="0"/>
          <w:szCs w:val="20"/>
        </w:rPr>
        <w:t>JJF2062-2023</w:t>
      </w:r>
      <w:r>
        <w:rPr>
          <w:rFonts w:hint="eastAsia"/>
          <w:kern w:val="0"/>
          <w:szCs w:val="20"/>
        </w:rPr>
        <w:t>《光伏组件用紫外预处理试验箱校准规范》、</w:t>
      </w:r>
      <w:r>
        <w:rPr>
          <w:rFonts w:hint="eastAsia"/>
          <w:color w:val="000000" w:themeColor="text1"/>
          <w:sz w:val="24"/>
        </w:rPr>
        <w:t>JJF 1664-2017</w:t>
      </w:r>
      <w:r>
        <w:rPr>
          <w:rFonts w:hint="eastAsia"/>
          <w:color w:val="000000" w:themeColor="text1"/>
          <w:sz w:val="24"/>
        </w:rPr>
        <w:t>《</w:t>
      </w:r>
      <w:r>
        <w:rPr>
          <w:rFonts w:hint="eastAsia"/>
          <w:color w:val="000000" w:themeColor="text1"/>
          <w:sz w:val="24"/>
        </w:rPr>
        <w:t>温度显示仪校准规范</w:t>
      </w:r>
      <w:r>
        <w:rPr>
          <w:rFonts w:hint="eastAsia"/>
          <w:color w:val="000000" w:themeColor="text1"/>
          <w:sz w:val="24"/>
        </w:rPr>
        <w:t>》、</w:t>
      </w:r>
      <w:r>
        <w:rPr>
          <w:rFonts w:hint="eastAsia"/>
          <w:color w:val="000000" w:themeColor="text1"/>
          <w:kern w:val="0"/>
          <w:sz w:val="24"/>
          <w:szCs w:val="20"/>
        </w:rPr>
        <w:t>GB/T 19394</w:t>
      </w:r>
      <w:r>
        <w:rPr>
          <w:rFonts w:hint="eastAsia"/>
          <w:color w:val="000000" w:themeColor="text1"/>
          <w:sz w:val="24"/>
        </w:rPr>
        <w:t>-</w:t>
      </w:r>
      <w:r>
        <w:rPr>
          <w:rFonts w:hint="eastAsia"/>
          <w:color w:val="000000" w:themeColor="text1"/>
          <w:kern w:val="0"/>
          <w:sz w:val="24"/>
          <w:szCs w:val="20"/>
        </w:rPr>
        <w:t>2003/IEC 61345: 1998</w:t>
      </w:r>
      <w:r>
        <w:rPr>
          <w:rFonts w:hint="eastAsia"/>
          <w:color w:val="000000" w:themeColor="text1"/>
          <w:kern w:val="0"/>
          <w:sz w:val="24"/>
          <w:szCs w:val="20"/>
        </w:rPr>
        <w:t>《</w:t>
      </w:r>
      <w:r>
        <w:rPr>
          <w:rFonts w:hint="eastAsia"/>
          <w:color w:val="000000" w:themeColor="text1"/>
          <w:kern w:val="0"/>
          <w:sz w:val="24"/>
          <w:szCs w:val="20"/>
        </w:rPr>
        <w:t>光伏（</w:t>
      </w:r>
      <w:r>
        <w:rPr>
          <w:rFonts w:hint="eastAsia"/>
          <w:color w:val="000000" w:themeColor="text1"/>
          <w:kern w:val="0"/>
          <w:sz w:val="24"/>
          <w:szCs w:val="20"/>
        </w:rPr>
        <w:t>PV</w:t>
      </w:r>
      <w:r>
        <w:rPr>
          <w:rFonts w:hint="eastAsia"/>
          <w:color w:val="000000" w:themeColor="text1"/>
          <w:kern w:val="0"/>
          <w:sz w:val="24"/>
          <w:szCs w:val="20"/>
        </w:rPr>
        <w:t>）组件紫外试验</w:t>
      </w:r>
      <w:r>
        <w:rPr>
          <w:rFonts w:hint="eastAsia"/>
          <w:color w:val="000000" w:themeColor="text1"/>
          <w:kern w:val="0"/>
          <w:sz w:val="24"/>
          <w:szCs w:val="20"/>
        </w:rPr>
        <w:t>》</w:t>
      </w:r>
      <w:r>
        <w:rPr>
          <w:kern w:val="0"/>
          <w:szCs w:val="20"/>
        </w:rPr>
        <w:t>等相关内容。</w:t>
      </w:r>
      <w:r>
        <w:rPr>
          <w:rFonts w:hint="eastAsia"/>
          <w:kern w:val="0"/>
          <w:szCs w:val="20"/>
        </w:rPr>
        <w:t>提出了光伏组件紫外预处理试验箱计量特性的要求，制定了基本原则和编制依据，可对光伏组件紫外预处理试验箱进行校准，解决了目前没有光伏组件紫外预处理试验箱校准方</w:t>
      </w:r>
      <w:r>
        <w:rPr>
          <w:rFonts w:hint="eastAsia"/>
          <w:szCs w:val="21"/>
        </w:rPr>
        <w:t>法的难题。</w:t>
      </w:r>
    </w:p>
    <w:p>
      <w:pPr>
        <w:pStyle w:val="a9"/>
        <w:rPr>
          <w:rFonts w:ascii="宋体" w:hAnsi="宋体"/>
        </w:rPr>
      </w:pPr>
      <w:r>
        <w:rPr>
          <w:rFonts w:hint="eastAsia"/>
        </w:rPr>
        <w:t>确定主要内</w:t>
      </w:r>
      <w:bookmarkEnd w:id="18"/>
      <w:r>
        <w:rPr>
          <w:rFonts w:hint="eastAsia"/>
        </w:rPr>
        <w:t>容</w:t>
      </w:r>
    </w:p>
    <w:p>
      <w:pPr>
        <w:pStyle w:val="afff2"/>
      </w:pPr>
      <w:bookmarkStart w:id="19" w:name="_Toc500258929"/>
      <w:bookmarkStart w:id="20" w:name="_Toc193860177"/>
      <w:bookmarkStart w:id="21" w:name="_Toc193860027"/>
      <w:bookmarkStart w:id="22" w:name="_Toc23837_WPSOffice_Level1"/>
      <w:bookmarkStart w:id="23" w:name="_Toc193860208"/>
      <w:bookmarkStart w:id="24" w:name="_Toc464728964"/>
      <w:r>
        <w:t>1</w:t>
      </w:r>
      <w:r>
        <w:rPr>
          <w:rFonts w:hint="eastAsia"/>
        </w:rPr>
        <w:t xml:space="preserve"> 范围</w:t>
      </w:r>
      <w:bookmarkEnd w:id="19"/>
      <w:bookmarkEnd w:id="20"/>
      <w:bookmarkEnd w:id="21"/>
      <w:bookmarkEnd w:id="22"/>
      <w:bookmarkEnd w:id="23"/>
    </w:p>
    <w:p>
      <w:pPr>
        <w:widowControl/>
        <w:spacing w:line="360" w:lineRule="auto"/>
        <w:ind w:firstLineChars="200" w:firstLine="420"/>
        <w:rPr>
          <w:kern w:val="0"/>
          <w:szCs w:val="20"/>
        </w:rPr>
      </w:pPr>
      <w:bookmarkStart w:id="25" w:name="_Toc193860209"/>
      <w:bookmarkStart w:id="26" w:name="_Toc193860028"/>
      <w:bookmarkStart w:id="27" w:name="_Toc193860178"/>
      <w:bookmarkStart w:id="28" w:name="_Toc500258930"/>
      <w:bookmarkStart w:id="29" w:name="_Toc7848_WPSOffice_Level1"/>
      <w:r>
        <w:rPr>
          <w:rFonts w:hint="eastAsia"/>
          <w:kern w:val="0"/>
          <w:szCs w:val="20"/>
        </w:rPr>
        <w:t>本规范适用于光伏组件紫外预处理试验箱的校准。</w:t>
      </w:r>
    </w:p>
    <w:p>
      <w:pPr>
        <w:pStyle w:val="afff2"/>
      </w:pPr>
      <w:r>
        <w:t>2</w:t>
      </w:r>
      <w:r>
        <w:rPr>
          <w:rFonts w:hint="eastAsia"/>
        </w:rPr>
        <w:t xml:space="preserve"> 引用文</w:t>
      </w:r>
      <w:bookmarkEnd w:id="25"/>
      <w:bookmarkEnd w:id="26"/>
      <w:bookmarkEnd w:id="27"/>
      <w:r>
        <w:rPr>
          <w:rFonts w:hint="eastAsia"/>
        </w:rPr>
        <w:t>件</w:t>
      </w:r>
      <w:bookmarkEnd w:id="28"/>
      <w:bookmarkEnd w:id="29"/>
    </w:p>
    <w:p>
      <w:pPr>
        <w:adjustRightInd w:val="0"/>
        <w:snapToGrid w:val="0"/>
        <w:spacing w:line="360" w:lineRule="auto"/>
        <w:ind w:firstLineChars="200" w:firstLine="420"/>
        <w:rPr>
          <w:bCs/>
          <w:szCs w:val="21"/>
        </w:rPr>
      </w:pPr>
      <w:bookmarkStart w:id="30" w:name="_Toc193860180"/>
      <w:bookmarkStart w:id="31" w:name="_Toc193860211"/>
      <w:bookmarkStart w:id="32" w:name="_Toc193860030"/>
      <w:bookmarkStart w:id="33" w:name="_Toc193619055"/>
      <w:bookmarkStart w:id="34" w:name="_Toc193619097"/>
      <w:bookmarkStart w:id="35" w:name="_Toc500258937"/>
      <w:bookmarkStart w:id="36" w:name="_Toc13054_WPSOffice_Level1"/>
      <w:bookmarkStart w:id="37" w:name="_Toc193618952"/>
      <w:r>
        <w:rPr>
          <w:rFonts w:hint="eastAsia"/>
          <w:bCs/>
          <w:szCs w:val="21"/>
        </w:rPr>
        <w:t>本规范主要计量特征性参数和校准方法引自</w:t>
      </w:r>
      <w:r>
        <w:rPr>
          <w:rFonts w:hint="eastAsia"/>
          <w:kern w:val="0"/>
          <w:szCs w:val="20"/>
        </w:rPr>
        <w:t>JJF 2062-2023</w:t>
      </w:r>
      <w:r>
        <w:rPr>
          <w:rFonts w:hint="eastAsia"/>
          <w:kern w:val="0"/>
          <w:szCs w:val="20"/>
        </w:rPr>
        <w:t>《光伏组件用紫外预处理试验箱校准规范》</w:t>
      </w:r>
      <w:r>
        <w:rPr>
          <w:rFonts w:hint="eastAsia"/>
          <w:bCs/>
          <w:szCs w:val="21"/>
        </w:rPr>
        <w:t>、</w:t>
      </w:r>
      <w:r>
        <w:rPr>
          <w:rFonts w:hint="eastAsia"/>
          <w:bCs/>
          <w:szCs w:val="21"/>
        </w:rPr>
        <w:t>JJF 1664-2017</w:t>
      </w:r>
      <w:r>
        <w:rPr>
          <w:rFonts w:hint="eastAsia"/>
          <w:bCs/>
          <w:szCs w:val="21"/>
        </w:rPr>
        <w:t>《温度显示仪校准规范》</w:t>
      </w:r>
      <w:r>
        <w:rPr>
          <w:rFonts w:hint="eastAsia"/>
          <w:bCs/>
          <w:szCs w:val="21"/>
        </w:rPr>
        <w:t>、</w:t>
      </w:r>
      <w:r>
        <w:rPr>
          <w:rFonts w:hint="eastAsia"/>
          <w:bCs/>
          <w:szCs w:val="21"/>
        </w:rPr>
        <w:t>GB/T 19394-</w:t>
      </w:r>
      <w:r>
        <w:rPr>
          <w:rFonts w:hint="eastAsia"/>
          <w:bCs/>
          <w:szCs w:val="21"/>
        </w:rPr>
        <w:t>2003/IEC 61345: 1998</w:t>
      </w:r>
      <w:r>
        <w:rPr>
          <w:rFonts w:hint="eastAsia"/>
          <w:bCs/>
          <w:szCs w:val="21"/>
        </w:rPr>
        <w:t>《</w:t>
      </w:r>
      <w:r>
        <w:rPr>
          <w:rFonts w:hint="eastAsia"/>
          <w:bCs/>
          <w:szCs w:val="21"/>
        </w:rPr>
        <w:t>光伏（</w:t>
      </w:r>
      <w:r>
        <w:rPr>
          <w:rFonts w:hint="eastAsia"/>
          <w:bCs/>
          <w:szCs w:val="21"/>
        </w:rPr>
        <w:t>PV</w:t>
      </w:r>
      <w:r>
        <w:rPr>
          <w:rFonts w:hint="eastAsia"/>
          <w:bCs/>
          <w:szCs w:val="21"/>
        </w:rPr>
        <w:t>）组件紫外试验</w:t>
      </w:r>
      <w:r>
        <w:rPr>
          <w:rFonts w:hint="eastAsia"/>
          <w:bCs/>
          <w:szCs w:val="21"/>
        </w:rPr>
        <w:t>》相关内容。</w:t>
      </w:r>
    </w:p>
    <w:p>
      <w:pPr>
        <w:pStyle w:val="afff2"/>
      </w:pPr>
      <w:r>
        <w:rPr>
          <w:rFonts w:hint="eastAsia"/>
        </w:rPr>
        <w:t>3 概述</w:t>
      </w:r>
      <w:bookmarkEnd w:id="30"/>
      <w:bookmarkEnd w:id="31"/>
      <w:bookmarkEnd w:id="32"/>
      <w:bookmarkEnd w:id="33"/>
      <w:bookmarkEnd w:id="34"/>
      <w:bookmarkEnd w:id="35"/>
      <w:bookmarkEnd w:id="36"/>
      <w:bookmarkEnd w:id="37"/>
    </w:p>
    <w:p>
      <w:pPr>
        <w:adjustRightInd w:val="0"/>
        <w:snapToGrid w:val="0"/>
        <w:spacing w:line="360" w:lineRule="auto"/>
        <w:ind w:firstLineChars="200" w:firstLine="420"/>
        <w:rPr>
          <w:bCs/>
          <w:szCs w:val="21"/>
        </w:rPr>
      </w:pPr>
      <w:bookmarkStart w:id="38" w:name="_Toc19851_WPSOffice_Level1"/>
      <w:bookmarkStart w:id="39" w:name="_Toc193860031"/>
      <w:bookmarkStart w:id="40" w:name="_Toc193860212"/>
      <w:bookmarkStart w:id="41" w:name="_Toc193619056"/>
      <w:bookmarkStart w:id="42" w:name="_Toc193618953"/>
      <w:bookmarkStart w:id="43" w:name="_Toc193619098"/>
      <w:bookmarkStart w:id="44" w:name="_Toc193860181"/>
      <w:bookmarkStart w:id="45" w:name="_Toc500258938"/>
      <w:r>
        <w:rPr>
          <w:rFonts w:hint="eastAsia"/>
          <w:bCs/>
          <w:szCs w:val="21"/>
        </w:rPr>
        <w:t>光伏组件</w:t>
      </w:r>
      <w:bookmarkStart w:id="46" w:name="_GoBack"/>
      <w:bookmarkEnd w:id="46"/>
      <w:r>
        <w:rPr>
          <w:rFonts w:hint="eastAsia"/>
          <w:bCs/>
          <w:szCs w:val="21"/>
        </w:rPr>
        <w:t>紫外预处理试验箱</w:t>
      </w:r>
      <w:r>
        <w:rPr>
          <w:rFonts w:hint="eastAsia"/>
          <w:bCs/>
          <w:szCs w:val="21"/>
        </w:rPr>
        <w:t>(</w:t>
      </w:r>
      <w:r>
        <w:rPr>
          <w:rFonts w:hint="eastAsia"/>
          <w:bCs/>
          <w:szCs w:val="21"/>
        </w:rPr>
        <w:t>以下简称紫外预处理试验箱</w:t>
      </w:r>
      <w:r>
        <w:rPr>
          <w:rFonts w:hint="eastAsia"/>
          <w:bCs/>
          <w:szCs w:val="21"/>
        </w:rPr>
        <w:t>)</w:t>
      </w:r>
      <w:r>
        <w:rPr>
          <w:rFonts w:hint="eastAsia"/>
          <w:bCs/>
          <w:szCs w:val="21"/>
        </w:rPr>
        <w:t>是模拟太阳光光谱里紫外部分的装置，配合适当的温度，用于考核光伏组件抗紫外辐射能力的试验。紫外预处理试验箱通常采用中空箱体式结构，光源侧置或顶置</w:t>
      </w:r>
      <w:r>
        <w:rPr>
          <w:bCs/>
          <w:szCs w:val="21"/>
        </w:rPr>
        <w:t>。</w:t>
      </w:r>
    </w:p>
    <w:p>
      <w:pPr>
        <w:pStyle w:val="afff2"/>
      </w:pPr>
      <w:r>
        <w:rPr>
          <w:rFonts w:hint="eastAsia"/>
        </w:rPr>
        <w:lastRenderedPageBreak/>
        <w:t>4 计量特性</w:t>
      </w:r>
      <w:bookmarkEnd w:id="38"/>
      <w:bookmarkEnd w:id="39"/>
      <w:bookmarkEnd w:id="40"/>
      <w:bookmarkEnd w:id="41"/>
      <w:bookmarkEnd w:id="42"/>
      <w:bookmarkEnd w:id="43"/>
      <w:bookmarkEnd w:id="44"/>
      <w:bookmarkEnd w:id="45"/>
    </w:p>
    <w:p>
      <w:pPr>
        <w:spacing w:line="360" w:lineRule="auto"/>
        <w:ind w:firstLineChars="200" w:firstLine="420"/>
        <w:rPr>
          <w:rFonts w:hint="eastAsia"/>
          <w:bCs/>
        </w:rPr>
      </w:pPr>
      <w:r>
        <w:rPr>
          <w:rFonts w:cstheme="majorBidi" w:hint="eastAsia"/>
          <w:bCs/>
          <w:kern w:val="44"/>
        </w:rPr>
        <w:t>根据实际使用情况，并于</w:t>
      </w:r>
      <w:r>
        <w:rPr>
          <w:rFonts w:hint="eastAsia"/>
          <w:szCs w:val="21"/>
        </w:rPr>
        <w:t>中国石油集团工程材料研究院有限公司等</w:t>
      </w:r>
      <w:r>
        <w:rPr>
          <w:rFonts w:cstheme="majorBidi" w:hint="eastAsia"/>
          <w:bCs/>
          <w:kern w:val="44"/>
        </w:rPr>
        <w:t>结合</w:t>
      </w:r>
      <w:r>
        <w:rPr>
          <w:rFonts w:hint="eastAsia"/>
          <w:kern w:val="0"/>
          <w:szCs w:val="20"/>
        </w:rPr>
        <w:t>JJF 2062-2023</w:t>
      </w:r>
      <w:r>
        <w:rPr>
          <w:rFonts w:cstheme="majorBidi" w:hint="eastAsia"/>
          <w:bCs/>
          <w:kern w:val="44"/>
        </w:rPr>
        <w:t>的内容，确定了光伏组件紫外预处理试验箱</w:t>
      </w:r>
      <w:r>
        <w:rPr>
          <w:rFonts w:hint="eastAsia"/>
          <w:bCs/>
        </w:rPr>
        <w:t>的计量特性有：</w:t>
      </w:r>
      <w:bookmarkStart w:id="47" w:name="_Toc25829_WPSOffice_Level1"/>
    </w:p>
    <w:p>
      <w:pPr>
        <w:spacing w:line="360" w:lineRule="auto"/>
        <w:rPr>
          <w:kern w:val="0"/>
          <w:sz w:val="24"/>
          <w:szCs w:val="20"/>
        </w:rPr>
      </w:pPr>
      <w:r>
        <w:rPr>
          <w:rFonts w:hint="eastAsia"/>
          <w:color w:val="000000" w:themeColor="text1"/>
          <w:sz w:val="24"/>
        </w:rPr>
        <w:t xml:space="preserve">4.1 </w:t>
      </w:r>
      <w:r>
        <w:rPr>
          <w:rFonts w:hint="eastAsia"/>
          <w:kern w:val="0"/>
          <w:sz w:val="24"/>
          <w:szCs w:val="20"/>
        </w:rPr>
        <w:t>温度偏差</w:t>
      </w:r>
    </w:p>
    <w:p>
      <w:pPr>
        <w:spacing w:line="360" w:lineRule="auto"/>
        <w:ind w:firstLineChars="200" w:firstLine="480"/>
        <w:rPr>
          <w:kern w:val="0"/>
          <w:sz w:val="24"/>
          <w:szCs w:val="20"/>
        </w:rPr>
      </w:pPr>
      <w:r>
        <w:rPr>
          <w:rFonts w:hint="eastAsia"/>
          <w:kern w:val="0"/>
          <w:sz w:val="24"/>
          <w:szCs w:val="20"/>
        </w:rPr>
        <w:t>紫外预处理试验箱温度偏差允许误差±</w:t>
      </w:r>
      <w:r>
        <w:rPr>
          <w:rFonts w:hint="eastAsia"/>
          <w:kern w:val="0"/>
          <w:sz w:val="24"/>
          <w:szCs w:val="20"/>
        </w:rPr>
        <w:t>5</w:t>
      </w:r>
      <w:r>
        <w:rPr>
          <w:rFonts w:hint="eastAsia"/>
          <w:kern w:val="0"/>
          <w:sz w:val="24"/>
          <w:szCs w:val="20"/>
        </w:rPr>
        <w:t>℃。</w:t>
      </w:r>
    </w:p>
    <w:p>
      <w:pPr>
        <w:spacing w:line="360" w:lineRule="auto"/>
        <w:rPr>
          <w:kern w:val="0"/>
          <w:sz w:val="24"/>
          <w:szCs w:val="20"/>
        </w:rPr>
      </w:pPr>
      <w:r>
        <w:rPr>
          <w:rFonts w:hint="eastAsia"/>
          <w:kern w:val="0"/>
          <w:sz w:val="24"/>
          <w:szCs w:val="20"/>
        </w:rPr>
        <w:t xml:space="preserve">4.2 </w:t>
      </w:r>
      <w:r>
        <w:rPr>
          <w:rFonts w:hint="eastAsia"/>
          <w:kern w:val="0"/>
          <w:sz w:val="24"/>
          <w:szCs w:val="20"/>
        </w:rPr>
        <w:t>温度波动度</w:t>
      </w:r>
    </w:p>
    <w:p>
      <w:pPr>
        <w:spacing w:line="360" w:lineRule="auto"/>
        <w:ind w:firstLineChars="200" w:firstLine="480"/>
        <w:rPr>
          <w:kern w:val="0"/>
          <w:sz w:val="24"/>
          <w:szCs w:val="20"/>
        </w:rPr>
      </w:pPr>
      <w:r>
        <w:rPr>
          <w:rFonts w:hint="eastAsia"/>
          <w:kern w:val="0"/>
          <w:sz w:val="24"/>
          <w:szCs w:val="20"/>
        </w:rPr>
        <w:t>紫外预处理试验箱温度波动度允许误差为±</w:t>
      </w:r>
      <w:r>
        <w:rPr>
          <w:rFonts w:hint="eastAsia"/>
          <w:kern w:val="0"/>
          <w:sz w:val="24"/>
          <w:szCs w:val="20"/>
        </w:rPr>
        <w:t>0.5</w:t>
      </w:r>
      <w:r>
        <w:rPr>
          <w:rFonts w:hint="eastAsia"/>
          <w:kern w:val="0"/>
          <w:sz w:val="24"/>
          <w:szCs w:val="20"/>
        </w:rPr>
        <w:t>℃。</w:t>
      </w:r>
    </w:p>
    <w:p>
      <w:pPr>
        <w:spacing w:line="360" w:lineRule="auto"/>
        <w:rPr>
          <w:color w:val="000000" w:themeColor="text1"/>
          <w:sz w:val="24"/>
        </w:rPr>
      </w:pPr>
      <w:r>
        <w:rPr>
          <w:rFonts w:hint="eastAsia"/>
          <w:color w:val="000000" w:themeColor="text1"/>
          <w:sz w:val="24"/>
        </w:rPr>
        <w:t xml:space="preserve">4.3 </w:t>
      </w:r>
      <w:r>
        <w:rPr>
          <w:rFonts w:hint="eastAsia"/>
          <w:color w:val="000000" w:themeColor="text1"/>
          <w:sz w:val="24"/>
        </w:rPr>
        <w:t>温度均匀度</w:t>
      </w:r>
    </w:p>
    <w:p>
      <w:pPr>
        <w:spacing w:line="360" w:lineRule="auto"/>
        <w:ind w:firstLineChars="200" w:firstLine="480"/>
        <w:rPr>
          <w:kern w:val="0"/>
          <w:sz w:val="24"/>
          <w:szCs w:val="20"/>
        </w:rPr>
      </w:pPr>
      <w:r>
        <w:rPr>
          <w:rFonts w:hint="eastAsia"/>
          <w:kern w:val="0"/>
          <w:sz w:val="24"/>
          <w:szCs w:val="20"/>
        </w:rPr>
        <w:t>紫外预处理试验箱温度均匀度为</w:t>
      </w:r>
      <w:r>
        <w:rPr>
          <w:rFonts w:hint="eastAsia"/>
          <w:kern w:val="0"/>
          <w:sz w:val="24"/>
          <w:szCs w:val="20"/>
        </w:rPr>
        <w:t>2.0</w:t>
      </w:r>
      <w:r>
        <w:rPr>
          <w:rFonts w:hint="eastAsia"/>
          <w:kern w:val="0"/>
          <w:sz w:val="24"/>
          <w:szCs w:val="20"/>
        </w:rPr>
        <w:t>℃。</w:t>
      </w:r>
    </w:p>
    <w:p>
      <w:pPr>
        <w:spacing w:line="360" w:lineRule="auto"/>
        <w:rPr>
          <w:color w:val="000000" w:themeColor="text1"/>
          <w:sz w:val="24"/>
        </w:rPr>
      </w:pPr>
      <w:r>
        <w:rPr>
          <w:rFonts w:hint="eastAsia"/>
          <w:color w:val="000000" w:themeColor="text1"/>
          <w:sz w:val="24"/>
        </w:rPr>
        <w:t xml:space="preserve">4.4 </w:t>
      </w:r>
      <w:r>
        <w:rPr>
          <w:rFonts w:hint="eastAsia"/>
          <w:color w:val="000000" w:themeColor="text1"/>
          <w:sz w:val="24"/>
        </w:rPr>
        <w:t>温度显示仪示值误差</w:t>
      </w:r>
    </w:p>
    <w:p>
      <w:pPr>
        <w:spacing w:line="360" w:lineRule="auto"/>
        <w:ind w:firstLineChars="200" w:firstLine="480"/>
        <w:jc w:val="left"/>
        <w:rPr>
          <w:kern w:val="0"/>
          <w:sz w:val="24"/>
          <w:szCs w:val="20"/>
        </w:rPr>
      </w:pPr>
      <w:r>
        <w:rPr>
          <w:rFonts w:hint="eastAsia"/>
          <w:kern w:val="0"/>
          <w:sz w:val="24"/>
          <w:szCs w:val="20"/>
        </w:rPr>
        <w:t>紫外预处理试验箱温度显示仪示值误差为±</w:t>
      </w:r>
      <w:r>
        <w:rPr>
          <w:rFonts w:hint="eastAsia"/>
          <w:kern w:val="0"/>
          <w:sz w:val="24"/>
          <w:szCs w:val="20"/>
        </w:rPr>
        <w:t>2.0</w:t>
      </w:r>
      <w:r>
        <w:rPr>
          <w:rFonts w:hint="eastAsia"/>
          <w:kern w:val="0"/>
          <w:sz w:val="24"/>
          <w:szCs w:val="20"/>
        </w:rPr>
        <w:t>℃。</w:t>
      </w:r>
    </w:p>
    <w:p>
      <w:pPr>
        <w:spacing w:line="360" w:lineRule="auto"/>
        <w:ind w:firstLineChars="200" w:firstLine="480"/>
        <w:jc w:val="left"/>
        <w:rPr>
          <w:sz w:val="24"/>
        </w:rPr>
      </w:pPr>
      <w:r>
        <w:rPr>
          <w:sz w:val="24"/>
        </w:rPr>
        <w:t>依据</w:t>
      </w:r>
      <w:r>
        <w:rPr>
          <w:rFonts w:hint="eastAsia"/>
          <w:color w:val="000000" w:themeColor="text1"/>
          <w:kern w:val="0"/>
          <w:sz w:val="24"/>
          <w:szCs w:val="20"/>
        </w:rPr>
        <w:t>GB/T 19394</w:t>
      </w:r>
      <w:r>
        <w:rPr>
          <w:rFonts w:hint="eastAsia"/>
          <w:color w:val="000000" w:themeColor="text1"/>
          <w:sz w:val="24"/>
        </w:rPr>
        <w:t>-</w:t>
      </w:r>
      <w:r>
        <w:rPr>
          <w:rFonts w:hint="eastAsia"/>
          <w:color w:val="000000" w:themeColor="text1"/>
          <w:kern w:val="0"/>
          <w:sz w:val="24"/>
          <w:szCs w:val="20"/>
        </w:rPr>
        <w:t>2003</w:t>
      </w:r>
      <w:r>
        <w:rPr>
          <w:rFonts w:hint="eastAsia"/>
          <w:sz w:val="24"/>
        </w:rPr>
        <w:t>中</w:t>
      </w:r>
      <w:r>
        <w:rPr>
          <w:rFonts w:hint="eastAsia"/>
          <w:sz w:val="24"/>
        </w:rPr>
        <w:t>4</w:t>
      </w:r>
      <w:r>
        <w:rPr>
          <w:rFonts w:hint="eastAsia"/>
          <w:sz w:val="24"/>
        </w:rPr>
        <w:t>（</w:t>
      </w:r>
      <w:r>
        <w:rPr>
          <w:rFonts w:hint="eastAsia"/>
          <w:sz w:val="24"/>
        </w:rPr>
        <w:t>c</w:t>
      </w:r>
      <w:r>
        <w:rPr>
          <w:rFonts w:hint="eastAsia"/>
          <w:sz w:val="24"/>
        </w:rPr>
        <w:t>）的相关要求。</w:t>
      </w:r>
    </w:p>
    <w:p>
      <w:pPr>
        <w:spacing w:line="360" w:lineRule="auto"/>
        <w:rPr>
          <w:color w:val="000000" w:themeColor="text1"/>
          <w:sz w:val="24"/>
        </w:rPr>
      </w:pPr>
      <w:r>
        <w:rPr>
          <w:color w:val="000000" w:themeColor="text1"/>
          <w:sz w:val="24"/>
        </w:rPr>
        <w:t>4.</w:t>
      </w:r>
      <w:r>
        <w:rPr>
          <w:rFonts w:hint="eastAsia"/>
          <w:color w:val="000000" w:themeColor="text1"/>
          <w:sz w:val="24"/>
        </w:rPr>
        <w:t>5</w:t>
      </w:r>
      <w:r>
        <w:rPr>
          <w:color w:val="000000" w:themeColor="text1"/>
          <w:sz w:val="24"/>
        </w:rPr>
        <w:t xml:space="preserve"> </w:t>
      </w:r>
      <w:r>
        <w:rPr>
          <w:rFonts w:hint="eastAsia"/>
          <w:color w:val="000000" w:themeColor="text1"/>
          <w:sz w:val="24"/>
        </w:rPr>
        <w:t>紫外辐照度修正系数</w:t>
      </w:r>
    </w:p>
    <w:p>
      <w:pPr>
        <w:spacing w:line="360" w:lineRule="auto"/>
        <w:ind w:firstLineChars="200" w:firstLine="480"/>
        <w:rPr>
          <w:color w:val="000000" w:themeColor="text1"/>
          <w:sz w:val="24"/>
        </w:rPr>
      </w:pPr>
      <w:r>
        <w:rPr>
          <w:rFonts w:hint="eastAsia"/>
          <w:color w:val="000000" w:themeColor="text1"/>
          <w:sz w:val="24"/>
        </w:rPr>
        <w:t>紫外辐照度修正系数不超过</w:t>
      </w:r>
      <w:r>
        <w:rPr>
          <w:rFonts w:hint="eastAsia"/>
          <w:color w:val="000000" w:themeColor="text1"/>
          <w:sz w:val="24"/>
        </w:rPr>
        <w:t>( 0.6~1.4 )</w:t>
      </w:r>
      <w:r>
        <w:rPr>
          <w:rFonts w:hint="eastAsia"/>
          <w:color w:val="000000" w:themeColor="text1"/>
          <w:sz w:val="24"/>
        </w:rPr>
        <w:t>。</w:t>
      </w:r>
    </w:p>
    <w:p>
      <w:pPr>
        <w:spacing w:line="360" w:lineRule="auto"/>
        <w:rPr>
          <w:color w:val="000000" w:themeColor="text1"/>
          <w:sz w:val="24"/>
        </w:rPr>
      </w:pPr>
      <w:r>
        <w:rPr>
          <w:color w:val="000000" w:themeColor="text1"/>
          <w:sz w:val="24"/>
        </w:rPr>
        <w:t>4.</w:t>
      </w:r>
      <w:r>
        <w:rPr>
          <w:rFonts w:hint="eastAsia"/>
          <w:color w:val="000000" w:themeColor="text1"/>
          <w:sz w:val="24"/>
        </w:rPr>
        <w:t xml:space="preserve">6 </w:t>
      </w:r>
      <w:r>
        <w:rPr>
          <w:rFonts w:hint="eastAsia"/>
          <w:color w:val="000000" w:themeColor="text1"/>
          <w:sz w:val="24"/>
        </w:rPr>
        <w:t>紫外光谱积分辐照度</w:t>
      </w:r>
    </w:p>
    <w:p>
      <w:pPr>
        <w:spacing w:line="360" w:lineRule="auto"/>
        <w:ind w:firstLineChars="200" w:firstLine="480"/>
        <w:rPr>
          <w:color w:val="000000" w:themeColor="text1"/>
          <w:sz w:val="24"/>
        </w:rPr>
      </w:pPr>
      <w:r>
        <w:rPr>
          <w:rFonts w:hint="eastAsia"/>
          <w:color w:val="000000" w:themeColor="text1"/>
          <w:sz w:val="24"/>
        </w:rPr>
        <w:t xml:space="preserve">UVC </w:t>
      </w:r>
      <w:r>
        <w:rPr>
          <w:rFonts w:hint="eastAsia"/>
          <w:color w:val="000000" w:themeColor="text1"/>
          <w:sz w:val="24"/>
        </w:rPr>
        <w:t>波段</w:t>
      </w:r>
      <w:r>
        <w:rPr>
          <w:rFonts w:hint="eastAsia"/>
          <w:color w:val="000000" w:themeColor="text1"/>
          <w:sz w:val="24"/>
        </w:rPr>
        <w:t xml:space="preserve">: ( 250~280 ) nm </w:t>
      </w:r>
      <w:r>
        <w:rPr>
          <w:rFonts w:hint="eastAsia"/>
          <w:color w:val="000000" w:themeColor="text1"/>
          <w:sz w:val="24"/>
        </w:rPr>
        <w:t>、</w:t>
      </w:r>
      <w:r>
        <w:rPr>
          <w:rFonts w:hint="eastAsia"/>
          <w:color w:val="000000" w:themeColor="text1"/>
          <w:sz w:val="24"/>
        </w:rPr>
        <w:t xml:space="preserve"> UVB </w:t>
      </w:r>
      <w:r>
        <w:rPr>
          <w:rFonts w:hint="eastAsia"/>
          <w:color w:val="000000" w:themeColor="text1"/>
          <w:sz w:val="24"/>
        </w:rPr>
        <w:t>波段</w:t>
      </w:r>
      <w:r>
        <w:rPr>
          <w:rFonts w:hint="eastAsia"/>
          <w:color w:val="000000" w:themeColor="text1"/>
          <w:sz w:val="24"/>
        </w:rPr>
        <w:t xml:space="preserve">: ( 280~320 ) nm </w:t>
      </w:r>
      <w:r>
        <w:rPr>
          <w:rFonts w:hint="eastAsia"/>
          <w:color w:val="000000" w:themeColor="text1"/>
          <w:sz w:val="24"/>
        </w:rPr>
        <w:t>和</w:t>
      </w:r>
      <w:r>
        <w:rPr>
          <w:rFonts w:hint="eastAsia"/>
          <w:color w:val="000000" w:themeColor="text1"/>
          <w:sz w:val="24"/>
        </w:rPr>
        <w:t xml:space="preserve"> UVA </w:t>
      </w:r>
      <w:r>
        <w:rPr>
          <w:rFonts w:hint="eastAsia"/>
          <w:color w:val="000000" w:themeColor="text1"/>
          <w:sz w:val="24"/>
        </w:rPr>
        <w:t>波段</w:t>
      </w:r>
      <w:r>
        <w:rPr>
          <w:rFonts w:hint="eastAsia"/>
          <w:color w:val="000000" w:themeColor="text1"/>
          <w:sz w:val="24"/>
        </w:rPr>
        <w:t>:</w:t>
      </w:r>
      <w:r>
        <w:rPr>
          <w:color w:val="000000" w:themeColor="text1"/>
          <w:sz w:val="24"/>
        </w:rPr>
        <w:t>( 320~</w:t>
      </w:r>
      <w:r>
        <w:rPr>
          <w:rFonts w:hint="eastAsia"/>
          <w:color w:val="000000" w:themeColor="text1"/>
          <w:sz w:val="24"/>
        </w:rPr>
        <w:t xml:space="preserve">400 ) nm </w:t>
      </w:r>
      <w:r>
        <w:rPr>
          <w:rFonts w:hint="eastAsia"/>
          <w:color w:val="000000" w:themeColor="text1"/>
          <w:sz w:val="24"/>
        </w:rPr>
        <w:t>的积分辐照度。</w:t>
      </w:r>
    </w:p>
    <w:p>
      <w:pPr>
        <w:spacing w:line="360" w:lineRule="auto"/>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 xml:space="preserve">7 </w:t>
      </w:r>
      <w:r>
        <w:rPr>
          <w:rFonts w:hint="eastAsia"/>
          <w:color w:val="000000" w:themeColor="text1"/>
          <w:sz w:val="24"/>
        </w:rPr>
        <w:t>紫外辐照度</w:t>
      </w:r>
      <w:proofErr w:type="gramStart"/>
      <w:r>
        <w:rPr>
          <w:rFonts w:hint="eastAsia"/>
          <w:color w:val="000000" w:themeColor="text1"/>
          <w:sz w:val="24"/>
        </w:rPr>
        <w:t>不</w:t>
      </w:r>
      <w:proofErr w:type="gramEnd"/>
      <w:r>
        <w:rPr>
          <w:rFonts w:hint="eastAsia"/>
          <w:color w:val="000000" w:themeColor="text1"/>
          <w:sz w:val="24"/>
        </w:rPr>
        <w:t>均匀度</w:t>
      </w:r>
    </w:p>
    <w:p>
      <w:pPr>
        <w:spacing w:line="360" w:lineRule="auto"/>
        <w:ind w:firstLineChars="200" w:firstLine="480"/>
        <w:rPr>
          <w:color w:val="000000" w:themeColor="text1"/>
          <w:sz w:val="24"/>
        </w:rPr>
      </w:pPr>
      <w:r>
        <w:rPr>
          <w:rFonts w:hint="eastAsia"/>
          <w:color w:val="000000" w:themeColor="text1"/>
          <w:sz w:val="24"/>
        </w:rPr>
        <w:t>紫外</w:t>
      </w:r>
      <w:r>
        <w:rPr>
          <w:rFonts w:hint="eastAsia"/>
          <w:kern w:val="0"/>
          <w:sz w:val="24"/>
          <w:szCs w:val="20"/>
        </w:rPr>
        <w:t>预处理试验箱</w:t>
      </w:r>
      <w:r>
        <w:rPr>
          <w:rFonts w:hint="eastAsia"/>
          <w:color w:val="000000" w:themeColor="text1"/>
          <w:sz w:val="24"/>
        </w:rPr>
        <w:t>内指定测量平面上的紫外辐照度</w:t>
      </w:r>
      <w:proofErr w:type="gramStart"/>
      <w:r>
        <w:rPr>
          <w:rFonts w:hint="eastAsia"/>
          <w:color w:val="000000" w:themeColor="text1"/>
          <w:sz w:val="24"/>
        </w:rPr>
        <w:t>不</w:t>
      </w:r>
      <w:proofErr w:type="gramEnd"/>
      <w:r>
        <w:rPr>
          <w:rFonts w:hint="eastAsia"/>
          <w:color w:val="000000" w:themeColor="text1"/>
          <w:sz w:val="24"/>
        </w:rPr>
        <w:t>均匀度不超过</w:t>
      </w:r>
      <w:r>
        <w:rPr>
          <w:rFonts w:hint="eastAsia"/>
          <w:color w:val="000000" w:themeColor="text1"/>
          <w:sz w:val="24"/>
        </w:rPr>
        <w:t xml:space="preserve"> 15% </w:t>
      </w:r>
      <w:r>
        <w:rPr>
          <w:rFonts w:hint="eastAsia"/>
          <w:color w:val="000000" w:themeColor="text1"/>
          <w:sz w:val="24"/>
        </w:rPr>
        <w:t>。</w:t>
      </w:r>
    </w:p>
    <w:p>
      <w:pPr>
        <w:spacing w:line="360" w:lineRule="auto"/>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 xml:space="preserve">8 </w:t>
      </w:r>
      <w:r>
        <w:rPr>
          <w:rFonts w:hint="eastAsia"/>
          <w:color w:val="000000" w:themeColor="text1"/>
          <w:sz w:val="24"/>
        </w:rPr>
        <w:t>紫外辐照度不稳定度</w:t>
      </w:r>
    </w:p>
    <w:p>
      <w:pPr>
        <w:spacing w:line="360" w:lineRule="auto"/>
        <w:ind w:firstLineChars="200" w:firstLine="480"/>
        <w:rPr>
          <w:color w:val="000000" w:themeColor="text1"/>
          <w:sz w:val="24"/>
        </w:rPr>
      </w:pPr>
      <w:r>
        <w:rPr>
          <w:rFonts w:hint="eastAsia"/>
          <w:color w:val="000000" w:themeColor="text1"/>
          <w:sz w:val="24"/>
        </w:rPr>
        <w:t>紫外</w:t>
      </w:r>
      <w:r>
        <w:rPr>
          <w:rFonts w:hint="eastAsia"/>
          <w:kern w:val="0"/>
          <w:sz w:val="24"/>
          <w:szCs w:val="20"/>
        </w:rPr>
        <w:t>预处理试验箱</w:t>
      </w:r>
      <w:r>
        <w:rPr>
          <w:rFonts w:hint="eastAsia"/>
          <w:color w:val="000000" w:themeColor="text1"/>
          <w:sz w:val="24"/>
        </w:rPr>
        <w:t>内的紫外辐照度不稳定度不超过</w:t>
      </w:r>
      <w:r>
        <w:rPr>
          <w:rFonts w:hint="eastAsia"/>
          <w:color w:val="000000" w:themeColor="text1"/>
          <w:sz w:val="24"/>
        </w:rPr>
        <w:t xml:space="preserve"> 5% </w:t>
      </w:r>
      <w:r>
        <w:rPr>
          <w:rFonts w:hint="eastAsia"/>
          <w:color w:val="000000" w:themeColor="text1"/>
          <w:sz w:val="24"/>
        </w:rPr>
        <w:t>。</w:t>
      </w:r>
    </w:p>
    <w:p>
      <w:pPr>
        <w:pStyle w:val="afff2"/>
        <w:rPr>
          <w:rFonts w:ascii="Times New Roman" w:eastAsia="宋体" w:hAnsi="Times New Roman"/>
          <w:kern w:val="2"/>
          <w:szCs w:val="24"/>
        </w:rPr>
      </w:pPr>
      <w:r>
        <w:t>5</w:t>
      </w:r>
      <w:r>
        <w:rPr>
          <w:rFonts w:hint="eastAsia"/>
        </w:rPr>
        <w:t xml:space="preserve"> 校准条件</w:t>
      </w:r>
      <w:bookmarkStart w:id="48" w:name="_Toc193860033"/>
      <w:bookmarkStart w:id="49" w:name="_Toc500258942"/>
      <w:bookmarkStart w:id="50" w:name="_Toc193860214"/>
      <w:bookmarkStart w:id="51" w:name="_Toc193860183"/>
      <w:bookmarkEnd w:id="47"/>
    </w:p>
    <w:p>
      <w:pPr>
        <w:spacing w:line="360" w:lineRule="auto"/>
      </w:pPr>
      <w:bookmarkStart w:id="52" w:name="_Toc193860035"/>
      <w:bookmarkStart w:id="53" w:name="_Toc193860185"/>
      <w:bookmarkStart w:id="54" w:name="_Toc193619100"/>
      <w:bookmarkStart w:id="55" w:name="_Toc193860216"/>
      <w:bookmarkStart w:id="56" w:name="_Toc193619058"/>
      <w:bookmarkStart w:id="57" w:name="_Toc500258944"/>
      <w:bookmarkStart w:id="58" w:name="_Toc2741_WPSOffice_Level1"/>
      <w:bookmarkStart w:id="59" w:name="_Toc193618955"/>
      <w:bookmarkEnd w:id="48"/>
      <w:bookmarkEnd w:id="49"/>
      <w:bookmarkEnd w:id="50"/>
      <w:bookmarkEnd w:id="51"/>
      <w:r>
        <w:rPr>
          <w:rFonts w:hint="eastAsia"/>
        </w:rPr>
        <w:t>5.2</w:t>
      </w:r>
      <w:r>
        <w:t>环境条件</w:t>
      </w:r>
    </w:p>
    <w:p>
      <w:pPr>
        <w:spacing w:line="360" w:lineRule="auto"/>
        <w:ind w:firstLineChars="200" w:firstLine="420"/>
        <w:rPr>
          <w:bCs/>
        </w:rPr>
      </w:pPr>
      <w:r>
        <w:rPr>
          <w:rFonts w:eastAsiaTheme="minorEastAsia" w:hint="eastAsia"/>
          <w:bCs/>
          <w:szCs w:val="21"/>
        </w:rPr>
        <w:t>校准前，实验室环境条件根据测量标准的说明书，可确定其温度、湿度、气压应满足要求，测量标准和被校仪器同时置于环境条件，温度根据要求确定为</w:t>
      </w:r>
      <w:r>
        <w:rPr>
          <w:rFonts w:hint="eastAsia"/>
          <w:bCs/>
          <w:szCs w:val="21"/>
        </w:rPr>
        <w:t>15</w:t>
      </w:r>
      <w:r>
        <w:rPr>
          <w:rFonts w:hAnsi="宋体" w:cs="宋体" w:hint="eastAsia"/>
          <w:bCs/>
          <w:szCs w:val="21"/>
        </w:rPr>
        <w:t>℃</w:t>
      </w:r>
      <w:r>
        <w:rPr>
          <w:rFonts w:hAnsi="宋体" w:hint="eastAsia"/>
          <w:bCs/>
          <w:szCs w:val="21"/>
        </w:rPr>
        <w:t>～</w:t>
      </w:r>
      <w:r>
        <w:rPr>
          <w:rFonts w:hint="eastAsia"/>
          <w:bCs/>
          <w:szCs w:val="21"/>
        </w:rPr>
        <w:t>35</w:t>
      </w:r>
      <w:r>
        <w:rPr>
          <w:rFonts w:hAnsi="宋体" w:cs="宋体" w:hint="eastAsia"/>
          <w:bCs/>
          <w:szCs w:val="21"/>
        </w:rPr>
        <w:t>℃，</w:t>
      </w:r>
      <w:r>
        <w:rPr>
          <w:rFonts w:eastAsiaTheme="minorEastAsia"/>
          <w:bCs/>
          <w:szCs w:val="21"/>
        </w:rPr>
        <w:t>相对湿度：</w:t>
      </w:r>
      <w:r>
        <w:rPr>
          <w:rFonts w:eastAsiaTheme="minorEastAsia" w:hint="eastAsia"/>
          <w:bCs/>
          <w:szCs w:val="21"/>
        </w:rPr>
        <w:t>30%</w:t>
      </w:r>
      <w:r>
        <w:rPr>
          <w:rFonts w:eastAsiaTheme="minorEastAsia"/>
          <w:bCs/>
          <w:szCs w:val="21"/>
        </w:rPr>
        <w:t>～</w:t>
      </w:r>
      <w:r>
        <w:rPr>
          <w:rFonts w:eastAsiaTheme="minorEastAsia"/>
          <w:bCs/>
          <w:szCs w:val="21"/>
        </w:rPr>
        <w:t>8</w:t>
      </w:r>
      <w:r>
        <w:rPr>
          <w:rFonts w:eastAsiaTheme="minorEastAsia" w:hint="eastAsia"/>
          <w:bCs/>
          <w:szCs w:val="21"/>
        </w:rPr>
        <w:t>5</w:t>
      </w:r>
      <w:r>
        <w:rPr>
          <w:rFonts w:eastAsiaTheme="minorEastAsia"/>
          <w:bCs/>
          <w:szCs w:val="21"/>
        </w:rPr>
        <w:t>%</w:t>
      </w:r>
      <w:r>
        <w:rPr>
          <w:rFonts w:eastAsiaTheme="minorEastAsia" w:hint="eastAsia"/>
          <w:bCs/>
          <w:szCs w:val="21"/>
        </w:rPr>
        <w:t>。</w:t>
      </w:r>
    </w:p>
    <w:p>
      <w:pPr>
        <w:spacing w:line="360" w:lineRule="auto"/>
      </w:pPr>
      <w:r>
        <w:rPr>
          <w:rFonts w:hint="eastAsia"/>
        </w:rPr>
        <w:t>5.2</w:t>
      </w:r>
      <w:r>
        <w:t>测量标准及其他测量设备</w:t>
      </w:r>
      <w:bookmarkStart w:id="60" w:name="_Hlk508488538"/>
    </w:p>
    <w:p>
      <w:pPr>
        <w:spacing w:line="360" w:lineRule="auto"/>
        <w:ind w:firstLineChars="200" w:firstLine="420"/>
        <w:outlineLvl w:val="1"/>
        <w:rPr>
          <w:kern w:val="0"/>
        </w:rPr>
      </w:pPr>
      <w:r>
        <w:rPr>
          <w:bCs/>
          <w:color w:val="000000" w:themeColor="text1"/>
        </w:rPr>
        <w:t>测量标准的技术要求应符合正文中表</w:t>
      </w:r>
      <w:r>
        <w:rPr>
          <w:rFonts w:hint="eastAsia"/>
          <w:bCs/>
          <w:color w:val="000000" w:themeColor="text1"/>
        </w:rPr>
        <w:t>1</w:t>
      </w:r>
      <w:r>
        <w:rPr>
          <w:bCs/>
          <w:color w:val="000000" w:themeColor="text1"/>
        </w:rPr>
        <w:t>的规定</w:t>
      </w:r>
      <w:r>
        <w:rPr>
          <w:kern w:val="0"/>
        </w:rPr>
        <w:t>。</w:t>
      </w:r>
    </w:p>
    <w:p>
      <w:pPr>
        <w:spacing w:line="360" w:lineRule="auto"/>
        <w:ind w:firstLineChars="200" w:firstLine="420"/>
        <w:outlineLvl w:val="1"/>
        <w:rPr>
          <w:bCs/>
          <w:color w:val="000000" w:themeColor="text1"/>
        </w:rPr>
      </w:pPr>
      <w:r>
        <w:rPr>
          <w:szCs w:val="21"/>
        </w:rPr>
        <w:t>测量标准及其他设备包括</w:t>
      </w:r>
      <w:r>
        <w:t>多通道数</w:t>
      </w:r>
      <w:r>
        <w:rPr>
          <w:bCs/>
          <w:color w:val="000000" w:themeColor="text1"/>
        </w:rPr>
        <w:t>据采集器、热电阻、</w:t>
      </w:r>
      <w:r>
        <w:rPr>
          <w:rFonts w:hint="eastAsia"/>
          <w:bCs/>
          <w:color w:val="000000" w:themeColor="text1"/>
        </w:rPr>
        <w:t>紫外辐照度计和光谱仪</w:t>
      </w:r>
      <w:r>
        <w:rPr>
          <w:bCs/>
          <w:color w:val="000000" w:themeColor="text1"/>
        </w:rPr>
        <w:t>，并给出相应的技术指标。通道数据采集器、热电阻技术指标参考了</w:t>
      </w:r>
      <w:r>
        <w:rPr>
          <w:rFonts w:hint="eastAsia"/>
          <w:bCs/>
          <w:color w:val="000000" w:themeColor="text1"/>
        </w:rPr>
        <w:t>JJF 1101-2019</w:t>
      </w:r>
      <w:r>
        <w:rPr>
          <w:rFonts w:hint="eastAsia"/>
          <w:bCs/>
          <w:color w:val="000000" w:themeColor="text1"/>
        </w:rPr>
        <w:t>《环境试验设备温度、湿度参数校准规</w:t>
      </w:r>
      <w:r>
        <w:rPr>
          <w:rFonts w:hint="eastAsia"/>
          <w:bCs/>
          <w:color w:val="000000" w:themeColor="text1"/>
        </w:rPr>
        <w:lastRenderedPageBreak/>
        <w:t>范》中</w:t>
      </w:r>
      <w:r>
        <w:rPr>
          <w:bCs/>
          <w:color w:val="000000" w:themeColor="text1"/>
        </w:rPr>
        <w:t>6.</w:t>
      </w:r>
      <w:r>
        <w:rPr>
          <w:rFonts w:hint="eastAsia"/>
          <w:bCs/>
          <w:color w:val="000000" w:themeColor="text1"/>
        </w:rPr>
        <w:t>3</w:t>
      </w:r>
      <w:r>
        <w:rPr>
          <w:bCs/>
          <w:color w:val="000000" w:themeColor="text1"/>
        </w:rPr>
        <w:t>的相关要求；</w:t>
      </w:r>
      <w:r>
        <w:rPr>
          <w:szCs w:val="21"/>
        </w:rPr>
        <w:t>温度校准</w:t>
      </w:r>
      <w:proofErr w:type="gramStart"/>
      <w:r>
        <w:rPr>
          <w:szCs w:val="21"/>
        </w:rPr>
        <w:t>仪</w:t>
      </w:r>
      <w:r>
        <w:rPr>
          <w:szCs w:val="21"/>
        </w:rPr>
        <w:t>技术</w:t>
      </w:r>
      <w:proofErr w:type="gramEnd"/>
      <w:r>
        <w:rPr>
          <w:szCs w:val="21"/>
        </w:rPr>
        <w:t>指标参考了</w:t>
      </w:r>
      <w:r>
        <w:rPr>
          <w:rFonts w:hint="eastAsia"/>
          <w:color w:val="000000" w:themeColor="text1"/>
          <w:sz w:val="24"/>
        </w:rPr>
        <w:t>JJF 1664-2017</w:t>
      </w:r>
      <w:r>
        <w:rPr>
          <w:rFonts w:hint="eastAsia"/>
          <w:color w:val="000000" w:themeColor="text1"/>
          <w:sz w:val="24"/>
        </w:rPr>
        <w:t>《温度显示仪校准规范》</w:t>
      </w:r>
      <w:r>
        <w:rPr>
          <w:rFonts w:hint="eastAsia"/>
          <w:color w:val="000000" w:themeColor="text1"/>
          <w:sz w:val="24"/>
        </w:rPr>
        <w:t>中</w:t>
      </w:r>
      <w:r>
        <w:rPr>
          <w:rFonts w:hint="eastAsia"/>
          <w:color w:val="000000" w:themeColor="text1"/>
          <w:sz w:val="24"/>
        </w:rPr>
        <w:t>5.1</w:t>
      </w:r>
      <w:r>
        <w:rPr>
          <w:rFonts w:hint="eastAsia"/>
          <w:color w:val="000000" w:themeColor="text1"/>
          <w:sz w:val="24"/>
        </w:rPr>
        <w:t>的相关要求；</w:t>
      </w:r>
      <w:r>
        <w:rPr>
          <w:rFonts w:hint="eastAsia"/>
          <w:bCs/>
          <w:color w:val="000000" w:themeColor="text1"/>
        </w:rPr>
        <w:t>紫外辐照度计和光谱仪</w:t>
      </w:r>
      <w:r>
        <w:rPr>
          <w:bCs/>
          <w:color w:val="000000" w:themeColor="text1"/>
        </w:rPr>
        <w:t>技术指标参考了</w:t>
      </w:r>
      <w:r>
        <w:rPr>
          <w:rFonts w:hint="eastAsia"/>
          <w:kern w:val="0"/>
          <w:szCs w:val="20"/>
        </w:rPr>
        <w:t>JJF 2062-2023</w:t>
      </w:r>
      <w:r>
        <w:rPr>
          <w:rFonts w:hint="eastAsia"/>
          <w:kern w:val="0"/>
          <w:szCs w:val="20"/>
        </w:rPr>
        <w:t>《光伏组件用紫外预处理试验箱校准规范》</w:t>
      </w:r>
      <w:r>
        <w:rPr>
          <w:bCs/>
          <w:color w:val="000000" w:themeColor="text1"/>
        </w:rPr>
        <w:t>中</w:t>
      </w:r>
      <w:r>
        <w:rPr>
          <w:rFonts w:hint="eastAsia"/>
          <w:bCs/>
          <w:color w:val="000000" w:themeColor="text1"/>
        </w:rPr>
        <w:t>6.</w:t>
      </w:r>
      <w:r>
        <w:rPr>
          <w:bCs/>
          <w:color w:val="000000" w:themeColor="text1"/>
        </w:rPr>
        <w:t>2</w:t>
      </w:r>
      <w:r>
        <w:rPr>
          <w:bCs/>
          <w:color w:val="000000" w:themeColor="text1"/>
        </w:rPr>
        <w:t>的相应要求。</w:t>
      </w:r>
    </w:p>
    <w:bookmarkEnd w:id="60"/>
    <w:p>
      <w:pPr>
        <w:pStyle w:val="afff2"/>
      </w:pPr>
      <w:r>
        <w:t>6</w:t>
      </w:r>
      <w:r>
        <w:rPr>
          <w:rFonts w:hint="eastAsia"/>
        </w:rPr>
        <w:t xml:space="preserve"> 校准项目和校准方法</w:t>
      </w:r>
      <w:bookmarkStart w:id="61" w:name="_Toc500258945"/>
      <w:bookmarkStart w:id="62" w:name="_Toc22718_WPSOffice_Level2"/>
      <w:bookmarkStart w:id="63" w:name="_Toc193860219"/>
      <w:bookmarkStart w:id="64" w:name="_Toc193619101"/>
      <w:bookmarkStart w:id="65" w:name="_Toc193618956"/>
      <w:bookmarkStart w:id="66" w:name="_Toc193860038"/>
      <w:bookmarkStart w:id="67" w:name="_Toc193860188"/>
      <w:bookmarkStart w:id="68" w:name="_Toc193619059"/>
      <w:bookmarkStart w:id="69" w:name="_Toc500258947"/>
      <w:bookmarkStart w:id="70" w:name="_Toc25466_WPSOffice_Level1"/>
      <w:bookmarkEnd w:id="52"/>
      <w:bookmarkEnd w:id="53"/>
      <w:bookmarkEnd w:id="54"/>
      <w:bookmarkEnd w:id="55"/>
      <w:bookmarkEnd w:id="56"/>
      <w:bookmarkEnd w:id="57"/>
      <w:bookmarkEnd w:id="58"/>
      <w:bookmarkEnd w:id="59"/>
    </w:p>
    <w:p>
      <w:pPr>
        <w:pStyle w:val="afff2"/>
        <w:ind w:firstLineChars="200" w:firstLine="420"/>
        <w:rPr>
          <w:rFonts w:ascii="宋体" w:eastAsia="宋体" w:hAnsi="宋体"/>
          <w:szCs w:val="20"/>
        </w:rPr>
      </w:pPr>
      <w:r>
        <w:rPr>
          <w:rFonts w:ascii="宋体" w:eastAsia="宋体" w:hAnsi="宋体"/>
          <w:szCs w:val="20"/>
        </w:rPr>
        <w:t>校准项目</w:t>
      </w:r>
      <w:bookmarkEnd w:id="61"/>
      <w:bookmarkEnd w:id="62"/>
      <w:r>
        <w:rPr>
          <w:rFonts w:ascii="宋体" w:eastAsia="宋体" w:hAnsi="宋体" w:hint="eastAsia"/>
          <w:szCs w:val="20"/>
        </w:rPr>
        <w:t>包含温度</w:t>
      </w:r>
      <w:r>
        <w:rPr>
          <w:rFonts w:ascii="宋体" w:eastAsia="宋体" w:hAnsi="宋体"/>
          <w:szCs w:val="20"/>
        </w:rPr>
        <w:t>偏差</w:t>
      </w:r>
      <w:r>
        <w:rPr>
          <w:rFonts w:ascii="宋体" w:eastAsia="宋体" w:hAnsi="宋体" w:hint="eastAsia"/>
          <w:szCs w:val="20"/>
        </w:rPr>
        <w:t>、温度波动度、温度均匀度、温度显示仪示值误差、紫外辐照度修正系数、紫外光谱积分辐照度、紫外辐照度</w:t>
      </w:r>
      <w:proofErr w:type="gramStart"/>
      <w:r>
        <w:rPr>
          <w:rFonts w:ascii="宋体" w:eastAsia="宋体" w:hAnsi="宋体" w:hint="eastAsia"/>
          <w:szCs w:val="20"/>
        </w:rPr>
        <w:t>不</w:t>
      </w:r>
      <w:proofErr w:type="gramEnd"/>
      <w:r>
        <w:rPr>
          <w:rFonts w:ascii="宋体" w:eastAsia="宋体" w:hAnsi="宋体" w:hint="eastAsia"/>
          <w:szCs w:val="20"/>
        </w:rPr>
        <w:t>均匀度、紫外辐照度不稳定度的校准方法。</w:t>
      </w:r>
    </w:p>
    <w:p>
      <w:pPr>
        <w:spacing w:line="360" w:lineRule="auto"/>
        <w:ind w:firstLineChars="200" w:firstLine="420"/>
      </w:pPr>
      <w:r>
        <w:rPr>
          <w:rFonts w:ascii="宋体" w:hAnsi="宋体" w:hint="eastAsia"/>
          <w:kern w:val="0"/>
          <w:szCs w:val="20"/>
        </w:rPr>
        <w:t>温度</w:t>
      </w:r>
      <w:r>
        <w:rPr>
          <w:rFonts w:ascii="宋体" w:hAnsi="宋体" w:hint="eastAsia"/>
          <w:szCs w:val="20"/>
        </w:rPr>
        <w:t>的校准方法</w:t>
      </w:r>
      <w:r>
        <w:rPr>
          <w:rFonts w:eastAsiaTheme="minorEastAsia" w:hint="eastAsia"/>
          <w:kern w:val="0"/>
          <w:szCs w:val="21"/>
        </w:rPr>
        <w:t>是参考了</w:t>
      </w:r>
      <w:r>
        <w:rPr>
          <w:rFonts w:hint="eastAsia"/>
          <w:bCs/>
          <w:color w:val="000000" w:themeColor="text1"/>
        </w:rPr>
        <w:t>JF 1101-2019</w:t>
      </w:r>
      <w:r>
        <w:rPr>
          <w:rFonts w:hint="eastAsia"/>
          <w:bCs/>
          <w:color w:val="000000" w:themeColor="text1"/>
        </w:rPr>
        <w:t>《环境试验设备温度、湿度参数校准规范》</w:t>
      </w:r>
      <w:r>
        <w:t>中</w:t>
      </w:r>
      <w:r>
        <w:rPr>
          <w:rFonts w:hint="eastAsia"/>
        </w:rPr>
        <w:t>7.2.4</w:t>
      </w:r>
      <w:r>
        <w:rPr>
          <w:rFonts w:hint="eastAsia"/>
        </w:rPr>
        <w:t>对</w:t>
      </w:r>
      <w:r>
        <w:rPr>
          <w:rFonts w:ascii="宋体" w:hAnsi="宋体" w:hint="eastAsia"/>
          <w:kern w:val="0"/>
          <w:szCs w:val="20"/>
        </w:rPr>
        <w:t>温度</w:t>
      </w:r>
      <w:r>
        <w:rPr>
          <w:rFonts w:ascii="宋体" w:hAnsi="宋体"/>
          <w:kern w:val="0"/>
          <w:szCs w:val="20"/>
        </w:rPr>
        <w:t>偏差</w:t>
      </w:r>
      <w:r>
        <w:rPr>
          <w:rFonts w:hint="eastAsia"/>
        </w:rPr>
        <w:t>校准方法的要求；温度显示仪示值误差校准方法是参考了</w:t>
      </w:r>
      <w:r>
        <w:rPr>
          <w:rFonts w:hint="eastAsia"/>
          <w:color w:val="000000" w:themeColor="text1"/>
          <w:sz w:val="24"/>
        </w:rPr>
        <w:t>JJF 1664-2017</w:t>
      </w:r>
      <w:r>
        <w:rPr>
          <w:rFonts w:hint="eastAsia"/>
          <w:color w:val="000000" w:themeColor="text1"/>
          <w:sz w:val="24"/>
        </w:rPr>
        <w:t>《温度显示仪校准规范》</w:t>
      </w:r>
      <w:r>
        <w:rPr>
          <w:rFonts w:hint="eastAsia"/>
          <w:color w:val="000000" w:themeColor="text1"/>
          <w:sz w:val="24"/>
        </w:rPr>
        <w:t>中</w:t>
      </w:r>
      <w:r>
        <w:rPr>
          <w:rFonts w:hint="eastAsia"/>
          <w:color w:val="000000" w:themeColor="text1"/>
          <w:sz w:val="24"/>
        </w:rPr>
        <w:t>6.2.2</w:t>
      </w:r>
      <w:r>
        <w:rPr>
          <w:rFonts w:hint="eastAsia"/>
          <w:color w:val="000000" w:themeColor="text1"/>
          <w:sz w:val="24"/>
        </w:rPr>
        <w:t>对</w:t>
      </w:r>
      <w:r>
        <w:rPr>
          <w:rFonts w:hint="eastAsia"/>
        </w:rPr>
        <w:t>示值误差</w:t>
      </w:r>
      <w:r>
        <w:rPr>
          <w:rFonts w:hint="eastAsia"/>
        </w:rPr>
        <w:t>校准方法的</w:t>
      </w:r>
      <w:r>
        <w:rPr>
          <w:rFonts w:hint="eastAsia"/>
        </w:rPr>
        <w:t>要求</w:t>
      </w:r>
      <w:r>
        <w:rPr>
          <w:rFonts w:hint="eastAsia"/>
        </w:rPr>
        <w:t>；</w:t>
      </w:r>
      <w:r>
        <w:rPr>
          <w:rFonts w:ascii="宋体" w:hAnsi="宋体" w:hint="eastAsia"/>
          <w:szCs w:val="20"/>
        </w:rPr>
        <w:t>紫外辐照度修正系数、紫外光谱积分辐照度、紫外辐照度</w:t>
      </w:r>
      <w:proofErr w:type="gramStart"/>
      <w:r>
        <w:rPr>
          <w:rFonts w:ascii="宋体" w:hAnsi="宋体" w:hint="eastAsia"/>
          <w:szCs w:val="20"/>
        </w:rPr>
        <w:t>不</w:t>
      </w:r>
      <w:proofErr w:type="gramEnd"/>
      <w:r>
        <w:rPr>
          <w:rFonts w:ascii="宋体" w:hAnsi="宋体" w:hint="eastAsia"/>
          <w:szCs w:val="20"/>
        </w:rPr>
        <w:t>均匀度、紫外辐照度不稳定度的校准方法参考了</w:t>
      </w:r>
      <w:r>
        <w:rPr>
          <w:rFonts w:hint="eastAsia"/>
          <w:kern w:val="0"/>
          <w:szCs w:val="20"/>
        </w:rPr>
        <w:t>JJF 2062-2023</w:t>
      </w:r>
      <w:r>
        <w:rPr>
          <w:rFonts w:hint="eastAsia"/>
          <w:kern w:val="0"/>
          <w:szCs w:val="20"/>
        </w:rPr>
        <w:t>《光伏组件用紫外预处理试验箱校准规范》</w:t>
      </w:r>
      <w:r>
        <w:rPr>
          <w:bCs/>
          <w:color w:val="000000" w:themeColor="text1"/>
        </w:rPr>
        <w:t>中</w:t>
      </w:r>
      <w:r>
        <w:rPr>
          <w:rFonts w:hint="eastAsia"/>
          <w:bCs/>
          <w:color w:val="000000" w:themeColor="text1"/>
        </w:rPr>
        <w:t>7.3</w:t>
      </w:r>
      <w:r>
        <w:rPr>
          <w:rFonts w:hint="eastAsia"/>
          <w:bCs/>
          <w:color w:val="000000" w:themeColor="text1"/>
        </w:rPr>
        <w:t>、</w:t>
      </w:r>
      <w:r>
        <w:rPr>
          <w:rFonts w:hint="eastAsia"/>
          <w:bCs/>
          <w:color w:val="000000" w:themeColor="text1"/>
        </w:rPr>
        <w:t>7.4</w:t>
      </w:r>
      <w:r>
        <w:rPr>
          <w:rFonts w:hint="eastAsia"/>
          <w:bCs/>
          <w:color w:val="000000" w:themeColor="text1"/>
        </w:rPr>
        <w:t>、</w:t>
      </w:r>
      <w:r>
        <w:rPr>
          <w:rFonts w:hint="eastAsia"/>
          <w:bCs/>
          <w:color w:val="000000" w:themeColor="text1"/>
        </w:rPr>
        <w:t>7.5</w:t>
      </w:r>
      <w:r>
        <w:rPr>
          <w:rFonts w:hint="eastAsia"/>
          <w:bCs/>
          <w:color w:val="000000" w:themeColor="text1"/>
        </w:rPr>
        <w:t>、</w:t>
      </w:r>
      <w:r>
        <w:rPr>
          <w:rFonts w:hint="eastAsia"/>
          <w:bCs/>
          <w:color w:val="000000" w:themeColor="text1"/>
        </w:rPr>
        <w:t>7.6</w:t>
      </w:r>
      <w:r>
        <w:rPr>
          <w:rFonts w:hint="eastAsia"/>
          <w:bCs/>
          <w:color w:val="000000" w:themeColor="text1"/>
        </w:rPr>
        <w:t>中</w:t>
      </w:r>
      <w:r>
        <w:rPr>
          <w:bCs/>
          <w:color w:val="000000" w:themeColor="text1"/>
        </w:rPr>
        <w:t>的相应校准要求。</w:t>
      </w:r>
    </w:p>
    <w:p>
      <w:pPr>
        <w:pStyle w:val="afff2"/>
      </w:pPr>
      <w:r>
        <w:t>7</w:t>
      </w:r>
      <w:r>
        <w:rPr>
          <w:rFonts w:hint="eastAsia"/>
        </w:rPr>
        <w:t xml:space="preserve"> 校准结果</w:t>
      </w:r>
      <w:bookmarkEnd w:id="63"/>
      <w:bookmarkEnd w:id="64"/>
      <w:bookmarkEnd w:id="65"/>
      <w:bookmarkEnd w:id="66"/>
      <w:bookmarkEnd w:id="67"/>
      <w:bookmarkEnd w:id="68"/>
      <w:r>
        <w:rPr>
          <w:rFonts w:hint="eastAsia"/>
        </w:rPr>
        <w:t>表达</w:t>
      </w:r>
      <w:bookmarkEnd w:id="69"/>
      <w:bookmarkEnd w:id="70"/>
    </w:p>
    <w:p>
      <w:pPr>
        <w:pStyle w:val="afff"/>
        <w:rPr>
          <w:rFonts w:eastAsia="宋体"/>
          <w:color w:val="auto"/>
          <w:kern w:val="2"/>
          <w:szCs w:val="24"/>
        </w:rPr>
      </w:pPr>
      <w:bookmarkStart w:id="71" w:name="_Toc193860040"/>
      <w:bookmarkStart w:id="72" w:name="_Toc193860189"/>
      <w:bookmarkStart w:id="73" w:name="_Toc14803_WPSOffice_Level1"/>
      <w:bookmarkStart w:id="74" w:name="_Toc193860220"/>
      <w:bookmarkStart w:id="75" w:name="_Toc5529"/>
      <w:bookmarkStart w:id="76" w:name="_Toc193860041"/>
      <w:r>
        <w:rPr>
          <w:rFonts w:eastAsia="宋体" w:hint="eastAsia"/>
          <w:color w:val="auto"/>
          <w:kern w:val="2"/>
          <w:szCs w:val="24"/>
        </w:rPr>
        <w:t>根据实验室环境要求、校准项目校准结果、测量不确定度评定结果等，按照</w:t>
      </w:r>
      <w:r>
        <w:rPr>
          <w:rFonts w:hint="eastAsia"/>
          <w:bCs/>
        </w:rPr>
        <w:t>JF 1101-2019</w:t>
      </w:r>
      <w:r>
        <w:rPr>
          <w:rFonts w:hint="eastAsia"/>
          <w:bCs/>
        </w:rPr>
        <w:t>、</w:t>
      </w:r>
      <w:r>
        <w:rPr>
          <w:rFonts w:hint="eastAsia"/>
          <w:color w:val="auto"/>
          <w:szCs w:val="20"/>
        </w:rPr>
        <w:t>JJF 2062</w:t>
      </w:r>
      <w:r>
        <w:rPr>
          <w:rFonts w:hint="eastAsia"/>
          <w:color w:val="auto"/>
        </w:rPr>
        <w:t>-2023</w:t>
      </w:r>
      <w:r>
        <w:rPr>
          <w:rFonts w:hint="eastAsia"/>
          <w:color w:val="auto"/>
        </w:rPr>
        <w:t>、</w:t>
      </w:r>
      <w:r>
        <w:rPr>
          <w:rFonts w:hint="eastAsia"/>
        </w:rPr>
        <w:t>JJF 1664-2017</w:t>
      </w:r>
      <w:r>
        <w:rPr>
          <w:rFonts w:eastAsia="宋体" w:hint="eastAsia"/>
          <w:color w:val="auto"/>
          <w:kern w:val="2"/>
        </w:rPr>
        <w:t>推荐</w:t>
      </w:r>
      <w:r>
        <w:rPr>
          <w:rFonts w:eastAsia="宋体" w:hint="eastAsia"/>
          <w:color w:val="auto"/>
          <w:kern w:val="2"/>
          <w:szCs w:val="24"/>
        </w:rPr>
        <w:t>的校准报告格式，出具校准证书。</w:t>
      </w:r>
    </w:p>
    <w:p>
      <w:pPr>
        <w:pStyle w:val="afff2"/>
      </w:pPr>
      <w:r>
        <w:t>8</w:t>
      </w:r>
      <w:r>
        <w:rPr>
          <w:rFonts w:hint="eastAsia"/>
        </w:rPr>
        <w:t xml:space="preserve"> 复校</w:t>
      </w:r>
      <w:bookmarkEnd w:id="71"/>
      <w:bookmarkEnd w:id="72"/>
      <w:bookmarkEnd w:id="73"/>
      <w:bookmarkEnd w:id="74"/>
      <w:bookmarkEnd w:id="75"/>
      <w:r>
        <w:rPr>
          <w:rFonts w:hint="eastAsia"/>
        </w:rPr>
        <w:t>时间间隔</w:t>
      </w:r>
    </w:p>
    <w:bookmarkEnd w:id="76"/>
    <w:p>
      <w:pPr>
        <w:pStyle w:val="afff"/>
        <w:rPr>
          <w:rFonts w:eastAsia="宋体"/>
          <w:color w:val="auto"/>
          <w:kern w:val="2"/>
          <w:szCs w:val="24"/>
        </w:rPr>
      </w:pPr>
      <w:r>
        <w:rPr>
          <w:rFonts w:eastAsia="宋体"/>
          <w:color w:val="auto"/>
          <w:kern w:val="2"/>
          <w:szCs w:val="24"/>
        </w:rPr>
        <w:t>建议复校时间间隔为</w:t>
      </w:r>
      <w:r>
        <w:rPr>
          <w:rFonts w:eastAsia="宋体"/>
          <w:color w:val="auto"/>
          <w:kern w:val="2"/>
          <w:szCs w:val="24"/>
        </w:rPr>
        <w:t>1</w:t>
      </w:r>
      <w:r>
        <w:rPr>
          <w:rFonts w:eastAsia="宋体"/>
          <w:color w:val="auto"/>
          <w:kern w:val="2"/>
          <w:szCs w:val="24"/>
        </w:rPr>
        <w:t>年。</w:t>
      </w:r>
      <w:r>
        <w:rPr>
          <w:rFonts w:eastAsia="宋体" w:hint="eastAsia"/>
          <w:color w:val="auto"/>
          <w:kern w:val="2"/>
          <w:szCs w:val="24"/>
        </w:rPr>
        <w:t>紫外预处理试验箱</w:t>
      </w:r>
      <w:r>
        <w:rPr>
          <w:rFonts w:eastAsia="宋体"/>
          <w:color w:val="auto"/>
          <w:kern w:val="2"/>
          <w:szCs w:val="24"/>
        </w:rPr>
        <w:t>使用频繁时应适当缩短周期，在使用过程中经过修理、更换重要部件</w:t>
      </w:r>
      <w:r>
        <w:rPr>
          <w:rFonts w:eastAsia="宋体" w:hint="eastAsia"/>
          <w:color w:val="auto"/>
          <w:kern w:val="2"/>
          <w:szCs w:val="24"/>
        </w:rPr>
        <w:t>时</w:t>
      </w:r>
      <w:r>
        <w:rPr>
          <w:rFonts w:eastAsia="宋体"/>
          <w:color w:val="auto"/>
          <w:kern w:val="2"/>
          <w:szCs w:val="24"/>
        </w:rPr>
        <w:t>应重新校准。</w:t>
      </w:r>
    </w:p>
    <w:p>
      <w:pPr>
        <w:pStyle w:val="afff2"/>
      </w:pPr>
      <w:r>
        <w:rPr>
          <w:rFonts w:hint="eastAsia"/>
        </w:rPr>
        <w:t>9.附录</w:t>
      </w:r>
    </w:p>
    <w:p>
      <w:pPr>
        <w:pStyle w:val="afff"/>
      </w:pPr>
      <w:r>
        <w:rPr>
          <w:rFonts w:eastAsia="宋体" w:hint="eastAsia"/>
          <w:color w:val="auto"/>
          <w:kern w:val="2"/>
          <w:szCs w:val="24"/>
        </w:rPr>
        <w:t>设置了</w:t>
      </w:r>
      <w:r>
        <w:rPr>
          <w:rFonts w:eastAsia="宋体" w:hint="eastAsia"/>
          <w:color w:val="auto"/>
          <w:kern w:val="2"/>
          <w:szCs w:val="24"/>
        </w:rPr>
        <w:t>3</w:t>
      </w:r>
      <w:r>
        <w:rPr>
          <w:rFonts w:eastAsia="宋体" w:hint="eastAsia"/>
          <w:color w:val="auto"/>
          <w:kern w:val="2"/>
          <w:szCs w:val="24"/>
        </w:rPr>
        <w:t>个附录，便于校准时参考和规范化，主要包含校准原始记录参考格式、校准证书内页参考格式、测量结果不确定度评定示例三个部分</w:t>
      </w:r>
      <w:r>
        <w:rPr>
          <w:rFonts w:hint="eastAsia"/>
        </w:rPr>
        <w:t>。</w:t>
      </w:r>
    </w:p>
    <w:p>
      <w:pPr>
        <w:adjustRightInd w:val="0"/>
        <w:snapToGrid w:val="0"/>
        <w:spacing w:line="360" w:lineRule="auto"/>
        <w:ind w:firstLineChars="200" w:firstLine="420"/>
        <w:rPr>
          <w:bCs/>
          <w:szCs w:val="21"/>
        </w:rPr>
      </w:pPr>
      <w:r>
        <w:rPr>
          <w:rFonts w:hint="eastAsia"/>
          <w:bCs/>
          <w:szCs w:val="21"/>
        </w:rPr>
        <w:t>附录</w:t>
      </w:r>
      <w:r>
        <w:rPr>
          <w:rFonts w:hint="eastAsia"/>
          <w:bCs/>
          <w:szCs w:val="21"/>
        </w:rPr>
        <w:t>A</w:t>
      </w:r>
      <w:r>
        <w:rPr>
          <w:rFonts w:hint="eastAsia"/>
          <w:bCs/>
          <w:szCs w:val="21"/>
        </w:rPr>
        <w:t>校准原始记录参考格式</w:t>
      </w:r>
    </w:p>
    <w:p>
      <w:pPr>
        <w:adjustRightInd w:val="0"/>
        <w:snapToGrid w:val="0"/>
        <w:spacing w:line="360" w:lineRule="auto"/>
        <w:ind w:firstLineChars="200" w:firstLine="420"/>
        <w:rPr>
          <w:bCs/>
          <w:szCs w:val="21"/>
        </w:rPr>
      </w:pPr>
      <w:r>
        <w:rPr>
          <w:rFonts w:hint="eastAsia"/>
          <w:bCs/>
          <w:szCs w:val="21"/>
        </w:rPr>
        <w:t>附录</w:t>
      </w:r>
      <w:r>
        <w:rPr>
          <w:rFonts w:hint="eastAsia"/>
          <w:bCs/>
          <w:szCs w:val="21"/>
        </w:rPr>
        <w:t>B</w:t>
      </w:r>
      <w:r>
        <w:rPr>
          <w:bCs/>
          <w:szCs w:val="21"/>
        </w:rPr>
        <w:t xml:space="preserve"> </w:t>
      </w:r>
      <w:r>
        <w:rPr>
          <w:rFonts w:hint="eastAsia"/>
          <w:bCs/>
          <w:szCs w:val="21"/>
        </w:rPr>
        <w:t>校准证书内页参考格式</w:t>
      </w:r>
    </w:p>
    <w:p>
      <w:pPr>
        <w:adjustRightInd w:val="0"/>
        <w:snapToGrid w:val="0"/>
        <w:spacing w:line="360" w:lineRule="auto"/>
        <w:ind w:firstLineChars="200" w:firstLine="420"/>
        <w:rPr>
          <w:bCs/>
          <w:szCs w:val="21"/>
        </w:rPr>
      </w:pPr>
      <w:r>
        <w:rPr>
          <w:rFonts w:hint="eastAsia"/>
          <w:bCs/>
          <w:szCs w:val="21"/>
        </w:rPr>
        <w:t>附录</w:t>
      </w:r>
      <w:r>
        <w:rPr>
          <w:rFonts w:hint="eastAsia"/>
          <w:bCs/>
          <w:szCs w:val="21"/>
        </w:rPr>
        <w:t>C</w:t>
      </w:r>
      <w:r>
        <w:rPr>
          <w:rFonts w:hint="eastAsia"/>
          <w:bCs/>
          <w:szCs w:val="21"/>
        </w:rPr>
        <w:t>测量结果不确定度评定示例</w:t>
      </w:r>
    </w:p>
    <w:bookmarkEnd w:id="1"/>
    <w:bookmarkEnd w:id="24"/>
    <w:p>
      <w:pPr>
        <w:pStyle w:val="af3"/>
        <w:numPr>
          <w:ilvl w:val="0"/>
          <w:numId w:val="0"/>
        </w:numPr>
      </w:pPr>
      <w:r>
        <w:rPr>
          <w:rFonts w:hint="eastAsia"/>
          <w:bCs w:val="0"/>
        </w:rPr>
        <w:t>三、</w:t>
      </w:r>
      <w:r>
        <w:rPr>
          <w:rFonts w:hint="eastAsia"/>
        </w:rPr>
        <w:t>实践检测情况</w:t>
      </w:r>
    </w:p>
    <w:p>
      <w:pPr>
        <w:adjustRightInd w:val="0"/>
        <w:spacing w:line="360" w:lineRule="auto"/>
        <w:ind w:firstLineChars="200" w:firstLine="420"/>
      </w:pPr>
      <w:r>
        <w:rPr>
          <w:rFonts w:hint="eastAsia"/>
        </w:rPr>
        <w:t>西南铝业</w:t>
      </w:r>
      <w:r>
        <w:rPr>
          <w:rFonts w:hint="eastAsia"/>
        </w:rPr>
        <w:t>(</w:t>
      </w:r>
      <w:r>
        <w:rPr>
          <w:rFonts w:hint="eastAsia"/>
        </w:rPr>
        <w:t>集团</w:t>
      </w:r>
      <w:r>
        <w:rPr>
          <w:rFonts w:hint="eastAsia"/>
        </w:rPr>
        <w:t>)</w:t>
      </w:r>
      <w:r>
        <w:rPr>
          <w:rFonts w:hint="eastAsia"/>
        </w:rPr>
        <w:t>有限责任公司、中国船舶集团有限公司第七二五研究所</w:t>
      </w:r>
      <w:r>
        <w:t>根据本规范</w:t>
      </w:r>
      <w:r>
        <w:rPr>
          <w:rFonts w:hint="eastAsia"/>
        </w:rPr>
        <w:t>的校准项目</w:t>
      </w:r>
      <w:r>
        <w:t>对</w:t>
      </w:r>
      <w:r>
        <w:rPr>
          <w:rFonts w:hint="eastAsia"/>
        </w:rPr>
        <w:t>光伏组件紫外预处理试验箱</w:t>
      </w:r>
      <w:r>
        <w:t>进行了全计量特性的校准，内容详见校准报告。</w:t>
      </w:r>
    </w:p>
    <w:p>
      <w:pPr>
        <w:pStyle w:val="af3"/>
        <w:numPr>
          <w:ilvl w:val="0"/>
          <w:numId w:val="0"/>
        </w:numPr>
      </w:pPr>
      <w:r>
        <w:rPr>
          <w:rFonts w:hint="eastAsia"/>
          <w:bCs w:val="0"/>
        </w:rPr>
        <w:t>四、</w:t>
      </w:r>
      <w:r>
        <w:rPr>
          <w:rFonts w:hint="eastAsia"/>
        </w:rPr>
        <w:t>规范水平分析</w:t>
      </w:r>
    </w:p>
    <w:p>
      <w:pPr>
        <w:adjustRightInd w:val="0"/>
        <w:spacing w:line="360" w:lineRule="auto"/>
        <w:ind w:firstLineChars="200" w:firstLine="420"/>
      </w:pPr>
      <w:r>
        <w:t>目前，国家和各省检定规程和校准规范中，类似的校准规范如</w:t>
      </w:r>
      <w:r>
        <w:rPr>
          <w:szCs w:val="21"/>
        </w:rPr>
        <w:t>JJ</w:t>
      </w:r>
      <w:r>
        <w:rPr>
          <w:rFonts w:hint="eastAsia"/>
          <w:szCs w:val="21"/>
        </w:rPr>
        <w:t>F</w:t>
      </w:r>
      <w:r>
        <w:rPr>
          <w:szCs w:val="21"/>
        </w:rPr>
        <w:t>1</w:t>
      </w:r>
      <w:r>
        <w:rPr>
          <w:rFonts w:hint="eastAsia"/>
          <w:szCs w:val="21"/>
        </w:rPr>
        <w:t>030</w:t>
      </w:r>
      <w:r>
        <w:rPr>
          <w:szCs w:val="21"/>
        </w:rPr>
        <w:t>-201</w:t>
      </w:r>
      <w:r>
        <w:rPr>
          <w:rFonts w:hint="eastAsia"/>
          <w:szCs w:val="21"/>
        </w:rPr>
        <w:t>0</w:t>
      </w:r>
      <w:r>
        <w:rPr>
          <w:szCs w:val="21"/>
        </w:rPr>
        <w:t>《</w:t>
      </w:r>
      <w:r>
        <w:rPr>
          <w:rFonts w:hint="eastAsia"/>
          <w:szCs w:val="21"/>
        </w:rPr>
        <w:t>恒温槽技术性能测试规范</w:t>
      </w:r>
      <w:r>
        <w:rPr>
          <w:szCs w:val="21"/>
        </w:rPr>
        <w:t>》</w:t>
      </w:r>
      <w:r>
        <w:t>适用于</w:t>
      </w:r>
      <w:r>
        <w:rPr>
          <w:rFonts w:hint="eastAsia"/>
        </w:rPr>
        <w:t>检定或校准用液体恒温槽温度稳定性和均匀性的测试，</w:t>
      </w:r>
      <w:r>
        <w:rPr>
          <w:rFonts w:hint="eastAsia"/>
          <w:kern w:val="0"/>
          <w:szCs w:val="20"/>
        </w:rPr>
        <w:t>JJF 2019-2022</w:t>
      </w:r>
      <w:r>
        <w:rPr>
          <w:rFonts w:hint="eastAsia"/>
          <w:kern w:val="0"/>
          <w:szCs w:val="20"/>
        </w:rPr>
        <w:t>《液体恒温试验设备温度性能测试规范》</w:t>
      </w:r>
      <w:r>
        <w:t>与光伏组件紫外预处理试验箱的技术要求有所不同，因此，</w:t>
      </w:r>
      <w:r>
        <w:rPr>
          <w:rFonts w:hint="eastAsia"/>
        </w:rPr>
        <w:t>对于</w:t>
      </w:r>
      <w:r>
        <w:rPr>
          <w:rFonts w:hint="eastAsia"/>
          <w:szCs w:val="21"/>
        </w:rPr>
        <w:t>光伏组件紫外预处</w:t>
      </w:r>
      <w:r>
        <w:rPr>
          <w:rFonts w:hint="eastAsia"/>
          <w:szCs w:val="21"/>
        </w:rPr>
        <w:lastRenderedPageBreak/>
        <w:t>理试验箱的</w:t>
      </w:r>
      <w:r>
        <w:rPr>
          <w:szCs w:val="21"/>
        </w:rPr>
        <w:t>校准</w:t>
      </w:r>
      <w:r>
        <w:t>无统一的</w:t>
      </w:r>
      <w:r>
        <w:rPr>
          <w:rFonts w:hint="eastAsia"/>
        </w:rPr>
        <w:t>技术</w:t>
      </w:r>
      <w:r>
        <w:t>依据</w:t>
      </w:r>
      <w:r>
        <w:rPr>
          <w:rFonts w:ascii="宋体" w:hAnsi="宋体" w:hint="eastAsia"/>
          <w:szCs w:val="21"/>
        </w:rPr>
        <w:t>。</w:t>
      </w:r>
    </w:p>
    <w:p>
      <w:pPr>
        <w:adjustRightInd w:val="0"/>
        <w:spacing w:line="360" w:lineRule="auto"/>
        <w:ind w:firstLineChars="200" w:firstLine="420"/>
        <w:rPr>
          <w:rFonts w:ascii="宋体" w:hAnsi="宋体"/>
          <w:szCs w:val="21"/>
        </w:rPr>
      </w:pPr>
      <w:r>
        <w:rPr>
          <w:rFonts w:ascii="宋体" w:hAnsi="宋体" w:hint="eastAsia"/>
          <w:szCs w:val="21"/>
        </w:rPr>
        <w:t>目前国外没有相关技术规范，本规范水平达到国内先进水平。本规范的制定填补了有色金属行业光伏组件紫外预处理试验箱的校准空白，属于国内首创，水平达到国内领先</w:t>
      </w:r>
      <w:r>
        <w:rPr>
          <w:rFonts w:hint="eastAsia"/>
          <w:szCs w:val="21"/>
        </w:rPr>
        <w:t>。</w:t>
      </w:r>
    </w:p>
    <w:p>
      <w:pPr>
        <w:pStyle w:val="af3"/>
        <w:numPr>
          <w:ilvl w:val="0"/>
          <w:numId w:val="0"/>
        </w:numPr>
      </w:pPr>
      <w:r>
        <w:rPr>
          <w:rFonts w:hint="eastAsia"/>
          <w:bCs w:val="0"/>
        </w:rPr>
        <w:t>五、</w:t>
      </w:r>
      <w:r>
        <w:rPr>
          <w:rFonts w:hint="eastAsia"/>
        </w:rPr>
        <w:t>与有关的现行法律、法规和强制性国家标准的关系</w:t>
      </w:r>
    </w:p>
    <w:p>
      <w:pPr>
        <w:pStyle w:val="afff"/>
        <w:rPr>
          <w:rFonts w:ascii="宋体" w:eastAsia="宋体" w:hAnsi="宋体"/>
          <w:color w:val="auto"/>
          <w:kern w:val="2"/>
        </w:rPr>
      </w:pPr>
      <w:r>
        <w:rPr>
          <w:rFonts w:ascii="宋体" w:eastAsia="宋体" w:hAnsi="宋体" w:hint="eastAsia"/>
          <w:color w:val="auto"/>
          <w:kern w:val="2"/>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af3"/>
        <w:numPr>
          <w:ilvl w:val="0"/>
          <w:numId w:val="0"/>
        </w:numPr>
      </w:pPr>
      <w:bookmarkStart w:id="77" w:name="_Toc464728973"/>
      <w:r>
        <w:rPr>
          <w:rFonts w:hint="eastAsia"/>
          <w:bCs w:val="0"/>
        </w:rPr>
        <w:t>六、</w:t>
      </w:r>
      <w:r>
        <w:rPr>
          <w:rFonts w:hint="eastAsia"/>
        </w:rPr>
        <w:t>规范中涉及的专利或知识产权说明</w:t>
      </w:r>
      <w:bookmarkEnd w:id="77"/>
    </w:p>
    <w:p>
      <w:pPr>
        <w:pStyle w:val="afff"/>
        <w:rPr>
          <w:rFonts w:ascii="宋体" w:eastAsia="宋体" w:hAnsi="宋体"/>
          <w:color w:val="auto"/>
          <w:kern w:val="2"/>
        </w:rPr>
      </w:pPr>
      <w:bookmarkStart w:id="78" w:name="_Toc464728974"/>
      <w:r>
        <w:rPr>
          <w:rFonts w:ascii="宋体" w:eastAsia="宋体" w:hAnsi="宋体" w:hint="eastAsia"/>
          <w:color w:val="auto"/>
          <w:kern w:val="2"/>
        </w:rPr>
        <w:t>（无）</w:t>
      </w:r>
    </w:p>
    <w:p>
      <w:pPr>
        <w:pStyle w:val="af3"/>
        <w:numPr>
          <w:ilvl w:val="0"/>
          <w:numId w:val="0"/>
        </w:numPr>
      </w:pPr>
      <w:r>
        <w:rPr>
          <w:rFonts w:hint="eastAsia"/>
          <w:bCs w:val="0"/>
        </w:rPr>
        <w:t>七、</w:t>
      </w:r>
      <w:r>
        <w:rPr>
          <w:rFonts w:hint="eastAsia"/>
        </w:rPr>
        <w:t>重大分歧意见的处理经过和依据</w:t>
      </w:r>
      <w:bookmarkEnd w:id="78"/>
    </w:p>
    <w:p>
      <w:pPr>
        <w:pStyle w:val="afff"/>
        <w:rPr>
          <w:rFonts w:ascii="宋体" w:eastAsia="宋体" w:hAnsi="宋体"/>
          <w:color w:val="auto"/>
          <w:kern w:val="2"/>
        </w:rPr>
      </w:pPr>
      <w:r>
        <w:rPr>
          <w:rFonts w:ascii="宋体" w:eastAsia="宋体" w:hAnsi="宋体" w:hint="eastAsia"/>
          <w:color w:val="auto"/>
          <w:kern w:val="2"/>
        </w:rPr>
        <w:t>（无）</w:t>
      </w:r>
    </w:p>
    <w:p>
      <w:pPr>
        <w:pStyle w:val="af3"/>
        <w:numPr>
          <w:ilvl w:val="0"/>
          <w:numId w:val="0"/>
        </w:numPr>
      </w:pPr>
      <w:r>
        <w:rPr>
          <w:rFonts w:hint="eastAsia"/>
          <w:bCs w:val="0"/>
        </w:rPr>
        <w:t>八、</w:t>
      </w:r>
      <w:r>
        <w:rPr>
          <w:rFonts w:hint="eastAsia"/>
        </w:rPr>
        <w:t>规范作为强制性或推荐性国家（或行业）标准的建议</w:t>
      </w:r>
    </w:p>
    <w:p>
      <w:pPr>
        <w:adjustRightInd w:val="0"/>
        <w:spacing w:line="360" w:lineRule="auto"/>
        <w:ind w:firstLineChars="200" w:firstLine="420"/>
        <w:rPr>
          <w:rFonts w:hAnsi="宋体"/>
          <w:szCs w:val="21"/>
        </w:rPr>
      </w:pPr>
      <w:r>
        <w:rPr>
          <w:rFonts w:hAnsi="宋体" w:hint="eastAsia"/>
          <w:szCs w:val="21"/>
        </w:rPr>
        <w:t>建议本规范作为行业计量技术规范，供行业企业参考使用。必要时可根据实际需要，结合其他行业使用要求，申报国家计量技术规范，以满足校准需要。</w:t>
      </w:r>
    </w:p>
    <w:p>
      <w:pPr>
        <w:pStyle w:val="af3"/>
        <w:numPr>
          <w:ilvl w:val="0"/>
          <w:numId w:val="0"/>
        </w:numPr>
      </w:pPr>
      <w:bookmarkStart w:id="79" w:name="_Toc464728976"/>
      <w:r>
        <w:rPr>
          <w:rFonts w:hint="eastAsia"/>
          <w:bCs w:val="0"/>
        </w:rPr>
        <w:t>九、</w:t>
      </w:r>
      <w:r>
        <w:rPr>
          <w:rFonts w:hint="eastAsia"/>
        </w:rPr>
        <w:t>贯彻规范的要求和措施建议</w:t>
      </w:r>
      <w:bookmarkEnd w:id="79"/>
    </w:p>
    <w:p>
      <w:pPr>
        <w:pStyle w:val="afff"/>
        <w:rPr>
          <w:rFonts w:eastAsia="宋体" w:hAnsi="宋体"/>
          <w:color w:val="auto"/>
          <w:kern w:val="2"/>
        </w:rPr>
      </w:pPr>
      <w:r>
        <w:rPr>
          <w:rFonts w:eastAsia="宋体" w:hAnsi="宋体" w:hint="eastAsia"/>
          <w:color w:val="auto"/>
          <w:kern w:val="2"/>
        </w:rPr>
        <w:t>本规范发布后，中国有色金属行业协会和有色金属行业计量技术委员会应加强本规范的宣传力度，促进光伏组件紫外预处理试验箱生产厂家按照实际情况合理选用校准规程，以促进我国企业的技术进步和产品质量上档次，提高我国产品在国际国内市场的竞争能力。</w:t>
      </w:r>
    </w:p>
    <w:p>
      <w:pPr>
        <w:pStyle w:val="af3"/>
        <w:numPr>
          <w:ilvl w:val="0"/>
          <w:numId w:val="0"/>
        </w:numPr>
      </w:pPr>
      <w:bookmarkStart w:id="80" w:name="_Toc464728977"/>
      <w:r>
        <w:rPr>
          <w:rFonts w:hint="eastAsia"/>
          <w:bCs w:val="0"/>
        </w:rPr>
        <w:t>十、</w:t>
      </w:r>
      <w:r>
        <w:rPr>
          <w:rFonts w:hint="eastAsia"/>
        </w:rPr>
        <w:t>废止现行有关规范的建议</w:t>
      </w:r>
      <w:bookmarkEnd w:id="80"/>
    </w:p>
    <w:p>
      <w:pPr>
        <w:pStyle w:val="afff"/>
        <w:rPr>
          <w:rFonts w:eastAsia="宋体" w:hAnsi="宋体"/>
          <w:color w:val="auto"/>
          <w:kern w:val="2"/>
        </w:rPr>
      </w:pPr>
      <w:r>
        <w:rPr>
          <w:rFonts w:eastAsia="宋体" w:hAnsi="宋体" w:hint="eastAsia"/>
          <w:color w:val="auto"/>
          <w:kern w:val="2"/>
        </w:rPr>
        <w:t>（无）。</w:t>
      </w:r>
    </w:p>
    <w:p>
      <w:pPr>
        <w:pStyle w:val="af3"/>
        <w:numPr>
          <w:ilvl w:val="0"/>
          <w:numId w:val="0"/>
        </w:numPr>
      </w:pPr>
      <w:r>
        <w:rPr>
          <w:rFonts w:hint="eastAsia"/>
          <w:bCs w:val="0"/>
        </w:rPr>
        <w:t>十一、</w:t>
      </w:r>
      <w:r>
        <w:rPr>
          <w:rFonts w:hint="eastAsia"/>
        </w:rPr>
        <w:t>预期效果</w:t>
      </w:r>
    </w:p>
    <w:p>
      <w:pPr>
        <w:pStyle w:val="afff"/>
        <w:rPr>
          <w:rFonts w:eastAsia="宋体" w:hAnsi="宋体"/>
          <w:color w:val="auto"/>
          <w:kern w:val="2"/>
        </w:rPr>
      </w:pPr>
      <w:r>
        <w:rPr>
          <w:rFonts w:eastAsia="宋体" w:hAnsi="宋体" w:hint="eastAsia"/>
          <w:color w:val="auto"/>
          <w:kern w:val="2"/>
        </w:rPr>
        <w:t>光伏组件紫外预处理试验箱校准规范的制定，具有极大的经济效益和社会效益，填补了有色金属行业领域校准空白，能够很好的满足有色金属领域分析检测实验室对于光伏组件紫外预处理试验箱的校准需求，进而保证试验结果的可信度，使得产品的安全性。</w:t>
      </w:r>
    </w:p>
    <w:p>
      <w:pPr>
        <w:pStyle w:val="af3"/>
        <w:numPr>
          <w:ilvl w:val="0"/>
          <w:numId w:val="0"/>
        </w:numPr>
      </w:pPr>
      <w:r>
        <w:rPr>
          <w:rFonts w:hint="eastAsia"/>
          <w:bCs w:val="0"/>
        </w:rPr>
        <w:t>十二、</w:t>
      </w:r>
      <w:r>
        <w:rPr>
          <w:rFonts w:hint="eastAsia"/>
        </w:rPr>
        <w:t>其他应予说明的事项</w:t>
      </w:r>
    </w:p>
    <w:p>
      <w:pPr>
        <w:pStyle w:val="afff"/>
      </w:pPr>
      <w:r>
        <w:rPr>
          <w:rFonts w:hint="eastAsia"/>
        </w:rPr>
        <w:t>（无）。</w:t>
      </w:r>
    </w:p>
    <w:p>
      <w:pPr>
        <w:pStyle w:val="afff"/>
      </w:pPr>
      <w:r>
        <w:t xml:space="preserve">  </w:t>
      </w:r>
    </w:p>
    <w:p>
      <w:pPr>
        <w:pStyle w:val="afff"/>
      </w:pPr>
    </w:p>
    <w:p>
      <w:pPr>
        <w:pStyle w:val="afff"/>
      </w:pPr>
    </w:p>
    <w:p>
      <w:pPr>
        <w:pStyle w:val="afff"/>
      </w:pPr>
    </w:p>
    <w:p>
      <w:pPr>
        <w:pStyle w:val="afff"/>
      </w:pPr>
    </w:p>
    <w:p>
      <w:pPr>
        <w:pStyle w:val="afff"/>
      </w:pPr>
    </w:p>
    <w:p>
      <w:pPr>
        <w:pStyle w:val="afff"/>
      </w:pPr>
    </w:p>
    <w:p>
      <w:pPr>
        <w:pStyle w:val="afff"/>
      </w:pPr>
    </w:p>
    <w:p>
      <w:pPr>
        <w:pStyle w:val="afff"/>
      </w:pPr>
    </w:p>
    <w:p>
      <w:pPr>
        <w:pStyle w:val="afff"/>
      </w:pPr>
    </w:p>
    <w:p>
      <w:pPr>
        <w:pStyle w:val="afff"/>
        <w:jc w:val="right"/>
      </w:pPr>
      <w:r>
        <w:t>《光伏组件紫外预处理试验箱校准规范》编制组</w:t>
      </w:r>
      <w:r>
        <w:t xml:space="preserve">  2024</w:t>
      </w:r>
      <w:r>
        <w:t>年</w:t>
      </w:r>
      <w:r>
        <w:t>0</w:t>
      </w:r>
      <w:r>
        <w:rPr>
          <w:rFonts w:hint="eastAsia"/>
        </w:rPr>
        <w:t>8</w:t>
      </w:r>
      <w:r>
        <w:t>月</w:t>
      </w:r>
    </w:p>
    <w:p>
      <w:pPr>
        <w:pStyle w:val="afff"/>
      </w:pPr>
    </w:p>
    <w:sectPr>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6"/>
      <w:rPr>
        <w:rStyle w:val="affa"/>
      </w:rPr>
    </w:pPr>
    <w:r>
      <w:rPr>
        <w:rStyle w:val="affa"/>
      </w:rPr>
      <w:fldChar w:fldCharType="begin"/>
    </w:r>
    <w:r>
      <w:rPr>
        <w:rStyle w:val="affa"/>
      </w:rPr>
      <w:instrText xml:space="preserve">PAGE  </w:instrText>
    </w:r>
    <w:r>
      <w:rPr>
        <w:rStyle w:val="affa"/>
      </w:rPr>
      <w:fldChar w:fldCharType="separate"/>
    </w:r>
    <w:r>
      <w:rPr>
        <w:rStyle w:val="affa"/>
      </w:rPr>
      <w:t>II</w:t>
    </w:r>
    <w:r>
      <w:rPr>
        <w:rStyle w:val="aff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9"/>
      <w:rPr>
        <w:rStyle w:val="affa"/>
      </w:rPr>
    </w:pPr>
    <w:r>
      <w:rPr>
        <w:rStyle w:val="affa"/>
      </w:rPr>
      <w:fldChar w:fldCharType="begin"/>
    </w:r>
    <w:r>
      <w:rPr>
        <w:rStyle w:val="affa"/>
      </w:rPr>
      <w:instrText xml:space="preserve">PAGE  </w:instrText>
    </w:r>
    <w:r>
      <w:rPr>
        <w:rStyle w:val="affa"/>
      </w:rPr>
      <w:fldChar w:fldCharType="separate"/>
    </w:r>
    <w:r>
      <w:rPr>
        <w:rStyle w:val="affa"/>
        <w:noProof/>
      </w:rPr>
      <w:t>I</w:t>
    </w:r>
    <w:r>
      <w:rPr>
        <w:rStyle w:val="aff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9"/>
      <w:jc w:val="center"/>
      <w:rPr>
        <w:rStyle w:val="affa"/>
      </w:rPr>
    </w:pPr>
    <w:r>
      <w:fldChar w:fldCharType="begin"/>
    </w:r>
    <w:r>
      <w:rPr>
        <w:rStyle w:val="affa"/>
      </w:rPr>
      <w:instrText xml:space="preserve">PAGE  </w:instrText>
    </w:r>
    <w:r>
      <w:fldChar w:fldCharType="separate"/>
    </w:r>
    <w:r>
      <w:rPr>
        <w:rStyle w:val="affa"/>
        <w:noProof/>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1"/>
      <w:jc w:val="both"/>
    </w:pPr>
  </w:p>
  <w:p>
    <w:pPr>
      <w:pStyle w:val="aff1"/>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88A47BE4"/>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3A867B7E"/>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8EE0A192"/>
    <w:lvl w:ilvl="0">
      <w:start w:val="1"/>
      <w:numFmt w:val="japaneseCounting"/>
      <w:pStyle w:val="af3"/>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rFonts w:ascii="Times New Roman" w:hAnsi="Times New Roman" w:cs="Times New Roman"/>
      <w:kern w:val="2"/>
      <w:sz w:val="21"/>
      <w:szCs w:val="24"/>
    </w:rPr>
  </w:style>
  <w:style w:type="paragraph" w:styleId="1">
    <w:name w:val="heading 1"/>
    <w:basedOn w:val="af4"/>
    <w:next w:val="af4"/>
    <w:link w:val="1Char"/>
    <w:autoRedefine/>
    <w:qFormat/>
    <w:pPr>
      <w:keepNext/>
      <w:keepLines/>
      <w:spacing w:before="340" w:after="330" w:line="576" w:lineRule="auto"/>
      <w:outlineLvl w:val="0"/>
    </w:pPr>
    <w:rPr>
      <w:b/>
      <w:bCs/>
      <w:kern w:val="44"/>
      <w:sz w:val="44"/>
      <w:szCs w:val="44"/>
    </w:rPr>
  </w:style>
  <w:style w:type="paragraph" w:styleId="2">
    <w:name w:val="heading 2"/>
    <w:basedOn w:val="af4"/>
    <w:next w:val="af4"/>
    <w:link w:val="2Char"/>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f4"/>
    <w:next w:val="af4"/>
    <w:link w:val="3Char"/>
    <w:autoRedefine/>
    <w:qFormat/>
    <w:pPr>
      <w:keepNext/>
      <w:keepLines/>
      <w:spacing w:before="260" w:after="260" w:line="413" w:lineRule="auto"/>
      <w:outlineLvl w:val="2"/>
    </w:pPr>
    <w:rPr>
      <w:b/>
      <w:bCs/>
      <w:sz w:val="32"/>
      <w:szCs w:val="32"/>
    </w:rPr>
  </w:style>
  <w:style w:type="paragraph" w:styleId="4">
    <w:name w:val="heading 4"/>
    <w:basedOn w:val="af4"/>
    <w:next w:val="af4"/>
    <w:qFormat/>
    <w:pPr>
      <w:keepNext/>
      <w:keepLines/>
      <w:spacing w:before="280" w:after="290" w:line="372" w:lineRule="auto"/>
      <w:outlineLvl w:val="3"/>
    </w:pPr>
    <w:rPr>
      <w:rFonts w:ascii="Arial" w:eastAsia="黑体" w:hAnsi="Arial"/>
      <w:b/>
      <w:bCs/>
      <w:sz w:val="28"/>
      <w:szCs w:val="28"/>
    </w:rPr>
  </w:style>
  <w:style w:type="paragraph" w:styleId="5">
    <w:name w:val="heading 5"/>
    <w:basedOn w:val="af4"/>
    <w:next w:val="af4"/>
    <w:autoRedefine/>
    <w:qFormat/>
    <w:pPr>
      <w:keepNext/>
      <w:keepLines/>
      <w:spacing w:before="280" w:after="290" w:line="372" w:lineRule="auto"/>
      <w:outlineLvl w:val="4"/>
    </w:pPr>
    <w:rPr>
      <w:b/>
      <w:bCs/>
      <w:sz w:val="28"/>
      <w:szCs w:val="28"/>
    </w:rPr>
  </w:style>
  <w:style w:type="paragraph" w:styleId="6">
    <w:name w:val="heading 6"/>
    <w:basedOn w:val="af4"/>
    <w:next w:val="af4"/>
    <w:autoRedefine/>
    <w:qFormat/>
    <w:pPr>
      <w:keepNext/>
      <w:keepLines/>
      <w:spacing w:before="240" w:after="64" w:line="317" w:lineRule="auto"/>
      <w:outlineLvl w:val="5"/>
    </w:pPr>
    <w:rPr>
      <w:rFonts w:ascii="Arial" w:eastAsia="黑体" w:hAnsi="Arial"/>
      <w:b/>
      <w:bCs/>
      <w:sz w:val="24"/>
    </w:rPr>
  </w:style>
  <w:style w:type="paragraph" w:styleId="7">
    <w:name w:val="heading 7"/>
    <w:basedOn w:val="af4"/>
    <w:next w:val="af4"/>
    <w:autoRedefine/>
    <w:qFormat/>
    <w:pPr>
      <w:keepNext/>
      <w:keepLines/>
      <w:spacing w:before="240" w:after="64" w:line="317" w:lineRule="auto"/>
      <w:outlineLvl w:val="6"/>
    </w:pPr>
    <w:rPr>
      <w:b/>
      <w:bCs/>
      <w:sz w:val="24"/>
    </w:rPr>
  </w:style>
  <w:style w:type="paragraph" w:styleId="8">
    <w:name w:val="heading 8"/>
    <w:basedOn w:val="af4"/>
    <w:next w:val="af4"/>
    <w:autoRedefine/>
    <w:qFormat/>
    <w:pPr>
      <w:keepNext/>
      <w:keepLines/>
      <w:spacing w:before="240" w:after="64" w:line="317" w:lineRule="auto"/>
      <w:outlineLvl w:val="7"/>
    </w:pPr>
    <w:rPr>
      <w:rFonts w:ascii="Arial" w:eastAsia="黑体" w:hAnsi="Arial"/>
      <w:sz w:val="24"/>
    </w:rPr>
  </w:style>
  <w:style w:type="paragraph" w:styleId="9">
    <w:name w:val="heading 9"/>
    <w:basedOn w:val="af4"/>
    <w:next w:val="af4"/>
    <w:qFormat/>
    <w:pPr>
      <w:keepNext/>
      <w:keepLines/>
      <w:spacing w:before="240" w:after="64" w:line="317"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autoRedefine/>
    <w:qFormat/>
  </w:style>
  <w:style w:type="paragraph" w:styleId="60">
    <w:name w:val="toc 6"/>
    <w:basedOn w:val="50"/>
    <w:next w:val="af4"/>
    <w:autoRedefine/>
    <w:qFormat/>
  </w:style>
  <w:style w:type="paragraph" w:styleId="50">
    <w:name w:val="toc 5"/>
    <w:basedOn w:val="40"/>
    <w:next w:val="af4"/>
    <w:autoRedefine/>
    <w:qFormat/>
  </w:style>
  <w:style w:type="paragraph" w:styleId="40">
    <w:name w:val="toc 4"/>
    <w:basedOn w:val="30"/>
    <w:next w:val="af4"/>
    <w:autoRedefine/>
    <w:qFormat/>
  </w:style>
  <w:style w:type="paragraph" w:styleId="30">
    <w:name w:val="toc 3"/>
    <w:basedOn w:val="20"/>
    <w:next w:val="af4"/>
    <w:autoRedefine/>
    <w:uiPriority w:val="39"/>
    <w:qFormat/>
  </w:style>
  <w:style w:type="paragraph" w:styleId="20">
    <w:name w:val="toc 2"/>
    <w:basedOn w:val="10"/>
    <w:next w:val="af4"/>
    <w:autoRedefine/>
    <w:uiPriority w:val="39"/>
    <w:qFormat/>
  </w:style>
  <w:style w:type="paragraph" w:styleId="10">
    <w:name w:val="toc 1"/>
    <w:next w:val="af4"/>
    <w:autoRedefine/>
    <w:uiPriority w:val="39"/>
    <w:qFormat/>
    <w:pPr>
      <w:jc w:val="both"/>
    </w:pPr>
    <w:rPr>
      <w:rFonts w:ascii="宋体" w:hAnsi="Times New Roman" w:cs="Times New Roman"/>
      <w:sz w:val="21"/>
    </w:rPr>
  </w:style>
  <w:style w:type="paragraph" w:styleId="af8">
    <w:name w:val="Normal Indent"/>
    <w:basedOn w:val="af4"/>
    <w:autoRedefine/>
    <w:qFormat/>
    <w:pPr>
      <w:ind w:firstLine="420"/>
    </w:pPr>
    <w:rPr>
      <w:szCs w:val="20"/>
    </w:rPr>
  </w:style>
  <w:style w:type="paragraph" w:styleId="af9">
    <w:name w:val="caption"/>
    <w:basedOn w:val="af4"/>
    <w:next w:val="af4"/>
    <w:autoRedefine/>
    <w:qFormat/>
    <w:pPr>
      <w:spacing w:before="152" w:after="160"/>
    </w:pPr>
    <w:rPr>
      <w:rFonts w:ascii="Arial" w:eastAsia="黑体" w:hAnsi="Arial"/>
      <w:szCs w:val="20"/>
    </w:rPr>
  </w:style>
  <w:style w:type="paragraph" w:styleId="afa">
    <w:name w:val="annotation text"/>
    <w:basedOn w:val="af4"/>
    <w:link w:val="Char"/>
    <w:autoRedefine/>
    <w:qFormat/>
    <w:pPr>
      <w:jc w:val="left"/>
    </w:pPr>
  </w:style>
  <w:style w:type="paragraph" w:styleId="afb">
    <w:name w:val="Body Text"/>
    <w:basedOn w:val="af4"/>
    <w:link w:val="Char0"/>
    <w:autoRedefine/>
    <w:qFormat/>
    <w:pPr>
      <w:spacing w:after="120"/>
    </w:pPr>
  </w:style>
  <w:style w:type="paragraph" w:styleId="afc">
    <w:name w:val="Body Text Indent"/>
    <w:basedOn w:val="af4"/>
    <w:link w:val="Char1"/>
    <w:autoRedefine/>
    <w:qFormat/>
    <w:pPr>
      <w:spacing w:line="360" w:lineRule="exact"/>
      <w:ind w:left="420" w:firstLine="480"/>
    </w:pPr>
    <w:rPr>
      <w:sz w:val="24"/>
      <w:szCs w:val="20"/>
    </w:rPr>
  </w:style>
  <w:style w:type="paragraph" w:styleId="HTML">
    <w:name w:val="HTML Address"/>
    <w:basedOn w:val="af4"/>
    <w:autoRedefine/>
    <w:qFormat/>
    <w:rPr>
      <w:i/>
      <w:iCs/>
    </w:rPr>
  </w:style>
  <w:style w:type="paragraph" w:styleId="afd">
    <w:name w:val="Plain Text"/>
    <w:basedOn w:val="af4"/>
    <w:link w:val="Char2"/>
    <w:autoRedefine/>
    <w:uiPriority w:val="99"/>
    <w:qFormat/>
    <w:rPr>
      <w:rFonts w:ascii="宋体" w:hAnsi="Courier New"/>
      <w:szCs w:val="21"/>
    </w:rPr>
  </w:style>
  <w:style w:type="paragraph" w:styleId="80">
    <w:name w:val="toc 8"/>
    <w:basedOn w:val="70"/>
    <w:next w:val="af4"/>
    <w:autoRedefine/>
    <w:qFormat/>
  </w:style>
  <w:style w:type="paragraph" w:styleId="afe">
    <w:name w:val="Date"/>
    <w:basedOn w:val="af4"/>
    <w:next w:val="af4"/>
    <w:link w:val="Char3"/>
    <w:autoRedefine/>
    <w:uiPriority w:val="99"/>
    <w:qFormat/>
    <w:pPr>
      <w:ind w:leftChars="2500" w:left="100"/>
    </w:pPr>
    <w:rPr>
      <w:sz w:val="24"/>
      <w:szCs w:val="20"/>
    </w:rPr>
  </w:style>
  <w:style w:type="paragraph" w:styleId="21">
    <w:name w:val="Body Text Indent 2"/>
    <w:basedOn w:val="af4"/>
    <w:link w:val="2Char0"/>
    <w:autoRedefine/>
    <w:qFormat/>
    <w:pPr>
      <w:spacing w:after="120" w:line="480" w:lineRule="auto"/>
      <w:ind w:leftChars="200" w:left="420"/>
    </w:pPr>
  </w:style>
  <w:style w:type="paragraph" w:styleId="aff">
    <w:name w:val="endnote text"/>
    <w:basedOn w:val="af4"/>
    <w:autoRedefine/>
    <w:qFormat/>
    <w:pPr>
      <w:snapToGrid w:val="0"/>
    </w:pPr>
  </w:style>
  <w:style w:type="paragraph" w:styleId="aff0">
    <w:name w:val="Balloon Text"/>
    <w:basedOn w:val="af4"/>
    <w:link w:val="Char4"/>
    <w:autoRedefine/>
    <w:qFormat/>
    <w:rPr>
      <w:sz w:val="18"/>
      <w:szCs w:val="18"/>
    </w:rPr>
  </w:style>
  <w:style w:type="paragraph" w:styleId="aff1">
    <w:name w:val="footer"/>
    <w:basedOn w:val="af4"/>
    <w:link w:val="Char5"/>
    <w:autoRedefine/>
    <w:qFormat/>
    <w:pPr>
      <w:tabs>
        <w:tab w:val="center" w:pos="4153"/>
        <w:tab w:val="right" w:pos="8306"/>
      </w:tabs>
      <w:snapToGrid w:val="0"/>
      <w:ind w:rightChars="100" w:right="210"/>
      <w:jc w:val="right"/>
    </w:pPr>
    <w:rPr>
      <w:sz w:val="18"/>
      <w:szCs w:val="18"/>
    </w:rPr>
  </w:style>
  <w:style w:type="paragraph" w:styleId="aff2">
    <w:name w:val="header"/>
    <w:basedOn w:val="af4"/>
    <w:link w:val="Char6"/>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4"/>
    <w:link w:val="Char7"/>
    <w:autoRedefine/>
    <w:qFormat/>
    <w:pPr>
      <w:snapToGrid w:val="0"/>
      <w:jc w:val="left"/>
    </w:pPr>
    <w:rPr>
      <w:sz w:val="18"/>
      <w:szCs w:val="18"/>
    </w:rPr>
  </w:style>
  <w:style w:type="paragraph" w:styleId="31">
    <w:name w:val="Body Text Indent 3"/>
    <w:basedOn w:val="af4"/>
    <w:autoRedefine/>
    <w:qFormat/>
    <w:pPr>
      <w:widowControl/>
      <w:spacing w:line="360" w:lineRule="auto"/>
      <w:ind w:firstLine="420"/>
    </w:pPr>
    <w:rPr>
      <w:rFonts w:hAnsi="宋体"/>
      <w:sz w:val="18"/>
    </w:rPr>
  </w:style>
  <w:style w:type="paragraph" w:styleId="90">
    <w:name w:val="toc 9"/>
    <w:basedOn w:val="80"/>
    <w:next w:val="af4"/>
    <w:autoRedefine/>
    <w:qFormat/>
  </w:style>
  <w:style w:type="paragraph" w:styleId="22">
    <w:name w:val="Body Text 2"/>
    <w:basedOn w:val="af4"/>
    <w:link w:val="2Char1"/>
    <w:autoRedefine/>
    <w:uiPriority w:val="99"/>
    <w:unhideWhenUsed/>
    <w:qFormat/>
    <w:pPr>
      <w:spacing w:after="120" w:line="480" w:lineRule="auto"/>
      <w:jc w:val="center"/>
    </w:pPr>
    <w:rPr>
      <w:bCs/>
      <w:szCs w:val="21"/>
    </w:rPr>
  </w:style>
  <w:style w:type="paragraph" w:styleId="HTML0">
    <w:name w:val="HTML Preformatted"/>
    <w:basedOn w:val="af4"/>
    <w:autoRedefine/>
    <w:qFormat/>
    <w:rPr>
      <w:rFonts w:ascii="Courier New" w:hAnsi="Courier New" w:cs="Courier New"/>
      <w:sz w:val="20"/>
      <w:szCs w:val="20"/>
    </w:rPr>
  </w:style>
  <w:style w:type="paragraph" w:styleId="aff4">
    <w:name w:val="Normal (Web)"/>
    <w:basedOn w:val="af4"/>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f4"/>
    <w:link w:val="Char8"/>
    <w:autoRedefine/>
    <w:qFormat/>
    <w:pPr>
      <w:spacing w:before="240" w:after="60"/>
      <w:jc w:val="center"/>
      <w:outlineLvl w:val="0"/>
    </w:pPr>
    <w:rPr>
      <w:rFonts w:ascii="Arial" w:hAnsi="Arial" w:cs="Arial"/>
      <w:b/>
      <w:bCs/>
      <w:sz w:val="32"/>
      <w:szCs w:val="32"/>
    </w:rPr>
  </w:style>
  <w:style w:type="paragraph" w:styleId="aff6">
    <w:name w:val="annotation subject"/>
    <w:basedOn w:val="afa"/>
    <w:next w:val="afa"/>
    <w:link w:val="Char9"/>
    <w:autoRedefine/>
    <w:qFormat/>
    <w:rPr>
      <w:b/>
      <w:bCs/>
    </w:rPr>
  </w:style>
  <w:style w:type="paragraph" w:styleId="aff7">
    <w:name w:val="Body Text First Indent"/>
    <w:basedOn w:val="afb"/>
    <w:autoRedefine/>
    <w:qFormat/>
    <w:pPr>
      <w:ind w:firstLine="420"/>
    </w:pPr>
    <w:rPr>
      <w:szCs w:val="20"/>
    </w:rPr>
  </w:style>
  <w:style w:type="table" w:styleId="aff8">
    <w:name w:val="Table Grid"/>
    <w:basedOn w:val="af6"/>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autoRedefine/>
    <w:uiPriority w:val="22"/>
    <w:qFormat/>
    <w:rPr>
      <w:b/>
      <w:bCs/>
    </w:rPr>
  </w:style>
  <w:style w:type="character" w:styleId="affa">
    <w:name w:val="page number"/>
    <w:autoRedefine/>
    <w:qFormat/>
    <w:rPr>
      <w:rFonts w:ascii="Times New Roman" w:eastAsia="宋体" w:hAnsi="Times New Roman"/>
      <w:sz w:val="18"/>
    </w:rPr>
  </w:style>
  <w:style w:type="character" w:styleId="affb">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5"/>
    <w:autoRedefine/>
    <w:qFormat/>
  </w:style>
  <w:style w:type="character" w:styleId="HTML4">
    <w:name w:val="HTML Variable"/>
    <w:autoRedefine/>
    <w:qFormat/>
    <w:rPr>
      <w:i/>
      <w:iCs/>
    </w:rPr>
  </w:style>
  <w:style w:type="character" w:styleId="affc">
    <w:name w:val="Hyperlink"/>
    <w:basedOn w:val="af5"/>
    <w:autoRedefine/>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d">
    <w:name w:val="annotation reference"/>
    <w:autoRedefine/>
    <w:qFormat/>
    <w:rPr>
      <w:sz w:val="21"/>
      <w:szCs w:val="21"/>
    </w:rPr>
  </w:style>
  <w:style w:type="character" w:styleId="HTML6">
    <w:name w:val="HTML Cite"/>
    <w:autoRedefine/>
    <w:qFormat/>
    <w:rPr>
      <w:i/>
      <w:iCs/>
    </w:rPr>
  </w:style>
  <w:style w:type="character" w:styleId="affe">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
    <w:name w:val="段"/>
    <w:link w:val="Chara"/>
    <w:autoRedefine/>
    <w:qFormat/>
    <w:pPr>
      <w:autoSpaceDE w:val="0"/>
      <w:autoSpaceDN w:val="0"/>
      <w:adjustRightInd w:val="0"/>
      <w:snapToGrid w:val="0"/>
      <w:spacing w:line="360" w:lineRule="auto"/>
      <w:ind w:firstLineChars="200" w:firstLine="420"/>
    </w:pPr>
    <w:rPr>
      <w:rFonts w:ascii="Times New Roman" w:eastAsia="黑体" w:hAnsi="Times New Roman" w:cs="Times New Roman"/>
      <w:color w:val="000000" w:themeColor="text1"/>
      <w:sz w:val="21"/>
      <w:szCs w:val="21"/>
    </w:rPr>
  </w:style>
  <w:style w:type="paragraph" w:customStyle="1" w:styleId="afff0">
    <w:name w:val="二级条标题"/>
    <w:basedOn w:val="afff1"/>
    <w:next w:val="afff"/>
    <w:link w:val="Charb"/>
    <w:autoRedefine/>
    <w:qFormat/>
    <w:pPr>
      <w:outlineLvl w:val="3"/>
    </w:pPr>
    <w:rPr>
      <w:spacing w:val="-6"/>
    </w:rPr>
  </w:style>
  <w:style w:type="paragraph" w:customStyle="1" w:styleId="afff1">
    <w:name w:val="一级条标题"/>
    <w:basedOn w:val="afff2"/>
    <w:next w:val="afff"/>
    <w:link w:val="Charc"/>
    <w:autoRedefine/>
    <w:qFormat/>
    <w:pPr>
      <w:spacing w:line="300" w:lineRule="auto"/>
      <w:outlineLvl w:val="2"/>
    </w:pPr>
    <w:rPr>
      <w:color w:val="000000" w:themeColor="text1"/>
      <w:spacing w:val="-4"/>
    </w:rPr>
  </w:style>
  <w:style w:type="paragraph" w:customStyle="1" w:styleId="afff2">
    <w:name w:val="章标题"/>
    <w:next w:val="afff"/>
    <w:link w:val="Chard"/>
    <w:autoRedefine/>
    <w:qFormat/>
    <w:pPr>
      <w:spacing w:line="360" w:lineRule="auto"/>
      <w:jc w:val="both"/>
      <w:outlineLvl w:val="1"/>
    </w:pPr>
    <w:rPr>
      <w:rFonts w:ascii="黑体" w:eastAsia="黑体" w:hAnsi="黑体" w:cs="Times New Roman"/>
      <w:sz w:val="21"/>
      <w:szCs w:val="21"/>
    </w:rPr>
  </w:style>
  <w:style w:type="paragraph" w:customStyle="1" w:styleId="afff3">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autoRedefine/>
    <w:qFormat/>
    <w:pPr>
      <w:numPr>
        <w:numId w:val="1"/>
      </w:numPr>
      <w:tabs>
        <w:tab w:val="left" w:pos="6405"/>
      </w:tabs>
      <w:spacing w:after="200"/>
    </w:pPr>
  </w:style>
  <w:style w:type="paragraph" w:customStyle="1" w:styleId="af1">
    <w:name w:val="前言、引言标题"/>
    <w:next w:val="af4"/>
    <w:autoRedefine/>
    <w:qFormat/>
    <w:pPr>
      <w:numPr>
        <w:numId w:val="2"/>
      </w:numPr>
      <w:shd w:val="clear" w:color="FFFFFF" w:fill="FFFFFF"/>
      <w:spacing w:line="360" w:lineRule="auto"/>
      <w:jc w:val="center"/>
      <w:outlineLvl w:val="0"/>
    </w:pPr>
    <w:rPr>
      <w:rFonts w:ascii="Times New Roman" w:hAnsi="Times New Roman" w:cs="Times New Roman"/>
      <w:bCs/>
      <w:spacing w:val="-6"/>
      <w:kern w:val="2"/>
      <w:sz w:val="21"/>
      <w:szCs w:val="21"/>
    </w:rPr>
  </w:style>
  <w:style w:type="paragraph" w:customStyle="1" w:styleId="afff4">
    <w:name w:val="封面标准文稿编辑信息"/>
    <w:autoRedefine/>
    <w:qFormat/>
    <w:pPr>
      <w:spacing w:before="180" w:line="180" w:lineRule="exact"/>
      <w:jc w:val="center"/>
    </w:pPr>
    <w:rPr>
      <w:rFonts w:ascii="宋体" w:hAnsi="Times New Roman" w:cs="Times New Roman"/>
      <w:sz w:val="21"/>
    </w:rPr>
  </w:style>
  <w:style w:type="paragraph" w:customStyle="1" w:styleId="afff5">
    <w:name w:val="发布部门"/>
    <w:next w:val="afff"/>
    <w:autoRedefine/>
    <w:qFormat/>
    <w:pPr>
      <w:jc w:val="center"/>
    </w:pPr>
    <w:rPr>
      <w:rFonts w:ascii="宋体" w:hAnsi="Times New Roman" w:cs="Times New Roman"/>
      <w:b/>
      <w:spacing w:val="20"/>
      <w:w w:val="135"/>
      <w:sz w:val="36"/>
    </w:rPr>
  </w:style>
  <w:style w:type="paragraph" w:customStyle="1" w:styleId="afff6">
    <w:name w:val="标准书脚_偶数页"/>
    <w:autoRedefine/>
    <w:qFormat/>
    <w:pPr>
      <w:spacing w:before="120"/>
    </w:pPr>
    <w:rPr>
      <w:rFonts w:ascii="Times New Roman" w:hAnsi="Times New Roman" w:cs="Times New Roman"/>
      <w:sz w:val="18"/>
    </w:rPr>
  </w:style>
  <w:style w:type="paragraph" w:customStyle="1" w:styleId="afff7">
    <w:name w:val="四级条标题"/>
    <w:basedOn w:val="afff8"/>
    <w:next w:val="afff"/>
    <w:autoRedefine/>
    <w:qFormat/>
    <w:pPr>
      <w:outlineLvl w:val="5"/>
    </w:pPr>
  </w:style>
  <w:style w:type="paragraph" w:customStyle="1" w:styleId="afff8">
    <w:name w:val="三级条标题"/>
    <w:basedOn w:val="afff0"/>
    <w:next w:val="afff"/>
    <w:link w:val="Charf"/>
    <w:autoRedefine/>
    <w:qFormat/>
    <w:pPr>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9">
    <w:name w:val="标准书脚_奇数页"/>
    <w:autoRedefine/>
    <w:qFormat/>
    <w:pPr>
      <w:spacing w:before="120"/>
      <w:jc w:val="right"/>
    </w:pPr>
    <w:rPr>
      <w:rFonts w:ascii="Times New Roman" w:hAnsi="Times New Roman" w:cs="Times New Roman"/>
      <w:sz w:val="18"/>
    </w:rPr>
  </w:style>
  <w:style w:type="paragraph" w:customStyle="1" w:styleId="af3">
    <w:name w:val="参考文献、索引标题"/>
    <w:basedOn w:val="af1"/>
    <w:next w:val="af4"/>
    <w:autoRedefine/>
    <w:qFormat/>
    <w:pPr>
      <w:numPr>
        <w:numId w:val="11"/>
      </w:numPr>
      <w:tabs>
        <w:tab w:val="left" w:pos="426"/>
      </w:tabs>
      <w:ind w:left="0" w:firstLine="0"/>
      <w:jc w:val="left"/>
    </w:pPr>
    <w:rPr>
      <w:rFonts w:ascii="黑体" w:eastAsia="黑体" w:hAnsi="黑体"/>
      <w:sz w:val="28"/>
      <w:szCs w:val="28"/>
    </w:rPr>
  </w:style>
  <w:style w:type="paragraph" w:customStyle="1" w:styleId="afffa">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3"/>
    <w:autoRedefine/>
    <w:qFormat/>
    <w:pPr>
      <w:ind w:leftChars="200" w:left="780" w:hangingChars="200" w:hanging="360"/>
      <w:jc w:val="both"/>
    </w:pPr>
    <w:rPr>
      <w:rFonts w:ascii="宋体"/>
    </w:rPr>
  </w:style>
  <w:style w:type="paragraph" w:customStyle="1" w:styleId="a9">
    <w:name w:val="附录章标题"/>
    <w:next w:val="afff"/>
    <w:autoRedefine/>
    <w:qFormat/>
    <w:pPr>
      <w:numPr>
        <w:ilvl w:val="1"/>
        <w:numId w:val="1"/>
      </w:numPr>
      <w:overflowPunct w:val="0"/>
      <w:autoSpaceDE w:val="0"/>
      <w:spacing w:afterLines="50" w:after="156" w:line="360" w:lineRule="auto"/>
      <w:jc w:val="both"/>
      <w:textAlignment w:val="baseline"/>
      <w:outlineLvl w:val="1"/>
    </w:pPr>
    <w:rPr>
      <w:rFonts w:ascii="黑体" w:eastAsia="黑体" w:hAnsi="Times New Roman" w:cs="Times New Roman"/>
      <w:kern w:val="21"/>
      <w:sz w:val="24"/>
      <w:szCs w:val="24"/>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f"/>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4"/>
    <w:autoRedefine/>
    <w:qFormat/>
    <w:pPr>
      <w:numPr>
        <w:ilvl w:val="6"/>
        <w:numId w:val="5"/>
      </w:numPr>
    </w:pPr>
  </w:style>
  <w:style w:type="paragraph" w:customStyle="1" w:styleId="affff0">
    <w:name w:val="标准标志"/>
    <w:next w:val="af4"/>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4"/>
    <w:qFormat/>
    <w:pPr>
      <w:widowControl/>
      <w:spacing w:after="160" w:line="240" w:lineRule="exact"/>
      <w:jc w:val="left"/>
    </w:pPr>
  </w:style>
  <w:style w:type="paragraph" w:customStyle="1" w:styleId="affff1">
    <w:name w:val="无标题条"/>
    <w:next w:val="afff"/>
    <w:autoRedefine/>
    <w:qFormat/>
    <w:pPr>
      <w:jc w:val="both"/>
    </w:pPr>
    <w:rPr>
      <w:rFonts w:ascii="Times New Roman" w:hAnsi="Times New Roman" w:cs="Times New Roman"/>
      <w:sz w:val="21"/>
    </w:rPr>
  </w:style>
  <w:style w:type="paragraph" w:customStyle="1" w:styleId="affff2">
    <w:name w:val="五级条标题"/>
    <w:basedOn w:val="afff7"/>
    <w:next w:val="afff"/>
    <w:autoRedefine/>
    <w:qFormat/>
    <w:pPr>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4"/>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f"/>
    <w:autoRedefine/>
    <w:qFormat/>
    <w:pPr>
      <w:numPr>
        <w:numId w:val="6"/>
      </w:numPr>
      <w:jc w:val="center"/>
    </w:pPr>
    <w:rPr>
      <w:rFonts w:ascii="黑体" w:eastAsia="黑体" w:hAnsi="Times New Roman" w:cs="Times New Roman"/>
      <w:sz w:val="21"/>
    </w:rPr>
  </w:style>
  <w:style w:type="paragraph" w:customStyle="1" w:styleId="a1">
    <w:name w:val="注："/>
    <w:next w:val="afff"/>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4"/>
    <w:autoRedefine/>
    <w:qFormat/>
    <w:pPr>
      <w:jc w:val="left"/>
    </w:pPr>
  </w:style>
  <w:style w:type="paragraph" w:customStyle="1" w:styleId="a3">
    <w:name w:val="二级无标题条"/>
    <w:basedOn w:val="af4"/>
    <w:autoRedefine/>
    <w:qFormat/>
    <w:pPr>
      <w:numPr>
        <w:ilvl w:val="3"/>
        <w:numId w:val="5"/>
      </w:numPr>
    </w:pPr>
  </w:style>
  <w:style w:type="paragraph" w:customStyle="1" w:styleId="affff6">
    <w:name w:val="附录表标题"/>
    <w:next w:val="afff"/>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f"/>
    <w:qFormat/>
    <w:pPr>
      <w:numPr>
        <w:ilvl w:val="6"/>
      </w:numPr>
      <w:outlineLvl w:val="6"/>
    </w:pPr>
  </w:style>
  <w:style w:type="paragraph" w:customStyle="1" w:styleId="ad">
    <w:name w:val="附录四级条标题"/>
    <w:basedOn w:val="ac"/>
    <w:next w:val="afff"/>
    <w:autoRedefine/>
    <w:qFormat/>
    <w:pPr>
      <w:numPr>
        <w:ilvl w:val="5"/>
      </w:numPr>
      <w:outlineLvl w:val="5"/>
    </w:pPr>
  </w:style>
  <w:style w:type="paragraph" w:customStyle="1" w:styleId="ac">
    <w:name w:val="附录三级条标题"/>
    <w:basedOn w:val="ab"/>
    <w:next w:val="afff"/>
    <w:autoRedefine/>
    <w:qFormat/>
    <w:pPr>
      <w:numPr>
        <w:ilvl w:val="4"/>
      </w:numPr>
      <w:outlineLvl w:val="4"/>
    </w:pPr>
  </w:style>
  <w:style w:type="paragraph" w:customStyle="1" w:styleId="ab">
    <w:name w:val="附录二级条标题"/>
    <w:basedOn w:val="aa"/>
    <w:next w:val="afff"/>
    <w:autoRedefine/>
    <w:qFormat/>
    <w:pPr>
      <w:numPr>
        <w:ilvl w:val="3"/>
      </w:numPr>
      <w:outlineLvl w:val="3"/>
    </w:pPr>
  </w:style>
  <w:style w:type="paragraph" w:customStyle="1" w:styleId="aa">
    <w:name w:val="附录一级条标题"/>
    <w:basedOn w:val="a9"/>
    <w:next w:val="afff"/>
    <w:autoRedefine/>
    <w:qFormat/>
    <w:pPr>
      <w:numPr>
        <w:ilvl w:val="2"/>
      </w:numPr>
      <w:autoSpaceDN w:val="0"/>
      <w:spacing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f"/>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f"/>
    <w:autoRedefine/>
    <w:qFormat/>
    <w:pPr>
      <w:numPr>
        <w:numId w:val="8"/>
      </w:numPr>
      <w:jc w:val="center"/>
    </w:pPr>
    <w:rPr>
      <w:rFonts w:ascii="黑体" w:eastAsia="黑体" w:hAnsi="Times New Roman" w:cs="Times New Roman"/>
      <w:sz w:val="21"/>
    </w:rPr>
  </w:style>
  <w:style w:type="paragraph" w:customStyle="1" w:styleId="a0">
    <w:name w:val="示例"/>
    <w:next w:val="afff"/>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4"/>
    <w:next w:val="af4"/>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4"/>
    <w:autoRedefine/>
    <w:qFormat/>
    <w:pPr>
      <w:numPr>
        <w:ilvl w:val="5"/>
        <w:numId w:val="5"/>
      </w:numPr>
    </w:pPr>
  </w:style>
  <w:style w:type="paragraph" w:customStyle="1" w:styleId="affffe">
    <w:name w:val="目次、标准名称标题"/>
    <w:basedOn w:val="af1"/>
    <w:next w:val="afff"/>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4"/>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5"/>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4"/>
    <w:autoRedefine/>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4"/>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4"/>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4"/>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4"/>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4"/>
    <w:autoRedefine/>
    <w:qFormat/>
    <w:pPr>
      <w:widowControl/>
      <w:spacing w:before="100" w:beforeAutospacing="1" w:after="100" w:afterAutospacing="1"/>
      <w:jc w:val="left"/>
    </w:pPr>
    <w:rPr>
      <w:b/>
      <w:bCs/>
      <w:kern w:val="0"/>
      <w:sz w:val="20"/>
      <w:szCs w:val="20"/>
    </w:rPr>
  </w:style>
  <w:style w:type="paragraph" w:customStyle="1" w:styleId="font7">
    <w:name w:val="font7"/>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4"/>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4"/>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4"/>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4"/>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4"/>
    <w:autoRedefine/>
    <w:qFormat/>
    <w:pPr>
      <w:adjustRightInd w:val="0"/>
      <w:jc w:val="center"/>
    </w:pPr>
    <w:rPr>
      <w:rFonts w:eastAsia="黑体"/>
      <w:kern w:val="0"/>
      <w:sz w:val="52"/>
      <w:szCs w:val="20"/>
    </w:rPr>
  </w:style>
  <w:style w:type="paragraph" w:customStyle="1" w:styleId="24">
    <w:name w:val="样式2"/>
    <w:basedOn w:val="afff8"/>
    <w:autoRedefine/>
    <w:qFormat/>
    <w:pPr>
      <w:spacing w:line="240" w:lineRule="auto"/>
      <w:ind w:left="454"/>
    </w:pPr>
    <w:rPr>
      <w:color w:val="auto"/>
      <w:spacing w:val="0"/>
      <w:szCs w:val="20"/>
    </w:rPr>
  </w:style>
  <w:style w:type="paragraph" w:customStyle="1" w:styleId="12">
    <w:name w:val="列出段落1"/>
    <w:basedOn w:val="af4"/>
    <w:autoRedefine/>
    <w:uiPriority w:val="34"/>
    <w:qFormat/>
    <w:pPr>
      <w:ind w:firstLineChars="200" w:firstLine="420"/>
    </w:pPr>
    <w:rPr>
      <w:rFonts w:ascii="Calibri" w:hAnsi="Calibri"/>
      <w:szCs w:val="22"/>
    </w:rPr>
  </w:style>
  <w:style w:type="paragraph" w:customStyle="1" w:styleId="afffff5">
    <w:name w:val="图表脚注说明"/>
    <w:basedOn w:val="af4"/>
    <w:autoRedefine/>
    <w:qFormat/>
    <w:rPr>
      <w:rFonts w:ascii="宋体"/>
      <w:sz w:val="18"/>
      <w:szCs w:val="18"/>
    </w:rPr>
  </w:style>
  <w:style w:type="paragraph" w:customStyle="1" w:styleId="Char11">
    <w:name w:val="Char11"/>
    <w:basedOn w:val="af4"/>
    <w:autoRedefine/>
    <w:qFormat/>
    <w:pPr>
      <w:widowControl/>
      <w:spacing w:after="160" w:line="240" w:lineRule="exact"/>
      <w:jc w:val="left"/>
    </w:pPr>
  </w:style>
  <w:style w:type="paragraph" w:customStyle="1" w:styleId="ordinary-output">
    <w:name w:val="ordinary-output"/>
    <w:basedOn w:val="af4"/>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4"/>
    <w:autoRedefine/>
    <w:uiPriority w:val="34"/>
    <w:qFormat/>
    <w:pPr>
      <w:ind w:firstLineChars="200" w:firstLine="420"/>
    </w:pPr>
    <w:rPr>
      <w:sz w:val="24"/>
    </w:rPr>
  </w:style>
  <w:style w:type="paragraph" w:customStyle="1" w:styleId="Char1CharCharChar">
    <w:name w:val="Char1 Char Char Char"/>
    <w:basedOn w:val="af4"/>
    <w:autoRedefine/>
    <w:qFormat/>
    <w:rPr>
      <w:szCs w:val="20"/>
    </w:rPr>
  </w:style>
  <w:style w:type="paragraph" w:customStyle="1" w:styleId="Char10">
    <w:name w:val="Char1"/>
    <w:basedOn w:val="af4"/>
    <w:autoRedefine/>
    <w:qFormat/>
    <w:pPr>
      <w:widowControl/>
      <w:spacing w:after="160" w:line="240" w:lineRule="exact"/>
      <w:jc w:val="left"/>
    </w:pPr>
  </w:style>
  <w:style w:type="paragraph" w:customStyle="1" w:styleId="DecimalAligned">
    <w:name w:val="Decimal Aligned"/>
    <w:basedOn w:val="af4"/>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4"/>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4"/>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4"/>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4"/>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4"/>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4"/>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4"/>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4"/>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4"/>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4"/>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4"/>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4"/>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4"/>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4"/>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4"/>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4"/>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4"/>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4"/>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4"/>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4"/>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4"/>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4"/>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4"/>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4"/>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4"/>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4"/>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4"/>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4"/>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4"/>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4"/>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4"/>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4"/>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4"/>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4"/>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4"/>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4"/>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4"/>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4"/>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4"/>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4"/>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4"/>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4"/>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4"/>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4"/>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4"/>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4"/>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4"/>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4"/>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4"/>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4"/>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4"/>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4"/>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4"/>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4"/>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4"/>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4"/>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4"/>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4"/>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4"/>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4"/>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4"/>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
    <w:autoRedefine/>
    <w:qFormat/>
    <w:rPr>
      <w:rFonts w:ascii="Times New Roman" w:eastAsia="黑体" w:hAnsi="Times New Roman" w:cs="Times New Roman"/>
      <w:color w:val="000000" w:themeColor="text1"/>
      <w:sz w:val="21"/>
      <w:szCs w:val="21"/>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0"/>
    <w:autoRedefine/>
    <w:qFormat/>
    <w:rPr>
      <w:rFonts w:ascii="黑体" w:eastAsia="黑体" w:hAnsi="黑体" w:cs="Times New Roman"/>
      <w:color w:val="000000" w:themeColor="text1"/>
      <w:spacing w:val="-6"/>
      <w:sz w:val="21"/>
      <w:szCs w:val="24"/>
    </w:rPr>
  </w:style>
  <w:style w:type="character" w:customStyle="1" w:styleId="Chard">
    <w:name w:val="章标题 Char"/>
    <w:link w:val="afff2"/>
    <w:autoRedefine/>
    <w:qFormat/>
    <w:rPr>
      <w:rFonts w:ascii="黑体" w:eastAsia="黑体" w:hAnsi="黑体" w:cs="Times New Roman"/>
      <w:sz w:val="21"/>
      <w:szCs w:val="21"/>
    </w:rPr>
  </w:style>
  <w:style w:type="character" w:customStyle="1" w:styleId="Charc">
    <w:name w:val="一级条标题 Char"/>
    <w:link w:val="afff1"/>
    <w:autoRedefine/>
    <w:qFormat/>
    <w:rPr>
      <w:rFonts w:ascii="黑体" w:eastAsia="黑体" w:hAnsi="黑体" w:cs="Times New Roman"/>
      <w:color w:val="000000" w:themeColor="text1"/>
      <w:spacing w:val="-4"/>
      <w:sz w:val="21"/>
      <w:szCs w:val="21"/>
    </w:rPr>
  </w:style>
  <w:style w:type="character" w:customStyle="1" w:styleId="Char2">
    <w:name w:val="纯文本 Char"/>
    <w:link w:val="afd"/>
    <w:autoRedefine/>
    <w:uiPriority w:val="99"/>
    <w:qFormat/>
    <w:rPr>
      <w:rFonts w:ascii="宋体" w:hAnsi="Courier New" w:cs="Courier New"/>
      <w:kern w:val="2"/>
      <w:sz w:val="21"/>
      <w:szCs w:val="21"/>
    </w:rPr>
  </w:style>
  <w:style w:type="character" w:customStyle="1" w:styleId="Charf">
    <w:name w:val="三级条标题 Char"/>
    <w:link w:val="afff8"/>
    <w:autoRedefine/>
    <w:qFormat/>
    <w:rPr>
      <w:rFonts w:ascii="黑体" w:eastAsia="黑体"/>
      <w:color w:val="FF0000"/>
      <w:spacing w:val="-4"/>
      <w:sz w:val="21"/>
      <w:szCs w:val="24"/>
    </w:rPr>
  </w:style>
  <w:style w:type="character" w:customStyle="1" w:styleId="Char4">
    <w:name w:val="批注框文本 Char"/>
    <w:link w:val="aff0"/>
    <w:autoRedefine/>
    <w:qFormat/>
    <w:rPr>
      <w:kern w:val="2"/>
      <w:sz w:val="18"/>
      <w:szCs w:val="18"/>
    </w:rPr>
  </w:style>
  <w:style w:type="character" w:customStyle="1" w:styleId="Char0">
    <w:name w:val="正文文本 Char"/>
    <w:link w:val="afb"/>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1"/>
    <w:autoRedefine/>
    <w:uiPriority w:val="99"/>
    <w:qFormat/>
    <w:rPr>
      <w:kern w:val="2"/>
      <w:sz w:val="18"/>
      <w:szCs w:val="18"/>
    </w:rPr>
  </w:style>
  <w:style w:type="character" w:customStyle="1" w:styleId="Char1">
    <w:name w:val="正文文本缩进 Char"/>
    <w:link w:val="afc"/>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a"/>
    <w:autoRedefine/>
    <w:qFormat/>
    <w:rPr>
      <w:kern w:val="2"/>
      <w:sz w:val="21"/>
      <w:szCs w:val="24"/>
    </w:rPr>
  </w:style>
  <w:style w:type="character" w:customStyle="1" w:styleId="Char9">
    <w:name w:val="批注主题 Char"/>
    <w:link w:val="aff6"/>
    <w:autoRedefine/>
    <w:qFormat/>
    <w:rPr>
      <w:b/>
      <w:bCs/>
      <w:kern w:val="2"/>
      <w:sz w:val="21"/>
      <w:szCs w:val="24"/>
    </w:rPr>
  </w:style>
  <w:style w:type="character" w:customStyle="1" w:styleId="Char6">
    <w:name w:val="页眉 Char"/>
    <w:link w:val="aff2"/>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e"/>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4"/>
    <w:autoRedefine/>
    <w:uiPriority w:val="34"/>
    <w:qFormat/>
    <w:pPr>
      <w:widowControl/>
      <w:jc w:val="center"/>
    </w:pPr>
  </w:style>
  <w:style w:type="paragraph" w:customStyle="1" w:styleId="TableParagraph">
    <w:name w:val="Table Paragraph"/>
    <w:basedOn w:val="af4"/>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5"/>
    <w:autoRedefine/>
    <w:qFormat/>
    <w:rPr>
      <w:rFonts w:ascii="宋体" w:eastAsia="宋体" w:hAnsi="宋体" w:hint="eastAsia"/>
      <w:color w:val="000000"/>
      <w:sz w:val="24"/>
      <w:szCs w:val="24"/>
    </w:rPr>
  </w:style>
  <w:style w:type="character" w:customStyle="1" w:styleId="1Char">
    <w:name w:val="标题 1 Char"/>
    <w:basedOn w:val="af5"/>
    <w:link w:val="1"/>
    <w:autoRedefine/>
    <w:qFormat/>
    <w:rPr>
      <w:rFonts w:ascii="Times New Roman" w:eastAsia="宋体" w:hAnsi="Times New Roman" w:cs="Times New Roman"/>
      <w:b/>
      <w:bCs/>
      <w:kern w:val="44"/>
      <w:sz w:val="44"/>
      <w:szCs w:val="44"/>
    </w:rPr>
  </w:style>
  <w:style w:type="character" w:customStyle="1" w:styleId="2Char">
    <w:name w:val="标题 2 Char"/>
    <w:basedOn w:val="af5"/>
    <w:link w:val="2"/>
    <w:autoRedefine/>
    <w:qFormat/>
    <w:rPr>
      <w:rFonts w:ascii="Arial" w:eastAsia="黑体" w:hAnsi="Arial" w:cs="Times New Roman"/>
      <w:b/>
      <w:bCs/>
      <w:kern w:val="2"/>
      <w:sz w:val="32"/>
      <w:szCs w:val="32"/>
    </w:rPr>
  </w:style>
  <w:style w:type="character" w:customStyle="1" w:styleId="3Char">
    <w:name w:val="标题 3 Char"/>
    <w:basedOn w:val="af5"/>
    <w:link w:val="3"/>
    <w:autoRedefine/>
    <w:qFormat/>
    <w:rPr>
      <w:rFonts w:ascii="Times New Roman" w:eastAsia="宋体" w:hAnsi="Times New Roman" w:cs="Times New Roman"/>
      <w:b/>
      <w:bCs/>
      <w:kern w:val="2"/>
      <w:sz w:val="32"/>
      <w:szCs w:val="32"/>
    </w:rPr>
  </w:style>
  <w:style w:type="character" w:customStyle="1" w:styleId="Char8">
    <w:name w:val="标题 Char"/>
    <w:link w:val="aff5"/>
    <w:autoRedefine/>
    <w:qFormat/>
    <w:rPr>
      <w:rFonts w:ascii="Arial" w:eastAsia="宋体" w:hAnsi="Arial" w:cs="Arial"/>
      <w:b/>
      <w:bCs/>
      <w:kern w:val="2"/>
      <w:sz w:val="32"/>
      <w:szCs w:val="32"/>
    </w:rPr>
  </w:style>
  <w:style w:type="character" w:customStyle="1" w:styleId="Char7">
    <w:name w:val="脚注文本 Char"/>
    <w:link w:val="aff3"/>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5"/>
    <w:autoRedefine/>
    <w:uiPriority w:val="99"/>
    <w:semiHidden/>
    <w:qFormat/>
    <w:rPr>
      <w:rFonts w:ascii="Calibri" w:eastAsia="宋体" w:hAnsi="Calibri" w:cs="Times New Roman"/>
      <w:sz w:val="18"/>
      <w:szCs w:val="18"/>
    </w:rPr>
  </w:style>
  <w:style w:type="character" w:customStyle="1" w:styleId="Char14">
    <w:name w:val="脚注文本 Char1"/>
    <w:basedOn w:val="af5"/>
    <w:autoRedefine/>
    <w:uiPriority w:val="99"/>
    <w:semiHidden/>
    <w:qFormat/>
    <w:rPr>
      <w:rFonts w:ascii="Calibri" w:eastAsia="宋体" w:hAnsi="Calibri" w:cs="Times New Roman"/>
      <w:sz w:val="18"/>
      <w:szCs w:val="18"/>
    </w:rPr>
  </w:style>
  <w:style w:type="character" w:customStyle="1" w:styleId="Char15">
    <w:name w:val="标题 Char1"/>
    <w:basedOn w:val="af5"/>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4"/>
    <w:autoRedefine/>
    <w:qFormat/>
  </w:style>
  <w:style w:type="paragraph" w:customStyle="1" w:styleId="WPSOffice1">
    <w:name w:val="WPSOffice手动目录 1"/>
    <w:autoRedefine/>
    <w:qFormat/>
    <w:rPr>
      <w:rFonts w:cs="Times New Roman"/>
    </w:rPr>
  </w:style>
  <w:style w:type="paragraph" w:customStyle="1" w:styleId="15">
    <w:name w:val="1"/>
    <w:basedOn w:val="af4"/>
    <w:next w:val="afc"/>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4"/>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6"/>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5"/>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4"/>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5"/>
    <w:link w:val="22"/>
    <w:uiPriority w:val="99"/>
    <w:qFormat/>
    <w:locked/>
    <w:rPr>
      <w:rFonts w:ascii="Times New Roman" w:hAnsi="Times New Roman" w:cs="Times New Roman"/>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rFonts w:ascii="Times New Roman" w:hAnsi="Times New Roman" w:cs="Times New Roman"/>
      <w:kern w:val="2"/>
      <w:sz w:val="21"/>
      <w:szCs w:val="24"/>
    </w:rPr>
  </w:style>
  <w:style w:type="paragraph" w:styleId="1">
    <w:name w:val="heading 1"/>
    <w:basedOn w:val="af4"/>
    <w:next w:val="af4"/>
    <w:link w:val="1Char"/>
    <w:autoRedefine/>
    <w:qFormat/>
    <w:pPr>
      <w:keepNext/>
      <w:keepLines/>
      <w:spacing w:before="340" w:after="330" w:line="576" w:lineRule="auto"/>
      <w:outlineLvl w:val="0"/>
    </w:pPr>
    <w:rPr>
      <w:b/>
      <w:bCs/>
      <w:kern w:val="44"/>
      <w:sz w:val="44"/>
      <w:szCs w:val="44"/>
    </w:rPr>
  </w:style>
  <w:style w:type="paragraph" w:styleId="2">
    <w:name w:val="heading 2"/>
    <w:basedOn w:val="af4"/>
    <w:next w:val="af4"/>
    <w:link w:val="2Char"/>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f4"/>
    <w:next w:val="af4"/>
    <w:link w:val="3Char"/>
    <w:autoRedefine/>
    <w:qFormat/>
    <w:pPr>
      <w:keepNext/>
      <w:keepLines/>
      <w:spacing w:before="260" w:after="260" w:line="413" w:lineRule="auto"/>
      <w:outlineLvl w:val="2"/>
    </w:pPr>
    <w:rPr>
      <w:b/>
      <w:bCs/>
      <w:sz w:val="32"/>
      <w:szCs w:val="32"/>
    </w:rPr>
  </w:style>
  <w:style w:type="paragraph" w:styleId="4">
    <w:name w:val="heading 4"/>
    <w:basedOn w:val="af4"/>
    <w:next w:val="af4"/>
    <w:qFormat/>
    <w:pPr>
      <w:keepNext/>
      <w:keepLines/>
      <w:spacing w:before="280" w:after="290" w:line="372" w:lineRule="auto"/>
      <w:outlineLvl w:val="3"/>
    </w:pPr>
    <w:rPr>
      <w:rFonts w:ascii="Arial" w:eastAsia="黑体" w:hAnsi="Arial"/>
      <w:b/>
      <w:bCs/>
      <w:sz w:val="28"/>
      <w:szCs w:val="28"/>
    </w:rPr>
  </w:style>
  <w:style w:type="paragraph" w:styleId="5">
    <w:name w:val="heading 5"/>
    <w:basedOn w:val="af4"/>
    <w:next w:val="af4"/>
    <w:autoRedefine/>
    <w:qFormat/>
    <w:pPr>
      <w:keepNext/>
      <w:keepLines/>
      <w:spacing w:before="280" w:after="290" w:line="372" w:lineRule="auto"/>
      <w:outlineLvl w:val="4"/>
    </w:pPr>
    <w:rPr>
      <w:b/>
      <w:bCs/>
      <w:sz w:val="28"/>
      <w:szCs w:val="28"/>
    </w:rPr>
  </w:style>
  <w:style w:type="paragraph" w:styleId="6">
    <w:name w:val="heading 6"/>
    <w:basedOn w:val="af4"/>
    <w:next w:val="af4"/>
    <w:autoRedefine/>
    <w:qFormat/>
    <w:pPr>
      <w:keepNext/>
      <w:keepLines/>
      <w:spacing w:before="240" w:after="64" w:line="317" w:lineRule="auto"/>
      <w:outlineLvl w:val="5"/>
    </w:pPr>
    <w:rPr>
      <w:rFonts w:ascii="Arial" w:eastAsia="黑体" w:hAnsi="Arial"/>
      <w:b/>
      <w:bCs/>
      <w:sz w:val="24"/>
    </w:rPr>
  </w:style>
  <w:style w:type="paragraph" w:styleId="7">
    <w:name w:val="heading 7"/>
    <w:basedOn w:val="af4"/>
    <w:next w:val="af4"/>
    <w:autoRedefine/>
    <w:qFormat/>
    <w:pPr>
      <w:keepNext/>
      <w:keepLines/>
      <w:spacing w:before="240" w:after="64" w:line="317" w:lineRule="auto"/>
      <w:outlineLvl w:val="6"/>
    </w:pPr>
    <w:rPr>
      <w:b/>
      <w:bCs/>
      <w:sz w:val="24"/>
    </w:rPr>
  </w:style>
  <w:style w:type="paragraph" w:styleId="8">
    <w:name w:val="heading 8"/>
    <w:basedOn w:val="af4"/>
    <w:next w:val="af4"/>
    <w:autoRedefine/>
    <w:qFormat/>
    <w:pPr>
      <w:keepNext/>
      <w:keepLines/>
      <w:spacing w:before="240" w:after="64" w:line="317" w:lineRule="auto"/>
      <w:outlineLvl w:val="7"/>
    </w:pPr>
    <w:rPr>
      <w:rFonts w:ascii="Arial" w:eastAsia="黑体" w:hAnsi="Arial"/>
      <w:sz w:val="24"/>
    </w:rPr>
  </w:style>
  <w:style w:type="paragraph" w:styleId="9">
    <w:name w:val="heading 9"/>
    <w:basedOn w:val="af4"/>
    <w:next w:val="af4"/>
    <w:qFormat/>
    <w:pPr>
      <w:keepNext/>
      <w:keepLines/>
      <w:spacing w:before="240" w:after="64" w:line="317"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autoRedefine/>
    <w:qFormat/>
  </w:style>
  <w:style w:type="paragraph" w:styleId="60">
    <w:name w:val="toc 6"/>
    <w:basedOn w:val="50"/>
    <w:next w:val="af4"/>
    <w:autoRedefine/>
    <w:qFormat/>
  </w:style>
  <w:style w:type="paragraph" w:styleId="50">
    <w:name w:val="toc 5"/>
    <w:basedOn w:val="40"/>
    <w:next w:val="af4"/>
    <w:autoRedefine/>
    <w:qFormat/>
  </w:style>
  <w:style w:type="paragraph" w:styleId="40">
    <w:name w:val="toc 4"/>
    <w:basedOn w:val="30"/>
    <w:next w:val="af4"/>
    <w:autoRedefine/>
    <w:qFormat/>
  </w:style>
  <w:style w:type="paragraph" w:styleId="30">
    <w:name w:val="toc 3"/>
    <w:basedOn w:val="20"/>
    <w:next w:val="af4"/>
    <w:autoRedefine/>
    <w:uiPriority w:val="39"/>
    <w:qFormat/>
  </w:style>
  <w:style w:type="paragraph" w:styleId="20">
    <w:name w:val="toc 2"/>
    <w:basedOn w:val="10"/>
    <w:next w:val="af4"/>
    <w:autoRedefine/>
    <w:uiPriority w:val="39"/>
    <w:qFormat/>
  </w:style>
  <w:style w:type="paragraph" w:styleId="10">
    <w:name w:val="toc 1"/>
    <w:next w:val="af4"/>
    <w:autoRedefine/>
    <w:uiPriority w:val="39"/>
    <w:qFormat/>
    <w:pPr>
      <w:jc w:val="both"/>
    </w:pPr>
    <w:rPr>
      <w:rFonts w:ascii="宋体" w:hAnsi="Times New Roman" w:cs="Times New Roman"/>
      <w:sz w:val="21"/>
    </w:rPr>
  </w:style>
  <w:style w:type="paragraph" w:styleId="af8">
    <w:name w:val="Normal Indent"/>
    <w:basedOn w:val="af4"/>
    <w:autoRedefine/>
    <w:qFormat/>
    <w:pPr>
      <w:ind w:firstLine="420"/>
    </w:pPr>
    <w:rPr>
      <w:szCs w:val="20"/>
    </w:rPr>
  </w:style>
  <w:style w:type="paragraph" w:styleId="af9">
    <w:name w:val="caption"/>
    <w:basedOn w:val="af4"/>
    <w:next w:val="af4"/>
    <w:autoRedefine/>
    <w:qFormat/>
    <w:pPr>
      <w:spacing w:before="152" w:after="160"/>
    </w:pPr>
    <w:rPr>
      <w:rFonts w:ascii="Arial" w:eastAsia="黑体" w:hAnsi="Arial"/>
      <w:szCs w:val="20"/>
    </w:rPr>
  </w:style>
  <w:style w:type="paragraph" w:styleId="afa">
    <w:name w:val="annotation text"/>
    <w:basedOn w:val="af4"/>
    <w:link w:val="Char"/>
    <w:autoRedefine/>
    <w:qFormat/>
    <w:pPr>
      <w:jc w:val="left"/>
    </w:pPr>
  </w:style>
  <w:style w:type="paragraph" w:styleId="afb">
    <w:name w:val="Body Text"/>
    <w:basedOn w:val="af4"/>
    <w:link w:val="Char0"/>
    <w:autoRedefine/>
    <w:qFormat/>
    <w:pPr>
      <w:spacing w:after="120"/>
    </w:pPr>
  </w:style>
  <w:style w:type="paragraph" w:styleId="afc">
    <w:name w:val="Body Text Indent"/>
    <w:basedOn w:val="af4"/>
    <w:link w:val="Char1"/>
    <w:autoRedefine/>
    <w:qFormat/>
    <w:pPr>
      <w:spacing w:line="360" w:lineRule="exact"/>
      <w:ind w:left="420" w:firstLine="480"/>
    </w:pPr>
    <w:rPr>
      <w:sz w:val="24"/>
      <w:szCs w:val="20"/>
    </w:rPr>
  </w:style>
  <w:style w:type="paragraph" w:styleId="HTML">
    <w:name w:val="HTML Address"/>
    <w:basedOn w:val="af4"/>
    <w:autoRedefine/>
    <w:qFormat/>
    <w:rPr>
      <w:i/>
      <w:iCs/>
    </w:rPr>
  </w:style>
  <w:style w:type="paragraph" w:styleId="afd">
    <w:name w:val="Plain Text"/>
    <w:basedOn w:val="af4"/>
    <w:link w:val="Char2"/>
    <w:autoRedefine/>
    <w:uiPriority w:val="99"/>
    <w:qFormat/>
    <w:rPr>
      <w:rFonts w:ascii="宋体" w:hAnsi="Courier New"/>
      <w:szCs w:val="21"/>
    </w:rPr>
  </w:style>
  <w:style w:type="paragraph" w:styleId="80">
    <w:name w:val="toc 8"/>
    <w:basedOn w:val="70"/>
    <w:next w:val="af4"/>
    <w:autoRedefine/>
    <w:qFormat/>
  </w:style>
  <w:style w:type="paragraph" w:styleId="afe">
    <w:name w:val="Date"/>
    <w:basedOn w:val="af4"/>
    <w:next w:val="af4"/>
    <w:link w:val="Char3"/>
    <w:autoRedefine/>
    <w:uiPriority w:val="99"/>
    <w:qFormat/>
    <w:pPr>
      <w:ind w:leftChars="2500" w:left="100"/>
    </w:pPr>
    <w:rPr>
      <w:sz w:val="24"/>
      <w:szCs w:val="20"/>
    </w:rPr>
  </w:style>
  <w:style w:type="paragraph" w:styleId="21">
    <w:name w:val="Body Text Indent 2"/>
    <w:basedOn w:val="af4"/>
    <w:link w:val="2Char0"/>
    <w:autoRedefine/>
    <w:qFormat/>
    <w:pPr>
      <w:spacing w:after="120" w:line="480" w:lineRule="auto"/>
      <w:ind w:leftChars="200" w:left="420"/>
    </w:pPr>
  </w:style>
  <w:style w:type="paragraph" w:styleId="aff">
    <w:name w:val="endnote text"/>
    <w:basedOn w:val="af4"/>
    <w:autoRedefine/>
    <w:qFormat/>
    <w:pPr>
      <w:snapToGrid w:val="0"/>
    </w:pPr>
  </w:style>
  <w:style w:type="paragraph" w:styleId="aff0">
    <w:name w:val="Balloon Text"/>
    <w:basedOn w:val="af4"/>
    <w:link w:val="Char4"/>
    <w:autoRedefine/>
    <w:qFormat/>
    <w:rPr>
      <w:sz w:val="18"/>
      <w:szCs w:val="18"/>
    </w:rPr>
  </w:style>
  <w:style w:type="paragraph" w:styleId="aff1">
    <w:name w:val="footer"/>
    <w:basedOn w:val="af4"/>
    <w:link w:val="Char5"/>
    <w:autoRedefine/>
    <w:qFormat/>
    <w:pPr>
      <w:tabs>
        <w:tab w:val="center" w:pos="4153"/>
        <w:tab w:val="right" w:pos="8306"/>
      </w:tabs>
      <w:snapToGrid w:val="0"/>
      <w:ind w:rightChars="100" w:right="210"/>
      <w:jc w:val="right"/>
    </w:pPr>
    <w:rPr>
      <w:sz w:val="18"/>
      <w:szCs w:val="18"/>
    </w:rPr>
  </w:style>
  <w:style w:type="paragraph" w:styleId="aff2">
    <w:name w:val="header"/>
    <w:basedOn w:val="af4"/>
    <w:link w:val="Char6"/>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4"/>
    <w:link w:val="Char7"/>
    <w:autoRedefine/>
    <w:qFormat/>
    <w:pPr>
      <w:snapToGrid w:val="0"/>
      <w:jc w:val="left"/>
    </w:pPr>
    <w:rPr>
      <w:sz w:val="18"/>
      <w:szCs w:val="18"/>
    </w:rPr>
  </w:style>
  <w:style w:type="paragraph" w:styleId="31">
    <w:name w:val="Body Text Indent 3"/>
    <w:basedOn w:val="af4"/>
    <w:autoRedefine/>
    <w:qFormat/>
    <w:pPr>
      <w:widowControl/>
      <w:spacing w:line="360" w:lineRule="auto"/>
      <w:ind w:firstLine="420"/>
    </w:pPr>
    <w:rPr>
      <w:rFonts w:hAnsi="宋体"/>
      <w:sz w:val="18"/>
    </w:rPr>
  </w:style>
  <w:style w:type="paragraph" w:styleId="90">
    <w:name w:val="toc 9"/>
    <w:basedOn w:val="80"/>
    <w:next w:val="af4"/>
    <w:autoRedefine/>
    <w:qFormat/>
  </w:style>
  <w:style w:type="paragraph" w:styleId="22">
    <w:name w:val="Body Text 2"/>
    <w:basedOn w:val="af4"/>
    <w:link w:val="2Char1"/>
    <w:autoRedefine/>
    <w:uiPriority w:val="99"/>
    <w:unhideWhenUsed/>
    <w:qFormat/>
    <w:pPr>
      <w:spacing w:after="120" w:line="480" w:lineRule="auto"/>
      <w:jc w:val="center"/>
    </w:pPr>
    <w:rPr>
      <w:bCs/>
      <w:szCs w:val="21"/>
    </w:rPr>
  </w:style>
  <w:style w:type="paragraph" w:styleId="HTML0">
    <w:name w:val="HTML Preformatted"/>
    <w:basedOn w:val="af4"/>
    <w:autoRedefine/>
    <w:qFormat/>
    <w:rPr>
      <w:rFonts w:ascii="Courier New" w:hAnsi="Courier New" w:cs="Courier New"/>
      <w:sz w:val="20"/>
      <w:szCs w:val="20"/>
    </w:rPr>
  </w:style>
  <w:style w:type="paragraph" w:styleId="aff4">
    <w:name w:val="Normal (Web)"/>
    <w:basedOn w:val="af4"/>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f4"/>
    <w:link w:val="Char8"/>
    <w:autoRedefine/>
    <w:qFormat/>
    <w:pPr>
      <w:spacing w:before="240" w:after="60"/>
      <w:jc w:val="center"/>
      <w:outlineLvl w:val="0"/>
    </w:pPr>
    <w:rPr>
      <w:rFonts w:ascii="Arial" w:hAnsi="Arial" w:cs="Arial"/>
      <w:b/>
      <w:bCs/>
      <w:sz w:val="32"/>
      <w:szCs w:val="32"/>
    </w:rPr>
  </w:style>
  <w:style w:type="paragraph" w:styleId="aff6">
    <w:name w:val="annotation subject"/>
    <w:basedOn w:val="afa"/>
    <w:next w:val="afa"/>
    <w:link w:val="Char9"/>
    <w:autoRedefine/>
    <w:qFormat/>
    <w:rPr>
      <w:b/>
      <w:bCs/>
    </w:rPr>
  </w:style>
  <w:style w:type="paragraph" w:styleId="aff7">
    <w:name w:val="Body Text First Indent"/>
    <w:basedOn w:val="afb"/>
    <w:autoRedefine/>
    <w:qFormat/>
    <w:pPr>
      <w:ind w:firstLine="420"/>
    </w:pPr>
    <w:rPr>
      <w:szCs w:val="20"/>
    </w:rPr>
  </w:style>
  <w:style w:type="table" w:styleId="aff8">
    <w:name w:val="Table Grid"/>
    <w:basedOn w:val="af6"/>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autoRedefine/>
    <w:uiPriority w:val="22"/>
    <w:qFormat/>
    <w:rPr>
      <w:b/>
      <w:bCs/>
    </w:rPr>
  </w:style>
  <w:style w:type="character" w:styleId="affa">
    <w:name w:val="page number"/>
    <w:autoRedefine/>
    <w:qFormat/>
    <w:rPr>
      <w:rFonts w:ascii="Times New Roman" w:eastAsia="宋体" w:hAnsi="Times New Roman"/>
      <w:sz w:val="18"/>
    </w:rPr>
  </w:style>
  <w:style w:type="character" w:styleId="affb">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5"/>
    <w:autoRedefine/>
    <w:qFormat/>
  </w:style>
  <w:style w:type="character" w:styleId="HTML4">
    <w:name w:val="HTML Variable"/>
    <w:autoRedefine/>
    <w:qFormat/>
    <w:rPr>
      <w:i/>
      <w:iCs/>
    </w:rPr>
  </w:style>
  <w:style w:type="character" w:styleId="affc">
    <w:name w:val="Hyperlink"/>
    <w:basedOn w:val="af5"/>
    <w:autoRedefine/>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d">
    <w:name w:val="annotation reference"/>
    <w:autoRedefine/>
    <w:qFormat/>
    <w:rPr>
      <w:sz w:val="21"/>
      <w:szCs w:val="21"/>
    </w:rPr>
  </w:style>
  <w:style w:type="character" w:styleId="HTML6">
    <w:name w:val="HTML Cite"/>
    <w:autoRedefine/>
    <w:qFormat/>
    <w:rPr>
      <w:i/>
      <w:iCs/>
    </w:rPr>
  </w:style>
  <w:style w:type="character" w:styleId="affe">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
    <w:name w:val="段"/>
    <w:link w:val="Chara"/>
    <w:autoRedefine/>
    <w:qFormat/>
    <w:pPr>
      <w:autoSpaceDE w:val="0"/>
      <w:autoSpaceDN w:val="0"/>
      <w:adjustRightInd w:val="0"/>
      <w:snapToGrid w:val="0"/>
      <w:spacing w:line="360" w:lineRule="auto"/>
      <w:ind w:firstLineChars="200" w:firstLine="420"/>
    </w:pPr>
    <w:rPr>
      <w:rFonts w:ascii="Times New Roman" w:eastAsia="黑体" w:hAnsi="Times New Roman" w:cs="Times New Roman"/>
      <w:color w:val="000000" w:themeColor="text1"/>
      <w:sz w:val="21"/>
      <w:szCs w:val="21"/>
    </w:rPr>
  </w:style>
  <w:style w:type="paragraph" w:customStyle="1" w:styleId="afff0">
    <w:name w:val="二级条标题"/>
    <w:basedOn w:val="afff1"/>
    <w:next w:val="afff"/>
    <w:link w:val="Charb"/>
    <w:autoRedefine/>
    <w:qFormat/>
    <w:pPr>
      <w:outlineLvl w:val="3"/>
    </w:pPr>
    <w:rPr>
      <w:spacing w:val="-6"/>
    </w:rPr>
  </w:style>
  <w:style w:type="paragraph" w:customStyle="1" w:styleId="afff1">
    <w:name w:val="一级条标题"/>
    <w:basedOn w:val="afff2"/>
    <w:next w:val="afff"/>
    <w:link w:val="Charc"/>
    <w:autoRedefine/>
    <w:qFormat/>
    <w:pPr>
      <w:spacing w:line="300" w:lineRule="auto"/>
      <w:outlineLvl w:val="2"/>
    </w:pPr>
    <w:rPr>
      <w:color w:val="000000" w:themeColor="text1"/>
      <w:spacing w:val="-4"/>
    </w:rPr>
  </w:style>
  <w:style w:type="paragraph" w:customStyle="1" w:styleId="afff2">
    <w:name w:val="章标题"/>
    <w:next w:val="afff"/>
    <w:link w:val="Chard"/>
    <w:autoRedefine/>
    <w:qFormat/>
    <w:pPr>
      <w:spacing w:line="360" w:lineRule="auto"/>
      <w:jc w:val="both"/>
      <w:outlineLvl w:val="1"/>
    </w:pPr>
    <w:rPr>
      <w:rFonts w:ascii="黑体" w:eastAsia="黑体" w:hAnsi="黑体" w:cs="Times New Roman"/>
      <w:sz w:val="21"/>
      <w:szCs w:val="21"/>
    </w:rPr>
  </w:style>
  <w:style w:type="paragraph" w:customStyle="1" w:styleId="afff3">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autoRedefine/>
    <w:qFormat/>
    <w:pPr>
      <w:numPr>
        <w:numId w:val="1"/>
      </w:numPr>
      <w:tabs>
        <w:tab w:val="left" w:pos="6405"/>
      </w:tabs>
      <w:spacing w:after="200"/>
    </w:pPr>
  </w:style>
  <w:style w:type="paragraph" w:customStyle="1" w:styleId="af1">
    <w:name w:val="前言、引言标题"/>
    <w:next w:val="af4"/>
    <w:autoRedefine/>
    <w:qFormat/>
    <w:pPr>
      <w:numPr>
        <w:numId w:val="2"/>
      </w:numPr>
      <w:shd w:val="clear" w:color="FFFFFF" w:fill="FFFFFF"/>
      <w:spacing w:line="360" w:lineRule="auto"/>
      <w:jc w:val="center"/>
      <w:outlineLvl w:val="0"/>
    </w:pPr>
    <w:rPr>
      <w:rFonts w:ascii="Times New Roman" w:hAnsi="Times New Roman" w:cs="Times New Roman"/>
      <w:bCs/>
      <w:spacing w:val="-6"/>
      <w:kern w:val="2"/>
      <w:sz w:val="21"/>
      <w:szCs w:val="21"/>
    </w:rPr>
  </w:style>
  <w:style w:type="paragraph" w:customStyle="1" w:styleId="afff4">
    <w:name w:val="封面标准文稿编辑信息"/>
    <w:autoRedefine/>
    <w:qFormat/>
    <w:pPr>
      <w:spacing w:before="180" w:line="180" w:lineRule="exact"/>
      <w:jc w:val="center"/>
    </w:pPr>
    <w:rPr>
      <w:rFonts w:ascii="宋体" w:hAnsi="Times New Roman" w:cs="Times New Roman"/>
      <w:sz w:val="21"/>
    </w:rPr>
  </w:style>
  <w:style w:type="paragraph" w:customStyle="1" w:styleId="afff5">
    <w:name w:val="发布部门"/>
    <w:next w:val="afff"/>
    <w:autoRedefine/>
    <w:qFormat/>
    <w:pPr>
      <w:jc w:val="center"/>
    </w:pPr>
    <w:rPr>
      <w:rFonts w:ascii="宋体" w:hAnsi="Times New Roman" w:cs="Times New Roman"/>
      <w:b/>
      <w:spacing w:val="20"/>
      <w:w w:val="135"/>
      <w:sz w:val="36"/>
    </w:rPr>
  </w:style>
  <w:style w:type="paragraph" w:customStyle="1" w:styleId="afff6">
    <w:name w:val="标准书脚_偶数页"/>
    <w:autoRedefine/>
    <w:qFormat/>
    <w:pPr>
      <w:spacing w:before="120"/>
    </w:pPr>
    <w:rPr>
      <w:rFonts w:ascii="Times New Roman" w:hAnsi="Times New Roman" w:cs="Times New Roman"/>
      <w:sz w:val="18"/>
    </w:rPr>
  </w:style>
  <w:style w:type="paragraph" w:customStyle="1" w:styleId="afff7">
    <w:name w:val="四级条标题"/>
    <w:basedOn w:val="afff8"/>
    <w:next w:val="afff"/>
    <w:autoRedefine/>
    <w:qFormat/>
    <w:pPr>
      <w:outlineLvl w:val="5"/>
    </w:pPr>
  </w:style>
  <w:style w:type="paragraph" w:customStyle="1" w:styleId="afff8">
    <w:name w:val="三级条标题"/>
    <w:basedOn w:val="afff0"/>
    <w:next w:val="afff"/>
    <w:link w:val="Charf"/>
    <w:autoRedefine/>
    <w:qFormat/>
    <w:pPr>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9">
    <w:name w:val="标准书脚_奇数页"/>
    <w:autoRedefine/>
    <w:qFormat/>
    <w:pPr>
      <w:spacing w:before="120"/>
      <w:jc w:val="right"/>
    </w:pPr>
    <w:rPr>
      <w:rFonts w:ascii="Times New Roman" w:hAnsi="Times New Roman" w:cs="Times New Roman"/>
      <w:sz w:val="18"/>
    </w:rPr>
  </w:style>
  <w:style w:type="paragraph" w:customStyle="1" w:styleId="af3">
    <w:name w:val="参考文献、索引标题"/>
    <w:basedOn w:val="af1"/>
    <w:next w:val="af4"/>
    <w:autoRedefine/>
    <w:qFormat/>
    <w:pPr>
      <w:numPr>
        <w:numId w:val="11"/>
      </w:numPr>
      <w:tabs>
        <w:tab w:val="left" w:pos="426"/>
      </w:tabs>
      <w:ind w:left="0" w:firstLine="0"/>
      <w:jc w:val="left"/>
    </w:pPr>
    <w:rPr>
      <w:rFonts w:ascii="黑体" w:eastAsia="黑体" w:hAnsi="黑体"/>
      <w:sz w:val="28"/>
      <w:szCs w:val="28"/>
    </w:rPr>
  </w:style>
  <w:style w:type="paragraph" w:customStyle="1" w:styleId="afffa">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3"/>
    <w:autoRedefine/>
    <w:qFormat/>
    <w:pPr>
      <w:ind w:leftChars="200" w:left="780" w:hangingChars="200" w:hanging="360"/>
      <w:jc w:val="both"/>
    </w:pPr>
    <w:rPr>
      <w:rFonts w:ascii="宋体"/>
    </w:rPr>
  </w:style>
  <w:style w:type="paragraph" w:customStyle="1" w:styleId="a9">
    <w:name w:val="附录章标题"/>
    <w:next w:val="afff"/>
    <w:autoRedefine/>
    <w:qFormat/>
    <w:pPr>
      <w:numPr>
        <w:ilvl w:val="1"/>
        <w:numId w:val="1"/>
      </w:numPr>
      <w:overflowPunct w:val="0"/>
      <w:autoSpaceDE w:val="0"/>
      <w:spacing w:afterLines="50" w:after="156" w:line="360" w:lineRule="auto"/>
      <w:jc w:val="both"/>
      <w:textAlignment w:val="baseline"/>
      <w:outlineLvl w:val="1"/>
    </w:pPr>
    <w:rPr>
      <w:rFonts w:ascii="黑体" w:eastAsia="黑体" w:hAnsi="Times New Roman" w:cs="Times New Roman"/>
      <w:kern w:val="21"/>
      <w:sz w:val="24"/>
      <w:szCs w:val="24"/>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f"/>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4"/>
    <w:autoRedefine/>
    <w:qFormat/>
    <w:pPr>
      <w:numPr>
        <w:ilvl w:val="6"/>
        <w:numId w:val="5"/>
      </w:numPr>
    </w:pPr>
  </w:style>
  <w:style w:type="paragraph" w:customStyle="1" w:styleId="affff0">
    <w:name w:val="标准标志"/>
    <w:next w:val="af4"/>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4"/>
    <w:qFormat/>
    <w:pPr>
      <w:widowControl/>
      <w:spacing w:after="160" w:line="240" w:lineRule="exact"/>
      <w:jc w:val="left"/>
    </w:pPr>
  </w:style>
  <w:style w:type="paragraph" w:customStyle="1" w:styleId="affff1">
    <w:name w:val="无标题条"/>
    <w:next w:val="afff"/>
    <w:autoRedefine/>
    <w:qFormat/>
    <w:pPr>
      <w:jc w:val="both"/>
    </w:pPr>
    <w:rPr>
      <w:rFonts w:ascii="Times New Roman" w:hAnsi="Times New Roman" w:cs="Times New Roman"/>
      <w:sz w:val="21"/>
    </w:rPr>
  </w:style>
  <w:style w:type="paragraph" w:customStyle="1" w:styleId="affff2">
    <w:name w:val="五级条标题"/>
    <w:basedOn w:val="afff7"/>
    <w:next w:val="afff"/>
    <w:autoRedefine/>
    <w:qFormat/>
    <w:pPr>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4"/>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f"/>
    <w:autoRedefine/>
    <w:qFormat/>
    <w:pPr>
      <w:numPr>
        <w:numId w:val="6"/>
      </w:numPr>
      <w:jc w:val="center"/>
    </w:pPr>
    <w:rPr>
      <w:rFonts w:ascii="黑体" w:eastAsia="黑体" w:hAnsi="Times New Roman" w:cs="Times New Roman"/>
      <w:sz w:val="21"/>
    </w:rPr>
  </w:style>
  <w:style w:type="paragraph" w:customStyle="1" w:styleId="a1">
    <w:name w:val="注："/>
    <w:next w:val="afff"/>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4"/>
    <w:autoRedefine/>
    <w:qFormat/>
    <w:pPr>
      <w:jc w:val="left"/>
    </w:pPr>
  </w:style>
  <w:style w:type="paragraph" w:customStyle="1" w:styleId="a3">
    <w:name w:val="二级无标题条"/>
    <w:basedOn w:val="af4"/>
    <w:autoRedefine/>
    <w:qFormat/>
    <w:pPr>
      <w:numPr>
        <w:ilvl w:val="3"/>
        <w:numId w:val="5"/>
      </w:numPr>
    </w:pPr>
  </w:style>
  <w:style w:type="paragraph" w:customStyle="1" w:styleId="affff6">
    <w:name w:val="附录表标题"/>
    <w:next w:val="afff"/>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f"/>
    <w:qFormat/>
    <w:pPr>
      <w:numPr>
        <w:ilvl w:val="6"/>
      </w:numPr>
      <w:outlineLvl w:val="6"/>
    </w:pPr>
  </w:style>
  <w:style w:type="paragraph" w:customStyle="1" w:styleId="ad">
    <w:name w:val="附录四级条标题"/>
    <w:basedOn w:val="ac"/>
    <w:next w:val="afff"/>
    <w:autoRedefine/>
    <w:qFormat/>
    <w:pPr>
      <w:numPr>
        <w:ilvl w:val="5"/>
      </w:numPr>
      <w:outlineLvl w:val="5"/>
    </w:pPr>
  </w:style>
  <w:style w:type="paragraph" w:customStyle="1" w:styleId="ac">
    <w:name w:val="附录三级条标题"/>
    <w:basedOn w:val="ab"/>
    <w:next w:val="afff"/>
    <w:autoRedefine/>
    <w:qFormat/>
    <w:pPr>
      <w:numPr>
        <w:ilvl w:val="4"/>
      </w:numPr>
      <w:outlineLvl w:val="4"/>
    </w:pPr>
  </w:style>
  <w:style w:type="paragraph" w:customStyle="1" w:styleId="ab">
    <w:name w:val="附录二级条标题"/>
    <w:basedOn w:val="aa"/>
    <w:next w:val="afff"/>
    <w:autoRedefine/>
    <w:qFormat/>
    <w:pPr>
      <w:numPr>
        <w:ilvl w:val="3"/>
      </w:numPr>
      <w:outlineLvl w:val="3"/>
    </w:pPr>
  </w:style>
  <w:style w:type="paragraph" w:customStyle="1" w:styleId="aa">
    <w:name w:val="附录一级条标题"/>
    <w:basedOn w:val="a9"/>
    <w:next w:val="afff"/>
    <w:autoRedefine/>
    <w:qFormat/>
    <w:pPr>
      <w:numPr>
        <w:ilvl w:val="2"/>
      </w:numPr>
      <w:autoSpaceDN w:val="0"/>
      <w:spacing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f"/>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f"/>
    <w:autoRedefine/>
    <w:qFormat/>
    <w:pPr>
      <w:numPr>
        <w:numId w:val="8"/>
      </w:numPr>
      <w:jc w:val="center"/>
    </w:pPr>
    <w:rPr>
      <w:rFonts w:ascii="黑体" w:eastAsia="黑体" w:hAnsi="Times New Roman" w:cs="Times New Roman"/>
      <w:sz w:val="21"/>
    </w:rPr>
  </w:style>
  <w:style w:type="paragraph" w:customStyle="1" w:styleId="a0">
    <w:name w:val="示例"/>
    <w:next w:val="afff"/>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4"/>
    <w:next w:val="af4"/>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4"/>
    <w:autoRedefine/>
    <w:qFormat/>
    <w:pPr>
      <w:numPr>
        <w:ilvl w:val="5"/>
        <w:numId w:val="5"/>
      </w:numPr>
    </w:pPr>
  </w:style>
  <w:style w:type="paragraph" w:customStyle="1" w:styleId="affffe">
    <w:name w:val="目次、标准名称标题"/>
    <w:basedOn w:val="af1"/>
    <w:next w:val="afff"/>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4"/>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5"/>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4"/>
    <w:autoRedefine/>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4"/>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4"/>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4"/>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4"/>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4"/>
    <w:autoRedefine/>
    <w:qFormat/>
    <w:pPr>
      <w:widowControl/>
      <w:spacing w:before="100" w:beforeAutospacing="1" w:after="100" w:afterAutospacing="1"/>
      <w:jc w:val="left"/>
    </w:pPr>
    <w:rPr>
      <w:b/>
      <w:bCs/>
      <w:kern w:val="0"/>
      <w:sz w:val="20"/>
      <w:szCs w:val="20"/>
    </w:rPr>
  </w:style>
  <w:style w:type="paragraph" w:customStyle="1" w:styleId="font7">
    <w:name w:val="font7"/>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4"/>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4"/>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4"/>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4"/>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4"/>
    <w:autoRedefine/>
    <w:qFormat/>
    <w:pPr>
      <w:adjustRightInd w:val="0"/>
      <w:jc w:val="center"/>
    </w:pPr>
    <w:rPr>
      <w:rFonts w:eastAsia="黑体"/>
      <w:kern w:val="0"/>
      <w:sz w:val="52"/>
      <w:szCs w:val="20"/>
    </w:rPr>
  </w:style>
  <w:style w:type="paragraph" w:customStyle="1" w:styleId="24">
    <w:name w:val="样式2"/>
    <w:basedOn w:val="afff8"/>
    <w:autoRedefine/>
    <w:qFormat/>
    <w:pPr>
      <w:spacing w:line="240" w:lineRule="auto"/>
      <w:ind w:left="454"/>
    </w:pPr>
    <w:rPr>
      <w:color w:val="auto"/>
      <w:spacing w:val="0"/>
      <w:szCs w:val="20"/>
    </w:rPr>
  </w:style>
  <w:style w:type="paragraph" w:customStyle="1" w:styleId="12">
    <w:name w:val="列出段落1"/>
    <w:basedOn w:val="af4"/>
    <w:autoRedefine/>
    <w:uiPriority w:val="34"/>
    <w:qFormat/>
    <w:pPr>
      <w:ind w:firstLineChars="200" w:firstLine="420"/>
    </w:pPr>
    <w:rPr>
      <w:rFonts w:ascii="Calibri" w:hAnsi="Calibri"/>
      <w:szCs w:val="22"/>
    </w:rPr>
  </w:style>
  <w:style w:type="paragraph" w:customStyle="1" w:styleId="afffff5">
    <w:name w:val="图表脚注说明"/>
    <w:basedOn w:val="af4"/>
    <w:autoRedefine/>
    <w:qFormat/>
    <w:rPr>
      <w:rFonts w:ascii="宋体"/>
      <w:sz w:val="18"/>
      <w:szCs w:val="18"/>
    </w:rPr>
  </w:style>
  <w:style w:type="paragraph" w:customStyle="1" w:styleId="Char11">
    <w:name w:val="Char11"/>
    <w:basedOn w:val="af4"/>
    <w:autoRedefine/>
    <w:qFormat/>
    <w:pPr>
      <w:widowControl/>
      <w:spacing w:after="160" w:line="240" w:lineRule="exact"/>
      <w:jc w:val="left"/>
    </w:pPr>
  </w:style>
  <w:style w:type="paragraph" w:customStyle="1" w:styleId="ordinary-output">
    <w:name w:val="ordinary-output"/>
    <w:basedOn w:val="af4"/>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4"/>
    <w:autoRedefine/>
    <w:uiPriority w:val="34"/>
    <w:qFormat/>
    <w:pPr>
      <w:ind w:firstLineChars="200" w:firstLine="420"/>
    </w:pPr>
    <w:rPr>
      <w:sz w:val="24"/>
    </w:rPr>
  </w:style>
  <w:style w:type="paragraph" w:customStyle="1" w:styleId="Char1CharCharChar">
    <w:name w:val="Char1 Char Char Char"/>
    <w:basedOn w:val="af4"/>
    <w:autoRedefine/>
    <w:qFormat/>
    <w:rPr>
      <w:szCs w:val="20"/>
    </w:rPr>
  </w:style>
  <w:style w:type="paragraph" w:customStyle="1" w:styleId="Char10">
    <w:name w:val="Char1"/>
    <w:basedOn w:val="af4"/>
    <w:autoRedefine/>
    <w:qFormat/>
    <w:pPr>
      <w:widowControl/>
      <w:spacing w:after="160" w:line="240" w:lineRule="exact"/>
      <w:jc w:val="left"/>
    </w:pPr>
  </w:style>
  <w:style w:type="paragraph" w:customStyle="1" w:styleId="DecimalAligned">
    <w:name w:val="Decimal Aligned"/>
    <w:basedOn w:val="af4"/>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4"/>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4"/>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4"/>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4"/>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4"/>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4"/>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4"/>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4"/>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4"/>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4"/>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4"/>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4"/>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4"/>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4"/>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4"/>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4"/>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4"/>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4"/>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4"/>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4"/>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4"/>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4"/>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4"/>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4"/>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4"/>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4"/>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4"/>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4"/>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4"/>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4"/>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4"/>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4"/>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4"/>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4"/>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4"/>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4"/>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4"/>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4"/>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4"/>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4"/>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4"/>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4"/>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4"/>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4"/>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4"/>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4"/>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4"/>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4"/>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4"/>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4"/>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4"/>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4"/>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4"/>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4"/>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4"/>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4"/>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4"/>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4"/>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4"/>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4"/>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4"/>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
    <w:autoRedefine/>
    <w:qFormat/>
    <w:rPr>
      <w:rFonts w:ascii="Times New Roman" w:eastAsia="黑体" w:hAnsi="Times New Roman" w:cs="Times New Roman"/>
      <w:color w:val="000000" w:themeColor="text1"/>
      <w:sz w:val="21"/>
      <w:szCs w:val="21"/>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0"/>
    <w:autoRedefine/>
    <w:qFormat/>
    <w:rPr>
      <w:rFonts w:ascii="黑体" w:eastAsia="黑体" w:hAnsi="黑体" w:cs="Times New Roman"/>
      <w:color w:val="000000" w:themeColor="text1"/>
      <w:spacing w:val="-6"/>
      <w:sz w:val="21"/>
      <w:szCs w:val="24"/>
    </w:rPr>
  </w:style>
  <w:style w:type="character" w:customStyle="1" w:styleId="Chard">
    <w:name w:val="章标题 Char"/>
    <w:link w:val="afff2"/>
    <w:autoRedefine/>
    <w:qFormat/>
    <w:rPr>
      <w:rFonts w:ascii="黑体" w:eastAsia="黑体" w:hAnsi="黑体" w:cs="Times New Roman"/>
      <w:sz w:val="21"/>
      <w:szCs w:val="21"/>
    </w:rPr>
  </w:style>
  <w:style w:type="character" w:customStyle="1" w:styleId="Charc">
    <w:name w:val="一级条标题 Char"/>
    <w:link w:val="afff1"/>
    <w:autoRedefine/>
    <w:qFormat/>
    <w:rPr>
      <w:rFonts w:ascii="黑体" w:eastAsia="黑体" w:hAnsi="黑体" w:cs="Times New Roman"/>
      <w:color w:val="000000" w:themeColor="text1"/>
      <w:spacing w:val="-4"/>
      <w:sz w:val="21"/>
      <w:szCs w:val="21"/>
    </w:rPr>
  </w:style>
  <w:style w:type="character" w:customStyle="1" w:styleId="Char2">
    <w:name w:val="纯文本 Char"/>
    <w:link w:val="afd"/>
    <w:autoRedefine/>
    <w:uiPriority w:val="99"/>
    <w:qFormat/>
    <w:rPr>
      <w:rFonts w:ascii="宋体" w:hAnsi="Courier New" w:cs="Courier New"/>
      <w:kern w:val="2"/>
      <w:sz w:val="21"/>
      <w:szCs w:val="21"/>
    </w:rPr>
  </w:style>
  <w:style w:type="character" w:customStyle="1" w:styleId="Charf">
    <w:name w:val="三级条标题 Char"/>
    <w:link w:val="afff8"/>
    <w:autoRedefine/>
    <w:qFormat/>
    <w:rPr>
      <w:rFonts w:ascii="黑体" w:eastAsia="黑体"/>
      <w:color w:val="FF0000"/>
      <w:spacing w:val="-4"/>
      <w:sz w:val="21"/>
      <w:szCs w:val="24"/>
    </w:rPr>
  </w:style>
  <w:style w:type="character" w:customStyle="1" w:styleId="Char4">
    <w:name w:val="批注框文本 Char"/>
    <w:link w:val="aff0"/>
    <w:autoRedefine/>
    <w:qFormat/>
    <w:rPr>
      <w:kern w:val="2"/>
      <w:sz w:val="18"/>
      <w:szCs w:val="18"/>
    </w:rPr>
  </w:style>
  <w:style w:type="character" w:customStyle="1" w:styleId="Char0">
    <w:name w:val="正文文本 Char"/>
    <w:link w:val="afb"/>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1"/>
    <w:autoRedefine/>
    <w:uiPriority w:val="99"/>
    <w:qFormat/>
    <w:rPr>
      <w:kern w:val="2"/>
      <w:sz w:val="18"/>
      <w:szCs w:val="18"/>
    </w:rPr>
  </w:style>
  <w:style w:type="character" w:customStyle="1" w:styleId="Char1">
    <w:name w:val="正文文本缩进 Char"/>
    <w:link w:val="afc"/>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a"/>
    <w:autoRedefine/>
    <w:qFormat/>
    <w:rPr>
      <w:kern w:val="2"/>
      <w:sz w:val="21"/>
      <w:szCs w:val="24"/>
    </w:rPr>
  </w:style>
  <w:style w:type="character" w:customStyle="1" w:styleId="Char9">
    <w:name w:val="批注主题 Char"/>
    <w:link w:val="aff6"/>
    <w:autoRedefine/>
    <w:qFormat/>
    <w:rPr>
      <w:b/>
      <w:bCs/>
      <w:kern w:val="2"/>
      <w:sz w:val="21"/>
      <w:szCs w:val="24"/>
    </w:rPr>
  </w:style>
  <w:style w:type="character" w:customStyle="1" w:styleId="Char6">
    <w:name w:val="页眉 Char"/>
    <w:link w:val="aff2"/>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e"/>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4"/>
    <w:autoRedefine/>
    <w:uiPriority w:val="34"/>
    <w:qFormat/>
    <w:pPr>
      <w:widowControl/>
      <w:jc w:val="center"/>
    </w:pPr>
  </w:style>
  <w:style w:type="paragraph" w:customStyle="1" w:styleId="TableParagraph">
    <w:name w:val="Table Paragraph"/>
    <w:basedOn w:val="af4"/>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5"/>
    <w:autoRedefine/>
    <w:qFormat/>
    <w:rPr>
      <w:rFonts w:ascii="宋体" w:eastAsia="宋体" w:hAnsi="宋体" w:hint="eastAsia"/>
      <w:color w:val="000000"/>
      <w:sz w:val="24"/>
      <w:szCs w:val="24"/>
    </w:rPr>
  </w:style>
  <w:style w:type="character" w:customStyle="1" w:styleId="1Char">
    <w:name w:val="标题 1 Char"/>
    <w:basedOn w:val="af5"/>
    <w:link w:val="1"/>
    <w:autoRedefine/>
    <w:qFormat/>
    <w:rPr>
      <w:rFonts w:ascii="Times New Roman" w:eastAsia="宋体" w:hAnsi="Times New Roman" w:cs="Times New Roman"/>
      <w:b/>
      <w:bCs/>
      <w:kern w:val="44"/>
      <w:sz w:val="44"/>
      <w:szCs w:val="44"/>
    </w:rPr>
  </w:style>
  <w:style w:type="character" w:customStyle="1" w:styleId="2Char">
    <w:name w:val="标题 2 Char"/>
    <w:basedOn w:val="af5"/>
    <w:link w:val="2"/>
    <w:autoRedefine/>
    <w:qFormat/>
    <w:rPr>
      <w:rFonts w:ascii="Arial" w:eastAsia="黑体" w:hAnsi="Arial" w:cs="Times New Roman"/>
      <w:b/>
      <w:bCs/>
      <w:kern w:val="2"/>
      <w:sz w:val="32"/>
      <w:szCs w:val="32"/>
    </w:rPr>
  </w:style>
  <w:style w:type="character" w:customStyle="1" w:styleId="3Char">
    <w:name w:val="标题 3 Char"/>
    <w:basedOn w:val="af5"/>
    <w:link w:val="3"/>
    <w:autoRedefine/>
    <w:qFormat/>
    <w:rPr>
      <w:rFonts w:ascii="Times New Roman" w:eastAsia="宋体" w:hAnsi="Times New Roman" w:cs="Times New Roman"/>
      <w:b/>
      <w:bCs/>
      <w:kern w:val="2"/>
      <w:sz w:val="32"/>
      <w:szCs w:val="32"/>
    </w:rPr>
  </w:style>
  <w:style w:type="character" w:customStyle="1" w:styleId="Char8">
    <w:name w:val="标题 Char"/>
    <w:link w:val="aff5"/>
    <w:autoRedefine/>
    <w:qFormat/>
    <w:rPr>
      <w:rFonts w:ascii="Arial" w:eastAsia="宋体" w:hAnsi="Arial" w:cs="Arial"/>
      <w:b/>
      <w:bCs/>
      <w:kern w:val="2"/>
      <w:sz w:val="32"/>
      <w:szCs w:val="32"/>
    </w:rPr>
  </w:style>
  <w:style w:type="character" w:customStyle="1" w:styleId="Char7">
    <w:name w:val="脚注文本 Char"/>
    <w:link w:val="aff3"/>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5"/>
    <w:autoRedefine/>
    <w:uiPriority w:val="99"/>
    <w:semiHidden/>
    <w:qFormat/>
    <w:rPr>
      <w:rFonts w:ascii="Calibri" w:eastAsia="宋体" w:hAnsi="Calibri" w:cs="Times New Roman"/>
      <w:sz w:val="18"/>
      <w:szCs w:val="18"/>
    </w:rPr>
  </w:style>
  <w:style w:type="character" w:customStyle="1" w:styleId="Char14">
    <w:name w:val="脚注文本 Char1"/>
    <w:basedOn w:val="af5"/>
    <w:autoRedefine/>
    <w:uiPriority w:val="99"/>
    <w:semiHidden/>
    <w:qFormat/>
    <w:rPr>
      <w:rFonts w:ascii="Calibri" w:eastAsia="宋体" w:hAnsi="Calibri" w:cs="Times New Roman"/>
      <w:sz w:val="18"/>
      <w:szCs w:val="18"/>
    </w:rPr>
  </w:style>
  <w:style w:type="character" w:customStyle="1" w:styleId="Char15">
    <w:name w:val="标题 Char1"/>
    <w:basedOn w:val="af5"/>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4"/>
    <w:autoRedefine/>
    <w:qFormat/>
  </w:style>
  <w:style w:type="paragraph" w:customStyle="1" w:styleId="WPSOffice1">
    <w:name w:val="WPSOffice手动目录 1"/>
    <w:autoRedefine/>
    <w:qFormat/>
    <w:rPr>
      <w:rFonts w:cs="Times New Roman"/>
    </w:rPr>
  </w:style>
  <w:style w:type="paragraph" w:customStyle="1" w:styleId="15">
    <w:name w:val="1"/>
    <w:basedOn w:val="af4"/>
    <w:next w:val="afc"/>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4"/>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6"/>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5"/>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4"/>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5"/>
    <w:link w:val="22"/>
    <w:uiPriority w:val="99"/>
    <w:qFormat/>
    <w:locked/>
    <w:rPr>
      <w:rFonts w:ascii="Times New Roman" w:hAnsi="Times New Roman" w:cs="Times New Roman"/>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B7BA-36C4-4F0A-8B7B-2E84F672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3</TotalTime>
  <Pages>9</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HTCK</cp:lastModifiedBy>
  <cp:revision>4</cp:revision>
  <cp:lastPrinted>2016-10-20T04:13:00Z</cp:lastPrinted>
  <dcterms:created xsi:type="dcterms:W3CDTF">2024-09-20T07:01:00Z</dcterms:created>
  <dcterms:modified xsi:type="dcterms:W3CDTF">2024-09-20T07:04:00Z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7CC6B53A8B674E13988B212B17AB9464_13</vt:lpwstr>
  </property>
</Properties>
</file>