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0484" w14:textId="77777777" w:rsidR="00F71D1D" w:rsidRDefault="00F71D1D" w:rsidP="00F71D1D">
      <w:pPr>
        <w:widowControl/>
        <w:spacing w:line="3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4211187D" w14:textId="77777777" w:rsidR="00F71D1D" w:rsidRDefault="00F71D1D" w:rsidP="00F71D1D">
      <w:pPr>
        <w:spacing w:line="4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粉末冶金</w:t>
      </w:r>
      <w:r>
        <w:rPr>
          <w:rFonts w:ascii="Times New Roman" w:eastAsia="黑体" w:hAnsi="Times New Roman" w:cs="Times New Roman"/>
          <w:sz w:val="28"/>
          <w:szCs w:val="28"/>
        </w:rPr>
        <w:t>分标委会</w:t>
      </w:r>
      <w:r>
        <w:rPr>
          <w:rFonts w:ascii="Times New Roman" w:eastAsia="黑体" w:hAnsi="Times New Roman" w:cs="Times New Roman" w:hint="eastAsia"/>
          <w:sz w:val="28"/>
          <w:szCs w:val="28"/>
        </w:rPr>
        <w:t>审定、预审、讨论和任务落实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24E559C4" w14:textId="77777777" w:rsidR="00F71D1D" w:rsidRDefault="00F71D1D" w:rsidP="00F71D1D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49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734"/>
        <w:gridCol w:w="2484"/>
        <w:gridCol w:w="6175"/>
        <w:gridCol w:w="953"/>
      </w:tblGrid>
      <w:tr w:rsidR="00F71D1D" w14:paraId="01C4ED4B" w14:textId="77777777" w:rsidTr="0008484E">
        <w:trPr>
          <w:trHeight w:val="680"/>
          <w:tblHeader/>
          <w:jc w:val="center"/>
        </w:trPr>
        <w:tc>
          <w:tcPr>
            <w:tcW w:w="282" w:type="pct"/>
            <w:tcBorders>
              <w:bottom w:val="single" w:sz="8" w:space="0" w:color="auto"/>
            </w:tcBorders>
            <w:vAlign w:val="center"/>
          </w:tcPr>
          <w:p w14:paraId="0DB16C54" w14:textId="77777777" w:rsidR="00F71D1D" w:rsidRDefault="00F71D1D" w:rsidP="0008484E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19" w:type="pct"/>
            <w:tcBorders>
              <w:bottom w:val="single" w:sz="8" w:space="0" w:color="auto"/>
            </w:tcBorders>
            <w:vAlign w:val="center"/>
          </w:tcPr>
          <w:p w14:paraId="6A9587DD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877" w:type="pct"/>
            <w:tcBorders>
              <w:bottom w:val="single" w:sz="8" w:space="0" w:color="auto"/>
            </w:tcBorders>
            <w:vAlign w:val="center"/>
          </w:tcPr>
          <w:p w14:paraId="058A0FB7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2182" w:type="pct"/>
            <w:tcBorders>
              <w:bottom w:val="single" w:sz="8" w:space="0" w:color="auto"/>
            </w:tcBorders>
            <w:vAlign w:val="center"/>
          </w:tcPr>
          <w:p w14:paraId="1C899E93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337" w:type="pct"/>
            <w:tcBorders>
              <w:bottom w:val="single" w:sz="8" w:space="0" w:color="auto"/>
            </w:tcBorders>
            <w:vAlign w:val="center"/>
          </w:tcPr>
          <w:p w14:paraId="66951EA1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F71D1D" w14:paraId="116B79CC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7AD011D0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B4841EB" w14:textId="77777777" w:rsidR="00F71D1D" w:rsidRDefault="00F71D1D" w:rsidP="0008484E">
            <w:pPr>
              <w:spacing w:line="0" w:lineRule="atLeas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绿色设计产品评价技术规范  镍钴锰酸锂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3E158766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5AF82247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2023-030-T/CNIA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7C47EFE8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能源科技股份有限公司、华友新能源科技（衢州）有限公司、金驰能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湖南中伟新能源科技有限公司、广东佳纳能源科技有限公司、清远佳致新材料研究院有限公司、北京当升材料科技股份有限公司、中信国安盟固利电源技术有限公司、天津巴莫科技有限责任公司、金川集团股份有限公司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ECB899F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审定</w:t>
            </w:r>
          </w:p>
        </w:tc>
      </w:tr>
      <w:tr w:rsidR="00F71D1D" w14:paraId="0813B2D1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632C4346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41DCF2A" w14:textId="77777777" w:rsidR="00F71D1D" w:rsidRDefault="00F71D1D" w:rsidP="0008484E">
            <w:pPr>
              <w:spacing w:line="0" w:lineRule="atLeas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  镍铜铁锰酸钠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76A145F6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2405E80E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2023-031-T/CNIA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11A413F7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科技股份有限公司、浙江华友钴业股份有限公司、北京当升材料科技股份有限公司、格林美股份有限公司、湖南长远锂科股份有限公司、湖南中伟新能源科技有限公司、巴斯夫杉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电池材料有限公司等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E9EAB04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审定</w:t>
            </w:r>
          </w:p>
        </w:tc>
      </w:tr>
      <w:tr w:rsidR="00F71D1D" w14:paraId="59F12656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76BFA0CA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0884D4F" w14:textId="77777777" w:rsidR="00F71D1D" w:rsidRDefault="00F71D1D" w:rsidP="0008484E">
            <w:pPr>
              <w:spacing w:line="0" w:lineRule="atLeast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  铜铁锰酸钠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780AA723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4BBAE8F1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2023-034-T/CNIA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5C874FDF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科技股份有限公司、浙江华友钴业股份有限公司、北京当升材料科技股份有限公司、格林美股份有限公司、湖南长远锂科股份有限公司、湖南中伟新能源科技有限公司等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E10148C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审定</w:t>
            </w:r>
          </w:p>
        </w:tc>
      </w:tr>
      <w:tr w:rsidR="00F71D1D" w14:paraId="02FB6119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1358852A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5F96084" w14:textId="77777777" w:rsidR="00F71D1D" w:rsidRDefault="00F71D1D" w:rsidP="0008484E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金属粉末  有效密度的测定  液体浸透法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AF89401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发[2023]63号</w:t>
            </w:r>
          </w:p>
          <w:p w14:paraId="7D529AFD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20232188-T-610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6510D7B1" w14:textId="77777777" w:rsidR="00F71D1D" w:rsidRDefault="00F71D1D" w:rsidP="0008484E">
            <w:pPr>
              <w:widowControl/>
              <w:textAlignment w:val="bottom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广东省科学院新材料研究所、深圳市注成科技股份有限公司、钢铁研究总院有限公司、中南大学、广东省科学院工业分析检测中心、钢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普科技有限公司、西安欧中材料科技股份有限公司、天津铸金科技开发股份有限公司、北京钢研高纳科技股份有限公司、浙江亚通新材料股份有限公司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22F7DD6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F71D1D" w14:paraId="15FB2962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00C8B435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EB60A9B" w14:textId="77777777" w:rsidR="00F71D1D" w:rsidRDefault="00F71D1D" w:rsidP="0008484E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离子电池正极材料再生原料比例核算与报告要求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8C1B35F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[2023]291号</w:t>
            </w:r>
          </w:p>
          <w:p w14:paraId="5A0B0CC1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2023-1435T-YS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74F52403" w14:textId="77777777" w:rsidR="00F71D1D" w:rsidRDefault="00F71D1D" w:rsidP="0008484E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邦普循环科技有限公司、格林美股份有限公司、浙江华友钴业股份有限公司、湖南长远锂科股份有限公司、江西赣锋锂业股份有限公司、湖南邦普循环科技有限公司、天齐锂业股份有限公司、衢州华友资源再生科技有限公司、成都巴莫科技有限责任公司、广东佳纳能源科技有限公司、湖南金凯循环科技股份有限公司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B736BCA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F71D1D" w14:paraId="37D472F2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5F6F57F6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D8E5D85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锂镍酸锂</w:t>
            </w:r>
            <w:proofErr w:type="gramEnd"/>
          </w:p>
        </w:tc>
        <w:tc>
          <w:tcPr>
            <w:tcW w:w="877" w:type="pct"/>
            <w:shd w:val="clear" w:color="auto" w:fill="auto"/>
            <w:vAlign w:val="center"/>
          </w:tcPr>
          <w:p w14:paraId="69A69965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[2024]317号</w:t>
            </w:r>
          </w:p>
          <w:p w14:paraId="3757AEFA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2024-0929T-YS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39E08D41" w14:textId="77777777" w:rsidR="00F71D1D" w:rsidRDefault="00F71D1D" w:rsidP="0008484E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湖南长远锂科股份有限公司、金驰能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科技股份有限公司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697C7AF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F71D1D" w14:paraId="483C0DFC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6C4A76D1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FBD2602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离子电池正极材料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668251F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行业标准</w:t>
            </w:r>
          </w:p>
          <w:p w14:paraId="3464DC9F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C7088BF" w14:textId="77777777" w:rsidR="00F71D1D" w:rsidRDefault="00F71D1D" w:rsidP="0008484E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湖南长远锂科股份有限公司、金驰能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科技股份有限公司、元能科技（厦门）有限公司、巴斯夫杉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电池材料有限公司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43AB7B8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7BA6C763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F71D1D" w14:paraId="313E12E9" w14:textId="77777777" w:rsidTr="0008484E">
        <w:trPr>
          <w:trHeight w:val="680"/>
          <w:jc w:val="center"/>
        </w:trPr>
        <w:tc>
          <w:tcPr>
            <w:tcW w:w="282" w:type="pct"/>
            <w:vAlign w:val="center"/>
          </w:tcPr>
          <w:p w14:paraId="42F1617A" w14:textId="77777777" w:rsidR="00F71D1D" w:rsidRDefault="00F71D1D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135527F" w14:textId="77777777" w:rsidR="00F71D1D" w:rsidRDefault="00F71D1D" w:rsidP="0008484E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  硬质涂层厚度的测定  X射线荧光光谱法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35AAAF6C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行业标准</w:t>
            </w:r>
          </w:p>
          <w:p w14:paraId="7018A18A" w14:textId="77777777" w:rsidR="00F71D1D" w:rsidRDefault="00F71D1D" w:rsidP="0008484E">
            <w:pPr>
              <w:pStyle w:val="a8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7BFA2D21" w14:textId="77777777" w:rsidR="00F71D1D" w:rsidRDefault="00F71D1D" w:rsidP="0008484E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赣州澳克泰工具技术有限公司、</w:t>
            </w:r>
            <w:r>
              <w:rPr>
                <w:rFonts w:ascii="宋体" w:eastAsia="宋体" w:hAnsi="宋体" w:cs="宋体" w:hint="eastAsia"/>
                <w:szCs w:val="21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股份有限公司、江西理工大学、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产品质量监督检验中心、厦门金鹭特种合金有限公司、成都美奢锐新材料有限公司、钢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纳克检测技术股份有限公司、南昌硬质合金有限责任公司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7A250E3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905DEB8" w14:textId="77777777" w:rsidR="00F71D1D" w:rsidRDefault="00F71D1D" w:rsidP="0008484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</w:tbl>
    <w:p w14:paraId="3D84A781" w14:textId="76C87EBF" w:rsidR="00923844" w:rsidRPr="00F71D1D" w:rsidRDefault="00923844">
      <w:pPr>
        <w:rPr>
          <w:rFonts w:ascii="黑体" w:eastAsia="黑体" w:hAnsi="黑体" w:cs="黑体" w:hint="eastAsia"/>
          <w:sz w:val="28"/>
          <w:szCs w:val="28"/>
        </w:rPr>
      </w:pPr>
    </w:p>
    <w:sectPr w:rsidR="00923844" w:rsidRPr="00F71D1D" w:rsidSect="00F71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2FDD5" w14:textId="77777777" w:rsidR="003647FF" w:rsidRDefault="003647FF" w:rsidP="00F71D1D">
      <w:pPr>
        <w:rPr>
          <w:rFonts w:hint="eastAsia"/>
        </w:rPr>
      </w:pPr>
      <w:r>
        <w:separator/>
      </w:r>
    </w:p>
  </w:endnote>
  <w:endnote w:type="continuationSeparator" w:id="0">
    <w:p w14:paraId="241D6F11" w14:textId="77777777" w:rsidR="003647FF" w:rsidRDefault="003647FF" w:rsidP="00F71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97FC" w14:textId="77777777" w:rsidR="003647FF" w:rsidRDefault="003647FF" w:rsidP="00F71D1D">
      <w:pPr>
        <w:rPr>
          <w:rFonts w:hint="eastAsia"/>
        </w:rPr>
      </w:pPr>
      <w:r>
        <w:separator/>
      </w:r>
    </w:p>
  </w:footnote>
  <w:footnote w:type="continuationSeparator" w:id="0">
    <w:p w14:paraId="7E21354A" w14:textId="77777777" w:rsidR="003647FF" w:rsidRDefault="003647FF" w:rsidP="00F71D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0A"/>
    <w:rsid w:val="00093333"/>
    <w:rsid w:val="001A140A"/>
    <w:rsid w:val="003647FF"/>
    <w:rsid w:val="00923844"/>
    <w:rsid w:val="00F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A8F2"/>
  <w15:chartTrackingRefBased/>
  <w15:docId w15:val="{8625C1D9-DC88-457E-9E24-0A34E47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1D1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71D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71D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71D1D"/>
    <w:rPr>
      <w:sz w:val="18"/>
      <w:szCs w:val="18"/>
    </w:rPr>
  </w:style>
  <w:style w:type="paragraph" w:styleId="a8">
    <w:name w:val="endnote text"/>
    <w:basedOn w:val="a"/>
    <w:link w:val="a9"/>
    <w:uiPriority w:val="99"/>
    <w:unhideWhenUsed/>
    <w:qFormat/>
    <w:rsid w:val="00F71D1D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9">
    <w:name w:val="尾注文本 字符"/>
    <w:basedOn w:val="a1"/>
    <w:link w:val="a8"/>
    <w:uiPriority w:val="99"/>
    <w:rsid w:val="00F71D1D"/>
    <w:rPr>
      <w:rFonts w:ascii="Calibri" w:eastAsia="Times New Roman" w:hAnsi="Calibri" w:cs="Times New Roman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F71D1D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F71D1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2024-09-27T04:57:00Z</dcterms:created>
  <dcterms:modified xsi:type="dcterms:W3CDTF">2024-09-27T04:57:00Z</dcterms:modified>
</cp:coreProperties>
</file>